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562BE74" w:rsidR="002638B0" w:rsidRPr="00B87DBA"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8E905D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E53EE">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62BCBF38" w:rsidR="00F47A63" w:rsidRPr="002F43FA" w:rsidRDefault="008800DD" w:rsidP="00F47A63">
      <w:pPr>
        <w:jc w:val="both"/>
        <w:rPr>
          <w:rFonts w:ascii="Avenir Next" w:hAnsi="Avenir Next" w:cs="Arial"/>
          <w:color w:val="000000" w:themeColor="text1"/>
          <w:sz w:val="22"/>
          <w:szCs w:val="22"/>
        </w:rPr>
      </w:pPr>
      <w:r w:rsidRPr="008800DD">
        <w:rPr>
          <w:rFonts w:ascii="Avenir Next" w:hAnsi="Avenir Next" w:cs="Arial"/>
          <w:color w:val="000000" w:themeColor="text1"/>
          <w:sz w:val="22"/>
          <w:szCs w:val="22"/>
        </w:rPr>
        <w:t xml:space="preserve">Which branch of the Canadian government has the exclusive power to make laws in relation to bankruptcy and insolvency? Indicate the </w:t>
      </w:r>
      <w:r w:rsidRPr="00934811">
        <w:rPr>
          <w:rFonts w:ascii="Avenir Next Demi Bold" w:hAnsi="Avenir Next Demi Bold" w:cs="Arial"/>
          <w:b/>
          <w:bCs/>
          <w:color w:val="000000" w:themeColor="text1"/>
          <w:sz w:val="22"/>
          <w:szCs w:val="22"/>
          <w:u w:val="single"/>
        </w:rPr>
        <w:t>correct answer</w:t>
      </w:r>
      <w:r w:rsidRPr="008800DD">
        <w:rPr>
          <w:rFonts w:ascii="Avenir Next" w:hAnsi="Avenir Next" w:cs="Arial"/>
          <w:color w:val="000000" w:themeColor="text1"/>
          <w:sz w:val="22"/>
          <w:szCs w:val="22"/>
        </w:rPr>
        <w:t xml:space="preserve"> from the options below</w:t>
      </w:r>
      <w:r w:rsidR="009C53EC">
        <w:rPr>
          <w:rFonts w:ascii="Avenir Next" w:hAnsi="Avenir Next" w:cs="Arial"/>
          <w:color w:val="000000" w:themeColor="text1"/>
          <w:sz w:val="22"/>
          <w:szCs w:val="22"/>
        </w:rPr>
        <w:t>:</w:t>
      </w:r>
    </w:p>
    <w:p w14:paraId="0A013E9F" w14:textId="77777777" w:rsidR="00F47A63" w:rsidRPr="002F43FA" w:rsidRDefault="00F47A63" w:rsidP="00F47A63">
      <w:pPr>
        <w:rPr>
          <w:rFonts w:ascii="Avenir Next" w:hAnsi="Avenir Next" w:cs="Arial"/>
          <w:sz w:val="22"/>
          <w:szCs w:val="22"/>
          <w:lang w:val="en-GB"/>
        </w:rPr>
      </w:pPr>
    </w:p>
    <w:p w14:paraId="47934975" w14:textId="77777777" w:rsidR="00500836" w:rsidRPr="004E6A5B" w:rsidRDefault="00500836" w:rsidP="00500836">
      <w:pPr>
        <w:pStyle w:val="ListParagraph"/>
        <w:numPr>
          <w:ilvl w:val="0"/>
          <w:numId w:val="22"/>
        </w:numPr>
        <w:ind w:left="426"/>
        <w:jc w:val="both"/>
        <w:rPr>
          <w:rFonts w:ascii="Avenir Next" w:hAnsi="Avenir Next" w:cs="Arial"/>
          <w:sz w:val="22"/>
          <w:szCs w:val="22"/>
          <w:highlight w:val="yellow"/>
          <w:lang w:val="en-GB"/>
        </w:rPr>
      </w:pPr>
      <w:r w:rsidRPr="004E6A5B">
        <w:rPr>
          <w:rFonts w:ascii="Avenir Next" w:hAnsi="Avenir Next" w:cs="Arial"/>
          <w:sz w:val="22"/>
          <w:szCs w:val="22"/>
          <w:highlight w:val="yellow"/>
          <w:lang w:val="en-GB"/>
        </w:rPr>
        <w:t>Federal.</w:t>
      </w:r>
    </w:p>
    <w:p w14:paraId="7875EE62" w14:textId="77777777" w:rsidR="00500836" w:rsidRPr="00500836" w:rsidRDefault="00500836" w:rsidP="00500836">
      <w:pPr>
        <w:ind w:left="426" w:hanging="360"/>
        <w:jc w:val="both"/>
        <w:rPr>
          <w:rFonts w:ascii="Avenir Next" w:hAnsi="Avenir Next" w:cs="Arial"/>
          <w:sz w:val="22"/>
          <w:szCs w:val="22"/>
          <w:lang w:val="en-GB"/>
        </w:rPr>
      </w:pPr>
    </w:p>
    <w:p w14:paraId="5F47207B"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Provincial.</w:t>
      </w:r>
    </w:p>
    <w:p w14:paraId="46B60AB1" w14:textId="77777777" w:rsidR="00500836" w:rsidRPr="00500836" w:rsidRDefault="00500836" w:rsidP="00500836">
      <w:pPr>
        <w:ind w:left="426" w:hanging="360"/>
        <w:jc w:val="both"/>
        <w:rPr>
          <w:rFonts w:ascii="Avenir Next" w:hAnsi="Avenir Next" w:cs="Arial"/>
          <w:sz w:val="22"/>
          <w:szCs w:val="22"/>
          <w:lang w:val="en-GB"/>
        </w:rPr>
      </w:pPr>
    </w:p>
    <w:p w14:paraId="50C4F361"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Municipal.</w:t>
      </w:r>
    </w:p>
    <w:p w14:paraId="2EB9AA3B" w14:textId="77777777" w:rsidR="00500836" w:rsidRPr="00500836" w:rsidRDefault="00500836" w:rsidP="00500836">
      <w:pPr>
        <w:ind w:left="426" w:hanging="360"/>
        <w:jc w:val="both"/>
        <w:rPr>
          <w:rFonts w:ascii="Avenir Next" w:hAnsi="Avenir Next" w:cs="Arial"/>
          <w:sz w:val="22"/>
          <w:szCs w:val="22"/>
          <w:lang w:val="en-GB"/>
        </w:rPr>
      </w:pPr>
    </w:p>
    <w:p w14:paraId="23C452AE"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The power is shared between the three levels of government.</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658D0AD3" w:rsidR="00F47A63" w:rsidRPr="002F43FA" w:rsidRDefault="007516A7" w:rsidP="00F47A63">
      <w:pPr>
        <w:jc w:val="both"/>
        <w:rPr>
          <w:rFonts w:ascii="Avenir Next" w:hAnsi="Avenir Next" w:cs="Arial"/>
          <w:sz w:val="22"/>
          <w:szCs w:val="22"/>
          <w:lang w:val="en-GB"/>
        </w:rPr>
      </w:pPr>
      <w:r w:rsidRPr="007516A7">
        <w:rPr>
          <w:rFonts w:ascii="Avenir Next" w:hAnsi="Avenir Next" w:cs="Arial"/>
          <w:sz w:val="22"/>
          <w:szCs w:val="22"/>
          <w:lang w:val="en-GB"/>
        </w:rPr>
        <w:t xml:space="preserve">Which federal statute governs the bankruptcy regime in relation to an individual bankruptcy? Select the </w:t>
      </w:r>
      <w:r w:rsidRPr="00E423AC">
        <w:rPr>
          <w:rFonts w:ascii="Avenir Next Demi Bold" w:hAnsi="Avenir Next Demi Bold" w:cs="Arial"/>
          <w:b/>
          <w:bCs/>
          <w:sz w:val="22"/>
          <w:szCs w:val="22"/>
          <w:u w:val="single"/>
          <w:lang w:val="en-GB"/>
        </w:rPr>
        <w:t>correct answer</w:t>
      </w:r>
      <w:r w:rsidRPr="007516A7">
        <w:rPr>
          <w:rFonts w:ascii="Avenir Next" w:hAnsi="Avenir Next" w:cs="Arial"/>
          <w:sz w:val="22"/>
          <w:szCs w:val="22"/>
          <w:lang w:val="en-GB"/>
        </w:rPr>
        <w:t xml:space="preserve"> from the options below</w:t>
      </w:r>
      <w:r>
        <w:rPr>
          <w:rFonts w:ascii="Avenir Next" w:hAnsi="Avenir Next" w:cs="Arial"/>
          <w:sz w:val="22"/>
          <w:szCs w:val="22"/>
          <w:lang w:val="en-GB"/>
        </w:rPr>
        <w:t>:</w:t>
      </w:r>
      <w:r w:rsidRPr="007516A7">
        <w:rPr>
          <w:rFonts w:ascii="Avenir Next" w:hAnsi="Avenir Next" w:cs="Arial"/>
          <w:sz w:val="22"/>
          <w:szCs w:val="22"/>
          <w:lang w:val="en-GB"/>
        </w:rPr>
        <w:t xml:space="preserve"> </w:t>
      </w:r>
    </w:p>
    <w:p w14:paraId="4D5A346B" w14:textId="77777777" w:rsidR="00F47A63" w:rsidRPr="002F43FA" w:rsidRDefault="00F47A63" w:rsidP="00F47A63">
      <w:pPr>
        <w:jc w:val="both"/>
        <w:rPr>
          <w:rFonts w:ascii="Avenir Next" w:hAnsi="Avenir Next" w:cs="Arial"/>
          <w:sz w:val="22"/>
          <w:szCs w:val="22"/>
        </w:rPr>
      </w:pPr>
    </w:p>
    <w:p w14:paraId="1A2A20B2" w14:textId="3D7A2716" w:rsidR="00582326" w:rsidRPr="004E6A5B" w:rsidRDefault="00D03AE2" w:rsidP="00D03AE2">
      <w:pPr>
        <w:pStyle w:val="ListParagraph"/>
        <w:numPr>
          <w:ilvl w:val="0"/>
          <w:numId w:val="23"/>
        </w:numPr>
        <w:ind w:left="426"/>
        <w:jc w:val="both"/>
        <w:rPr>
          <w:rFonts w:ascii="Avenir Next" w:hAnsi="Avenir Next" w:cs="Arial"/>
          <w:sz w:val="22"/>
          <w:szCs w:val="22"/>
          <w:highlight w:val="yellow"/>
        </w:rPr>
      </w:pPr>
      <w:r w:rsidRPr="004E6A5B">
        <w:rPr>
          <w:rFonts w:ascii="Avenir Next" w:hAnsi="Avenir Next" w:cs="Arial"/>
          <w:sz w:val="22"/>
          <w:szCs w:val="22"/>
          <w:highlight w:val="yellow"/>
        </w:rPr>
        <w:t>T</w:t>
      </w:r>
      <w:r w:rsidR="00582326" w:rsidRPr="004E6A5B">
        <w:rPr>
          <w:rFonts w:ascii="Avenir Next" w:hAnsi="Avenir Next" w:cs="Arial"/>
          <w:sz w:val="22"/>
          <w:szCs w:val="22"/>
          <w:highlight w:val="yellow"/>
        </w:rPr>
        <w:t>he Bankruptcy and Insolvency Act (BIA).</w:t>
      </w:r>
    </w:p>
    <w:p w14:paraId="5D3507A2" w14:textId="77777777" w:rsidR="00582326" w:rsidRPr="00C57600" w:rsidRDefault="00582326" w:rsidP="00D03AE2">
      <w:pPr>
        <w:ind w:left="426"/>
        <w:jc w:val="both"/>
        <w:rPr>
          <w:rFonts w:ascii="Avenir Next" w:hAnsi="Avenir Next" w:cs="Arial"/>
          <w:sz w:val="22"/>
          <w:szCs w:val="22"/>
        </w:rPr>
      </w:pPr>
    </w:p>
    <w:p w14:paraId="5672A9D1"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Companies’ Creditors Arrangement Act (CCAA).</w:t>
      </w:r>
    </w:p>
    <w:p w14:paraId="07E99A36" w14:textId="77777777" w:rsidR="00582326" w:rsidRPr="00C57600" w:rsidRDefault="00582326" w:rsidP="00D03AE2">
      <w:pPr>
        <w:ind w:left="426"/>
        <w:jc w:val="both"/>
        <w:rPr>
          <w:rFonts w:ascii="Avenir Next" w:hAnsi="Avenir Next" w:cs="Arial"/>
          <w:sz w:val="22"/>
          <w:szCs w:val="22"/>
        </w:rPr>
      </w:pPr>
    </w:p>
    <w:p w14:paraId="27CDB095"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Winding-up and Restructuring Act.</w:t>
      </w:r>
    </w:p>
    <w:p w14:paraId="18FC08FE" w14:textId="77777777" w:rsidR="00582326" w:rsidRPr="00C57600" w:rsidRDefault="00582326" w:rsidP="00D03AE2">
      <w:pPr>
        <w:ind w:left="426"/>
        <w:jc w:val="both"/>
        <w:rPr>
          <w:rFonts w:ascii="Avenir Next" w:hAnsi="Avenir Next" w:cs="Arial"/>
          <w:sz w:val="22"/>
          <w:szCs w:val="22"/>
        </w:rPr>
      </w:pPr>
    </w:p>
    <w:p w14:paraId="17F1A8FB"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 xml:space="preserve">The Canada Business Corporations Act (CBCA). </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303BEF55" w:rsidR="00F47A63" w:rsidRPr="002F43FA" w:rsidRDefault="00645A9D" w:rsidP="00F47A63">
      <w:pPr>
        <w:jc w:val="both"/>
        <w:rPr>
          <w:rFonts w:ascii="Avenir Next Demi Bold" w:hAnsi="Avenir Next Demi Bold" w:cs="Arial"/>
          <w:b/>
          <w:bCs/>
          <w:sz w:val="22"/>
          <w:szCs w:val="22"/>
          <w:u w:val="single"/>
          <w:lang w:val="en-GB"/>
        </w:rPr>
      </w:pPr>
      <w:r w:rsidRPr="00645A9D">
        <w:rPr>
          <w:rFonts w:ascii="Avenir Next" w:hAnsi="Avenir Next" w:cs="Arial"/>
          <w:sz w:val="22"/>
          <w:szCs w:val="22"/>
        </w:rPr>
        <w:t xml:space="preserve">Which of the following is </w:t>
      </w:r>
      <w:r w:rsidRPr="00645A9D">
        <w:rPr>
          <w:rFonts w:ascii="Avenir Next Demi Bold" w:hAnsi="Avenir Next Demi Bold" w:cs="Arial"/>
          <w:b/>
          <w:bCs/>
          <w:sz w:val="22"/>
          <w:szCs w:val="22"/>
          <w:u w:val="single"/>
          <w:lang w:val="en-GB"/>
        </w:rPr>
        <w:t>incorrect</w:t>
      </w:r>
      <w:r w:rsidRPr="00645A9D">
        <w:rPr>
          <w:rFonts w:ascii="Avenir Next" w:hAnsi="Avenir Next" w:cs="Arial"/>
          <w:sz w:val="22"/>
          <w:szCs w:val="22"/>
        </w:rPr>
        <w:t xml:space="preserve"> with respect to proceedings under the CCAA</w:t>
      </w:r>
      <w:r>
        <w:rPr>
          <w:rFonts w:ascii="Avenir Next" w:hAnsi="Avenir Next" w:cs="Arial"/>
          <w:sz w:val="22"/>
          <w:szCs w:val="22"/>
        </w:rPr>
        <w:t>:</w:t>
      </w:r>
    </w:p>
    <w:p w14:paraId="3C037EF1" w14:textId="77777777" w:rsidR="00F47A63" w:rsidRPr="002F43FA" w:rsidRDefault="00F47A63" w:rsidP="00F47A63">
      <w:pPr>
        <w:jc w:val="both"/>
        <w:rPr>
          <w:rFonts w:ascii="Avenir Next" w:hAnsi="Avenir Next" w:cs="Arial"/>
          <w:sz w:val="22"/>
          <w:szCs w:val="22"/>
        </w:rPr>
      </w:pPr>
    </w:p>
    <w:p w14:paraId="4D796FA9"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The CCAA is a debtor-in-possession restructuring statute.</w:t>
      </w:r>
    </w:p>
    <w:p w14:paraId="46BD907E" w14:textId="77777777" w:rsidR="00771D67" w:rsidRPr="00771D67" w:rsidRDefault="00771D67" w:rsidP="00992661">
      <w:pPr>
        <w:ind w:left="426"/>
        <w:rPr>
          <w:rFonts w:ascii="Avenir Next" w:hAnsi="Avenir Next" w:cs="Arial"/>
          <w:sz w:val="22"/>
          <w:szCs w:val="22"/>
        </w:rPr>
      </w:pPr>
    </w:p>
    <w:p w14:paraId="715D1367" w14:textId="42AE1D64" w:rsidR="00771D67" w:rsidRPr="004E6A5B" w:rsidRDefault="00771D67" w:rsidP="00992661">
      <w:pPr>
        <w:pStyle w:val="ListParagraph"/>
        <w:numPr>
          <w:ilvl w:val="0"/>
          <w:numId w:val="24"/>
        </w:numPr>
        <w:ind w:left="426"/>
        <w:rPr>
          <w:rFonts w:ascii="Avenir Next" w:hAnsi="Avenir Next" w:cs="Arial"/>
          <w:sz w:val="22"/>
          <w:szCs w:val="22"/>
          <w:highlight w:val="yellow"/>
        </w:rPr>
      </w:pPr>
      <w:r w:rsidRPr="004E6A5B">
        <w:rPr>
          <w:rFonts w:ascii="Avenir Next" w:hAnsi="Avenir Next" w:cs="Arial"/>
          <w:sz w:val="22"/>
          <w:szCs w:val="22"/>
          <w:highlight w:val="yellow"/>
        </w:rPr>
        <w:t xml:space="preserve">The CCAA is available to companies with debts </w:t>
      </w:r>
      <w:r w:rsidR="00992661" w:rsidRPr="004E6A5B">
        <w:rPr>
          <w:rFonts w:ascii="Avenir Next" w:hAnsi="Avenir Next" w:cs="Arial"/>
          <w:sz w:val="22"/>
          <w:szCs w:val="22"/>
          <w:highlight w:val="yellow"/>
        </w:rPr>
        <w:t xml:space="preserve">of </w:t>
      </w:r>
      <w:r w:rsidRPr="004E6A5B">
        <w:rPr>
          <w:rFonts w:ascii="Avenir Next" w:hAnsi="Avenir Next" w:cs="Arial"/>
          <w:sz w:val="22"/>
          <w:szCs w:val="22"/>
          <w:highlight w:val="yellow"/>
        </w:rPr>
        <w:t>less than CAD 5 million.</w:t>
      </w:r>
    </w:p>
    <w:p w14:paraId="1ABE4A42" w14:textId="77777777" w:rsidR="00771D67" w:rsidRPr="00771D67" w:rsidRDefault="00771D67" w:rsidP="00992661">
      <w:pPr>
        <w:ind w:left="426"/>
        <w:rPr>
          <w:rFonts w:ascii="Avenir Next" w:hAnsi="Avenir Next" w:cs="Arial"/>
          <w:sz w:val="22"/>
          <w:szCs w:val="22"/>
        </w:rPr>
      </w:pPr>
    </w:p>
    <w:p w14:paraId="113398ED"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is a federal statute. </w:t>
      </w:r>
    </w:p>
    <w:p w14:paraId="037E7280" w14:textId="77777777" w:rsidR="00771D67" w:rsidRPr="00771D67" w:rsidRDefault="00771D67" w:rsidP="00992661">
      <w:pPr>
        <w:ind w:left="426"/>
        <w:rPr>
          <w:rFonts w:ascii="Avenir Next" w:hAnsi="Avenir Next" w:cs="Arial"/>
          <w:sz w:val="22"/>
          <w:szCs w:val="22"/>
        </w:rPr>
      </w:pPr>
    </w:p>
    <w:p w14:paraId="24FB4708"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sets out a relatively skeletal framework, and affords broad discretion to a judge as compared to a restructuring under the BIA. </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6C6209F" w:rsidR="00F47A63" w:rsidRDefault="00A87A88" w:rsidP="00F47A63">
      <w:pPr>
        <w:jc w:val="both"/>
        <w:rPr>
          <w:rFonts w:ascii="Avenir Next" w:hAnsi="Avenir Next" w:cs="Arial"/>
          <w:sz w:val="22"/>
          <w:szCs w:val="22"/>
          <w:lang w:val="en-GB"/>
        </w:rPr>
      </w:pPr>
      <w:r w:rsidRPr="00A87A88">
        <w:rPr>
          <w:rFonts w:ascii="Avenir Next" w:hAnsi="Avenir Next" w:cs="Arial"/>
          <w:sz w:val="22"/>
          <w:szCs w:val="22"/>
          <w:lang w:val="en-GB"/>
        </w:rPr>
        <w:t xml:space="preserve">Select the </w:t>
      </w:r>
      <w:r w:rsidR="002104F8" w:rsidRPr="002104F8">
        <w:rPr>
          <w:rFonts w:ascii="Avenir Next Demi Bold" w:hAnsi="Avenir Next Demi Bold" w:cs="Arial"/>
          <w:b/>
          <w:bCs/>
          <w:sz w:val="22"/>
          <w:szCs w:val="22"/>
          <w:u w:val="single"/>
          <w:lang w:val="en-GB"/>
        </w:rPr>
        <w:t>most correct</w:t>
      </w:r>
      <w:r w:rsidRPr="00A87A88">
        <w:rPr>
          <w:rFonts w:ascii="Avenir Next" w:hAnsi="Avenir Next" w:cs="Arial"/>
          <w:sz w:val="22"/>
          <w:szCs w:val="22"/>
          <w:lang w:val="en-GB"/>
        </w:rPr>
        <w:t xml:space="preserve"> answer from the options below</w:t>
      </w:r>
      <w:r w:rsidR="002104F8">
        <w:rPr>
          <w:rFonts w:ascii="Avenir Next" w:hAnsi="Avenir Next" w:cs="Arial"/>
          <w:sz w:val="22"/>
          <w:szCs w:val="22"/>
          <w:lang w:val="en-GB"/>
        </w:rPr>
        <w:t>:</w:t>
      </w:r>
    </w:p>
    <w:p w14:paraId="35B7A970" w14:textId="77777777" w:rsidR="002104F8" w:rsidRPr="002F43FA" w:rsidRDefault="002104F8" w:rsidP="00F47A63">
      <w:pPr>
        <w:jc w:val="both"/>
        <w:rPr>
          <w:rFonts w:ascii="Avenir Next" w:hAnsi="Avenir Next" w:cs="Arial"/>
          <w:sz w:val="22"/>
          <w:szCs w:val="22"/>
          <w:lang w:val="en-GB"/>
        </w:rPr>
      </w:pPr>
    </w:p>
    <w:p w14:paraId="0B1F9269" w14:textId="2DD337DF" w:rsidR="00F47A63" w:rsidRDefault="002104F8" w:rsidP="00F47A63">
      <w:pPr>
        <w:jc w:val="both"/>
        <w:rPr>
          <w:rFonts w:ascii="Avenir Next" w:hAnsi="Avenir Next" w:cs="Arial"/>
          <w:sz w:val="22"/>
          <w:szCs w:val="22"/>
        </w:rPr>
      </w:pPr>
      <w:r w:rsidRPr="002104F8">
        <w:rPr>
          <w:rFonts w:ascii="Avenir Next" w:hAnsi="Avenir Next" w:cs="Arial"/>
          <w:sz w:val="22"/>
          <w:szCs w:val="22"/>
        </w:rPr>
        <w:t>The purpose(s) and objective(s) of the BIA is</w:t>
      </w:r>
      <w:r w:rsidR="00AE0C2E">
        <w:rPr>
          <w:rFonts w:ascii="Avenir Next" w:hAnsi="Avenir Next" w:cs="Arial"/>
          <w:sz w:val="22"/>
          <w:szCs w:val="22"/>
        </w:rPr>
        <w:t xml:space="preserve"> / are</w:t>
      </w:r>
      <w:r w:rsidRPr="002104F8">
        <w:rPr>
          <w:rFonts w:ascii="Avenir Next" w:hAnsi="Avenir Next" w:cs="Arial"/>
          <w:sz w:val="22"/>
          <w:szCs w:val="22"/>
        </w:rPr>
        <w:t xml:space="preserve"> to</w:t>
      </w:r>
      <w:r>
        <w:rPr>
          <w:rFonts w:ascii="Avenir Next" w:hAnsi="Avenir Next" w:cs="Arial"/>
          <w:sz w:val="22"/>
          <w:szCs w:val="22"/>
        </w:rPr>
        <w:t xml:space="preserve"> –</w:t>
      </w:r>
    </w:p>
    <w:p w14:paraId="521FCA00" w14:textId="77777777" w:rsidR="002104F8" w:rsidRPr="002F43FA" w:rsidRDefault="002104F8" w:rsidP="00F47A63">
      <w:pPr>
        <w:jc w:val="both"/>
        <w:rPr>
          <w:rFonts w:ascii="Avenir Next" w:hAnsi="Avenir Next" w:cs="Arial"/>
          <w:sz w:val="22"/>
          <w:szCs w:val="22"/>
        </w:rPr>
      </w:pPr>
    </w:p>
    <w:p w14:paraId="712D3687"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for the financial rehabilitation of insolvent persons. </w:t>
      </w:r>
    </w:p>
    <w:p w14:paraId="6E91CD08" w14:textId="77777777" w:rsidR="00B4609D" w:rsidRPr="00B4609D" w:rsidRDefault="00B4609D" w:rsidP="00B4609D">
      <w:pPr>
        <w:ind w:left="426"/>
        <w:jc w:val="both"/>
        <w:rPr>
          <w:rFonts w:ascii="Avenir Next" w:hAnsi="Avenir Next" w:cs="Arial"/>
          <w:sz w:val="22"/>
          <w:szCs w:val="22"/>
        </w:rPr>
      </w:pPr>
    </w:p>
    <w:p w14:paraId="6A738CA3"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allow for an investigation to be made into the affairs of a bankrupt. </w:t>
      </w:r>
    </w:p>
    <w:p w14:paraId="6DE7363C" w14:textId="77777777" w:rsidR="00B4609D" w:rsidRPr="00B4609D" w:rsidRDefault="00B4609D" w:rsidP="00B4609D">
      <w:pPr>
        <w:ind w:left="426"/>
        <w:jc w:val="both"/>
        <w:rPr>
          <w:rFonts w:ascii="Avenir Next" w:hAnsi="Avenir Next" w:cs="Arial"/>
          <w:sz w:val="22"/>
          <w:szCs w:val="22"/>
        </w:rPr>
      </w:pPr>
    </w:p>
    <w:p w14:paraId="5A1880A6"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a collective proceeding for orderly and fair distribution of property of a bankrupt among unsecured creditors on a </w:t>
      </w:r>
      <w:r w:rsidRPr="00260EF7">
        <w:rPr>
          <w:rFonts w:ascii="Avenir Next" w:hAnsi="Avenir Next" w:cs="Arial"/>
          <w:i/>
          <w:iCs/>
          <w:sz w:val="22"/>
          <w:szCs w:val="22"/>
        </w:rPr>
        <w:t>pari passu</w:t>
      </w:r>
      <w:r w:rsidRPr="00B4609D">
        <w:rPr>
          <w:rFonts w:ascii="Avenir Next" w:hAnsi="Avenir Next" w:cs="Arial"/>
          <w:sz w:val="22"/>
          <w:szCs w:val="22"/>
        </w:rPr>
        <w:t xml:space="preserve"> basis.</w:t>
      </w:r>
    </w:p>
    <w:p w14:paraId="790C4D06" w14:textId="77777777" w:rsidR="00B4609D" w:rsidRPr="00B4609D" w:rsidRDefault="00B4609D" w:rsidP="00B4609D">
      <w:pPr>
        <w:ind w:left="426"/>
        <w:jc w:val="both"/>
        <w:rPr>
          <w:rFonts w:ascii="Avenir Next" w:hAnsi="Avenir Next" w:cs="Arial"/>
          <w:sz w:val="22"/>
          <w:szCs w:val="22"/>
        </w:rPr>
      </w:pPr>
    </w:p>
    <w:p w14:paraId="67F3CE85" w14:textId="4F37B2A3" w:rsidR="00B4609D" w:rsidRPr="004E6A5B" w:rsidRDefault="00B4609D" w:rsidP="00B4609D">
      <w:pPr>
        <w:pStyle w:val="ListParagraph"/>
        <w:numPr>
          <w:ilvl w:val="0"/>
          <w:numId w:val="25"/>
        </w:numPr>
        <w:ind w:left="426"/>
        <w:jc w:val="both"/>
        <w:rPr>
          <w:rFonts w:ascii="Avenir Next" w:hAnsi="Avenir Next" w:cs="Arial"/>
          <w:sz w:val="22"/>
          <w:szCs w:val="22"/>
          <w:highlight w:val="yellow"/>
        </w:rPr>
      </w:pPr>
      <w:r w:rsidRPr="004E6A5B">
        <w:rPr>
          <w:rFonts w:ascii="Avenir Next" w:hAnsi="Avenir Next" w:cs="Arial"/>
          <w:sz w:val="22"/>
          <w:szCs w:val="22"/>
          <w:highlight w:val="yellow"/>
        </w:rPr>
        <w:t>all of the above statements</w:t>
      </w:r>
      <w:r w:rsidR="00D40715" w:rsidRPr="004E6A5B">
        <w:rPr>
          <w:rFonts w:ascii="Avenir Next" w:hAnsi="Avenir Next" w:cs="Arial"/>
          <w:sz w:val="22"/>
          <w:szCs w:val="22"/>
          <w:highlight w:val="yellow"/>
        </w:rPr>
        <w:t xml:space="preserve"> are correct</w:t>
      </w:r>
      <w:r w:rsidRPr="004E6A5B">
        <w:rPr>
          <w:rFonts w:ascii="Avenir Next" w:hAnsi="Avenir Next" w:cs="Arial"/>
          <w:sz w:val="22"/>
          <w:szCs w:val="22"/>
          <w:highlight w:val="yellow"/>
        </w:rPr>
        <w:t xml:space="preserve">. </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69262BD4" w:rsidR="00F47A63" w:rsidRPr="002F43FA" w:rsidRDefault="006B32A4" w:rsidP="00F47A63">
      <w:pPr>
        <w:jc w:val="both"/>
        <w:rPr>
          <w:rFonts w:ascii="Avenir Next" w:hAnsi="Avenir Next" w:cs="Arial"/>
          <w:sz w:val="22"/>
          <w:szCs w:val="22"/>
        </w:rPr>
      </w:pPr>
      <w:r w:rsidRPr="006B32A4">
        <w:rPr>
          <w:rFonts w:ascii="Avenir Next" w:hAnsi="Avenir Next" w:cs="Arial"/>
          <w:sz w:val="22"/>
          <w:szCs w:val="22"/>
          <w:lang w:val="en-GB"/>
        </w:rPr>
        <w:t xml:space="preserve">Which of the following is </w:t>
      </w:r>
      <w:r w:rsidRPr="008A6DE8">
        <w:rPr>
          <w:rFonts w:ascii="Avenir Next Demi Bold" w:hAnsi="Avenir Next Demi Bold" w:cs="Arial"/>
          <w:b/>
          <w:bCs/>
          <w:sz w:val="22"/>
          <w:szCs w:val="22"/>
          <w:u w:val="single"/>
          <w:lang w:val="en-GB"/>
        </w:rPr>
        <w:t>not</w:t>
      </w:r>
      <w:r w:rsidRPr="006B32A4">
        <w:rPr>
          <w:rFonts w:ascii="Avenir Next" w:hAnsi="Avenir Next" w:cs="Arial"/>
          <w:sz w:val="22"/>
          <w:szCs w:val="22"/>
          <w:lang w:val="en-GB"/>
        </w:rPr>
        <w:t xml:space="preserve"> included in the definition of an “insolvent person” under section 2 of the B</w:t>
      </w:r>
      <w:r w:rsidR="00D47A2B">
        <w:rPr>
          <w:rFonts w:ascii="Avenir Next" w:hAnsi="Avenir Next" w:cs="Arial"/>
          <w:sz w:val="22"/>
          <w:szCs w:val="22"/>
          <w:lang w:val="en-GB"/>
        </w:rPr>
        <w:t>IA</w:t>
      </w:r>
      <w:r w:rsidR="00DE65B9">
        <w:rPr>
          <w:rFonts w:ascii="Avenir Next" w:hAnsi="Avenir Next" w:cs="Arial"/>
          <w:sz w:val="22"/>
          <w:szCs w:val="22"/>
          <w:lang w:val="en-GB"/>
        </w:rPr>
        <w:t>:</w:t>
      </w:r>
      <w:r w:rsidRPr="006B32A4">
        <w:rPr>
          <w:rFonts w:ascii="Avenir Next" w:hAnsi="Avenir Next" w:cs="Arial"/>
          <w:sz w:val="22"/>
          <w:szCs w:val="22"/>
          <w:lang w:val="en-GB"/>
        </w:rPr>
        <w:t xml:space="preserve"> </w:t>
      </w:r>
    </w:p>
    <w:p w14:paraId="6F0AAE73" w14:textId="77777777" w:rsidR="00F47A63" w:rsidRPr="002F43FA" w:rsidRDefault="00F47A63" w:rsidP="00F47A63">
      <w:pPr>
        <w:ind w:left="426" w:hanging="284"/>
        <w:jc w:val="both"/>
        <w:rPr>
          <w:rFonts w:ascii="Avenir Next" w:hAnsi="Avenir Next" w:cs="Arial"/>
          <w:sz w:val="22"/>
          <w:szCs w:val="22"/>
        </w:rPr>
      </w:pPr>
    </w:p>
    <w:p w14:paraId="2CECB13C" w14:textId="4627F345"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is not bankrupt</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0F582623"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43BBD04D" w14:textId="0CCC0DC6"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resides or carries on business or has property in Canada</w:t>
      </w:r>
      <w:r>
        <w:rPr>
          <w:rFonts w:ascii="Avenir Next" w:hAnsi="Avenir Next" w:cs="Arial"/>
          <w:sz w:val="22"/>
          <w:szCs w:val="22"/>
          <w:lang w:val="en-GB"/>
        </w:rPr>
        <w:t>.</w:t>
      </w:r>
    </w:p>
    <w:p w14:paraId="1732EDAC"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17D48ED8" w14:textId="13AFFE68" w:rsidR="00012B29" w:rsidRPr="004E6A5B" w:rsidRDefault="00D47A2B" w:rsidP="00DE65B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4E6A5B">
        <w:rPr>
          <w:rFonts w:ascii="Avenir Next" w:hAnsi="Avenir Next" w:cs="Arial"/>
          <w:sz w:val="22"/>
          <w:szCs w:val="22"/>
          <w:highlight w:val="yellow"/>
          <w:lang w:val="en-GB"/>
        </w:rPr>
        <w:t>A</w:t>
      </w:r>
      <w:r w:rsidR="00012B29" w:rsidRPr="004E6A5B">
        <w:rPr>
          <w:rFonts w:ascii="Avenir Next" w:hAnsi="Avenir Next" w:cs="Arial"/>
          <w:sz w:val="22"/>
          <w:szCs w:val="22"/>
          <w:highlight w:val="yellow"/>
          <w:lang w:val="en-GB"/>
        </w:rPr>
        <w:t xml:space="preserve"> person whose liabilities to creditors provable as claims under the BIA amount to at least CAD 10,000</w:t>
      </w:r>
      <w:r w:rsidRPr="004E6A5B">
        <w:rPr>
          <w:rFonts w:ascii="Avenir Next" w:hAnsi="Avenir Next" w:cs="Arial"/>
          <w:sz w:val="22"/>
          <w:szCs w:val="22"/>
          <w:highlight w:val="yellow"/>
          <w:lang w:val="en-GB"/>
        </w:rPr>
        <w:t>.</w:t>
      </w:r>
      <w:r w:rsidR="00012B29" w:rsidRPr="004E6A5B">
        <w:rPr>
          <w:rFonts w:ascii="Avenir Next" w:hAnsi="Avenir Next" w:cs="Arial"/>
          <w:sz w:val="22"/>
          <w:szCs w:val="22"/>
          <w:highlight w:val="yellow"/>
          <w:lang w:val="en-GB"/>
        </w:rPr>
        <w:t xml:space="preserve"> </w:t>
      </w:r>
    </w:p>
    <w:p w14:paraId="5078A027"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3EA4CE09" w14:textId="01193719" w:rsidR="00012B29" w:rsidRPr="00DE65B9" w:rsidRDefault="00063584"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t>
      </w:r>
      <w:r>
        <w:rPr>
          <w:rFonts w:ascii="Avenir Next" w:hAnsi="Avenir Next" w:cs="Arial"/>
          <w:sz w:val="22"/>
          <w:szCs w:val="22"/>
          <w:lang w:val="en-GB"/>
        </w:rPr>
        <w:t>i</w:t>
      </w:r>
      <w:r w:rsidR="00012B29" w:rsidRPr="00DE65B9">
        <w:rPr>
          <w:rFonts w:ascii="Avenir Next" w:hAnsi="Avenir Next" w:cs="Arial"/>
          <w:sz w:val="22"/>
          <w:szCs w:val="22"/>
          <w:lang w:val="en-GB"/>
        </w:rPr>
        <w:t>)</w:t>
      </w:r>
      <w:r w:rsidR="00C537FD">
        <w:rPr>
          <w:rFonts w:ascii="Avenir Next" w:hAnsi="Avenir Next" w:cs="Arial"/>
          <w:sz w:val="22"/>
          <w:szCs w:val="22"/>
          <w:lang w:val="en-GB"/>
        </w:rPr>
        <w:t xml:space="preserve"> who</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is </w:t>
      </w:r>
      <w:r w:rsidR="00012B29" w:rsidRPr="00DE65B9">
        <w:rPr>
          <w:rFonts w:ascii="Avenir Next" w:hAnsi="Avenir Next" w:cs="Arial"/>
          <w:sz w:val="22"/>
          <w:szCs w:val="22"/>
          <w:lang w:val="en-GB"/>
        </w:rPr>
        <w:t>unable to meet obligations as the</w:t>
      </w:r>
      <w:r w:rsidR="00C537FD">
        <w:rPr>
          <w:rFonts w:ascii="Avenir Next" w:hAnsi="Avenir Next" w:cs="Arial"/>
          <w:sz w:val="22"/>
          <w:szCs w:val="22"/>
          <w:lang w:val="en-GB"/>
        </w:rPr>
        <w:t>y</w:t>
      </w:r>
      <w:r w:rsidR="00012B29" w:rsidRPr="00DE65B9">
        <w:rPr>
          <w:rFonts w:ascii="Avenir Next" w:hAnsi="Avenir Next" w:cs="Arial"/>
          <w:sz w:val="22"/>
          <w:szCs w:val="22"/>
          <w:lang w:val="en-GB"/>
        </w:rPr>
        <w:t xml:space="preserve">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r>
        <w:rPr>
          <w:rFonts w:ascii="Avenir Next" w:hAnsi="Avenir Next" w:cs="Arial"/>
          <w:sz w:val="22"/>
          <w:szCs w:val="22"/>
          <w:lang w:val="en-GB"/>
        </w:rPr>
        <w:t>ii</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who </w:t>
      </w:r>
      <w:r w:rsidR="00012B29" w:rsidRPr="00DE65B9">
        <w:rPr>
          <w:rFonts w:ascii="Avenir Next" w:hAnsi="Avenir Next" w:cs="Arial"/>
          <w:sz w:val="22"/>
          <w:szCs w:val="22"/>
          <w:lang w:val="en-GB"/>
        </w:rPr>
        <w:t>has ceased paying current obligations in the ordinary course of business as they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or (</w:t>
      </w:r>
      <w:r>
        <w:rPr>
          <w:rFonts w:ascii="Avenir Next" w:hAnsi="Avenir Next" w:cs="Arial"/>
          <w:sz w:val="22"/>
          <w:szCs w:val="22"/>
          <w:lang w:val="en-GB"/>
        </w:rPr>
        <w:t>iii</w:t>
      </w:r>
      <w:r w:rsidR="00012B29" w:rsidRPr="00DE65B9">
        <w:rPr>
          <w:rFonts w:ascii="Avenir Next" w:hAnsi="Avenir Next" w:cs="Arial"/>
          <w:sz w:val="22"/>
          <w:szCs w:val="22"/>
          <w:lang w:val="en-GB"/>
        </w:rPr>
        <w:t>) the aggregate of whose property is not, at fair valuation, sufficient to enable payment of all his obligations due and accruing due</w:t>
      </w:r>
      <w:r>
        <w:rPr>
          <w:rFonts w:ascii="Avenir Next" w:hAnsi="Avenir Next" w:cs="Arial"/>
          <w:sz w:val="22"/>
          <w:szCs w:val="22"/>
          <w:lang w:val="en-GB"/>
        </w:rPr>
        <w:t>.</w:t>
      </w: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73BA5D72" w14:textId="77777777" w:rsidR="004426B6" w:rsidRPr="004426B6"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 xml:space="preserve">Indicate the </w:t>
      </w:r>
      <w:r w:rsidRPr="004426B6">
        <w:rPr>
          <w:rFonts w:ascii="Avenir Next Demi Bold" w:hAnsi="Avenir Next Demi Bold" w:cs="Arial"/>
          <w:b/>
          <w:bCs/>
          <w:sz w:val="22"/>
          <w:szCs w:val="22"/>
          <w:u w:val="single"/>
          <w:lang w:val="en-GB"/>
        </w:rPr>
        <w:t>correct</w:t>
      </w:r>
      <w:r w:rsidRPr="004426B6">
        <w:rPr>
          <w:rFonts w:ascii="Avenir Next" w:hAnsi="Avenir Next" w:cs="Arial"/>
          <w:sz w:val="22"/>
          <w:szCs w:val="22"/>
          <w:lang w:val="en-GB"/>
        </w:rPr>
        <w:t xml:space="preserve"> answer:</w:t>
      </w:r>
    </w:p>
    <w:p w14:paraId="4F9FC2F8" w14:textId="77777777" w:rsidR="004426B6" w:rsidRPr="004426B6" w:rsidRDefault="004426B6" w:rsidP="004426B6">
      <w:pPr>
        <w:jc w:val="both"/>
        <w:rPr>
          <w:rFonts w:ascii="Avenir Next" w:hAnsi="Avenir Next" w:cs="Arial"/>
          <w:sz w:val="22"/>
          <w:szCs w:val="22"/>
          <w:lang w:val="en-GB"/>
        </w:rPr>
      </w:pPr>
    </w:p>
    <w:p w14:paraId="123EFEAC" w14:textId="6E7E76D7" w:rsidR="00F47A63"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Under Canadian law, when a company enters the “zone of insolvency”, the directors of a company</w:t>
      </w:r>
      <w:r>
        <w:rPr>
          <w:rFonts w:ascii="Avenir Next" w:hAnsi="Avenir Next" w:cs="Arial"/>
          <w:sz w:val="22"/>
          <w:szCs w:val="22"/>
          <w:lang w:val="en-GB"/>
        </w:rPr>
        <w:t xml:space="preserve"> – </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36A61EEB" w14:textId="77777777" w:rsidR="00351EF7" w:rsidRPr="004E6A5B" w:rsidRDefault="00351EF7" w:rsidP="00351EF7">
      <w:pPr>
        <w:pStyle w:val="ListParagraph"/>
        <w:numPr>
          <w:ilvl w:val="0"/>
          <w:numId w:val="27"/>
        </w:numPr>
        <w:ind w:left="426"/>
        <w:jc w:val="both"/>
        <w:rPr>
          <w:rFonts w:ascii="Avenir Next" w:hAnsi="Avenir Next" w:cs="Arial"/>
          <w:sz w:val="22"/>
          <w:szCs w:val="22"/>
          <w:highlight w:val="yellow"/>
          <w:lang w:val="en-GB"/>
        </w:rPr>
      </w:pPr>
      <w:r w:rsidRPr="004E6A5B">
        <w:rPr>
          <w:rFonts w:ascii="Avenir Next" w:hAnsi="Avenir Next" w:cs="Arial"/>
          <w:sz w:val="22"/>
          <w:szCs w:val="22"/>
          <w:highlight w:val="yellow"/>
          <w:lang w:val="en-GB"/>
        </w:rPr>
        <w:t>continue to have a fiduciary duty to act honestly and in good faith with a view to the best interests of the company.</w:t>
      </w:r>
    </w:p>
    <w:p w14:paraId="0C9EE48D"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no longer have a fiduciary duty to act honestly and in good faith with a view to the best interests of the company.</w:t>
      </w:r>
    </w:p>
    <w:p w14:paraId="46B2B07E" w14:textId="77777777" w:rsidR="00351EF7" w:rsidRPr="00351EF7" w:rsidRDefault="00351EF7" w:rsidP="00351EF7">
      <w:pPr>
        <w:ind w:left="426"/>
        <w:jc w:val="both"/>
        <w:rPr>
          <w:rFonts w:ascii="Avenir Next" w:hAnsi="Avenir Next" w:cs="Arial"/>
          <w:sz w:val="22"/>
          <w:szCs w:val="22"/>
          <w:lang w:val="en-GB"/>
        </w:rPr>
      </w:pPr>
    </w:p>
    <w:p w14:paraId="50299F4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be held personally liable for any of the company’s debts. </w:t>
      </w:r>
    </w:p>
    <w:p w14:paraId="67CF2D0B" w14:textId="77777777" w:rsidR="00351EF7" w:rsidRPr="00351EF7" w:rsidRDefault="00351EF7" w:rsidP="00351EF7">
      <w:pPr>
        <w:ind w:left="426"/>
        <w:jc w:val="both"/>
        <w:rPr>
          <w:rFonts w:ascii="Avenir Next" w:hAnsi="Avenir Next" w:cs="Arial"/>
          <w:sz w:val="22"/>
          <w:szCs w:val="22"/>
          <w:lang w:val="en-GB"/>
        </w:rPr>
      </w:pPr>
    </w:p>
    <w:p w14:paraId="11FFF43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F2B5B50" w14:textId="480A8F90" w:rsidR="00A54C81" w:rsidRPr="00A54C81" w:rsidRDefault="00A54C81" w:rsidP="00A54C81">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sidR="001B36E3">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sidR="001B36E3">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7D5AE66C" w14:textId="77777777" w:rsidR="00A54C81" w:rsidRPr="00A54C81" w:rsidRDefault="00A54C81" w:rsidP="00A54C81">
      <w:pPr>
        <w:jc w:val="both"/>
        <w:rPr>
          <w:rFonts w:ascii="Avenir Next" w:hAnsi="Avenir Next" w:cs="Arial"/>
          <w:sz w:val="22"/>
          <w:szCs w:val="22"/>
        </w:rPr>
      </w:pPr>
    </w:p>
    <w:p w14:paraId="3DBD5B42" w14:textId="0F872C68" w:rsidR="00F47A63" w:rsidRPr="002F43FA" w:rsidRDefault="00A54C81" w:rsidP="00A54C81">
      <w:pPr>
        <w:jc w:val="both"/>
        <w:rPr>
          <w:rFonts w:ascii="Avenir Next" w:hAnsi="Avenir Next" w:cs="Arial"/>
          <w:sz w:val="22"/>
          <w:szCs w:val="22"/>
        </w:rPr>
      </w:pPr>
      <w:r w:rsidRPr="00A54C81">
        <w:rPr>
          <w:rFonts w:ascii="Avenir Next" w:hAnsi="Avenir Next" w:cs="Arial"/>
          <w:sz w:val="22"/>
          <w:szCs w:val="22"/>
        </w:rPr>
        <w:t>Insolvency proceedings in Canada are governed primarily by federal statutes.</w:t>
      </w:r>
    </w:p>
    <w:p w14:paraId="2462C1CE" w14:textId="77777777" w:rsidR="00F47A63" w:rsidRPr="002F43FA" w:rsidRDefault="00F47A63" w:rsidP="00F47A63">
      <w:pPr>
        <w:jc w:val="both"/>
        <w:rPr>
          <w:rFonts w:ascii="Avenir Next" w:hAnsi="Avenir Next" w:cs="Arial"/>
          <w:sz w:val="22"/>
          <w:szCs w:val="22"/>
        </w:rPr>
      </w:pPr>
    </w:p>
    <w:p w14:paraId="7BB1B29B" w14:textId="6C37EDBA" w:rsidR="00F47A63" w:rsidRPr="004E6A5B" w:rsidRDefault="00716084" w:rsidP="00EF6D63">
      <w:pPr>
        <w:pStyle w:val="ListParagraph"/>
        <w:numPr>
          <w:ilvl w:val="0"/>
          <w:numId w:val="7"/>
        </w:numPr>
        <w:ind w:left="426"/>
        <w:jc w:val="both"/>
        <w:rPr>
          <w:rFonts w:ascii="Avenir Next" w:hAnsi="Avenir Next" w:cs="Arial"/>
          <w:iCs/>
          <w:sz w:val="22"/>
          <w:szCs w:val="22"/>
          <w:highlight w:val="yellow"/>
          <w:lang w:val="en-GB"/>
        </w:rPr>
      </w:pPr>
      <w:r w:rsidRPr="004E6A5B">
        <w:rPr>
          <w:rFonts w:ascii="Avenir Next" w:hAnsi="Avenir Next" w:cs="Arial"/>
          <w:iCs/>
          <w:sz w:val="22"/>
          <w:szCs w:val="22"/>
          <w:highlight w:val="yellow"/>
          <w:lang w:val="en-GB"/>
        </w:rPr>
        <w:t>True</w:t>
      </w:r>
      <w:r w:rsidR="00F47A63" w:rsidRPr="004E6A5B">
        <w:rPr>
          <w:rFonts w:ascii="Avenir Next" w:hAnsi="Avenir Next" w:cs="Arial"/>
          <w:iCs/>
          <w:sz w:val="22"/>
          <w:szCs w:val="22"/>
          <w:highlight w:val="yellow"/>
          <w:lang w:val="en-GB"/>
        </w:rPr>
        <w:t>.</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3A618618" w:rsidR="00F47A63" w:rsidRPr="002F43FA" w:rsidRDefault="00716084" w:rsidP="00EF6D63">
      <w:pPr>
        <w:pStyle w:val="ListParagraph"/>
        <w:numPr>
          <w:ilvl w:val="0"/>
          <w:numId w:val="7"/>
        </w:numPr>
        <w:ind w:left="426"/>
        <w:jc w:val="both"/>
        <w:rPr>
          <w:rFonts w:ascii="Avenir Next" w:hAnsi="Avenir Next" w:cs="Arial"/>
          <w:iCs/>
          <w:sz w:val="22"/>
          <w:szCs w:val="22"/>
          <w:lang w:val="en-GB"/>
        </w:rPr>
      </w:pPr>
      <w:r>
        <w:rPr>
          <w:rFonts w:ascii="Avenir Next" w:hAnsi="Avenir Next" w:cs="Arial"/>
          <w:iCs/>
          <w:sz w:val="22"/>
          <w:szCs w:val="22"/>
          <w:lang w:val="en-GB"/>
        </w:rPr>
        <w:t>False</w:t>
      </w:r>
      <w:r w:rsidR="00F47A63" w:rsidRPr="002F43FA">
        <w:rPr>
          <w:rFonts w:ascii="Avenir Next" w:hAnsi="Avenir Next" w:cs="Arial"/>
          <w:iCs/>
          <w:sz w:val="22"/>
          <w:szCs w:val="22"/>
          <w:lang w:val="en-GB"/>
        </w:rPr>
        <w:t>.</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4EBD1A19" w14:textId="77777777" w:rsidR="00A12984" w:rsidRPr="00A54C81" w:rsidRDefault="00A12984" w:rsidP="00A12984">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79F1809" w14:textId="77777777" w:rsidR="00A12984" w:rsidRPr="00A54C81" w:rsidRDefault="00A12984" w:rsidP="00A12984">
      <w:pPr>
        <w:jc w:val="both"/>
        <w:rPr>
          <w:rFonts w:ascii="Avenir Next" w:hAnsi="Avenir Next" w:cs="Arial"/>
          <w:sz w:val="22"/>
          <w:szCs w:val="22"/>
        </w:rPr>
      </w:pPr>
    </w:p>
    <w:p w14:paraId="246D3756" w14:textId="67ABE6A5" w:rsidR="00A12984" w:rsidRDefault="00864AC2" w:rsidP="00A12984">
      <w:pPr>
        <w:jc w:val="both"/>
        <w:rPr>
          <w:rFonts w:ascii="Avenir Next" w:hAnsi="Avenir Next" w:cs="Arial"/>
          <w:sz w:val="22"/>
          <w:szCs w:val="22"/>
        </w:rPr>
      </w:pPr>
      <w:r w:rsidRPr="00864AC2">
        <w:rPr>
          <w:rFonts w:ascii="Avenir Next" w:hAnsi="Avenir Next" w:cs="Arial"/>
          <w:sz w:val="22"/>
          <w:szCs w:val="22"/>
        </w:rPr>
        <w:t>The CCAA is a debtor-in-possession restructuring statute designed for the reorgani</w:t>
      </w:r>
      <w:r w:rsidR="000032D2">
        <w:rPr>
          <w:rFonts w:ascii="Avenir Next" w:hAnsi="Avenir Next" w:cs="Arial"/>
          <w:sz w:val="22"/>
          <w:szCs w:val="22"/>
        </w:rPr>
        <w:t>s</w:t>
      </w:r>
      <w:r w:rsidRPr="00864AC2">
        <w:rPr>
          <w:rFonts w:ascii="Avenir Next" w:hAnsi="Avenir Next" w:cs="Arial"/>
          <w:sz w:val="22"/>
          <w:szCs w:val="22"/>
        </w:rPr>
        <w:t>ation of insolvent companies with debts under CAD 5 million.</w:t>
      </w:r>
    </w:p>
    <w:p w14:paraId="611E91BA" w14:textId="77777777" w:rsidR="00864AC2" w:rsidRPr="002F43FA" w:rsidRDefault="00864AC2" w:rsidP="00A12984">
      <w:pPr>
        <w:jc w:val="both"/>
        <w:rPr>
          <w:rFonts w:ascii="Avenir Next" w:hAnsi="Avenir Next" w:cs="Arial"/>
          <w:sz w:val="22"/>
          <w:szCs w:val="22"/>
        </w:rPr>
      </w:pPr>
    </w:p>
    <w:p w14:paraId="0CF0A221" w14:textId="77777777" w:rsidR="00A12984" w:rsidRPr="002F43FA" w:rsidRDefault="00A12984" w:rsidP="00A12984">
      <w:pPr>
        <w:pStyle w:val="ListParagraph"/>
        <w:numPr>
          <w:ilvl w:val="0"/>
          <w:numId w:val="28"/>
        </w:numPr>
        <w:ind w:left="426"/>
        <w:jc w:val="both"/>
        <w:rPr>
          <w:rFonts w:ascii="Avenir Next" w:hAnsi="Avenir Next" w:cs="Arial"/>
          <w:iCs/>
          <w:sz w:val="22"/>
          <w:szCs w:val="22"/>
          <w:lang w:val="en-GB"/>
        </w:rPr>
      </w:pPr>
      <w:r>
        <w:rPr>
          <w:rFonts w:ascii="Avenir Next" w:hAnsi="Avenir Next" w:cs="Arial"/>
          <w:iCs/>
          <w:sz w:val="22"/>
          <w:szCs w:val="22"/>
          <w:lang w:val="en-GB"/>
        </w:rPr>
        <w:t>True</w:t>
      </w:r>
      <w:r w:rsidRPr="002F43FA">
        <w:rPr>
          <w:rFonts w:ascii="Avenir Next" w:hAnsi="Avenir Next" w:cs="Arial"/>
          <w:iCs/>
          <w:sz w:val="22"/>
          <w:szCs w:val="22"/>
          <w:lang w:val="en-GB"/>
        </w:rPr>
        <w:t>.</w:t>
      </w:r>
    </w:p>
    <w:p w14:paraId="06889532" w14:textId="77777777" w:rsidR="00A12984" w:rsidRPr="002F43FA" w:rsidRDefault="00A12984" w:rsidP="00A12984">
      <w:pPr>
        <w:ind w:left="426" w:hanging="284"/>
        <w:jc w:val="both"/>
        <w:rPr>
          <w:rFonts w:ascii="Avenir Next" w:hAnsi="Avenir Next" w:cs="Arial"/>
          <w:iCs/>
          <w:sz w:val="22"/>
          <w:szCs w:val="22"/>
          <w:lang w:val="en-GB"/>
        </w:rPr>
      </w:pPr>
    </w:p>
    <w:p w14:paraId="40D06466" w14:textId="77777777" w:rsidR="00A12984" w:rsidRPr="004E6A5B" w:rsidRDefault="00A12984" w:rsidP="00A12984">
      <w:pPr>
        <w:pStyle w:val="ListParagraph"/>
        <w:numPr>
          <w:ilvl w:val="0"/>
          <w:numId w:val="28"/>
        </w:numPr>
        <w:ind w:left="426"/>
        <w:jc w:val="both"/>
        <w:rPr>
          <w:rFonts w:ascii="Avenir Next" w:hAnsi="Avenir Next" w:cs="Arial"/>
          <w:iCs/>
          <w:sz w:val="22"/>
          <w:szCs w:val="22"/>
          <w:highlight w:val="yellow"/>
          <w:lang w:val="en-GB"/>
        </w:rPr>
      </w:pPr>
      <w:r w:rsidRPr="004E6A5B">
        <w:rPr>
          <w:rFonts w:ascii="Avenir Next" w:hAnsi="Avenir Next" w:cs="Arial"/>
          <w:iCs/>
          <w:sz w:val="22"/>
          <w:szCs w:val="22"/>
          <w:highlight w:val="yellow"/>
          <w:lang w:val="en-GB"/>
        </w:rPr>
        <w:t>False.</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7CB8C5B5" w14:textId="77777777" w:rsidR="00462498" w:rsidRPr="00A54C81" w:rsidRDefault="00462498" w:rsidP="00462498">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5785BD78" w14:textId="77777777" w:rsidR="00462498" w:rsidRPr="00A54C81" w:rsidRDefault="00462498" w:rsidP="00462498">
      <w:pPr>
        <w:jc w:val="both"/>
        <w:rPr>
          <w:rFonts w:ascii="Avenir Next" w:hAnsi="Avenir Next" w:cs="Arial"/>
          <w:sz w:val="22"/>
          <w:szCs w:val="22"/>
        </w:rPr>
      </w:pPr>
    </w:p>
    <w:p w14:paraId="013131B9" w14:textId="7C0CD78D" w:rsidR="00462498" w:rsidRDefault="00732FCC" w:rsidP="00462498">
      <w:pPr>
        <w:jc w:val="both"/>
        <w:rPr>
          <w:rFonts w:ascii="Avenir Next" w:hAnsi="Avenir Next" w:cs="Arial"/>
          <w:sz w:val="22"/>
          <w:szCs w:val="22"/>
        </w:rPr>
      </w:pPr>
      <w:r w:rsidRPr="00732FCC">
        <w:rPr>
          <w:rFonts w:ascii="Avenir Next" w:hAnsi="Avenir Next" w:cs="Arial"/>
          <w:sz w:val="22"/>
          <w:szCs w:val="22"/>
        </w:rPr>
        <w:t>In Canada, both natural persons and legal entities may be subject to bankruptcy proceedings under the B</w:t>
      </w:r>
      <w:r>
        <w:rPr>
          <w:rFonts w:ascii="Avenir Next" w:hAnsi="Avenir Next" w:cs="Arial"/>
          <w:sz w:val="22"/>
          <w:szCs w:val="22"/>
        </w:rPr>
        <w:t>IA</w:t>
      </w:r>
      <w:r w:rsidRPr="00732FCC">
        <w:rPr>
          <w:rFonts w:ascii="Avenir Next" w:hAnsi="Avenir Next" w:cs="Arial"/>
          <w:sz w:val="22"/>
          <w:szCs w:val="22"/>
        </w:rPr>
        <w:t>.</w:t>
      </w:r>
    </w:p>
    <w:p w14:paraId="170ECD56" w14:textId="77777777" w:rsidR="00732FCC" w:rsidRPr="002F43FA" w:rsidRDefault="00732FCC" w:rsidP="00462498">
      <w:pPr>
        <w:jc w:val="both"/>
        <w:rPr>
          <w:rFonts w:ascii="Avenir Next" w:hAnsi="Avenir Next" w:cs="Arial"/>
          <w:sz w:val="22"/>
          <w:szCs w:val="22"/>
        </w:rPr>
      </w:pPr>
    </w:p>
    <w:p w14:paraId="574D3E07" w14:textId="77777777" w:rsidR="00462498" w:rsidRPr="004E6A5B" w:rsidRDefault="00462498" w:rsidP="00462498">
      <w:pPr>
        <w:pStyle w:val="ListParagraph"/>
        <w:numPr>
          <w:ilvl w:val="0"/>
          <w:numId w:val="29"/>
        </w:numPr>
        <w:ind w:left="426"/>
        <w:jc w:val="both"/>
        <w:rPr>
          <w:rFonts w:ascii="Avenir Next" w:hAnsi="Avenir Next" w:cs="Arial"/>
          <w:iCs/>
          <w:sz w:val="22"/>
          <w:szCs w:val="22"/>
          <w:highlight w:val="yellow"/>
          <w:lang w:val="en-GB"/>
        </w:rPr>
      </w:pPr>
      <w:r w:rsidRPr="004E6A5B">
        <w:rPr>
          <w:rFonts w:ascii="Avenir Next" w:hAnsi="Avenir Next" w:cs="Arial"/>
          <w:iCs/>
          <w:sz w:val="22"/>
          <w:szCs w:val="22"/>
          <w:highlight w:val="yellow"/>
          <w:lang w:val="en-GB"/>
        </w:rPr>
        <w:t>True.</w:t>
      </w:r>
    </w:p>
    <w:p w14:paraId="495178BF" w14:textId="77777777" w:rsidR="00462498" w:rsidRPr="002F43FA" w:rsidRDefault="00462498" w:rsidP="00462498">
      <w:pPr>
        <w:ind w:left="426" w:hanging="284"/>
        <w:jc w:val="both"/>
        <w:rPr>
          <w:rFonts w:ascii="Avenir Next" w:hAnsi="Avenir Next" w:cs="Arial"/>
          <w:iCs/>
          <w:sz w:val="22"/>
          <w:szCs w:val="22"/>
          <w:lang w:val="en-GB"/>
        </w:rPr>
      </w:pPr>
    </w:p>
    <w:p w14:paraId="55921366" w14:textId="77777777" w:rsidR="00462498" w:rsidRPr="002F43FA" w:rsidRDefault="00462498" w:rsidP="00462498">
      <w:pPr>
        <w:pStyle w:val="ListParagraph"/>
        <w:numPr>
          <w:ilvl w:val="0"/>
          <w:numId w:val="29"/>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438F863" w14:textId="67FBC0A5" w:rsidR="004D3F3A" w:rsidRDefault="004D3F3A" w:rsidP="004D3F3A">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01A57FA" w14:textId="77777777" w:rsidR="00502CF8" w:rsidRPr="00A54C81" w:rsidRDefault="00502CF8" w:rsidP="004D3F3A">
      <w:pPr>
        <w:jc w:val="both"/>
        <w:rPr>
          <w:rFonts w:ascii="Avenir Next" w:hAnsi="Avenir Next" w:cs="Arial"/>
          <w:sz w:val="22"/>
          <w:szCs w:val="22"/>
        </w:rPr>
      </w:pPr>
    </w:p>
    <w:p w14:paraId="0529FC7D" w14:textId="09F880D7" w:rsidR="004D3F3A" w:rsidRDefault="00C26095" w:rsidP="004D3F3A">
      <w:pPr>
        <w:jc w:val="both"/>
        <w:rPr>
          <w:rFonts w:ascii="Avenir Next" w:hAnsi="Avenir Next" w:cs="Arial"/>
          <w:sz w:val="22"/>
          <w:szCs w:val="22"/>
        </w:rPr>
      </w:pPr>
      <w:r w:rsidRPr="00C26095">
        <w:rPr>
          <w:rFonts w:ascii="Avenir Next" w:hAnsi="Avenir Next" w:cs="Arial"/>
          <w:sz w:val="22"/>
          <w:szCs w:val="22"/>
        </w:rPr>
        <w:t>Foreign creditors and Canadian creditors participate equally in a bankruptcy and no distinction is made between them.</w:t>
      </w:r>
    </w:p>
    <w:p w14:paraId="1D7367EA" w14:textId="77777777" w:rsidR="00C26095" w:rsidRPr="002F43FA" w:rsidRDefault="00C26095" w:rsidP="004D3F3A">
      <w:pPr>
        <w:jc w:val="both"/>
        <w:rPr>
          <w:rFonts w:ascii="Avenir Next" w:hAnsi="Avenir Next" w:cs="Arial"/>
          <w:sz w:val="22"/>
          <w:szCs w:val="22"/>
        </w:rPr>
      </w:pPr>
    </w:p>
    <w:p w14:paraId="36C8097F" w14:textId="77777777" w:rsidR="004D3F3A" w:rsidRPr="004E6A5B" w:rsidRDefault="004D3F3A" w:rsidP="004D3F3A">
      <w:pPr>
        <w:pStyle w:val="ListParagraph"/>
        <w:numPr>
          <w:ilvl w:val="0"/>
          <w:numId w:val="30"/>
        </w:numPr>
        <w:ind w:left="426"/>
        <w:jc w:val="both"/>
        <w:rPr>
          <w:rFonts w:ascii="Avenir Next" w:hAnsi="Avenir Next" w:cs="Arial"/>
          <w:iCs/>
          <w:sz w:val="22"/>
          <w:szCs w:val="22"/>
          <w:highlight w:val="yellow"/>
          <w:lang w:val="en-GB"/>
        </w:rPr>
      </w:pPr>
      <w:r w:rsidRPr="004E6A5B">
        <w:rPr>
          <w:rFonts w:ascii="Avenir Next" w:hAnsi="Avenir Next" w:cs="Arial"/>
          <w:iCs/>
          <w:sz w:val="22"/>
          <w:szCs w:val="22"/>
          <w:highlight w:val="yellow"/>
          <w:lang w:val="en-GB"/>
        </w:rPr>
        <w:t>True.</w:t>
      </w:r>
    </w:p>
    <w:p w14:paraId="33212EEB" w14:textId="77777777" w:rsidR="004D3F3A" w:rsidRPr="002F43FA" w:rsidRDefault="004D3F3A" w:rsidP="004D3F3A">
      <w:pPr>
        <w:ind w:left="426" w:hanging="284"/>
        <w:jc w:val="both"/>
        <w:rPr>
          <w:rFonts w:ascii="Avenir Next" w:hAnsi="Avenir Next" w:cs="Arial"/>
          <w:iCs/>
          <w:sz w:val="22"/>
          <w:szCs w:val="22"/>
          <w:lang w:val="en-GB"/>
        </w:rPr>
      </w:pPr>
    </w:p>
    <w:p w14:paraId="1B11C8C9" w14:textId="77777777" w:rsidR="004D3F3A" w:rsidRPr="002F43FA" w:rsidRDefault="004D3F3A" w:rsidP="004D3F3A">
      <w:pPr>
        <w:pStyle w:val="ListParagraph"/>
        <w:numPr>
          <w:ilvl w:val="0"/>
          <w:numId w:val="30"/>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5B37B9DF" w14:textId="36C1F73A" w:rsidR="00C57600" w:rsidRDefault="00C57600">
      <w:pPr>
        <w:rPr>
          <w:rFonts w:ascii="Avenir Next Demi Bold" w:hAnsi="Avenir Next Demi Bold" w:cs="Arial"/>
          <w:b/>
          <w:bCs/>
          <w:sz w:val="22"/>
          <w:szCs w:val="22"/>
          <w:lang w:val="en-GB"/>
        </w:rPr>
      </w:pPr>
    </w:p>
    <w:p w14:paraId="4A364696" w14:textId="77777777" w:rsidR="004E6A5B" w:rsidRDefault="004E6A5B">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53F9DA52"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F31B5">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C7F1B39" w14:textId="01D70904" w:rsidR="00F47A63" w:rsidRDefault="00566713" w:rsidP="00F47A63">
      <w:pPr>
        <w:jc w:val="both"/>
        <w:rPr>
          <w:rFonts w:ascii="Avenir Next" w:hAnsi="Avenir Next" w:cs="Arial"/>
          <w:sz w:val="22"/>
          <w:szCs w:val="22"/>
          <w:lang w:val="en-GB"/>
        </w:rPr>
      </w:pPr>
      <w:r w:rsidRPr="00566713">
        <w:rPr>
          <w:rFonts w:ascii="Avenir Next" w:hAnsi="Avenir Next" w:cs="Arial"/>
          <w:sz w:val="22"/>
          <w:szCs w:val="22"/>
          <w:lang w:val="en-GB"/>
        </w:rPr>
        <w:t>Identify three of the recogni</w:t>
      </w:r>
      <w:r>
        <w:rPr>
          <w:rFonts w:ascii="Avenir Next" w:hAnsi="Avenir Next" w:cs="Arial"/>
          <w:sz w:val="22"/>
          <w:szCs w:val="22"/>
          <w:lang w:val="en-GB"/>
        </w:rPr>
        <w:t>s</w:t>
      </w:r>
      <w:r w:rsidRPr="00566713">
        <w:rPr>
          <w:rFonts w:ascii="Avenir Next" w:hAnsi="Avenir Next" w:cs="Arial"/>
          <w:sz w:val="22"/>
          <w:szCs w:val="22"/>
          <w:lang w:val="en-GB"/>
        </w:rPr>
        <w:t>ed purposes of the B</w:t>
      </w:r>
      <w:r w:rsidR="00555E7A">
        <w:rPr>
          <w:rFonts w:ascii="Avenir Next" w:hAnsi="Avenir Next" w:cs="Arial"/>
          <w:sz w:val="22"/>
          <w:szCs w:val="22"/>
          <w:lang w:val="en-GB"/>
        </w:rPr>
        <w:t>IA</w:t>
      </w:r>
      <w:r w:rsidRPr="00566713">
        <w:rPr>
          <w:rFonts w:ascii="Avenir Next" w:hAnsi="Avenir Next" w:cs="Arial"/>
          <w:sz w:val="22"/>
          <w:szCs w:val="22"/>
          <w:lang w:val="en-GB"/>
        </w:rPr>
        <w:t xml:space="preserve">.  </w:t>
      </w:r>
    </w:p>
    <w:p w14:paraId="5BB3E365" w14:textId="77777777" w:rsidR="00F47A63" w:rsidRPr="00B87DBA" w:rsidRDefault="00F47A63" w:rsidP="00F47A63">
      <w:pPr>
        <w:jc w:val="both"/>
        <w:rPr>
          <w:rFonts w:ascii="Avenir Next" w:hAnsi="Avenir Next" w:cs="Arial"/>
          <w:sz w:val="22"/>
          <w:szCs w:val="22"/>
          <w:lang w:val="en-GB"/>
        </w:rPr>
      </w:pPr>
    </w:p>
    <w:p w14:paraId="7167170C" w14:textId="77777777" w:rsidR="004E6A5B" w:rsidRDefault="004E6A5B" w:rsidP="004E6A5B">
      <w:pPr>
        <w:rPr>
          <w:rFonts w:ascii="Arial" w:hAnsi="Arial" w:cs="Arial"/>
          <w:sz w:val="22"/>
          <w:szCs w:val="22"/>
        </w:rPr>
      </w:pPr>
      <w:r>
        <w:rPr>
          <w:rFonts w:ascii="Arial" w:hAnsi="Arial" w:cs="Arial"/>
          <w:sz w:val="22"/>
          <w:szCs w:val="22"/>
        </w:rPr>
        <w:t>The recognized purposes of the BIA are as follows:</w:t>
      </w:r>
      <w:r>
        <w:rPr>
          <w:rStyle w:val="FootnoteReference"/>
          <w:rFonts w:ascii="Arial" w:hAnsi="Arial" w:cs="Arial"/>
          <w:sz w:val="22"/>
          <w:szCs w:val="22"/>
        </w:rPr>
        <w:footnoteReference w:id="1"/>
      </w:r>
    </w:p>
    <w:p w14:paraId="1AEC1D73" w14:textId="77777777" w:rsidR="004E6A5B" w:rsidRDefault="004E6A5B" w:rsidP="004148F9">
      <w:pPr>
        <w:pStyle w:val="Multilevel3"/>
        <w:numPr>
          <w:ilvl w:val="0"/>
          <w:numId w:val="48"/>
        </w:numPr>
        <w:rPr>
          <w:rFonts w:ascii="Arial" w:hAnsi="Arial" w:cs="Arial"/>
          <w:sz w:val="22"/>
          <w:szCs w:val="22"/>
        </w:rPr>
      </w:pPr>
      <w:r>
        <w:rPr>
          <w:rFonts w:ascii="Arial" w:hAnsi="Arial" w:cs="Arial"/>
          <w:sz w:val="22"/>
          <w:szCs w:val="22"/>
        </w:rPr>
        <w:lastRenderedPageBreak/>
        <w:t>Providing for the financial rehabilitation of insolvent persons;</w:t>
      </w:r>
    </w:p>
    <w:p w14:paraId="6F328271" w14:textId="77777777" w:rsidR="004E6A5B" w:rsidRDefault="004E6A5B" w:rsidP="004148F9">
      <w:pPr>
        <w:pStyle w:val="Multilevel3"/>
        <w:numPr>
          <w:ilvl w:val="0"/>
          <w:numId w:val="48"/>
        </w:numPr>
        <w:rPr>
          <w:rFonts w:ascii="Arial" w:hAnsi="Arial" w:cs="Arial"/>
          <w:sz w:val="22"/>
          <w:szCs w:val="22"/>
        </w:rPr>
      </w:pPr>
      <w:r>
        <w:rPr>
          <w:rFonts w:ascii="Arial" w:hAnsi="Arial" w:cs="Arial"/>
          <w:sz w:val="22"/>
          <w:szCs w:val="22"/>
        </w:rPr>
        <w:t xml:space="preserve">Providing a collective proceeding for orderly and fair distribution of property of a bankrupt among unsecured creditors on a </w:t>
      </w:r>
      <w:r>
        <w:rPr>
          <w:rFonts w:ascii="Arial" w:hAnsi="Arial" w:cs="Arial"/>
          <w:i/>
          <w:iCs/>
          <w:sz w:val="22"/>
          <w:szCs w:val="22"/>
        </w:rPr>
        <w:t>parri passu</w:t>
      </w:r>
      <w:r>
        <w:rPr>
          <w:rFonts w:ascii="Arial" w:hAnsi="Arial" w:cs="Arial"/>
          <w:sz w:val="22"/>
          <w:szCs w:val="22"/>
        </w:rPr>
        <w:t xml:space="preserve"> basis;</w:t>
      </w:r>
    </w:p>
    <w:p w14:paraId="7FC315B1" w14:textId="77777777" w:rsidR="004E6A5B" w:rsidRDefault="004E6A5B" w:rsidP="004148F9">
      <w:pPr>
        <w:pStyle w:val="Multilevel3"/>
        <w:numPr>
          <w:ilvl w:val="0"/>
          <w:numId w:val="48"/>
        </w:numPr>
        <w:rPr>
          <w:rFonts w:ascii="Arial" w:hAnsi="Arial" w:cs="Arial"/>
          <w:sz w:val="22"/>
          <w:szCs w:val="22"/>
        </w:rPr>
      </w:pPr>
      <w:r>
        <w:rPr>
          <w:rFonts w:ascii="Arial" w:hAnsi="Arial" w:cs="Arial"/>
          <w:sz w:val="22"/>
          <w:szCs w:val="22"/>
        </w:rPr>
        <w:t>Allowing for an investigation to be made into the affairs of a bankrupt; and</w:t>
      </w:r>
    </w:p>
    <w:p w14:paraId="0BE88D4B" w14:textId="010BA4E8" w:rsidR="006F4E04" w:rsidRPr="004E6A5B" w:rsidRDefault="004E6A5B" w:rsidP="004148F9">
      <w:pPr>
        <w:pStyle w:val="Multilevel3"/>
        <w:numPr>
          <w:ilvl w:val="0"/>
          <w:numId w:val="48"/>
        </w:numPr>
        <w:rPr>
          <w:rFonts w:ascii="Arial" w:hAnsi="Arial" w:cs="Arial"/>
          <w:sz w:val="22"/>
          <w:szCs w:val="22"/>
        </w:rPr>
      </w:pPr>
      <w:r>
        <w:rPr>
          <w:rFonts w:ascii="Arial" w:hAnsi="Arial" w:cs="Arial"/>
          <w:sz w:val="22"/>
          <w:szCs w:val="22"/>
        </w:rPr>
        <w:t xml:space="preserve">Setting aside transfers under value, preferences, settlements and other fraudulent transactions so all creditors may share equally in the value of the bankrupt's assets. </w:t>
      </w:r>
    </w:p>
    <w:p w14:paraId="24469C67" w14:textId="77777777" w:rsidR="00C57600" w:rsidRDefault="00C57600" w:rsidP="009B7C9D">
      <w:pPr>
        <w:jc w:val="both"/>
        <w:rPr>
          <w:rFonts w:ascii="Avenir Next" w:hAnsi="Avenir Next" w:cs="Arial"/>
          <w:color w:val="808080" w:themeColor="background1" w:themeShade="80"/>
          <w:sz w:val="22"/>
          <w:szCs w:val="22"/>
          <w:lang w:val="en-GB"/>
        </w:rPr>
      </w:pPr>
    </w:p>
    <w:p w14:paraId="43D0FAD8" w14:textId="4C0C5EED"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6E2B64">
        <w:rPr>
          <w:rFonts w:ascii="Avenir Next Demi Bold" w:hAnsi="Avenir Next Demi Bold"/>
          <w:iCs w:val="0"/>
        </w:rPr>
        <w:t>2</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480A1AF6" w:rsidR="00F47A63" w:rsidRDefault="00DC23FC" w:rsidP="00F47A63">
      <w:pPr>
        <w:jc w:val="both"/>
        <w:rPr>
          <w:rFonts w:ascii="Avenir Next" w:hAnsi="Avenir Next" w:cs="Arial"/>
          <w:sz w:val="22"/>
          <w:szCs w:val="22"/>
          <w:lang w:val="en-GB"/>
        </w:rPr>
      </w:pPr>
      <w:r w:rsidRPr="00DC23FC">
        <w:rPr>
          <w:rFonts w:ascii="Avenir Next" w:hAnsi="Avenir Next" w:cs="Arial"/>
          <w:sz w:val="22"/>
          <w:szCs w:val="22"/>
          <w:lang w:val="en-GB"/>
        </w:rPr>
        <w:t>Generally, in the context of an individual bankruptcy, what type of assets can a debtor keep in a bankruptcy?</w:t>
      </w:r>
    </w:p>
    <w:p w14:paraId="3B894BB6" w14:textId="6B63499D" w:rsidR="00F47A63" w:rsidRDefault="00F47A63" w:rsidP="00F47A63">
      <w:pPr>
        <w:jc w:val="both"/>
        <w:rPr>
          <w:rFonts w:ascii="Avenir Next" w:hAnsi="Avenir Next" w:cs="Arial"/>
          <w:sz w:val="22"/>
          <w:szCs w:val="22"/>
          <w:lang w:val="en-GB"/>
        </w:rPr>
      </w:pPr>
    </w:p>
    <w:p w14:paraId="74858A91" w14:textId="4416FB0B" w:rsidR="004E6A5B" w:rsidRDefault="004E6A5B" w:rsidP="004E6A5B">
      <w:pPr>
        <w:rPr>
          <w:rFonts w:ascii="Arial" w:hAnsi="Arial" w:cs="Arial"/>
          <w:sz w:val="22"/>
          <w:szCs w:val="22"/>
        </w:rPr>
      </w:pPr>
      <w:bookmarkStart w:id="0" w:name="_Hlk17709135"/>
      <w:r>
        <w:rPr>
          <w:rFonts w:ascii="Arial" w:hAnsi="Arial" w:cs="Arial"/>
          <w:sz w:val="22"/>
          <w:szCs w:val="22"/>
        </w:rPr>
        <w:t xml:space="preserve">Generally speaking, individual bankruptcy exemptions in Canada are set by provincial legislation (with the exception of trust property held for another and a specific type of </w:t>
      </w:r>
      <w:r>
        <w:rPr>
          <w:rFonts w:ascii="Arial" w:hAnsi="Arial" w:cs="Arial"/>
          <w:sz w:val="22"/>
          <w:szCs w:val="22"/>
        </w:rPr>
        <w:t>tax-exempt</w:t>
      </w:r>
      <w:r>
        <w:rPr>
          <w:rFonts w:ascii="Arial" w:hAnsi="Arial" w:cs="Arial"/>
          <w:sz w:val="22"/>
          <w:szCs w:val="22"/>
        </w:rPr>
        <w:t xml:space="preserve"> retirement savings account).</w:t>
      </w:r>
      <w:r>
        <w:rPr>
          <w:rStyle w:val="FootnoteReference"/>
          <w:rFonts w:ascii="Arial" w:hAnsi="Arial" w:cs="Arial"/>
          <w:sz w:val="22"/>
          <w:szCs w:val="22"/>
        </w:rPr>
        <w:footnoteReference w:id="2"/>
      </w:r>
    </w:p>
    <w:p w14:paraId="637A794C" w14:textId="77777777" w:rsidR="004E6A5B" w:rsidRDefault="004E6A5B" w:rsidP="004E6A5B">
      <w:pPr>
        <w:rPr>
          <w:rFonts w:ascii="Arial" w:hAnsi="Arial" w:cs="Arial"/>
          <w:sz w:val="22"/>
          <w:szCs w:val="22"/>
        </w:rPr>
      </w:pPr>
    </w:p>
    <w:p w14:paraId="4221BFA8" w14:textId="77777777" w:rsidR="004E6A5B" w:rsidRDefault="004E6A5B" w:rsidP="004E6A5B">
      <w:pPr>
        <w:rPr>
          <w:rFonts w:ascii="Arial" w:hAnsi="Arial" w:cs="Arial"/>
          <w:sz w:val="22"/>
          <w:szCs w:val="22"/>
        </w:rPr>
      </w:pPr>
      <w:r>
        <w:rPr>
          <w:rFonts w:ascii="Arial" w:hAnsi="Arial" w:cs="Arial"/>
          <w:sz w:val="22"/>
          <w:szCs w:val="22"/>
        </w:rPr>
        <w:t>However, usually a debtor in an individual bankruptcy will be able to keep the following assets:</w:t>
      </w:r>
      <w:r>
        <w:rPr>
          <w:rStyle w:val="FootnoteReference"/>
          <w:rFonts w:ascii="Arial" w:hAnsi="Arial" w:cs="Arial"/>
          <w:sz w:val="22"/>
          <w:szCs w:val="22"/>
        </w:rPr>
        <w:footnoteReference w:id="3"/>
      </w:r>
    </w:p>
    <w:p w14:paraId="23C267ED" w14:textId="77777777" w:rsidR="004E6A5B" w:rsidRDefault="004E6A5B" w:rsidP="0042659E">
      <w:pPr>
        <w:pStyle w:val="Multilevel3"/>
        <w:numPr>
          <w:ilvl w:val="0"/>
          <w:numId w:val="35"/>
        </w:numPr>
        <w:rPr>
          <w:rFonts w:ascii="Arial" w:hAnsi="Arial" w:cs="Arial"/>
          <w:sz w:val="22"/>
          <w:szCs w:val="22"/>
        </w:rPr>
      </w:pPr>
      <w:r>
        <w:rPr>
          <w:rFonts w:ascii="Arial" w:hAnsi="Arial" w:cs="Arial"/>
          <w:sz w:val="22"/>
          <w:szCs w:val="22"/>
        </w:rPr>
        <w:t>Personal items and clothing;</w:t>
      </w:r>
    </w:p>
    <w:p w14:paraId="7419A50B" w14:textId="77777777" w:rsidR="004E6A5B" w:rsidRDefault="004E6A5B" w:rsidP="0042659E">
      <w:pPr>
        <w:pStyle w:val="Multilevel3"/>
        <w:numPr>
          <w:ilvl w:val="0"/>
          <w:numId w:val="35"/>
        </w:numPr>
        <w:rPr>
          <w:rFonts w:ascii="Arial" w:hAnsi="Arial" w:cs="Arial"/>
          <w:sz w:val="22"/>
          <w:szCs w:val="22"/>
        </w:rPr>
      </w:pPr>
      <w:r>
        <w:rPr>
          <w:rFonts w:ascii="Arial" w:hAnsi="Arial" w:cs="Arial"/>
          <w:sz w:val="22"/>
          <w:szCs w:val="22"/>
        </w:rPr>
        <w:t>Household furniture, food and utensils in the debtor's permanent home;</w:t>
      </w:r>
    </w:p>
    <w:p w14:paraId="16DD8ECF" w14:textId="77777777" w:rsidR="004E6A5B" w:rsidRDefault="004E6A5B" w:rsidP="0042659E">
      <w:pPr>
        <w:pStyle w:val="Multilevel3"/>
        <w:numPr>
          <w:ilvl w:val="0"/>
          <w:numId w:val="35"/>
        </w:numPr>
        <w:rPr>
          <w:rFonts w:ascii="Arial" w:hAnsi="Arial" w:cs="Arial"/>
          <w:sz w:val="22"/>
          <w:szCs w:val="22"/>
        </w:rPr>
      </w:pPr>
      <w:r>
        <w:rPr>
          <w:rFonts w:ascii="Arial" w:hAnsi="Arial" w:cs="Arial"/>
          <w:sz w:val="22"/>
          <w:szCs w:val="22"/>
        </w:rPr>
        <w:t xml:space="preserve">Tools necessary for a debtor's work; </w:t>
      </w:r>
    </w:p>
    <w:p w14:paraId="4CBC5FC2" w14:textId="77777777" w:rsidR="004E6A5B" w:rsidRDefault="004E6A5B" w:rsidP="0042659E">
      <w:pPr>
        <w:pStyle w:val="Multilevel3"/>
        <w:numPr>
          <w:ilvl w:val="0"/>
          <w:numId w:val="35"/>
        </w:numPr>
        <w:rPr>
          <w:rFonts w:ascii="Arial" w:hAnsi="Arial" w:cs="Arial"/>
          <w:sz w:val="22"/>
          <w:szCs w:val="22"/>
        </w:rPr>
      </w:pPr>
      <w:r>
        <w:rPr>
          <w:rFonts w:ascii="Arial" w:hAnsi="Arial" w:cs="Arial"/>
          <w:sz w:val="22"/>
          <w:szCs w:val="22"/>
        </w:rPr>
        <w:t xml:space="preserve">A motor vehicle with a value of a certain limit; and </w:t>
      </w:r>
    </w:p>
    <w:p w14:paraId="71B27708" w14:textId="77777777" w:rsidR="004E6A5B" w:rsidRDefault="004E6A5B" w:rsidP="0042659E">
      <w:pPr>
        <w:pStyle w:val="Multilevel3"/>
        <w:numPr>
          <w:ilvl w:val="0"/>
          <w:numId w:val="35"/>
        </w:numPr>
        <w:rPr>
          <w:rFonts w:ascii="Arial" w:hAnsi="Arial" w:cs="Arial"/>
          <w:sz w:val="22"/>
          <w:szCs w:val="22"/>
        </w:rPr>
      </w:pPr>
      <w:r>
        <w:rPr>
          <w:rFonts w:ascii="Arial" w:hAnsi="Arial" w:cs="Arial"/>
          <w:sz w:val="22"/>
          <w:szCs w:val="22"/>
        </w:rPr>
        <w:t xml:space="preserve">Certain farm property. </w:t>
      </w:r>
    </w:p>
    <w:p w14:paraId="793404A4" w14:textId="2CDC7656" w:rsidR="006F4E04" w:rsidRPr="0042659E" w:rsidRDefault="004E6A5B" w:rsidP="003744C8">
      <w:pPr>
        <w:rPr>
          <w:rFonts w:ascii="Arial" w:hAnsi="Arial" w:cs="Arial"/>
          <w:sz w:val="22"/>
          <w:szCs w:val="22"/>
        </w:rPr>
      </w:pPr>
      <w:r>
        <w:rPr>
          <w:rFonts w:ascii="Arial" w:hAnsi="Arial" w:cs="Arial"/>
          <w:sz w:val="22"/>
          <w:szCs w:val="22"/>
        </w:rPr>
        <w:t>In addition to the above, some provinces have limited homestead exemptions.</w:t>
      </w:r>
      <w:r>
        <w:rPr>
          <w:rStyle w:val="FootnoteReference"/>
          <w:rFonts w:ascii="Arial" w:hAnsi="Arial" w:cs="Arial"/>
          <w:sz w:val="22"/>
          <w:szCs w:val="22"/>
        </w:rPr>
        <w:footnoteReference w:id="4"/>
      </w:r>
      <w:r>
        <w:rPr>
          <w:rFonts w:ascii="Arial" w:hAnsi="Arial" w:cs="Arial"/>
          <w:sz w:val="22"/>
          <w:szCs w:val="22"/>
        </w:rPr>
        <w:t xml:space="preserve"> In particular, the principal residence of a debtor in Ontario is exempt under the Execution Act so long as the value of the debtor's equity in the principal residence does not exceed CAD 10,000.</w:t>
      </w:r>
      <w:r>
        <w:rPr>
          <w:rStyle w:val="FootnoteReference"/>
          <w:rFonts w:ascii="Arial" w:hAnsi="Arial" w:cs="Arial"/>
          <w:sz w:val="22"/>
          <w:szCs w:val="22"/>
        </w:rPr>
        <w:footnoteReference w:id="5"/>
      </w:r>
    </w:p>
    <w:p w14:paraId="22F5EE85" w14:textId="77777777" w:rsidR="00C57600" w:rsidRPr="00B87DBA" w:rsidRDefault="00C57600"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4DADEA16" w:rsidR="00F47A63" w:rsidRDefault="00546DA3" w:rsidP="00F47A63">
      <w:pPr>
        <w:jc w:val="both"/>
        <w:rPr>
          <w:rFonts w:ascii="Avenir Next" w:hAnsi="Avenir Next" w:cs="Arial"/>
          <w:sz w:val="22"/>
          <w:szCs w:val="22"/>
          <w:lang w:val="en-GB"/>
        </w:rPr>
      </w:pPr>
      <w:r w:rsidRPr="00546DA3">
        <w:rPr>
          <w:rFonts w:ascii="Avenir Next" w:hAnsi="Avenir Next" w:cs="Arial"/>
          <w:sz w:val="22"/>
          <w:szCs w:val="22"/>
          <w:lang w:val="en-GB"/>
        </w:rPr>
        <w:t>Name three types of court-officers that may be appointed in insolvency proceedings</w:t>
      </w:r>
      <w:r>
        <w:rPr>
          <w:rFonts w:ascii="Avenir Next" w:hAnsi="Avenir Next" w:cs="Arial"/>
          <w:sz w:val="22"/>
          <w:szCs w:val="22"/>
          <w:lang w:val="en-GB"/>
        </w:rPr>
        <w:t>.</w:t>
      </w:r>
      <w:r w:rsidRPr="00546DA3">
        <w:rPr>
          <w:rFonts w:ascii="Avenir Next" w:hAnsi="Avenir Next" w:cs="Arial"/>
          <w:sz w:val="22"/>
          <w:szCs w:val="22"/>
          <w:lang w:val="en-GB"/>
        </w:rPr>
        <w:t xml:space="preserve">  </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212326D9" w14:textId="77777777" w:rsidR="004E6A5B" w:rsidRDefault="004E6A5B" w:rsidP="004E6A5B">
      <w:pPr>
        <w:rPr>
          <w:rFonts w:ascii="Arial" w:hAnsi="Arial" w:cs="Arial"/>
          <w:sz w:val="22"/>
          <w:szCs w:val="22"/>
        </w:rPr>
      </w:pPr>
      <w:r>
        <w:rPr>
          <w:rFonts w:ascii="Arial" w:hAnsi="Arial" w:cs="Arial"/>
          <w:sz w:val="22"/>
          <w:szCs w:val="22"/>
        </w:rPr>
        <w:t>The three types of court-officers that may be appointed in insolvency proceedings are:</w:t>
      </w:r>
    </w:p>
    <w:p w14:paraId="5C961CC9" w14:textId="77777777" w:rsidR="004E6A5B" w:rsidRDefault="004E6A5B" w:rsidP="004E6A5B">
      <w:pPr>
        <w:pStyle w:val="Multilevel1"/>
        <w:numPr>
          <w:ilvl w:val="0"/>
          <w:numId w:val="31"/>
        </w:numPr>
        <w:rPr>
          <w:rFonts w:ascii="Arial" w:hAnsi="Arial" w:cs="Arial"/>
          <w:sz w:val="22"/>
          <w:szCs w:val="22"/>
        </w:rPr>
      </w:pPr>
      <w:r>
        <w:rPr>
          <w:rFonts w:ascii="Arial" w:hAnsi="Arial" w:cs="Arial"/>
          <w:sz w:val="22"/>
          <w:szCs w:val="22"/>
        </w:rPr>
        <w:t>A court-appointed receiver;</w:t>
      </w:r>
      <w:r>
        <w:rPr>
          <w:rStyle w:val="FootnoteReference"/>
          <w:rFonts w:ascii="Arial" w:hAnsi="Arial" w:cs="Arial"/>
          <w:sz w:val="22"/>
          <w:szCs w:val="22"/>
        </w:rPr>
        <w:footnoteReference w:id="6"/>
      </w:r>
    </w:p>
    <w:p w14:paraId="05DB2F94" w14:textId="77777777" w:rsidR="004E6A5B" w:rsidRDefault="004E6A5B" w:rsidP="004E6A5B">
      <w:pPr>
        <w:pStyle w:val="Multilevel1"/>
        <w:numPr>
          <w:ilvl w:val="0"/>
          <w:numId w:val="31"/>
        </w:numPr>
        <w:rPr>
          <w:rFonts w:ascii="Arial" w:hAnsi="Arial" w:cs="Arial"/>
          <w:sz w:val="22"/>
          <w:szCs w:val="22"/>
        </w:rPr>
      </w:pPr>
      <w:r>
        <w:rPr>
          <w:rFonts w:ascii="Arial" w:hAnsi="Arial" w:cs="Arial"/>
          <w:sz w:val="22"/>
          <w:szCs w:val="22"/>
        </w:rPr>
        <w:t>A monitor (usually used in CCAA proceedings);</w:t>
      </w:r>
      <w:r>
        <w:rPr>
          <w:rStyle w:val="FootnoteReference"/>
          <w:rFonts w:ascii="Arial" w:hAnsi="Arial" w:cs="Arial"/>
          <w:sz w:val="22"/>
          <w:szCs w:val="22"/>
        </w:rPr>
        <w:footnoteReference w:id="7"/>
      </w:r>
      <w:r>
        <w:rPr>
          <w:rFonts w:ascii="Arial" w:hAnsi="Arial" w:cs="Arial"/>
          <w:sz w:val="22"/>
          <w:szCs w:val="22"/>
        </w:rPr>
        <w:t xml:space="preserve"> and</w:t>
      </w:r>
    </w:p>
    <w:p w14:paraId="44BCEB1A" w14:textId="77777777" w:rsidR="004E6A5B" w:rsidRDefault="004E6A5B" w:rsidP="004E6A5B">
      <w:pPr>
        <w:pStyle w:val="Multilevel1"/>
        <w:numPr>
          <w:ilvl w:val="0"/>
          <w:numId w:val="31"/>
        </w:numPr>
        <w:rPr>
          <w:rFonts w:ascii="Arial" w:hAnsi="Arial" w:cs="Arial"/>
          <w:sz w:val="22"/>
          <w:szCs w:val="22"/>
        </w:rPr>
      </w:pPr>
      <w:r>
        <w:rPr>
          <w:rFonts w:ascii="Arial" w:hAnsi="Arial" w:cs="Arial"/>
          <w:sz w:val="22"/>
          <w:szCs w:val="22"/>
        </w:rPr>
        <w:t>A trustee in bankruptcy.</w:t>
      </w:r>
      <w:r>
        <w:rPr>
          <w:rStyle w:val="FootnoteReference"/>
          <w:rFonts w:ascii="Arial" w:hAnsi="Arial" w:cs="Arial"/>
          <w:sz w:val="22"/>
          <w:szCs w:val="22"/>
        </w:rPr>
        <w:footnoteReference w:id="8"/>
      </w:r>
      <w:r>
        <w:rPr>
          <w:rFonts w:ascii="Arial" w:hAnsi="Arial" w:cs="Arial"/>
          <w:sz w:val="22"/>
          <w:szCs w:val="22"/>
        </w:rPr>
        <w:t xml:space="preserve"> </w:t>
      </w:r>
    </w:p>
    <w:p w14:paraId="1E940FFA" w14:textId="77777777" w:rsidR="004E6A5B" w:rsidRDefault="004E6A5B" w:rsidP="004E6A5B">
      <w:pPr>
        <w:pStyle w:val="Multilevel1"/>
        <w:numPr>
          <w:ilvl w:val="0"/>
          <w:numId w:val="0"/>
        </w:numPr>
        <w:tabs>
          <w:tab w:val="left" w:pos="720"/>
        </w:tabs>
        <w:ind w:left="720" w:hanging="720"/>
        <w:rPr>
          <w:rFonts w:ascii="Arial" w:hAnsi="Arial" w:cs="Arial"/>
          <w:sz w:val="22"/>
          <w:szCs w:val="22"/>
        </w:rPr>
      </w:pPr>
      <w:r>
        <w:rPr>
          <w:rFonts w:ascii="Arial" w:hAnsi="Arial" w:cs="Arial"/>
          <w:sz w:val="22"/>
          <w:szCs w:val="22"/>
        </w:rPr>
        <w:t>They all owe broad duties to the court, as well as all stakeholders.</w:t>
      </w:r>
      <w:r>
        <w:rPr>
          <w:rStyle w:val="FootnoteReference"/>
          <w:rFonts w:ascii="Arial" w:hAnsi="Arial" w:cs="Arial"/>
          <w:sz w:val="22"/>
          <w:szCs w:val="22"/>
        </w:rPr>
        <w:footnoteReference w:id="9"/>
      </w:r>
    </w:p>
    <w:p w14:paraId="55D0D4CB" w14:textId="4FCC26ED" w:rsidR="006F4E04" w:rsidRDefault="006F4E04" w:rsidP="00733B3E">
      <w:pPr>
        <w:jc w:val="both"/>
        <w:rPr>
          <w:rFonts w:ascii="Avenir Next" w:hAnsi="Avenir Next" w:cs="Arial"/>
          <w:color w:val="808080" w:themeColor="background1" w:themeShade="80"/>
          <w:sz w:val="22"/>
          <w:szCs w:val="22"/>
          <w:lang w:val="en-GB"/>
        </w:rPr>
      </w:pP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lastRenderedPageBreak/>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458FFC15" w:rsidR="00F47A63" w:rsidRDefault="00555E7A" w:rsidP="00F47A63">
      <w:pPr>
        <w:jc w:val="both"/>
        <w:rPr>
          <w:rFonts w:ascii="Avenir Next" w:hAnsi="Avenir Next" w:cs="Arial"/>
          <w:sz w:val="22"/>
          <w:szCs w:val="22"/>
          <w:lang w:val="en-GB"/>
        </w:rPr>
      </w:pPr>
      <w:r w:rsidRPr="00555E7A">
        <w:rPr>
          <w:rFonts w:ascii="Avenir Next" w:hAnsi="Avenir Next" w:cs="Arial"/>
          <w:sz w:val="22"/>
          <w:szCs w:val="22"/>
          <w:lang w:val="en-GB"/>
        </w:rPr>
        <w:t>What is the definition of a “person” in section 2 of the BIA?</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4B9D6AA6" w14:textId="20B48249" w:rsidR="004E6A5B" w:rsidRDefault="004E6A5B" w:rsidP="004E6A5B">
      <w:pPr>
        <w:rPr>
          <w:rFonts w:ascii="Arial" w:hAnsi="Arial" w:cs="Arial"/>
          <w:sz w:val="22"/>
          <w:szCs w:val="22"/>
        </w:rPr>
      </w:pPr>
      <w:r>
        <w:rPr>
          <w:rFonts w:ascii="Arial" w:hAnsi="Arial" w:cs="Arial"/>
          <w:sz w:val="22"/>
          <w:szCs w:val="22"/>
        </w:rPr>
        <w:t>Pursuant to section 2 of the BIA, a 'debtor' is defined as an insolvent person and any person who, at the time an act of bankruptcy was committed by that person, resided or carried on business in Canada.</w:t>
      </w:r>
      <w:r>
        <w:rPr>
          <w:rStyle w:val="FootnoteReference"/>
          <w:rFonts w:ascii="Arial" w:hAnsi="Arial" w:cs="Arial"/>
          <w:sz w:val="22"/>
          <w:szCs w:val="22"/>
        </w:rPr>
        <w:footnoteReference w:id="10"/>
      </w:r>
    </w:p>
    <w:p w14:paraId="47F6DEBF" w14:textId="77777777" w:rsidR="0042659E" w:rsidRDefault="0042659E" w:rsidP="004E6A5B">
      <w:pPr>
        <w:rPr>
          <w:rFonts w:ascii="Arial" w:hAnsi="Arial" w:cs="Arial"/>
          <w:sz w:val="22"/>
          <w:szCs w:val="22"/>
        </w:rPr>
      </w:pPr>
    </w:p>
    <w:p w14:paraId="71113B64" w14:textId="77777777" w:rsidR="004E6A5B" w:rsidRDefault="004E6A5B" w:rsidP="004E6A5B">
      <w:pPr>
        <w:rPr>
          <w:rFonts w:ascii="Arial" w:hAnsi="Arial" w:cs="Arial"/>
          <w:sz w:val="22"/>
          <w:szCs w:val="22"/>
        </w:rPr>
      </w:pPr>
      <w:r>
        <w:rPr>
          <w:rFonts w:ascii="Arial" w:hAnsi="Arial" w:cs="Arial"/>
          <w:sz w:val="22"/>
          <w:szCs w:val="22"/>
        </w:rPr>
        <w:t>A 'person' is in turn defined as including:</w:t>
      </w:r>
      <w:r>
        <w:rPr>
          <w:rStyle w:val="FootnoteReference"/>
          <w:rFonts w:ascii="Arial" w:hAnsi="Arial" w:cs="Arial"/>
          <w:sz w:val="22"/>
          <w:szCs w:val="22"/>
        </w:rPr>
        <w:footnoteReference w:id="11"/>
      </w:r>
      <w:r>
        <w:rPr>
          <w:rFonts w:ascii="Arial" w:hAnsi="Arial" w:cs="Arial"/>
          <w:sz w:val="22"/>
          <w:szCs w:val="22"/>
        </w:rPr>
        <w:t xml:space="preserve"> </w:t>
      </w:r>
    </w:p>
    <w:p w14:paraId="3D206A68" w14:textId="77777777" w:rsidR="004E6A5B" w:rsidRDefault="004E6A5B" w:rsidP="0042659E">
      <w:pPr>
        <w:pStyle w:val="Multilevel3"/>
        <w:numPr>
          <w:ilvl w:val="0"/>
          <w:numId w:val="37"/>
        </w:numPr>
        <w:rPr>
          <w:rFonts w:ascii="Arial" w:hAnsi="Arial" w:cs="Arial"/>
          <w:sz w:val="22"/>
          <w:szCs w:val="22"/>
        </w:rPr>
      </w:pPr>
      <w:r>
        <w:rPr>
          <w:rFonts w:ascii="Arial" w:hAnsi="Arial" w:cs="Arial"/>
          <w:sz w:val="22"/>
          <w:szCs w:val="22"/>
        </w:rPr>
        <w:t>A partnership;</w:t>
      </w:r>
    </w:p>
    <w:p w14:paraId="1F9EF405" w14:textId="77777777" w:rsidR="004E6A5B" w:rsidRDefault="004E6A5B" w:rsidP="0042659E">
      <w:pPr>
        <w:pStyle w:val="Multilevel3"/>
        <w:numPr>
          <w:ilvl w:val="0"/>
          <w:numId w:val="37"/>
        </w:numPr>
        <w:rPr>
          <w:rFonts w:ascii="Arial" w:hAnsi="Arial" w:cs="Arial"/>
          <w:sz w:val="22"/>
          <w:szCs w:val="22"/>
        </w:rPr>
      </w:pPr>
      <w:r>
        <w:rPr>
          <w:rFonts w:ascii="Arial" w:hAnsi="Arial" w:cs="Arial"/>
          <w:sz w:val="22"/>
          <w:szCs w:val="22"/>
        </w:rPr>
        <w:t xml:space="preserve">An unincorporated association; </w:t>
      </w:r>
    </w:p>
    <w:p w14:paraId="30042E4C" w14:textId="77777777" w:rsidR="004E6A5B" w:rsidRDefault="004E6A5B" w:rsidP="0042659E">
      <w:pPr>
        <w:pStyle w:val="Multilevel3"/>
        <w:numPr>
          <w:ilvl w:val="0"/>
          <w:numId w:val="37"/>
        </w:numPr>
        <w:rPr>
          <w:rFonts w:ascii="Arial" w:hAnsi="Arial" w:cs="Arial"/>
          <w:sz w:val="22"/>
          <w:szCs w:val="22"/>
        </w:rPr>
      </w:pPr>
      <w:r>
        <w:rPr>
          <w:rFonts w:ascii="Arial" w:hAnsi="Arial" w:cs="Arial"/>
          <w:sz w:val="22"/>
          <w:szCs w:val="22"/>
        </w:rPr>
        <w:t>A corporation;</w:t>
      </w:r>
    </w:p>
    <w:p w14:paraId="2B70E237" w14:textId="77777777" w:rsidR="004E6A5B" w:rsidRDefault="004E6A5B" w:rsidP="0042659E">
      <w:pPr>
        <w:pStyle w:val="Multilevel3"/>
        <w:numPr>
          <w:ilvl w:val="0"/>
          <w:numId w:val="37"/>
        </w:numPr>
        <w:rPr>
          <w:rFonts w:ascii="Arial" w:hAnsi="Arial" w:cs="Arial"/>
          <w:sz w:val="22"/>
          <w:szCs w:val="22"/>
        </w:rPr>
      </w:pPr>
      <w:r>
        <w:rPr>
          <w:rFonts w:ascii="Arial" w:hAnsi="Arial" w:cs="Arial"/>
          <w:sz w:val="22"/>
          <w:szCs w:val="22"/>
        </w:rPr>
        <w:t>A cooperative society;</w:t>
      </w:r>
    </w:p>
    <w:p w14:paraId="24A33232" w14:textId="77777777" w:rsidR="004E6A5B" w:rsidRDefault="004E6A5B" w:rsidP="0042659E">
      <w:pPr>
        <w:pStyle w:val="Multilevel3"/>
        <w:numPr>
          <w:ilvl w:val="0"/>
          <w:numId w:val="37"/>
        </w:numPr>
        <w:rPr>
          <w:rFonts w:ascii="Arial" w:hAnsi="Arial" w:cs="Arial"/>
          <w:sz w:val="22"/>
          <w:szCs w:val="22"/>
        </w:rPr>
      </w:pPr>
      <w:r>
        <w:rPr>
          <w:rFonts w:ascii="Arial" w:hAnsi="Arial" w:cs="Arial"/>
          <w:sz w:val="22"/>
          <w:szCs w:val="22"/>
        </w:rPr>
        <w:t>A cooperative organization;</w:t>
      </w:r>
    </w:p>
    <w:p w14:paraId="23C97651" w14:textId="77777777" w:rsidR="004E6A5B" w:rsidRDefault="004E6A5B" w:rsidP="0042659E">
      <w:pPr>
        <w:pStyle w:val="Multilevel3"/>
        <w:numPr>
          <w:ilvl w:val="0"/>
          <w:numId w:val="37"/>
        </w:numPr>
        <w:rPr>
          <w:rFonts w:ascii="Arial" w:hAnsi="Arial" w:cs="Arial"/>
          <w:sz w:val="22"/>
          <w:szCs w:val="22"/>
        </w:rPr>
      </w:pPr>
      <w:r>
        <w:rPr>
          <w:rFonts w:ascii="Arial" w:hAnsi="Arial" w:cs="Arial"/>
          <w:sz w:val="22"/>
          <w:szCs w:val="22"/>
        </w:rPr>
        <w:t>The successors of a partnership, association, corporation, society or organization; and</w:t>
      </w:r>
    </w:p>
    <w:p w14:paraId="4F272CDC" w14:textId="1F9867B2" w:rsidR="00C57600" w:rsidRPr="0042659E" w:rsidRDefault="004E6A5B" w:rsidP="0042659E">
      <w:pPr>
        <w:pStyle w:val="Multilevel3"/>
        <w:numPr>
          <w:ilvl w:val="0"/>
          <w:numId w:val="37"/>
        </w:numPr>
        <w:rPr>
          <w:rFonts w:ascii="Arial" w:hAnsi="Arial" w:cs="Arial"/>
          <w:sz w:val="22"/>
          <w:szCs w:val="22"/>
        </w:rPr>
      </w:pPr>
      <w:r>
        <w:rPr>
          <w:rFonts w:ascii="Arial" w:hAnsi="Arial" w:cs="Arial"/>
          <w:sz w:val="22"/>
          <w:szCs w:val="22"/>
        </w:rPr>
        <w:t xml:space="preserve">The heirs, executors, liquidators of the succession, administrator or other legal representatives of a person.  </w:t>
      </w:r>
    </w:p>
    <w:p w14:paraId="2B9CD453" w14:textId="77777777" w:rsidR="00C57600" w:rsidRPr="000101F5" w:rsidRDefault="00C57600"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3EA91704" w14:textId="7E81F2DB" w:rsidR="00C9788A" w:rsidRPr="00C9788A"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W</w:t>
      </w:r>
      <w:r w:rsidR="00ED5260">
        <w:rPr>
          <w:rFonts w:ascii="Avenir Next" w:hAnsi="Avenir Next" w:cs="Arial"/>
          <w:sz w:val="22"/>
          <w:szCs w:val="22"/>
          <w:lang w:val="en-GB"/>
        </w:rPr>
        <w:t xml:space="preserve">rite an essay on </w:t>
      </w:r>
      <w:r w:rsidRPr="00C9788A">
        <w:rPr>
          <w:rFonts w:ascii="Avenir Next" w:hAnsi="Avenir Next" w:cs="Arial"/>
          <w:sz w:val="22"/>
          <w:szCs w:val="22"/>
          <w:lang w:val="en-GB"/>
        </w:rPr>
        <w:t>the difference between a private receiver and a court-appointed receiver</w:t>
      </w:r>
      <w:r w:rsidR="00ED5260">
        <w:rPr>
          <w:rFonts w:ascii="Avenir Next" w:hAnsi="Avenir Next" w:cs="Arial"/>
          <w:sz w:val="22"/>
          <w:szCs w:val="22"/>
          <w:lang w:val="en-GB"/>
        </w:rPr>
        <w:t>.</w:t>
      </w:r>
    </w:p>
    <w:p w14:paraId="77E4C932" w14:textId="77777777" w:rsidR="00C9788A" w:rsidRPr="00C9788A" w:rsidRDefault="00C9788A" w:rsidP="00C9788A">
      <w:pPr>
        <w:spacing w:line="276" w:lineRule="auto"/>
        <w:jc w:val="both"/>
        <w:rPr>
          <w:rFonts w:ascii="Avenir Next" w:hAnsi="Avenir Next" w:cs="Arial"/>
          <w:sz w:val="22"/>
          <w:szCs w:val="22"/>
          <w:lang w:val="en-GB"/>
        </w:rPr>
      </w:pPr>
    </w:p>
    <w:p w14:paraId="672DC0BC" w14:textId="3A8A4C32" w:rsidR="0094117F"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In your essay you should refer to at least the following: (</w:t>
      </w:r>
      <w:r w:rsidR="00ED5260">
        <w:rPr>
          <w:rFonts w:ascii="Avenir Next" w:hAnsi="Avenir Next" w:cs="Arial"/>
          <w:sz w:val="22"/>
          <w:szCs w:val="22"/>
          <w:lang w:val="en-GB"/>
        </w:rPr>
        <w:t>i</w:t>
      </w:r>
      <w:r w:rsidRPr="00C9788A">
        <w:rPr>
          <w:rFonts w:ascii="Avenir Next" w:hAnsi="Avenir Next" w:cs="Arial"/>
          <w:sz w:val="22"/>
          <w:szCs w:val="22"/>
          <w:lang w:val="en-GB"/>
        </w:rPr>
        <w:t>) how each type of receiver is appointed, (</w:t>
      </w:r>
      <w:r w:rsidR="00ED5260">
        <w:rPr>
          <w:rFonts w:ascii="Avenir Next" w:hAnsi="Avenir Next" w:cs="Arial"/>
          <w:sz w:val="22"/>
          <w:szCs w:val="22"/>
          <w:lang w:val="en-GB"/>
        </w:rPr>
        <w:t>ii</w:t>
      </w:r>
      <w:r w:rsidRPr="00C9788A">
        <w:rPr>
          <w:rFonts w:ascii="Avenir Next" w:hAnsi="Avenir Next" w:cs="Arial"/>
          <w:sz w:val="22"/>
          <w:szCs w:val="22"/>
          <w:lang w:val="en-GB"/>
        </w:rPr>
        <w:t>) the duties of each type of receiver, and (</w:t>
      </w:r>
      <w:r w:rsidR="00ED5260">
        <w:rPr>
          <w:rFonts w:ascii="Avenir Next" w:hAnsi="Avenir Next" w:cs="Arial"/>
          <w:sz w:val="22"/>
          <w:szCs w:val="22"/>
          <w:lang w:val="en-GB"/>
        </w:rPr>
        <w:t>iii</w:t>
      </w:r>
      <w:r w:rsidRPr="00C9788A">
        <w:rPr>
          <w:rFonts w:ascii="Avenir Next" w:hAnsi="Avenir Next" w:cs="Arial"/>
          <w:sz w:val="22"/>
          <w:szCs w:val="22"/>
          <w:lang w:val="en-GB"/>
        </w:rPr>
        <w:t>) the circumstances in which each type of receiver is generally used.</w:t>
      </w:r>
    </w:p>
    <w:p w14:paraId="6699DE0C" w14:textId="77777777" w:rsidR="00C57600" w:rsidRDefault="00C57600" w:rsidP="00C9788A">
      <w:pPr>
        <w:spacing w:line="276" w:lineRule="auto"/>
        <w:jc w:val="both"/>
        <w:rPr>
          <w:rFonts w:ascii="Avenir Next" w:hAnsi="Avenir Next" w:cs="Arial"/>
          <w:sz w:val="22"/>
          <w:szCs w:val="22"/>
          <w:lang w:val="en-GB"/>
        </w:rPr>
      </w:pPr>
    </w:p>
    <w:p w14:paraId="5264A5F0" w14:textId="01422BE5" w:rsidR="004E6A5B" w:rsidRDefault="004E6A5B" w:rsidP="004E6A5B">
      <w:pPr>
        <w:rPr>
          <w:rFonts w:ascii="Arial" w:hAnsi="Arial" w:cs="Arial"/>
          <w:sz w:val="22"/>
          <w:szCs w:val="22"/>
        </w:rPr>
      </w:pPr>
      <w:r>
        <w:rPr>
          <w:rFonts w:ascii="Arial" w:hAnsi="Arial" w:cs="Arial"/>
          <w:sz w:val="22"/>
          <w:szCs w:val="22"/>
        </w:rPr>
        <w:t>Insolvency proceedings may take the form of receivers. A receiver is typically a licensed professional in an accounting or financial advisory firm, and acts as a licensed trustee in bankruptcy.</w:t>
      </w:r>
      <w:r>
        <w:rPr>
          <w:rStyle w:val="FootnoteReference"/>
          <w:rFonts w:ascii="Arial" w:hAnsi="Arial" w:cs="Arial"/>
          <w:sz w:val="22"/>
          <w:szCs w:val="22"/>
        </w:rPr>
        <w:footnoteReference w:id="12"/>
      </w:r>
    </w:p>
    <w:p w14:paraId="629AA0E5" w14:textId="77777777" w:rsidR="0042659E" w:rsidRDefault="0042659E" w:rsidP="004E6A5B">
      <w:pPr>
        <w:rPr>
          <w:rFonts w:ascii="Arial" w:hAnsi="Arial" w:cs="Arial"/>
          <w:sz w:val="22"/>
          <w:szCs w:val="22"/>
        </w:rPr>
      </w:pPr>
    </w:p>
    <w:p w14:paraId="7A3EBC67" w14:textId="611B4D94" w:rsidR="004E6A5B" w:rsidRDefault="004E6A5B" w:rsidP="004E6A5B">
      <w:pPr>
        <w:rPr>
          <w:rFonts w:ascii="Arial" w:hAnsi="Arial" w:cs="Arial"/>
          <w:sz w:val="22"/>
          <w:szCs w:val="22"/>
        </w:rPr>
      </w:pPr>
      <w:r>
        <w:rPr>
          <w:rFonts w:ascii="Arial" w:hAnsi="Arial" w:cs="Arial"/>
          <w:sz w:val="22"/>
          <w:szCs w:val="22"/>
        </w:rPr>
        <w:t>Once appointed, a debtor company's assets do not vest in a receiver, however, the receiver  will have the right to take possession and custody of the assets, sell them, and issue proceeds from that sale to creditors on a priority basis.</w:t>
      </w:r>
      <w:r>
        <w:rPr>
          <w:rStyle w:val="FootnoteReference"/>
          <w:rFonts w:ascii="Arial" w:hAnsi="Arial" w:cs="Arial"/>
          <w:sz w:val="22"/>
          <w:szCs w:val="22"/>
        </w:rPr>
        <w:footnoteReference w:id="13"/>
      </w:r>
    </w:p>
    <w:p w14:paraId="6F7C0AA4" w14:textId="77777777" w:rsidR="0042659E" w:rsidRDefault="0042659E" w:rsidP="004E6A5B">
      <w:pPr>
        <w:rPr>
          <w:rFonts w:ascii="Arial" w:hAnsi="Arial" w:cs="Arial"/>
          <w:sz w:val="22"/>
          <w:szCs w:val="22"/>
        </w:rPr>
      </w:pPr>
    </w:p>
    <w:p w14:paraId="53CEC1EA" w14:textId="04B13AA8" w:rsidR="004E6A5B" w:rsidRDefault="004E6A5B" w:rsidP="004E6A5B">
      <w:pPr>
        <w:rPr>
          <w:rFonts w:ascii="Arial" w:hAnsi="Arial" w:cs="Arial"/>
          <w:sz w:val="22"/>
          <w:szCs w:val="22"/>
        </w:rPr>
      </w:pPr>
      <w:r>
        <w:rPr>
          <w:rFonts w:ascii="Arial" w:hAnsi="Arial" w:cs="Arial"/>
          <w:sz w:val="22"/>
          <w:szCs w:val="22"/>
        </w:rPr>
        <w:t>There are two different types of receivers – private receivers as well as court-appointed receivers.</w:t>
      </w:r>
    </w:p>
    <w:p w14:paraId="1E23E2ED" w14:textId="77777777" w:rsidR="0042659E" w:rsidRDefault="0042659E" w:rsidP="004E6A5B">
      <w:pPr>
        <w:rPr>
          <w:rFonts w:ascii="Arial" w:hAnsi="Arial" w:cs="Arial"/>
          <w:sz w:val="22"/>
          <w:szCs w:val="22"/>
        </w:rPr>
      </w:pPr>
    </w:p>
    <w:p w14:paraId="3DF209A5" w14:textId="77777777" w:rsidR="004E6A5B" w:rsidRDefault="004E6A5B" w:rsidP="004E6A5B">
      <w:pPr>
        <w:rPr>
          <w:rFonts w:ascii="Arial" w:hAnsi="Arial" w:cs="Arial"/>
          <w:sz w:val="22"/>
          <w:szCs w:val="22"/>
        </w:rPr>
      </w:pPr>
      <w:r>
        <w:rPr>
          <w:rFonts w:ascii="Arial" w:hAnsi="Arial" w:cs="Arial"/>
          <w:sz w:val="22"/>
          <w:szCs w:val="22"/>
        </w:rPr>
        <w:t>A privately appointed receiver is appointed pursuant to a security agreement between the debtor and secured creditor. Ordinarily, the security agreement provides the secured creditor with a contractual right to appoint a receiver if the debtor is unable to meet its obligations.</w:t>
      </w:r>
      <w:r>
        <w:rPr>
          <w:rStyle w:val="FootnoteReference"/>
          <w:rFonts w:ascii="Arial" w:hAnsi="Arial" w:cs="Arial"/>
          <w:sz w:val="22"/>
          <w:szCs w:val="22"/>
        </w:rPr>
        <w:footnoteReference w:id="14"/>
      </w:r>
    </w:p>
    <w:p w14:paraId="0968DE67" w14:textId="61C551CC" w:rsidR="004E6A5B" w:rsidRDefault="004E6A5B" w:rsidP="004E6A5B">
      <w:pPr>
        <w:rPr>
          <w:rFonts w:ascii="Arial" w:hAnsi="Arial" w:cs="Arial"/>
          <w:sz w:val="22"/>
          <w:szCs w:val="22"/>
        </w:rPr>
      </w:pPr>
      <w:r>
        <w:rPr>
          <w:rFonts w:ascii="Arial" w:hAnsi="Arial" w:cs="Arial"/>
          <w:sz w:val="22"/>
          <w:szCs w:val="22"/>
        </w:rPr>
        <w:lastRenderedPageBreak/>
        <w:t>As such, a privately appointed receiver's duties are primarily to the appointing secured creditor.</w:t>
      </w:r>
      <w:r>
        <w:rPr>
          <w:rStyle w:val="FootnoteReference"/>
          <w:rFonts w:ascii="Arial" w:hAnsi="Arial" w:cs="Arial"/>
          <w:sz w:val="22"/>
          <w:szCs w:val="22"/>
        </w:rPr>
        <w:footnoteReference w:id="15"/>
      </w:r>
      <w:r>
        <w:rPr>
          <w:rFonts w:ascii="Arial" w:hAnsi="Arial" w:cs="Arial"/>
          <w:sz w:val="22"/>
          <w:szCs w:val="22"/>
        </w:rPr>
        <w:t xml:space="preserve"> A privately appointed receiver nonetheless has a general duty to act honestly, in good faith and in a commercially reasonable manner, including to attempt to maximize the recoveries and to obtain the best price for the debtor's assets in the circumstances.</w:t>
      </w:r>
      <w:r>
        <w:rPr>
          <w:rStyle w:val="FootnoteReference"/>
          <w:rFonts w:ascii="Arial" w:hAnsi="Arial" w:cs="Arial"/>
          <w:sz w:val="22"/>
          <w:szCs w:val="22"/>
        </w:rPr>
        <w:footnoteReference w:id="16"/>
      </w:r>
    </w:p>
    <w:p w14:paraId="69DFE5AF" w14:textId="77777777" w:rsidR="0042659E" w:rsidRDefault="0042659E" w:rsidP="004E6A5B">
      <w:pPr>
        <w:rPr>
          <w:rFonts w:ascii="Arial" w:hAnsi="Arial" w:cs="Arial"/>
          <w:sz w:val="22"/>
          <w:szCs w:val="22"/>
        </w:rPr>
      </w:pPr>
    </w:p>
    <w:p w14:paraId="1728D8A2" w14:textId="4D7B5DF7" w:rsidR="004E6A5B" w:rsidRDefault="004E6A5B" w:rsidP="004E6A5B">
      <w:pPr>
        <w:rPr>
          <w:rFonts w:ascii="Arial" w:hAnsi="Arial" w:cs="Arial"/>
          <w:sz w:val="22"/>
          <w:szCs w:val="22"/>
        </w:rPr>
      </w:pPr>
      <w:r>
        <w:rPr>
          <w:rFonts w:ascii="Arial" w:hAnsi="Arial" w:cs="Arial"/>
          <w:sz w:val="22"/>
          <w:szCs w:val="22"/>
        </w:rPr>
        <w:t>Private receivers are often used in circumstances where there is a small business or discrete pool of assets, with no competing creditor claims or disputes with the debtor.</w:t>
      </w:r>
      <w:r>
        <w:rPr>
          <w:rStyle w:val="FootnoteReference"/>
          <w:rFonts w:ascii="Arial" w:hAnsi="Arial" w:cs="Arial"/>
          <w:sz w:val="22"/>
          <w:szCs w:val="22"/>
        </w:rPr>
        <w:footnoteReference w:id="17"/>
      </w:r>
      <w:r>
        <w:rPr>
          <w:rFonts w:ascii="Arial" w:hAnsi="Arial" w:cs="Arial"/>
          <w:sz w:val="22"/>
          <w:szCs w:val="22"/>
        </w:rPr>
        <w:t xml:space="preserve"> The benefits of private receiverships are that they do not involve court attendances and therefore can be efficient and cost effective.</w:t>
      </w:r>
      <w:r>
        <w:rPr>
          <w:rStyle w:val="FootnoteReference"/>
          <w:rFonts w:ascii="Arial" w:hAnsi="Arial" w:cs="Arial"/>
          <w:sz w:val="22"/>
          <w:szCs w:val="22"/>
        </w:rPr>
        <w:footnoteReference w:id="18"/>
      </w:r>
    </w:p>
    <w:p w14:paraId="10D09C15" w14:textId="77777777" w:rsidR="0042659E" w:rsidRDefault="0042659E" w:rsidP="004E6A5B">
      <w:pPr>
        <w:rPr>
          <w:rFonts w:ascii="Arial" w:hAnsi="Arial" w:cs="Arial"/>
          <w:sz w:val="22"/>
          <w:szCs w:val="22"/>
        </w:rPr>
      </w:pPr>
    </w:p>
    <w:p w14:paraId="150B6FB5" w14:textId="2E0092D1" w:rsidR="004E6A5B" w:rsidRDefault="004E6A5B" w:rsidP="004E6A5B">
      <w:pPr>
        <w:rPr>
          <w:rFonts w:ascii="Arial" w:hAnsi="Arial" w:cs="Arial"/>
          <w:sz w:val="22"/>
          <w:szCs w:val="22"/>
        </w:rPr>
      </w:pPr>
      <w:r>
        <w:rPr>
          <w:rFonts w:ascii="Arial" w:hAnsi="Arial" w:cs="Arial"/>
          <w:sz w:val="22"/>
          <w:szCs w:val="22"/>
        </w:rPr>
        <w:t>Despite the above, private receivers are not commonly used in Canada due to concerns over successor liability to receiver's carrying on private business.</w:t>
      </w:r>
      <w:r>
        <w:rPr>
          <w:rStyle w:val="FootnoteReference"/>
          <w:rFonts w:ascii="Arial" w:hAnsi="Arial" w:cs="Arial"/>
          <w:sz w:val="22"/>
          <w:szCs w:val="22"/>
        </w:rPr>
        <w:footnoteReference w:id="19"/>
      </w:r>
    </w:p>
    <w:p w14:paraId="670D36D0" w14:textId="77777777" w:rsidR="0042659E" w:rsidRDefault="0042659E" w:rsidP="004E6A5B">
      <w:pPr>
        <w:rPr>
          <w:rFonts w:ascii="Arial" w:hAnsi="Arial" w:cs="Arial"/>
          <w:sz w:val="22"/>
          <w:szCs w:val="22"/>
        </w:rPr>
      </w:pPr>
    </w:p>
    <w:p w14:paraId="72C936B6" w14:textId="00FCB012" w:rsidR="004E6A5B" w:rsidRDefault="004E6A5B" w:rsidP="004E6A5B">
      <w:pPr>
        <w:rPr>
          <w:rFonts w:ascii="Arial" w:hAnsi="Arial" w:cs="Arial"/>
          <w:sz w:val="22"/>
          <w:szCs w:val="22"/>
        </w:rPr>
      </w:pPr>
      <w:r>
        <w:rPr>
          <w:rFonts w:ascii="Arial" w:hAnsi="Arial" w:cs="Arial"/>
          <w:sz w:val="22"/>
          <w:szCs w:val="22"/>
        </w:rPr>
        <w:t>The power to seek a court-appointed receiver is contained in section 243 of the BIA, which authorizes a secured creditor to apply to the court for the appointment of a receiver with national authority to take control of the business when the debtor is unable to meet its obligations under a security agreement.</w:t>
      </w:r>
      <w:r>
        <w:rPr>
          <w:rStyle w:val="FootnoteReference"/>
          <w:rFonts w:ascii="Arial" w:hAnsi="Arial" w:cs="Arial"/>
          <w:sz w:val="22"/>
          <w:szCs w:val="22"/>
        </w:rPr>
        <w:footnoteReference w:id="20"/>
      </w:r>
    </w:p>
    <w:p w14:paraId="78FB423B" w14:textId="77777777" w:rsidR="0042659E" w:rsidRDefault="0042659E" w:rsidP="004E6A5B">
      <w:pPr>
        <w:rPr>
          <w:rFonts w:ascii="Arial" w:hAnsi="Arial" w:cs="Arial"/>
          <w:sz w:val="22"/>
          <w:szCs w:val="22"/>
        </w:rPr>
      </w:pPr>
    </w:p>
    <w:p w14:paraId="2C44DAA8" w14:textId="5A28CB44" w:rsidR="004E6A5B" w:rsidRDefault="004E6A5B" w:rsidP="004E6A5B">
      <w:pPr>
        <w:rPr>
          <w:rFonts w:ascii="Arial" w:hAnsi="Arial" w:cs="Arial"/>
          <w:sz w:val="22"/>
          <w:szCs w:val="22"/>
        </w:rPr>
      </w:pPr>
      <w:r>
        <w:rPr>
          <w:rFonts w:ascii="Arial" w:hAnsi="Arial" w:cs="Arial"/>
          <w:sz w:val="22"/>
          <w:szCs w:val="22"/>
        </w:rPr>
        <w:t>Separately from the BIA, the Courts of Justice Acts of individual provinces also provides for courts to appoint a receiver following an application by an interested party, so long as it is "just and convenient" to do.</w:t>
      </w:r>
      <w:r>
        <w:rPr>
          <w:rStyle w:val="FootnoteReference"/>
          <w:rFonts w:ascii="Arial" w:hAnsi="Arial" w:cs="Arial"/>
          <w:sz w:val="22"/>
          <w:szCs w:val="22"/>
        </w:rPr>
        <w:footnoteReference w:id="21"/>
      </w:r>
    </w:p>
    <w:p w14:paraId="6A0AE26B" w14:textId="77777777" w:rsidR="0042659E" w:rsidRDefault="0042659E" w:rsidP="004E6A5B">
      <w:pPr>
        <w:rPr>
          <w:rFonts w:ascii="Arial" w:hAnsi="Arial" w:cs="Arial"/>
          <w:sz w:val="22"/>
          <w:szCs w:val="22"/>
        </w:rPr>
      </w:pPr>
    </w:p>
    <w:p w14:paraId="6885204B" w14:textId="3E9D003B" w:rsidR="004E6A5B" w:rsidRDefault="004E6A5B" w:rsidP="004E6A5B">
      <w:pPr>
        <w:rPr>
          <w:rFonts w:ascii="Arial" w:hAnsi="Arial" w:cs="Arial"/>
          <w:sz w:val="22"/>
          <w:szCs w:val="22"/>
        </w:rPr>
      </w:pPr>
      <w:r>
        <w:rPr>
          <w:rFonts w:ascii="Arial" w:hAnsi="Arial" w:cs="Arial"/>
          <w:sz w:val="22"/>
          <w:szCs w:val="22"/>
        </w:rPr>
        <w:t>In accordance with section 244 of the BIA, a secured creditor must also give 10 days' notice of its intent to enforce its security by way of appointment of receiver, if the receiver is to be appointed over all or substantially all of the inventory, accounts receivable or other property of an insolvent debtor.</w:t>
      </w:r>
      <w:r>
        <w:rPr>
          <w:rStyle w:val="FootnoteReference"/>
          <w:rFonts w:ascii="Arial" w:hAnsi="Arial" w:cs="Arial"/>
          <w:sz w:val="22"/>
          <w:szCs w:val="22"/>
        </w:rPr>
        <w:footnoteReference w:id="22"/>
      </w:r>
    </w:p>
    <w:p w14:paraId="281EBDB6" w14:textId="77777777" w:rsidR="0042659E" w:rsidRDefault="0042659E" w:rsidP="004E6A5B">
      <w:pPr>
        <w:rPr>
          <w:rFonts w:ascii="Arial" w:hAnsi="Arial" w:cs="Arial"/>
          <w:sz w:val="22"/>
          <w:szCs w:val="22"/>
        </w:rPr>
      </w:pPr>
    </w:p>
    <w:p w14:paraId="5634BF1A" w14:textId="3E60C6A2" w:rsidR="004E6A5B" w:rsidRDefault="004E6A5B" w:rsidP="004E6A5B">
      <w:pPr>
        <w:rPr>
          <w:rFonts w:ascii="Arial" w:hAnsi="Arial" w:cs="Arial"/>
          <w:sz w:val="22"/>
          <w:szCs w:val="22"/>
        </w:rPr>
      </w:pPr>
      <w:r>
        <w:rPr>
          <w:rFonts w:ascii="Arial" w:hAnsi="Arial" w:cs="Arial"/>
          <w:sz w:val="22"/>
          <w:szCs w:val="22"/>
        </w:rPr>
        <w:t>The powers of a court-appointed receiver are derived from the court order as well as any specific legislation governing its powers.</w:t>
      </w:r>
      <w:r>
        <w:rPr>
          <w:rStyle w:val="FootnoteReference"/>
          <w:rFonts w:ascii="Arial" w:hAnsi="Arial" w:cs="Arial"/>
          <w:sz w:val="22"/>
          <w:szCs w:val="22"/>
        </w:rPr>
        <w:footnoteReference w:id="23"/>
      </w:r>
      <w:r>
        <w:rPr>
          <w:rFonts w:ascii="Arial" w:hAnsi="Arial" w:cs="Arial"/>
          <w:sz w:val="22"/>
          <w:szCs w:val="22"/>
        </w:rPr>
        <w:t xml:space="preserve"> He or she is an officer of the court, and has duties to all creditors of the debtor.</w:t>
      </w:r>
      <w:r>
        <w:rPr>
          <w:rStyle w:val="FootnoteReference"/>
          <w:rFonts w:ascii="Arial" w:hAnsi="Arial" w:cs="Arial"/>
          <w:sz w:val="22"/>
          <w:szCs w:val="22"/>
        </w:rPr>
        <w:footnoteReference w:id="24"/>
      </w:r>
      <w:r>
        <w:rPr>
          <w:rFonts w:ascii="Arial" w:hAnsi="Arial" w:cs="Arial"/>
          <w:sz w:val="22"/>
          <w:szCs w:val="22"/>
        </w:rPr>
        <w:t xml:space="preserve"> As such, the court-appointed receiver reports to and takes directions/instructions from the court, rather than the creditor who initially sought the appointment.</w:t>
      </w:r>
      <w:r>
        <w:rPr>
          <w:rStyle w:val="FootnoteReference"/>
          <w:rFonts w:ascii="Arial" w:hAnsi="Arial" w:cs="Arial"/>
          <w:sz w:val="22"/>
          <w:szCs w:val="22"/>
        </w:rPr>
        <w:footnoteReference w:id="25"/>
      </w:r>
    </w:p>
    <w:p w14:paraId="21B114B0" w14:textId="77777777" w:rsidR="0042659E" w:rsidRDefault="0042659E" w:rsidP="004E6A5B">
      <w:pPr>
        <w:rPr>
          <w:rFonts w:ascii="Arial" w:hAnsi="Arial" w:cs="Arial"/>
          <w:sz w:val="22"/>
          <w:szCs w:val="22"/>
        </w:rPr>
      </w:pPr>
    </w:p>
    <w:p w14:paraId="40942AD4" w14:textId="217363A1" w:rsidR="004E6A5B" w:rsidRDefault="004E6A5B" w:rsidP="004E6A5B">
      <w:pPr>
        <w:rPr>
          <w:rFonts w:ascii="Arial" w:hAnsi="Arial" w:cs="Arial"/>
          <w:sz w:val="22"/>
          <w:szCs w:val="22"/>
        </w:rPr>
      </w:pPr>
      <w:r>
        <w:rPr>
          <w:rFonts w:ascii="Arial" w:hAnsi="Arial" w:cs="Arial"/>
          <w:sz w:val="22"/>
          <w:szCs w:val="22"/>
        </w:rPr>
        <w:t>Ordinarily, the court order appointing the receiver will give the receiver broad powers similar to those a privately appointed receiver is granted pursuant to the security agreement.</w:t>
      </w:r>
      <w:r>
        <w:rPr>
          <w:rStyle w:val="FootnoteReference"/>
          <w:rFonts w:ascii="Arial" w:hAnsi="Arial" w:cs="Arial"/>
          <w:sz w:val="22"/>
          <w:szCs w:val="22"/>
        </w:rPr>
        <w:footnoteReference w:id="26"/>
      </w:r>
      <w:r>
        <w:rPr>
          <w:rFonts w:ascii="Arial" w:hAnsi="Arial" w:cs="Arial"/>
          <w:sz w:val="22"/>
          <w:szCs w:val="22"/>
        </w:rPr>
        <w:t xml:space="preserve"> However, different from a privately appointed receiver, certain actions such as major asset sales, will usually require court approval.</w:t>
      </w:r>
      <w:r>
        <w:rPr>
          <w:rStyle w:val="FootnoteReference"/>
          <w:rFonts w:ascii="Arial" w:hAnsi="Arial" w:cs="Arial"/>
          <w:sz w:val="22"/>
          <w:szCs w:val="22"/>
        </w:rPr>
        <w:footnoteReference w:id="27"/>
      </w:r>
    </w:p>
    <w:p w14:paraId="62C1DA19" w14:textId="77777777" w:rsidR="0042659E" w:rsidRDefault="0042659E" w:rsidP="004E6A5B">
      <w:pPr>
        <w:rPr>
          <w:rFonts w:ascii="Arial" w:hAnsi="Arial" w:cs="Arial"/>
          <w:sz w:val="22"/>
          <w:szCs w:val="22"/>
        </w:rPr>
      </w:pPr>
    </w:p>
    <w:p w14:paraId="0F3BCD74" w14:textId="22537363" w:rsidR="004E6A5B" w:rsidRDefault="004E6A5B" w:rsidP="004E6A5B">
      <w:pPr>
        <w:rPr>
          <w:rFonts w:ascii="Arial" w:hAnsi="Arial" w:cs="Arial"/>
          <w:sz w:val="22"/>
          <w:szCs w:val="22"/>
        </w:rPr>
      </w:pPr>
      <w:r>
        <w:rPr>
          <w:rFonts w:ascii="Arial" w:hAnsi="Arial" w:cs="Arial"/>
          <w:sz w:val="22"/>
          <w:szCs w:val="22"/>
        </w:rPr>
        <w:lastRenderedPageBreak/>
        <w:t>Court-appointed receivers are more commonly used in complex scenarios, including scenarios which involve competing claims or disputes between creditors and the debtor.</w:t>
      </w:r>
      <w:r>
        <w:rPr>
          <w:rStyle w:val="FootnoteReference"/>
          <w:rFonts w:ascii="Arial" w:hAnsi="Arial" w:cs="Arial"/>
          <w:sz w:val="22"/>
          <w:szCs w:val="22"/>
        </w:rPr>
        <w:footnoteReference w:id="28"/>
      </w:r>
      <w:r>
        <w:rPr>
          <w:rFonts w:ascii="Arial" w:hAnsi="Arial" w:cs="Arial"/>
          <w:sz w:val="22"/>
          <w:szCs w:val="22"/>
        </w:rPr>
        <w:t xml:space="preserve"> From a potential liability standpoint, a court-appointed receiver will also provide a greater degree of comfort for creditors and professionals compared to a private receiver in light of the court having to approve many of the receiver's decisions.</w:t>
      </w:r>
      <w:r>
        <w:rPr>
          <w:rStyle w:val="FootnoteReference"/>
          <w:rFonts w:ascii="Arial" w:hAnsi="Arial" w:cs="Arial"/>
          <w:sz w:val="22"/>
          <w:szCs w:val="22"/>
        </w:rPr>
        <w:footnoteReference w:id="29"/>
      </w:r>
    </w:p>
    <w:p w14:paraId="767E53E2" w14:textId="77777777" w:rsidR="0042659E" w:rsidRDefault="0042659E" w:rsidP="004E6A5B">
      <w:pPr>
        <w:rPr>
          <w:rFonts w:ascii="Arial" w:hAnsi="Arial" w:cs="Arial"/>
          <w:sz w:val="22"/>
          <w:szCs w:val="22"/>
        </w:rPr>
      </w:pPr>
    </w:p>
    <w:p w14:paraId="044584BB" w14:textId="67650AC6" w:rsidR="004E6A5B" w:rsidRDefault="004E6A5B" w:rsidP="004E6A5B">
      <w:pPr>
        <w:rPr>
          <w:rFonts w:ascii="Arial" w:hAnsi="Arial" w:cs="Arial"/>
          <w:sz w:val="22"/>
          <w:szCs w:val="22"/>
        </w:rPr>
      </w:pPr>
      <w:r>
        <w:rPr>
          <w:rFonts w:ascii="Arial" w:hAnsi="Arial" w:cs="Arial"/>
          <w:sz w:val="22"/>
          <w:szCs w:val="22"/>
        </w:rPr>
        <w:t>Pursuant to the BIA, there is also the possibility for the appointment of an 'interim receiver' in order to protect and preserve assets.</w:t>
      </w:r>
      <w:r>
        <w:rPr>
          <w:rStyle w:val="FootnoteReference"/>
          <w:rFonts w:ascii="Arial" w:hAnsi="Arial" w:cs="Arial"/>
          <w:sz w:val="22"/>
          <w:szCs w:val="22"/>
        </w:rPr>
        <w:footnoteReference w:id="30"/>
      </w:r>
      <w:r>
        <w:rPr>
          <w:rFonts w:ascii="Arial" w:hAnsi="Arial" w:cs="Arial"/>
          <w:sz w:val="22"/>
          <w:szCs w:val="22"/>
        </w:rPr>
        <w:t xml:space="preserve"> An interim receiver is only permitted to take conservation measures and summarily dispose of perishable or rapidly depreciable property of the debtor.</w:t>
      </w:r>
      <w:r>
        <w:rPr>
          <w:rStyle w:val="FootnoteReference"/>
          <w:rFonts w:ascii="Arial" w:hAnsi="Arial" w:cs="Arial"/>
          <w:sz w:val="22"/>
          <w:szCs w:val="22"/>
        </w:rPr>
        <w:footnoteReference w:id="31"/>
      </w:r>
      <w:r>
        <w:rPr>
          <w:rFonts w:ascii="Arial" w:hAnsi="Arial" w:cs="Arial"/>
          <w:sz w:val="22"/>
          <w:szCs w:val="22"/>
        </w:rPr>
        <w:t xml:space="preserve"> The interim receiver appointment will expire at either the taking of possession by a receiver or trustee in bankruptcy, or the expiry of 30 days following the interim receiver's appointment (whichever is earlier), or any other period specified by the court.</w:t>
      </w:r>
      <w:r>
        <w:rPr>
          <w:rStyle w:val="FootnoteReference"/>
          <w:rFonts w:ascii="Arial" w:hAnsi="Arial" w:cs="Arial"/>
          <w:sz w:val="22"/>
          <w:szCs w:val="22"/>
        </w:rPr>
        <w:footnoteReference w:id="32"/>
      </w:r>
    </w:p>
    <w:p w14:paraId="2A5B2992" w14:textId="77777777" w:rsidR="0042659E" w:rsidRDefault="0042659E" w:rsidP="004E6A5B">
      <w:pPr>
        <w:rPr>
          <w:rFonts w:ascii="Arial" w:hAnsi="Arial" w:cs="Arial"/>
          <w:sz w:val="22"/>
          <w:szCs w:val="22"/>
        </w:rPr>
      </w:pPr>
    </w:p>
    <w:p w14:paraId="7A01A623" w14:textId="3ED91EE6" w:rsidR="004E6A5B" w:rsidRDefault="004E6A5B" w:rsidP="004E6A5B">
      <w:pPr>
        <w:rPr>
          <w:rFonts w:ascii="Arial" w:hAnsi="Arial" w:cs="Arial"/>
          <w:sz w:val="22"/>
          <w:szCs w:val="22"/>
        </w:rPr>
      </w:pPr>
      <w:r>
        <w:rPr>
          <w:rFonts w:ascii="Arial" w:hAnsi="Arial" w:cs="Arial"/>
          <w:sz w:val="22"/>
          <w:szCs w:val="22"/>
        </w:rPr>
        <w:t xml:space="preserve">Once all assets have been </w:t>
      </w:r>
      <w:r w:rsidR="004148F9">
        <w:rPr>
          <w:rFonts w:ascii="Arial" w:hAnsi="Arial" w:cs="Arial"/>
          <w:sz w:val="22"/>
          <w:szCs w:val="22"/>
        </w:rPr>
        <w:t>realized</w:t>
      </w:r>
      <w:r>
        <w:rPr>
          <w:rFonts w:ascii="Arial" w:hAnsi="Arial" w:cs="Arial"/>
          <w:sz w:val="22"/>
          <w:szCs w:val="22"/>
        </w:rPr>
        <w:t>, the court-appointed receiver must distribute the proceeds to creditors in accordance with their entitlements and priority. This generally requires court approval, unless the recovery is only to secured creditors.</w:t>
      </w:r>
      <w:r>
        <w:rPr>
          <w:rStyle w:val="FootnoteReference"/>
          <w:rFonts w:ascii="Arial" w:hAnsi="Arial" w:cs="Arial"/>
          <w:sz w:val="22"/>
          <w:szCs w:val="22"/>
        </w:rPr>
        <w:footnoteReference w:id="33"/>
      </w:r>
    </w:p>
    <w:p w14:paraId="3F5824ED" w14:textId="77777777" w:rsidR="0042659E" w:rsidRDefault="0042659E" w:rsidP="004E6A5B">
      <w:pPr>
        <w:rPr>
          <w:rFonts w:ascii="Arial" w:hAnsi="Arial" w:cs="Arial"/>
          <w:sz w:val="22"/>
          <w:szCs w:val="22"/>
        </w:rPr>
      </w:pPr>
    </w:p>
    <w:p w14:paraId="2C4F935D" w14:textId="338D6F51" w:rsidR="004E6A5B" w:rsidRDefault="004E6A5B" w:rsidP="004E6A5B">
      <w:pPr>
        <w:rPr>
          <w:rFonts w:ascii="Arial" w:hAnsi="Arial" w:cs="Arial"/>
          <w:sz w:val="22"/>
          <w:szCs w:val="22"/>
        </w:rPr>
      </w:pPr>
      <w:r>
        <w:rPr>
          <w:rFonts w:ascii="Arial" w:hAnsi="Arial" w:cs="Arial"/>
          <w:sz w:val="22"/>
          <w:szCs w:val="22"/>
        </w:rPr>
        <w:t>In the event there are left-over funds after distribution to secured creditors, the receiver may seek the court's approval to assign the debtor in bankruptcy so that unsecured claims are dealt with through bankruptcy proceedings.</w:t>
      </w:r>
      <w:r>
        <w:rPr>
          <w:rStyle w:val="FootnoteReference"/>
          <w:rFonts w:ascii="Arial" w:hAnsi="Arial" w:cs="Arial"/>
          <w:sz w:val="22"/>
          <w:szCs w:val="22"/>
        </w:rPr>
        <w:footnoteReference w:id="34"/>
      </w:r>
    </w:p>
    <w:p w14:paraId="53F43A63" w14:textId="77777777" w:rsidR="0042659E" w:rsidRDefault="0042659E" w:rsidP="004E6A5B">
      <w:pPr>
        <w:rPr>
          <w:rFonts w:ascii="Arial" w:hAnsi="Arial" w:cs="Arial"/>
          <w:sz w:val="22"/>
          <w:szCs w:val="22"/>
        </w:rPr>
      </w:pPr>
    </w:p>
    <w:p w14:paraId="5A03BC27" w14:textId="5B70B823" w:rsidR="006F4E04" w:rsidRPr="0042659E" w:rsidRDefault="004E6A5B" w:rsidP="006F4E04">
      <w:pPr>
        <w:rPr>
          <w:rFonts w:ascii="Arial" w:hAnsi="Arial" w:cs="Arial"/>
          <w:sz w:val="22"/>
          <w:szCs w:val="22"/>
        </w:rPr>
      </w:pPr>
      <w:r>
        <w:rPr>
          <w:rFonts w:ascii="Arial" w:hAnsi="Arial" w:cs="Arial"/>
          <w:sz w:val="22"/>
          <w:szCs w:val="22"/>
        </w:rPr>
        <w:t>Despite the above outlined differences between the two types of receivers, irrespective of whether privately or court-appointed, all receivers must provide notice of their appointment to all known creditors and prepare and distribute interim and final reports concerning the receivership.</w:t>
      </w:r>
      <w:r>
        <w:rPr>
          <w:rStyle w:val="FootnoteReference"/>
          <w:rFonts w:ascii="Arial" w:hAnsi="Arial" w:cs="Arial"/>
          <w:sz w:val="22"/>
          <w:szCs w:val="22"/>
        </w:rPr>
        <w:footnoteReference w:id="35"/>
      </w:r>
      <w:r>
        <w:rPr>
          <w:rFonts w:ascii="Arial" w:hAnsi="Arial" w:cs="Arial"/>
          <w:sz w:val="22"/>
          <w:szCs w:val="22"/>
        </w:rPr>
        <w:t xml:space="preserve"> These reports will then be filed with the Office of the Superintendent of Bankruptcy , as well as made available to all creditors.</w:t>
      </w:r>
      <w:r>
        <w:rPr>
          <w:rStyle w:val="FootnoteReference"/>
          <w:rFonts w:ascii="Arial" w:hAnsi="Arial" w:cs="Arial"/>
          <w:sz w:val="22"/>
          <w:szCs w:val="22"/>
        </w:rPr>
        <w:footnoteReference w:id="36"/>
      </w:r>
      <w:r>
        <w:rPr>
          <w:rFonts w:ascii="Arial" w:hAnsi="Arial" w:cs="Arial"/>
          <w:sz w:val="22"/>
          <w:szCs w:val="22"/>
        </w:rPr>
        <w:t xml:space="preserve"> Additionally, court-appointed receivers must also report to the court to provide updates as to how the receivership is being carried out.</w:t>
      </w:r>
      <w:r>
        <w:rPr>
          <w:rStyle w:val="FootnoteReference"/>
          <w:rFonts w:ascii="Arial" w:hAnsi="Arial" w:cs="Arial"/>
          <w:sz w:val="22"/>
          <w:szCs w:val="22"/>
        </w:rPr>
        <w:footnoteReference w:id="37"/>
      </w:r>
    </w:p>
    <w:p w14:paraId="6901ACB1" w14:textId="77777777" w:rsidR="00C57600" w:rsidRPr="006F4E04" w:rsidRDefault="00C57600"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6A0EAA9" w14:textId="51E7C852" w:rsidR="00F47A63" w:rsidRDefault="0026732A" w:rsidP="00F47A63">
      <w:pPr>
        <w:spacing w:line="276" w:lineRule="auto"/>
        <w:jc w:val="both"/>
        <w:rPr>
          <w:rFonts w:ascii="Avenir Next" w:hAnsi="Avenir Next" w:cs="Arial"/>
          <w:sz w:val="22"/>
          <w:szCs w:val="22"/>
          <w:lang w:val="en-GB"/>
        </w:rPr>
      </w:pPr>
      <w:r w:rsidRPr="0026732A">
        <w:rPr>
          <w:rFonts w:ascii="Avenir Next" w:hAnsi="Avenir Next" w:cs="Arial"/>
          <w:sz w:val="22"/>
          <w:szCs w:val="22"/>
          <w:lang w:val="en-GB"/>
        </w:rPr>
        <w:t xml:space="preserve">Write a short essay that identifies the three methods for entering into bankruptcy. In your essay, explain the meaning of an “act of bankruptcy”. </w:t>
      </w:r>
    </w:p>
    <w:p w14:paraId="43FCC782" w14:textId="77777777" w:rsidR="00D67759" w:rsidRPr="00FC1BC1" w:rsidRDefault="00D67759" w:rsidP="00F47A63">
      <w:pPr>
        <w:spacing w:line="276" w:lineRule="auto"/>
        <w:jc w:val="both"/>
        <w:rPr>
          <w:rFonts w:ascii="Avenir Next" w:hAnsi="Avenir Next" w:cs="Arial"/>
          <w:sz w:val="22"/>
          <w:szCs w:val="22"/>
          <w:lang w:val="en-GB"/>
        </w:rPr>
      </w:pPr>
    </w:p>
    <w:p w14:paraId="2D83CAAF" w14:textId="0E54FE32" w:rsidR="004E6A5B" w:rsidRDefault="004E6A5B" w:rsidP="004E6A5B">
      <w:pPr>
        <w:rPr>
          <w:rFonts w:ascii="Arial" w:hAnsi="Arial" w:cs="Arial"/>
          <w:sz w:val="22"/>
          <w:szCs w:val="22"/>
        </w:rPr>
      </w:pPr>
      <w:r>
        <w:rPr>
          <w:rFonts w:ascii="Arial" w:hAnsi="Arial" w:cs="Arial"/>
          <w:sz w:val="22"/>
          <w:szCs w:val="22"/>
        </w:rPr>
        <w:t>There are three methods for entering into bankruptcy. This essay will briefly detail each method.</w:t>
      </w:r>
    </w:p>
    <w:p w14:paraId="6DA871B8" w14:textId="77777777" w:rsidR="0042659E" w:rsidRDefault="0042659E" w:rsidP="004E6A5B">
      <w:pPr>
        <w:rPr>
          <w:rFonts w:ascii="Arial" w:hAnsi="Arial" w:cs="Arial"/>
          <w:sz w:val="22"/>
          <w:szCs w:val="22"/>
        </w:rPr>
      </w:pPr>
    </w:p>
    <w:p w14:paraId="3403751D" w14:textId="77777777" w:rsidR="004E6A5B" w:rsidRDefault="004E6A5B" w:rsidP="004E6A5B">
      <w:pPr>
        <w:rPr>
          <w:rFonts w:ascii="Arial" w:hAnsi="Arial" w:cs="Arial"/>
          <w:sz w:val="22"/>
          <w:szCs w:val="22"/>
        </w:rPr>
      </w:pPr>
      <w:r>
        <w:rPr>
          <w:rFonts w:ascii="Arial" w:hAnsi="Arial" w:cs="Arial"/>
          <w:sz w:val="22"/>
          <w:szCs w:val="22"/>
        </w:rPr>
        <w:t>The first method is by way of involuntary bankruptcy. In order to successfully apply, a creditor must:</w:t>
      </w:r>
      <w:r>
        <w:rPr>
          <w:rStyle w:val="FootnoteReference"/>
          <w:rFonts w:ascii="Arial" w:hAnsi="Arial" w:cs="Arial"/>
          <w:sz w:val="22"/>
          <w:szCs w:val="22"/>
        </w:rPr>
        <w:footnoteReference w:id="38"/>
      </w:r>
    </w:p>
    <w:p w14:paraId="03B0B5B3" w14:textId="77777777" w:rsidR="004E6A5B" w:rsidRDefault="004E6A5B" w:rsidP="0042659E">
      <w:pPr>
        <w:pStyle w:val="Multilevel3"/>
        <w:numPr>
          <w:ilvl w:val="0"/>
          <w:numId w:val="39"/>
        </w:numPr>
        <w:rPr>
          <w:rFonts w:ascii="Arial" w:hAnsi="Arial" w:cs="Arial"/>
          <w:sz w:val="22"/>
          <w:szCs w:val="22"/>
        </w:rPr>
      </w:pPr>
      <w:r>
        <w:rPr>
          <w:rFonts w:ascii="Arial" w:hAnsi="Arial" w:cs="Arial"/>
          <w:sz w:val="22"/>
          <w:szCs w:val="22"/>
        </w:rPr>
        <w:t>Be owed in excess of CAD 1,000 in unsecured debt; and</w:t>
      </w:r>
    </w:p>
    <w:p w14:paraId="2D37578A" w14:textId="77777777" w:rsidR="004E6A5B" w:rsidRDefault="004E6A5B" w:rsidP="0042659E">
      <w:pPr>
        <w:pStyle w:val="Multilevel3"/>
        <w:numPr>
          <w:ilvl w:val="0"/>
          <w:numId w:val="39"/>
        </w:numPr>
        <w:rPr>
          <w:rFonts w:ascii="Arial" w:hAnsi="Arial" w:cs="Arial"/>
          <w:sz w:val="22"/>
          <w:szCs w:val="22"/>
        </w:rPr>
      </w:pPr>
      <w:r>
        <w:rPr>
          <w:rFonts w:ascii="Arial" w:hAnsi="Arial" w:cs="Arial"/>
          <w:sz w:val="22"/>
          <w:szCs w:val="22"/>
        </w:rPr>
        <w:t xml:space="preserve">Prove that the debtor has committed an 'act of bankruptcy' within six months of the date of the filing of the application. </w:t>
      </w:r>
    </w:p>
    <w:p w14:paraId="3F2615DC" w14:textId="77777777" w:rsidR="004E6A5B" w:rsidRDefault="004E6A5B" w:rsidP="004E6A5B">
      <w:pPr>
        <w:pStyle w:val="Multilevel1"/>
        <w:numPr>
          <w:ilvl w:val="0"/>
          <w:numId w:val="0"/>
        </w:numPr>
        <w:tabs>
          <w:tab w:val="left" w:pos="720"/>
        </w:tabs>
        <w:ind w:left="720" w:hanging="720"/>
        <w:rPr>
          <w:rFonts w:ascii="Arial" w:hAnsi="Arial" w:cs="Arial"/>
          <w:sz w:val="22"/>
          <w:szCs w:val="22"/>
        </w:rPr>
      </w:pPr>
      <w:r>
        <w:rPr>
          <w:rFonts w:ascii="Arial" w:hAnsi="Arial" w:cs="Arial"/>
          <w:sz w:val="22"/>
          <w:szCs w:val="22"/>
        </w:rPr>
        <w:lastRenderedPageBreak/>
        <w:t>Per section 42 of BIA, a debtor commits an act of bankruptcy if:</w:t>
      </w:r>
      <w:r>
        <w:rPr>
          <w:rStyle w:val="FootnoteReference"/>
          <w:rFonts w:ascii="Arial" w:hAnsi="Arial" w:cs="Arial"/>
          <w:sz w:val="22"/>
          <w:szCs w:val="22"/>
        </w:rPr>
        <w:footnoteReference w:id="39"/>
      </w:r>
    </w:p>
    <w:p w14:paraId="332172C3" w14:textId="77777777" w:rsidR="004E6A5B" w:rsidRDefault="004E6A5B" w:rsidP="0042659E">
      <w:pPr>
        <w:pStyle w:val="Multilevel3"/>
        <w:numPr>
          <w:ilvl w:val="0"/>
          <w:numId w:val="41"/>
        </w:numPr>
        <w:rPr>
          <w:rFonts w:ascii="Arial" w:hAnsi="Arial" w:cs="Arial"/>
          <w:sz w:val="22"/>
          <w:szCs w:val="22"/>
        </w:rPr>
      </w:pPr>
      <w:r>
        <w:rPr>
          <w:rFonts w:ascii="Arial" w:hAnsi="Arial" w:cs="Arial"/>
          <w:sz w:val="22"/>
          <w:szCs w:val="22"/>
        </w:rPr>
        <w:t>In Canada or elsewhere, he or she makes an assignment of property to a trustee for the benefit of creditors;</w:t>
      </w:r>
    </w:p>
    <w:p w14:paraId="253C7483" w14:textId="77777777" w:rsidR="004E6A5B" w:rsidRDefault="004E6A5B" w:rsidP="0042659E">
      <w:pPr>
        <w:pStyle w:val="Multilevel3"/>
        <w:numPr>
          <w:ilvl w:val="0"/>
          <w:numId w:val="41"/>
        </w:numPr>
        <w:rPr>
          <w:rFonts w:ascii="Arial" w:hAnsi="Arial" w:cs="Arial"/>
          <w:sz w:val="22"/>
          <w:szCs w:val="22"/>
        </w:rPr>
      </w:pPr>
      <w:r>
        <w:rPr>
          <w:rFonts w:ascii="Arial" w:hAnsi="Arial" w:cs="Arial"/>
          <w:sz w:val="22"/>
          <w:szCs w:val="22"/>
        </w:rPr>
        <w:t>In Canada or elsewhere, he or she makes a fraudulent gift, delivery or transfer of the debtor's property or of any part of it;</w:t>
      </w:r>
    </w:p>
    <w:p w14:paraId="1B4E9EFB" w14:textId="77777777" w:rsidR="004E6A5B" w:rsidRDefault="004E6A5B" w:rsidP="0042659E">
      <w:pPr>
        <w:pStyle w:val="Multilevel3"/>
        <w:numPr>
          <w:ilvl w:val="0"/>
          <w:numId w:val="41"/>
        </w:numPr>
        <w:rPr>
          <w:rFonts w:ascii="Arial" w:hAnsi="Arial" w:cs="Arial"/>
          <w:sz w:val="22"/>
          <w:szCs w:val="22"/>
        </w:rPr>
      </w:pPr>
      <w:r>
        <w:rPr>
          <w:rFonts w:ascii="Arial" w:hAnsi="Arial" w:cs="Arial"/>
          <w:sz w:val="22"/>
          <w:szCs w:val="22"/>
        </w:rPr>
        <w:t xml:space="preserve">In Canada or elsewhere, he or she makes any transfer of the debtor's property or any part of it, or creates any charge on it, that is a fraudulent preference; </w:t>
      </w:r>
    </w:p>
    <w:p w14:paraId="3235D169" w14:textId="77777777" w:rsidR="004E6A5B" w:rsidRDefault="004E6A5B" w:rsidP="0042659E">
      <w:pPr>
        <w:pStyle w:val="Multilevel3"/>
        <w:numPr>
          <w:ilvl w:val="0"/>
          <w:numId w:val="41"/>
        </w:numPr>
        <w:rPr>
          <w:rFonts w:ascii="Arial" w:hAnsi="Arial" w:cs="Arial"/>
          <w:sz w:val="22"/>
          <w:szCs w:val="22"/>
        </w:rPr>
      </w:pPr>
      <w:r>
        <w:rPr>
          <w:rFonts w:ascii="Arial" w:hAnsi="Arial" w:cs="Arial"/>
          <w:sz w:val="22"/>
          <w:szCs w:val="22"/>
        </w:rPr>
        <w:t>With the intent to defeat or delay the creditors, he or she departs out of Canada or remains out of Canada or departs from his or her dwelling or otherwise absents him-or herself;</w:t>
      </w:r>
    </w:p>
    <w:p w14:paraId="55AF74E5" w14:textId="77777777" w:rsidR="004E6A5B" w:rsidRDefault="004E6A5B" w:rsidP="0042659E">
      <w:pPr>
        <w:pStyle w:val="Multilevel3"/>
        <w:numPr>
          <w:ilvl w:val="0"/>
          <w:numId w:val="41"/>
        </w:numPr>
        <w:rPr>
          <w:rFonts w:ascii="Arial" w:hAnsi="Arial" w:cs="Arial"/>
          <w:sz w:val="22"/>
          <w:szCs w:val="22"/>
        </w:rPr>
      </w:pPr>
      <w:r>
        <w:rPr>
          <w:rFonts w:ascii="Arial" w:hAnsi="Arial" w:cs="Arial"/>
          <w:sz w:val="22"/>
          <w:szCs w:val="22"/>
        </w:rPr>
        <w:t>He or she permits for certain periods of time execution under which his or her property is taken;</w:t>
      </w:r>
    </w:p>
    <w:p w14:paraId="47246788" w14:textId="77777777" w:rsidR="004E6A5B" w:rsidRDefault="004E6A5B" w:rsidP="0042659E">
      <w:pPr>
        <w:pStyle w:val="Multilevel3"/>
        <w:numPr>
          <w:ilvl w:val="0"/>
          <w:numId w:val="41"/>
        </w:numPr>
        <w:rPr>
          <w:rFonts w:ascii="Arial" w:hAnsi="Arial" w:cs="Arial"/>
          <w:sz w:val="22"/>
          <w:szCs w:val="22"/>
        </w:rPr>
      </w:pPr>
      <w:r>
        <w:rPr>
          <w:rFonts w:ascii="Arial" w:hAnsi="Arial" w:cs="Arial"/>
          <w:sz w:val="22"/>
          <w:szCs w:val="22"/>
        </w:rPr>
        <w:t>He or she admits an inability to pay debts;</w:t>
      </w:r>
    </w:p>
    <w:p w14:paraId="5AA4AD4A" w14:textId="77777777" w:rsidR="004E6A5B" w:rsidRDefault="004E6A5B" w:rsidP="0042659E">
      <w:pPr>
        <w:pStyle w:val="Multilevel3"/>
        <w:numPr>
          <w:ilvl w:val="0"/>
          <w:numId w:val="41"/>
        </w:numPr>
        <w:rPr>
          <w:rFonts w:ascii="Arial" w:hAnsi="Arial" w:cs="Arial"/>
          <w:sz w:val="22"/>
          <w:szCs w:val="22"/>
        </w:rPr>
      </w:pPr>
      <w:r>
        <w:rPr>
          <w:rFonts w:ascii="Arial" w:hAnsi="Arial" w:cs="Arial"/>
          <w:sz w:val="22"/>
          <w:szCs w:val="22"/>
        </w:rPr>
        <w:t xml:space="preserve">He or she assigns, removes, secretes or disposes of, attempts to or is about to do the same with his or her property with the intent to defraud, defeat or delay any creditors; </w:t>
      </w:r>
    </w:p>
    <w:p w14:paraId="7A98C466" w14:textId="77777777" w:rsidR="004E6A5B" w:rsidRDefault="004E6A5B" w:rsidP="0042659E">
      <w:pPr>
        <w:pStyle w:val="Multilevel3"/>
        <w:numPr>
          <w:ilvl w:val="0"/>
          <w:numId w:val="41"/>
        </w:numPr>
        <w:rPr>
          <w:rFonts w:ascii="Arial" w:hAnsi="Arial" w:cs="Arial"/>
          <w:sz w:val="22"/>
          <w:szCs w:val="22"/>
        </w:rPr>
      </w:pPr>
      <w:r>
        <w:rPr>
          <w:rFonts w:ascii="Arial" w:hAnsi="Arial" w:cs="Arial"/>
          <w:sz w:val="22"/>
          <w:szCs w:val="22"/>
        </w:rPr>
        <w:t>He or she gives notice to creditors that payment of debts has or is about to be suspended;</w:t>
      </w:r>
    </w:p>
    <w:p w14:paraId="51B3790F" w14:textId="77777777" w:rsidR="004E6A5B" w:rsidRDefault="004E6A5B" w:rsidP="0042659E">
      <w:pPr>
        <w:pStyle w:val="Multilevel3"/>
        <w:numPr>
          <w:ilvl w:val="0"/>
          <w:numId w:val="41"/>
        </w:numPr>
        <w:rPr>
          <w:rFonts w:ascii="Arial" w:hAnsi="Arial" w:cs="Arial"/>
          <w:sz w:val="22"/>
          <w:szCs w:val="22"/>
        </w:rPr>
      </w:pPr>
      <w:r>
        <w:rPr>
          <w:rFonts w:ascii="Arial" w:hAnsi="Arial" w:cs="Arial"/>
          <w:sz w:val="22"/>
          <w:szCs w:val="22"/>
        </w:rPr>
        <w:t>He or she defaults on a proposal; or</w:t>
      </w:r>
    </w:p>
    <w:p w14:paraId="6D3825F7" w14:textId="77777777" w:rsidR="004E6A5B" w:rsidRDefault="004E6A5B" w:rsidP="0042659E">
      <w:pPr>
        <w:pStyle w:val="Multilevel3"/>
        <w:numPr>
          <w:ilvl w:val="0"/>
          <w:numId w:val="41"/>
        </w:numPr>
        <w:rPr>
          <w:rFonts w:ascii="Arial" w:hAnsi="Arial" w:cs="Arial"/>
          <w:sz w:val="22"/>
          <w:szCs w:val="22"/>
        </w:rPr>
      </w:pPr>
      <w:r>
        <w:rPr>
          <w:rFonts w:ascii="Arial" w:hAnsi="Arial" w:cs="Arial"/>
          <w:sz w:val="22"/>
          <w:szCs w:val="22"/>
        </w:rPr>
        <w:t>He or she fails to meet liabilities generally as they become due. 'Generally' in this sense means that a creditor is required to show that more than just the application creditor has not been paid, unless the claimant is the only creditor owed money, or the debt is so large that the claims of other creditors are insignificant in comparison.</w:t>
      </w:r>
      <w:r>
        <w:rPr>
          <w:rStyle w:val="FootnoteReference"/>
          <w:rFonts w:ascii="Arial" w:hAnsi="Arial" w:cs="Arial"/>
          <w:sz w:val="22"/>
          <w:szCs w:val="22"/>
        </w:rPr>
        <w:footnoteReference w:id="40"/>
      </w:r>
    </w:p>
    <w:p w14:paraId="1E1555B1" w14:textId="1B370D10" w:rsidR="004E6A5B" w:rsidRDefault="004E6A5B" w:rsidP="004E6A5B">
      <w:pPr>
        <w:rPr>
          <w:rFonts w:ascii="Arial" w:hAnsi="Arial" w:cs="Arial"/>
          <w:sz w:val="22"/>
          <w:szCs w:val="22"/>
        </w:rPr>
      </w:pPr>
      <w:r>
        <w:rPr>
          <w:rFonts w:ascii="Arial" w:hAnsi="Arial" w:cs="Arial"/>
          <w:sz w:val="22"/>
          <w:szCs w:val="22"/>
        </w:rPr>
        <w:t>The application must be filed in the bankruptcy court where the debtor ordinarily resides, does business, has assets or property, or, if the debtor has no assets in Canada, where he or she did business within the previous year.</w:t>
      </w:r>
      <w:r>
        <w:rPr>
          <w:rStyle w:val="FootnoteReference"/>
          <w:rFonts w:ascii="Arial" w:hAnsi="Arial" w:cs="Arial"/>
          <w:sz w:val="22"/>
          <w:szCs w:val="22"/>
        </w:rPr>
        <w:footnoteReference w:id="41"/>
      </w:r>
    </w:p>
    <w:p w14:paraId="29FCE22D" w14:textId="77777777" w:rsidR="0042659E" w:rsidRDefault="0042659E" w:rsidP="004E6A5B">
      <w:pPr>
        <w:rPr>
          <w:rFonts w:ascii="Arial" w:hAnsi="Arial" w:cs="Arial"/>
          <w:sz w:val="22"/>
          <w:szCs w:val="22"/>
        </w:rPr>
      </w:pPr>
    </w:p>
    <w:p w14:paraId="33851C93" w14:textId="657D9723" w:rsidR="004E6A5B" w:rsidRDefault="004E6A5B" w:rsidP="004E6A5B">
      <w:pPr>
        <w:rPr>
          <w:rFonts w:ascii="Arial" w:hAnsi="Arial" w:cs="Arial"/>
          <w:sz w:val="22"/>
          <w:szCs w:val="22"/>
        </w:rPr>
      </w:pPr>
      <w:r>
        <w:rPr>
          <w:rFonts w:ascii="Arial" w:hAnsi="Arial" w:cs="Arial"/>
          <w:sz w:val="22"/>
          <w:szCs w:val="22"/>
        </w:rPr>
        <w:t>A debtor can of course object to a bankruptcy application, which would result in the court determining whether or not to issue an order.</w:t>
      </w:r>
      <w:r>
        <w:rPr>
          <w:rStyle w:val="FootnoteReference"/>
          <w:rFonts w:ascii="Arial" w:hAnsi="Arial" w:cs="Arial"/>
          <w:sz w:val="22"/>
          <w:szCs w:val="22"/>
        </w:rPr>
        <w:footnoteReference w:id="42"/>
      </w:r>
      <w:r>
        <w:rPr>
          <w:rFonts w:ascii="Arial" w:hAnsi="Arial" w:cs="Arial"/>
          <w:sz w:val="22"/>
          <w:szCs w:val="22"/>
        </w:rPr>
        <w:t xml:space="preserve"> Even if the applying creditor has proven the above set out requirements, an application may nonetheless be dismissed if the debtor is able to show that he or she has the ability to pay the debt.</w:t>
      </w:r>
      <w:r>
        <w:rPr>
          <w:rStyle w:val="FootnoteReference"/>
          <w:rFonts w:ascii="Arial" w:hAnsi="Arial" w:cs="Arial"/>
          <w:sz w:val="22"/>
          <w:szCs w:val="22"/>
        </w:rPr>
        <w:footnoteReference w:id="43"/>
      </w:r>
    </w:p>
    <w:p w14:paraId="1E1BFBCC" w14:textId="77777777" w:rsidR="0042659E" w:rsidRDefault="0042659E" w:rsidP="004E6A5B">
      <w:pPr>
        <w:rPr>
          <w:rFonts w:ascii="Arial" w:hAnsi="Arial" w:cs="Arial"/>
          <w:sz w:val="22"/>
          <w:szCs w:val="22"/>
        </w:rPr>
      </w:pPr>
    </w:p>
    <w:p w14:paraId="14A612DD" w14:textId="32979208" w:rsidR="004E6A5B" w:rsidRDefault="004E6A5B" w:rsidP="004E6A5B">
      <w:pPr>
        <w:rPr>
          <w:rFonts w:ascii="Arial" w:hAnsi="Arial" w:cs="Arial"/>
          <w:sz w:val="22"/>
          <w:szCs w:val="22"/>
        </w:rPr>
      </w:pPr>
      <w:r>
        <w:rPr>
          <w:rFonts w:ascii="Arial" w:hAnsi="Arial" w:cs="Arial"/>
          <w:sz w:val="22"/>
          <w:szCs w:val="22"/>
        </w:rPr>
        <w:t>A court will make an order of bankruptcy if the court is satisfied that the facts in the alleged application have been proven, following which the property of the debtor vests in a licensed trustee appointed by the court.</w:t>
      </w:r>
      <w:r>
        <w:rPr>
          <w:rStyle w:val="FootnoteReference"/>
          <w:rFonts w:ascii="Arial" w:hAnsi="Arial" w:cs="Arial"/>
          <w:sz w:val="22"/>
          <w:szCs w:val="22"/>
        </w:rPr>
        <w:footnoteReference w:id="44"/>
      </w:r>
      <w:r>
        <w:rPr>
          <w:rFonts w:ascii="Arial" w:hAnsi="Arial" w:cs="Arial"/>
          <w:sz w:val="22"/>
          <w:szCs w:val="22"/>
        </w:rPr>
        <w:t xml:space="preserve"> </w:t>
      </w:r>
    </w:p>
    <w:p w14:paraId="7BCA1D56" w14:textId="77777777" w:rsidR="0042659E" w:rsidRDefault="0042659E" w:rsidP="004E6A5B">
      <w:pPr>
        <w:rPr>
          <w:rFonts w:ascii="Arial" w:hAnsi="Arial" w:cs="Arial"/>
          <w:sz w:val="22"/>
          <w:szCs w:val="22"/>
        </w:rPr>
      </w:pPr>
    </w:p>
    <w:p w14:paraId="422E6B7F" w14:textId="13D463AE" w:rsidR="004E6A5B" w:rsidRDefault="004E6A5B" w:rsidP="004E6A5B">
      <w:pPr>
        <w:rPr>
          <w:rFonts w:ascii="Arial" w:hAnsi="Arial" w:cs="Arial"/>
          <w:sz w:val="22"/>
          <w:szCs w:val="22"/>
        </w:rPr>
      </w:pPr>
      <w:r>
        <w:rPr>
          <w:rFonts w:ascii="Arial" w:hAnsi="Arial" w:cs="Arial"/>
          <w:sz w:val="22"/>
          <w:szCs w:val="22"/>
        </w:rPr>
        <w:t>Prior to making an order for bankruptcy, a court also has the power to appoint a licensed trustee as an interim receiver over all or part of the debtor's property, if that is shown to be required in order to protect the estate of a debtor.</w:t>
      </w:r>
      <w:r>
        <w:rPr>
          <w:rStyle w:val="FootnoteReference"/>
          <w:rFonts w:ascii="Arial" w:hAnsi="Arial" w:cs="Arial"/>
          <w:sz w:val="22"/>
          <w:szCs w:val="22"/>
        </w:rPr>
        <w:footnoteReference w:id="45"/>
      </w:r>
      <w:r>
        <w:rPr>
          <w:rFonts w:ascii="Arial" w:hAnsi="Arial" w:cs="Arial"/>
          <w:sz w:val="22"/>
          <w:szCs w:val="22"/>
        </w:rPr>
        <w:t xml:space="preserve"> If so appointed, the interim receiver must preserve and protect the property of the debtor pending the hearing of the bankruptcy application.</w:t>
      </w:r>
      <w:r>
        <w:rPr>
          <w:rStyle w:val="FootnoteReference"/>
          <w:rFonts w:ascii="Arial" w:hAnsi="Arial" w:cs="Arial"/>
          <w:sz w:val="22"/>
          <w:szCs w:val="22"/>
        </w:rPr>
        <w:footnoteReference w:id="46"/>
      </w:r>
    </w:p>
    <w:p w14:paraId="5600D25E" w14:textId="77777777" w:rsidR="0042659E" w:rsidRDefault="0042659E" w:rsidP="004E6A5B">
      <w:pPr>
        <w:rPr>
          <w:rFonts w:ascii="Arial" w:hAnsi="Arial" w:cs="Arial"/>
          <w:sz w:val="22"/>
          <w:szCs w:val="22"/>
        </w:rPr>
      </w:pPr>
    </w:p>
    <w:p w14:paraId="09DEBE5B" w14:textId="789336EA" w:rsidR="004E6A5B" w:rsidRDefault="004E6A5B" w:rsidP="004E6A5B">
      <w:pPr>
        <w:rPr>
          <w:rFonts w:ascii="Arial" w:hAnsi="Arial" w:cs="Arial"/>
          <w:sz w:val="22"/>
          <w:szCs w:val="22"/>
        </w:rPr>
      </w:pPr>
      <w:r>
        <w:rPr>
          <w:rFonts w:ascii="Arial" w:hAnsi="Arial" w:cs="Arial"/>
          <w:sz w:val="22"/>
          <w:szCs w:val="22"/>
        </w:rPr>
        <w:t>The second method is by way of voluntary bankruptcy, which occurs when a debtor voluntarily makes an assignment into bankruptcy proceedings.</w:t>
      </w:r>
      <w:r>
        <w:rPr>
          <w:rStyle w:val="FootnoteReference"/>
          <w:rFonts w:ascii="Arial" w:hAnsi="Arial" w:cs="Arial"/>
          <w:sz w:val="22"/>
          <w:szCs w:val="22"/>
        </w:rPr>
        <w:footnoteReference w:id="47"/>
      </w:r>
    </w:p>
    <w:p w14:paraId="42AE95E2" w14:textId="77777777" w:rsidR="0042659E" w:rsidRDefault="0042659E" w:rsidP="004E6A5B">
      <w:pPr>
        <w:rPr>
          <w:rFonts w:ascii="Arial" w:hAnsi="Arial" w:cs="Arial"/>
          <w:sz w:val="22"/>
          <w:szCs w:val="22"/>
        </w:rPr>
      </w:pPr>
    </w:p>
    <w:p w14:paraId="41396D05" w14:textId="2669EC6D" w:rsidR="004E6A5B" w:rsidRDefault="004E6A5B" w:rsidP="004E6A5B">
      <w:pPr>
        <w:rPr>
          <w:rFonts w:ascii="Arial" w:hAnsi="Arial" w:cs="Arial"/>
          <w:sz w:val="22"/>
          <w:szCs w:val="22"/>
        </w:rPr>
      </w:pPr>
      <w:r>
        <w:rPr>
          <w:rFonts w:ascii="Arial" w:hAnsi="Arial" w:cs="Arial"/>
          <w:sz w:val="22"/>
          <w:szCs w:val="22"/>
        </w:rPr>
        <w:lastRenderedPageBreak/>
        <w:t xml:space="preserve">In order to be eligible, a debtor must fall within the 'insolvent person' definition under the BIA, which means the debtor must be a person who is not bankrupt and who resides, carries on </w:t>
      </w:r>
      <w:r w:rsidR="004148F9">
        <w:rPr>
          <w:rFonts w:ascii="Arial" w:hAnsi="Arial" w:cs="Arial"/>
          <w:sz w:val="22"/>
          <w:szCs w:val="22"/>
        </w:rPr>
        <w:t>business,</w:t>
      </w:r>
      <w:r>
        <w:rPr>
          <w:rFonts w:ascii="Arial" w:hAnsi="Arial" w:cs="Arial"/>
          <w:sz w:val="22"/>
          <w:szCs w:val="22"/>
        </w:rPr>
        <w:t xml:space="preserve"> or has property in Canada, whose liability to creditors provable as claims under the BIA amount to CAD 1,000 and:</w:t>
      </w:r>
    </w:p>
    <w:p w14:paraId="531828FD" w14:textId="77777777" w:rsidR="004E6A5B" w:rsidRDefault="004E6A5B" w:rsidP="0042659E">
      <w:pPr>
        <w:pStyle w:val="Multilevel3"/>
        <w:numPr>
          <w:ilvl w:val="0"/>
          <w:numId w:val="43"/>
        </w:numPr>
        <w:rPr>
          <w:rFonts w:ascii="Arial" w:hAnsi="Arial" w:cs="Arial"/>
          <w:sz w:val="22"/>
          <w:szCs w:val="22"/>
        </w:rPr>
      </w:pPr>
      <w:r>
        <w:rPr>
          <w:rFonts w:ascii="Arial" w:hAnsi="Arial" w:cs="Arial"/>
          <w:sz w:val="22"/>
          <w:szCs w:val="22"/>
        </w:rPr>
        <w:t>Is unable to meet obligations as they generally become due; or</w:t>
      </w:r>
    </w:p>
    <w:p w14:paraId="60E95962" w14:textId="77777777" w:rsidR="004E6A5B" w:rsidRDefault="004E6A5B" w:rsidP="0042659E">
      <w:pPr>
        <w:pStyle w:val="Multilevel3"/>
        <w:numPr>
          <w:ilvl w:val="0"/>
          <w:numId w:val="43"/>
        </w:numPr>
        <w:rPr>
          <w:rFonts w:ascii="Arial" w:hAnsi="Arial" w:cs="Arial"/>
          <w:sz w:val="22"/>
          <w:szCs w:val="22"/>
        </w:rPr>
      </w:pPr>
      <w:r>
        <w:rPr>
          <w:rFonts w:ascii="Arial" w:hAnsi="Arial" w:cs="Arial"/>
          <w:sz w:val="22"/>
          <w:szCs w:val="22"/>
        </w:rPr>
        <w:t>Has ceased paying current obligations in the ordinary course of business as they generally become due; or</w:t>
      </w:r>
    </w:p>
    <w:p w14:paraId="7316FEE2" w14:textId="77777777" w:rsidR="004E6A5B" w:rsidRDefault="004E6A5B" w:rsidP="0042659E">
      <w:pPr>
        <w:pStyle w:val="Multilevel3"/>
        <w:numPr>
          <w:ilvl w:val="0"/>
          <w:numId w:val="43"/>
        </w:numPr>
        <w:rPr>
          <w:rFonts w:ascii="Arial" w:hAnsi="Arial" w:cs="Arial"/>
          <w:sz w:val="22"/>
          <w:szCs w:val="22"/>
        </w:rPr>
      </w:pPr>
      <w:r>
        <w:rPr>
          <w:rFonts w:ascii="Arial" w:hAnsi="Arial" w:cs="Arial"/>
          <w:sz w:val="22"/>
          <w:szCs w:val="22"/>
        </w:rPr>
        <w:t>The aggregate of whose property is not, at fair valuation, sufficient to enable payments of all of his or her obligations, due and accruing due.</w:t>
      </w:r>
      <w:r>
        <w:rPr>
          <w:rStyle w:val="FootnoteReference"/>
          <w:rFonts w:ascii="Arial" w:hAnsi="Arial" w:cs="Arial"/>
          <w:sz w:val="22"/>
          <w:szCs w:val="22"/>
        </w:rPr>
        <w:footnoteReference w:id="48"/>
      </w:r>
    </w:p>
    <w:p w14:paraId="7003607C" w14:textId="77777777" w:rsidR="004148F9" w:rsidRPr="004148F9" w:rsidRDefault="004148F9" w:rsidP="004E6A5B">
      <w:pPr>
        <w:rPr>
          <w:rFonts w:ascii="Arial" w:hAnsi="Arial" w:cs="Arial"/>
          <w:sz w:val="16"/>
          <w:szCs w:val="16"/>
        </w:rPr>
      </w:pPr>
    </w:p>
    <w:p w14:paraId="543D0EB9" w14:textId="4C2985EB" w:rsidR="004E6A5B" w:rsidRDefault="004E6A5B" w:rsidP="004E6A5B">
      <w:pPr>
        <w:rPr>
          <w:rFonts w:ascii="Arial" w:hAnsi="Arial" w:cs="Arial"/>
          <w:sz w:val="22"/>
          <w:szCs w:val="22"/>
        </w:rPr>
      </w:pPr>
      <w:r>
        <w:rPr>
          <w:rFonts w:ascii="Arial" w:hAnsi="Arial" w:cs="Arial"/>
          <w:sz w:val="22"/>
          <w:szCs w:val="22"/>
        </w:rPr>
        <w:t>A court application is not required as the company and individual simply executes an 'assignment' of its property for the benefit of its creditors.</w:t>
      </w:r>
      <w:r>
        <w:rPr>
          <w:rStyle w:val="FootnoteReference"/>
          <w:rFonts w:ascii="Arial" w:hAnsi="Arial" w:cs="Arial"/>
          <w:sz w:val="22"/>
          <w:szCs w:val="22"/>
        </w:rPr>
        <w:footnoteReference w:id="49"/>
      </w:r>
      <w:r>
        <w:rPr>
          <w:rFonts w:ascii="Arial" w:hAnsi="Arial" w:cs="Arial"/>
          <w:sz w:val="22"/>
          <w:szCs w:val="22"/>
        </w:rPr>
        <w:t xml:space="preserve"> The assignment will be accompanied by a sworn statement which discloses the debtor's property, the names and addresses of all creditors, as well as the amounts of the creditors' claims.</w:t>
      </w:r>
      <w:r>
        <w:rPr>
          <w:rStyle w:val="FootnoteReference"/>
          <w:rFonts w:ascii="Arial" w:hAnsi="Arial" w:cs="Arial"/>
          <w:sz w:val="22"/>
          <w:szCs w:val="22"/>
        </w:rPr>
        <w:footnoteReference w:id="50"/>
      </w:r>
      <w:r>
        <w:rPr>
          <w:rFonts w:ascii="Arial" w:hAnsi="Arial" w:cs="Arial"/>
          <w:sz w:val="22"/>
          <w:szCs w:val="22"/>
        </w:rPr>
        <w:t xml:space="preserve"> Once the documents are filed and accepted with the Official Receiver, bankruptcy proceedings are commenced.</w:t>
      </w:r>
      <w:r>
        <w:rPr>
          <w:rStyle w:val="FootnoteReference"/>
          <w:rFonts w:ascii="Arial" w:hAnsi="Arial" w:cs="Arial"/>
          <w:sz w:val="22"/>
          <w:szCs w:val="22"/>
        </w:rPr>
        <w:footnoteReference w:id="51"/>
      </w:r>
    </w:p>
    <w:p w14:paraId="4AA8E36C" w14:textId="77777777" w:rsidR="004148F9" w:rsidRDefault="004148F9" w:rsidP="004E6A5B">
      <w:pPr>
        <w:rPr>
          <w:rFonts w:ascii="Arial" w:hAnsi="Arial" w:cs="Arial"/>
          <w:sz w:val="22"/>
          <w:szCs w:val="22"/>
        </w:rPr>
      </w:pPr>
    </w:p>
    <w:p w14:paraId="456ABB54" w14:textId="77777777" w:rsidR="004E6A5B" w:rsidRDefault="004E6A5B" w:rsidP="004E6A5B">
      <w:pPr>
        <w:rPr>
          <w:rFonts w:ascii="Arial" w:hAnsi="Arial" w:cs="Arial"/>
          <w:sz w:val="22"/>
          <w:szCs w:val="22"/>
        </w:rPr>
      </w:pPr>
      <w:r>
        <w:rPr>
          <w:rFonts w:ascii="Arial" w:hAnsi="Arial" w:cs="Arial"/>
          <w:sz w:val="22"/>
          <w:szCs w:val="22"/>
        </w:rPr>
        <w:t>The debtor then chooses the trustee, subject to confirmation by unsecured creditors at the first meeting of creditors.</w:t>
      </w:r>
      <w:r>
        <w:rPr>
          <w:rStyle w:val="FootnoteReference"/>
          <w:rFonts w:ascii="Arial" w:hAnsi="Arial" w:cs="Arial"/>
          <w:sz w:val="22"/>
          <w:szCs w:val="22"/>
        </w:rPr>
        <w:footnoteReference w:id="52"/>
      </w:r>
    </w:p>
    <w:p w14:paraId="2AA1637A" w14:textId="77777777" w:rsidR="004E6A5B" w:rsidRDefault="004E6A5B" w:rsidP="004E6A5B">
      <w:pPr>
        <w:pStyle w:val="Multilevel1"/>
        <w:numPr>
          <w:ilvl w:val="0"/>
          <w:numId w:val="0"/>
        </w:numPr>
        <w:tabs>
          <w:tab w:val="left" w:pos="720"/>
        </w:tabs>
        <w:ind w:left="720" w:hanging="720"/>
        <w:rPr>
          <w:rFonts w:ascii="Arial" w:hAnsi="Arial" w:cs="Arial"/>
          <w:sz w:val="22"/>
          <w:szCs w:val="22"/>
        </w:rPr>
      </w:pPr>
      <w:r>
        <w:rPr>
          <w:rFonts w:ascii="Arial" w:hAnsi="Arial" w:cs="Arial"/>
          <w:sz w:val="22"/>
          <w:szCs w:val="22"/>
        </w:rPr>
        <w:t>However, a court may annul a bankruptcy if it is satisfied that either:</w:t>
      </w:r>
      <w:r>
        <w:rPr>
          <w:rStyle w:val="FootnoteReference"/>
          <w:rFonts w:ascii="Arial" w:hAnsi="Arial" w:cs="Arial"/>
          <w:sz w:val="22"/>
          <w:szCs w:val="22"/>
        </w:rPr>
        <w:footnoteReference w:id="53"/>
      </w:r>
    </w:p>
    <w:p w14:paraId="0C72109F" w14:textId="77777777" w:rsidR="004E6A5B" w:rsidRDefault="004E6A5B" w:rsidP="004148F9">
      <w:pPr>
        <w:pStyle w:val="Multilevel3"/>
        <w:numPr>
          <w:ilvl w:val="0"/>
          <w:numId w:val="45"/>
        </w:numPr>
        <w:rPr>
          <w:rFonts w:ascii="Arial" w:hAnsi="Arial" w:cs="Arial"/>
          <w:sz w:val="22"/>
          <w:szCs w:val="22"/>
        </w:rPr>
      </w:pPr>
      <w:r>
        <w:rPr>
          <w:rFonts w:ascii="Arial" w:hAnsi="Arial" w:cs="Arial"/>
          <w:sz w:val="22"/>
          <w:szCs w:val="22"/>
        </w:rPr>
        <w:t>The debtor was not an insolvent person when they made the assignment; or</w:t>
      </w:r>
    </w:p>
    <w:p w14:paraId="0EF45A50" w14:textId="77777777" w:rsidR="004E6A5B" w:rsidRDefault="004E6A5B" w:rsidP="004148F9">
      <w:pPr>
        <w:pStyle w:val="Multilevel3"/>
        <w:numPr>
          <w:ilvl w:val="0"/>
          <w:numId w:val="45"/>
        </w:numPr>
        <w:rPr>
          <w:rFonts w:ascii="Arial" w:hAnsi="Arial" w:cs="Arial"/>
          <w:sz w:val="22"/>
          <w:szCs w:val="22"/>
        </w:rPr>
      </w:pPr>
      <w:r>
        <w:rPr>
          <w:rFonts w:ascii="Arial" w:hAnsi="Arial" w:cs="Arial"/>
          <w:sz w:val="22"/>
          <w:szCs w:val="22"/>
        </w:rPr>
        <w:t xml:space="preserve">The debtor abused the process of the court, with the debtor's intent determining whether an abuse of process has occurred. </w:t>
      </w:r>
    </w:p>
    <w:p w14:paraId="6ADAB61B" w14:textId="77777777" w:rsidR="004148F9" w:rsidRPr="004148F9" w:rsidRDefault="004148F9" w:rsidP="004E6A5B">
      <w:pPr>
        <w:rPr>
          <w:rFonts w:ascii="Arial" w:hAnsi="Arial" w:cs="Arial"/>
          <w:sz w:val="16"/>
          <w:szCs w:val="16"/>
        </w:rPr>
      </w:pPr>
    </w:p>
    <w:p w14:paraId="4F396B87" w14:textId="6389151B" w:rsidR="004E6A5B" w:rsidRDefault="004E6A5B" w:rsidP="004E6A5B">
      <w:pPr>
        <w:rPr>
          <w:rFonts w:ascii="Arial" w:hAnsi="Arial" w:cs="Arial"/>
          <w:sz w:val="22"/>
          <w:szCs w:val="22"/>
        </w:rPr>
      </w:pPr>
      <w:r>
        <w:rPr>
          <w:rFonts w:ascii="Arial" w:hAnsi="Arial" w:cs="Arial"/>
          <w:sz w:val="22"/>
          <w:szCs w:val="22"/>
        </w:rPr>
        <w:t>The third and final method of entering bankruptcy is deemed to have occurred when a BIA proposal has failed.</w:t>
      </w:r>
      <w:r>
        <w:rPr>
          <w:rStyle w:val="FootnoteReference"/>
          <w:rFonts w:ascii="Arial" w:hAnsi="Arial" w:cs="Arial"/>
          <w:sz w:val="22"/>
          <w:szCs w:val="22"/>
        </w:rPr>
        <w:footnoteReference w:id="54"/>
      </w:r>
    </w:p>
    <w:p w14:paraId="1CFB8AD9" w14:textId="77777777" w:rsidR="004148F9" w:rsidRDefault="004148F9" w:rsidP="004E6A5B">
      <w:pPr>
        <w:rPr>
          <w:rFonts w:ascii="Arial" w:hAnsi="Arial" w:cs="Arial"/>
          <w:sz w:val="22"/>
          <w:szCs w:val="22"/>
        </w:rPr>
      </w:pPr>
    </w:p>
    <w:p w14:paraId="68DF0A49" w14:textId="790A58BB" w:rsidR="004E6A5B" w:rsidRDefault="004E6A5B" w:rsidP="004E6A5B">
      <w:pPr>
        <w:rPr>
          <w:rFonts w:ascii="Arial" w:hAnsi="Arial" w:cs="Arial"/>
          <w:sz w:val="22"/>
          <w:szCs w:val="22"/>
        </w:rPr>
      </w:pPr>
      <w:r>
        <w:rPr>
          <w:rFonts w:ascii="Arial" w:hAnsi="Arial" w:cs="Arial"/>
          <w:sz w:val="22"/>
          <w:szCs w:val="22"/>
        </w:rPr>
        <w:t>Pursuant to the BIA, both corporate and consumer proposals can be made that allow debtors to reach a compromise with their creditors.</w:t>
      </w:r>
      <w:r>
        <w:rPr>
          <w:rStyle w:val="FootnoteReference"/>
          <w:rFonts w:ascii="Arial" w:hAnsi="Arial" w:cs="Arial"/>
          <w:sz w:val="22"/>
          <w:szCs w:val="22"/>
        </w:rPr>
        <w:footnoteReference w:id="55"/>
      </w:r>
    </w:p>
    <w:p w14:paraId="1CFAFD17" w14:textId="77777777" w:rsidR="004148F9" w:rsidRDefault="004148F9" w:rsidP="004E6A5B">
      <w:pPr>
        <w:rPr>
          <w:rFonts w:ascii="Arial" w:hAnsi="Arial" w:cs="Arial"/>
          <w:sz w:val="22"/>
          <w:szCs w:val="22"/>
        </w:rPr>
      </w:pPr>
    </w:p>
    <w:p w14:paraId="4F9A701B" w14:textId="63CC1845" w:rsidR="004E6A5B" w:rsidRDefault="004E6A5B" w:rsidP="004E6A5B">
      <w:pPr>
        <w:rPr>
          <w:rFonts w:ascii="Arial" w:hAnsi="Arial" w:cs="Arial"/>
          <w:sz w:val="22"/>
          <w:szCs w:val="22"/>
        </w:rPr>
      </w:pPr>
      <w:r>
        <w:rPr>
          <w:rFonts w:ascii="Arial" w:hAnsi="Arial" w:cs="Arial"/>
          <w:sz w:val="22"/>
          <w:szCs w:val="22"/>
        </w:rPr>
        <w:t>With respect to corporate proposals, a majority of the proven creditors in each class, by number, together with two-thirds of the proven creditors in that class, by dollar value, must approve the proposal in order for it to be binding on each class of creditors it purports to affect.</w:t>
      </w:r>
      <w:r>
        <w:rPr>
          <w:rStyle w:val="FootnoteReference"/>
          <w:rFonts w:ascii="Arial" w:hAnsi="Arial" w:cs="Arial"/>
          <w:sz w:val="22"/>
          <w:szCs w:val="22"/>
        </w:rPr>
        <w:footnoteReference w:id="56"/>
      </w:r>
      <w:r>
        <w:rPr>
          <w:rFonts w:ascii="Arial" w:hAnsi="Arial" w:cs="Arial"/>
          <w:sz w:val="22"/>
          <w:szCs w:val="22"/>
        </w:rPr>
        <w:t xml:space="preserve"> If approved, and subject to the court's approval, the proposal would be binding on all creditors within that class.</w:t>
      </w:r>
      <w:r>
        <w:rPr>
          <w:rStyle w:val="FootnoteReference"/>
          <w:rFonts w:ascii="Arial" w:hAnsi="Arial" w:cs="Arial"/>
          <w:sz w:val="22"/>
          <w:szCs w:val="22"/>
        </w:rPr>
        <w:footnoteReference w:id="57"/>
      </w:r>
    </w:p>
    <w:p w14:paraId="27CC02C2" w14:textId="77777777" w:rsidR="004148F9" w:rsidRDefault="004148F9" w:rsidP="004E6A5B">
      <w:pPr>
        <w:rPr>
          <w:rFonts w:ascii="Arial" w:hAnsi="Arial" w:cs="Arial"/>
          <w:sz w:val="22"/>
          <w:szCs w:val="22"/>
        </w:rPr>
      </w:pPr>
    </w:p>
    <w:p w14:paraId="72CB90A0" w14:textId="58929156" w:rsidR="004E6A5B" w:rsidRDefault="004E6A5B" w:rsidP="004E6A5B">
      <w:pPr>
        <w:rPr>
          <w:rFonts w:ascii="Arial" w:hAnsi="Arial" w:cs="Arial"/>
          <w:sz w:val="22"/>
          <w:szCs w:val="22"/>
        </w:rPr>
      </w:pPr>
      <w:r>
        <w:rPr>
          <w:rFonts w:ascii="Arial" w:hAnsi="Arial" w:cs="Arial"/>
          <w:sz w:val="22"/>
          <w:szCs w:val="22"/>
        </w:rPr>
        <w:t>If a debtor defaults under the terms of the proposal, and the default is not waived by the creditor representatives appointed by the creditors or the creditors themselves, the proposal trustee is required to inform the creditor as well as the Official Receiver.</w:t>
      </w:r>
      <w:r>
        <w:rPr>
          <w:rStyle w:val="FootnoteReference"/>
          <w:rFonts w:ascii="Arial" w:hAnsi="Arial" w:cs="Arial"/>
          <w:sz w:val="22"/>
          <w:szCs w:val="22"/>
        </w:rPr>
        <w:footnoteReference w:id="58"/>
      </w:r>
      <w:r>
        <w:rPr>
          <w:rFonts w:ascii="Arial" w:hAnsi="Arial" w:cs="Arial"/>
          <w:sz w:val="22"/>
          <w:szCs w:val="22"/>
        </w:rPr>
        <w:t xml:space="preserve"> A motion may then be filed with the court to annul the proposal, which if granted, would automatically result in the debtor being assigned into bankruptcy.</w:t>
      </w:r>
      <w:r>
        <w:rPr>
          <w:rStyle w:val="FootnoteReference"/>
          <w:rFonts w:ascii="Arial" w:hAnsi="Arial" w:cs="Arial"/>
          <w:sz w:val="22"/>
          <w:szCs w:val="22"/>
        </w:rPr>
        <w:footnoteReference w:id="59"/>
      </w:r>
    </w:p>
    <w:p w14:paraId="09DE6750" w14:textId="77777777" w:rsidR="004148F9" w:rsidRDefault="004148F9" w:rsidP="004E6A5B">
      <w:pPr>
        <w:rPr>
          <w:rFonts w:ascii="Arial" w:hAnsi="Arial" w:cs="Arial"/>
          <w:sz w:val="22"/>
          <w:szCs w:val="22"/>
        </w:rPr>
      </w:pPr>
    </w:p>
    <w:p w14:paraId="06783BA5" w14:textId="342E1E16" w:rsidR="004E6A5B" w:rsidRDefault="004E6A5B" w:rsidP="004E6A5B">
      <w:pPr>
        <w:rPr>
          <w:rFonts w:ascii="Arial" w:hAnsi="Arial" w:cs="Arial"/>
          <w:sz w:val="22"/>
          <w:szCs w:val="22"/>
        </w:rPr>
      </w:pPr>
      <w:r>
        <w:rPr>
          <w:rFonts w:ascii="Arial" w:hAnsi="Arial" w:cs="Arial"/>
          <w:sz w:val="22"/>
          <w:szCs w:val="22"/>
        </w:rPr>
        <w:t>However, if the corporate proposal is rejected by the creditors, or not approved by the court, the debtor is deemed to have made an assignment in bankruptcy.</w:t>
      </w:r>
      <w:r>
        <w:rPr>
          <w:rStyle w:val="FootnoteReference"/>
          <w:rFonts w:ascii="Arial" w:hAnsi="Arial" w:cs="Arial"/>
          <w:sz w:val="22"/>
          <w:szCs w:val="22"/>
        </w:rPr>
        <w:footnoteReference w:id="60"/>
      </w:r>
    </w:p>
    <w:p w14:paraId="68450A68" w14:textId="77777777" w:rsidR="004148F9" w:rsidRDefault="004148F9" w:rsidP="004E6A5B">
      <w:pPr>
        <w:rPr>
          <w:rFonts w:ascii="Arial" w:hAnsi="Arial" w:cs="Arial"/>
          <w:sz w:val="22"/>
          <w:szCs w:val="22"/>
        </w:rPr>
      </w:pPr>
    </w:p>
    <w:p w14:paraId="3773A050" w14:textId="3BAD1E82" w:rsidR="006F4E04" w:rsidRPr="004148F9" w:rsidRDefault="004E6A5B" w:rsidP="004148F9">
      <w:pPr>
        <w:rPr>
          <w:rFonts w:ascii="Arial" w:hAnsi="Arial" w:cs="Arial"/>
          <w:sz w:val="22"/>
          <w:szCs w:val="22"/>
        </w:rPr>
      </w:pPr>
      <w:r>
        <w:rPr>
          <w:rFonts w:ascii="Arial" w:hAnsi="Arial" w:cs="Arial"/>
          <w:sz w:val="22"/>
          <w:szCs w:val="22"/>
        </w:rPr>
        <w:lastRenderedPageBreak/>
        <w:t>The above is slightly different with a consumer proposal, as such proposal will be binding on all creditors, regardless of vote, if approved by a simple majority.</w:t>
      </w:r>
      <w:r>
        <w:rPr>
          <w:rStyle w:val="FootnoteReference"/>
          <w:rFonts w:ascii="Arial" w:hAnsi="Arial" w:cs="Arial"/>
          <w:sz w:val="22"/>
          <w:szCs w:val="22"/>
        </w:rPr>
        <w:footnoteReference w:id="61"/>
      </w:r>
      <w:r>
        <w:rPr>
          <w:rFonts w:ascii="Arial" w:hAnsi="Arial" w:cs="Arial"/>
          <w:sz w:val="22"/>
          <w:szCs w:val="22"/>
        </w:rPr>
        <w:t xml:space="preserve"> If a debtor fails to make three consecutive monthly payments, the proposal will be automatically annulled, with all funds paid forfeited and all penalties, fees and interest charges reinstated.</w:t>
      </w:r>
      <w:r>
        <w:rPr>
          <w:rStyle w:val="FootnoteReference"/>
          <w:rFonts w:ascii="Arial" w:hAnsi="Arial" w:cs="Arial"/>
          <w:sz w:val="22"/>
          <w:szCs w:val="22"/>
        </w:rPr>
        <w:footnoteReference w:id="62"/>
      </w:r>
      <w:r>
        <w:rPr>
          <w:rFonts w:ascii="Arial" w:hAnsi="Arial" w:cs="Arial"/>
          <w:sz w:val="22"/>
          <w:szCs w:val="22"/>
        </w:rPr>
        <w:t xml:space="preserve"> Creditors may then bring a motion to assign the debtor into bankruptcy.</w:t>
      </w:r>
      <w:r>
        <w:rPr>
          <w:rStyle w:val="FootnoteReference"/>
          <w:rFonts w:ascii="Arial" w:hAnsi="Arial" w:cs="Arial"/>
          <w:sz w:val="22"/>
          <w:szCs w:val="22"/>
        </w:rPr>
        <w:footnoteReference w:id="63"/>
      </w:r>
    </w:p>
    <w:p w14:paraId="57BA6B66" w14:textId="77777777" w:rsidR="00C57600" w:rsidRPr="00EA4B1E" w:rsidRDefault="00C57600"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59452B88" w14:textId="7DF19D20" w:rsidR="00F47A63" w:rsidRDefault="00876316" w:rsidP="00F47A63">
      <w:pPr>
        <w:jc w:val="both"/>
        <w:rPr>
          <w:rFonts w:ascii="Avenir Next" w:eastAsia="Calibri" w:hAnsi="Avenir Next" w:cs="Arial"/>
          <w:sz w:val="22"/>
          <w:szCs w:val="22"/>
          <w:lang w:val="en-ZA"/>
        </w:rPr>
      </w:pPr>
      <w:r w:rsidRPr="00876316">
        <w:rPr>
          <w:rFonts w:ascii="Avenir Next" w:eastAsia="Calibri" w:hAnsi="Avenir Next" w:cs="Arial"/>
          <w:sz w:val="22"/>
          <w:szCs w:val="22"/>
          <w:lang w:val="en-ZA"/>
        </w:rPr>
        <w:t>You are a lawyer in Canada. You are consulted by counsel in a foreign jurisdiction who is representing an agent operating under the law of t</w:t>
      </w:r>
      <w:r w:rsidR="00BE0F37">
        <w:rPr>
          <w:rFonts w:ascii="Avenir Next" w:eastAsia="Calibri" w:hAnsi="Avenir Next" w:cs="Arial"/>
          <w:sz w:val="22"/>
          <w:szCs w:val="22"/>
          <w:lang w:val="en-ZA"/>
        </w:rPr>
        <w:t>hat</w:t>
      </w:r>
      <w:r w:rsidRPr="00876316">
        <w:rPr>
          <w:rFonts w:ascii="Avenir Next" w:eastAsia="Calibri" w:hAnsi="Avenir Next" w:cs="Arial"/>
          <w:sz w:val="22"/>
          <w:szCs w:val="22"/>
          <w:lang w:val="en-ZA"/>
        </w:rPr>
        <w:t xml:space="preserve"> foreign jurisdiction and who is empowered by the legislation and courts of that foreign jurisdiction to deal with the assets of insolvent companies. </w:t>
      </w:r>
      <w:r w:rsidR="000D09C4">
        <w:rPr>
          <w:rFonts w:ascii="Avenir Next" w:eastAsia="Calibri" w:hAnsi="Avenir Next" w:cs="Arial"/>
          <w:sz w:val="22"/>
          <w:szCs w:val="22"/>
          <w:lang w:val="en-ZA"/>
        </w:rPr>
        <w:t>An</w:t>
      </w:r>
      <w:r w:rsidRPr="00876316">
        <w:rPr>
          <w:rFonts w:ascii="Avenir Next" w:eastAsia="Calibri" w:hAnsi="Avenir Next" w:cs="Arial"/>
          <w:sz w:val="22"/>
          <w:szCs w:val="22"/>
          <w:lang w:val="en-ZA"/>
        </w:rPr>
        <w:t xml:space="preserv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Pr>
          <w:rFonts w:ascii="Avenir Next" w:eastAsia="Calibri" w:hAnsi="Avenir Next" w:cs="Arial"/>
          <w:sz w:val="22"/>
          <w:szCs w:val="22"/>
          <w:lang w:val="en-ZA"/>
        </w:rPr>
        <w:t>-</w:t>
      </w:r>
      <w:r w:rsidRPr="00876316">
        <w:rPr>
          <w:rFonts w:ascii="Avenir Next" w:eastAsia="Calibri" w:hAnsi="Avenir Next" w:cs="Arial"/>
          <w:sz w:val="22"/>
          <w:szCs w:val="22"/>
          <w:lang w:val="en-ZA"/>
        </w:rPr>
        <w:t>related issues, the company has been unable to maintain liquidity and has defaulted on various loans to its foreign-based secured lenders who are owed in excess of CAD</w:t>
      </w:r>
      <w:r w:rsidR="00461166">
        <w:rPr>
          <w:rFonts w:ascii="Avenir Next" w:eastAsia="Calibri" w:hAnsi="Avenir Next" w:cs="Arial"/>
          <w:sz w:val="22"/>
          <w:szCs w:val="22"/>
          <w:lang w:val="en-ZA"/>
        </w:rPr>
        <w:t> </w:t>
      </w:r>
      <w:r w:rsidRPr="00876316">
        <w:rPr>
          <w:rFonts w:ascii="Avenir Next" w:eastAsia="Calibri" w:hAnsi="Avenir Next" w:cs="Arial"/>
          <w:sz w:val="22"/>
          <w:szCs w:val="22"/>
          <w:lang w:val="en-ZA"/>
        </w:rPr>
        <w:t>200 million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w:t>
      </w:r>
      <w:r w:rsidR="00461166">
        <w:rPr>
          <w:rFonts w:ascii="Avenir Next" w:eastAsia="Calibri" w:hAnsi="Avenir Next" w:cs="Arial"/>
          <w:sz w:val="22"/>
          <w:szCs w:val="22"/>
          <w:lang w:val="en-ZA"/>
        </w:rPr>
        <w:t>is</w:t>
      </w:r>
      <w:r w:rsidRPr="00876316">
        <w:rPr>
          <w:rFonts w:ascii="Avenir Next" w:eastAsia="Calibri" w:hAnsi="Avenir Next" w:cs="Arial"/>
          <w:sz w:val="22"/>
          <w:szCs w:val="22"/>
          <w:lang w:val="en-ZA"/>
        </w:rPr>
        <w:t xml:space="preserve">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in order to maximise recoveries and provide for an equitable distribution of value among all creditors.</w:t>
      </w:r>
    </w:p>
    <w:p w14:paraId="20937960" w14:textId="54A410AB" w:rsidR="00C57600" w:rsidRDefault="00C57600"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657A3085" w:rsidR="00F47A63" w:rsidRDefault="00EB4BBB" w:rsidP="00F47A63">
      <w:pPr>
        <w:spacing w:line="276" w:lineRule="auto"/>
        <w:jc w:val="both"/>
        <w:rPr>
          <w:rFonts w:ascii="Avenir Next" w:eastAsia="Calibri" w:hAnsi="Avenir Next" w:cs="Arial"/>
          <w:sz w:val="22"/>
          <w:szCs w:val="22"/>
          <w:lang w:val="en-ZA"/>
        </w:rPr>
      </w:pPr>
      <w:r w:rsidRPr="00EB4BBB">
        <w:rPr>
          <w:rFonts w:ascii="Avenir Next" w:eastAsia="Calibri" w:hAnsi="Avenir Next" w:cs="Arial"/>
          <w:sz w:val="22"/>
          <w:szCs w:val="22"/>
          <w:lang w:val="en-ZA"/>
        </w:rPr>
        <w:t>The foreign agent wants to understand the process to commence a recognition application and obtain recognition of the foreign proceeding in Canada. What is your advice</w:t>
      </w:r>
      <w:r w:rsidR="001F41FC">
        <w:rPr>
          <w:rFonts w:ascii="Avenir Next" w:eastAsia="Calibri" w:hAnsi="Avenir Next" w:cs="Arial"/>
          <w:sz w:val="22"/>
          <w:szCs w:val="22"/>
          <w:lang w:val="en-ZA"/>
        </w:rPr>
        <w:t xml:space="preserve"> in this regard</w:t>
      </w:r>
      <w:r w:rsidRPr="00EB4BBB">
        <w:rPr>
          <w:rFonts w:ascii="Avenir Next" w:eastAsia="Calibri" w:hAnsi="Avenir Next" w:cs="Arial"/>
          <w:sz w:val="22"/>
          <w:szCs w:val="22"/>
          <w:lang w:val="en-ZA"/>
        </w:rPr>
        <w:t>?</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7F0669A7" w14:textId="7B783C30" w:rsidR="004E6A5B" w:rsidRDefault="004E6A5B" w:rsidP="004E6A5B">
      <w:pPr>
        <w:rPr>
          <w:rFonts w:ascii="Arial" w:hAnsi="Arial" w:cs="Arial"/>
          <w:sz w:val="22"/>
          <w:szCs w:val="22"/>
        </w:rPr>
      </w:pPr>
      <w:r>
        <w:rPr>
          <w:rFonts w:ascii="Arial" w:hAnsi="Arial" w:cs="Arial"/>
          <w:sz w:val="22"/>
          <w:szCs w:val="22"/>
        </w:rPr>
        <w:t>Recognition of foreign proceedings in Canada is possible due to both the BIA and the CCCAA having adopted a modified version of the UNCITRAL Model Law, with the relevant provisions providing a framework for recognition of foreign insolvency proceedings and acceptance of jurisdiction.</w:t>
      </w:r>
      <w:r>
        <w:rPr>
          <w:rStyle w:val="FootnoteReference"/>
          <w:rFonts w:ascii="Arial" w:hAnsi="Arial" w:cs="Arial"/>
          <w:sz w:val="22"/>
          <w:szCs w:val="22"/>
        </w:rPr>
        <w:footnoteReference w:id="64"/>
      </w:r>
    </w:p>
    <w:p w14:paraId="4EA9EAE8" w14:textId="77777777" w:rsidR="004148F9" w:rsidRDefault="004148F9" w:rsidP="004E6A5B">
      <w:pPr>
        <w:rPr>
          <w:rFonts w:ascii="Arial" w:hAnsi="Arial" w:cs="Arial"/>
          <w:sz w:val="22"/>
          <w:szCs w:val="22"/>
        </w:rPr>
      </w:pPr>
    </w:p>
    <w:p w14:paraId="3410389C" w14:textId="77777777" w:rsidR="004E6A5B" w:rsidRDefault="004E6A5B" w:rsidP="004E6A5B">
      <w:pPr>
        <w:rPr>
          <w:rFonts w:ascii="Arial" w:hAnsi="Arial" w:cs="Arial"/>
          <w:sz w:val="22"/>
          <w:szCs w:val="22"/>
        </w:rPr>
      </w:pPr>
      <w:r>
        <w:rPr>
          <w:rFonts w:ascii="Arial" w:hAnsi="Arial" w:cs="Arial"/>
          <w:sz w:val="22"/>
          <w:szCs w:val="22"/>
        </w:rPr>
        <w:t>In particular, Canadian courts are required to recognize foreign proceedings on formal proof of the following:</w:t>
      </w:r>
      <w:r>
        <w:rPr>
          <w:rStyle w:val="FootnoteReference"/>
          <w:rFonts w:ascii="Arial" w:hAnsi="Arial" w:cs="Arial"/>
          <w:sz w:val="22"/>
          <w:szCs w:val="22"/>
        </w:rPr>
        <w:footnoteReference w:id="65"/>
      </w:r>
    </w:p>
    <w:p w14:paraId="6D5885C5" w14:textId="77777777" w:rsidR="004E6A5B" w:rsidRPr="004148F9" w:rsidRDefault="004E6A5B" w:rsidP="004148F9">
      <w:pPr>
        <w:pStyle w:val="Multilevel1"/>
        <w:numPr>
          <w:ilvl w:val="0"/>
          <w:numId w:val="46"/>
        </w:numPr>
        <w:rPr>
          <w:rFonts w:ascii="Arial" w:hAnsi="Arial" w:cs="Arial"/>
          <w:sz w:val="22"/>
          <w:szCs w:val="22"/>
        </w:rPr>
      </w:pPr>
      <w:r w:rsidRPr="004148F9">
        <w:rPr>
          <w:rFonts w:ascii="Arial" w:hAnsi="Arial" w:cs="Arial"/>
          <w:sz w:val="22"/>
          <w:szCs w:val="22"/>
        </w:rPr>
        <w:t>The proceeding is a "foreign proceeding" in accordance with the statutory definition;</w:t>
      </w:r>
    </w:p>
    <w:p w14:paraId="7810D33E" w14:textId="77777777" w:rsidR="004E6A5B" w:rsidRDefault="004E6A5B" w:rsidP="004E6A5B">
      <w:pPr>
        <w:pStyle w:val="Multilevel1"/>
        <w:numPr>
          <w:ilvl w:val="0"/>
          <w:numId w:val="31"/>
        </w:numPr>
        <w:rPr>
          <w:rFonts w:ascii="Arial" w:hAnsi="Arial" w:cs="Arial"/>
          <w:sz w:val="22"/>
          <w:szCs w:val="22"/>
        </w:rPr>
      </w:pPr>
      <w:r>
        <w:rPr>
          <w:rFonts w:ascii="Arial" w:hAnsi="Arial" w:cs="Arial"/>
          <w:sz w:val="22"/>
          <w:szCs w:val="22"/>
        </w:rPr>
        <w:t>The applicant is a "foreign representative" in accordance with the statutory definition; and</w:t>
      </w:r>
    </w:p>
    <w:p w14:paraId="3884FB51" w14:textId="77777777" w:rsidR="004E6A5B" w:rsidRDefault="004E6A5B" w:rsidP="004E6A5B">
      <w:pPr>
        <w:pStyle w:val="Multilevel1"/>
        <w:numPr>
          <w:ilvl w:val="0"/>
          <w:numId w:val="31"/>
        </w:numPr>
        <w:rPr>
          <w:rFonts w:ascii="Arial" w:hAnsi="Arial" w:cs="Arial"/>
          <w:sz w:val="22"/>
          <w:szCs w:val="22"/>
        </w:rPr>
      </w:pPr>
      <w:r>
        <w:rPr>
          <w:rFonts w:ascii="Arial" w:hAnsi="Arial" w:cs="Arial"/>
          <w:sz w:val="22"/>
          <w:szCs w:val="22"/>
        </w:rPr>
        <w:t>Whether the "foreign proceeding" is a "foreign main proceeding" or a "foreign non-main proceeding" based on the centre of main interest analysis.</w:t>
      </w:r>
    </w:p>
    <w:p w14:paraId="60AA2DC3" w14:textId="6A9A9DB4" w:rsidR="004E6A5B" w:rsidRDefault="004E6A5B" w:rsidP="004E6A5B">
      <w:pPr>
        <w:rPr>
          <w:rFonts w:ascii="Arial" w:hAnsi="Arial" w:cs="Arial"/>
          <w:sz w:val="22"/>
          <w:szCs w:val="22"/>
        </w:rPr>
      </w:pPr>
      <w:r>
        <w:rPr>
          <w:rFonts w:ascii="Arial" w:hAnsi="Arial" w:cs="Arial"/>
          <w:sz w:val="22"/>
          <w:szCs w:val="22"/>
        </w:rPr>
        <w:lastRenderedPageBreak/>
        <w:t>"Foreign proceeding" is defined as a judicial or administrative proceeding, including an interim proceeding, in a jurisdiction outside Canada dealing with creditors' collective interests generally under any law relating to bankruptcy or insolvency in which a debtor's property and affairs are subject to control or supervision by a foreign court for the purpose of reorganization or liquidation.</w:t>
      </w:r>
      <w:r>
        <w:rPr>
          <w:rStyle w:val="FootnoteReference"/>
          <w:rFonts w:ascii="Arial" w:hAnsi="Arial" w:cs="Arial"/>
          <w:sz w:val="22"/>
          <w:szCs w:val="22"/>
        </w:rPr>
        <w:footnoteReference w:id="66"/>
      </w:r>
    </w:p>
    <w:p w14:paraId="48A0F4F5" w14:textId="77777777" w:rsidR="004148F9" w:rsidRDefault="004148F9" w:rsidP="004E6A5B">
      <w:pPr>
        <w:rPr>
          <w:rFonts w:ascii="Arial" w:hAnsi="Arial" w:cs="Arial"/>
          <w:sz w:val="22"/>
          <w:szCs w:val="22"/>
        </w:rPr>
      </w:pPr>
    </w:p>
    <w:p w14:paraId="7BAA7BC9" w14:textId="77777777" w:rsidR="004E6A5B" w:rsidRDefault="004E6A5B" w:rsidP="004E6A5B">
      <w:pPr>
        <w:rPr>
          <w:rFonts w:ascii="Arial" w:hAnsi="Arial" w:cs="Arial"/>
          <w:sz w:val="22"/>
          <w:szCs w:val="22"/>
        </w:rPr>
      </w:pPr>
      <w:r>
        <w:rPr>
          <w:rFonts w:ascii="Arial" w:hAnsi="Arial" w:cs="Arial"/>
          <w:sz w:val="22"/>
          <w:szCs w:val="22"/>
        </w:rPr>
        <w:t>"Foreign representative" is defined as a person or body, including one appointed on an interim basis, who is authorized, in a foreign proceeding in respect of a debtor, to:</w:t>
      </w:r>
      <w:r>
        <w:rPr>
          <w:rStyle w:val="FootnoteReference"/>
          <w:rFonts w:ascii="Arial" w:hAnsi="Arial" w:cs="Arial"/>
          <w:sz w:val="22"/>
          <w:szCs w:val="22"/>
        </w:rPr>
        <w:footnoteReference w:id="67"/>
      </w:r>
    </w:p>
    <w:p w14:paraId="565BC814" w14:textId="77777777" w:rsidR="004E6A5B" w:rsidRDefault="004E6A5B" w:rsidP="004E6A5B">
      <w:pPr>
        <w:pStyle w:val="Multilevel3"/>
        <w:numPr>
          <w:ilvl w:val="2"/>
          <w:numId w:val="31"/>
        </w:numPr>
        <w:ind w:left="567" w:hanging="567"/>
        <w:rPr>
          <w:rFonts w:ascii="Arial" w:hAnsi="Arial" w:cs="Arial"/>
          <w:sz w:val="22"/>
          <w:szCs w:val="22"/>
        </w:rPr>
      </w:pPr>
      <w:r>
        <w:rPr>
          <w:rFonts w:ascii="Arial" w:hAnsi="Arial" w:cs="Arial"/>
          <w:sz w:val="22"/>
          <w:szCs w:val="22"/>
        </w:rPr>
        <w:t>Administer the debtor's property or affairs for the purpose of reorganization or liquidation; or</w:t>
      </w:r>
    </w:p>
    <w:p w14:paraId="1A177D10" w14:textId="77777777" w:rsidR="004E6A5B" w:rsidRDefault="004E6A5B" w:rsidP="004E6A5B">
      <w:pPr>
        <w:pStyle w:val="Multilevel3"/>
        <w:numPr>
          <w:ilvl w:val="2"/>
          <w:numId w:val="31"/>
        </w:numPr>
        <w:ind w:left="567" w:hanging="567"/>
        <w:rPr>
          <w:rFonts w:ascii="Arial" w:hAnsi="Arial" w:cs="Arial"/>
          <w:sz w:val="22"/>
          <w:szCs w:val="22"/>
        </w:rPr>
      </w:pPr>
      <w:r>
        <w:rPr>
          <w:rFonts w:ascii="Arial" w:hAnsi="Arial" w:cs="Arial"/>
          <w:sz w:val="22"/>
          <w:szCs w:val="22"/>
        </w:rPr>
        <w:t>Act as a representative in respect of the foreign proceeding.</w:t>
      </w:r>
    </w:p>
    <w:p w14:paraId="12258178" w14:textId="21606330" w:rsidR="004E6A5B" w:rsidRDefault="004E6A5B" w:rsidP="004E6A5B">
      <w:pPr>
        <w:rPr>
          <w:rFonts w:ascii="Arial" w:hAnsi="Arial" w:cs="Arial"/>
          <w:sz w:val="22"/>
          <w:szCs w:val="22"/>
        </w:rPr>
      </w:pPr>
      <w:r>
        <w:rPr>
          <w:rFonts w:ascii="Arial" w:hAnsi="Arial" w:cs="Arial"/>
          <w:sz w:val="22"/>
          <w:szCs w:val="22"/>
        </w:rPr>
        <w:t xml:space="preserve">"Foreign main proceeding" is defined as a foreign proceeding in a jurisdiction where the debtor has the </w:t>
      </w:r>
      <w:r w:rsidR="004148F9">
        <w:rPr>
          <w:rFonts w:ascii="Arial" w:hAnsi="Arial" w:cs="Arial"/>
          <w:sz w:val="22"/>
          <w:szCs w:val="22"/>
        </w:rPr>
        <w:t>center</w:t>
      </w:r>
      <w:r>
        <w:rPr>
          <w:rFonts w:ascii="Arial" w:hAnsi="Arial" w:cs="Arial"/>
          <w:sz w:val="22"/>
          <w:szCs w:val="22"/>
        </w:rPr>
        <w:t xml:space="preserve"> of the debtor's main interests; while a "foreign non-main proceeding" is defined as a foreign proceeding, other than a foreign main proceeding.</w:t>
      </w:r>
      <w:r>
        <w:rPr>
          <w:rStyle w:val="FootnoteReference"/>
          <w:rFonts w:ascii="Arial" w:hAnsi="Arial" w:cs="Arial"/>
          <w:sz w:val="22"/>
          <w:szCs w:val="22"/>
        </w:rPr>
        <w:footnoteReference w:id="68"/>
      </w:r>
    </w:p>
    <w:p w14:paraId="3C82861E" w14:textId="77777777" w:rsidR="004148F9" w:rsidRDefault="004148F9" w:rsidP="004E6A5B">
      <w:pPr>
        <w:rPr>
          <w:rFonts w:ascii="Arial" w:hAnsi="Arial" w:cs="Arial"/>
          <w:sz w:val="22"/>
          <w:szCs w:val="22"/>
        </w:rPr>
      </w:pPr>
    </w:p>
    <w:p w14:paraId="43E483FA" w14:textId="766003AA" w:rsidR="004E6A5B" w:rsidRDefault="004E6A5B" w:rsidP="004E6A5B">
      <w:pPr>
        <w:rPr>
          <w:rFonts w:ascii="Arial" w:hAnsi="Arial" w:cs="Arial"/>
          <w:sz w:val="22"/>
          <w:szCs w:val="22"/>
        </w:rPr>
      </w:pPr>
      <w:r>
        <w:rPr>
          <w:rFonts w:ascii="Arial" w:hAnsi="Arial" w:cs="Arial"/>
          <w:sz w:val="22"/>
          <w:szCs w:val="22"/>
        </w:rPr>
        <w:t>In order to commence the application, the foreign agent here must file sufficient evidence of the foreign law to allow the Canadian court to determine that they are a foreign representative and that the proceeding is a foreign proceeding.</w:t>
      </w:r>
      <w:r>
        <w:rPr>
          <w:rStyle w:val="FootnoteReference"/>
          <w:rFonts w:ascii="Arial" w:hAnsi="Arial" w:cs="Arial"/>
          <w:sz w:val="22"/>
          <w:szCs w:val="22"/>
        </w:rPr>
        <w:footnoteReference w:id="69"/>
      </w:r>
      <w:r>
        <w:rPr>
          <w:rFonts w:ascii="Arial" w:hAnsi="Arial" w:cs="Arial"/>
          <w:sz w:val="22"/>
          <w:szCs w:val="22"/>
        </w:rPr>
        <w:t xml:space="preserve"> The focus in this analysis is on the substance of the foreign law.</w:t>
      </w:r>
      <w:r>
        <w:rPr>
          <w:rStyle w:val="FootnoteReference"/>
          <w:rFonts w:ascii="Arial" w:hAnsi="Arial" w:cs="Arial"/>
          <w:sz w:val="22"/>
          <w:szCs w:val="22"/>
        </w:rPr>
        <w:footnoteReference w:id="70"/>
      </w:r>
    </w:p>
    <w:p w14:paraId="5C7977A2" w14:textId="77777777" w:rsidR="004148F9" w:rsidRDefault="004148F9" w:rsidP="004E6A5B">
      <w:pPr>
        <w:rPr>
          <w:rFonts w:ascii="Arial" w:hAnsi="Arial" w:cs="Arial"/>
          <w:sz w:val="22"/>
          <w:szCs w:val="22"/>
        </w:rPr>
      </w:pPr>
    </w:p>
    <w:p w14:paraId="30A7EE2E" w14:textId="3AEF6AD4" w:rsidR="004E6A5B" w:rsidRDefault="004E6A5B" w:rsidP="004E6A5B">
      <w:pPr>
        <w:rPr>
          <w:rFonts w:ascii="Arial" w:hAnsi="Arial" w:cs="Arial"/>
          <w:sz w:val="22"/>
          <w:szCs w:val="22"/>
        </w:rPr>
      </w:pPr>
      <w:r>
        <w:rPr>
          <w:rFonts w:ascii="Arial" w:hAnsi="Arial" w:cs="Arial"/>
          <w:sz w:val="22"/>
          <w:szCs w:val="22"/>
        </w:rPr>
        <w:t xml:space="preserve">The foreign proceeding here would likely fall within the definition of "foreign proceeding" given it is a proceeding in a jurisdiction outside Canada dealing with the creditors' collective interests in which the debtor's property and affairs are subject to the control and/or supervision of a foreign court for the purpose of reorganization and/or liquidation. </w:t>
      </w:r>
    </w:p>
    <w:p w14:paraId="0DE20CDA" w14:textId="77777777" w:rsidR="004148F9" w:rsidRDefault="004148F9" w:rsidP="004E6A5B">
      <w:pPr>
        <w:rPr>
          <w:rFonts w:ascii="Arial" w:hAnsi="Arial" w:cs="Arial"/>
          <w:sz w:val="22"/>
          <w:szCs w:val="22"/>
        </w:rPr>
      </w:pPr>
    </w:p>
    <w:p w14:paraId="356924D1" w14:textId="77777777" w:rsidR="004E6A5B" w:rsidRDefault="004E6A5B" w:rsidP="004E6A5B">
      <w:pPr>
        <w:rPr>
          <w:rFonts w:ascii="Arial" w:hAnsi="Arial" w:cs="Arial"/>
          <w:sz w:val="22"/>
          <w:szCs w:val="22"/>
        </w:rPr>
      </w:pPr>
      <w:r>
        <w:rPr>
          <w:rFonts w:ascii="Arial" w:hAnsi="Arial" w:cs="Arial"/>
          <w:sz w:val="22"/>
          <w:szCs w:val="22"/>
        </w:rPr>
        <w:t xml:space="preserve">Additionally, the foreign agent here falls within the definition of "foreign representative" as he or she is acting as a representative in respect of the foreign proceeding. </w:t>
      </w:r>
    </w:p>
    <w:p w14:paraId="1DB6320E" w14:textId="3413C5C3" w:rsidR="004E6A5B" w:rsidRDefault="004E6A5B" w:rsidP="004E6A5B">
      <w:pPr>
        <w:rPr>
          <w:rFonts w:ascii="Arial" w:hAnsi="Arial" w:cs="Arial"/>
          <w:sz w:val="22"/>
          <w:szCs w:val="22"/>
        </w:rPr>
      </w:pPr>
      <w:r>
        <w:rPr>
          <w:rFonts w:ascii="Arial" w:hAnsi="Arial" w:cs="Arial"/>
          <w:sz w:val="22"/>
          <w:szCs w:val="22"/>
        </w:rPr>
        <w:t>As such, the requirements for formal recognition would therefore likely be met, subject to formal proof as well the public policy exemption (which is further discussed in the answer to question 4.3).</w:t>
      </w:r>
    </w:p>
    <w:p w14:paraId="75969703" w14:textId="77777777" w:rsidR="004148F9" w:rsidRDefault="004148F9" w:rsidP="004E6A5B">
      <w:pPr>
        <w:rPr>
          <w:rFonts w:ascii="Arial" w:hAnsi="Arial" w:cs="Arial"/>
          <w:sz w:val="22"/>
          <w:szCs w:val="22"/>
        </w:rPr>
      </w:pPr>
    </w:p>
    <w:p w14:paraId="71AB0B8A" w14:textId="67032E48" w:rsidR="004E6A5B" w:rsidRDefault="004E6A5B" w:rsidP="004E6A5B">
      <w:pPr>
        <w:rPr>
          <w:rFonts w:ascii="Arial" w:hAnsi="Arial" w:cs="Arial"/>
          <w:sz w:val="22"/>
          <w:szCs w:val="22"/>
        </w:rPr>
      </w:pPr>
      <w:r>
        <w:rPr>
          <w:rFonts w:ascii="Arial" w:hAnsi="Arial" w:cs="Arial"/>
          <w:sz w:val="22"/>
          <w:szCs w:val="22"/>
        </w:rPr>
        <w:t xml:space="preserve">Once the requirements for recognition are met, recognition will be automatic and compulsory, with the court required to make an order </w:t>
      </w:r>
      <w:r w:rsidR="004148F9">
        <w:rPr>
          <w:rFonts w:ascii="Arial" w:hAnsi="Arial" w:cs="Arial"/>
          <w:sz w:val="22"/>
          <w:szCs w:val="22"/>
        </w:rPr>
        <w:t>recognizing</w:t>
      </w:r>
      <w:r>
        <w:rPr>
          <w:rFonts w:ascii="Arial" w:hAnsi="Arial" w:cs="Arial"/>
          <w:sz w:val="22"/>
          <w:szCs w:val="22"/>
        </w:rPr>
        <w:t xml:space="preserve"> the foreign proceeding.</w:t>
      </w:r>
      <w:r>
        <w:rPr>
          <w:rStyle w:val="FootnoteReference"/>
          <w:rFonts w:ascii="Arial" w:hAnsi="Arial" w:cs="Arial"/>
          <w:sz w:val="22"/>
          <w:szCs w:val="22"/>
        </w:rPr>
        <w:footnoteReference w:id="71"/>
      </w:r>
    </w:p>
    <w:p w14:paraId="12BD5A26" w14:textId="77777777" w:rsidR="004148F9" w:rsidRDefault="004148F9" w:rsidP="004E6A5B">
      <w:pPr>
        <w:rPr>
          <w:rFonts w:ascii="Arial" w:hAnsi="Arial" w:cs="Arial"/>
          <w:sz w:val="22"/>
          <w:szCs w:val="22"/>
        </w:rPr>
      </w:pPr>
    </w:p>
    <w:p w14:paraId="49E69FC6" w14:textId="74CDB59E" w:rsidR="004E6A5B" w:rsidRDefault="004E6A5B" w:rsidP="004E6A5B">
      <w:pPr>
        <w:rPr>
          <w:rFonts w:ascii="Arial" w:hAnsi="Arial" w:cs="Arial"/>
          <w:sz w:val="22"/>
          <w:szCs w:val="22"/>
        </w:rPr>
      </w:pPr>
      <w:r>
        <w:rPr>
          <w:rFonts w:ascii="Arial" w:hAnsi="Arial" w:cs="Arial"/>
          <w:sz w:val="22"/>
          <w:szCs w:val="22"/>
        </w:rPr>
        <w:t>Recognition of the foreign proceeding will mean that the foreign agent will have standing to appear and be heard in Canadian courts.</w:t>
      </w:r>
      <w:r>
        <w:rPr>
          <w:rStyle w:val="FootnoteReference"/>
          <w:rFonts w:ascii="Arial" w:hAnsi="Arial" w:cs="Arial"/>
          <w:sz w:val="22"/>
          <w:szCs w:val="22"/>
        </w:rPr>
        <w:footnoteReference w:id="72"/>
      </w:r>
      <w:r>
        <w:rPr>
          <w:rFonts w:ascii="Arial" w:hAnsi="Arial" w:cs="Arial"/>
          <w:sz w:val="22"/>
          <w:szCs w:val="22"/>
        </w:rPr>
        <w:t xml:space="preserve"> Additionally, the recognition will place an obligation on Canadian officials to co-operate with the foreign agent as well as foreign courts.</w:t>
      </w:r>
      <w:r>
        <w:rPr>
          <w:rStyle w:val="FootnoteReference"/>
          <w:rFonts w:ascii="Arial" w:hAnsi="Arial" w:cs="Arial"/>
          <w:sz w:val="22"/>
          <w:szCs w:val="22"/>
        </w:rPr>
        <w:footnoteReference w:id="73"/>
      </w:r>
    </w:p>
    <w:p w14:paraId="18489F0C" w14:textId="77777777" w:rsidR="004148F9" w:rsidRDefault="004148F9" w:rsidP="004E6A5B">
      <w:pPr>
        <w:rPr>
          <w:rFonts w:ascii="Arial" w:hAnsi="Arial" w:cs="Arial"/>
          <w:sz w:val="22"/>
          <w:szCs w:val="22"/>
        </w:rPr>
      </w:pPr>
    </w:p>
    <w:p w14:paraId="669B34F1" w14:textId="05381F14" w:rsidR="006F4E04" w:rsidRPr="004148F9" w:rsidRDefault="004E6A5B" w:rsidP="006F4E04">
      <w:pPr>
        <w:rPr>
          <w:rFonts w:ascii="Arial" w:hAnsi="Arial" w:cs="Arial"/>
          <w:sz w:val="22"/>
          <w:szCs w:val="22"/>
        </w:rPr>
      </w:pPr>
      <w:r>
        <w:rPr>
          <w:rFonts w:ascii="Arial" w:hAnsi="Arial" w:cs="Arial"/>
          <w:sz w:val="22"/>
          <w:szCs w:val="22"/>
        </w:rPr>
        <w:t xml:space="preserve">Subject to the outcome of the </w:t>
      </w:r>
      <w:r w:rsidR="004148F9">
        <w:rPr>
          <w:rFonts w:ascii="Arial" w:hAnsi="Arial" w:cs="Arial"/>
          <w:sz w:val="22"/>
          <w:szCs w:val="22"/>
        </w:rPr>
        <w:t>center</w:t>
      </w:r>
      <w:r>
        <w:rPr>
          <w:rFonts w:ascii="Arial" w:hAnsi="Arial" w:cs="Arial"/>
          <w:sz w:val="22"/>
          <w:szCs w:val="22"/>
        </w:rPr>
        <w:t xml:space="preserve"> of main interest analysis, which is further discussed below, the court will determine whether the proceeding is a foreign main proceeding or a foreign-non main proceeding. In the event it is deemed a foreign main proceeding, the court will issue  a stay of proceedings.</w:t>
      </w:r>
      <w:r>
        <w:rPr>
          <w:rStyle w:val="FootnoteReference"/>
          <w:rFonts w:ascii="Arial" w:hAnsi="Arial" w:cs="Arial"/>
          <w:sz w:val="22"/>
          <w:szCs w:val="22"/>
        </w:rPr>
        <w:footnoteReference w:id="74"/>
      </w:r>
      <w:r>
        <w:rPr>
          <w:rFonts w:ascii="Arial" w:hAnsi="Arial" w:cs="Arial"/>
          <w:sz w:val="22"/>
          <w:szCs w:val="22"/>
        </w:rPr>
        <w:t xml:space="preserve"> This would be in the foreign agent's </w:t>
      </w:r>
      <w:r w:rsidR="004148F9">
        <w:rPr>
          <w:rFonts w:ascii="Arial" w:hAnsi="Arial" w:cs="Arial"/>
          <w:sz w:val="22"/>
          <w:szCs w:val="22"/>
        </w:rPr>
        <w:t>favor</w:t>
      </w:r>
      <w:r>
        <w:rPr>
          <w:rFonts w:ascii="Arial" w:hAnsi="Arial" w:cs="Arial"/>
          <w:sz w:val="22"/>
          <w:szCs w:val="22"/>
        </w:rPr>
        <w:t xml:space="preserve">, as it means the existing Canadian proceedings cannot continue and would therefore </w:t>
      </w:r>
      <w:r w:rsidR="004148F9">
        <w:rPr>
          <w:rFonts w:ascii="Arial" w:hAnsi="Arial" w:cs="Arial"/>
          <w:sz w:val="22"/>
          <w:szCs w:val="22"/>
        </w:rPr>
        <w:t>maximize</w:t>
      </w:r>
      <w:r>
        <w:rPr>
          <w:rFonts w:ascii="Arial" w:hAnsi="Arial" w:cs="Arial"/>
          <w:sz w:val="22"/>
          <w:szCs w:val="22"/>
        </w:rPr>
        <w:t xml:space="preserve"> the chances of securing a better outcome for the creditors of the foreign proceeding. If the court finds it is a non-foreign main proceeding, the foreign agent may still request a stay of </w:t>
      </w:r>
      <w:r>
        <w:rPr>
          <w:rFonts w:ascii="Arial" w:hAnsi="Arial" w:cs="Arial"/>
          <w:sz w:val="22"/>
          <w:szCs w:val="22"/>
        </w:rPr>
        <w:lastRenderedPageBreak/>
        <w:t>proceedings, but the court will be allowed to exercise its discretion to make any order it deems necessary for the protection of the debtor's property or the interests of creditors.</w:t>
      </w:r>
      <w:r>
        <w:rPr>
          <w:rStyle w:val="FootnoteReference"/>
          <w:rFonts w:ascii="Arial" w:hAnsi="Arial" w:cs="Arial"/>
          <w:sz w:val="22"/>
          <w:szCs w:val="22"/>
        </w:rPr>
        <w:footnoteReference w:id="75"/>
      </w:r>
    </w:p>
    <w:p w14:paraId="57191DAE" w14:textId="77777777" w:rsidR="00C57600" w:rsidRPr="006F4E04" w:rsidRDefault="00C57600"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E361303" w14:textId="16D0E4C4" w:rsidR="00F47A63" w:rsidRDefault="003825C7" w:rsidP="00F47A63">
      <w:pPr>
        <w:jc w:val="both"/>
        <w:rPr>
          <w:rFonts w:ascii="Avenir Next" w:hAnsi="Avenir Next" w:cs="Arial"/>
          <w:sz w:val="22"/>
          <w:szCs w:val="22"/>
          <w:lang w:val="en-GB"/>
        </w:rPr>
      </w:pPr>
      <w:r w:rsidRPr="003825C7">
        <w:rPr>
          <w:rFonts w:ascii="Avenir Next" w:hAnsi="Avenir Next" w:cs="Arial"/>
          <w:sz w:val="22"/>
          <w:szCs w:val="22"/>
          <w:lang w:val="en-GB"/>
        </w:rPr>
        <w:t xml:space="preserve">The foreign agent wants to understand the factors considered by a court in determining whether a jurisdiction is a “centre of main interest” in respect of a foreign proceeding. What </w:t>
      </w:r>
      <w:r>
        <w:rPr>
          <w:rFonts w:ascii="Avenir Next" w:hAnsi="Avenir Next" w:cs="Arial"/>
          <w:sz w:val="22"/>
          <w:szCs w:val="22"/>
          <w:lang w:val="en-GB"/>
        </w:rPr>
        <w:t>would you inform the foreign agent in this regard</w:t>
      </w:r>
      <w:r w:rsidRPr="003825C7">
        <w:rPr>
          <w:rFonts w:ascii="Avenir Next" w:hAnsi="Avenir Next" w:cs="Arial"/>
          <w:sz w:val="22"/>
          <w:szCs w:val="22"/>
          <w:lang w:val="en-GB"/>
        </w:rPr>
        <w:t>?</w:t>
      </w:r>
    </w:p>
    <w:p w14:paraId="3A3483DF" w14:textId="77777777" w:rsidR="003825C7" w:rsidRDefault="003825C7" w:rsidP="00F47A63">
      <w:pPr>
        <w:jc w:val="both"/>
        <w:rPr>
          <w:rFonts w:ascii="Avenir Next" w:hAnsi="Avenir Next" w:cs="Arial"/>
          <w:sz w:val="22"/>
          <w:szCs w:val="22"/>
          <w:lang w:val="en-GB"/>
        </w:rPr>
      </w:pPr>
    </w:p>
    <w:p w14:paraId="68C35AA0" w14:textId="29CE8519" w:rsidR="004E6A5B" w:rsidRDefault="004E6A5B" w:rsidP="004E6A5B">
      <w:pPr>
        <w:rPr>
          <w:rFonts w:ascii="Arial" w:hAnsi="Arial" w:cs="Arial"/>
          <w:sz w:val="22"/>
          <w:szCs w:val="22"/>
        </w:rPr>
      </w:pPr>
      <w:r>
        <w:rPr>
          <w:rFonts w:ascii="Arial" w:hAnsi="Arial" w:cs="Arial"/>
          <w:sz w:val="22"/>
          <w:szCs w:val="22"/>
        </w:rPr>
        <w:t>The Canadian legislation does not contain a definition of '</w:t>
      </w:r>
      <w:r w:rsidR="004148F9">
        <w:rPr>
          <w:rFonts w:ascii="Arial" w:hAnsi="Arial" w:cs="Arial"/>
          <w:sz w:val="22"/>
          <w:szCs w:val="22"/>
        </w:rPr>
        <w:t>center</w:t>
      </w:r>
      <w:r>
        <w:rPr>
          <w:rFonts w:ascii="Arial" w:hAnsi="Arial" w:cs="Arial"/>
          <w:sz w:val="22"/>
          <w:szCs w:val="22"/>
        </w:rPr>
        <w:t xml:space="preserve"> of main interest' (</w:t>
      </w:r>
      <w:r>
        <w:rPr>
          <w:rFonts w:ascii="Arial" w:hAnsi="Arial" w:cs="Arial"/>
          <w:b/>
          <w:bCs/>
          <w:sz w:val="22"/>
          <w:szCs w:val="22"/>
        </w:rPr>
        <w:t>COMI</w:t>
      </w:r>
      <w:r>
        <w:rPr>
          <w:rFonts w:ascii="Arial" w:hAnsi="Arial" w:cs="Arial"/>
          <w:sz w:val="22"/>
          <w:szCs w:val="22"/>
        </w:rPr>
        <w:t>).</w:t>
      </w:r>
      <w:r>
        <w:rPr>
          <w:rStyle w:val="FootnoteReference"/>
          <w:rFonts w:ascii="Arial" w:hAnsi="Arial" w:cs="Arial"/>
          <w:sz w:val="22"/>
          <w:szCs w:val="22"/>
        </w:rPr>
        <w:footnoteReference w:id="76"/>
      </w:r>
      <w:r>
        <w:rPr>
          <w:rFonts w:ascii="Arial" w:hAnsi="Arial" w:cs="Arial"/>
          <w:sz w:val="22"/>
          <w:szCs w:val="22"/>
        </w:rPr>
        <w:t xml:space="preserve"> However, both the BIA and CCAA contain rebuttable presumptions. Most relevantly here, given the debtor in question is a company, the COMI, in absence of evidence to the contrary, is the company’s registered office.</w:t>
      </w:r>
      <w:r>
        <w:rPr>
          <w:rStyle w:val="FootnoteReference"/>
          <w:rFonts w:ascii="Arial" w:hAnsi="Arial" w:cs="Arial"/>
          <w:sz w:val="22"/>
          <w:szCs w:val="22"/>
        </w:rPr>
        <w:footnoteReference w:id="77"/>
      </w:r>
    </w:p>
    <w:p w14:paraId="72D4C6DA" w14:textId="77777777" w:rsidR="004148F9" w:rsidRDefault="004148F9" w:rsidP="004E6A5B">
      <w:pPr>
        <w:rPr>
          <w:rFonts w:ascii="Arial" w:hAnsi="Arial" w:cs="Arial"/>
          <w:sz w:val="22"/>
          <w:szCs w:val="22"/>
        </w:rPr>
      </w:pPr>
    </w:p>
    <w:p w14:paraId="29789F37" w14:textId="67DD90EE" w:rsidR="004E6A5B" w:rsidRDefault="004E6A5B" w:rsidP="004E6A5B">
      <w:pPr>
        <w:rPr>
          <w:rFonts w:ascii="Arial" w:hAnsi="Arial" w:cs="Arial"/>
          <w:sz w:val="22"/>
          <w:szCs w:val="22"/>
        </w:rPr>
      </w:pPr>
      <w:r>
        <w:rPr>
          <w:rFonts w:ascii="Arial" w:hAnsi="Arial" w:cs="Arial"/>
          <w:sz w:val="22"/>
          <w:szCs w:val="22"/>
        </w:rPr>
        <w:t xml:space="preserve">Based on the facts, the company's registered office is in the foreign jurisdiction. As such, its COMI is the foreign jurisdiction. </w:t>
      </w:r>
    </w:p>
    <w:p w14:paraId="3A0DDE7E" w14:textId="77777777" w:rsidR="004148F9" w:rsidRDefault="004148F9" w:rsidP="004E6A5B">
      <w:pPr>
        <w:rPr>
          <w:rFonts w:ascii="Arial" w:hAnsi="Arial" w:cs="Arial"/>
          <w:sz w:val="22"/>
          <w:szCs w:val="22"/>
        </w:rPr>
      </w:pPr>
    </w:p>
    <w:p w14:paraId="1380DAD3" w14:textId="77777777" w:rsidR="004E6A5B" w:rsidRDefault="004E6A5B" w:rsidP="004E6A5B">
      <w:pPr>
        <w:rPr>
          <w:rFonts w:ascii="Arial" w:hAnsi="Arial" w:cs="Arial"/>
          <w:sz w:val="22"/>
          <w:szCs w:val="22"/>
        </w:rPr>
      </w:pPr>
      <w:r>
        <w:rPr>
          <w:rFonts w:ascii="Arial" w:hAnsi="Arial" w:cs="Arial"/>
          <w:sz w:val="22"/>
          <w:szCs w:val="22"/>
        </w:rPr>
        <w:t>However, in addition to this presumption, the courts have identified the following three considerations which will be taken into account in determining COMI, which may rebut the presumption:</w:t>
      </w:r>
      <w:r>
        <w:rPr>
          <w:rStyle w:val="FootnoteReference"/>
          <w:rFonts w:ascii="Arial" w:hAnsi="Arial" w:cs="Arial"/>
          <w:sz w:val="22"/>
          <w:szCs w:val="22"/>
        </w:rPr>
        <w:footnoteReference w:id="78"/>
      </w:r>
    </w:p>
    <w:p w14:paraId="51577BF6" w14:textId="77777777" w:rsidR="004E6A5B" w:rsidRPr="004148F9" w:rsidRDefault="004E6A5B" w:rsidP="004148F9">
      <w:pPr>
        <w:pStyle w:val="Multilevel1"/>
        <w:numPr>
          <w:ilvl w:val="0"/>
          <w:numId w:val="47"/>
        </w:numPr>
        <w:rPr>
          <w:rFonts w:ascii="Arial" w:hAnsi="Arial" w:cs="Arial"/>
          <w:sz w:val="22"/>
          <w:szCs w:val="22"/>
        </w:rPr>
      </w:pPr>
      <w:r w:rsidRPr="004148F9">
        <w:rPr>
          <w:rFonts w:ascii="Arial" w:hAnsi="Arial" w:cs="Arial"/>
          <w:sz w:val="22"/>
          <w:szCs w:val="22"/>
        </w:rPr>
        <w:t>The location that significant creditors recognize as being the centre of the company's operations;</w:t>
      </w:r>
    </w:p>
    <w:p w14:paraId="243B65C2" w14:textId="77777777" w:rsidR="004E6A5B" w:rsidRDefault="004E6A5B" w:rsidP="004E6A5B">
      <w:pPr>
        <w:pStyle w:val="Multilevel1"/>
        <w:numPr>
          <w:ilvl w:val="0"/>
          <w:numId w:val="31"/>
        </w:numPr>
        <w:rPr>
          <w:rFonts w:ascii="Arial" w:hAnsi="Arial" w:cs="Arial"/>
          <w:sz w:val="22"/>
          <w:szCs w:val="22"/>
        </w:rPr>
      </w:pPr>
      <w:r>
        <w:rPr>
          <w:rFonts w:ascii="Arial" w:hAnsi="Arial" w:cs="Arial"/>
          <w:sz w:val="22"/>
          <w:szCs w:val="22"/>
        </w:rPr>
        <w:t>The location in which the debtor's principal assets or operations are found; and</w:t>
      </w:r>
    </w:p>
    <w:p w14:paraId="15BB91B4" w14:textId="77777777" w:rsidR="004E6A5B" w:rsidRDefault="004E6A5B" w:rsidP="004E6A5B">
      <w:pPr>
        <w:pStyle w:val="Multilevel1"/>
        <w:numPr>
          <w:ilvl w:val="0"/>
          <w:numId w:val="31"/>
        </w:numPr>
        <w:rPr>
          <w:rFonts w:ascii="Arial" w:hAnsi="Arial" w:cs="Arial"/>
          <w:sz w:val="22"/>
          <w:szCs w:val="22"/>
        </w:rPr>
      </w:pPr>
      <w:r>
        <w:rPr>
          <w:rFonts w:ascii="Arial" w:hAnsi="Arial" w:cs="Arial"/>
          <w:sz w:val="22"/>
          <w:szCs w:val="22"/>
        </w:rPr>
        <w:t xml:space="preserve">The location of the debtor's headquarters, head office or 'nerve centre'. </w:t>
      </w:r>
    </w:p>
    <w:p w14:paraId="57D17224" w14:textId="77777777" w:rsidR="004E6A5B" w:rsidRDefault="004E6A5B" w:rsidP="004E6A5B">
      <w:pPr>
        <w:rPr>
          <w:rFonts w:ascii="Arial" w:hAnsi="Arial" w:cs="Arial"/>
          <w:sz w:val="22"/>
          <w:szCs w:val="22"/>
        </w:rPr>
      </w:pPr>
      <w:r>
        <w:rPr>
          <w:rFonts w:ascii="Arial" w:hAnsi="Arial" w:cs="Arial"/>
          <w:sz w:val="22"/>
          <w:szCs w:val="22"/>
        </w:rPr>
        <w:t xml:space="preserve">The above factors were considered in </w:t>
      </w:r>
      <w:r>
        <w:rPr>
          <w:rFonts w:ascii="Arial" w:hAnsi="Arial" w:cs="Arial"/>
          <w:i/>
          <w:iCs/>
          <w:sz w:val="22"/>
          <w:szCs w:val="22"/>
        </w:rPr>
        <w:t>Re MtGox Co</w:t>
      </w:r>
      <w:r>
        <w:rPr>
          <w:rFonts w:ascii="Arial" w:hAnsi="Arial" w:cs="Arial"/>
          <w:sz w:val="22"/>
          <w:szCs w:val="22"/>
        </w:rPr>
        <w:t xml:space="preserve"> [2014] ONSC 5811, where the court ultimately found that MtGox's COMI was in Japan rather than Canada due to:</w:t>
      </w:r>
      <w:r>
        <w:rPr>
          <w:rStyle w:val="FootnoteReference"/>
          <w:rFonts w:ascii="Arial" w:hAnsi="Arial" w:cs="Arial"/>
          <w:sz w:val="22"/>
          <w:szCs w:val="22"/>
        </w:rPr>
        <w:footnoteReference w:id="79"/>
      </w:r>
    </w:p>
    <w:p w14:paraId="1914C16C" w14:textId="77777777" w:rsidR="004E6A5B" w:rsidRDefault="004E6A5B" w:rsidP="004E6A5B">
      <w:pPr>
        <w:pStyle w:val="Multilevel3"/>
        <w:numPr>
          <w:ilvl w:val="2"/>
          <w:numId w:val="31"/>
        </w:numPr>
        <w:ind w:left="567" w:hanging="567"/>
        <w:rPr>
          <w:rFonts w:ascii="Arial" w:hAnsi="Arial" w:cs="Arial"/>
          <w:sz w:val="22"/>
          <w:szCs w:val="22"/>
        </w:rPr>
      </w:pPr>
      <w:r>
        <w:rPr>
          <w:rFonts w:ascii="Arial" w:hAnsi="Arial" w:cs="Arial"/>
          <w:sz w:val="22"/>
          <w:szCs w:val="22"/>
        </w:rPr>
        <w:t>MtGox having no assets or offices in Canada;</w:t>
      </w:r>
    </w:p>
    <w:p w14:paraId="4C4D06C1" w14:textId="77777777" w:rsidR="004E6A5B" w:rsidRDefault="004E6A5B" w:rsidP="004E6A5B">
      <w:pPr>
        <w:pStyle w:val="Multilevel3"/>
        <w:numPr>
          <w:ilvl w:val="2"/>
          <w:numId w:val="31"/>
        </w:numPr>
        <w:ind w:left="567" w:hanging="567"/>
        <w:rPr>
          <w:rFonts w:ascii="Arial" w:hAnsi="Arial" w:cs="Arial"/>
          <w:sz w:val="22"/>
          <w:szCs w:val="22"/>
        </w:rPr>
      </w:pPr>
      <w:r>
        <w:rPr>
          <w:rFonts w:ascii="Arial" w:hAnsi="Arial" w:cs="Arial"/>
          <w:sz w:val="22"/>
          <w:szCs w:val="22"/>
        </w:rPr>
        <w:t>MtGox always have been organized under the laws of Japan;</w:t>
      </w:r>
    </w:p>
    <w:p w14:paraId="4208EEA2" w14:textId="77777777" w:rsidR="004E6A5B" w:rsidRDefault="004E6A5B" w:rsidP="004E6A5B">
      <w:pPr>
        <w:pStyle w:val="Multilevel3"/>
        <w:numPr>
          <w:ilvl w:val="2"/>
          <w:numId w:val="31"/>
        </w:numPr>
        <w:ind w:left="567" w:hanging="567"/>
        <w:rPr>
          <w:rFonts w:ascii="Arial" w:hAnsi="Arial" w:cs="Arial"/>
          <w:sz w:val="22"/>
          <w:szCs w:val="22"/>
        </w:rPr>
      </w:pPr>
      <w:r>
        <w:rPr>
          <w:rFonts w:ascii="Arial" w:hAnsi="Arial" w:cs="Arial"/>
          <w:sz w:val="22"/>
          <w:szCs w:val="22"/>
        </w:rPr>
        <w:t>The registered office and books and records of MtGox being in Japan;</w:t>
      </w:r>
    </w:p>
    <w:p w14:paraId="6BB7927E" w14:textId="77777777" w:rsidR="004E6A5B" w:rsidRDefault="004E6A5B" w:rsidP="004E6A5B">
      <w:pPr>
        <w:pStyle w:val="Multilevel3"/>
        <w:numPr>
          <w:ilvl w:val="2"/>
          <w:numId w:val="31"/>
        </w:numPr>
        <w:ind w:left="567" w:hanging="567"/>
        <w:rPr>
          <w:rFonts w:ascii="Arial" w:hAnsi="Arial" w:cs="Arial"/>
          <w:sz w:val="22"/>
          <w:szCs w:val="22"/>
        </w:rPr>
      </w:pPr>
      <w:r>
        <w:rPr>
          <w:rFonts w:ascii="Arial" w:hAnsi="Arial" w:cs="Arial"/>
          <w:sz w:val="22"/>
          <w:szCs w:val="22"/>
        </w:rPr>
        <w:t>The sole director of MtGox residing in Japan;</w:t>
      </w:r>
    </w:p>
    <w:p w14:paraId="7C7BDD36" w14:textId="77777777" w:rsidR="004E6A5B" w:rsidRDefault="004E6A5B" w:rsidP="004E6A5B">
      <w:pPr>
        <w:pStyle w:val="Multilevel3"/>
        <w:numPr>
          <w:ilvl w:val="2"/>
          <w:numId w:val="31"/>
        </w:numPr>
        <w:ind w:left="567" w:hanging="567"/>
        <w:rPr>
          <w:rFonts w:ascii="Arial" w:hAnsi="Arial" w:cs="Arial"/>
          <w:sz w:val="22"/>
          <w:szCs w:val="22"/>
        </w:rPr>
      </w:pPr>
      <w:r>
        <w:rPr>
          <w:rFonts w:ascii="Arial" w:hAnsi="Arial" w:cs="Arial"/>
          <w:sz w:val="22"/>
          <w:szCs w:val="22"/>
        </w:rPr>
        <w:t>Most of MtGox's bank accounts being located in Japan;</w:t>
      </w:r>
    </w:p>
    <w:p w14:paraId="36E2611F" w14:textId="77777777" w:rsidR="004E6A5B" w:rsidRDefault="004E6A5B" w:rsidP="004E6A5B">
      <w:pPr>
        <w:pStyle w:val="Multilevel3"/>
        <w:numPr>
          <w:ilvl w:val="2"/>
          <w:numId w:val="31"/>
        </w:numPr>
        <w:ind w:left="567" w:hanging="567"/>
        <w:rPr>
          <w:rFonts w:ascii="Arial" w:hAnsi="Arial" w:cs="Arial"/>
          <w:sz w:val="22"/>
          <w:szCs w:val="22"/>
        </w:rPr>
      </w:pPr>
      <w:r>
        <w:rPr>
          <w:rFonts w:ascii="Arial" w:hAnsi="Arial" w:cs="Arial"/>
          <w:sz w:val="22"/>
          <w:szCs w:val="22"/>
        </w:rPr>
        <w:t xml:space="preserve">MtGox's parent company supplying services to it in Japan; </w:t>
      </w:r>
    </w:p>
    <w:p w14:paraId="25B4A985" w14:textId="77777777" w:rsidR="004E6A5B" w:rsidRDefault="004E6A5B" w:rsidP="004E6A5B">
      <w:pPr>
        <w:pStyle w:val="Multilevel3"/>
        <w:numPr>
          <w:ilvl w:val="2"/>
          <w:numId w:val="31"/>
        </w:numPr>
        <w:ind w:left="567" w:hanging="567"/>
        <w:rPr>
          <w:rFonts w:ascii="Arial" w:hAnsi="Arial" w:cs="Arial"/>
          <w:sz w:val="22"/>
          <w:szCs w:val="22"/>
        </w:rPr>
      </w:pPr>
      <w:r>
        <w:rPr>
          <w:rFonts w:ascii="Arial" w:hAnsi="Arial" w:cs="Arial"/>
          <w:sz w:val="22"/>
          <w:szCs w:val="22"/>
        </w:rPr>
        <w:t>MtGox's website clearly disclosing that it was a Japanese corporation located in Japan; and</w:t>
      </w:r>
    </w:p>
    <w:p w14:paraId="1ED82331" w14:textId="77777777" w:rsidR="004E6A5B" w:rsidRDefault="004E6A5B" w:rsidP="004E6A5B">
      <w:pPr>
        <w:pStyle w:val="Multilevel3"/>
        <w:numPr>
          <w:ilvl w:val="2"/>
          <w:numId w:val="31"/>
        </w:numPr>
        <w:ind w:left="567" w:hanging="567"/>
        <w:rPr>
          <w:rFonts w:ascii="Arial" w:hAnsi="Arial" w:cs="Arial"/>
          <w:sz w:val="22"/>
          <w:szCs w:val="22"/>
        </w:rPr>
      </w:pPr>
      <w:r>
        <w:rPr>
          <w:rFonts w:ascii="Arial" w:hAnsi="Arial" w:cs="Arial"/>
          <w:sz w:val="22"/>
          <w:szCs w:val="22"/>
        </w:rPr>
        <w:t xml:space="preserve">MtGox investigating hacking that occurred against it (which resulted in rehabilitation/restructuring proceedings) under the oversight of the Tokyo District Court. </w:t>
      </w:r>
    </w:p>
    <w:p w14:paraId="64CADA67" w14:textId="500281D7" w:rsidR="004E6A5B" w:rsidRDefault="004E6A5B" w:rsidP="004E6A5B">
      <w:pPr>
        <w:rPr>
          <w:rFonts w:ascii="Arial" w:hAnsi="Arial" w:cs="Arial"/>
          <w:sz w:val="22"/>
          <w:szCs w:val="22"/>
        </w:rPr>
      </w:pPr>
      <w:r>
        <w:rPr>
          <w:rFonts w:ascii="Arial" w:hAnsi="Arial" w:cs="Arial"/>
          <w:sz w:val="22"/>
          <w:szCs w:val="22"/>
        </w:rPr>
        <w:t xml:space="preserve">Applying the above to the debtor company here, it will be relevant that the debtor has a fulfilment office and warehouse in Canada as this means some of its assets are found in Canada. However, given that senior management has offices in the foreign jurisdiction rather than in Canada, the location of the debtor's </w:t>
      </w:r>
      <w:r w:rsidR="004148F9">
        <w:rPr>
          <w:rFonts w:ascii="Arial" w:hAnsi="Arial" w:cs="Arial"/>
          <w:sz w:val="22"/>
          <w:szCs w:val="22"/>
        </w:rPr>
        <w:t>headquarters</w:t>
      </w:r>
      <w:r>
        <w:rPr>
          <w:rFonts w:ascii="Arial" w:hAnsi="Arial" w:cs="Arial"/>
          <w:sz w:val="22"/>
          <w:szCs w:val="22"/>
        </w:rPr>
        <w:t xml:space="preserve"> or 'nerve </w:t>
      </w:r>
      <w:r w:rsidR="004148F9">
        <w:rPr>
          <w:rFonts w:ascii="Arial" w:hAnsi="Arial" w:cs="Arial"/>
          <w:sz w:val="22"/>
          <w:szCs w:val="22"/>
        </w:rPr>
        <w:t>center</w:t>
      </w:r>
      <w:r>
        <w:rPr>
          <w:rFonts w:ascii="Arial" w:hAnsi="Arial" w:cs="Arial"/>
          <w:sz w:val="22"/>
          <w:szCs w:val="22"/>
        </w:rPr>
        <w:t xml:space="preserve">' are likely to be found in the foreign jurisdiction. As such, it is unlikely that the COMI presumption is rebutted </w:t>
      </w:r>
      <w:r>
        <w:rPr>
          <w:rFonts w:ascii="Arial" w:hAnsi="Arial" w:cs="Arial"/>
          <w:sz w:val="22"/>
          <w:szCs w:val="22"/>
        </w:rPr>
        <w:lastRenderedPageBreak/>
        <w:t xml:space="preserve">here, and a Canadian court would likely find that the foreign proceeding here is a foreign main proceeding. </w:t>
      </w:r>
    </w:p>
    <w:p w14:paraId="7A957CA2" w14:textId="77777777" w:rsidR="004148F9" w:rsidRDefault="004148F9" w:rsidP="004E6A5B">
      <w:pPr>
        <w:rPr>
          <w:rFonts w:ascii="Arial" w:hAnsi="Arial" w:cs="Arial"/>
          <w:sz w:val="22"/>
          <w:szCs w:val="22"/>
        </w:rPr>
      </w:pPr>
    </w:p>
    <w:p w14:paraId="552985D2" w14:textId="77777777" w:rsidR="004E6A5B" w:rsidRDefault="004E6A5B" w:rsidP="004E6A5B">
      <w:pPr>
        <w:rPr>
          <w:rFonts w:ascii="Arial" w:hAnsi="Arial" w:cs="Arial"/>
          <w:sz w:val="22"/>
          <w:szCs w:val="22"/>
        </w:rPr>
      </w:pPr>
      <w:r>
        <w:rPr>
          <w:rFonts w:ascii="Arial" w:hAnsi="Arial" w:cs="Arial"/>
          <w:sz w:val="22"/>
          <w:szCs w:val="22"/>
        </w:rPr>
        <w:t xml:space="preserve">As discussed above, the benefit of this would be that a stay on all proceedings in Canada will be ordered, which means that the Canadian proceeding will not take any further steps against the debtor company. </w:t>
      </w:r>
    </w:p>
    <w:p w14:paraId="533ED754" w14:textId="77777777" w:rsidR="00C57600" w:rsidRPr="006F4E04" w:rsidRDefault="00C57600"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15BE5EEC" w14:textId="53DB53CD" w:rsidR="003F5D38" w:rsidRDefault="00D97579" w:rsidP="00F47A63">
      <w:pPr>
        <w:spacing w:line="276" w:lineRule="auto"/>
        <w:jc w:val="both"/>
        <w:rPr>
          <w:rFonts w:ascii="Avenir Next" w:hAnsi="Avenir Next" w:cs="Arial"/>
          <w:sz w:val="22"/>
          <w:szCs w:val="22"/>
          <w:lang w:val="en-GB"/>
        </w:rPr>
      </w:pPr>
      <w:r w:rsidRPr="00D97579">
        <w:rPr>
          <w:rFonts w:ascii="Avenir Next" w:hAnsi="Avenir Next" w:cs="Arial"/>
          <w:sz w:val="22"/>
          <w:szCs w:val="22"/>
          <w:lang w:val="en-GB"/>
        </w:rPr>
        <w:t xml:space="preserve">The foreign agent wants to know whether the Canadian court is limited to Canadian entitlements and remedies in the relief </w:t>
      </w:r>
      <w:r w:rsidR="002C5334">
        <w:rPr>
          <w:rFonts w:ascii="Avenir Next" w:hAnsi="Avenir Next" w:cs="Arial"/>
          <w:sz w:val="22"/>
          <w:szCs w:val="22"/>
          <w:lang w:val="en-GB"/>
        </w:rPr>
        <w:t xml:space="preserve">that </w:t>
      </w:r>
      <w:r w:rsidRPr="00D97579">
        <w:rPr>
          <w:rFonts w:ascii="Avenir Next" w:hAnsi="Avenir Next" w:cs="Arial"/>
          <w:sz w:val="22"/>
          <w:szCs w:val="22"/>
          <w:lang w:val="en-GB"/>
        </w:rPr>
        <w:t>they can provide</w:t>
      </w:r>
      <w:r w:rsidR="00CB5C28">
        <w:rPr>
          <w:rFonts w:ascii="Avenir Next" w:hAnsi="Avenir Next" w:cs="Arial"/>
          <w:sz w:val="22"/>
          <w:szCs w:val="22"/>
          <w:lang w:val="en-GB"/>
        </w:rPr>
        <w:t xml:space="preserve">. </w:t>
      </w:r>
      <w:r w:rsidR="0054130C">
        <w:rPr>
          <w:rFonts w:ascii="Avenir Next" w:hAnsi="Avenir Next" w:cs="Arial"/>
          <w:sz w:val="22"/>
          <w:szCs w:val="22"/>
          <w:lang w:val="en-GB"/>
        </w:rPr>
        <w:t>Advise the</w:t>
      </w:r>
      <w:r w:rsidRPr="00D97579">
        <w:rPr>
          <w:rFonts w:ascii="Avenir Next" w:hAnsi="Avenir Next" w:cs="Arial"/>
          <w:sz w:val="22"/>
          <w:szCs w:val="22"/>
          <w:lang w:val="en-GB"/>
        </w:rPr>
        <w:t xml:space="preserve"> foreign agent</w:t>
      </w:r>
      <w:r w:rsidR="00691CCD">
        <w:rPr>
          <w:rFonts w:ascii="Avenir Next" w:hAnsi="Avenir Next" w:cs="Arial"/>
          <w:sz w:val="22"/>
          <w:szCs w:val="22"/>
          <w:lang w:val="en-GB"/>
        </w:rPr>
        <w:t xml:space="preserve"> in this re</w:t>
      </w:r>
      <w:r w:rsidR="0000738A">
        <w:rPr>
          <w:rFonts w:ascii="Avenir Next" w:hAnsi="Avenir Next" w:cs="Arial"/>
          <w:sz w:val="22"/>
          <w:szCs w:val="22"/>
          <w:lang w:val="en-GB"/>
        </w:rPr>
        <w:t>spect.</w:t>
      </w:r>
    </w:p>
    <w:p w14:paraId="202AD08B" w14:textId="77777777" w:rsidR="004148F9" w:rsidRDefault="004148F9" w:rsidP="00F47A63">
      <w:pPr>
        <w:spacing w:line="276" w:lineRule="auto"/>
        <w:jc w:val="both"/>
        <w:rPr>
          <w:rFonts w:ascii="Avenir Next" w:hAnsi="Avenir Next" w:cs="Arial"/>
          <w:sz w:val="22"/>
          <w:szCs w:val="22"/>
          <w:lang w:val="en-GB"/>
        </w:rPr>
      </w:pPr>
    </w:p>
    <w:p w14:paraId="51BD479C" w14:textId="258F1BA5" w:rsidR="004E6A5B" w:rsidRDefault="004E6A5B" w:rsidP="004E6A5B">
      <w:pPr>
        <w:rPr>
          <w:rFonts w:ascii="Arial" w:hAnsi="Arial" w:cs="Arial"/>
          <w:sz w:val="22"/>
          <w:szCs w:val="22"/>
        </w:rPr>
      </w:pPr>
      <w:r>
        <w:rPr>
          <w:rFonts w:ascii="Arial" w:hAnsi="Arial" w:cs="Arial"/>
          <w:sz w:val="22"/>
          <w:szCs w:val="22"/>
        </w:rPr>
        <w:t xml:space="preserve">Once recognition has been granted, Canadian courts are not limited to Canadian entitlements and remedies in the relief that they can provide. </w:t>
      </w:r>
    </w:p>
    <w:p w14:paraId="7E2456CA" w14:textId="77777777" w:rsidR="004148F9" w:rsidRDefault="004148F9" w:rsidP="004E6A5B">
      <w:pPr>
        <w:rPr>
          <w:rFonts w:ascii="Arial" w:hAnsi="Arial" w:cs="Arial"/>
          <w:sz w:val="22"/>
          <w:szCs w:val="22"/>
        </w:rPr>
      </w:pPr>
    </w:p>
    <w:p w14:paraId="6570FDCB" w14:textId="53227905" w:rsidR="004E6A5B" w:rsidRDefault="004E6A5B" w:rsidP="004E6A5B">
      <w:pPr>
        <w:rPr>
          <w:rFonts w:ascii="Arial" w:hAnsi="Arial" w:cs="Arial"/>
          <w:sz w:val="22"/>
          <w:szCs w:val="22"/>
        </w:rPr>
      </w:pPr>
      <w:r>
        <w:rPr>
          <w:rFonts w:ascii="Arial" w:hAnsi="Arial" w:cs="Arial"/>
          <w:sz w:val="22"/>
          <w:szCs w:val="22"/>
        </w:rPr>
        <w:t>This is because the relevant Canadian legislation contains broadly worded provisions which provide the court with discretionary power to make any order it considers appropriate on application by a foreign representative, so long as the court is satisfied that it is necessary for the protection of the debtor company's property or the interests of creditors.</w:t>
      </w:r>
      <w:r>
        <w:rPr>
          <w:rStyle w:val="FootnoteReference"/>
          <w:rFonts w:ascii="Arial" w:hAnsi="Arial" w:cs="Arial"/>
          <w:sz w:val="22"/>
          <w:szCs w:val="22"/>
        </w:rPr>
        <w:footnoteReference w:id="80"/>
      </w:r>
    </w:p>
    <w:p w14:paraId="6C89958C" w14:textId="77777777" w:rsidR="004148F9" w:rsidRDefault="004148F9" w:rsidP="004E6A5B">
      <w:pPr>
        <w:rPr>
          <w:rFonts w:ascii="Arial" w:hAnsi="Arial" w:cs="Arial"/>
          <w:sz w:val="22"/>
          <w:szCs w:val="22"/>
        </w:rPr>
      </w:pPr>
    </w:p>
    <w:p w14:paraId="3AC53195" w14:textId="753B08CD" w:rsidR="004E6A5B" w:rsidRDefault="004E6A5B" w:rsidP="004E6A5B">
      <w:pPr>
        <w:rPr>
          <w:rFonts w:ascii="Arial" w:hAnsi="Arial" w:cs="Arial"/>
          <w:sz w:val="22"/>
          <w:szCs w:val="22"/>
        </w:rPr>
      </w:pPr>
      <w:r>
        <w:rPr>
          <w:rFonts w:ascii="Arial" w:hAnsi="Arial" w:cs="Arial"/>
          <w:sz w:val="22"/>
          <w:szCs w:val="22"/>
        </w:rPr>
        <w:t>Such orders may be in regard to the examination of witnesses, taking of evidence, as well as provision of information on a debtor's affairs and property.</w:t>
      </w:r>
      <w:r>
        <w:rPr>
          <w:rStyle w:val="FootnoteReference"/>
          <w:rFonts w:ascii="Arial" w:hAnsi="Arial" w:cs="Arial"/>
          <w:sz w:val="22"/>
          <w:szCs w:val="22"/>
        </w:rPr>
        <w:footnoteReference w:id="81"/>
      </w:r>
      <w:r>
        <w:rPr>
          <w:rFonts w:ascii="Arial" w:hAnsi="Arial" w:cs="Arial"/>
          <w:sz w:val="22"/>
          <w:szCs w:val="22"/>
        </w:rPr>
        <w:t xml:space="preserve"> Additionally, and so long as it is consistent with concurrent proceedings under the BIA and CCAA, a court is not restricted to provide the same or even similar remedies under Canadian law.</w:t>
      </w:r>
      <w:r>
        <w:rPr>
          <w:rStyle w:val="FootnoteReference"/>
          <w:rFonts w:ascii="Arial" w:hAnsi="Arial" w:cs="Arial"/>
          <w:sz w:val="22"/>
          <w:szCs w:val="22"/>
        </w:rPr>
        <w:footnoteReference w:id="82"/>
      </w:r>
      <w:r>
        <w:rPr>
          <w:rFonts w:ascii="Arial" w:hAnsi="Arial" w:cs="Arial"/>
          <w:sz w:val="22"/>
          <w:szCs w:val="22"/>
        </w:rPr>
        <w:t xml:space="preserve"> In fact, the Canadian court have previously ordered relief in a foreign-main proceeding which would not ordinarily be available in Canadian proceedings in the case of </w:t>
      </w:r>
      <w:r>
        <w:rPr>
          <w:rFonts w:ascii="Arial" w:hAnsi="Arial" w:cs="Arial"/>
          <w:i/>
          <w:iCs/>
          <w:sz w:val="22"/>
          <w:szCs w:val="22"/>
        </w:rPr>
        <w:t>Re Hartford Computer Hardware Inc</w:t>
      </w:r>
      <w:r>
        <w:rPr>
          <w:rFonts w:ascii="Arial" w:hAnsi="Arial" w:cs="Arial"/>
          <w:sz w:val="22"/>
          <w:szCs w:val="22"/>
        </w:rPr>
        <w:t>, 2012 ONSC 964.</w:t>
      </w:r>
      <w:r>
        <w:rPr>
          <w:rStyle w:val="FootnoteReference"/>
          <w:rFonts w:ascii="Arial" w:hAnsi="Arial" w:cs="Arial"/>
          <w:sz w:val="22"/>
          <w:szCs w:val="22"/>
        </w:rPr>
        <w:footnoteReference w:id="83"/>
      </w:r>
    </w:p>
    <w:p w14:paraId="74CDA4DE" w14:textId="77777777" w:rsidR="004148F9" w:rsidRDefault="004148F9" w:rsidP="004E6A5B">
      <w:pPr>
        <w:rPr>
          <w:rFonts w:ascii="Arial" w:hAnsi="Arial" w:cs="Arial"/>
          <w:sz w:val="22"/>
          <w:szCs w:val="22"/>
        </w:rPr>
      </w:pPr>
    </w:p>
    <w:p w14:paraId="3A0BFCFE" w14:textId="77777777" w:rsidR="004E6A5B" w:rsidRDefault="004E6A5B" w:rsidP="004E6A5B">
      <w:pPr>
        <w:rPr>
          <w:rFonts w:ascii="Arial" w:hAnsi="Arial" w:cs="Arial"/>
          <w:sz w:val="22"/>
          <w:szCs w:val="22"/>
        </w:rPr>
      </w:pPr>
      <w:r>
        <w:rPr>
          <w:rFonts w:ascii="Arial" w:hAnsi="Arial" w:cs="Arial"/>
          <w:sz w:val="22"/>
          <w:szCs w:val="22"/>
        </w:rPr>
        <w:t>However, the above is subject to the public policy exemption contained in Canadian insolvency legislation, which permits the court to refuse to do something which would be contrary to public policy when enforcing cross-border insolvency provisions.</w:t>
      </w:r>
      <w:r>
        <w:rPr>
          <w:rStyle w:val="FootnoteReference"/>
          <w:rFonts w:ascii="Arial" w:hAnsi="Arial" w:cs="Arial"/>
          <w:sz w:val="22"/>
          <w:szCs w:val="22"/>
        </w:rPr>
        <w:footnoteReference w:id="84"/>
      </w:r>
      <w:r>
        <w:rPr>
          <w:rFonts w:ascii="Arial" w:hAnsi="Arial" w:cs="Arial"/>
          <w:sz w:val="22"/>
          <w:szCs w:val="22"/>
        </w:rPr>
        <w:t xml:space="preserve"> However, practically speaking the exemption appears to be used rarely, and only where there is asymmetrical or unfair treatment of Canadian creditors.</w:t>
      </w:r>
      <w:r>
        <w:rPr>
          <w:rStyle w:val="FootnoteReference"/>
          <w:rFonts w:ascii="Arial" w:hAnsi="Arial" w:cs="Arial"/>
          <w:sz w:val="22"/>
          <w:szCs w:val="22"/>
        </w:rPr>
        <w:footnoteReference w:id="85"/>
      </w:r>
    </w:p>
    <w:p w14:paraId="0C9B8539" w14:textId="28A91D2A" w:rsidR="00F47A63" w:rsidRDefault="00F47A63" w:rsidP="00C27B6A">
      <w:pPr>
        <w:rPr>
          <w:rFonts w:ascii="Avenir Next" w:hAnsi="Avenir Next" w:cs="Arial"/>
          <w:b/>
          <w:bCs/>
          <w:sz w:val="22"/>
          <w:szCs w:val="22"/>
          <w:lang w:val="en-GB"/>
        </w:rPr>
      </w:pPr>
    </w:p>
    <w:p w14:paraId="7AD0936B" w14:textId="2CD793C0" w:rsidR="006F4E04" w:rsidRDefault="006F4E04" w:rsidP="00C27B6A">
      <w:pPr>
        <w:rPr>
          <w:rFonts w:ascii="Avenir Next" w:hAnsi="Avenir Next" w:cs="Arial"/>
          <w:b/>
          <w:bCs/>
          <w:sz w:val="22"/>
          <w:szCs w:val="22"/>
          <w:lang w:val="en-GB"/>
        </w:rPr>
      </w:pP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3369" w14:textId="77777777" w:rsidR="00A225B6" w:rsidRDefault="00A225B6" w:rsidP="00241B44">
      <w:r>
        <w:separator/>
      </w:r>
    </w:p>
  </w:endnote>
  <w:endnote w:type="continuationSeparator" w:id="0">
    <w:p w14:paraId="2F2EBCF9" w14:textId="77777777" w:rsidR="00A225B6" w:rsidRDefault="00A225B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4FAF5C7D" w:rsidR="00241FA3" w:rsidRPr="009B4976" w:rsidRDefault="005B589F" w:rsidP="009B4976">
    <w:pPr>
      <w:pStyle w:val="Footer"/>
      <w:ind w:right="360"/>
      <w:rPr>
        <w:rFonts w:ascii="Arial" w:hAnsi="Arial" w:cs="Arial"/>
        <w:sz w:val="18"/>
        <w:szCs w:val="18"/>
        <w:lang w:val="en-GB"/>
      </w:rPr>
    </w:pPr>
    <w:r w:rsidRPr="00584036">
      <w:rPr>
        <w:rFonts w:ascii="Arial" w:hAnsi="Arial" w:cs="Arial"/>
        <w:sz w:val="18"/>
        <w:szCs w:val="18"/>
        <w:lang w:val="en-GB"/>
      </w:rPr>
      <w:t>202223-916</w:t>
    </w:r>
    <w:r w:rsidR="0073158B" w:rsidRPr="009B4976">
      <w:rPr>
        <w:rFonts w:ascii="Arial" w:hAnsi="Arial" w:cs="Arial"/>
        <w:sz w:val="18"/>
        <w:szCs w:val="18"/>
        <w:lang w:val="en-GB"/>
      </w:rPr>
      <w:t>.assessment</w:t>
    </w:r>
    <w:r w:rsidR="008665AF">
      <w:rPr>
        <w:rFonts w:ascii="Arial" w:hAnsi="Arial" w:cs="Arial"/>
        <w:sz w:val="18"/>
        <w:szCs w:val="18"/>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9303" w14:textId="77777777" w:rsidR="00A225B6" w:rsidRDefault="00A225B6" w:rsidP="00241B44">
      <w:r>
        <w:separator/>
      </w:r>
    </w:p>
  </w:footnote>
  <w:footnote w:type="continuationSeparator" w:id="0">
    <w:p w14:paraId="5AFC5DF6" w14:textId="77777777" w:rsidR="00A225B6" w:rsidRDefault="00A225B6" w:rsidP="00241B44">
      <w:r>
        <w:continuationSeparator/>
      </w:r>
    </w:p>
  </w:footnote>
  <w:footnote w:id="1">
    <w:p w14:paraId="5A3FB843"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Gavin Finlayson, </w:t>
      </w:r>
      <w:r>
        <w:rPr>
          <w:rFonts w:ascii="Arial" w:hAnsi="Arial" w:cs="Arial"/>
          <w:i/>
          <w:iCs/>
          <w:sz w:val="22"/>
          <w:szCs w:val="22"/>
        </w:rPr>
        <w:t>Module 4C Guidance Text – Canada,</w:t>
      </w:r>
      <w:r>
        <w:rPr>
          <w:rFonts w:ascii="Arial" w:hAnsi="Arial" w:cs="Arial"/>
          <w:sz w:val="22"/>
          <w:szCs w:val="22"/>
        </w:rPr>
        <w:t xml:space="preserve"> September 2022, p 18, citing The Hon Mr Justice Lloyd Houlden, Mr Justice Geoffrey B Morawetz and Dr Jannis P Sarra, "The 2019 Annotated Bankruptcy and Insolvency Act" A§2.</w:t>
      </w:r>
    </w:p>
  </w:footnote>
  <w:footnote w:id="2">
    <w:p w14:paraId="57E05B49"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27.</w:t>
      </w:r>
    </w:p>
  </w:footnote>
  <w:footnote w:id="3">
    <w:p w14:paraId="551AD4F0"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 xml:space="preserve">. </w:t>
      </w:r>
    </w:p>
  </w:footnote>
  <w:footnote w:id="4">
    <w:p w14:paraId="0167D7BA"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5">
    <w:p w14:paraId="07CBBA90"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6">
    <w:p w14:paraId="3135A0E5"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17.</w:t>
      </w:r>
    </w:p>
  </w:footnote>
  <w:footnote w:id="7">
    <w:p w14:paraId="716A3812" w14:textId="77777777" w:rsidR="004E6A5B" w:rsidRDefault="004E6A5B" w:rsidP="004E6A5B">
      <w:pPr>
        <w:pStyle w:val="FootnoteText"/>
        <w:rPr>
          <w:rFonts w:ascii="Verdana" w:hAnsi="Verdana" w:cs="Times New Roman"/>
          <w:sz w:val="17"/>
          <w:szCs w:val="18"/>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11.</w:t>
      </w:r>
    </w:p>
  </w:footnote>
  <w:footnote w:id="8">
    <w:p w14:paraId="12F6044D"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17.</w:t>
      </w:r>
    </w:p>
  </w:footnote>
  <w:footnote w:id="9">
    <w:p w14:paraId="030FB7E5"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10">
    <w:p w14:paraId="04DCD5B8"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19.</w:t>
      </w:r>
    </w:p>
  </w:footnote>
  <w:footnote w:id="11">
    <w:p w14:paraId="26FFADFE"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12">
    <w:p w14:paraId="215322DB"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7.</w:t>
      </w:r>
    </w:p>
  </w:footnote>
  <w:footnote w:id="13">
    <w:p w14:paraId="0D6CEF86"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38.</w:t>
      </w:r>
    </w:p>
  </w:footnote>
  <w:footnote w:id="14">
    <w:p w14:paraId="272D917E"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39.</w:t>
      </w:r>
    </w:p>
  </w:footnote>
  <w:footnote w:id="15">
    <w:p w14:paraId="1A334FE4" w14:textId="77777777" w:rsidR="004E6A5B" w:rsidRDefault="004E6A5B" w:rsidP="004E6A5B">
      <w:pPr>
        <w:pStyle w:val="FootnoteText"/>
        <w:rPr>
          <w:rFonts w:ascii="Verdana" w:hAnsi="Verdana" w:cs="Times New Roman"/>
          <w:sz w:val="17"/>
          <w:szCs w:val="18"/>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16">
    <w:p w14:paraId="3D8C8B63"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 citing L A Rogers and P L J Huff, "Commercial Restructuring and Insolvency in Canada", the Insolvency Law Institute, p 18.</w:t>
      </w:r>
    </w:p>
  </w:footnote>
  <w:footnote w:id="17">
    <w:p w14:paraId="53CC1939"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18">
    <w:p w14:paraId="57F08BC1"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19">
    <w:p w14:paraId="422E421B"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20">
    <w:p w14:paraId="03AADB3B"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21">
    <w:p w14:paraId="4CA91C9B"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22">
    <w:p w14:paraId="0EBB4CAA"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40.</w:t>
      </w:r>
    </w:p>
  </w:footnote>
  <w:footnote w:id="23">
    <w:p w14:paraId="4278CDE1"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39.</w:t>
      </w:r>
    </w:p>
  </w:footnote>
  <w:footnote w:id="24">
    <w:p w14:paraId="2F7F0C74"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40.</w:t>
      </w:r>
    </w:p>
  </w:footnote>
  <w:footnote w:id="25">
    <w:p w14:paraId="380D7E35"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26">
    <w:p w14:paraId="78AF7657"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27">
    <w:p w14:paraId="7E5BE58E"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28">
    <w:p w14:paraId="268285D4"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39.</w:t>
      </w:r>
    </w:p>
  </w:footnote>
  <w:footnote w:id="29">
    <w:p w14:paraId="7854D8A0" w14:textId="77777777" w:rsidR="004E6A5B" w:rsidRDefault="004E6A5B" w:rsidP="004E6A5B">
      <w:pPr>
        <w:pStyle w:val="FootnoteText"/>
        <w:rPr>
          <w:rFonts w:ascii="Verdana" w:hAnsi="Verdana" w:cs="Times New Roman"/>
          <w:sz w:val="17"/>
          <w:szCs w:val="18"/>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30">
    <w:p w14:paraId="6A075E52"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40, citing ss 46 and 47 of the BIA.</w:t>
      </w:r>
    </w:p>
  </w:footnote>
  <w:footnote w:id="31">
    <w:p w14:paraId="37BA54B8"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40.</w:t>
      </w:r>
    </w:p>
  </w:footnote>
  <w:footnote w:id="32">
    <w:p w14:paraId="0250E406"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33">
    <w:p w14:paraId="74487119"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34">
    <w:p w14:paraId="1A27D1C2"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35">
    <w:p w14:paraId="04A6CBD5"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40 – 41. </w:t>
      </w:r>
    </w:p>
  </w:footnote>
  <w:footnote w:id="36">
    <w:p w14:paraId="0DE66161"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41.  </w:t>
      </w:r>
    </w:p>
  </w:footnote>
  <w:footnote w:id="37">
    <w:p w14:paraId="5A328627"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40.</w:t>
      </w:r>
    </w:p>
  </w:footnote>
  <w:footnote w:id="38">
    <w:p w14:paraId="63ECBA20"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20, citing s 43(1) of the BIA.</w:t>
      </w:r>
    </w:p>
  </w:footnote>
  <w:footnote w:id="39">
    <w:p w14:paraId="0BAD5165" w14:textId="77777777" w:rsidR="004E6A5B" w:rsidRDefault="004E6A5B" w:rsidP="004E6A5B">
      <w:pPr>
        <w:pStyle w:val="FootnoteText"/>
        <w:rPr>
          <w:rFonts w:ascii="Verdana" w:hAnsi="Verdana" w:cs="Times New Roman"/>
          <w:sz w:val="17"/>
          <w:szCs w:val="18"/>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20, citing s 42 of the BIA.</w:t>
      </w:r>
    </w:p>
  </w:footnote>
  <w:footnote w:id="40">
    <w:p w14:paraId="13183529"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21.</w:t>
      </w:r>
    </w:p>
  </w:footnote>
  <w:footnote w:id="41">
    <w:p w14:paraId="22BC127B"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20.</w:t>
      </w:r>
    </w:p>
  </w:footnote>
  <w:footnote w:id="42">
    <w:p w14:paraId="241DAF15"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21.</w:t>
      </w:r>
    </w:p>
  </w:footnote>
  <w:footnote w:id="43">
    <w:p w14:paraId="21D28D86"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44">
    <w:p w14:paraId="258C1FCE"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45">
    <w:p w14:paraId="0BACD850"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46">
    <w:p w14:paraId="00F32A91"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47">
    <w:p w14:paraId="0BB4A451" w14:textId="77777777" w:rsidR="004E6A5B" w:rsidRDefault="004E6A5B" w:rsidP="004E6A5B">
      <w:pPr>
        <w:pStyle w:val="FootnoteText"/>
        <w:rPr>
          <w:rFonts w:ascii="Verdana" w:hAnsi="Verdana" w:cs="Times New Roman"/>
          <w:sz w:val="17"/>
          <w:szCs w:val="18"/>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48">
    <w:p w14:paraId="2C106E47"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19, citing section 2 of the BIA.</w:t>
      </w:r>
    </w:p>
  </w:footnote>
  <w:footnote w:id="49">
    <w:p w14:paraId="0D635746"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22.</w:t>
      </w:r>
    </w:p>
  </w:footnote>
  <w:footnote w:id="50">
    <w:p w14:paraId="3717E079"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51">
    <w:p w14:paraId="2A0B6174"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52">
    <w:p w14:paraId="11A6790F"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53">
    <w:p w14:paraId="3A7EE6BA"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 citing s 181(1) of the BIA.</w:t>
      </w:r>
    </w:p>
  </w:footnote>
  <w:footnote w:id="54">
    <w:p w14:paraId="316642D7"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55">
    <w:p w14:paraId="3B1F00B5"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56">
    <w:p w14:paraId="2F6AE7FC"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57">
    <w:p w14:paraId="33528C49" w14:textId="77777777" w:rsidR="004E6A5B" w:rsidRDefault="004E6A5B" w:rsidP="004E6A5B">
      <w:pPr>
        <w:pStyle w:val="FootnoteText"/>
        <w:rPr>
          <w:rFonts w:ascii="Verdana" w:hAnsi="Verdana" w:cs="Times New Roman"/>
          <w:sz w:val="17"/>
          <w:szCs w:val="18"/>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58">
    <w:p w14:paraId="00DC88EA"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59">
    <w:p w14:paraId="277D3BEC"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60">
    <w:p w14:paraId="0A708815"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61">
    <w:p w14:paraId="1A214737"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34.</w:t>
      </w:r>
    </w:p>
  </w:footnote>
  <w:footnote w:id="62">
    <w:p w14:paraId="09B5BFF2"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63">
    <w:p w14:paraId="1C91502A"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64">
    <w:p w14:paraId="335204EE"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58.</w:t>
      </w:r>
    </w:p>
  </w:footnote>
  <w:footnote w:id="65">
    <w:p w14:paraId="6C93ED5C"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60.</w:t>
      </w:r>
    </w:p>
  </w:footnote>
  <w:footnote w:id="66">
    <w:p w14:paraId="0205C688" w14:textId="77777777" w:rsidR="004E6A5B" w:rsidRPr="004148F9"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Section 268(1) of </w:t>
      </w:r>
      <w:r w:rsidRPr="004148F9">
        <w:rPr>
          <w:rFonts w:ascii="Arial" w:hAnsi="Arial" w:cs="Arial"/>
          <w:sz w:val="22"/>
          <w:szCs w:val="22"/>
        </w:rPr>
        <w:t>the BIA, &lt;&lt;</w:t>
      </w:r>
      <w:hyperlink r:id="rId1" w:anchor="h-28874" w:history="1">
        <w:r w:rsidRPr="004148F9">
          <w:rPr>
            <w:rStyle w:val="Hyperlink"/>
            <w:rFonts w:ascii="Arial" w:hAnsi="Arial" w:cs="Arial"/>
            <w:color w:val="auto"/>
            <w:sz w:val="22"/>
            <w:szCs w:val="22"/>
            <w:u w:val="none"/>
          </w:rPr>
          <w:t>https://laws-lois.justice.gc.ca/eng/acts/b-3/page-35.html#h-28874</w:t>
        </w:r>
      </w:hyperlink>
      <w:r w:rsidRPr="004148F9">
        <w:rPr>
          <w:rStyle w:val="Hyperlink"/>
          <w:rFonts w:ascii="Arial" w:hAnsi="Arial" w:cs="Arial"/>
          <w:color w:val="auto"/>
          <w:sz w:val="22"/>
          <w:szCs w:val="22"/>
          <w:u w:val="none"/>
        </w:rPr>
        <w:t>&gt;&gt;</w:t>
      </w:r>
      <w:r w:rsidRPr="004148F9">
        <w:rPr>
          <w:rFonts w:ascii="Arial" w:hAnsi="Arial" w:cs="Arial"/>
          <w:sz w:val="22"/>
          <w:szCs w:val="22"/>
        </w:rPr>
        <w:t>, accessed 3 July 2023; and section 45(1) of the CCAA [although note that the CCAA definition omits the word 'liquidation' given the purpose of the CCAA is to reorganize insolvent companies], &lt;&lt;</w:t>
      </w:r>
      <w:hyperlink r:id="rId2" w:anchor="h-93427" w:history="1">
        <w:r w:rsidRPr="004148F9">
          <w:rPr>
            <w:rStyle w:val="Hyperlink"/>
            <w:rFonts w:ascii="Arial" w:hAnsi="Arial" w:cs="Arial"/>
            <w:color w:val="auto"/>
            <w:sz w:val="22"/>
            <w:szCs w:val="22"/>
            <w:u w:val="none"/>
          </w:rPr>
          <w:t>https://laws-lois.justice.gc.ca/eng/acts/c-36/page-6.html#h-93427</w:t>
        </w:r>
      </w:hyperlink>
      <w:r w:rsidRPr="004148F9">
        <w:rPr>
          <w:rStyle w:val="Hyperlink"/>
          <w:rFonts w:ascii="Arial" w:hAnsi="Arial" w:cs="Arial"/>
          <w:color w:val="auto"/>
          <w:sz w:val="22"/>
          <w:szCs w:val="22"/>
          <w:u w:val="none"/>
        </w:rPr>
        <w:t>&gt;&gt;</w:t>
      </w:r>
      <w:r w:rsidRPr="004148F9">
        <w:rPr>
          <w:rFonts w:ascii="Arial" w:hAnsi="Arial" w:cs="Arial"/>
          <w:sz w:val="22"/>
          <w:szCs w:val="22"/>
        </w:rPr>
        <w:t xml:space="preserve">, accessed 3 July 2023. </w:t>
      </w:r>
    </w:p>
  </w:footnote>
  <w:footnote w:id="67">
    <w:p w14:paraId="329DF64C" w14:textId="77777777" w:rsidR="004E6A5B" w:rsidRPr="004148F9" w:rsidRDefault="004E6A5B" w:rsidP="004E6A5B">
      <w:pPr>
        <w:pStyle w:val="FootnoteText"/>
        <w:rPr>
          <w:rFonts w:ascii="Verdana" w:hAnsi="Verdana" w:cs="Times New Roman"/>
          <w:sz w:val="17"/>
          <w:szCs w:val="18"/>
        </w:rPr>
      </w:pPr>
      <w:r w:rsidRPr="004148F9">
        <w:rPr>
          <w:rStyle w:val="FootnoteReference"/>
          <w:rFonts w:ascii="Arial" w:hAnsi="Arial" w:cs="Arial"/>
          <w:sz w:val="22"/>
          <w:szCs w:val="22"/>
        </w:rPr>
        <w:footnoteRef/>
      </w:r>
      <w:r w:rsidRPr="004148F9">
        <w:rPr>
          <w:rFonts w:ascii="Arial" w:hAnsi="Arial" w:cs="Arial"/>
          <w:sz w:val="22"/>
          <w:szCs w:val="22"/>
        </w:rPr>
        <w:t xml:space="preserve"> </w:t>
      </w:r>
      <w:r w:rsidRPr="004148F9">
        <w:rPr>
          <w:rFonts w:ascii="Arial" w:hAnsi="Arial" w:cs="Arial"/>
          <w:i/>
          <w:iCs/>
          <w:sz w:val="22"/>
          <w:szCs w:val="22"/>
        </w:rPr>
        <w:t>Ibid</w:t>
      </w:r>
      <w:r w:rsidRPr="004148F9">
        <w:rPr>
          <w:rFonts w:ascii="Arial" w:hAnsi="Arial" w:cs="Arial"/>
          <w:sz w:val="22"/>
          <w:szCs w:val="22"/>
        </w:rPr>
        <w:t>.</w:t>
      </w:r>
    </w:p>
  </w:footnote>
  <w:footnote w:id="68">
    <w:p w14:paraId="70FE7F80"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69">
    <w:p w14:paraId="6E6E43B0"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Finlayson, </w:t>
      </w:r>
      <w:r>
        <w:rPr>
          <w:rFonts w:ascii="Arial" w:hAnsi="Arial" w:cs="Arial"/>
          <w:i/>
          <w:iCs/>
          <w:sz w:val="22"/>
          <w:szCs w:val="22"/>
        </w:rPr>
        <w:t>supra</w:t>
      </w:r>
      <w:r>
        <w:rPr>
          <w:rFonts w:ascii="Arial" w:hAnsi="Arial" w:cs="Arial"/>
          <w:sz w:val="22"/>
          <w:szCs w:val="22"/>
        </w:rPr>
        <w:t xml:space="preserve"> note 1, p 60.</w:t>
      </w:r>
    </w:p>
  </w:footnote>
  <w:footnote w:id="70">
    <w:p w14:paraId="1727B040"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71">
    <w:p w14:paraId="68A13DB9"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72">
    <w:p w14:paraId="0CC9BE13"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61.</w:t>
      </w:r>
    </w:p>
  </w:footnote>
  <w:footnote w:id="73">
    <w:p w14:paraId="328D868A"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74">
    <w:p w14:paraId="7A6F3957"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60.</w:t>
      </w:r>
    </w:p>
  </w:footnote>
  <w:footnote w:id="75">
    <w:p w14:paraId="17F7BD50" w14:textId="77777777" w:rsidR="004E6A5B" w:rsidRDefault="004E6A5B" w:rsidP="004E6A5B">
      <w:pPr>
        <w:pStyle w:val="FootnoteText"/>
        <w:rPr>
          <w:rFonts w:ascii="Verdana" w:hAnsi="Verdana" w:cs="Times New Roman"/>
          <w:sz w:val="17"/>
          <w:szCs w:val="18"/>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76">
    <w:p w14:paraId="34FFB26A"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77">
    <w:p w14:paraId="506C6047"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78">
    <w:p w14:paraId="68B6607A"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60 to 61.</w:t>
      </w:r>
    </w:p>
  </w:footnote>
  <w:footnote w:id="79">
    <w:p w14:paraId="37A01C9C" w14:textId="77777777" w:rsidR="004E6A5B" w:rsidRDefault="004E6A5B" w:rsidP="004E6A5B">
      <w:pPr>
        <w:pStyle w:val="FootnoteText"/>
        <w:rPr>
          <w:rFonts w:ascii="Verdana" w:hAnsi="Verdana" w:cs="Times New Roman"/>
          <w:sz w:val="17"/>
          <w:szCs w:val="18"/>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64.</w:t>
      </w:r>
    </w:p>
  </w:footnote>
  <w:footnote w:id="80">
    <w:p w14:paraId="78F56A45"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61, citing s 272(1) of the BIA and s 49(1) of the CCAA. </w:t>
      </w:r>
    </w:p>
  </w:footnote>
  <w:footnote w:id="81">
    <w:p w14:paraId="79FADCA3"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61.</w:t>
      </w:r>
    </w:p>
  </w:footnote>
  <w:footnote w:id="82">
    <w:p w14:paraId="27EF57EC"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83">
    <w:p w14:paraId="240CB235"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w:t>
      </w:r>
    </w:p>
  </w:footnote>
  <w:footnote w:id="84">
    <w:p w14:paraId="161D5AF2" w14:textId="77777777" w:rsidR="004E6A5B" w:rsidRDefault="004E6A5B" w:rsidP="004E6A5B">
      <w:pPr>
        <w:pStyle w:val="FootnoteText"/>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Ibid</w:t>
      </w:r>
      <w:r>
        <w:rPr>
          <w:rFonts w:ascii="Arial" w:hAnsi="Arial" w:cs="Arial"/>
          <w:sz w:val="22"/>
          <w:szCs w:val="22"/>
        </w:rPr>
        <w:t xml:space="preserve">, citing s 284(2) of the BIA and s 61(2) of the CCAA. </w:t>
      </w:r>
    </w:p>
  </w:footnote>
  <w:footnote w:id="85">
    <w:p w14:paraId="7F36B886" w14:textId="77777777" w:rsidR="004E6A5B" w:rsidRDefault="004E6A5B" w:rsidP="004E6A5B">
      <w:pPr>
        <w:pStyle w:val="FootnoteText"/>
        <w:rPr>
          <w:rFonts w:ascii="Verdana" w:hAnsi="Verdana" w:cs="Times New Roman"/>
          <w:sz w:val="17"/>
          <w:szCs w:val="18"/>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i/>
          <w:iCs/>
          <w:sz w:val="22"/>
          <w:szCs w:val="22"/>
        </w:rPr>
        <w:t>Idem,</w:t>
      </w:r>
      <w:r>
        <w:rPr>
          <w:rFonts w:ascii="Arial" w:hAnsi="Arial" w:cs="Arial"/>
          <w:sz w:val="22"/>
          <w:szCs w:val="22"/>
        </w:rPr>
        <w:t xml:space="preserve"> p 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931812"/>
    <w:multiLevelType w:val="multilevel"/>
    <w:tmpl w:val="4214876A"/>
    <w:lvl w:ilvl="0">
      <w:start w:val="1"/>
      <w:numFmt w:val="decimal"/>
      <w:lvlText w:val="%1"/>
      <w:lvlJc w:val="left"/>
      <w:pPr>
        <w:tabs>
          <w:tab w:val="num" w:pos="720"/>
        </w:tabs>
        <w:ind w:left="720" w:hanging="720"/>
      </w:pPr>
    </w:lvl>
    <w:lvl w:ilvl="1">
      <w:start w:val="1"/>
      <w:numFmt w:val="decimal"/>
      <w:lvlText w:val="%1.%2"/>
      <w:lvlJc w:val="left"/>
      <w:pPr>
        <w:tabs>
          <w:tab w:val="num" w:pos="720"/>
        </w:tabs>
        <w:ind w:left="1440" w:hanging="720"/>
      </w:pPr>
    </w:lvl>
    <w:lvl w:ilvl="2">
      <w:start w:val="1"/>
      <w:numFmt w:val="lowerLetter"/>
      <w:lvlText w:val="%3)"/>
      <w:lvlJc w:val="left"/>
      <w:pPr>
        <w:tabs>
          <w:tab w:val="num" w:pos="1440"/>
        </w:tabs>
        <w:ind w:left="2160" w:hanging="720"/>
      </w:pPr>
    </w:lvl>
    <w:lvl w:ilvl="3">
      <w:start w:val="1"/>
      <w:numFmt w:val="lowerRoman"/>
      <w:lvlText w:val="(%4)"/>
      <w:lvlJc w:val="left"/>
      <w:pPr>
        <w:tabs>
          <w:tab w:val="num" w:pos="2160"/>
        </w:tabs>
        <w:ind w:left="2880" w:hanging="720"/>
      </w:pPr>
    </w:lvl>
    <w:lvl w:ilvl="4">
      <w:start w:val="1"/>
      <w:numFmt w:val="upperLetter"/>
      <w:lvlText w:val="(%5)"/>
      <w:lvlJc w:val="left"/>
      <w:pPr>
        <w:tabs>
          <w:tab w:val="num" w:pos="2880"/>
        </w:tabs>
        <w:ind w:left="3600" w:hanging="720"/>
      </w:pPr>
    </w:lvl>
    <w:lvl w:ilvl="5">
      <w:start w:val="1"/>
      <w:numFmt w:val="upperRoman"/>
      <w:lvlText w:val="(%6)"/>
      <w:lvlJc w:val="left"/>
      <w:pPr>
        <w:tabs>
          <w:tab w:val="num" w:pos="3600"/>
        </w:tabs>
        <w:ind w:left="4321" w:hanging="721"/>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3"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E12B0A"/>
    <w:multiLevelType w:val="multilevel"/>
    <w:tmpl w:val="B824ADC2"/>
    <w:lvl w:ilvl="0">
      <w:start w:val="1"/>
      <w:numFmt w:val="lowerLetter"/>
      <w:lvlText w:val="%1)"/>
      <w:lvlJc w:val="left"/>
      <w:pPr>
        <w:tabs>
          <w:tab w:val="num" w:pos="720"/>
        </w:tabs>
        <w:ind w:left="720" w:hanging="720"/>
      </w:pPr>
    </w:lvl>
    <w:lvl w:ilvl="1">
      <w:start w:val="1"/>
      <w:numFmt w:val="decimal"/>
      <w:lvlText w:val="%1.%2"/>
      <w:lvlJc w:val="left"/>
      <w:pPr>
        <w:tabs>
          <w:tab w:val="num" w:pos="720"/>
        </w:tabs>
        <w:ind w:left="1440" w:hanging="720"/>
      </w:pPr>
    </w:lvl>
    <w:lvl w:ilvl="2">
      <w:start w:val="1"/>
      <w:numFmt w:val="lowerLetter"/>
      <w:lvlText w:val="%3)"/>
      <w:lvlJc w:val="left"/>
      <w:pPr>
        <w:tabs>
          <w:tab w:val="num" w:pos="1440"/>
        </w:tabs>
        <w:ind w:left="2160" w:hanging="720"/>
      </w:pPr>
    </w:lvl>
    <w:lvl w:ilvl="3">
      <w:start w:val="1"/>
      <w:numFmt w:val="lowerRoman"/>
      <w:lvlText w:val="(%4)"/>
      <w:lvlJc w:val="left"/>
      <w:pPr>
        <w:tabs>
          <w:tab w:val="num" w:pos="2160"/>
        </w:tabs>
        <w:ind w:left="2880" w:hanging="720"/>
      </w:pPr>
    </w:lvl>
    <w:lvl w:ilvl="4">
      <w:start w:val="1"/>
      <w:numFmt w:val="upperLetter"/>
      <w:lvlText w:val="(%5)"/>
      <w:lvlJc w:val="left"/>
      <w:pPr>
        <w:tabs>
          <w:tab w:val="num" w:pos="2880"/>
        </w:tabs>
        <w:ind w:left="3600" w:hanging="720"/>
      </w:pPr>
    </w:lvl>
    <w:lvl w:ilvl="5">
      <w:start w:val="1"/>
      <w:numFmt w:val="upperRoman"/>
      <w:lvlText w:val="(%6)"/>
      <w:lvlJc w:val="left"/>
      <w:pPr>
        <w:tabs>
          <w:tab w:val="num" w:pos="3600"/>
        </w:tabs>
        <w:ind w:left="4321" w:hanging="721"/>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6"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654504"/>
    <w:multiLevelType w:val="multilevel"/>
    <w:tmpl w:val="D9C86A02"/>
    <w:lvl w:ilvl="0">
      <w:start w:val="1"/>
      <w:numFmt w:val="lowerLetter"/>
      <w:lvlText w:val="%1)"/>
      <w:lvlJc w:val="left"/>
      <w:pPr>
        <w:tabs>
          <w:tab w:val="num" w:pos="720"/>
        </w:tabs>
        <w:ind w:left="720" w:hanging="720"/>
      </w:pPr>
    </w:lvl>
    <w:lvl w:ilvl="1">
      <w:start w:val="1"/>
      <w:numFmt w:val="decimal"/>
      <w:lvlText w:val="%1.%2"/>
      <w:lvlJc w:val="left"/>
      <w:pPr>
        <w:tabs>
          <w:tab w:val="num" w:pos="720"/>
        </w:tabs>
        <w:ind w:left="1440" w:hanging="720"/>
      </w:pPr>
    </w:lvl>
    <w:lvl w:ilvl="2">
      <w:start w:val="1"/>
      <w:numFmt w:val="lowerLetter"/>
      <w:lvlText w:val="%3)"/>
      <w:lvlJc w:val="left"/>
      <w:pPr>
        <w:tabs>
          <w:tab w:val="num" w:pos="1440"/>
        </w:tabs>
        <w:ind w:left="2160" w:hanging="720"/>
      </w:pPr>
    </w:lvl>
    <w:lvl w:ilvl="3">
      <w:start w:val="1"/>
      <w:numFmt w:val="lowerRoman"/>
      <w:lvlText w:val="(%4)"/>
      <w:lvlJc w:val="left"/>
      <w:pPr>
        <w:tabs>
          <w:tab w:val="num" w:pos="2160"/>
        </w:tabs>
        <w:ind w:left="2880" w:hanging="720"/>
      </w:pPr>
    </w:lvl>
    <w:lvl w:ilvl="4">
      <w:start w:val="1"/>
      <w:numFmt w:val="upperLetter"/>
      <w:lvlText w:val="(%5)"/>
      <w:lvlJc w:val="left"/>
      <w:pPr>
        <w:tabs>
          <w:tab w:val="num" w:pos="2880"/>
        </w:tabs>
        <w:ind w:left="3600" w:hanging="720"/>
      </w:pPr>
    </w:lvl>
    <w:lvl w:ilvl="5">
      <w:start w:val="1"/>
      <w:numFmt w:val="upperRoman"/>
      <w:lvlText w:val="(%6)"/>
      <w:lvlJc w:val="left"/>
      <w:pPr>
        <w:tabs>
          <w:tab w:val="num" w:pos="3600"/>
        </w:tabs>
        <w:ind w:left="4321" w:hanging="721"/>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1"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4CE7DE2"/>
    <w:multiLevelType w:val="multilevel"/>
    <w:tmpl w:val="3884AC0C"/>
    <w:lvl w:ilvl="0">
      <w:start w:val="1"/>
      <w:numFmt w:val="decimal"/>
      <w:lvlText w:val="%1"/>
      <w:lvlJc w:val="left"/>
      <w:pPr>
        <w:tabs>
          <w:tab w:val="num" w:pos="720"/>
        </w:tabs>
        <w:ind w:left="720" w:hanging="720"/>
      </w:pPr>
    </w:lvl>
    <w:lvl w:ilvl="1">
      <w:start w:val="1"/>
      <w:numFmt w:val="decimal"/>
      <w:lvlText w:val="%1.%2"/>
      <w:lvlJc w:val="left"/>
      <w:pPr>
        <w:tabs>
          <w:tab w:val="num" w:pos="720"/>
        </w:tabs>
        <w:ind w:left="1440" w:hanging="720"/>
      </w:pPr>
    </w:lvl>
    <w:lvl w:ilvl="2">
      <w:start w:val="1"/>
      <w:numFmt w:val="lowerLetter"/>
      <w:lvlText w:val="%3)"/>
      <w:lvlJc w:val="left"/>
      <w:pPr>
        <w:tabs>
          <w:tab w:val="num" w:pos="1440"/>
        </w:tabs>
        <w:ind w:left="2160" w:hanging="720"/>
      </w:pPr>
    </w:lvl>
    <w:lvl w:ilvl="3">
      <w:start w:val="1"/>
      <w:numFmt w:val="lowerRoman"/>
      <w:lvlText w:val="(%4)"/>
      <w:lvlJc w:val="left"/>
      <w:pPr>
        <w:tabs>
          <w:tab w:val="num" w:pos="2160"/>
        </w:tabs>
        <w:ind w:left="2880" w:hanging="720"/>
      </w:pPr>
    </w:lvl>
    <w:lvl w:ilvl="4">
      <w:start w:val="1"/>
      <w:numFmt w:val="upperLetter"/>
      <w:lvlText w:val="(%5)"/>
      <w:lvlJc w:val="left"/>
      <w:pPr>
        <w:tabs>
          <w:tab w:val="num" w:pos="2880"/>
        </w:tabs>
        <w:ind w:left="3600" w:hanging="720"/>
      </w:pPr>
    </w:lvl>
    <w:lvl w:ilvl="5">
      <w:start w:val="1"/>
      <w:numFmt w:val="upperRoman"/>
      <w:lvlText w:val="(%6)"/>
      <w:lvlJc w:val="left"/>
      <w:pPr>
        <w:tabs>
          <w:tab w:val="num" w:pos="3600"/>
        </w:tabs>
        <w:ind w:left="4321" w:hanging="721"/>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7"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8ED131B"/>
    <w:multiLevelType w:val="multilevel"/>
    <w:tmpl w:val="46627694"/>
    <w:lvl w:ilvl="0">
      <w:start w:val="1"/>
      <w:numFmt w:val="decimal"/>
      <w:lvlText w:val="%1"/>
      <w:lvlJc w:val="left"/>
      <w:pPr>
        <w:tabs>
          <w:tab w:val="num" w:pos="720"/>
        </w:tabs>
        <w:ind w:left="720" w:hanging="720"/>
      </w:pPr>
    </w:lvl>
    <w:lvl w:ilvl="1">
      <w:start w:val="1"/>
      <w:numFmt w:val="decimal"/>
      <w:lvlText w:val="%1.%2"/>
      <w:lvlJc w:val="left"/>
      <w:pPr>
        <w:tabs>
          <w:tab w:val="num" w:pos="720"/>
        </w:tabs>
        <w:ind w:left="1440" w:hanging="720"/>
      </w:pPr>
    </w:lvl>
    <w:lvl w:ilvl="2">
      <w:start w:val="1"/>
      <w:numFmt w:val="lowerLetter"/>
      <w:lvlText w:val="%3)"/>
      <w:lvlJc w:val="left"/>
      <w:pPr>
        <w:tabs>
          <w:tab w:val="num" w:pos="1440"/>
        </w:tabs>
        <w:ind w:left="2160" w:hanging="720"/>
      </w:pPr>
    </w:lvl>
    <w:lvl w:ilvl="3">
      <w:start w:val="1"/>
      <w:numFmt w:val="lowerRoman"/>
      <w:lvlText w:val="(%4)"/>
      <w:lvlJc w:val="left"/>
      <w:pPr>
        <w:tabs>
          <w:tab w:val="num" w:pos="2160"/>
        </w:tabs>
        <w:ind w:left="2880" w:hanging="720"/>
      </w:pPr>
    </w:lvl>
    <w:lvl w:ilvl="4">
      <w:start w:val="1"/>
      <w:numFmt w:val="upperLetter"/>
      <w:lvlText w:val="(%5)"/>
      <w:lvlJc w:val="left"/>
      <w:pPr>
        <w:tabs>
          <w:tab w:val="num" w:pos="2880"/>
        </w:tabs>
        <w:ind w:left="3600" w:hanging="720"/>
      </w:pPr>
    </w:lvl>
    <w:lvl w:ilvl="5">
      <w:start w:val="1"/>
      <w:numFmt w:val="upperRoman"/>
      <w:lvlText w:val="(%6)"/>
      <w:lvlJc w:val="left"/>
      <w:pPr>
        <w:tabs>
          <w:tab w:val="num" w:pos="3600"/>
        </w:tabs>
        <w:ind w:left="4321" w:hanging="721"/>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0"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E1972FD"/>
    <w:multiLevelType w:val="multilevel"/>
    <w:tmpl w:val="3BFC9804"/>
    <w:lvl w:ilvl="0">
      <w:start w:val="1"/>
      <w:numFmt w:val="lowerLetter"/>
      <w:lvlText w:val="%1)"/>
      <w:lvlJc w:val="left"/>
      <w:pPr>
        <w:tabs>
          <w:tab w:val="num" w:pos="720"/>
        </w:tabs>
        <w:ind w:left="720" w:hanging="720"/>
      </w:pPr>
    </w:lvl>
    <w:lvl w:ilvl="1">
      <w:start w:val="1"/>
      <w:numFmt w:val="decimal"/>
      <w:lvlText w:val="%1.%2"/>
      <w:lvlJc w:val="left"/>
      <w:pPr>
        <w:tabs>
          <w:tab w:val="num" w:pos="720"/>
        </w:tabs>
        <w:ind w:left="1440" w:hanging="720"/>
      </w:pPr>
    </w:lvl>
    <w:lvl w:ilvl="2">
      <w:start w:val="1"/>
      <w:numFmt w:val="lowerLetter"/>
      <w:lvlText w:val="%3)"/>
      <w:lvlJc w:val="left"/>
      <w:pPr>
        <w:tabs>
          <w:tab w:val="num" w:pos="1440"/>
        </w:tabs>
        <w:ind w:left="2160" w:hanging="720"/>
      </w:pPr>
    </w:lvl>
    <w:lvl w:ilvl="3">
      <w:start w:val="1"/>
      <w:numFmt w:val="lowerRoman"/>
      <w:lvlText w:val="(%4)"/>
      <w:lvlJc w:val="left"/>
      <w:pPr>
        <w:tabs>
          <w:tab w:val="num" w:pos="2160"/>
        </w:tabs>
        <w:ind w:left="2880" w:hanging="720"/>
      </w:pPr>
    </w:lvl>
    <w:lvl w:ilvl="4">
      <w:start w:val="1"/>
      <w:numFmt w:val="upperLetter"/>
      <w:lvlText w:val="(%5)"/>
      <w:lvlJc w:val="left"/>
      <w:pPr>
        <w:tabs>
          <w:tab w:val="num" w:pos="2880"/>
        </w:tabs>
        <w:ind w:left="3600" w:hanging="720"/>
      </w:pPr>
    </w:lvl>
    <w:lvl w:ilvl="5">
      <w:start w:val="1"/>
      <w:numFmt w:val="upperRoman"/>
      <w:lvlText w:val="(%6)"/>
      <w:lvlJc w:val="left"/>
      <w:pPr>
        <w:tabs>
          <w:tab w:val="num" w:pos="3600"/>
        </w:tabs>
        <w:ind w:left="4321" w:hanging="721"/>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2" w15:restartNumberingAfterBreak="0">
    <w:nsid w:val="3EB856AB"/>
    <w:multiLevelType w:val="multilevel"/>
    <w:tmpl w:val="42FE5C3E"/>
    <w:lvl w:ilvl="0">
      <w:start w:val="1"/>
      <w:numFmt w:val="decimal"/>
      <w:lvlText w:val="%1"/>
      <w:lvlJc w:val="left"/>
      <w:pPr>
        <w:tabs>
          <w:tab w:val="num" w:pos="720"/>
        </w:tabs>
        <w:ind w:left="720" w:hanging="720"/>
      </w:pPr>
    </w:lvl>
    <w:lvl w:ilvl="1">
      <w:start w:val="1"/>
      <w:numFmt w:val="decimal"/>
      <w:lvlText w:val="%1.%2"/>
      <w:lvlJc w:val="left"/>
      <w:pPr>
        <w:tabs>
          <w:tab w:val="num" w:pos="720"/>
        </w:tabs>
        <w:ind w:left="1440" w:hanging="720"/>
      </w:pPr>
    </w:lvl>
    <w:lvl w:ilvl="2">
      <w:start w:val="1"/>
      <w:numFmt w:val="lowerLetter"/>
      <w:lvlText w:val="%3)"/>
      <w:lvlJc w:val="left"/>
      <w:pPr>
        <w:tabs>
          <w:tab w:val="num" w:pos="1440"/>
        </w:tabs>
        <w:ind w:left="2160" w:hanging="720"/>
      </w:pPr>
    </w:lvl>
    <w:lvl w:ilvl="3">
      <w:start w:val="1"/>
      <w:numFmt w:val="lowerRoman"/>
      <w:lvlText w:val="(%4)"/>
      <w:lvlJc w:val="left"/>
      <w:pPr>
        <w:tabs>
          <w:tab w:val="num" w:pos="2160"/>
        </w:tabs>
        <w:ind w:left="2880" w:hanging="720"/>
      </w:pPr>
    </w:lvl>
    <w:lvl w:ilvl="4">
      <w:start w:val="1"/>
      <w:numFmt w:val="upperLetter"/>
      <w:lvlText w:val="(%5)"/>
      <w:lvlJc w:val="left"/>
      <w:pPr>
        <w:tabs>
          <w:tab w:val="num" w:pos="2880"/>
        </w:tabs>
        <w:ind w:left="3600" w:hanging="720"/>
      </w:pPr>
    </w:lvl>
    <w:lvl w:ilvl="5">
      <w:start w:val="1"/>
      <w:numFmt w:val="upperRoman"/>
      <w:lvlText w:val="(%6)"/>
      <w:lvlJc w:val="left"/>
      <w:pPr>
        <w:tabs>
          <w:tab w:val="num" w:pos="3600"/>
        </w:tabs>
        <w:ind w:left="4321" w:hanging="721"/>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3"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642D8D"/>
    <w:multiLevelType w:val="multilevel"/>
    <w:tmpl w:val="616A846A"/>
    <w:lvl w:ilvl="0">
      <w:start w:val="1"/>
      <w:numFmt w:val="lowerLetter"/>
      <w:lvlText w:val="%1)"/>
      <w:lvlJc w:val="left"/>
      <w:pPr>
        <w:tabs>
          <w:tab w:val="num" w:pos="720"/>
        </w:tabs>
        <w:ind w:left="720" w:hanging="720"/>
      </w:pPr>
    </w:lvl>
    <w:lvl w:ilvl="1">
      <w:start w:val="1"/>
      <w:numFmt w:val="decimal"/>
      <w:lvlText w:val="%1.%2"/>
      <w:lvlJc w:val="left"/>
      <w:pPr>
        <w:tabs>
          <w:tab w:val="num" w:pos="720"/>
        </w:tabs>
        <w:ind w:left="1440" w:hanging="720"/>
      </w:pPr>
    </w:lvl>
    <w:lvl w:ilvl="2">
      <w:start w:val="1"/>
      <w:numFmt w:val="lowerLetter"/>
      <w:lvlText w:val="%3)"/>
      <w:lvlJc w:val="left"/>
      <w:pPr>
        <w:tabs>
          <w:tab w:val="num" w:pos="1440"/>
        </w:tabs>
        <w:ind w:left="2160" w:hanging="720"/>
      </w:pPr>
    </w:lvl>
    <w:lvl w:ilvl="3">
      <w:start w:val="1"/>
      <w:numFmt w:val="lowerRoman"/>
      <w:lvlText w:val="(%4)"/>
      <w:lvlJc w:val="left"/>
      <w:pPr>
        <w:tabs>
          <w:tab w:val="num" w:pos="2160"/>
        </w:tabs>
        <w:ind w:left="2880" w:hanging="720"/>
      </w:pPr>
    </w:lvl>
    <w:lvl w:ilvl="4">
      <w:start w:val="1"/>
      <w:numFmt w:val="upperLetter"/>
      <w:lvlText w:val="(%5)"/>
      <w:lvlJc w:val="left"/>
      <w:pPr>
        <w:tabs>
          <w:tab w:val="num" w:pos="2880"/>
        </w:tabs>
        <w:ind w:left="3600" w:hanging="720"/>
      </w:pPr>
    </w:lvl>
    <w:lvl w:ilvl="5">
      <w:start w:val="1"/>
      <w:numFmt w:val="upperRoman"/>
      <w:lvlText w:val="(%6)"/>
      <w:lvlJc w:val="left"/>
      <w:pPr>
        <w:tabs>
          <w:tab w:val="num" w:pos="3600"/>
        </w:tabs>
        <w:ind w:left="4321" w:hanging="721"/>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7" w15:restartNumberingAfterBreak="0">
    <w:nsid w:val="4C2C6D0B"/>
    <w:multiLevelType w:val="multilevel"/>
    <w:tmpl w:val="3FF872C6"/>
    <w:lvl w:ilvl="0">
      <w:start w:val="1"/>
      <w:numFmt w:val="decimal"/>
      <w:lvlText w:val="%1"/>
      <w:lvlJc w:val="left"/>
      <w:pPr>
        <w:tabs>
          <w:tab w:val="num" w:pos="720"/>
        </w:tabs>
        <w:ind w:left="720" w:hanging="720"/>
      </w:pPr>
    </w:lvl>
    <w:lvl w:ilvl="1">
      <w:start w:val="1"/>
      <w:numFmt w:val="decimal"/>
      <w:lvlText w:val="%1.%2"/>
      <w:lvlJc w:val="left"/>
      <w:pPr>
        <w:tabs>
          <w:tab w:val="num" w:pos="720"/>
        </w:tabs>
        <w:ind w:left="1440" w:hanging="720"/>
      </w:pPr>
    </w:lvl>
    <w:lvl w:ilvl="2">
      <w:start w:val="1"/>
      <w:numFmt w:val="lowerLetter"/>
      <w:lvlText w:val="%3)"/>
      <w:lvlJc w:val="left"/>
      <w:pPr>
        <w:tabs>
          <w:tab w:val="num" w:pos="1440"/>
        </w:tabs>
        <w:ind w:left="2160" w:hanging="720"/>
      </w:pPr>
    </w:lvl>
    <w:lvl w:ilvl="3">
      <w:start w:val="1"/>
      <w:numFmt w:val="lowerRoman"/>
      <w:lvlText w:val="(%4)"/>
      <w:lvlJc w:val="left"/>
      <w:pPr>
        <w:tabs>
          <w:tab w:val="num" w:pos="2160"/>
        </w:tabs>
        <w:ind w:left="2880" w:hanging="720"/>
      </w:pPr>
    </w:lvl>
    <w:lvl w:ilvl="4">
      <w:start w:val="1"/>
      <w:numFmt w:val="upperLetter"/>
      <w:lvlText w:val="(%5)"/>
      <w:lvlJc w:val="left"/>
      <w:pPr>
        <w:tabs>
          <w:tab w:val="num" w:pos="2880"/>
        </w:tabs>
        <w:ind w:left="3600" w:hanging="720"/>
      </w:pPr>
    </w:lvl>
    <w:lvl w:ilvl="5">
      <w:start w:val="1"/>
      <w:numFmt w:val="upperRoman"/>
      <w:lvlText w:val="(%6)"/>
      <w:lvlJc w:val="left"/>
      <w:pPr>
        <w:tabs>
          <w:tab w:val="num" w:pos="3600"/>
        </w:tabs>
        <w:ind w:left="4321" w:hanging="721"/>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8" w15:restartNumberingAfterBreak="0">
    <w:nsid w:val="4C9833F4"/>
    <w:multiLevelType w:val="multilevel"/>
    <w:tmpl w:val="B3426E5A"/>
    <w:lvl w:ilvl="0">
      <w:start w:val="1"/>
      <w:numFmt w:val="decimal"/>
      <w:lvlText w:val="%1"/>
      <w:lvlJc w:val="left"/>
      <w:pPr>
        <w:tabs>
          <w:tab w:val="num" w:pos="720"/>
        </w:tabs>
        <w:ind w:left="720" w:hanging="720"/>
      </w:pPr>
    </w:lvl>
    <w:lvl w:ilvl="1">
      <w:start w:val="1"/>
      <w:numFmt w:val="decimal"/>
      <w:lvlText w:val="%1.%2"/>
      <w:lvlJc w:val="left"/>
      <w:pPr>
        <w:tabs>
          <w:tab w:val="num" w:pos="720"/>
        </w:tabs>
        <w:ind w:left="1440" w:hanging="720"/>
      </w:pPr>
    </w:lvl>
    <w:lvl w:ilvl="2">
      <w:start w:val="1"/>
      <w:numFmt w:val="lowerLetter"/>
      <w:lvlText w:val="%3)"/>
      <w:lvlJc w:val="left"/>
      <w:pPr>
        <w:tabs>
          <w:tab w:val="num" w:pos="1440"/>
        </w:tabs>
        <w:ind w:left="2160" w:hanging="720"/>
      </w:pPr>
    </w:lvl>
    <w:lvl w:ilvl="3">
      <w:start w:val="1"/>
      <w:numFmt w:val="lowerRoman"/>
      <w:lvlText w:val="(%4)"/>
      <w:lvlJc w:val="left"/>
      <w:pPr>
        <w:tabs>
          <w:tab w:val="num" w:pos="2160"/>
        </w:tabs>
        <w:ind w:left="2880" w:hanging="720"/>
      </w:pPr>
    </w:lvl>
    <w:lvl w:ilvl="4">
      <w:start w:val="1"/>
      <w:numFmt w:val="upperLetter"/>
      <w:lvlText w:val="(%5)"/>
      <w:lvlJc w:val="left"/>
      <w:pPr>
        <w:tabs>
          <w:tab w:val="num" w:pos="2880"/>
        </w:tabs>
        <w:ind w:left="3600" w:hanging="720"/>
      </w:pPr>
    </w:lvl>
    <w:lvl w:ilvl="5">
      <w:start w:val="1"/>
      <w:numFmt w:val="upperRoman"/>
      <w:lvlText w:val="(%6)"/>
      <w:lvlJc w:val="left"/>
      <w:pPr>
        <w:tabs>
          <w:tab w:val="num" w:pos="3600"/>
        </w:tabs>
        <w:ind w:left="4321" w:hanging="721"/>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9"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3" w15:restartNumberingAfterBreak="0">
    <w:nsid w:val="5BB755EA"/>
    <w:multiLevelType w:val="multilevel"/>
    <w:tmpl w:val="56DEF1FE"/>
    <w:lvl w:ilvl="0">
      <w:start w:val="1"/>
      <w:numFmt w:val="lowerLetter"/>
      <w:lvlText w:val="%1)"/>
      <w:lvlJc w:val="left"/>
      <w:pPr>
        <w:tabs>
          <w:tab w:val="num" w:pos="720"/>
        </w:tabs>
        <w:ind w:left="720" w:hanging="720"/>
      </w:pPr>
    </w:lvl>
    <w:lvl w:ilvl="1">
      <w:start w:val="1"/>
      <w:numFmt w:val="decimal"/>
      <w:lvlText w:val="%1.%2"/>
      <w:lvlJc w:val="left"/>
      <w:pPr>
        <w:tabs>
          <w:tab w:val="num" w:pos="720"/>
        </w:tabs>
        <w:ind w:left="1440" w:hanging="720"/>
      </w:pPr>
    </w:lvl>
    <w:lvl w:ilvl="2">
      <w:start w:val="1"/>
      <w:numFmt w:val="lowerLetter"/>
      <w:lvlText w:val="%3)"/>
      <w:lvlJc w:val="left"/>
      <w:pPr>
        <w:tabs>
          <w:tab w:val="num" w:pos="1440"/>
        </w:tabs>
        <w:ind w:left="2160" w:hanging="720"/>
      </w:pPr>
    </w:lvl>
    <w:lvl w:ilvl="3">
      <w:start w:val="1"/>
      <w:numFmt w:val="lowerRoman"/>
      <w:lvlText w:val="(%4)"/>
      <w:lvlJc w:val="left"/>
      <w:pPr>
        <w:tabs>
          <w:tab w:val="num" w:pos="2160"/>
        </w:tabs>
        <w:ind w:left="2880" w:hanging="720"/>
      </w:pPr>
    </w:lvl>
    <w:lvl w:ilvl="4">
      <w:start w:val="1"/>
      <w:numFmt w:val="upperLetter"/>
      <w:lvlText w:val="(%5)"/>
      <w:lvlJc w:val="left"/>
      <w:pPr>
        <w:tabs>
          <w:tab w:val="num" w:pos="2880"/>
        </w:tabs>
        <w:ind w:left="3600" w:hanging="720"/>
      </w:pPr>
    </w:lvl>
    <w:lvl w:ilvl="5">
      <w:start w:val="1"/>
      <w:numFmt w:val="upperRoman"/>
      <w:lvlText w:val="(%6)"/>
      <w:lvlJc w:val="left"/>
      <w:pPr>
        <w:tabs>
          <w:tab w:val="num" w:pos="3600"/>
        </w:tabs>
        <w:ind w:left="4321" w:hanging="721"/>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34"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082348A"/>
    <w:multiLevelType w:val="multilevel"/>
    <w:tmpl w:val="B66C021E"/>
    <w:lvl w:ilvl="0">
      <w:start w:val="1"/>
      <w:numFmt w:val="lowerLetter"/>
      <w:lvlText w:val="%1)"/>
      <w:lvlJc w:val="left"/>
      <w:pPr>
        <w:tabs>
          <w:tab w:val="num" w:pos="720"/>
        </w:tabs>
        <w:ind w:left="720" w:hanging="720"/>
      </w:pPr>
    </w:lvl>
    <w:lvl w:ilvl="1">
      <w:start w:val="1"/>
      <w:numFmt w:val="decimal"/>
      <w:lvlText w:val="%1.%2"/>
      <w:lvlJc w:val="left"/>
      <w:pPr>
        <w:tabs>
          <w:tab w:val="num" w:pos="720"/>
        </w:tabs>
        <w:ind w:left="1440" w:hanging="720"/>
      </w:pPr>
    </w:lvl>
    <w:lvl w:ilvl="2">
      <w:start w:val="1"/>
      <w:numFmt w:val="lowerLetter"/>
      <w:lvlText w:val="%3)"/>
      <w:lvlJc w:val="left"/>
      <w:pPr>
        <w:tabs>
          <w:tab w:val="num" w:pos="1440"/>
        </w:tabs>
        <w:ind w:left="2160" w:hanging="720"/>
      </w:pPr>
    </w:lvl>
    <w:lvl w:ilvl="3">
      <w:start w:val="1"/>
      <w:numFmt w:val="lowerRoman"/>
      <w:lvlText w:val="(%4)"/>
      <w:lvlJc w:val="left"/>
      <w:pPr>
        <w:tabs>
          <w:tab w:val="num" w:pos="2160"/>
        </w:tabs>
        <w:ind w:left="2880" w:hanging="720"/>
      </w:pPr>
    </w:lvl>
    <w:lvl w:ilvl="4">
      <w:start w:val="1"/>
      <w:numFmt w:val="upperLetter"/>
      <w:lvlText w:val="(%5)"/>
      <w:lvlJc w:val="left"/>
      <w:pPr>
        <w:tabs>
          <w:tab w:val="num" w:pos="2880"/>
        </w:tabs>
        <w:ind w:left="3600" w:hanging="720"/>
      </w:pPr>
    </w:lvl>
    <w:lvl w:ilvl="5">
      <w:start w:val="1"/>
      <w:numFmt w:val="upperRoman"/>
      <w:lvlText w:val="(%6)"/>
      <w:lvlJc w:val="left"/>
      <w:pPr>
        <w:tabs>
          <w:tab w:val="num" w:pos="3600"/>
        </w:tabs>
        <w:ind w:left="4321" w:hanging="721"/>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36" w15:restartNumberingAfterBreak="0">
    <w:nsid w:val="60A607EB"/>
    <w:multiLevelType w:val="multilevel"/>
    <w:tmpl w:val="8E24829A"/>
    <w:numStyleLink w:val="AHNumbering"/>
  </w:abstractNum>
  <w:abstractNum w:abstractNumId="37"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7091719"/>
    <w:multiLevelType w:val="multilevel"/>
    <w:tmpl w:val="AAE6A330"/>
    <w:lvl w:ilvl="0">
      <w:start w:val="1"/>
      <w:numFmt w:val="lowerLetter"/>
      <w:lvlText w:val="%1)"/>
      <w:lvlJc w:val="left"/>
      <w:pPr>
        <w:tabs>
          <w:tab w:val="num" w:pos="720"/>
        </w:tabs>
        <w:ind w:left="720" w:hanging="720"/>
      </w:pPr>
    </w:lvl>
    <w:lvl w:ilvl="1">
      <w:start w:val="1"/>
      <w:numFmt w:val="decimal"/>
      <w:lvlText w:val="%1.%2"/>
      <w:lvlJc w:val="left"/>
      <w:pPr>
        <w:tabs>
          <w:tab w:val="num" w:pos="720"/>
        </w:tabs>
        <w:ind w:left="1440" w:hanging="720"/>
      </w:pPr>
    </w:lvl>
    <w:lvl w:ilvl="2">
      <w:start w:val="1"/>
      <w:numFmt w:val="lowerLetter"/>
      <w:lvlText w:val="%3)"/>
      <w:lvlJc w:val="left"/>
      <w:pPr>
        <w:tabs>
          <w:tab w:val="num" w:pos="1440"/>
        </w:tabs>
        <w:ind w:left="2160" w:hanging="720"/>
      </w:pPr>
    </w:lvl>
    <w:lvl w:ilvl="3">
      <w:start w:val="1"/>
      <w:numFmt w:val="lowerRoman"/>
      <w:lvlText w:val="(%4)"/>
      <w:lvlJc w:val="left"/>
      <w:pPr>
        <w:tabs>
          <w:tab w:val="num" w:pos="2160"/>
        </w:tabs>
        <w:ind w:left="2880" w:hanging="720"/>
      </w:pPr>
    </w:lvl>
    <w:lvl w:ilvl="4">
      <w:start w:val="1"/>
      <w:numFmt w:val="upperLetter"/>
      <w:lvlText w:val="(%5)"/>
      <w:lvlJc w:val="left"/>
      <w:pPr>
        <w:tabs>
          <w:tab w:val="num" w:pos="2880"/>
        </w:tabs>
        <w:ind w:left="3600" w:hanging="720"/>
      </w:pPr>
    </w:lvl>
    <w:lvl w:ilvl="5">
      <w:start w:val="1"/>
      <w:numFmt w:val="upperRoman"/>
      <w:lvlText w:val="(%6)"/>
      <w:lvlJc w:val="left"/>
      <w:pPr>
        <w:tabs>
          <w:tab w:val="num" w:pos="3600"/>
        </w:tabs>
        <w:ind w:left="4321" w:hanging="721"/>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40"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21E3F0F"/>
    <w:multiLevelType w:val="multilevel"/>
    <w:tmpl w:val="BF22F04C"/>
    <w:lvl w:ilvl="0">
      <w:start w:val="1"/>
      <w:numFmt w:val="decimal"/>
      <w:lvlText w:val="%1"/>
      <w:lvlJc w:val="left"/>
      <w:pPr>
        <w:tabs>
          <w:tab w:val="num" w:pos="720"/>
        </w:tabs>
        <w:ind w:left="720" w:hanging="720"/>
      </w:pPr>
    </w:lvl>
    <w:lvl w:ilvl="1">
      <w:start w:val="1"/>
      <w:numFmt w:val="decimal"/>
      <w:lvlText w:val="%1.%2"/>
      <w:lvlJc w:val="left"/>
      <w:pPr>
        <w:tabs>
          <w:tab w:val="num" w:pos="720"/>
        </w:tabs>
        <w:ind w:left="1440" w:hanging="720"/>
      </w:pPr>
    </w:lvl>
    <w:lvl w:ilvl="2">
      <w:start w:val="1"/>
      <w:numFmt w:val="lowerLetter"/>
      <w:lvlText w:val="%3)"/>
      <w:lvlJc w:val="left"/>
      <w:pPr>
        <w:tabs>
          <w:tab w:val="num" w:pos="1440"/>
        </w:tabs>
        <w:ind w:left="2160" w:hanging="720"/>
      </w:pPr>
    </w:lvl>
    <w:lvl w:ilvl="3">
      <w:start w:val="1"/>
      <w:numFmt w:val="lowerRoman"/>
      <w:lvlText w:val="(%4)"/>
      <w:lvlJc w:val="left"/>
      <w:pPr>
        <w:tabs>
          <w:tab w:val="num" w:pos="2160"/>
        </w:tabs>
        <w:ind w:left="2880" w:hanging="720"/>
      </w:pPr>
    </w:lvl>
    <w:lvl w:ilvl="4">
      <w:start w:val="1"/>
      <w:numFmt w:val="upperLetter"/>
      <w:lvlText w:val="(%5)"/>
      <w:lvlJc w:val="left"/>
      <w:pPr>
        <w:tabs>
          <w:tab w:val="num" w:pos="2880"/>
        </w:tabs>
        <w:ind w:left="3600" w:hanging="720"/>
      </w:pPr>
    </w:lvl>
    <w:lvl w:ilvl="5">
      <w:start w:val="1"/>
      <w:numFmt w:val="upperRoman"/>
      <w:lvlText w:val="(%6)"/>
      <w:lvlJc w:val="left"/>
      <w:pPr>
        <w:tabs>
          <w:tab w:val="num" w:pos="3600"/>
        </w:tabs>
        <w:ind w:left="4321" w:hanging="721"/>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43" w15:restartNumberingAfterBreak="0">
    <w:nsid w:val="76045982"/>
    <w:multiLevelType w:val="multilevel"/>
    <w:tmpl w:val="8E24829A"/>
    <w:styleLink w:val="AHNumbering"/>
    <w:lvl w:ilvl="0">
      <w:start w:val="1"/>
      <w:numFmt w:val="decimal"/>
      <w:pStyle w:val="Multilevel1"/>
      <w:lvlText w:val="%1"/>
      <w:lvlJc w:val="left"/>
      <w:pPr>
        <w:tabs>
          <w:tab w:val="num" w:pos="720"/>
        </w:tabs>
        <w:ind w:left="720" w:hanging="720"/>
      </w:pPr>
    </w:lvl>
    <w:lvl w:ilvl="1">
      <w:start w:val="1"/>
      <w:numFmt w:val="decimal"/>
      <w:pStyle w:val="Multilevel2"/>
      <w:lvlText w:val="%1.%2"/>
      <w:lvlJc w:val="left"/>
      <w:pPr>
        <w:tabs>
          <w:tab w:val="num" w:pos="720"/>
        </w:tabs>
        <w:ind w:left="1440" w:hanging="720"/>
      </w:pPr>
    </w:lvl>
    <w:lvl w:ilvl="2">
      <w:start w:val="1"/>
      <w:numFmt w:val="lowerLetter"/>
      <w:pStyle w:val="Multilevel3"/>
      <w:lvlText w:val="(%3)"/>
      <w:lvlJc w:val="left"/>
      <w:pPr>
        <w:tabs>
          <w:tab w:val="num" w:pos="1440"/>
        </w:tabs>
        <w:ind w:left="2160" w:hanging="720"/>
      </w:pPr>
    </w:lvl>
    <w:lvl w:ilvl="3">
      <w:start w:val="1"/>
      <w:numFmt w:val="lowerRoman"/>
      <w:pStyle w:val="Multilevel4"/>
      <w:lvlText w:val="(%4)"/>
      <w:lvlJc w:val="left"/>
      <w:pPr>
        <w:tabs>
          <w:tab w:val="num" w:pos="2160"/>
        </w:tabs>
        <w:ind w:left="2880" w:hanging="720"/>
      </w:pPr>
    </w:lvl>
    <w:lvl w:ilvl="4">
      <w:start w:val="1"/>
      <w:numFmt w:val="upperLetter"/>
      <w:pStyle w:val="Multilevel5"/>
      <w:lvlText w:val="(%5)"/>
      <w:lvlJc w:val="left"/>
      <w:pPr>
        <w:tabs>
          <w:tab w:val="num" w:pos="2880"/>
        </w:tabs>
        <w:ind w:left="3600" w:hanging="720"/>
      </w:pPr>
    </w:lvl>
    <w:lvl w:ilvl="5">
      <w:start w:val="1"/>
      <w:numFmt w:val="upperRoman"/>
      <w:pStyle w:val="Multilevel6"/>
      <w:lvlText w:val="(%6)"/>
      <w:lvlJc w:val="left"/>
      <w:pPr>
        <w:tabs>
          <w:tab w:val="num" w:pos="3600"/>
        </w:tabs>
        <w:ind w:left="4321" w:hanging="721"/>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44"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F9F5E05"/>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4"/>
  </w:num>
  <w:num w:numId="2">
    <w:abstractNumId w:val="6"/>
  </w:num>
  <w:num w:numId="3">
    <w:abstractNumId w:val="20"/>
  </w:num>
  <w:num w:numId="4">
    <w:abstractNumId w:val="14"/>
  </w:num>
  <w:num w:numId="5">
    <w:abstractNumId w:val="7"/>
  </w:num>
  <w:num w:numId="6">
    <w:abstractNumId w:val="40"/>
  </w:num>
  <w:num w:numId="7">
    <w:abstractNumId w:val="13"/>
  </w:num>
  <w:num w:numId="8">
    <w:abstractNumId w:val="30"/>
  </w:num>
  <w:num w:numId="9">
    <w:abstractNumId w:val="37"/>
  </w:num>
  <w:num w:numId="10">
    <w:abstractNumId w:val="9"/>
  </w:num>
  <w:num w:numId="11">
    <w:abstractNumId w:val="11"/>
  </w:num>
  <w:num w:numId="12">
    <w:abstractNumId w:val="0"/>
  </w:num>
  <w:num w:numId="13">
    <w:abstractNumId w:val="15"/>
  </w:num>
  <w:num w:numId="14">
    <w:abstractNumId w:val="4"/>
  </w:num>
  <w:num w:numId="15">
    <w:abstractNumId w:val="44"/>
  </w:num>
  <w:num w:numId="16">
    <w:abstractNumId w:val="25"/>
  </w:num>
  <w:num w:numId="17">
    <w:abstractNumId w:val="31"/>
  </w:num>
  <w:num w:numId="18">
    <w:abstractNumId w:val="24"/>
  </w:num>
  <w:num w:numId="19">
    <w:abstractNumId w:val="18"/>
  </w:num>
  <w:num w:numId="20">
    <w:abstractNumId w:val="17"/>
  </w:num>
  <w:num w:numId="21">
    <w:abstractNumId w:val="3"/>
  </w:num>
  <w:num w:numId="22">
    <w:abstractNumId w:val="41"/>
  </w:num>
  <w:num w:numId="23">
    <w:abstractNumId w:val="12"/>
  </w:num>
  <w:num w:numId="24">
    <w:abstractNumId w:val="8"/>
  </w:num>
  <w:num w:numId="25">
    <w:abstractNumId w:val="32"/>
  </w:num>
  <w:num w:numId="26">
    <w:abstractNumId w:val="38"/>
  </w:num>
  <w:num w:numId="27">
    <w:abstractNumId w:val="23"/>
  </w:num>
  <w:num w:numId="28">
    <w:abstractNumId w:val="1"/>
  </w:num>
  <w:num w:numId="29">
    <w:abstractNumId w:val="29"/>
  </w:num>
  <w:num w:numId="30">
    <w:abstractNumId w:val="45"/>
  </w:num>
  <w:num w:numId="31">
    <w:abstractNumId w:val="36"/>
    <w:lvlOverride w:ilvl="0">
      <w:lvl w:ilvl="0">
        <w:start w:val="1"/>
        <w:numFmt w:val="decimal"/>
        <w:pStyle w:val="Multilevel1"/>
        <w:lvlText w:val="%1"/>
        <w:lvlJc w:val="left"/>
        <w:pPr>
          <w:tabs>
            <w:tab w:val="num" w:pos="720"/>
          </w:tabs>
          <w:ind w:left="720" w:hanging="720"/>
        </w:pPr>
      </w:lvl>
    </w:lvlOverride>
    <w:lvlOverride w:ilvl="1">
      <w:lvl w:ilvl="1">
        <w:start w:val="1"/>
        <w:numFmt w:val="decimal"/>
        <w:pStyle w:val="Multilevel2"/>
        <w:lvlText w:val="%1.%2"/>
        <w:lvlJc w:val="left"/>
        <w:pPr>
          <w:tabs>
            <w:tab w:val="num" w:pos="720"/>
          </w:tabs>
          <w:ind w:left="1440" w:hanging="720"/>
        </w:pPr>
      </w:lvl>
    </w:lvlOverride>
    <w:lvlOverride w:ilvl="2">
      <w:lvl w:ilvl="2">
        <w:start w:val="1"/>
        <w:numFmt w:val="lowerLetter"/>
        <w:pStyle w:val="Multilevel3"/>
        <w:lvlText w:val="(%3)"/>
        <w:lvlJc w:val="left"/>
        <w:pPr>
          <w:tabs>
            <w:tab w:val="num" w:pos="1440"/>
          </w:tabs>
          <w:ind w:left="2160" w:hanging="720"/>
        </w:pPr>
      </w:lvl>
    </w:lvlOverride>
    <w:lvlOverride w:ilvl="3">
      <w:lvl w:ilvl="3">
        <w:start w:val="1"/>
        <w:numFmt w:val="lowerRoman"/>
        <w:pStyle w:val="Multilevel4"/>
        <w:lvlText w:val="(%4)"/>
        <w:lvlJc w:val="left"/>
        <w:pPr>
          <w:tabs>
            <w:tab w:val="num" w:pos="2160"/>
          </w:tabs>
          <w:ind w:left="2880" w:hanging="720"/>
        </w:pPr>
      </w:lvl>
    </w:lvlOverride>
    <w:lvlOverride w:ilvl="4">
      <w:lvl w:ilvl="4">
        <w:start w:val="1"/>
        <w:numFmt w:val="upperLetter"/>
        <w:pStyle w:val="Multilevel5"/>
        <w:lvlText w:val="(%5)"/>
        <w:lvlJc w:val="left"/>
        <w:pPr>
          <w:tabs>
            <w:tab w:val="num" w:pos="2880"/>
          </w:tabs>
          <w:ind w:left="3600" w:hanging="720"/>
        </w:pPr>
      </w:lvl>
    </w:lvlOverride>
    <w:lvlOverride w:ilvl="5">
      <w:lvl w:ilvl="5">
        <w:start w:val="1"/>
        <w:numFmt w:val="upperRoman"/>
        <w:pStyle w:val="Multilevel6"/>
        <w:lvlText w:val="(%6)"/>
        <w:lvlJc w:val="left"/>
        <w:pPr>
          <w:tabs>
            <w:tab w:val="num" w:pos="3600"/>
          </w:tabs>
          <w:ind w:left="4321" w:hanging="721"/>
        </w:pPr>
      </w:lvl>
    </w:lvlOverride>
    <w:lvlOverride w:ilvl="6">
      <w:lvl w:ilvl="6">
        <w:start w:val="1"/>
        <w:numFmt w:val="none"/>
        <w:lvlRestart w:val="0"/>
        <w:lvlText w:val=""/>
        <w:lvlJc w:val="left"/>
        <w:pPr>
          <w:ind w:left="0" w:firstLine="0"/>
        </w:pPr>
      </w:lvl>
    </w:lvlOverride>
    <w:lvlOverride w:ilvl="7">
      <w:lvl w:ilvl="7">
        <w:start w:val="1"/>
        <w:numFmt w:val="none"/>
        <w:lvlRestart w:val="0"/>
        <w:lvlText w:val=""/>
        <w:lvlJc w:val="left"/>
        <w:pPr>
          <w:ind w:left="0" w:firstLine="0"/>
        </w:pPr>
      </w:lvl>
    </w:lvlOverride>
    <w:lvlOverride w:ilvl="8">
      <w:lvl w:ilvl="8">
        <w:start w:val="1"/>
        <w:numFmt w:val="none"/>
        <w:lvlRestart w:val="0"/>
        <w:lvlText w:val=""/>
        <w:lvlJc w:val="left"/>
        <w:pPr>
          <w:ind w:left="0" w:firstLine="0"/>
        </w:pPr>
      </w:lvl>
    </w:lvlOverride>
  </w:num>
  <w:num w:numId="32">
    <w:abstractNumId w:val="43"/>
  </w:num>
  <w:num w:numId="33">
    <w:abstractNumId w:val="19"/>
  </w:num>
  <w:num w:numId="34">
    <w:abstractNumId w:val="2"/>
  </w:num>
  <w:num w:numId="35">
    <w:abstractNumId w:val="10"/>
  </w:num>
  <w:num w:numId="36">
    <w:abstractNumId w:val="16"/>
  </w:num>
  <w:num w:numId="37">
    <w:abstractNumId w:val="39"/>
  </w:num>
  <w:num w:numId="38">
    <w:abstractNumId w:val="42"/>
  </w:num>
  <w:num w:numId="39">
    <w:abstractNumId w:val="5"/>
  </w:num>
  <w:num w:numId="40">
    <w:abstractNumId w:val="27"/>
  </w:num>
  <w:num w:numId="41">
    <w:abstractNumId w:val="21"/>
  </w:num>
  <w:num w:numId="42">
    <w:abstractNumId w:val="22"/>
  </w:num>
  <w:num w:numId="43">
    <w:abstractNumId w:val="33"/>
  </w:num>
  <w:num w:numId="44">
    <w:abstractNumId w:val="28"/>
  </w:num>
  <w:num w:numId="45">
    <w:abstractNumId w:val="35"/>
  </w:num>
  <w:num w:numId="46">
    <w:abstractNumId w:val="36"/>
    <w:lvlOverride w:ilvl="0">
      <w:startOverride w:val="1"/>
      <w:lvl w:ilvl="0">
        <w:start w:val="1"/>
        <w:numFmt w:val="decimal"/>
        <w:pStyle w:val="Multilevel1"/>
        <w:lvlText w:val="%1"/>
        <w:lvlJc w:val="left"/>
        <w:pPr>
          <w:tabs>
            <w:tab w:val="num" w:pos="720"/>
          </w:tabs>
          <w:ind w:left="720" w:hanging="720"/>
        </w:pPr>
      </w:lvl>
    </w:lvlOverride>
    <w:lvlOverride w:ilvl="1">
      <w:startOverride w:val="1"/>
      <w:lvl w:ilvl="1">
        <w:start w:val="1"/>
        <w:numFmt w:val="decimal"/>
        <w:pStyle w:val="Multilevel2"/>
        <w:lvlText w:val="%1.%2"/>
        <w:lvlJc w:val="left"/>
        <w:pPr>
          <w:tabs>
            <w:tab w:val="num" w:pos="720"/>
          </w:tabs>
          <w:ind w:left="1440" w:hanging="720"/>
        </w:pPr>
      </w:lvl>
    </w:lvlOverride>
    <w:lvlOverride w:ilvl="2">
      <w:startOverride w:val="1"/>
      <w:lvl w:ilvl="2">
        <w:start w:val="1"/>
        <w:numFmt w:val="lowerLetter"/>
        <w:pStyle w:val="Multilevel3"/>
        <w:lvlText w:val="(%3)"/>
        <w:lvlJc w:val="left"/>
        <w:pPr>
          <w:tabs>
            <w:tab w:val="num" w:pos="1440"/>
          </w:tabs>
          <w:ind w:left="2160" w:hanging="720"/>
        </w:pPr>
      </w:lvl>
    </w:lvlOverride>
    <w:lvlOverride w:ilvl="3">
      <w:startOverride w:val="1"/>
      <w:lvl w:ilvl="3">
        <w:start w:val="1"/>
        <w:numFmt w:val="lowerRoman"/>
        <w:pStyle w:val="Multilevel4"/>
        <w:lvlText w:val="(%4)"/>
        <w:lvlJc w:val="left"/>
        <w:pPr>
          <w:tabs>
            <w:tab w:val="num" w:pos="2160"/>
          </w:tabs>
          <w:ind w:left="2880" w:hanging="720"/>
        </w:pPr>
      </w:lvl>
    </w:lvlOverride>
    <w:lvlOverride w:ilvl="4">
      <w:startOverride w:val="1"/>
      <w:lvl w:ilvl="4">
        <w:start w:val="1"/>
        <w:numFmt w:val="upperLetter"/>
        <w:pStyle w:val="Multilevel5"/>
        <w:lvlText w:val="(%5)"/>
        <w:lvlJc w:val="left"/>
        <w:pPr>
          <w:tabs>
            <w:tab w:val="num" w:pos="2880"/>
          </w:tabs>
          <w:ind w:left="3600" w:hanging="720"/>
        </w:pPr>
      </w:lvl>
    </w:lvlOverride>
    <w:lvlOverride w:ilvl="5">
      <w:startOverride w:val="1"/>
      <w:lvl w:ilvl="5">
        <w:start w:val="1"/>
        <w:numFmt w:val="upperRoman"/>
        <w:pStyle w:val="Multilevel6"/>
        <w:lvlText w:val="(%6)"/>
        <w:lvlJc w:val="left"/>
        <w:pPr>
          <w:tabs>
            <w:tab w:val="num" w:pos="3600"/>
          </w:tabs>
          <w:ind w:left="4321" w:hanging="721"/>
        </w:pPr>
      </w:lvl>
    </w:lvlOverride>
    <w:lvlOverride w:ilvl="6">
      <w:startOverride w:val="1"/>
      <w:lvl w:ilvl="6">
        <w:start w:val="1"/>
        <w:numFmt w:val="none"/>
        <w:lvlRestart w:val="0"/>
        <w:lvlText w:val=""/>
        <w:lvlJc w:val="left"/>
        <w:pPr>
          <w:ind w:left="0" w:firstLine="0"/>
        </w:pPr>
      </w:lvl>
    </w:lvlOverride>
    <w:lvlOverride w:ilvl="7">
      <w:startOverride w:val="1"/>
      <w:lvl w:ilvl="7">
        <w:start w:val="1"/>
        <w:numFmt w:val="none"/>
        <w:lvlRestart w:val="0"/>
        <w:lvlText w:val=""/>
        <w:lvlJc w:val="left"/>
        <w:pPr>
          <w:ind w:left="0" w:firstLine="0"/>
        </w:pPr>
      </w:lvl>
    </w:lvlOverride>
    <w:lvlOverride w:ilvl="8">
      <w:startOverride w:val="1"/>
      <w:lvl w:ilvl="8">
        <w:start w:val="1"/>
        <w:numFmt w:val="none"/>
        <w:lvlRestart w:val="0"/>
        <w:lvlText w:val=""/>
        <w:lvlJc w:val="left"/>
        <w:pPr>
          <w:ind w:left="0" w:firstLine="0"/>
        </w:pPr>
      </w:lvl>
    </w:lvlOverride>
  </w:num>
  <w:num w:numId="47">
    <w:abstractNumId w:val="36"/>
    <w:lvlOverride w:ilvl="0">
      <w:startOverride w:val="1"/>
      <w:lvl w:ilvl="0">
        <w:start w:val="1"/>
        <w:numFmt w:val="decimal"/>
        <w:pStyle w:val="Multilevel1"/>
        <w:lvlText w:val="%1"/>
        <w:lvlJc w:val="left"/>
        <w:pPr>
          <w:tabs>
            <w:tab w:val="num" w:pos="720"/>
          </w:tabs>
          <w:ind w:left="720" w:hanging="720"/>
        </w:pPr>
      </w:lvl>
    </w:lvlOverride>
    <w:lvlOverride w:ilvl="1">
      <w:startOverride w:val="1"/>
      <w:lvl w:ilvl="1">
        <w:start w:val="1"/>
        <w:numFmt w:val="decimal"/>
        <w:pStyle w:val="Multilevel2"/>
        <w:lvlText w:val="%1.%2"/>
        <w:lvlJc w:val="left"/>
        <w:pPr>
          <w:tabs>
            <w:tab w:val="num" w:pos="720"/>
          </w:tabs>
          <w:ind w:left="1440" w:hanging="720"/>
        </w:pPr>
      </w:lvl>
    </w:lvlOverride>
    <w:lvlOverride w:ilvl="2">
      <w:startOverride w:val="1"/>
      <w:lvl w:ilvl="2">
        <w:start w:val="1"/>
        <w:numFmt w:val="lowerLetter"/>
        <w:pStyle w:val="Multilevel3"/>
        <w:lvlText w:val="(%3)"/>
        <w:lvlJc w:val="left"/>
        <w:pPr>
          <w:tabs>
            <w:tab w:val="num" w:pos="1440"/>
          </w:tabs>
          <w:ind w:left="2160" w:hanging="720"/>
        </w:pPr>
      </w:lvl>
    </w:lvlOverride>
    <w:lvlOverride w:ilvl="3">
      <w:startOverride w:val="1"/>
      <w:lvl w:ilvl="3">
        <w:start w:val="1"/>
        <w:numFmt w:val="lowerRoman"/>
        <w:pStyle w:val="Multilevel4"/>
        <w:lvlText w:val="(%4)"/>
        <w:lvlJc w:val="left"/>
        <w:pPr>
          <w:tabs>
            <w:tab w:val="num" w:pos="2160"/>
          </w:tabs>
          <w:ind w:left="2880" w:hanging="720"/>
        </w:pPr>
      </w:lvl>
    </w:lvlOverride>
    <w:lvlOverride w:ilvl="4">
      <w:startOverride w:val="1"/>
      <w:lvl w:ilvl="4">
        <w:start w:val="1"/>
        <w:numFmt w:val="upperLetter"/>
        <w:pStyle w:val="Multilevel5"/>
        <w:lvlText w:val="(%5)"/>
        <w:lvlJc w:val="left"/>
        <w:pPr>
          <w:tabs>
            <w:tab w:val="num" w:pos="2880"/>
          </w:tabs>
          <w:ind w:left="3600" w:hanging="720"/>
        </w:pPr>
      </w:lvl>
    </w:lvlOverride>
    <w:lvlOverride w:ilvl="5">
      <w:startOverride w:val="1"/>
      <w:lvl w:ilvl="5">
        <w:start w:val="1"/>
        <w:numFmt w:val="upperRoman"/>
        <w:pStyle w:val="Multilevel6"/>
        <w:lvlText w:val="(%6)"/>
        <w:lvlJc w:val="left"/>
        <w:pPr>
          <w:tabs>
            <w:tab w:val="num" w:pos="3600"/>
          </w:tabs>
          <w:ind w:left="4321" w:hanging="721"/>
        </w:pPr>
      </w:lvl>
    </w:lvlOverride>
    <w:lvlOverride w:ilvl="6">
      <w:startOverride w:val="1"/>
      <w:lvl w:ilvl="6">
        <w:start w:val="1"/>
        <w:numFmt w:val="none"/>
        <w:lvlRestart w:val="0"/>
        <w:lvlText w:val=""/>
        <w:lvlJc w:val="left"/>
        <w:pPr>
          <w:ind w:left="0" w:firstLine="0"/>
        </w:pPr>
      </w:lvl>
    </w:lvlOverride>
    <w:lvlOverride w:ilvl="7">
      <w:startOverride w:val="1"/>
      <w:lvl w:ilvl="7">
        <w:start w:val="1"/>
        <w:numFmt w:val="none"/>
        <w:lvlRestart w:val="0"/>
        <w:lvlText w:val=""/>
        <w:lvlJc w:val="left"/>
        <w:pPr>
          <w:ind w:left="0" w:firstLine="0"/>
        </w:pPr>
      </w:lvl>
    </w:lvlOverride>
    <w:lvlOverride w:ilvl="8">
      <w:startOverride w:val="1"/>
      <w:lvl w:ilvl="8">
        <w:start w:val="1"/>
        <w:numFmt w:val="none"/>
        <w:lvlRestart w:val="0"/>
        <w:lvlText w:val=""/>
        <w:lvlJc w:val="left"/>
        <w:pPr>
          <w:ind w:left="0" w:firstLine="0"/>
        </w:pPr>
      </w:lvl>
    </w:lvlOverride>
  </w:num>
  <w:num w:numId="4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6371"/>
    <w:rsid w:val="000071A3"/>
    <w:rsid w:val="0000738A"/>
    <w:rsid w:val="00007BF3"/>
    <w:rsid w:val="00007C38"/>
    <w:rsid w:val="000101F5"/>
    <w:rsid w:val="0001050B"/>
    <w:rsid w:val="00010BA0"/>
    <w:rsid w:val="00012B29"/>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502FD"/>
    <w:rsid w:val="000627E0"/>
    <w:rsid w:val="00063584"/>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09C4"/>
    <w:rsid w:val="000D55A8"/>
    <w:rsid w:val="000D6327"/>
    <w:rsid w:val="000D6339"/>
    <w:rsid w:val="000D65DB"/>
    <w:rsid w:val="000D6963"/>
    <w:rsid w:val="000E4841"/>
    <w:rsid w:val="000E4FA3"/>
    <w:rsid w:val="000F1677"/>
    <w:rsid w:val="000F1FFD"/>
    <w:rsid w:val="000F3D6C"/>
    <w:rsid w:val="000F3F76"/>
    <w:rsid w:val="000F5584"/>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36E3"/>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31B5"/>
    <w:rsid w:val="001F41FC"/>
    <w:rsid w:val="001F52A0"/>
    <w:rsid w:val="001F7412"/>
    <w:rsid w:val="0020090A"/>
    <w:rsid w:val="00201840"/>
    <w:rsid w:val="00202DFE"/>
    <w:rsid w:val="0020537C"/>
    <w:rsid w:val="0020725B"/>
    <w:rsid w:val="00207C3D"/>
    <w:rsid w:val="002104F8"/>
    <w:rsid w:val="002110F1"/>
    <w:rsid w:val="00212592"/>
    <w:rsid w:val="0021407D"/>
    <w:rsid w:val="0022116B"/>
    <w:rsid w:val="00221D20"/>
    <w:rsid w:val="0022359C"/>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0EF7"/>
    <w:rsid w:val="002638B0"/>
    <w:rsid w:val="0026647A"/>
    <w:rsid w:val="002668D3"/>
    <w:rsid w:val="0026732A"/>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334"/>
    <w:rsid w:val="002C5EF6"/>
    <w:rsid w:val="002C69B4"/>
    <w:rsid w:val="002D0021"/>
    <w:rsid w:val="002D299D"/>
    <w:rsid w:val="002D2DAC"/>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07E8"/>
    <w:rsid w:val="00341AA6"/>
    <w:rsid w:val="00343808"/>
    <w:rsid w:val="00351246"/>
    <w:rsid w:val="00351EF7"/>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16F"/>
    <w:rsid w:val="003B166C"/>
    <w:rsid w:val="003B170F"/>
    <w:rsid w:val="003B36EA"/>
    <w:rsid w:val="003B3847"/>
    <w:rsid w:val="003B3C5F"/>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48F9"/>
    <w:rsid w:val="00415F1F"/>
    <w:rsid w:val="00416FEB"/>
    <w:rsid w:val="0042108F"/>
    <w:rsid w:val="00424DFC"/>
    <w:rsid w:val="00425377"/>
    <w:rsid w:val="004264D0"/>
    <w:rsid w:val="0042659E"/>
    <w:rsid w:val="00430FED"/>
    <w:rsid w:val="004326EC"/>
    <w:rsid w:val="00434A8C"/>
    <w:rsid w:val="00437297"/>
    <w:rsid w:val="004402DC"/>
    <w:rsid w:val="004426B6"/>
    <w:rsid w:val="004428DC"/>
    <w:rsid w:val="00444284"/>
    <w:rsid w:val="00444FA0"/>
    <w:rsid w:val="00445CE6"/>
    <w:rsid w:val="00450A62"/>
    <w:rsid w:val="004534C2"/>
    <w:rsid w:val="00454129"/>
    <w:rsid w:val="0045446F"/>
    <w:rsid w:val="00454E2B"/>
    <w:rsid w:val="0045683E"/>
    <w:rsid w:val="00461166"/>
    <w:rsid w:val="00462498"/>
    <w:rsid w:val="0047497A"/>
    <w:rsid w:val="00475CC7"/>
    <w:rsid w:val="00477C72"/>
    <w:rsid w:val="00477D4E"/>
    <w:rsid w:val="00481D6B"/>
    <w:rsid w:val="00482465"/>
    <w:rsid w:val="004873F8"/>
    <w:rsid w:val="004909BA"/>
    <w:rsid w:val="00490FDA"/>
    <w:rsid w:val="00491675"/>
    <w:rsid w:val="00491C29"/>
    <w:rsid w:val="00492E86"/>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3F3A"/>
    <w:rsid w:val="004D4543"/>
    <w:rsid w:val="004D52A8"/>
    <w:rsid w:val="004D64F9"/>
    <w:rsid w:val="004D67B3"/>
    <w:rsid w:val="004E185D"/>
    <w:rsid w:val="004E3A6B"/>
    <w:rsid w:val="004E408D"/>
    <w:rsid w:val="004E4ADF"/>
    <w:rsid w:val="004E622C"/>
    <w:rsid w:val="004E6A5B"/>
    <w:rsid w:val="004E76A3"/>
    <w:rsid w:val="004F0EDA"/>
    <w:rsid w:val="004F12E6"/>
    <w:rsid w:val="004F3A8D"/>
    <w:rsid w:val="004F5FDF"/>
    <w:rsid w:val="00500836"/>
    <w:rsid w:val="00500FDE"/>
    <w:rsid w:val="00502C57"/>
    <w:rsid w:val="00502CF8"/>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130C"/>
    <w:rsid w:val="00542882"/>
    <w:rsid w:val="00544127"/>
    <w:rsid w:val="005463A9"/>
    <w:rsid w:val="0054663F"/>
    <w:rsid w:val="00546DA3"/>
    <w:rsid w:val="00547499"/>
    <w:rsid w:val="00552006"/>
    <w:rsid w:val="005537B4"/>
    <w:rsid w:val="00553EB2"/>
    <w:rsid w:val="00554212"/>
    <w:rsid w:val="00555E7A"/>
    <w:rsid w:val="00560534"/>
    <w:rsid w:val="00563084"/>
    <w:rsid w:val="0056391B"/>
    <w:rsid w:val="00564DFE"/>
    <w:rsid w:val="005650E2"/>
    <w:rsid w:val="00565AD2"/>
    <w:rsid w:val="00566713"/>
    <w:rsid w:val="00567AD7"/>
    <w:rsid w:val="00567AE6"/>
    <w:rsid w:val="005739CA"/>
    <w:rsid w:val="00575B2D"/>
    <w:rsid w:val="00576A9C"/>
    <w:rsid w:val="00580EA0"/>
    <w:rsid w:val="00582326"/>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89F"/>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5A9D"/>
    <w:rsid w:val="0065181E"/>
    <w:rsid w:val="00654C2F"/>
    <w:rsid w:val="00657087"/>
    <w:rsid w:val="00662BC3"/>
    <w:rsid w:val="00662EDA"/>
    <w:rsid w:val="00663879"/>
    <w:rsid w:val="006639DB"/>
    <w:rsid w:val="006661EF"/>
    <w:rsid w:val="006719DB"/>
    <w:rsid w:val="00675666"/>
    <w:rsid w:val="00677AEB"/>
    <w:rsid w:val="00680EF2"/>
    <w:rsid w:val="00687A1D"/>
    <w:rsid w:val="00687EA0"/>
    <w:rsid w:val="00691CCD"/>
    <w:rsid w:val="00691D5F"/>
    <w:rsid w:val="0069476B"/>
    <w:rsid w:val="00697EA1"/>
    <w:rsid w:val="006A2646"/>
    <w:rsid w:val="006A4823"/>
    <w:rsid w:val="006A6530"/>
    <w:rsid w:val="006A7F25"/>
    <w:rsid w:val="006B1876"/>
    <w:rsid w:val="006B2D95"/>
    <w:rsid w:val="006B300C"/>
    <w:rsid w:val="006B32A4"/>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2B64"/>
    <w:rsid w:val="006E481A"/>
    <w:rsid w:val="006E5298"/>
    <w:rsid w:val="006F400A"/>
    <w:rsid w:val="006F41CC"/>
    <w:rsid w:val="006F4A78"/>
    <w:rsid w:val="006F4E04"/>
    <w:rsid w:val="006F734A"/>
    <w:rsid w:val="00700D83"/>
    <w:rsid w:val="00704852"/>
    <w:rsid w:val="00705104"/>
    <w:rsid w:val="0070609E"/>
    <w:rsid w:val="007074E9"/>
    <w:rsid w:val="0071200D"/>
    <w:rsid w:val="00713DA4"/>
    <w:rsid w:val="00714BF1"/>
    <w:rsid w:val="00716084"/>
    <w:rsid w:val="00721383"/>
    <w:rsid w:val="00722D0C"/>
    <w:rsid w:val="007235ED"/>
    <w:rsid w:val="00723A11"/>
    <w:rsid w:val="0072450D"/>
    <w:rsid w:val="0072681C"/>
    <w:rsid w:val="0072758D"/>
    <w:rsid w:val="0073158B"/>
    <w:rsid w:val="00732FCC"/>
    <w:rsid w:val="0073326E"/>
    <w:rsid w:val="007333CC"/>
    <w:rsid w:val="0073399A"/>
    <w:rsid w:val="00733B3E"/>
    <w:rsid w:val="00736D5D"/>
    <w:rsid w:val="00737C86"/>
    <w:rsid w:val="00740DAD"/>
    <w:rsid w:val="007461BC"/>
    <w:rsid w:val="00747162"/>
    <w:rsid w:val="007516A7"/>
    <w:rsid w:val="007537B8"/>
    <w:rsid w:val="00754BBC"/>
    <w:rsid w:val="007603F5"/>
    <w:rsid w:val="007620D0"/>
    <w:rsid w:val="00764DB0"/>
    <w:rsid w:val="00765A8B"/>
    <w:rsid w:val="00765AE9"/>
    <w:rsid w:val="0076764D"/>
    <w:rsid w:val="00771D67"/>
    <w:rsid w:val="0077498C"/>
    <w:rsid w:val="00775BCC"/>
    <w:rsid w:val="007809BC"/>
    <w:rsid w:val="00784128"/>
    <w:rsid w:val="00785FE5"/>
    <w:rsid w:val="00786E84"/>
    <w:rsid w:val="00787A23"/>
    <w:rsid w:val="00787BCC"/>
    <w:rsid w:val="00792207"/>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7B5"/>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415BE"/>
    <w:rsid w:val="00844879"/>
    <w:rsid w:val="00851B6A"/>
    <w:rsid w:val="008619A1"/>
    <w:rsid w:val="00864762"/>
    <w:rsid w:val="00864AC2"/>
    <w:rsid w:val="008665AF"/>
    <w:rsid w:val="0086705F"/>
    <w:rsid w:val="00867701"/>
    <w:rsid w:val="008723F3"/>
    <w:rsid w:val="00874FFA"/>
    <w:rsid w:val="008759B7"/>
    <w:rsid w:val="00876316"/>
    <w:rsid w:val="00876F56"/>
    <w:rsid w:val="008800DD"/>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A6DE8"/>
    <w:rsid w:val="008B4E45"/>
    <w:rsid w:val="008B5165"/>
    <w:rsid w:val="008B5333"/>
    <w:rsid w:val="008B6223"/>
    <w:rsid w:val="008C06AD"/>
    <w:rsid w:val="008C0A02"/>
    <w:rsid w:val="008C66E0"/>
    <w:rsid w:val="008C7904"/>
    <w:rsid w:val="008D769A"/>
    <w:rsid w:val="008E3339"/>
    <w:rsid w:val="008E53EE"/>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34811"/>
    <w:rsid w:val="00940120"/>
    <w:rsid w:val="0094117F"/>
    <w:rsid w:val="00942123"/>
    <w:rsid w:val="00945BCC"/>
    <w:rsid w:val="00950426"/>
    <w:rsid w:val="009516EA"/>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61"/>
    <w:rsid w:val="00992676"/>
    <w:rsid w:val="00993F91"/>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4976"/>
    <w:rsid w:val="009B7C9D"/>
    <w:rsid w:val="009C0B8E"/>
    <w:rsid w:val="009C1BC8"/>
    <w:rsid w:val="009C2442"/>
    <w:rsid w:val="009C53EC"/>
    <w:rsid w:val="009C5C6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2984"/>
    <w:rsid w:val="00A13100"/>
    <w:rsid w:val="00A14542"/>
    <w:rsid w:val="00A21A65"/>
    <w:rsid w:val="00A225B6"/>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47BC8"/>
    <w:rsid w:val="00A50F0E"/>
    <w:rsid w:val="00A5117B"/>
    <w:rsid w:val="00A54B03"/>
    <w:rsid w:val="00A54C81"/>
    <w:rsid w:val="00A55A47"/>
    <w:rsid w:val="00A56D34"/>
    <w:rsid w:val="00A60074"/>
    <w:rsid w:val="00A60A36"/>
    <w:rsid w:val="00A6627C"/>
    <w:rsid w:val="00A7023F"/>
    <w:rsid w:val="00A71019"/>
    <w:rsid w:val="00A759D8"/>
    <w:rsid w:val="00A76786"/>
    <w:rsid w:val="00A77FB4"/>
    <w:rsid w:val="00A81029"/>
    <w:rsid w:val="00A82010"/>
    <w:rsid w:val="00A845F5"/>
    <w:rsid w:val="00A85685"/>
    <w:rsid w:val="00A86EA2"/>
    <w:rsid w:val="00A87A88"/>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0C2E"/>
    <w:rsid w:val="00AE1A12"/>
    <w:rsid w:val="00AE1DA9"/>
    <w:rsid w:val="00AE3DA8"/>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09D"/>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D2632"/>
    <w:rsid w:val="00BD4A3D"/>
    <w:rsid w:val="00BD545E"/>
    <w:rsid w:val="00BD5C7A"/>
    <w:rsid w:val="00BE0F37"/>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6095"/>
    <w:rsid w:val="00C27B6A"/>
    <w:rsid w:val="00C35671"/>
    <w:rsid w:val="00C35B77"/>
    <w:rsid w:val="00C3600E"/>
    <w:rsid w:val="00C376EB"/>
    <w:rsid w:val="00C41B6B"/>
    <w:rsid w:val="00C41D2B"/>
    <w:rsid w:val="00C434C3"/>
    <w:rsid w:val="00C45305"/>
    <w:rsid w:val="00C46A92"/>
    <w:rsid w:val="00C46EC1"/>
    <w:rsid w:val="00C52796"/>
    <w:rsid w:val="00C52A47"/>
    <w:rsid w:val="00C537FD"/>
    <w:rsid w:val="00C53E2C"/>
    <w:rsid w:val="00C550C8"/>
    <w:rsid w:val="00C55824"/>
    <w:rsid w:val="00C56AB2"/>
    <w:rsid w:val="00C56B61"/>
    <w:rsid w:val="00C57273"/>
    <w:rsid w:val="00C57600"/>
    <w:rsid w:val="00C606C3"/>
    <w:rsid w:val="00C61146"/>
    <w:rsid w:val="00C619D3"/>
    <w:rsid w:val="00C620F4"/>
    <w:rsid w:val="00C63FAD"/>
    <w:rsid w:val="00C6409D"/>
    <w:rsid w:val="00C64575"/>
    <w:rsid w:val="00C7173F"/>
    <w:rsid w:val="00C72848"/>
    <w:rsid w:val="00C7736C"/>
    <w:rsid w:val="00C8080C"/>
    <w:rsid w:val="00C82D87"/>
    <w:rsid w:val="00C83657"/>
    <w:rsid w:val="00C8712A"/>
    <w:rsid w:val="00C902C8"/>
    <w:rsid w:val="00C919D1"/>
    <w:rsid w:val="00C963D3"/>
    <w:rsid w:val="00C9788A"/>
    <w:rsid w:val="00CA254C"/>
    <w:rsid w:val="00CA7B50"/>
    <w:rsid w:val="00CB1983"/>
    <w:rsid w:val="00CB2CBB"/>
    <w:rsid w:val="00CB5C28"/>
    <w:rsid w:val="00CB6CCB"/>
    <w:rsid w:val="00CB7CAC"/>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03AE2"/>
    <w:rsid w:val="00D1025B"/>
    <w:rsid w:val="00D12ED4"/>
    <w:rsid w:val="00D148DC"/>
    <w:rsid w:val="00D1516E"/>
    <w:rsid w:val="00D15890"/>
    <w:rsid w:val="00D16F06"/>
    <w:rsid w:val="00D17859"/>
    <w:rsid w:val="00D17FDC"/>
    <w:rsid w:val="00D21D8C"/>
    <w:rsid w:val="00D23C70"/>
    <w:rsid w:val="00D40715"/>
    <w:rsid w:val="00D40B41"/>
    <w:rsid w:val="00D41FDB"/>
    <w:rsid w:val="00D42444"/>
    <w:rsid w:val="00D457B9"/>
    <w:rsid w:val="00D47A2B"/>
    <w:rsid w:val="00D47FBB"/>
    <w:rsid w:val="00D522CF"/>
    <w:rsid w:val="00D53719"/>
    <w:rsid w:val="00D61596"/>
    <w:rsid w:val="00D62306"/>
    <w:rsid w:val="00D63EFD"/>
    <w:rsid w:val="00D66B7D"/>
    <w:rsid w:val="00D67759"/>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579"/>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3FC"/>
    <w:rsid w:val="00DC29AC"/>
    <w:rsid w:val="00DC2A58"/>
    <w:rsid w:val="00DC3089"/>
    <w:rsid w:val="00DC4420"/>
    <w:rsid w:val="00DD0802"/>
    <w:rsid w:val="00DD2E11"/>
    <w:rsid w:val="00DD6BB5"/>
    <w:rsid w:val="00DE03AF"/>
    <w:rsid w:val="00DE05BA"/>
    <w:rsid w:val="00DE121C"/>
    <w:rsid w:val="00DE34A9"/>
    <w:rsid w:val="00DE366A"/>
    <w:rsid w:val="00DE4387"/>
    <w:rsid w:val="00DE498F"/>
    <w:rsid w:val="00DE65B9"/>
    <w:rsid w:val="00DE6633"/>
    <w:rsid w:val="00DE6A6E"/>
    <w:rsid w:val="00DE7516"/>
    <w:rsid w:val="00DF2D3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423AC"/>
    <w:rsid w:val="00E450A4"/>
    <w:rsid w:val="00E46C58"/>
    <w:rsid w:val="00E506BE"/>
    <w:rsid w:val="00E549D8"/>
    <w:rsid w:val="00E55547"/>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4BBB"/>
    <w:rsid w:val="00EB77AD"/>
    <w:rsid w:val="00EC10DE"/>
    <w:rsid w:val="00EC1E6D"/>
    <w:rsid w:val="00EC441F"/>
    <w:rsid w:val="00EC4755"/>
    <w:rsid w:val="00ED0445"/>
    <w:rsid w:val="00ED0BC4"/>
    <w:rsid w:val="00ED3A06"/>
    <w:rsid w:val="00ED447D"/>
    <w:rsid w:val="00ED4B4D"/>
    <w:rsid w:val="00ED5260"/>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customStyle="1" w:styleId="Multilevel1">
    <w:name w:val="Multilevel1"/>
    <w:basedOn w:val="Normal"/>
    <w:uiPriority w:val="3"/>
    <w:qFormat/>
    <w:rsid w:val="004E6A5B"/>
    <w:pPr>
      <w:numPr>
        <w:numId w:val="32"/>
      </w:numPr>
      <w:spacing w:before="120" w:after="120"/>
      <w:outlineLvl w:val="0"/>
    </w:pPr>
    <w:rPr>
      <w:rFonts w:ascii="Verdana" w:hAnsi="Verdana" w:cs="Times New Roman"/>
      <w:sz w:val="18"/>
      <w:szCs w:val="18"/>
      <w:lang w:val="en-NZ" w:eastAsia="en-NZ"/>
    </w:rPr>
  </w:style>
  <w:style w:type="paragraph" w:customStyle="1" w:styleId="Multilevel2">
    <w:name w:val="Multilevel2"/>
    <w:basedOn w:val="Multilevel1"/>
    <w:uiPriority w:val="3"/>
    <w:qFormat/>
    <w:rsid w:val="004E6A5B"/>
    <w:pPr>
      <w:numPr>
        <w:ilvl w:val="1"/>
      </w:numPr>
      <w:outlineLvl w:val="1"/>
    </w:pPr>
  </w:style>
  <w:style w:type="paragraph" w:customStyle="1" w:styleId="Multilevel3">
    <w:name w:val="Multilevel3"/>
    <w:basedOn w:val="Multilevel2"/>
    <w:uiPriority w:val="3"/>
    <w:qFormat/>
    <w:rsid w:val="004E6A5B"/>
    <w:pPr>
      <w:numPr>
        <w:ilvl w:val="2"/>
      </w:numPr>
      <w:outlineLvl w:val="2"/>
    </w:pPr>
  </w:style>
  <w:style w:type="paragraph" w:customStyle="1" w:styleId="Multilevel4">
    <w:name w:val="Multilevel4"/>
    <w:basedOn w:val="Multilevel3"/>
    <w:uiPriority w:val="3"/>
    <w:qFormat/>
    <w:rsid w:val="004E6A5B"/>
    <w:pPr>
      <w:numPr>
        <w:ilvl w:val="3"/>
      </w:numPr>
    </w:pPr>
  </w:style>
  <w:style w:type="paragraph" w:customStyle="1" w:styleId="Multilevel5">
    <w:name w:val="Multilevel5"/>
    <w:basedOn w:val="Multilevel4"/>
    <w:uiPriority w:val="3"/>
    <w:qFormat/>
    <w:rsid w:val="004E6A5B"/>
    <w:pPr>
      <w:numPr>
        <w:ilvl w:val="4"/>
      </w:numPr>
    </w:pPr>
  </w:style>
  <w:style w:type="paragraph" w:customStyle="1" w:styleId="Multilevel6">
    <w:name w:val="Multilevel6"/>
    <w:basedOn w:val="Multilevel5"/>
    <w:uiPriority w:val="3"/>
    <w:rsid w:val="004E6A5B"/>
    <w:pPr>
      <w:numPr>
        <w:ilvl w:val="5"/>
      </w:numPr>
    </w:pPr>
  </w:style>
  <w:style w:type="numbering" w:customStyle="1" w:styleId="AHNumbering">
    <w:name w:val="AH Numbering"/>
    <w:rsid w:val="004E6A5B"/>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5053">
      <w:bodyDiv w:val="1"/>
      <w:marLeft w:val="0"/>
      <w:marRight w:val="0"/>
      <w:marTop w:val="0"/>
      <w:marBottom w:val="0"/>
      <w:divBdr>
        <w:top w:val="none" w:sz="0" w:space="0" w:color="auto"/>
        <w:left w:val="none" w:sz="0" w:space="0" w:color="auto"/>
        <w:bottom w:val="none" w:sz="0" w:space="0" w:color="auto"/>
        <w:right w:val="none" w:sz="0" w:space="0" w:color="auto"/>
      </w:divBdr>
    </w:div>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202402242">
      <w:bodyDiv w:val="1"/>
      <w:marLeft w:val="0"/>
      <w:marRight w:val="0"/>
      <w:marTop w:val="0"/>
      <w:marBottom w:val="0"/>
      <w:divBdr>
        <w:top w:val="none" w:sz="0" w:space="0" w:color="auto"/>
        <w:left w:val="none" w:sz="0" w:space="0" w:color="auto"/>
        <w:bottom w:val="none" w:sz="0" w:space="0" w:color="auto"/>
        <w:right w:val="none" w:sz="0" w:space="0" w:color="auto"/>
      </w:divBdr>
    </w:div>
    <w:div w:id="20560961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311131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18964306">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302882134">
      <w:bodyDiv w:val="1"/>
      <w:marLeft w:val="0"/>
      <w:marRight w:val="0"/>
      <w:marTop w:val="0"/>
      <w:marBottom w:val="0"/>
      <w:divBdr>
        <w:top w:val="none" w:sz="0" w:space="0" w:color="auto"/>
        <w:left w:val="none" w:sz="0" w:space="0" w:color="auto"/>
        <w:bottom w:val="none" w:sz="0" w:space="0" w:color="auto"/>
        <w:right w:val="none" w:sz="0" w:space="0" w:color="auto"/>
      </w:divBdr>
    </w:div>
    <w:div w:id="1493254328">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780686088">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2933391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aws-lois.justice.gc.ca/eng/acts/c-36/page-6.html" TargetMode="External"/><Relationship Id="rId1" Type="http://schemas.openxmlformats.org/officeDocument/2006/relationships/hyperlink" Target="https://laws-lois.justice.gc.ca/eng/acts/b-3/page-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4801</Words>
  <Characters>27369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Anthony Harper</cp:lastModifiedBy>
  <cp:revision>3</cp:revision>
  <cp:lastPrinted>2019-08-27T05:42:00Z</cp:lastPrinted>
  <dcterms:created xsi:type="dcterms:W3CDTF">2023-07-04T09:45:00Z</dcterms:created>
  <dcterms:modified xsi:type="dcterms:W3CDTF">2023-07-04T09:46:00Z</dcterms:modified>
</cp:coreProperties>
</file>