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D70B74" w:rsidRDefault="00AE5B6F" w:rsidP="00B04033">
      <w:pPr>
        <w:pStyle w:val="ListParagraph"/>
        <w:numPr>
          <w:ilvl w:val="0"/>
          <w:numId w:val="1"/>
        </w:numPr>
        <w:ind w:left="426"/>
        <w:jc w:val="both"/>
        <w:rPr>
          <w:rFonts w:ascii="Avenir Next" w:hAnsi="Avenir Next" w:cs="Arial"/>
          <w:sz w:val="22"/>
          <w:szCs w:val="22"/>
          <w:highlight w:val="yellow"/>
          <w:lang w:val="en-GB"/>
        </w:rPr>
      </w:pPr>
      <w:r w:rsidRPr="00D70B74">
        <w:rPr>
          <w:rFonts w:ascii="Avenir Next" w:hAnsi="Avenir Next" w:cs="Arial"/>
          <w:sz w:val="22"/>
          <w:szCs w:val="22"/>
          <w:highlight w:val="yellow"/>
          <w:lang w:val="en-GB"/>
        </w:rPr>
        <w:t>w</w:t>
      </w:r>
      <w:r w:rsidR="00C91062" w:rsidRPr="00D70B74">
        <w:rPr>
          <w:rFonts w:ascii="Avenir Next" w:hAnsi="Avenir Next" w:cs="Arial"/>
          <w:sz w:val="22"/>
          <w:szCs w:val="22"/>
          <w:highlight w:val="yellow"/>
          <w:lang w:val="en-GB"/>
        </w:rPr>
        <w:t>ithin 8 weeks of the commencement of the administration</w:t>
      </w:r>
      <w:r w:rsidR="00763348" w:rsidRPr="00D70B74">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5E38EE61" w14:textId="77777777" w:rsidR="00523C89" w:rsidRDefault="00523C89" w:rsidP="00C55824">
      <w:pPr>
        <w:jc w:val="both"/>
        <w:rPr>
          <w:rFonts w:ascii="Avenir Next Demi Bold" w:hAnsi="Avenir Next Demi Bold" w:cs="Arial"/>
          <w:b/>
          <w:bCs/>
          <w:sz w:val="22"/>
          <w:szCs w:val="22"/>
        </w:rPr>
      </w:pPr>
    </w:p>
    <w:p w14:paraId="1EDB374E" w14:textId="616441B0"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732C51" w:rsidRDefault="00E443D7" w:rsidP="00B04033">
      <w:pPr>
        <w:pStyle w:val="ListParagraph"/>
        <w:numPr>
          <w:ilvl w:val="0"/>
          <w:numId w:val="2"/>
        </w:numPr>
        <w:ind w:left="426"/>
        <w:jc w:val="both"/>
        <w:rPr>
          <w:rFonts w:ascii="Avenir Next" w:hAnsi="Avenir Next" w:cs="Arial"/>
          <w:sz w:val="22"/>
          <w:szCs w:val="22"/>
          <w:highlight w:val="yellow"/>
          <w:lang w:val="en-GB"/>
        </w:rPr>
      </w:pPr>
      <w:r w:rsidRPr="00732C51">
        <w:rPr>
          <w:rFonts w:ascii="Avenir Next" w:hAnsi="Avenir Next" w:cs="Arial"/>
          <w:sz w:val="22"/>
          <w:szCs w:val="22"/>
          <w:highlight w:val="yellow"/>
          <w:lang w:val="en-GB"/>
        </w:rPr>
        <w:t>One year</w:t>
      </w:r>
      <w:r w:rsidR="00763348" w:rsidRPr="00732C51">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E5747C" w:rsidRDefault="00AE5B6F" w:rsidP="00B04033">
      <w:pPr>
        <w:pStyle w:val="ListParagraph"/>
        <w:numPr>
          <w:ilvl w:val="0"/>
          <w:numId w:val="3"/>
        </w:numPr>
        <w:ind w:left="426"/>
        <w:jc w:val="both"/>
        <w:rPr>
          <w:rFonts w:ascii="Avenir Next" w:hAnsi="Avenir Next" w:cs="Arial"/>
          <w:sz w:val="22"/>
          <w:szCs w:val="22"/>
          <w:highlight w:val="yellow"/>
          <w:lang w:val="en-GB"/>
        </w:rPr>
      </w:pPr>
      <w:r w:rsidRPr="00E5747C">
        <w:rPr>
          <w:rFonts w:ascii="Avenir Next" w:hAnsi="Avenir Next" w:cs="Arial"/>
          <w:sz w:val="22"/>
          <w:szCs w:val="22"/>
          <w:highlight w:val="yellow"/>
          <w:lang w:val="en-GB"/>
        </w:rPr>
        <w:lastRenderedPageBreak/>
        <w:t>T</w:t>
      </w:r>
      <w:r w:rsidR="008D1616" w:rsidRPr="00E5747C">
        <w:rPr>
          <w:rFonts w:ascii="Avenir Next" w:hAnsi="Avenir Next" w:cs="Arial"/>
          <w:sz w:val="22"/>
          <w:szCs w:val="22"/>
          <w:highlight w:val="yellow"/>
          <w:lang w:val="en-GB"/>
        </w:rPr>
        <w:t>he company is, or is likely to become, unable to pay their debts, as defined under s</w:t>
      </w:r>
      <w:r w:rsidR="00E833F4" w:rsidRPr="00E5747C">
        <w:rPr>
          <w:rFonts w:ascii="Avenir Next" w:hAnsi="Avenir Next" w:cs="Arial"/>
          <w:sz w:val="22"/>
          <w:szCs w:val="22"/>
          <w:highlight w:val="yellow"/>
          <w:lang w:val="en-GB"/>
        </w:rPr>
        <w:t>ection</w:t>
      </w:r>
      <w:r w:rsidR="008D1616" w:rsidRPr="00E5747C">
        <w:rPr>
          <w:rFonts w:ascii="Avenir Next" w:hAnsi="Avenir Next" w:cs="Arial"/>
          <w:sz w:val="22"/>
          <w:szCs w:val="22"/>
          <w:highlight w:val="yellow"/>
          <w:lang w:val="en-GB"/>
        </w:rPr>
        <w:t xml:space="preserve"> 123 of the Insolvency Act 1986</w:t>
      </w:r>
      <w:r w:rsidR="00763348" w:rsidRPr="00E5747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67295ECB" w14:textId="77777777" w:rsidR="00523C89" w:rsidRDefault="00523C89" w:rsidP="00C55824">
      <w:pPr>
        <w:jc w:val="both"/>
        <w:rPr>
          <w:rFonts w:ascii="Avenir Next Demi Bold" w:hAnsi="Avenir Next Demi Bold" w:cs="Arial"/>
          <w:b/>
          <w:bCs/>
          <w:sz w:val="22"/>
          <w:szCs w:val="22"/>
        </w:rPr>
      </w:pPr>
    </w:p>
    <w:p w14:paraId="5099C7EB" w14:textId="21DAEFAC"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23AE0" w:rsidRDefault="00C91062" w:rsidP="00B04033">
      <w:pPr>
        <w:pStyle w:val="ListParagraph"/>
        <w:numPr>
          <w:ilvl w:val="0"/>
          <w:numId w:val="4"/>
        </w:numPr>
        <w:ind w:left="426"/>
        <w:jc w:val="both"/>
        <w:rPr>
          <w:rFonts w:ascii="Avenir Next" w:hAnsi="Avenir Next" w:cs="Arial"/>
          <w:sz w:val="22"/>
          <w:szCs w:val="22"/>
          <w:highlight w:val="yellow"/>
          <w:lang w:val="en-GB"/>
        </w:rPr>
      </w:pPr>
      <w:r w:rsidRPr="00723AE0">
        <w:rPr>
          <w:rFonts w:ascii="Avenir Next" w:hAnsi="Avenir Next" w:cs="Arial"/>
          <w:sz w:val="22"/>
          <w:szCs w:val="22"/>
          <w:highlight w:val="yellow"/>
          <w:lang w:val="en-GB"/>
        </w:rPr>
        <w:t>The purchaser</w:t>
      </w:r>
      <w:r w:rsidR="00763348" w:rsidRPr="00723AE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01407BD3" w14:textId="77777777" w:rsidR="00523C89" w:rsidRDefault="00523C89" w:rsidP="0020090A">
      <w:pPr>
        <w:keepNext/>
        <w:jc w:val="both"/>
        <w:rPr>
          <w:rFonts w:ascii="Avenir Next Demi Bold" w:hAnsi="Avenir Next Demi Bold" w:cs="Arial"/>
          <w:b/>
          <w:bCs/>
          <w:sz w:val="22"/>
          <w:szCs w:val="22"/>
        </w:rPr>
      </w:pPr>
    </w:p>
    <w:p w14:paraId="7826345D" w14:textId="188A0076"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383DD5" w:rsidRDefault="00BA1CFD" w:rsidP="00B04033">
      <w:pPr>
        <w:pStyle w:val="ListParagraph"/>
        <w:numPr>
          <w:ilvl w:val="0"/>
          <w:numId w:val="5"/>
        </w:numPr>
        <w:ind w:left="426"/>
        <w:jc w:val="both"/>
        <w:rPr>
          <w:rFonts w:ascii="Avenir Next" w:hAnsi="Avenir Next" w:cs="Arial"/>
          <w:sz w:val="22"/>
          <w:szCs w:val="22"/>
          <w:highlight w:val="yellow"/>
          <w:lang w:val="en-GB"/>
        </w:rPr>
      </w:pPr>
      <w:r w:rsidRPr="00383DD5">
        <w:rPr>
          <w:rFonts w:ascii="Avenir Next" w:hAnsi="Avenir Next" w:cs="Arial"/>
          <w:sz w:val="22"/>
          <w:szCs w:val="22"/>
          <w:highlight w:val="yellow"/>
          <w:lang w:val="en-GB"/>
        </w:rPr>
        <w:t>Administration</w:t>
      </w:r>
      <w:r w:rsidR="00763348" w:rsidRPr="00383DD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23C89" w:rsidRDefault="001F3C98" w:rsidP="00B04033">
      <w:pPr>
        <w:pStyle w:val="ListParagraph"/>
        <w:numPr>
          <w:ilvl w:val="0"/>
          <w:numId w:val="6"/>
        </w:numPr>
        <w:ind w:left="426"/>
        <w:jc w:val="both"/>
        <w:rPr>
          <w:rFonts w:ascii="Avenir Next" w:hAnsi="Avenir Next" w:cs="Arial"/>
          <w:sz w:val="22"/>
          <w:szCs w:val="22"/>
          <w:highlight w:val="yellow"/>
          <w:lang w:val="en-GB"/>
        </w:rPr>
      </w:pPr>
      <w:r w:rsidRPr="00523C89">
        <w:rPr>
          <w:rFonts w:ascii="Avenir Next" w:hAnsi="Avenir Next" w:cs="Arial"/>
          <w:sz w:val="22"/>
          <w:szCs w:val="22"/>
          <w:highlight w:val="yellow"/>
          <w:lang w:val="en-GB"/>
        </w:rPr>
        <w:t xml:space="preserve">GBP </w:t>
      </w:r>
      <w:r w:rsidR="00BA1CFD" w:rsidRPr="00523C8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31D1EE56" w14:textId="77777777" w:rsidR="00523C89" w:rsidRDefault="00523C89" w:rsidP="00C55824">
      <w:pPr>
        <w:jc w:val="both"/>
        <w:rPr>
          <w:rFonts w:ascii="Avenir Next Demi Bold" w:hAnsi="Avenir Next Demi Bold" w:cs="Arial"/>
          <w:b/>
          <w:bCs/>
          <w:sz w:val="22"/>
          <w:szCs w:val="22"/>
        </w:rPr>
      </w:pPr>
    </w:p>
    <w:p w14:paraId="13E279C8" w14:textId="77777777" w:rsidR="00523C89" w:rsidRDefault="00523C89" w:rsidP="00C55824">
      <w:pPr>
        <w:jc w:val="both"/>
        <w:rPr>
          <w:rFonts w:ascii="Avenir Next Demi Bold" w:hAnsi="Avenir Next Demi Bold" w:cs="Arial"/>
          <w:b/>
          <w:bCs/>
          <w:sz w:val="22"/>
          <w:szCs w:val="22"/>
        </w:rPr>
      </w:pPr>
    </w:p>
    <w:p w14:paraId="6593EEC8" w14:textId="77777777" w:rsidR="00523C89" w:rsidRDefault="00523C89" w:rsidP="00C55824">
      <w:pPr>
        <w:jc w:val="both"/>
        <w:rPr>
          <w:rFonts w:ascii="Avenir Next Demi Bold" w:hAnsi="Avenir Next Demi Bold" w:cs="Arial"/>
          <w:b/>
          <w:bCs/>
          <w:sz w:val="22"/>
          <w:szCs w:val="22"/>
        </w:rPr>
      </w:pPr>
    </w:p>
    <w:p w14:paraId="6139E4D6" w14:textId="77777777" w:rsidR="00523C89" w:rsidRDefault="00523C89" w:rsidP="00C55824">
      <w:pPr>
        <w:jc w:val="both"/>
        <w:rPr>
          <w:rFonts w:ascii="Avenir Next Demi Bold" w:hAnsi="Avenir Next Demi Bold" w:cs="Arial"/>
          <w:b/>
          <w:bCs/>
          <w:sz w:val="22"/>
          <w:szCs w:val="22"/>
        </w:rPr>
      </w:pPr>
    </w:p>
    <w:p w14:paraId="2A9B1C75" w14:textId="773C594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3721E3" w:rsidRDefault="00BA1CFD" w:rsidP="00B04033">
      <w:pPr>
        <w:pStyle w:val="ListParagraph"/>
        <w:numPr>
          <w:ilvl w:val="0"/>
          <w:numId w:val="7"/>
        </w:numPr>
        <w:ind w:left="426"/>
        <w:jc w:val="both"/>
        <w:rPr>
          <w:rFonts w:ascii="Avenir Next" w:hAnsi="Avenir Next" w:cs="Arial"/>
          <w:sz w:val="22"/>
          <w:szCs w:val="22"/>
          <w:lang w:val="en-GB"/>
        </w:rPr>
      </w:pPr>
      <w:r w:rsidRPr="003721E3">
        <w:rPr>
          <w:rFonts w:ascii="Avenir Next" w:hAnsi="Avenir Next" w:cs="Arial"/>
          <w:sz w:val="22"/>
          <w:szCs w:val="22"/>
          <w:lang w:val="en-GB"/>
        </w:rPr>
        <w:t>Wrongful trading</w:t>
      </w:r>
      <w:r w:rsidR="00763348" w:rsidRPr="003721E3">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3721E3" w:rsidRDefault="00BA1CFD" w:rsidP="00B04033">
      <w:pPr>
        <w:pStyle w:val="ListParagraph"/>
        <w:numPr>
          <w:ilvl w:val="0"/>
          <w:numId w:val="7"/>
        </w:numPr>
        <w:ind w:left="426"/>
        <w:jc w:val="both"/>
        <w:rPr>
          <w:rFonts w:ascii="Avenir Next" w:hAnsi="Avenir Next" w:cs="Arial"/>
          <w:sz w:val="22"/>
          <w:szCs w:val="22"/>
          <w:highlight w:val="yellow"/>
          <w:lang w:val="en-GB"/>
        </w:rPr>
      </w:pPr>
      <w:r w:rsidRPr="003721E3">
        <w:rPr>
          <w:rFonts w:ascii="Avenir Next" w:hAnsi="Avenir Next" w:cs="Arial"/>
          <w:sz w:val="22"/>
          <w:szCs w:val="22"/>
          <w:highlight w:val="yellow"/>
          <w:lang w:val="en-GB"/>
        </w:rPr>
        <w:t>Being found guilty of an indictable offence overseas</w:t>
      </w:r>
      <w:r w:rsidR="00763348" w:rsidRPr="003721E3">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02A1B0B8" w14:textId="77777777" w:rsidR="003721E3" w:rsidRDefault="003721E3" w:rsidP="00C55824">
      <w:pPr>
        <w:jc w:val="both"/>
        <w:rPr>
          <w:rFonts w:ascii="Avenir Next Demi Bold" w:hAnsi="Avenir Next Demi Bold" w:cs="Arial"/>
          <w:b/>
          <w:bCs/>
          <w:sz w:val="22"/>
          <w:szCs w:val="22"/>
        </w:rPr>
      </w:pPr>
    </w:p>
    <w:p w14:paraId="2542F9D9" w14:textId="1DE20334"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4E6ADC" w:rsidRDefault="00876F56" w:rsidP="00B04033">
      <w:pPr>
        <w:pStyle w:val="ListParagraph"/>
        <w:numPr>
          <w:ilvl w:val="0"/>
          <w:numId w:val="8"/>
        </w:numPr>
        <w:ind w:left="426"/>
        <w:jc w:val="both"/>
        <w:rPr>
          <w:rFonts w:ascii="Avenir Next" w:hAnsi="Avenir Next" w:cs="Arial"/>
          <w:sz w:val="22"/>
          <w:szCs w:val="22"/>
          <w:highlight w:val="yellow"/>
          <w:lang w:val="en-GB"/>
        </w:rPr>
      </w:pPr>
      <w:r w:rsidRPr="004E6ADC">
        <w:rPr>
          <w:rFonts w:ascii="Avenir Next" w:hAnsi="Avenir Next" w:cs="Arial"/>
          <w:sz w:val="22"/>
          <w:szCs w:val="22"/>
          <w:highlight w:val="yellow"/>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77777777" w:rsidR="001F3C98" w:rsidRDefault="001F3C98" w:rsidP="00C55824">
      <w:pPr>
        <w:jc w:val="both"/>
        <w:rPr>
          <w:rFonts w:ascii="Avenir Next" w:eastAsiaTheme="minorHAnsi" w:hAnsi="Avenir Next" w:cs="Arial"/>
          <w:sz w:val="22"/>
          <w:szCs w:val="22"/>
          <w:lang w:val="en-GB"/>
        </w:rPr>
      </w:pPr>
    </w:p>
    <w:p w14:paraId="75CB8F4B" w14:textId="77777777" w:rsidR="004E6ADC" w:rsidRPr="006925C1" w:rsidRDefault="004E6ADC"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EF0CBE" w:rsidRDefault="00AC317D" w:rsidP="00AE5B6F">
      <w:pPr>
        <w:pStyle w:val="ListParagraph"/>
        <w:numPr>
          <w:ilvl w:val="0"/>
          <w:numId w:val="9"/>
        </w:numPr>
        <w:ind w:left="426"/>
        <w:jc w:val="both"/>
        <w:rPr>
          <w:rFonts w:ascii="Avenir Next" w:hAnsi="Avenir Next" w:cs="Arial"/>
          <w:sz w:val="22"/>
          <w:szCs w:val="22"/>
          <w:highlight w:val="yellow"/>
          <w:lang w:val="en-GB"/>
        </w:rPr>
      </w:pPr>
      <w:r w:rsidRPr="00EF0CBE">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142C4" w:rsidRDefault="0020204E" w:rsidP="00B04033">
      <w:pPr>
        <w:pStyle w:val="ListParagraph"/>
        <w:numPr>
          <w:ilvl w:val="0"/>
          <w:numId w:val="10"/>
        </w:numPr>
        <w:ind w:left="426"/>
        <w:jc w:val="both"/>
        <w:rPr>
          <w:rFonts w:ascii="Avenir Next" w:hAnsi="Avenir Next" w:cs="Arial"/>
          <w:sz w:val="22"/>
          <w:szCs w:val="22"/>
          <w:highlight w:val="yellow"/>
          <w:lang w:val="en-GB"/>
        </w:rPr>
      </w:pPr>
      <w:r w:rsidRPr="008142C4">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443D75" w14:textId="758C8AC4" w:rsidR="00C808D4" w:rsidRDefault="00C808D4" w:rsidP="006624AB">
      <w:pPr>
        <w:jc w:val="both"/>
        <w:rPr>
          <w:rFonts w:ascii="Avenir Next" w:hAnsi="Avenir Next" w:cs="Arial"/>
          <w:color w:val="808080" w:themeColor="background1" w:themeShade="80"/>
          <w:sz w:val="22"/>
          <w:szCs w:val="22"/>
          <w:lang w:val="en-GB"/>
        </w:rPr>
      </w:pPr>
    </w:p>
    <w:p w14:paraId="62277957" w14:textId="033B462D" w:rsidR="00C808D4" w:rsidRDefault="007C5F95" w:rsidP="007C5F95">
      <w:pPr>
        <w:pStyle w:val="ListParagraph"/>
        <w:numPr>
          <w:ilvl w:val="0"/>
          <w:numId w:val="18"/>
        </w:numPr>
        <w:ind w:left="540" w:hanging="540"/>
        <w:jc w:val="both"/>
        <w:rPr>
          <w:rFonts w:ascii="Avenir Next" w:hAnsi="Avenir Next" w:cs="Arial"/>
          <w:color w:val="808080" w:themeColor="background1" w:themeShade="80"/>
          <w:sz w:val="22"/>
          <w:szCs w:val="22"/>
          <w:lang w:val="en-GB"/>
        </w:rPr>
      </w:pPr>
      <w:r w:rsidRPr="007C5F95">
        <w:rPr>
          <w:rFonts w:ascii="Avenir Next" w:hAnsi="Avenir Next" w:cs="Arial"/>
          <w:color w:val="808080" w:themeColor="background1" w:themeShade="80"/>
          <w:sz w:val="22"/>
          <w:szCs w:val="22"/>
          <w:lang w:val="en-GB"/>
        </w:rPr>
        <w:t>Under section 423 of the Act, the following parties have the right to attack transactions which are designed to defraud creditors: (</w:t>
      </w:r>
      <w:proofErr w:type="spellStart"/>
      <w:r w:rsidRPr="007C5F95">
        <w:rPr>
          <w:rFonts w:ascii="Avenir Next" w:hAnsi="Avenir Next" w:cs="Arial"/>
          <w:color w:val="808080" w:themeColor="background1" w:themeShade="80"/>
          <w:sz w:val="22"/>
          <w:szCs w:val="22"/>
          <w:lang w:val="en-GB"/>
        </w:rPr>
        <w:t>i</w:t>
      </w:r>
      <w:proofErr w:type="spellEnd"/>
      <w:r w:rsidRPr="007C5F95">
        <w:rPr>
          <w:rFonts w:ascii="Avenir Next" w:hAnsi="Avenir Next" w:cs="Arial"/>
          <w:color w:val="808080" w:themeColor="background1" w:themeShade="80"/>
          <w:sz w:val="22"/>
          <w:szCs w:val="22"/>
          <w:lang w:val="en-GB"/>
        </w:rPr>
        <w:t>) where the company is being wound up or is in administration, the official receiver, the liquidator, the administrator and (with the leave of the court) any victim of the transaction such as a creditor; (ii) where a victim is bound by a CVA, the supervisor of the CVA or any victim of the transaction (whether bound by the CVA or not); or (iii) in any other case, by a victim of the transaction</w:t>
      </w:r>
      <w:r>
        <w:rPr>
          <w:rFonts w:ascii="Avenir Next" w:hAnsi="Avenir Next" w:cs="Arial"/>
          <w:color w:val="808080" w:themeColor="background1" w:themeShade="80"/>
          <w:sz w:val="22"/>
          <w:szCs w:val="22"/>
          <w:lang w:val="en-GB"/>
        </w:rPr>
        <w:t>.</w:t>
      </w:r>
    </w:p>
    <w:p w14:paraId="50C9FC51" w14:textId="77777777" w:rsidR="00360C0F" w:rsidRDefault="00360C0F" w:rsidP="00360C0F">
      <w:pPr>
        <w:pStyle w:val="ListParagraph"/>
        <w:ind w:left="540"/>
        <w:jc w:val="both"/>
        <w:rPr>
          <w:rFonts w:ascii="Avenir Next" w:hAnsi="Avenir Next" w:cs="Arial"/>
          <w:color w:val="808080" w:themeColor="background1" w:themeShade="80"/>
          <w:sz w:val="22"/>
          <w:szCs w:val="22"/>
          <w:lang w:val="en-GB"/>
        </w:rPr>
      </w:pPr>
    </w:p>
    <w:p w14:paraId="2B613096" w14:textId="77777777" w:rsidR="004F6933" w:rsidRDefault="00D609BC" w:rsidP="00D609BC">
      <w:pPr>
        <w:pStyle w:val="ListParagraph"/>
        <w:numPr>
          <w:ilvl w:val="0"/>
          <w:numId w:val="18"/>
        </w:numPr>
        <w:ind w:left="540" w:hanging="540"/>
        <w:jc w:val="both"/>
        <w:rPr>
          <w:rFonts w:ascii="Avenir Next" w:hAnsi="Avenir Next" w:cs="Arial"/>
          <w:color w:val="808080" w:themeColor="background1" w:themeShade="80"/>
          <w:sz w:val="22"/>
          <w:szCs w:val="22"/>
          <w:lang w:val="en-GB"/>
        </w:rPr>
      </w:pPr>
      <w:r w:rsidRPr="00D609BC">
        <w:rPr>
          <w:rFonts w:ascii="Avenir Next" w:hAnsi="Avenir Next" w:cs="Arial"/>
          <w:color w:val="808080" w:themeColor="background1" w:themeShade="80"/>
          <w:sz w:val="22"/>
          <w:szCs w:val="22"/>
          <w:lang w:val="en-GB"/>
        </w:rPr>
        <w:t>Section 6, which is the most commonly used</w:t>
      </w:r>
      <w:r>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ground under the CDDA by far to seek disqualification, deals with findings of unfitness against</w:t>
      </w:r>
      <w:r>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directors of insolvent companies. Under</w:t>
      </w:r>
      <w:r>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section 6 of the CDDA, the court is required to make a disqualification order against a person in</w:t>
      </w:r>
      <w:r>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any case where it is satisfied:</w:t>
      </w:r>
    </w:p>
    <w:p w14:paraId="7A75A9B2" w14:textId="0EFC12D8" w:rsidR="004F6933" w:rsidRDefault="00D609BC" w:rsidP="004F6933">
      <w:pPr>
        <w:pStyle w:val="ListParagraph"/>
        <w:numPr>
          <w:ilvl w:val="0"/>
          <w:numId w:val="19"/>
        </w:numPr>
        <w:jc w:val="both"/>
        <w:rPr>
          <w:rFonts w:ascii="Avenir Next" w:hAnsi="Avenir Next" w:cs="Arial"/>
          <w:color w:val="808080" w:themeColor="background1" w:themeShade="80"/>
          <w:sz w:val="22"/>
          <w:szCs w:val="22"/>
          <w:lang w:val="en-GB"/>
        </w:rPr>
      </w:pPr>
      <w:r w:rsidRPr="00D609BC">
        <w:rPr>
          <w:rFonts w:ascii="Avenir Next" w:hAnsi="Avenir Next" w:cs="Arial"/>
          <w:color w:val="808080" w:themeColor="background1" w:themeShade="80"/>
          <w:sz w:val="22"/>
          <w:szCs w:val="22"/>
          <w:lang w:val="en-GB"/>
        </w:rPr>
        <w:t>that the person is or has been a director of a company which has at any time become</w:t>
      </w:r>
      <w:r w:rsidR="004F6933">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insolvent (whether while he was a director or subsequently); and</w:t>
      </w:r>
    </w:p>
    <w:p w14:paraId="2D3151EA" w14:textId="77777777" w:rsidR="000C6BBB" w:rsidRDefault="00D609BC" w:rsidP="004F6933">
      <w:pPr>
        <w:pStyle w:val="ListParagraph"/>
        <w:numPr>
          <w:ilvl w:val="0"/>
          <w:numId w:val="19"/>
        </w:numPr>
        <w:jc w:val="both"/>
        <w:rPr>
          <w:rFonts w:ascii="Avenir Next" w:hAnsi="Avenir Next" w:cs="Arial"/>
          <w:color w:val="808080" w:themeColor="background1" w:themeShade="80"/>
          <w:sz w:val="22"/>
          <w:szCs w:val="22"/>
          <w:lang w:val="en-GB"/>
        </w:rPr>
      </w:pPr>
      <w:r w:rsidRPr="00D609BC">
        <w:rPr>
          <w:rFonts w:ascii="Avenir Next" w:hAnsi="Avenir Next" w:cs="Arial"/>
          <w:color w:val="808080" w:themeColor="background1" w:themeShade="80"/>
          <w:sz w:val="22"/>
          <w:szCs w:val="22"/>
          <w:lang w:val="en-GB"/>
        </w:rPr>
        <w:t>that his conduct as a director of that company (either taken alone or taken together with his</w:t>
      </w:r>
      <w:r w:rsidR="004F6933">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conduct as a director of one or more other companies or overseas companies) makes him</w:t>
      </w:r>
      <w:r w:rsidR="004F6933">
        <w:rPr>
          <w:rFonts w:ascii="Avenir Next" w:hAnsi="Avenir Next" w:cs="Arial"/>
          <w:color w:val="808080" w:themeColor="background1" w:themeShade="80"/>
          <w:sz w:val="22"/>
          <w:szCs w:val="22"/>
          <w:lang w:val="en-GB"/>
        </w:rPr>
        <w:t xml:space="preserve"> </w:t>
      </w:r>
      <w:r w:rsidRPr="00D609BC">
        <w:rPr>
          <w:rFonts w:ascii="Avenir Next" w:hAnsi="Avenir Next" w:cs="Arial"/>
          <w:color w:val="808080" w:themeColor="background1" w:themeShade="80"/>
          <w:sz w:val="22"/>
          <w:szCs w:val="22"/>
          <w:lang w:val="en-GB"/>
        </w:rPr>
        <w:t>unfit to be concerned in the management of a company.</w:t>
      </w:r>
    </w:p>
    <w:p w14:paraId="71EDE4C9" w14:textId="53E1F116" w:rsidR="00EB0CF1" w:rsidRDefault="00D609BC" w:rsidP="00360C0F">
      <w:pPr>
        <w:ind w:left="540"/>
        <w:jc w:val="both"/>
        <w:rPr>
          <w:rFonts w:ascii="Avenir Next" w:hAnsi="Avenir Next" w:cs="Arial"/>
          <w:color w:val="808080" w:themeColor="background1" w:themeShade="80"/>
          <w:sz w:val="22"/>
          <w:szCs w:val="22"/>
          <w:lang w:val="en-GB"/>
        </w:rPr>
      </w:pPr>
      <w:r w:rsidRPr="000C6BBB">
        <w:rPr>
          <w:rFonts w:ascii="Avenir Next" w:hAnsi="Avenir Next" w:cs="Arial"/>
          <w:color w:val="808080" w:themeColor="background1" w:themeShade="80"/>
          <w:sz w:val="22"/>
          <w:szCs w:val="22"/>
          <w:lang w:val="en-GB"/>
        </w:rPr>
        <w:br/>
        <w:t>It is usual for section 6 cases to be based upon evidence that directors permitted a company to</w:t>
      </w:r>
      <w:r w:rsidR="000C6BBB">
        <w:rPr>
          <w:rFonts w:ascii="Avenir Next" w:hAnsi="Avenir Next" w:cs="Arial"/>
          <w:color w:val="808080" w:themeColor="background1" w:themeShade="80"/>
          <w:sz w:val="22"/>
          <w:szCs w:val="22"/>
          <w:lang w:val="en-GB"/>
        </w:rPr>
        <w:t xml:space="preserve"> </w:t>
      </w:r>
      <w:r w:rsidRPr="000C6BBB">
        <w:rPr>
          <w:rFonts w:ascii="Avenir Next" w:hAnsi="Avenir Next" w:cs="Arial"/>
          <w:color w:val="808080" w:themeColor="background1" w:themeShade="80"/>
          <w:sz w:val="22"/>
          <w:szCs w:val="22"/>
          <w:lang w:val="en-GB"/>
        </w:rPr>
        <w:t>trade whilst insolvent, often using money collected on behalf of the Crown by way of taxation</w:t>
      </w:r>
      <w:r w:rsidR="000C6BBB">
        <w:rPr>
          <w:rFonts w:ascii="Avenir Next" w:hAnsi="Avenir Next" w:cs="Arial"/>
          <w:color w:val="808080" w:themeColor="background1" w:themeShade="80"/>
          <w:sz w:val="22"/>
          <w:szCs w:val="22"/>
          <w:lang w:val="en-GB"/>
        </w:rPr>
        <w:t xml:space="preserve"> </w:t>
      </w:r>
      <w:r w:rsidRPr="000C6BBB">
        <w:rPr>
          <w:rFonts w:ascii="Avenir Next" w:hAnsi="Avenir Next" w:cs="Arial"/>
          <w:color w:val="808080" w:themeColor="background1" w:themeShade="80"/>
          <w:sz w:val="22"/>
          <w:szCs w:val="22"/>
          <w:lang w:val="en-GB"/>
        </w:rPr>
        <w:t>and often paying themselves excessive remuneration. Allegations of fraud or engaging in</w:t>
      </w:r>
      <w:r w:rsidR="000C6BBB">
        <w:rPr>
          <w:rFonts w:ascii="Avenir Next" w:hAnsi="Avenir Next" w:cs="Arial"/>
          <w:color w:val="808080" w:themeColor="background1" w:themeShade="80"/>
          <w:sz w:val="22"/>
          <w:szCs w:val="22"/>
          <w:lang w:val="en-GB"/>
        </w:rPr>
        <w:t xml:space="preserve"> </w:t>
      </w:r>
      <w:r w:rsidRPr="000C6BBB">
        <w:rPr>
          <w:rFonts w:ascii="Avenir Next" w:hAnsi="Avenir Next" w:cs="Arial"/>
          <w:color w:val="808080" w:themeColor="background1" w:themeShade="80"/>
          <w:sz w:val="22"/>
          <w:szCs w:val="22"/>
          <w:lang w:val="en-GB"/>
        </w:rPr>
        <w:t>preferential treatment of creditors who might be family members are also common</w:t>
      </w:r>
      <w:r w:rsidR="000C6BBB">
        <w:rPr>
          <w:rFonts w:ascii="Avenir Next" w:hAnsi="Avenir Next" w:cs="Arial"/>
          <w:color w:val="808080" w:themeColor="background1" w:themeShade="80"/>
          <w:sz w:val="22"/>
          <w:szCs w:val="22"/>
          <w:lang w:val="en-GB"/>
        </w:rPr>
        <w:t>.</w:t>
      </w:r>
    </w:p>
    <w:p w14:paraId="0F731A88" w14:textId="77777777" w:rsidR="00EB0CF1" w:rsidRDefault="00EB0CF1" w:rsidP="000C6BBB">
      <w:pPr>
        <w:ind w:left="540"/>
        <w:jc w:val="both"/>
        <w:rPr>
          <w:rFonts w:ascii="Avenir Next" w:hAnsi="Avenir Next" w:cs="Arial"/>
          <w:color w:val="808080" w:themeColor="background1" w:themeShade="80"/>
          <w:sz w:val="22"/>
          <w:szCs w:val="22"/>
          <w:lang w:val="en-GB"/>
        </w:rPr>
      </w:pPr>
    </w:p>
    <w:p w14:paraId="61FB6F6B" w14:textId="4771F90A" w:rsidR="00EB0CF1" w:rsidRPr="00EB0CF1" w:rsidRDefault="00EB0CF1" w:rsidP="00EB0CF1">
      <w:pPr>
        <w:pStyle w:val="ListParagraph"/>
        <w:numPr>
          <w:ilvl w:val="0"/>
          <w:numId w:val="18"/>
        </w:numPr>
        <w:ind w:left="540" w:hanging="540"/>
        <w:jc w:val="both"/>
        <w:rPr>
          <w:rFonts w:ascii="Avenir Next" w:hAnsi="Avenir Next" w:cs="Arial"/>
          <w:color w:val="808080" w:themeColor="background1" w:themeShade="80"/>
          <w:sz w:val="22"/>
          <w:szCs w:val="22"/>
          <w:lang w:val="en-GB"/>
        </w:rPr>
      </w:pPr>
      <w:r w:rsidRPr="00EB0CF1">
        <w:rPr>
          <w:rFonts w:ascii="Avenir Next" w:hAnsi="Avenir Next" w:cs="Arial"/>
          <w:color w:val="808080" w:themeColor="background1" w:themeShade="80"/>
          <w:sz w:val="22"/>
          <w:szCs w:val="22"/>
          <w:lang w:val="en-GB"/>
        </w:rPr>
        <w:t>Fraudulent trading may lead to both (or either) criminal liability (under section 993 of the</w:t>
      </w:r>
      <w:r w:rsidRPr="00EB0CF1">
        <w:rPr>
          <w:rFonts w:ascii="Avenir Next" w:hAnsi="Avenir Next" w:cs="Arial"/>
          <w:color w:val="808080" w:themeColor="background1" w:themeShade="80"/>
          <w:sz w:val="22"/>
          <w:szCs w:val="22"/>
          <w:lang w:val="en-GB"/>
        </w:rPr>
        <w:br/>
        <w:t>Companies Act 2006) and civil liability (under section 213 of the Act).</w:t>
      </w:r>
      <w:r w:rsidR="00360C0F">
        <w:rPr>
          <w:rFonts w:ascii="Avenir Next" w:hAnsi="Avenir Next" w:cs="Arial"/>
          <w:color w:val="808080" w:themeColor="background1" w:themeShade="80"/>
          <w:sz w:val="22"/>
          <w:szCs w:val="22"/>
          <w:lang w:val="en-GB"/>
        </w:rPr>
        <w:t xml:space="preserve"> W</w:t>
      </w:r>
      <w:r w:rsidRPr="00EB0CF1">
        <w:rPr>
          <w:rFonts w:ascii="Avenir Next" w:hAnsi="Avenir Next" w:cs="Arial"/>
          <w:color w:val="808080" w:themeColor="background1" w:themeShade="80"/>
          <w:sz w:val="22"/>
          <w:szCs w:val="22"/>
          <w:lang w:val="en-GB"/>
        </w:rPr>
        <w:t>ith the new section 246ZA of the Act</w:t>
      </w:r>
      <w:r w:rsidR="00360C0F">
        <w:rPr>
          <w:rFonts w:ascii="Avenir Next" w:hAnsi="Avenir Next" w:cs="Arial"/>
          <w:color w:val="808080" w:themeColor="background1" w:themeShade="80"/>
          <w:sz w:val="22"/>
          <w:szCs w:val="22"/>
          <w:lang w:val="en-GB"/>
        </w:rPr>
        <w:t>, a</w:t>
      </w:r>
      <w:r w:rsidRPr="00EB0CF1">
        <w:rPr>
          <w:rFonts w:ascii="Avenir Next" w:hAnsi="Avenir Next" w:cs="Arial"/>
          <w:color w:val="808080" w:themeColor="background1" w:themeShade="80"/>
          <w:sz w:val="22"/>
          <w:szCs w:val="22"/>
          <w:lang w:val="en-GB"/>
        </w:rPr>
        <w:t xml:space="preserve"> civil</w:t>
      </w:r>
      <w:r w:rsidR="00360C0F">
        <w:rPr>
          <w:rFonts w:ascii="Avenir Next" w:hAnsi="Avenir Next" w:cs="Arial"/>
          <w:color w:val="808080" w:themeColor="background1" w:themeShade="80"/>
          <w:sz w:val="22"/>
          <w:szCs w:val="22"/>
          <w:lang w:val="en-GB"/>
        </w:rPr>
        <w:t xml:space="preserve"> </w:t>
      </w:r>
      <w:r w:rsidRPr="00EB0CF1">
        <w:rPr>
          <w:rFonts w:ascii="Avenir Next" w:hAnsi="Avenir Next" w:cs="Arial"/>
          <w:color w:val="808080" w:themeColor="background1" w:themeShade="80"/>
          <w:sz w:val="22"/>
          <w:szCs w:val="22"/>
          <w:lang w:val="en-GB"/>
        </w:rPr>
        <w:t>application for fraudulent trading can be brought by a liquidator or administrator who brings it</w:t>
      </w:r>
      <w:r w:rsidR="00360C0F">
        <w:rPr>
          <w:rFonts w:ascii="Avenir Next" w:hAnsi="Avenir Next" w:cs="Arial"/>
          <w:color w:val="808080" w:themeColor="background1" w:themeShade="80"/>
          <w:sz w:val="22"/>
          <w:szCs w:val="22"/>
          <w:lang w:val="en-GB"/>
        </w:rPr>
        <w:t xml:space="preserve"> </w:t>
      </w:r>
      <w:r w:rsidRPr="00EB0CF1">
        <w:rPr>
          <w:rFonts w:ascii="Avenir Next" w:hAnsi="Avenir Next" w:cs="Arial"/>
          <w:color w:val="808080" w:themeColor="background1" w:themeShade="80"/>
          <w:sz w:val="22"/>
          <w:szCs w:val="22"/>
          <w:lang w:val="en-GB"/>
        </w:rPr>
        <w:t>for the benefit of all creditors and not merely for the benefit of the</w:t>
      </w:r>
      <w:r w:rsidR="00360C0F">
        <w:rPr>
          <w:rFonts w:ascii="Avenir Next" w:hAnsi="Avenir Next" w:cs="Arial"/>
          <w:color w:val="808080" w:themeColor="background1" w:themeShade="80"/>
          <w:sz w:val="22"/>
          <w:szCs w:val="22"/>
          <w:lang w:val="en-GB"/>
        </w:rPr>
        <w:t xml:space="preserve"> </w:t>
      </w:r>
      <w:r w:rsidRPr="00EB0CF1">
        <w:rPr>
          <w:rFonts w:ascii="Avenir Next" w:hAnsi="Avenir Next" w:cs="Arial"/>
          <w:color w:val="808080" w:themeColor="background1" w:themeShade="80"/>
          <w:sz w:val="22"/>
          <w:szCs w:val="22"/>
          <w:lang w:val="en-GB"/>
        </w:rPr>
        <w:t>actual victims themselves.</w:t>
      </w:r>
      <w:r w:rsidR="00360C0F">
        <w:rPr>
          <w:rFonts w:ascii="Avenir Next" w:hAnsi="Avenir Next" w:cs="Arial"/>
          <w:color w:val="808080" w:themeColor="background1" w:themeShade="80"/>
          <w:sz w:val="22"/>
          <w:szCs w:val="22"/>
          <w:lang w:val="en-GB"/>
        </w:rPr>
        <w:t xml:space="preserve"> </w:t>
      </w:r>
      <w:r w:rsidRPr="00EB0CF1">
        <w:rPr>
          <w:rFonts w:ascii="Avenir Next" w:hAnsi="Avenir Next" w:cs="Arial"/>
          <w:color w:val="808080" w:themeColor="background1" w:themeShade="80"/>
          <w:sz w:val="22"/>
          <w:szCs w:val="22"/>
          <w:lang w:val="en-GB"/>
        </w:rPr>
        <w:t>Individual creditors cannot bring an action for fraudulent trading</w:t>
      </w:r>
      <w:r w:rsidR="00360C0F">
        <w:rPr>
          <w:rFonts w:ascii="Avenir Next" w:hAnsi="Avenir Next" w:cs="Arial"/>
          <w:color w:val="808080" w:themeColor="background1" w:themeShade="80"/>
          <w:sz w:val="22"/>
          <w:szCs w:val="22"/>
          <w:lang w:val="en-GB"/>
        </w:rPr>
        <w:t>.</w:t>
      </w:r>
    </w:p>
    <w:p w14:paraId="1EEE3486" w14:textId="77777777" w:rsidR="00EB0CF1" w:rsidRPr="000C6BBB" w:rsidRDefault="00EB0CF1" w:rsidP="000C6BBB">
      <w:pPr>
        <w:ind w:left="540"/>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3498E6C1" w14:textId="4C31AD6E" w:rsidR="002905E8" w:rsidRDefault="002905E8" w:rsidP="00EA3B38">
      <w:pPr>
        <w:jc w:val="both"/>
        <w:rPr>
          <w:rFonts w:ascii="Avenir Next" w:hAnsi="Avenir Next" w:cs="Arial"/>
          <w:color w:val="808080" w:themeColor="background1" w:themeShade="80"/>
          <w:sz w:val="22"/>
          <w:szCs w:val="22"/>
        </w:rPr>
      </w:pPr>
    </w:p>
    <w:p w14:paraId="71FB45E4" w14:textId="266C5B07" w:rsidR="002905E8" w:rsidRDefault="00D56805" w:rsidP="002905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Payment holiday is related </w:t>
      </w:r>
      <w:r w:rsidR="00B326BD">
        <w:rPr>
          <w:rFonts w:ascii="Avenir Next" w:hAnsi="Avenir Next" w:cs="Arial"/>
          <w:color w:val="808080" w:themeColor="background1" w:themeShade="80"/>
          <w:sz w:val="22"/>
          <w:szCs w:val="22"/>
          <w:lang w:val="en-GB"/>
        </w:rPr>
        <w:t xml:space="preserve">to pre-Moratorium </w:t>
      </w:r>
      <w:r w:rsidR="00B34F24">
        <w:rPr>
          <w:rFonts w:ascii="Avenir Next" w:hAnsi="Avenir Next" w:cs="Arial"/>
          <w:color w:val="808080" w:themeColor="background1" w:themeShade="80"/>
          <w:sz w:val="22"/>
          <w:szCs w:val="22"/>
          <w:lang w:val="en-GB"/>
        </w:rPr>
        <w:t xml:space="preserve">debts. </w:t>
      </w:r>
      <w:r w:rsidR="00F83489">
        <w:rPr>
          <w:rFonts w:ascii="Avenir Next" w:hAnsi="Avenir Next" w:cs="Arial"/>
          <w:color w:val="808080" w:themeColor="background1" w:themeShade="80"/>
          <w:sz w:val="22"/>
          <w:szCs w:val="22"/>
          <w:lang w:val="en-GB"/>
        </w:rPr>
        <w:t xml:space="preserve">There are restrictions on the company paying </w:t>
      </w:r>
      <w:r w:rsidR="00273142">
        <w:rPr>
          <w:rFonts w:ascii="Avenir Next" w:hAnsi="Avenir Next" w:cs="Arial"/>
          <w:color w:val="808080" w:themeColor="background1" w:themeShade="80"/>
          <w:sz w:val="22"/>
          <w:szCs w:val="22"/>
          <w:lang w:val="en-GB"/>
        </w:rPr>
        <w:t>most of its pre-Moratorium debts</w:t>
      </w:r>
      <w:r w:rsidR="004A5CB7">
        <w:rPr>
          <w:rFonts w:ascii="Avenir Next" w:hAnsi="Avenir Next" w:cs="Arial"/>
          <w:color w:val="808080" w:themeColor="background1" w:themeShade="80"/>
          <w:sz w:val="22"/>
          <w:szCs w:val="22"/>
          <w:lang w:val="en-GB"/>
        </w:rPr>
        <w:t xml:space="preserve"> those </w:t>
      </w:r>
      <w:r w:rsidR="00AF3189">
        <w:rPr>
          <w:rFonts w:ascii="Avenir Next" w:hAnsi="Avenir Next" w:cs="Arial"/>
          <w:color w:val="808080" w:themeColor="background1" w:themeShade="80"/>
          <w:sz w:val="22"/>
          <w:szCs w:val="22"/>
          <w:lang w:val="en-GB"/>
        </w:rPr>
        <w:t xml:space="preserve">consist </w:t>
      </w:r>
      <w:r w:rsidR="002905E8" w:rsidRPr="002905E8">
        <w:rPr>
          <w:rFonts w:ascii="Avenir Next" w:hAnsi="Avenir Next" w:cs="Arial"/>
          <w:color w:val="808080" w:themeColor="background1" w:themeShade="80"/>
          <w:sz w:val="22"/>
          <w:szCs w:val="22"/>
          <w:lang w:val="en-GB"/>
        </w:rPr>
        <w:t>of amounts payable in respect of:</w:t>
      </w:r>
    </w:p>
    <w:p w14:paraId="3F70B6A0" w14:textId="621AE5C0" w:rsidR="005A73EA" w:rsidRDefault="005A73EA" w:rsidP="005A73EA">
      <w:pPr>
        <w:pStyle w:val="ListParagraph"/>
        <w:numPr>
          <w:ilvl w:val="0"/>
          <w:numId w:val="20"/>
        </w:numPr>
        <w:jc w:val="both"/>
        <w:rPr>
          <w:rStyle w:val="fontstyle01"/>
        </w:rPr>
      </w:pPr>
      <w:r w:rsidRPr="005A73EA">
        <w:rPr>
          <w:rFonts w:ascii="Avenir Next" w:hAnsi="Avenir Next" w:cs="Arial"/>
          <w:color w:val="808080" w:themeColor="background1" w:themeShade="80"/>
          <w:sz w:val="22"/>
          <w:szCs w:val="22"/>
          <w:lang w:val="en-GB"/>
        </w:rPr>
        <w:t>the monitor’s remuneration or expenses;</w:t>
      </w:r>
    </w:p>
    <w:p w14:paraId="4F5A6629" w14:textId="77777777" w:rsidR="005A73EA" w:rsidRDefault="005A73EA" w:rsidP="005A73EA">
      <w:pPr>
        <w:pStyle w:val="ListParagraph"/>
        <w:numPr>
          <w:ilvl w:val="0"/>
          <w:numId w:val="20"/>
        </w:numPr>
        <w:jc w:val="both"/>
        <w:rPr>
          <w:rFonts w:ascii="Avenir Next" w:hAnsi="Avenir Next" w:cs="Arial"/>
          <w:color w:val="808080" w:themeColor="background1" w:themeShade="80"/>
          <w:sz w:val="22"/>
          <w:szCs w:val="22"/>
          <w:lang w:val="en-GB"/>
        </w:rPr>
      </w:pPr>
      <w:r w:rsidRPr="005A73EA">
        <w:rPr>
          <w:rFonts w:ascii="Avenir Next" w:hAnsi="Avenir Next" w:cs="Arial"/>
          <w:color w:val="808080" w:themeColor="background1" w:themeShade="80"/>
          <w:sz w:val="22"/>
          <w:szCs w:val="22"/>
          <w:lang w:val="en-GB"/>
        </w:rPr>
        <w:t>goods or services supplied during the Moratorium;</w:t>
      </w:r>
    </w:p>
    <w:p w14:paraId="22A4FBB1" w14:textId="77777777" w:rsidR="005A73EA" w:rsidRDefault="005A73EA" w:rsidP="005A73EA">
      <w:pPr>
        <w:pStyle w:val="ListParagraph"/>
        <w:numPr>
          <w:ilvl w:val="0"/>
          <w:numId w:val="20"/>
        </w:numPr>
        <w:jc w:val="both"/>
        <w:rPr>
          <w:rFonts w:ascii="Avenir Next" w:hAnsi="Avenir Next" w:cs="Arial"/>
          <w:color w:val="808080" w:themeColor="background1" w:themeShade="80"/>
          <w:sz w:val="22"/>
          <w:szCs w:val="22"/>
          <w:lang w:val="en-GB"/>
        </w:rPr>
      </w:pPr>
      <w:r w:rsidRPr="005A73EA">
        <w:rPr>
          <w:rFonts w:ascii="Avenir Next" w:hAnsi="Avenir Next" w:cs="Arial"/>
          <w:color w:val="808080" w:themeColor="background1" w:themeShade="80"/>
          <w:sz w:val="22"/>
          <w:szCs w:val="22"/>
          <w:lang w:val="en-GB"/>
        </w:rPr>
        <w:t>rent in respect of a period during the Moratorium;</w:t>
      </w:r>
    </w:p>
    <w:p w14:paraId="64450D28" w14:textId="77777777" w:rsidR="005A73EA" w:rsidRDefault="005A73EA" w:rsidP="005A73EA">
      <w:pPr>
        <w:pStyle w:val="ListParagraph"/>
        <w:numPr>
          <w:ilvl w:val="0"/>
          <w:numId w:val="20"/>
        </w:numPr>
        <w:jc w:val="both"/>
        <w:rPr>
          <w:rFonts w:ascii="Avenir Next" w:hAnsi="Avenir Next" w:cs="Arial"/>
          <w:color w:val="808080" w:themeColor="background1" w:themeShade="80"/>
          <w:sz w:val="22"/>
          <w:szCs w:val="22"/>
          <w:lang w:val="en-GB"/>
        </w:rPr>
      </w:pPr>
      <w:r w:rsidRPr="005A73EA">
        <w:rPr>
          <w:rFonts w:ascii="Avenir Next" w:hAnsi="Avenir Next" w:cs="Arial"/>
          <w:color w:val="808080" w:themeColor="background1" w:themeShade="80"/>
          <w:sz w:val="22"/>
          <w:szCs w:val="22"/>
          <w:lang w:val="en-GB"/>
        </w:rPr>
        <w:t>wages or salary arising under a contract of employment;</w:t>
      </w:r>
    </w:p>
    <w:p w14:paraId="6AFEB58F" w14:textId="77777777" w:rsidR="005A73EA" w:rsidRDefault="005A73EA" w:rsidP="005A73EA">
      <w:pPr>
        <w:pStyle w:val="ListParagraph"/>
        <w:numPr>
          <w:ilvl w:val="0"/>
          <w:numId w:val="20"/>
        </w:numPr>
        <w:jc w:val="both"/>
        <w:rPr>
          <w:rFonts w:ascii="Avenir Next" w:hAnsi="Avenir Next" w:cs="Arial"/>
          <w:color w:val="808080" w:themeColor="background1" w:themeShade="80"/>
          <w:sz w:val="22"/>
          <w:szCs w:val="22"/>
          <w:lang w:val="en-GB"/>
        </w:rPr>
      </w:pPr>
      <w:r w:rsidRPr="005A73EA">
        <w:rPr>
          <w:rFonts w:ascii="Avenir Next" w:hAnsi="Avenir Next" w:cs="Arial"/>
          <w:color w:val="808080" w:themeColor="background1" w:themeShade="80"/>
          <w:sz w:val="22"/>
          <w:szCs w:val="22"/>
          <w:lang w:val="en-GB"/>
        </w:rPr>
        <w:t>redundancy payments; or</w:t>
      </w:r>
    </w:p>
    <w:p w14:paraId="0C46FC88" w14:textId="0B27C84A" w:rsidR="00AF3189" w:rsidRPr="005A73EA" w:rsidRDefault="005A73EA" w:rsidP="005A73EA">
      <w:pPr>
        <w:pStyle w:val="ListParagraph"/>
        <w:numPr>
          <w:ilvl w:val="0"/>
          <w:numId w:val="20"/>
        </w:numPr>
        <w:jc w:val="both"/>
        <w:rPr>
          <w:rFonts w:ascii="Avenir Next" w:hAnsi="Avenir Next" w:cs="Arial"/>
          <w:color w:val="808080" w:themeColor="background1" w:themeShade="80"/>
          <w:sz w:val="22"/>
          <w:szCs w:val="22"/>
          <w:lang w:val="en-GB"/>
        </w:rPr>
      </w:pPr>
      <w:r w:rsidRPr="005A73EA">
        <w:rPr>
          <w:rFonts w:ascii="Avenir Next" w:hAnsi="Avenir Next" w:cs="Arial"/>
          <w:color w:val="808080" w:themeColor="background1" w:themeShade="80"/>
          <w:sz w:val="22"/>
          <w:szCs w:val="22"/>
          <w:lang w:val="en-GB"/>
        </w:rPr>
        <w:t>debts or other liabilities arising under a contract or other instrument involving “financial</w:t>
      </w:r>
      <w:r w:rsidRPr="005A73EA">
        <w:rPr>
          <w:rFonts w:ascii="Avenir Next" w:hAnsi="Avenir Next" w:cs="Arial"/>
          <w:color w:val="808080" w:themeColor="background1" w:themeShade="80"/>
          <w:sz w:val="22"/>
          <w:szCs w:val="22"/>
          <w:lang w:val="en-GB"/>
        </w:rPr>
        <w:br/>
      </w:r>
      <w:r w:rsidRPr="005A73EA">
        <w:rPr>
          <w:rFonts w:ascii="Avenir Next" w:hAnsi="Avenir Next" w:cs="Arial"/>
          <w:color w:val="808080" w:themeColor="background1" w:themeShade="80"/>
          <w:sz w:val="22"/>
          <w:szCs w:val="22"/>
          <w:lang w:val="en-GB"/>
        </w:rPr>
        <w:t>services” which term is somewhat inexactly defined as including a contract consisting of</w:t>
      </w:r>
      <w:r w:rsidRPr="005A73EA">
        <w:rPr>
          <w:rFonts w:ascii="Avenir Next" w:hAnsi="Avenir Next" w:cs="Arial"/>
          <w:color w:val="808080" w:themeColor="background1" w:themeShade="80"/>
          <w:sz w:val="22"/>
          <w:szCs w:val="22"/>
          <w:lang w:val="en-GB"/>
        </w:rPr>
        <w:br/>
      </w:r>
      <w:r w:rsidRPr="005A73EA">
        <w:rPr>
          <w:rFonts w:ascii="Avenir Next" w:hAnsi="Avenir Next" w:cs="Arial"/>
          <w:color w:val="808080" w:themeColor="background1" w:themeShade="80"/>
          <w:sz w:val="22"/>
          <w:szCs w:val="22"/>
          <w:lang w:val="en-GB"/>
        </w:rPr>
        <w:t>lending, financial leasing or providing guarantees.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26B6B361" w14:textId="71613834" w:rsidR="00953776" w:rsidRPr="00D50286" w:rsidRDefault="00D50286" w:rsidP="00D50286">
      <w:pPr>
        <w:jc w:val="both"/>
        <w:rPr>
          <w:rFonts w:ascii="Avenir Next" w:hAnsi="Avenir Next" w:cs="Arial"/>
          <w:color w:val="808080" w:themeColor="background1" w:themeShade="80"/>
          <w:sz w:val="22"/>
          <w:szCs w:val="22"/>
          <w:lang w:val="en-GB"/>
        </w:rPr>
      </w:pPr>
      <w:r w:rsidRPr="00D50286">
        <w:rPr>
          <w:rFonts w:ascii="Avenir Next" w:hAnsi="Avenir Next" w:cs="Arial"/>
          <w:color w:val="808080" w:themeColor="background1" w:themeShade="80"/>
          <w:sz w:val="22"/>
          <w:szCs w:val="22"/>
          <w:lang w:val="en-GB"/>
        </w:rPr>
        <w:t>Yes, an administrator who wishes to continue operating the business of a company in administration can require suppliers of goods and services to continue supplying those goods and services during the administration. This is known as the "essential supplies" provision, which is covered under Schedule B1 of the Insolvency Act 1986 in the United Kingdom.</w:t>
      </w:r>
    </w:p>
    <w:p w14:paraId="54520C5B" w14:textId="77777777" w:rsidR="00953776" w:rsidRDefault="00953776" w:rsidP="00EA3B38">
      <w:pPr>
        <w:jc w:val="both"/>
        <w:rPr>
          <w:rFonts w:ascii="Avenir Next" w:hAnsi="Avenir Next" w:cs="Arial"/>
          <w:color w:val="808080" w:themeColor="background1" w:themeShade="80"/>
          <w:sz w:val="22"/>
          <w:szCs w:val="22"/>
        </w:rPr>
      </w:pPr>
    </w:p>
    <w:p w14:paraId="216BD3F7" w14:textId="7AE4A56A" w:rsidR="00953776" w:rsidRDefault="00953776" w:rsidP="00EA3B38">
      <w:pPr>
        <w:jc w:val="both"/>
        <w:rPr>
          <w:rFonts w:ascii="Avenir Next" w:hAnsi="Avenir Next" w:cs="Arial"/>
          <w:color w:val="808080" w:themeColor="background1" w:themeShade="80"/>
          <w:sz w:val="22"/>
          <w:szCs w:val="22"/>
          <w:lang w:val="en-GB"/>
        </w:rPr>
      </w:pPr>
      <w:r w:rsidRPr="00953776">
        <w:rPr>
          <w:rFonts w:ascii="Avenir Next" w:hAnsi="Avenir Next" w:cs="Arial"/>
          <w:color w:val="808080" w:themeColor="background1" w:themeShade="80"/>
          <w:sz w:val="22"/>
          <w:szCs w:val="22"/>
          <w:lang w:val="en-GB"/>
        </w:rPr>
        <w:t>Under paragraph 59 of Schedule B1 of the Act, the administrator has the power to do anything</w:t>
      </w:r>
      <w:r w:rsidRPr="00953776">
        <w:rPr>
          <w:rFonts w:ascii="Avenir Next" w:hAnsi="Avenir Next" w:cs="Arial"/>
          <w:color w:val="808080" w:themeColor="background1" w:themeShade="80"/>
          <w:sz w:val="22"/>
          <w:szCs w:val="22"/>
          <w:lang w:val="en-GB"/>
        </w:rPr>
        <w:br/>
        <w:t>necessary or expedient for the management of the affairs, business and property of the</w:t>
      </w:r>
      <w:r w:rsidRPr="00953776">
        <w:rPr>
          <w:rFonts w:ascii="Avenir Next" w:hAnsi="Avenir Next" w:cs="Arial"/>
          <w:color w:val="808080" w:themeColor="background1" w:themeShade="80"/>
          <w:sz w:val="22"/>
          <w:szCs w:val="22"/>
          <w:lang w:val="en-GB"/>
        </w:rPr>
        <w:br/>
        <w:t>company. Without prejudice to the generality of this statement, the administrator also has the</w:t>
      </w:r>
      <w:r w:rsidRPr="00953776">
        <w:rPr>
          <w:rFonts w:ascii="Avenir Next" w:hAnsi="Avenir Next" w:cs="Arial"/>
          <w:color w:val="808080" w:themeColor="background1" w:themeShade="80"/>
          <w:sz w:val="22"/>
          <w:szCs w:val="22"/>
          <w:lang w:val="en-GB"/>
        </w:rPr>
        <w:br/>
        <w:t>wide ranging powers specified in Schedule 1 of the Act which include the power to dispose of</w:t>
      </w:r>
      <w:r w:rsidRPr="00953776">
        <w:rPr>
          <w:rFonts w:ascii="Avenir Next" w:hAnsi="Avenir Next" w:cs="Arial"/>
          <w:color w:val="808080" w:themeColor="background1" w:themeShade="80"/>
          <w:sz w:val="22"/>
          <w:szCs w:val="22"/>
          <w:lang w:val="en-GB"/>
        </w:rPr>
        <w:br/>
        <w:t>assets and to bring or defend legal proceedings. In exercising his functions under Schedule B1</w:t>
      </w:r>
      <w:r w:rsidRPr="00953776">
        <w:rPr>
          <w:rFonts w:ascii="Avenir Next" w:hAnsi="Avenir Next" w:cs="Arial"/>
          <w:color w:val="808080" w:themeColor="background1" w:themeShade="80"/>
          <w:sz w:val="22"/>
          <w:szCs w:val="22"/>
          <w:lang w:val="en-GB"/>
        </w:rPr>
        <w:br/>
        <w:t>of the Act, the administrator acts as the company’s agent. A company in administration or an</w:t>
      </w:r>
      <w:r w:rsidRPr="00953776">
        <w:rPr>
          <w:rFonts w:ascii="Avenir Next" w:hAnsi="Avenir Next" w:cs="Arial"/>
          <w:color w:val="808080" w:themeColor="background1" w:themeShade="80"/>
          <w:sz w:val="22"/>
          <w:szCs w:val="22"/>
          <w:lang w:val="en-GB"/>
        </w:rPr>
        <w:br/>
        <w:t>officer of a company in administration may not exercise a management power without the</w:t>
      </w:r>
      <w:r w:rsidRPr="00953776">
        <w:rPr>
          <w:rFonts w:ascii="Avenir Next" w:hAnsi="Avenir Next" w:cs="Arial"/>
          <w:color w:val="808080" w:themeColor="background1" w:themeShade="80"/>
          <w:sz w:val="22"/>
          <w:szCs w:val="22"/>
          <w:lang w:val="en-GB"/>
        </w:rPr>
        <w:br/>
        <w:t>consent of the administrator. For these purposes a "management power" means a power which</w:t>
      </w:r>
      <w:r w:rsidRPr="00953776">
        <w:rPr>
          <w:rFonts w:ascii="Avenir Next" w:hAnsi="Avenir Next" w:cs="Arial"/>
          <w:color w:val="808080" w:themeColor="background1" w:themeShade="80"/>
          <w:sz w:val="22"/>
          <w:szCs w:val="22"/>
          <w:lang w:val="en-GB"/>
        </w:rPr>
        <w:br/>
        <w:t>could be exercised so as to interfere with the exercise of the administrator’s powers</w:t>
      </w:r>
      <w:r>
        <w:rPr>
          <w:rFonts w:ascii="Avenir Next" w:hAnsi="Avenir Next" w:cs="Arial"/>
          <w:color w:val="808080" w:themeColor="background1" w:themeShade="80"/>
          <w:sz w:val="22"/>
          <w:szCs w:val="22"/>
          <w:lang w:val="en-GB"/>
        </w:rPr>
        <w:t>.</w:t>
      </w:r>
    </w:p>
    <w:p w14:paraId="16C9F6F4" w14:textId="77777777" w:rsidR="00D50286" w:rsidRDefault="00D50286" w:rsidP="00EA3B38">
      <w:pPr>
        <w:jc w:val="both"/>
        <w:rPr>
          <w:rFonts w:ascii="Avenir Next" w:hAnsi="Avenir Next" w:cs="Arial"/>
          <w:color w:val="808080" w:themeColor="background1" w:themeShade="80"/>
          <w:sz w:val="22"/>
          <w:szCs w:val="22"/>
          <w:lang w:val="en-GB"/>
        </w:rPr>
      </w:pPr>
    </w:p>
    <w:p w14:paraId="7F97A7C4" w14:textId="77777777" w:rsidR="00E6282D" w:rsidRPr="00E6282D" w:rsidRDefault="00E6282D" w:rsidP="00E6282D">
      <w:pPr>
        <w:jc w:val="lowKashida"/>
        <w:rPr>
          <w:rFonts w:ascii="Avenir Next" w:hAnsi="Avenir Next" w:cs="Arial"/>
          <w:color w:val="808080" w:themeColor="background1" w:themeShade="80"/>
          <w:sz w:val="22"/>
          <w:szCs w:val="22"/>
          <w:lang w:val="en-GB"/>
        </w:rPr>
      </w:pPr>
      <w:r w:rsidRPr="00E6282D">
        <w:rPr>
          <w:rFonts w:ascii="Avenir Next" w:hAnsi="Avenir Next" w:cs="Arial"/>
          <w:color w:val="808080" w:themeColor="background1" w:themeShade="80"/>
          <w:sz w:val="22"/>
          <w:szCs w:val="22"/>
          <w:lang w:val="en-GB"/>
        </w:rPr>
        <w:t>Under this provision, if the administrator believes that the continued supply of goods or services is necessary for the company's survival or to achieve a better outcome for the creditors as a whole, they can require the suppliers to continue providing those goods or services. However, the administrator must ensure that the suppliers are paid for the goods or services supplied during the administration period.</w:t>
      </w:r>
    </w:p>
    <w:p w14:paraId="780BF7F8" w14:textId="77777777" w:rsidR="00E6282D" w:rsidRPr="00E6282D" w:rsidRDefault="00E6282D" w:rsidP="00E6282D">
      <w:pPr>
        <w:rPr>
          <w:rFonts w:ascii="Avenir Next" w:hAnsi="Avenir Next" w:cs="Arial"/>
          <w:color w:val="808080" w:themeColor="background1" w:themeShade="80"/>
          <w:sz w:val="22"/>
          <w:szCs w:val="22"/>
          <w:lang w:val="en-GB"/>
        </w:rPr>
      </w:pPr>
    </w:p>
    <w:p w14:paraId="70BECF44" w14:textId="2DD6CF27" w:rsidR="0063381C" w:rsidRDefault="00E6282D" w:rsidP="003811D1">
      <w:pPr>
        <w:rPr>
          <w:rFonts w:ascii="Avenir Next" w:hAnsi="Avenir Next" w:cs="Arial"/>
          <w:color w:val="808080" w:themeColor="background1" w:themeShade="80"/>
          <w:sz w:val="22"/>
          <w:szCs w:val="22"/>
          <w:lang w:val="en-GB"/>
        </w:rPr>
      </w:pPr>
      <w:r w:rsidRPr="00E6282D">
        <w:rPr>
          <w:rFonts w:ascii="Avenir Next" w:hAnsi="Avenir Next" w:cs="Arial"/>
          <w:color w:val="808080" w:themeColor="background1" w:themeShade="80"/>
          <w:sz w:val="22"/>
          <w:szCs w:val="22"/>
          <w:lang w:val="en-GB"/>
        </w:rPr>
        <w:t>It's important to note that the administrator's request for essential supplies must be reasonable, and the suppliers have the right to apply to the court for a variation or termination of the requirement if they can demonstrate that it would cause them undue hardship.</w:t>
      </w:r>
    </w:p>
    <w:p w14:paraId="10C6850D" w14:textId="77777777" w:rsidR="003811D1" w:rsidRDefault="003811D1" w:rsidP="003811D1">
      <w:pPr>
        <w:rPr>
          <w:rFonts w:ascii="Avenir Next" w:hAnsi="Avenir Next" w:cs="Arial"/>
          <w:color w:val="808080" w:themeColor="background1" w:themeShade="80"/>
          <w:sz w:val="22"/>
          <w:szCs w:val="22"/>
          <w:lang w:val="en-GB"/>
        </w:rPr>
      </w:pPr>
    </w:p>
    <w:p w14:paraId="236330E7" w14:textId="77777777" w:rsidR="00AC705B" w:rsidRDefault="00AC705B" w:rsidP="00AC705B">
      <w:pPr>
        <w:jc w:val="both"/>
        <w:rPr>
          <w:rFonts w:ascii="Avenir Next" w:hAnsi="Avenir Next" w:cs="Arial"/>
          <w:color w:val="808080" w:themeColor="background1" w:themeShade="80"/>
          <w:sz w:val="22"/>
          <w:szCs w:val="22"/>
          <w:lang w:val="en-GB"/>
        </w:rPr>
      </w:pPr>
      <w:r w:rsidRPr="00AC705B">
        <w:rPr>
          <w:rFonts w:ascii="Avenir Next" w:hAnsi="Avenir Next" w:cs="Arial"/>
          <w:color w:val="808080" w:themeColor="background1" w:themeShade="80"/>
          <w:sz w:val="22"/>
          <w:szCs w:val="22"/>
          <w:lang w:val="en-GB"/>
        </w:rPr>
        <w:t>An administrator is required to manage the company’s affairs, business and property in</w:t>
      </w:r>
      <w:r>
        <w:rPr>
          <w:rFonts w:ascii="Avenir Next" w:hAnsi="Avenir Next" w:cs="Arial"/>
          <w:color w:val="808080" w:themeColor="background1" w:themeShade="80"/>
          <w:sz w:val="22"/>
          <w:szCs w:val="22"/>
          <w:lang w:val="en-GB"/>
        </w:rPr>
        <w:t xml:space="preserve"> </w:t>
      </w:r>
      <w:r w:rsidRPr="00AC705B">
        <w:rPr>
          <w:rFonts w:ascii="Avenir Next" w:hAnsi="Avenir Next" w:cs="Arial"/>
          <w:color w:val="808080" w:themeColor="background1" w:themeShade="80"/>
          <w:sz w:val="22"/>
          <w:szCs w:val="22"/>
          <w:lang w:val="en-GB"/>
        </w:rPr>
        <w:t>accordance with:</w:t>
      </w:r>
    </w:p>
    <w:p w14:paraId="12ABBE4E" w14:textId="61B0792C" w:rsidR="00AC705B" w:rsidRPr="00AC705B" w:rsidRDefault="00AC705B" w:rsidP="00AC705B">
      <w:pPr>
        <w:pStyle w:val="ListParagraph"/>
        <w:numPr>
          <w:ilvl w:val="0"/>
          <w:numId w:val="21"/>
        </w:numPr>
        <w:jc w:val="both"/>
        <w:rPr>
          <w:rFonts w:ascii="Avenir Next" w:hAnsi="Avenir Next" w:cs="Arial"/>
          <w:color w:val="808080" w:themeColor="background1" w:themeShade="80"/>
          <w:sz w:val="22"/>
          <w:szCs w:val="22"/>
          <w:lang w:val="en-GB"/>
        </w:rPr>
      </w:pPr>
      <w:r w:rsidRPr="00AC705B">
        <w:rPr>
          <w:rFonts w:ascii="Avenir Next" w:hAnsi="Avenir Next" w:cs="Arial"/>
          <w:color w:val="808080" w:themeColor="background1" w:themeShade="80"/>
          <w:sz w:val="22"/>
          <w:szCs w:val="22"/>
          <w:lang w:val="en-GB"/>
        </w:rPr>
        <w:lastRenderedPageBreak/>
        <w:t>any proposals approved;</w:t>
      </w:r>
    </w:p>
    <w:p w14:paraId="391991CC" w14:textId="77777777" w:rsidR="00AC705B" w:rsidRDefault="00AC705B" w:rsidP="00AC705B">
      <w:pPr>
        <w:pStyle w:val="ListParagraph"/>
        <w:numPr>
          <w:ilvl w:val="0"/>
          <w:numId w:val="21"/>
        </w:numPr>
        <w:jc w:val="both"/>
        <w:rPr>
          <w:rFonts w:ascii="Avenir Next" w:hAnsi="Avenir Next" w:cs="Arial"/>
          <w:color w:val="808080" w:themeColor="background1" w:themeShade="80"/>
          <w:sz w:val="22"/>
          <w:szCs w:val="22"/>
          <w:lang w:val="en-GB"/>
        </w:rPr>
      </w:pPr>
      <w:r w:rsidRPr="00AC705B">
        <w:rPr>
          <w:rFonts w:ascii="Avenir Next" w:hAnsi="Avenir Next" w:cs="Arial"/>
          <w:color w:val="808080" w:themeColor="background1" w:themeShade="80"/>
          <w:sz w:val="22"/>
          <w:szCs w:val="22"/>
          <w:lang w:val="en-GB"/>
        </w:rPr>
        <w:t>any revision of those proposals made by the administrator which he or she does not</w:t>
      </w:r>
      <w:r>
        <w:rPr>
          <w:rFonts w:ascii="Avenir Next" w:hAnsi="Avenir Next" w:cs="Arial"/>
          <w:color w:val="808080" w:themeColor="background1" w:themeShade="80"/>
          <w:sz w:val="22"/>
          <w:szCs w:val="22"/>
          <w:lang w:val="en-GB"/>
        </w:rPr>
        <w:t xml:space="preserve"> </w:t>
      </w:r>
      <w:r w:rsidRPr="00AC705B">
        <w:rPr>
          <w:rFonts w:ascii="Avenir Next" w:hAnsi="Avenir Next" w:cs="Arial"/>
          <w:color w:val="808080" w:themeColor="background1" w:themeShade="80"/>
          <w:sz w:val="22"/>
          <w:szCs w:val="22"/>
          <w:lang w:val="en-GB"/>
        </w:rPr>
        <w:t>consider substantial; and</w:t>
      </w:r>
    </w:p>
    <w:p w14:paraId="1381AC8C" w14:textId="4DBF30C7" w:rsidR="003811D1" w:rsidRDefault="00AC705B" w:rsidP="00AC705B">
      <w:pPr>
        <w:pStyle w:val="ListParagraph"/>
        <w:numPr>
          <w:ilvl w:val="0"/>
          <w:numId w:val="21"/>
        </w:numPr>
        <w:jc w:val="both"/>
        <w:rPr>
          <w:rFonts w:ascii="Avenir Next" w:hAnsi="Avenir Next" w:cs="Arial"/>
          <w:color w:val="808080" w:themeColor="background1" w:themeShade="80"/>
          <w:sz w:val="22"/>
          <w:szCs w:val="22"/>
          <w:lang w:val="en-GB"/>
        </w:rPr>
      </w:pPr>
      <w:r w:rsidRPr="00AC705B">
        <w:rPr>
          <w:rFonts w:ascii="Avenir Next" w:hAnsi="Avenir Next" w:cs="Arial"/>
          <w:color w:val="808080" w:themeColor="background1" w:themeShade="80"/>
          <w:sz w:val="22"/>
          <w:szCs w:val="22"/>
          <w:lang w:val="en-GB"/>
        </w:rPr>
        <w:t>any revision of those proposals approved under paragraph 54 of Schedule B1 of the Act by</w:t>
      </w:r>
      <w:r w:rsidRPr="00AC705B">
        <w:rPr>
          <w:rFonts w:ascii="Avenir Next" w:hAnsi="Avenir Next" w:cs="Arial"/>
          <w:color w:val="808080" w:themeColor="background1" w:themeShade="80"/>
          <w:sz w:val="22"/>
          <w:szCs w:val="22"/>
          <w:lang w:val="en-GB"/>
        </w:rPr>
        <w:br/>
        <w:t>the creditors.</w:t>
      </w:r>
    </w:p>
    <w:p w14:paraId="66EF0CC7" w14:textId="77777777" w:rsidR="00450F00" w:rsidRDefault="00450F00" w:rsidP="00450F00">
      <w:pPr>
        <w:ind w:left="360"/>
        <w:jc w:val="both"/>
        <w:rPr>
          <w:rFonts w:ascii="Avenir Next" w:hAnsi="Avenir Next" w:cs="Arial"/>
          <w:color w:val="808080" w:themeColor="background1" w:themeShade="80"/>
          <w:sz w:val="22"/>
          <w:szCs w:val="22"/>
          <w:lang w:val="en-GB"/>
        </w:rPr>
      </w:pPr>
    </w:p>
    <w:p w14:paraId="2CBE816C" w14:textId="77777777" w:rsidR="00B76504" w:rsidRDefault="00AA5E3A" w:rsidP="00AA5E3A">
      <w:pPr>
        <w:jc w:val="both"/>
        <w:rPr>
          <w:rFonts w:ascii="Avenir Next" w:hAnsi="Avenir Next" w:cs="Arial"/>
          <w:color w:val="808080" w:themeColor="background1" w:themeShade="80"/>
          <w:sz w:val="22"/>
          <w:szCs w:val="22"/>
          <w:lang w:val="en-GB"/>
        </w:rPr>
      </w:pPr>
      <w:r w:rsidRPr="00AA5E3A">
        <w:rPr>
          <w:rFonts w:ascii="Avenir Next" w:hAnsi="Avenir Next" w:cs="Arial"/>
          <w:color w:val="808080" w:themeColor="background1" w:themeShade="80"/>
          <w:sz w:val="22"/>
          <w:szCs w:val="22"/>
          <w:lang w:val="en-GB"/>
        </w:rPr>
        <w:t>An administrator will frequently wish to sell a company’s business as a going concern and as</w:t>
      </w:r>
      <w:r>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part of</w:t>
      </w:r>
      <w:r>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the sale will wish to include assets which may be subject to security or which are owned</w:t>
      </w:r>
      <w:r>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by others</w:t>
      </w:r>
      <w:r>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under hire purchase or retention of title contracts.</w:t>
      </w:r>
      <w:r>
        <w:rPr>
          <w:rFonts w:ascii="Avenir Next" w:hAnsi="Avenir Next" w:cs="Arial"/>
          <w:color w:val="808080" w:themeColor="background1" w:themeShade="80"/>
          <w:sz w:val="22"/>
          <w:szCs w:val="22"/>
          <w:lang w:val="en-GB"/>
        </w:rPr>
        <w:t xml:space="preserve"> </w:t>
      </w:r>
    </w:p>
    <w:p w14:paraId="466C7EFC" w14:textId="77777777" w:rsidR="00B76504" w:rsidRDefault="00B76504" w:rsidP="00AA5E3A">
      <w:pPr>
        <w:jc w:val="both"/>
        <w:rPr>
          <w:rFonts w:ascii="Avenir Next" w:hAnsi="Avenir Next" w:cs="Arial"/>
          <w:color w:val="808080" w:themeColor="background1" w:themeShade="80"/>
          <w:sz w:val="22"/>
          <w:szCs w:val="22"/>
          <w:lang w:val="en-GB"/>
        </w:rPr>
      </w:pPr>
    </w:p>
    <w:p w14:paraId="39021A77" w14:textId="6C66E47E" w:rsidR="003811D1" w:rsidRPr="00D1349B" w:rsidRDefault="00AA5E3A" w:rsidP="000E7597">
      <w:pPr>
        <w:jc w:val="both"/>
        <w:rPr>
          <w:rFonts w:ascii="Avenir Next" w:hAnsi="Avenir Next" w:cs="Arial"/>
          <w:color w:val="808080" w:themeColor="background1" w:themeShade="80"/>
          <w:sz w:val="22"/>
          <w:szCs w:val="22"/>
          <w:lang w:val="en-GB"/>
        </w:rPr>
      </w:pPr>
      <w:r w:rsidRPr="00AA5E3A">
        <w:rPr>
          <w:rFonts w:ascii="Avenir Next" w:hAnsi="Avenir Next" w:cs="Arial"/>
          <w:color w:val="808080" w:themeColor="background1" w:themeShade="80"/>
          <w:sz w:val="22"/>
          <w:szCs w:val="22"/>
          <w:lang w:val="en-GB"/>
        </w:rPr>
        <w:t>The ability of an administrator to sell assets subject</w:t>
      </w:r>
      <w:r w:rsidR="00D1349B">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to a security depends on the type of security</w:t>
      </w:r>
      <w:r w:rsidR="00D1349B">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interest conferred. Under paragraph 70 of Schedule B1</w:t>
      </w:r>
      <w:r w:rsidR="00D1349B">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of the Act an administrator may dispose</w:t>
      </w:r>
      <w:r w:rsidR="00D1349B">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of or take any action relating to property which is subject to</w:t>
      </w:r>
      <w:r w:rsidR="00D1349B">
        <w:rPr>
          <w:rFonts w:ascii="Avenir Next" w:hAnsi="Avenir Next" w:cs="Arial"/>
          <w:color w:val="808080" w:themeColor="background1" w:themeShade="80"/>
          <w:sz w:val="22"/>
          <w:szCs w:val="22"/>
          <w:lang w:val="en-GB"/>
        </w:rPr>
        <w:t xml:space="preserve"> </w:t>
      </w:r>
      <w:r w:rsidRPr="00AA5E3A">
        <w:rPr>
          <w:rFonts w:ascii="Avenir Next" w:hAnsi="Avenir Next" w:cs="Arial"/>
          <w:color w:val="808080" w:themeColor="background1" w:themeShade="80"/>
          <w:sz w:val="22"/>
          <w:szCs w:val="22"/>
          <w:lang w:val="en-GB"/>
        </w:rPr>
        <w:t>a floating charge as if it were not</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subject to the charge. In relation to any property subject to a security</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which is not a floating</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charge, such as a fixed charge, paragraph 71 of Schedule B1 of the Act provides</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that the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administrator may apply to court for an order permitting him to dispose of that property</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where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the court thinks such disposal would be likely to promote the purpose of administration. In</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addition, under paragraph 72 of Schedule B1 of the Act, assets subject to hire purchase or</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retention</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of title contracts may be sold by the administrator providing the administrator obtains</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a court order</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permitting such a disposal. Where assets are disposed of under paragraph 70, the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floating charge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transfers to the proceeds of sale. Where a court orders the sale of assets under</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paragraphs 71 or 72,</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it will require that the proceeds of sale are used first to pay off the secured</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creditor or owner of the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assets. If the sale proceeds are not equal to the market value, the</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administrator must use other assets</w:t>
      </w:r>
      <w:r w:rsidR="00D1349B">
        <w:rPr>
          <w:rFonts w:ascii="Avenir Next" w:hAnsi="Avenir Next" w:cs="Arial"/>
          <w:color w:val="808080" w:themeColor="background1" w:themeShade="80"/>
          <w:sz w:val="22"/>
          <w:szCs w:val="22"/>
          <w:lang w:val="en-GB"/>
        </w:rPr>
        <w:t xml:space="preserve"> </w:t>
      </w:r>
      <w:r w:rsidRPr="00D1349B">
        <w:rPr>
          <w:rFonts w:ascii="Avenir Next" w:hAnsi="Avenir Next" w:cs="Arial"/>
          <w:color w:val="808080" w:themeColor="background1" w:themeShade="80"/>
          <w:sz w:val="22"/>
          <w:szCs w:val="22"/>
          <w:lang w:val="en-GB"/>
        </w:rPr>
        <w:t>of the company to make up the shortfall</w:t>
      </w:r>
      <w:r w:rsidR="00D1349B">
        <w:rPr>
          <w:rFonts w:ascii="Avenir Next" w:hAnsi="Avenir Next" w:cs="Arial"/>
          <w:color w:val="808080" w:themeColor="background1" w:themeShade="80"/>
          <w:sz w:val="22"/>
          <w:szCs w:val="22"/>
          <w:lang w:val="en-GB"/>
        </w:rPr>
        <w:t>.</w:t>
      </w:r>
    </w:p>
    <w:p w14:paraId="37A5F11E" w14:textId="77777777" w:rsidR="003811D1" w:rsidRDefault="003811D1" w:rsidP="002A37BB">
      <w:pPr>
        <w:ind w:left="720" w:hanging="720"/>
        <w:jc w:val="both"/>
        <w:rPr>
          <w:rFonts w:ascii="Avenir Next Demi Bold" w:hAnsi="Avenir Next Demi Bold" w:cs="Arial"/>
          <w:b/>
          <w:bCs/>
          <w:sz w:val="22"/>
          <w:szCs w:val="22"/>
        </w:rPr>
      </w:pPr>
    </w:p>
    <w:p w14:paraId="07E56804" w14:textId="77777777" w:rsidR="003811D1" w:rsidRDefault="003811D1" w:rsidP="002A37BB">
      <w:pPr>
        <w:ind w:left="720" w:hanging="720"/>
        <w:jc w:val="both"/>
        <w:rPr>
          <w:rFonts w:ascii="Avenir Next Demi Bold" w:hAnsi="Avenir Next Demi Bold" w:cs="Arial"/>
          <w:b/>
          <w:bCs/>
          <w:sz w:val="22"/>
          <w:szCs w:val="22"/>
        </w:rPr>
      </w:pPr>
    </w:p>
    <w:p w14:paraId="755D6AFF" w14:textId="741FED74"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64FB9C07" w14:textId="660B12A6" w:rsidR="00FB4DDF" w:rsidRDefault="00FB4DDF" w:rsidP="00EA3B38">
      <w:pPr>
        <w:jc w:val="both"/>
        <w:rPr>
          <w:rFonts w:ascii="Avenir Next" w:hAnsi="Avenir Next" w:cs="Arial"/>
          <w:color w:val="808080" w:themeColor="background1" w:themeShade="80"/>
          <w:sz w:val="22"/>
          <w:szCs w:val="22"/>
        </w:rPr>
      </w:pPr>
    </w:p>
    <w:p w14:paraId="5980CB99" w14:textId="77777777" w:rsidR="000416C4" w:rsidRDefault="000416C4" w:rsidP="00EA3B38">
      <w:pPr>
        <w:jc w:val="both"/>
        <w:rPr>
          <w:rFonts w:ascii="Avenir Next" w:hAnsi="Avenir Next" w:cs="Arial"/>
          <w:color w:val="808080" w:themeColor="background1" w:themeShade="80"/>
          <w:sz w:val="22"/>
          <w:szCs w:val="22"/>
          <w:lang w:val="en-GB"/>
        </w:rPr>
      </w:pPr>
    </w:p>
    <w:p w14:paraId="44103BD7" w14:textId="77777777" w:rsidR="000416C4" w:rsidRPr="000416C4" w:rsidRDefault="000416C4" w:rsidP="000416C4">
      <w:p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In a liquidation, the order of priority for payments to creditors is as follows:</w:t>
      </w:r>
    </w:p>
    <w:p w14:paraId="3DD47DF3" w14:textId="77777777" w:rsidR="000416C4" w:rsidRPr="000416C4" w:rsidRDefault="000416C4" w:rsidP="000416C4">
      <w:pPr>
        <w:jc w:val="both"/>
        <w:rPr>
          <w:rFonts w:ascii="Avenir Next" w:hAnsi="Avenir Next" w:cs="Arial"/>
          <w:color w:val="808080" w:themeColor="background1" w:themeShade="80"/>
          <w:sz w:val="22"/>
          <w:szCs w:val="22"/>
        </w:rPr>
      </w:pPr>
    </w:p>
    <w:p w14:paraId="786DE941" w14:textId="7231ECDA" w:rsidR="000416C4" w:rsidRPr="000416C4" w:rsidRDefault="000416C4" w:rsidP="000416C4">
      <w:pPr>
        <w:pStyle w:val="ListParagraph"/>
        <w:numPr>
          <w:ilvl w:val="0"/>
          <w:numId w:val="23"/>
        </w:num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Fixed charge holders: Creditors who hold a fixed charge over specific assets of the company</w:t>
      </w:r>
      <w:r>
        <w:rPr>
          <w:rFonts w:ascii="Avenir Next" w:hAnsi="Avenir Next" w:cs="Arial"/>
          <w:color w:val="808080" w:themeColor="background1" w:themeShade="80"/>
          <w:sz w:val="22"/>
          <w:szCs w:val="22"/>
        </w:rPr>
        <w:t xml:space="preserve"> </w:t>
      </w:r>
      <w:r w:rsidRPr="000416C4">
        <w:rPr>
          <w:rFonts w:ascii="Avenir Next" w:hAnsi="Avenir Next" w:cs="Arial"/>
          <w:color w:val="808080" w:themeColor="background1" w:themeShade="80"/>
          <w:sz w:val="22"/>
          <w:szCs w:val="22"/>
        </w:rPr>
        <w:t>have the highest priority. They are entitled to be paid out of the proceeds from the sale of those specific assets before any other creditors.</w:t>
      </w:r>
    </w:p>
    <w:p w14:paraId="58D14B82" w14:textId="1B632D19" w:rsidR="000416C4" w:rsidRPr="000416C4" w:rsidRDefault="000416C4" w:rsidP="000416C4">
      <w:pPr>
        <w:pStyle w:val="ListParagraph"/>
        <w:numPr>
          <w:ilvl w:val="0"/>
          <w:numId w:val="23"/>
        </w:num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Expenses of the liquidation: The costs and expenses incurred in the liquidation process, including the fees of the liquidator, legal fees, and other administrative expenses, are paid next.</w:t>
      </w:r>
    </w:p>
    <w:p w14:paraId="78D439B2" w14:textId="56AE54B8" w:rsidR="000416C4" w:rsidRPr="000416C4" w:rsidRDefault="000416C4" w:rsidP="000416C4">
      <w:pPr>
        <w:pStyle w:val="ListParagraph"/>
        <w:numPr>
          <w:ilvl w:val="0"/>
          <w:numId w:val="23"/>
        </w:num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Preferential creditors: Certain creditors are granted preferential status and have priority over other unsecured creditors. They include employees who are owed wages, salaries, holiday pay, and certain pension contributions, subject to statutory limits.</w:t>
      </w:r>
    </w:p>
    <w:p w14:paraId="711D04A6" w14:textId="1F887F05" w:rsidR="000416C4" w:rsidRPr="000416C4" w:rsidRDefault="000416C4" w:rsidP="000416C4">
      <w:pPr>
        <w:pStyle w:val="ListParagraph"/>
        <w:numPr>
          <w:ilvl w:val="0"/>
          <w:numId w:val="23"/>
        </w:num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Floating charge holders: Creditors with a floating charge have a claim on the company's assets, which are not covered by fixed charges. Once the fixed charge holders and liquidation expenses are paid, the floating charge holders have a claim on the remaining assets.</w:t>
      </w:r>
    </w:p>
    <w:p w14:paraId="01485197" w14:textId="77777777" w:rsidR="000416C4" w:rsidRPr="000416C4" w:rsidRDefault="000416C4" w:rsidP="000416C4">
      <w:pPr>
        <w:pStyle w:val="ListParagraph"/>
        <w:numPr>
          <w:ilvl w:val="0"/>
          <w:numId w:val="23"/>
        </w:num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Unsecured creditors: This class includes trade creditors, suppliers, lenders without security, and other unsecured creditors. They are entitled to a share of the remaining assets after the preceding classes of creditors have been paid. However, the distribution to unsecured creditors is often significantly lower, and they may not receive full repayment of their debts.</w:t>
      </w:r>
    </w:p>
    <w:p w14:paraId="0A016B4C" w14:textId="77777777" w:rsidR="000416C4" w:rsidRPr="000416C4" w:rsidRDefault="000416C4" w:rsidP="002E1B60">
      <w:p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lastRenderedPageBreak/>
        <w:t>If a company has been subject to a Moratorium under Part A1 of the Insolvency Act 1986 during the 12-week period prior to the commencement of the liquidation, it can affect the priority of payments. During the Moratorium, a payment holiday is granted, and no creditor can take action against the company without permission from the court. However, the Moratorium does not change the general order of priority for payments in the liquidation process.</w:t>
      </w:r>
    </w:p>
    <w:p w14:paraId="737DF8DB" w14:textId="77777777" w:rsidR="000416C4" w:rsidRPr="000416C4" w:rsidRDefault="000416C4" w:rsidP="000416C4">
      <w:pPr>
        <w:rPr>
          <w:rFonts w:ascii="Avenir Next" w:hAnsi="Avenir Next" w:cs="Arial"/>
          <w:color w:val="808080" w:themeColor="background1" w:themeShade="80"/>
          <w:sz w:val="22"/>
          <w:szCs w:val="22"/>
        </w:rPr>
      </w:pPr>
    </w:p>
    <w:p w14:paraId="18A1A387" w14:textId="42C0D6E1" w:rsidR="000416C4" w:rsidRPr="000416C4" w:rsidRDefault="000416C4" w:rsidP="000416C4">
      <w:pPr>
        <w:jc w:val="both"/>
        <w:rPr>
          <w:rFonts w:ascii="Avenir Next" w:hAnsi="Avenir Next" w:cs="Arial"/>
          <w:color w:val="808080" w:themeColor="background1" w:themeShade="80"/>
          <w:sz w:val="22"/>
          <w:szCs w:val="22"/>
        </w:rPr>
      </w:pPr>
      <w:r w:rsidRPr="000416C4">
        <w:rPr>
          <w:rFonts w:ascii="Avenir Next" w:hAnsi="Avenir Next" w:cs="Arial"/>
          <w:color w:val="808080" w:themeColor="background1" w:themeShade="80"/>
          <w:sz w:val="22"/>
          <w:szCs w:val="22"/>
        </w:rPr>
        <w:t>The expenses of the Moratorium, including the costs of the Moratorium itself, would be treated as expenses of the liquidation and be paid in priority to other unsecured creditors. The Moratorium does not grant any specific priority to other creditors or change the nature of their rights. The distribution of assets in the liquidation would still follow the same priority order as outlined above, with fixed charge holders, liquidation expenses, preferential creditors, floating charge holders, and unsecured creditors.</w:t>
      </w:r>
    </w:p>
    <w:p w14:paraId="25BECD8E" w14:textId="77777777" w:rsidR="000416C4" w:rsidRDefault="000416C4" w:rsidP="00EA3B38">
      <w:pPr>
        <w:jc w:val="both"/>
        <w:rPr>
          <w:rFonts w:ascii="Avenir Next" w:hAnsi="Avenir Next" w:cs="Arial"/>
          <w:color w:val="808080" w:themeColor="background1" w:themeShade="80"/>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19FA15A2" w14:textId="3081677A" w:rsidR="00E37D97" w:rsidRDefault="00E37D97" w:rsidP="00D73844">
      <w:pPr>
        <w:jc w:val="both"/>
        <w:rPr>
          <w:rFonts w:ascii="Avenir Next" w:hAnsi="Avenir Next" w:cs="Arial"/>
          <w:color w:val="808080" w:themeColor="background1" w:themeShade="80"/>
          <w:sz w:val="22"/>
          <w:szCs w:val="22"/>
        </w:rPr>
      </w:pPr>
    </w:p>
    <w:p w14:paraId="7CF8C8C6" w14:textId="25B89A7F" w:rsidR="00D73844" w:rsidRPr="00D73844" w:rsidRDefault="00D73844" w:rsidP="00D73844">
      <w:pPr>
        <w:jc w:val="both"/>
        <w:rPr>
          <w:rFonts w:ascii="Avenir Next" w:hAnsi="Avenir Next" w:cs="Arial"/>
          <w:color w:val="808080" w:themeColor="background1" w:themeShade="80"/>
          <w:sz w:val="22"/>
          <w:szCs w:val="22"/>
        </w:rPr>
      </w:pPr>
      <w:r w:rsidRPr="00D73844">
        <w:rPr>
          <w:rFonts w:ascii="Avenir Next" w:hAnsi="Avenir Next" w:cs="Arial"/>
          <w:color w:val="808080" w:themeColor="background1" w:themeShade="80"/>
          <w:sz w:val="22"/>
          <w:szCs w:val="22"/>
        </w:rPr>
        <w:t xml:space="preserve">The pertinent matter concerning the floating charge in favour of </w:t>
      </w:r>
      <w:proofErr w:type="spellStart"/>
      <w:r w:rsidRPr="00D73844">
        <w:rPr>
          <w:rFonts w:ascii="Avenir Next" w:hAnsi="Avenir Next" w:cs="Arial"/>
          <w:color w:val="808080" w:themeColor="background1" w:themeShade="80"/>
          <w:sz w:val="22"/>
          <w:szCs w:val="22"/>
        </w:rPr>
        <w:t>Fretus</w:t>
      </w:r>
      <w:proofErr w:type="spellEnd"/>
      <w:r w:rsidRPr="00D73844">
        <w:rPr>
          <w:rFonts w:ascii="Avenir Next" w:hAnsi="Avenir Next" w:cs="Arial"/>
          <w:color w:val="808080" w:themeColor="background1" w:themeShade="80"/>
          <w:sz w:val="22"/>
          <w:szCs w:val="22"/>
        </w:rPr>
        <w:t xml:space="preserve"> Bank plc pertains to its validity</w:t>
      </w:r>
      <w:r>
        <w:rPr>
          <w:rFonts w:ascii="Avenir Next" w:hAnsi="Avenir Next" w:cs="Arial"/>
          <w:color w:val="808080" w:themeColor="background1" w:themeShade="80"/>
          <w:sz w:val="22"/>
          <w:szCs w:val="22"/>
        </w:rPr>
        <w:t xml:space="preserve"> </w:t>
      </w:r>
      <w:r w:rsidRPr="00D73844">
        <w:rPr>
          <w:rFonts w:ascii="Avenir Next" w:hAnsi="Avenir Next" w:cs="Arial"/>
          <w:color w:val="808080" w:themeColor="background1" w:themeShade="80"/>
          <w:sz w:val="22"/>
          <w:szCs w:val="22"/>
        </w:rPr>
        <w:t>and enforceability in relation to the liquidator. Under specific circumstances, the liquidator reserves</w:t>
      </w:r>
      <w:r>
        <w:rPr>
          <w:rFonts w:ascii="Avenir Next" w:hAnsi="Avenir Next" w:cs="Arial"/>
          <w:color w:val="808080" w:themeColor="background1" w:themeShade="80"/>
          <w:sz w:val="22"/>
          <w:szCs w:val="22"/>
        </w:rPr>
        <w:t xml:space="preserve"> </w:t>
      </w:r>
      <w:r w:rsidRPr="00D73844">
        <w:rPr>
          <w:rFonts w:ascii="Avenir Next" w:hAnsi="Avenir Next" w:cs="Arial"/>
          <w:color w:val="808080" w:themeColor="background1" w:themeShade="80"/>
          <w:sz w:val="22"/>
          <w:szCs w:val="22"/>
        </w:rPr>
        <w:t>the right to initiate legal proceedings to contest the legitimacy of the floating charge.</w:t>
      </w:r>
    </w:p>
    <w:p w14:paraId="56D938D4" w14:textId="77777777" w:rsidR="00C8388A" w:rsidRDefault="00C8388A" w:rsidP="00D73844">
      <w:pPr>
        <w:jc w:val="both"/>
        <w:rPr>
          <w:rFonts w:ascii="Avenir Next" w:hAnsi="Avenir Next" w:cs="Arial"/>
          <w:color w:val="808080" w:themeColor="background1" w:themeShade="80"/>
          <w:sz w:val="22"/>
          <w:szCs w:val="22"/>
        </w:rPr>
      </w:pPr>
    </w:p>
    <w:p w14:paraId="6F3B4E36" w14:textId="70611115" w:rsidR="00D73844" w:rsidRPr="00D73844" w:rsidRDefault="00D73844" w:rsidP="00D73844">
      <w:pPr>
        <w:jc w:val="both"/>
        <w:rPr>
          <w:rFonts w:ascii="Avenir Next" w:hAnsi="Avenir Next" w:cs="Arial"/>
          <w:color w:val="808080" w:themeColor="background1" w:themeShade="80"/>
          <w:sz w:val="22"/>
          <w:szCs w:val="22"/>
        </w:rPr>
      </w:pPr>
      <w:r w:rsidRPr="00D73844">
        <w:rPr>
          <w:rFonts w:ascii="Avenir Next" w:hAnsi="Avenir Next" w:cs="Arial"/>
          <w:color w:val="808080" w:themeColor="background1" w:themeShade="80"/>
          <w:sz w:val="22"/>
          <w:szCs w:val="22"/>
        </w:rPr>
        <w:lastRenderedPageBreak/>
        <w:t>Pursuant to the Insolvency Act 1986 (UK), any floating charge established within a period of 12 months preceding the initiation of winding-up proceedings shall be considered null and void unless there exists substantiated evidence demonstrating the solvency of the company immediately after the creation of said charge. Pursuant to this matter, it is hereby stated that the debenture, which encompasses the floating charge, was granted in February of the year 2022. It is noteworthy that said grant occurred within the 12-month timeframe that precedes the winding-up order that was issued in December of the same year, 2022.</w:t>
      </w:r>
    </w:p>
    <w:p w14:paraId="27AB441F" w14:textId="77777777" w:rsidR="00C8388A" w:rsidRDefault="00C8388A" w:rsidP="00D73844">
      <w:pPr>
        <w:jc w:val="both"/>
        <w:rPr>
          <w:rFonts w:ascii="Avenir Next" w:hAnsi="Avenir Next" w:cs="Arial"/>
          <w:color w:val="808080" w:themeColor="background1" w:themeShade="80"/>
          <w:sz w:val="22"/>
          <w:szCs w:val="22"/>
        </w:rPr>
      </w:pPr>
    </w:p>
    <w:p w14:paraId="5134583D" w14:textId="331E2CD9" w:rsidR="00D73844" w:rsidRPr="00D73844" w:rsidRDefault="00D73844" w:rsidP="00D73844">
      <w:pPr>
        <w:jc w:val="both"/>
        <w:rPr>
          <w:rFonts w:ascii="Avenir Next" w:hAnsi="Avenir Next" w:cs="Arial"/>
          <w:color w:val="808080" w:themeColor="background1" w:themeShade="80"/>
          <w:sz w:val="22"/>
          <w:szCs w:val="22"/>
        </w:rPr>
      </w:pPr>
      <w:r w:rsidRPr="00D73844">
        <w:rPr>
          <w:rFonts w:ascii="Avenir Next" w:hAnsi="Avenir Next" w:cs="Arial"/>
          <w:color w:val="808080" w:themeColor="background1" w:themeShade="80"/>
          <w:sz w:val="22"/>
          <w:szCs w:val="22"/>
        </w:rPr>
        <w:t>If the liquidator can provide evidence that the company was in a state of insolvency at the point in time when the floating charge was established, there exists the possibility of contesting its legitimacy and regarding the assets that are subject to the floating charge as part of the overall collection of assets that are accessible for allocation to creditors.</w:t>
      </w:r>
    </w:p>
    <w:p w14:paraId="290F19B4" w14:textId="77777777" w:rsidR="00E37D97" w:rsidRPr="00D73844" w:rsidRDefault="00E37D97"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42422152" w14:textId="77777777" w:rsidR="00722CEB" w:rsidRDefault="00722CEB" w:rsidP="00722CEB">
      <w:pPr>
        <w:jc w:val="both"/>
        <w:rPr>
          <w:rFonts w:ascii="Avenir Next" w:hAnsi="Avenir Next" w:cs="Arial"/>
          <w:color w:val="808080" w:themeColor="background1" w:themeShade="80"/>
          <w:sz w:val="22"/>
          <w:szCs w:val="22"/>
        </w:rPr>
      </w:pPr>
      <w:r w:rsidRPr="00722CEB">
        <w:rPr>
          <w:rFonts w:ascii="Avenir Next" w:hAnsi="Avenir Next" w:cs="Arial"/>
          <w:color w:val="808080" w:themeColor="background1" w:themeShade="80"/>
          <w:sz w:val="22"/>
          <w:szCs w:val="22"/>
        </w:rPr>
        <w:t>The pertinent matter concerning the sale of the marble cutting machines to Rita Perkins is whether it constitutes a transaction at a value lower than the market rate. In the event that the transaction is proven to be undervalued and specific conditions are satisfied, the liquidator reserves the right to take appropriate measures.</w:t>
      </w:r>
    </w:p>
    <w:p w14:paraId="4D2B3B79" w14:textId="77777777" w:rsidR="00722CEB" w:rsidRPr="00722CEB" w:rsidRDefault="00722CEB" w:rsidP="00722CEB">
      <w:pPr>
        <w:jc w:val="both"/>
        <w:rPr>
          <w:rFonts w:ascii="Avenir Next" w:hAnsi="Avenir Next" w:cs="Arial"/>
          <w:color w:val="808080" w:themeColor="background1" w:themeShade="80"/>
          <w:sz w:val="22"/>
          <w:szCs w:val="22"/>
        </w:rPr>
      </w:pPr>
    </w:p>
    <w:p w14:paraId="7E0521AC" w14:textId="77777777" w:rsidR="00722CEB" w:rsidRDefault="00722CEB" w:rsidP="00722CEB">
      <w:pPr>
        <w:jc w:val="both"/>
        <w:rPr>
          <w:rFonts w:ascii="Avenir Next" w:hAnsi="Avenir Next" w:cs="Arial"/>
          <w:color w:val="808080" w:themeColor="background1" w:themeShade="80"/>
          <w:sz w:val="22"/>
          <w:szCs w:val="22"/>
        </w:rPr>
      </w:pPr>
      <w:r w:rsidRPr="00722CEB">
        <w:rPr>
          <w:rFonts w:ascii="Avenir Next" w:hAnsi="Avenir Next" w:cs="Arial"/>
          <w:color w:val="808080" w:themeColor="background1" w:themeShade="80"/>
          <w:sz w:val="22"/>
          <w:szCs w:val="22"/>
        </w:rPr>
        <w:t>Pursuant to the provisions of the Insolvency Act 1986, it is within the powers of the liquidator to nullify any transaction that was executed at a value lower than its actual worth within a period of two years prior to the initiation of the winding-up process. This can be done provided that it can be established that the company was insolvent at the time of the transaction and that the transaction caused a significant financial detriment to the creditors of the company.</w:t>
      </w:r>
    </w:p>
    <w:p w14:paraId="13B096FC" w14:textId="77777777" w:rsidR="00722CEB" w:rsidRPr="00722CEB" w:rsidRDefault="00722CEB" w:rsidP="00722CEB">
      <w:pPr>
        <w:jc w:val="both"/>
        <w:rPr>
          <w:rFonts w:ascii="Avenir Next" w:hAnsi="Avenir Next" w:cs="Arial"/>
          <w:color w:val="808080" w:themeColor="background1" w:themeShade="80"/>
          <w:sz w:val="22"/>
          <w:szCs w:val="22"/>
        </w:rPr>
      </w:pPr>
    </w:p>
    <w:p w14:paraId="25E9D05A" w14:textId="77777777" w:rsidR="00722CEB" w:rsidRPr="00722CEB" w:rsidRDefault="00722CEB" w:rsidP="00722CEB">
      <w:pPr>
        <w:jc w:val="both"/>
        <w:rPr>
          <w:rFonts w:ascii="Avenir Next" w:hAnsi="Avenir Next" w:cs="Arial"/>
          <w:color w:val="808080" w:themeColor="background1" w:themeShade="80"/>
          <w:sz w:val="22"/>
          <w:szCs w:val="22"/>
        </w:rPr>
      </w:pPr>
      <w:r w:rsidRPr="00722CEB">
        <w:rPr>
          <w:rFonts w:ascii="Avenir Next" w:hAnsi="Avenir Next" w:cs="Arial"/>
          <w:color w:val="808080" w:themeColor="background1" w:themeShade="80"/>
          <w:sz w:val="22"/>
          <w:szCs w:val="22"/>
        </w:rPr>
        <w:t>In the present matter, the sale of the marble cutting machines for a sum of GBP 10,000 in currency, despite their initial procurement for GBP 25,000 a year prior to the initiation of the winding- up procedures, may be perceived as a transaction executed at a value lower than the fair market price. In the event that the liquidator is able to demonstrate that the company was insolvent during the sale and that it caused a significant financial detriment to the creditors, the liquidator is entitled to pursue legal action to nullify the transaction, pursue restitution of the assets, or demand compensation.</w:t>
      </w:r>
    </w:p>
    <w:p w14:paraId="18282358" w14:textId="39F8CB1A" w:rsidR="00C8388A" w:rsidRDefault="00C8388A" w:rsidP="00EA3B38">
      <w:pPr>
        <w:jc w:val="both"/>
        <w:rPr>
          <w:rFonts w:ascii="Avenir Next" w:hAnsi="Avenir Next" w:cs="Arial"/>
          <w:color w:val="808080" w:themeColor="background1" w:themeShade="80"/>
          <w:sz w:val="22"/>
          <w:szCs w:val="22"/>
        </w:rPr>
      </w:pP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CA98D92" w14:textId="77777777" w:rsidR="006B2E2B" w:rsidRPr="006B2E2B" w:rsidRDefault="006B2E2B" w:rsidP="006B2E2B">
      <w:pPr>
        <w:jc w:val="both"/>
        <w:rPr>
          <w:rFonts w:ascii="Avenir Next" w:hAnsi="Avenir Next" w:cs="Arial"/>
          <w:color w:val="808080" w:themeColor="background1" w:themeShade="80"/>
          <w:sz w:val="22"/>
          <w:szCs w:val="22"/>
        </w:rPr>
      </w:pPr>
      <w:r w:rsidRPr="006B2E2B">
        <w:rPr>
          <w:rFonts w:ascii="Avenir Next" w:hAnsi="Avenir Next" w:cs="Arial"/>
          <w:color w:val="808080" w:themeColor="background1" w:themeShade="80"/>
          <w:sz w:val="22"/>
          <w:szCs w:val="22"/>
        </w:rPr>
        <w:t>The pertinent matter with respect to the payments made to Hard and Fast Ltd. pertains to whether they may be deemed preferential payments. In the event that the payments are deemed preferential and specific criteria are satisfied, the liquidator reserves the right to pursue legal recourse.</w:t>
      </w:r>
    </w:p>
    <w:p w14:paraId="11E1D3A2" w14:textId="77777777" w:rsidR="009E0836" w:rsidRDefault="009E0836" w:rsidP="006B2E2B">
      <w:pPr>
        <w:jc w:val="both"/>
        <w:rPr>
          <w:rFonts w:ascii="Avenir Next" w:hAnsi="Avenir Next" w:cs="Arial"/>
          <w:color w:val="808080" w:themeColor="background1" w:themeShade="80"/>
          <w:sz w:val="22"/>
          <w:szCs w:val="22"/>
        </w:rPr>
      </w:pPr>
    </w:p>
    <w:p w14:paraId="5FA8E03F" w14:textId="26512414" w:rsidR="006B2E2B" w:rsidRPr="006B2E2B" w:rsidRDefault="006B2E2B" w:rsidP="006B2E2B">
      <w:pPr>
        <w:jc w:val="both"/>
        <w:rPr>
          <w:rFonts w:ascii="Avenir Next" w:hAnsi="Avenir Next" w:cs="Arial"/>
          <w:color w:val="808080" w:themeColor="background1" w:themeShade="80"/>
          <w:sz w:val="22"/>
          <w:szCs w:val="22"/>
        </w:rPr>
      </w:pPr>
      <w:r w:rsidRPr="006B2E2B">
        <w:rPr>
          <w:rFonts w:ascii="Avenir Next" w:hAnsi="Avenir Next" w:cs="Arial"/>
          <w:color w:val="808080" w:themeColor="background1" w:themeShade="80"/>
          <w:sz w:val="22"/>
          <w:szCs w:val="22"/>
        </w:rPr>
        <w:t>Pursuant to the provisions of the Insolvency Act 1986, it is possible for the liquidator to nullify certain payments made to creditors during a designated timeframe preceding the initiation of the winding-up process, as such payments may be deemed preferential. Payments that are preferential in nature refer to payments made to specific creditors that provide them with an advantage over other creditors in the allocation of assets.</w:t>
      </w:r>
    </w:p>
    <w:p w14:paraId="6CAFB24B" w14:textId="77777777" w:rsidR="006B2E2B" w:rsidRPr="006B2E2B" w:rsidRDefault="006B2E2B" w:rsidP="006B2E2B">
      <w:pPr>
        <w:jc w:val="both"/>
        <w:rPr>
          <w:rFonts w:ascii="Avenir Next" w:hAnsi="Avenir Next" w:cs="Arial"/>
          <w:color w:val="808080" w:themeColor="background1" w:themeShade="80"/>
          <w:sz w:val="22"/>
          <w:szCs w:val="22"/>
        </w:rPr>
      </w:pPr>
      <w:r w:rsidRPr="006B2E2B">
        <w:rPr>
          <w:rFonts w:ascii="Avenir Next" w:hAnsi="Avenir Next" w:cs="Arial"/>
          <w:color w:val="808080" w:themeColor="background1" w:themeShade="80"/>
          <w:sz w:val="22"/>
          <w:szCs w:val="22"/>
        </w:rPr>
        <w:lastRenderedPageBreak/>
        <w:t>As per the present case, the payments made to Hard and Fast Ltd. were duly sanctioned by the board of directors in order to settle the pre-existing obligations and procure subsequent provisions. Provided that the payments in question were made within the designated time frame and that they provide an advantage to Hard and Fast Ltd. in comparison to other creditors, the liquidator is entitled to pursue legal recourse to nullify the payments and incorporate the sum into the overall collection of assets that are accessible to all creditors on an equitable basis.</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9A53" w14:textId="77777777" w:rsidR="00762FC6" w:rsidRDefault="00762FC6" w:rsidP="00241B44">
      <w:r>
        <w:separator/>
      </w:r>
    </w:p>
  </w:endnote>
  <w:endnote w:type="continuationSeparator" w:id="0">
    <w:p w14:paraId="20552CA0" w14:textId="77777777" w:rsidR="00762FC6" w:rsidRDefault="00762F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Next-Regular">
    <w:altName w:val="Cambria"/>
    <w:panose1 w:val="00000000000000000000"/>
    <w:charset w:val="00"/>
    <w:family w:val="roman"/>
    <w:notTrueType/>
    <w:pitch w:val="default"/>
  </w:font>
  <w:font w:name="AvenirNext-Bold">
    <w:altName w:val="Cambria"/>
    <w:panose1 w:val="00000000000000000000"/>
    <w:charset w:val="00"/>
    <w:family w:val="roman"/>
    <w:notTrueType/>
    <w:pitch w:val="default"/>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AFA102" w:rsidR="00241FA3" w:rsidRPr="00A84235" w:rsidRDefault="00C220C6" w:rsidP="009B4976">
    <w:pPr>
      <w:pStyle w:val="Footer"/>
      <w:ind w:right="360"/>
      <w:rPr>
        <w:rFonts w:ascii="Avenir Next" w:hAnsi="Avenir Next" w:cs="Arial"/>
        <w:sz w:val="22"/>
        <w:szCs w:val="22"/>
        <w:lang w:val="en-GB"/>
      </w:rPr>
    </w:pPr>
    <w:r w:rsidRPr="00250DDD">
      <w:rPr>
        <w:rFonts w:ascii="Avenir Next" w:hAnsi="Avenir Next" w:cs="Arial"/>
        <w:sz w:val="22"/>
        <w:szCs w:val="22"/>
        <w:lang w:val="en-GB"/>
      </w:rPr>
      <w:t>202223-807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7AC4" w14:textId="77777777" w:rsidR="00C220C6" w:rsidRDefault="00C2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FA32" w14:textId="77777777" w:rsidR="00762FC6" w:rsidRDefault="00762FC6" w:rsidP="00241B44">
      <w:r>
        <w:separator/>
      </w:r>
    </w:p>
  </w:footnote>
  <w:footnote w:type="continuationSeparator" w:id="0">
    <w:p w14:paraId="1EFDC51B" w14:textId="77777777" w:rsidR="00762FC6" w:rsidRDefault="00762FC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F7FA" w14:textId="77777777" w:rsidR="00C220C6" w:rsidRDefault="00C2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1BAD" w14:textId="77777777" w:rsidR="00C220C6" w:rsidRDefault="00C22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6B5" w14:textId="77777777" w:rsidR="00C220C6" w:rsidRDefault="00C2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146D"/>
    <w:multiLevelType w:val="hybridMultilevel"/>
    <w:tmpl w:val="2A101228"/>
    <w:lvl w:ilvl="0" w:tplc="8412431E">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1A347DBB"/>
    <w:multiLevelType w:val="hybridMultilevel"/>
    <w:tmpl w:val="98B8555C"/>
    <w:lvl w:ilvl="0" w:tplc="02DA9DAE">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1CAB12E5"/>
    <w:multiLevelType w:val="hybridMultilevel"/>
    <w:tmpl w:val="96F81744"/>
    <w:lvl w:ilvl="0" w:tplc="B7DE5C7C">
      <w:start w:val="1"/>
      <w:numFmt w:val="lowerLetter"/>
      <w:lvlText w:val="(%1)"/>
      <w:lvlJc w:val="left"/>
      <w:pPr>
        <w:ind w:left="720" w:hanging="360"/>
      </w:pPr>
      <w:rPr>
        <w:rFonts w:ascii="Avenir Next" w:hAnsi="Avenir Next" w:cs="Arial" w:hint="default"/>
        <w:color w:val="808080" w:themeColor="background1" w:themeShade="8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1E8872DC"/>
    <w:multiLevelType w:val="hybridMultilevel"/>
    <w:tmpl w:val="6688FD94"/>
    <w:lvl w:ilvl="0" w:tplc="0E541BCA">
      <w:start w:val="1"/>
      <w:numFmt w:val="lowerLetter"/>
      <w:lvlText w:val="(%1)"/>
      <w:lvlJc w:val="left"/>
      <w:pPr>
        <w:ind w:left="900" w:hanging="360"/>
      </w:pPr>
      <w:rPr>
        <w:rFonts w:hint="default"/>
      </w:rPr>
    </w:lvl>
    <w:lvl w:ilvl="1" w:tplc="4C090019" w:tentative="1">
      <w:start w:val="1"/>
      <w:numFmt w:val="lowerLetter"/>
      <w:lvlText w:val="%2."/>
      <w:lvlJc w:val="left"/>
      <w:pPr>
        <w:ind w:left="1620" w:hanging="360"/>
      </w:pPr>
    </w:lvl>
    <w:lvl w:ilvl="2" w:tplc="4C09001B" w:tentative="1">
      <w:start w:val="1"/>
      <w:numFmt w:val="lowerRoman"/>
      <w:lvlText w:val="%3."/>
      <w:lvlJc w:val="right"/>
      <w:pPr>
        <w:ind w:left="2340" w:hanging="180"/>
      </w:pPr>
    </w:lvl>
    <w:lvl w:ilvl="3" w:tplc="4C09000F" w:tentative="1">
      <w:start w:val="1"/>
      <w:numFmt w:val="decimal"/>
      <w:lvlText w:val="%4."/>
      <w:lvlJc w:val="left"/>
      <w:pPr>
        <w:ind w:left="3060" w:hanging="360"/>
      </w:pPr>
    </w:lvl>
    <w:lvl w:ilvl="4" w:tplc="4C090019" w:tentative="1">
      <w:start w:val="1"/>
      <w:numFmt w:val="lowerLetter"/>
      <w:lvlText w:val="%5."/>
      <w:lvlJc w:val="left"/>
      <w:pPr>
        <w:ind w:left="3780" w:hanging="360"/>
      </w:pPr>
    </w:lvl>
    <w:lvl w:ilvl="5" w:tplc="4C09001B" w:tentative="1">
      <w:start w:val="1"/>
      <w:numFmt w:val="lowerRoman"/>
      <w:lvlText w:val="%6."/>
      <w:lvlJc w:val="right"/>
      <w:pPr>
        <w:ind w:left="4500" w:hanging="180"/>
      </w:pPr>
    </w:lvl>
    <w:lvl w:ilvl="6" w:tplc="4C09000F" w:tentative="1">
      <w:start w:val="1"/>
      <w:numFmt w:val="decimal"/>
      <w:lvlText w:val="%7."/>
      <w:lvlJc w:val="left"/>
      <w:pPr>
        <w:ind w:left="5220" w:hanging="360"/>
      </w:pPr>
    </w:lvl>
    <w:lvl w:ilvl="7" w:tplc="4C090019" w:tentative="1">
      <w:start w:val="1"/>
      <w:numFmt w:val="lowerLetter"/>
      <w:lvlText w:val="%8."/>
      <w:lvlJc w:val="left"/>
      <w:pPr>
        <w:ind w:left="5940" w:hanging="360"/>
      </w:pPr>
    </w:lvl>
    <w:lvl w:ilvl="8" w:tplc="4C09001B" w:tentative="1">
      <w:start w:val="1"/>
      <w:numFmt w:val="lowerRoman"/>
      <w:lvlText w:val="%9."/>
      <w:lvlJc w:val="right"/>
      <w:pPr>
        <w:ind w:left="666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447C1"/>
    <w:multiLevelType w:val="hybridMultilevel"/>
    <w:tmpl w:val="443881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92C5C"/>
    <w:multiLevelType w:val="hybridMultilevel"/>
    <w:tmpl w:val="C6B0EB18"/>
    <w:lvl w:ilvl="0" w:tplc="DA020700">
      <w:start w:val="1"/>
      <w:numFmt w:val="lowerRoman"/>
      <w:lvlText w:val="(%1)"/>
      <w:lvlJc w:val="left"/>
      <w:pPr>
        <w:ind w:left="1080" w:hanging="72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2551247">
    <w:abstractNumId w:val="7"/>
  </w:num>
  <w:num w:numId="2" w16cid:durableId="1490754554">
    <w:abstractNumId w:val="1"/>
  </w:num>
  <w:num w:numId="3" w16cid:durableId="2019653521">
    <w:abstractNumId w:val="0"/>
  </w:num>
  <w:num w:numId="4" w16cid:durableId="554203822">
    <w:abstractNumId w:val="12"/>
  </w:num>
  <w:num w:numId="5" w16cid:durableId="1649550020">
    <w:abstractNumId w:val="16"/>
  </w:num>
  <w:num w:numId="6" w16cid:durableId="603273422">
    <w:abstractNumId w:val="2"/>
  </w:num>
  <w:num w:numId="7" w16cid:durableId="242036272">
    <w:abstractNumId w:val="17"/>
  </w:num>
  <w:num w:numId="8" w16cid:durableId="636880764">
    <w:abstractNumId w:val="21"/>
  </w:num>
  <w:num w:numId="9" w16cid:durableId="2106261898">
    <w:abstractNumId w:val="13"/>
  </w:num>
  <w:num w:numId="10" w16cid:durableId="2016230082">
    <w:abstractNumId w:val="22"/>
  </w:num>
  <w:num w:numId="11" w16cid:durableId="850021998">
    <w:abstractNumId w:val="9"/>
  </w:num>
  <w:num w:numId="12" w16cid:durableId="744645733">
    <w:abstractNumId w:val="19"/>
  </w:num>
  <w:num w:numId="13" w16cid:durableId="1283611796">
    <w:abstractNumId w:val="14"/>
  </w:num>
  <w:num w:numId="14" w16cid:durableId="471022229">
    <w:abstractNumId w:val="8"/>
  </w:num>
  <w:num w:numId="15" w16cid:durableId="1300502187">
    <w:abstractNumId w:val="18"/>
  </w:num>
  <w:num w:numId="16" w16cid:durableId="1664234115">
    <w:abstractNumId w:val="20"/>
  </w:num>
  <w:num w:numId="17" w16cid:durableId="529609032">
    <w:abstractNumId w:val="11"/>
  </w:num>
  <w:num w:numId="18" w16cid:durableId="1543442648">
    <w:abstractNumId w:val="15"/>
  </w:num>
  <w:num w:numId="19" w16cid:durableId="936597052">
    <w:abstractNumId w:val="6"/>
  </w:num>
  <w:num w:numId="20" w16cid:durableId="753093702">
    <w:abstractNumId w:val="5"/>
  </w:num>
  <w:num w:numId="21" w16cid:durableId="1816025512">
    <w:abstractNumId w:val="3"/>
  </w:num>
  <w:num w:numId="22" w16cid:durableId="382559722">
    <w:abstractNumId w:val="4"/>
  </w:num>
  <w:num w:numId="23" w16cid:durableId="48085539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16C4"/>
    <w:rsid w:val="00044D46"/>
    <w:rsid w:val="00045088"/>
    <w:rsid w:val="00045904"/>
    <w:rsid w:val="000502FD"/>
    <w:rsid w:val="00065166"/>
    <w:rsid w:val="00082609"/>
    <w:rsid w:val="000851CC"/>
    <w:rsid w:val="00087F21"/>
    <w:rsid w:val="00093BE8"/>
    <w:rsid w:val="000A407B"/>
    <w:rsid w:val="000A68ED"/>
    <w:rsid w:val="000B5FF1"/>
    <w:rsid w:val="000B609F"/>
    <w:rsid w:val="000C6BBB"/>
    <w:rsid w:val="000D10C6"/>
    <w:rsid w:val="000D55A8"/>
    <w:rsid w:val="000E4841"/>
    <w:rsid w:val="000E7597"/>
    <w:rsid w:val="000F1677"/>
    <w:rsid w:val="000F3D6C"/>
    <w:rsid w:val="000F574B"/>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5AD2"/>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73142"/>
    <w:rsid w:val="00284EBE"/>
    <w:rsid w:val="002903A7"/>
    <w:rsid w:val="002905E8"/>
    <w:rsid w:val="0029433F"/>
    <w:rsid w:val="00294829"/>
    <w:rsid w:val="0029690F"/>
    <w:rsid w:val="00297C8A"/>
    <w:rsid w:val="002A2A60"/>
    <w:rsid w:val="002A37BB"/>
    <w:rsid w:val="002B1C45"/>
    <w:rsid w:val="002C13C8"/>
    <w:rsid w:val="002C3547"/>
    <w:rsid w:val="002C46CB"/>
    <w:rsid w:val="002D0021"/>
    <w:rsid w:val="002D299D"/>
    <w:rsid w:val="002D3473"/>
    <w:rsid w:val="002E1B60"/>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0C0F"/>
    <w:rsid w:val="00361A0A"/>
    <w:rsid w:val="00364836"/>
    <w:rsid w:val="0036565C"/>
    <w:rsid w:val="0036625E"/>
    <w:rsid w:val="003721E3"/>
    <w:rsid w:val="0037465A"/>
    <w:rsid w:val="003811D1"/>
    <w:rsid w:val="00382C98"/>
    <w:rsid w:val="00383DD5"/>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F00"/>
    <w:rsid w:val="004534C2"/>
    <w:rsid w:val="0045446F"/>
    <w:rsid w:val="0045683E"/>
    <w:rsid w:val="00461F95"/>
    <w:rsid w:val="00474C2B"/>
    <w:rsid w:val="00477C72"/>
    <w:rsid w:val="00491675"/>
    <w:rsid w:val="00493855"/>
    <w:rsid w:val="00495E79"/>
    <w:rsid w:val="004A2D83"/>
    <w:rsid w:val="004A57DD"/>
    <w:rsid w:val="004A5CB7"/>
    <w:rsid w:val="004A7B51"/>
    <w:rsid w:val="004A7D71"/>
    <w:rsid w:val="004A7EF3"/>
    <w:rsid w:val="004B11FD"/>
    <w:rsid w:val="004B150E"/>
    <w:rsid w:val="004B23A2"/>
    <w:rsid w:val="004D1A5A"/>
    <w:rsid w:val="004D2FFF"/>
    <w:rsid w:val="004D3721"/>
    <w:rsid w:val="004D64F9"/>
    <w:rsid w:val="004E3A6B"/>
    <w:rsid w:val="004E622C"/>
    <w:rsid w:val="004E6ADC"/>
    <w:rsid w:val="004F5FDF"/>
    <w:rsid w:val="004F6933"/>
    <w:rsid w:val="005177FE"/>
    <w:rsid w:val="00520242"/>
    <w:rsid w:val="0052263B"/>
    <w:rsid w:val="00523C89"/>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A73EA"/>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2E2B"/>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22CEB"/>
    <w:rsid w:val="00723AE0"/>
    <w:rsid w:val="0073158B"/>
    <w:rsid w:val="00732C51"/>
    <w:rsid w:val="007333CC"/>
    <w:rsid w:val="0073399A"/>
    <w:rsid w:val="00740DAD"/>
    <w:rsid w:val="00742AF3"/>
    <w:rsid w:val="007603F5"/>
    <w:rsid w:val="00762FC6"/>
    <w:rsid w:val="00763348"/>
    <w:rsid w:val="00764DB0"/>
    <w:rsid w:val="00766D86"/>
    <w:rsid w:val="0076764D"/>
    <w:rsid w:val="0077498C"/>
    <w:rsid w:val="007809BC"/>
    <w:rsid w:val="00784128"/>
    <w:rsid w:val="00787BCC"/>
    <w:rsid w:val="00793173"/>
    <w:rsid w:val="007A2A33"/>
    <w:rsid w:val="007A5171"/>
    <w:rsid w:val="007B5C89"/>
    <w:rsid w:val="007C1FCC"/>
    <w:rsid w:val="007C5F95"/>
    <w:rsid w:val="007C6201"/>
    <w:rsid w:val="007D7C92"/>
    <w:rsid w:val="007E1154"/>
    <w:rsid w:val="007E2919"/>
    <w:rsid w:val="007E46A8"/>
    <w:rsid w:val="007E6BA4"/>
    <w:rsid w:val="007F41F8"/>
    <w:rsid w:val="007F659B"/>
    <w:rsid w:val="0080441E"/>
    <w:rsid w:val="0080454E"/>
    <w:rsid w:val="00804C32"/>
    <w:rsid w:val="00806302"/>
    <w:rsid w:val="00807119"/>
    <w:rsid w:val="00812580"/>
    <w:rsid w:val="008142C4"/>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53776"/>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0836"/>
    <w:rsid w:val="009E2AEB"/>
    <w:rsid w:val="009E2E27"/>
    <w:rsid w:val="009E45DF"/>
    <w:rsid w:val="009E4DE3"/>
    <w:rsid w:val="009F275E"/>
    <w:rsid w:val="00A03C20"/>
    <w:rsid w:val="00A047EE"/>
    <w:rsid w:val="00A133A5"/>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5E3A"/>
    <w:rsid w:val="00AB2425"/>
    <w:rsid w:val="00AB63E7"/>
    <w:rsid w:val="00AB685C"/>
    <w:rsid w:val="00AB6C2D"/>
    <w:rsid w:val="00AC08F7"/>
    <w:rsid w:val="00AC317D"/>
    <w:rsid w:val="00AC3839"/>
    <w:rsid w:val="00AC705B"/>
    <w:rsid w:val="00AC7082"/>
    <w:rsid w:val="00AD4BE8"/>
    <w:rsid w:val="00AE5B6F"/>
    <w:rsid w:val="00AF228E"/>
    <w:rsid w:val="00AF3189"/>
    <w:rsid w:val="00B016A8"/>
    <w:rsid w:val="00B04033"/>
    <w:rsid w:val="00B14819"/>
    <w:rsid w:val="00B15E2F"/>
    <w:rsid w:val="00B17AA9"/>
    <w:rsid w:val="00B326BD"/>
    <w:rsid w:val="00B34F24"/>
    <w:rsid w:val="00B44713"/>
    <w:rsid w:val="00B455E5"/>
    <w:rsid w:val="00B51B95"/>
    <w:rsid w:val="00B56103"/>
    <w:rsid w:val="00B604A1"/>
    <w:rsid w:val="00B64929"/>
    <w:rsid w:val="00B736DF"/>
    <w:rsid w:val="00B743D6"/>
    <w:rsid w:val="00B74FBD"/>
    <w:rsid w:val="00B76504"/>
    <w:rsid w:val="00B77F46"/>
    <w:rsid w:val="00B82586"/>
    <w:rsid w:val="00B829A3"/>
    <w:rsid w:val="00B82F4D"/>
    <w:rsid w:val="00B86DB1"/>
    <w:rsid w:val="00B87869"/>
    <w:rsid w:val="00B9639B"/>
    <w:rsid w:val="00BA1CFD"/>
    <w:rsid w:val="00BB0F2B"/>
    <w:rsid w:val="00BE4FF3"/>
    <w:rsid w:val="00BF2C93"/>
    <w:rsid w:val="00BF50F7"/>
    <w:rsid w:val="00C02F29"/>
    <w:rsid w:val="00C17718"/>
    <w:rsid w:val="00C20AFE"/>
    <w:rsid w:val="00C220C6"/>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08D4"/>
    <w:rsid w:val="00C82D87"/>
    <w:rsid w:val="00C8388A"/>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349B"/>
    <w:rsid w:val="00D148DC"/>
    <w:rsid w:val="00D17FDC"/>
    <w:rsid w:val="00D21D8C"/>
    <w:rsid w:val="00D50286"/>
    <w:rsid w:val="00D53719"/>
    <w:rsid w:val="00D56805"/>
    <w:rsid w:val="00D609BC"/>
    <w:rsid w:val="00D63EFD"/>
    <w:rsid w:val="00D70B74"/>
    <w:rsid w:val="00D73844"/>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59DF"/>
    <w:rsid w:val="00DE03AF"/>
    <w:rsid w:val="00DE121C"/>
    <w:rsid w:val="00DE6633"/>
    <w:rsid w:val="00DF75F8"/>
    <w:rsid w:val="00DF7A3A"/>
    <w:rsid w:val="00E00C00"/>
    <w:rsid w:val="00E07C5A"/>
    <w:rsid w:val="00E15BA9"/>
    <w:rsid w:val="00E26E19"/>
    <w:rsid w:val="00E31DF3"/>
    <w:rsid w:val="00E37D97"/>
    <w:rsid w:val="00E443D7"/>
    <w:rsid w:val="00E450A4"/>
    <w:rsid w:val="00E506BE"/>
    <w:rsid w:val="00E55547"/>
    <w:rsid w:val="00E5747C"/>
    <w:rsid w:val="00E6282D"/>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0CF1"/>
    <w:rsid w:val="00EB146B"/>
    <w:rsid w:val="00EB45AC"/>
    <w:rsid w:val="00EC441F"/>
    <w:rsid w:val="00EC4755"/>
    <w:rsid w:val="00ED0BC4"/>
    <w:rsid w:val="00ED447D"/>
    <w:rsid w:val="00EE4971"/>
    <w:rsid w:val="00EE6CB0"/>
    <w:rsid w:val="00EF090E"/>
    <w:rsid w:val="00EF0CBE"/>
    <w:rsid w:val="00EF5572"/>
    <w:rsid w:val="00F01D7D"/>
    <w:rsid w:val="00F033DA"/>
    <w:rsid w:val="00F13691"/>
    <w:rsid w:val="00F13FB1"/>
    <w:rsid w:val="00F218CB"/>
    <w:rsid w:val="00F253AE"/>
    <w:rsid w:val="00F27CD8"/>
    <w:rsid w:val="00F30351"/>
    <w:rsid w:val="00F3323E"/>
    <w:rsid w:val="00F341F4"/>
    <w:rsid w:val="00F34F9D"/>
    <w:rsid w:val="00F35CCE"/>
    <w:rsid w:val="00F41146"/>
    <w:rsid w:val="00F5524B"/>
    <w:rsid w:val="00F60538"/>
    <w:rsid w:val="00F61DD2"/>
    <w:rsid w:val="00F62E14"/>
    <w:rsid w:val="00F62E7A"/>
    <w:rsid w:val="00F66AFF"/>
    <w:rsid w:val="00F70126"/>
    <w:rsid w:val="00F71433"/>
    <w:rsid w:val="00F83489"/>
    <w:rsid w:val="00F87B04"/>
    <w:rsid w:val="00F97C5B"/>
    <w:rsid w:val="00FA12B9"/>
    <w:rsid w:val="00FA3D50"/>
    <w:rsid w:val="00FA417D"/>
    <w:rsid w:val="00FB31D6"/>
    <w:rsid w:val="00FB4DDF"/>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D609BC"/>
    <w:rPr>
      <w:rFonts w:ascii="AvenirNext-Regular" w:hAnsi="AvenirNext-Regular" w:hint="default"/>
      <w:b w:val="0"/>
      <w:bCs w:val="0"/>
      <w:i w:val="0"/>
      <w:iCs w:val="0"/>
      <w:color w:val="000000"/>
      <w:sz w:val="22"/>
      <w:szCs w:val="22"/>
    </w:rPr>
  </w:style>
  <w:style w:type="character" w:customStyle="1" w:styleId="fontstyle21">
    <w:name w:val="fontstyle21"/>
    <w:basedOn w:val="DefaultParagraphFont"/>
    <w:rsid w:val="00EB0CF1"/>
    <w:rPr>
      <w:rFonts w:ascii="AvenirNext-Bold" w:hAnsi="AvenirNext-Bold" w:hint="default"/>
      <w:b/>
      <w:bCs/>
      <w:i w:val="0"/>
      <w:iCs w:val="0"/>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0043">
      <w:bodyDiv w:val="1"/>
      <w:marLeft w:val="0"/>
      <w:marRight w:val="0"/>
      <w:marTop w:val="0"/>
      <w:marBottom w:val="0"/>
      <w:divBdr>
        <w:top w:val="none" w:sz="0" w:space="0" w:color="auto"/>
        <w:left w:val="none" w:sz="0" w:space="0" w:color="auto"/>
        <w:bottom w:val="none" w:sz="0" w:space="0" w:color="auto"/>
        <w:right w:val="none" w:sz="0" w:space="0" w:color="auto"/>
      </w:divBdr>
      <w:divsChild>
        <w:div w:id="1534616428">
          <w:marLeft w:val="0"/>
          <w:marRight w:val="0"/>
          <w:marTop w:val="0"/>
          <w:marBottom w:val="0"/>
          <w:divBdr>
            <w:top w:val="single" w:sz="2" w:space="0" w:color="D9D9E3"/>
            <w:left w:val="single" w:sz="2" w:space="0" w:color="D9D9E3"/>
            <w:bottom w:val="single" w:sz="2" w:space="0" w:color="D9D9E3"/>
            <w:right w:val="single" w:sz="2" w:space="0" w:color="D9D9E3"/>
          </w:divBdr>
          <w:divsChild>
            <w:div w:id="181670248">
              <w:marLeft w:val="0"/>
              <w:marRight w:val="0"/>
              <w:marTop w:val="0"/>
              <w:marBottom w:val="0"/>
              <w:divBdr>
                <w:top w:val="single" w:sz="2" w:space="0" w:color="D9D9E3"/>
                <w:left w:val="single" w:sz="2" w:space="0" w:color="D9D9E3"/>
                <w:bottom w:val="single" w:sz="2" w:space="0" w:color="D9D9E3"/>
                <w:right w:val="single" w:sz="2" w:space="0" w:color="D9D9E3"/>
              </w:divBdr>
              <w:divsChild>
                <w:div w:id="1196776401">
                  <w:marLeft w:val="0"/>
                  <w:marRight w:val="0"/>
                  <w:marTop w:val="0"/>
                  <w:marBottom w:val="0"/>
                  <w:divBdr>
                    <w:top w:val="single" w:sz="2" w:space="0" w:color="D9D9E3"/>
                    <w:left w:val="single" w:sz="2" w:space="0" w:color="D9D9E3"/>
                    <w:bottom w:val="single" w:sz="2" w:space="0" w:color="D9D9E3"/>
                    <w:right w:val="single" w:sz="2" w:space="0" w:color="D9D9E3"/>
                  </w:divBdr>
                  <w:divsChild>
                    <w:div w:id="1856923654">
                      <w:marLeft w:val="0"/>
                      <w:marRight w:val="0"/>
                      <w:marTop w:val="0"/>
                      <w:marBottom w:val="0"/>
                      <w:divBdr>
                        <w:top w:val="single" w:sz="2" w:space="0" w:color="D9D9E3"/>
                        <w:left w:val="single" w:sz="2" w:space="0" w:color="D9D9E3"/>
                        <w:bottom w:val="single" w:sz="2" w:space="0" w:color="D9D9E3"/>
                        <w:right w:val="single" w:sz="2" w:space="0" w:color="D9D9E3"/>
                      </w:divBdr>
                      <w:divsChild>
                        <w:div w:id="1729189463">
                          <w:marLeft w:val="0"/>
                          <w:marRight w:val="0"/>
                          <w:marTop w:val="0"/>
                          <w:marBottom w:val="0"/>
                          <w:divBdr>
                            <w:top w:val="single" w:sz="2" w:space="0" w:color="auto"/>
                            <w:left w:val="single" w:sz="2" w:space="0" w:color="auto"/>
                            <w:bottom w:val="single" w:sz="6" w:space="0" w:color="auto"/>
                            <w:right w:val="single" w:sz="2" w:space="0" w:color="auto"/>
                          </w:divBdr>
                          <w:divsChild>
                            <w:div w:id="156869088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9615133">
                                  <w:marLeft w:val="0"/>
                                  <w:marRight w:val="0"/>
                                  <w:marTop w:val="0"/>
                                  <w:marBottom w:val="0"/>
                                  <w:divBdr>
                                    <w:top w:val="single" w:sz="2" w:space="0" w:color="D9D9E3"/>
                                    <w:left w:val="single" w:sz="2" w:space="0" w:color="D9D9E3"/>
                                    <w:bottom w:val="single" w:sz="2" w:space="0" w:color="D9D9E3"/>
                                    <w:right w:val="single" w:sz="2" w:space="0" w:color="D9D9E3"/>
                                  </w:divBdr>
                                  <w:divsChild>
                                    <w:div w:id="2095320075">
                                      <w:marLeft w:val="0"/>
                                      <w:marRight w:val="0"/>
                                      <w:marTop w:val="0"/>
                                      <w:marBottom w:val="0"/>
                                      <w:divBdr>
                                        <w:top w:val="single" w:sz="2" w:space="0" w:color="D9D9E3"/>
                                        <w:left w:val="single" w:sz="2" w:space="0" w:color="D9D9E3"/>
                                        <w:bottom w:val="single" w:sz="2" w:space="0" w:color="D9D9E3"/>
                                        <w:right w:val="single" w:sz="2" w:space="0" w:color="D9D9E3"/>
                                      </w:divBdr>
                                      <w:divsChild>
                                        <w:div w:id="622928708">
                                          <w:marLeft w:val="0"/>
                                          <w:marRight w:val="0"/>
                                          <w:marTop w:val="0"/>
                                          <w:marBottom w:val="0"/>
                                          <w:divBdr>
                                            <w:top w:val="single" w:sz="2" w:space="0" w:color="D9D9E3"/>
                                            <w:left w:val="single" w:sz="2" w:space="0" w:color="D9D9E3"/>
                                            <w:bottom w:val="single" w:sz="2" w:space="0" w:color="D9D9E3"/>
                                            <w:right w:val="single" w:sz="2" w:space="0" w:color="D9D9E3"/>
                                          </w:divBdr>
                                          <w:divsChild>
                                            <w:div w:id="549340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68414815">
          <w:marLeft w:val="0"/>
          <w:marRight w:val="0"/>
          <w:marTop w:val="0"/>
          <w:marBottom w:val="0"/>
          <w:divBdr>
            <w:top w:val="none" w:sz="0" w:space="0" w:color="auto"/>
            <w:left w:val="none" w:sz="0" w:space="0" w:color="auto"/>
            <w:bottom w:val="none" w:sz="0" w:space="0" w:color="auto"/>
            <w:right w:val="none" w:sz="0" w:space="0" w:color="auto"/>
          </w:divBdr>
          <w:divsChild>
            <w:div w:id="1673678532">
              <w:marLeft w:val="0"/>
              <w:marRight w:val="0"/>
              <w:marTop w:val="0"/>
              <w:marBottom w:val="0"/>
              <w:divBdr>
                <w:top w:val="single" w:sz="2" w:space="0" w:color="D9D9E3"/>
                <w:left w:val="single" w:sz="2" w:space="0" w:color="D9D9E3"/>
                <w:bottom w:val="single" w:sz="2" w:space="0" w:color="D9D9E3"/>
                <w:right w:val="single" w:sz="2" w:space="0" w:color="D9D9E3"/>
              </w:divBdr>
              <w:divsChild>
                <w:div w:id="975447122">
                  <w:marLeft w:val="0"/>
                  <w:marRight w:val="0"/>
                  <w:marTop w:val="0"/>
                  <w:marBottom w:val="0"/>
                  <w:divBdr>
                    <w:top w:val="single" w:sz="2" w:space="0" w:color="D9D9E3"/>
                    <w:left w:val="single" w:sz="2" w:space="0" w:color="D9D9E3"/>
                    <w:bottom w:val="single" w:sz="2" w:space="0" w:color="D9D9E3"/>
                    <w:right w:val="single" w:sz="2" w:space="0" w:color="D9D9E3"/>
                  </w:divBdr>
                  <w:divsChild>
                    <w:div w:id="1996714484">
                      <w:marLeft w:val="0"/>
                      <w:marRight w:val="0"/>
                      <w:marTop w:val="0"/>
                      <w:marBottom w:val="0"/>
                      <w:divBdr>
                        <w:top w:val="single" w:sz="2" w:space="0" w:color="D9D9E3"/>
                        <w:left w:val="single" w:sz="2" w:space="0" w:color="D9D9E3"/>
                        <w:bottom w:val="single" w:sz="2" w:space="0" w:color="D9D9E3"/>
                        <w:right w:val="single" w:sz="2" w:space="0" w:color="D9D9E3"/>
                      </w:divBdr>
                      <w:divsChild>
                        <w:div w:id="1134257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659153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Ismail Hajeir</cp:lastModifiedBy>
  <cp:revision>64</cp:revision>
  <cp:lastPrinted>2019-08-27T05:42:00Z</cp:lastPrinted>
  <dcterms:created xsi:type="dcterms:W3CDTF">2022-07-04T17:01:00Z</dcterms:created>
  <dcterms:modified xsi:type="dcterms:W3CDTF">2023-06-25T17:43:00Z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