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A90B7E" w:rsidRDefault="00DE366A" w:rsidP="00B3727B">
      <w:pPr>
        <w:pStyle w:val="ListParagraph"/>
        <w:numPr>
          <w:ilvl w:val="0"/>
          <w:numId w:val="1"/>
        </w:numPr>
        <w:ind w:left="426"/>
        <w:jc w:val="both"/>
        <w:rPr>
          <w:rFonts w:ascii="Avenir Next" w:hAnsi="Avenir Next" w:cs="Arial"/>
          <w:sz w:val="22"/>
          <w:szCs w:val="22"/>
          <w:highlight w:val="yellow"/>
          <w:lang w:val="en-GB"/>
        </w:rPr>
      </w:pPr>
      <w:r w:rsidRPr="00A90B7E">
        <w:rPr>
          <w:rFonts w:ascii="Avenir Next" w:hAnsi="Avenir Next" w:cs="Arial"/>
          <w:sz w:val="22"/>
          <w:szCs w:val="22"/>
          <w:highlight w:val="yellow"/>
          <w:lang w:val="en-GB"/>
        </w:rPr>
        <w:t>If the Master has approved a plan of distribution to repay all of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None of the above </w:t>
      </w:r>
      <w:r w:rsidR="00945BCC" w:rsidRPr="00B87DBA">
        <w:rPr>
          <w:rFonts w:ascii="Avenir Next" w:hAnsi="Avenir Next" w:cs="Arial"/>
          <w:sz w:val="22"/>
          <w:szCs w:val="22"/>
          <w:lang w:val="en-GB"/>
        </w:rPr>
        <w:t>are</w:t>
      </w:r>
      <w:r w:rsidRPr="00B87DBA">
        <w:rPr>
          <w:rFonts w:ascii="Avenir Next" w:hAnsi="Avenir Next" w:cs="Arial"/>
          <w:sz w:val="22"/>
          <w:szCs w:val="22"/>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B87DBA" w:rsidRDefault="00D71018" w:rsidP="007F1022">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w:t>
      </w:r>
      <w:r w:rsidR="00A05F35" w:rsidRPr="00B87DBA">
        <w:rPr>
          <w:rFonts w:ascii="Avenir Next" w:hAnsi="Avenir Next" w:cs="Arial"/>
          <w:sz w:val="22"/>
          <w:szCs w:val="22"/>
        </w:rPr>
        <w:t>he foreign officeholder must apply to the Magistrate</w:t>
      </w:r>
      <w:r w:rsidR="000A6D56" w:rsidRPr="00B87DBA">
        <w:rPr>
          <w:rFonts w:ascii="Avenir Next" w:hAnsi="Avenir Next" w:cs="Arial"/>
          <w:sz w:val="22"/>
          <w:szCs w:val="22"/>
        </w:rPr>
        <w:t xml:space="preserve">’s Court for </w:t>
      </w:r>
      <w:r w:rsidRPr="00B87DBA">
        <w:rPr>
          <w:rFonts w:ascii="Avenir Next" w:hAnsi="Avenir Next" w:cs="Arial"/>
          <w:sz w:val="22"/>
          <w:szCs w:val="22"/>
        </w:rPr>
        <w:t>recognition</w:t>
      </w:r>
      <w:r w:rsidR="00765AE9" w:rsidRPr="00B87DBA">
        <w:rPr>
          <w:rFonts w:ascii="Avenir Next" w:hAnsi="Avenir Next" w:cs="Arial"/>
          <w:sz w:val="22"/>
          <w:szCs w:val="22"/>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ListParagraph"/>
        <w:rPr>
          <w:rFonts w:ascii="Avenir Next" w:hAnsi="Avenir Next" w:cs="Arial"/>
          <w:sz w:val="22"/>
          <w:szCs w:val="22"/>
        </w:rPr>
      </w:pPr>
    </w:p>
    <w:p w14:paraId="5D764C4E" w14:textId="3786CB8A" w:rsidR="007F1022" w:rsidRPr="00B87DBA" w:rsidRDefault="007F1022"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9904EE" w:rsidRDefault="00765AE9" w:rsidP="00765AE9">
      <w:pPr>
        <w:pStyle w:val="ListParagraph"/>
        <w:numPr>
          <w:ilvl w:val="0"/>
          <w:numId w:val="4"/>
        </w:numPr>
        <w:ind w:left="426"/>
        <w:jc w:val="both"/>
        <w:rPr>
          <w:rFonts w:ascii="Avenir Next" w:hAnsi="Avenir Next" w:cs="Arial"/>
          <w:sz w:val="22"/>
          <w:szCs w:val="22"/>
        </w:rPr>
      </w:pPr>
      <w:r w:rsidRPr="00395EC0">
        <w:rPr>
          <w:rFonts w:ascii="Avenir Next" w:hAnsi="Avenir Next" w:cs="Arial"/>
          <w:sz w:val="22"/>
          <w:szCs w:val="22"/>
          <w:highlight w:val="yellow"/>
        </w:rPr>
        <w:t>Options (i) and (i</w:t>
      </w:r>
      <w:r w:rsidR="00F220A7" w:rsidRPr="00395EC0">
        <w:rPr>
          <w:rFonts w:ascii="Avenir Next" w:hAnsi="Avenir Next" w:cs="Arial"/>
          <w:sz w:val="22"/>
          <w:szCs w:val="22"/>
          <w:highlight w:val="yellow"/>
        </w:rPr>
        <w:t>v</w:t>
      </w:r>
      <w:r w:rsidRPr="00395EC0">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lastRenderedPageBreak/>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9904EE">
      <w:pPr>
        <w:rPr>
          <w:rFonts w:ascii="Avenir Next" w:eastAsia="Calibri" w:hAnsi="Avenir Next"/>
          <w:sz w:val="22"/>
          <w:szCs w:val="22"/>
          <w:lang w:val="en-ZA"/>
        </w:rPr>
      </w:pPr>
    </w:p>
    <w:p w14:paraId="236D1823" w14:textId="40A909EB"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9904EE">
      <w:pPr>
        <w:rPr>
          <w:rFonts w:ascii="Avenir Next" w:eastAsia="Calibri" w:hAnsi="Avenir Next"/>
          <w:sz w:val="22"/>
          <w:szCs w:val="22"/>
          <w:lang w:val="en-ZA"/>
        </w:rPr>
      </w:pPr>
    </w:p>
    <w:p w14:paraId="2B43C0AC" w14:textId="787A2A1F" w:rsidR="00B30294" w:rsidRDefault="00B30294" w:rsidP="009904EE">
      <w:pPr>
        <w:pStyle w:val="ListParagraph"/>
        <w:numPr>
          <w:ilvl w:val="0"/>
          <w:numId w:val="24"/>
        </w:numPr>
        <w:ind w:left="426"/>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9904EE">
      <w:pPr>
        <w:rPr>
          <w:rFonts w:ascii="Avenir Next" w:eastAsia="Calibri" w:hAnsi="Avenir Next"/>
          <w:sz w:val="22"/>
          <w:szCs w:val="22"/>
          <w:lang w:val="en-ZA"/>
        </w:rPr>
      </w:pPr>
    </w:p>
    <w:p w14:paraId="78F4FD0B" w14:textId="44E1424E" w:rsidR="0001050B" w:rsidRPr="00E34A65" w:rsidRDefault="00B30294" w:rsidP="009904EE">
      <w:pPr>
        <w:pStyle w:val="ListParagraph"/>
        <w:numPr>
          <w:ilvl w:val="0"/>
          <w:numId w:val="24"/>
        </w:numPr>
        <w:ind w:left="426"/>
        <w:rPr>
          <w:rFonts w:ascii="Avenir Next" w:eastAsia="Calibri" w:hAnsi="Avenir Next"/>
          <w:sz w:val="22"/>
          <w:szCs w:val="22"/>
          <w:highlight w:val="yellow"/>
          <w:lang w:val="en-ZA"/>
        </w:rPr>
      </w:pPr>
      <w:r w:rsidRPr="00E34A65">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B87DBA" w:rsidRDefault="009975C1" w:rsidP="009975C1">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(i).</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56D1B4F9" w14:textId="167DE09E" w:rsidR="00895343" w:rsidRDefault="00895343" w:rsidP="00895343">
      <w:pPr>
        <w:ind w:left="426"/>
        <w:jc w:val="both"/>
        <w:rPr>
          <w:rFonts w:ascii="Avenir Next" w:hAnsi="Avenir Next" w:cs="Arial"/>
          <w:sz w:val="22"/>
          <w:szCs w:val="22"/>
        </w:rPr>
      </w:pPr>
    </w:p>
    <w:p w14:paraId="761EBB2D" w14:textId="13FFACE1" w:rsidR="009904EE" w:rsidRDefault="009904EE" w:rsidP="00895343">
      <w:pPr>
        <w:ind w:left="426"/>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w:t>
      </w:r>
      <w:r w:rsidR="0007191F" w:rsidRPr="00B87DBA">
        <w:rPr>
          <w:rFonts w:ascii="Avenir Next" w:hAnsi="Avenir Next" w:cs="Arial"/>
          <w:sz w:val="22"/>
          <w:szCs w:val="22"/>
        </w:rPr>
        <w:t>s (i), (ii) and</w:t>
      </w:r>
      <w:r w:rsidRPr="00B87DBA">
        <w:rPr>
          <w:rFonts w:ascii="Avenir Next" w:hAnsi="Avenir Next" w:cs="Arial"/>
          <w:sz w:val="22"/>
          <w:szCs w:val="22"/>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2409C2" w:rsidRDefault="0007191F" w:rsidP="00895343">
      <w:pPr>
        <w:pStyle w:val="ListParagraph"/>
        <w:numPr>
          <w:ilvl w:val="0"/>
          <w:numId w:val="22"/>
        </w:numPr>
        <w:ind w:left="426"/>
        <w:jc w:val="both"/>
        <w:rPr>
          <w:rFonts w:ascii="Avenir Next" w:hAnsi="Avenir Next" w:cs="Arial"/>
          <w:sz w:val="22"/>
          <w:szCs w:val="22"/>
          <w:highlight w:val="yellow"/>
        </w:rPr>
      </w:pPr>
      <w:r w:rsidRPr="002409C2">
        <w:rPr>
          <w:rFonts w:ascii="Avenir Next" w:hAnsi="Avenir Next" w:cs="Arial"/>
          <w:sz w:val="22"/>
          <w:szCs w:val="22"/>
          <w:highlight w:val="yellow"/>
        </w:rPr>
        <w:t>All of the above</w:t>
      </w:r>
      <w:r w:rsidR="00895343" w:rsidRPr="002409C2">
        <w:rPr>
          <w:rFonts w:ascii="Avenir Next" w:hAnsi="Avenir Next" w:cs="Arial"/>
          <w:sz w:val="22"/>
          <w:szCs w:val="22"/>
          <w:highlight w:val="yellow"/>
        </w:rPr>
        <w:t>.</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lastRenderedPageBreak/>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5C02D6" w:rsidRDefault="0001050B" w:rsidP="00B3727B">
      <w:pPr>
        <w:pStyle w:val="ListParagraph"/>
        <w:numPr>
          <w:ilvl w:val="0"/>
          <w:numId w:val="5"/>
        </w:numPr>
        <w:ind w:left="426"/>
        <w:jc w:val="both"/>
        <w:rPr>
          <w:rFonts w:ascii="Avenir Next" w:hAnsi="Avenir Next" w:cs="Arial"/>
          <w:sz w:val="22"/>
          <w:szCs w:val="22"/>
          <w:highlight w:val="yellow"/>
          <w:lang w:val="en-GB"/>
        </w:rPr>
      </w:pPr>
      <w:r w:rsidRPr="005C02D6">
        <w:rPr>
          <w:rFonts w:ascii="Avenir Next" w:hAnsi="Avenir Next" w:cs="Arial"/>
          <w:sz w:val="22"/>
          <w:szCs w:val="22"/>
          <w:highlight w:val="yellow"/>
          <w:lang w:val="en-GB"/>
        </w:rPr>
        <w:t xml:space="preserve">Company </w:t>
      </w:r>
      <w:r w:rsidR="00D62306" w:rsidRPr="005C02D6">
        <w:rPr>
          <w:rFonts w:ascii="Avenir Next" w:hAnsi="Avenir Next" w:cs="Arial"/>
          <w:sz w:val="22"/>
          <w:szCs w:val="22"/>
          <w:highlight w:val="yellow"/>
          <w:lang w:val="en-GB"/>
        </w:rPr>
        <w:t>ABC</w:t>
      </w:r>
      <w:r w:rsidRPr="005C02D6">
        <w:rPr>
          <w:rFonts w:ascii="Avenir Next" w:hAnsi="Avenir Next" w:cs="Arial"/>
          <w:sz w:val="22"/>
          <w:szCs w:val="22"/>
          <w:highlight w:val="yellow"/>
          <w:lang w:val="en-GB"/>
        </w:rPr>
        <w:t xml:space="preserve"> will be required to return ZAR </w:t>
      </w:r>
      <w:r w:rsidR="00A35DA7" w:rsidRPr="005C02D6">
        <w:rPr>
          <w:rFonts w:ascii="Avenir Next" w:hAnsi="Avenir Next" w:cs="Arial"/>
          <w:sz w:val="22"/>
          <w:szCs w:val="22"/>
          <w:highlight w:val="yellow"/>
          <w:lang w:val="en-GB"/>
        </w:rPr>
        <w:t>5</w:t>
      </w:r>
      <w:r w:rsidR="005925C2" w:rsidRPr="005C02D6">
        <w:rPr>
          <w:rFonts w:ascii="Avenir Next" w:hAnsi="Avenir Next" w:cs="Arial"/>
          <w:sz w:val="22"/>
          <w:szCs w:val="22"/>
          <w:highlight w:val="yellow"/>
          <w:lang w:val="en-GB"/>
        </w:rPr>
        <w:t>,</w:t>
      </w:r>
      <w:r w:rsidRPr="005C02D6">
        <w:rPr>
          <w:rFonts w:ascii="Avenir Next" w:hAnsi="Avenir Next" w:cs="Arial"/>
          <w:sz w:val="22"/>
          <w:szCs w:val="22"/>
          <w:highlight w:val="yellow"/>
          <w:lang w:val="en-GB"/>
        </w:rPr>
        <w:t xml:space="preserve">000 to the liquidator of Company </w:t>
      </w:r>
      <w:r w:rsidR="008E7F55" w:rsidRPr="005C02D6">
        <w:rPr>
          <w:rFonts w:ascii="Avenir Next" w:hAnsi="Avenir Next" w:cs="Arial"/>
          <w:sz w:val="22"/>
          <w:szCs w:val="22"/>
          <w:highlight w:val="yellow"/>
          <w:lang w:val="en-GB"/>
        </w:rPr>
        <w:t>X</w:t>
      </w:r>
      <w:r w:rsidR="00D62306" w:rsidRPr="005C02D6">
        <w:rPr>
          <w:rFonts w:ascii="Avenir Next" w:hAnsi="Avenir Next" w:cs="Arial"/>
          <w:sz w:val="22"/>
          <w:szCs w:val="22"/>
          <w:highlight w:val="yellow"/>
          <w:lang w:val="en-GB"/>
        </w:rPr>
        <w:t>YZ</w:t>
      </w:r>
      <w:r w:rsidRPr="005C02D6">
        <w:rPr>
          <w:rFonts w:ascii="Avenir Next" w:hAnsi="Avenir Next" w:cs="Arial"/>
          <w:sz w:val="22"/>
          <w:szCs w:val="22"/>
          <w:highlight w:val="yellow"/>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B87DBA" w:rsidRDefault="0001050B" w:rsidP="00FF7B77">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385BC5" w:rsidRPr="00B87DBA">
        <w:rPr>
          <w:rFonts w:ascii="Avenir Next" w:hAnsi="Avenir Next" w:cs="Arial"/>
          <w:sz w:val="22"/>
          <w:szCs w:val="22"/>
          <w:lang w:val="en-GB"/>
        </w:rPr>
        <w:t>7</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48428F" w:rsidRDefault="007B119E" w:rsidP="009904EE">
      <w:pPr>
        <w:pStyle w:val="ListParagraph"/>
        <w:numPr>
          <w:ilvl w:val="0"/>
          <w:numId w:val="27"/>
        </w:numPr>
        <w:ind w:left="426"/>
        <w:jc w:val="both"/>
        <w:rPr>
          <w:rFonts w:ascii="Avenir Next" w:hAnsi="Avenir Next" w:cs="Arial"/>
          <w:sz w:val="22"/>
          <w:szCs w:val="22"/>
          <w:highlight w:val="yellow"/>
          <w:lang w:val="en-GB"/>
        </w:rPr>
      </w:pPr>
      <w:r w:rsidRPr="0048428F">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6FE6C2D" w14:textId="2988C906" w:rsidR="004D31CC"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2F1E1E" w:rsidRDefault="00256E1E" w:rsidP="00B3727B">
      <w:pPr>
        <w:pStyle w:val="ListParagraph"/>
        <w:numPr>
          <w:ilvl w:val="0"/>
          <w:numId w:val="6"/>
        </w:numPr>
        <w:ind w:left="426"/>
        <w:jc w:val="both"/>
        <w:rPr>
          <w:rFonts w:ascii="Avenir Next" w:hAnsi="Avenir Next" w:cs="Arial"/>
          <w:sz w:val="22"/>
          <w:szCs w:val="22"/>
          <w:highlight w:val="yellow"/>
          <w:lang w:val="en-GB"/>
        </w:rPr>
      </w:pPr>
      <w:r w:rsidRPr="002F1E1E">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2F1E1E">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in order to</w:t>
      </w:r>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that the 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on a daily basis</w:t>
      </w:r>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lastRenderedPageBreak/>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in securitatem debiti</w:t>
      </w:r>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48428F" w:rsidRDefault="00F83DBA" w:rsidP="00B3727B">
      <w:pPr>
        <w:pStyle w:val="ListParagraph"/>
        <w:numPr>
          <w:ilvl w:val="0"/>
          <w:numId w:val="8"/>
        </w:numPr>
        <w:ind w:left="426"/>
        <w:jc w:val="both"/>
        <w:rPr>
          <w:rFonts w:ascii="Avenir Next" w:hAnsi="Avenir Next" w:cs="Arial"/>
          <w:sz w:val="22"/>
          <w:szCs w:val="22"/>
          <w:highlight w:val="yellow"/>
          <w:lang w:val="en-GB"/>
        </w:rPr>
      </w:pPr>
      <w:r w:rsidRPr="0048428F">
        <w:rPr>
          <w:rFonts w:ascii="Avenir Next" w:hAnsi="Avenir Next" w:cs="Arial"/>
          <w:sz w:val="22"/>
          <w:szCs w:val="22"/>
          <w:highlight w:val="yellow"/>
          <w:lang w:val="en-GB"/>
        </w:rPr>
        <w:t>S</w:t>
      </w:r>
      <w:r w:rsidR="0001050B" w:rsidRPr="0048428F">
        <w:rPr>
          <w:rFonts w:ascii="Avenir Next" w:hAnsi="Avenir Next" w:cs="Arial"/>
          <w:sz w:val="22"/>
          <w:szCs w:val="22"/>
          <w:highlight w:val="yellow"/>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ListParagraph"/>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3B2B15" w:rsidRDefault="001D4BA3" w:rsidP="004D31CC">
      <w:pPr>
        <w:pStyle w:val="ListParagraph"/>
        <w:numPr>
          <w:ilvl w:val="0"/>
          <w:numId w:val="29"/>
        </w:numPr>
        <w:ind w:left="426"/>
        <w:jc w:val="both"/>
        <w:rPr>
          <w:rFonts w:ascii="Avenir Next" w:hAnsi="Avenir Next" w:cs="Arial"/>
          <w:sz w:val="22"/>
          <w:szCs w:val="22"/>
          <w:highlight w:val="yellow"/>
        </w:rPr>
      </w:pPr>
      <w:r w:rsidRPr="003B2B15">
        <w:rPr>
          <w:rFonts w:ascii="Avenir Next" w:hAnsi="Avenir Next" w:cs="Arial"/>
          <w:sz w:val="22"/>
          <w:szCs w:val="22"/>
          <w:highlight w:val="yellow"/>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4D31CC" w:rsidRDefault="001D4BA3" w:rsidP="004D31CC">
      <w:pPr>
        <w:pStyle w:val="ListParagraph"/>
        <w:numPr>
          <w:ilvl w:val="0"/>
          <w:numId w:val="29"/>
        </w:numPr>
        <w:ind w:left="426"/>
        <w:rPr>
          <w:rFonts w:ascii="Avenir Next" w:hAnsi="Avenir Next" w:cs="Arial"/>
          <w:sz w:val="22"/>
          <w:szCs w:val="22"/>
        </w:rPr>
      </w:pPr>
      <w:r w:rsidRPr="004D31CC">
        <w:rPr>
          <w:rFonts w:ascii="Avenir Next" w:hAnsi="Avenir Next" w:cs="Arial"/>
          <w:sz w:val="22"/>
          <w:szCs w:val="22"/>
        </w:rPr>
        <w:t>All of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1A4315" w:rsidRDefault="00230812" w:rsidP="00B3727B">
      <w:pPr>
        <w:pStyle w:val="ListParagraph"/>
        <w:numPr>
          <w:ilvl w:val="0"/>
          <w:numId w:val="9"/>
        </w:numPr>
        <w:ind w:left="426"/>
        <w:jc w:val="both"/>
        <w:rPr>
          <w:rFonts w:ascii="Avenir Next" w:hAnsi="Avenir Next" w:cs="Arial"/>
          <w:sz w:val="22"/>
          <w:szCs w:val="22"/>
          <w:highlight w:val="yellow"/>
          <w:lang w:val="en-GB"/>
        </w:rPr>
      </w:pPr>
      <w:r w:rsidRPr="001A4315">
        <w:rPr>
          <w:rFonts w:ascii="Avenir Next" w:hAnsi="Avenir Next" w:cs="Arial"/>
          <w:sz w:val="22"/>
          <w:szCs w:val="22"/>
          <w:highlight w:val="yellow"/>
          <w:lang w:val="en-GB"/>
        </w:rPr>
        <w:t>Movable property is governed by the law of the natural person’s domicile (</w:t>
      </w:r>
      <w:r w:rsidRPr="001A4315">
        <w:rPr>
          <w:rFonts w:ascii="Avenir Next" w:hAnsi="Avenir Next" w:cs="Arial"/>
          <w:i/>
          <w:iCs/>
          <w:sz w:val="22"/>
          <w:szCs w:val="22"/>
          <w:highlight w:val="yellow"/>
          <w:lang w:val="en-GB"/>
        </w:rPr>
        <w:t>lex domicilii</w:t>
      </w:r>
      <w:r w:rsidRPr="001A4315">
        <w:rPr>
          <w:rFonts w:ascii="Avenir Next" w:hAnsi="Avenir Next" w:cs="Arial"/>
          <w:sz w:val="22"/>
          <w:szCs w:val="22"/>
          <w:highlight w:val="yellow"/>
          <w:lang w:val="en-GB"/>
        </w:rPr>
        <w:t>).</w:t>
      </w:r>
    </w:p>
    <w:p w14:paraId="1DF3E155" w14:textId="77777777" w:rsidR="00AC7550" w:rsidRPr="00B87DBA"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r w:rsidRPr="00B87DBA">
        <w:rPr>
          <w:rFonts w:ascii="Avenir Next" w:hAnsi="Avenir Next" w:cs="Arial"/>
          <w:i/>
          <w:iCs/>
          <w:sz w:val="22"/>
          <w:szCs w:val="22"/>
          <w:lang w:val="en-GB"/>
        </w:rPr>
        <w:t>lex domicilii</w:t>
      </w:r>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2196AB4B" w:rsidR="00BB0E4B"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2C361E2F" w14:textId="3330C4EC" w:rsidR="00592407" w:rsidRDefault="00592407" w:rsidP="00BB0E4B">
      <w:pPr>
        <w:jc w:val="both"/>
        <w:rPr>
          <w:rFonts w:ascii="Avenir Next" w:hAnsi="Avenir Next" w:cs="Arial"/>
          <w:sz w:val="22"/>
          <w:szCs w:val="22"/>
          <w:lang w:val="en-GB"/>
        </w:rPr>
      </w:pPr>
    </w:p>
    <w:p w14:paraId="70FF4F06" w14:textId="730C99B2" w:rsidR="00592407" w:rsidRDefault="006F3B8B" w:rsidP="006F3B8B">
      <w:pPr>
        <w:pStyle w:val="ListParagraph"/>
        <w:numPr>
          <w:ilvl w:val="0"/>
          <w:numId w:val="34"/>
        </w:numPr>
        <w:jc w:val="both"/>
        <w:rPr>
          <w:rFonts w:ascii="Arial" w:hAnsi="Arial" w:cs="Arial"/>
          <w:sz w:val="24"/>
          <w:lang w:val="en-GB"/>
        </w:rPr>
      </w:pPr>
      <w:r>
        <w:rPr>
          <w:rFonts w:ascii="Arial" w:hAnsi="Arial" w:cs="Arial"/>
          <w:sz w:val="24"/>
          <w:lang w:val="en-GB"/>
        </w:rPr>
        <w:t>Criminal proceedings against the Company, its directors or officers;</w:t>
      </w:r>
    </w:p>
    <w:p w14:paraId="4571477C" w14:textId="10386DCF" w:rsidR="006F3B8B" w:rsidRDefault="006F3B8B" w:rsidP="006F3B8B">
      <w:pPr>
        <w:pStyle w:val="ListParagraph"/>
        <w:numPr>
          <w:ilvl w:val="0"/>
          <w:numId w:val="34"/>
        </w:numPr>
        <w:jc w:val="both"/>
        <w:rPr>
          <w:rFonts w:ascii="Arial" w:hAnsi="Arial" w:cs="Arial"/>
          <w:sz w:val="24"/>
          <w:lang w:val="en-GB"/>
        </w:rPr>
      </w:pPr>
      <w:r>
        <w:rPr>
          <w:rFonts w:ascii="Arial" w:hAnsi="Arial" w:cs="Arial"/>
          <w:sz w:val="24"/>
          <w:lang w:val="en-GB"/>
        </w:rPr>
        <w:t>Proceedings brought against the company by a regulatory authority in the performance of its duties.</w:t>
      </w:r>
    </w:p>
    <w:p w14:paraId="5FD95100" w14:textId="21A86FCF" w:rsidR="006F3B8B" w:rsidRPr="006F3B8B" w:rsidRDefault="006F3B8B" w:rsidP="006F3B8B">
      <w:pPr>
        <w:pStyle w:val="ListParagraph"/>
        <w:numPr>
          <w:ilvl w:val="0"/>
          <w:numId w:val="34"/>
        </w:numPr>
        <w:jc w:val="both"/>
        <w:rPr>
          <w:rFonts w:ascii="Arial" w:hAnsi="Arial" w:cs="Arial"/>
          <w:sz w:val="24"/>
          <w:lang w:val="en-GB"/>
        </w:rPr>
      </w:pPr>
      <w:r>
        <w:rPr>
          <w:rFonts w:ascii="Arial" w:hAnsi="Arial" w:cs="Arial"/>
          <w:sz w:val="24"/>
          <w:lang w:val="en-GB"/>
        </w:rPr>
        <w:t>Proceedings relating to property or a right where the company exercises the powers of a trustee.</w:t>
      </w:r>
    </w:p>
    <w:p w14:paraId="37EFC647" w14:textId="349D939D" w:rsidR="00C61146" w:rsidRPr="00B87DBA" w:rsidRDefault="00C61146" w:rsidP="00E9426A">
      <w:pPr>
        <w:jc w:val="both"/>
        <w:rPr>
          <w:rFonts w:ascii="Avenir Next" w:hAnsi="Avenir Next" w:cs="Arial"/>
          <w:sz w:val="22"/>
          <w:szCs w:val="22"/>
          <w:lang w:val="en-GB"/>
        </w:rPr>
      </w:pP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Costs of sequestration;</w:t>
      </w:r>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Funeral expenses;</w:t>
      </w:r>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Income tax;</w:t>
      </w:r>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Claim secured by a general bond;</w:t>
      </w:r>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020B7AE0"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0D759BA6" w14:textId="5019022C" w:rsidR="00A67FBE" w:rsidRDefault="00A67FBE" w:rsidP="00A67FBE">
      <w:pPr>
        <w:widowControl w:val="0"/>
        <w:tabs>
          <w:tab w:val="left" w:pos="-1440"/>
        </w:tabs>
        <w:autoSpaceDE w:val="0"/>
        <w:autoSpaceDN w:val="0"/>
        <w:adjustRightInd w:val="0"/>
        <w:jc w:val="both"/>
        <w:rPr>
          <w:rFonts w:ascii="Avenir Next" w:hAnsi="Avenir Next" w:cs="Arial"/>
          <w:iCs/>
          <w:sz w:val="22"/>
          <w:szCs w:val="22"/>
        </w:rPr>
      </w:pPr>
    </w:p>
    <w:p w14:paraId="6A753483" w14:textId="77777777" w:rsidR="00A67FBE" w:rsidRDefault="00A67FBE" w:rsidP="00A67FBE">
      <w:pPr>
        <w:widowControl w:val="0"/>
        <w:tabs>
          <w:tab w:val="left" w:pos="-1440"/>
        </w:tabs>
        <w:autoSpaceDE w:val="0"/>
        <w:autoSpaceDN w:val="0"/>
        <w:adjustRightInd w:val="0"/>
        <w:jc w:val="both"/>
        <w:rPr>
          <w:rFonts w:ascii="Avenir Next" w:hAnsi="Avenir Next" w:cs="Arial"/>
          <w:iCs/>
          <w:sz w:val="22"/>
          <w:szCs w:val="22"/>
        </w:rPr>
      </w:pPr>
    </w:p>
    <w:p w14:paraId="6F69E5C8" w14:textId="2D05BC64" w:rsidR="00A67FBE" w:rsidRPr="00A67FBE" w:rsidRDefault="00A67FBE" w:rsidP="00A67FBE">
      <w:pPr>
        <w:widowControl w:val="0"/>
        <w:tabs>
          <w:tab w:val="left" w:pos="-1440"/>
        </w:tabs>
        <w:autoSpaceDE w:val="0"/>
        <w:autoSpaceDN w:val="0"/>
        <w:adjustRightInd w:val="0"/>
        <w:jc w:val="both"/>
        <w:rPr>
          <w:rFonts w:ascii="Arial" w:hAnsi="Arial" w:cs="Arial"/>
          <w:iCs/>
          <w:sz w:val="24"/>
        </w:rPr>
      </w:pPr>
      <w:r>
        <w:rPr>
          <w:rFonts w:ascii="Arial" w:hAnsi="Arial" w:cs="Arial"/>
          <w:iCs/>
          <w:sz w:val="24"/>
        </w:rPr>
        <w:t>( b ), ( a ), ( e ), ( c ), ( d ).</w:t>
      </w:r>
    </w:p>
    <w:p w14:paraId="52870058" w14:textId="21CE64C0" w:rsidR="001A2205" w:rsidRPr="00B87DBA" w:rsidRDefault="001A2205" w:rsidP="0001050B">
      <w:pPr>
        <w:jc w:val="both"/>
        <w:rPr>
          <w:rFonts w:ascii="Avenir Next" w:hAnsi="Avenir Next" w:cs="Arial"/>
          <w:sz w:val="22"/>
          <w:szCs w:val="22"/>
          <w:lang w:val="en-GB"/>
        </w:rPr>
      </w:pPr>
    </w:p>
    <w:p w14:paraId="32129224" w14:textId="77777777" w:rsidR="00A67FBE" w:rsidRDefault="00A67FBE" w:rsidP="007B1B85">
      <w:pPr>
        <w:pStyle w:val="INSOLstyleheading4"/>
        <w:rPr>
          <w:rFonts w:ascii="Avenir Next Demi Bold" w:hAnsi="Avenir Next Demi Bold"/>
          <w:iCs w:val="0"/>
        </w:rPr>
      </w:pPr>
      <w:bookmarkStart w:id="0" w:name="_Hlk17709135"/>
    </w:p>
    <w:p w14:paraId="060CC273" w14:textId="4F3B5401"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Below is an extract from the business rescue plan of Mapochs Mine Proprietary Limited (Mapochs),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31C0FBF"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With reference to the above extract, how and by whom would the joint business rescue practitioners (referred to in the extract above as “BRPs”) have been appointed?</w:t>
      </w:r>
    </w:p>
    <w:p w14:paraId="7694F297" w14:textId="4B2B93C0" w:rsidR="006C06C8" w:rsidRDefault="006C06C8" w:rsidP="007B1B85">
      <w:pPr>
        <w:jc w:val="both"/>
        <w:rPr>
          <w:rFonts w:ascii="Avenir Next" w:hAnsi="Avenir Next" w:cs="Arial"/>
          <w:sz w:val="22"/>
          <w:szCs w:val="22"/>
          <w:lang w:val="en-GB"/>
        </w:rPr>
      </w:pPr>
    </w:p>
    <w:p w14:paraId="61D00131" w14:textId="0E93324B" w:rsidR="006C06C8" w:rsidRPr="006C06C8" w:rsidRDefault="006C06C8" w:rsidP="007B1B85">
      <w:pPr>
        <w:jc w:val="both"/>
        <w:rPr>
          <w:rFonts w:ascii="Arial" w:hAnsi="Arial" w:cs="Arial"/>
          <w:sz w:val="24"/>
          <w:lang w:val="en-GB"/>
        </w:rPr>
      </w:pPr>
      <w:r>
        <w:rPr>
          <w:rFonts w:ascii="Arial" w:hAnsi="Arial" w:cs="Arial"/>
          <w:sz w:val="24"/>
          <w:lang w:val="en-GB"/>
        </w:rPr>
        <w:t>The joint business rescue practitioners would have been appointed by a board resolution</w:t>
      </w:r>
      <w:r w:rsidR="006D63D0">
        <w:rPr>
          <w:rFonts w:ascii="Arial" w:hAnsi="Arial" w:cs="Arial"/>
          <w:sz w:val="24"/>
          <w:lang w:val="en-GB"/>
        </w:rPr>
        <w:t xml:space="preserve"> passed and adopted by the directors o</w:t>
      </w:r>
      <w:r>
        <w:rPr>
          <w:rFonts w:ascii="Arial" w:hAnsi="Arial" w:cs="Arial"/>
          <w:sz w:val="24"/>
          <w:lang w:val="en-GB"/>
        </w:rPr>
        <w:t>f Mapochs filed with the Companies and Intellectual</w:t>
      </w:r>
      <w:r w:rsidR="006D63D0">
        <w:rPr>
          <w:rFonts w:ascii="Arial" w:hAnsi="Arial" w:cs="Arial"/>
          <w:sz w:val="24"/>
          <w:lang w:val="en-GB"/>
        </w:rPr>
        <w:t xml:space="preserve"> Property Commission (CIPC). The company would have commenced voluntary business rescue proceedings by filing the resolution, upon reasonable grounds to believe that there appears to be a reasonable prospect of rescuing the company.</w:t>
      </w:r>
      <w:r>
        <w:rPr>
          <w:rFonts w:ascii="Arial" w:hAnsi="Arial" w:cs="Arial"/>
          <w:sz w:val="24"/>
          <w:lang w:val="en-GB"/>
        </w:rPr>
        <w:t xml:space="preserve">  </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121F5EA3" w:rsidR="00514451" w:rsidRPr="008E79A7" w:rsidRDefault="00514451" w:rsidP="00514451">
      <w:pPr>
        <w:jc w:val="both"/>
        <w:rPr>
          <w:rFonts w:ascii="Avenir Next" w:hAnsi="Avenir Next" w:cs="Arial"/>
          <w:color w:val="808080" w:themeColor="background1" w:themeShade="80"/>
          <w:sz w:val="22"/>
          <w:szCs w:val="22"/>
          <w:lang w:val="en-GB"/>
        </w:rPr>
      </w:pPr>
    </w:p>
    <w:p w14:paraId="5C5A3E74" w14:textId="4609B732" w:rsidR="00E90971" w:rsidRDefault="00E90971" w:rsidP="0001050B">
      <w:pPr>
        <w:rPr>
          <w:rFonts w:ascii="Avenir Next" w:hAnsi="Avenir Next" w:cs="Arial"/>
          <w:bCs/>
          <w:color w:val="000000" w:themeColor="text1"/>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lastRenderedPageBreak/>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78600125" w:rsidR="00F93E2A" w:rsidRDefault="00F93E2A" w:rsidP="009F5B42">
      <w:pPr>
        <w:spacing w:line="276" w:lineRule="auto"/>
        <w:jc w:val="both"/>
        <w:rPr>
          <w:rFonts w:ascii="Avenir Next" w:eastAsia="Calibri" w:hAnsi="Avenir Next" w:cs="Arial"/>
          <w:sz w:val="22"/>
          <w:szCs w:val="22"/>
          <w:lang w:val="en-ZA"/>
        </w:rPr>
      </w:pPr>
    </w:p>
    <w:p w14:paraId="1618E4FA" w14:textId="1F2CA82F" w:rsidR="001A00C7" w:rsidRDefault="00D30120" w:rsidP="009F5B42">
      <w:pPr>
        <w:spacing w:line="276" w:lineRule="auto"/>
        <w:jc w:val="both"/>
        <w:rPr>
          <w:rFonts w:ascii="Arial" w:eastAsia="Calibri" w:hAnsi="Arial" w:cs="Arial"/>
          <w:sz w:val="24"/>
          <w:lang w:val="en-ZA"/>
        </w:rPr>
      </w:pPr>
      <w:r>
        <w:rPr>
          <w:rFonts w:ascii="Arial" w:eastAsia="Calibri" w:hAnsi="Arial" w:cs="Arial"/>
          <w:sz w:val="24"/>
          <w:lang w:val="en-ZA"/>
        </w:rPr>
        <w:t xml:space="preserve">Executory contracts in liquidation are treated in much the same way as in </w:t>
      </w:r>
      <w:r w:rsidR="00906E8C">
        <w:rPr>
          <w:rFonts w:ascii="Arial" w:eastAsia="Calibri" w:hAnsi="Arial" w:cs="Arial"/>
          <w:sz w:val="24"/>
          <w:lang w:val="en-ZA"/>
        </w:rPr>
        <w:t>sequestration</w:t>
      </w:r>
      <w:r>
        <w:rPr>
          <w:rFonts w:ascii="Arial" w:eastAsia="Calibri" w:hAnsi="Arial" w:cs="Arial"/>
          <w:sz w:val="24"/>
          <w:lang w:val="en-ZA"/>
        </w:rPr>
        <w:t xml:space="preserve"> in terms of the Insolvency Act. Executory contracts are regulated by the common law</w:t>
      </w:r>
      <w:r w:rsidR="00461A4C">
        <w:rPr>
          <w:rFonts w:ascii="Arial" w:eastAsia="Calibri" w:hAnsi="Arial" w:cs="Arial"/>
          <w:sz w:val="24"/>
          <w:lang w:val="en-ZA"/>
        </w:rPr>
        <w:t>. If the company is a party to an executory contract at the time of its liquidation, and the other party’s performance is outstanding, the liquidator can enforce performance as it is seen as an asset to the estate.</w:t>
      </w:r>
      <w:r w:rsidR="00FE3F05">
        <w:rPr>
          <w:rFonts w:ascii="Arial" w:eastAsia="Calibri" w:hAnsi="Arial" w:cs="Arial"/>
          <w:sz w:val="24"/>
          <w:lang w:val="en-ZA"/>
        </w:rPr>
        <w:t xml:space="preserve"> If the company’s performance under the executory contract is </w:t>
      </w:r>
      <w:r w:rsidR="00B578B8">
        <w:rPr>
          <w:rFonts w:ascii="Arial" w:eastAsia="Calibri" w:hAnsi="Arial" w:cs="Arial"/>
          <w:sz w:val="24"/>
          <w:lang w:val="en-ZA"/>
        </w:rPr>
        <w:t>due</w:t>
      </w:r>
      <w:r w:rsidR="00FE3F05">
        <w:rPr>
          <w:rFonts w:ascii="Arial" w:eastAsia="Calibri" w:hAnsi="Arial" w:cs="Arial"/>
          <w:sz w:val="24"/>
          <w:lang w:val="en-ZA"/>
        </w:rPr>
        <w:t>, the liquidator may elect to abide or reject the contract.</w:t>
      </w:r>
      <w:r w:rsidR="006D66C3">
        <w:rPr>
          <w:rFonts w:ascii="Arial" w:eastAsia="Calibri" w:hAnsi="Arial" w:cs="Arial"/>
          <w:sz w:val="24"/>
          <w:lang w:val="en-ZA"/>
        </w:rPr>
        <w:t xml:space="preserve"> Before electing, the liquidator must obtain the prior approval of the creditors.</w:t>
      </w:r>
    </w:p>
    <w:p w14:paraId="0B98D77A" w14:textId="018F0E2F" w:rsidR="006D66C3" w:rsidRDefault="006D66C3" w:rsidP="009F5B42">
      <w:pPr>
        <w:spacing w:line="276" w:lineRule="auto"/>
        <w:jc w:val="both"/>
        <w:rPr>
          <w:rFonts w:ascii="Arial" w:eastAsia="Calibri" w:hAnsi="Arial" w:cs="Arial"/>
          <w:sz w:val="24"/>
          <w:lang w:val="en-ZA"/>
        </w:rPr>
      </w:pPr>
    </w:p>
    <w:p w14:paraId="1FF9DC1D" w14:textId="77777777" w:rsidR="00CE2198" w:rsidRDefault="006D66C3" w:rsidP="009F5B42">
      <w:pPr>
        <w:spacing w:line="276" w:lineRule="auto"/>
        <w:jc w:val="both"/>
        <w:rPr>
          <w:rFonts w:ascii="Arial" w:eastAsia="Calibri" w:hAnsi="Arial" w:cs="Arial"/>
          <w:sz w:val="24"/>
          <w:lang w:val="en-ZA"/>
        </w:rPr>
      </w:pPr>
      <w:r>
        <w:rPr>
          <w:rFonts w:ascii="Arial" w:eastAsia="Calibri" w:hAnsi="Arial" w:cs="Arial"/>
          <w:sz w:val="24"/>
          <w:lang w:val="en-ZA"/>
        </w:rPr>
        <w:t>Where the liquidator elects to reject performance by the company in liquidation, the other party may rely on legal remedies for breach of contract like damages. The other party is not entitled to claim specific performance.</w:t>
      </w:r>
      <w:r w:rsidR="00CE2198">
        <w:rPr>
          <w:rFonts w:ascii="Arial" w:eastAsia="Calibri" w:hAnsi="Arial" w:cs="Arial"/>
          <w:sz w:val="24"/>
          <w:lang w:val="en-ZA"/>
        </w:rPr>
        <w:t xml:space="preserve"> The exceptions to the right of election by the liquidator are in the following cases;</w:t>
      </w:r>
    </w:p>
    <w:p w14:paraId="300D6C57" w14:textId="77777777" w:rsidR="00CE2198" w:rsidRDefault="00CE2198" w:rsidP="009F5B42">
      <w:pPr>
        <w:spacing w:line="276" w:lineRule="auto"/>
        <w:jc w:val="both"/>
        <w:rPr>
          <w:rFonts w:ascii="Arial" w:eastAsia="Calibri" w:hAnsi="Arial" w:cs="Arial"/>
          <w:sz w:val="24"/>
          <w:lang w:val="en-ZA"/>
        </w:rPr>
      </w:pPr>
    </w:p>
    <w:p w14:paraId="681FD0A7" w14:textId="368DD236" w:rsidR="006D66C3" w:rsidRDefault="00CE2198" w:rsidP="00CE2198">
      <w:pPr>
        <w:pStyle w:val="ListParagraph"/>
        <w:numPr>
          <w:ilvl w:val="0"/>
          <w:numId w:val="35"/>
        </w:numPr>
        <w:spacing w:line="276" w:lineRule="auto"/>
        <w:jc w:val="both"/>
        <w:rPr>
          <w:rFonts w:ascii="Arial" w:eastAsia="Calibri" w:hAnsi="Arial" w:cs="Arial"/>
          <w:sz w:val="24"/>
          <w:lang w:val="en-ZA"/>
        </w:rPr>
      </w:pPr>
      <w:r>
        <w:rPr>
          <w:rFonts w:ascii="Arial" w:eastAsia="Calibri" w:hAnsi="Arial" w:cs="Arial"/>
          <w:sz w:val="24"/>
          <w:lang w:val="en-ZA"/>
        </w:rPr>
        <w:t>Under the Alienation of Land Act 68 of 1981, the liquidator must authorise transfer of ownership of land to a purchaser if the following conditions are met namely;</w:t>
      </w:r>
    </w:p>
    <w:p w14:paraId="79C62BB8" w14:textId="07377D50" w:rsidR="00CE2198" w:rsidRDefault="00E73A5D" w:rsidP="00E73A5D">
      <w:pPr>
        <w:pStyle w:val="ListParagraph"/>
        <w:numPr>
          <w:ilvl w:val="0"/>
          <w:numId w:val="36"/>
        </w:numPr>
        <w:spacing w:line="276" w:lineRule="auto"/>
        <w:jc w:val="both"/>
        <w:rPr>
          <w:rFonts w:ascii="Arial" w:eastAsia="Calibri" w:hAnsi="Arial" w:cs="Arial"/>
          <w:sz w:val="24"/>
          <w:lang w:val="en-ZA"/>
        </w:rPr>
      </w:pPr>
      <w:r>
        <w:rPr>
          <w:rFonts w:ascii="Arial" w:eastAsia="Calibri" w:hAnsi="Arial" w:cs="Arial"/>
          <w:sz w:val="24"/>
          <w:lang w:val="en-ZA"/>
        </w:rPr>
        <w:t>The purchase price is to be paid in two or more instalments,</w:t>
      </w:r>
    </w:p>
    <w:p w14:paraId="76CF0BD3" w14:textId="6D5E1FDB" w:rsidR="00E73A5D" w:rsidRDefault="00E73A5D" w:rsidP="00E73A5D">
      <w:pPr>
        <w:pStyle w:val="ListParagraph"/>
        <w:numPr>
          <w:ilvl w:val="0"/>
          <w:numId w:val="36"/>
        </w:numPr>
        <w:spacing w:line="276" w:lineRule="auto"/>
        <w:jc w:val="both"/>
        <w:rPr>
          <w:rFonts w:ascii="Arial" w:eastAsia="Calibri" w:hAnsi="Arial" w:cs="Arial"/>
          <w:sz w:val="24"/>
          <w:lang w:val="en-ZA"/>
        </w:rPr>
      </w:pPr>
      <w:r>
        <w:rPr>
          <w:rFonts w:ascii="Arial" w:eastAsia="Calibri" w:hAnsi="Arial" w:cs="Arial"/>
          <w:sz w:val="24"/>
          <w:lang w:val="en-ZA"/>
        </w:rPr>
        <w:t>The land must be used for residential purposes,</w:t>
      </w:r>
    </w:p>
    <w:p w14:paraId="4EF90B8B" w14:textId="5B6FCE7D" w:rsidR="00E73A5D" w:rsidRDefault="00E73A5D" w:rsidP="00E73A5D">
      <w:pPr>
        <w:pStyle w:val="ListParagraph"/>
        <w:numPr>
          <w:ilvl w:val="0"/>
          <w:numId w:val="36"/>
        </w:numPr>
        <w:spacing w:line="276" w:lineRule="auto"/>
        <w:jc w:val="both"/>
        <w:rPr>
          <w:rFonts w:ascii="Arial" w:eastAsia="Calibri" w:hAnsi="Arial" w:cs="Arial"/>
          <w:sz w:val="24"/>
          <w:lang w:val="en-ZA"/>
        </w:rPr>
      </w:pPr>
      <w:r>
        <w:rPr>
          <w:rFonts w:ascii="Arial" w:eastAsia="Calibri" w:hAnsi="Arial" w:cs="Arial"/>
          <w:sz w:val="24"/>
          <w:lang w:val="en-ZA"/>
        </w:rPr>
        <w:t>The land must be capable of registration in the Deeds Office,</w:t>
      </w:r>
    </w:p>
    <w:p w14:paraId="1CEA15D6" w14:textId="77777777" w:rsidR="00E73A5D" w:rsidRDefault="00E73A5D" w:rsidP="00E73A5D">
      <w:pPr>
        <w:pStyle w:val="ListParagraph"/>
        <w:numPr>
          <w:ilvl w:val="0"/>
          <w:numId w:val="36"/>
        </w:numPr>
        <w:spacing w:line="276" w:lineRule="auto"/>
        <w:jc w:val="both"/>
        <w:rPr>
          <w:rFonts w:ascii="Arial" w:eastAsia="Calibri" w:hAnsi="Arial" w:cs="Arial"/>
          <w:sz w:val="24"/>
          <w:lang w:val="en-ZA"/>
        </w:rPr>
      </w:pPr>
      <w:r>
        <w:rPr>
          <w:rFonts w:ascii="Arial" w:eastAsia="Calibri" w:hAnsi="Arial" w:cs="Arial"/>
          <w:sz w:val="24"/>
          <w:lang w:val="en-ZA"/>
        </w:rPr>
        <w:t>The contract of sale must be captured in the Deeds Office by way of endorsement on the title deed</w:t>
      </w:r>
    </w:p>
    <w:p w14:paraId="18D1178F" w14:textId="4E46DC20" w:rsidR="00E73A5D" w:rsidRDefault="00E73A5D" w:rsidP="00E73A5D">
      <w:pPr>
        <w:pStyle w:val="ListParagraph"/>
        <w:numPr>
          <w:ilvl w:val="0"/>
          <w:numId w:val="36"/>
        </w:numPr>
        <w:spacing w:line="276" w:lineRule="auto"/>
        <w:jc w:val="both"/>
        <w:rPr>
          <w:rFonts w:ascii="Arial" w:eastAsia="Calibri" w:hAnsi="Arial" w:cs="Arial"/>
          <w:sz w:val="24"/>
          <w:lang w:val="en-ZA"/>
        </w:rPr>
      </w:pPr>
      <w:r>
        <w:rPr>
          <w:rFonts w:ascii="Arial" w:eastAsia="Calibri" w:hAnsi="Arial" w:cs="Arial"/>
          <w:sz w:val="24"/>
          <w:lang w:val="en-ZA"/>
        </w:rPr>
        <w:t>Payment of transfer and other costs must be effected.</w:t>
      </w:r>
    </w:p>
    <w:p w14:paraId="776051A7" w14:textId="77777777" w:rsidR="00F97DFD" w:rsidRDefault="00F97DFD" w:rsidP="00F97DFD">
      <w:pPr>
        <w:pStyle w:val="ListParagraph"/>
        <w:spacing w:line="276" w:lineRule="auto"/>
        <w:ind w:left="790"/>
        <w:jc w:val="both"/>
        <w:rPr>
          <w:rFonts w:ascii="Arial" w:eastAsia="Calibri" w:hAnsi="Arial" w:cs="Arial"/>
          <w:sz w:val="24"/>
          <w:lang w:val="en-ZA"/>
        </w:rPr>
      </w:pPr>
    </w:p>
    <w:p w14:paraId="601B0313" w14:textId="452979F1" w:rsidR="00F97DFD" w:rsidRDefault="00D719F9" w:rsidP="00D719F9">
      <w:pPr>
        <w:pStyle w:val="ListParagraph"/>
        <w:numPr>
          <w:ilvl w:val="0"/>
          <w:numId w:val="35"/>
        </w:numPr>
        <w:spacing w:line="276" w:lineRule="auto"/>
        <w:jc w:val="both"/>
        <w:rPr>
          <w:rFonts w:ascii="Arial" w:eastAsia="Calibri" w:hAnsi="Arial" w:cs="Arial"/>
          <w:sz w:val="24"/>
          <w:lang w:val="en-ZA"/>
        </w:rPr>
      </w:pPr>
      <w:r>
        <w:rPr>
          <w:rFonts w:ascii="Arial" w:eastAsia="Calibri" w:hAnsi="Arial" w:cs="Arial"/>
          <w:sz w:val="24"/>
          <w:lang w:val="en-ZA"/>
        </w:rPr>
        <w:t xml:space="preserve">Under s. 36 of the Insolvency Act, if the company goes into liquidation before it pays the purchase price but after it takes delivery of moveable property, the seller </w:t>
      </w:r>
      <w:r w:rsidR="00F1622B">
        <w:rPr>
          <w:rFonts w:ascii="Arial" w:eastAsia="Calibri" w:hAnsi="Arial" w:cs="Arial"/>
          <w:sz w:val="24"/>
          <w:lang w:val="en-ZA"/>
        </w:rPr>
        <w:t>may reclaim the property if he gives written notice to the purchaser</w:t>
      </w:r>
      <w:r w:rsidR="00FD2077">
        <w:rPr>
          <w:rFonts w:ascii="Arial" w:eastAsia="Calibri" w:hAnsi="Arial" w:cs="Arial"/>
          <w:sz w:val="24"/>
          <w:lang w:val="en-ZA"/>
        </w:rPr>
        <w:t xml:space="preserve"> or trustee or Master within 10 days of delivery thereof that he claims the property. This provision was designed to protect innocent sellers who deliver goods to debtors shortly before bankruptcy  as long as they acted promptly.</w:t>
      </w:r>
    </w:p>
    <w:p w14:paraId="6337D935" w14:textId="77777777" w:rsidR="00F97DFD" w:rsidRDefault="00F97DFD" w:rsidP="00F97DFD">
      <w:pPr>
        <w:pStyle w:val="ListParagraph"/>
        <w:spacing w:line="276" w:lineRule="auto"/>
        <w:ind w:left="790"/>
        <w:jc w:val="both"/>
        <w:rPr>
          <w:rFonts w:ascii="Arial" w:eastAsia="Calibri" w:hAnsi="Arial" w:cs="Arial"/>
          <w:sz w:val="24"/>
          <w:lang w:val="en-ZA"/>
        </w:rPr>
      </w:pPr>
    </w:p>
    <w:p w14:paraId="44A92D75" w14:textId="64EF0D97" w:rsidR="00DD2FFB" w:rsidRDefault="00F97DFD" w:rsidP="00D719F9">
      <w:pPr>
        <w:pStyle w:val="ListParagraph"/>
        <w:numPr>
          <w:ilvl w:val="0"/>
          <w:numId w:val="35"/>
        </w:numPr>
        <w:spacing w:line="276" w:lineRule="auto"/>
        <w:jc w:val="both"/>
        <w:rPr>
          <w:rFonts w:ascii="Arial" w:eastAsia="Calibri" w:hAnsi="Arial" w:cs="Arial"/>
          <w:sz w:val="24"/>
          <w:lang w:val="en-ZA"/>
        </w:rPr>
      </w:pPr>
      <w:r>
        <w:rPr>
          <w:rFonts w:ascii="Arial" w:eastAsia="Calibri" w:hAnsi="Arial" w:cs="Arial"/>
          <w:sz w:val="24"/>
          <w:lang w:val="en-ZA"/>
        </w:rPr>
        <w:t>Under instalment sale agreements</w:t>
      </w:r>
      <w:r w:rsidR="00DD2FFB">
        <w:rPr>
          <w:rFonts w:ascii="Arial" w:eastAsia="Calibri" w:hAnsi="Arial" w:cs="Arial"/>
          <w:sz w:val="24"/>
          <w:lang w:val="en-ZA"/>
        </w:rPr>
        <w:t xml:space="preserve"> where a company</w:t>
      </w:r>
      <w:r w:rsidR="00B578B8">
        <w:rPr>
          <w:rFonts w:ascii="Arial" w:eastAsia="Calibri" w:hAnsi="Arial" w:cs="Arial"/>
          <w:sz w:val="24"/>
          <w:lang w:val="en-ZA"/>
        </w:rPr>
        <w:t xml:space="preserve"> is liquidated before </w:t>
      </w:r>
      <w:r w:rsidR="00DD2FFB">
        <w:rPr>
          <w:rFonts w:ascii="Arial" w:eastAsia="Calibri" w:hAnsi="Arial" w:cs="Arial"/>
          <w:sz w:val="24"/>
          <w:lang w:val="en-ZA"/>
        </w:rPr>
        <w:t>performance is due, the seller acquires a hypothec over the goods subject to the agreement. Liquidation causes ownership of the goods to pas</w:t>
      </w:r>
      <w:r w:rsidR="00C418CF">
        <w:rPr>
          <w:rFonts w:ascii="Arial" w:eastAsia="Calibri" w:hAnsi="Arial" w:cs="Arial"/>
          <w:sz w:val="24"/>
          <w:lang w:val="en-ZA"/>
        </w:rPr>
        <w:t>s</w:t>
      </w:r>
      <w:r w:rsidR="00DD2FFB">
        <w:rPr>
          <w:rFonts w:ascii="Arial" w:eastAsia="Calibri" w:hAnsi="Arial" w:cs="Arial"/>
          <w:sz w:val="24"/>
          <w:lang w:val="en-ZA"/>
        </w:rPr>
        <w:t xml:space="preserve"> to the insolvent estate.</w:t>
      </w:r>
    </w:p>
    <w:p w14:paraId="2941AEFB" w14:textId="77777777" w:rsidR="00DD2FFB" w:rsidRPr="00DD2FFB" w:rsidRDefault="00DD2FFB" w:rsidP="00DD2FFB">
      <w:pPr>
        <w:pStyle w:val="ListParagraph"/>
        <w:rPr>
          <w:rFonts w:ascii="Arial" w:eastAsia="Calibri" w:hAnsi="Arial" w:cs="Arial"/>
          <w:sz w:val="24"/>
          <w:lang w:val="en-ZA"/>
        </w:rPr>
      </w:pPr>
    </w:p>
    <w:p w14:paraId="2893DF78" w14:textId="77777777" w:rsidR="005D7406" w:rsidRDefault="00DD2FFB" w:rsidP="00D719F9">
      <w:pPr>
        <w:pStyle w:val="ListParagraph"/>
        <w:numPr>
          <w:ilvl w:val="0"/>
          <w:numId w:val="35"/>
        </w:numPr>
        <w:spacing w:line="276" w:lineRule="auto"/>
        <w:jc w:val="both"/>
        <w:rPr>
          <w:rFonts w:ascii="Arial" w:eastAsia="Calibri" w:hAnsi="Arial" w:cs="Arial"/>
          <w:sz w:val="24"/>
          <w:lang w:val="en-ZA"/>
        </w:rPr>
      </w:pPr>
      <w:r>
        <w:rPr>
          <w:rFonts w:ascii="Arial" w:eastAsia="Calibri" w:hAnsi="Arial" w:cs="Arial"/>
          <w:sz w:val="24"/>
          <w:lang w:val="en-ZA"/>
        </w:rPr>
        <w:t xml:space="preserve">In terms of lease agreements, when the estate of the lessee </w:t>
      </w:r>
      <w:r w:rsidR="005D7406">
        <w:rPr>
          <w:rFonts w:ascii="Arial" w:eastAsia="Calibri" w:hAnsi="Arial" w:cs="Arial"/>
          <w:sz w:val="24"/>
          <w:lang w:val="en-ZA"/>
        </w:rPr>
        <w:t xml:space="preserve">of moveable or immoveable property is sequestrated, the liquidator may immediately cancel the lease by written notice. The lessor would have a concurrent claim for damages arising as a result of the cancellation. The lessor in addition also has </w:t>
      </w:r>
      <w:r w:rsidR="005D7406">
        <w:rPr>
          <w:rFonts w:ascii="Arial" w:eastAsia="Calibri" w:hAnsi="Arial" w:cs="Arial"/>
          <w:sz w:val="24"/>
          <w:lang w:val="en-ZA"/>
        </w:rPr>
        <w:lastRenderedPageBreak/>
        <w:t xml:space="preserve">a hypothec over immoveable property brought onto the premises for any arrear rental that accrued before the winding up order. </w:t>
      </w:r>
    </w:p>
    <w:p w14:paraId="4BF0CDCB" w14:textId="77777777" w:rsidR="005D7406" w:rsidRPr="005D7406" w:rsidRDefault="005D7406" w:rsidP="005D7406">
      <w:pPr>
        <w:pStyle w:val="ListParagraph"/>
        <w:rPr>
          <w:rFonts w:ascii="Arial" w:eastAsia="Calibri" w:hAnsi="Arial" w:cs="Arial"/>
          <w:sz w:val="24"/>
          <w:lang w:val="en-ZA"/>
        </w:rPr>
      </w:pPr>
    </w:p>
    <w:p w14:paraId="4FDCB059" w14:textId="5ECD900D" w:rsidR="00777971" w:rsidRDefault="005D7406" w:rsidP="005D7406">
      <w:pPr>
        <w:pStyle w:val="ListParagraph"/>
        <w:spacing w:line="276" w:lineRule="auto"/>
        <w:ind w:left="790"/>
        <w:jc w:val="both"/>
        <w:rPr>
          <w:rFonts w:ascii="Arial" w:eastAsia="Calibri" w:hAnsi="Arial" w:cs="Arial"/>
          <w:sz w:val="24"/>
          <w:lang w:val="en-ZA"/>
        </w:rPr>
      </w:pPr>
      <w:r>
        <w:rPr>
          <w:rFonts w:ascii="Arial" w:eastAsia="Calibri" w:hAnsi="Arial" w:cs="Arial"/>
          <w:sz w:val="24"/>
          <w:lang w:val="en-ZA"/>
        </w:rPr>
        <w:t>In the case of the lessor’s estate being liquidated, with respect to immoveable property, the principle of “lease comes before a sale”, (</w:t>
      </w:r>
      <w:r>
        <w:rPr>
          <w:rFonts w:ascii="Arial" w:eastAsia="Calibri" w:hAnsi="Arial" w:cs="Arial"/>
          <w:i/>
          <w:sz w:val="24"/>
          <w:lang w:val="en-ZA"/>
        </w:rPr>
        <w:t xml:space="preserve">huur gaat voor) </w:t>
      </w:r>
      <w:r>
        <w:rPr>
          <w:rFonts w:ascii="Arial" w:eastAsia="Calibri" w:hAnsi="Arial" w:cs="Arial"/>
          <w:sz w:val="24"/>
          <w:lang w:val="en-ZA"/>
        </w:rPr>
        <w:t>will apply.</w:t>
      </w:r>
      <w:r w:rsidR="00FD3A27">
        <w:rPr>
          <w:rFonts w:ascii="Arial" w:eastAsia="Calibri" w:hAnsi="Arial" w:cs="Arial"/>
          <w:sz w:val="24"/>
          <w:lang w:val="en-ZA"/>
        </w:rPr>
        <w:t xml:space="preserve"> Hence any sale of the property by the liquidator will be </w:t>
      </w:r>
      <w:r w:rsidR="002D4D42">
        <w:rPr>
          <w:rFonts w:ascii="Arial" w:eastAsia="Calibri" w:hAnsi="Arial" w:cs="Arial"/>
          <w:sz w:val="24"/>
          <w:lang w:val="en-ZA"/>
        </w:rPr>
        <w:t xml:space="preserve">subject to the existing lease over the property. If a mortgage bond was registered prior to the lease, then the </w:t>
      </w:r>
      <w:r w:rsidR="007E4E77">
        <w:rPr>
          <w:rFonts w:ascii="Arial" w:eastAsia="Calibri" w:hAnsi="Arial" w:cs="Arial"/>
          <w:sz w:val="24"/>
          <w:lang w:val="en-ZA"/>
        </w:rPr>
        <w:t>mortgage</w:t>
      </w:r>
      <w:r w:rsidR="002D4D42">
        <w:rPr>
          <w:rFonts w:ascii="Arial" w:eastAsia="Calibri" w:hAnsi="Arial" w:cs="Arial"/>
          <w:sz w:val="24"/>
          <w:lang w:val="en-ZA"/>
        </w:rPr>
        <w:t xml:space="preserve"> bond holder’s rights rank above the lessee’s.</w:t>
      </w:r>
    </w:p>
    <w:p w14:paraId="49A22182" w14:textId="77777777" w:rsidR="00777971" w:rsidRDefault="00777971" w:rsidP="005D7406">
      <w:pPr>
        <w:pStyle w:val="ListParagraph"/>
        <w:spacing w:line="276" w:lineRule="auto"/>
        <w:ind w:left="790"/>
        <w:jc w:val="both"/>
        <w:rPr>
          <w:rFonts w:ascii="Arial" w:eastAsia="Calibri" w:hAnsi="Arial" w:cs="Arial"/>
          <w:sz w:val="24"/>
          <w:lang w:val="en-ZA"/>
        </w:rPr>
      </w:pPr>
    </w:p>
    <w:p w14:paraId="0F779FDB" w14:textId="3C683731" w:rsidR="00B122EA" w:rsidRPr="00D719F9" w:rsidRDefault="000059C9" w:rsidP="00777971">
      <w:pPr>
        <w:pStyle w:val="ListParagraph"/>
        <w:numPr>
          <w:ilvl w:val="0"/>
          <w:numId w:val="35"/>
        </w:numPr>
        <w:spacing w:line="276" w:lineRule="auto"/>
        <w:jc w:val="both"/>
        <w:rPr>
          <w:rFonts w:ascii="Arial" w:eastAsia="Calibri" w:hAnsi="Arial" w:cs="Arial"/>
          <w:sz w:val="24"/>
          <w:lang w:val="en-ZA"/>
        </w:rPr>
      </w:pPr>
      <w:r>
        <w:rPr>
          <w:rFonts w:ascii="Arial" w:eastAsia="Calibri" w:hAnsi="Arial" w:cs="Arial"/>
          <w:sz w:val="24"/>
          <w:lang w:val="en-ZA"/>
        </w:rPr>
        <w:t xml:space="preserve">Employment contracts are suspended upon the winding up order and terminated 45 days from the appointment of a liquidator. They maybe terminated earlier after consultation with the parties like trade unions where employees belong to a union recognised by the employer company.    </w:t>
      </w:r>
    </w:p>
    <w:p w14:paraId="6B5175D0" w14:textId="55AAE99D" w:rsidR="00E73A5D" w:rsidRPr="00E73A5D" w:rsidRDefault="00E73A5D" w:rsidP="00E73A5D">
      <w:pPr>
        <w:spacing w:line="276" w:lineRule="auto"/>
        <w:jc w:val="both"/>
        <w:rPr>
          <w:rFonts w:ascii="Arial" w:eastAsia="Calibri" w:hAnsi="Arial" w:cs="Arial"/>
          <w:sz w:val="24"/>
          <w:lang w:val="en-ZA"/>
        </w:rPr>
      </w:pPr>
      <w:r w:rsidRPr="00E73A5D">
        <w:rPr>
          <w:rFonts w:ascii="Arial" w:eastAsia="Calibri" w:hAnsi="Arial" w:cs="Arial"/>
          <w:sz w:val="24"/>
          <w:lang w:val="en-ZA"/>
        </w:rPr>
        <w:t xml:space="preserve"> </w:t>
      </w:r>
    </w:p>
    <w:p w14:paraId="4E5C9671" w14:textId="10B8852F" w:rsidR="0001050B" w:rsidRDefault="0001050B" w:rsidP="0001050B">
      <w:pPr>
        <w:jc w:val="both"/>
        <w:rPr>
          <w:rFonts w:ascii="Avenir Next" w:hAnsi="Avenir Next"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0B6E0F4D"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The directors of ABC (Pty) Ltd (the company) foresee the reasonable likelihood that the company will, within the next six months, be unable to pay its debts as they become due in the ordinary course of business, and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Mario Miles leases office space to the company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Trudy Pather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C90B9CD" w:rsidR="00E26337"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 xml:space="preserve">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and </w:t>
      </w:r>
      <w:r w:rsidRPr="00B87DBA">
        <w:rPr>
          <w:rFonts w:ascii="Avenir Next" w:eastAsia="Calibri" w:hAnsi="Avenir Next" w:cs="Arial"/>
          <w:sz w:val="22"/>
          <w:szCs w:val="22"/>
          <w:lang w:val="en-GB"/>
        </w:rPr>
        <w:lastRenderedPageBreak/>
        <w:t>also include any considerations in respect of the business rescue plan that the business rescue practitioner needs to take cognisance of.</w:t>
      </w:r>
    </w:p>
    <w:p w14:paraId="4734AB70" w14:textId="4ECECCE0" w:rsidR="00623827" w:rsidRDefault="00623827" w:rsidP="00E26337">
      <w:pPr>
        <w:spacing w:after="160" w:line="259" w:lineRule="auto"/>
        <w:jc w:val="both"/>
        <w:rPr>
          <w:rFonts w:ascii="Avenir Next" w:eastAsia="Calibri" w:hAnsi="Avenir Next" w:cs="Arial"/>
          <w:sz w:val="22"/>
          <w:szCs w:val="22"/>
          <w:lang w:val="en-GB"/>
        </w:rPr>
      </w:pPr>
    </w:p>
    <w:p w14:paraId="626D4D4A" w14:textId="1597645B" w:rsidR="004370AC" w:rsidRPr="00CA2B44" w:rsidRDefault="00315B66" w:rsidP="00E26337">
      <w:pPr>
        <w:spacing w:after="160" w:line="259" w:lineRule="auto"/>
        <w:jc w:val="both"/>
        <w:rPr>
          <w:rFonts w:ascii="Arial" w:eastAsia="Calibri" w:hAnsi="Arial" w:cs="Arial"/>
          <w:b/>
          <w:sz w:val="24"/>
          <w:lang w:val="en-GB"/>
        </w:rPr>
      </w:pPr>
      <w:r w:rsidRPr="00CA2B44">
        <w:rPr>
          <w:rFonts w:ascii="Arial" w:eastAsia="Calibri" w:hAnsi="Arial" w:cs="Arial"/>
          <w:b/>
          <w:sz w:val="24"/>
          <w:lang w:val="en-GB"/>
        </w:rPr>
        <w:t>MEM</w:t>
      </w:r>
      <w:r w:rsidR="004370AC" w:rsidRPr="00CA2B44">
        <w:rPr>
          <w:rFonts w:ascii="Arial" w:eastAsia="Calibri" w:hAnsi="Arial" w:cs="Arial"/>
          <w:b/>
          <w:sz w:val="24"/>
          <w:lang w:val="en-GB"/>
        </w:rPr>
        <w:t>ORANDUM TO AFFECTED PARTIES IN THE BUSINESS RESCUE PROCEEDINGS OF ABC (PTY) LTD</w:t>
      </w:r>
      <w:r w:rsidR="00CA2B44">
        <w:rPr>
          <w:rFonts w:ascii="Arial" w:eastAsia="Calibri" w:hAnsi="Arial" w:cs="Arial"/>
          <w:b/>
          <w:sz w:val="24"/>
          <w:lang w:val="en-GB"/>
        </w:rPr>
        <w:t>.</w:t>
      </w:r>
    </w:p>
    <w:p w14:paraId="43EB55FB" w14:textId="0EA6EF88" w:rsidR="004370AC" w:rsidRDefault="00945FEA" w:rsidP="00E26337">
      <w:pPr>
        <w:spacing w:after="160" w:line="259" w:lineRule="auto"/>
        <w:jc w:val="both"/>
        <w:rPr>
          <w:rFonts w:ascii="Arial" w:eastAsia="Calibri" w:hAnsi="Arial" w:cs="Arial"/>
          <w:sz w:val="24"/>
          <w:lang w:val="en-GB"/>
        </w:rPr>
      </w:pPr>
      <w:r>
        <w:rPr>
          <w:rFonts w:ascii="Arial" w:eastAsia="Calibri" w:hAnsi="Arial" w:cs="Arial"/>
          <w:sz w:val="24"/>
          <w:lang w:val="en-GB"/>
        </w:rPr>
        <w:t xml:space="preserve">In terms of section 128(1)(a) </w:t>
      </w:r>
      <w:r w:rsidR="00C418CF">
        <w:rPr>
          <w:rFonts w:ascii="Arial" w:eastAsia="Calibri" w:hAnsi="Arial" w:cs="Arial"/>
          <w:sz w:val="24"/>
          <w:lang w:val="en-GB"/>
        </w:rPr>
        <w:t xml:space="preserve">of the Companies Act of 2008, </w:t>
      </w:r>
      <w:r>
        <w:rPr>
          <w:rFonts w:ascii="Arial" w:eastAsia="Calibri" w:hAnsi="Arial" w:cs="Arial"/>
          <w:sz w:val="24"/>
          <w:lang w:val="en-GB"/>
        </w:rPr>
        <w:t xml:space="preserve">an “affected person” to business rescue </w:t>
      </w:r>
      <w:r w:rsidR="00FE5B31">
        <w:rPr>
          <w:rFonts w:ascii="Arial" w:eastAsia="Calibri" w:hAnsi="Arial" w:cs="Arial"/>
          <w:sz w:val="24"/>
          <w:lang w:val="en-GB"/>
        </w:rPr>
        <w:t xml:space="preserve">proceedings is defined  as shareholder or creditor of the company and any registered trade union representing employees of the company, in its absence the employees themselves. </w:t>
      </w:r>
      <w:r w:rsidR="004370AC">
        <w:rPr>
          <w:rFonts w:ascii="Arial" w:eastAsia="Calibri" w:hAnsi="Arial" w:cs="Arial"/>
          <w:sz w:val="24"/>
          <w:lang w:val="en-GB"/>
        </w:rPr>
        <w:t>The following persons fall within the definition of an affected person in terms of s.128 (1)(a) of the Companies act namely:</w:t>
      </w:r>
    </w:p>
    <w:p w14:paraId="1CECD88D" w14:textId="77777777" w:rsidR="004370AC" w:rsidRDefault="004370AC" w:rsidP="004370AC">
      <w:pPr>
        <w:pStyle w:val="ListParagraph"/>
        <w:numPr>
          <w:ilvl w:val="0"/>
          <w:numId w:val="39"/>
        </w:numPr>
        <w:spacing w:after="160" w:line="259" w:lineRule="auto"/>
        <w:jc w:val="both"/>
        <w:rPr>
          <w:rFonts w:ascii="Arial" w:eastAsia="Calibri" w:hAnsi="Arial" w:cs="Arial"/>
          <w:sz w:val="24"/>
          <w:lang w:val="en-GB"/>
        </w:rPr>
      </w:pPr>
      <w:r w:rsidRPr="004370AC">
        <w:rPr>
          <w:rFonts w:ascii="Arial" w:eastAsia="Calibri" w:hAnsi="Arial" w:cs="Arial"/>
          <w:sz w:val="24"/>
          <w:lang w:val="en-GB"/>
        </w:rPr>
        <w:t>Charlie White, an unsecured creditor</w:t>
      </w:r>
      <w:r>
        <w:rPr>
          <w:rFonts w:ascii="Arial" w:eastAsia="Calibri" w:hAnsi="Arial" w:cs="Arial"/>
          <w:sz w:val="24"/>
          <w:lang w:val="en-GB"/>
        </w:rPr>
        <w:t>;</w:t>
      </w:r>
    </w:p>
    <w:p w14:paraId="3F6A5951" w14:textId="77777777" w:rsidR="00850C1A" w:rsidRDefault="00850C1A" w:rsidP="004370AC">
      <w:pPr>
        <w:pStyle w:val="ListParagraph"/>
        <w:numPr>
          <w:ilvl w:val="0"/>
          <w:numId w:val="39"/>
        </w:numPr>
        <w:spacing w:after="160" w:line="259" w:lineRule="auto"/>
        <w:jc w:val="both"/>
        <w:rPr>
          <w:rFonts w:ascii="Arial" w:eastAsia="Calibri" w:hAnsi="Arial" w:cs="Arial"/>
          <w:sz w:val="24"/>
          <w:lang w:val="en-GB"/>
        </w:rPr>
      </w:pPr>
      <w:r>
        <w:rPr>
          <w:rFonts w:ascii="Arial" w:eastAsia="Calibri" w:hAnsi="Arial" w:cs="Arial"/>
          <w:sz w:val="24"/>
          <w:lang w:val="en-GB"/>
        </w:rPr>
        <w:t>Rowena Gonzales, an employee of the company;</w:t>
      </w:r>
    </w:p>
    <w:p w14:paraId="4D475073" w14:textId="77777777" w:rsidR="00850C1A" w:rsidRDefault="004370AC" w:rsidP="004370AC">
      <w:pPr>
        <w:pStyle w:val="ListParagraph"/>
        <w:numPr>
          <w:ilvl w:val="0"/>
          <w:numId w:val="39"/>
        </w:numPr>
        <w:spacing w:after="160" w:line="259" w:lineRule="auto"/>
        <w:jc w:val="both"/>
        <w:rPr>
          <w:rFonts w:ascii="Arial" w:eastAsia="Calibri" w:hAnsi="Arial" w:cs="Arial"/>
          <w:sz w:val="24"/>
          <w:lang w:val="en-GB"/>
        </w:rPr>
      </w:pPr>
      <w:r>
        <w:rPr>
          <w:rFonts w:ascii="Arial" w:eastAsia="Calibri" w:hAnsi="Arial" w:cs="Arial"/>
          <w:sz w:val="24"/>
          <w:lang w:val="en-GB"/>
        </w:rPr>
        <w:t>Mario Miles</w:t>
      </w:r>
      <w:r w:rsidR="00850C1A">
        <w:rPr>
          <w:rFonts w:ascii="Arial" w:eastAsia="Calibri" w:hAnsi="Arial" w:cs="Arial"/>
          <w:sz w:val="24"/>
          <w:lang w:val="en-GB"/>
        </w:rPr>
        <w:t xml:space="preserve"> a lessor of ABC (Pty) Ltd;</w:t>
      </w:r>
    </w:p>
    <w:p w14:paraId="578C7A40" w14:textId="77777777" w:rsidR="00850C1A" w:rsidRDefault="00850C1A" w:rsidP="004370AC">
      <w:pPr>
        <w:pStyle w:val="ListParagraph"/>
        <w:numPr>
          <w:ilvl w:val="0"/>
          <w:numId w:val="39"/>
        </w:numPr>
        <w:spacing w:after="160" w:line="259" w:lineRule="auto"/>
        <w:jc w:val="both"/>
        <w:rPr>
          <w:rFonts w:ascii="Arial" w:eastAsia="Calibri" w:hAnsi="Arial" w:cs="Arial"/>
          <w:sz w:val="24"/>
          <w:lang w:val="en-GB"/>
        </w:rPr>
      </w:pPr>
      <w:r>
        <w:rPr>
          <w:rFonts w:ascii="Arial" w:eastAsia="Calibri" w:hAnsi="Arial" w:cs="Arial"/>
          <w:sz w:val="24"/>
          <w:lang w:val="en-GB"/>
        </w:rPr>
        <w:t xml:space="preserve">Trudy </w:t>
      </w:r>
      <w:proofErr w:type="spellStart"/>
      <w:r>
        <w:rPr>
          <w:rFonts w:ascii="Arial" w:eastAsia="Calibri" w:hAnsi="Arial" w:cs="Arial"/>
          <w:sz w:val="24"/>
          <w:lang w:val="en-GB"/>
        </w:rPr>
        <w:t>Pather</w:t>
      </w:r>
      <w:proofErr w:type="spellEnd"/>
      <w:r>
        <w:rPr>
          <w:rFonts w:ascii="Arial" w:eastAsia="Calibri" w:hAnsi="Arial" w:cs="Arial"/>
          <w:sz w:val="24"/>
          <w:lang w:val="en-GB"/>
        </w:rPr>
        <w:t>, a shareholder of the company and;</w:t>
      </w:r>
    </w:p>
    <w:p w14:paraId="2F1811B4" w14:textId="77777777" w:rsidR="00850C1A" w:rsidRDefault="00850C1A" w:rsidP="004370AC">
      <w:pPr>
        <w:pStyle w:val="ListParagraph"/>
        <w:numPr>
          <w:ilvl w:val="0"/>
          <w:numId w:val="39"/>
        </w:numPr>
        <w:spacing w:after="160" w:line="259" w:lineRule="auto"/>
        <w:jc w:val="both"/>
        <w:rPr>
          <w:rFonts w:ascii="Arial" w:eastAsia="Calibri" w:hAnsi="Arial" w:cs="Arial"/>
          <w:sz w:val="24"/>
          <w:lang w:val="en-GB"/>
        </w:rPr>
      </w:pPr>
      <w:r>
        <w:rPr>
          <w:rFonts w:ascii="Arial" w:eastAsia="Calibri" w:hAnsi="Arial" w:cs="Arial"/>
          <w:sz w:val="24"/>
          <w:lang w:val="en-GB"/>
        </w:rPr>
        <w:t>Henry Jean, a director of the company.</w:t>
      </w:r>
    </w:p>
    <w:p w14:paraId="4970C58B" w14:textId="77777777" w:rsidR="005D233A" w:rsidRDefault="00850C1A" w:rsidP="00850C1A">
      <w:pPr>
        <w:spacing w:after="160" w:line="259" w:lineRule="auto"/>
        <w:jc w:val="both"/>
        <w:rPr>
          <w:rFonts w:ascii="Arial" w:eastAsia="Calibri" w:hAnsi="Arial" w:cs="Arial"/>
          <w:sz w:val="24"/>
          <w:lang w:val="en-GB"/>
        </w:rPr>
      </w:pPr>
      <w:r w:rsidRPr="00850C1A">
        <w:rPr>
          <w:rFonts w:ascii="Arial" w:eastAsia="Calibri" w:hAnsi="Arial" w:cs="Arial"/>
          <w:sz w:val="24"/>
          <w:lang w:val="en-GB"/>
        </w:rPr>
        <w:t xml:space="preserve"> </w:t>
      </w:r>
      <w:r>
        <w:rPr>
          <w:rFonts w:ascii="Arial" w:eastAsia="Calibri" w:hAnsi="Arial" w:cs="Arial"/>
          <w:sz w:val="24"/>
          <w:lang w:val="en-GB"/>
        </w:rPr>
        <w:t>The effect of the</w:t>
      </w:r>
      <w:r w:rsidR="00FE5B31" w:rsidRPr="00850C1A">
        <w:rPr>
          <w:rFonts w:ascii="Arial" w:eastAsia="Calibri" w:hAnsi="Arial" w:cs="Arial"/>
          <w:sz w:val="24"/>
          <w:lang w:val="en-GB"/>
        </w:rPr>
        <w:t xml:space="preserve"> </w:t>
      </w:r>
      <w:r w:rsidR="00623827" w:rsidRPr="00850C1A">
        <w:rPr>
          <w:rFonts w:ascii="Arial" w:eastAsia="Calibri" w:hAnsi="Arial" w:cs="Arial"/>
          <w:sz w:val="24"/>
          <w:lang w:val="en-GB"/>
        </w:rPr>
        <w:t xml:space="preserve">Business Rescue </w:t>
      </w:r>
      <w:r w:rsidR="00212EAF" w:rsidRPr="00850C1A">
        <w:rPr>
          <w:rFonts w:ascii="Arial" w:eastAsia="Calibri" w:hAnsi="Arial" w:cs="Arial"/>
          <w:sz w:val="24"/>
          <w:lang w:val="en-GB"/>
        </w:rPr>
        <w:t xml:space="preserve">proceedings </w:t>
      </w:r>
      <w:r>
        <w:rPr>
          <w:rFonts w:ascii="Arial" w:eastAsia="Calibri" w:hAnsi="Arial" w:cs="Arial"/>
          <w:sz w:val="24"/>
          <w:lang w:val="en-GB"/>
        </w:rPr>
        <w:t xml:space="preserve">is that </w:t>
      </w:r>
      <w:r w:rsidR="00212EAF" w:rsidRPr="00850C1A">
        <w:rPr>
          <w:rFonts w:ascii="Arial" w:eastAsia="Calibri" w:hAnsi="Arial" w:cs="Arial"/>
          <w:sz w:val="24"/>
          <w:lang w:val="en-GB"/>
        </w:rPr>
        <w:t xml:space="preserve">legal proceedings against the company inclusive of enforcement action </w:t>
      </w:r>
      <w:r>
        <w:rPr>
          <w:rFonts w:ascii="Arial" w:eastAsia="Calibri" w:hAnsi="Arial" w:cs="Arial"/>
          <w:sz w:val="24"/>
          <w:lang w:val="en-GB"/>
        </w:rPr>
        <w:t xml:space="preserve">are stayed. </w:t>
      </w:r>
      <w:r w:rsidR="00212EAF" w:rsidRPr="00850C1A">
        <w:rPr>
          <w:rFonts w:ascii="Arial" w:eastAsia="Calibri" w:hAnsi="Arial" w:cs="Arial"/>
          <w:sz w:val="24"/>
          <w:lang w:val="en-GB"/>
        </w:rPr>
        <w:t>Having full management control of the company, the business rescue practitioner, Donovan Jones, may delegate powers and functions to the director</w:t>
      </w:r>
      <w:r>
        <w:rPr>
          <w:rFonts w:ascii="Arial" w:eastAsia="Calibri" w:hAnsi="Arial" w:cs="Arial"/>
          <w:sz w:val="24"/>
          <w:lang w:val="en-GB"/>
        </w:rPr>
        <w:t>s</w:t>
      </w:r>
      <w:r w:rsidR="00212EAF" w:rsidRPr="00850C1A">
        <w:rPr>
          <w:rFonts w:ascii="Arial" w:eastAsia="Calibri" w:hAnsi="Arial" w:cs="Arial"/>
          <w:sz w:val="24"/>
          <w:lang w:val="en-GB"/>
        </w:rPr>
        <w:t xml:space="preserve"> of the company</w:t>
      </w:r>
      <w:r>
        <w:rPr>
          <w:rFonts w:ascii="Arial" w:eastAsia="Calibri" w:hAnsi="Arial" w:cs="Arial"/>
          <w:sz w:val="24"/>
          <w:lang w:val="en-GB"/>
        </w:rPr>
        <w:t xml:space="preserve"> and this would include Henry Jean</w:t>
      </w:r>
      <w:r w:rsidR="00212EAF" w:rsidRPr="00850C1A">
        <w:rPr>
          <w:rFonts w:ascii="Arial" w:eastAsia="Calibri" w:hAnsi="Arial" w:cs="Arial"/>
          <w:sz w:val="24"/>
          <w:lang w:val="en-GB"/>
        </w:rPr>
        <w:t xml:space="preserve">. </w:t>
      </w:r>
    </w:p>
    <w:p w14:paraId="284DFB63" w14:textId="0BC24CFA" w:rsidR="005D233A" w:rsidRDefault="00CA2B44" w:rsidP="005D233A">
      <w:pPr>
        <w:spacing w:after="160" w:line="259" w:lineRule="auto"/>
        <w:jc w:val="both"/>
        <w:rPr>
          <w:rFonts w:ascii="Arial" w:eastAsia="Calibri" w:hAnsi="Arial" w:cs="Arial"/>
          <w:sz w:val="24"/>
          <w:lang w:val="en-GB"/>
        </w:rPr>
      </w:pPr>
      <w:r>
        <w:rPr>
          <w:rFonts w:ascii="Arial" w:eastAsia="Calibri" w:hAnsi="Arial" w:cs="Arial"/>
          <w:sz w:val="24"/>
          <w:lang w:val="en-GB"/>
        </w:rPr>
        <w:t>As an e</w:t>
      </w:r>
      <w:r w:rsidR="00212EAF" w:rsidRPr="00850C1A">
        <w:rPr>
          <w:rFonts w:ascii="Arial" w:eastAsia="Calibri" w:hAnsi="Arial" w:cs="Arial"/>
          <w:sz w:val="24"/>
          <w:lang w:val="en-GB"/>
        </w:rPr>
        <w:t>mployee</w:t>
      </w:r>
      <w:r>
        <w:rPr>
          <w:rFonts w:ascii="Arial" w:eastAsia="Calibri" w:hAnsi="Arial" w:cs="Arial"/>
          <w:sz w:val="24"/>
          <w:lang w:val="en-GB"/>
        </w:rPr>
        <w:t>, Rowena Gonzales is</w:t>
      </w:r>
      <w:r w:rsidR="00212EAF" w:rsidRPr="00850C1A">
        <w:rPr>
          <w:rFonts w:ascii="Arial" w:eastAsia="Calibri" w:hAnsi="Arial" w:cs="Arial"/>
          <w:sz w:val="24"/>
          <w:lang w:val="en-GB"/>
        </w:rPr>
        <w:t xml:space="preserve"> entitled to be paid for an</w:t>
      </w:r>
      <w:r>
        <w:rPr>
          <w:rFonts w:ascii="Arial" w:eastAsia="Calibri" w:hAnsi="Arial" w:cs="Arial"/>
          <w:sz w:val="24"/>
          <w:lang w:val="en-GB"/>
        </w:rPr>
        <w:t>y</w:t>
      </w:r>
      <w:r w:rsidR="00212EAF" w:rsidRPr="00850C1A">
        <w:rPr>
          <w:rFonts w:ascii="Arial" w:eastAsia="Calibri" w:hAnsi="Arial" w:cs="Arial"/>
          <w:sz w:val="24"/>
          <w:lang w:val="en-GB"/>
        </w:rPr>
        <w:t xml:space="preserve"> arrears in salaries accrued before the commencement of the business rescue proceedings.</w:t>
      </w:r>
      <w:r w:rsidR="000B37B0">
        <w:rPr>
          <w:rStyle w:val="FootnoteReference"/>
          <w:rFonts w:ascii="Arial" w:eastAsia="Calibri" w:hAnsi="Arial" w:cs="Arial"/>
          <w:sz w:val="24"/>
          <w:lang w:val="en-GB"/>
        </w:rPr>
        <w:footnoteReference w:id="1"/>
      </w:r>
      <w:r w:rsidR="00F519BF" w:rsidRPr="00850C1A">
        <w:rPr>
          <w:rFonts w:ascii="Arial" w:eastAsia="Calibri" w:hAnsi="Arial" w:cs="Arial"/>
          <w:sz w:val="24"/>
          <w:lang w:val="en-GB"/>
        </w:rPr>
        <w:t xml:space="preserve"> The payments rank 4</w:t>
      </w:r>
      <w:r w:rsidR="00F519BF" w:rsidRPr="00850C1A">
        <w:rPr>
          <w:rFonts w:ascii="Arial" w:eastAsia="Calibri" w:hAnsi="Arial" w:cs="Arial"/>
          <w:sz w:val="24"/>
          <w:vertAlign w:val="superscript"/>
          <w:lang w:val="en-GB"/>
        </w:rPr>
        <w:t>th</w:t>
      </w:r>
      <w:r w:rsidR="00F519BF" w:rsidRPr="00850C1A">
        <w:rPr>
          <w:rFonts w:ascii="Arial" w:eastAsia="Calibri" w:hAnsi="Arial" w:cs="Arial"/>
          <w:sz w:val="24"/>
          <w:lang w:val="en-GB"/>
        </w:rPr>
        <w:t xml:space="preserve"> in priority after the business rescue practitioner’s remuneration and other expenses, remuneration to an employee due during business rescue,</w:t>
      </w:r>
      <w:r w:rsidR="000B37B0" w:rsidRPr="00850C1A">
        <w:rPr>
          <w:rFonts w:ascii="Arial" w:eastAsia="Calibri" w:hAnsi="Arial" w:cs="Arial"/>
          <w:sz w:val="24"/>
          <w:lang w:val="en-GB"/>
        </w:rPr>
        <w:t xml:space="preserve"> and finance claims obtained during business rescue.</w:t>
      </w:r>
      <w:r w:rsidR="005D233A">
        <w:rPr>
          <w:rFonts w:ascii="Arial" w:eastAsia="Calibri" w:hAnsi="Arial" w:cs="Arial"/>
          <w:sz w:val="24"/>
          <w:lang w:val="en-GB"/>
        </w:rPr>
        <w:t xml:space="preserve"> As an e</w:t>
      </w:r>
      <w:r w:rsidR="005D233A">
        <w:rPr>
          <w:rFonts w:ascii="Arial" w:eastAsia="Calibri" w:hAnsi="Arial" w:cs="Arial"/>
          <w:sz w:val="24"/>
          <w:lang w:val="en-GB"/>
        </w:rPr>
        <w:t>mployee</w:t>
      </w:r>
      <w:r w:rsidR="005D233A">
        <w:rPr>
          <w:rFonts w:ascii="Arial" w:eastAsia="Calibri" w:hAnsi="Arial" w:cs="Arial"/>
          <w:sz w:val="24"/>
          <w:lang w:val="en-GB"/>
        </w:rPr>
        <w:t>, Rowena</w:t>
      </w:r>
      <w:r w:rsidR="005D233A">
        <w:rPr>
          <w:rFonts w:ascii="Arial" w:eastAsia="Calibri" w:hAnsi="Arial" w:cs="Arial"/>
          <w:sz w:val="24"/>
          <w:lang w:val="en-GB"/>
        </w:rPr>
        <w:t xml:space="preserve"> during business rescue proceedings, continue</w:t>
      </w:r>
      <w:r w:rsidR="005D233A">
        <w:rPr>
          <w:rFonts w:ascii="Arial" w:eastAsia="Calibri" w:hAnsi="Arial" w:cs="Arial"/>
          <w:sz w:val="24"/>
          <w:lang w:val="en-GB"/>
        </w:rPr>
        <w:t>s</w:t>
      </w:r>
      <w:r w:rsidR="005D233A">
        <w:rPr>
          <w:rFonts w:ascii="Arial" w:eastAsia="Calibri" w:hAnsi="Arial" w:cs="Arial"/>
          <w:sz w:val="24"/>
          <w:lang w:val="en-GB"/>
        </w:rPr>
        <w:t xml:space="preserve"> to be employed on the same terms and conditions as immediately before the proceedings. </w:t>
      </w:r>
      <w:r w:rsidR="005D233A">
        <w:rPr>
          <w:rFonts w:ascii="Arial" w:eastAsia="Calibri" w:hAnsi="Arial" w:cs="Arial"/>
          <w:sz w:val="24"/>
          <w:lang w:val="en-GB"/>
        </w:rPr>
        <w:t>Rowena is free to agree with the</w:t>
      </w:r>
      <w:r w:rsidR="005D233A">
        <w:rPr>
          <w:rFonts w:ascii="Arial" w:eastAsia="Calibri" w:hAnsi="Arial" w:cs="Arial"/>
          <w:sz w:val="24"/>
          <w:lang w:val="en-GB"/>
        </w:rPr>
        <w:t xml:space="preserve"> company to different terms and conditions of employment in accordance with the labour laws.</w:t>
      </w:r>
    </w:p>
    <w:p w14:paraId="5797474C" w14:textId="6C0FB299" w:rsidR="00B16C85" w:rsidRDefault="00B16C85" w:rsidP="00E26337">
      <w:pPr>
        <w:spacing w:after="160" w:line="259" w:lineRule="auto"/>
        <w:jc w:val="both"/>
        <w:rPr>
          <w:rFonts w:ascii="Arial" w:eastAsia="Calibri" w:hAnsi="Arial" w:cs="Arial"/>
          <w:sz w:val="24"/>
          <w:lang w:val="en-GB"/>
        </w:rPr>
      </w:pPr>
      <w:r>
        <w:rPr>
          <w:rFonts w:ascii="Arial" w:eastAsia="Calibri" w:hAnsi="Arial" w:cs="Arial"/>
          <w:sz w:val="24"/>
          <w:lang w:val="en-GB"/>
        </w:rPr>
        <w:t xml:space="preserve">Pre-commencement claims are part of the business rescue plan. There is however no clear guideline on the administration of claims in </w:t>
      </w:r>
      <w:r w:rsidR="007E4E77">
        <w:rPr>
          <w:rFonts w:ascii="Arial" w:eastAsia="Calibri" w:hAnsi="Arial" w:cs="Arial"/>
          <w:sz w:val="24"/>
          <w:lang w:val="en-GB"/>
        </w:rPr>
        <w:t>business</w:t>
      </w:r>
      <w:r>
        <w:rPr>
          <w:rFonts w:ascii="Arial" w:eastAsia="Calibri" w:hAnsi="Arial" w:cs="Arial"/>
          <w:sz w:val="24"/>
          <w:lang w:val="en-GB"/>
        </w:rPr>
        <w:t xml:space="preserve"> rescue proceedings, creating </w:t>
      </w:r>
      <w:r w:rsidR="007E4E77">
        <w:rPr>
          <w:rFonts w:ascii="Arial" w:eastAsia="Calibri" w:hAnsi="Arial" w:cs="Arial"/>
          <w:sz w:val="24"/>
          <w:lang w:val="en-GB"/>
        </w:rPr>
        <w:t>uncertainty</w:t>
      </w:r>
      <w:r>
        <w:rPr>
          <w:rFonts w:ascii="Arial" w:eastAsia="Calibri" w:hAnsi="Arial" w:cs="Arial"/>
          <w:sz w:val="24"/>
          <w:lang w:val="en-GB"/>
        </w:rPr>
        <w:t>.</w:t>
      </w:r>
      <w:r w:rsidR="00980F14">
        <w:rPr>
          <w:rFonts w:ascii="Arial" w:eastAsia="Calibri" w:hAnsi="Arial" w:cs="Arial"/>
          <w:sz w:val="24"/>
          <w:lang w:val="en-GB"/>
        </w:rPr>
        <w:t xml:space="preserve"> The proving of claims at the </w:t>
      </w:r>
      <w:r w:rsidR="00684655">
        <w:rPr>
          <w:rFonts w:ascii="Arial" w:eastAsia="Calibri" w:hAnsi="Arial" w:cs="Arial"/>
          <w:sz w:val="24"/>
          <w:lang w:val="en-GB"/>
        </w:rPr>
        <w:t>1</w:t>
      </w:r>
      <w:r w:rsidR="00684655" w:rsidRPr="00684655">
        <w:rPr>
          <w:rFonts w:ascii="Arial" w:eastAsia="Calibri" w:hAnsi="Arial" w:cs="Arial"/>
          <w:sz w:val="24"/>
          <w:vertAlign w:val="superscript"/>
          <w:lang w:val="en-GB"/>
        </w:rPr>
        <w:t>st</w:t>
      </w:r>
      <w:r w:rsidR="00684655">
        <w:rPr>
          <w:rFonts w:ascii="Arial" w:eastAsia="Calibri" w:hAnsi="Arial" w:cs="Arial"/>
          <w:sz w:val="24"/>
          <w:lang w:val="en-GB"/>
        </w:rPr>
        <w:t xml:space="preserve"> meeting is to facilitate </w:t>
      </w:r>
      <w:r w:rsidR="00CA2B44">
        <w:rPr>
          <w:rFonts w:ascii="Arial" w:eastAsia="Calibri" w:hAnsi="Arial" w:cs="Arial"/>
          <w:sz w:val="24"/>
          <w:lang w:val="en-GB"/>
        </w:rPr>
        <w:t xml:space="preserve">Donovan Jones </w:t>
      </w:r>
      <w:r w:rsidR="00684655">
        <w:rPr>
          <w:rFonts w:ascii="Arial" w:eastAsia="Calibri" w:hAnsi="Arial" w:cs="Arial"/>
          <w:sz w:val="24"/>
          <w:lang w:val="en-GB"/>
        </w:rPr>
        <w:t xml:space="preserve">in drafting the plan and resolve potential disputes. </w:t>
      </w:r>
    </w:p>
    <w:p w14:paraId="52FAAFBC" w14:textId="10B1A806" w:rsidR="00314DAA" w:rsidRDefault="00006523" w:rsidP="00E26337">
      <w:pPr>
        <w:spacing w:after="160" w:line="259" w:lineRule="auto"/>
        <w:jc w:val="both"/>
        <w:rPr>
          <w:rFonts w:ascii="Arial" w:eastAsia="Calibri" w:hAnsi="Arial" w:cs="Arial"/>
          <w:sz w:val="24"/>
          <w:lang w:val="en-GB"/>
        </w:rPr>
      </w:pPr>
      <w:r>
        <w:rPr>
          <w:rFonts w:ascii="Arial" w:eastAsia="Calibri" w:hAnsi="Arial" w:cs="Arial"/>
          <w:sz w:val="24"/>
          <w:lang w:val="en-GB"/>
        </w:rPr>
        <w:t>With  respect to the lease agreement, Donovan Jones may elect to entirely, partially or conditionally suspend the obligations of the company or cancel the obligation by a court order.</w:t>
      </w:r>
      <w:r>
        <w:rPr>
          <w:rStyle w:val="FootnoteReference"/>
          <w:rFonts w:ascii="Arial" w:eastAsia="Calibri" w:hAnsi="Arial" w:cs="Arial"/>
          <w:sz w:val="24"/>
          <w:lang w:val="en-GB"/>
        </w:rPr>
        <w:footnoteReference w:id="2"/>
      </w:r>
      <w:r>
        <w:rPr>
          <w:rFonts w:ascii="Arial" w:eastAsia="Calibri" w:hAnsi="Arial" w:cs="Arial"/>
          <w:sz w:val="24"/>
          <w:lang w:val="en-GB"/>
        </w:rPr>
        <w:t xml:space="preserve"> Mario Miles may also elect to cancel the lease and seek damages.</w:t>
      </w:r>
      <w:r w:rsidR="00AB0AA2">
        <w:rPr>
          <w:rFonts w:ascii="Arial" w:eastAsia="Calibri" w:hAnsi="Arial" w:cs="Arial"/>
          <w:sz w:val="24"/>
          <w:lang w:val="en-GB"/>
        </w:rPr>
        <w:t xml:space="preserve"> The moratorium on legal proceedings does not prevent a creditor from cancelling an executory contract after the company has been placed in business rescue. </w:t>
      </w:r>
      <w:r w:rsidR="00AB0AA2">
        <w:rPr>
          <w:rStyle w:val="FootnoteReference"/>
          <w:rFonts w:ascii="Arial" w:eastAsia="Calibri" w:hAnsi="Arial" w:cs="Arial"/>
          <w:sz w:val="24"/>
          <w:lang w:val="en-GB"/>
        </w:rPr>
        <w:footnoteReference w:id="3"/>
      </w:r>
      <w:r w:rsidR="00AB0AA2">
        <w:rPr>
          <w:rFonts w:ascii="Arial" w:eastAsia="Calibri" w:hAnsi="Arial" w:cs="Arial"/>
          <w:sz w:val="24"/>
          <w:lang w:val="en-GB"/>
        </w:rPr>
        <w:t xml:space="preserve">  </w:t>
      </w:r>
      <w:r>
        <w:rPr>
          <w:rFonts w:ascii="Arial" w:eastAsia="Calibri" w:hAnsi="Arial" w:cs="Arial"/>
          <w:sz w:val="24"/>
          <w:lang w:val="en-GB"/>
        </w:rPr>
        <w:t xml:space="preserve"> In a business rescue plan the landlord’s</w:t>
      </w:r>
      <w:r w:rsidR="006542B5">
        <w:rPr>
          <w:rFonts w:ascii="Arial" w:eastAsia="Calibri" w:hAnsi="Arial" w:cs="Arial"/>
          <w:sz w:val="24"/>
          <w:lang w:val="en-GB"/>
        </w:rPr>
        <w:t xml:space="preserve"> claim for rent falling due during business rescue </w:t>
      </w:r>
      <w:r w:rsidR="006542B5">
        <w:rPr>
          <w:rFonts w:ascii="Arial" w:eastAsia="Calibri" w:hAnsi="Arial" w:cs="Arial"/>
          <w:sz w:val="24"/>
          <w:lang w:val="en-GB"/>
        </w:rPr>
        <w:lastRenderedPageBreak/>
        <w:t xml:space="preserve">is not a preferential claim. Mario Miles is in an unsecured position during business rescue unless he is able to successfully negotiate for rentals with </w:t>
      </w:r>
      <w:r w:rsidR="00B82C2E">
        <w:rPr>
          <w:rFonts w:ascii="Arial" w:eastAsia="Calibri" w:hAnsi="Arial" w:cs="Arial"/>
          <w:sz w:val="24"/>
          <w:lang w:val="en-GB"/>
        </w:rPr>
        <w:t>Donovan Jones.</w:t>
      </w:r>
    </w:p>
    <w:p w14:paraId="2582B149" w14:textId="75C9E471" w:rsidR="00002A64" w:rsidRDefault="00314DAA" w:rsidP="00E26337">
      <w:pPr>
        <w:spacing w:after="160" w:line="259" w:lineRule="auto"/>
        <w:jc w:val="both"/>
        <w:rPr>
          <w:rFonts w:ascii="Arial" w:eastAsia="Calibri" w:hAnsi="Arial" w:cs="Arial"/>
          <w:sz w:val="24"/>
          <w:lang w:val="en-GB"/>
        </w:rPr>
      </w:pPr>
      <w:r>
        <w:rPr>
          <w:rFonts w:ascii="Arial" w:eastAsia="Calibri" w:hAnsi="Arial" w:cs="Arial"/>
          <w:sz w:val="24"/>
          <w:lang w:val="en-GB"/>
        </w:rPr>
        <w:t>A</w:t>
      </w:r>
      <w:r w:rsidR="00B82C2E">
        <w:rPr>
          <w:rFonts w:ascii="Arial" w:eastAsia="Calibri" w:hAnsi="Arial" w:cs="Arial"/>
          <w:sz w:val="24"/>
          <w:lang w:val="en-GB"/>
        </w:rPr>
        <w:t>s a</w:t>
      </w:r>
      <w:r>
        <w:rPr>
          <w:rFonts w:ascii="Arial" w:eastAsia="Calibri" w:hAnsi="Arial" w:cs="Arial"/>
          <w:sz w:val="24"/>
          <w:lang w:val="en-GB"/>
        </w:rPr>
        <w:t xml:space="preserve"> director</w:t>
      </w:r>
      <w:r w:rsidR="00B82C2E">
        <w:rPr>
          <w:rFonts w:ascii="Arial" w:eastAsia="Calibri" w:hAnsi="Arial" w:cs="Arial"/>
          <w:sz w:val="24"/>
          <w:lang w:val="en-GB"/>
        </w:rPr>
        <w:t>, Henry Jean</w:t>
      </w:r>
      <w:r>
        <w:rPr>
          <w:rFonts w:ascii="Arial" w:eastAsia="Calibri" w:hAnsi="Arial" w:cs="Arial"/>
          <w:sz w:val="24"/>
          <w:lang w:val="en-GB"/>
        </w:rPr>
        <w:t xml:space="preserve"> whilst </w:t>
      </w:r>
      <w:r w:rsidR="00B82C2E">
        <w:rPr>
          <w:rFonts w:ascii="Arial" w:eastAsia="Calibri" w:hAnsi="Arial" w:cs="Arial"/>
          <w:sz w:val="24"/>
          <w:lang w:val="en-GB"/>
        </w:rPr>
        <w:t>ABC</w:t>
      </w:r>
      <w:r>
        <w:rPr>
          <w:rFonts w:ascii="Arial" w:eastAsia="Calibri" w:hAnsi="Arial" w:cs="Arial"/>
          <w:sz w:val="24"/>
          <w:lang w:val="en-GB"/>
        </w:rPr>
        <w:t xml:space="preserve"> is under business rescue remains duty bound to disclose</w:t>
      </w:r>
      <w:r w:rsidR="00B82C2E">
        <w:rPr>
          <w:rFonts w:ascii="Arial" w:eastAsia="Calibri" w:hAnsi="Arial" w:cs="Arial"/>
          <w:sz w:val="24"/>
          <w:lang w:val="en-GB"/>
        </w:rPr>
        <w:t xml:space="preserve"> his</w:t>
      </w:r>
      <w:r w:rsidR="00002A64">
        <w:rPr>
          <w:rFonts w:ascii="Arial" w:eastAsia="Calibri" w:hAnsi="Arial" w:cs="Arial"/>
          <w:sz w:val="24"/>
          <w:lang w:val="en-GB"/>
        </w:rPr>
        <w:t xml:space="preserve"> personal </w:t>
      </w:r>
      <w:r w:rsidR="007E4E77">
        <w:rPr>
          <w:rFonts w:ascii="Arial" w:eastAsia="Calibri" w:hAnsi="Arial" w:cs="Arial"/>
          <w:sz w:val="24"/>
          <w:lang w:val="en-GB"/>
        </w:rPr>
        <w:t>financial</w:t>
      </w:r>
      <w:r w:rsidR="00002A64">
        <w:rPr>
          <w:rFonts w:ascii="Arial" w:eastAsia="Calibri" w:hAnsi="Arial" w:cs="Arial"/>
          <w:sz w:val="24"/>
          <w:lang w:val="en-GB"/>
        </w:rPr>
        <w:t xml:space="preserve"> interest or </w:t>
      </w:r>
      <w:r w:rsidR="007E4E77">
        <w:rPr>
          <w:rFonts w:ascii="Arial" w:eastAsia="Calibri" w:hAnsi="Arial" w:cs="Arial"/>
          <w:sz w:val="24"/>
          <w:lang w:val="en-GB"/>
        </w:rPr>
        <w:t>those</w:t>
      </w:r>
      <w:r w:rsidR="00002A64">
        <w:rPr>
          <w:rFonts w:ascii="Arial" w:eastAsia="Calibri" w:hAnsi="Arial" w:cs="Arial"/>
          <w:sz w:val="24"/>
          <w:lang w:val="en-GB"/>
        </w:rPr>
        <w:t xml:space="preserve"> of related persons.</w:t>
      </w:r>
      <w:r w:rsidR="00002A64">
        <w:rPr>
          <w:rStyle w:val="FootnoteReference"/>
          <w:rFonts w:ascii="Arial" w:eastAsia="Calibri" w:hAnsi="Arial" w:cs="Arial"/>
          <w:sz w:val="24"/>
          <w:lang w:val="en-GB"/>
        </w:rPr>
        <w:footnoteReference w:id="4"/>
      </w:r>
      <w:r w:rsidR="00002A64">
        <w:rPr>
          <w:rFonts w:ascii="Arial" w:eastAsia="Calibri" w:hAnsi="Arial" w:cs="Arial"/>
          <w:sz w:val="24"/>
          <w:lang w:val="en-GB"/>
        </w:rPr>
        <w:t xml:space="preserve"> </w:t>
      </w:r>
      <w:r w:rsidR="006542B5">
        <w:rPr>
          <w:rFonts w:ascii="Arial" w:eastAsia="Calibri" w:hAnsi="Arial" w:cs="Arial"/>
          <w:sz w:val="24"/>
          <w:lang w:val="en-GB"/>
        </w:rPr>
        <w:t xml:space="preserve"> </w:t>
      </w:r>
      <w:r w:rsidR="00002A64">
        <w:rPr>
          <w:rFonts w:ascii="Arial" w:eastAsia="Calibri" w:hAnsi="Arial" w:cs="Arial"/>
          <w:sz w:val="24"/>
          <w:lang w:val="en-GB"/>
        </w:rPr>
        <w:t xml:space="preserve">He is </w:t>
      </w:r>
      <w:r w:rsidR="007E4E77">
        <w:rPr>
          <w:rFonts w:ascii="Arial" w:eastAsia="Calibri" w:hAnsi="Arial" w:cs="Arial"/>
          <w:sz w:val="24"/>
          <w:lang w:val="en-GB"/>
        </w:rPr>
        <w:t>under</w:t>
      </w:r>
      <w:r w:rsidR="00002A64">
        <w:rPr>
          <w:rFonts w:ascii="Arial" w:eastAsia="Calibri" w:hAnsi="Arial" w:cs="Arial"/>
          <w:sz w:val="24"/>
          <w:lang w:val="en-GB"/>
        </w:rPr>
        <w:t xml:space="preserve"> the authority and instruction of the business rescue practitioner. He remains liable for loss sustained by the company as a result of:</w:t>
      </w:r>
    </w:p>
    <w:p w14:paraId="063DC7AA" w14:textId="77777777" w:rsidR="003C3364" w:rsidRDefault="00002A64" w:rsidP="00002A64">
      <w:pPr>
        <w:pStyle w:val="ListParagraph"/>
        <w:numPr>
          <w:ilvl w:val="0"/>
          <w:numId w:val="37"/>
        </w:numPr>
        <w:spacing w:after="160" w:line="259" w:lineRule="auto"/>
        <w:jc w:val="both"/>
        <w:rPr>
          <w:rFonts w:ascii="Arial" w:eastAsia="Calibri" w:hAnsi="Arial" w:cs="Arial"/>
          <w:sz w:val="24"/>
          <w:lang w:val="en-GB"/>
        </w:rPr>
      </w:pPr>
      <w:r>
        <w:rPr>
          <w:rFonts w:ascii="Arial" w:eastAsia="Calibri" w:hAnsi="Arial" w:cs="Arial"/>
          <w:sz w:val="24"/>
          <w:lang w:val="en-GB"/>
        </w:rPr>
        <w:t>Acting on behalf of the company knowing he does not have authority</w:t>
      </w:r>
      <w:r w:rsidR="003C3364">
        <w:rPr>
          <w:rFonts w:ascii="Arial" w:eastAsia="Calibri" w:hAnsi="Arial" w:cs="Arial"/>
          <w:sz w:val="24"/>
          <w:lang w:val="en-GB"/>
        </w:rPr>
        <w:t>;</w:t>
      </w:r>
      <w:r w:rsidR="003C3364">
        <w:rPr>
          <w:rStyle w:val="FootnoteReference"/>
          <w:rFonts w:ascii="Arial" w:eastAsia="Calibri" w:hAnsi="Arial" w:cs="Arial"/>
          <w:sz w:val="24"/>
          <w:lang w:val="en-GB"/>
        </w:rPr>
        <w:footnoteReference w:id="5"/>
      </w:r>
    </w:p>
    <w:p w14:paraId="1DACABDE" w14:textId="77777777" w:rsidR="003C3364" w:rsidRDefault="003C3364" w:rsidP="003C3364">
      <w:pPr>
        <w:pStyle w:val="ListParagraph"/>
        <w:spacing w:after="160" w:line="259" w:lineRule="auto"/>
        <w:jc w:val="both"/>
        <w:rPr>
          <w:rFonts w:ascii="Arial" w:eastAsia="Calibri" w:hAnsi="Arial" w:cs="Arial"/>
          <w:sz w:val="24"/>
          <w:lang w:val="en-GB"/>
        </w:rPr>
      </w:pPr>
    </w:p>
    <w:p w14:paraId="77750BF3" w14:textId="5917BFAA" w:rsidR="003C3364" w:rsidRDefault="003C3364" w:rsidP="003C3364">
      <w:pPr>
        <w:pStyle w:val="ListParagraph"/>
        <w:numPr>
          <w:ilvl w:val="0"/>
          <w:numId w:val="37"/>
        </w:numPr>
        <w:spacing w:after="160" w:line="259" w:lineRule="auto"/>
        <w:jc w:val="both"/>
        <w:rPr>
          <w:rFonts w:ascii="Arial" w:eastAsia="Calibri" w:hAnsi="Arial" w:cs="Arial"/>
          <w:sz w:val="24"/>
          <w:lang w:val="en-GB"/>
        </w:rPr>
      </w:pPr>
      <w:r>
        <w:rPr>
          <w:rFonts w:ascii="Arial" w:eastAsia="Calibri" w:hAnsi="Arial" w:cs="Arial"/>
          <w:sz w:val="24"/>
          <w:lang w:val="en-GB"/>
        </w:rPr>
        <w:t xml:space="preserve">Agreeing to carry out the </w:t>
      </w:r>
      <w:r w:rsidR="007E4E77">
        <w:rPr>
          <w:rFonts w:ascii="Arial" w:eastAsia="Calibri" w:hAnsi="Arial" w:cs="Arial"/>
          <w:sz w:val="24"/>
          <w:lang w:val="en-GB"/>
        </w:rPr>
        <w:t>company’s</w:t>
      </w:r>
      <w:r>
        <w:rPr>
          <w:rFonts w:ascii="Arial" w:eastAsia="Calibri" w:hAnsi="Arial" w:cs="Arial"/>
          <w:sz w:val="24"/>
          <w:lang w:val="en-GB"/>
        </w:rPr>
        <w:t xml:space="preserve"> business despite knowing the it is being conducted recklessly, grossly negligently, or with an intent to defraud or for a fraudulent purpose;</w:t>
      </w:r>
    </w:p>
    <w:p w14:paraId="605851F3" w14:textId="77777777" w:rsidR="003C3364" w:rsidRPr="003C3364" w:rsidRDefault="003C3364" w:rsidP="003C3364">
      <w:pPr>
        <w:pStyle w:val="ListParagraph"/>
        <w:rPr>
          <w:rFonts w:ascii="Arial" w:eastAsia="Calibri" w:hAnsi="Arial" w:cs="Arial"/>
          <w:sz w:val="24"/>
          <w:lang w:val="en-GB"/>
        </w:rPr>
      </w:pPr>
    </w:p>
    <w:p w14:paraId="5B0BC070" w14:textId="31081E06" w:rsidR="00006523" w:rsidRDefault="003C3364" w:rsidP="003C3364">
      <w:pPr>
        <w:pStyle w:val="ListParagraph"/>
        <w:numPr>
          <w:ilvl w:val="0"/>
          <w:numId w:val="37"/>
        </w:numPr>
        <w:spacing w:after="160" w:line="259" w:lineRule="auto"/>
        <w:jc w:val="both"/>
        <w:rPr>
          <w:rFonts w:ascii="Arial" w:eastAsia="Calibri" w:hAnsi="Arial" w:cs="Arial"/>
          <w:sz w:val="24"/>
          <w:lang w:val="en-GB"/>
        </w:rPr>
      </w:pPr>
      <w:r>
        <w:rPr>
          <w:rFonts w:ascii="Arial" w:eastAsia="Calibri" w:hAnsi="Arial" w:cs="Arial"/>
          <w:sz w:val="24"/>
          <w:lang w:val="en-GB"/>
        </w:rPr>
        <w:t>Being party to an act or omission with knowledge that the activity is meant to defraud a creditor, employee or shareholder or company or that it has other fraudulent purpose.</w:t>
      </w:r>
      <w:r w:rsidR="00002A64" w:rsidRPr="00002A64">
        <w:rPr>
          <w:rFonts w:ascii="Arial" w:eastAsia="Calibri" w:hAnsi="Arial" w:cs="Arial"/>
          <w:sz w:val="24"/>
          <w:lang w:val="en-GB"/>
        </w:rPr>
        <w:t xml:space="preserve"> </w:t>
      </w:r>
      <w:r w:rsidR="00006523" w:rsidRPr="00002A64">
        <w:rPr>
          <w:rFonts w:ascii="Arial" w:eastAsia="Calibri" w:hAnsi="Arial" w:cs="Arial"/>
          <w:sz w:val="24"/>
          <w:lang w:val="en-GB"/>
        </w:rPr>
        <w:t xml:space="preserve"> </w:t>
      </w:r>
    </w:p>
    <w:p w14:paraId="5970BB38" w14:textId="77777777" w:rsidR="00251EE7" w:rsidRPr="00251EE7" w:rsidRDefault="00251EE7" w:rsidP="00251EE7">
      <w:pPr>
        <w:pStyle w:val="ListParagraph"/>
        <w:rPr>
          <w:rFonts w:ascii="Arial" w:eastAsia="Calibri" w:hAnsi="Arial" w:cs="Arial"/>
          <w:sz w:val="24"/>
          <w:lang w:val="en-GB"/>
        </w:rPr>
      </w:pPr>
    </w:p>
    <w:p w14:paraId="1F74A87E" w14:textId="0E505F53" w:rsidR="00251EE7" w:rsidRDefault="00251EE7" w:rsidP="00251EE7">
      <w:pPr>
        <w:spacing w:after="160" w:line="259" w:lineRule="auto"/>
        <w:jc w:val="both"/>
        <w:rPr>
          <w:rFonts w:ascii="Arial" w:eastAsia="Calibri" w:hAnsi="Arial" w:cs="Arial"/>
          <w:sz w:val="24"/>
          <w:lang w:val="en-GB"/>
        </w:rPr>
      </w:pPr>
      <w:r>
        <w:rPr>
          <w:rFonts w:ascii="Arial" w:eastAsia="Calibri" w:hAnsi="Arial" w:cs="Arial"/>
          <w:sz w:val="24"/>
          <w:lang w:val="en-GB"/>
        </w:rPr>
        <w:t xml:space="preserve">In terms of section 146, </w:t>
      </w:r>
      <w:r w:rsidR="00B82C2E">
        <w:rPr>
          <w:rFonts w:ascii="Arial" w:eastAsia="Calibri" w:hAnsi="Arial" w:cs="Arial"/>
          <w:sz w:val="24"/>
          <w:lang w:val="en-GB"/>
        </w:rPr>
        <w:t xml:space="preserve">as a </w:t>
      </w:r>
      <w:r>
        <w:rPr>
          <w:rFonts w:ascii="Arial" w:eastAsia="Calibri" w:hAnsi="Arial" w:cs="Arial"/>
          <w:sz w:val="24"/>
          <w:lang w:val="en-GB"/>
        </w:rPr>
        <w:t>shareholder</w:t>
      </w:r>
      <w:r w:rsidR="00B82C2E">
        <w:rPr>
          <w:rFonts w:ascii="Arial" w:eastAsia="Calibri" w:hAnsi="Arial" w:cs="Arial"/>
          <w:sz w:val="24"/>
          <w:lang w:val="en-GB"/>
        </w:rPr>
        <w:t xml:space="preserve">, Trudy </w:t>
      </w:r>
      <w:proofErr w:type="spellStart"/>
      <w:r w:rsidR="00B82C2E">
        <w:rPr>
          <w:rFonts w:ascii="Arial" w:eastAsia="Calibri" w:hAnsi="Arial" w:cs="Arial"/>
          <w:sz w:val="24"/>
          <w:lang w:val="en-GB"/>
        </w:rPr>
        <w:t>Pather</w:t>
      </w:r>
      <w:proofErr w:type="spellEnd"/>
      <w:r w:rsidR="00B82C2E">
        <w:rPr>
          <w:rFonts w:ascii="Arial" w:eastAsia="Calibri" w:hAnsi="Arial" w:cs="Arial"/>
          <w:sz w:val="24"/>
          <w:lang w:val="en-GB"/>
        </w:rPr>
        <w:t xml:space="preserve"> is </w:t>
      </w:r>
      <w:r>
        <w:rPr>
          <w:rFonts w:ascii="Arial" w:eastAsia="Calibri" w:hAnsi="Arial" w:cs="Arial"/>
          <w:sz w:val="24"/>
          <w:lang w:val="en-GB"/>
        </w:rPr>
        <w:t>entitled to the following:</w:t>
      </w:r>
    </w:p>
    <w:p w14:paraId="5265ADFD" w14:textId="6FFEE336" w:rsidR="00251EE7" w:rsidRDefault="00251EE7" w:rsidP="00112A60">
      <w:pPr>
        <w:pStyle w:val="ListParagraph"/>
        <w:numPr>
          <w:ilvl w:val="0"/>
          <w:numId w:val="38"/>
        </w:numPr>
        <w:spacing w:after="160" w:line="259" w:lineRule="auto"/>
        <w:jc w:val="both"/>
        <w:rPr>
          <w:rFonts w:ascii="Arial" w:eastAsia="Calibri" w:hAnsi="Arial" w:cs="Arial"/>
          <w:sz w:val="24"/>
          <w:lang w:val="en-GB"/>
        </w:rPr>
      </w:pPr>
      <w:r w:rsidRPr="00251EE7">
        <w:rPr>
          <w:rFonts w:ascii="Arial" w:eastAsia="Calibri" w:hAnsi="Arial" w:cs="Arial"/>
          <w:sz w:val="24"/>
          <w:lang w:val="en-GB"/>
        </w:rPr>
        <w:t xml:space="preserve">Notice to </w:t>
      </w:r>
      <w:r>
        <w:rPr>
          <w:rFonts w:ascii="Arial" w:eastAsia="Calibri" w:hAnsi="Arial" w:cs="Arial"/>
          <w:sz w:val="24"/>
          <w:lang w:val="en-GB"/>
        </w:rPr>
        <w:t>any event concerning the business rescue proceedings;</w:t>
      </w:r>
    </w:p>
    <w:p w14:paraId="205F7C51" w14:textId="0A30DFE8" w:rsidR="00251EE7" w:rsidRDefault="00251EE7" w:rsidP="00251EE7">
      <w:pPr>
        <w:pStyle w:val="ListParagraph"/>
        <w:spacing w:after="160" w:line="259" w:lineRule="auto"/>
        <w:jc w:val="both"/>
        <w:rPr>
          <w:rFonts w:ascii="Arial" w:eastAsia="Calibri" w:hAnsi="Arial" w:cs="Arial"/>
          <w:sz w:val="24"/>
          <w:lang w:val="en-GB"/>
        </w:rPr>
      </w:pPr>
    </w:p>
    <w:p w14:paraId="100A8EC4" w14:textId="126050E5" w:rsidR="00251EE7" w:rsidRDefault="00251EE7" w:rsidP="00251EE7">
      <w:pPr>
        <w:pStyle w:val="ListParagraph"/>
        <w:numPr>
          <w:ilvl w:val="0"/>
          <w:numId w:val="38"/>
        </w:numPr>
        <w:spacing w:after="160" w:line="259" w:lineRule="auto"/>
        <w:jc w:val="both"/>
        <w:rPr>
          <w:rFonts w:ascii="Arial" w:eastAsia="Calibri" w:hAnsi="Arial" w:cs="Arial"/>
          <w:sz w:val="24"/>
          <w:lang w:val="en-GB"/>
        </w:rPr>
      </w:pPr>
      <w:r>
        <w:rPr>
          <w:rFonts w:ascii="Arial" w:eastAsia="Calibri" w:hAnsi="Arial" w:cs="Arial"/>
          <w:sz w:val="24"/>
          <w:lang w:val="en-GB"/>
        </w:rPr>
        <w:t>Participat</w:t>
      </w:r>
      <w:r w:rsidR="00B82C2E">
        <w:rPr>
          <w:rFonts w:ascii="Arial" w:eastAsia="Calibri" w:hAnsi="Arial" w:cs="Arial"/>
          <w:sz w:val="24"/>
          <w:lang w:val="en-GB"/>
        </w:rPr>
        <w:t>ion</w:t>
      </w:r>
      <w:r>
        <w:rPr>
          <w:rFonts w:ascii="Arial" w:eastAsia="Calibri" w:hAnsi="Arial" w:cs="Arial"/>
          <w:sz w:val="24"/>
          <w:lang w:val="en-GB"/>
        </w:rPr>
        <w:t xml:space="preserve"> in any court proceedings arising  during business rescue;</w:t>
      </w:r>
    </w:p>
    <w:p w14:paraId="75F54CC1" w14:textId="77777777" w:rsidR="00251EE7" w:rsidRPr="00251EE7" w:rsidRDefault="00251EE7" w:rsidP="00251EE7">
      <w:pPr>
        <w:pStyle w:val="ListParagraph"/>
        <w:rPr>
          <w:rFonts w:ascii="Arial" w:eastAsia="Calibri" w:hAnsi="Arial" w:cs="Arial"/>
          <w:sz w:val="24"/>
          <w:lang w:val="en-GB"/>
        </w:rPr>
      </w:pPr>
    </w:p>
    <w:p w14:paraId="5BC37F3E" w14:textId="12CCF7E2" w:rsidR="00251EE7" w:rsidRDefault="00251EE7" w:rsidP="00251EE7">
      <w:pPr>
        <w:pStyle w:val="ListParagraph"/>
        <w:numPr>
          <w:ilvl w:val="0"/>
          <w:numId w:val="38"/>
        </w:numPr>
        <w:spacing w:after="160" w:line="259" w:lineRule="auto"/>
        <w:jc w:val="both"/>
        <w:rPr>
          <w:rFonts w:ascii="Arial" w:eastAsia="Calibri" w:hAnsi="Arial" w:cs="Arial"/>
          <w:sz w:val="24"/>
          <w:lang w:val="en-GB"/>
        </w:rPr>
      </w:pPr>
      <w:r>
        <w:rPr>
          <w:rFonts w:ascii="Arial" w:eastAsia="Calibri" w:hAnsi="Arial" w:cs="Arial"/>
          <w:sz w:val="24"/>
          <w:lang w:val="en-GB"/>
        </w:rPr>
        <w:t>Participate in the company’s business rescue;</w:t>
      </w:r>
    </w:p>
    <w:p w14:paraId="4527010E" w14:textId="77777777" w:rsidR="00251EE7" w:rsidRPr="00251EE7" w:rsidRDefault="00251EE7" w:rsidP="00251EE7">
      <w:pPr>
        <w:pStyle w:val="ListParagraph"/>
        <w:rPr>
          <w:rFonts w:ascii="Arial" w:eastAsia="Calibri" w:hAnsi="Arial" w:cs="Arial"/>
          <w:sz w:val="24"/>
          <w:lang w:val="en-GB"/>
        </w:rPr>
      </w:pPr>
    </w:p>
    <w:p w14:paraId="703520A5" w14:textId="6A02D449" w:rsidR="00251EE7" w:rsidRDefault="00251EE7" w:rsidP="00251EE7">
      <w:pPr>
        <w:pStyle w:val="ListParagraph"/>
        <w:numPr>
          <w:ilvl w:val="0"/>
          <w:numId w:val="38"/>
        </w:numPr>
        <w:spacing w:after="160" w:line="259" w:lineRule="auto"/>
        <w:jc w:val="both"/>
        <w:rPr>
          <w:rFonts w:ascii="Arial" w:eastAsia="Calibri" w:hAnsi="Arial" w:cs="Arial"/>
          <w:sz w:val="24"/>
          <w:lang w:val="en-GB"/>
        </w:rPr>
      </w:pPr>
      <w:r>
        <w:rPr>
          <w:rFonts w:ascii="Arial" w:eastAsia="Calibri" w:hAnsi="Arial" w:cs="Arial"/>
          <w:sz w:val="24"/>
          <w:lang w:val="en-GB"/>
        </w:rPr>
        <w:t>Vote to approve or reject a proposed business plan</w:t>
      </w:r>
      <w:r w:rsidR="00730C1E">
        <w:rPr>
          <w:rFonts w:ascii="Arial" w:eastAsia="Calibri" w:hAnsi="Arial" w:cs="Arial"/>
          <w:sz w:val="24"/>
          <w:lang w:val="en-GB"/>
        </w:rPr>
        <w:t xml:space="preserve"> if it will alter </w:t>
      </w:r>
      <w:r w:rsidR="00E65F9C">
        <w:rPr>
          <w:rFonts w:ascii="Arial" w:eastAsia="Calibri" w:hAnsi="Arial" w:cs="Arial"/>
          <w:sz w:val="24"/>
          <w:lang w:val="en-GB"/>
        </w:rPr>
        <w:t xml:space="preserve">her </w:t>
      </w:r>
      <w:r w:rsidR="00730C1E">
        <w:rPr>
          <w:rFonts w:ascii="Arial" w:eastAsia="Calibri" w:hAnsi="Arial" w:cs="Arial"/>
          <w:sz w:val="24"/>
          <w:lang w:val="en-GB"/>
        </w:rPr>
        <w:t>shareholding in the company</w:t>
      </w:r>
      <w:r>
        <w:rPr>
          <w:rFonts w:ascii="Arial" w:eastAsia="Calibri" w:hAnsi="Arial" w:cs="Arial"/>
          <w:sz w:val="24"/>
          <w:lang w:val="en-GB"/>
        </w:rPr>
        <w:t>;</w:t>
      </w:r>
    </w:p>
    <w:p w14:paraId="41324876" w14:textId="77777777" w:rsidR="00251EE7" w:rsidRPr="00251EE7" w:rsidRDefault="00251EE7" w:rsidP="00251EE7">
      <w:pPr>
        <w:pStyle w:val="ListParagraph"/>
        <w:rPr>
          <w:rFonts w:ascii="Arial" w:eastAsia="Calibri" w:hAnsi="Arial" w:cs="Arial"/>
          <w:sz w:val="24"/>
          <w:lang w:val="en-GB"/>
        </w:rPr>
      </w:pPr>
    </w:p>
    <w:p w14:paraId="43A061E5" w14:textId="77777777" w:rsidR="00730C1E" w:rsidRDefault="00251EE7" w:rsidP="00251EE7">
      <w:pPr>
        <w:pStyle w:val="ListParagraph"/>
        <w:numPr>
          <w:ilvl w:val="0"/>
          <w:numId w:val="38"/>
        </w:numPr>
        <w:spacing w:after="160" w:line="259" w:lineRule="auto"/>
        <w:jc w:val="both"/>
        <w:rPr>
          <w:rFonts w:ascii="Arial" w:eastAsia="Calibri" w:hAnsi="Arial" w:cs="Arial"/>
          <w:sz w:val="24"/>
          <w:lang w:val="en-GB"/>
        </w:rPr>
      </w:pPr>
      <w:r>
        <w:rPr>
          <w:rFonts w:ascii="Arial" w:eastAsia="Calibri" w:hAnsi="Arial" w:cs="Arial"/>
          <w:sz w:val="24"/>
          <w:lang w:val="en-GB"/>
        </w:rPr>
        <w:t xml:space="preserve"> </w:t>
      </w:r>
      <w:r w:rsidR="00730C1E">
        <w:rPr>
          <w:rFonts w:ascii="Arial" w:eastAsia="Calibri" w:hAnsi="Arial" w:cs="Arial"/>
          <w:sz w:val="24"/>
          <w:lang w:val="en-GB"/>
        </w:rPr>
        <w:t>Participate in the development of an alternative business plan if it’s rejected</w:t>
      </w:r>
    </w:p>
    <w:p w14:paraId="7AD862DB" w14:textId="77777777" w:rsidR="00730C1E" w:rsidRPr="00730C1E" w:rsidRDefault="00730C1E" w:rsidP="00730C1E">
      <w:pPr>
        <w:pStyle w:val="ListParagraph"/>
        <w:rPr>
          <w:rFonts w:ascii="Arial" w:eastAsia="Calibri" w:hAnsi="Arial" w:cs="Arial"/>
          <w:sz w:val="24"/>
          <w:lang w:val="en-GB"/>
        </w:rPr>
      </w:pPr>
    </w:p>
    <w:p w14:paraId="3D54CAAC" w14:textId="5538C2FB" w:rsidR="00730C1E" w:rsidRDefault="00730C1E" w:rsidP="00251EE7">
      <w:pPr>
        <w:pStyle w:val="ListParagraph"/>
        <w:numPr>
          <w:ilvl w:val="0"/>
          <w:numId w:val="38"/>
        </w:numPr>
        <w:spacing w:after="160" w:line="259" w:lineRule="auto"/>
        <w:jc w:val="both"/>
        <w:rPr>
          <w:rFonts w:ascii="Arial" w:eastAsia="Calibri" w:hAnsi="Arial" w:cs="Arial"/>
          <w:sz w:val="24"/>
          <w:lang w:val="en-GB"/>
        </w:rPr>
      </w:pPr>
      <w:r>
        <w:rPr>
          <w:rFonts w:ascii="Arial" w:eastAsia="Calibri" w:hAnsi="Arial" w:cs="Arial"/>
          <w:sz w:val="24"/>
          <w:lang w:val="en-GB"/>
        </w:rPr>
        <w:t xml:space="preserve">Present a proposal to acquire the </w:t>
      </w:r>
      <w:r w:rsidR="007E4E77">
        <w:rPr>
          <w:rFonts w:ascii="Arial" w:eastAsia="Calibri" w:hAnsi="Arial" w:cs="Arial"/>
          <w:sz w:val="24"/>
          <w:lang w:val="en-GB"/>
        </w:rPr>
        <w:t>interest</w:t>
      </w:r>
      <w:r>
        <w:rPr>
          <w:rFonts w:ascii="Arial" w:eastAsia="Calibri" w:hAnsi="Arial" w:cs="Arial"/>
          <w:sz w:val="24"/>
          <w:lang w:val="en-GB"/>
        </w:rPr>
        <w:t xml:space="preserve"> of any or all the creditors</w:t>
      </w:r>
    </w:p>
    <w:p w14:paraId="7EEACCED" w14:textId="22B25707" w:rsidR="00C82843" w:rsidRDefault="00C82843" w:rsidP="00C82843">
      <w:pPr>
        <w:rPr>
          <w:rFonts w:ascii="Arial" w:eastAsia="Calibri" w:hAnsi="Arial" w:cs="Arial"/>
          <w:sz w:val="24"/>
          <w:lang w:val="en-GB"/>
        </w:rPr>
      </w:pPr>
    </w:p>
    <w:p w14:paraId="4FE985A5" w14:textId="77777777" w:rsidR="00C82843" w:rsidRDefault="00C82843" w:rsidP="00C82843">
      <w:pPr>
        <w:spacing w:after="160" w:line="259" w:lineRule="auto"/>
        <w:jc w:val="both"/>
        <w:rPr>
          <w:rFonts w:ascii="Arial" w:eastAsia="Calibri" w:hAnsi="Arial" w:cs="Arial"/>
          <w:sz w:val="24"/>
          <w:lang w:val="en-GB"/>
        </w:rPr>
      </w:pPr>
      <w:r>
        <w:rPr>
          <w:rFonts w:ascii="Arial" w:eastAsia="Calibri" w:hAnsi="Arial" w:cs="Arial"/>
          <w:sz w:val="24"/>
          <w:lang w:val="en-GB"/>
        </w:rPr>
        <w:t>As affected parties, the above persons and the management of the company must be consulted to prepare a business plan which maybe subsequently adopted. A business plan that changes the rights of any class of holders of the company’s securities, a vote by the majority of the holders of the securities is sufficient to approve the plan.</w:t>
      </w:r>
      <w:r>
        <w:rPr>
          <w:rStyle w:val="FootnoteReference"/>
          <w:rFonts w:ascii="Arial" w:eastAsia="Calibri" w:hAnsi="Arial" w:cs="Arial"/>
          <w:sz w:val="24"/>
          <w:lang w:val="en-GB"/>
        </w:rPr>
        <w:footnoteReference w:id="6"/>
      </w:r>
      <w:r>
        <w:rPr>
          <w:rFonts w:ascii="Arial" w:eastAsia="Calibri" w:hAnsi="Arial" w:cs="Arial"/>
          <w:sz w:val="24"/>
          <w:lang w:val="en-GB"/>
        </w:rPr>
        <w:t xml:space="preserve"> </w:t>
      </w:r>
    </w:p>
    <w:p w14:paraId="4CB8E90D" w14:textId="77777777" w:rsidR="00C82843" w:rsidRDefault="00C82843" w:rsidP="00C82843">
      <w:pPr>
        <w:spacing w:after="160" w:line="259" w:lineRule="auto"/>
        <w:jc w:val="both"/>
        <w:rPr>
          <w:rFonts w:ascii="Arial" w:eastAsia="Calibri" w:hAnsi="Arial" w:cs="Arial"/>
          <w:sz w:val="24"/>
          <w:lang w:val="en-GB"/>
        </w:rPr>
      </w:pPr>
      <w:r>
        <w:rPr>
          <w:rFonts w:ascii="Arial" w:eastAsia="Calibri" w:hAnsi="Arial" w:cs="Arial"/>
          <w:sz w:val="24"/>
          <w:lang w:val="en-GB"/>
        </w:rPr>
        <w:t>The adopted business plan is binding on the company, each creditor of the company and every holder of the company’s security.</w:t>
      </w:r>
      <w:r>
        <w:rPr>
          <w:rStyle w:val="FootnoteReference"/>
          <w:rFonts w:ascii="Arial" w:eastAsia="Calibri" w:hAnsi="Arial" w:cs="Arial"/>
          <w:sz w:val="24"/>
          <w:lang w:val="en-GB"/>
        </w:rPr>
        <w:footnoteReference w:id="7"/>
      </w:r>
    </w:p>
    <w:p w14:paraId="2EC17D1D" w14:textId="77777777" w:rsidR="00C82843" w:rsidRPr="00C82843" w:rsidRDefault="00C82843" w:rsidP="00C82843">
      <w:pPr>
        <w:rPr>
          <w:rFonts w:ascii="Arial" w:eastAsia="Calibri" w:hAnsi="Arial" w:cs="Arial"/>
          <w:sz w:val="24"/>
          <w:lang w:val="en-GB"/>
        </w:rPr>
      </w:pPr>
    </w:p>
    <w:p w14:paraId="5C4E5BDC" w14:textId="68DA5C06" w:rsidR="00251EE7" w:rsidRPr="00730C1E" w:rsidRDefault="00730C1E" w:rsidP="00730C1E">
      <w:pPr>
        <w:spacing w:after="160" w:line="259" w:lineRule="auto"/>
        <w:jc w:val="both"/>
        <w:rPr>
          <w:rFonts w:ascii="Arial" w:eastAsia="Calibri" w:hAnsi="Arial" w:cs="Arial"/>
          <w:sz w:val="24"/>
          <w:lang w:val="en-GB"/>
        </w:rPr>
      </w:pPr>
      <w:r w:rsidRPr="00730C1E">
        <w:rPr>
          <w:rFonts w:ascii="Arial" w:eastAsia="Calibri" w:hAnsi="Arial" w:cs="Arial"/>
          <w:sz w:val="24"/>
          <w:lang w:val="en-GB"/>
        </w:rPr>
        <w:t xml:space="preserve">  </w:t>
      </w:r>
    </w:p>
    <w:p w14:paraId="16100AC6" w14:textId="77777777" w:rsidR="00793DA7" w:rsidRPr="00623827" w:rsidRDefault="00793DA7" w:rsidP="00E26337">
      <w:pPr>
        <w:spacing w:after="160" w:line="259" w:lineRule="auto"/>
        <w:jc w:val="both"/>
        <w:rPr>
          <w:rFonts w:ascii="Arial" w:eastAsia="Calibri" w:hAnsi="Arial" w:cs="Arial"/>
          <w:sz w:val="24"/>
          <w:lang w:val="en-GB"/>
        </w:rPr>
      </w:pPr>
    </w:p>
    <w:p w14:paraId="4D96FAA4" w14:textId="77777777" w:rsidR="0001050B" w:rsidRPr="00B87DBA" w:rsidRDefault="0001050B" w:rsidP="0001050B">
      <w:pPr>
        <w:autoSpaceDE w:val="0"/>
        <w:autoSpaceDN w:val="0"/>
        <w:adjustRightInd w:val="0"/>
        <w:rPr>
          <w:rFonts w:ascii="Avenir Next" w:hAnsi="Avenir Next" w:cs="Arial"/>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EAA5" w14:textId="77777777" w:rsidR="00BC0C56" w:rsidRDefault="00BC0C56" w:rsidP="00241B44">
      <w:r>
        <w:separator/>
      </w:r>
    </w:p>
  </w:endnote>
  <w:endnote w:type="continuationSeparator" w:id="0">
    <w:p w14:paraId="3EAD1E15" w14:textId="77777777" w:rsidR="00BC0C56" w:rsidRDefault="00BC0C5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2D7555A" w:rsidR="00241FA3" w:rsidRPr="009B4976" w:rsidRDefault="00441DAE" w:rsidP="009B4976">
    <w:pPr>
      <w:pStyle w:val="Footer"/>
      <w:ind w:right="360"/>
      <w:rPr>
        <w:rFonts w:ascii="Arial" w:hAnsi="Arial" w:cs="Arial"/>
        <w:sz w:val="18"/>
        <w:szCs w:val="18"/>
        <w:lang w:val="en-GB"/>
      </w:rPr>
    </w:pPr>
    <w:r>
      <w:rPr>
        <w:rFonts w:ascii="Arial" w:hAnsi="Arial" w:cs="Arial"/>
        <w:sz w:val="18"/>
        <w:szCs w:val="18"/>
        <w:lang w:val="en-GB"/>
      </w:rPr>
      <w:t>202223-787</w:t>
    </w:r>
    <w:r w:rsidR="0073158B" w:rsidRPr="009B4976">
      <w:rPr>
        <w:rFonts w:ascii="Arial" w:hAnsi="Arial" w:cs="Arial"/>
        <w:sz w:val="18"/>
        <w:szCs w:val="18"/>
        <w:lang w:val="en-GB"/>
      </w:rPr>
      <w:t>.assessment</w:t>
    </w:r>
    <w:r w:rsidR="00504765">
      <w:rPr>
        <w:rFonts w:ascii="Arial" w:hAnsi="Arial" w:cs="Arial"/>
        <w:sz w:val="18"/>
        <w:szCs w:val="18"/>
        <w:lang w:val="en-GB"/>
      </w:rPr>
      <w:t>7D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F71DA" w14:textId="77777777" w:rsidR="00BC0C56" w:rsidRDefault="00BC0C56" w:rsidP="00241B44">
      <w:r>
        <w:separator/>
      </w:r>
    </w:p>
  </w:footnote>
  <w:footnote w:type="continuationSeparator" w:id="0">
    <w:p w14:paraId="7A8683CB" w14:textId="77777777" w:rsidR="00BC0C56" w:rsidRDefault="00BC0C56" w:rsidP="00241B44">
      <w:r>
        <w:continuationSeparator/>
      </w:r>
    </w:p>
  </w:footnote>
  <w:footnote w:id="1">
    <w:p w14:paraId="7579E2CE" w14:textId="49BE016D" w:rsidR="000B37B0" w:rsidRPr="000B37B0" w:rsidRDefault="000B37B0">
      <w:pPr>
        <w:pStyle w:val="FootnoteText"/>
        <w:rPr>
          <w:lang w:val="en-GB"/>
        </w:rPr>
      </w:pPr>
      <w:r>
        <w:rPr>
          <w:rStyle w:val="FootnoteReference"/>
        </w:rPr>
        <w:footnoteRef/>
      </w:r>
      <w:r>
        <w:t xml:space="preserve"> </w:t>
      </w:r>
      <w:r>
        <w:rPr>
          <w:lang w:val="en-GB"/>
        </w:rPr>
        <w:t>Companies Act 2008 s. 144(2).</w:t>
      </w:r>
    </w:p>
  </w:footnote>
  <w:footnote w:id="2">
    <w:p w14:paraId="7E67E8F2" w14:textId="56D6209A" w:rsidR="00006523" w:rsidRPr="00006523" w:rsidRDefault="00006523">
      <w:pPr>
        <w:pStyle w:val="FootnoteText"/>
        <w:rPr>
          <w:lang w:val="en-GB"/>
        </w:rPr>
      </w:pPr>
      <w:r>
        <w:rPr>
          <w:rStyle w:val="FootnoteReference"/>
        </w:rPr>
        <w:footnoteRef/>
      </w:r>
      <w:r>
        <w:t xml:space="preserve"> </w:t>
      </w:r>
      <w:r>
        <w:rPr>
          <w:lang w:val="en-GB"/>
        </w:rPr>
        <w:t>Idem s. 136 (2)( a) and (b).</w:t>
      </w:r>
    </w:p>
  </w:footnote>
  <w:footnote w:id="3">
    <w:p w14:paraId="3D7118EB" w14:textId="03741A34" w:rsidR="00AB0AA2" w:rsidRPr="000702C2" w:rsidRDefault="00AB0AA2">
      <w:pPr>
        <w:pStyle w:val="FootnoteText"/>
        <w:rPr>
          <w:i/>
          <w:lang w:val="en-GB"/>
        </w:rPr>
      </w:pPr>
      <w:r>
        <w:rPr>
          <w:rStyle w:val="FootnoteReference"/>
        </w:rPr>
        <w:footnoteRef/>
      </w:r>
      <w:r>
        <w:t xml:space="preserve"> </w:t>
      </w:r>
      <w:r>
        <w:rPr>
          <w:i/>
          <w:lang w:val="en-GB"/>
        </w:rPr>
        <w:t>Cloete Murray NO &amp; Anor</w:t>
      </w:r>
      <w:r w:rsidR="000702C2">
        <w:rPr>
          <w:i/>
          <w:lang w:val="en-GB"/>
        </w:rPr>
        <w:t xml:space="preserve"> </w:t>
      </w:r>
      <w:r w:rsidR="000702C2" w:rsidRPr="000702C2">
        <w:rPr>
          <w:i/>
          <w:lang w:val="en-GB"/>
        </w:rPr>
        <w:t>v First</w:t>
      </w:r>
      <w:r w:rsidR="000702C2">
        <w:rPr>
          <w:i/>
          <w:lang w:val="en-GB"/>
        </w:rPr>
        <w:t>Rand Bank Ltd [2015] ZASCA 39 (26 March 2015).</w:t>
      </w:r>
      <w:r w:rsidR="000702C2" w:rsidRPr="000702C2">
        <w:rPr>
          <w:i/>
          <w:lang w:val="en-GB"/>
        </w:rPr>
        <w:t xml:space="preserve"> </w:t>
      </w:r>
      <w:r w:rsidRPr="000702C2">
        <w:rPr>
          <w:i/>
          <w:lang w:val="en-GB"/>
        </w:rPr>
        <w:t xml:space="preserve"> </w:t>
      </w:r>
    </w:p>
  </w:footnote>
  <w:footnote w:id="4">
    <w:p w14:paraId="4F929727" w14:textId="5E2941C0" w:rsidR="00002A64" w:rsidRPr="00002A64" w:rsidRDefault="00002A64">
      <w:pPr>
        <w:pStyle w:val="FootnoteText"/>
        <w:rPr>
          <w:lang w:val="en-GB"/>
        </w:rPr>
      </w:pPr>
      <w:r>
        <w:rPr>
          <w:rStyle w:val="FootnoteReference"/>
        </w:rPr>
        <w:footnoteRef/>
      </w:r>
      <w:bookmarkStart w:id="1" w:name="_GoBack"/>
      <w:bookmarkEnd w:id="1"/>
      <w:r w:rsidR="000702C2">
        <w:t xml:space="preserve"> </w:t>
      </w:r>
      <w:r w:rsidR="000702C2">
        <w:rPr>
          <w:lang w:val="en-GB"/>
        </w:rPr>
        <w:t xml:space="preserve">Companies Act 2008 </w:t>
      </w:r>
      <w:r>
        <w:rPr>
          <w:lang w:val="en-GB"/>
        </w:rPr>
        <w:t>ss. 75  and 137(2)(c).</w:t>
      </w:r>
    </w:p>
  </w:footnote>
  <w:footnote w:id="5">
    <w:p w14:paraId="75061FC6" w14:textId="2265F1E4" w:rsidR="003C3364" w:rsidRPr="003C3364" w:rsidRDefault="003C3364">
      <w:pPr>
        <w:pStyle w:val="FootnoteText"/>
        <w:rPr>
          <w:lang w:val="en-GB"/>
        </w:rPr>
      </w:pPr>
      <w:r>
        <w:rPr>
          <w:rStyle w:val="FootnoteReference"/>
        </w:rPr>
        <w:footnoteRef/>
      </w:r>
      <w:r>
        <w:t xml:space="preserve"> </w:t>
      </w:r>
      <w:r>
        <w:rPr>
          <w:lang w:val="en-GB"/>
        </w:rPr>
        <w:t>Idem s.77(3)(a).</w:t>
      </w:r>
    </w:p>
  </w:footnote>
  <w:footnote w:id="6">
    <w:p w14:paraId="6CD176F4" w14:textId="77777777" w:rsidR="00C82843" w:rsidRPr="00CE266A" w:rsidRDefault="00C82843" w:rsidP="00C82843">
      <w:pPr>
        <w:pStyle w:val="FootnoteText"/>
        <w:rPr>
          <w:lang w:val="en-GB"/>
        </w:rPr>
      </w:pPr>
      <w:r>
        <w:rPr>
          <w:rStyle w:val="FootnoteReference"/>
        </w:rPr>
        <w:footnoteRef/>
      </w:r>
      <w:r>
        <w:t xml:space="preserve"> </w:t>
      </w:r>
      <w:r>
        <w:rPr>
          <w:lang w:val="en-GB"/>
        </w:rPr>
        <w:t xml:space="preserve">Companies Act 2008 s. 152 (3)( c). </w:t>
      </w:r>
    </w:p>
  </w:footnote>
  <w:footnote w:id="7">
    <w:p w14:paraId="3ACD69AC" w14:textId="77777777" w:rsidR="00C82843" w:rsidRPr="005A7F70" w:rsidRDefault="00C82843" w:rsidP="00C82843">
      <w:pPr>
        <w:pStyle w:val="FootnoteText"/>
        <w:rPr>
          <w:lang w:val="en-GB"/>
        </w:rPr>
      </w:pPr>
      <w:r>
        <w:rPr>
          <w:rStyle w:val="FootnoteReference"/>
        </w:rPr>
        <w:footnoteRef/>
      </w:r>
      <w:r>
        <w:t xml:space="preserve"> </w:t>
      </w:r>
      <w:r>
        <w:rPr>
          <w:lang w:val="en-GB"/>
        </w:rPr>
        <w:t>Idem s. 152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D05A84"/>
    <w:multiLevelType w:val="hybridMultilevel"/>
    <w:tmpl w:val="00261D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D77646"/>
    <w:multiLevelType w:val="hybridMultilevel"/>
    <w:tmpl w:val="08945A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03470"/>
    <w:multiLevelType w:val="hybridMultilevel"/>
    <w:tmpl w:val="BBD21994"/>
    <w:lvl w:ilvl="0" w:tplc="20000001">
      <w:start w:val="1"/>
      <w:numFmt w:val="bullet"/>
      <w:lvlText w:val=""/>
      <w:lvlJc w:val="left"/>
      <w:pPr>
        <w:ind w:left="1510" w:hanging="360"/>
      </w:pPr>
      <w:rPr>
        <w:rFonts w:ascii="Symbol" w:hAnsi="Symbol" w:hint="default"/>
      </w:rPr>
    </w:lvl>
    <w:lvl w:ilvl="1" w:tplc="20000003" w:tentative="1">
      <w:start w:val="1"/>
      <w:numFmt w:val="bullet"/>
      <w:lvlText w:val="o"/>
      <w:lvlJc w:val="left"/>
      <w:pPr>
        <w:ind w:left="2230" w:hanging="360"/>
      </w:pPr>
      <w:rPr>
        <w:rFonts w:ascii="Courier New" w:hAnsi="Courier New" w:cs="Courier New" w:hint="default"/>
      </w:rPr>
    </w:lvl>
    <w:lvl w:ilvl="2" w:tplc="20000005" w:tentative="1">
      <w:start w:val="1"/>
      <w:numFmt w:val="bullet"/>
      <w:lvlText w:val=""/>
      <w:lvlJc w:val="left"/>
      <w:pPr>
        <w:ind w:left="2950" w:hanging="360"/>
      </w:pPr>
      <w:rPr>
        <w:rFonts w:ascii="Wingdings" w:hAnsi="Wingdings" w:hint="default"/>
      </w:rPr>
    </w:lvl>
    <w:lvl w:ilvl="3" w:tplc="20000001" w:tentative="1">
      <w:start w:val="1"/>
      <w:numFmt w:val="bullet"/>
      <w:lvlText w:val=""/>
      <w:lvlJc w:val="left"/>
      <w:pPr>
        <w:ind w:left="3670" w:hanging="360"/>
      </w:pPr>
      <w:rPr>
        <w:rFonts w:ascii="Symbol" w:hAnsi="Symbol" w:hint="default"/>
      </w:rPr>
    </w:lvl>
    <w:lvl w:ilvl="4" w:tplc="20000003" w:tentative="1">
      <w:start w:val="1"/>
      <w:numFmt w:val="bullet"/>
      <w:lvlText w:val="o"/>
      <w:lvlJc w:val="left"/>
      <w:pPr>
        <w:ind w:left="4390" w:hanging="360"/>
      </w:pPr>
      <w:rPr>
        <w:rFonts w:ascii="Courier New" w:hAnsi="Courier New" w:cs="Courier New" w:hint="default"/>
      </w:rPr>
    </w:lvl>
    <w:lvl w:ilvl="5" w:tplc="20000005" w:tentative="1">
      <w:start w:val="1"/>
      <w:numFmt w:val="bullet"/>
      <w:lvlText w:val=""/>
      <w:lvlJc w:val="left"/>
      <w:pPr>
        <w:ind w:left="5110" w:hanging="360"/>
      </w:pPr>
      <w:rPr>
        <w:rFonts w:ascii="Wingdings" w:hAnsi="Wingdings" w:hint="default"/>
      </w:rPr>
    </w:lvl>
    <w:lvl w:ilvl="6" w:tplc="20000001" w:tentative="1">
      <w:start w:val="1"/>
      <w:numFmt w:val="bullet"/>
      <w:lvlText w:val=""/>
      <w:lvlJc w:val="left"/>
      <w:pPr>
        <w:ind w:left="5830" w:hanging="360"/>
      </w:pPr>
      <w:rPr>
        <w:rFonts w:ascii="Symbol" w:hAnsi="Symbol" w:hint="default"/>
      </w:rPr>
    </w:lvl>
    <w:lvl w:ilvl="7" w:tplc="20000003" w:tentative="1">
      <w:start w:val="1"/>
      <w:numFmt w:val="bullet"/>
      <w:lvlText w:val="o"/>
      <w:lvlJc w:val="left"/>
      <w:pPr>
        <w:ind w:left="6550" w:hanging="360"/>
      </w:pPr>
      <w:rPr>
        <w:rFonts w:ascii="Courier New" w:hAnsi="Courier New" w:cs="Courier New" w:hint="default"/>
      </w:rPr>
    </w:lvl>
    <w:lvl w:ilvl="8" w:tplc="20000005" w:tentative="1">
      <w:start w:val="1"/>
      <w:numFmt w:val="bullet"/>
      <w:lvlText w:val=""/>
      <w:lvlJc w:val="left"/>
      <w:pPr>
        <w:ind w:left="7270" w:hanging="360"/>
      </w:pPr>
      <w:rPr>
        <w:rFonts w:ascii="Wingdings" w:hAnsi="Wingdings" w:hint="default"/>
      </w:rPr>
    </w:lvl>
  </w:abstractNum>
  <w:abstractNum w:abstractNumId="18"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DA91ED7"/>
    <w:multiLevelType w:val="hybridMultilevel"/>
    <w:tmpl w:val="A4A84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7784665A"/>
    <w:multiLevelType w:val="hybridMultilevel"/>
    <w:tmpl w:val="338C0416"/>
    <w:lvl w:ilvl="0" w:tplc="20000019">
      <w:start w:val="1"/>
      <w:numFmt w:val="lowerLetter"/>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35"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7FEE31D9"/>
    <w:multiLevelType w:val="hybridMultilevel"/>
    <w:tmpl w:val="2012A1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5"/>
  </w:num>
  <w:num w:numId="3">
    <w:abstractNumId w:val="29"/>
  </w:num>
  <w:num w:numId="4">
    <w:abstractNumId w:val="26"/>
  </w:num>
  <w:num w:numId="5">
    <w:abstractNumId w:val="36"/>
  </w:num>
  <w:num w:numId="6">
    <w:abstractNumId w:val="22"/>
  </w:num>
  <w:num w:numId="7">
    <w:abstractNumId w:val="28"/>
  </w:num>
  <w:num w:numId="8">
    <w:abstractNumId w:val="6"/>
  </w:num>
  <w:num w:numId="9">
    <w:abstractNumId w:val="15"/>
  </w:num>
  <w:num w:numId="10">
    <w:abstractNumId w:val="2"/>
  </w:num>
  <w:num w:numId="11">
    <w:abstractNumId w:val="31"/>
  </w:num>
  <w:num w:numId="12">
    <w:abstractNumId w:val="30"/>
  </w:num>
  <w:num w:numId="13">
    <w:abstractNumId w:val="11"/>
  </w:num>
  <w:num w:numId="14">
    <w:abstractNumId w:val="0"/>
  </w:num>
  <w:num w:numId="15">
    <w:abstractNumId w:val="24"/>
  </w:num>
  <w:num w:numId="16">
    <w:abstractNumId w:val="20"/>
  </w:num>
  <w:num w:numId="17">
    <w:abstractNumId w:val="35"/>
  </w:num>
  <w:num w:numId="18">
    <w:abstractNumId w:val="32"/>
  </w:num>
  <w:num w:numId="19">
    <w:abstractNumId w:val="14"/>
  </w:num>
  <w:num w:numId="20">
    <w:abstractNumId w:val="18"/>
  </w:num>
  <w:num w:numId="21">
    <w:abstractNumId w:val="1"/>
  </w:num>
  <w:num w:numId="22">
    <w:abstractNumId w:val="12"/>
  </w:num>
  <w:num w:numId="23">
    <w:abstractNumId w:val="25"/>
  </w:num>
  <w:num w:numId="24">
    <w:abstractNumId w:val="21"/>
  </w:num>
  <w:num w:numId="25">
    <w:abstractNumId w:val="13"/>
  </w:num>
  <w:num w:numId="26">
    <w:abstractNumId w:val="27"/>
  </w:num>
  <w:num w:numId="27">
    <w:abstractNumId w:val="37"/>
  </w:num>
  <w:num w:numId="28">
    <w:abstractNumId w:val="16"/>
  </w:num>
  <w:num w:numId="29">
    <w:abstractNumId w:val="33"/>
  </w:num>
  <w:num w:numId="30">
    <w:abstractNumId w:val="7"/>
  </w:num>
  <w:num w:numId="31">
    <w:abstractNumId w:val="10"/>
  </w:num>
  <w:num w:numId="32">
    <w:abstractNumId w:val="19"/>
  </w:num>
  <w:num w:numId="33">
    <w:abstractNumId w:val="4"/>
  </w:num>
  <w:num w:numId="34">
    <w:abstractNumId w:val="38"/>
  </w:num>
  <w:num w:numId="35">
    <w:abstractNumId w:val="34"/>
  </w:num>
  <w:num w:numId="36">
    <w:abstractNumId w:val="17"/>
  </w:num>
  <w:num w:numId="37">
    <w:abstractNumId w:val="9"/>
  </w:num>
  <w:num w:numId="38">
    <w:abstractNumId w:val="8"/>
  </w:num>
  <w:num w:numId="3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A64"/>
    <w:rsid w:val="00003B15"/>
    <w:rsid w:val="000059C9"/>
    <w:rsid w:val="00006371"/>
    <w:rsid w:val="00006523"/>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52A0B"/>
    <w:rsid w:val="000627E0"/>
    <w:rsid w:val="00065166"/>
    <w:rsid w:val="00067160"/>
    <w:rsid w:val="00067C67"/>
    <w:rsid w:val="000702C2"/>
    <w:rsid w:val="0007191F"/>
    <w:rsid w:val="00076686"/>
    <w:rsid w:val="00082609"/>
    <w:rsid w:val="000851CC"/>
    <w:rsid w:val="00086F43"/>
    <w:rsid w:val="00087F21"/>
    <w:rsid w:val="00091826"/>
    <w:rsid w:val="00093BE8"/>
    <w:rsid w:val="0009401D"/>
    <w:rsid w:val="000959BB"/>
    <w:rsid w:val="000A208F"/>
    <w:rsid w:val="000A3EA7"/>
    <w:rsid w:val="000A407B"/>
    <w:rsid w:val="000A68ED"/>
    <w:rsid w:val="000A6D56"/>
    <w:rsid w:val="000A7438"/>
    <w:rsid w:val="000B1E92"/>
    <w:rsid w:val="000B37B0"/>
    <w:rsid w:val="000B5FF1"/>
    <w:rsid w:val="000B609F"/>
    <w:rsid w:val="000D55A8"/>
    <w:rsid w:val="000D6327"/>
    <w:rsid w:val="000D65DB"/>
    <w:rsid w:val="000D6963"/>
    <w:rsid w:val="000E4841"/>
    <w:rsid w:val="000E4FA3"/>
    <w:rsid w:val="000F1677"/>
    <w:rsid w:val="000F1FFD"/>
    <w:rsid w:val="000F3D6C"/>
    <w:rsid w:val="000F3F76"/>
    <w:rsid w:val="000F708F"/>
    <w:rsid w:val="00101707"/>
    <w:rsid w:val="0010170D"/>
    <w:rsid w:val="00102CC9"/>
    <w:rsid w:val="0010593A"/>
    <w:rsid w:val="00111F83"/>
    <w:rsid w:val="0011473D"/>
    <w:rsid w:val="00115C85"/>
    <w:rsid w:val="00122789"/>
    <w:rsid w:val="00123855"/>
    <w:rsid w:val="0012606E"/>
    <w:rsid w:val="00126A4D"/>
    <w:rsid w:val="00127195"/>
    <w:rsid w:val="00127E45"/>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00C7"/>
    <w:rsid w:val="001A2205"/>
    <w:rsid w:val="001A2441"/>
    <w:rsid w:val="001A4315"/>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3E0D"/>
    <w:rsid w:val="001F52A0"/>
    <w:rsid w:val="001F7412"/>
    <w:rsid w:val="0020090A"/>
    <w:rsid w:val="00201840"/>
    <w:rsid w:val="00202DFE"/>
    <w:rsid w:val="0020537C"/>
    <w:rsid w:val="0020725B"/>
    <w:rsid w:val="00207C3D"/>
    <w:rsid w:val="002110F1"/>
    <w:rsid w:val="00212EAF"/>
    <w:rsid w:val="0021407D"/>
    <w:rsid w:val="0022116B"/>
    <w:rsid w:val="00221D20"/>
    <w:rsid w:val="00226CB6"/>
    <w:rsid w:val="00230812"/>
    <w:rsid w:val="00233B19"/>
    <w:rsid w:val="002356EA"/>
    <w:rsid w:val="002373A3"/>
    <w:rsid w:val="00237777"/>
    <w:rsid w:val="002409C2"/>
    <w:rsid w:val="0024116D"/>
    <w:rsid w:val="00241B44"/>
    <w:rsid w:val="00241FA3"/>
    <w:rsid w:val="00244911"/>
    <w:rsid w:val="00245EFB"/>
    <w:rsid w:val="002476C0"/>
    <w:rsid w:val="00250DC9"/>
    <w:rsid w:val="002516D6"/>
    <w:rsid w:val="00251E6D"/>
    <w:rsid w:val="00251EE7"/>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D4D42"/>
    <w:rsid w:val="002E3CEB"/>
    <w:rsid w:val="002F1956"/>
    <w:rsid w:val="002F1E1E"/>
    <w:rsid w:val="002F31F3"/>
    <w:rsid w:val="002F3440"/>
    <w:rsid w:val="002F75A3"/>
    <w:rsid w:val="00303C2F"/>
    <w:rsid w:val="00305E53"/>
    <w:rsid w:val="003067CD"/>
    <w:rsid w:val="00307D85"/>
    <w:rsid w:val="00310CD9"/>
    <w:rsid w:val="003144EF"/>
    <w:rsid w:val="00314DAA"/>
    <w:rsid w:val="00315B66"/>
    <w:rsid w:val="00326292"/>
    <w:rsid w:val="0032636F"/>
    <w:rsid w:val="00326415"/>
    <w:rsid w:val="00330937"/>
    <w:rsid w:val="00330F31"/>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5EC0"/>
    <w:rsid w:val="00396821"/>
    <w:rsid w:val="00397D3A"/>
    <w:rsid w:val="003A051E"/>
    <w:rsid w:val="003A0927"/>
    <w:rsid w:val="003A2D1E"/>
    <w:rsid w:val="003B0EE9"/>
    <w:rsid w:val="003B166C"/>
    <w:rsid w:val="003B170F"/>
    <w:rsid w:val="003B2B15"/>
    <w:rsid w:val="003B36EA"/>
    <w:rsid w:val="003B3847"/>
    <w:rsid w:val="003B3C5F"/>
    <w:rsid w:val="003C20E8"/>
    <w:rsid w:val="003C3364"/>
    <w:rsid w:val="003C4471"/>
    <w:rsid w:val="003C5922"/>
    <w:rsid w:val="003C6597"/>
    <w:rsid w:val="003D0677"/>
    <w:rsid w:val="003D0A6D"/>
    <w:rsid w:val="003D6B6A"/>
    <w:rsid w:val="003D7241"/>
    <w:rsid w:val="003D768E"/>
    <w:rsid w:val="003E0B16"/>
    <w:rsid w:val="003E67D1"/>
    <w:rsid w:val="003E7313"/>
    <w:rsid w:val="003F3F38"/>
    <w:rsid w:val="00400F2D"/>
    <w:rsid w:val="0040332F"/>
    <w:rsid w:val="00404329"/>
    <w:rsid w:val="00405DC1"/>
    <w:rsid w:val="0041085C"/>
    <w:rsid w:val="00415F1F"/>
    <w:rsid w:val="00416FEB"/>
    <w:rsid w:val="0042108F"/>
    <w:rsid w:val="00425377"/>
    <w:rsid w:val="004264D0"/>
    <w:rsid w:val="00430FED"/>
    <w:rsid w:val="00434A8C"/>
    <w:rsid w:val="004370AC"/>
    <w:rsid w:val="00437297"/>
    <w:rsid w:val="004402DC"/>
    <w:rsid w:val="00441DAE"/>
    <w:rsid w:val="00444284"/>
    <w:rsid w:val="00444FA0"/>
    <w:rsid w:val="00445CE6"/>
    <w:rsid w:val="00450A62"/>
    <w:rsid w:val="004534C2"/>
    <w:rsid w:val="00454129"/>
    <w:rsid w:val="0045446F"/>
    <w:rsid w:val="00454E2B"/>
    <w:rsid w:val="0045683E"/>
    <w:rsid w:val="00461A4C"/>
    <w:rsid w:val="0047497A"/>
    <w:rsid w:val="00475075"/>
    <w:rsid w:val="00475CC7"/>
    <w:rsid w:val="00477C72"/>
    <w:rsid w:val="00481D6B"/>
    <w:rsid w:val="00482465"/>
    <w:rsid w:val="0048428F"/>
    <w:rsid w:val="004873F8"/>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5FDF"/>
    <w:rsid w:val="00502C57"/>
    <w:rsid w:val="00503068"/>
    <w:rsid w:val="00504765"/>
    <w:rsid w:val="005054A9"/>
    <w:rsid w:val="00506B49"/>
    <w:rsid w:val="00514451"/>
    <w:rsid w:val="00515C35"/>
    <w:rsid w:val="005177FE"/>
    <w:rsid w:val="0052263B"/>
    <w:rsid w:val="00524728"/>
    <w:rsid w:val="00532F16"/>
    <w:rsid w:val="005331CA"/>
    <w:rsid w:val="00533B9E"/>
    <w:rsid w:val="005356BF"/>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407"/>
    <w:rsid w:val="005925C2"/>
    <w:rsid w:val="00592F82"/>
    <w:rsid w:val="00595042"/>
    <w:rsid w:val="005A0CCA"/>
    <w:rsid w:val="005A464B"/>
    <w:rsid w:val="005A6FF2"/>
    <w:rsid w:val="005A726D"/>
    <w:rsid w:val="005A7F70"/>
    <w:rsid w:val="005B4219"/>
    <w:rsid w:val="005B5C5F"/>
    <w:rsid w:val="005B6708"/>
    <w:rsid w:val="005B67AC"/>
    <w:rsid w:val="005B79F4"/>
    <w:rsid w:val="005C02D6"/>
    <w:rsid w:val="005C3312"/>
    <w:rsid w:val="005C5D24"/>
    <w:rsid w:val="005C6CFB"/>
    <w:rsid w:val="005C764D"/>
    <w:rsid w:val="005D0A0D"/>
    <w:rsid w:val="005D12BE"/>
    <w:rsid w:val="005D16DD"/>
    <w:rsid w:val="005D233A"/>
    <w:rsid w:val="005D23BD"/>
    <w:rsid w:val="005D43E0"/>
    <w:rsid w:val="005D47B7"/>
    <w:rsid w:val="005D5828"/>
    <w:rsid w:val="005D58A3"/>
    <w:rsid w:val="005D7406"/>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382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2B5"/>
    <w:rsid w:val="00654C2F"/>
    <w:rsid w:val="00657087"/>
    <w:rsid w:val="00662BC3"/>
    <w:rsid w:val="006639DB"/>
    <w:rsid w:val="006661EF"/>
    <w:rsid w:val="00675666"/>
    <w:rsid w:val="00677AEB"/>
    <w:rsid w:val="00680EF2"/>
    <w:rsid w:val="00684655"/>
    <w:rsid w:val="00687A1D"/>
    <w:rsid w:val="00691D5F"/>
    <w:rsid w:val="0069476B"/>
    <w:rsid w:val="00697EA1"/>
    <w:rsid w:val="006A0099"/>
    <w:rsid w:val="006A2646"/>
    <w:rsid w:val="006A4823"/>
    <w:rsid w:val="006A509C"/>
    <w:rsid w:val="006A6530"/>
    <w:rsid w:val="006A7F25"/>
    <w:rsid w:val="006B1876"/>
    <w:rsid w:val="006B2D95"/>
    <w:rsid w:val="006B300C"/>
    <w:rsid w:val="006B435A"/>
    <w:rsid w:val="006B43A3"/>
    <w:rsid w:val="006B4C64"/>
    <w:rsid w:val="006B503E"/>
    <w:rsid w:val="006B67AC"/>
    <w:rsid w:val="006C06C8"/>
    <w:rsid w:val="006C0D17"/>
    <w:rsid w:val="006C1470"/>
    <w:rsid w:val="006C2BBF"/>
    <w:rsid w:val="006C361E"/>
    <w:rsid w:val="006D2BE7"/>
    <w:rsid w:val="006D63D0"/>
    <w:rsid w:val="006D66C3"/>
    <w:rsid w:val="006D6BD5"/>
    <w:rsid w:val="006E21C4"/>
    <w:rsid w:val="006E481A"/>
    <w:rsid w:val="006E5298"/>
    <w:rsid w:val="006F3B8B"/>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0C1E"/>
    <w:rsid w:val="0073158B"/>
    <w:rsid w:val="0073326E"/>
    <w:rsid w:val="007333CC"/>
    <w:rsid w:val="0073399A"/>
    <w:rsid w:val="00737C86"/>
    <w:rsid w:val="00740DAD"/>
    <w:rsid w:val="00747162"/>
    <w:rsid w:val="0075245B"/>
    <w:rsid w:val="007537B8"/>
    <w:rsid w:val="00754BBC"/>
    <w:rsid w:val="00754BEA"/>
    <w:rsid w:val="007603F5"/>
    <w:rsid w:val="00764DB0"/>
    <w:rsid w:val="00765AE9"/>
    <w:rsid w:val="0076764D"/>
    <w:rsid w:val="0077498C"/>
    <w:rsid w:val="00777971"/>
    <w:rsid w:val="007809BC"/>
    <w:rsid w:val="00784128"/>
    <w:rsid w:val="00785FE5"/>
    <w:rsid w:val="00787BCC"/>
    <w:rsid w:val="00793173"/>
    <w:rsid w:val="00793DA7"/>
    <w:rsid w:val="00796E9A"/>
    <w:rsid w:val="007978EC"/>
    <w:rsid w:val="007A1C65"/>
    <w:rsid w:val="007A2A33"/>
    <w:rsid w:val="007B119E"/>
    <w:rsid w:val="007B1AC4"/>
    <w:rsid w:val="007B1B85"/>
    <w:rsid w:val="007B5AFB"/>
    <w:rsid w:val="007B5C89"/>
    <w:rsid w:val="007B7E06"/>
    <w:rsid w:val="007B7FAB"/>
    <w:rsid w:val="007C15ED"/>
    <w:rsid w:val="007C1FCC"/>
    <w:rsid w:val="007C6201"/>
    <w:rsid w:val="007D227D"/>
    <w:rsid w:val="007D4A65"/>
    <w:rsid w:val="007D63C5"/>
    <w:rsid w:val="007D6DF1"/>
    <w:rsid w:val="007D7C92"/>
    <w:rsid w:val="007E1154"/>
    <w:rsid w:val="007E3C8F"/>
    <w:rsid w:val="007E4E77"/>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2877"/>
    <w:rsid w:val="00844879"/>
    <w:rsid w:val="00850C1A"/>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E3339"/>
    <w:rsid w:val="008E79A7"/>
    <w:rsid w:val="008E7AAE"/>
    <w:rsid w:val="008E7F55"/>
    <w:rsid w:val="008F20FC"/>
    <w:rsid w:val="008F4A35"/>
    <w:rsid w:val="008F5FFE"/>
    <w:rsid w:val="008F6C22"/>
    <w:rsid w:val="00903422"/>
    <w:rsid w:val="00904B54"/>
    <w:rsid w:val="00905A43"/>
    <w:rsid w:val="00906E8C"/>
    <w:rsid w:val="0091251C"/>
    <w:rsid w:val="00912C79"/>
    <w:rsid w:val="0091693A"/>
    <w:rsid w:val="00921B8C"/>
    <w:rsid w:val="00923EAD"/>
    <w:rsid w:val="00924D26"/>
    <w:rsid w:val="009309A0"/>
    <w:rsid w:val="009314AD"/>
    <w:rsid w:val="00940120"/>
    <w:rsid w:val="009419FF"/>
    <w:rsid w:val="00942123"/>
    <w:rsid w:val="00945BCC"/>
    <w:rsid w:val="00945FEA"/>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0F14"/>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627C"/>
    <w:rsid w:val="00A67FBE"/>
    <w:rsid w:val="00A71019"/>
    <w:rsid w:val="00A77FB4"/>
    <w:rsid w:val="00A81029"/>
    <w:rsid w:val="00A82010"/>
    <w:rsid w:val="00A845F5"/>
    <w:rsid w:val="00A85685"/>
    <w:rsid w:val="00A86EA2"/>
    <w:rsid w:val="00A90B7E"/>
    <w:rsid w:val="00A96489"/>
    <w:rsid w:val="00AA4EEA"/>
    <w:rsid w:val="00AA67A8"/>
    <w:rsid w:val="00AB0045"/>
    <w:rsid w:val="00AB0170"/>
    <w:rsid w:val="00AB0821"/>
    <w:rsid w:val="00AB0AA2"/>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4CE5"/>
    <w:rsid w:val="00B016A8"/>
    <w:rsid w:val="00B122EA"/>
    <w:rsid w:val="00B1461F"/>
    <w:rsid w:val="00B14819"/>
    <w:rsid w:val="00B15E2F"/>
    <w:rsid w:val="00B16C85"/>
    <w:rsid w:val="00B17AA9"/>
    <w:rsid w:val="00B22A28"/>
    <w:rsid w:val="00B24839"/>
    <w:rsid w:val="00B30294"/>
    <w:rsid w:val="00B3727B"/>
    <w:rsid w:val="00B401D6"/>
    <w:rsid w:val="00B404F6"/>
    <w:rsid w:val="00B44713"/>
    <w:rsid w:val="00B46C4B"/>
    <w:rsid w:val="00B50944"/>
    <w:rsid w:val="00B517AE"/>
    <w:rsid w:val="00B51B95"/>
    <w:rsid w:val="00B56103"/>
    <w:rsid w:val="00B578B8"/>
    <w:rsid w:val="00B61534"/>
    <w:rsid w:val="00B64929"/>
    <w:rsid w:val="00B66E53"/>
    <w:rsid w:val="00B6780F"/>
    <w:rsid w:val="00B71885"/>
    <w:rsid w:val="00B736DF"/>
    <w:rsid w:val="00B743D6"/>
    <w:rsid w:val="00B74FBD"/>
    <w:rsid w:val="00B76187"/>
    <w:rsid w:val="00B77F46"/>
    <w:rsid w:val="00B82586"/>
    <w:rsid w:val="00B829A3"/>
    <w:rsid w:val="00B82C2E"/>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5505"/>
    <w:rsid w:val="00BB0E34"/>
    <w:rsid w:val="00BB0E4B"/>
    <w:rsid w:val="00BB0F2B"/>
    <w:rsid w:val="00BB244E"/>
    <w:rsid w:val="00BB7DFD"/>
    <w:rsid w:val="00BC0C56"/>
    <w:rsid w:val="00BC24AD"/>
    <w:rsid w:val="00BC56F4"/>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32139"/>
    <w:rsid w:val="00C35671"/>
    <w:rsid w:val="00C35B77"/>
    <w:rsid w:val="00C3600E"/>
    <w:rsid w:val="00C376EB"/>
    <w:rsid w:val="00C418CF"/>
    <w:rsid w:val="00C41B6B"/>
    <w:rsid w:val="00C434C3"/>
    <w:rsid w:val="00C45305"/>
    <w:rsid w:val="00C46A92"/>
    <w:rsid w:val="00C46EC1"/>
    <w:rsid w:val="00C52796"/>
    <w:rsid w:val="00C53E2C"/>
    <w:rsid w:val="00C550C8"/>
    <w:rsid w:val="00C55824"/>
    <w:rsid w:val="00C56B61"/>
    <w:rsid w:val="00C57273"/>
    <w:rsid w:val="00C606C3"/>
    <w:rsid w:val="00C61146"/>
    <w:rsid w:val="00C619D3"/>
    <w:rsid w:val="00C620F4"/>
    <w:rsid w:val="00C6409D"/>
    <w:rsid w:val="00C72848"/>
    <w:rsid w:val="00C7736C"/>
    <w:rsid w:val="00C82843"/>
    <w:rsid w:val="00C82D87"/>
    <w:rsid w:val="00C83657"/>
    <w:rsid w:val="00C8712A"/>
    <w:rsid w:val="00C902C8"/>
    <w:rsid w:val="00C919D1"/>
    <w:rsid w:val="00C963D3"/>
    <w:rsid w:val="00CA254C"/>
    <w:rsid w:val="00CA2B44"/>
    <w:rsid w:val="00CA7B50"/>
    <w:rsid w:val="00CB1983"/>
    <w:rsid w:val="00CB2CBB"/>
    <w:rsid w:val="00CB6CCB"/>
    <w:rsid w:val="00CB7CAC"/>
    <w:rsid w:val="00CC4C50"/>
    <w:rsid w:val="00CC5335"/>
    <w:rsid w:val="00CC5451"/>
    <w:rsid w:val="00CC5BA4"/>
    <w:rsid w:val="00CC6F73"/>
    <w:rsid w:val="00CD4998"/>
    <w:rsid w:val="00CD5058"/>
    <w:rsid w:val="00CD707C"/>
    <w:rsid w:val="00CE1035"/>
    <w:rsid w:val="00CE2198"/>
    <w:rsid w:val="00CE266A"/>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30120"/>
    <w:rsid w:val="00D40B41"/>
    <w:rsid w:val="00D41FDB"/>
    <w:rsid w:val="00D42444"/>
    <w:rsid w:val="00D522CF"/>
    <w:rsid w:val="00D53719"/>
    <w:rsid w:val="00D61596"/>
    <w:rsid w:val="00D62306"/>
    <w:rsid w:val="00D63EFD"/>
    <w:rsid w:val="00D71018"/>
    <w:rsid w:val="00D716CF"/>
    <w:rsid w:val="00D719F9"/>
    <w:rsid w:val="00D84752"/>
    <w:rsid w:val="00D85481"/>
    <w:rsid w:val="00D86B3B"/>
    <w:rsid w:val="00D8748A"/>
    <w:rsid w:val="00D91AFC"/>
    <w:rsid w:val="00D923AA"/>
    <w:rsid w:val="00D93196"/>
    <w:rsid w:val="00D93DF0"/>
    <w:rsid w:val="00D97A68"/>
    <w:rsid w:val="00DA0DC0"/>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2BBD"/>
    <w:rsid w:val="00DC3089"/>
    <w:rsid w:val="00DC4420"/>
    <w:rsid w:val="00DD0802"/>
    <w:rsid w:val="00DD2E11"/>
    <w:rsid w:val="00DD2FFB"/>
    <w:rsid w:val="00DE03AF"/>
    <w:rsid w:val="00DE05BA"/>
    <w:rsid w:val="00DE121C"/>
    <w:rsid w:val="00DE366A"/>
    <w:rsid w:val="00DE4387"/>
    <w:rsid w:val="00DE498F"/>
    <w:rsid w:val="00DE6633"/>
    <w:rsid w:val="00DE6A6E"/>
    <w:rsid w:val="00DE7516"/>
    <w:rsid w:val="00DF2D3C"/>
    <w:rsid w:val="00DF3B5B"/>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34A65"/>
    <w:rsid w:val="00E450A4"/>
    <w:rsid w:val="00E453EA"/>
    <w:rsid w:val="00E46C58"/>
    <w:rsid w:val="00E506BE"/>
    <w:rsid w:val="00E55547"/>
    <w:rsid w:val="00E56D74"/>
    <w:rsid w:val="00E62FE8"/>
    <w:rsid w:val="00E6302B"/>
    <w:rsid w:val="00E6452F"/>
    <w:rsid w:val="00E64F45"/>
    <w:rsid w:val="00E65F9C"/>
    <w:rsid w:val="00E6742D"/>
    <w:rsid w:val="00E71CB0"/>
    <w:rsid w:val="00E73A5D"/>
    <w:rsid w:val="00E77C3D"/>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3DA"/>
    <w:rsid w:val="00F05174"/>
    <w:rsid w:val="00F11F17"/>
    <w:rsid w:val="00F13691"/>
    <w:rsid w:val="00F13FB1"/>
    <w:rsid w:val="00F14629"/>
    <w:rsid w:val="00F1622B"/>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3F7A"/>
    <w:rsid w:val="00F519BF"/>
    <w:rsid w:val="00F51F75"/>
    <w:rsid w:val="00F5524B"/>
    <w:rsid w:val="00F60538"/>
    <w:rsid w:val="00F60FDF"/>
    <w:rsid w:val="00F61DD2"/>
    <w:rsid w:val="00F66AFF"/>
    <w:rsid w:val="00F67EA8"/>
    <w:rsid w:val="00F71433"/>
    <w:rsid w:val="00F83DBA"/>
    <w:rsid w:val="00F8668C"/>
    <w:rsid w:val="00F90C34"/>
    <w:rsid w:val="00F93E2A"/>
    <w:rsid w:val="00F95410"/>
    <w:rsid w:val="00F95850"/>
    <w:rsid w:val="00F97C5B"/>
    <w:rsid w:val="00F97DFD"/>
    <w:rsid w:val="00FA3D50"/>
    <w:rsid w:val="00FA6E25"/>
    <w:rsid w:val="00FA7F45"/>
    <w:rsid w:val="00FB715C"/>
    <w:rsid w:val="00FB7FBD"/>
    <w:rsid w:val="00FC0C23"/>
    <w:rsid w:val="00FC374A"/>
    <w:rsid w:val="00FC74C8"/>
    <w:rsid w:val="00FC7B47"/>
    <w:rsid w:val="00FD035C"/>
    <w:rsid w:val="00FD1A35"/>
    <w:rsid w:val="00FD2077"/>
    <w:rsid w:val="00FD2EA4"/>
    <w:rsid w:val="00FD36C5"/>
    <w:rsid w:val="00FD3A27"/>
    <w:rsid w:val="00FD5ECD"/>
    <w:rsid w:val="00FD5EE1"/>
    <w:rsid w:val="00FD6310"/>
    <w:rsid w:val="00FD7C7B"/>
    <w:rsid w:val="00FD7CA4"/>
    <w:rsid w:val="00FE1D12"/>
    <w:rsid w:val="00FE2122"/>
    <w:rsid w:val="00FE2A86"/>
    <w:rsid w:val="00FE2DE2"/>
    <w:rsid w:val="00FE2F0E"/>
    <w:rsid w:val="00FE3F05"/>
    <w:rsid w:val="00FE5B31"/>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4C54-D150-41EE-B5F7-CAB5AA21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12</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AOJ</cp:lastModifiedBy>
  <cp:revision>52</cp:revision>
  <cp:lastPrinted>2023-06-20T16:32:00Z</cp:lastPrinted>
  <dcterms:created xsi:type="dcterms:W3CDTF">2023-06-11T19:14:00Z</dcterms:created>
  <dcterms:modified xsi:type="dcterms:W3CDTF">2023-06-20T17:44:00Z</dcterms:modified>
</cp:coreProperties>
</file>