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7E50A0"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7E50A0">
        <w:rPr>
          <w:rFonts w:ascii="Avenir Next" w:eastAsia="MS Mincho" w:hAnsi="Avenir Next" w:cs="Arial"/>
          <w:sz w:val="22"/>
          <w:szCs w:val="22"/>
          <w:highlight w:val="yellow"/>
          <w:lang w:val="en-GB"/>
        </w:rPr>
        <w:t xml:space="preserve">On the </w:t>
      </w:r>
      <w:r w:rsidR="009C2D45" w:rsidRPr="007E50A0">
        <w:rPr>
          <w:rFonts w:ascii="Avenir Next" w:eastAsia="MS Mincho" w:hAnsi="Avenir Next" w:cs="Arial"/>
          <w:sz w:val="22"/>
          <w:szCs w:val="22"/>
          <w:highlight w:val="yellow"/>
          <w:lang w:val="en-GB"/>
        </w:rPr>
        <w:t>date the qualifying resolution is passed</w:t>
      </w:r>
      <w:r w:rsidRPr="007E50A0">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196D76" w:rsidRDefault="00516777" w:rsidP="00E87B1B">
      <w:pPr>
        <w:pStyle w:val="ListParagraph"/>
        <w:numPr>
          <w:ilvl w:val="0"/>
          <w:numId w:val="14"/>
        </w:numPr>
        <w:ind w:left="426"/>
        <w:jc w:val="both"/>
        <w:rPr>
          <w:rFonts w:ascii="Avenir Next" w:hAnsi="Avenir Next" w:cs="Arial"/>
          <w:sz w:val="22"/>
          <w:szCs w:val="22"/>
          <w:highlight w:val="yellow"/>
          <w:lang w:val="en-GB"/>
        </w:rPr>
      </w:pPr>
      <w:r w:rsidRPr="00196D76">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196D76" w:rsidRDefault="00617A39" w:rsidP="001B77C3">
      <w:pPr>
        <w:pStyle w:val="ListParagraph"/>
        <w:numPr>
          <w:ilvl w:val="0"/>
          <w:numId w:val="15"/>
        </w:numPr>
        <w:ind w:left="426"/>
        <w:jc w:val="both"/>
        <w:rPr>
          <w:rFonts w:ascii="Avenir Next" w:hAnsi="Avenir Next" w:cs="Arial"/>
          <w:sz w:val="22"/>
          <w:szCs w:val="22"/>
          <w:highlight w:val="yellow"/>
          <w:lang w:val="en-GB"/>
        </w:rPr>
      </w:pPr>
      <w:r w:rsidRPr="00196D76">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3579FF">
        <w:rPr>
          <w:rFonts w:ascii="Avenir Next" w:hAnsi="Avenir Next" w:cs="Arial"/>
          <w:sz w:val="22"/>
          <w:szCs w:val="22"/>
          <w:highlight w:val="yellow"/>
          <w:lang w:val="en-GB"/>
        </w:rPr>
        <w:t>The creditors, sureties, persons claiming an interest in the assets of the company and the company</w:t>
      </w:r>
      <w:r w:rsidRPr="005965BF">
        <w:rPr>
          <w:rFonts w:ascii="Avenir Next" w:hAnsi="Avenir Next" w:cs="Arial"/>
          <w:sz w:val="22"/>
          <w:szCs w:val="22"/>
          <w:lang w:val="en-GB"/>
        </w:rPr>
        <w:t>.</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4A188E"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4A188E">
        <w:rPr>
          <w:rFonts w:ascii="Avenir Next" w:hAnsi="Avenir Next" w:cs="Arial"/>
          <w:sz w:val="22"/>
          <w:szCs w:val="22"/>
          <w:highlight w:val="yellow"/>
          <w:lang w:val="en-GB"/>
        </w:rPr>
        <w:t>He</w:t>
      </w:r>
      <w:r w:rsidR="00903504" w:rsidRPr="004A188E">
        <w:rPr>
          <w:rFonts w:ascii="Avenir Next" w:hAnsi="Avenir Next" w:cs="Arial"/>
          <w:sz w:val="22"/>
          <w:szCs w:val="22"/>
          <w:highlight w:val="yellow"/>
          <w:lang w:val="en-GB"/>
        </w:rPr>
        <w:t xml:space="preserve"> or she</w:t>
      </w:r>
      <w:r w:rsidRPr="004A188E">
        <w:rPr>
          <w:rFonts w:ascii="Avenir Next" w:hAnsi="Avenir Next" w:cs="Arial"/>
          <w:sz w:val="22"/>
          <w:szCs w:val="22"/>
          <w:highlight w:val="yellow"/>
          <w:lang w:val="en-GB"/>
        </w:rPr>
        <w:t xml:space="preserve"> is a licenced insolvency practitioner; has given written consent to act; </w:t>
      </w:r>
      <w:r w:rsidR="00903504" w:rsidRPr="004A188E">
        <w:rPr>
          <w:rFonts w:ascii="Avenir Next" w:hAnsi="Avenir Next" w:cs="Arial"/>
          <w:sz w:val="22"/>
          <w:szCs w:val="22"/>
          <w:highlight w:val="yellow"/>
          <w:lang w:val="en-GB"/>
        </w:rPr>
        <w:t xml:space="preserve">is </w:t>
      </w:r>
      <w:r w:rsidRPr="004A188E">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4A188E">
        <w:rPr>
          <w:rFonts w:ascii="Avenir Next" w:hAnsi="Avenir Next" w:cs="Arial"/>
          <w:sz w:val="22"/>
          <w:szCs w:val="22"/>
          <w:highlight w:val="yellow"/>
          <w:lang w:val="en-GB"/>
        </w:rPr>
        <w:t xml:space="preserve"> or her</w:t>
      </w:r>
      <w:r w:rsidRPr="004A188E">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4A188E"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4A188E">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4A188E">
        <w:rPr>
          <w:rFonts w:ascii="Avenir Next" w:hAnsi="Avenir Next" w:cs="Arial"/>
          <w:sz w:val="22"/>
          <w:szCs w:val="22"/>
          <w:lang w:val="en-GB"/>
        </w:rPr>
        <w:t xml:space="preserve"> or her</w:t>
      </w:r>
      <w:r w:rsidRPr="004A188E">
        <w:rPr>
          <w:rFonts w:ascii="Avenir Next" w:hAnsi="Avenir Next" w:cs="Arial"/>
          <w:sz w:val="22"/>
          <w:szCs w:val="22"/>
          <w:lang w:val="en-GB"/>
        </w:rPr>
        <w:t xml:space="preserve"> functions.</w:t>
      </w:r>
    </w:p>
    <w:p w14:paraId="6EA1C8A4" w14:textId="77777777" w:rsidR="00D7001E" w:rsidRPr="004A188E"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4A188E"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4A188E">
        <w:rPr>
          <w:rFonts w:ascii="Avenir Next" w:hAnsi="Avenir Next" w:cs="Arial"/>
          <w:sz w:val="22"/>
          <w:szCs w:val="22"/>
          <w:lang w:val="en-GB"/>
        </w:rPr>
        <w:t xml:space="preserve"> </w:t>
      </w:r>
      <w:r w:rsidR="00903504" w:rsidRPr="004A188E">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4A188E">
        <w:rPr>
          <w:rFonts w:ascii="Avenir Next" w:hAnsi="Avenir Next" w:cs="Arial"/>
          <w:sz w:val="22"/>
          <w:szCs w:val="22"/>
          <w:lang w:val="en-GB"/>
        </w:rPr>
        <w:t xml:space="preserve"> or her</w:t>
      </w:r>
      <w:r w:rsidR="00903504" w:rsidRPr="004A188E">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47D40ED3" w14:textId="70DF6D68" w:rsidR="00A205BF" w:rsidRDefault="00A205BF" w:rsidP="00234DA7">
      <w:pPr>
        <w:autoSpaceDE w:val="0"/>
        <w:autoSpaceDN w:val="0"/>
        <w:adjustRightInd w:val="0"/>
        <w:jc w:val="both"/>
        <w:rPr>
          <w:rFonts w:ascii="Avenir Next" w:hAnsi="Avenir Next" w:cs="Arial"/>
          <w:sz w:val="22"/>
          <w:szCs w:val="22"/>
          <w:lang w:val="en-GB"/>
        </w:rPr>
      </w:pPr>
    </w:p>
    <w:p w14:paraId="4675217F" w14:textId="1692E293" w:rsidR="00234DA7" w:rsidRDefault="00234DA7" w:rsidP="00234DA7">
      <w:pPr>
        <w:autoSpaceDE w:val="0"/>
        <w:autoSpaceDN w:val="0"/>
        <w:adjustRightInd w:val="0"/>
        <w:jc w:val="both"/>
        <w:rPr>
          <w:rFonts w:ascii="Avenir Next" w:hAnsi="Avenir Next" w:cs="Arial"/>
          <w:sz w:val="22"/>
          <w:szCs w:val="22"/>
          <w:lang w:val="en-GB"/>
        </w:rPr>
      </w:pPr>
    </w:p>
    <w:p w14:paraId="1C0AE849" w14:textId="77777777" w:rsidR="00234DA7" w:rsidRPr="00234DA7" w:rsidRDefault="00234DA7" w:rsidP="00234DA7">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296088"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296088">
        <w:rPr>
          <w:rFonts w:ascii="Avenir Next" w:hAnsi="Avenir Next" w:cs="Arial"/>
          <w:sz w:val="22"/>
          <w:szCs w:val="22"/>
          <w:highlight w:val="yellow"/>
          <w:lang w:val="en-GB"/>
        </w:rPr>
        <w:t>Within 12 months of the date of judgment</w:t>
      </w:r>
      <w:r w:rsidR="0027374E" w:rsidRPr="00296088">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4051A8" w:rsidRDefault="00665098" w:rsidP="0027374E">
      <w:pPr>
        <w:pStyle w:val="ListParagraph"/>
        <w:numPr>
          <w:ilvl w:val="0"/>
          <w:numId w:val="19"/>
        </w:numPr>
        <w:ind w:left="426"/>
        <w:jc w:val="both"/>
        <w:rPr>
          <w:rFonts w:ascii="Avenir Next" w:hAnsi="Avenir Next" w:cs="Arial"/>
          <w:sz w:val="22"/>
          <w:szCs w:val="22"/>
          <w:highlight w:val="yellow"/>
          <w:lang w:val="en-GB"/>
        </w:rPr>
      </w:pPr>
      <w:r w:rsidRPr="004051A8">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883089" w:rsidRDefault="00B54DB9" w:rsidP="002649C2">
      <w:pPr>
        <w:pStyle w:val="ListParagraph"/>
        <w:numPr>
          <w:ilvl w:val="0"/>
          <w:numId w:val="20"/>
        </w:numPr>
        <w:ind w:left="426"/>
        <w:jc w:val="both"/>
        <w:rPr>
          <w:rFonts w:ascii="Avenir Next" w:hAnsi="Avenir Next" w:cs="Arial"/>
          <w:sz w:val="22"/>
          <w:szCs w:val="22"/>
          <w:highlight w:val="yellow"/>
          <w:lang w:val="en-GB"/>
        </w:rPr>
      </w:pPr>
      <w:r w:rsidRPr="00883089">
        <w:rPr>
          <w:rFonts w:ascii="Avenir Next" w:hAnsi="Avenir Next" w:cs="Arial"/>
          <w:sz w:val="22"/>
          <w:szCs w:val="22"/>
          <w:highlight w:val="yellow"/>
          <w:lang w:val="en-GB"/>
        </w:rPr>
        <w:t>Two (</w:t>
      </w:r>
      <w:r w:rsidR="00802DB8" w:rsidRPr="00883089">
        <w:rPr>
          <w:rFonts w:ascii="Avenir Next" w:hAnsi="Avenir Next" w:cs="Arial"/>
          <w:sz w:val="22"/>
          <w:szCs w:val="22"/>
          <w:highlight w:val="yellow"/>
          <w:lang w:val="en-GB"/>
        </w:rPr>
        <w:t>2</w:t>
      </w:r>
      <w:r w:rsidRPr="00883089">
        <w:rPr>
          <w:rFonts w:ascii="Avenir Next" w:hAnsi="Avenir Next" w:cs="Arial"/>
          <w:sz w:val="22"/>
          <w:szCs w:val="22"/>
          <w:highlight w:val="yellow"/>
          <w:lang w:val="en-GB"/>
        </w:rPr>
        <w:t>)</w:t>
      </w:r>
      <w:r w:rsidR="00802DB8" w:rsidRPr="00883089">
        <w:rPr>
          <w:rFonts w:ascii="Avenir Next" w:hAnsi="Avenir Next" w:cs="Arial"/>
          <w:sz w:val="22"/>
          <w:szCs w:val="22"/>
          <w:highlight w:val="yellow"/>
          <w:lang w:val="en-GB"/>
        </w:rPr>
        <w:t xml:space="preserve"> years prior to the onset of insolvency</w:t>
      </w:r>
      <w:r w:rsidR="00CE62E7" w:rsidRPr="00883089">
        <w:rPr>
          <w:rFonts w:ascii="Avenir Next" w:hAnsi="Avenir Next" w:cs="Arial"/>
          <w:sz w:val="22"/>
          <w:szCs w:val="22"/>
          <w:highlight w:val="yellow"/>
          <w:lang w:val="en-GB"/>
        </w:rPr>
        <w:t xml:space="preserve"> and ending on the appointment of the liquidator</w:t>
      </w:r>
      <w:r w:rsidR="009859BA" w:rsidRPr="00883089">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93492F">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035932" w:rsidRDefault="00A52262" w:rsidP="002649C2">
      <w:pPr>
        <w:pStyle w:val="ListParagraph"/>
        <w:numPr>
          <w:ilvl w:val="0"/>
          <w:numId w:val="22"/>
        </w:numPr>
        <w:ind w:left="426"/>
        <w:jc w:val="both"/>
        <w:rPr>
          <w:rFonts w:ascii="Avenir Next" w:hAnsi="Avenir Next" w:cs="Arial"/>
          <w:sz w:val="22"/>
          <w:szCs w:val="22"/>
          <w:highlight w:val="yellow"/>
          <w:lang w:val="en-GB"/>
        </w:rPr>
      </w:pPr>
      <w:r w:rsidRPr="00035932">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2AA1FC8" w14:textId="42889365" w:rsidR="005E230B" w:rsidRPr="005965BF" w:rsidRDefault="005E230B" w:rsidP="005E230B">
      <w:pPr>
        <w:jc w:val="both"/>
        <w:rPr>
          <w:rFonts w:ascii="Avenir Next" w:hAnsi="Avenir Next" w:cs="Arial"/>
          <w:sz w:val="22"/>
          <w:szCs w:val="22"/>
          <w:lang w:val="en-GB"/>
        </w:rPr>
      </w:pPr>
    </w:p>
    <w:p w14:paraId="1C8CE2A2" w14:textId="5F4E14FC" w:rsidR="00020557" w:rsidRPr="005E230B" w:rsidRDefault="005E230B" w:rsidP="005E230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rights of a secured creditor are generally unaffected by the BVI insolvency framework. At the secured creditor’s option, they may elect not to participate in a liquidation and instead possess and realize upon the collateral that serves as their security. However, a secured creditor may opt to participate in a liquidation if, for example, they are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because the value of the collateral is less than the outstanding claim. In that instance, under the BVI insolvency framework the creditor has the option to (a) assess the value of the collateral serving as their security and file a claim in the liquidation for the unsecured balance, or (b) surrender the creditor’s security interest and claim their entire outstanding debt as an unsecured claim. The options available to secured creditors under the BVI insolvency scheme serve to protect secured creditors by allowing the flexibility to elect an option which will yield the greatest financial result for that particular creditor based on their secured position. </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496B9A0F" w14:textId="2362F4AF" w:rsidR="00FE2DE2" w:rsidRPr="005965BF" w:rsidRDefault="00017216" w:rsidP="00C842E9">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creditors’ committee has the power to call meetings of the creditors, require the liquidator to attend such meetings and provide information and commentary, and require the liquidator to provide reports and information requested by the committee. The committee also controls the renumeration of the liquidator. </w:t>
      </w:r>
      <w:r w:rsidR="00C842E9">
        <w:rPr>
          <w:rFonts w:ascii="Avenir Next" w:hAnsi="Avenir Next" w:cs="Arial"/>
          <w:color w:val="7B7B7B" w:themeColor="accent3" w:themeShade="BF"/>
          <w:sz w:val="22"/>
          <w:szCs w:val="22"/>
          <w:lang w:val="en-GB"/>
        </w:rPr>
        <w:t>The functional effect of the power given to the committee is that it allows the creditors to take an activist role (if they choose) in the liquidation by compelling a free flow of information and discussion between the company’s creditor</w:t>
      </w:r>
      <w:r w:rsidR="00402633">
        <w:rPr>
          <w:rFonts w:ascii="Avenir Next" w:hAnsi="Avenir Next" w:cs="Arial"/>
          <w:color w:val="7B7B7B" w:themeColor="accent3" w:themeShade="BF"/>
          <w:sz w:val="22"/>
          <w:szCs w:val="22"/>
          <w:lang w:val="en-GB"/>
        </w:rPr>
        <w:t>s</w:t>
      </w:r>
      <w:r w:rsidR="00C842E9">
        <w:rPr>
          <w:rFonts w:ascii="Avenir Next" w:hAnsi="Avenir Next" w:cs="Arial"/>
          <w:color w:val="7B7B7B" w:themeColor="accent3" w:themeShade="BF"/>
          <w:sz w:val="22"/>
          <w:szCs w:val="22"/>
          <w:lang w:val="en-GB"/>
        </w:rPr>
        <w:t xml:space="preserve"> and the liquidator. </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2B03114F" w:rsidR="00C72848" w:rsidRPr="005965BF" w:rsidRDefault="00402633"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Pursuant to Section 467 of the Insolvency Act, a BVI Court can make orders such as (1) an order staying actions against the debtor or its property in the BVI, (2) an order staying any action to create or enforce rights or remedies against the debtor’s property in the BVI, and (3) an order compelling a person to deliver property of the debtor (or the proceeds thereof) to a designated person, in addition to other similar orders which seek to protect the debtor’s assets in the BVI. Section 468 enumerates matters the Court must consider when making such orders. </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381BEE5B" w14:textId="2AE66E8E" w:rsidR="00BA21EA" w:rsidRPr="00BA21EA" w:rsidRDefault="00A91884" w:rsidP="00BA21E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 VIII of the Insolvency Act governs corporate insolvency generally. There are a couple of circumstances under which a Company might be considered insolvent</w:t>
      </w:r>
      <w:r w:rsidR="00BA21EA">
        <w:rPr>
          <w:rFonts w:ascii="Avenir Next" w:hAnsi="Avenir Next" w:cs="Arial"/>
          <w:color w:val="7B7B7B" w:themeColor="accent3" w:themeShade="BF"/>
          <w:sz w:val="22"/>
          <w:szCs w:val="22"/>
          <w:lang w:val="en-GB"/>
        </w:rPr>
        <w:t>:</w:t>
      </w:r>
    </w:p>
    <w:p w14:paraId="2293E051" w14:textId="77777777" w:rsidR="00BA21EA" w:rsidRPr="00BA21EA" w:rsidRDefault="00BA21EA" w:rsidP="00BA21EA">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Pursuant</w:t>
      </w:r>
      <w:r w:rsidRPr="00BA21EA">
        <w:rPr>
          <w:rFonts w:ascii="Avenir Next" w:hAnsi="Avenir Next" w:cs="Arial"/>
          <w:color w:val="7B7B7B" w:themeColor="accent3" w:themeShade="BF"/>
          <w:sz w:val="22"/>
          <w:szCs w:val="22"/>
          <w:lang w:val="en-GB"/>
        </w:rPr>
        <w:t xml:space="preserve"> to Insolvency Act s 8(1)(c)(i), a company may be considered insolvent if it is proved to the satisfaction of the Court that the value of the company’s liabilities is greater than the value of its assets (i.e. balance sheet insolvency). </w:t>
      </w:r>
    </w:p>
    <w:p w14:paraId="76B25F46" w14:textId="1062C493" w:rsidR="00BA21EA" w:rsidRPr="00BA21EA" w:rsidRDefault="00A91884" w:rsidP="00BA21EA">
      <w:pPr>
        <w:pStyle w:val="ListParagraph"/>
        <w:numPr>
          <w:ilvl w:val="0"/>
          <w:numId w:val="26"/>
        </w:numPr>
        <w:jc w:val="both"/>
        <w:rPr>
          <w:rFonts w:ascii="Avenir Next" w:hAnsi="Avenir Next" w:cs="Arial"/>
          <w:sz w:val="22"/>
          <w:szCs w:val="22"/>
          <w:lang w:val="en-GB"/>
        </w:rPr>
      </w:pPr>
      <w:r w:rsidRPr="00BA21EA">
        <w:rPr>
          <w:rFonts w:ascii="Avenir Next" w:hAnsi="Avenir Next" w:cs="Arial"/>
          <w:color w:val="7B7B7B" w:themeColor="accent3" w:themeShade="BF"/>
          <w:sz w:val="22"/>
          <w:szCs w:val="22"/>
          <w:lang w:val="en-GB"/>
        </w:rPr>
        <w:t>Pursuant to Insolvency Act s 8(1)(c)(ii), a company may be considered insolven</w:t>
      </w:r>
      <w:r w:rsidR="00BA21EA">
        <w:rPr>
          <w:rFonts w:ascii="Avenir Next" w:hAnsi="Avenir Next" w:cs="Arial"/>
          <w:color w:val="7B7B7B" w:themeColor="accent3" w:themeShade="BF"/>
          <w:sz w:val="22"/>
          <w:szCs w:val="22"/>
          <w:lang w:val="en-GB"/>
        </w:rPr>
        <w:t>t</w:t>
      </w:r>
      <w:r w:rsidRPr="00BA21EA">
        <w:rPr>
          <w:rFonts w:ascii="Avenir Next" w:hAnsi="Avenir Next" w:cs="Arial"/>
          <w:color w:val="7B7B7B" w:themeColor="accent3" w:themeShade="BF"/>
          <w:sz w:val="22"/>
          <w:szCs w:val="22"/>
          <w:lang w:val="en-GB"/>
        </w:rPr>
        <w:t xml:space="preserve"> if it has proved to the satisfaction of the Court that the company cannot pay its debts as they come due (i.e. cashflow insolvency). </w:t>
      </w:r>
    </w:p>
    <w:p w14:paraId="380745E9" w14:textId="4F81A034" w:rsidR="00BA21EA" w:rsidRPr="00BA21EA" w:rsidRDefault="00A91884" w:rsidP="00BA21EA">
      <w:pPr>
        <w:pStyle w:val="ListParagraph"/>
        <w:numPr>
          <w:ilvl w:val="0"/>
          <w:numId w:val="26"/>
        </w:numPr>
        <w:jc w:val="both"/>
        <w:rPr>
          <w:rFonts w:ascii="Avenir Next" w:hAnsi="Avenir Next" w:cs="Arial"/>
          <w:sz w:val="22"/>
          <w:szCs w:val="22"/>
          <w:lang w:val="en-GB"/>
        </w:rPr>
      </w:pPr>
      <w:r w:rsidRPr="00BA21EA">
        <w:rPr>
          <w:rFonts w:ascii="Avenir Next" w:hAnsi="Avenir Next" w:cs="Arial"/>
          <w:color w:val="7B7B7B" w:themeColor="accent3" w:themeShade="BF"/>
          <w:sz w:val="22"/>
          <w:szCs w:val="22"/>
          <w:lang w:val="en-GB"/>
        </w:rPr>
        <w:t xml:space="preserve">If a company fails to comply with the terms of a statutory demand and such demand is not set aside under </w:t>
      </w:r>
      <w:r w:rsidR="007A58C3">
        <w:rPr>
          <w:rFonts w:ascii="Avenir Next" w:hAnsi="Avenir Next" w:cs="Arial"/>
          <w:color w:val="7B7B7B" w:themeColor="accent3" w:themeShade="BF"/>
          <w:sz w:val="22"/>
          <w:szCs w:val="22"/>
          <w:lang w:val="en-GB"/>
        </w:rPr>
        <w:t>I</w:t>
      </w:r>
      <w:r w:rsidRPr="00BA21EA">
        <w:rPr>
          <w:rFonts w:ascii="Avenir Next" w:hAnsi="Avenir Next" w:cs="Arial"/>
          <w:color w:val="7B7B7B" w:themeColor="accent3" w:themeShade="BF"/>
          <w:sz w:val="22"/>
          <w:szCs w:val="22"/>
          <w:lang w:val="en-GB"/>
        </w:rPr>
        <w:t xml:space="preserve">nsolvency </w:t>
      </w:r>
      <w:r w:rsidR="007A58C3">
        <w:rPr>
          <w:rFonts w:ascii="Avenir Next" w:hAnsi="Avenir Next" w:cs="Arial"/>
          <w:color w:val="7B7B7B" w:themeColor="accent3" w:themeShade="BF"/>
          <w:sz w:val="22"/>
          <w:szCs w:val="22"/>
          <w:lang w:val="en-GB"/>
        </w:rPr>
        <w:t>A</w:t>
      </w:r>
      <w:r w:rsidRPr="00BA21EA">
        <w:rPr>
          <w:rFonts w:ascii="Avenir Next" w:hAnsi="Avenir Next" w:cs="Arial"/>
          <w:color w:val="7B7B7B" w:themeColor="accent3" w:themeShade="BF"/>
          <w:sz w:val="22"/>
          <w:szCs w:val="22"/>
          <w:lang w:val="en-GB"/>
        </w:rPr>
        <w:t>ct</w:t>
      </w:r>
      <w:r w:rsidR="007A58C3">
        <w:rPr>
          <w:rFonts w:ascii="Avenir Next" w:hAnsi="Avenir Next" w:cs="Arial"/>
          <w:color w:val="7B7B7B" w:themeColor="accent3" w:themeShade="BF"/>
          <w:sz w:val="22"/>
          <w:szCs w:val="22"/>
          <w:lang w:val="en-GB"/>
        </w:rPr>
        <w:t xml:space="preserve"> s 156 or s 157</w:t>
      </w:r>
      <w:r w:rsidRPr="00BA21EA">
        <w:rPr>
          <w:rFonts w:ascii="Avenir Next" w:hAnsi="Avenir Next" w:cs="Arial"/>
          <w:color w:val="7B7B7B" w:themeColor="accent3" w:themeShade="BF"/>
          <w:sz w:val="22"/>
          <w:szCs w:val="22"/>
          <w:lang w:val="en-GB"/>
        </w:rPr>
        <w:t xml:space="preserve">, a Court may consider the company insolvent. </w:t>
      </w:r>
    </w:p>
    <w:p w14:paraId="4D66E617" w14:textId="35B9E808" w:rsidR="00802DB8" w:rsidRPr="00BA21EA" w:rsidRDefault="00A91884" w:rsidP="00BA21EA">
      <w:pPr>
        <w:pStyle w:val="ListParagraph"/>
        <w:numPr>
          <w:ilvl w:val="0"/>
          <w:numId w:val="26"/>
        </w:numPr>
        <w:jc w:val="both"/>
        <w:rPr>
          <w:rFonts w:ascii="Avenir Next" w:hAnsi="Avenir Next" w:cs="Arial"/>
          <w:sz w:val="22"/>
          <w:szCs w:val="22"/>
          <w:lang w:val="en-GB"/>
        </w:rPr>
      </w:pPr>
      <w:r w:rsidRPr="00BA21EA">
        <w:rPr>
          <w:rFonts w:ascii="Avenir Next" w:hAnsi="Avenir Next" w:cs="Arial"/>
          <w:color w:val="7B7B7B" w:themeColor="accent3" w:themeShade="BF"/>
          <w:sz w:val="22"/>
          <w:szCs w:val="22"/>
          <w:lang w:val="en-GB"/>
        </w:rPr>
        <w:t xml:space="preserve">Finally, if a company fails to satisfy a judgment in favour of a creditor, the Court may consider the company insolvent. </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909B5A2" w14:textId="5925369F" w:rsidR="00544127" w:rsidRPr="005965BF" w:rsidRDefault="00A87503" w:rsidP="00A87503">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Following 1 January 2023, Section 199 of the BVI Business Companies (Amendment) Act 2022 and Regulation 6 of the BVI Business Companies (Amendment) Regulations will govern the eligibility of individuals to serve as a voluntary liquidator. Such a potential voluntary liquidator will be considered eligible if they (1) have two or more years of liquidation experience, (2) have professional competence to liquidate the specific company at issue, (3) have an insolvency’s practitioner’s license, (4) have a relevant professional qualification, and (5) have a full working knowledge of the relevant legislation in the BVI. </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271737D2" w14:textId="1012AEAE" w:rsidR="008B70F1" w:rsidRPr="008B70F1" w:rsidRDefault="008B70F1"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creditor might consider appointing an overseas insolvency practitioner in conjunction with a BVI insolvency practitioner when the majority of the BVI company’s assets are located in the foreign jurisdiction. While appointing two insolvency practitioners increases costs initially, the creditor is likely to see a better result when utilizing a foreign insolvency practitioner with local expertise and who is not required to travel to access assets. The process for appointing a foreign insolvency practitioner begins with writing a letter to the Financial Services Commissions (FSC) identifying the proposed practitioner’s qualifications. Once the FSC approves based upon the prior written notice, the Court will approve the appointment (if required).</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07C66B4E" w14:textId="13D49D48" w:rsidR="000B735C" w:rsidRDefault="000B735C" w:rsidP="000B735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There are three primary types of liquidation in the BVI – First, voluntary (solvent) liquidation under the BVI Business Companies Act (BCA); Second, voluntary (insolvent) liquidation under the Insolvency Act commenced by resolution of the members, and; Third, insolvent liquidation by application to the court under the Insolvency Act. </w:t>
      </w:r>
    </w:p>
    <w:p w14:paraId="187EFF60" w14:textId="5ECCEA15" w:rsidR="000B735C" w:rsidRDefault="000B735C" w:rsidP="000B735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BCA</w:t>
      </w:r>
      <w:r w:rsidR="00937768">
        <w:rPr>
          <w:rFonts w:ascii="Avenir Next" w:hAnsi="Avenir Next" w:cs="Arial"/>
          <w:color w:val="7B7B7B" w:themeColor="accent3" w:themeShade="BF"/>
          <w:sz w:val="22"/>
          <w:szCs w:val="22"/>
          <w:lang w:val="en-GB"/>
        </w:rPr>
        <w:t xml:space="preserve"> Part XII</w:t>
      </w:r>
      <w:r>
        <w:rPr>
          <w:rFonts w:ascii="Avenir Next" w:hAnsi="Avenir Next" w:cs="Arial"/>
          <w:color w:val="7B7B7B" w:themeColor="accent3" w:themeShade="BF"/>
          <w:sz w:val="22"/>
          <w:szCs w:val="22"/>
          <w:lang w:val="en-GB"/>
        </w:rPr>
        <w:t xml:space="preserve">, a solvent company may elect to liquidate (an insolvent company may not liquidate under the BCA). </w:t>
      </w:r>
      <w:r w:rsidR="00937768">
        <w:rPr>
          <w:rFonts w:ascii="Avenir Next" w:hAnsi="Avenir Next" w:cs="Arial"/>
          <w:color w:val="7B7B7B" w:themeColor="accent3" w:themeShade="BF"/>
          <w:sz w:val="22"/>
          <w:szCs w:val="22"/>
          <w:lang w:val="en-GB"/>
        </w:rPr>
        <w:t>To commence a voluntary (solvent) liquidation, the directors of the company must first make a declaration of solvency and approve a liquidation plan. Then, a voluntary liquidator may be appointed by resolution o</w:t>
      </w:r>
      <w:r w:rsidR="005A1328">
        <w:rPr>
          <w:rFonts w:ascii="Avenir Next" w:hAnsi="Avenir Next" w:cs="Arial"/>
          <w:color w:val="7B7B7B" w:themeColor="accent3" w:themeShade="BF"/>
          <w:sz w:val="22"/>
          <w:szCs w:val="22"/>
          <w:lang w:val="en-GB"/>
        </w:rPr>
        <w:t>f</w:t>
      </w:r>
      <w:r w:rsidR="00937768">
        <w:rPr>
          <w:rFonts w:ascii="Avenir Next" w:hAnsi="Avenir Next" w:cs="Arial"/>
          <w:color w:val="7B7B7B" w:themeColor="accent3" w:themeShade="BF"/>
          <w:sz w:val="22"/>
          <w:szCs w:val="22"/>
          <w:lang w:val="en-GB"/>
        </w:rPr>
        <w:t xml:space="preserve"> the directors or resolution of the members. Then, the liquidation commences under the supervision of the voluntary liquidator, who must be an eligible individual as defined in Section 199 of the BCA Amendment. </w:t>
      </w:r>
    </w:p>
    <w:p w14:paraId="427E5D3F" w14:textId="6A886AD6" w:rsidR="00937768" w:rsidRDefault="00937768" w:rsidP="000B735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Insolvency Act Part VI, a company may enter liquidation via a qualifying resolution of the members of the BVI company. Section 159(3) of the Insolvency Act governs the qualifying resolution, which must be passed at a meeting by a 75% majority. Until the first creditors’ meeting, the liquidator’s powers are restricted under section 182 of the Insolvency Act. </w:t>
      </w:r>
    </w:p>
    <w:p w14:paraId="5FB2E645" w14:textId="0103E314" w:rsidR="00802DB8" w:rsidRPr="00937768" w:rsidRDefault="00937768" w:rsidP="0093776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Part VI, s 162 or 163, a BVI company or foreign company may be placed into liquidation under the supervision of the Official Receiver or a liquidator by application to the Court. Multiple parties are permitted to make such an application, including the Company, a creditor, a member, a supervisor of a creditor’s arrangement, the FSC, or the Attorney General. The Court is required to resolve the application for appointment of liquidation within six months under section 168(1). </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079F6DFD" w14:textId="7507D51E" w:rsidR="00193F9C" w:rsidRDefault="005C309C" w:rsidP="008065CE">
      <w:pPr>
        <w:autoSpaceDE w:val="0"/>
        <w:autoSpaceDN w:val="0"/>
        <w:adjustRightInd w:val="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Limited may consider making a statutory demand against Swift Limited pursuant to Insolvency Act s 156. The statutory demand, which must be in writing, signed, and dated by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will require Swift to pay or secure the debt within 21 days of service. If the Swift doe</w:t>
      </w:r>
      <w:r w:rsidR="00193F9C">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not seek to set aside the demand and fails to comply, Swift will be considered insolvent. </w:t>
      </w:r>
    </w:p>
    <w:p w14:paraId="4887DF6D" w14:textId="77777777" w:rsidR="00193F9C" w:rsidRDefault="00193F9C" w:rsidP="008065CE">
      <w:pPr>
        <w:autoSpaceDE w:val="0"/>
        <w:autoSpaceDN w:val="0"/>
        <w:adjustRightInd w:val="0"/>
        <w:jc w:val="both"/>
        <w:rPr>
          <w:rFonts w:ascii="Avenir Next" w:hAnsi="Avenir Next" w:cs="Arial"/>
          <w:color w:val="7B7B7B" w:themeColor="accent3" w:themeShade="BF"/>
          <w:sz w:val="22"/>
          <w:szCs w:val="22"/>
          <w:lang w:val="en-GB"/>
        </w:rPr>
      </w:pPr>
    </w:p>
    <w:p w14:paraId="5F78024A" w14:textId="157AE7BE" w:rsidR="00A10AFA" w:rsidRDefault="005C309C" w:rsidP="00193F9C">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Swift is considered insolvent, the</w:t>
      </w:r>
      <w:r w:rsidR="00193F9C">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may consider filing an application pursuant to Insolvency Act s 162 to have Swift placed in</w:t>
      </w:r>
      <w:r w:rsidR="00193F9C">
        <w:rPr>
          <w:rFonts w:ascii="Avenir Next" w:hAnsi="Avenir Next" w:cs="Arial"/>
          <w:color w:val="7B7B7B" w:themeColor="accent3" w:themeShade="BF"/>
          <w:sz w:val="22"/>
          <w:szCs w:val="22"/>
          <w:lang w:val="en-GB"/>
        </w:rPr>
        <w:t>to</w:t>
      </w:r>
      <w:r>
        <w:rPr>
          <w:rFonts w:ascii="Avenir Next" w:hAnsi="Avenir Next" w:cs="Arial"/>
          <w:color w:val="7B7B7B" w:themeColor="accent3" w:themeShade="BF"/>
          <w:sz w:val="22"/>
          <w:szCs w:val="22"/>
          <w:lang w:val="en-GB"/>
        </w:rPr>
        <w:t xml:space="preserve"> liquidation by court order. </w:t>
      </w:r>
      <w:r w:rsidR="00193F9C">
        <w:rPr>
          <w:rFonts w:ascii="Avenir Next" w:hAnsi="Avenir Next" w:cs="Arial"/>
          <w:color w:val="7B7B7B" w:themeColor="accent3" w:themeShade="BF"/>
          <w:sz w:val="22"/>
          <w:szCs w:val="22"/>
          <w:lang w:val="en-GB"/>
        </w:rPr>
        <w:t xml:space="preserve">In order to make a successful application, under s 159(1), </w:t>
      </w:r>
      <w:proofErr w:type="spellStart"/>
      <w:r w:rsidR="00193F9C">
        <w:rPr>
          <w:rFonts w:ascii="Avenir Next" w:hAnsi="Avenir Next" w:cs="Arial"/>
          <w:color w:val="7B7B7B" w:themeColor="accent3" w:themeShade="BF"/>
          <w:sz w:val="22"/>
          <w:szCs w:val="22"/>
          <w:lang w:val="en-GB"/>
        </w:rPr>
        <w:t>Edale</w:t>
      </w:r>
      <w:proofErr w:type="spellEnd"/>
      <w:r w:rsidR="00193F9C">
        <w:rPr>
          <w:rFonts w:ascii="Avenir Next" w:hAnsi="Avenir Next" w:cs="Arial"/>
          <w:color w:val="7B7B7B" w:themeColor="accent3" w:themeShade="BF"/>
          <w:sz w:val="22"/>
          <w:szCs w:val="22"/>
          <w:lang w:val="en-GB"/>
        </w:rPr>
        <w:t xml:space="preserve"> will need to show the Court facts from which it can find Swift is insolvent which is demonstrated by Swift’s failure to comply with statutory demand.</w:t>
      </w:r>
    </w:p>
    <w:p w14:paraId="6DE8BA03" w14:textId="77777777" w:rsidR="00193F9C" w:rsidRDefault="00193F9C" w:rsidP="00193F9C">
      <w:pPr>
        <w:autoSpaceDE w:val="0"/>
        <w:autoSpaceDN w:val="0"/>
        <w:adjustRightInd w:val="0"/>
        <w:jc w:val="both"/>
        <w:rPr>
          <w:rFonts w:ascii="Avenir Next" w:hAnsi="Avenir Next" w:cs="Arial"/>
          <w:color w:val="7B7B7B" w:themeColor="accent3" w:themeShade="BF"/>
          <w:sz w:val="22"/>
          <w:szCs w:val="22"/>
          <w:lang w:val="en-GB"/>
        </w:rPr>
      </w:pPr>
    </w:p>
    <w:p w14:paraId="3858CCA3" w14:textId="27191C39" w:rsidR="00193F9C" w:rsidRPr="00193F9C" w:rsidRDefault="00193F9C" w:rsidP="00193F9C">
      <w:pPr>
        <w:autoSpaceDE w:val="0"/>
        <w:autoSpaceDN w:val="0"/>
        <w:adjustRightInd w:val="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may also consider initiating a scheme of arrangement with Swift by applying to the BVI Court for a meeting of creditors or shareholders. This informal insolvency process requires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(or Swift) to put forth a scheme for repayment of Swift’s debt and the scheme must be approved by a vote of 75% or more of creditors, measured by value, and approved by the Court. </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0AD81B04" w:rsidR="002D3473" w:rsidRDefault="00AA00F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ABC’s ultimate goal is to access the assets of defendant DEF’s wholly-owned subsidiary, XYZ, which is incorporated in the BVI. ABC has three options: (1) register the foreign judgment under the 1922 Act and attempt to enforce it against assets of XYZ; (2) sue XYZ and rely on the common law doctrine of obligation by action, or (3) force XYZ into liquidation. </w:t>
      </w:r>
    </w:p>
    <w:p w14:paraId="1F91202A" w14:textId="0348665B" w:rsidR="00AA00F3" w:rsidRDefault="00AA00F3" w:rsidP="008065CE">
      <w:pPr>
        <w:autoSpaceDE w:val="0"/>
        <w:autoSpaceDN w:val="0"/>
        <w:adjustRightInd w:val="0"/>
        <w:jc w:val="both"/>
        <w:rPr>
          <w:rFonts w:ascii="Avenir Next" w:hAnsi="Avenir Next" w:cs="Arial"/>
          <w:color w:val="7B7B7B" w:themeColor="accent3" w:themeShade="BF"/>
          <w:sz w:val="22"/>
          <w:szCs w:val="22"/>
          <w:lang w:val="en-GB"/>
        </w:rPr>
      </w:pPr>
    </w:p>
    <w:p w14:paraId="0B8B5C98" w14:textId="50A9FF18" w:rsidR="00AA00F3" w:rsidRDefault="00AA00F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ABC might consider formally registering the foreign judgment under the 1922 Act. The judgment here qualifies as a “judgment” under the 1922 Act because it is for a conclusi</w:t>
      </w:r>
      <w:r w:rsidR="00F83597">
        <w:rPr>
          <w:rFonts w:ascii="Avenir Next" w:hAnsi="Avenir Next" w:cs="Arial"/>
          <w:color w:val="7B7B7B" w:themeColor="accent3" w:themeShade="BF"/>
          <w:sz w:val="22"/>
          <w:szCs w:val="22"/>
          <w:lang w:val="en-GB"/>
        </w:rPr>
        <w:t>ve</w:t>
      </w:r>
      <w:r>
        <w:rPr>
          <w:rFonts w:ascii="Avenir Next" w:hAnsi="Avenir Next" w:cs="Arial"/>
          <w:color w:val="7B7B7B" w:themeColor="accent3" w:themeShade="BF"/>
          <w:sz w:val="22"/>
          <w:szCs w:val="22"/>
          <w:lang w:val="en-GB"/>
        </w:rPr>
        <w:t xml:space="preserve"> sum ($2MM GBP) and it may be enforced as an order from the High Court of England. After the judgment is registered in the BVI, the judgment has the same force and effect as if it had originally been obtained in the BVI. ABC may then seek to enforce the judgment against the assets of XYZ, as a wholly-owned subsidiary of DEF. </w:t>
      </w:r>
    </w:p>
    <w:p w14:paraId="07A18880" w14:textId="6E444589" w:rsidR="00AA00F3" w:rsidRDefault="00AA00F3" w:rsidP="008065CE">
      <w:pPr>
        <w:autoSpaceDE w:val="0"/>
        <w:autoSpaceDN w:val="0"/>
        <w:adjustRightInd w:val="0"/>
        <w:jc w:val="both"/>
        <w:rPr>
          <w:rFonts w:ascii="Avenir Next" w:hAnsi="Avenir Next" w:cs="Arial"/>
          <w:color w:val="7B7B7B" w:themeColor="accent3" w:themeShade="BF"/>
          <w:sz w:val="22"/>
          <w:szCs w:val="22"/>
          <w:lang w:val="en-GB"/>
        </w:rPr>
      </w:pPr>
    </w:p>
    <w:p w14:paraId="4C2C8E1B" w14:textId="50774A48" w:rsidR="00AA00F3" w:rsidRDefault="00AA00F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ABC might consider suing XYZ directly and relying on the common law doctrine of obligation by action. Again, because the judgment is a conclusive judgment for money, once ABC proves the judgment, ABC may apply for summary judgment in the BVI court without relitigating the underlying issues. At that point, </w:t>
      </w:r>
      <w:r>
        <w:rPr>
          <w:rFonts w:ascii="Avenir Next" w:hAnsi="Avenir Next" w:cs="Arial"/>
          <w:color w:val="7B7B7B" w:themeColor="accent3" w:themeShade="BF"/>
          <w:sz w:val="22"/>
          <w:szCs w:val="22"/>
          <w:lang w:val="en-GB"/>
        </w:rPr>
        <w:t>ABC may then seek to enforce the judgment against the assets of XYZ</w:t>
      </w:r>
      <w:r>
        <w:rPr>
          <w:rFonts w:ascii="Avenir Next" w:hAnsi="Avenir Next" w:cs="Arial"/>
          <w:color w:val="7B7B7B" w:themeColor="accent3" w:themeShade="BF"/>
          <w:sz w:val="22"/>
          <w:szCs w:val="22"/>
          <w:lang w:val="en-GB"/>
        </w:rPr>
        <w:t>.</w:t>
      </w:r>
    </w:p>
    <w:p w14:paraId="0B6991D6" w14:textId="250C190E" w:rsidR="00AA00F3" w:rsidRDefault="00AA00F3" w:rsidP="008065CE">
      <w:pPr>
        <w:autoSpaceDE w:val="0"/>
        <w:autoSpaceDN w:val="0"/>
        <w:adjustRightInd w:val="0"/>
        <w:jc w:val="both"/>
        <w:rPr>
          <w:rFonts w:ascii="Avenir Next" w:hAnsi="Avenir Next" w:cs="Arial"/>
          <w:color w:val="7B7B7B" w:themeColor="accent3" w:themeShade="BF"/>
          <w:sz w:val="22"/>
          <w:szCs w:val="22"/>
          <w:lang w:val="en-GB"/>
        </w:rPr>
      </w:pPr>
    </w:p>
    <w:p w14:paraId="473F76A9" w14:textId="6B1D248B" w:rsidR="000725C3" w:rsidRPr="005965BF" w:rsidRDefault="00AA00F3" w:rsidP="00612429">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Finally, ABC might consider applying to the Court to put either/both of DEF and XYZ into liquidation by showing that </w:t>
      </w:r>
      <w:bookmarkEnd w:id="0"/>
      <w:r>
        <w:rPr>
          <w:rFonts w:ascii="Avenir Next" w:hAnsi="Avenir Next" w:cs="Arial"/>
          <w:color w:val="7B7B7B" w:themeColor="accent3" w:themeShade="BF"/>
          <w:sz w:val="22"/>
          <w:szCs w:val="22"/>
          <w:lang w:val="en-GB"/>
        </w:rPr>
        <w:t xml:space="preserve">placing the company in insolvency would be “just and equitable.” ABC should argue that XYZ should be liquidated under the “just and equitable” standard because there is no justification for the company’s continued existence – the sole shareholder of the parent company has died and XYZ has been struck from the Register. </w:t>
      </w:r>
      <w:r w:rsidR="00F83597">
        <w:rPr>
          <w:rFonts w:ascii="Avenir Next" w:hAnsi="Avenir Next" w:cs="Arial"/>
          <w:color w:val="7B7B7B" w:themeColor="accent3" w:themeShade="BF"/>
          <w:sz w:val="22"/>
          <w:szCs w:val="22"/>
          <w:lang w:val="en-GB"/>
        </w:rPr>
        <w:t xml:space="preserve">If the Court grants the application, ABC may then file its claim as an unsecured creditor of XYZ and attempt to satisfy its judgment. </w:t>
      </w: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3F34" w14:textId="77777777" w:rsidR="00461767" w:rsidRDefault="00461767" w:rsidP="00241B44">
      <w:r>
        <w:separator/>
      </w:r>
    </w:p>
  </w:endnote>
  <w:endnote w:type="continuationSeparator" w:id="0">
    <w:p w14:paraId="443A8FDA" w14:textId="77777777" w:rsidR="00461767" w:rsidRDefault="004617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F12CBD8" w:rsidR="00241FA3" w:rsidRPr="00B24DB4" w:rsidRDefault="005F61CE" w:rsidP="009B4976">
    <w:pPr>
      <w:pStyle w:val="Footer"/>
      <w:ind w:right="360"/>
      <w:rPr>
        <w:rFonts w:ascii="Avenir Next" w:hAnsi="Avenir Next" w:cs="Arial"/>
        <w:sz w:val="22"/>
        <w:szCs w:val="22"/>
        <w:lang w:val="en-GB"/>
      </w:rPr>
    </w:pPr>
    <w:r>
      <w:rPr>
        <w:rFonts w:ascii="Avenir Next" w:hAnsi="Avenir Next" w:cs="Arial"/>
        <w:sz w:val="22"/>
        <w:szCs w:val="22"/>
        <w:lang w:val="en-GB"/>
      </w:rPr>
      <w:t>202223-948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8220" w14:textId="77777777" w:rsidR="007E50A0" w:rsidRDefault="007E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CA77" w14:textId="77777777" w:rsidR="00461767" w:rsidRDefault="00461767" w:rsidP="00241B44">
      <w:r>
        <w:separator/>
      </w:r>
    </w:p>
  </w:footnote>
  <w:footnote w:type="continuationSeparator" w:id="0">
    <w:p w14:paraId="1F2C54DA" w14:textId="77777777" w:rsidR="00461767" w:rsidRDefault="0046176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5F60" w14:textId="77777777" w:rsidR="007E50A0" w:rsidRDefault="007E5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3546" w14:textId="77777777" w:rsidR="007E50A0" w:rsidRDefault="007E5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B076" w14:textId="77777777" w:rsidR="007E50A0" w:rsidRDefault="007E5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A2A"/>
    <w:multiLevelType w:val="hybridMultilevel"/>
    <w:tmpl w:val="CB8A122E"/>
    <w:lvl w:ilvl="0" w:tplc="FFFFFFFF">
      <w:start w:val="1"/>
      <w:numFmt w:val="decimal"/>
      <w:lvlText w:val="(%1)"/>
      <w:lvlJc w:val="left"/>
      <w:pPr>
        <w:ind w:left="720" w:hanging="360"/>
      </w:pPr>
      <w:rPr>
        <w:rFonts w:hint="default"/>
        <w:color w:val="7B7B7B" w:themeColor="accent3"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B7115"/>
    <w:multiLevelType w:val="hybridMultilevel"/>
    <w:tmpl w:val="CB8A122E"/>
    <w:lvl w:ilvl="0" w:tplc="F126EC9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084475">
    <w:abstractNumId w:val="18"/>
  </w:num>
  <w:num w:numId="2" w16cid:durableId="1395859464">
    <w:abstractNumId w:val="24"/>
  </w:num>
  <w:num w:numId="3" w16cid:durableId="651562133">
    <w:abstractNumId w:val="9"/>
  </w:num>
  <w:num w:numId="4" w16cid:durableId="1933853123">
    <w:abstractNumId w:val="13"/>
  </w:num>
  <w:num w:numId="5" w16cid:durableId="974917402">
    <w:abstractNumId w:val="3"/>
  </w:num>
  <w:num w:numId="6" w16cid:durableId="682322279">
    <w:abstractNumId w:val="10"/>
  </w:num>
  <w:num w:numId="7" w16cid:durableId="1333677101">
    <w:abstractNumId w:val="14"/>
  </w:num>
  <w:num w:numId="8" w16cid:durableId="15889735">
    <w:abstractNumId w:val="21"/>
  </w:num>
  <w:num w:numId="9" w16cid:durableId="321086705">
    <w:abstractNumId w:val="12"/>
  </w:num>
  <w:num w:numId="10" w16cid:durableId="1024555250">
    <w:abstractNumId w:val="11"/>
  </w:num>
  <w:num w:numId="11" w16cid:durableId="945388378">
    <w:abstractNumId w:val="1"/>
  </w:num>
  <w:num w:numId="12" w16cid:durableId="252130936">
    <w:abstractNumId w:val="19"/>
  </w:num>
  <w:num w:numId="13" w16cid:durableId="766272238">
    <w:abstractNumId w:val="22"/>
  </w:num>
  <w:num w:numId="14" w16cid:durableId="1258948759">
    <w:abstractNumId w:val="5"/>
  </w:num>
  <w:num w:numId="15" w16cid:durableId="2137600468">
    <w:abstractNumId w:val="16"/>
  </w:num>
  <w:num w:numId="16" w16cid:durableId="311298905">
    <w:abstractNumId w:val="4"/>
  </w:num>
  <w:num w:numId="17" w16cid:durableId="394091324">
    <w:abstractNumId w:val="7"/>
  </w:num>
  <w:num w:numId="18" w16cid:durableId="892236571">
    <w:abstractNumId w:val="20"/>
  </w:num>
  <w:num w:numId="19" w16cid:durableId="1010837007">
    <w:abstractNumId w:val="8"/>
  </w:num>
  <w:num w:numId="20" w16cid:durableId="357853121">
    <w:abstractNumId w:val="15"/>
  </w:num>
  <w:num w:numId="21" w16cid:durableId="417678531">
    <w:abstractNumId w:val="23"/>
  </w:num>
  <w:num w:numId="22" w16cid:durableId="854655280">
    <w:abstractNumId w:val="2"/>
  </w:num>
  <w:num w:numId="23" w16cid:durableId="1917088972">
    <w:abstractNumId w:val="25"/>
  </w:num>
  <w:num w:numId="24" w16cid:durableId="1708985680">
    <w:abstractNumId w:val="17"/>
  </w:num>
  <w:num w:numId="25" w16cid:durableId="684404328">
    <w:abstractNumId w:val="6"/>
  </w:num>
  <w:num w:numId="26" w16cid:durableId="11334514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17216"/>
    <w:rsid w:val="00020557"/>
    <w:rsid w:val="00021FC2"/>
    <w:rsid w:val="000250C7"/>
    <w:rsid w:val="00026F16"/>
    <w:rsid w:val="00035932"/>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B735C"/>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3F9C"/>
    <w:rsid w:val="001966D9"/>
    <w:rsid w:val="00196D76"/>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4DA7"/>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088"/>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579FF"/>
    <w:rsid w:val="00361A0A"/>
    <w:rsid w:val="00364836"/>
    <w:rsid w:val="0036565C"/>
    <w:rsid w:val="0036625E"/>
    <w:rsid w:val="0037465A"/>
    <w:rsid w:val="00376E9E"/>
    <w:rsid w:val="0038082F"/>
    <w:rsid w:val="00380E7A"/>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2633"/>
    <w:rsid w:val="00404329"/>
    <w:rsid w:val="00404E66"/>
    <w:rsid w:val="004051A8"/>
    <w:rsid w:val="00405DC1"/>
    <w:rsid w:val="00415F1F"/>
    <w:rsid w:val="0041718C"/>
    <w:rsid w:val="0042108F"/>
    <w:rsid w:val="00430FED"/>
    <w:rsid w:val="00434A8C"/>
    <w:rsid w:val="00437297"/>
    <w:rsid w:val="00444284"/>
    <w:rsid w:val="00445CE6"/>
    <w:rsid w:val="004534C2"/>
    <w:rsid w:val="0045446F"/>
    <w:rsid w:val="0045683E"/>
    <w:rsid w:val="00461767"/>
    <w:rsid w:val="0047211B"/>
    <w:rsid w:val="00477C72"/>
    <w:rsid w:val="00491675"/>
    <w:rsid w:val="00493855"/>
    <w:rsid w:val="00495E79"/>
    <w:rsid w:val="004A188E"/>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1328"/>
    <w:rsid w:val="005A6FF2"/>
    <w:rsid w:val="005A726D"/>
    <w:rsid w:val="005B67AC"/>
    <w:rsid w:val="005B79F4"/>
    <w:rsid w:val="005C309C"/>
    <w:rsid w:val="005D16DD"/>
    <w:rsid w:val="005D20E0"/>
    <w:rsid w:val="005D43E0"/>
    <w:rsid w:val="005D58A3"/>
    <w:rsid w:val="005E1B79"/>
    <w:rsid w:val="005E230B"/>
    <w:rsid w:val="005E6076"/>
    <w:rsid w:val="005E7008"/>
    <w:rsid w:val="005F026D"/>
    <w:rsid w:val="005F0775"/>
    <w:rsid w:val="005F2AEA"/>
    <w:rsid w:val="005F2D0B"/>
    <w:rsid w:val="005F4B31"/>
    <w:rsid w:val="005F61CE"/>
    <w:rsid w:val="00610388"/>
    <w:rsid w:val="00610AC7"/>
    <w:rsid w:val="00612429"/>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A58C3"/>
    <w:rsid w:val="007B483F"/>
    <w:rsid w:val="007B5462"/>
    <w:rsid w:val="007B5C89"/>
    <w:rsid w:val="007C1FCC"/>
    <w:rsid w:val="007C6201"/>
    <w:rsid w:val="007D2A74"/>
    <w:rsid w:val="007D4213"/>
    <w:rsid w:val="007D7C92"/>
    <w:rsid w:val="007E1154"/>
    <w:rsid w:val="007E50A0"/>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089"/>
    <w:rsid w:val="008837A6"/>
    <w:rsid w:val="0089145D"/>
    <w:rsid w:val="008A4DF2"/>
    <w:rsid w:val="008A6CFE"/>
    <w:rsid w:val="008B5333"/>
    <w:rsid w:val="008B6223"/>
    <w:rsid w:val="008B6B10"/>
    <w:rsid w:val="008B70F1"/>
    <w:rsid w:val="008C0297"/>
    <w:rsid w:val="008C66E0"/>
    <w:rsid w:val="008D4C1A"/>
    <w:rsid w:val="008E3339"/>
    <w:rsid w:val="008E3696"/>
    <w:rsid w:val="008E73F9"/>
    <w:rsid w:val="008F20FC"/>
    <w:rsid w:val="008F5FFE"/>
    <w:rsid w:val="008F7401"/>
    <w:rsid w:val="00903504"/>
    <w:rsid w:val="00905A43"/>
    <w:rsid w:val="00912C79"/>
    <w:rsid w:val="00921B8C"/>
    <w:rsid w:val="0093492F"/>
    <w:rsid w:val="00936614"/>
    <w:rsid w:val="00937768"/>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87503"/>
    <w:rsid w:val="00A91884"/>
    <w:rsid w:val="00A96489"/>
    <w:rsid w:val="00AA00F3"/>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21EA"/>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42E9"/>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1AD3"/>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3597"/>
    <w:rsid w:val="00F86D45"/>
    <w:rsid w:val="00F97C5B"/>
    <w:rsid w:val="00FA3D50"/>
    <w:rsid w:val="00FA4F28"/>
    <w:rsid w:val="00FA4F47"/>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L. Grube</cp:lastModifiedBy>
  <cp:revision>28</cp:revision>
  <cp:lastPrinted>2019-08-27T05:42:00Z</cp:lastPrinted>
  <dcterms:created xsi:type="dcterms:W3CDTF">2023-05-02T17:18:00Z</dcterms:created>
  <dcterms:modified xsi:type="dcterms:W3CDTF">2023-06-17T20:00:00Z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ngId">
    <vt:lpwstr>39a07c08-5ea3-489d-849a-eba5c896efdc</vt:lpwstr>
  </property>
</Properties>
</file>