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1A0D71" w:rsidRDefault="00AE5B6F" w:rsidP="00B04033">
      <w:pPr>
        <w:pStyle w:val="a3"/>
        <w:numPr>
          <w:ilvl w:val="0"/>
          <w:numId w:val="1"/>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w</w:t>
      </w:r>
      <w:r w:rsidR="00C91062" w:rsidRPr="001A0D71">
        <w:rPr>
          <w:rFonts w:ascii="Avenir Next" w:hAnsi="Avenir Next" w:cs="Arial"/>
          <w:sz w:val="22"/>
          <w:szCs w:val="22"/>
          <w:highlight w:val="yellow"/>
          <w:lang w:val="en-GB"/>
        </w:rPr>
        <w:t>ithin 8 weeks of the commencement of the administration</w:t>
      </w:r>
      <w:r w:rsidR="00763348" w:rsidRPr="001A0D71">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a3"/>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a3"/>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1A0D71" w:rsidRDefault="00E443D7" w:rsidP="00B04033">
      <w:pPr>
        <w:pStyle w:val="a3"/>
        <w:numPr>
          <w:ilvl w:val="0"/>
          <w:numId w:val="2"/>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One year</w:t>
      </w:r>
      <w:r w:rsidR="00763348" w:rsidRPr="001A0D71">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a3"/>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1A0D71" w:rsidRDefault="00AE5B6F" w:rsidP="00B04033">
      <w:pPr>
        <w:pStyle w:val="a3"/>
        <w:numPr>
          <w:ilvl w:val="0"/>
          <w:numId w:val="3"/>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T</w:t>
      </w:r>
      <w:r w:rsidR="008D1616" w:rsidRPr="001A0D71">
        <w:rPr>
          <w:rFonts w:ascii="Avenir Next" w:hAnsi="Avenir Next" w:cs="Arial"/>
          <w:sz w:val="22"/>
          <w:szCs w:val="22"/>
          <w:highlight w:val="yellow"/>
          <w:lang w:val="en-GB"/>
        </w:rPr>
        <w:t>he company is, or is likely to become, unable to pay their debts, as defined under s</w:t>
      </w:r>
      <w:r w:rsidR="00E833F4" w:rsidRPr="001A0D71">
        <w:rPr>
          <w:rFonts w:ascii="Avenir Next" w:hAnsi="Avenir Next" w:cs="Arial"/>
          <w:sz w:val="22"/>
          <w:szCs w:val="22"/>
          <w:highlight w:val="yellow"/>
          <w:lang w:val="en-GB"/>
        </w:rPr>
        <w:t>ection</w:t>
      </w:r>
      <w:r w:rsidR="008D1616" w:rsidRPr="001A0D71">
        <w:rPr>
          <w:rFonts w:ascii="Avenir Next" w:hAnsi="Avenir Next" w:cs="Arial"/>
          <w:sz w:val="22"/>
          <w:szCs w:val="22"/>
          <w:highlight w:val="yellow"/>
          <w:lang w:val="en-GB"/>
        </w:rPr>
        <w:t xml:space="preserve"> 123 of the Insolvency Act 1986</w:t>
      </w:r>
      <w:r w:rsidR="00763348" w:rsidRPr="001A0D71">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1A0D71" w:rsidRDefault="00C91062" w:rsidP="00B04033">
      <w:pPr>
        <w:pStyle w:val="a3"/>
        <w:numPr>
          <w:ilvl w:val="0"/>
          <w:numId w:val="4"/>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The purchaser</w:t>
      </w:r>
      <w:r w:rsidR="00763348" w:rsidRPr="001A0D71">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a3"/>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1A0D71" w:rsidRDefault="00BA1CFD" w:rsidP="00B04033">
      <w:pPr>
        <w:pStyle w:val="a3"/>
        <w:numPr>
          <w:ilvl w:val="0"/>
          <w:numId w:val="5"/>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Administration</w:t>
      </w:r>
      <w:r w:rsidR="00763348" w:rsidRPr="001A0D7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a3"/>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1A0D71" w:rsidRDefault="001F3C98" w:rsidP="00B04033">
      <w:pPr>
        <w:pStyle w:val="a3"/>
        <w:numPr>
          <w:ilvl w:val="0"/>
          <w:numId w:val="6"/>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 xml:space="preserve">GBP </w:t>
      </w:r>
      <w:r w:rsidR="00BA1CFD" w:rsidRPr="001A0D71">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a3"/>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AF040D" w:rsidRDefault="00BA1CFD" w:rsidP="00B04033">
      <w:pPr>
        <w:pStyle w:val="a3"/>
        <w:numPr>
          <w:ilvl w:val="0"/>
          <w:numId w:val="7"/>
        </w:numPr>
        <w:ind w:left="426"/>
        <w:jc w:val="both"/>
        <w:rPr>
          <w:rFonts w:ascii="Avenir Next" w:hAnsi="Avenir Next" w:cs="Arial"/>
          <w:sz w:val="22"/>
          <w:szCs w:val="22"/>
          <w:highlight w:val="yellow"/>
          <w:lang w:val="en-GB"/>
        </w:rPr>
      </w:pPr>
      <w:r w:rsidRPr="00AF040D">
        <w:rPr>
          <w:rFonts w:ascii="Avenir Next" w:hAnsi="Avenir Next" w:cs="Arial"/>
          <w:sz w:val="22"/>
          <w:szCs w:val="22"/>
          <w:highlight w:val="yellow"/>
          <w:lang w:val="en-GB"/>
        </w:rPr>
        <w:t>Breach of fiduciary duty</w:t>
      </w:r>
      <w:r w:rsidR="00763348" w:rsidRPr="00AF040D">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a3"/>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1A0D71" w:rsidRDefault="00876F56" w:rsidP="00B04033">
      <w:pPr>
        <w:pStyle w:val="a3"/>
        <w:numPr>
          <w:ilvl w:val="0"/>
          <w:numId w:val="8"/>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a3"/>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1A0D71" w:rsidRDefault="00E833F4" w:rsidP="00B04033">
      <w:pPr>
        <w:pStyle w:val="a3"/>
        <w:numPr>
          <w:ilvl w:val="0"/>
          <w:numId w:val="9"/>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A</w:t>
      </w:r>
      <w:r w:rsidR="000D10C6" w:rsidRPr="001A0D7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a3"/>
        <w:ind w:left="426"/>
        <w:jc w:val="both"/>
        <w:rPr>
          <w:rFonts w:ascii="Avenir Next" w:hAnsi="Avenir Next" w:cs="Arial"/>
          <w:sz w:val="22"/>
          <w:szCs w:val="22"/>
          <w:lang w:val="en-GB"/>
        </w:rPr>
      </w:pPr>
    </w:p>
    <w:p w14:paraId="564FBFE2" w14:textId="18CB27BC" w:rsidR="000D10C6" w:rsidRPr="006925C1" w:rsidRDefault="000D10C6"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a3"/>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2620DC" w:rsidRDefault="00C55824" w:rsidP="0020090A">
      <w:pPr>
        <w:keepNext/>
        <w:jc w:val="both"/>
        <w:rPr>
          <w:rFonts w:ascii="Avenir Next" w:hAnsi="Avenir Next" w:cs="Arial"/>
          <w:sz w:val="22"/>
          <w:szCs w:val="22"/>
        </w:rPr>
      </w:pPr>
    </w:p>
    <w:p w14:paraId="3E7702F5" w14:textId="7FBDCF46" w:rsidR="00876F56" w:rsidRPr="006925C1" w:rsidRDefault="0020204E" w:rsidP="00B04033">
      <w:pPr>
        <w:pStyle w:val="a3"/>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a3"/>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a3"/>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1A0D71" w:rsidRDefault="0020204E" w:rsidP="00B04033">
      <w:pPr>
        <w:pStyle w:val="a3"/>
        <w:numPr>
          <w:ilvl w:val="0"/>
          <w:numId w:val="10"/>
        </w:numPr>
        <w:ind w:left="426"/>
        <w:jc w:val="both"/>
        <w:rPr>
          <w:rFonts w:ascii="Avenir Next" w:hAnsi="Avenir Next" w:cs="Arial"/>
          <w:sz w:val="22"/>
          <w:szCs w:val="22"/>
          <w:highlight w:val="yellow"/>
          <w:lang w:val="en-GB"/>
        </w:rPr>
      </w:pPr>
      <w:r w:rsidRPr="001A0D71">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3FBDECFE" w:rsidR="00AE5B6F" w:rsidRDefault="004572B8"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section 423 of the Insolvency Act </w:t>
      </w:r>
      <w:r w:rsidR="00C57CDE">
        <w:rPr>
          <w:rFonts w:ascii="Avenir Next" w:hAnsi="Avenir Next" w:cs="Arial"/>
          <w:color w:val="808080" w:themeColor="background1" w:themeShade="80"/>
          <w:sz w:val="22"/>
          <w:szCs w:val="22"/>
          <w:lang w:val="en-GB"/>
        </w:rPr>
        <w:t xml:space="preserve">of </w:t>
      </w:r>
      <w:r>
        <w:rPr>
          <w:rFonts w:ascii="Avenir Next" w:hAnsi="Avenir Next" w:cs="Arial"/>
          <w:color w:val="808080" w:themeColor="background1" w:themeShade="80"/>
          <w:sz w:val="22"/>
          <w:szCs w:val="22"/>
          <w:lang w:val="en-GB"/>
        </w:rPr>
        <w:t>1986</w:t>
      </w:r>
      <w:r w:rsidR="00A4098E">
        <w:rPr>
          <w:rFonts w:ascii="Avenir Next" w:hAnsi="Avenir Next" w:cs="Arial"/>
          <w:color w:val="808080" w:themeColor="background1" w:themeShade="80"/>
          <w:sz w:val="22"/>
          <w:szCs w:val="22"/>
          <w:lang w:val="en-GB"/>
        </w:rPr>
        <w:t xml:space="preserve">, </w:t>
      </w:r>
      <w:r w:rsidR="00565F92">
        <w:rPr>
          <w:rFonts w:ascii="Avenir Next" w:hAnsi="Avenir Next" w:cs="Arial"/>
          <w:color w:val="808080" w:themeColor="background1" w:themeShade="80"/>
          <w:sz w:val="22"/>
          <w:szCs w:val="22"/>
          <w:lang w:val="en-GB"/>
        </w:rPr>
        <w:t xml:space="preserve">an action to </w:t>
      </w:r>
      <w:r w:rsidR="005A22DF">
        <w:rPr>
          <w:rFonts w:ascii="Avenir Next" w:hAnsi="Avenir Next" w:cs="Arial"/>
          <w:color w:val="808080" w:themeColor="background1" w:themeShade="80"/>
          <w:sz w:val="22"/>
          <w:szCs w:val="22"/>
          <w:lang w:val="en-GB"/>
        </w:rPr>
        <w:t xml:space="preserve">challenge a transaction intended to defraud creditors </w:t>
      </w:r>
      <w:r w:rsidR="00565F92">
        <w:rPr>
          <w:rFonts w:ascii="Avenir Next" w:hAnsi="Avenir Next" w:cs="Arial"/>
          <w:color w:val="808080" w:themeColor="background1" w:themeShade="80"/>
          <w:sz w:val="22"/>
          <w:szCs w:val="22"/>
          <w:lang w:val="en-GB"/>
        </w:rPr>
        <w:t>may be brought by the following perso</w:t>
      </w:r>
      <w:r w:rsidR="004976B3">
        <w:rPr>
          <w:rFonts w:ascii="Avenir Next" w:hAnsi="Avenir Next" w:cs="Arial"/>
          <w:color w:val="808080" w:themeColor="background1" w:themeShade="80"/>
          <w:sz w:val="22"/>
          <w:szCs w:val="22"/>
          <w:lang w:val="en-GB"/>
        </w:rPr>
        <w:t>ns</w:t>
      </w:r>
      <w:r w:rsidR="007D3381">
        <w:rPr>
          <w:rFonts w:ascii="Avenir Next" w:hAnsi="Avenir Next" w:cs="Arial"/>
          <w:color w:val="808080" w:themeColor="background1" w:themeShade="80"/>
          <w:sz w:val="22"/>
          <w:szCs w:val="22"/>
          <w:lang w:val="en-GB"/>
        </w:rPr>
        <w:t xml:space="preserve">. </w:t>
      </w:r>
      <w:r w:rsidR="00340A17">
        <w:rPr>
          <w:rFonts w:ascii="Avenir Next" w:hAnsi="Avenir Next" w:cs="Arial"/>
          <w:color w:val="808080" w:themeColor="background1" w:themeShade="80"/>
          <w:sz w:val="22"/>
          <w:szCs w:val="22"/>
          <w:lang w:val="en-GB"/>
        </w:rPr>
        <w:t xml:space="preserve">In case the company at issue is </w:t>
      </w:r>
      <w:r w:rsidR="00CF5F3B">
        <w:rPr>
          <w:rFonts w:ascii="Avenir Next" w:hAnsi="Avenir Next" w:cs="Arial"/>
          <w:color w:val="808080" w:themeColor="background1" w:themeShade="80"/>
          <w:sz w:val="22"/>
          <w:szCs w:val="22"/>
          <w:lang w:val="en-GB"/>
        </w:rPr>
        <w:t>in</w:t>
      </w:r>
      <w:r w:rsidR="00340A17">
        <w:rPr>
          <w:rFonts w:ascii="Avenir Next" w:hAnsi="Avenir Next" w:cs="Arial"/>
          <w:color w:val="808080" w:themeColor="background1" w:themeShade="80"/>
          <w:sz w:val="22"/>
          <w:szCs w:val="22"/>
          <w:lang w:val="en-GB"/>
        </w:rPr>
        <w:t xml:space="preserve"> the process of being wound up or </w:t>
      </w:r>
      <w:r w:rsidR="00CF5F3B">
        <w:rPr>
          <w:rFonts w:ascii="Avenir Next" w:hAnsi="Avenir Next" w:cs="Arial"/>
          <w:color w:val="808080" w:themeColor="background1" w:themeShade="80"/>
          <w:sz w:val="22"/>
          <w:szCs w:val="22"/>
          <w:lang w:val="en-GB"/>
        </w:rPr>
        <w:t>is undergoing</w:t>
      </w:r>
      <w:r w:rsidR="00340A17">
        <w:rPr>
          <w:rFonts w:ascii="Avenir Next" w:hAnsi="Avenir Next" w:cs="Arial"/>
          <w:color w:val="808080" w:themeColor="background1" w:themeShade="80"/>
          <w:sz w:val="22"/>
          <w:szCs w:val="22"/>
          <w:lang w:val="en-GB"/>
        </w:rPr>
        <w:t xml:space="preserve"> administration, the action can be brought by the official receiver, the administrator, the liquidator as well as, with leave of the court, any affected person by the transaction, including a debtor’s creditor. In the event the affected person is involved in a company voluntary arrangement</w:t>
      </w:r>
      <w:r w:rsidR="00075937">
        <w:rPr>
          <w:rFonts w:ascii="Avenir Next" w:hAnsi="Avenir Next" w:cs="Arial"/>
          <w:color w:val="808080" w:themeColor="background1" w:themeShade="80"/>
          <w:sz w:val="22"/>
          <w:szCs w:val="22"/>
          <w:lang w:val="en-GB"/>
        </w:rPr>
        <w:t>,</w:t>
      </w:r>
      <w:r w:rsidR="00340A17">
        <w:rPr>
          <w:rFonts w:ascii="Avenir Next" w:hAnsi="Avenir Next" w:cs="Arial"/>
          <w:color w:val="808080" w:themeColor="background1" w:themeShade="80"/>
          <w:sz w:val="22"/>
          <w:szCs w:val="22"/>
          <w:lang w:val="en-GB"/>
        </w:rPr>
        <w:t xml:space="preserve"> the supervisor of the arrangement or any affected person by the transaction, either involved or not in the CVA,</w:t>
      </w:r>
      <w:r w:rsidR="00075937">
        <w:rPr>
          <w:rFonts w:ascii="Avenir Next" w:hAnsi="Avenir Next" w:cs="Arial"/>
          <w:color w:val="808080" w:themeColor="background1" w:themeShade="80"/>
          <w:sz w:val="22"/>
          <w:szCs w:val="22"/>
          <w:lang w:val="en-GB"/>
        </w:rPr>
        <w:t xml:space="preserve"> </w:t>
      </w:r>
      <w:r w:rsidR="001C69E1">
        <w:rPr>
          <w:rFonts w:ascii="Avenir Next" w:hAnsi="Avenir Next" w:cs="Arial"/>
          <w:color w:val="808080" w:themeColor="background1" w:themeShade="80"/>
          <w:sz w:val="22"/>
          <w:szCs w:val="22"/>
          <w:lang w:val="en-GB"/>
        </w:rPr>
        <w:t>is</w:t>
      </w:r>
      <w:r w:rsidR="00075937">
        <w:rPr>
          <w:rFonts w:ascii="Avenir Next" w:hAnsi="Avenir Next" w:cs="Arial"/>
          <w:color w:val="808080" w:themeColor="background1" w:themeShade="80"/>
          <w:sz w:val="22"/>
          <w:szCs w:val="22"/>
          <w:lang w:val="en-GB"/>
        </w:rPr>
        <w:t xml:space="preserve"> </w:t>
      </w:r>
      <w:r w:rsidR="001C69E1">
        <w:rPr>
          <w:rFonts w:ascii="Avenir Next" w:hAnsi="Avenir Next" w:cs="Arial"/>
          <w:color w:val="808080" w:themeColor="background1" w:themeShade="80"/>
          <w:sz w:val="22"/>
          <w:szCs w:val="22"/>
          <w:lang w:val="en-GB"/>
        </w:rPr>
        <w:t>entitled</w:t>
      </w:r>
      <w:r w:rsidR="00075937">
        <w:rPr>
          <w:rFonts w:ascii="Avenir Next" w:hAnsi="Avenir Next" w:cs="Arial"/>
          <w:color w:val="808080" w:themeColor="background1" w:themeShade="80"/>
          <w:sz w:val="22"/>
          <w:szCs w:val="22"/>
          <w:lang w:val="en-GB"/>
        </w:rPr>
        <w:t xml:space="preserve"> to attack the transaction. An action to challenge such a transaction may </w:t>
      </w:r>
      <w:r w:rsidR="00CF5F3B">
        <w:rPr>
          <w:rFonts w:ascii="Avenir Next" w:hAnsi="Avenir Next" w:cs="Arial"/>
          <w:color w:val="808080" w:themeColor="background1" w:themeShade="80"/>
          <w:sz w:val="22"/>
          <w:szCs w:val="22"/>
          <w:lang w:val="en-GB"/>
        </w:rPr>
        <w:t xml:space="preserve">also </w:t>
      </w:r>
      <w:r w:rsidR="00482018">
        <w:rPr>
          <w:rFonts w:ascii="Avenir Next" w:hAnsi="Avenir Next" w:cs="Arial"/>
          <w:color w:val="808080" w:themeColor="background1" w:themeShade="80"/>
          <w:sz w:val="22"/>
          <w:szCs w:val="22"/>
          <w:lang w:val="en-GB"/>
        </w:rPr>
        <w:t xml:space="preserve">be </w:t>
      </w:r>
      <w:r w:rsidR="00075937">
        <w:rPr>
          <w:rFonts w:ascii="Avenir Next" w:hAnsi="Avenir Next" w:cs="Arial"/>
          <w:color w:val="808080" w:themeColor="background1" w:themeShade="80"/>
          <w:sz w:val="22"/>
          <w:szCs w:val="22"/>
          <w:lang w:val="en-GB"/>
        </w:rPr>
        <w:t>brought by an affected person by the transaction</w:t>
      </w:r>
      <w:r w:rsidR="005B2E0D">
        <w:rPr>
          <w:rFonts w:ascii="Avenir Next" w:hAnsi="Avenir Next" w:cs="Arial"/>
          <w:color w:val="808080" w:themeColor="background1" w:themeShade="80"/>
          <w:sz w:val="22"/>
          <w:szCs w:val="22"/>
          <w:lang w:val="en-GB"/>
        </w:rPr>
        <w:t xml:space="preserve">. </w:t>
      </w:r>
      <w:r w:rsidR="00BC4D62">
        <w:rPr>
          <w:rFonts w:ascii="Avenir Next" w:hAnsi="Avenir Next" w:cs="Arial"/>
          <w:color w:val="808080" w:themeColor="background1" w:themeShade="80"/>
          <w:sz w:val="22"/>
          <w:szCs w:val="22"/>
          <w:lang w:val="en-GB"/>
        </w:rPr>
        <w:t xml:space="preserve">As </w:t>
      </w:r>
      <w:r w:rsidR="00175EC4">
        <w:rPr>
          <w:rFonts w:ascii="Avenir Next" w:hAnsi="Avenir Next" w:cs="Arial"/>
          <w:color w:val="808080" w:themeColor="background1" w:themeShade="80"/>
          <w:sz w:val="22"/>
          <w:szCs w:val="22"/>
          <w:lang w:val="en-GB"/>
        </w:rPr>
        <w:t>it can be</w:t>
      </w:r>
      <w:r w:rsidR="00BC4D62">
        <w:rPr>
          <w:rFonts w:ascii="Avenir Next" w:hAnsi="Avenir Next" w:cs="Arial"/>
          <w:color w:val="808080" w:themeColor="background1" w:themeShade="80"/>
          <w:sz w:val="22"/>
          <w:szCs w:val="22"/>
          <w:lang w:val="en-GB"/>
        </w:rPr>
        <w:t xml:space="preserve"> underst</w:t>
      </w:r>
      <w:r w:rsidR="00175EC4">
        <w:rPr>
          <w:rFonts w:ascii="Avenir Next" w:hAnsi="Avenir Next" w:cs="Arial"/>
          <w:color w:val="808080" w:themeColor="background1" w:themeShade="80"/>
          <w:sz w:val="22"/>
          <w:szCs w:val="22"/>
          <w:lang w:val="en-GB"/>
        </w:rPr>
        <w:t>oo</w:t>
      </w:r>
      <w:r w:rsidR="00BC4D62">
        <w:rPr>
          <w:rFonts w:ascii="Avenir Next" w:hAnsi="Avenir Next" w:cs="Arial"/>
          <w:color w:val="808080" w:themeColor="background1" w:themeShade="80"/>
          <w:sz w:val="22"/>
          <w:szCs w:val="22"/>
          <w:lang w:val="en-GB"/>
        </w:rPr>
        <w:t xml:space="preserve">d, the applicant may not necessarily be an insolvency officeholder. </w:t>
      </w:r>
      <w:r w:rsidR="001C69E1">
        <w:rPr>
          <w:rFonts w:ascii="Avenir Next" w:hAnsi="Avenir Next" w:cs="Arial"/>
          <w:color w:val="808080" w:themeColor="background1" w:themeShade="80"/>
          <w:sz w:val="22"/>
          <w:szCs w:val="22"/>
          <w:lang w:val="en-GB"/>
        </w:rPr>
        <w:t>However, u</w:t>
      </w:r>
      <w:r w:rsidR="00175EC4">
        <w:rPr>
          <w:rFonts w:ascii="Avenir Next" w:hAnsi="Avenir Next" w:cs="Arial"/>
          <w:color w:val="808080" w:themeColor="background1" w:themeShade="80"/>
          <w:sz w:val="22"/>
          <w:szCs w:val="22"/>
          <w:lang w:val="en-GB"/>
        </w:rPr>
        <w:t xml:space="preserve">sually, in an insolvency scenario, the persons </w:t>
      </w:r>
      <w:r w:rsidR="00CF5F3B">
        <w:rPr>
          <w:rFonts w:ascii="Avenir Next" w:hAnsi="Avenir Next" w:cs="Arial"/>
          <w:color w:val="808080" w:themeColor="background1" w:themeShade="80"/>
          <w:sz w:val="22"/>
          <w:szCs w:val="22"/>
          <w:lang w:val="en-GB"/>
        </w:rPr>
        <w:t>making</w:t>
      </w:r>
      <w:r w:rsidR="00175EC4">
        <w:rPr>
          <w:rFonts w:ascii="Avenir Next" w:hAnsi="Avenir Next" w:cs="Arial"/>
          <w:color w:val="808080" w:themeColor="background1" w:themeShade="80"/>
          <w:sz w:val="22"/>
          <w:szCs w:val="22"/>
          <w:lang w:val="en-GB"/>
        </w:rPr>
        <w:t xml:space="preserve"> such an application are the administrator or the liquidator</w:t>
      </w:r>
      <w:r w:rsidR="00537822">
        <w:rPr>
          <w:rFonts w:ascii="Avenir Next" w:hAnsi="Avenir Next" w:cs="Arial"/>
          <w:color w:val="808080" w:themeColor="background1" w:themeShade="80"/>
          <w:sz w:val="22"/>
          <w:szCs w:val="22"/>
          <w:lang w:val="en-GB"/>
        </w:rPr>
        <w:t xml:space="preserve"> who </w:t>
      </w:r>
      <w:r w:rsidR="00DC1CB6">
        <w:rPr>
          <w:rFonts w:ascii="Avenir Next" w:hAnsi="Avenir Next" w:cs="Arial"/>
          <w:color w:val="808080" w:themeColor="background1" w:themeShade="80"/>
          <w:sz w:val="22"/>
          <w:szCs w:val="22"/>
          <w:lang w:val="en-GB"/>
        </w:rPr>
        <w:t>submit</w:t>
      </w:r>
      <w:r w:rsidR="00537822">
        <w:rPr>
          <w:rFonts w:ascii="Avenir Next" w:hAnsi="Avenir Next" w:cs="Arial"/>
          <w:color w:val="808080" w:themeColor="background1" w:themeShade="80"/>
          <w:sz w:val="22"/>
          <w:szCs w:val="22"/>
          <w:lang w:val="en-GB"/>
        </w:rPr>
        <w:t xml:space="preserve"> the application “on behalf of” any affected person by the transaction</w:t>
      </w:r>
      <w:r w:rsidR="004D4FA8">
        <w:rPr>
          <w:rFonts w:ascii="Avenir Next" w:hAnsi="Avenir Next" w:cs="Arial"/>
          <w:color w:val="808080" w:themeColor="background1" w:themeShade="80"/>
          <w:sz w:val="22"/>
          <w:szCs w:val="22"/>
          <w:lang w:val="en-GB"/>
        </w:rPr>
        <w:t>.</w:t>
      </w:r>
    </w:p>
    <w:p w14:paraId="0C6820B3" w14:textId="77777777" w:rsidR="00565F92" w:rsidRDefault="00565F92" w:rsidP="006624AB">
      <w:pPr>
        <w:jc w:val="both"/>
        <w:rPr>
          <w:rFonts w:ascii="Avenir Next" w:hAnsi="Avenir Next" w:cs="Arial"/>
          <w:color w:val="808080" w:themeColor="background1" w:themeShade="80"/>
          <w:sz w:val="22"/>
          <w:szCs w:val="22"/>
          <w:lang w:val="en-GB"/>
        </w:rPr>
      </w:pPr>
    </w:p>
    <w:p w14:paraId="55736AD4" w14:textId="18A70725" w:rsidR="000F1660" w:rsidRPr="000F1660" w:rsidRDefault="00565F92" w:rsidP="000F16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section 6 of the Company Directors Disqualification Act of 1986, </w:t>
      </w:r>
      <w:r w:rsidR="00124B44">
        <w:rPr>
          <w:rFonts w:ascii="Avenir Next" w:hAnsi="Avenir Next" w:cs="Arial"/>
          <w:color w:val="808080" w:themeColor="background1" w:themeShade="80"/>
          <w:sz w:val="22"/>
          <w:szCs w:val="22"/>
          <w:lang w:val="en-GB"/>
        </w:rPr>
        <w:t xml:space="preserve">the persons who may make an application are as follows. </w:t>
      </w:r>
      <w:r w:rsidR="000F1660">
        <w:rPr>
          <w:rFonts w:ascii="Avenir Next" w:hAnsi="Avenir Next" w:cs="Arial"/>
          <w:color w:val="808080" w:themeColor="background1" w:themeShade="80"/>
          <w:sz w:val="22"/>
          <w:szCs w:val="22"/>
          <w:lang w:val="en-GB"/>
        </w:rPr>
        <w:t xml:space="preserve">In accordance with section 7 paragraph 1, the Secretary of State </w:t>
      </w:r>
      <w:r w:rsidR="00FC57C1">
        <w:rPr>
          <w:rFonts w:ascii="Avenir Next" w:hAnsi="Avenir Next" w:cs="Arial"/>
          <w:color w:val="808080" w:themeColor="background1" w:themeShade="80"/>
          <w:sz w:val="22"/>
          <w:szCs w:val="22"/>
          <w:lang w:val="en-GB"/>
        </w:rPr>
        <w:t xml:space="preserve">may make an application for a disqualification order of section 6 against any person </w:t>
      </w:r>
      <w:r w:rsidR="000F1660">
        <w:rPr>
          <w:rFonts w:ascii="Avenir Next" w:hAnsi="Avenir Next" w:cs="Arial"/>
          <w:color w:val="808080" w:themeColor="background1" w:themeShade="80"/>
          <w:sz w:val="22"/>
          <w:szCs w:val="22"/>
          <w:lang w:val="en-GB"/>
        </w:rPr>
        <w:t xml:space="preserve">if it considers </w:t>
      </w:r>
      <w:r w:rsidR="00037C1A">
        <w:rPr>
          <w:rFonts w:ascii="Avenir Next" w:hAnsi="Avenir Next" w:cs="Arial"/>
          <w:color w:val="808080" w:themeColor="background1" w:themeShade="80"/>
          <w:sz w:val="22"/>
          <w:szCs w:val="22"/>
          <w:lang w:val="en-GB"/>
        </w:rPr>
        <w:t>such action</w:t>
      </w:r>
      <w:r w:rsidR="00FC57C1">
        <w:rPr>
          <w:rFonts w:ascii="Avenir Next" w:hAnsi="Avenir Next" w:cs="Arial"/>
          <w:color w:val="808080" w:themeColor="background1" w:themeShade="80"/>
          <w:sz w:val="22"/>
          <w:szCs w:val="22"/>
          <w:lang w:val="en-GB"/>
        </w:rPr>
        <w:t xml:space="preserve"> </w:t>
      </w:r>
      <w:r w:rsidR="000F1660">
        <w:rPr>
          <w:rFonts w:ascii="Avenir Next" w:hAnsi="Avenir Next" w:cs="Arial"/>
          <w:color w:val="808080" w:themeColor="background1" w:themeShade="80"/>
          <w:sz w:val="22"/>
          <w:szCs w:val="22"/>
          <w:lang w:val="en-GB"/>
        </w:rPr>
        <w:t>appropriate for public interest purposes</w:t>
      </w:r>
      <w:r w:rsidR="00FC57C1">
        <w:rPr>
          <w:rFonts w:ascii="Avenir Next" w:hAnsi="Avenir Next" w:cs="Arial"/>
          <w:color w:val="808080" w:themeColor="background1" w:themeShade="80"/>
          <w:sz w:val="22"/>
          <w:szCs w:val="22"/>
          <w:lang w:val="en-GB"/>
        </w:rPr>
        <w:t xml:space="preserve">. </w:t>
      </w:r>
      <w:r w:rsidR="00037C1A">
        <w:rPr>
          <w:rFonts w:ascii="Avenir Next" w:hAnsi="Avenir Next" w:cs="Arial"/>
          <w:color w:val="808080" w:themeColor="background1" w:themeShade="80"/>
          <w:sz w:val="22"/>
          <w:szCs w:val="22"/>
          <w:lang w:val="en-GB"/>
        </w:rPr>
        <w:t>A</w:t>
      </w:r>
      <w:r w:rsidR="000F1660" w:rsidRPr="000F1660">
        <w:rPr>
          <w:rFonts w:ascii="Avenir Next" w:hAnsi="Avenir Next" w:cs="Arial"/>
          <w:color w:val="808080" w:themeColor="background1" w:themeShade="80"/>
          <w:sz w:val="22"/>
          <w:szCs w:val="22"/>
          <w:lang w:val="en-GB"/>
        </w:rPr>
        <w:t xml:space="preserve">n application for such an order </w:t>
      </w:r>
      <w:r w:rsidR="00037C1A">
        <w:rPr>
          <w:rFonts w:ascii="Avenir Next" w:hAnsi="Avenir Next" w:cs="Arial"/>
          <w:color w:val="808080" w:themeColor="background1" w:themeShade="80"/>
          <w:sz w:val="22"/>
          <w:szCs w:val="22"/>
          <w:lang w:val="en-GB"/>
        </w:rPr>
        <w:t xml:space="preserve">can </w:t>
      </w:r>
      <w:r w:rsidR="00C57CDE">
        <w:rPr>
          <w:rFonts w:ascii="Avenir Next" w:hAnsi="Avenir Next" w:cs="Arial"/>
          <w:color w:val="808080" w:themeColor="background1" w:themeShade="80"/>
          <w:sz w:val="22"/>
          <w:szCs w:val="22"/>
          <w:lang w:val="en-GB"/>
        </w:rPr>
        <w:t xml:space="preserve">be </w:t>
      </w:r>
      <w:r w:rsidR="00037C1A">
        <w:rPr>
          <w:rFonts w:ascii="Avenir Next" w:hAnsi="Avenir Next" w:cs="Arial"/>
          <w:color w:val="808080" w:themeColor="background1" w:themeShade="80"/>
          <w:sz w:val="22"/>
          <w:szCs w:val="22"/>
          <w:lang w:val="en-GB"/>
        </w:rPr>
        <w:t xml:space="preserve">also pursued by the official receiver in the event it has been directed by the </w:t>
      </w:r>
      <w:r w:rsidR="00037C1A" w:rsidRPr="000F1660">
        <w:rPr>
          <w:rFonts w:ascii="Avenir Next" w:hAnsi="Avenir Next" w:cs="Arial"/>
          <w:color w:val="808080" w:themeColor="background1" w:themeShade="80"/>
          <w:sz w:val="22"/>
          <w:szCs w:val="22"/>
          <w:lang w:val="en-GB"/>
        </w:rPr>
        <w:t xml:space="preserve">Secretary of </w:t>
      </w:r>
      <w:r w:rsidR="00037C1A">
        <w:rPr>
          <w:rFonts w:ascii="Avenir Next" w:hAnsi="Avenir Next" w:cs="Arial"/>
          <w:color w:val="808080" w:themeColor="background1" w:themeShade="80"/>
          <w:sz w:val="22"/>
          <w:szCs w:val="22"/>
          <w:lang w:val="en-GB"/>
        </w:rPr>
        <w:t xml:space="preserve">State to do so in the context of a former or current director of a company </w:t>
      </w:r>
      <w:r w:rsidR="00DC1CB6">
        <w:rPr>
          <w:rFonts w:ascii="Avenir Next" w:hAnsi="Avenir Next" w:cs="Arial"/>
          <w:color w:val="808080" w:themeColor="background1" w:themeShade="80"/>
          <w:sz w:val="22"/>
          <w:szCs w:val="22"/>
          <w:lang w:val="en-GB"/>
        </w:rPr>
        <w:t>being</w:t>
      </w:r>
      <w:r w:rsidR="00DC1CB6" w:rsidRPr="00657050">
        <w:rPr>
          <w:rFonts w:ascii="Avenir Next" w:hAnsi="Avenir Next" w:cs="Arial"/>
          <w:color w:val="808080" w:themeColor="background1" w:themeShade="80"/>
          <w:sz w:val="22"/>
          <w:szCs w:val="22"/>
          <w:lang w:val="en-GB"/>
        </w:rPr>
        <w:t xml:space="preserve"> </w:t>
      </w:r>
      <w:r w:rsidR="00DC1CB6">
        <w:rPr>
          <w:rFonts w:ascii="Avenir Next" w:hAnsi="Avenir Next" w:cs="Arial"/>
          <w:color w:val="808080" w:themeColor="background1" w:themeShade="80"/>
          <w:sz w:val="22"/>
          <w:szCs w:val="22"/>
          <w:lang w:val="en-GB"/>
        </w:rPr>
        <w:t xml:space="preserve">in the process of a winding up </w:t>
      </w:r>
      <w:r w:rsidR="00041335">
        <w:rPr>
          <w:rFonts w:ascii="Avenir Next" w:hAnsi="Avenir Next" w:cs="Arial"/>
          <w:color w:val="808080" w:themeColor="background1" w:themeShade="80"/>
          <w:sz w:val="22"/>
          <w:szCs w:val="22"/>
          <w:lang w:val="en-GB"/>
        </w:rPr>
        <w:t xml:space="preserve">proceeding </w:t>
      </w:r>
      <w:r w:rsidR="00DC1CB6">
        <w:rPr>
          <w:rFonts w:ascii="Avenir Next" w:hAnsi="Avenir Next" w:cs="Arial"/>
          <w:color w:val="808080" w:themeColor="background1" w:themeShade="80"/>
          <w:sz w:val="22"/>
          <w:szCs w:val="22"/>
          <w:lang w:val="en-GB"/>
        </w:rPr>
        <w:t xml:space="preserve">or </w:t>
      </w:r>
      <w:r w:rsidR="00657050">
        <w:rPr>
          <w:rFonts w:ascii="Avenir Next" w:hAnsi="Avenir Next" w:cs="Arial"/>
          <w:color w:val="808080" w:themeColor="background1" w:themeShade="80"/>
          <w:sz w:val="22"/>
          <w:szCs w:val="22"/>
          <w:lang w:val="en-GB"/>
        </w:rPr>
        <w:t xml:space="preserve">already </w:t>
      </w:r>
      <w:r w:rsidR="00037C1A">
        <w:rPr>
          <w:rFonts w:ascii="Avenir Next" w:hAnsi="Avenir Next" w:cs="Arial"/>
          <w:color w:val="808080" w:themeColor="background1" w:themeShade="80"/>
          <w:sz w:val="22"/>
          <w:szCs w:val="22"/>
          <w:lang w:val="en-GB"/>
        </w:rPr>
        <w:t xml:space="preserve">wound up </w:t>
      </w:r>
      <w:r w:rsidR="00657050">
        <w:rPr>
          <w:rFonts w:ascii="Avenir Next" w:hAnsi="Avenir Next" w:cs="Arial"/>
          <w:color w:val="808080" w:themeColor="background1" w:themeShade="80"/>
          <w:sz w:val="22"/>
          <w:szCs w:val="22"/>
          <w:lang w:val="en-GB"/>
        </w:rPr>
        <w:t>by the court in England and Wales.</w:t>
      </w:r>
    </w:p>
    <w:p w14:paraId="710BE118" w14:textId="77777777" w:rsidR="00565F92" w:rsidRDefault="00565F92" w:rsidP="006624AB">
      <w:pPr>
        <w:jc w:val="both"/>
        <w:rPr>
          <w:rFonts w:ascii="Avenir Next" w:hAnsi="Avenir Next" w:cs="Arial"/>
          <w:color w:val="808080" w:themeColor="background1" w:themeShade="80"/>
          <w:sz w:val="22"/>
          <w:szCs w:val="22"/>
          <w:lang w:val="en-GB"/>
        </w:rPr>
      </w:pPr>
    </w:p>
    <w:p w14:paraId="64CDE552" w14:textId="456634E8" w:rsidR="0005102C" w:rsidRDefault="00565F92" w:rsidP="000510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section 246ZB </w:t>
      </w:r>
      <w:r w:rsidR="00DC1CB6">
        <w:rPr>
          <w:rFonts w:ascii="Avenir Next" w:hAnsi="Avenir Next" w:cs="Arial"/>
          <w:color w:val="808080" w:themeColor="background1" w:themeShade="80"/>
          <w:sz w:val="22"/>
          <w:szCs w:val="22"/>
          <w:lang w:val="en-GB"/>
        </w:rPr>
        <w:t>(‘</w:t>
      </w:r>
      <w:r w:rsidR="00DC1CB6" w:rsidRPr="00DC1CB6">
        <w:rPr>
          <w:rFonts w:ascii="Avenir Next" w:hAnsi="Avenir Next" w:cs="Arial"/>
          <w:color w:val="808080" w:themeColor="background1" w:themeShade="80"/>
          <w:sz w:val="22"/>
          <w:szCs w:val="22"/>
          <w:lang w:val="en-GB"/>
        </w:rPr>
        <w:t>Wrongful trading: administration</w:t>
      </w:r>
      <w:r w:rsidR="00DC1CB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the Insolvency Act of 1986, </w:t>
      </w:r>
      <w:r w:rsidR="00742E23">
        <w:rPr>
          <w:rFonts w:ascii="Avenir Next" w:hAnsi="Avenir Next" w:cs="Arial"/>
          <w:color w:val="808080" w:themeColor="background1" w:themeShade="80"/>
          <w:sz w:val="22"/>
          <w:szCs w:val="22"/>
          <w:lang w:val="en-GB"/>
        </w:rPr>
        <w:t xml:space="preserve">the person permitted to apply is the administrator. </w:t>
      </w:r>
      <w:r w:rsidR="00FF547E">
        <w:rPr>
          <w:rFonts w:ascii="Avenir Next" w:hAnsi="Avenir Next" w:cs="Arial"/>
          <w:color w:val="808080" w:themeColor="background1" w:themeShade="80"/>
          <w:sz w:val="22"/>
          <w:szCs w:val="22"/>
          <w:lang w:val="en-GB"/>
        </w:rPr>
        <w:t>Indeed, t</w:t>
      </w:r>
      <w:r w:rsidR="003A051B">
        <w:rPr>
          <w:rFonts w:ascii="Avenir Next" w:hAnsi="Avenir Next" w:cs="Arial"/>
          <w:color w:val="808080" w:themeColor="background1" w:themeShade="80"/>
          <w:sz w:val="22"/>
          <w:szCs w:val="22"/>
          <w:lang w:val="en-GB"/>
        </w:rPr>
        <w:t>he</w:t>
      </w:r>
      <w:r w:rsidR="00742E23">
        <w:rPr>
          <w:rFonts w:ascii="Avenir Next" w:hAnsi="Avenir Next" w:cs="Arial"/>
          <w:color w:val="808080" w:themeColor="background1" w:themeShade="80"/>
          <w:sz w:val="22"/>
          <w:szCs w:val="22"/>
          <w:lang w:val="en-GB"/>
        </w:rPr>
        <w:t xml:space="preserve"> court may </w:t>
      </w:r>
      <w:r w:rsidR="0020693B">
        <w:rPr>
          <w:rFonts w:ascii="Avenir Next" w:hAnsi="Avenir Next" w:cs="Arial"/>
          <w:color w:val="808080" w:themeColor="background1" w:themeShade="80"/>
          <w:sz w:val="22"/>
          <w:szCs w:val="22"/>
          <w:lang w:val="en-GB"/>
        </w:rPr>
        <w:t>declare that a current or former director is liable for wrongful trading activities upon application of the administrator</w:t>
      </w:r>
      <w:r w:rsidR="00FF547E">
        <w:rPr>
          <w:rFonts w:ascii="Avenir Next" w:hAnsi="Avenir Next" w:cs="Arial"/>
          <w:color w:val="808080" w:themeColor="background1" w:themeShade="80"/>
          <w:sz w:val="22"/>
          <w:szCs w:val="22"/>
          <w:lang w:val="en-GB"/>
        </w:rPr>
        <w:t>.</w:t>
      </w:r>
    </w:p>
    <w:p w14:paraId="2B5EA314" w14:textId="77777777" w:rsidR="0005102C" w:rsidRPr="00212001" w:rsidRDefault="0005102C" w:rsidP="0005102C">
      <w:pPr>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B1E119" w14:textId="77777777" w:rsidR="00D65254" w:rsidRDefault="00D65254" w:rsidP="00EA3B38">
      <w:pPr>
        <w:jc w:val="both"/>
        <w:rPr>
          <w:rFonts w:ascii="Avenir Next" w:hAnsi="Avenir Next" w:cs="Arial"/>
          <w:color w:val="808080" w:themeColor="background1" w:themeShade="80"/>
          <w:sz w:val="22"/>
          <w:szCs w:val="22"/>
        </w:rPr>
      </w:pPr>
    </w:p>
    <w:p w14:paraId="1F69BB91" w14:textId="213A7E4C" w:rsidR="0005102C" w:rsidRDefault="005F7AC0" w:rsidP="0005102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Moratorium procedure involves a stay on any action </w:t>
      </w:r>
      <w:r w:rsidR="000A275E">
        <w:rPr>
          <w:rFonts w:ascii="Avenir Next" w:hAnsi="Avenir Next" w:cs="Arial"/>
          <w:color w:val="808080" w:themeColor="background1" w:themeShade="80"/>
          <w:sz w:val="22"/>
          <w:szCs w:val="22"/>
        </w:rPr>
        <w:t>concerning</w:t>
      </w:r>
      <w:r>
        <w:rPr>
          <w:rFonts w:ascii="Avenir Next" w:hAnsi="Avenir Next" w:cs="Arial"/>
          <w:color w:val="808080" w:themeColor="background1" w:themeShade="80"/>
          <w:sz w:val="22"/>
          <w:szCs w:val="22"/>
        </w:rPr>
        <w:t xml:space="preserve"> debts that </w:t>
      </w:r>
      <w:r w:rsidR="00C80D15">
        <w:rPr>
          <w:rFonts w:ascii="Avenir Next" w:hAnsi="Avenir Next" w:cs="Arial"/>
          <w:color w:val="808080" w:themeColor="background1" w:themeShade="80"/>
          <w:sz w:val="22"/>
          <w:szCs w:val="22"/>
        </w:rPr>
        <w:t xml:space="preserve">have </w:t>
      </w:r>
      <w:r>
        <w:rPr>
          <w:rFonts w:ascii="Avenir Next" w:hAnsi="Avenir Next" w:cs="Arial"/>
          <w:color w:val="808080" w:themeColor="background1" w:themeShade="80"/>
          <w:sz w:val="22"/>
          <w:szCs w:val="22"/>
        </w:rPr>
        <w:t xml:space="preserve">occurred before the establishment of the Moratorium. </w:t>
      </w:r>
      <w:r w:rsidR="000732C3">
        <w:rPr>
          <w:rFonts w:ascii="Avenir Next" w:hAnsi="Avenir Next" w:cs="Arial"/>
          <w:color w:val="808080" w:themeColor="background1" w:themeShade="80"/>
          <w:sz w:val="22"/>
          <w:szCs w:val="22"/>
        </w:rPr>
        <w:t>Nonetheless, i</w:t>
      </w:r>
      <w:r w:rsidR="005D154F">
        <w:rPr>
          <w:rFonts w:ascii="Avenir Next" w:hAnsi="Avenir Next" w:cs="Arial"/>
          <w:color w:val="808080" w:themeColor="background1" w:themeShade="80"/>
          <w:sz w:val="22"/>
          <w:szCs w:val="22"/>
        </w:rPr>
        <w:t xml:space="preserve">t obligates the debtor company to be in a position to pay the debts as those as falling due during the period of the Moratorium. </w:t>
      </w:r>
      <w:r w:rsidR="0005102C" w:rsidRPr="00D83732">
        <w:rPr>
          <w:rFonts w:ascii="Avenir Next" w:hAnsi="Avenir Next" w:cs="Arial"/>
          <w:color w:val="808080" w:themeColor="background1" w:themeShade="80"/>
          <w:sz w:val="22"/>
          <w:szCs w:val="22"/>
          <w:lang w:val="en-GB"/>
        </w:rPr>
        <w:t>Section A18 of Chapter 4</w:t>
      </w:r>
      <w:r w:rsidR="0005102C">
        <w:rPr>
          <w:rFonts w:ascii="Avenir Next" w:hAnsi="Avenir Next" w:cs="Arial"/>
          <w:color w:val="808080" w:themeColor="background1" w:themeShade="80"/>
          <w:sz w:val="22"/>
          <w:szCs w:val="22"/>
          <w:lang w:val="en-GB"/>
        </w:rPr>
        <w:t xml:space="preserve"> explains that pre-Moratorium debts concern those debts that either have fallen due on a pre-Moratorium basis or that fall due within the period of the Moratorium. These debts are thus included in </w:t>
      </w:r>
      <w:r w:rsidR="00C80D15">
        <w:rPr>
          <w:rFonts w:ascii="Avenir Next" w:hAnsi="Avenir Next" w:cs="Arial"/>
          <w:color w:val="808080" w:themeColor="background1" w:themeShade="80"/>
          <w:sz w:val="22"/>
          <w:szCs w:val="22"/>
          <w:lang w:val="en-GB"/>
        </w:rPr>
        <w:t>the</w:t>
      </w:r>
      <w:r w:rsidR="0005102C">
        <w:rPr>
          <w:rFonts w:ascii="Avenir Next" w:hAnsi="Avenir Next" w:cs="Arial"/>
          <w:color w:val="808080" w:themeColor="background1" w:themeShade="80"/>
          <w:sz w:val="22"/>
          <w:szCs w:val="22"/>
          <w:lang w:val="en-GB"/>
        </w:rPr>
        <w:t xml:space="preserve"> company’s ‘payment holiday’. </w:t>
      </w:r>
      <w:r w:rsidR="000732C3">
        <w:rPr>
          <w:rFonts w:ascii="Avenir Next" w:hAnsi="Avenir Next" w:cs="Arial"/>
          <w:color w:val="808080" w:themeColor="background1" w:themeShade="80"/>
          <w:sz w:val="22"/>
          <w:szCs w:val="22"/>
          <w:lang w:val="en-GB"/>
        </w:rPr>
        <w:t>F</w:t>
      </w:r>
      <w:r w:rsidR="0005102C">
        <w:rPr>
          <w:rFonts w:ascii="Avenir Next" w:hAnsi="Avenir Next" w:cs="Arial"/>
          <w:color w:val="808080" w:themeColor="background1" w:themeShade="80"/>
          <w:sz w:val="22"/>
          <w:szCs w:val="22"/>
        </w:rPr>
        <w:t>ive debts that do not form part of the payment holiday moratorium</w:t>
      </w:r>
      <w:r w:rsidR="00EA4E35">
        <w:rPr>
          <w:rFonts w:ascii="Avenir Next" w:hAnsi="Avenir Next" w:cs="Arial"/>
          <w:color w:val="808080" w:themeColor="background1" w:themeShade="80"/>
          <w:sz w:val="22"/>
          <w:szCs w:val="22"/>
        </w:rPr>
        <w:t>,</w:t>
      </w:r>
      <w:r w:rsidR="0005102C">
        <w:rPr>
          <w:rFonts w:ascii="Avenir Next" w:hAnsi="Avenir Next" w:cs="Arial"/>
          <w:color w:val="808080" w:themeColor="background1" w:themeShade="80"/>
          <w:sz w:val="22"/>
          <w:szCs w:val="22"/>
        </w:rPr>
        <w:t xml:space="preserve"> pursuant to that section of the Insolvency Act of 1986</w:t>
      </w:r>
      <w:r w:rsidR="00EA4E35">
        <w:rPr>
          <w:rFonts w:ascii="Avenir Next" w:hAnsi="Avenir Next" w:cs="Arial"/>
          <w:color w:val="808080" w:themeColor="background1" w:themeShade="80"/>
          <w:sz w:val="22"/>
          <w:szCs w:val="22"/>
        </w:rPr>
        <w:t>,</w:t>
      </w:r>
      <w:r w:rsidR="0005102C">
        <w:rPr>
          <w:rFonts w:ascii="Avenir Next" w:hAnsi="Avenir Next" w:cs="Arial"/>
          <w:color w:val="808080" w:themeColor="background1" w:themeShade="80"/>
          <w:sz w:val="22"/>
          <w:szCs w:val="22"/>
        </w:rPr>
        <w:t xml:space="preserve"> are as follows.</w:t>
      </w:r>
    </w:p>
    <w:p w14:paraId="4FA7EF2D" w14:textId="77777777" w:rsidR="000A275E" w:rsidRPr="000A275E" w:rsidRDefault="000A275E" w:rsidP="0005102C">
      <w:pPr>
        <w:jc w:val="both"/>
        <w:rPr>
          <w:rFonts w:ascii="Avenir Next" w:hAnsi="Avenir Next" w:cs="Arial"/>
          <w:color w:val="808080" w:themeColor="background1" w:themeShade="80"/>
          <w:sz w:val="22"/>
          <w:szCs w:val="22"/>
          <w:lang w:val="en-GB"/>
        </w:rPr>
      </w:pPr>
    </w:p>
    <w:p w14:paraId="678760FE" w14:textId="64ADE3C2" w:rsidR="0005102C" w:rsidRPr="00212001" w:rsidRDefault="0005102C" w:rsidP="007874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of all, </w:t>
      </w:r>
      <w:r w:rsidR="000732C3">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stay on pre-Moratorium debts does not concern the remuneration of the monitor and relevant expenses. </w:t>
      </w:r>
      <w:r w:rsidR="00474968" w:rsidRPr="00474968">
        <w:rPr>
          <w:rFonts w:ascii="Avenir Next" w:hAnsi="Avenir Next" w:cs="Arial"/>
          <w:color w:val="808080" w:themeColor="background1" w:themeShade="80"/>
          <w:sz w:val="22"/>
          <w:szCs w:val="22"/>
          <w:lang w:val="en-GB"/>
        </w:rPr>
        <w:t xml:space="preserve">The monitor's function is to observe the affairs of the company in order to </w:t>
      </w:r>
      <w:r w:rsidR="000732C3">
        <w:rPr>
          <w:rFonts w:ascii="Avenir Next" w:hAnsi="Avenir Next" w:cs="Arial"/>
          <w:color w:val="808080" w:themeColor="background1" w:themeShade="80"/>
          <w:sz w:val="22"/>
          <w:szCs w:val="22"/>
          <w:lang w:val="en-GB"/>
        </w:rPr>
        <w:t>form</w:t>
      </w:r>
      <w:r w:rsidR="00474968" w:rsidRPr="00474968">
        <w:rPr>
          <w:rFonts w:ascii="Avenir Next" w:hAnsi="Avenir Next" w:cs="Arial"/>
          <w:color w:val="808080" w:themeColor="background1" w:themeShade="80"/>
          <w:sz w:val="22"/>
          <w:szCs w:val="22"/>
          <w:lang w:val="en-GB"/>
        </w:rPr>
        <w:t xml:space="preserve"> an opinion as to the likelihood </w:t>
      </w:r>
      <w:r w:rsidR="000732C3">
        <w:rPr>
          <w:rFonts w:ascii="Avenir Next" w:hAnsi="Avenir Next" w:cs="Arial"/>
          <w:color w:val="808080" w:themeColor="background1" w:themeShade="80"/>
          <w:sz w:val="22"/>
          <w:szCs w:val="22"/>
          <w:lang w:val="en-GB"/>
        </w:rPr>
        <w:t>of</w:t>
      </w:r>
      <w:r w:rsidR="00474968" w:rsidRPr="00474968">
        <w:rPr>
          <w:rFonts w:ascii="Avenir Next" w:hAnsi="Avenir Next" w:cs="Arial"/>
          <w:color w:val="808080" w:themeColor="background1" w:themeShade="80"/>
          <w:sz w:val="22"/>
          <w:szCs w:val="22"/>
          <w:lang w:val="en-GB"/>
        </w:rPr>
        <w:t xml:space="preserve"> the moratorium lead</w:t>
      </w:r>
      <w:r w:rsidR="000732C3">
        <w:rPr>
          <w:rFonts w:ascii="Avenir Next" w:hAnsi="Avenir Next" w:cs="Arial"/>
          <w:color w:val="808080" w:themeColor="background1" w:themeShade="80"/>
          <w:sz w:val="22"/>
          <w:szCs w:val="22"/>
          <w:lang w:val="en-GB"/>
        </w:rPr>
        <w:t>ing</w:t>
      </w:r>
      <w:r w:rsidR="00474968" w:rsidRPr="00474968">
        <w:rPr>
          <w:rFonts w:ascii="Avenir Next" w:hAnsi="Avenir Next" w:cs="Arial"/>
          <w:color w:val="808080" w:themeColor="background1" w:themeShade="80"/>
          <w:sz w:val="22"/>
          <w:szCs w:val="22"/>
          <w:lang w:val="en-GB"/>
        </w:rPr>
        <w:t xml:space="preserve"> to the rescue of the business as a going concern.</w:t>
      </w:r>
      <w:r w:rsidR="00DA0B8B">
        <w:rPr>
          <w:rFonts w:ascii="Avenir Next" w:hAnsi="Avenir Next" w:cs="Arial"/>
          <w:color w:val="808080" w:themeColor="background1" w:themeShade="80"/>
          <w:sz w:val="22"/>
          <w:szCs w:val="22"/>
          <w:lang w:val="en-GB"/>
        </w:rPr>
        <w:t xml:space="preserve"> Section A18(7) explicitly states that </w:t>
      </w:r>
      <w:r w:rsidR="000732C3">
        <w:rPr>
          <w:rFonts w:ascii="Avenir Next" w:hAnsi="Avenir Next" w:cs="Arial"/>
          <w:color w:val="808080" w:themeColor="background1" w:themeShade="80"/>
          <w:sz w:val="22"/>
          <w:szCs w:val="22"/>
          <w:lang w:val="en-GB"/>
        </w:rPr>
        <w:t xml:space="preserve">the </w:t>
      </w:r>
      <w:r w:rsidR="00DA0B8B">
        <w:rPr>
          <w:rFonts w:ascii="Avenir Next" w:hAnsi="Avenir Next" w:cs="Arial"/>
          <w:color w:val="808080" w:themeColor="background1" w:themeShade="80"/>
          <w:sz w:val="22"/>
          <w:szCs w:val="22"/>
          <w:lang w:val="en-GB"/>
        </w:rPr>
        <w:t>“</w:t>
      </w:r>
      <w:r w:rsidR="00DA0B8B" w:rsidRPr="00DA0B8B">
        <w:rPr>
          <w:rFonts w:ascii="Avenir Next" w:hAnsi="Avenir Next" w:cs="Arial"/>
          <w:color w:val="808080" w:themeColor="background1" w:themeShade="80"/>
          <w:sz w:val="22"/>
          <w:szCs w:val="22"/>
          <w:lang w:val="en-GB"/>
        </w:rPr>
        <w:t>“monitor’s remuneration or expenses” does not include remuneration in respect of anything done by a proposed monitor before the moratorium begins</w:t>
      </w:r>
      <w:r w:rsidR="00DA0B8B">
        <w:rPr>
          <w:rFonts w:ascii="Avenir Next" w:hAnsi="Avenir Next" w:cs="Arial"/>
          <w:color w:val="808080" w:themeColor="background1" w:themeShade="80"/>
          <w:sz w:val="22"/>
          <w:szCs w:val="22"/>
          <w:lang w:val="en-GB"/>
        </w:rPr>
        <w:t>” (</w:t>
      </w:r>
      <w:r w:rsidR="00DA0B8B" w:rsidRPr="00DA0B8B">
        <w:rPr>
          <w:rFonts w:ascii="Avenir Next" w:hAnsi="Avenir Next" w:cs="Arial"/>
          <w:color w:val="808080" w:themeColor="background1" w:themeShade="80"/>
          <w:sz w:val="22"/>
          <w:szCs w:val="22"/>
          <w:lang w:val="en-GB"/>
        </w:rPr>
        <w:t>A18</w:t>
      </w:r>
      <w:r w:rsidR="00DA0B8B">
        <w:rPr>
          <w:rFonts w:ascii="Avenir Next" w:hAnsi="Avenir Next" w:cs="Arial"/>
          <w:color w:val="808080" w:themeColor="background1" w:themeShade="80"/>
          <w:sz w:val="22"/>
          <w:szCs w:val="22"/>
          <w:lang w:val="en-GB"/>
        </w:rPr>
        <w:t xml:space="preserve">(7), </w:t>
      </w:r>
      <w:r w:rsidR="00DA0B8B" w:rsidRPr="00EA4E35">
        <w:rPr>
          <w:rFonts w:ascii="Avenir Next" w:hAnsi="Avenir Next" w:cs="Arial"/>
          <w:i/>
          <w:iCs/>
          <w:color w:val="808080" w:themeColor="background1" w:themeShade="80"/>
          <w:sz w:val="22"/>
          <w:szCs w:val="22"/>
          <w:lang w:val="en-GB"/>
        </w:rPr>
        <w:t>Overview and construction of references to payment holidays</w:t>
      </w:r>
      <w:r w:rsidR="00DA0B8B">
        <w:rPr>
          <w:rFonts w:ascii="Avenir Next" w:hAnsi="Avenir Next" w:cs="Arial"/>
          <w:color w:val="808080" w:themeColor="background1" w:themeShade="80"/>
          <w:sz w:val="22"/>
          <w:szCs w:val="22"/>
          <w:lang w:val="en-GB"/>
        </w:rPr>
        <w:t>, Chapter 4, Effects of Moratorium).</w:t>
      </w:r>
      <w:r w:rsidR="00474968" w:rsidRPr="00474968">
        <w:rPr>
          <w:rFonts w:ascii="Avenir Next" w:hAnsi="Avenir Next" w:cs="Arial"/>
          <w:color w:val="808080" w:themeColor="background1" w:themeShade="80"/>
          <w:sz w:val="22"/>
          <w:szCs w:val="22"/>
          <w:lang w:val="en-GB"/>
        </w:rPr>
        <w:t xml:space="preserve"> </w:t>
      </w:r>
      <w:r w:rsidR="00474968">
        <w:rPr>
          <w:rFonts w:ascii="Avenir Next" w:hAnsi="Avenir Next" w:cs="Arial"/>
          <w:color w:val="808080" w:themeColor="background1" w:themeShade="80"/>
          <w:sz w:val="22"/>
          <w:szCs w:val="22"/>
          <w:lang w:val="en-GB"/>
        </w:rPr>
        <w:t>Secondly</w:t>
      </w:r>
      <w:r w:rsidRPr="001D70CD">
        <w:rPr>
          <w:rFonts w:ascii="Avenir Next" w:hAnsi="Avenir Next" w:cs="Arial"/>
          <w:color w:val="808080" w:themeColor="background1" w:themeShade="80"/>
          <w:sz w:val="22"/>
          <w:szCs w:val="22"/>
          <w:lang w:val="en-GB"/>
        </w:rPr>
        <w:t>,</w:t>
      </w:r>
      <w:r w:rsidR="00474968">
        <w:rPr>
          <w:rFonts w:ascii="Avenir Next" w:hAnsi="Avenir Next" w:cs="Arial"/>
          <w:color w:val="808080" w:themeColor="background1" w:themeShade="80"/>
          <w:sz w:val="22"/>
          <w:szCs w:val="22"/>
          <w:lang w:val="en-GB"/>
        </w:rPr>
        <w:t xml:space="preserve"> a stay on pre-moratorium debts does not concern any services or goods provided during the Moratorium period. This is presumably to secure the continuation of the business and its rescue. In addition, </w:t>
      </w:r>
      <w:r w:rsidR="001705B9">
        <w:rPr>
          <w:rFonts w:ascii="Avenir Next" w:hAnsi="Avenir Next" w:cs="Arial"/>
          <w:color w:val="808080" w:themeColor="background1" w:themeShade="80"/>
          <w:sz w:val="22"/>
          <w:szCs w:val="22"/>
          <w:lang w:val="en-GB"/>
        </w:rPr>
        <w:t xml:space="preserve">pre-moratorium debts </w:t>
      </w:r>
      <w:r w:rsidR="000732C3">
        <w:rPr>
          <w:rFonts w:ascii="Avenir Next" w:hAnsi="Avenir Next" w:cs="Arial"/>
          <w:color w:val="808080" w:themeColor="background1" w:themeShade="80"/>
          <w:sz w:val="22"/>
          <w:szCs w:val="22"/>
          <w:lang w:val="en-GB"/>
        </w:rPr>
        <w:t xml:space="preserve">falling within the ‘payment holiday’ consideration </w:t>
      </w:r>
      <w:r w:rsidR="001705B9">
        <w:rPr>
          <w:rFonts w:ascii="Avenir Next" w:hAnsi="Avenir Next" w:cs="Arial"/>
          <w:color w:val="808080" w:themeColor="background1" w:themeShade="80"/>
          <w:sz w:val="22"/>
          <w:szCs w:val="22"/>
          <w:lang w:val="en-GB"/>
        </w:rPr>
        <w:t xml:space="preserve">do </w:t>
      </w:r>
      <w:r w:rsidR="00DF57E4">
        <w:rPr>
          <w:rFonts w:ascii="Avenir Next" w:hAnsi="Avenir Next" w:cs="Arial"/>
          <w:color w:val="808080" w:themeColor="background1" w:themeShade="80"/>
          <w:sz w:val="22"/>
          <w:szCs w:val="22"/>
          <w:lang w:val="en-GB"/>
        </w:rPr>
        <w:t xml:space="preserve">not </w:t>
      </w:r>
      <w:r w:rsidR="001705B9">
        <w:rPr>
          <w:rFonts w:ascii="Avenir Next" w:hAnsi="Avenir Next" w:cs="Arial"/>
          <w:color w:val="808080" w:themeColor="background1" w:themeShade="80"/>
          <w:sz w:val="22"/>
          <w:szCs w:val="22"/>
          <w:lang w:val="en-GB"/>
        </w:rPr>
        <w:t xml:space="preserve">relate to any rent </w:t>
      </w:r>
      <w:r w:rsidR="0049646E">
        <w:rPr>
          <w:rFonts w:ascii="Avenir Next" w:hAnsi="Avenir Next" w:cs="Arial"/>
          <w:color w:val="808080" w:themeColor="background1" w:themeShade="80"/>
          <w:sz w:val="22"/>
          <w:szCs w:val="22"/>
          <w:lang w:val="en-GB"/>
        </w:rPr>
        <w:t>regarding a</w:t>
      </w:r>
      <w:r w:rsidR="000732C3">
        <w:rPr>
          <w:rFonts w:ascii="Avenir Next" w:hAnsi="Avenir Next" w:cs="Arial"/>
          <w:color w:val="808080" w:themeColor="background1" w:themeShade="80"/>
          <w:sz w:val="22"/>
          <w:szCs w:val="22"/>
          <w:lang w:val="en-GB"/>
        </w:rPr>
        <w:t>ny</w:t>
      </w:r>
      <w:r w:rsidR="0049646E">
        <w:rPr>
          <w:rFonts w:ascii="Avenir Next" w:hAnsi="Avenir Next" w:cs="Arial"/>
          <w:color w:val="808080" w:themeColor="background1" w:themeShade="80"/>
          <w:sz w:val="22"/>
          <w:szCs w:val="22"/>
          <w:lang w:val="en-GB"/>
        </w:rPr>
        <w:t xml:space="preserve"> </w:t>
      </w:r>
      <w:r w:rsidR="00EA4E35">
        <w:rPr>
          <w:rFonts w:ascii="Avenir Next" w:hAnsi="Avenir Next" w:cs="Arial"/>
          <w:color w:val="808080" w:themeColor="background1" w:themeShade="80"/>
          <w:sz w:val="22"/>
          <w:szCs w:val="22"/>
          <w:lang w:val="en-GB"/>
        </w:rPr>
        <w:t>part of</w:t>
      </w:r>
      <w:r w:rsidR="0049646E">
        <w:rPr>
          <w:rFonts w:ascii="Avenir Next" w:hAnsi="Avenir Next" w:cs="Arial"/>
          <w:color w:val="808080" w:themeColor="background1" w:themeShade="80"/>
          <w:sz w:val="22"/>
          <w:szCs w:val="22"/>
          <w:lang w:val="en-GB"/>
        </w:rPr>
        <w:t xml:space="preserve"> </w:t>
      </w:r>
      <w:r w:rsidR="001705B9">
        <w:rPr>
          <w:rFonts w:ascii="Avenir Next" w:hAnsi="Avenir Next" w:cs="Arial"/>
          <w:color w:val="808080" w:themeColor="background1" w:themeShade="80"/>
          <w:sz w:val="22"/>
          <w:szCs w:val="22"/>
          <w:lang w:val="en-GB"/>
        </w:rPr>
        <w:t>the Moratorium</w:t>
      </w:r>
      <w:r w:rsidR="00EA4E35">
        <w:rPr>
          <w:rFonts w:ascii="Avenir Next" w:hAnsi="Avenir Next" w:cs="Arial"/>
          <w:color w:val="808080" w:themeColor="background1" w:themeShade="80"/>
          <w:sz w:val="22"/>
          <w:szCs w:val="22"/>
          <w:lang w:val="en-GB"/>
        </w:rPr>
        <w:t xml:space="preserve"> period</w:t>
      </w:r>
      <w:r w:rsidR="001705B9">
        <w:rPr>
          <w:rFonts w:ascii="Avenir Next" w:hAnsi="Avenir Next" w:cs="Arial"/>
          <w:color w:val="808080" w:themeColor="background1" w:themeShade="80"/>
          <w:sz w:val="22"/>
          <w:szCs w:val="22"/>
          <w:lang w:val="en-GB"/>
        </w:rPr>
        <w:t xml:space="preserve">. This is again to </w:t>
      </w:r>
      <w:r w:rsidR="000732C3">
        <w:rPr>
          <w:rFonts w:ascii="Avenir Next" w:hAnsi="Avenir Next" w:cs="Arial"/>
          <w:color w:val="808080" w:themeColor="background1" w:themeShade="80"/>
          <w:sz w:val="22"/>
          <w:szCs w:val="22"/>
          <w:lang w:val="en-GB"/>
        </w:rPr>
        <w:t>enable</w:t>
      </w:r>
      <w:r w:rsidR="001705B9">
        <w:rPr>
          <w:rFonts w:ascii="Avenir Next" w:hAnsi="Avenir Next" w:cs="Arial"/>
          <w:color w:val="808080" w:themeColor="background1" w:themeShade="80"/>
          <w:sz w:val="22"/>
          <w:szCs w:val="22"/>
          <w:lang w:val="en-GB"/>
        </w:rPr>
        <w:t xml:space="preserve"> the </w:t>
      </w:r>
      <w:r w:rsidR="0049646E">
        <w:rPr>
          <w:rFonts w:ascii="Avenir Next" w:hAnsi="Avenir Next" w:cs="Arial"/>
          <w:color w:val="808080" w:themeColor="background1" w:themeShade="80"/>
          <w:sz w:val="22"/>
          <w:szCs w:val="22"/>
          <w:lang w:val="en-GB"/>
        </w:rPr>
        <w:t>uninterrupted</w:t>
      </w:r>
      <w:r w:rsidR="001705B9">
        <w:rPr>
          <w:rFonts w:ascii="Avenir Next" w:hAnsi="Avenir Next" w:cs="Arial"/>
          <w:color w:val="808080" w:themeColor="background1" w:themeShade="80"/>
          <w:sz w:val="22"/>
          <w:szCs w:val="22"/>
          <w:lang w:val="en-GB"/>
        </w:rPr>
        <w:t xml:space="preserve"> continuation of the business</w:t>
      </w:r>
      <w:r w:rsidR="0049646E">
        <w:rPr>
          <w:rFonts w:ascii="Avenir Next" w:hAnsi="Avenir Next" w:cs="Arial"/>
          <w:color w:val="808080" w:themeColor="background1" w:themeShade="80"/>
          <w:sz w:val="22"/>
          <w:szCs w:val="22"/>
          <w:lang w:val="en-GB"/>
        </w:rPr>
        <w:t xml:space="preserve"> and its rescue. Fourthly, other pre-Moratorium debts not falling within the spectrum of a payment holiday are linked to any salary(ies) and wages that occur in respect of an employment contract or contracts. </w:t>
      </w:r>
      <w:r w:rsidR="00E95431">
        <w:rPr>
          <w:rFonts w:ascii="Avenir Next" w:hAnsi="Avenir Next" w:cs="Arial"/>
          <w:color w:val="808080" w:themeColor="background1" w:themeShade="80"/>
          <w:sz w:val="22"/>
          <w:szCs w:val="22"/>
          <w:lang w:val="en-GB"/>
        </w:rPr>
        <w:t>For the purposes of this consideration, ‘</w:t>
      </w:r>
      <w:r w:rsidR="00E95431" w:rsidRPr="00E95431">
        <w:rPr>
          <w:rFonts w:ascii="Avenir Next" w:hAnsi="Avenir Next" w:cs="Arial"/>
          <w:color w:val="808080" w:themeColor="background1" w:themeShade="80"/>
          <w:sz w:val="22"/>
          <w:szCs w:val="22"/>
          <w:lang w:val="en-GB"/>
        </w:rPr>
        <w:t>wages or salary</w:t>
      </w:r>
      <w:r w:rsidR="00E95431">
        <w:rPr>
          <w:rFonts w:ascii="Avenir Next" w:hAnsi="Avenir Next" w:cs="Arial"/>
          <w:color w:val="808080" w:themeColor="background1" w:themeShade="80"/>
          <w:sz w:val="22"/>
          <w:szCs w:val="22"/>
          <w:lang w:val="en-GB"/>
        </w:rPr>
        <w:t xml:space="preserve">’ include amounts payable relating to holiday periods, absence periods through illness or other “good cause”, amounts in lieu of holiday and contributions to an ‘occupational pension scheme’, as known in the United Kingdom. </w:t>
      </w:r>
      <w:r w:rsidR="0049646E">
        <w:rPr>
          <w:rFonts w:ascii="Avenir Next" w:hAnsi="Avenir Next" w:cs="Arial"/>
          <w:color w:val="808080" w:themeColor="background1" w:themeShade="80"/>
          <w:sz w:val="22"/>
          <w:szCs w:val="22"/>
          <w:lang w:val="en-GB"/>
        </w:rPr>
        <w:t xml:space="preserve">Lastly, </w:t>
      </w:r>
      <w:r w:rsidRPr="001D70CD">
        <w:rPr>
          <w:rFonts w:ascii="Avenir Next" w:hAnsi="Avenir Next" w:cs="Arial"/>
          <w:color w:val="808080" w:themeColor="background1" w:themeShade="80"/>
          <w:sz w:val="22"/>
          <w:szCs w:val="22"/>
          <w:lang w:val="en-GB"/>
        </w:rPr>
        <w:t>redundancy payments</w:t>
      </w:r>
      <w:r w:rsidR="0049646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are</w:t>
      </w:r>
      <w:r w:rsidR="00E95431">
        <w:rPr>
          <w:rFonts w:ascii="Avenir Next" w:hAnsi="Avenir Next" w:cs="Arial"/>
          <w:color w:val="808080" w:themeColor="background1" w:themeShade="80"/>
          <w:sz w:val="22"/>
          <w:szCs w:val="22"/>
          <w:lang w:val="en-GB"/>
        </w:rPr>
        <w:t xml:space="preserve"> also</w:t>
      </w:r>
      <w:r>
        <w:rPr>
          <w:rFonts w:ascii="Avenir Next" w:hAnsi="Avenir Next" w:cs="Arial"/>
          <w:color w:val="808080" w:themeColor="background1" w:themeShade="80"/>
          <w:sz w:val="22"/>
          <w:szCs w:val="22"/>
          <w:lang w:val="en-GB"/>
        </w:rPr>
        <w:t xml:space="preserve"> excluded from any payment holiday</w:t>
      </w:r>
      <w:r w:rsidR="00E95431">
        <w:rPr>
          <w:rFonts w:ascii="Avenir Next" w:hAnsi="Avenir Next" w:cs="Arial"/>
          <w:color w:val="808080" w:themeColor="background1" w:themeShade="80"/>
          <w:sz w:val="22"/>
          <w:szCs w:val="22"/>
          <w:lang w:val="en-GB"/>
        </w:rPr>
        <w:t>.</w:t>
      </w:r>
      <w:r w:rsidR="00D267A4">
        <w:rPr>
          <w:rFonts w:ascii="Avenir Next" w:hAnsi="Avenir Next" w:cs="Arial"/>
          <w:color w:val="808080" w:themeColor="background1" w:themeShade="80"/>
          <w:sz w:val="22"/>
          <w:szCs w:val="22"/>
          <w:lang w:val="en-GB"/>
        </w:rPr>
        <w:t xml:space="preserve"> Redundancy payments refer to either the Employment Rights Act of 1996 (Part 11) or the Employment Rights Order of 1996 (Northern Ireland, Part 12). </w:t>
      </w:r>
      <w:r w:rsidR="00787418">
        <w:rPr>
          <w:rFonts w:ascii="Avenir Next" w:hAnsi="Avenir Next" w:cs="Arial"/>
          <w:color w:val="808080" w:themeColor="background1" w:themeShade="80"/>
          <w:sz w:val="22"/>
          <w:szCs w:val="22"/>
          <w:lang w:val="en-GB"/>
        </w:rPr>
        <w:t>In conne</w:t>
      </w:r>
      <w:r w:rsidR="00EA4E35">
        <w:rPr>
          <w:rFonts w:ascii="Avenir Next" w:hAnsi="Avenir Next" w:cs="Arial"/>
          <w:color w:val="808080" w:themeColor="background1" w:themeShade="80"/>
          <w:sz w:val="22"/>
          <w:szCs w:val="22"/>
          <w:lang w:val="en-GB"/>
        </w:rPr>
        <w:t>ct</w:t>
      </w:r>
      <w:r w:rsidR="00787418">
        <w:rPr>
          <w:rFonts w:ascii="Avenir Next" w:hAnsi="Avenir Next" w:cs="Arial"/>
          <w:color w:val="808080" w:themeColor="background1" w:themeShade="80"/>
          <w:sz w:val="22"/>
          <w:szCs w:val="22"/>
          <w:lang w:val="en-GB"/>
        </w:rPr>
        <w:t>ion with Parts 11 or 12, a</w:t>
      </w:r>
      <w:r w:rsidR="00D267A4">
        <w:rPr>
          <w:rFonts w:ascii="Avenir Next" w:hAnsi="Avenir Next" w:cs="Arial"/>
          <w:color w:val="808080" w:themeColor="background1" w:themeShade="80"/>
          <w:sz w:val="22"/>
          <w:szCs w:val="22"/>
          <w:lang w:val="en-GB"/>
        </w:rPr>
        <w:t xml:space="preserve"> redundancy payment may also refer to </w:t>
      </w:r>
      <w:r w:rsidR="00D927DD">
        <w:rPr>
          <w:rFonts w:ascii="Avenir Next" w:hAnsi="Avenir Next" w:cs="Arial"/>
          <w:color w:val="808080" w:themeColor="background1" w:themeShade="80"/>
          <w:sz w:val="22"/>
          <w:szCs w:val="22"/>
          <w:lang w:val="en-GB"/>
        </w:rPr>
        <w:t xml:space="preserve">an individual </w:t>
      </w:r>
      <w:r w:rsidR="00787418">
        <w:rPr>
          <w:rFonts w:ascii="Avenir Next" w:hAnsi="Avenir Next" w:cs="Arial"/>
          <w:color w:val="808080" w:themeColor="background1" w:themeShade="80"/>
          <w:sz w:val="22"/>
          <w:szCs w:val="22"/>
          <w:lang w:val="en-GB"/>
        </w:rPr>
        <w:t xml:space="preserve">agreeing to terminate the employment contract where </w:t>
      </w:r>
      <w:r w:rsidR="00787418" w:rsidRPr="00787418">
        <w:rPr>
          <w:rFonts w:ascii="Avenir Next" w:hAnsi="Avenir Next" w:cs="Arial"/>
          <w:color w:val="808080" w:themeColor="background1" w:themeShade="80"/>
          <w:sz w:val="22"/>
          <w:szCs w:val="22"/>
          <w:lang w:val="en-GB"/>
        </w:rPr>
        <w:t>he or she would have been eligible for redundancy payment under this part if he or she had been dismissed</w:t>
      </w:r>
      <w:r w:rsidR="006F65C4">
        <w:rPr>
          <w:rFonts w:ascii="Avenir Next" w:hAnsi="Avenir Next" w:cs="Arial"/>
          <w:color w:val="808080" w:themeColor="background1" w:themeShade="80"/>
          <w:sz w:val="22"/>
          <w:szCs w:val="22"/>
          <w:lang w:val="en-GB"/>
        </w:rPr>
        <w:t>.</w:t>
      </w:r>
    </w:p>
    <w:p w14:paraId="1D745CDB" w14:textId="4FA0E11D" w:rsidR="00EA3B38" w:rsidRPr="00B84055" w:rsidRDefault="00EA3B38" w:rsidP="00EA3B38">
      <w:pPr>
        <w:jc w:val="both"/>
        <w:rPr>
          <w:rFonts w:ascii="Avenir Next" w:hAnsi="Avenir Next" w:cs="Arial"/>
          <w:color w:val="808080" w:themeColor="background1" w:themeShade="80"/>
          <w:sz w:val="22"/>
          <w:szCs w:val="22"/>
        </w:rPr>
      </w:pP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DEBA504" w14:textId="77777777" w:rsidR="00CA33B8" w:rsidRDefault="00454035" w:rsidP="00454035">
      <w:pPr>
        <w:jc w:val="both"/>
        <w:rPr>
          <w:rFonts w:ascii="Avenir Next" w:hAnsi="Avenir Next" w:cs="Arial"/>
          <w:color w:val="808080" w:themeColor="background1" w:themeShade="80"/>
          <w:sz w:val="22"/>
          <w:szCs w:val="22"/>
        </w:rPr>
      </w:pPr>
      <w:r w:rsidRPr="00454035">
        <w:rPr>
          <w:rFonts w:ascii="Avenir Next" w:hAnsi="Avenir Next" w:cs="Arial"/>
          <w:color w:val="808080" w:themeColor="background1" w:themeShade="80"/>
          <w:sz w:val="22"/>
          <w:szCs w:val="22"/>
        </w:rPr>
        <w:t>First of all, it should be noted that executory contracts are not terminated simultaneously with the appointment of the administrator.</w:t>
      </w:r>
      <w:r w:rsidR="00CA4C08" w:rsidRPr="00CA4C08">
        <w:rPr>
          <w:rFonts w:ascii="Avenir Next" w:hAnsi="Avenir Next" w:cs="Arial"/>
          <w:color w:val="808080" w:themeColor="background1" w:themeShade="80"/>
          <w:sz w:val="22"/>
          <w:szCs w:val="22"/>
        </w:rPr>
        <w:t xml:space="preserve"> </w:t>
      </w:r>
      <w:r w:rsidR="00CA4C08">
        <w:rPr>
          <w:rFonts w:ascii="Avenir Next" w:hAnsi="Avenir Next" w:cs="Arial"/>
          <w:color w:val="808080" w:themeColor="background1" w:themeShade="80"/>
          <w:sz w:val="22"/>
          <w:szCs w:val="22"/>
        </w:rPr>
        <w:t>T</w:t>
      </w:r>
      <w:r w:rsidRPr="00454035">
        <w:rPr>
          <w:rFonts w:ascii="Avenir Next" w:hAnsi="Avenir Next" w:cs="Arial"/>
          <w:color w:val="808080" w:themeColor="background1" w:themeShade="80"/>
          <w:sz w:val="22"/>
          <w:szCs w:val="22"/>
        </w:rPr>
        <w:t xml:space="preserve">he situation </w:t>
      </w:r>
      <w:r w:rsidR="00CA33B8">
        <w:rPr>
          <w:rFonts w:ascii="Avenir Next" w:hAnsi="Avenir Next" w:cs="Arial"/>
          <w:color w:val="808080" w:themeColor="background1" w:themeShade="80"/>
          <w:sz w:val="22"/>
          <w:szCs w:val="22"/>
        </w:rPr>
        <w:t>that requires certain contracts</w:t>
      </w:r>
      <w:r w:rsidRPr="00454035">
        <w:rPr>
          <w:rFonts w:ascii="Avenir Next" w:hAnsi="Avenir Next" w:cs="Arial"/>
          <w:color w:val="808080" w:themeColor="background1" w:themeShade="80"/>
          <w:sz w:val="22"/>
          <w:szCs w:val="22"/>
        </w:rPr>
        <w:t xml:space="preserve"> to be maintained during the company's administration is </w:t>
      </w:r>
      <w:r w:rsidR="00CA4C08">
        <w:rPr>
          <w:rFonts w:ascii="Avenir Next" w:hAnsi="Avenir Next" w:cs="Arial"/>
          <w:color w:val="808080" w:themeColor="background1" w:themeShade="80"/>
          <w:sz w:val="22"/>
          <w:szCs w:val="22"/>
        </w:rPr>
        <w:t xml:space="preserve">indeed </w:t>
      </w:r>
      <w:r w:rsidRPr="00454035">
        <w:rPr>
          <w:rFonts w:ascii="Avenir Next" w:hAnsi="Avenir Next" w:cs="Arial"/>
          <w:color w:val="808080" w:themeColor="background1" w:themeShade="80"/>
          <w:sz w:val="22"/>
          <w:szCs w:val="22"/>
        </w:rPr>
        <w:t xml:space="preserve">essential to the </w:t>
      </w:r>
      <w:r w:rsidR="00CA4C08">
        <w:rPr>
          <w:rFonts w:ascii="Avenir Next" w:hAnsi="Avenir Next" w:cs="Arial"/>
          <w:color w:val="808080" w:themeColor="background1" w:themeShade="80"/>
          <w:sz w:val="22"/>
          <w:szCs w:val="22"/>
        </w:rPr>
        <w:t xml:space="preserve">company and to the </w:t>
      </w:r>
      <w:r w:rsidRPr="00454035">
        <w:rPr>
          <w:rFonts w:ascii="Avenir Next" w:hAnsi="Avenir Next" w:cs="Arial"/>
          <w:color w:val="808080" w:themeColor="background1" w:themeShade="80"/>
          <w:sz w:val="22"/>
          <w:szCs w:val="22"/>
        </w:rPr>
        <w:t xml:space="preserve">overall procedure. </w:t>
      </w:r>
    </w:p>
    <w:p w14:paraId="65269D57" w14:textId="77777777" w:rsidR="00CA33B8" w:rsidRDefault="00CA33B8" w:rsidP="00454035">
      <w:pPr>
        <w:jc w:val="both"/>
        <w:rPr>
          <w:rFonts w:ascii="Avenir Next" w:hAnsi="Avenir Next" w:cs="Arial"/>
          <w:color w:val="808080" w:themeColor="background1" w:themeShade="80"/>
          <w:sz w:val="22"/>
          <w:szCs w:val="22"/>
        </w:rPr>
      </w:pPr>
    </w:p>
    <w:p w14:paraId="5FD8C93C" w14:textId="49639336" w:rsidR="00454035" w:rsidRDefault="00454035" w:rsidP="00454035">
      <w:pPr>
        <w:jc w:val="both"/>
        <w:rPr>
          <w:rFonts w:ascii="Avenir Next" w:hAnsi="Avenir Next" w:cs="Arial"/>
          <w:color w:val="808080" w:themeColor="background1" w:themeShade="80"/>
          <w:sz w:val="22"/>
          <w:szCs w:val="22"/>
        </w:rPr>
      </w:pPr>
      <w:r w:rsidRPr="00454035">
        <w:rPr>
          <w:rFonts w:ascii="Avenir Next" w:hAnsi="Avenir Next" w:cs="Arial"/>
          <w:color w:val="808080" w:themeColor="background1" w:themeShade="80"/>
          <w:sz w:val="22"/>
          <w:szCs w:val="22"/>
        </w:rPr>
        <w:t xml:space="preserve">Section 233 </w:t>
      </w:r>
      <w:r w:rsidR="00CA4C08">
        <w:rPr>
          <w:rFonts w:ascii="Avenir Next" w:hAnsi="Avenir Next" w:cs="Arial"/>
          <w:color w:val="808080" w:themeColor="background1" w:themeShade="80"/>
          <w:sz w:val="22"/>
          <w:szCs w:val="22"/>
        </w:rPr>
        <w:t xml:space="preserve">(Insolvency Act of 1986) </w:t>
      </w:r>
      <w:r w:rsidRPr="00454035">
        <w:rPr>
          <w:rFonts w:ascii="Avenir Next" w:hAnsi="Avenir Next" w:cs="Arial"/>
          <w:color w:val="808080" w:themeColor="background1" w:themeShade="80"/>
          <w:sz w:val="22"/>
          <w:szCs w:val="22"/>
        </w:rPr>
        <w:t>regulates the supply of communication services, electricity, gas and water. The same section gives the opportunity to a supplier to specify that payment of charges concerning the supply should be personally guaranteed by the administrator.</w:t>
      </w:r>
      <w:r w:rsidR="00CA33B8">
        <w:rPr>
          <w:rFonts w:ascii="Avenir Next" w:hAnsi="Avenir Next" w:cs="Arial"/>
          <w:color w:val="808080" w:themeColor="background1" w:themeShade="80"/>
          <w:sz w:val="22"/>
          <w:szCs w:val="22"/>
        </w:rPr>
        <w:t xml:space="preserve"> </w:t>
      </w:r>
      <w:r w:rsidRPr="00454035">
        <w:rPr>
          <w:rFonts w:ascii="Avenir Next" w:hAnsi="Avenir Next" w:cs="Arial"/>
          <w:color w:val="808080" w:themeColor="background1" w:themeShade="80"/>
          <w:sz w:val="22"/>
          <w:szCs w:val="22"/>
        </w:rPr>
        <w:t xml:space="preserve">On their part, suppliers cannot oblige the company in administration to pay outstanding debts </w:t>
      </w:r>
      <w:r w:rsidR="003F459A">
        <w:rPr>
          <w:rFonts w:ascii="Avenir Next" w:hAnsi="Avenir Next" w:cs="Arial"/>
          <w:color w:val="808080" w:themeColor="background1" w:themeShade="80"/>
          <w:sz w:val="22"/>
          <w:szCs w:val="22"/>
        </w:rPr>
        <w:t xml:space="preserve">which would </w:t>
      </w:r>
      <w:r w:rsidR="007D7D18">
        <w:rPr>
          <w:rFonts w:ascii="Avenir Next" w:hAnsi="Avenir Next" w:cs="Arial"/>
          <w:color w:val="808080" w:themeColor="background1" w:themeShade="80"/>
          <w:sz w:val="22"/>
          <w:szCs w:val="22"/>
        </w:rPr>
        <w:t>aim at</w:t>
      </w:r>
      <w:r w:rsidRPr="00454035">
        <w:rPr>
          <w:rFonts w:ascii="Avenir Next" w:hAnsi="Avenir Next" w:cs="Arial"/>
          <w:color w:val="808080" w:themeColor="background1" w:themeShade="80"/>
          <w:sz w:val="22"/>
          <w:szCs w:val="22"/>
        </w:rPr>
        <w:t xml:space="preserve"> ensuring a new supply or the continuation of a supply. </w:t>
      </w:r>
    </w:p>
    <w:p w14:paraId="30C408D9" w14:textId="77777777" w:rsidR="00454035" w:rsidRPr="00454035" w:rsidRDefault="00454035" w:rsidP="00454035">
      <w:pPr>
        <w:jc w:val="both"/>
        <w:rPr>
          <w:rFonts w:ascii="Avenir Next" w:hAnsi="Avenir Next" w:cs="Arial"/>
          <w:color w:val="808080" w:themeColor="background1" w:themeShade="80"/>
          <w:sz w:val="22"/>
          <w:szCs w:val="22"/>
        </w:rPr>
      </w:pPr>
    </w:p>
    <w:p w14:paraId="1AACFE35" w14:textId="14ECA4FE" w:rsidR="00454035" w:rsidRDefault="00E45A55" w:rsidP="0045403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Pursuant to</w:t>
      </w:r>
      <w:r w:rsidR="00454035" w:rsidRPr="00454035">
        <w:rPr>
          <w:rFonts w:ascii="Avenir Next" w:hAnsi="Avenir Next" w:cs="Arial"/>
          <w:color w:val="808080" w:themeColor="background1" w:themeShade="80"/>
          <w:sz w:val="22"/>
          <w:szCs w:val="22"/>
        </w:rPr>
        <w:t xml:space="preserve"> section 233A</w:t>
      </w:r>
      <w:r>
        <w:rPr>
          <w:rFonts w:ascii="Avenir Next" w:hAnsi="Avenir Next" w:cs="Arial"/>
          <w:color w:val="808080" w:themeColor="background1" w:themeShade="80"/>
          <w:sz w:val="22"/>
          <w:szCs w:val="22"/>
        </w:rPr>
        <w:t>,</w:t>
      </w:r>
      <w:r w:rsidR="00454035" w:rsidRPr="00454035">
        <w:rPr>
          <w:rFonts w:ascii="Avenir Next" w:hAnsi="Avenir Next" w:cs="Arial"/>
          <w:color w:val="808080" w:themeColor="background1" w:themeShade="80"/>
          <w:sz w:val="22"/>
          <w:szCs w:val="22"/>
        </w:rPr>
        <w:t xml:space="preserve"> the supplier of the aforementioned services is generally not permitted</w:t>
      </w:r>
      <w:r>
        <w:rPr>
          <w:rFonts w:ascii="Avenir Next" w:hAnsi="Avenir Next" w:cs="Arial"/>
          <w:color w:val="808080" w:themeColor="background1" w:themeShade="80"/>
          <w:sz w:val="22"/>
          <w:szCs w:val="22"/>
        </w:rPr>
        <w:t>,</w:t>
      </w:r>
      <w:r w:rsidR="00454035" w:rsidRPr="00454035">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through the existence of an “insolvency-related term”, </w:t>
      </w:r>
      <w:r w:rsidR="00454035" w:rsidRPr="00454035">
        <w:rPr>
          <w:rFonts w:ascii="Avenir Next" w:hAnsi="Avenir Next" w:cs="Arial"/>
          <w:color w:val="808080" w:themeColor="background1" w:themeShade="80"/>
          <w:sz w:val="22"/>
          <w:szCs w:val="22"/>
        </w:rPr>
        <w:t xml:space="preserve">to modify the supply terms, terminate the supply or condition continued supply on increased payments upon </w:t>
      </w:r>
      <w:r w:rsidR="00DE7CED">
        <w:rPr>
          <w:rFonts w:ascii="Avenir Next" w:hAnsi="Avenir Next" w:cs="Arial"/>
          <w:color w:val="808080" w:themeColor="background1" w:themeShade="80"/>
          <w:sz w:val="22"/>
          <w:szCs w:val="22"/>
        </w:rPr>
        <w:t xml:space="preserve">the </w:t>
      </w:r>
      <w:r w:rsidR="00454035" w:rsidRPr="00454035">
        <w:rPr>
          <w:rFonts w:ascii="Avenir Next" w:hAnsi="Avenir Next" w:cs="Arial"/>
          <w:color w:val="808080" w:themeColor="background1" w:themeShade="80"/>
          <w:sz w:val="22"/>
          <w:szCs w:val="22"/>
        </w:rPr>
        <w:t>occurrence of the company's insolvency</w:t>
      </w:r>
      <w:r>
        <w:rPr>
          <w:rFonts w:ascii="Avenir Next" w:hAnsi="Avenir Next" w:cs="Arial"/>
          <w:color w:val="808080" w:themeColor="background1" w:themeShade="80"/>
          <w:sz w:val="22"/>
          <w:szCs w:val="22"/>
        </w:rPr>
        <w:t xml:space="preserve"> (section 233A, “</w:t>
      </w:r>
      <w:r w:rsidRPr="00E45A55">
        <w:rPr>
          <w:rFonts w:ascii="Avenir Next" w:hAnsi="Avenir Next" w:cs="Arial"/>
          <w:color w:val="808080" w:themeColor="background1" w:themeShade="80"/>
          <w:sz w:val="22"/>
          <w:szCs w:val="22"/>
        </w:rPr>
        <w:t>Further protection of essential supplies</w:t>
      </w:r>
      <w:r>
        <w:rPr>
          <w:rFonts w:ascii="Avenir Next" w:hAnsi="Avenir Next" w:cs="Arial"/>
          <w:color w:val="808080" w:themeColor="background1" w:themeShade="80"/>
          <w:sz w:val="22"/>
          <w:szCs w:val="22"/>
        </w:rPr>
        <w:t>”, Insolvency Act of 1986)</w:t>
      </w:r>
      <w:r w:rsidR="00454035" w:rsidRPr="00454035">
        <w:rPr>
          <w:rFonts w:ascii="Avenir Next" w:hAnsi="Avenir Next" w:cs="Arial"/>
          <w:color w:val="808080" w:themeColor="background1" w:themeShade="80"/>
          <w:sz w:val="22"/>
          <w:szCs w:val="22"/>
        </w:rPr>
        <w:t xml:space="preserve">. </w:t>
      </w:r>
    </w:p>
    <w:p w14:paraId="300F4130" w14:textId="77777777" w:rsidR="00454035" w:rsidRPr="00454035" w:rsidRDefault="00454035" w:rsidP="00454035">
      <w:pPr>
        <w:jc w:val="both"/>
        <w:rPr>
          <w:rFonts w:ascii="Avenir Next" w:hAnsi="Avenir Next" w:cs="Arial"/>
          <w:color w:val="808080" w:themeColor="background1" w:themeShade="80"/>
          <w:sz w:val="22"/>
          <w:szCs w:val="22"/>
        </w:rPr>
      </w:pPr>
    </w:p>
    <w:p w14:paraId="79A0F0F2" w14:textId="3ACBB662" w:rsidR="00454035" w:rsidRDefault="00DE7CED" w:rsidP="0045403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 s</w:t>
      </w:r>
      <w:r w:rsidR="00454035" w:rsidRPr="00454035">
        <w:rPr>
          <w:rFonts w:ascii="Avenir Next" w:hAnsi="Avenir Next" w:cs="Arial"/>
          <w:color w:val="808080" w:themeColor="background1" w:themeShade="80"/>
          <w:sz w:val="22"/>
          <w:szCs w:val="22"/>
        </w:rPr>
        <w:t xml:space="preserve">ection 233B, </w:t>
      </w:r>
      <w:r>
        <w:rPr>
          <w:rFonts w:ascii="Avenir Next" w:hAnsi="Avenir Next" w:cs="Arial"/>
          <w:color w:val="808080" w:themeColor="background1" w:themeShade="80"/>
          <w:sz w:val="22"/>
          <w:szCs w:val="22"/>
        </w:rPr>
        <w:t>being</w:t>
      </w:r>
      <w:r w:rsidR="00454035" w:rsidRPr="00454035">
        <w:rPr>
          <w:rFonts w:ascii="Avenir Next" w:hAnsi="Avenir Next" w:cs="Arial"/>
          <w:color w:val="808080" w:themeColor="background1" w:themeShade="80"/>
          <w:sz w:val="22"/>
          <w:szCs w:val="22"/>
        </w:rPr>
        <w:t xml:space="preserve"> an expansion </w:t>
      </w:r>
      <w:r>
        <w:rPr>
          <w:rFonts w:ascii="Avenir Next" w:hAnsi="Avenir Next" w:cs="Arial"/>
          <w:color w:val="808080" w:themeColor="background1" w:themeShade="80"/>
          <w:sz w:val="22"/>
          <w:szCs w:val="22"/>
        </w:rPr>
        <w:t>of</w:t>
      </w:r>
      <w:r w:rsidR="00454035" w:rsidRPr="00454035">
        <w:rPr>
          <w:rFonts w:ascii="Avenir Next" w:hAnsi="Avenir Next" w:cs="Arial"/>
          <w:color w:val="808080" w:themeColor="background1" w:themeShade="80"/>
          <w:sz w:val="22"/>
          <w:szCs w:val="22"/>
        </w:rPr>
        <w:t xml:space="preserve"> section</w:t>
      </w:r>
      <w:r w:rsidR="00E45A55">
        <w:rPr>
          <w:rFonts w:ascii="Avenir Next" w:hAnsi="Avenir Next" w:cs="Arial"/>
          <w:color w:val="808080" w:themeColor="background1" w:themeShade="80"/>
          <w:sz w:val="22"/>
          <w:szCs w:val="22"/>
        </w:rPr>
        <w:t>s</w:t>
      </w:r>
      <w:r w:rsidR="00454035" w:rsidRPr="00454035">
        <w:rPr>
          <w:rFonts w:ascii="Avenir Next" w:hAnsi="Avenir Next" w:cs="Arial"/>
          <w:color w:val="808080" w:themeColor="background1" w:themeShade="80"/>
          <w:sz w:val="22"/>
          <w:szCs w:val="22"/>
        </w:rPr>
        <w:t xml:space="preserve"> </w:t>
      </w:r>
      <w:r w:rsidR="00E45A55">
        <w:rPr>
          <w:rFonts w:ascii="Avenir Next" w:hAnsi="Avenir Next" w:cs="Arial"/>
          <w:color w:val="808080" w:themeColor="background1" w:themeShade="80"/>
          <w:sz w:val="22"/>
          <w:szCs w:val="22"/>
        </w:rPr>
        <w:t xml:space="preserve">233 and </w:t>
      </w:r>
      <w:r w:rsidR="00454035" w:rsidRPr="00454035">
        <w:rPr>
          <w:rFonts w:ascii="Avenir Next" w:hAnsi="Avenir Next" w:cs="Arial"/>
          <w:color w:val="808080" w:themeColor="background1" w:themeShade="80"/>
          <w:sz w:val="22"/>
          <w:szCs w:val="22"/>
        </w:rPr>
        <w:t>233A, does not allow clauses that would enable the supplier of goods or services to terminate the supply contract or perform any other actions in that context if the company formally commences any insolvency process.</w:t>
      </w:r>
      <w:r w:rsidR="00E45A55">
        <w:rPr>
          <w:rFonts w:ascii="Avenir Next" w:hAnsi="Avenir Next" w:cs="Arial"/>
          <w:color w:val="808080" w:themeColor="background1" w:themeShade="80"/>
          <w:sz w:val="22"/>
          <w:szCs w:val="22"/>
        </w:rPr>
        <w:t xml:space="preserve"> This </w:t>
      </w:r>
      <w:r w:rsidR="00E45A55" w:rsidRPr="00454035">
        <w:rPr>
          <w:rFonts w:ascii="Avenir Next" w:hAnsi="Avenir Next" w:cs="Arial"/>
          <w:color w:val="808080" w:themeColor="background1" w:themeShade="80"/>
          <w:sz w:val="22"/>
          <w:szCs w:val="22"/>
        </w:rPr>
        <w:t>section</w:t>
      </w:r>
      <w:r w:rsidR="00E45A55">
        <w:rPr>
          <w:rFonts w:ascii="Avenir Next" w:hAnsi="Avenir Next" w:cs="Arial"/>
          <w:color w:val="808080" w:themeColor="background1" w:themeShade="80"/>
          <w:sz w:val="22"/>
          <w:szCs w:val="22"/>
        </w:rPr>
        <w:t>, contrary to section 233,</w:t>
      </w:r>
      <w:r w:rsidR="00E45A55" w:rsidRPr="00454035">
        <w:rPr>
          <w:rFonts w:ascii="Avenir Next" w:hAnsi="Avenir Next" w:cs="Arial"/>
          <w:color w:val="808080" w:themeColor="background1" w:themeShade="80"/>
          <w:sz w:val="22"/>
          <w:szCs w:val="22"/>
        </w:rPr>
        <w:t xml:space="preserve"> </w:t>
      </w:r>
      <w:r w:rsidR="00E45A55">
        <w:rPr>
          <w:rFonts w:ascii="Avenir Next" w:hAnsi="Avenir Next" w:cs="Arial"/>
          <w:color w:val="808080" w:themeColor="background1" w:themeShade="80"/>
          <w:sz w:val="22"/>
          <w:szCs w:val="22"/>
        </w:rPr>
        <w:t xml:space="preserve">does not </w:t>
      </w:r>
      <w:r w:rsidR="00CA2876">
        <w:rPr>
          <w:rFonts w:ascii="Avenir Next" w:hAnsi="Avenir Next" w:cs="Arial"/>
          <w:color w:val="808080" w:themeColor="background1" w:themeShade="80"/>
          <w:sz w:val="22"/>
          <w:szCs w:val="22"/>
        </w:rPr>
        <w:t>stipulate</w:t>
      </w:r>
      <w:r w:rsidR="0047610A">
        <w:rPr>
          <w:rFonts w:ascii="Avenir Next" w:hAnsi="Avenir Next" w:cs="Arial"/>
          <w:color w:val="808080" w:themeColor="background1" w:themeShade="80"/>
          <w:sz w:val="22"/>
          <w:szCs w:val="22"/>
        </w:rPr>
        <w:t xml:space="preserve"> that</w:t>
      </w:r>
      <w:r w:rsidR="00E45A55" w:rsidRPr="00454035">
        <w:rPr>
          <w:rFonts w:ascii="Avenir Next" w:hAnsi="Avenir Next" w:cs="Arial"/>
          <w:color w:val="808080" w:themeColor="background1" w:themeShade="80"/>
          <w:sz w:val="22"/>
          <w:szCs w:val="22"/>
        </w:rPr>
        <w:t xml:space="preserve"> a supplier </w:t>
      </w:r>
      <w:r w:rsidR="0047610A">
        <w:rPr>
          <w:rFonts w:ascii="Avenir Next" w:hAnsi="Avenir Next" w:cs="Arial"/>
          <w:color w:val="808080" w:themeColor="background1" w:themeShade="80"/>
          <w:sz w:val="22"/>
          <w:szCs w:val="22"/>
        </w:rPr>
        <w:t>may</w:t>
      </w:r>
      <w:r w:rsidR="00E45A55" w:rsidRPr="00454035">
        <w:rPr>
          <w:rFonts w:ascii="Avenir Next" w:hAnsi="Avenir Next" w:cs="Arial"/>
          <w:color w:val="808080" w:themeColor="background1" w:themeShade="80"/>
          <w:sz w:val="22"/>
          <w:szCs w:val="22"/>
        </w:rPr>
        <w:t xml:space="preserve"> specify that payment of charges concerning the supply should be personally guaranteed by the administrato</w:t>
      </w:r>
      <w:r w:rsidR="0012085C">
        <w:rPr>
          <w:rFonts w:ascii="Avenir Next" w:hAnsi="Avenir Next" w:cs="Arial"/>
          <w:color w:val="808080" w:themeColor="background1" w:themeShade="80"/>
          <w:sz w:val="22"/>
          <w:szCs w:val="22"/>
        </w:rPr>
        <w:t>r.</w:t>
      </w:r>
    </w:p>
    <w:p w14:paraId="65C26273" w14:textId="77777777" w:rsidR="00454035" w:rsidRPr="00454035" w:rsidRDefault="00454035" w:rsidP="00454035">
      <w:pPr>
        <w:jc w:val="both"/>
        <w:rPr>
          <w:rFonts w:ascii="Avenir Next" w:hAnsi="Avenir Next" w:cs="Arial"/>
          <w:color w:val="808080" w:themeColor="background1" w:themeShade="80"/>
          <w:sz w:val="22"/>
          <w:szCs w:val="22"/>
        </w:rPr>
      </w:pPr>
    </w:p>
    <w:p w14:paraId="2E486EDF" w14:textId="1F3B113C" w:rsidR="00454035" w:rsidRDefault="00454035" w:rsidP="00454035">
      <w:pPr>
        <w:jc w:val="both"/>
        <w:rPr>
          <w:rFonts w:ascii="Avenir Next" w:hAnsi="Avenir Next" w:cs="Arial"/>
          <w:color w:val="808080" w:themeColor="background1" w:themeShade="80"/>
          <w:sz w:val="22"/>
          <w:szCs w:val="22"/>
        </w:rPr>
      </w:pPr>
      <w:r w:rsidRPr="00454035">
        <w:rPr>
          <w:rFonts w:ascii="Avenir Next" w:hAnsi="Avenir Next" w:cs="Arial"/>
          <w:color w:val="808080" w:themeColor="background1" w:themeShade="80"/>
          <w:sz w:val="22"/>
          <w:szCs w:val="22"/>
        </w:rPr>
        <w:t>Equally, s</w:t>
      </w:r>
      <w:r w:rsidR="00DE7CED">
        <w:rPr>
          <w:rFonts w:ascii="Avenir Next" w:hAnsi="Avenir Next" w:cs="Arial"/>
          <w:color w:val="808080" w:themeColor="background1" w:themeShade="80"/>
          <w:sz w:val="22"/>
          <w:szCs w:val="22"/>
        </w:rPr>
        <w:t>ections</w:t>
      </w:r>
      <w:r w:rsidRPr="00454035">
        <w:rPr>
          <w:rFonts w:ascii="Avenir Next" w:hAnsi="Avenir Next" w:cs="Arial"/>
          <w:color w:val="808080" w:themeColor="background1" w:themeShade="80"/>
          <w:sz w:val="22"/>
          <w:szCs w:val="22"/>
        </w:rPr>
        <w:t xml:space="preserve"> 233 </w:t>
      </w:r>
      <w:r w:rsidR="00DE7CED">
        <w:rPr>
          <w:rFonts w:ascii="Avenir Next" w:hAnsi="Avenir Next" w:cs="Arial"/>
          <w:color w:val="808080" w:themeColor="background1" w:themeShade="80"/>
          <w:sz w:val="22"/>
          <w:szCs w:val="22"/>
        </w:rPr>
        <w:t>and</w:t>
      </w:r>
      <w:r w:rsidRPr="00454035">
        <w:rPr>
          <w:rFonts w:ascii="Avenir Next" w:hAnsi="Avenir Next" w:cs="Arial"/>
          <w:color w:val="808080" w:themeColor="background1" w:themeShade="80"/>
          <w:sz w:val="22"/>
          <w:szCs w:val="22"/>
        </w:rPr>
        <w:t xml:space="preserve"> 233A of the Insolvency Act do not allow termination of supply contracts on behalf of suppliers linked to IT, utility and communication services</w:t>
      </w:r>
      <w:r w:rsidR="00DE7CED">
        <w:rPr>
          <w:rFonts w:ascii="Avenir Next" w:hAnsi="Avenir Next" w:cs="Arial"/>
          <w:color w:val="808080" w:themeColor="background1" w:themeShade="80"/>
          <w:sz w:val="22"/>
          <w:szCs w:val="22"/>
        </w:rPr>
        <w:t xml:space="preserve"> if insolvency occurs</w:t>
      </w:r>
      <w:r w:rsidRPr="00454035">
        <w:rPr>
          <w:rFonts w:ascii="Avenir Next" w:hAnsi="Avenir Next" w:cs="Arial"/>
          <w:color w:val="808080" w:themeColor="background1" w:themeShade="80"/>
          <w:sz w:val="22"/>
          <w:szCs w:val="22"/>
        </w:rPr>
        <w:t xml:space="preserve">. </w:t>
      </w:r>
    </w:p>
    <w:p w14:paraId="763F62FE" w14:textId="77777777" w:rsidR="00454035" w:rsidRPr="00454035" w:rsidRDefault="00454035" w:rsidP="00454035">
      <w:pPr>
        <w:jc w:val="both"/>
        <w:rPr>
          <w:rFonts w:ascii="Avenir Next" w:hAnsi="Avenir Next" w:cs="Arial"/>
          <w:color w:val="808080" w:themeColor="background1" w:themeShade="80"/>
          <w:sz w:val="22"/>
          <w:szCs w:val="22"/>
        </w:rPr>
      </w:pPr>
    </w:p>
    <w:p w14:paraId="0770EFD5" w14:textId="686FE969" w:rsidR="00EA3B38" w:rsidRPr="00B84055" w:rsidRDefault="00CA2876" w:rsidP="0045403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Nevertheless,</w:t>
      </w:r>
      <w:r w:rsidR="00454035" w:rsidRPr="00454035">
        <w:rPr>
          <w:rFonts w:ascii="Avenir Next" w:hAnsi="Avenir Next" w:cs="Arial"/>
          <w:color w:val="808080" w:themeColor="background1" w:themeShade="80"/>
          <w:sz w:val="22"/>
          <w:szCs w:val="22"/>
        </w:rPr>
        <w:t xml:space="preserve"> under s</w:t>
      </w:r>
      <w:r w:rsidR="0047610A">
        <w:rPr>
          <w:rFonts w:ascii="Avenir Next" w:hAnsi="Avenir Next" w:cs="Arial"/>
          <w:color w:val="808080" w:themeColor="background1" w:themeShade="80"/>
          <w:sz w:val="22"/>
          <w:szCs w:val="22"/>
        </w:rPr>
        <w:t>ection</w:t>
      </w:r>
      <w:r w:rsidR="00454035" w:rsidRPr="00454035">
        <w:rPr>
          <w:rFonts w:ascii="Avenir Next" w:hAnsi="Avenir Next" w:cs="Arial"/>
          <w:color w:val="808080" w:themeColor="background1" w:themeShade="80"/>
          <w:sz w:val="22"/>
          <w:szCs w:val="22"/>
        </w:rPr>
        <w:t xml:space="preserve"> 233B termination of a supply contract can still occur either upon the company's or insolvency office holder</w:t>
      </w:r>
      <w:r w:rsidR="0047610A">
        <w:rPr>
          <w:rFonts w:ascii="Avenir Next" w:hAnsi="Avenir Next" w:cs="Arial"/>
          <w:color w:val="808080" w:themeColor="background1" w:themeShade="80"/>
          <w:sz w:val="22"/>
          <w:szCs w:val="22"/>
        </w:rPr>
        <w:t>’s</w:t>
      </w:r>
      <w:r w:rsidR="00454035" w:rsidRPr="00454035">
        <w:rPr>
          <w:rFonts w:ascii="Avenir Next" w:hAnsi="Avenir Next" w:cs="Arial"/>
          <w:color w:val="808080" w:themeColor="background1" w:themeShade="80"/>
          <w:sz w:val="22"/>
          <w:szCs w:val="22"/>
        </w:rPr>
        <w:t xml:space="preserve"> consent or upon satisfaction of the court, after </w:t>
      </w:r>
      <w:r w:rsidR="00DE7CED">
        <w:rPr>
          <w:rFonts w:ascii="Avenir Next" w:hAnsi="Avenir Next" w:cs="Arial"/>
          <w:color w:val="808080" w:themeColor="background1" w:themeShade="80"/>
          <w:sz w:val="22"/>
          <w:szCs w:val="22"/>
        </w:rPr>
        <w:t xml:space="preserve">an </w:t>
      </w:r>
      <w:r w:rsidR="00454035" w:rsidRPr="00454035">
        <w:rPr>
          <w:rFonts w:ascii="Avenir Next" w:hAnsi="Avenir Next" w:cs="Arial"/>
          <w:color w:val="808080" w:themeColor="background1" w:themeShade="80"/>
          <w:sz w:val="22"/>
          <w:szCs w:val="22"/>
        </w:rPr>
        <w:t>application, that the supplier would suffer adverse effects. Moreover, although section 233B expands the restriction regarding termination of contracts of supply to all suppliers in general, certain exceptions apply</w:t>
      </w:r>
      <w:r>
        <w:rPr>
          <w:rFonts w:ascii="Avenir Next" w:hAnsi="Avenir Next" w:cs="Arial"/>
          <w:color w:val="808080" w:themeColor="background1" w:themeShade="80"/>
          <w:sz w:val="22"/>
          <w:szCs w:val="22"/>
        </w:rPr>
        <w:t xml:space="preserve"> with respect to</w:t>
      </w:r>
      <w:r w:rsidR="00454035" w:rsidRPr="00454035">
        <w:rPr>
          <w:rFonts w:ascii="Avenir Next" w:hAnsi="Avenir Next" w:cs="Arial"/>
          <w:color w:val="808080" w:themeColor="background1" w:themeShade="80"/>
          <w:sz w:val="22"/>
          <w:szCs w:val="22"/>
        </w:rPr>
        <w:t xml:space="preserve"> bank institutions, electronic money institutions, insurers, investment exchanges that have been recognized</w:t>
      </w:r>
      <w:r w:rsidRPr="00CA2876">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and </w:t>
      </w:r>
      <w:r w:rsidRPr="00454035">
        <w:rPr>
          <w:rFonts w:ascii="Avenir Next" w:hAnsi="Avenir Next" w:cs="Arial"/>
          <w:color w:val="808080" w:themeColor="background1" w:themeShade="80"/>
          <w:sz w:val="22"/>
          <w:szCs w:val="22"/>
        </w:rPr>
        <w:t>clearing houses</w:t>
      </w:r>
      <w:r w:rsidR="00454035" w:rsidRPr="00454035">
        <w:rPr>
          <w:rFonts w:ascii="Avenir Next" w:hAnsi="Avenir Next" w:cs="Arial"/>
          <w:color w:val="808080" w:themeColor="background1" w:themeShade="80"/>
          <w:sz w:val="22"/>
          <w:szCs w:val="22"/>
        </w:rPr>
        <w:t>, securitisation companies as well as foreign companies performing relevant operation</w:t>
      </w:r>
      <w:r w:rsidR="0059319D">
        <w:rPr>
          <w:rFonts w:ascii="Avenir Next" w:hAnsi="Avenir Next" w:cs="Arial"/>
          <w:color w:val="808080" w:themeColor="background1" w:themeShade="80"/>
          <w:sz w:val="22"/>
          <w:szCs w:val="22"/>
        </w:rPr>
        <w:t>s.</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CD2B90B" w14:textId="3F9F348A" w:rsidR="00AC64CA" w:rsidRDefault="00C835A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accordance with section 115 of the Insolvency Act as well as rules 6.42 and 7.108 of the Insolvency Rules 2016 </w:t>
      </w:r>
      <w:r w:rsidR="00086CB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SI 2016/1024</w:t>
      </w:r>
      <w:r w:rsidR="00086CB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6767FB">
        <w:rPr>
          <w:rFonts w:ascii="Avenir Next" w:hAnsi="Avenir Next" w:cs="Arial"/>
          <w:color w:val="808080" w:themeColor="background1" w:themeShade="80"/>
          <w:sz w:val="22"/>
          <w:szCs w:val="22"/>
        </w:rPr>
        <w:t xml:space="preserve">priority </w:t>
      </w:r>
      <w:r w:rsidR="00D25AE3">
        <w:rPr>
          <w:rFonts w:ascii="Avenir Next" w:hAnsi="Avenir Next" w:cs="Arial"/>
          <w:color w:val="808080" w:themeColor="background1" w:themeShade="80"/>
          <w:sz w:val="22"/>
          <w:szCs w:val="22"/>
        </w:rPr>
        <w:t xml:space="preserve">in the context of liquidation </w:t>
      </w:r>
      <w:r w:rsidR="006767FB">
        <w:rPr>
          <w:rFonts w:ascii="Avenir Next" w:hAnsi="Avenir Next" w:cs="Arial"/>
          <w:color w:val="808080" w:themeColor="background1" w:themeShade="80"/>
          <w:sz w:val="22"/>
          <w:szCs w:val="22"/>
        </w:rPr>
        <w:t>is first of all accorded to particular expenses before preferential creditors, floating charge holders</w:t>
      </w:r>
      <w:r w:rsidR="00086CB3">
        <w:rPr>
          <w:rFonts w:ascii="Avenir Next" w:hAnsi="Avenir Next" w:cs="Arial"/>
          <w:color w:val="808080" w:themeColor="background1" w:themeShade="80"/>
          <w:sz w:val="22"/>
          <w:szCs w:val="22"/>
        </w:rPr>
        <w:t>,</w:t>
      </w:r>
      <w:r w:rsidR="006767FB">
        <w:rPr>
          <w:rFonts w:ascii="Avenir Next" w:hAnsi="Avenir Next" w:cs="Arial"/>
          <w:color w:val="808080" w:themeColor="background1" w:themeShade="80"/>
          <w:sz w:val="22"/>
          <w:szCs w:val="22"/>
        </w:rPr>
        <w:t xml:space="preserve"> </w:t>
      </w:r>
      <w:r w:rsidR="00E275F5">
        <w:rPr>
          <w:rFonts w:ascii="Avenir Next" w:hAnsi="Avenir Next" w:cs="Arial"/>
          <w:color w:val="808080" w:themeColor="background1" w:themeShade="80"/>
          <w:sz w:val="22"/>
          <w:szCs w:val="22"/>
        </w:rPr>
        <w:t>unsecured creditors</w:t>
      </w:r>
      <w:r w:rsidR="00086CB3">
        <w:rPr>
          <w:rFonts w:ascii="Avenir Next" w:hAnsi="Avenir Next" w:cs="Arial"/>
          <w:color w:val="808080" w:themeColor="background1" w:themeShade="80"/>
          <w:sz w:val="22"/>
          <w:szCs w:val="22"/>
        </w:rPr>
        <w:t xml:space="preserve"> and shareholders</w:t>
      </w:r>
      <w:r w:rsidR="00E275F5">
        <w:rPr>
          <w:rFonts w:ascii="Avenir Next" w:hAnsi="Avenir Next" w:cs="Arial"/>
          <w:color w:val="808080" w:themeColor="background1" w:themeShade="80"/>
          <w:sz w:val="22"/>
          <w:szCs w:val="22"/>
        </w:rPr>
        <w:t>.</w:t>
      </w:r>
    </w:p>
    <w:p w14:paraId="429AD7EE" w14:textId="77777777" w:rsidR="00D25AE3" w:rsidRDefault="00D25AE3" w:rsidP="00EA3B38">
      <w:pPr>
        <w:jc w:val="both"/>
        <w:rPr>
          <w:rFonts w:ascii="Avenir Next" w:hAnsi="Avenir Next" w:cs="Arial"/>
          <w:color w:val="808080" w:themeColor="background1" w:themeShade="80"/>
          <w:sz w:val="22"/>
          <w:szCs w:val="22"/>
        </w:rPr>
      </w:pPr>
    </w:p>
    <w:p w14:paraId="58635A42" w14:textId="67794C68" w:rsidR="002839A2" w:rsidRDefault="00086CB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w:t>
      </w:r>
      <w:r w:rsidR="005C5F32">
        <w:rPr>
          <w:rFonts w:ascii="Avenir Next" w:hAnsi="Avenir Next" w:cs="Arial"/>
          <w:color w:val="808080" w:themeColor="background1" w:themeShade="80"/>
          <w:sz w:val="22"/>
          <w:szCs w:val="22"/>
        </w:rPr>
        <w:t xml:space="preserve"> order of priority, </w:t>
      </w:r>
      <w:r w:rsidR="00231343">
        <w:rPr>
          <w:rFonts w:ascii="Avenir Next" w:hAnsi="Avenir Next" w:cs="Arial"/>
          <w:color w:val="808080" w:themeColor="background1" w:themeShade="80"/>
          <w:sz w:val="22"/>
          <w:szCs w:val="22"/>
        </w:rPr>
        <w:t>expenses concerning the preservation, realization or return of assets to the insolvency estate by the liquidator</w:t>
      </w:r>
      <w:r>
        <w:rPr>
          <w:rFonts w:ascii="Avenir Next" w:hAnsi="Avenir Next" w:cs="Arial"/>
          <w:color w:val="808080" w:themeColor="background1" w:themeShade="80"/>
          <w:sz w:val="22"/>
          <w:szCs w:val="22"/>
        </w:rPr>
        <w:t>,</w:t>
      </w:r>
      <w:r w:rsidR="00231343">
        <w:rPr>
          <w:rFonts w:ascii="Avenir Next" w:hAnsi="Avenir Next" w:cs="Arial"/>
          <w:color w:val="808080" w:themeColor="background1" w:themeShade="80"/>
          <w:sz w:val="22"/>
          <w:szCs w:val="22"/>
        </w:rPr>
        <w:t xml:space="preserve"> which </w:t>
      </w:r>
      <w:r w:rsidR="006C2F94">
        <w:rPr>
          <w:rFonts w:ascii="Avenir Next" w:hAnsi="Avenir Next" w:cs="Arial"/>
          <w:color w:val="808080" w:themeColor="background1" w:themeShade="80"/>
          <w:sz w:val="22"/>
          <w:szCs w:val="22"/>
        </w:rPr>
        <w:t xml:space="preserve">also </w:t>
      </w:r>
      <w:r w:rsidR="00231343">
        <w:rPr>
          <w:rFonts w:ascii="Avenir Next" w:hAnsi="Avenir Next" w:cs="Arial"/>
          <w:color w:val="808080" w:themeColor="background1" w:themeShade="80"/>
          <w:sz w:val="22"/>
          <w:szCs w:val="22"/>
        </w:rPr>
        <w:t>comprise the situation of conducting legal proceedings</w:t>
      </w:r>
      <w:r w:rsidR="001152BE">
        <w:rPr>
          <w:rFonts w:ascii="Avenir Next" w:hAnsi="Avenir Next" w:cs="Arial"/>
          <w:color w:val="808080" w:themeColor="background1" w:themeShade="80"/>
          <w:sz w:val="22"/>
          <w:szCs w:val="22"/>
        </w:rPr>
        <w:t>,</w:t>
      </w:r>
      <w:r w:rsidR="00231343">
        <w:rPr>
          <w:rFonts w:ascii="Avenir Next" w:hAnsi="Avenir Next" w:cs="Arial"/>
          <w:color w:val="808080" w:themeColor="background1" w:themeShade="80"/>
          <w:sz w:val="22"/>
          <w:szCs w:val="22"/>
        </w:rPr>
        <w:t xml:space="preserve"> are payable first. These are followed by</w:t>
      </w:r>
      <w:r w:rsidR="006C2F94">
        <w:rPr>
          <w:rFonts w:ascii="Avenir Next" w:hAnsi="Avenir Next" w:cs="Arial"/>
          <w:color w:val="808080" w:themeColor="background1" w:themeShade="80"/>
          <w:sz w:val="22"/>
          <w:szCs w:val="22"/>
        </w:rPr>
        <w:t>:</w:t>
      </w:r>
      <w:r w:rsidR="00231343">
        <w:rPr>
          <w:rFonts w:ascii="Avenir Next" w:hAnsi="Avenir Next" w:cs="Arial"/>
          <w:color w:val="808080" w:themeColor="background1" w:themeShade="80"/>
          <w:sz w:val="22"/>
          <w:szCs w:val="22"/>
        </w:rPr>
        <w:t xml:space="preserve"> costs linked to security</w:t>
      </w:r>
      <w:r w:rsidR="00F51605">
        <w:rPr>
          <w:rFonts w:ascii="Avenir Next" w:hAnsi="Avenir Next" w:cs="Arial"/>
          <w:color w:val="808080" w:themeColor="background1" w:themeShade="80"/>
          <w:sz w:val="22"/>
          <w:szCs w:val="22"/>
        </w:rPr>
        <w:t xml:space="preserve"> given by the liquidator</w:t>
      </w:r>
      <w:r w:rsidR="006C2F94">
        <w:rPr>
          <w:rFonts w:ascii="Avenir Next" w:hAnsi="Avenir Next" w:cs="Arial"/>
          <w:color w:val="808080" w:themeColor="background1" w:themeShade="80"/>
          <w:sz w:val="22"/>
          <w:szCs w:val="22"/>
        </w:rPr>
        <w:t>;</w:t>
      </w:r>
      <w:r w:rsidR="00F51605">
        <w:rPr>
          <w:rFonts w:ascii="Avenir Next" w:hAnsi="Avenir Next" w:cs="Arial"/>
          <w:color w:val="808080" w:themeColor="background1" w:themeShade="80"/>
          <w:sz w:val="22"/>
          <w:szCs w:val="22"/>
        </w:rPr>
        <w:t xml:space="preserve"> expenses regarding a person who assisted with preparing a statement of affairs or accounts</w:t>
      </w:r>
      <w:r w:rsidR="006C2F94">
        <w:rPr>
          <w:rFonts w:ascii="Avenir Next" w:hAnsi="Avenir Next" w:cs="Arial"/>
          <w:color w:val="808080" w:themeColor="background1" w:themeShade="80"/>
          <w:sz w:val="22"/>
          <w:szCs w:val="22"/>
        </w:rPr>
        <w:t>;</w:t>
      </w:r>
      <w:r w:rsidR="00F51605">
        <w:rPr>
          <w:rFonts w:ascii="Avenir Next" w:hAnsi="Avenir Next" w:cs="Arial"/>
          <w:color w:val="808080" w:themeColor="background1" w:themeShade="80"/>
          <w:sz w:val="22"/>
          <w:szCs w:val="22"/>
        </w:rPr>
        <w:t xml:space="preserve"> required disbursements incurred during the winding up period</w:t>
      </w:r>
      <w:r w:rsidR="00F35570">
        <w:rPr>
          <w:rFonts w:ascii="Avenir Next" w:hAnsi="Avenir Next" w:cs="Arial"/>
          <w:color w:val="808080" w:themeColor="background1" w:themeShade="80"/>
          <w:sz w:val="22"/>
          <w:szCs w:val="22"/>
        </w:rPr>
        <w:t xml:space="preserve"> by the liquidator (e.g.</w:t>
      </w:r>
      <w:r w:rsidR="007F080E">
        <w:rPr>
          <w:rFonts w:ascii="Avenir Next" w:hAnsi="Avenir Next" w:cs="Arial"/>
          <w:color w:val="808080" w:themeColor="background1" w:themeShade="80"/>
          <w:sz w:val="22"/>
          <w:szCs w:val="22"/>
        </w:rPr>
        <w:t xml:space="preserve"> such</w:t>
      </w:r>
      <w:r w:rsidR="00F35570">
        <w:rPr>
          <w:rFonts w:ascii="Avenir Next" w:hAnsi="Avenir Next" w:cs="Arial"/>
          <w:color w:val="808080" w:themeColor="background1" w:themeShade="80"/>
          <w:sz w:val="22"/>
          <w:szCs w:val="22"/>
        </w:rPr>
        <w:t xml:space="preserve"> expenses could concern those </w:t>
      </w:r>
      <w:r w:rsidR="00503FC3">
        <w:rPr>
          <w:rFonts w:ascii="Avenir Next" w:hAnsi="Avenir Next" w:cs="Arial"/>
          <w:color w:val="808080" w:themeColor="background1" w:themeShade="80"/>
          <w:sz w:val="22"/>
          <w:szCs w:val="22"/>
        </w:rPr>
        <w:t xml:space="preserve">borne by </w:t>
      </w:r>
      <w:r w:rsidR="006F7466">
        <w:rPr>
          <w:rFonts w:ascii="Avenir Next" w:hAnsi="Avenir Next" w:cs="Arial"/>
          <w:color w:val="808080" w:themeColor="background1" w:themeShade="80"/>
          <w:sz w:val="22"/>
          <w:szCs w:val="22"/>
        </w:rPr>
        <w:t xml:space="preserve">the </w:t>
      </w:r>
      <w:r w:rsidR="00503FC3">
        <w:rPr>
          <w:rFonts w:ascii="Avenir Next" w:hAnsi="Avenir Next" w:cs="Arial"/>
          <w:color w:val="808080" w:themeColor="background1" w:themeShade="80"/>
          <w:sz w:val="22"/>
          <w:szCs w:val="22"/>
        </w:rPr>
        <w:t>creditor committee’s members)</w:t>
      </w:r>
      <w:r w:rsidR="006C2F94">
        <w:rPr>
          <w:rFonts w:ascii="Avenir Next" w:hAnsi="Avenir Next" w:cs="Arial"/>
          <w:color w:val="808080" w:themeColor="background1" w:themeShade="80"/>
          <w:sz w:val="22"/>
          <w:szCs w:val="22"/>
        </w:rPr>
        <w:t>;</w:t>
      </w:r>
      <w:r w:rsidR="006F7466">
        <w:rPr>
          <w:rFonts w:ascii="Avenir Next" w:hAnsi="Avenir Next" w:cs="Arial"/>
          <w:color w:val="808080" w:themeColor="background1" w:themeShade="80"/>
          <w:sz w:val="22"/>
          <w:szCs w:val="22"/>
        </w:rPr>
        <w:t xml:space="preserve"> </w:t>
      </w:r>
      <w:r w:rsidR="007F080E">
        <w:rPr>
          <w:rFonts w:ascii="Avenir Next" w:hAnsi="Avenir Next" w:cs="Arial"/>
          <w:color w:val="808080" w:themeColor="background1" w:themeShade="80"/>
          <w:sz w:val="22"/>
          <w:szCs w:val="22"/>
        </w:rPr>
        <w:t>any expense relating to a person employed by the liquidator so to undertake any company’s services</w:t>
      </w:r>
      <w:r w:rsidR="006C2F94">
        <w:rPr>
          <w:rFonts w:ascii="Avenir Next" w:hAnsi="Avenir Next" w:cs="Arial"/>
          <w:color w:val="808080" w:themeColor="background1" w:themeShade="80"/>
          <w:sz w:val="22"/>
          <w:szCs w:val="22"/>
        </w:rPr>
        <w:t>;</w:t>
      </w:r>
      <w:r w:rsidR="007F080E">
        <w:rPr>
          <w:rFonts w:ascii="Avenir Next" w:hAnsi="Avenir Next" w:cs="Arial"/>
          <w:color w:val="808080" w:themeColor="background1" w:themeShade="80"/>
          <w:sz w:val="22"/>
          <w:szCs w:val="22"/>
        </w:rPr>
        <w:t xml:space="preserve"> the liquidator’s remuneration</w:t>
      </w:r>
      <w:r w:rsidR="006C2F94">
        <w:rPr>
          <w:rFonts w:ascii="Avenir Next" w:hAnsi="Avenir Next" w:cs="Arial"/>
          <w:color w:val="808080" w:themeColor="background1" w:themeShade="80"/>
          <w:sz w:val="22"/>
          <w:szCs w:val="22"/>
        </w:rPr>
        <w:t>;</w:t>
      </w:r>
      <w:r w:rsidR="002C0DE7">
        <w:rPr>
          <w:rFonts w:ascii="Avenir Next" w:hAnsi="Avenir Next" w:cs="Arial"/>
          <w:color w:val="808080" w:themeColor="background1" w:themeShade="80"/>
          <w:sz w:val="22"/>
          <w:szCs w:val="22"/>
        </w:rPr>
        <w:t xml:space="preserve"> expenses linked to corporation tax referring to </w:t>
      </w:r>
      <w:r w:rsidR="002C0DE7" w:rsidRPr="002C0DE7">
        <w:rPr>
          <w:rFonts w:ascii="Avenir Next" w:hAnsi="Avenir Next" w:cs="Arial"/>
          <w:color w:val="808080" w:themeColor="background1" w:themeShade="80"/>
          <w:sz w:val="22"/>
          <w:szCs w:val="22"/>
        </w:rPr>
        <w:t>taxable capital gains resulting from the realization of an asset of the company</w:t>
      </w:r>
      <w:r w:rsidR="006C2F94">
        <w:rPr>
          <w:rFonts w:ascii="Avenir Next" w:hAnsi="Avenir Next" w:cs="Arial"/>
          <w:color w:val="808080" w:themeColor="background1" w:themeShade="80"/>
          <w:sz w:val="22"/>
          <w:szCs w:val="22"/>
        </w:rPr>
        <w:t>;</w:t>
      </w:r>
      <w:r w:rsidR="002C0DE7">
        <w:rPr>
          <w:rFonts w:ascii="Avenir Next" w:hAnsi="Avenir Next" w:cs="Arial"/>
          <w:color w:val="808080" w:themeColor="background1" w:themeShade="80"/>
          <w:sz w:val="22"/>
          <w:szCs w:val="22"/>
        </w:rPr>
        <w:t xml:space="preserve"> and other expenses </w:t>
      </w:r>
      <w:r w:rsidR="002C0DE7" w:rsidRPr="002C0DE7">
        <w:rPr>
          <w:rFonts w:ascii="Avenir Next" w:hAnsi="Avenir Next" w:cs="Arial"/>
          <w:color w:val="808080" w:themeColor="background1" w:themeShade="80"/>
          <w:sz w:val="22"/>
          <w:szCs w:val="22"/>
        </w:rPr>
        <w:t>attributable to the liquidator in the performance of his or her duties in connection with the liquidation</w:t>
      </w:r>
      <w:r w:rsidR="002C0DE7">
        <w:rPr>
          <w:rFonts w:ascii="Avenir Next" w:hAnsi="Avenir Next" w:cs="Arial"/>
          <w:color w:val="808080" w:themeColor="background1" w:themeShade="80"/>
          <w:sz w:val="22"/>
          <w:szCs w:val="22"/>
        </w:rPr>
        <w:t>.</w:t>
      </w:r>
      <w:r w:rsidR="00BF5702">
        <w:rPr>
          <w:rFonts w:ascii="Avenir Next" w:hAnsi="Avenir Next" w:cs="Arial"/>
          <w:color w:val="808080" w:themeColor="background1" w:themeShade="80"/>
          <w:sz w:val="22"/>
          <w:szCs w:val="22"/>
        </w:rPr>
        <w:t xml:space="preserve"> As it can be seen, the liquidator’s remuneration is behind other expenses</w:t>
      </w:r>
      <w:r w:rsidR="00D157A4">
        <w:rPr>
          <w:rFonts w:ascii="Avenir Next" w:hAnsi="Avenir Next" w:cs="Arial"/>
          <w:color w:val="808080" w:themeColor="background1" w:themeShade="80"/>
          <w:sz w:val="22"/>
          <w:szCs w:val="22"/>
        </w:rPr>
        <w:t>.</w:t>
      </w:r>
      <w:r w:rsidR="002839A2">
        <w:rPr>
          <w:rFonts w:ascii="Avenir Next" w:hAnsi="Avenir Next" w:cs="Arial"/>
          <w:color w:val="808080" w:themeColor="background1" w:themeShade="80"/>
          <w:sz w:val="22"/>
          <w:szCs w:val="22"/>
        </w:rPr>
        <w:t xml:space="preserve"> It is important to also underscore </w:t>
      </w:r>
      <w:r w:rsidR="006C2F94" w:rsidRPr="006C2F94">
        <w:rPr>
          <w:rFonts w:ascii="Avenir Next" w:hAnsi="Avenir Next" w:cs="Arial"/>
          <w:color w:val="808080" w:themeColor="background1" w:themeShade="80"/>
          <w:sz w:val="22"/>
          <w:szCs w:val="22"/>
        </w:rPr>
        <w:t>that the same rules apply to the liquidator's remuneration as to the administrators</w:t>
      </w:r>
      <w:r w:rsidR="001152BE">
        <w:rPr>
          <w:rFonts w:ascii="Avenir Next" w:hAnsi="Avenir Next" w:cs="Arial"/>
          <w:color w:val="808080" w:themeColor="background1" w:themeShade="80"/>
          <w:sz w:val="22"/>
          <w:szCs w:val="22"/>
        </w:rPr>
        <w:t>,</w:t>
      </w:r>
      <w:r w:rsidR="006C2F94">
        <w:rPr>
          <w:rFonts w:ascii="Avenir Next" w:hAnsi="Avenir Next" w:cs="Arial"/>
          <w:color w:val="808080" w:themeColor="background1" w:themeShade="80"/>
          <w:sz w:val="22"/>
          <w:szCs w:val="22"/>
        </w:rPr>
        <w:t xml:space="preserve"> i.e.</w:t>
      </w:r>
      <w:r w:rsidR="002839A2">
        <w:rPr>
          <w:rFonts w:ascii="Avenir Next" w:hAnsi="Avenir Next" w:cs="Arial"/>
          <w:color w:val="808080" w:themeColor="background1" w:themeShade="80"/>
          <w:sz w:val="22"/>
          <w:szCs w:val="22"/>
        </w:rPr>
        <w:t xml:space="preserve"> a time cost estimate regime for the liquidator’s fee</w:t>
      </w:r>
      <w:r w:rsidR="006C2F94">
        <w:rPr>
          <w:rFonts w:ascii="Avenir Next" w:hAnsi="Avenir Next" w:cs="Arial"/>
          <w:color w:val="808080" w:themeColor="background1" w:themeShade="80"/>
          <w:sz w:val="22"/>
          <w:szCs w:val="22"/>
        </w:rPr>
        <w:t>s.</w:t>
      </w:r>
    </w:p>
    <w:p w14:paraId="437BD2D3" w14:textId="77777777" w:rsidR="002839A2" w:rsidRDefault="002839A2" w:rsidP="00EA3B38">
      <w:pPr>
        <w:jc w:val="both"/>
        <w:rPr>
          <w:rFonts w:ascii="Avenir Next" w:hAnsi="Avenir Next" w:cs="Arial"/>
          <w:color w:val="808080" w:themeColor="background1" w:themeShade="80"/>
          <w:sz w:val="22"/>
          <w:szCs w:val="22"/>
        </w:rPr>
      </w:pPr>
    </w:p>
    <w:p w14:paraId="29A2F20F" w14:textId="77777777" w:rsidR="00086CB3" w:rsidRDefault="002839A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next creditors’ class to be satisfied is the one concerning preferential creditors (pursuant to sections 386 and 387 as well as section </w:t>
      </w:r>
      <w:r w:rsidR="00086CB3">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 xml:space="preserve">75 of Schedule 6). </w:t>
      </w:r>
      <w:r w:rsidR="009F256D">
        <w:rPr>
          <w:rFonts w:ascii="Avenir Next" w:hAnsi="Avenir Next" w:cs="Arial"/>
          <w:color w:val="808080" w:themeColor="background1" w:themeShade="80"/>
          <w:sz w:val="22"/>
          <w:szCs w:val="22"/>
        </w:rPr>
        <w:t xml:space="preserve">This class comprises limited employees’ claims and tax liabilities, among others. </w:t>
      </w:r>
      <w:r w:rsidR="00086CB3">
        <w:rPr>
          <w:rFonts w:ascii="Avenir Next" w:hAnsi="Avenir Next" w:cs="Arial"/>
          <w:color w:val="808080" w:themeColor="background1" w:themeShade="80"/>
          <w:sz w:val="22"/>
          <w:szCs w:val="22"/>
        </w:rPr>
        <w:t>T</w:t>
      </w:r>
      <w:r w:rsidR="009F256D">
        <w:rPr>
          <w:rFonts w:ascii="Avenir Next" w:hAnsi="Avenir Next" w:cs="Arial"/>
          <w:color w:val="808080" w:themeColor="background1" w:themeShade="80"/>
          <w:sz w:val="22"/>
          <w:szCs w:val="22"/>
        </w:rPr>
        <w:t xml:space="preserve">he protection to employees within the Employment Rights Act of 1996 offers a more extensive employee protection than the Insolvency Act of 1986. </w:t>
      </w:r>
      <w:r w:rsidR="00086CB3">
        <w:rPr>
          <w:rFonts w:ascii="Avenir Next" w:hAnsi="Avenir Next" w:cs="Arial"/>
          <w:color w:val="808080" w:themeColor="background1" w:themeShade="80"/>
          <w:sz w:val="22"/>
          <w:szCs w:val="22"/>
        </w:rPr>
        <w:t>I</w:t>
      </w:r>
      <w:r w:rsidR="009F256D">
        <w:rPr>
          <w:rFonts w:ascii="Avenir Next" w:hAnsi="Avenir Next" w:cs="Arial"/>
          <w:color w:val="808080" w:themeColor="background1" w:themeShade="80"/>
          <w:sz w:val="22"/>
          <w:szCs w:val="22"/>
        </w:rPr>
        <w:t>t should be also stressed that the Finance Act of 2020 (section 95) now includes outstanding tax to the Cr</w:t>
      </w:r>
      <w:r w:rsidR="0090316B">
        <w:rPr>
          <w:rFonts w:ascii="Avenir Next" w:hAnsi="Avenir Next" w:cs="Arial"/>
          <w:color w:val="808080" w:themeColor="background1" w:themeShade="80"/>
          <w:sz w:val="22"/>
          <w:szCs w:val="22"/>
        </w:rPr>
        <w:t>o</w:t>
      </w:r>
      <w:r w:rsidR="009F256D">
        <w:rPr>
          <w:rFonts w:ascii="Avenir Next" w:hAnsi="Avenir Next" w:cs="Arial"/>
          <w:color w:val="808080" w:themeColor="background1" w:themeShade="80"/>
          <w:sz w:val="22"/>
          <w:szCs w:val="22"/>
        </w:rPr>
        <w:t xml:space="preserve">wn </w:t>
      </w:r>
      <w:r w:rsidR="009F256D">
        <w:rPr>
          <w:rFonts w:ascii="Avenir Next" w:hAnsi="Avenir Next" w:cs="Arial"/>
          <w:color w:val="808080" w:themeColor="background1" w:themeShade="80"/>
          <w:sz w:val="22"/>
          <w:szCs w:val="22"/>
        </w:rPr>
        <w:lastRenderedPageBreak/>
        <w:t xml:space="preserve">(Government) which, as </w:t>
      </w:r>
      <w:r w:rsidR="0090316B">
        <w:rPr>
          <w:rFonts w:ascii="Avenir Next" w:hAnsi="Avenir Next" w:cs="Arial"/>
          <w:color w:val="808080" w:themeColor="background1" w:themeShade="80"/>
          <w:sz w:val="22"/>
          <w:szCs w:val="22"/>
        </w:rPr>
        <w:t>part of the preferential creditors’ class, had been previously abolished by the Enterprise Act of 2002.</w:t>
      </w:r>
      <w:r w:rsidR="00651A7C">
        <w:rPr>
          <w:rFonts w:ascii="Avenir Next" w:hAnsi="Avenir Next" w:cs="Arial"/>
          <w:color w:val="808080" w:themeColor="background1" w:themeShade="80"/>
          <w:sz w:val="22"/>
          <w:szCs w:val="22"/>
        </w:rPr>
        <w:t xml:space="preserve"> </w:t>
      </w:r>
      <w:r w:rsidR="00B101D1">
        <w:rPr>
          <w:rFonts w:ascii="Avenir Next" w:hAnsi="Avenir Next" w:cs="Arial"/>
          <w:color w:val="808080" w:themeColor="background1" w:themeShade="80"/>
          <w:sz w:val="22"/>
          <w:szCs w:val="22"/>
        </w:rPr>
        <w:t>Secondary preferential debts are paid after ordinary preferential debts</w:t>
      </w:r>
      <w:r w:rsidR="004E2E29">
        <w:rPr>
          <w:rFonts w:ascii="Avenir Next" w:hAnsi="Avenir Next" w:cs="Arial"/>
          <w:color w:val="808080" w:themeColor="background1" w:themeShade="80"/>
          <w:sz w:val="22"/>
          <w:szCs w:val="22"/>
        </w:rPr>
        <w:t>, which together form the two classes of preferential debts.</w:t>
      </w:r>
      <w:r w:rsidR="00651A7C">
        <w:rPr>
          <w:rFonts w:ascii="Avenir Next" w:hAnsi="Avenir Next" w:cs="Arial"/>
          <w:color w:val="808080" w:themeColor="background1" w:themeShade="80"/>
          <w:sz w:val="22"/>
          <w:szCs w:val="22"/>
        </w:rPr>
        <w:t xml:space="preserve"> </w:t>
      </w:r>
    </w:p>
    <w:p w14:paraId="34497494" w14:textId="77777777" w:rsidR="00086CB3" w:rsidRDefault="00086CB3" w:rsidP="00EA3B38">
      <w:pPr>
        <w:jc w:val="both"/>
        <w:rPr>
          <w:rFonts w:ascii="Avenir Next" w:hAnsi="Avenir Next" w:cs="Arial"/>
          <w:color w:val="808080" w:themeColor="background1" w:themeShade="80"/>
          <w:sz w:val="22"/>
          <w:szCs w:val="22"/>
        </w:rPr>
      </w:pPr>
    </w:p>
    <w:p w14:paraId="7EB17DEA" w14:textId="6725F1D5" w:rsidR="0051199B" w:rsidRDefault="00F3598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Ordinary preferential debts are as follows: a) </w:t>
      </w:r>
      <w:r w:rsidR="00F0177A" w:rsidRPr="00F0177A">
        <w:rPr>
          <w:rFonts w:ascii="Avenir Next" w:hAnsi="Avenir Next" w:cs="Arial"/>
          <w:color w:val="808080" w:themeColor="background1" w:themeShade="80"/>
          <w:sz w:val="22"/>
          <w:szCs w:val="22"/>
        </w:rPr>
        <w:t xml:space="preserve">any amount due in respect of contributions made by an employee to an occupational pension scheme, which are </w:t>
      </w:r>
      <w:r w:rsidR="00F0177A" w:rsidRPr="00902991">
        <w:rPr>
          <w:rFonts w:ascii="Avenir Next" w:hAnsi="Avenir Next" w:cs="Arial"/>
          <w:color w:val="808080" w:themeColor="background1" w:themeShade="80"/>
          <w:sz w:val="22"/>
          <w:szCs w:val="22"/>
        </w:rPr>
        <w:t>contributions deducted from the salaries of employees during the four-month period before the start of the winding up</w:t>
      </w:r>
      <w:r w:rsidRPr="00902991">
        <w:rPr>
          <w:rFonts w:ascii="Avenir Next" w:hAnsi="Avenir Next" w:cs="Arial"/>
          <w:color w:val="808080" w:themeColor="background1" w:themeShade="80"/>
          <w:sz w:val="22"/>
          <w:szCs w:val="22"/>
        </w:rPr>
        <w:t>; b)</w:t>
      </w:r>
      <w:r w:rsidR="00473D10" w:rsidRPr="00902991">
        <w:t xml:space="preserve"> </w:t>
      </w:r>
      <w:r w:rsidR="00473D10" w:rsidRPr="00902991">
        <w:rPr>
          <w:rFonts w:ascii="Avenir Next" w:hAnsi="Avenir Next" w:cs="Arial"/>
          <w:color w:val="808080" w:themeColor="background1" w:themeShade="80"/>
          <w:sz w:val="22"/>
          <w:szCs w:val="22"/>
        </w:rPr>
        <w:t>any amount due by the company in respect of the contribution made by the employer to an occupational pension plan during the 12-month period prior to the relevant date</w:t>
      </w:r>
      <w:r w:rsidRPr="00902991">
        <w:rPr>
          <w:rFonts w:ascii="Avenir Next" w:hAnsi="Avenir Next" w:cs="Arial"/>
          <w:color w:val="808080" w:themeColor="background1" w:themeShade="80"/>
          <w:sz w:val="22"/>
          <w:szCs w:val="22"/>
        </w:rPr>
        <w:t xml:space="preserve">; c) </w:t>
      </w:r>
      <w:r w:rsidR="00797B93" w:rsidRPr="00902991">
        <w:rPr>
          <w:rFonts w:ascii="Avenir Next" w:hAnsi="Avenir Next" w:cs="Arial"/>
          <w:color w:val="808080" w:themeColor="background1" w:themeShade="80"/>
          <w:sz w:val="22"/>
          <w:szCs w:val="22"/>
        </w:rPr>
        <w:t>remuneration due by the company to a current or former employee of the debtor and payable for all or part of the four-month period preceding the start of the liquidation, subject to a maximum total amount, currently GBP 800</w:t>
      </w:r>
      <w:r w:rsidRPr="00902991">
        <w:rPr>
          <w:rFonts w:ascii="Avenir Next" w:hAnsi="Avenir Next" w:cs="Arial"/>
          <w:color w:val="808080" w:themeColor="background1" w:themeShade="80"/>
          <w:sz w:val="22"/>
          <w:szCs w:val="22"/>
        </w:rPr>
        <w:t xml:space="preserve">; d) </w:t>
      </w:r>
      <w:r w:rsidR="00797B93" w:rsidRPr="00902991">
        <w:rPr>
          <w:rFonts w:ascii="Avenir Next" w:hAnsi="Avenir Next" w:cs="Arial"/>
          <w:color w:val="808080" w:themeColor="background1" w:themeShade="80"/>
          <w:sz w:val="22"/>
          <w:szCs w:val="22"/>
        </w:rPr>
        <w:t>any amounts due by the debtor in respect of accrued holiday pay for any period of employment prior to liquidation</w:t>
      </w:r>
      <w:r w:rsidR="00D402E6" w:rsidRPr="00902991">
        <w:rPr>
          <w:rFonts w:ascii="Avenir Next" w:hAnsi="Avenir Next" w:cs="Arial"/>
          <w:color w:val="808080" w:themeColor="background1" w:themeShade="80"/>
          <w:sz w:val="22"/>
          <w:szCs w:val="22"/>
        </w:rPr>
        <w:t xml:space="preserve"> (any remuneration relating to a holiday period or absence from work for illness or other just cause is considered wages)</w:t>
      </w:r>
      <w:r w:rsidRPr="00902991">
        <w:rPr>
          <w:rFonts w:ascii="Avenir Next" w:hAnsi="Avenir Next" w:cs="Arial"/>
          <w:color w:val="808080" w:themeColor="background1" w:themeShade="80"/>
          <w:sz w:val="22"/>
          <w:szCs w:val="22"/>
        </w:rPr>
        <w:t xml:space="preserve">; e) </w:t>
      </w:r>
      <w:r w:rsidR="00CB7063" w:rsidRPr="00902991">
        <w:rPr>
          <w:rFonts w:ascii="Avenir Next" w:hAnsi="Avenir Next" w:cs="Arial"/>
          <w:color w:val="808080" w:themeColor="background1" w:themeShade="80"/>
          <w:sz w:val="22"/>
          <w:szCs w:val="22"/>
        </w:rPr>
        <w:t>claims relating to sums advanced for the payment of wages or paid leave are given priority</w:t>
      </w:r>
      <w:r w:rsidR="00D402E6" w:rsidRPr="00902991">
        <w:rPr>
          <w:rFonts w:ascii="Avenir Next" w:hAnsi="Avenir Next" w:cs="Arial"/>
          <w:color w:val="808080" w:themeColor="background1" w:themeShade="80"/>
          <w:sz w:val="22"/>
          <w:szCs w:val="22"/>
        </w:rPr>
        <w:t xml:space="preserve">; </w:t>
      </w:r>
      <w:r w:rsidRPr="00902991">
        <w:rPr>
          <w:rFonts w:ascii="Avenir Next" w:hAnsi="Avenir Next" w:cs="Arial"/>
          <w:color w:val="808080" w:themeColor="background1" w:themeShade="80"/>
          <w:sz w:val="22"/>
          <w:szCs w:val="22"/>
        </w:rPr>
        <w:t xml:space="preserve">f) </w:t>
      </w:r>
      <w:r w:rsidR="0027185F" w:rsidRPr="00902991">
        <w:rPr>
          <w:rFonts w:ascii="Avenir Next" w:hAnsi="Avenir Next" w:cs="Arial"/>
          <w:color w:val="808080" w:themeColor="background1" w:themeShade="80"/>
          <w:sz w:val="22"/>
          <w:szCs w:val="22"/>
        </w:rPr>
        <w:t xml:space="preserve">levies on coal and steel production provided for in Articles 49 and 50 of the European Coal and Steel Community Treaty; </w:t>
      </w:r>
      <w:r w:rsidRPr="00902991">
        <w:rPr>
          <w:rFonts w:ascii="Avenir Next" w:hAnsi="Avenir Next" w:cs="Arial"/>
          <w:color w:val="808080" w:themeColor="background1" w:themeShade="80"/>
          <w:sz w:val="22"/>
          <w:szCs w:val="22"/>
        </w:rPr>
        <w:t>g)</w:t>
      </w:r>
      <w:r w:rsidR="001D2DFB" w:rsidRPr="00902991">
        <w:rPr>
          <w:rFonts w:ascii="Avenir Next" w:hAnsi="Avenir Next" w:cs="Arial"/>
          <w:color w:val="808080" w:themeColor="background1" w:themeShade="80"/>
          <w:sz w:val="22"/>
          <w:szCs w:val="22"/>
        </w:rPr>
        <w:t xml:space="preserve"> </w:t>
      </w:r>
      <w:r w:rsidR="003C300A" w:rsidRPr="00902991">
        <w:rPr>
          <w:rFonts w:ascii="Avenir Next" w:hAnsi="Avenir Next" w:cs="Arial"/>
          <w:color w:val="808080" w:themeColor="background1" w:themeShade="80"/>
          <w:sz w:val="22"/>
          <w:szCs w:val="22"/>
        </w:rPr>
        <w:t>claims relating to the portion of any amount which the debtor is required to pay under the Reserve Forces (Safeguard of Employment) Act of 1985 and which is so demanded as a result of the debtor's failure to perform its obligations under that Act</w:t>
      </w:r>
      <w:r w:rsidR="001D2DFB" w:rsidRPr="00902991">
        <w:rPr>
          <w:rFonts w:ascii="Avenir Next" w:hAnsi="Avenir Next" w:cs="Arial"/>
          <w:color w:val="808080" w:themeColor="background1" w:themeShade="80"/>
          <w:sz w:val="22"/>
          <w:szCs w:val="22"/>
        </w:rPr>
        <w:t>;</w:t>
      </w:r>
      <w:r w:rsidRPr="00902991">
        <w:rPr>
          <w:rFonts w:ascii="Avenir Next" w:hAnsi="Avenir Next" w:cs="Arial"/>
          <w:color w:val="808080" w:themeColor="background1" w:themeShade="80"/>
          <w:sz w:val="22"/>
          <w:szCs w:val="22"/>
        </w:rPr>
        <w:t xml:space="preserve"> </w:t>
      </w:r>
      <w:r w:rsidR="00086CB3">
        <w:rPr>
          <w:rFonts w:ascii="Avenir Next" w:hAnsi="Avenir Next" w:cs="Arial"/>
          <w:color w:val="808080" w:themeColor="background1" w:themeShade="80"/>
          <w:sz w:val="22"/>
          <w:szCs w:val="22"/>
        </w:rPr>
        <w:t xml:space="preserve">and, </w:t>
      </w:r>
      <w:r w:rsidRPr="00902991">
        <w:rPr>
          <w:rFonts w:ascii="Avenir Next" w:hAnsi="Avenir Next" w:cs="Arial"/>
          <w:color w:val="808080" w:themeColor="background1" w:themeShade="80"/>
          <w:sz w:val="22"/>
          <w:szCs w:val="22"/>
        </w:rPr>
        <w:t xml:space="preserve">h) an amount the company owes regarding an eligible deposit that is no greater than the compensation that would be </w:t>
      </w:r>
      <w:r w:rsidR="00ED3F41" w:rsidRPr="00902991">
        <w:rPr>
          <w:rFonts w:ascii="Avenir Next" w:hAnsi="Avenir Next" w:cs="Arial"/>
          <w:color w:val="808080" w:themeColor="background1" w:themeShade="80"/>
          <w:sz w:val="22"/>
          <w:szCs w:val="22"/>
        </w:rPr>
        <w:t>owed</w:t>
      </w:r>
      <w:r w:rsidRPr="00902991">
        <w:rPr>
          <w:rFonts w:ascii="Avenir Next" w:hAnsi="Avenir Next" w:cs="Arial"/>
          <w:color w:val="808080" w:themeColor="background1" w:themeShade="80"/>
          <w:sz w:val="22"/>
          <w:szCs w:val="22"/>
        </w:rPr>
        <w:t xml:space="preserve"> to the person or persons </w:t>
      </w:r>
      <w:r w:rsidR="001D2DFB" w:rsidRPr="00902991">
        <w:rPr>
          <w:rFonts w:ascii="Avenir Next" w:hAnsi="Avenir Next" w:cs="Arial"/>
          <w:color w:val="808080" w:themeColor="background1" w:themeShade="80"/>
          <w:sz w:val="22"/>
          <w:szCs w:val="22"/>
        </w:rPr>
        <w:t>due</w:t>
      </w:r>
      <w:r w:rsidRPr="00902991">
        <w:rPr>
          <w:rFonts w:ascii="Avenir Next" w:hAnsi="Avenir Next" w:cs="Arial"/>
          <w:color w:val="808080" w:themeColor="background1" w:themeShade="80"/>
          <w:sz w:val="22"/>
          <w:szCs w:val="22"/>
        </w:rPr>
        <w:t xml:space="preserve"> the amount </w:t>
      </w:r>
      <w:r w:rsidR="001D2DFB" w:rsidRPr="00902991">
        <w:rPr>
          <w:rFonts w:ascii="Avenir Next" w:hAnsi="Avenir Next" w:cs="Arial"/>
          <w:color w:val="808080" w:themeColor="background1" w:themeShade="80"/>
          <w:sz w:val="22"/>
          <w:szCs w:val="22"/>
        </w:rPr>
        <w:t>concerning</w:t>
      </w:r>
      <w:r w:rsidRPr="00902991">
        <w:rPr>
          <w:rFonts w:ascii="Avenir Next" w:hAnsi="Avenir Next" w:cs="Arial"/>
          <w:color w:val="808080" w:themeColor="background1" w:themeShade="80"/>
          <w:sz w:val="22"/>
          <w:szCs w:val="22"/>
        </w:rPr>
        <w:t xml:space="preserve"> the deposit under the Financial Services Compensation Scheme (hereinafter</w:t>
      </w:r>
      <w:r>
        <w:rPr>
          <w:rFonts w:ascii="Avenir Next" w:hAnsi="Avenir Next" w:cs="Arial"/>
          <w:color w:val="808080" w:themeColor="background1" w:themeShade="80"/>
          <w:sz w:val="22"/>
          <w:szCs w:val="22"/>
        </w:rPr>
        <w:t xml:space="preserve"> ‘FSCS’). </w:t>
      </w:r>
      <w:r w:rsidR="00651A7C">
        <w:rPr>
          <w:rFonts w:ascii="Avenir Next" w:hAnsi="Avenir Next" w:cs="Arial"/>
          <w:color w:val="808080" w:themeColor="background1" w:themeShade="80"/>
          <w:sz w:val="22"/>
          <w:szCs w:val="22"/>
        </w:rPr>
        <w:t xml:space="preserve">Secondary preferential debts are as follows: </w:t>
      </w:r>
      <w:r w:rsidR="00617428" w:rsidRPr="00617428">
        <w:rPr>
          <w:rFonts w:ascii="Avenir Next" w:hAnsi="Avenir Next" w:cs="Arial"/>
          <w:color w:val="808080" w:themeColor="background1" w:themeShade="80"/>
          <w:sz w:val="22"/>
          <w:szCs w:val="22"/>
        </w:rPr>
        <w:t xml:space="preserve">any amount the company owes to one or more persons in relation to an eligible deposit that </w:t>
      </w:r>
      <w:r w:rsidR="00086CB3">
        <w:rPr>
          <w:rFonts w:ascii="Avenir Next" w:hAnsi="Avenir Next" w:cs="Arial"/>
          <w:color w:val="808080" w:themeColor="background1" w:themeShade="80"/>
          <w:sz w:val="22"/>
          <w:szCs w:val="22"/>
        </w:rPr>
        <w:t>is higher than</w:t>
      </w:r>
      <w:r w:rsidR="00617428" w:rsidRPr="00617428">
        <w:rPr>
          <w:rFonts w:ascii="Avenir Next" w:hAnsi="Avenir Next" w:cs="Arial"/>
          <w:color w:val="808080" w:themeColor="background1" w:themeShade="80"/>
          <w:sz w:val="22"/>
          <w:szCs w:val="22"/>
        </w:rPr>
        <w:t xml:space="preserve"> any compensation that would be payable to that person or those persons in respect of the deposit under the</w:t>
      </w:r>
      <w:r>
        <w:rPr>
          <w:rFonts w:ascii="Avenir Next" w:hAnsi="Avenir Next" w:cs="Arial"/>
          <w:color w:val="808080" w:themeColor="background1" w:themeShade="80"/>
          <w:sz w:val="22"/>
          <w:szCs w:val="22"/>
        </w:rPr>
        <w:t xml:space="preserve"> FSCS</w:t>
      </w:r>
      <w:r w:rsidR="00617428">
        <w:rPr>
          <w:rFonts w:ascii="Avenir Next" w:hAnsi="Avenir Next" w:cs="Arial"/>
          <w:color w:val="808080" w:themeColor="background1" w:themeShade="80"/>
          <w:sz w:val="22"/>
          <w:szCs w:val="22"/>
        </w:rPr>
        <w:t xml:space="preserve">; </w:t>
      </w:r>
      <w:r w:rsidR="00DE1899" w:rsidRPr="00DE1899">
        <w:rPr>
          <w:rFonts w:ascii="Avenir Next" w:hAnsi="Avenir Next" w:cs="Arial"/>
          <w:color w:val="808080" w:themeColor="background1" w:themeShade="80"/>
          <w:sz w:val="22"/>
          <w:szCs w:val="22"/>
        </w:rPr>
        <w:t xml:space="preserve">an amount the company owes to one or more persons regarding a deposit </w:t>
      </w:r>
      <w:r w:rsidR="00DE1899">
        <w:rPr>
          <w:rFonts w:ascii="Avenir Next" w:hAnsi="Avenir Next" w:cs="Arial"/>
          <w:color w:val="808080" w:themeColor="background1" w:themeShade="80"/>
          <w:sz w:val="22"/>
          <w:szCs w:val="22"/>
        </w:rPr>
        <w:t>carried out</w:t>
      </w:r>
      <w:r w:rsidR="00DE1899" w:rsidRPr="00DE1899">
        <w:rPr>
          <w:rFonts w:ascii="Avenir Next" w:hAnsi="Avenir Next" w:cs="Arial"/>
          <w:color w:val="808080" w:themeColor="background1" w:themeShade="80"/>
          <w:sz w:val="22"/>
          <w:szCs w:val="22"/>
        </w:rPr>
        <w:t xml:space="preserve"> via a credit institution's foreign branch</w:t>
      </w:r>
      <w:r w:rsidR="00B70E67">
        <w:rPr>
          <w:rFonts w:ascii="Avenir Next" w:hAnsi="Avenir Next" w:cs="Arial"/>
          <w:color w:val="808080" w:themeColor="background1" w:themeShade="80"/>
          <w:sz w:val="22"/>
          <w:szCs w:val="22"/>
        </w:rPr>
        <w:t>,</w:t>
      </w:r>
      <w:r w:rsidR="00DE1899" w:rsidRPr="00DE1899">
        <w:rPr>
          <w:rFonts w:ascii="Avenir Next" w:hAnsi="Avenir Next" w:cs="Arial"/>
          <w:color w:val="808080" w:themeColor="background1" w:themeShade="80"/>
          <w:sz w:val="22"/>
          <w:szCs w:val="22"/>
        </w:rPr>
        <w:t xml:space="preserve"> authorized by the UK competent authority</w:t>
      </w:r>
      <w:r w:rsidR="00B70E67">
        <w:rPr>
          <w:rFonts w:ascii="Avenir Next" w:hAnsi="Avenir Next" w:cs="Arial"/>
          <w:color w:val="808080" w:themeColor="background1" w:themeShade="80"/>
          <w:sz w:val="22"/>
          <w:szCs w:val="22"/>
        </w:rPr>
        <w:t>,</w:t>
      </w:r>
      <w:r w:rsidR="00DE1899">
        <w:rPr>
          <w:rFonts w:ascii="Avenir Next" w:hAnsi="Avenir Next" w:cs="Arial"/>
          <w:color w:val="808080" w:themeColor="background1" w:themeShade="80"/>
          <w:sz w:val="22"/>
          <w:szCs w:val="22"/>
        </w:rPr>
        <w:t xml:space="preserve"> that would have been </w:t>
      </w:r>
      <w:r w:rsidR="00086CB3">
        <w:rPr>
          <w:rFonts w:ascii="Avenir Next" w:hAnsi="Avenir Next" w:cs="Arial"/>
          <w:color w:val="808080" w:themeColor="background1" w:themeShade="80"/>
          <w:sz w:val="22"/>
          <w:szCs w:val="22"/>
        </w:rPr>
        <w:t xml:space="preserve">considered </w:t>
      </w:r>
      <w:r w:rsidR="00DE1899">
        <w:rPr>
          <w:rFonts w:ascii="Avenir Next" w:hAnsi="Avenir Next" w:cs="Arial"/>
          <w:color w:val="808080" w:themeColor="background1" w:themeShade="80"/>
          <w:sz w:val="22"/>
          <w:szCs w:val="22"/>
        </w:rPr>
        <w:t xml:space="preserve">an eligible deposit had that been carried out by that credit institution’s UK branch; and, </w:t>
      </w:r>
      <w:r w:rsidR="00B70E67">
        <w:rPr>
          <w:rFonts w:ascii="Avenir Next" w:hAnsi="Avenir Next" w:cs="Arial"/>
          <w:color w:val="808080" w:themeColor="background1" w:themeShade="80"/>
          <w:sz w:val="22"/>
          <w:szCs w:val="22"/>
        </w:rPr>
        <w:t xml:space="preserve">lastly, </w:t>
      </w:r>
      <w:r w:rsidR="004C46AD">
        <w:rPr>
          <w:rFonts w:ascii="Avenir Next" w:hAnsi="Avenir Next" w:cs="Arial"/>
          <w:color w:val="808080" w:themeColor="background1" w:themeShade="80"/>
          <w:sz w:val="22"/>
          <w:szCs w:val="22"/>
        </w:rPr>
        <w:t xml:space="preserve">income tax deductions known as ‘PAYE’, </w:t>
      </w:r>
      <w:r w:rsidR="00897B93">
        <w:rPr>
          <w:rFonts w:ascii="Avenir Next" w:hAnsi="Avenir Next" w:cs="Arial"/>
          <w:color w:val="808080" w:themeColor="background1" w:themeShade="80"/>
          <w:sz w:val="22"/>
          <w:szCs w:val="22"/>
        </w:rPr>
        <w:t xml:space="preserve">VAT amounts, </w:t>
      </w:r>
      <w:r w:rsidR="004C46AD">
        <w:rPr>
          <w:rFonts w:ascii="Avenir Next" w:hAnsi="Avenir Next" w:cs="Arial"/>
          <w:color w:val="808080" w:themeColor="background1" w:themeShade="80"/>
          <w:sz w:val="22"/>
          <w:szCs w:val="22"/>
        </w:rPr>
        <w:t xml:space="preserve">national insurance deductions, deductions relating to </w:t>
      </w:r>
      <w:r>
        <w:rPr>
          <w:rFonts w:ascii="Avenir Next" w:hAnsi="Avenir Next" w:cs="Arial"/>
          <w:color w:val="808080" w:themeColor="background1" w:themeShade="80"/>
          <w:sz w:val="22"/>
          <w:szCs w:val="22"/>
        </w:rPr>
        <w:t>Construction</w:t>
      </w:r>
      <w:r w:rsidR="004C46AD">
        <w:rPr>
          <w:rFonts w:ascii="Avenir Next" w:hAnsi="Avenir Next" w:cs="Arial"/>
          <w:color w:val="808080" w:themeColor="background1" w:themeShade="80"/>
          <w:sz w:val="22"/>
          <w:szCs w:val="22"/>
        </w:rPr>
        <w:t xml:space="preserve"> Industry Scheme and student loan </w:t>
      </w:r>
      <w:r w:rsidR="004C46AD" w:rsidRPr="004C46AD">
        <w:rPr>
          <w:rFonts w:ascii="Avenir Next" w:hAnsi="Avenir Next" w:cs="Arial"/>
          <w:color w:val="808080" w:themeColor="background1" w:themeShade="80"/>
          <w:sz w:val="22"/>
          <w:szCs w:val="22"/>
        </w:rPr>
        <w:t>reimbursement</w:t>
      </w:r>
      <w:r w:rsidR="004C46AD">
        <w:rPr>
          <w:rFonts w:ascii="Avenir Next" w:hAnsi="Avenir Next" w:cs="Arial"/>
          <w:color w:val="808080" w:themeColor="background1" w:themeShade="80"/>
          <w:sz w:val="22"/>
          <w:szCs w:val="22"/>
        </w:rPr>
        <w:t>s</w:t>
      </w:r>
      <w:r w:rsidR="00DE1899">
        <w:rPr>
          <w:rFonts w:ascii="Avenir Next" w:hAnsi="Avenir Next" w:cs="Arial"/>
          <w:color w:val="808080" w:themeColor="background1" w:themeShade="80"/>
          <w:sz w:val="22"/>
          <w:szCs w:val="22"/>
        </w:rPr>
        <w:t xml:space="preserve">. </w:t>
      </w:r>
      <w:r w:rsidR="0051199B">
        <w:rPr>
          <w:rFonts w:ascii="Avenir Next" w:hAnsi="Avenir Next" w:cs="Arial"/>
          <w:color w:val="808080" w:themeColor="background1" w:themeShade="80"/>
          <w:sz w:val="22"/>
          <w:szCs w:val="22"/>
        </w:rPr>
        <w:t xml:space="preserve">In any case, </w:t>
      </w:r>
      <w:r w:rsidR="0051199B" w:rsidRPr="0051199B">
        <w:rPr>
          <w:rFonts w:ascii="Avenir Next" w:hAnsi="Avenir Next" w:cs="Arial"/>
          <w:color w:val="808080" w:themeColor="background1" w:themeShade="80"/>
          <w:sz w:val="22"/>
          <w:szCs w:val="22"/>
        </w:rPr>
        <w:t xml:space="preserve">preferential claims in their respective categories </w:t>
      </w:r>
      <w:r w:rsidR="005A5F97">
        <w:rPr>
          <w:rFonts w:ascii="Avenir Next" w:hAnsi="Avenir Next" w:cs="Arial"/>
          <w:color w:val="808080" w:themeColor="background1" w:themeShade="80"/>
          <w:sz w:val="22"/>
          <w:szCs w:val="22"/>
        </w:rPr>
        <w:t xml:space="preserve">(ordinary </w:t>
      </w:r>
      <w:r w:rsidR="00B70E67">
        <w:rPr>
          <w:rFonts w:ascii="Avenir Next" w:hAnsi="Avenir Next" w:cs="Arial"/>
          <w:color w:val="808080" w:themeColor="background1" w:themeShade="80"/>
          <w:sz w:val="22"/>
          <w:szCs w:val="22"/>
        </w:rPr>
        <w:t>and</w:t>
      </w:r>
      <w:r w:rsidR="005A5F97">
        <w:rPr>
          <w:rFonts w:ascii="Avenir Next" w:hAnsi="Avenir Next" w:cs="Arial"/>
          <w:color w:val="808080" w:themeColor="background1" w:themeShade="80"/>
          <w:sz w:val="22"/>
          <w:szCs w:val="22"/>
        </w:rPr>
        <w:t xml:space="preserve"> secondary) </w:t>
      </w:r>
      <w:r w:rsidR="0051199B" w:rsidRPr="0051199B">
        <w:rPr>
          <w:rFonts w:ascii="Avenir Next" w:hAnsi="Avenir Next" w:cs="Arial"/>
          <w:color w:val="808080" w:themeColor="background1" w:themeShade="80"/>
          <w:sz w:val="22"/>
          <w:szCs w:val="22"/>
        </w:rPr>
        <w:t xml:space="preserve">enjoy the same rank among themselves and are therefore extinguished in equal proportion in the event of insufficient company assets to </w:t>
      </w:r>
      <w:r w:rsidR="005A5F97">
        <w:rPr>
          <w:rFonts w:ascii="Avenir Next" w:hAnsi="Avenir Next" w:cs="Arial"/>
          <w:color w:val="808080" w:themeColor="background1" w:themeShade="80"/>
          <w:sz w:val="22"/>
          <w:szCs w:val="22"/>
        </w:rPr>
        <w:t>satisfy</w:t>
      </w:r>
      <w:r w:rsidR="0051199B" w:rsidRPr="0051199B">
        <w:rPr>
          <w:rFonts w:ascii="Avenir Next" w:hAnsi="Avenir Next" w:cs="Arial"/>
          <w:color w:val="808080" w:themeColor="background1" w:themeShade="80"/>
          <w:sz w:val="22"/>
          <w:szCs w:val="22"/>
        </w:rPr>
        <w:t xml:space="preserve"> them all</w:t>
      </w:r>
      <w:r w:rsidR="001152BE">
        <w:rPr>
          <w:rFonts w:ascii="Avenir Next" w:hAnsi="Avenir Next" w:cs="Arial"/>
          <w:color w:val="808080" w:themeColor="background1" w:themeShade="80"/>
          <w:sz w:val="22"/>
          <w:szCs w:val="22"/>
        </w:rPr>
        <w:t>.</w:t>
      </w:r>
    </w:p>
    <w:p w14:paraId="44531BE7" w14:textId="77777777" w:rsidR="00DE44ED" w:rsidRDefault="00DE44ED" w:rsidP="00EA3B38">
      <w:pPr>
        <w:jc w:val="both"/>
        <w:rPr>
          <w:rFonts w:ascii="Avenir Next" w:hAnsi="Avenir Next" w:cs="Arial"/>
          <w:color w:val="808080" w:themeColor="background1" w:themeShade="80"/>
          <w:sz w:val="22"/>
          <w:szCs w:val="22"/>
        </w:rPr>
      </w:pPr>
    </w:p>
    <w:p w14:paraId="2B80BAD1" w14:textId="2D8B83AE" w:rsidR="00DE44ED" w:rsidRDefault="00DE44E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next class o</w:t>
      </w:r>
      <w:r w:rsidR="00FF04DF">
        <w:rPr>
          <w:rFonts w:ascii="Avenir Next" w:hAnsi="Avenir Next" w:cs="Arial"/>
          <w:color w:val="808080" w:themeColor="background1" w:themeShade="80"/>
          <w:sz w:val="22"/>
          <w:szCs w:val="22"/>
        </w:rPr>
        <w:t>f</w:t>
      </w:r>
      <w:r>
        <w:rPr>
          <w:rFonts w:ascii="Avenir Next" w:hAnsi="Avenir Next" w:cs="Arial"/>
          <w:color w:val="808080" w:themeColor="background1" w:themeShade="80"/>
          <w:sz w:val="22"/>
          <w:szCs w:val="22"/>
        </w:rPr>
        <w:t xml:space="preserve"> creditors to  be satisfied concerns floating charge holders. If, indeed, there are more than one floating charge holders the priority among them is determined by observing which charge was established first. </w:t>
      </w:r>
      <w:r w:rsidR="00500ECD">
        <w:rPr>
          <w:rFonts w:ascii="Avenir Next" w:hAnsi="Avenir Next" w:cs="Arial"/>
          <w:color w:val="808080" w:themeColor="background1" w:themeShade="80"/>
          <w:sz w:val="22"/>
          <w:szCs w:val="22"/>
        </w:rPr>
        <w:t>In this context, the liquidator should examine whether section 176A</w:t>
      </w:r>
      <w:r w:rsidR="00500ECD" w:rsidRPr="00500ECD">
        <w:rPr>
          <w:rFonts w:ascii="Avenir Next" w:hAnsi="Avenir Next" w:cs="Arial"/>
          <w:color w:val="808080" w:themeColor="background1" w:themeShade="80"/>
          <w:sz w:val="22"/>
          <w:szCs w:val="22"/>
        </w:rPr>
        <w:t xml:space="preserve"> </w:t>
      </w:r>
      <w:r w:rsidR="00500ECD">
        <w:rPr>
          <w:rFonts w:ascii="Avenir Next" w:hAnsi="Avenir Next" w:cs="Arial"/>
          <w:color w:val="808080" w:themeColor="background1" w:themeShade="80"/>
          <w:sz w:val="22"/>
          <w:szCs w:val="22"/>
        </w:rPr>
        <w:t>applies, which concerns floating charges established on or after September 15, 2003, and compan</w:t>
      </w:r>
      <w:r w:rsidR="008C3E30">
        <w:rPr>
          <w:rFonts w:ascii="Avenir Next" w:hAnsi="Avenir Next" w:cs="Arial"/>
          <w:color w:val="808080" w:themeColor="background1" w:themeShade="80"/>
          <w:sz w:val="22"/>
          <w:szCs w:val="22"/>
        </w:rPr>
        <w:t>ies</w:t>
      </w:r>
      <w:r w:rsidR="00FF04DF">
        <w:rPr>
          <w:rFonts w:ascii="Avenir Next" w:hAnsi="Avenir Next" w:cs="Arial"/>
          <w:color w:val="808080" w:themeColor="background1" w:themeShade="80"/>
          <w:sz w:val="22"/>
          <w:szCs w:val="22"/>
        </w:rPr>
        <w:t xml:space="preserve"> hav</w:t>
      </w:r>
      <w:r w:rsidR="008C3E30">
        <w:rPr>
          <w:rFonts w:ascii="Avenir Next" w:hAnsi="Avenir Next" w:cs="Arial"/>
          <w:color w:val="808080" w:themeColor="background1" w:themeShade="80"/>
          <w:sz w:val="22"/>
          <w:szCs w:val="22"/>
        </w:rPr>
        <w:t>ing</w:t>
      </w:r>
      <w:r w:rsidR="00500ECD">
        <w:rPr>
          <w:rFonts w:ascii="Avenir Next" w:hAnsi="Avenir Next" w:cs="Arial"/>
          <w:color w:val="808080" w:themeColor="background1" w:themeShade="80"/>
          <w:sz w:val="22"/>
          <w:szCs w:val="22"/>
        </w:rPr>
        <w:t xml:space="preserve"> entered liquidation</w:t>
      </w:r>
      <w:r w:rsidR="00FF04DF">
        <w:rPr>
          <w:rFonts w:ascii="Avenir Next" w:hAnsi="Avenir Next" w:cs="Arial"/>
          <w:color w:val="808080" w:themeColor="background1" w:themeShade="80"/>
          <w:sz w:val="22"/>
          <w:szCs w:val="22"/>
        </w:rPr>
        <w:t xml:space="preserve"> or administration</w:t>
      </w:r>
      <w:r w:rsidR="00500ECD">
        <w:rPr>
          <w:rFonts w:ascii="Avenir Next" w:hAnsi="Avenir Next" w:cs="Arial"/>
          <w:color w:val="808080" w:themeColor="background1" w:themeShade="80"/>
          <w:sz w:val="22"/>
          <w:szCs w:val="22"/>
        </w:rPr>
        <w:t xml:space="preserve">. </w:t>
      </w:r>
      <w:r w:rsidR="00E6065E">
        <w:rPr>
          <w:rFonts w:ascii="Avenir Next" w:hAnsi="Avenir Next" w:cs="Arial"/>
          <w:color w:val="808080" w:themeColor="background1" w:themeShade="80"/>
          <w:sz w:val="22"/>
          <w:szCs w:val="22"/>
        </w:rPr>
        <w:t xml:space="preserve">Interestingly, </w:t>
      </w:r>
      <w:r w:rsidR="00C33F8D">
        <w:rPr>
          <w:rFonts w:ascii="Avenir Next" w:hAnsi="Avenir Next" w:cs="Arial"/>
          <w:color w:val="808080" w:themeColor="background1" w:themeShade="80"/>
          <w:sz w:val="22"/>
          <w:szCs w:val="22"/>
        </w:rPr>
        <w:t>there is an obligation for the liquidator to establish the so-called “prescribed part”</w:t>
      </w:r>
      <w:r w:rsidR="00DE0857">
        <w:rPr>
          <w:rFonts w:ascii="Avenir Next" w:hAnsi="Avenir Next" w:cs="Arial"/>
          <w:color w:val="808080" w:themeColor="background1" w:themeShade="80"/>
          <w:sz w:val="22"/>
          <w:szCs w:val="22"/>
        </w:rPr>
        <w:t>,</w:t>
      </w:r>
      <w:r w:rsidR="00C33F8D">
        <w:rPr>
          <w:rFonts w:ascii="Avenir Next" w:hAnsi="Avenir Next" w:cs="Arial"/>
          <w:color w:val="808080" w:themeColor="background1" w:themeShade="80"/>
          <w:sz w:val="22"/>
          <w:szCs w:val="22"/>
        </w:rPr>
        <w:t xml:space="preserve"> instituted on the net property</w:t>
      </w:r>
      <w:r w:rsidR="00C33F8D" w:rsidRPr="00C33F8D">
        <w:rPr>
          <w:rFonts w:ascii="Avenir Next" w:hAnsi="Avenir Next" w:cs="Arial"/>
          <w:color w:val="808080" w:themeColor="background1" w:themeShade="80"/>
          <w:sz w:val="22"/>
          <w:szCs w:val="22"/>
        </w:rPr>
        <w:t xml:space="preserve"> </w:t>
      </w:r>
      <w:r w:rsidR="00C33F8D">
        <w:rPr>
          <w:rFonts w:ascii="Avenir Next" w:hAnsi="Avenir Next" w:cs="Arial"/>
          <w:color w:val="808080" w:themeColor="background1" w:themeShade="80"/>
          <w:sz w:val="22"/>
          <w:szCs w:val="22"/>
        </w:rPr>
        <w:t xml:space="preserve">of the company </w:t>
      </w:r>
      <w:r w:rsidR="000666AD">
        <w:rPr>
          <w:rFonts w:ascii="Avenir Next" w:hAnsi="Avenir Next" w:cs="Arial"/>
          <w:color w:val="808080" w:themeColor="background1" w:themeShade="80"/>
          <w:sz w:val="22"/>
          <w:szCs w:val="22"/>
        </w:rPr>
        <w:t xml:space="preserve">and </w:t>
      </w:r>
      <w:r w:rsidR="00C33F8D">
        <w:rPr>
          <w:rFonts w:ascii="Avenir Next" w:hAnsi="Avenir Next" w:cs="Arial"/>
          <w:color w:val="808080" w:themeColor="background1" w:themeShade="80"/>
          <w:sz w:val="22"/>
          <w:szCs w:val="22"/>
        </w:rPr>
        <w:t xml:space="preserve">intended to satisfy unsecured creditors. The liquidator is under a duty not to pay any amount from this prescribed part </w:t>
      </w:r>
      <w:r w:rsidR="00FF04DF">
        <w:rPr>
          <w:rFonts w:ascii="Avenir Next" w:hAnsi="Avenir Next" w:cs="Arial"/>
          <w:color w:val="808080" w:themeColor="background1" w:themeShade="80"/>
          <w:sz w:val="22"/>
          <w:szCs w:val="22"/>
        </w:rPr>
        <w:t xml:space="preserve">to </w:t>
      </w:r>
      <w:r w:rsidR="00C33F8D">
        <w:rPr>
          <w:rFonts w:ascii="Avenir Next" w:hAnsi="Avenir Next" w:cs="Arial"/>
          <w:color w:val="808080" w:themeColor="background1" w:themeShade="80"/>
          <w:sz w:val="22"/>
          <w:szCs w:val="22"/>
        </w:rPr>
        <w:t>flo</w:t>
      </w:r>
      <w:r w:rsidR="003E2B87">
        <w:rPr>
          <w:rFonts w:ascii="Avenir Next" w:hAnsi="Avenir Next" w:cs="Arial"/>
          <w:color w:val="808080" w:themeColor="background1" w:themeShade="80"/>
          <w:sz w:val="22"/>
          <w:szCs w:val="22"/>
        </w:rPr>
        <w:t>a</w:t>
      </w:r>
      <w:r w:rsidR="00C33F8D">
        <w:rPr>
          <w:rFonts w:ascii="Avenir Next" w:hAnsi="Avenir Next" w:cs="Arial"/>
          <w:color w:val="808080" w:themeColor="background1" w:themeShade="80"/>
          <w:sz w:val="22"/>
          <w:szCs w:val="22"/>
        </w:rPr>
        <w:t xml:space="preserve">ting charge holder(s) unless that amount is greater than the amount intended to satisfy the totality of unsecured creditors. </w:t>
      </w:r>
      <w:r w:rsidR="006A1F42">
        <w:rPr>
          <w:rFonts w:ascii="Avenir Next" w:hAnsi="Avenir Next" w:cs="Arial"/>
          <w:color w:val="808080" w:themeColor="background1" w:themeShade="80"/>
          <w:sz w:val="22"/>
          <w:szCs w:val="22"/>
        </w:rPr>
        <w:t xml:space="preserve">In this regard, it is useful to clarify that net property concerns the sum of the property of the company that under other circumstances would be utilized for payment of floating charge holder(s). </w:t>
      </w:r>
      <w:r w:rsidR="0079100E">
        <w:rPr>
          <w:rFonts w:ascii="Avenir Next" w:hAnsi="Avenir Next" w:cs="Arial"/>
          <w:color w:val="808080" w:themeColor="background1" w:themeShade="80"/>
          <w:sz w:val="22"/>
          <w:szCs w:val="22"/>
        </w:rPr>
        <w:t>T</w:t>
      </w:r>
      <w:r w:rsidR="00554792">
        <w:rPr>
          <w:rFonts w:ascii="Avenir Next" w:hAnsi="Avenir Next" w:cs="Arial"/>
          <w:color w:val="808080" w:themeColor="background1" w:themeShade="80"/>
          <w:sz w:val="22"/>
          <w:szCs w:val="22"/>
        </w:rPr>
        <w:t>he net property amount is calculated after payment of expenses and preferential debts.</w:t>
      </w:r>
      <w:r w:rsidR="000C4C4B">
        <w:rPr>
          <w:rFonts w:ascii="Avenir Next" w:hAnsi="Avenir Next" w:cs="Arial"/>
          <w:color w:val="808080" w:themeColor="background1" w:themeShade="80"/>
          <w:sz w:val="22"/>
          <w:szCs w:val="22"/>
        </w:rPr>
        <w:t xml:space="preserve"> </w:t>
      </w:r>
      <w:r w:rsidR="00D26A70">
        <w:rPr>
          <w:rFonts w:ascii="Avenir Next" w:hAnsi="Avenir Next" w:cs="Arial"/>
          <w:color w:val="808080" w:themeColor="background1" w:themeShade="80"/>
          <w:sz w:val="22"/>
          <w:szCs w:val="22"/>
        </w:rPr>
        <w:t>I</w:t>
      </w:r>
      <w:r w:rsidR="009B2BFE">
        <w:rPr>
          <w:rFonts w:ascii="Avenir Next" w:hAnsi="Avenir Next" w:cs="Arial"/>
          <w:color w:val="808080" w:themeColor="background1" w:themeShade="80"/>
          <w:sz w:val="22"/>
          <w:szCs w:val="22"/>
        </w:rPr>
        <w:t xml:space="preserve">f the net property is no greater than GBP 10,000 the prescribed part reaches 50% of the company’s net property. </w:t>
      </w:r>
      <w:r w:rsidR="00F60579">
        <w:rPr>
          <w:rFonts w:ascii="Avenir Next" w:hAnsi="Avenir Next" w:cs="Arial"/>
          <w:color w:val="808080" w:themeColor="background1" w:themeShade="80"/>
          <w:sz w:val="22"/>
          <w:szCs w:val="22"/>
        </w:rPr>
        <w:t>If the net property is lower than the GBP 10,000 threshold</w:t>
      </w:r>
      <w:r w:rsidR="00FF04DF">
        <w:rPr>
          <w:rFonts w:ascii="Avenir Next" w:hAnsi="Avenir Next" w:cs="Arial"/>
          <w:color w:val="808080" w:themeColor="background1" w:themeShade="80"/>
          <w:sz w:val="22"/>
          <w:szCs w:val="22"/>
        </w:rPr>
        <w:t>,</w:t>
      </w:r>
      <w:r w:rsidR="00F60579">
        <w:rPr>
          <w:rFonts w:ascii="Avenir Next" w:hAnsi="Avenir Next" w:cs="Arial"/>
          <w:color w:val="808080" w:themeColor="background1" w:themeShade="80"/>
          <w:sz w:val="22"/>
          <w:szCs w:val="22"/>
        </w:rPr>
        <w:t xml:space="preserve"> and if according to the liquidator carrying out a distribution to unsecured creditors would not be proportionate to the advantages, then the duty relating to the distribution of the prescribed part is not applicable.</w:t>
      </w:r>
      <w:r w:rsidR="0063333D">
        <w:rPr>
          <w:rFonts w:ascii="Avenir Next" w:hAnsi="Avenir Next" w:cs="Arial"/>
          <w:color w:val="808080" w:themeColor="background1" w:themeShade="80"/>
          <w:sz w:val="22"/>
          <w:szCs w:val="22"/>
        </w:rPr>
        <w:t xml:space="preserve"> </w:t>
      </w:r>
      <w:r w:rsidR="00D26A70">
        <w:rPr>
          <w:rFonts w:ascii="Avenir Next" w:hAnsi="Avenir Next" w:cs="Arial"/>
          <w:color w:val="808080" w:themeColor="background1" w:themeShade="80"/>
          <w:sz w:val="22"/>
          <w:szCs w:val="22"/>
        </w:rPr>
        <w:t>If the net property is greater than GBP 10,000</w:t>
      </w:r>
      <w:r w:rsidR="00FF04DF">
        <w:rPr>
          <w:rFonts w:ascii="Avenir Next" w:hAnsi="Avenir Next" w:cs="Arial"/>
          <w:color w:val="808080" w:themeColor="background1" w:themeShade="80"/>
          <w:sz w:val="22"/>
          <w:szCs w:val="22"/>
        </w:rPr>
        <w:t>,</w:t>
      </w:r>
      <w:r w:rsidR="00D26A70">
        <w:rPr>
          <w:rFonts w:ascii="Avenir Next" w:hAnsi="Avenir Next" w:cs="Arial"/>
          <w:color w:val="808080" w:themeColor="background1" w:themeShade="80"/>
          <w:sz w:val="22"/>
          <w:szCs w:val="22"/>
        </w:rPr>
        <w:t xml:space="preserve"> the prescribed part reaches 50% of the first GBP 10,000 and an amount calculated to 20% of the excess in value </w:t>
      </w:r>
      <w:r w:rsidR="0007320E">
        <w:rPr>
          <w:rFonts w:ascii="Avenir Next" w:hAnsi="Avenir Next" w:cs="Arial"/>
          <w:color w:val="808080" w:themeColor="background1" w:themeShade="80"/>
          <w:sz w:val="22"/>
          <w:szCs w:val="22"/>
        </w:rPr>
        <w:t>beyond</w:t>
      </w:r>
      <w:r w:rsidR="00D26A70">
        <w:rPr>
          <w:rFonts w:ascii="Avenir Next" w:hAnsi="Avenir Next" w:cs="Arial"/>
          <w:color w:val="808080" w:themeColor="background1" w:themeShade="80"/>
          <w:sz w:val="22"/>
          <w:szCs w:val="22"/>
        </w:rPr>
        <w:t xml:space="preserve"> GBP 10,000 is added.</w:t>
      </w:r>
      <w:r w:rsidR="001E130C">
        <w:rPr>
          <w:rFonts w:ascii="Avenir Next" w:hAnsi="Avenir Next" w:cs="Arial"/>
          <w:color w:val="808080" w:themeColor="background1" w:themeShade="80"/>
          <w:sz w:val="22"/>
          <w:szCs w:val="22"/>
        </w:rPr>
        <w:t xml:space="preserve"> The prescribed part, in any event, should not exceed GBP 800,000.</w:t>
      </w:r>
      <w:r w:rsidR="00B029A8">
        <w:rPr>
          <w:rFonts w:ascii="Avenir Next" w:hAnsi="Avenir Next" w:cs="Arial"/>
          <w:color w:val="808080" w:themeColor="background1" w:themeShade="80"/>
          <w:sz w:val="22"/>
          <w:szCs w:val="22"/>
        </w:rPr>
        <w:t xml:space="preserve"> </w:t>
      </w:r>
      <w:r w:rsidR="00C56737">
        <w:rPr>
          <w:rFonts w:ascii="Avenir Next" w:hAnsi="Avenir Next" w:cs="Arial"/>
          <w:color w:val="808080" w:themeColor="background1" w:themeShade="80"/>
          <w:sz w:val="22"/>
          <w:szCs w:val="22"/>
        </w:rPr>
        <w:t>The distribution relating to the prescribed part remains a separate issue from the floating charge holder(s)</w:t>
      </w:r>
      <w:r w:rsidR="009F1E59">
        <w:rPr>
          <w:rFonts w:ascii="Avenir Next" w:hAnsi="Avenir Next" w:cs="Arial"/>
          <w:color w:val="808080" w:themeColor="background1" w:themeShade="80"/>
          <w:sz w:val="22"/>
          <w:szCs w:val="22"/>
        </w:rPr>
        <w:t xml:space="preserve">. </w:t>
      </w:r>
      <w:r w:rsidR="00FF04DF">
        <w:rPr>
          <w:rFonts w:ascii="Avenir Next" w:hAnsi="Avenir Next" w:cs="Arial"/>
          <w:color w:val="808080" w:themeColor="background1" w:themeShade="80"/>
          <w:sz w:val="22"/>
          <w:szCs w:val="22"/>
        </w:rPr>
        <w:t>In this light</w:t>
      </w:r>
      <w:r w:rsidR="009F1E59">
        <w:rPr>
          <w:rFonts w:ascii="Avenir Next" w:hAnsi="Avenir Next" w:cs="Arial"/>
          <w:color w:val="808080" w:themeColor="background1" w:themeShade="80"/>
          <w:sz w:val="22"/>
          <w:szCs w:val="22"/>
        </w:rPr>
        <w:t>,</w:t>
      </w:r>
      <w:r w:rsidR="00C56737">
        <w:rPr>
          <w:rFonts w:ascii="Avenir Next" w:hAnsi="Avenir Next" w:cs="Arial"/>
          <w:color w:val="808080" w:themeColor="background1" w:themeShade="80"/>
          <w:sz w:val="22"/>
          <w:szCs w:val="22"/>
        </w:rPr>
        <w:t xml:space="preserve"> </w:t>
      </w:r>
      <w:r w:rsidR="002C5FAF">
        <w:rPr>
          <w:rFonts w:ascii="Avenir Next" w:hAnsi="Avenir Next" w:cs="Arial"/>
          <w:color w:val="808080" w:themeColor="background1" w:themeShade="80"/>
          <w:sz w:val="22"/>
          <w:szCs w:val="22"/>
        </w:rPr>
        <w:t xml:space="preserve">any such </w:t>
      </w:r>
      <w:r w:rsidR="002C5FAF">
        <w:rPr>
          <w:rFonts w:ascii="Avenir Next" w:hAnsi="Avenir Next" w:cs="Arial"/>
          <w:color w:val="808080" w:themeColor="background1" w:themeShade="80"/>
          <w:sz w:val="22"/>
          <w:szCs w:val="22"/>
        </w:rPr>
        <w:lastRenderedPageBreak/>
        <w:t xml:space="preserve">holder or </w:t>
      </w:r>
      <w:r w:rsidR="00C56737">
        <w:rPr>
          <w:rFonts w:ascii="Avenir Next" w:hAnsi="Avenir Next" w:cs="Arial"/>
          <w:color w:val="808080" w:themeColor="background1" w:themeShade="80"/>
          <w:sz w:val="22"/>
          <w:szCs w:val="22"/>
        </w:rPr>
        <w:t>secured creditor</w:t>
      </w:r>
      <w:r w:rsidR="00F50CF1">
        <w:rPr>
          <w:rFonts w:ascii="Avenir Next" w:hAnsi="Avenir Next" w:cs="Arial"/>
          <w:color w:val="808080" w:themeColor="background1" w:themeShade="80"/>
          <w:sz w:val="22"/>
          <w:szCs w:val="22"/>
        </w:rPr>
        <w:t xml:space="preserve"> </w:t>
      </w:r>
      <w:r w:rsidR="00C56737">
        <w:rPr>
          <w:rFonts w:ascii="Avenir Next" w:hAnsi="Avenir Next" w:cs="Arial"/>
          <w:color w:val="808080" w:themeColor="background1" w:themeShade="80"/>
          <w:sz w:val="22"/>
          <w:szCs w:val="22"/>
        </w:rPr>
        <w:t xml:space="preserve">who </w:t>
      </w:r>
      <w:r w:rsidR="00FF04DF">
        <w:rPr>
          <w:rFonts w:ascii="Avenir Next" w:hAnsi="Avenir Next" w:cs="Arial"/>
          <w:color w:val="808080" w:themeColor="background1" w:themeShade="80"/>
          <w:sz w:val="22"/>
          <w:szCs w:val="22"/>
        </w:rPr>
        <w:t>is</w:t>
      </w:r>
      <w:r w:rsidR="002C5FAF">
        <w:rPr>
          <w:rFonts w:ascii="Avenir Next" w:hAnsi="Avenir Next" w:cs="Arial"/>
          <w:color w:val="808080" w:themeColor="background1" w:themeShade="80"/>
          <w:sz w:val="22"/>
          <w:szCs w:val="22"/>
        </w:rPr>
        <w:t xml:space="preserve"> eventually owed an outstanding </w:t>
      </w:r>
      <w:r w:rsidR="009C7D58">
        <w:rPr>
          <w:rFonts w:ascii="Avenir Next" w:hAnsi="Avenir Next" w:cs="Arial"/>
          <w:color w:val="808080" w:themeColor="background1" w:themeShade="80"/>
          <w:sz w:val="22"/>
          <w:szCs w:val="22"/>
        </w:rPr>
        <w:t xml:space="preserve">unsecured amount </w:t>
      </w:r>
      <w:r w:rsidR="00FF04DF">
        <w:rPr>
          <w:rFonts w:ascii="Avenir Next" w:hAnsi="Avenir Next" w:cs="Arial"/>
          <w:color w:val="808080" w:themeColor="background1" w:themeShade="80"/>
          <w:sz w:val="22"/>
          <w:szCs w:val="22"/>
        </w:rPr>
        <w:t>is</w:t>
      </w:r>
      <w:r w:rsidR="00C56737">
        <w:rPr>
          <w:rFonts w:ascii="Avenir Next" w:hAnsi="Avenir Next" w:cs="Arial"/>
          <w:color w:val="808080" w:themeColor="background1" w:themeShade="80"/>
          <w:sz w:val="22"/>
          <w:szCs w:val="22"/>
        </w:rPr>
        <w:t xml:space="preserve"> not allowed to participate in that prescribed part</w:t>
      </w:r>
      <w:r w:rsidR="00FF04DF">
        <w:rPr>
          <w:rFonts w:ascii="Avenir Next" w:hAnsi="Avenir Next" w:cs="Arial"/>
          <w:color w:val="808080" w:themeColor="background1" w:themeShade="80"/>
          <w:sz w:val="22"/>
          <w:szCs w:val="22"/>
        </w:rPr>
        <w:t>’s distribution</w:t>
      </w:r>
      <w:r w:rsidR="002C5FAF">
        <w:rPr>
          <w:rFonts w:ascii="Avenir Next" w:hAnsi="Avenir Next" w:cs="Arial"/>
          <w:color w:val="808080" w:themeColor="background1" w:themeShade="80"/>
          <w:sz w:val="22"/>
          <w:szCs w:val="22"/>
        </w:rPr>
        <w:t xml:space="preserve"> (</w:t>
      </w:r>
      <w:r w:rsidR="002C5FAF" w:rsidRPr="002C5FAF">
        <w:rPr>
          <w:rFonts w:ascii="Avenir Next" w:hAnsi="Avenir Next" w:cs="Arial"/>
          <w:i/>
          <w:iCs/>
          <w:color w:val="808080" w:themeColor="background1" w:themeShade="80"/>
          <w:sz w:val="22"/>
          <w:szCs w:val="22"/>
        </w:rPr>
        <w:t>Thorniley v Harris</w:t>
      </w:r>
      <w:r w:rsidR="002C5FAF">
        <w:rPr>
          <w:rFonts w:ascii="Avenir Next" w:hAnsi="Avenir Next" w:cs="Arial"/>
          <w:color w:val="808080" w:themeColor="background1" w:themeShade="80"/>
          <w:sz w:val="22"/>
          <w:szCs w:val="22"/>
        </w:rPr>
        <w:t xml:space="preserve"> [2008] EWHC 124 (Ch))</w:t>
      </w:r>
      <w:r w:rsidR="00C56737">
        <w:rPr>
          <w:rFonts w:ascii="Avenir Next" w:hAnsi="Avenir Next" w:cs="Arial"/>
          <w:color w:val="808080" w:themeColor="background1" w:themeShade="80"/>
          <w:sz w:val="22"/>
          <w:szCs w:val="22"/>
        </w:rPr>
        <w:t>.</w:t>
      </w:r>
    </w:p>
    <w:p w14:paraId="06260EFC" w14:textId="77777777" w:rsidR="00651A7C" w:rsidRDefault="00651A7C" w:rsidP="00EA3B38">
      <w:pPr>
        <w:jc w:val="both"/>
        <w:rPr>
          <w:rFonts w:ascii="Avenir Next" w:hAnsi="Avenir Next" w:cs="Arial"/>
          <w:color w:val="808080" w:themeColor="background1" w:themeShade="80"/>
          <w:sz w:val="22"/>
          <w:szCs w:val="22"/>
        </w:rPr>
      </w:pPr>
    </w:p>
    <w:p w14:paraId="43FC80C4" w14:textId="3A5BE801" w:rsidR="001D2DFB" w:rsidRDefault="00FF04D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Turning to</w:t>
      </w:r>
      <w:r w:rsidR="001D2DFB">
        <w:rPr>
          <w:rFonts w:ascii="Avenir Next" w:hAnsi="Avenir Next" w:cs="Arial"/>
          <w:color w:val="808080" w:themeColor="background1" w:themeShade="80"/>
          <w:sz w:val="22"/>
          <w:szCs w:val="22"/>
        </w:rPr>
        <w:t xml:space="preserve"> the class of unsecured creditors</w:t>
      </w:r>
      <w:r>
        <w:rPr>
          <w:rFonts w:ascii="Avenir Next" w:hAnsi="Avenir Next" w:cs="Arial"/>
          <w:color w:val="808080" w:themeColor="background1" w:themeShade="80"/>
          <w:sz w:val="22"/>
          <w:szCs w:val="22"/>
        </w:rPr>
        <w:t>, this class</w:t>
      </w:r>
      <w:r w:rsidR="001D2DFB">
        <w:rPr>
          <w:rFonts w:ascii="Avenir Next" w:hAnsi="Avenir Next" w:cs="Arial"/>
          <w:color w:val="808080" w:themeColor="background1" w:themeShade="80"/>
          <w:sz w:val="22"/>
          <w:szCs w:val="22"/>
        </w:rPr>
        <w:t xml:space="preserve"> will be satisfied after th</w:t>
      </w:r>
      <w:r>
        <w:rPr>
          <w:rFonts w:ascii="Avenir Next" w:hAnsi="Avenir Next" w:cs="Arial"/>
          <w:color w:val="808080" w:themeColor="background1" w:themeShade="80"/>
          <w:sz w:val="22"/>
          <w:szCs w:val="22"/>
        </w:rPr>
        <w:t xml:space="preserve">e class </w:t>
      </w:r>
      <w:r w:rsidR="001D2DFB">
        <w:rPr>
          <w:rFonts w:ascii="Avenir Next" w:hAnsi="Avenir Next" w:cs="Arial"/>
          <w:color w:val="808080" w:themeColor="background1" w:themeShade="80"/>
          <w:sz w:val="22"/>
          <w:szCs w:val="22"/>
        </w:rPr>
        <w:t>of floating charge holders</w:t>
      </w:r>
      <w:r>
        <w:rPr>
          <w:rFonts w:ascii="Avenir Next" w:hAnsi="Avenir Next" w:cs="Arial"/>
          <w:color w:val="808080" w:themeColor="background1" w:themeShade="80"/>
          <w:sz w:val="22"/>
          <w:szCs w:val="22"/>
        </w:rPr>
        <w:t>,</w:t>
      </w:r>
      <w:r w:rsidR="001D2DFB">
        <w:rPr>
          <w:rFonts w:ascii="Avenir Next" w:hAnsi="Avenir Next" w:cs="Arial"/>
          <w:color w:val="808080" w:themeColor="background1" w:themeShade="80"/>
          <w:sz w:val="22"/>
          <w:szCs w:val="22"/>
        </w:rPr>
        <w:t xml:space="preserve"> as previously mentioned</w:t>
      </w:r>
      <w:r w:rsidR="00170193">
        <w:rPr>
          <w:rFonts w:ascii="Avenir Next" w:hAnsi="Avenir Next" w:cs="Arial"/>
          <w:color w:val="808080" w:themeColor="background1" w:themeShade="80"/>
          <w:sz w:val="22"/>
          <w:szCs w:val="22"/>
        </w:rPr>
        <w:t xml:space="preserve">. </w:t>
      </w:r>
      <w:r w:rsidR="00DE0857">
        <w:rPr>
          <w:rFonts w:ascii="Avenir Next" w:hAnsi="Avenir Next" w:cs="Arial"/>
          <w:color w:val="808080" w:themeColor="background1" w:themeShade="80"/>
          <w:sz w:val="22"/>
          <w:szCs w:val="22"/>
        </w:rPr>
        <w:t>Usually</w:t>
      </w:r>
      <w:r w:rsidR="00123AAA">
        <w:rPr>
          <w:rFonts w:ascii="Avenir Next" w:hAnsi="Avenir Next" w:cs="Arial"/>
          <w:color w:val="808080" w:themeColor="background1" w:themeShade="80"/>
          <w:sz w:val="22"/>
          <w:szCs w:val="22"/>
        </w:rPr>
        <w:t xml:space="preserve">, funds are </w:t>
      </w:r>
      <w:r w:rsidR="00DE44ED">
        <w:rPr>
          <w:rFonts w:ascii="Avenir Next" w:hAnsi="Avenir Next" w:cs="Arial"/>
          <w:color w:val="808080" w:themeColor="background1" w:themeShade="80"/>
          <w:sz w:val="22"/>
          <w:szCs w:val="22"/>
        </w:rPr>
        <w:t xml:space="preserve">usually </w:t>
      </w:r>
      <w:r w:rsidR="00123AAA">
        <w:rPr>
          <w:rFonts w:ascii="Avenir Next" w:hAnsi="Avenir Next" w:cs="Arial"/>
          <w:color w:val="808080" w:themeColor="background1" w:themeShade="80"/>
          <w:sz w:val="22"/>
          <w:szCs w:val="22"/>
        </w:rPr>
        <w:t>insufficient to distribute a dividend to this class of unsecured creditors.</w:t>
      </w:r>
      <w:r w:rsidR="00170193">
        <w:rPr>
          <w:rFonts w:ascii="Avenir Next" w:hAnsi="Avenir Next" w:cs="Arial"/>
          <w:color w:val="808080" w:themeColor="background1" w:themeShade="80"/>
          <w:sz w:val="22"/>
          <w:szCs w:val="22"/>
        </w:rPr>
        <w:tab/>
      </w:r>
    </w:p>
    <w:p w14:paraId="0BAC94E0" w14:textId="77777777" w:rsidR="001D2DFB" w:rsidRDefault="001D2DFB" w:rsidP="00EA3B38">
      <w:pPr>
        <w:jc w:val="both"/>
        <w:rPr>
          <w:rFonts w:ascii="Avenir Next" w:hAnsi="Avenir Next" w:cs="Arial"/>
          <w:color w:val="808080" w:themeColor="background1" w:themeShade="80"/>
          <w:sz w:val="22"/>
          <w:szCs w:val="22"/>
        </w:rPr>
      </w:pPr>
    </w:p>
    <w:p w14:paraId="59EA7DD7" w14:textId="4971CDCA" w:rsidR="00651A7C" w:rsidRDefault="001D2DF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Lastly, in the event of sufficient funds</w:t>
      </w:r>
      <w:r w:rsidR="00FF04D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any additional amount is shared proportionately (‘pro rata’) among the company’s shareholders</w:t>
      </w:r>
      <w:r w:rsidR="00FF04D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pursuant to the constitution of the company.</w:t>
      </w:r>
    </w:p>
    <w:p w14:paraId="38CAD16A" w14:textId="77777777" w:rsidR="00AC64CA" w:rsidRDefault="00AC64CA" w:rsidP="00EA3B38">
      <w:pPr>
        <w:jc w:val="both"/>
        <w:rPr>
          <w:rFonts w:ascii="Avenir Next" w:hAnsi="Avenir Next" w:cs="Arial"/>
          <w:color w:val="808080" w:themeColor="background1" w:themeShade="80"/>
          <w:sz w:val="22"/>
          <w:szCs w:val="22"/>
        </w:rPr>
      </w:pPr>
    </w:p>
    <w:p w14:paraId="1F067633" w14:textId="22528B54" w:rsidR="00EA3B38" w:rsidRDefault="00AC64C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context of a Moratorium unde</w:t>
      </w:r>
      <w:r w:rsidR="00A5551D">
        <w:rPr>
          <w:rFonts w:ascii="Avenir Next" w:hAnsi="Avenir Next" w:cs="Arial"/>
          <w:color w:val="808080" w:themeColor="background1" w:themeShade="80"/>
          <w:sz w:val="22"/>
          <w:szCs w:val="22"/>
        </w:rPr>
        <w:t>r</w:t>
      </w:r>
      <w:r w:rsidR="00A91338">
        <w:rPr>
          <w:rFonts w:ascii="Avenir Next" w:hAnsi="Avenir Next" w:cs="Arial"/>
          <w:color w:val="808080" w:themeColor="background1" w:themeShade="80"/>
          <w:sz w:val="22"/>
          <w:szCs w:val="22"/>
        </w:rPr>
        <w:t xml:space="preserve"> Part A1 of the Insolvency Act of 1986, </w:t>
      </w:r>
      <w:r w:rsidR="00A6738A">
        <w:rPr>
          <w:rFonts w:ascii="Avenir Next" w:hAnsi="Avenir Next" w:cs="Arial"/>
          <w:color w:val="808080" w:themeColor="background1" w:themeShade="80"/>
          <w:sz w:val="22"/>
          <w:szCs w:val="22"/>
        </w:rPr>
        <w:t>the priority</w:t>
      </w:r>
      <w:r w:rsidR="00FF04DF">
        <w:rPr>
          <w:rFonts w:ascii="Avenir Next" w:hAnsi="Avenir Next" w:cs="Arial"/>
          <w:color w:val="808080" w:themeColor="background1" w:themeShade="80"/>
          <w:sz w:val="22"/>
          <w:szCs w:val="22"/>
        </w:rPr>
        <w:t>,</w:t>
      </w:r>
      <w:r w:rsidR="00A6738A">
        <w:rPr>
          <w:rFonts w:ascii="Avenir Next" w:hAnsi="Avenir Next" w:cs="Arial"/>
          <w:color w:val="808080" w:themeColor="background1" w:themeShade="80"/>
          <w:sz w:val="22"/>
          <w:szCs w:val="22"/>
        </w:rPr>
        <w:t xml:space="preserve"> </w:t>
      </w:r>
      <w:r w:rsidR="007E7CF9">
        <w:rPr>
          <w:rFonts w:ascii="Avenir Next" w:hAnsi="Avenir Next" w:cs="Arial"/>
          <w:color w:val="808080" w:themeColor="background1" w:themeShade="80"/>
          <w:sz w:val="22"/>
          <w:szCs w:val="22"/>
        </w:rPr>
        <w:t>indeed</w:t>
      </w:r>
      <w:r w:rsidR="00FF04DF">
        <w:rPr>
          <w:rFonts w:ascii="Avenir Next" w:hAnsi="Avenir Next" w:cs="Arial"/>
          <w:color w:val="808080" w:themeColor="background1" w:themeShade="80"/>
          <w:sz w:val="22"/>
          <w:szCs w:val="22"/>
        </w:rPr>
        <w:t>,</w:t>
      </w:r>
      <w:r w:rsidR="007E7CF9">
        <w:rPr>
          <w:rFonts w:ascii="Avenir Next" w:hAnsi="Avenir Next" w:cs="Arial"/>
          <w:color w:val="808080" w:themeColor="background1" w:themeShade="80"/>
          <w:sz w:val="22"/>
          <w:szCs w:val="22"/>
        </w:rPr>
        <w:t xml:space="preserve"> </w:t>
      </w:r>
      <w:r w:rsidR="00A6738A">
        <w:rPr>
          <w:rFonts w:ascii="Avenir Next" w:hAnsi="Avenir Next" w:cs="Arial"/>
          <w:color w:val="808080" w:themeColor="background1" w:themeShade="80"/>
          <w:sz w:val="22"/>
          <w:szCs w:val="22"/>
        </w:rPr>
        <w:t xml:space="preserve">would </w:t>
      </w:r>
      <w:r w:rsidR="00DE0857">
        <w:rPr>
          <w:rFonts w:ascii="Avenir Next" w:hAnsi="Avenir Next" w:cs="Arial"/>
          <w:color w:val="808080" w:themeColor="background1" w:themeShade="80"/>
          <w:sz w:val="22"/>
          <w:szCs w:val="22"/>
        </w:rPr>
        <w:t>be</w:t>
      </w:r>
      <w:r w:rsidR="00A6738A">
        <w:rPr>
          <w:rFonts w:ascii="Avenir Next" w:hAnsi="Avenir Next" w:cs="Arial"/>
          <w:color w:val="808080" w:themeColor="background1" w:themeShade="80"/>
          <w:sz w:val="22"/>
          <w:szCs w:val="22"/>
        </w:rPr>
        <w:t xml:space="preserve"> differen</w:t>
      </w:r>
      <w:r w:rsidR="003D6A22">
        <w:rPr>
          <w:rFonts w:ascii="Avenir Next" w:hAnsi="Avenir Next" w:cs="Arial"/>
          <w:color w:val="808080" w:themeColor="background1" w:themeShade="80"/>
          <w:sz w:val="22"/>
          <w:szCs w:val="22"/>
        </w:rPr>
        <w:t>t.</w:t>
      </w:r>
    </w:p>
    <w:p w14:paraId="7073D852" w14:textId="77777777" w:rsidR="007E7CF9" w:rsidRDefault="007E7CF9" w:rsidP="00EA3B38">
      <w:pPr>
        <w:jc w:val="both"/>
        <w:rPr>
          <w:rFonts w:ascii="Avenir Next" w:hAnsi="Avenir Next" w:cs="Arial"/>
          <w:color w:val="808080" w:themeColor="background1" w:themeShade="80"/>
          <w:sz w:val="22"/>
          <w:szCs w:val="22"/>
        </w:rPr>
      </w:pPr>
    </w:p>
    <w:p w14:paraId="29666FE8" w14:textId="2684EABE" w:rsidR="007E7CF9" w:rsidRDefault="00FF04D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More specifically</w:t>
      </w:r>
      <w:r w:rsidR="007E7CF9">
        <w:rPr>
          <w:rFonts w:ascii="Avenir Next" w:hAnsi="Avenir Next" w:cs="Arial"/>
          <w:color w:val="808080" w:themeColor="background1" w:themeShade="80"/>
          <w:sz w:val="22"/>
          <w:szCs w:val="22"/>
        </w:rPr>
        <w:t xml:space="preserve">, in case the Moratorium procedure is not successful and the company enters administration or liquidation proceedings in the twelve weeks </w:t>
      </w:r>
      <w:r w:rsidR="003955C5" w:rsidRPr="00E80ABF">
        <w:rPr>
          <w:rFonts w:ascii="Avenir Next" w:hAnsi="Avenir Next" w:cs="Arial"/>
          <w:color w:val="808080" w:themeColor="background1" w:themeShade="80"/>
          <w:sz w:val="22"/>
          <w:szCs w:val="22"/>
        </w:rPr>
        <w:t>following the end of the Moratorium</w:t>
      </w:r>
      <w:r w:rsidR="003955C5">
        <w:rPr>
          <w:rFonts w:ascii="Avenir Next" w:hAnsi="Avenir Next" w:cs="Arial"/>
          <w:color w:val="808080" w:themeColor="background1" w:themeShade="80"/>
          <w:sz w:val="22"/>
          <w:szCs w:val="22"/>
        </w:rPr>
        <w:t xml:space="preserve"> procedure</w:t>
      </w:r>
      <w:r w:rsidR="007E7CF9">
        <w:rPr>
          <w:rFonts w:ascii="Avenir Next" w:hAnsi="Avenir Next" w:cs="Arial"/>
          <w:color w:val="808080" w:themeColor="background1" w:themeShade="80"/>
          <w:sz w:val="22"/>
          <w:szCs w:val="22"/>
        </w:rPr>
        <w:t>, there would be substantial differentiations before and after the liquidation proceedings (in our case)</w:t>
      </w:r>
      <w:r w:rsidR="003955C5">
        <w:rPr>
          <w:rFonts w:ascii="Avenir Next" w:hAnsi="Avenir Next" w:cs="Arial"/>
          <w:color w:val="808080" w:themeColor="background1" w:themeShade="80"/>
          <w:sz w:val="22"/>
          <w:szCs w:val="22"/>
        </w:rPr>
        <w:t xml:space="preserve"> in terms of priority</w:t>
      </w:r>
      <w:r w:rsidR="007E7CF9">
        <w:rPr>
          <w:rFonts w:ascii="Avenir Next" w:hAnsi="Avenir Next" w:cs="Arial"/>
          <w:color w:val="808080" w:themeColor="background1" w:themeShade="80"/>
          <w:sz w:val="22"/>
          <w:szCs w:val="22"/>
        </w:rPr>
        <w:t xml:space="preserve">. </w:t>
      </w:r>
      <w:r w:rsidR="00846504">
        <w:rPr>
          <w:rFonts w:ascii="Avenir Next" w:hAnsi="Avenir Next" w:cs="Arial"/>
          <w:color w:val="808080" w:themeColor="background1" w:themeShade="80"/>
          <w:sz w:val="22"/>
          <w:szCs w:val="22"/>
        </w:rPr>
        <w:t>P</w:t>
      </w:r>
      <w:r w:rsidR="007E7CF9">
        <w:rPr>
          <w:rFonts w:ascii="Avenir Next" w:hAnsi="Avenir Next" w:cs="Arial"/>
          <w:color w:val="808080" w:themeColor="background1" w:themeShade="80"/>
          <w:sz w:val="22"/>
          <w:szCs w:val="22"/>
        </w:rPr>
        <w:t>ursuant to section 174A, specific pre-Moratorium or Moratorium debts that have not been paid, and thus debts not in the context of a ‘payment holiday’</w:t>
      </w:r>
      <w:r w:rsidR="00530256">
        <w:rPr>
          <w:rFonts w:ascii="Avenir Next" w:hAnsi="Avenir Next" w:cs="Arial"/>
          <w:color w:val="808080" w:themeColor="background1" w:themeShade="80"/>
          <w:sz w:val="22"/>
          <w:szCs w:val="22"/>
        </w:rPr>
        <w:t xml:space="preserve"> and unsecured in their nature</w:t>
      </w:r>
      <w:r w:rsidR="007E7CF9">
        <w:rPr>
          <w:rFonts w:ascii="Avenir Next" w:hAnsi="Avenir Next" w:cs="Arial"/>
          <w:color w:val="808080" w:themeColor="background1" w:themeShade="80"/>
          <w:sz w:val="22"/>
          <w:szCs w:val="22"/>
        </w:rPr>
        <w:t>, should be paid in priority</w:t>
      </w:r>
      <w:r w:rsidR="00E80ABF">
        <w:rPr>
          <w:rFonts w:ascii="Avenir Next" w:hAnsi="Avenir Next" w:cs="Arial"/>
          <w:color w:val="808080" w:themeColor="background1" w:themeShade="80"/>
          <w:sz w:val="22"/>
          <w:szCs w:val="22"/>
        </w:rPr>
        <w:t>. This situation is</w:t>
      </w:r>
      <w:r w:rsidR="007E7CF9">
        <w:rPr>
          <w:rFonts w:ascii="Avenir Next" w:hAnsi="Avenir Next" w:cs="Arial"/>
          <w:color w:val="808080" w:themeColor="background1" w:themeShade="80"/>
          <w:sz w:val="22"/>
          <w:szCs w:val="22"/>
        </w:rPr>
        <w:t xml:space="preserve"> otherwise called ‘super priority’, </w:t>
      </w:r>
      <w:r w:rsidR="00A6758C">
        <w:rPr>
          <w:rFonts w:ascii="Avenir Next" w:hAnsi="Avenir Next" w:cs="Arial"/>
          <w:color w:val="808080" w:themeColor="background1" w:themeShade="80"/>
          <w:sz w:val="22"/>
          <w:szCs w:val="22"/>
        </w:rPr>
        <w:t xml:space="preserve">as these amounts would be paid even prior to </w:t>
      </w:r>
      <w:r w:rsidR="00E80ABF">
        <w:rPr>
          <w:rFonts w:ascii="Avenir Next" w:hAnsi="Avenir Next" w:cs="Arial"/>
          <w:color w:val="808080" w:themeColor="background1" w:themeShade="80"/>
          <w:sz w:val="22"/>
          <w:szCs w:val="22"/>
        </w:rPr>
        <w:t xml:space="preserve">the </w:t>
      </w:r>
      <w:r w:rsidR="00A6758C">
        <w:rPr>
          <w:rFonts w:ascii="Avenir Next" w:hAnsi="Avenir Next" w:cs="Arial"/>
          <w:color w:val="808080" w:themeColor="background1" w:themeShade="80"/>
          <w:sz w:val="22"/>
          <w:szCs w:val="22"/>
        </w:rPr>
        <w:t xml:space="preserve">expenses and fees of the liquidator. </w:t>
      </w:r>
      <w:r w:rsidR="00530256">
        <w:rPr>
          <w:rFonts w:ascii="Avenir Next" w:hAnsi="Avenir Next" w:cs="Arial"/>
          <w:color w:val="808080" w:themeColor="background1" w:themeShade="80"/>
          <w:sz w:val="22"/>
          <w:szCs w:val="22"/>
        </w:rPr>
        <w:t xml:space="preserve">These </w:t>
      </w:r>
      <w:r w:rsidR="001A504D">
        <w:rPr>
          <w:rFonts w:ascii="Avenir Next" w:hAnsi="Avenir Next" w:cs="Arial"/>
          <w:color w:val="808080" w:themeColor="background1" w:themeShade="80"/>
          <w:sz w:val="22"/>
          <w:szCs w:val="22"/>
        </w:rPr>
        <w:t>specific</w:t>
      </w:r>
      <w:r w:rsidR="00530256">
        <w:rPr>
          <w:rFonts w:ascii="Avenir Next" w:hAnsi="Avenir Next" w:cs="Arial"/>
          <w:color w:val="808080" w:themeColor="background1" w:themeShade="80"/>
          <w:sz w:val="22"/>
          <w:szCs w:val="22"/>
        </w:rPr>
        <w:t xml:space="preserve"> debts include financial services debts or debts due to employees.</w:t>
      </w:r>
    </w:p>
    <w:p w14:paraId="23E72C38" w14:textId="77777777" w:rsidR="00F316CC" w:rsidRDefault="00F316CC" w:rsidP="00EA3B38">
      <w:pPr>
        <w:jc w:val="both"/>
        <w:rPr>
          <w:rFonts w:ascii="Avenir Next" w:hAnsi="Avenir Next" w:cs="Arial"/>
          <w:color w:val="808080" w:themeColor="background1" w:themeShade="80"/>
          <w:sz w:val="22"/>
          <w:szCs w:val="22"/>
        </w:rPr>
      </w:pPr>
    </w:p>
    <w:p w14:paraId="0FF15CB5" w14:textId="4DB0341F" w:rsidR="001E0744" w:rsidRDefault="00F316CC" w:rsidP="001E074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Practically, amounts due to a director </w:t>
      </w:r>
      <w:r w:rsidR="00407339">
        <w:rPr>
          <w:rFonts w:ascii="Avenir Next" w:hAnsi="Avenir Next" w:cs="Arial"/>
          <w:color w:val="808080" w:themeColor="background1" w:themeShade="80"/>
          <w:sz w:val="22"/>
          <w:szCs w:val="22"/>
        </w:rPr>
        <w:t>who has not been paid before the Moratorium for months will be deemed as super priority in the subsequent liquidation</w:t>
      </w:r>
      <w:r w:rsidR="00B95A16">
        <w:rPr>
          <w:rFonts w:ascii="Avenir Next" w:hAnsi="Avenir Next" w:cs="Arial"/>
          <w:color w:val="808080" w:themeColor="background1" w:themeShade="80"/>
          <w:sz w:val="22"/>
          <w:szCs w:val="22"/>
        </w:rPr>
        <w:t xml:space="preserve">. In addition, a secured or unsecured pre-Moratorium bank debt in the context of the definition of financial services will also be considered a super priority. There is an exception </w:t>
      </w:r>
      <w:r w:rsidR="001E0744">
        <w:rPr>
          <w:rFonts w:ascii="Avenir Next" w:hAnsi="Avenir Next" w:cs="Arial"/>
          <w:color w:val="808080" w:themeColor="background1" w:themeShade="80"/>
          <w:sz w:val="22"/>
          <w:szCs w:val="22"/>
        </w:rPr>
        <w:t xml:space="preserve">in that context </w:t>
      </w:r>
      <w:r w:rsidR="001A504D">
        <w:rPr>
          <w:rFonts w:ascii="Avenir Next" w:hAnsi="Avenir Next" w:cs="Arial"/>
          <w:color w:val="808080" w:themeColor="background1" w:themeShade="80"/>
          <w:sz w:val="22"/>
          <w:szCs w:val="22"/>
        </w:rPr>
        <w:t>in respect of</w:t>
      </w:r>
      <w:r w:rsidR="001E0744">
        <w:rPr>
          <w:rFonts w:ascii="Avenir Next" w:hAnsi="Avenir Next" w:cs="Arial"/>
          <w:color w:val="808080" w:themeColor="background1" w:themeShade="80"/>
          <w:sz w:val="22"/>
          <w:szCs w:val="22"/>
        </w:rPr>
        <w:t xml:space="preserve"> </w:t>
      </w:r>
      <w:r w:rsidR="001E0744" w:rsidRPr="001E0744">
        <w:rPr>
          <w:rFonts w:ascii="Avenir Next" w:hAnsi="Avenir Next" w:cs="Arial"/>
          <w:color w:val="808080" w:themeColor="background1" w:themeShade="80"/>
          <w:sz w:val="22"/>
          <w:szCs w:val="22"/>
        </w:rPr>
        <w:t xml:space="preserve">any </w:t>
      </w:r>
      <w:r w:rsidR="001E0744">
        <w:rPr>
          <w:rFonts w:ascii="Avenir Next" w:hAnsi="Avenir Next" w:cs="Arial"/>
          <w:color w:val="808080" w:themeColor="background1" w:themeShade="80"/>
          <w:sz w:val="22"/>
          <w:szCs w:val="22"/>
        </w:rPr>
        <w:t>pre-Moratorium</w:t>
      </w:r>
      <w:r w:rsidR="001E0744" w:rsidRPr="001E0744">
        <w:rPr>
          <w:rFonts w:ascii="Avenir Next" w:hAnsi="Avenir Next" w:cs="Arial"/>
          <w:color w:val="808080" w:themeColor="background1" w:themeShade="80"/>
          <w:sz w:val="22"/>
          <w:szCs w:val="22"/>
        </w:rPr>
        <w:t xml:space="preserve"> financial services debt</w:t>
      </w:r>
      <w:r w:rsidR="001E0744">
        <w:rPr>
          <w:rFonts w:ascii="Avenir Next" w:hAnsi="Avenir Next" w:cs="Arial"/>
          <w:color w:val="808080" w:themeColor="background1" w:themeShade="80"/>
          <w:sz w:val="22"/>
          <w:szCs w:val="22"/>
        </w:rPr>
        <w:t xml:space="preserve"> </w:t>
      </w:r>
      <w:r w:rsidR="001E0744" w:rsidRPr="001E0744">
        <w:rPr>
          <w:rFonts w:ascii="Avenir Next" w:hAnsi="Avenir Next" w:cs="Arial"/>
          <w:color w:val="808080" w:themeColor="background1" w:themeShade="80"/>
          <w:sz w:val="22"/>
          <w:szCs w:val="22"/>
        </w:rPr>
        <w:t xml:space="preserve">that has become due as a result of the application or exercise of rights under an acceleration or early termination clause </w:t>
      </w:r>
      <w:r w:rsidR="001A504D">
        <w:rPr>
          <w:rFonts w:ascii="Avenir Next" w:hAnsi="Avenir Next" w:cs="Arial"/>
          <w:color w:val="808080" w:themeColor="background1" w:themeShade="80"/>
          <w:sz w:val="22"/>
          <w:szCs w:val="22"/>
        </w:rPr>
        <w:t>pursuant to</w:t>
      </w:r>
      <w:r w:rsidR="001E0744" w:rsidRPr="001E0744">
        <w:rPr>
          <w:rFonts w:ascii="Avenir Next" w:hAnsi="Avenir Next" w:cs="Arial"/>
          <w:color w:val="808080" w:themeColor="background1" w:themeShade="80"/>
          <w:sz w:val="22"/>
          <w:szCs w:val="22"/>
        </w:rPr>
        <w:t xml:space="preserve"> the financial services contract</w:t>
      </w:r>
      <w:r w:rsidR="00CA101E">
        <w:rPr>
          <w:rFonts w:ascii="Avenir Next" w:hAnsi="Avenir Next" w:cs="Arial"/>
          <w:color w:val="808080" w:themeColor="background1" w:themeShade="80"/>
          <w:sz w:val="22"/>
          <w:szCs w:val="22"/>
        </w:rPr>
        <w:t>.</w:t>
      </w:r>
    </w:p>
    <w:p w14:paraId="3D2C9682" w14:textId="77777777" w:rsidR="001E0744" w:rsidRPr="00B84055" w:rsidRDefault="001E0744"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w:t>
      </w:r>
      <w:bookmarkStart w:id="1" w:name="_Hlk136718132"/>
      <w:r w:rsidRPr="006925C1">
        <w:rPr>
          <w:rFonts w:ascii="Avenir Next" w:hAnsi="Avenir Next" w:cs="Arial"/>
          <w:sz w:val="22"/>
          <w:szCs w:val="22"/>
        </w:rPr>
        <w:t xml:space="preserve">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uffer cash flow problems</w:t>
      </w:r>
      <w:bookmarkEnd w:id="1"/>
      <w:r w:rsidR="00314F32" w:rsidRPr="006925C1">
        <w:rPr>
          <w:rFonts w:ascii="Avenir Next" w:hAnsi="Avenir Next" w:cs="Arial"/>
          <w:sz w:val="22"/>
          <w:szCs w:val="22"/>
        </w:rPr>
        <w:t xml:space="preserve">,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64E4E3F8" w14:textId="007BF24C" w:rsidR="00F64447" w:rsidRPr="003D7D8B" w:rsidRDefault="00FE5CE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accordance with the facts of the case, Marble</w:t>
      </w:r>
      <w:r w:rsidR="00897350">
        <w:rPr>
          <w:rFonts w:ascii="Avenir Next" w:hAnsi="Avenir Next" w:cs="Arial"/>
          <w:color w:val="808080" w:themeColor="background1" w:themeShade="80"/>
          <w:sz w:val="22"/>
          <w:szCs w:val="22"/>
        </w:rPr>
        <w:t>y</w:t>
      </w:r>
      <w:r>
        <w:rPr>
          <w:rFonts w:ascii="Avenir Next" w:hAnsi="Avenir Next" w:cs="Arial"/>
          <w:color w:val="808080" w:themeColor="background1" w:themeShade="80"/>
          <w:sz w:val="22"/>
          <w:szCs w:val="22"/>
        </w:rPr>
        <w:t xml:space="preserve"> Q Limited (hereinafter ‘the Company’) granted a debenture containing a floating charge over </w:t>
      </w:r>
      <w:r w:rsidR="00D064E6">
        <w:rPr>
          <w:rFonts w:ascii="Avenir Next" w:hAnsi="Avenir Next" w:cs="Arial"/>
          <w:color w:val="808080" w:themeColor="background1" w:themeShade="80"/>
          <w:sz w:val="22"/>
          <w:szCs w:val="22"/>
        </w:rPr>
        <w:t xml:space="preserve">the undertaking of the Company in its entirety </w:t>
      </w:r>
      <w:r>
        <w:rPr>
          <w:rFonts w:ascii="Avenir Next" w:hAnsi="Avenir Next" w:cs="Arial"/>
          <w:color w:val="808080" w:themeColor="background1" w:themeShade="80"/>
          <w:sz w:val="22"/>
          <w:szCs w:val="22"/>
        </w:rPr>
        <w:t>in favo</w:t>
      </w:r>
      <w:r w:rsidR="001D0644">
        <w:rPr>
          <w:rFonts w:ascii="Avenir Next" w:hAnsi="Avenir Next" w:cs="Arial"/>
          <w:color w:val="808080" w:themeColor="background1" w:themeShade="80"/>
          <w:sz w:val="22"/>
          <w:szCs w:val="22"/>
        </w:rPr>
        <w:t>u</w:t>
      </w:r>
      <w:r>
        <w:rPr>
          <w:rFonts w:ascii="Avenir Next" w:hAnsi="Avenir Next" w:cs="Arial"/>
          <w:color w:val="808080" w:themeColor="background1" w:themeShade="80"/>
          <w:sz w:val="22"/>
          <w:szCs w:val="22"/>
        </w:rPr>
        <w:t xml:space="preserve">r of Fretus Bank plc. </w:t>
      </w:r>
      <w:r w:rsidR="00172A81">
        <w:rPr>
          <w:rFonts w:ascii="Avenir Next" w:hAnsi="Avenir Next" w:cs="Arial"/>
          <w:color w:val="808080" w:themeColor="background1" w:themeShade="80"/>
          <w:sz w:val="22"/>
          <w:szCs w:val="22"/>
        </w:rPr>
        <w:t xml:space="preserve">This action </w:t>
      </w:r>
      <w:r w:rsidR="008C44A9">
        <w:rPr>
          <w:rFonts w:ascii="Avenir Next" w:hAnsi="Avenir Next" w:cs="Arial"/>
          <w:color w:val="808080" w:themeColor="background1" w:themeShade="80"/>
          <w:sz w:val="22"/>
          <w:szCs w:val="22"/>
        </w:rPr>
        <w:t>occurred</w:t>
      </w:r>
      <w:r w:rsidR="00172A81">
        <w:rPr>
          <w:rFonts w:ascii="Avenir Next" w:hAnsi="Avenir Next" w:cs="Arial"/>
          <w:color w:val="808080" w:themeColor="background1" w:themeShade="80"/>
          <w:sz w:val="22"/>
          <w:szCs w:val="22"/>
        </w:rPr>
        <w:t xml:space="preserve"> in February 202</w:t>
      </w:r>
      <w:r w:rsidR="005B429C">
        <w:rPr>
          <w:rFonts w:ascii="Avenir Next" w:hAnsi="Avenir Next" w:cs="Arial"/>
          <w:color w:val="808080" w:themeColor="background1" w:themeShade="80"/>
          <w:sz w:val="22"/>
          <w:szCs w:val="22"/>
        </w:rPr>
        <w:t>2</w:t>
      </w:r>
      <w:r w:rsidR="00B738D2">
        <w:rPr>
          <w:rFonts w:ascii="Avenir Next" w:hAnsi="Avenir Next" w:cs="Arial"/>
          <w:color w:val="808080" w:themeColor="background1" w:themeShade="80"/>
          <w:sz w:val="22"/>
          <w:szCs w:val="22"/>
        </w:rPr>
        <w:t xml:space="preserve">. </w:t>
      </w:r>
      <w:r w:rsidR="00D166FB">
        <w:rPr>
          <w:rFonts w:ascii="Avenir Next" w:hAnsi="Avenir Next" w:cs="Arial"/>
          <w:color w:val="808080" w:themeColor="background1" w:themeShade="80"/>
          <w:sz w:val="22"/>
          <w:szCs w:val="22"/>
        </w:rPr>
        <w:t>In October 2022, a winding up petition on behalf of a creditor</w:t>
      </w:r>
      <w:r w:rsidR="008C44A9">
        <w:rPr>
          <w:rFonts w:ascii="Avenir Next" w:hAnsi="Avenir Next" w:cs="Arial"/>
          <w:color w:val="808080" w:themeColor="background1" w:themeShade="80"/>
          <w:sz w:val="22"/>
          <w:szCs w:val="22"/>
        </w:rPr>
        <w:t xml:space="preserve"> </w:t>
      </w:r>
      <w:r w:rsidR="00D166FB">
        <w:rPr>
          <w:rFonts w:ascii="Avenir Next" w:hAnsi="Avenir Next" w:cs="Arial"/>
          <w:color w:val="808080" w:themeColor="background1" w:themeShade="80"/>
          <w:sz w:val="22"/>
          <w:szCs w:val="22"/>
        </w:rPr>
        <w:t xml:space="preserve">was </w:t>
      </w:r>
      <w:r w:rsidR="00C0359E">
        <w:rPr>
          <w:rFonts w:ascii="Avenir Next" w:hAnsi="Avenir Next" w:cs="Arial"/>
          <w:color w:val="808080" w:themeColor="background1" w:themeShade="80"/>
          <w:sz w:val="22"/>
          <w:szCs w:val="22"/>
        </w:rPr>
        <w:t>presented</w:t>
      </w:r>
      <w:r w:rsidR="00D166FB">
        <w:rPr>
          <w:rFonts w:ascii="Avenir Next" w:hAnsi="Avenir Next" w:cs="Arial"/>
          <w:color w:val="808080" w:themeColor="background1" w:themeShade="80"/>
          <w:sz w:val="22"/>
          <w:szCs w:val="22"/>
        </w:rPr>
        <w:t xml:space="preserve"> and in December 2022 the Company entered compulsory liquidation </w:t>
      </w:r>
      <w:r w:rsidR="00581C56">
        <w:rPr>
          <w:rFonts w:ascii="Avenir Next" w:hAnsi="Avenir Next" w:cs="Arial"/>
          <w:color w:val="808080" w:themeColor="background1" w:themeShade="80"/>
          <w:sz w:val="22"/>
          <w:szCs w:val="22"/>
        </w:rPr>
        <w:t>(compulsory</w:t>
      </w:r>
      <w:r w:rsidR="00D166FB">
        <w:rPr>
          <w:rFonts w:ascii="Avenir Next" w:hAnsi="Avenir Next" w:cs="Arial"/>
          <w:color w:val="808080" w:themeColor="background1" w:themeShade="80"/>
          <w:sz w:val="22"/>
          <w:szCs w:val="22"/>
        </w:rPr>
        <w:t xml:space="preserve"> winding up</w:t>
      </w:r>
      <w:r w:rsidR="00581C56">
        <w:rPr>
          <w:rFonts w:ascii="Avenir Next" w:hAnsi="Avenir Next" w:cs="Arial"/>
          <w:color w:val="808080" w:themeColor="background1" w:themeShade="80"/>
          <w:sz w:val="22"/>
          <w:szCs w:val="22"/>
        </w:rPr>
        <w:t>)</w:t>
      </w:r>
      <w:r w:rsidR="003D7D8B" w:rsidRPr="003D7D8B">
        <w:rPr>
          <w:rFonts w:ascii="Avenir Next" w:hAnsi="Avenir Next" w:cs="Arial"/>
          <w:color w:val="808080" w:themeColor="background1" w:themeShade="80"/>
          <w:sz w:val="22"/>
          <w:szCs w:val="22"/>
        </w:rPr>
        <w:t>.</w:t>
      </w:r>
    </w:p>
    <w:p w14:paraId="7AF81F06" w14:textId="77777777" w:rsidR="00F64447" w:rsidRDefault="00F64447" w:rsidP="00EA3B38">
      <w:pPr>
        <w:jc w:val="both"/>
        <w:rPr>
          <w:rFonts w:ascii="Avenir Next" w:hAnsi="Avenir Next" w:cs="Arial"/>
          <w:color w:val="808080" w:themeColor="background1" w:themeShade="80"/>
          <w:sz w:val="22"/>
          <w:szCs w:val="22"/>
        </w:rPr>
      </w:pPr>
    </w:p>
    <w:p w14:paraId="5237771F" w14:textId="03FFB6A2" w:rsidR="00EA3B38" w:rsidRDefault="0082202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procedures of a compulsory winding up are regulated by Part IV of the Insolvency Act of 1986 (</w:t>
      </w:r>
      <w:r w:rsidRPr="00C0359E">
        <w:rPr>
          <w:rFonts w:ascii="Avenir Next" w:hAnsi="Avenir Next" w:cs="Arial"/>
          <w:i/>
          <w:iCs/>
          <w:color w:val="808080" w:themeColor="background1" w:themeShade="80"/>
          <w:sz w:val="22"/>
          <w:szCs w:val="22"/>
        </w:rPr>
        <w:t>Winding Up of Companies Registered under the Companies Acts</w:t>
      </w:r>
      <w:r>
        <w:rPr>
          <w:rFonts w:ascii="Avenir Next" w:hAnsi="Avenir Next" w:cs="Arial"/>
          <w:color w:val="808080" w:themeColor="background1" w:themeShade="80"/>
          <w:sz w:val="22"/>
          <w:szCs w:val="22"/>
        </w:rPr>
        <w:t xml:space="preserve">). </w:t>
      </w:r>
      <w:r w:rsidR="00936199">
        <w:rPr>
          <w:rFonts w:ascii="Avenir Next" w:hAnsi="Avenir Next" w:cs="Arial"/>
          <w:color w:val="808080" w:themeColor="background1" w:themeShade="80"/>
          <w:sz w:val="22"/>
          <w:szCs w:val="22"/>
        </w:rPr>
        <w:t xml:space="preserve">Pursuant to section 124 of the Act, a petition may be presented, inter alia, by </w:t>
      </w:r>
      <w:r w:rsidR="000948C2">
        <w:rPr>
          <w:rFonts w:ascii="Avenir Next" w:hAnsi="Avenir Next" w:cs="Arial"/>
          <w:color w:val="808080" w:themeColor="background1" w:themeShade="80"/>
          <w:sz w:val="22"/>
          <w:szCs w:val="22"/>
        </w:rPr>
        <w:t>a creditor</w:t>
      </w:r>
      <w:r w:rsidR="00287771">
        <w:rPr>
          <w:rFonts w:ascii="Avenir Next" w:hAnsi="Avenir Next" w:cs="Arial"/>
          <w:color w:val="808080" w:themeColor="background1" w:themeShade="80"/>
          <w:sz w:val="22"/>
          <w:szCs w:val="22"/>
        </w:rPr>
        <w:t>.</w:t>
      </w:r>
    </w:p>
    <w:p w14:paraId="2977FAD5" w14:textId="77777777" w:rsidR="00287771" w:rsidRDefault="00287771" w:rsidP="00EA3B38">
      <w:pPr>
        <w:jc w:val="both"/>
        <w:rPr>
          <w:rFonts w:ascii="Avenir Next" w:hAnsi="Avenir Next" w:cs="Arial"/>
          <w:color w:val="808080" w:themeColor="background1" w:themeShade="80"/>
          <w:sz w:val="22"/>
          <w:szCs w:val="22"/>
        </w:rPr>
      </w:pPr>
    </w:p>
    <w:p w14:paraId="2AAE6836" w14:textId="60763A28" w:rsidR="00A0361E" w:rsidRDefault="00EC27C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floating charge </w:t>
      </w:r>
      <w:r w:rsidR="00D064E6">
        <w:rPr>
          <w:rFonts w:ascii="Avenir Next" w:hAnsi="Avenir Next" w:cs="Arial"/>
          <w:color w:val="808080" w:themeColor="background1" w:themeShade="80"/>
          <w:sz w:val="22"/>
          <w:szCs w:val="22"/>
        </w:rPr>
        <w:t>concerns</w:t>
      </w:r>
      <w:r>
        <w:rPr>
          <w:rFonts w:ascii="Avenir Next" w:hAnsi="Avenir Next" w:cs="Arial"/>
          <w:color w:val="808080" w:themeColor="background1" w:themeShade="80"/>
          <w:sz w:val="22"/>
          <w:szCs w:val="22"/>
        </w:rPr>
        <w:t xml:space="preserve"> the entirety of the company’s present and future property and comprises the right to carry on the business activity</w:t>
      </w:r>
      <w:r w:rsidR="00077695" w:rsidRPr="00077695">
        <w:rPr>
          <w:rFonts w:ascii="Avenir Next" w:hAnsi="Avenir Next" w:cs="Arial"/>
          <w:color w:val="808080" w:themeColor="background1" w:themeShade="80"/>
          <w:sz w:val="22"/>
          <w:szCs w:val="22"/>
        </w:rPr>
        <w:t>.</w:t>
      </w:r>
      <w:r w:rsidR="003D7145">
        <w:rPr>
          <w:rFonts w:ascii="Avenir Next" w:hAnsi="Avenir Next" w:cs="Arial"/>
          <w:color w:val="808080" w:themeColor="background1" w:themeShade="80"/>
          <w:sz w:val="22"/>
          <w:szCs w:val="22"/>
        </w:rPr>
        <w:t xml:space="preserve"> </w:t>
      </w:r>
      <w:r w:rsidR="00287771">
        <w:rPr>
          <w:rFonts w:ascii="Avenir Next" w:hAnsi="Avenir Next" w:cs="Arial"/>
          <w:color w:val="808080" w:themeColor="background1" w:themeShade="80"/>
          <w:sz w:val="22"/>
          <w:szCs w:val="22"/>
        </w:rPr>
        <w:t>It is worth mentioning that in case the holder (</w:t>
      </w:r>
      <w:r w:rsidR="00C0359E">
        <w:rPr>
          <w:rFonts w:ascii="Avenir Next" w:hAnsi="Avenir Next" w:cs="Arial"/>
          <w:color w:val="808080" w:themeColor="background1" w:themeShade="80"/>
          <w:sz w:val="22"/>
          <w:szCs w:val="22"/>
        </w:rPr>
        <w:t xml:space="preserve">in our case, </w:t>
      </w:r>
      <w:r w:rsidR="00287771">
        <w:rPr>
          <w:rFonts w:ascii="Avenir Next" w:hAnsi="Avenir Next" w:cs="Arial"/>
          <w:color w:val="808080" w:themeColor="background1" w:themeShade="80"/>
          <w:sz w:val="22"/>
          <w:szCs w:val="22"/>
        </w:rPr>
        <w:t>Fretus Bank plc) would be holding a qualifying floating charge</w:t>
      </w:r>
      <w:r w:rsidR="00C0359E">
        <w:rPr>
          <w:rFonts w:ascii="Avenir Next" w:hAnsi="Avenir Next" w:cs="Arial"/>
          <w:color w:val="808080" w:themeColor="background1" w:themeShade="80"/>
          <w:sz w:val="22"/>
          <w:szCs w:val="22"/>
        </w:rPr>
        <w:t>,</w:t>
      </w:r>
      <w:r w:rsidR="00287771">
        <w:rPr>
          <w:rFonts w:ascii="Avenir Next" w:hAnsi="Avenir Next" w:cs="Arial"/>
          <w:color w:val="808080" w:themeColor="background1" w:themeShade="80"/>
          <w:sz w:val="22"/>
          <w:szCs w:val="22"/>
        </w:rPr>
        <w:t xml:space="preserve"> then that holder would have</w:t>
      </w:r>
      <w:r w:rsidR="00CA39A2" w:rsidRPr="00CA39A2">
        <w:rPr>
          <w:rFonts w:ascii="Avenir Next" w:hAnsi="Avenir Next" w:cs="Arial"/>
          <w:color w:val="808080" w:themeColor="background1" w:themeShade="80"/>
          <w:sz w:val="22"/>
          <w:szCs w:val="22"/>
        </w:rPr>
        <w:t>,</w:t>
      </w:r>
      <w:r w:rsidR="00287771">
        <w:rPr>
          <w:rFonts w:ascii="Avenir Next" w:hAnsi="Avenir Next" w:cs="Arial"/>
          <w:color w:val="808080" w:themeColor="background1" w:themeShade="80"/>
          <w:sz w:val="22"/>
          <w:szCs w:val="22"/>
        </w:rPr>
        <w:t xml:space="preserve"> upon the insolvency of the debtor</w:t>
      </w:r>
      <w:r w:rsidR="00CA39A2" w:rsidRPr="00CA39A2">
        <w:rPr>
          <w:rFonts w:ascii="Avenir Next" w:hAnsi="Avenir Next" w:cs="Arial"/>
          <w:color w:val="808080" w:themeColor="background1" w:themeShade="80"/>
          <w:sz w:val="22"/>
          <w:szCs w:val="22"/>
        </w:rPr>
        <w:t>,</w:t>
      </w:r>
      <w:r w:rsidR="00287771">
        <w:rPr>
          <w:rFonts w:ascii="Avenir Next" w:hAnsi="Avenir Next" w:cs="Arial"/>
          <w:color w:val="808080" w:themeColor="background1" w:themeShade="80"/>
          <w:sz w:val="22"/>
          <w:szCs w:val="22"/>
        </w:rPr>
        <w:t xml:space="preserve"> </w:t>
      </w:r>
      <w:r w:rsidR="00C0359E">
        <w:rPr>
          <w:rFonts w:ascii="Avenir Next" w:hAnsi="Avenir Next" w:cs="Arial"/>
          <w:color w:val="808080" w:themeColor="background1" w:themeShade="80"/>
          <w:sz w:val="22"/>
          <w:szCs w:val="22"/>
        </w:rPr>
        <w:t xml:space="preserve">the right </w:t>
      </w:r>
      <w:r w:rsidR="00287771">
        <w:rPr>
          <w:rFonts w:ascii="Avenir Next" w:hAnsi="Avenir Next" w:cs="Arial"/>
          <w:color w:val="808080" w:themeColor="background1" w:themeShade="80"/>
          <w:sz w:val="22"/>
          <w:szCs w:val="22"/>
        </w:rPr>
        <w:t>to appoint an administrator that would take control of and realize the charged assets to satisfy the secured credito</w:t>
      </w:r>
      <w:r w:rsidR="009C4826">
        <w:rPr>
          <w:rFonts w:ascii="Avenir Next" w:hAnsi="Avenir Next" w:cs="Arial"/>
          <w:color w:val="808080" w:themeColor="background1" w:themeShade="80"/>
          <w:sz w:val="22"/>
          <w:szCs w:val="22"/>
        </w:rPr>
        <w:t>r</w:t>
      </w:r>
      <w:r w:rsidR="00F610E4">
        <w:rPr>
          <w:rFonts w:ascii="Avenir Next" w:hAnsi="Avenir Next" w:cs="Arial"/>
          <w:color w:val="808080" w:themeColor="background1" w:themeShade="80"/>
          <w:sz w:val="22"/>
          <w:szCs w:val="22"/>
        </w:rPr>
        <w:t xml:space="preserve"> (</w:t>
      </w:r>
      <w:r w:rsidR="00C0359E">
        <w:rPr>
          <w:rFonts w:ascii="Avenir Next" w:hAnsi="Avenir Next" w:cs="Arial"/>
          <w:i/>
          <w:iCs/>
          <w:color w:val="808080" w:themeColor="background1" w:themeShade="80"/>
          <w:sz w:val="22"/>
          <w:szCs w:val="22"/>
        </w:rPr>
        <w:t>see</w:t>
      </w:r>
      <w:r w:rsidR="00F610E4">
        <w:rPr>
          <w:rFonts w:ascii="Avenir Next" w:hAnsi="Avenir Next" w:cs="Arial"/>
          <w:color w:val="808080" w:themeColor="background1" w:themeShade="80"/>
          <w:sz w:val="22"/>
          <w:szCs w:val="22"/>
        </w:rPr>
        <w:t xml:space="preserve"> also section 176A that enables debenture holders to appoint, out-of</w:t>
      </w:r>
      <w:r w:rsidR="00182574">
        <w:rPr>
          <w:rFonts w:ascii="Avenir Next" w:hAnsi="Avenir Next" w:cs="Arial"/>
          <w:color w:val="808080" w:themeColor="background1" w:themeShade="80"/>
          <w:sz w:val="22"/>
          <w:szCs w:val="22"/>
        </w:rPr>
        <w:t>-</w:t>
      </w:r>
      <w:r w:rsidR="00F610E4">
        <w:rPr>
          <w:rFonts w:ascii="Avenir Next" w:hAnsi="Avenir Next" w:cs="Arial"/>
          <w:color w:val="808080" w:themeColor="background1" w:themeShade="80"/>
          <w:sz w:val="22"/>
          <w:szCs w:val="22"/>
        </w:rPr>
        <w:t xml:space="preserve">court or </w:t>
      </w:r>
      <w:r w:rsidR="00C0359E">
        <w:rPr>
          <w:rFonts w:ascii="Avenir Next" w:hAnsi="Avenir Next" w:cs="Arial"/>
          <w:color w:val="808080" w:themeColor="background1" w:themeShade="80"/>
          <w:sz w:val="22"/>
          <w:szCs w:val="22"/>
        </w:rPr>
        <w:t>through</w:t>
      </w:r>
      <w:r w:rsidR="00F610E4">
        <w:rPr>
          <w:rFonts w:ascii="Avenir Next" w:hAnsi="Avenir Next" w:cs="Arial"/>
          <w:color w:val="808080" w:themeColor="background1" w:themeShade="80"/>
          <w:sz w:val="22"/>
          <w:szCs w:val="22"/>
        </w:rPr>
        <w:t xml:space="preserve"> the court, an administrator; this particularity applies to a company in liquidation and in case the floating charge has been created on or after September 15, 2003)</w:t>
      </w:r>
      <w:r w:rsidR="009C4826">
        <w:rPr>
          <w:rFonts w:ascii="Avenir Next" w:hAnsi="Avenir Next" w:cs="Arial"/>
          <w:color w:val="808080" w:themeColor="background1" w:themeShade="80"/>
          <w:sz w:val="22"/>
          <w:szCs w:val="22"/>
        </w:rPr>
        <w:t>.</w:t>
      </w:r>
      <w:r w:rsidR="00EA1E8B">
        <w:rPr>
          <w:rFonts w:ascii="Avenir Next" w:hAnsi="Avenir Next" w:cs="Arial"/>
          <w:color w:val="808080" w:themeColor="background1" w:themeShade="80"/>
          <w:sz w:val="22"/>
          <w:szCs w:val="22"/>
        </w:rPr>
        <w:t xml:space="preserve"> We assume for the present purposes that this is not the case.</w:t>
      </w:r>
    </w:p>
    <w:p w14:paraId="18F6F745" w14:textId="77777777" w:rsidR="00EB58F0" w:rsidRDefault="00EB58F0" w:rsidP="00EA3B38">
      <w:pPr>
        <w:jc w:val="both"/>
        <w:rPr>
          <w:rFonts w:ascii="Avenir Next" w:hAnsi="Avenir Next" w:cs="Arial"/>
          <w:color w:val="808080" w:themeColor="background1" w:themeShade="80"/>
          <w:sz w:val="22"/>
          <w:szCs w:val="22"/>
        </w:rPr>
      </w:pPr>
    </w:p>
    <w:p w14:paraId="1952A83A" w14:textId="6FFCC4D4" w:rsidR="00EB58F0" w:rsidRDefault="00EA1E8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these circumstances, </w:t>
      </w:r>
      <w:r w:rsidR="00963083">
        <w:rPr>
          <w:rFonts w:ascii="Avenir Next" w:hAnsi="Avenir Next" w:cs="Arial"/>
          <w:color w:val="808080" w:themeColor="background1" w:themeShade="80"/>
          <w:sz w:val="22"/>
          <w:szCs w:val="22"/>
        </w:rPr>
        <w:t xml:space="preserve">the liquidator in the </w:t>
      </w:r>
      <w:r w:rsidR="00C0359E">
        <w:rPr>
          <w:rFonts w:ascii="Avenir Next" w:hAnsi="Avenir Next" w:cs="Arial"/>
          <w:color w:val="808080" w:themeColor="background1" w:themeShade="80"/>
          <w:sz w:val="22"/>
          <w:szCs w:val="22"/>
        </w:rPr>
        <w:t>case at hand</w:t>
      </w:r>
      <w:r w:rsidR="00963083">
        <w:rPr>
          <w:rFonts w:ascii="Avenir Next" w:hAnsi="Avenir Next" w:cs="Arial"/>
          <w:color w:val="808080" w:themeColor="background1" w:themeShade="80"/>
          <w:sz w:val="22"/>
          <w:szCs w:val="22"/>
        </w:rPr>
        <w:t xml:space="preserve"> could explore the possibility of avoiding the floating charge. </w:t>
      </w:r>
      <w:r w:rsidR="00EF1EEE">
        <w:rPr>
          <w:rFonts w:ascii="Avenir Next" w:hAnsi="Avenir Next" w:cs="Arial"/>
          <w:color w:val="808080" w:themeColor="background1" w:themeShade="80"/>
          <w:sz w:val="22"/>
          <w:szCs w:val="22"/>
        </w:rPr>
        <w:t xml:space="preserve">Indeed, according to section 245 of the Insolvency Act of 1986, where a company is undergoing administration or liquidation proceedings, it is possible to circumvent the </w:t>
      </w:r>
      <w:r w:rsidR="00750D9E">
        <w:rPr>
          <w:rFonts w:ascii="Avenir Next" w:hAnsi="Avenir Next" w:cs="Arial"/>
          <w:color w:val="808080" w:themeColor="background1" w:themeShade="80"/>
          <w:sz w:val="22"/>
          <w:szCs w:val="22"/>
        </w:rPr>
        <w:t>situation of</w:t>
      </w:r>
      <w:r w:rsidR="00EF1EEE">
        <w:rPr>
          <w:rFonts w:ascii="Avenir Next" w:hAnsi="Avenir Next" w:cs="Arial"/>
          <w:color w:val="808080" w:themeColor="background1" w:themeShade="80"/>
          <w:sz w:val="22"/>
          <w:szCs w:val="22"/>
        </w:rPr>
        <w:t xml:space="preserve"> a previously unsecured creditor acquir</w:t>
      </w:r>
      <w:r w:rsidR="00750D9E">
        <w:rPr>
          <w:rFonts w:ascii="Avenir Next" w:hAnsi="Avenir Next" w:cs="Arial"/>
          <w:color w:val="808080" w:themeColor="background1" w:themeShade="80"/>
          <w:sz w:val="22"/>
          <w:szCs w:val="22"/>
        </w:rPr>
        <w:t>ing</w:t>
      </w:r>
      <w:r w:rsidR="00EF1EEE">
        <w:rPr>
          <w:rFonts w:ascii="Avenir Next" w:hAnsi="Avenir Next" w:cs="Arial"/>
          <w:color w:val="808080" w:themeColor="background1" w:themeShade="80"/>
          <w:sz w:val="22"/>
          <w:szCs w:val="22"/>
        </w:rPr>
        <w:t xml:space="preserve"> a floating charge soon before the commencement of a formal </w:t>
      </w:r>
      <w:r w:rsidR="00D26C03">
        <w:rPr>
          <w:rFonts w:ascii="Avenir Next" w:hAnsi="Avenir Next" w:cs="Arial"/>
          <w:color w:val="808080" w:themeColor="background1" w:themeShade="80"/>
          <w:sz w:val="22"/>
          <w:szCs w:val="22"/>
        </w:rPr>
        <w:t xml:space="preserve">insolvency </w:t>
      </w:r>
      <w:r w:rsidR="00EF1EEE">
        <w:rPr>
          <w:rFonts w:ascii="Avenir Next" w:hAnsi="Avenir Next" w:cs="Arial"/>
          <w:color w:val="808080" w:themeColor="background1" w:themeShade="80"/>
          <w:sz w:val="22"/>
          <w:szCs w:val="22"/>
        </w:rPr>
        <w:t>procedure.</w:t>
      </w:r>
      <w:r w:rsidR="006757A9">
        <w:rPr>
          <w:rFonts w:ascii="Avenir Next" w:hAnsi="Avenir Next" w:cs="Arial"/>
          <w:color w:val="808080" w:themeColor="background1" w:themeShade="80"/>
          <w:sz w:val="22"/>
          <w:szCs w:val="22"/>
        </w:rPr>
        <w:t xml:space="preserve"> </w:t>
      </w:r>
      <w:r w:rsidR="006C5430">
        <w:rPr>
          <w:rFonts w:ascii="Avenir Next" w:hAnsi="Avenir Next" w:cs="Arial"/>
          <w:color w:val="808080" w:themeColor="background1" w:themeShade="80"/>
          <w:sz w:val="22"/>
          <w:szCs w:val="22"/>
        </w:rPr>
        <w:t xml:space="preserve">This does not prevent, </w:t>
      </w:r>
      <w:r w:rsidR="0054182F">
        <w:rPr>
          <w:rFonts w:ascii="Avenir Next" w:hAnsi="Avenir Next" w:cs="Arial"/>
          <w:color w:val="808080" w:themeColor="background1" w:themeShade="80"/>
          <w:sz w:val="22"/>
          <w:szCs w:val="22"/>
        </w:rPr>
        <w:t>however</w:t>
      </w:r>
      <w:r w:rsidR="006C5430">
        <w:rPr>
          <w:rFonts w:ascii="Avenir Next" w:hAnsi="Avenir Next" w:cs="Arial"/>
          <w:color w:val="808080" w:themeColor="background1" w:themeShade="80"/>
          <w:sz w:val="22"/>
          <w:szCs w:val="22"/>
        </w:rPr>
        <w:t xml:space="preserve">, the acquisition of a floating charge </w:t>
      </w:r>
      <w:r w:rsidR="00D20AF5">
        <w:rPr>
          <w:rFonts w:ascii="Avenir Next" w:hAnsi="Avenir Next" w:cs="Arial"/>
          <w:color w:val="808080" w:themeColor="background1" w:themeShade="80"/>
          <w:sz w:val="22"/>
          <w:szCs w:val="22"/>
        </w:rPr>
        <w:t>in the context</w:t>
      </w:r>
      <w:r w:rsidR="006C5430">
        <w:rPr>
          <w:rFonts w:ascii="Avenir Next" w:hAnsi="Avenir Next" w:cs="Arial"/>
          <w:color w:val="808080" w:themeColor="background1" w:themeShade="80"/>
          <w:sz w:val="22"/>
          <w:szCs w:val="22"/>
        </w:rPr>
        <w:t xml:space="preserve"> of </w:t>
      </w:r>
      <w:r w:rsidR="0045163E">
        <w:rPr>
          <w:rFonts w:ascii="Avenir Next" w:hAnsi="Avenir Next" w:cs="Arial"/>
          <w:color w:val="808080" w:themeColor="background1" w:themeShade="80"/>
          <w:sz w:val="22"/>
          <w:szCs w:val="22"/>
        </w:rPr>
        <w:t xml:space="preserve">providing </w:t>
      </w:r>
      <w:r w:rsidR="006C5430">
        <w:rPr>
          <w:rFonts w:ascii="Avenir Next" w:hAnsi="Avenir Next" w:cs="Arial"/>
          <w:color w:val="808080" w:themeColor="background1" w:themeShade="80"/>
          <w:sz w:val="22"/>
          <w:szCs w:val="22"/>
        </w:rPr>
        <w:t>‘fresh funding’</w:t>
      </w:r>
      <w:r w:rsidR="0054182F">
        <w:rPr>
          <w:rFonts w:ascii="Avenir Next" w:hAnsi="Avenir Next" w:cs="Arial"/>
          <w:color w:val="808080" w:themeColor="background1" w:themeShade="80"/>
          <w:sz w:val="22"/>
          <w:szCs w:val="22"/>
        </w:rPr>
        <w:t xml:space="preserve"> to the debtor company</w:t>
      </w:r>
      <w:r w:rsidR="0045163E">
        <w:rPr>
          <w:rFonts w:ascii="Avenir Next" w:hAnsi="Avenir Next" w:cs="Arial"/>
          <w:color w:val="808080" w:themeColor="background1" w:themeShade="80"/>
          <w:sz w:val="22"/>
          <w:szCs w:val="22"/>
        </w:rPr>
        <w:t xml:space="preserve">. </w:t>
      </w:r>
      <w:r w:rsidR="001E09B3">
        <w:rPr>
          <w:rFonts w:ascii="Avenir Next" w:hAnsi="Avenir Next" w:cs="Arial"/>
          <w:color w:val="808080" w:themeColor="background1" w:themeShade="80"/>
          <w:sz w:val="22"/>
          <w:szCs w:val="22"/>
        </w:rPr>
        <w:t xml:space="preserve">In the event the ‘holder’ of the floating charge is </w:t>
      </w:r>
      <w:r w:rsidR="003E6DE7">
        <w:rPr>
          <w:rFonts w:ascii="Avenir Next" w:hAnsi="Avenir Next" w:cs="Arial"/>
          <w:color w:val="808080" w:themeColor="background1" w:themeShade="80"/>
          <w:sz w:val="22"/>
          <w:szCs w:val="22"/>
        </w:rPr>
        <w:t>connected</w:t>
      </w:r>
      <w:r w:rsidR="001E09B3">
        <w:rPr>
          <w:rFonts w:ascii="Avenir Next" w:hAnsi="Avenir Next" w:cs="Arial"/>
          <w:color w:val="808080" w:themeColor="background1" w:themeShade="80"/>
          <w:sz w:val="22"/>
          <w:szCs w:val="22"/>
        </w:rPr>
        <w:t xml:space="preserve"> </w:t>
      </w:r>
      <w:r w:rsidR="003E6DE7">
        <w:rPr>
          <w:rFonts w:ascii="Avenir Next" w:hAnsi="Avenir Next" w:cs="Arial"/>
          <w:color w:val="808080" w:themeColor="background1" w:themeShade="80"/>
          <w:sz w:val="22"/>
          <w:szCs w:val="22"/>
        </w:rPr>
        <w:t>with</w:t>
      </w:r>
      <w:r w:rsidR="001E09B3">
        <w:rPr>
          <w:rFonts w:ascii="Avenir Next" w:hAnsi="Avenir Next" w:cs="Arial"/>
          <w:color w:val="808080" w:themeColor="background1" w:themeShade="80"/>
          <w:sz w:val="22"/>
          <w:szCs w:val="22"/>
        </w:rPr>
        <w:t xml:space="preserve"> the company</w:t>
      </w:r>
      <w:r w:rsidR="0054182F">
        <w:rPr>
          <w:rFonts w:ascii="Avenir Next" w:hAnsi="Avenir Next" w:cs="Arial"/>
          <w:color w:val="808080" w:themeColor="background1" w:themeShade="80"/>
          <w:sz w:val="22"/>
          <w:szCs w:val="22"/>
        </w:rPr>
        <w:t>,</w:t>
      </w:r>
      <w:r w:rsidR="001E09B3">
        <w:rPr>
          <w:rFonts w:ascii="Avenir Next" w:hAnsi="Avenir Next" w:cs="Arial"/>
          <w:color w:val="808080" w:themeColor="background1" w:themeShade="80"/>
          <w:sz w:val="22"/>
          <w:szCs w:val="22"/>
        </w:rPr>
        <w:t xml:space="preserve"> the two-year p</w:t>
      </w:r>
      <w:r w:rsidR="007F00A1">
        <w:rPr>
          <w:rFonts w:ascii="Avenir Next" w:hAnsi="Avenir Next" w:cs="Arial"/>
          <w:color w:val="808080" w:themeColor="background1" w:themeShade="80"/>
          <w:sz w:val="22"/>
          <w:szCs w:val="22"/>
        </w:rPr>
        <w:t>e</w:t>
      </w:r>
      <w:r w:rsidR="001E09B3">
        <w:rPr>
          <w:rFonts w:ascii="Avenir Next" w:hAnsi="Avenir Next" w:cs="Arial"/>
          <w:color w:val="808080" w:themeColor="background1" w:themeShade="80"/>
          <w:sz w:val="22"/>
          <w:szCs w:val="22"/>
        </w:rPr>
        <w:t xml:space="preserve">riod before the commencement of insolvency should be examined. </w:t>
      </w:r>
      <w:r w:rsidR="003E6DE7">
        <w:rPr>
          <w:rFonts w:ascii="Avenir Next" w:hAnsi="Avenir Next" w:cs="Arial"/>
          <w:color w:val="808080" w:themeColor="background1" w:themeShade="80"/>
          <w:sz w:val="22"/>
          <w:szCs w:val="22"/>
        </w:rPr>
        <w:t xml:space="preserve">If the ‘holder’ is not </w:t>
      </w:r>
      <w:r w:rsidR="0054182F">
        <w:rPr>
          <w:rFonts w:ascii="Avenir Next" w:hAnsi="Avenir Next" w:cs="Arial"/>
          <w:color w:val="808080" w:themeColor="background1" w:themeShade="80"/>
          <w:sz w:val="22"/>
          <w:szCs w:val="22"/>
        </w:rPr>
        <w:t xml:space="preserve">a </w:t>
      </w:r>
      <w:r w:rsidR="003E6DE7">
        <w:rPr>
          <w:rFonts w:ascii="Avenir Next" w:hAnsi="Avenir Next" w:cs="Arial"/>
          <w:color w:val="808080" w:themeColor="background1" w:themeShade="80"/>
          <w:sz w:val="22"/>
          <w:szCs w:val="22"/>
        </w:rPr>
        <w:t>connected</w:t>
      </w:r>
      <w:r w:rsidR="0054182F">
        <w:rPr>
          <w:rFonts w:ascii="Avenir Next" w:hAnsi="Avenir Next" w:cs="Arial"/>
          <w:color w:val="808080" w:themeColor="background1" w:themeShade="80"/>
          <w:sz w:val="22"/>
          <w:szCs w:val="22"/>
        </w:rPr>
        <w:t xml:space="preserve"> person</w:t>
      </w:r>
      <w:r w:rsidR="003E6DE7">
        <w:rPr>
          <w:rFonts w:ascii="Avenir Next" w:hAnsi="Avenir Next" w:cs="Arial"/>
          <w:color w:val="808080" w:themeColor="background1" w:themeShade="80"/>
          <w:sz w:val="22"/>
          <w:szCs w:val="22"/>
        </w:rPr>
        <w:t>, the period that should be examined is the 12</w:t>
      </w:r>
      <w:r w:rsidR="00E1601D">
        <w:rPr>
          <w:rFonts w:ascii="Avenir Next" w:hAnsi="Avenir Next" w:cs="Arial"/>
          <w:color w:val="808080" w:themeColor="background1" w:themeShade="80"/>
          <w:sz w:val="22"/>
          <w:szCs w:val="22"/>
        </w:rPr>
        <w:t>-</w:t>
      </w:r>
      <w:r w:rsidR="003E6DE7">
        <w:rPr>
          <w:rFonts w:ascii="Avenir Next" w:hAnsi="Avenir Next" w:cs="Arial"/>
          <w:color w:val="808080" w:themeColor="background1" w:themeShade="80"/>
          <w:sz w:val="22"/>
          <w:szCs w:val="22"/>
        </w:rPr>
        <w:t>month</w:t>
      </w:r>
      <w:r w:rsidR="00E1601D">
        <w:rPr>
          <w:rFonts w:ascii="Avenir Next" w:hAnsi="Avenir Next" w:cs="Arial"/>
          <w:color w:val="808080" w:themeColor="background1" w:themeShade="80"/>
          <w:sz w:val="22"/>
          <w:szCs w:val="22"/>
        </w:rPr>
        <w:t xml:space="preserve"> </w:t>
      </w:r>
      <w:r w:rsidR="003E6DE7">
        <w:rPr>
          <w:rFonts w:ascii="Avenir Next" w:hAnsi="Avenir Next" w:cs="Arial"/>
          <w:color w:val="808080" w:themeColor="background1" w:themeShade="80"/>
          <w:sz w:val="22"/>
          <w:szCs w:val="22"/>
        </w:rPr>
        <w:t xml:space="preserve">period prior to insolvency. </w:t>
      </w:r>
      <w:r w:rsidR="00B439A8">
        <w:rPr>
          <w:rFonts w:ascii="Avenir Next" w:hAnsi="Avenir Next" w:cs="Arial"/>
          <w:color w:val="808080" w:themeColor="background1" w:themeShade="80"/>
          <w:sz w:val="22"/>
          <w:szCs w:val="22"/>
        </w:rPr>
        <w:t>Th</w:t>
      </w:r>
      <w:r w:rsidR="0054182F">
        <w:rPr>
          <w:rFonts w:ascii="Avenir Next" w:hAnsi="Avenir Next" w:cs="Arial"/>
          <w:color w:val="808080" w:themeColor="background1" w:themeShade="80"/>
          <w:sz w:val="22"/>
          <w:szCs w:val="22"/>
        </w:rPr>
        <w:t xml:space="preserve">is </w:t>
      </w:r>
      <w:r w:rsidR="00CA39A2">
        <w:rPr>
          <w:rFonts w:ascii="Avenir Next" w:hAnsi="Avenir Next" w:cs="Arial"/>
          <w:color w:val="808080" w:themeColor="background1" w:themeShade="80"/>
          <w:sz w:val="22"/>
          <w:szCs w:val="22"/>
        </w:rPr>
        <w:t xml:space="preserve">whole </w:t>
      </w:r>
      <w:r w:rsidR="00B439A8">
        <w:rPr>
          <w:rFonts w:ascii="Avenir Next" w:hAnsi="Avenir Next" w:cs="Arial"/>
          <w:color w:val="808080" w:themeColor="background1" w:themeShade="80"/>
          <w:sz w:val="22"/>
          <w:szCs w:val="22"/>
        </w:rPr>
        <w:t xml:space="preserve">consideration is valid in case the company is unable to pay its debts pursuant to section 123 of the Insolvency Act or became unable to pay </w:t>
      </w:r>
      <w:r w:rsidR="0054182F">
        <w:rPr>
          <w:rFonts w:ascii="Avenir Next" w:hAnsi="Avenir Next" w:cs="Arial"/>
          <w:color w:val="808080" w:themeColor="background1" w:themeShade="80"/>
          <w:sz w:val="22"/>
          <w:szCs w:val="22"/>
        </w:rPr>
        <w:t>its</w:t>
      </w:r>
      <w:r w:rsidR="00B439A8">
        <w:rPr>
          <w:rFonts w:ascii="Avenir Next" w:hAnsi="Avenir Next" w:cs="Arial"/>
          <w:color w:val="808080" w:themeColor="background1" w:themeShade="80"/>
          <w:sz w:val="22"/>
          <w:szCs w:val="22"/>
        </w:rPr>
        <w:t xml:space="preserve"> debts as a result of the granting of the floating charg</w:t>
      </w:r>
      <w:r w:rsidR="00C627C6">
        <w:rPr>
          <w:rFonts w:ascii="Avenir Next" w:hAnsi="Avenir Next" w:cs="Arial"/>
          <w:color w:val="808080" w:themeColor="background1" w:themeShade="80"/>
          <w:sz w:val="22"/>
          <w:szCs w:val="22"/>
        </w:rPr>
        <w:t>e</w:t>
      </w:r>
      <w:r w:rsidR="0094745A">
        <w:rPr>
          <w:rFonts w:ascii="Avenir Next" w:hAnsi="Avenir Next" w:cs="Arial"/>
          <w:color w:val="808080" w:themeColor="background1" w:themeShade="80"/>
          <w:sz w:val="22"/>
          <w:szCs w:val="22"/>
        </w:rPr>
        <w:t xml:space="preserve">. </w:t>
      </w:r>
    </w:p>
    <w:p w14:paraId="1F62EAC7" w14:textId="77777777" w:rsidR="00E1601D" w:rsidRDefault="00E1601D" w:rsidP="00EA3B38">
      <w:pPr>
        <w:jc w:val="both"/>
        <w:rPr>
          <w:rFonts w:ascii="Avenir Next" w:hAnsi="Avenir Next" w:cs="Arial"/>
          <w:color w:val="808080" w:themeColor="background1" w:themeShade="80"/>
          <w:sz w:val="22"/>
          <w:szCs w:val="22"/>
        </w:rPr>
      </w:pPr>
    </w:p>
    <w:p w14:paraId="15D9CC2E" w14:textId="0EC58453" w:rsidR="00F30F0A" w:rsidRDefault="00E1601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section 245 of the Insolvency Act, </w:t>
      </w:r>
      <w:r w:rsidR="00380B05">
        <w:rPr>
          <w:rFonts w:ascii="Avenir Next" w:hAnsi="Avenir Next" w:cs="Arial"/>
          <w:color w:val="808080" w:themeColor="background1" w:themeShade="80"/>
          <w:sz w:val="22"/>
          <w:szCs w:val="22"/>
        </w:rPr>
        <w:t>there are two exemptions to the invalidation of a floating charge. Firstly, i</w:t>
      </w:r>
      <w:r w:rsidR="008108D0">
        <w:rPr>
          <w:rFonts w:ascii="Avenir Next" w:hAnsi="Avenir Next" w:cs="Arial"/>
          <w:color w:val="808080" w:themeColor="background1" w:themeShade="80"/>
          <w:sz w:val="22"/>
          <w:szCs w:val="22"/>
        </w:rPr>
        <w:t xml:space="preserve">f the value of </w:t>
      </w:r>
      <w:r>
        <w:rPr>
          <w:rFonts w:ascii="Avenir Next" w:hAnsi="Avenir Next" w:cs="Arial"/>
          <w:color w:val="808080" w:themeColor="background1" w:themeShade="80"/>
          <w:sz w:val="22"/>
          <w:szCs w:val="22"/>
        </w:rPr>
        <w:t xml:space="preserve">the new consideration regarding the establishment of the charge relates to amounts paid, goods or services </w:t>
      </w:r>
      <w:r w:rsidR="00891417">
        <w:rPr>
          <w:rFonts w:ascii="Avenir Next" w:hAnsi="Avenir Next" w:cs="Arial"/>
          <w:color w:val="808080" w:themeColor="background1" w:themeShade="80"/>
          <w:sz w:val="22"/>
          <w:szCs w:val="22"/>
        </w:rPr>
        <w:t>provided to</w:t>
      </w:r>
      <w:r>
        <w:rPr>
          <w:rFonts w:ascii="Avenir Next" w:hAnsi="Avenir Next" w:cs="Arial"/>
          <w:color w:val="808080" w:themeColor="background1" w:themeShade="80"/>
          <w:sz w:val="22"/>
          <w:szCs w:val="22"/>
        </w:rPr>
        <w:t xml:space="preserve"> the company upon or after creation of the charge</w:t>
      </w:r>
      <w:r w:rsidR="00E65265">
        <w:rPr>
          <w:rFonts w:ascii="Avenir Next" w:hAnsi="Avenir Next" w:cs="Arial"/>
          <w:color w:val="808080" w:themeColor="background1" w:themeShade="80"/>
          <w:sz w:val="22"/>
          <w:szCs w:val="22"/>
        </w:rPr>
        <w:t>,</w:t>
      </w:r>
      <w:r w:rsidR="00891417">
        <w:rPr>
          <w:rFonts w:ascii="Avenir Next" w:hAnsi="Avenir Next" w:cs="Arial"/>
          <w:color w:val="808080" w:themeColor="background1" w:themeShade="80"/>
          <w:sz w:val="22"/>
          <w:szCs w:val="22"/>
        </w:rPr>
        <w:t xml:space="preserve"> then the floating charge will not be invalidated</w:t>
      </w:r>
      <w:r>
        <w:rPr>
          <w:rFonts w:ascii="Avenir Next" w:hAnsi="Avenir Next" w:cs="Arial"/>
          <w:color w:val="808080" w:themeColor="background1" w:themeShade="80"/>
          <w:sz w:val="22"/>
          <w:szCs w:val="22"/>
        </w:rPr>
        <w:t xml:space="preserve">. </w:t>
      </w:r>
      <w:r w:rsidR="00F072D1">
        <w:rPr>
          <w:rFonts w:ascii="Avenir Next" w:hAnsi="Avenir Next" w:cs="Arial"/>
          <w:color w:val="808080" w:themeColor="background1" w:themeShade="80"/>
          <w:sz w:val="22"/>
          <w:szCs w:val="22"/>
        </w:rPr>
        <w:t>As supported by</w:t>
      </w:r>
      <w:r w:rsidR="008108D0">
        <w:rPr>
          <w:rFonts w:ascii="Avenir Next" w:hAnsi="Avenir Next" w:cs="Arial"/>
          <w:color w:val="808080" w:themeColor="background1" w:themeShade="80"/>
          <w:sz w:val="22"/>
          <w:szCs w:val="22"/>
        </w:rPr>
        <w:t xml:space="preserve"> jurisprudence</w:t>
      </w:r>
      <w:r w:rsidR="00F072D1">
        <w:rPr>
          <w:rFonts w:ascii="Avenir Next" w:hAnsi="Avenir Next" w:cs="Arial"/>
          <w:color w:val="808080" w:themeColor="background1" w:themeShade="80"/>
          <w:sz w:val="22"/>
          <w:szCs w:val="22"/>
        </w:rPr>
        <w:t xml:space="preserve">, </w:t>
      </w:r>
      <w:r w:rsidR="007919C7">
        <w:rPr>
          <w:rFonts w:ascii="Avenir Next" w:hAnsi="Avenir Next" w:cs="Arial"/>
          <w:color w:val="808080" w:themeColor="background1" w:themeShade="80"/>
          <w:sz w:val="22"/>
          <w:szCs w:val="22"/>
        </w:rPr>
        <w:t xml:space="preserve">any delay between </w:t>
      </w:r>
      <w:r w:rsidR="00E65265">
        <w:rPr>
          <w:rFonts w:ascii="Avenir Next" w:hAnsi="Avenir Next" w:cs="Arial"/>
          <w:color w:val="808080" w:themeColor="background1" w:themeShade="80"/>
          <w:sz w:val="22"/>
          <w:szCs w:val="22"/>
        </w:rPr>
        <w:t xml:space="preserve">the payments </w:t>
      </w:r>
      <w:r w:rsidR="007919C7">
        <w:rPr>
          <w:rFonts w:ascii="Avenir Next" w:hAnsi="Avenir Next" w:cs="Arial"/>
          <w:color w:val="808080" w:themeColor="background1" w:themeShade="80"/>
          <w:sz w:val="22"/>
          <w:szCs w:val="22"/>
        </w:rPr>
        <w:t>and</w:t>
      </w:r>
      <w:r w:rsidR="00E65265">
        <w:rPr>
          <w:rFonts w:ascii="Avenir Next" w:hAnsi="Avenir Next" w:cs="Arial"/>
          <w:color w:val="808080" w:themeColor="background1" w:themeShade="80"/>
          <w:sz w:val="22"/>
          <w:szCs w:val="22"/>
        </w:rPr>
        <w:t xml:space="preserve"> the execution of the charge </w:t>
      </w:r>
      <w:r w:rsidR="007919C7">
        <w:rPr>
          <w:rFonts w:ascii="Avenir Next" w:hAnsi="Avenir Next" w:cs="Arial"/>
          <w:color w:val="808080" w:themeColor="background1" w:themeShade="80"/>
          <w:sz w:val="22"/>
          <w:szCs w:val="22"/>
        </w:rPr>
        <w:t>should be “minimal”</w:t>
      </w:r>
      <w:r w:rsidR="007919C7" w:rsidRPr="007919C7">
        <w:rPr>
          <w:rFonts w:ascii="Avenir Next" w:hAnsi="Avenir Next" w:cs="Arial"/>
          <w:color w:val="808080" w:themeColor="background1" w:themeShade="80"/>
          <w:sz w:val="22"/>
          <w:szCs w:val="22"/>
        </w:rPr>
        <w:t xml:space="preserve"> </w:t>
      </w:r>
      <w:r w:rsidR="007919C7">
        <w:rPr>
          <w:rFonts w:ascii="Avenir Next" w:hAnsi="Avenir Next" w:cs="Arial"/>
          <w:color w:val="808080" w:themeColor="background1" w:themeShade="80"/>
          <w:sz w:val="22"/>
          <w:szCs w:val="22"/>
        </w:rPr>
        <w:t xml:space="preserve">(see </w:t>
      </w:r>
      <w:r w:rsidR="007919C7">
        <w:rPr>
          <w:rFonts w:ascii="Avenir Next" w:hAnsi="Avenir Next" w:cs="Arial"/>
          <w:i/>
          <w:iCs/>
          <w:color w:val="808080" w:themeColor="background1" w:themeShade="80"/>
          <w:sz w:val="22"/>
          <w:szCs w:val="22"/>
        </w:rPr>
        <w:t xml:space="preserve">Re Shoe Lace Ltd </w:t>
      </w:r>
      <w:r w:rsidR="007919C7">
        <w:rPr>
          <w:rFonts w:ascii="Avenir Next" w:hAnsi="Avenir Next" w:cs="Arial"/>
          <w:color w:val="808080" w:themeColor="background1" w:themeShade="80"/>
          <w:sz w:val="22"/>
          <w:szCs w:val="22"/>
        </w:rPr>
        <w:t xml:space="preserve">[1993] BCC 609), in </w:t>
      </w:r>
      <w:r w:rsidR="00E65265">
        <w:rPr>
          <w:rFonts w:ascii="Avenir Next" w:hAnsi="Avenir Next" w:cs="Arial"/>
          <w:color w:val="808080" w:themeColor="background1" w:themeShade="80"/>
          <w:sz w:val="22"/>
          <w:szCs w:val="22"/>
        </w:rPr>
        <w:t>the light</w:t>
      </w:r>
      <w:r w:rsidR="007919C7">
        <w:rPr>
          <w:rFonts w:ascii="Avenir Next" w:hAnsi="Avenir Next" w:cs="Arial"/>
          <w:color w:val="808080" w:themeColor="background1" w:themeShade="80"/>
          <w:sz w:val="22"/>
          <w:szCs w:val="22"/>
        </w:rPr>
        <w:t xml:space="preserve"> of an agreement to execute the charge after payments to the company </w:t>
      </w:r>
      <w:r w:rsidR="00E65265">
        <w:rPr>
          <w:rFonts w:ascii="Avenir Next" w:hAnsi="Avenir Next" w:cs="Arial"/>
          <w:color w:val="808080" w:themeColor="background1" w:themeShade="80"/>
          <w:sz w:val="22"/>
          <w:szCs w:val="22"/>
        </w:rPr>
        <w:t>are</w:t>
      </w:r>
      <w:r w:rsidR="007919C7">
        <w:rPr>
          <w:rFonts w:ascii="Avenir Next" w:hAnsi="Avenir Next" w:cs="Arial"/>
          <w:color w:val="808080" w:themeColor="background1" w:themeShade="80"/>
          <w:sz w:val="22"/>
          <w:szCs w:val="22"/>
        </w:rPr>
        <w:t xml:space="preserve"> made (</w:t>
      </w:r>
      <w:r w:rsidR="009838F6">
        <w:rPr>
          <w:rFonts w:ascii="Avenir Next" w:hAnsi="Avenir Next" w:cs="Arial"/>
          <w:color w:val="808080" w:themeColor="background1" w:themeShade="80"/>
          <w:sz w:val="22"/>
          <w:szCs w:val="22"/>
        </w:rPr>
        <w:t xml:space="preserve">the latter </w:t>
      </w:r>
      <w:r w:rsidR="00E65265">
        <w:rPr>
          <w:rFonts w:ascii="Avenir Next" w:hAnsi="Avenir Next" w:cs="Arial"/>
          <w:color w:val="808080" w:themeColor="background1" w:themeShade="80"/>
          <w:sz w:val="22"/>
          <w:szCs w:val="22"/>
        </w:rPr>
        <w:t>leading to</w:t>
      </w:r>
      <w:r w:rsidR="007919C7">
        <w:rPr>
          <w:rFonts w:ascii="Avenir Next" w:hAnsi="Avenir Next" w:cs="Arial"/>
          <w:color w:val="808080" w:themeColor="background1" w:themeShade="80"/>
          <w:sz w:val="22"/>
          <w:szCs w:val="22"/>
        </w:rPr>
        <w:t xml:space="preserve"> the formal execution of the charge).</w:t>
      </w:r>
      <w:r w:rsidR="00380B05">
        <w:rPr>
          <w:rFonts w:ascii="Avenir Next" w:hAnsi="Avenir Next" w:cs="Arial"/>
          <w:color w:val="808080" w:themeColor="background1" w:themeShade="80"/>
          <w:sz w:val="22"/>
          <w:szCs w:val="22"/>
        </w:rPr>
        <w:t xml:space="preserve"> </w:t>
      </w:r>
      <w:r w:rsidR="00891417">
        <w:rPr>
          <w:rFonts w:ascii="Avenir Next" w:hAnsi="Avenir Next" w:cs="Arial"/>
          <w:color w:val="808080" w:themeColor="background1" w:themeShade="80"/>
          <w:sz w:val="22"/>
          <w:szCs w:val="22"/>
        </w:rPr>
        <w:t xml:space="preserve">Equally, the floating charge will not be invalidated in the context of a reduction or discharge of any company’s debt. This reduction or discharge should take place upon or after the creation of the floating charge. </w:t>
      </w:r>
      <w:r w:rsidR="0047259D">
        <w:rPr>
          <w:rFonts w:ascii="Avenir Next" w:hAnsi="Avenir Next" w:cs="Arial"/>
          <w:color w:val="808080" w:themeColor="background1" w:themeShade="80"/>
          <w:sz w:val="22"/>
          <w:szCs w:val="22"/>
        </w:rPr>
        <w:t xml:space="preserve">That being said, </w:t>
      </w:r>
      <w:r w:rsidR="005E3F10">
        <w:rPr>
          <w:rFonts w:ascii="Avenir Next" w:hAnsi="Avenir Next" w:cs="Arial"/>
          <w:color w:val="808080" w:themeColor="background1" w:themeShade="80"/>
          <w:sz w:val="22"/>
          <w:szCs w:val="22"/>
        </w:rPr>
        <w:t xml:space="preserve">a </w:t>
      </w:r>
      <w:r w:rsidR="005E3F10">
        <w:rPr>
          <w:rFonts w:ascii="Avenir Next" w:hAnsi="Avenir Next" w:cs="Arial"/>
          <w:color w:val="808080" w:themeColor="background1" w:themeShade="80"/>
          <w:sz w:val="22"/>
          <w:szCs w:val="22"/>
        </w:rPr>
        <w:lastRenderedPageBreak/>
        <w:t xml:space="preserve">consideration concerning payments made by directors to the company for a particular purpose, </w:t>
      </w:r>
      <w:r w:rsidR="00702A53">
        <w:rPr>
          <w:rFonts w:ascii="Avenir Next" w:hAnsi="Avenir Next" w:cs="Arial"/>
          <w:color w:val="808080" w:themeColor="background1" w:themeShade="80"/>
          <w:sz w:val="22"/>
          <w:szCs w:val="22"/>
        </w:rPr>
        <w:t>to</w:t>
      </w:r>
      <w:r w:rsidR="005E3F10">
        <w:rPr>
          <w:rFonts w:ascii="Avenir Next" w:hAnsi="Avenir Next" w:cs="Arial"/>
          <w:color w:val="808080" w:themeColor="background1" w:themeShade="80"/>
          <w:sz w:val="22"/>
          <w:szCs w:val="22"/>
        </w:rPr>
        <w:t xml:space="preserve"> the </w:t>
      </w:r>
      <w:r w:rsidR="00702A53">
        <w:rPr>
          <w:rFonts w:ascii="Avenir Next" w:hAnsi="Avenir Next" w:cs="Arial"/>
          <w:color w:val="808080" w:themeColor="background1" w:themeShade="80"/>
          <w:sz w:val="22"/>
          <w:szCs w:val="22"/>
        </w:rPr>
        <w:t xml:space="preserve">directors’ </w:t>
      </w:r>
      <w:r w:rsidR="005E3F10">
        <w:rPr>
          <w:rFonts w:ascii="Avenir Next" w:hAnsi="Avenir Next" w:cs="Arial"/>
          <w:color w:val="808080" w:themeColor="background1" w:themeShade="80"/>
          <w:sz w:val="22"/>
          <w:szCs w:val="22"/>
        </w:rPr>
        <w:t>benefit</w:t>
      </w:r>
      <w:r w:rsidR="00702A53">
        <w:rPr>
          <w:rFonts w:ascii="Avenir Next" w:hAnsi="Avenir Next" w:cs="Arial"/>
          <w:color w:val="808080" w:themeColor="background1" w:themeShade="80"/>
          <w:sz w:val="22"/>
          <w:szCs w:val="22"/>
        </w:rPr>
        <w:t>,</w:t>
      </w:r>
      <w:r w:rsidR="005E3F10">
        <w:rPr>
          <w:rFonts w:ascii="Avenir Next" w:hAnsi="Avenir Next" w:cs="Arial"/>
          <w:color w:val="808080" w:themeColor="background1" w:themeShade="80"/>
          <w:sz w:val="22"/>
          <w:szCs w:val="22"/>
        </w:rPr>
        <w:t xml:space="preserve"> </w:t>
      </w:r>
      <w:r w:rsidR="005E3F10" w:rsidRPr="005E3F10">
        <w:rPr>
          <w:rFonts w:ascii="Avenir Next" w:hAnsi="Avenir Next" w:cs="Arial"/>
          <w:color w:val="808080" w:themeColor="background1" w:themeShade="80"/>
          <w:sz w:val="22"/>
          <w:szCs w:val="22"/>
        </w:rPr>
        <w:t xml:space="preserve">to assist them in discharging their personal liability under guarantees, </w:t>
      </w:r>
      <w:r w:rsidR="005E3F10">
        <w:rPr>
          <w:rFonts w:ascii="Avenir Next" w:hAnsi="Avenir Next" w:cs="Arial"/>
          <w:color w:val="808080" w:themeColor="background1" w:themeShade="80"/>
          <w:sz w:val="22"/>
          <w:szCs w:val="22"/>
        </w:rPr>
        <w:t>is</w:t>
      </w:r>
      <w:r w:rsidR="005E3F10" w:rsidRPr="005E3F10">
        <w:rPr>
          <w:rFonts w:ascii="Avenir Next" w:hAnsi="Avenir Next" w:cs="Arial"/>
          <w:color w:val="808080" w:themeColor="background1" w:themeShade="80"/>
          <w:sz w:val="22"/>
          <w:szCs w:val="22"/>
        </w:rPr>
        <w:t xml:space="preserve"> not covered by the exemption</w:t>
      </w:r>
      <w:r w:rsidR="008B0E39">
        <w:rPr>
          <w:rFonts w:ascii="Avenir Next" w:hAnsi="Avenir Next" w:cs="Arial"/>
          <w:color w:val="808080" w:themeColor="background1" w:themeShade="80"/>
          <w:sz w:val="22"/>
          <w:szCs w:val="22"/>
        </w:rPr>
        <w:t xml:space="preserve"> (see </w:t>
      </w:r>
      <w:r w:rsidR="008B0E39">
        <w:rPr>
          <w:rFonts w:ascii="Avenir Next" w:hAnsi="Avenir Next" w:cs="Arial"/>
          <w:i/>
          <w:iCs/>
          <w:color w:val="808080" w:themeColor="background1" w:themeShade="80"/>
          <w:sz w:val="22"/>
          <w:szCs w:val="22"/>
        </w:rPr>
        <w:t xml:space="preserve">Re Fairway Magazines </w:t>
      </w:r>
      <w:r w:rsidR="008B0E39" w:rsidRPr="008B0E39">
        <w:rPr>
          <w:rFonts w:ascii="Avenir Next" w:hAnsi="Avenir Next" w:cs="Arial"/>
          <w:color w:val="808080" w:themeColor="background1" w:themeShade="80"/>
          <w:sz w:val="22"/>
          <w:szCs w:val="22"/>
        </w:rPr>
        <w:t>[1992] BCC 924)</w:t>
      </w:r>
      <w:r w:rsidR="00B10E6B">
        <w:rPr>
          <w:rFonts w:ascii="Avenir Next" w:hAnsi="Avenir Next" w:cs="Arial"/>
          <w:color w:val="808080" w:themeColor="background1" w:themeShade="80"/>
          <w:sz w:val="22"/>
          <w:szCs w:val="22"/>
        </w:rPr>
        <w:t xml:space="preserve">. </w:t>
      </w:r>
      <w:r w:rsidR="00A634B8">
        <w:rPr>
          <w:rFonts w:ascii="Avenir Next" w:hAnsi="Avenir Next" w:cs="Arial"/>
          <w:color w:val="808080" w:themeColor="background1" w:themeShade="80"/>
          <w:sz w:val="22"/>
          <w:szCs w:val="22"/>
        </w:rPr>
        <w:t>It is supported that t</w:t>
      </w:r>
      <w:r w:rsidR="00DD2D3A">
        <w:rPr>
          <w:rFonts w:ascii="Avenir Next" w:hAnsi="Avenir Next" w:cs="Arial"/>
          <w:color w:val="808080" w:themeColor="background1" w:themeShade="80"/>
          <w:sz w:val="22"/>
          <w:szCs w:val="22"/>
        </w:rPr>
        <w:t>he consideration would not be invalidated if the amounts were transferred directly to the bank and not to the company to repay the bank.</w:t>
      </w:r>
    </w:p>
    <w:p w14:paraId="037BCECD" w14:textId="77777777" w:rsidR="00F30F0A" w:rsidRDefault="00F30F0A" w:rsidP="00EA3B38">
      <w:pPr>
        <w:jc w:val="both"/>
        <w:rPr>
          <w:rFonts w:ascii="Avenir Next" w:hAnsi="Avenir Next" w:cs="Arial"/>
          <w:color w:val="808080" w:themeColor="background1" w:themeShade="80"/>
          <w:sz w:val="22"/>
          <w:szCs w:val="22"/>
        </w:rPr>
      </w:pPr>
    </w:p>
    <w:p w14:paraId="6FD73133" w14:textId="171B7AC9" w:rsidR="00891417" w:rsidRDefault="00F30F0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case the </w:t>
      </w:r>
      <w:r w:rsidR="00196B9E">
        <w:rPr>
          <w:rFonts w:ascii="Avenir Next" w:hAnsi="Avenir Next" w:cs="Arial"/>
          <w:color w:val="808080" w:themeColor="background1" w:themeShade="80"/>
          <w:sz w:val="22"/>
          <w:szCs w:val="22"/>
        </w:rPr>
        <w:t>l</w:t>
      </w:r>
      <w:r>
        <w:rPr>
          <w:rFonts w:ascii="Avenir Next" w:hAnsi="Avenir Next" w:cs="Arial"/>
          <w:color w:val="808080" w:themeColor="background1" w:themeShade="80"/>
          <w:sz w:val="22"/>
          <w:szCs w:val="22"/>
        </w:rPr>
        <w:t xml:space="preserve">iquidator is successful in invalidating the floating charge under section 245, it should be noted that </w:t>
      </w:r>
      <w:r w:rsidR="00196B9E">
        <w:rPr>
          <w:rFonts w:ascii="Avenir Next" w:hAnsi="Avenir Next" w:cs="Arial"/>
          <w:color w:val="808080" w:themeColor="background1" w:themeShade="80"/>
          <w:sz w:val="22"/>
          <w:szCs w:val="22"/>
        </w:rPr>
        <w:t>the underlying debt continues to be valid. In addition, the avoidance of such a charge does not involve anything done before the initiation of the administration or liquidation proceedings.</w:t>
      </w:r>
    </w:p>
    <w:p w14:paraId="332DF586" w14:textId="77777777" w:rsidR="00897350" w:rsidRDefault="00897350" w:rsidP="00EA3B38">
      <w:pPr>
        <w:jc w:val="both"/>
        <w:rPr>
          <w:rFonts w:ascii="Avenir Next" w:hAnsi="Avenir Next" w:cs="Arial"/>
          <w:color w:val="808080" w:themeColor="background1" w:themeShade="80"/>
          <w:sz w:val="22"/>
          <w:szCs w:val="22"/>
        </w:rPr>
      </w:pPr>
    </w:p>
    <w:p w14:paraId="3D53E1AD" w14:textId="7BF65453" w:rsidR="00897350" w:rsidRDefault="0060151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at hand, the Company is undergoing </w:t>
      </w:r>
      <w:r w:rsidR="00CA39A2">
        <w:rPr>
          <w:rFonts w:ascii="Avenir Next" w:hAnsi="Avenir Next" w:cs="Arial"/>
          <w:color w:val="808080" w:themeColor="background1" w:themeShade="80"/>
          <w:sz w:val="22"/>
          <w:szCs w:val="22"/>
        </w:rPr>
        <w:t xml:space="preserve">compulsory </w:t>
      </w:r>
      <w:r>
        <w:rPr>
          <w:rFonts w:ascii="Avenir Next" w:hAnsi="Avenir Next" w:cs="Arial"/>
          <w:color w:val="808080" w:themeColor="background1" w:themeShade="80"/>
          <w:sz w:val="22"/>
          <w:szCs w:val="22"/>
        </w:rPr>
        <w:t>liquidation proceedings and the situation does not involve any sort of ‘fresh money’ being provided to the Company</w:t>
      </w:r>
      <w:r w:rsidR="00A634B8">
        <w:rPr>
          <w:rFonts w:ascii="Avenir Next" w:hAnsi="Avenir Next" w:cs="Arial"/>
          <w:color w:val="808080" w:themeColor="background1" w:themeShade="80"/>
          <w:sz w:val="22"/>
          <w:szCs w:val="22"/>
        </w:rPr>
        <w:t>. R</w:t>
      </w:r>
      <w:r>
        <w:rPr>
          <w:rFonts w:ascii="Avenir Next" w:hAnsi="Avenir Next" w:cs="Arial"/>
          <w:color w:val="808080" w:themeColor="background1" w:themeShade="80"/>
          <w:sz w:val="22"/>
          <w:szCs w:val="22"/>
        </w:rPr>
        <w:t>ather</w:t>
      </w:r>
      <w:r w:rsidR="00A634B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it entails the granting of </w:t>
      </w:r>
      <w:r w:rsidR="00A634B8">
        <w:rPr>
          <w:rFonts w:ascii="Avenir Next" w:hAnsi="Avenir Next" w:cs="Arial"/>
          <w:color w:val="808080" w:themeColor="background1" w:themeShade="80"/>
          <w:sz w:val="22"/>
          <w:szCs w:val="22"/>
        </w:rPr>
        <w:t xml:space="preserve">a </w:t>
      </w:r>
      <w:r>
        <w:rPr>
          <w:rFonts w:ascii="Avenir Next" w:hAnsi="Avenir Next" w:cs="Arial"/>
          <w:color w:val="808080" w:themeColor="background1" w:themeShade="80"/>
          <w:sz w:val="22"/>
          <w:szCs w:val="22"/>
        </w:rPr>
        <w:t xml:space="preserve">floating charge over the whole of the Company’s undertaking after being pressured by </w:t>
      </w:r>
      <w:r w:rsidR="00A634B8">
        <w:rPr>
          <w:rFonts w:ascii="Avenir Next" w:hAnsi="Avenir Next" w:cs="Arial"/>
          <w:color w:val="808080" w:themeColor="background1" w:themeShade="80"/>
          <w:sz w:val="22"/>
          <w:szCs w:val="22"/>
        </w:rPr>
        <w:t>its</w:t>
      </w:r>
      <w:r>
        <w:rPr>
          <w:rFonts w:ascii="Avenir Next" w:hAnsi="Avenir Next" w:cs="Arial"/>
          <w:color w:val="808080" w:themeColor="background1" w:themeShade="80"/>
          <w:sz w:val="22"/>
          <w:szCs w:val="22"/>
        </w:rPr>
        <w:t xml:space="preserve"> bank, Fretus Bank plc. </w:t>
      </w:r>
      <w:r w:rsidR="00E83BEC">
        <w:rPr>
          <w:rFonts w:ascii="Avenir Next" w:hAnsi="Avenir Next" w:cs="Arial"/>
          <w:color w:val="808080" w:themeColor="background1" w:themeShade="80"/>
          <w:sz w:val="22"/>
          <w:szCs w:val="22"/>
        </w:rPr>
        <w:t xml:space="preserve">The bank seems not to be connected </w:t>
      </w:r>
      <w:r w:rsidR="00CA39A2">
        <w:rPr>
          <w:rFonts w:ascii="Avenir Next" w:hAnsi="Avenir Next" w:cs="Arial"/>
          <w:color w:val="808080" w:themeColor="background1" w:themeShade="80"/>
          <w:sz w:val="22"/>
          <w:szCs w:val="22"/>
        </w:rPr>
        <w:t>with</w:t>
      </w:r>
      <w:r w:rsidR="00E83BEC">
        <w:rPr>
          <w:rFonts w:ascii="Avenir Next" w:hAnsi="Avenir Next" w:cs="Arial"/>
          <w:color w:val="808080" w:themeColor="background1" w:themeShade="80"/>
          <w:sz w:val="22"/>
          <w:szCs w:val="22"/>
        </w:rPr>
        <w:t xml:space="preserve"> the Company and, thus, the relevant period </w:t>
      </w:r>
      <w:r w:rsidR="00A634B8">
        <w:rPr>
          <w:rFonts w:ascii="Avenir Next" w:hAnsi="Avenir Next" w:cs="Arial"/>
          <w:color w:val="808080" w:themeColor="background1" w:themeShade="80"/>
          <w:sz w:val="22"/>
          <w:szCs w:val="22"/>
        </w:rPr>
        <w:t>under scrutiny should be</w:t>
      </w:r>
      <w:r w:rsidR="00E83BEC">
        <w:rPr>
          <w:rFonts w:ascii="Avenir Next" w:hAnsi="Avenir Next" w:cs="Arial"/>
          <w:color w:val="808080" w:themeColor="background1" w:themeShade="80"/>
          <w:sz w:val="22"/>
          <w:szCs w:val="22"/>
        </w:rPr>
        <w:t xml:space="preserve"> the 12-month period.</w:t>
      </w:r>
      <w:r w:rsidR="00D14DC3">
        <w:rPr>
          <w:rFonts w:ascii="Avenir Next" w:hAnsi="Avenir Next" w:cs="Arial"/>
          <w:color w:val="808080" w:themeColor="background1" w:themeShade="80"/>
          <w:sz w:val="22"/>
          <w:szCs w:val="22"/>
        </w:rPr>
        <w:t xml:space="preserve"> </w:t>
      </w:r>
      <w:r w:rsidR="00E73739">
        <w:rPr>
          <w:rFonts w:ascii="Avenir Next" w:hAnsi="Avenir Next" w:cs="Arial"/>
          <w:color w:val="808080" w:themeColor="background1" w:themeShade="80"/>
          <w:sz w:val="22"/>
          <w:szCs w:val="22"/>
        </w:rPr>
        <w:t xml:space="preserve">The granting of the charge took place in February 2022 and the winding up proceeding commenced in December 2022. </w:t>
      </w:r>
      <w:r w:rsidR="00D14DC3">
        <w:rPr>
          <w:rFonts w:ascii="Avenir Next" w:hAnsi="Avenir Next" w:cs="Arial"/>
          <w:color w:val="808080" w:themeColor="background1" w:themeShade="80"/>
          <w:sz w:val="22"/>
          <w:szCs w:val="22"/>
        </w:rPr>
        <w:t xml:space="preserve">Moreover, the Company gives the impression of being unable to pay its debts as, in accordance with the given facts, there </w:t>
      </w:r>
      <w:r w:rsidR="003332EF">
        <w:rPr>
          <w:rFonts w:ascii="Avenir Next" w:hAnsi="Avenir Next" w:cs="Arial"/>
          <w:color w:val="808080" w:themeColor="background1" w:themeShade="80"/>
          <w:sz w:val="22"/>
          <w:szCs w:val="22"/>
        </w:rPr>
        <w:t>was</w:t>
      </w:r>
      <w:r w:rsidR="00D14DC3">
        <w:rPr>
          <w:rFonts w:ascii="Avenir Next" w:hAnsi="Avenir Next" w:cs="Arial"/>
          <w:color w:val="808080" w:themeColor="background1" w:themeShade="80"/>
          <w:sz w:val="22"/>
          <w:szCs w:val="22"/>
        </w:rPr>
        <w:t xml:space="preserve"> a certain unwillingness on behalf of the Company to repay the bank’s loans</w:t>
      </w:r>
      <w:r w:rsidR="00E2647A">
        <w:rPr>
          <w:rFonts w:ascii="Avenir Next" w:hAnsi="Avenir Next" w:cs="Arial"/>
          <w:color w:val="808080" w:themeColor="background1" w:themeShade="80"/>
          <w:sz w:val="22"/>
          <w:szCs w:val="22"/>
        </w:rPr>
        <w:t xml:space="preserve"> (“ […] in order to prevent it from demanding repayment of the Company’ loans”)</w:t>
      </w:r>
      <w:r w:rsidR="00D14DC3">
        <w:rPr>
          <w:rFonts w:ascii="Avenir Next" w:hAnsi="Avenir Next" w:cs="Arial"/>
          <w:color w:val="808080" w:themeColor="background1" w:themeShade="80"/>
          <w:sz w:val="22"/>
          <w:szCs w:val="22"/>
        </w:rPr>
        <w:t xml:space="preserve">. </w:t>
      </w:r>
      <w:r w:rsidR="00E83BEC">
        <w:rPr>
          <w:rFonts w:ascii="Avenir Next" w:hAnsi="Avenir Next" w:cs="Arial"/>
          <w:color w:val="808080" w:themeColor="background1" w:themeShade="80"/>
          <w:sz w:val="22"/>
          <w:szCs w:val="22"/>
        </w:rPr>
        <w:t>The granting of the floating char</w:t>
      </w:r>
      <w:r w:rsidR="00D14DC3">
        <w:rPr>
          <w:rFonts w:ascii="Avenir Next" w:hAnsi="Avenir Next" w:cs="Arial"/>
          <w:color w:val="808080" w:themeColor="background1" w:themeShade="80"/>
          <w:sz w:val="22"/>
          <w:szCs w:val="22"/>
        </w:rPr>
        <w:t>g</w:t>
      </w:r>
      <w:r w:rsidR="00E83BEC">
        <w:rPr>
          <w:rFonts w:ascii="Avenir Next" w:hAnsi="Avenir Next" w:cs="Arial"/>
          <w:color w:val="808080" w:themeColor="background1" w:themeShade="80"/>
          <w:sz w:val="22"/>
          <w:szCs w:val="22"/>
        </w:rPr>
        <w:t>e does not seem to involve any money paid</w:t>
      </w:r>
      <w:r w:rsidR="00E7650D">
        <w:rPr>
          <w:rFonts w:ascii="Avenir Next" w:hAnsi="Avenir Next" w:cs="Arial"/>
          <w:color w:val="808080" w:themeColor="background1" w:themeShade="80"/>
          <w:sz w:val="22"/>
          <w:szCs w:val="22"/>
        </w:rPr>
        <w:t xml:space="preserve">, </w:t>
      </w:r>
      <w:r w:rsidR="00E83BEC">
        <w:rPr>
          <w:rFonts w:ascii="Avenir Next" w:hAnsi="Avenir Next" w:cs="Arial"/>
          <w:color w:val="808080" w:themeColor="background1" w:themeShade="80"/>
          <w:sz w:val="22"/>
          <w:szCs w:val="22"/>
        </w:rPr>
        <w:t xml:space="preserve">goods or services provided to the Company or any reduction or discharge of any debt upon or after the creation of the charge. </w:t>
      </w:r>
      <w:r w:rsidR="00897350">
        <w:rPr>
          <w:rFonts w:ascii="Avenir Next" w:hAnsi="Avenir Next" w:cs="Arial"/>
          <w:color w:val="808080" w:themeColor="background1" w:themeShade="80"/>
          <w:sz w:val="22"/>
          <w:szCs w:val="22"/>
        </w:rPr>
        <w:t>Therefore,</w:t>
      </w:r>
      <w:r>
        <w:rPr>
          <w:rFonts w:ascii="Avenir Next" w:hAnsi="Avenir Next" w:cs="Arial"/>
          <w:color w:val="808080" w:themeColor="background1" w:themeShade="80"/>
          <w:sz w:val="22"/>
          <w:szCs w:val="22"/>
        </w:rPr>
        <w:t xml:space="preserve"> </w:t>
      </w:r>
      <w:r w:rsidR="00897350">
        <w:rPr>
          <w:rFonts w:ascii="Avenir Next" w:hAnsi="Avenir Next" w:cs="Arial"/>
          <w:color w:val="808080" w:themeColor="background1" w:themeShade="80"/>
          <w:sz w:val="22"/>
          <w:szCs w:val="22"/>
        </w:rPr>
        <w:t xml:space="preserve">the liquidator of Marbley Q Limited may </w:t>
      </w:r>
      <w:r w:rsidR="00CA39A2">
        <w:rPr>
          <w:rFonts w:ascii="Avenir Next" w:hAnsi="Avenir Next" w:cs="Arial"/>
          <w:color w:val="808080" w:themeColor="background1" w:themeShade="80"/>
          <w:sz w:val="22"/>
          <w:szCs w:val="22"/>
        </w:rPr>
        <w:t>pursue</w:t>
      </w:r>
      <w:r w:rsidR="00897350">
        <w:rPr>
          <w:rFonts w:ascii="Avenir Next" w:hAnsi="Avenir Next" w:cs="Arial"/>
          <w:color w:val="808080" w:themeColor="background1" w:themeShade="80"/>
          <w:sz w:val="22"/>
          <w:szCs w:val="22"/>
        </w:rPr>
        <w:t xml:space="preserve"> the opportunity given by section 245 in terms of avoidance of </w:t>
      </w:r>
      <w:r w:rsidR="00AA5ACA">
        <w:rPr>
          <w:rFonts w:ascii="Avenir Next" w:hAnsi="Avenir Next" w:cs="Arial"/>
          <w:color w:val="808080" w:themeColor="background1" w:themeShade="80"/>
          <w:sz w:val="22"/>
          <w:szCs w:val="22"/>
        </w:rPr>
        <w:t>the</w:t>
      </w:r>
      <w:r w:rsidR="00897350">
        <w:rPr>
          <w:rFonts w:ascii="Avenir Next" w:hAnsi="Avenir Next" w:cs="Arial"/>
          <w:color w:val="808080" w:themeColor="background1" w:themeShade="80"/>
          <w:sz w:val="22"/>
          <w:szCs w:val="22"/>
        </w:rPr>
        <w:t xml:space="preserve"> floating charge</w:t>
      </w:r>
      <w:r w:rsidR="00AA5ACA">
        <w:rPr>
          <w:rFonts w:ascii="Avenir Next" w:hAnsi="Avenir Next" w:cs="Arial"/>
          <w:color w:val="808080" w:themeColor="background1" w:themeShade="80"/>
          <w:sz w:val="22"/>
          <w:szCs w:val="22"/>
        </w:rPr>
        <w:t xml:space="preserve"> granted to Fretus Bank plc</w:t>
      </w:r>
      <w:r w:rsidR="00667ADC">
        <w:rPr>
          <w:rFonts w:ascii="Avenir Next" w:hAnsi="Avenir Next" w:cs="Arial"/>
          <w:color w:val="808080" w:themeColor="background1" w:themeShade="80"/>
          <w:sz w:val="22"/>
          <w:szCs w:val="22"/>
        </w:rPr>
        <w:t>.</w:t>
      </w:r>
    </w:p>
    <w:p w14:paraId="7D8E2F45" w14:textId="77777777" w:rsidR="00E7650D" w:rsidRPr="008B0E39" w:rsidRDefault="00E7650D"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14DD621" w:rsidR="00EA3B38" w:rsidRDefault="000463B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context, there are several remedies that the liquidator </w:t>
      </w:r>
      <w:r w:rsidR="00350590">
        <w:rPr>
          <w:rFonts w:ascii="Avenir Next" w:hAnsi="Avenir Next" w:cs="Arial"/>
          <w:color w:val="808080" w:themeColor="background1" w:themeShade="80"/>
          <w:sz w:val="22"/>
          <w:szCs w:val="22"/>
        </w:rPr>
        <w:t>sh</w:t>
      </w:r>
      <w:r>
        <w:rPr>
          <w:rFonts w:ascii="Avenir Next" w:hAnsi="Avenir Next" w:cs="Arial"/>
          <w:color w:val="808080" w:themeColor="background1" w:themeShade="80"/>
          <w:sz w:val="22"/>
          <w:szCs w:val="22"/>
        </w:rPr>
        <w:t>ould explore.</w:t>
      </w:r>
    </w:p>
    <w:p w14:paraId="5FEB986D" w14:textId="77777777" w:rsidR="00F2594C" w:rsidRDefault="00F2594C" w:rsidP="00EA3B38">
      <w:pPr>
        <w:jc w:val="both"/>
        <w:rPr>
          <w:rFonts w:ascii="Avenir Next" w:hAnsi="Avenir Next" w:cs="Arial"/>
          <w:color w:val="808080" w:themeColor="background1" w:themeShade="80"/>
          <w:sz w:val="22"/>
          <w:szCs w:val="22"/>
        </w:rPr>
      </w:pPr>
    </w:p>
    <w:p w14:paraId="09B9A152" w14:textId="598A6B30" w:rsidR="00DA02FC" w:rsidRPr="00036883" w:rsidRDefault="00AA435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section 238, the liquidator </w:t>
      </w:r>
      <w:r w:rsidR="00A363FC">
        <w:rPr>
          <w:rFonts w:ascii="Avenir Next" w:hAnsi="Avenir Next" w:cs="Arial"/>
          <w:color w:val="808080" w:themeColor="background1" w:themeShade="80"/>
          <w:sz w:val="22"/>
          <w:szCs w:val="22"/>
        </w:rPr>
        <w:t xml:space="preserve">or administrator </w:t>
      </w:r>
      <w:r>
        <w:rPr>
          <w:rFonts w:ascii="Avenir Next" w:hAnsi="Avenir Next" w:cs="Arial"/>
          <w:color w:val="808080" w:themeColor="background1" w:themeShade="80"/>
          <w:sz w:val="22"/>
          <w:szCs w:val="22"/>
        </w:rPr>
        <w:t xml:space="preserve">may </w:t>
      </w:r>
      <w:r w:rsidR="00657D4B">
        <w:rPr>
          <w:rFonts w:ascii="Avenir Next" w:hAnsi="Avenir Next" w:cs="Arial"/>
          <w:color w:val="808080" w:themeColor="background1" w:themeShade="80"/>
          <w:sz w:val="22"/>
          <w:szCs w:val="22"/>
        </w:rPr>
        <w:t>challenge</w:t>
      </w:r>
      <w:r>
        <w:rPr>
          <w:rFonts w:ascii="Avenir Next" w:hAnsi="Avenir Next" w:cs="Arial"/>
          <w:color w:val="808080" w:themeColor="background1" w:themeShade="80"/>
          <w:sz w:val="22"/>
          <w:szCs w:val="22"/>
        </w:rPr>
        <w:t xml:space="preserve"> a transaction made at an undervalue conc</w:t>
      </w:r>
      <w:r w:rsidR="00657D4B">
        <w:rPr>
          <w:rFonts w:ascii="Avenir Next" w:hAnsi="Avenir Next" w:cs="Arial"/>
          <w:color w:val="808080" w:themeColor="background1" w:themeShade="80"/>
          <w:sz w:val="22"/>
          <w:szCs w:val="22"/>
        </w:rPr>
        <w:t>l</w:t>
      </w:r>
      <w:r>
        <w:rPr>
          <w:rFonts w:ascii="Avenir Next" w:hAnsi="Avenir Next" w:cs="Arial"/>
          <w:color w:val="808080" w:themeColor="background1" w:themeShade="80"/>
          <w:sz w:val="22"/>
          <w:szCs w:val="22"/>
        </w:rPr>
        <w:t xml:space="preserve">uded before the </w:t>
      </w:r>
      <w:r w:rsidR="00B36010">
        <w:rPr>
          <w:rFonts w:ascii="Avenir Next" w:hAnsi="Avenir Next" w:cs="Arial"/>
          <w:color w:val="808080" w:themeColor="background1" w:themeShade="80"/>
          <w:sz w:val="22"/>
          <w:szCs w:val="22"/>
        </w:rPr>
        <w:t>company</w:t>
      </w:r>
      <w:r>
        <w:rPr>
          <w:rFonts w:ascii="Avenir Next" w:hAnsi="Avenir Next" w:cs="Arial"/>
          <w:color w:val="808080" w:themeColor="background1" w:themeShade="80"/>
          <w:sz w:val="22"/>
          <w:szCs w:val="22"/>
        </w:rPr>
        <w:t xml:space="preserve"> enters </w:t>
      </w:r>
      <w:r w:rsidR="00A363FC">
        <w:rPr>
          <w:rFonts w:ascii="Avenir Next" w:hAnsi="Avenir Next" w:cs="Arial"/>
          <w:color w:val="808080" w:themeColor="background1" w:themeShade="80"/>
          <w:sz w:val="22"/>
          <w:szCs w:val="22"/>
        </w:rPr>
        <w:t xml:space="preserve">administration or </w:t>
      </w:r>
      <w:r>
        <w:rPr>
          <w:rFonts w:ascii="Avenir Next" w:hAnsi="Avenir Next" w:cs="Arial"/>
          <w:color w:val="808080" w:themeColor="background1" w:themeShade="80"/>
          <w:sz w:val="22"/>
          <w:szCs w:val="22"/>
        </w:rPr>
        <w:t>liquidation proceedings</w:t>
      </w:r>
      <w:r w:rsidR="00A363FC">
        <w:rPr>
          <w:rFonts w:ascii="Avenir Next" w:hAnsi="Avenir Next" w:cs="Arial"/>
          <w:color w:val="808080" w:themeColor="background1" w:themeShade="80"/>
          <w:sz w:val="22"/>
          <w:szCs w:val="22"/>
        </w:rPr>
        <w:t>.</w:t>
      </w:r>
      <w:r w:rsidR="00727699">
        <w:rPr>
          <w:rFonts w:ascii="Avenir Next" w:hAnsi="Avenir Next" w:cs="Arial"/>
          <w:color w:val="808080" w:themeColor="background1" w:themeShade="80"/>
          <w:sz w:val="22"/>
          <w:szCs w:val="22"/>
        </w:rPr>
        <w:t xml:space="preserve"> </w:t>
      </w:r>
      <w:r w:rsidR="0090552B">
        <w:rPr>
          <w:rFonts w:ascii="Avenir Next" w:hAnsi="Avenir Next" w:cs="Arial"/>
          <w:color w:val="808080" w:themeColor="background1" w:themeShade="80"/>
          <w:sz w:val="22"/>
          <w:szCs w:val="22"/>
        </w:rPr>
        <w:t xml:space="preserve">The liquidator must demonstrate either that a gift was made to a person or that a transaction was concluded </w:t>
      </w:r>
      <w:r w:rsidR="00D63E7B">
        <w:rPr>
          <w:rFonts w:ascii="Avenir Next" w:hAnsi="Avenir Next" w:cs="Arial"/>
          <w:color w:val="808080" w:themeColor="background1" w:themeShade="80"/>
          <w:sz w:val="22"/>
          <w:szCs w:val="22"/>
        </w:rPr>
        <w:t xml:space="preserve">in </w:t>
      </w:r>
      <w:r w:rsidR="0090552B">
        <w:rPr>
          <w:rFonts w:ascii="Avenir Next" w:hAnsi="Avenir Next" w:cs="Arial"/>
          <w:color w:val="808080" w:themeColor="background1" w:themeShade="80"/>
          <w:sz w:val="22"/>
          <w:szCs w:val="22"/>
        </w:rPr>
        <w:t xml:space="preserve">such </w:t>
      </w:r>
      <w:r w:rsidR="00D63E7B">
        <w:rPr>
          <w:rFonts w:ascii="Avenir Next" w:hAnsi="Avenir Next" w:cs="Arial"/>
          <w:color w:val="808080" w:themeColor="background1" w:themeShade="80"/>
          <w:sz w:val="22"/>
          <w:szCs w:val="22"/>
        </w:rPr>
        <w:t xml:space="preserve">a way </w:t>
      </w:r>
      <w:r w:rsidR="0090552B">
        <w:rPr>
          <w:rFonts w:ascii="Avenir Next" w:hAnsi="Avenir Next" w:cs="Arial"/>
          <w:color w:val="808080" w:themeColor="background1" w:themeShade="80"/>
          <w:sz w:val="22"/>
          <w:szCs w:val="22"/>
        </w:rPr>
        <w:t>that</w:t>
      </w:r>
      <w:r w:rsidR="00D63E7B">
        <w:rPr>
          <w:rFonts w:ascii="Avenir Next" w:hAnsi="Avenir Next" w:cs="Arial"/>
          <w:color w:val="808080" w:themeColor="background1" w:themeShade="80"/>
          <w:sz w:val="22"/>
          <w:szCs w:val="22"/>
        </w:rPr>
        <w:t xml:space="preserve"> the</w:t>
      </w:r>
      <w:r w:rsidR="0090552B">
        <w:rPr>
          <w:rFonts w:ascii="Avenir Next" w:hAnsi="Avenir Next" w:cs="Arial"/>
          <w:color w:val="808080" w:themeColor="background1" w:themeShade="80"/>
          <w:sz w:val="22"/>
          <w:szCs w:val="22"/>
        </w:rPr>
        <w:t xml:space="preserve"> company received no consideration or that a transaction was made where the company gave a higher consideration </w:t>
      </w:r>
      <w:r w:rsidR="00E57BCE">
        <w:rPr>
          <w:rFonts w:ascii="Avenir Next" w:hAnsi="Avenir Next" w:cs="Arial"/>
          <w:color w:val="808080" w:themeColor="background1" w:themeShade="80"/>
          <w:sz w:val="22"/>
          <w:szCs w:val="22"/>
        </w:rPr>
        <w:t>compared to</w:t>
      </w:r>
      <w:r w:rsidR="0090552B">
        <w:rPr>
          <w:rFonts w:ascii="Avenir Next" w:hAnsi="Avenir Next" w:cs="Arial"/>
          <w:color w:val="808080" w:themeColor="background1" w:themeShade="80"/>
          <w:sz w:val="22"/>
          <w:szCs w:val="22"/>
        </w:rPr>
        <w:t xml:space="preserve"> what it received.</w:t>
      </w:r>
      <w:r w:rsidR="004622CB">
        <w:rPr>
          <w:rFonts w:ascii="Avenir Next" w:hAnsi="Avenir Next" w:cs="Arial"/>
          <w:color w:val="808080" w:themeColor="background1" w:themeShade="80"/>
          <w:sz w:val="22"/>
          <w:szCs w:val="22"/>
        </w:rPr>
        <w:t xml:space="preserve"> The time limit in</w:t>
      </w:r>
      <w:r w:rsidR="00D759F6">
        <w:rPr>
          <w:rFonts w:ascii="Avenir Next" w:hAnsi="Avenir Next" w:cs="Arial"/>
          <w:color w:val="808080" w:themeColor="background1" w:themeShade="80"/>
          <w:sz w:val="22"/>
          <w:szCs w:val="22"/>
        </w:rPr>
        <w:t xml:space="preserve"> </w:t>
      </w:r>
      <w:r w:rsidR="00D63E7B">
        <w:rPr>
          <w:rFonts w:ascii="Avenir Next" w:hAnsi="Avenir Next" w:cs="Arial"/>
          <w:color w:val="808080" w:themeColor="background1" w:themeShade="80"/>
          <w:sz w:val="22"/>
          <w:szCs w:val="22"/>
        </w:rPr>
        <w:t>view</w:t>
      </w:r>
      <w:r w:rsidR="004622CB">
        <w:rPr>
          <w:rFonts w:ascii="Avenir Next" w:hAnsi="Avenir Next" w:cs="Arial"/>
          <w:color w:val="808080" w:themeColor="background1" w:themeShade="80"/>
          <w:sz w:val="22"/>
          <w:szCs w:val="22"/>
        </w:rPr>
        <w:t xml:space="preserve"> of such an application under section 238 is two years before the commencement of the liquidation (or administration</w:t>
      </w:r>
      <w:r w:rsidR="00D63E7B">
        <w:rPr>
          <w:rFonts w:ascii="Avenir Next" w:hAnsi="Avenir Next" w:cs="Arial"/>
          <w:color w:val="808080" w:themeColor="background1" w:themeShade="80"/>
          <w:sz w:val="22"/>
          <w:szCs w:val="22"/>
        </w:rPr>
        <w:t>)</w:t>
      </w:r>
      <w:r w:rsidR="004622CB">
        <w:rPr>
          <w:rFonts w:ascii="Avenir Next" w:hAnsi="Avenir Next" w:cs="Arial"/>
          <w:color w:val="808080" w:themeColor="background1" w:themeShade="80"/>
          <w:sz w:val="22"/>
          <w:szCs w:val="22"/>
        </w:rPr>
        <w:t xml:space="preserve">. </w:t>
      </w:r>
      <w:r w:rsidR="00B35BB9">
        <w:rPr>
          <w:rFonts w:ascii="Avenir Next" w:hAnsi="Avenir Next" w:cs="Arial"/>
          <w:color w:val="808080" w:themeColor="background1" w:themeShade="80"/>
          <w:sz w:val="22"/>
          <w:szCs w:val="22"/>
        </w:rPr>
        <w:t xml:space="preserve">However, as one can understand, </w:t>
      </w:r>
      <w:r w:rsidR="00D63E7B">
        <w:rPr>
          <w:rFonts w:ascii="Avenir Next" w:hAnsi="Avenir Next" w:cs="Arial"/>
          <w:color w:val="808080" w:themeColor="background1" w:themeShade="80"/>
          <w:sz w:val="22"/>
          <w:szCs w:val="22"/>
        </w:rPr>
        <w:t>a proper evaluation of</w:t>
      </w:r>
      <w:r w:rsidR="00B35BB9">
        <w:rPr>
          <w:rFonts w:ascii="Avenir Next" w:hAnsi="Avenir Next" w:cs="Arial"/>
          <w:color w:val="808080" w:themeColor="background1" w:themeShade="80"/>
          <w:sz w:val="22"/>
          <w:szCs w:val="22"/>
        </w:rPr>
        <w:t xml:space="preserve"> what the company has received with what it </w:t>
      </w:r>
      <w:r w:rsidR="00D63E7B">
        <w:rPr>
          <w:rFonts w:ascii="Avenir Next" w:hAnsi="Avenir Next" w:cs="Arial"/>
          <w:color w:val="808080" w:themeColor="background1" w:themeShade="80"/>
          <w:sz w:val="22"/>
          <w:szCs w:val="22"/>
        </w:rPr>
        <w:t xml:space="preserve">has </w:t>
      </w:r>
      <w:r w:rsidR="00B35BB9">
        <w:rPr>
          <w:rFonts w:ascii="Avenir Next" w:hAnsi="Avenir Next" w:cs="Arial"/>
          <w:color w:val="808080" w:themeColor="background1" w:themeShade="80"/>
          <w:sz w:val="22"/>
          <w:szCs w:val="22"/>
        </w:rPr>
        <w:t xml:space="preserve">provided may be a </w:t>
      </w:r>
      <w:r w:rsidR="007302DC">
        <w:rPr>
          <w:rFonts w:ascii="Avenir Next" w:hAnsi="Avenir Next" w:cs="Arial"/>
          <w:color w:val="808080" w:themeColor="background1" w:themeShade="80"/>
          <w:sz w:val="22"/>
          <w:szCs w:val="22"/>
        </w:rPr>
        <w:t>difficult undertaking</w:t>
      </w:r>
      <w:r w:rsidR="00B35BB9">
        <w:rPr>
          <w:rFonts w:ascii="Avenir Next" w:hAnsi="Avenir Next" w:cs="Arial"/>
          <w:color w:val="808080" w:themeColor="background1" w:themeShade="80"/>
          <w:sz w:val="22"/>
          <w:szCs w:val="22"/>
        </w:rPr>
        <w:t>.</w:t>
      </w:r>
      <w:r w:rsidR="00D759F6">
        <w:rPr>
          <w:rFonts w:ascii="Avenir Next" w:hAnsi="Avenir Next" w:cs="Arial"/>
          <w:color w:val="808080" w:themeColor="background1" w:themeShade="80"/>
          <w:sz w:val="22"/>
          <w:szCs w:val="22"/>
        </w:rPr>
        <w:t xml:space="preserve"> Moreover, under section 238 there is </w:t>
      </w:r>
      <w:r w:rsidR="005722F5">
        <w:rPr>
          <w:rFonts w:ascii="Avenir Next" w:hAnsi="Avenir Next" w:cs="Arial"/>
          <w:color w:val="808080" w:themeColor="background1" w:themeShade="80"/>
          <w:sz w:val="22"/>
          <w:szCs w:val="22"/>
        </w:rPr>
        <w:t xml:space="preserve">a </w:t>
      </w:r>
      <w:r w:rsidR="00D759F6">
        <w:rPr>
          <w:rFonts w:ascii="Avenir Next" w:hAnsi="Avenir Next" w:cs="Arial"/>
          <w:color w:val="808080" w:themeColor="background1" w:themeShade="80"/>
          <w:sz w:val="22"/>
          <w:szCs w:val="22"/>
        </w:rPr>
        <w:t xml:space="preserve">prerequisite of liability that upon conclusion of the transaction the company, pursuant to section 123, </w:t>
      </w:r>
      <w:r w:rsidR="007302DC">
        <w:rPr>
          <w:rFonts w:ascii="Avenir Next" w:hAnsi="Avenir Next" w:cs="Arial"/>
          <w:color w:val="808080" w:themeColor="background1" w:themeShade="80"/>
          <w:sz w:val="22"/>
          <w:szCs w:val="22"/>
        </w:rPr>
        <w:t xml:space="preserve">either </w:t>
      </w:r>
      <w:r w:rsidR="00D759F6">
        <w:rPr>
          <w:rFonts w:ascii="Avenir Next" w:hAnsi="Avenir Next" w:cs="Arial"/>
          <w:color w:val="808080" w:themeColor="background1" w:themeShade="80"/>
          <w:sz w:val="22"/>
          <w:szCs w:val="22"/>
        </w:rPr>
        <w:t xml:space="preserve">became unable to pay its debts as a result of that transaction or was already unable to pay its debts. </w:t>
      </w:r>
      <w:r w:rsidR="000764CA">
        <w:rPr>
          <w:rFonts w:ascii="Avenir Next" w:hAnsi="Avenir Next" w:cs="Arial"/>
          <w:color w:val="808080" w:themeColor="background1" w:themeShade="80"/>
          <w:sz w:val="22"/>
          <w:szCs w:val="22"/>
        </w:rPr>
        <w:t>I</w:t>
      </w:r>
      <w:r w:rsidR="00930B70">
        <w:rPr>
          <w:rFonts w:ascii="Avenir Next" w:hAnsi="Avenir Next" w:cs="Arial"/>
          <w:color w:val="808080" w:themeColor="background1" w:themeShade="80"/>
          <w:sz w:val="22"/>
          <w:szCs w:val="22"/>
        </w:rPr>
        <w:t>n the event of a transaction with a connected person (</w:t>
      </w:r>
      <w:r w:rsidR="007302DC">
        <w:rPr>
          <w:rFonts w:ascii="Avenir Next" w:hAnsi="Avenir Next" w:cs="Arial"/>
          <w:color w:val="808080" w:themeColor="background1" w:themeShade="80"/>
          <w:sz w:val="22"/>
          <w:szCs w:val="22"/>
        </w:rPr>
        <w:t xml:space="preserve">e.g. </w:t>
      </w:r>
      <w:r w:rsidR="00930B70">
        <w:rPr>
          <w:rFonts w:ascii="Avenir Next" w:hAnsi="Avenir Next" w:cs="Arial"/>
          <w:color w:val="808080" w:themeColor="background1" w:themeShade="80"/>
          <w:sz w:val="22"/>
          <w:szCs w:val="22"/>
        </w:rPr>
        <w:t xml:space="preserve">the company’s management), and unless otherwise proven, there is a presumption that the company was insolvent or that it became insolvent </w:t>
      </w:r>
      <w:r w:rsidR="007302DC">
        <w:rPr>
          <w:rFonts w:ascii="Avenir Next" w:hAnsi="Avenir Next" w:cs="Arial"/>
          <w:color w:val="808080" w:themeColor="background1" w:themeShade="80"/>
          <w:sz w:val="22"/>
          <w:szCs w:val="22"/>
        </w:rPr>
        <w:t>as a result</w:t>
      </w:r>
      <w:r w:rsidR="00930B70">
        <w:rPr>
          <w:rFonts w:ascii="Avenir Next" w:hAnsi="Avenir Next" w:cs="Arial"/>
          <w:color w:val="808080" w:themeColor="background1" w:themeShade="80"/>
          <w:sz w:val="22"/>
          <w:szCs w:val="22"/>
        </w:rPr>
        <w:t xml:space="preserve"> of that transaction.</w:t>
      </w:r>
      <w:r w:rsidR="00877940">
        <w:rPr>
          <w:rFonts w:ascii="Avenir Next" w:hAnsi="Avenir Next" w:cs="Arial"/>
          <w:color w:val="808080" w:themeColor="background1" w:themeShade="80"/>
          <w:sz w:val="22"/>
          <w:szCs w:val="22"/>
        </w:rPr>
        <w:t xml:space="preserve"> The respondent in such a case may </w:t>
      </w:r>
      <w:r w:rsidR="00285AFA">
        <w:rPr>
          <w:rFonts w:ascii="Avenir Next" w:hAnsi="Avenir Next" w:cs="Arial"/>
          <w:color w:val="808080" w:themeColor="background1" w:themeShade="80"/>
          <w:sz w:val="22"/>
          <w:szCs w:val="22"/>
        </w:rPr>
        <w:t>convince</w:t>
      </w:r>
      <w:r w:rsidR="00877940">
        <w:rPr>
          <w:rFonts w:ascii="Avenir Next" w:hAnsi="Avenir Next" w:cs="Arial"/>
          <w:color w:val="808080" w:themeColor="background1" w:themeShade="80"/>
          <w:sz w:val="22"/>
          <w:szCs w:val="22"/>
        </w:rPr>
        <w:t xml:space="preserve"> the court that the transaction was made for the purpose of benefiting the company and on the basis of good faith and </w:t>
      </w:r>
      <w:r w:rsidR="007302DC">
        <w:rPr>
          <w:rFonts w:ascii="Avenir Next" w:hAnsi="Avenir Next" w:cs="Arial"/>
          <w:color w:val="808080" w:themeColor="background1" w:themeShade="80"/>
          <w:sz w:val="22"/>
          <w:szCs w:val="22"/>
        </w:rPr>
        <w:t xml:space="preserve">of </w:t>
      </w:r>
      <w:r w:rsidR="00877940">
        <w:rPr>
          <w:rFonts w:ascii="Avenir Next" w:hAnsi="Avenir Next" w:cs="Arial"/>
          <w:color w:val="808080" w:themeColor="background1" w:themeShade="80"/>
          <w:sz w:val="22"/>
          <w:szCs w:val="22"/>
        </w:rPr>
        <w:t>continuing</w:t>
      </w:r>
      <w:r w:rsidR="007302DC">
        <w:rPr>
          <w:rFonts w:ascii="Avenir Next" w:hAnsi="Avenir Next" w:cs="Arial"/>
          <w:color w:val="808080" w:themeColor="background1" w:themeShade="80"/>
          <w:sz w:val="22"/>
          <w:szCs w:val="22"/>
        </w:rPr>
        <w:t xml:space="preserve"> the</w:t>
      </w:r>
      <w:r w:rsidR="00877940">
        <w:rPr>
          <w:rFonts w:ascii="Avenir Next" w:hAnsi="Avenir Next" w:cs="Arial"/>
          <w:color w:val="808080" w:themeColor="background1" w:themeShade="80"/>
          <w:sz w:val="22"/>
          <w:szCs w:val="22"/>
        </w:rPr>
        <w:t xml:space="preserve"> business.</w:t>
      </w:r>
      <w:r w:rsidR="00A25D0D">
        <w:rPr>
          <w:rFonts w:ascii="Avenir Next" w:hAnsi="Avenir Next" w:cs="Arial"/>
          <w:color w:val="808080" w:themeColor="background1" w:themeShade="80"/>
          <w:sz w:val="22"/>
          <w:szCs w:val="22"/>
        </w:rPr>
        <w:t xml:space="preserve"> The consequence of a successful </w:t>
      </w:r>
      <w:r w:rsidR="00285AFA">
        <w:rPr>
          <w:rFonts w:ascii="Avenir Next" w:hAnsi="Avenir Next" w:cs="Arial"/>
          <w:color w:val="808080" w:themeColor="background1" w:themeShade="80"/>
          <w:sz w:val="22"/>
          <w:szCs w:val="22"/>
        </w:rPr>
        <w:t>challenge</w:t>
      </w:r>
      <w:r w:rsidR="00A25D0D">
        <w:rPr>
          <w:rFonts w:ascii="Avenir Next" w:hAnsi="Avenir Next" w:cs="Arial"/>
          <w:color w:val="808080" w:themeColor="background1" w:themeShade="80"/>
          <w:sz w:val="22"/>
          <w:szCs w:val="22"/>
        </w:rPr>
        <w:t xml:space="preserve"> of the transaction is that </w:t>
      </w:r>
      <w:r w:rsidR="00A25D0D" w:rsidRPr="00A25D0D">
        <w:rPr>
          <w:rFonts w:ascii="Avenir Next" w:hAnsi="Avenir Next" w:cs="Arial"/>
          <w:color w:val="808080" w:themeColor="background1" w:themeShade="80"/>
          <w:sz w:val="22"/>
          <w:szCs w:val="22"/>
        </w:rPr>
        <w:t xml:space="preserve">the court "revives" the parties' situation as </w:t>
      </w:r>
      <w:r w:rsidR="007302DC">
        <w:rPr>
          <w:rFonts w:ascii="Avenir Next" w:hAnsi="Avenir Next" w:cs="Arial"/>
          <w:color w:val="808080" w:themeColor="background1" w:themeShade="80"/>
          <w:sz w:val="22"/>
          <w:szCs w:val="22"/>
        </w:rPr>
        <w:t>that</w:t>
      </w:r>
      <w:r w:rsidR="00A25D0D" w:rsidRPr="00A25D0D">
        <w:rPr>
          <w:rFonts w:ascii="Avenir Next" w:hAnsi="Avenir Next" w:cs="Arial"/>
          <w:color w:val="808080" w:themeColor="background1" w:themeShade="80"/>
          <w:sz w:val="22"/>
          <w:szCs w:val="22"/>
        </w:rPr>
        <w:t xml:space="preserve"> was before the transaction was conclu</w:t>
      </w:r>
      <w:r w:rsidR="00A25D0D">
        <w:rPr>
          <w:rFonts w:ascii="Avenir Next" w:hAnsi="Avenir Next" w:cs="Arial"/>
          <w:color w:val="808080" w:themeColor="background1" w:themeShade="80"/>
          <w:sz w:val="22"/>
          <w:szCs w:val="22"/>
        </w:rPr>
        <w:t>ded.</w:t>
      </w:r>
      <w:r w:rsidR="00AC19A5">
        <w:rPr>
          <w:rFonts w:ascii="Avenir Next" w:hAnsi="Avenir Next" w:cs="Arial"/>
          <w:color w:val="808080" w:themeColor="background1" w:themeShade="80"/>
          <w:sz w:val="22"/>
          <w:szCs w:val="22"/>
        </w:rPr>
        <w:t xml:space="preserve"> </w:t>
      </w:r>
      <w:r w:rsidR="00285AFA">
        <w:rPr>
          <w:rFonts w:ascii="Avenir Next" w:hAnsi="Avenir Next" w:cs="Arial"/>
          <w:color w:val="808080" w:themeColor="background1" w:themeShade="80"/>
          <w:sz w:val="22"/>
          <w:szCs w:val="22"/>
        </w:rPr>
        <w:t>In any case, a</w:t>
      </w:r>
      <w:r w:rsidR="00036883">
        <w:rPr>
          <w:rFonts w:ascii="Avenir Next" w:hAnsi="Avenir Next" w:cs="Arial"/>
          <w:color w:val="808080" w:themeColor="background1" w:themeShade="80"/>
          <w:sz w:val="22"/>
          <w:szCs w:val="22"/>
        </w:rPr>
        <w:t>n order should not harm an interest in property obtained by a person</w:t>
      </w:r>
      <w:r w:rsidR="00285AFA">
        <w:rPr>
          <w:rFonts w:ascii="Avenir Next" w:hAnsi="Avenir Next" w:cs="Arial"/>
          <w:color w:val="808080" w:themeColor="background1" w:themeShade="80"/>
          <w:sz w:val="22"/>
          <w:szCs w:val="22"/>
        </w:rPr>
        <w:t xml:space="preserve">, especially </w:t>
      </w:r>
      <w:r w:rsidR="007302DC">
        <w:rPr>
          <w:rFonts w:ascii="Avenir Next" w:hAnsi="Avenir Next" w:cs="Arial"/>
          <w:color w:val="808080" w:themeColor="background1" w:themeShade="80"/>
          <w:sz w:val="22"/>
          <w:szCs w:val="22"/>
        </w:rPr>
        <w:t>where the transaction has been made</w:t>
      </w:r>
      <w:r w:rsidR="00036883">
        <w:rPr>
          <w:rFonts w:ascii="Avenir Next" w:hAnsi="Avenir Next" w:cs="Arial"/>
          <w:color w:val="808080" w:themeColor="background1" w:themeShade="80"/>
          <w:sz w:val="22"/>
          <w:szCs w:val="22"/>
        </w:rPr>
        <w:t xml:space="preserve"> “in good faith and for value” </w:t>
      </w:r>
      <w:r w:rsidR="007302DC">
        <w:rPr>
          <w:rFonts w:ascii="Avenir Next" w:hAnsi="Avenir Next" w:cs="Arial"/>
          <w:color w:val="808080" w:themeColor="background1" w:themeShade="80"/>
          <w:sz w:val="22"/>
          <w:szCs w:val="22"/>
        </w:rPr>
        <w:t xml:space="preserve">for the company </w:t>
      </w:r>
      <w:r w:rsidR="00036883">
        <w:rPr>
          <w:rFonts w:ascii="Avenir Next" w:hAnsi="Avenir Next" w:cs="Arial"/>
          <w:color w:val="808080" w:themeColor="background1" w:themeShade="80"/>
          <w:sz w:val="22"/>
          <w:szCs w:val="22"/>
        </w:rPr>
        <w:t>(</w:t>
      </w:r>
      <w:r w:rsidR="00036883">
        <w:rPr>
          <w:rFonts w:ascii="Avenir Next" w:hAnsi="Avenir Next" w:cs="Arial"/>
          <w:i/>
          <w:iCs/>
          <w:color w:val="808080" w:themeColor="background1" w:themeShade="80"/>
          <w:sz w:val="22"/>
          <w:szCs w:val="22"/>
        </w:rPr>
        <w:t xml:space="preserve">see </w:t>
      </w:r>
      <w:r w:rsidR="00036883">
        <w:rPr>
          <w:rFonts w:ascii="Avenir Next" w:hAnsi="Avenir Next" w:cs="Arial"/>
          <w:color w:val="808080" w:themeColor="background1" w:themeShade="80"/>
          <w:sz w:val="22"/>
          <w:szCs w:val="22"/>
        </w:rPr>
        <w:t>section 241, Insolvency Act of 1986</w:t>
      </w:r>
      <w:r w:rsidR="0024685F">
        <w:rPr>
          <w:rFonts w:ascii="Avenir Next" w:hAnsi="Avenir Next" w:cs="Arial"/>
          <w:color w:val="808080" w:themeColor="background1" w:themeShade="80"/>
          <w:sz w:val="22"/>
          <w:szCs w:val="22"/>
        </w:rPr>
        <w:t xml:space="preserve">). </w:t>
      </w:r>
    </w:p>
    <w:p w14:paraId="7943929E" w14:textId="77777777" w:rsidR="00DA02FC" w:rsidRDefault="00DA02FC" w:rsidP="00EA3B38">
      <w:pPr>
        <w:jc w:val="both"/>
        <w:rPr>
          <w:rFonts w:ascii="Avenir Next" w:hAnsi="Avenir Next" w:cs="Arial"/>
          <w:color w:val="808080" w:themeColor="background1" w:themeShade="80"/>
          <w:sz w:val="22"/>
          <w:szCs w:val="22"/>
        </w:rPr>
      </w:pPr>
    </w:p>
    <w:p w14:paraId="4056E68B" w14:textId="711DEAB8" w:rsidR="00BD148F" w:rsidRDefault="00BD148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Pur</w:t>
      </w:r>
      <w:r w:rsidR="009E35AF">
        <w:rPr>
          <w:rFonts w:ascii="Avenir Next" w:hAnsi="Avenir Next" w:cs="Arial"/>
          <w:color w:val="808080" w:themeColor="background1" w:themeShade="80"/>
          <w:sz w:val="22"/>
          <w:szCs w:val="22"/>
        </w:rPr>
        <w:t>su</w:t>
      </w:r>
      <w:r>
        <w:rPr>
          <w:rFonts w:ascii="Avenir Next" w:hAnsi="Avenir Next" w:cs="Arial"/>
          <w:color w:val="808080" w:themeColor="background1" w:themeShade="80"/>
          <w:sz w:val="22"/>
          <w:szCs w:val="22"/>
        </w:rPr>
        <w:t>a</w:t>
      </w:r>
      <w:r w:rsidR="009E35AF">
        <w:rPr>
          <w:rFonts w:ascii="Avenir Next" w:hAnsi="Avenir Next" w:cs="Arial"/>
          <w:color w:val="808080" w:themeColor="background1" w:themeShade="80"/>
          <w:sz w:val="22"/>
          <w:szCs w:val="22"/>
        </w:rPr>
        <w:t>n</w:t>
      </w:r>
      <w:r>
        <w:rPr>
          <w:rFonts w:ascii="Avenir Next" w:hAnsi="Avenir Next" w:cs="Arial"/>
          <w:color w:val="808080" w:themeColor="background1" w:themeShade="80"/>
          <w:sz w:val="22"/>
          <w:szCs w:val="22"/>
        </w:rPr>
        <w:t>t to section 423 o</w:t>
      </w:r>
      <w:r w:rsidR="00285AFA">
        <w:rPr>
          <w:rFonts w:ascii="Avenir Next" w:hAnsi="Avenir Next" w:cs="Arial"/>
          <w:color w:val="808080" w:themeColor="background1" w:themeShade="80"/>
          <w:sz w:val="22"/>
          <w:szCs w:val="22"/>
        </w:rPr>
        <w:t>f</w:t>
      </w:r>
      <w:r>
        <w:rPr>
          <w:rFonts w:ascii="Avenir Next" w:hAnsi="Avenir Next" w:cs="Arial"/>
          <w:color w:val="808080" w:themeColor="background1" w:themeShade="80"/>
          <w:sz w:val="22"/>
          <w:szCs w:val="22"/>
        </w:rPr>
        <w:t xml:space="preserve"> the Insolvency Act, the liquidator could attack a transaction intended to defraud cre</w:t>
      </w:r>
      <w:r w:rsidR="009E35AF">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i</w:t>
      </w:r>
      <w:r w:rsidR="009E35AF">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o</w:t>
      </w:r>
      <w:r w:rsidR="009E35AF">
        <w:rPr>
          <w:rFonts w:ascii="Avenir Next" w:hAnsi="Avenir Next" w:cs="Arial"/>
          <w:color w:val="808080" w:themeColor="background1" w:themeShade="80"/>
          <w:sz w:val="22"/>
          <w:szCs w:val="22"/>
        </w:rPr>
        <w:t>r</w:t>
      </w:r>
      <w:r>
        <w:rPr>
          <w:rFonts w:ascii="Avenir Next" w:hAnsi="Avenir Next" w:cs="Arial"/>
          <w:color w:val="808080" w:themeColor="background1" w:themeShade="80"/>
          <w:sz w:val="22"/>
          <w:szCs w:val="22"/>
        </w:rPr>
        <w:t xml:space="preserve">s in the </w:t>
      </w:r>
      <w:r w:rsidR="000C36C7">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vent the co</w:t>
      </w:r>
      <w:r w:rsidR="009E35AF">
        <w:rPr>
          <w:rFonts w:ascii="Avenir Next" w:hAnsi="Avenir Next" w:cs="Arial"/>
          <w:color w:val="808080" w:themeColor="background1" w:themeShade="80"/>
          <w:sz w:val="22"/>
          <w:szCs w:val="22"/>
        </w:rPr>
        <w:t>m</w:t>
      </w:r>
      <w:r>
        <w:rPr>
          <w:rFonts w:ascii="Avenir Next" w:hAnsi="Avenir Next" w:cs="Arial"/>
          <w:color w:val="808080" w:themeColor="background1" w:themeShade="80"/>
          <w:sz w:val="22"/>
          <w:szCs w:val="22"/>
        </w:rPr>
        <w:t xml:space="preserve">pany </w:t>
      </w:r>
      <w:r w:rsidR="005F3AC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is in administration or</w:t>
      </w:r>
      <w:r w:rsidR="005F3AC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is undergoing winding up </w:t>
      </w:r>
      <w:r w:rsidR="009E35AF">
        <w:rPr>
          <w:rFonts w:ascii="Avenir Next" w:hAnsi="Avenir Next" w:cs="Arial"/>
          <w:color w:val="808080" w:themeColor="background1" w:themeShade="80"/>
          <w:sz w:val="22"/>
          <w:szCs w:val="22"/>
        </w:rPr>
        <w:t>p</w:t>
      </w:r>
      <w:r>
        <w:rPr>
          <w:rFonts w:ascii="Avenir Next" w:hAnsi="Avenir Next" w:cs="Arial"/>
          <w:color w:val="808080" w:themeColor="background1" w:themeShade="80"/>
          <w:sz w:val="22"/>
          <w:szCs w:val="22"/>
        </w:rPr>
        <w:t xml:space="preserve">roceedings. </w:t>
      </w:r>
      <w:r w:rsidR="009E35AF">
        <w:rPr>
          <w:rFonts w:ascii="Avenir Next" w:hAnsi="Avenir Next" w:cs="Arial"/>
          <w:color w:val="808080" w:themeColor="background1" w:themeShade="80"/>
          <w:sz w:val="22"/>
          <w:szCs w:val="22"/>
        </w:rPr>
        <w:t>For the action to be successful, the liquidator should demonstrate that the company received a lower consideration or no consideration of what it has furnished</w:t>
      </w:r>
      <w:r w:rsidR="00AA2757">
        <w:rPr>
          <w:rFonts w:ascii="Avenir Next" w:hAnsi="Avenir Next" w:cs="Arial"/>
          <w:color w:val="808080" w:themeColor="background1" w:themeShade="80"/>
          <w:sz w:val="22"/>
          <w:szCs w:val="22"/>
        </w:rPr>
        <w:t xml:space="preserve">. This </w:t>
      </w:r>
      <w:r w:rsidR="00EB22B1">
        <w:rPr>
          <w:rFonts w:ascii="Avenir Next" w:hAnsi="Avenir Next" w:cs="Arial"/>
          <w:color w:val="808080" w:themeColor="background1" w:themeShade="80"/>
          <w:sz w:val="22"/>
          <w:szCs w:val="22"/>
        </w:rPr>
        <w:t>essentially</w:t>
      </w:r>
      <w:r w:rsidR="00AA2757">
        <w:rPr>
          <w:rFonts w:ascii="Avenir Next" w:hAnsi="Avenir Next" w:cs="Arial"/>
          <w:color w:val="808080" w:themeColor="background1" w:themeShade="80"/>
          <w:sz w:val="22"/>
          <w:szCs w:val="22"/>
        </w:rPr>
        <w:t xml:space="preserve"> </w:t>
      </w:r>
      <w:r w:rsidR="00671D3C">
        <w:rPr>
          <w:rFonts w:ascii="Avenir Next" w:hAnsi="Avenir Next" w:cs="Arial"/>
          <w:color w:val="808080" w:themeColor="background1" w:themeShade="80"/>
          <w:sz w:val="22"/>
          <w:szCs w:val="22"/>
        </w:rPr>
        <w:t xml:space="preserve">refers to transactions </w:t>
      </w:r>
      <w:r w:rsidR="00AA2757">
        <w:rPr>
          <w:rFonts w:ascii="Avenir Next" w:hAnsi="Avenir Next" w:cs="Arial"/>
          <w:color w:val="808080" w:themeColor="background1" w:themeShade="80"/>
          <w:sz w:val="22"/>
          <w:szCs w:val="22"/>
        </w:rPr>
        <w:t xml:space="preserve">concluded </w:t>
      </w:r>
      <w:r w:rsidR="00671D3C">
        <w:rPr>
          <w:rFonts w:ascii="Avenir Next" w:hAnsi="Avenir Next" w:cs="Arial"/>
          <w:color w:val="808080" w:themeColor="background1" w:themeShade="80"/>
          <w:sz w:val="22"/>
          <w:szCs w:val="22"/>
        </w:rPr>
        <w:t xml:space="preserve">at an undervalue </w:t>
      </w:r>
      <w:r w:rsidR="009E35AF">
        <w:rPr>
          <w:rFonts w:ascii="Avenir Next" w:hAnsi="Avenir Next" w:cs="Arial"/>
          <w:color w:val="808080" w:themeColor="background1" w:themeShade="80"/>
          <w:sz w:val="22"/>
          <w:szCs w:val="22"/>
        </w:rPr>
        <w:t xml:space="preserve">(section 238 of the Insolvency Act </w:t>
      </w:r>
      <w:r w:rsidR="00EB22B1">
        <w:rPr>
          <w:rFonts w:ascii="Avenir Next" w:hAnsi="Avenir Next" w:cs="Arial"/>
          <w:color w:val="808080" w:themeColor="background1" w:themeShade="80"/>
          <w:sz w:val="22"/>
          <w:szCs w:val="22"/>
        </w:rPr>
        <w:t xml:space="preserve">of </w:t>
      </w:r>
      <w:r w:rsidR="009E35AF">
        <w:rPr>
          <w:rFonts w:ascii="Avenir Next" w:hAnsi="Avenir Next" w:cs="Arial"/>
          <w:color w:val="808080" w:themeColor="background1" w:themeShade="80"/>
          <w:sz w:val="22"/>
          <w:szCs w:val="22"/>
        </w:rPr>
        <w:t>1986).</w:t>
      </w:r>
      <w:r w:rsidR="00C45791">
        <w:rPr>
          <w:rFonts w:ascii="Avenir Next" w:hAnsi="Avenir Next" w:cs="Arial"/>
          <w:color w:val="808080" w:themeColor="background1" w:themeShade="80"/>
          <w:sz w:val="22"/>
          <w:szCs w:val="22"/>
        </w:rPr>
        <w:t xml:space="preserve"> </w:t>
      </w:r>
      <w:r w:rsidR="000145D0">
        <w:rPr>
          <w:rFonts w:ascii="Avenir Next" w:hAnsi="Avenir Next" w:cs="Arial"/>
          <w:color w:val="808080" w:themeColor="background1" w:themeShade="80"/>
          <w:sz w:val="22"/>
          <w:szCs w:val="22"/>
        </w:rPr>
        <w:t xml:space="preserve">In addition, the liquidator must prove that the transaction was intended </w:t>
      </w:r>
      <w:r w:rsidR="00FF6403">
        <w:rPr>
          <w:rFonts w:ascii="Avenir Next" w:hAnsi="Avenir Next" w:cs="Arial"/>
          <w:color w:val="808080" w:themeColor="background1" w:themeShade="80"/>
          <w:sz w:val="22"/>
          <w:szCs w:val="22"/>
        </w:rPr>
        <w:t xml:space="preserve">either </w:t>
      </w:r>
      <w:r w:rsidR="000145D0">
        <w:rPr>
          <w:rFonts w:ascii="Avenir Next" w:hAnsi="Avenir Next" w:cs="Arial"/>
          <w:color w:val="808080" w:themeColor="background1" w:themeShade="80"/>
          <w:sz w:val="22"/>
          <w:szCs w:val="22"/>
        </w:rPr>
        <w:t xml:space="preserve">to harm the interests of a person </w:t>
      </w:r>
      <w:r w:rsidR="00456D12">
        <w:rPr>
          <w:rFonts w:ascii="Avenir Next" w:hAnsi="Avenir Next" w:cs="Arial"/>
          <w:color w:val="808080" w:themeColor="background1" w:themeShade="80"/>
          <w:sz w:val="22"/>
          <w:szCs w:val="22"/>
        </w:rPr>
        <w:t>who</w:t>
      </w:r>
      <w:r w:rsidR="005F3AC8">
        <w:rPr>
          <w:rFonts w:ascii="Avenir Next" w:hAnsi="Avenir Next" w:cs="Arial"/>
          <w:color w:val="808080" w:themeColor="background1" w:themeShade="80"/>
          <w:sz w:val="22"/>
          <w:szCs w:val="22"/>
        </w:rPr>
        <w:t xml:space="preserve"> is</w:t>
      </w:r>
      <w:r w:rsidR="00456D12">
        <w:rPr>
          <w:rFonts w:ascii="Avenir Next" w:hAnsi="Avenir Next" w:cs="Arial"/>
          <w:color w:val="808080" w:themeColor="background1" w:themeShade="80"/>
          <w:sz w:val="22"/>
          <w:szCs w:val="22"/>
        </w:rPr>
        <w:t xml:space="preserve"> </w:t>
      </w:r>
      <w:r w:rsidR="000145D0">
        <w:rPr>
          <w:rFonts w:ascii="Avenir Next" w:hAnsi="Avenir Next" w:cs="Arial"/>
          <w:color w:val="808080" w:themeColor="background1" w:themeShade="80"/>
          <w:sz w:val="22"/>
          <w:szCs w:val="22"/>
        </w:rPr>
        <w:t>in</w:t>
      </w:r>
      <w:r w:rsidR="00FF6403">
        <w:rPr>
          <w:rFonts w:ascii="Avenir Next" w:hAnsi="Avenir Next" w:cs="Arial"/>
          <w:color w:val="808080" w:themeColor="background1" w:themeShade="80"/>
          <w:sz w:val="22"/>
          <w:szCs w:val="22"/>
        </w:rPr>
        <w:t xml:space="preserve"> the process of making</w:t>
      </w:r>
      <w:r w:rsidR="000145D0">
        <w:rPr>
          <w:rFonts w:ascii="Avenir Next" w:hAnsi="Avenir Next" w:cs="Arial"/>
          <w:color w:val="808080" w:themeColor="background1" w:themeShade="80"/>
          <w:sz w:val="22"/>
          <w:szCs w:val="22"/>
        </w:rPr>
        <w:t xml:space="preserve"> a claim or </w:t>
      </w:r>
      <w:r w:rsidR="00FF6403">
        <w:rPr>
          <w:rFonts w:ascii="Avenir Next" w:hAnsi="Avenir Next" w:cs="Arial"/>
          <w:color w:val="808080" w:themeColor="background1" w:themeShade="80"/>
          <w:sz w:val="22"/>
          <w:szCs w:val="22"/>
        </w:rPr>
        <w:t>will ma</w:t>
      </w:r>
      <w:r w:rsidR="00456D12">
        <w:rPr>
          <w:rFonts w:ascii="Avenir Next" w:hAnsi="Avenir Next" w:cs="Arial"/>
          <w:color w:val="808080" w:themeColor="background1" w:themeShade="80"/>
          <w:sz w:val="22"/>
          <w:szCs w:val="22"/>
        </w:rPr>
        <w:t>k</w:t>
      </w:r>
      <w:r w:rsidR="00FF6403">
        <w:rPr>
          <w:rFonts w:ascii="Avenir Next" w:hAnsi="Avenir Next" w:cs="Arial"/>
          <w:color w:val="808080" w:themeColor="background1" w:themeShade="80"/>
          <w:sz w:val="22"/>
          <w:szCs w:val="22"/>
        </w:rPr>
        <w:t>e</w:t>
      </w:r>
      <w:r w:rsidR="000145D0">
        <w:rPr>
          <w:rFonts w:ascii="Avenir Next" w:hAnsi="Avenir Next" w:cs="Arial"/>
          <w:color w:val="808080" w:themeColor="background1" w:themeShade="80"/>
          <w:sz w:val="22"/>
          <w:szCs w:val="22"/>
        </w:rPr>
        <w:t xml:space="preserve"> </w:t>
      </w:r>
      <w:r w:rsidR="00456D12">
        <w:rPr>
          <w:rFonts w:ascii="Avenir Next" w:hAnsi="Avenir Next" w:cs="Arial"/>
          <w:color w:val="808080" w:themeColor="background1" w:themeShade="80"/>
          <w:sz w:val="22"/>
          <w:szCs w:val="22"/>
        </w:rPr>
        <w:t xml:space="preserve">a claim </w:t>
      </w:r>
      <w:r w:rsidR="000145D0">
        <w:rPr>
          <w:rFonts w:ascii="Avenir Next" w:hAnsi="Avenir Next" w:cs="Arial"/>
          <w:color w:val="808080" w:themeColor="background1" w:themeShade="80"/>
          <w:sz w:val="22"/>
          <w:szCs w:val="22"/>
        </w:rPr>
        <w:t>against the company</w:t>
      </w:r>
      <w:r w:rsidR="00456D12">
        <w:rPr>
          <w:rFonts w:ascii="Avenir Next" w:hAnsi="Avenir Next" w:cs="Arial"/>
          <w:color w:val="808080" w:themeColor="background1" w:themeShade="80"/>
          <w:sz w:val="22"/>
          <w:szCs w:val="22"/>
        </w:rPr>
        <w:t>,</w:t>
      </w:r>
      <w:r w:rsidR="000145D0">
        <w:rPr>
          <w:rFonts w:ascii="Avenir Next" w:hAnsi="Avenir Next" w:cs="Arial"/>
          <w:color w:val="808080" w:themeColor="background1" w:themeShade="80"/>
          <w:sz w:val="22"/>
          <w:szCs w:val="22"/>
        </w:rPr>
        <w:t xml:space="preserve"> or </w:t>
      </w:r>
      <w:r w:rsidR="00D07231">
        <w:rPr>
          <w:rFonts w:ascii="Avenir Next" w:hAnsi="Avenir Next" w:cs="Arial"/>
          <w:color w:val="808080" w:themeColor="background1" w:themeShade="80"/>
          <w:sz w:val="22"/>
          <w:szCs w:val="22"/>
        </w:rPr>
        <w:t xml:space="preserve">to </w:t>
      </w:r>
      <w:r w:rsidR="000145D0">
        <w:rPr>
          <w:rFonts w:ascii="Avenir Next" w:hAnsi="Avenir Next" w:cs="Arial"/>
          <w:color w:val="808080" w:themeColor="background1" w:themeShade="80"/>
          <w:sz w:val="22"/>
          <w:szCs w:val="22"/>
        </w:rPr>
        <w:t>‘</w:t>
      </w:r>
      <w:r w:rsidR="000145D0" w:rsidRPr="000145D0">
        <w:rPr>
          <w:rFonts w:ascii="Avenir Next" w:hAnsi="Avenir Next" w:cs="Arial"/>
          <w:color w:val="808080" w:themeColor="background1" w:themeShade="80"/>
          <w:sz w:val="22"/>
          <w:szCs w:val="22"/>
        </w:rPr>
        <w:t>keep assets out</w:t>
      </w:r>
      <w:r w:rsidR="000145D0">
        <w:rPr>
          <w:rFonts w:ascii="Avenir Next" w:hAnsi="Avenir Next" w:cs="Arial"/>
          <w:color w:val="808080" w:themeColor="background1" w:themeShade="80"/>
          <w:sz w:val="22"/>
          <w:szCs w:val="22"/>
        </w:rPr>
        <w:t>’</w:t>
      </w:r>
      <w:r w:rsidR="000145D0" w:rsidRPr="000145D0">
        <w:rPr>
          <w:rFonts w:ascii="Avenir Next" w:hAnsi="Avenir Next" w:cs="Arial"/>
          <w:color w:val="808080" w:themeColor="background1" w:themeShade="80"/>
          <w:sz w:val="22"/>
          <w:szCs w:val="22"/>
        </w:rPr>
        <w:t xml:space="preserve"> of the hands of </w:t>
      </w:r>
      <w:r w:rsidR="000145D0">
        <w:rPr>
          <w:rFonts w:ascii="Avenir Next" w:hAnsi="Avenir Next" w:cs="Arial"/>
          <w:color w:val="808080" w:themeColor="background1" w:themeShade="80"/>
          <w:sz w:val="22"/>
          <w:szCs w:val="22"/>
        </w:rPr>
        <w:t xml:space="preserve">persons that are in the process of making </w:t>
      </w:r>
      <w:r w:rsidR="00FF6403">
        <w:rPr>
          <w:rFonts w:ascii="Avenir Next" w:hAnsi="Avenir Next" w:cs="Arial"/>
          <w:color w:val="808080" w:themeColor="background1" w:themeShade="80"/>
          <w:sz w:val="22"/>
          <w:szCs w:val="22"/>
        </w:rPr>
        <w:t>such</w:t>
      </w:r>
      <w:r w:rsidR="000145D0">
        <w:rPr>
          <w:rFonts w:ascii="Avenir Next" w:hAnsi="Avenir Next" w:cs="Arial"/>
          <w:color w:val="808080" w:themeColor="background1" w:themeShade="80"/>
          <w:sz w:val="22"/>
          <w:szCs w:val="22"/>
        </w:rPr>
        <w:t xml:space="preserve"> claim or will eventually make a claim against the company.</w:t>
      </w:r>
      <w:r w:rsidR="005403D1">
        <w:rPr>
          <w:rFonts w:ascii="Avenir Next" w:hAnsi="Avenir Next" w:cs="Arial"/>
          <w:color w:val="808080" w:themeColor="background1" w:themeShade="80"/>
          <w:sz w:val="22"/>
          <w:szCs w:val="22"/>
        </w:rPr>
        <w:t xml:space="preserve"> A considerable advantage of this remedy concerns the absence of any time limit</w:t>
      </w:r>
      <w:r w:rsidR="005F3AC8">
        <w:rPr>
          <w:rFonts w:ascii="Avenir Next" w:hAnsi="Avenir Next" w:cs="Arial"/>
          <w:color w:val="808080" w:themeColor="background1" w:themeShade="80"/>
          <w:sz w:val="22"/>
          <w:szCs w:val="22"/>
        </w:rPr>
        <w:t>.</w:t>
      </w:r>
      <w:r w:rsidR="005403D1">
        <w:rPr>
          <w:rFonts w:ascii="Avenir Next" w:hAnsi="Avenir Next" w:cs="Arial"/>
          <w:color w:val="808080" w:themeColor="background1" w:themeShade="80"/>
          <w:sz w:val="22"/>
          <w:szCs w:val="22"/>
        </w:rPr>
        <w:t xml:space="preserve"> </w:t>
      </w:r>
      <w:r w:rsidR="005F3AC8">
        <w:rPr>
          <w:rFonts w:ascii="Avenir Next" w:hAnsi="Avenir Next" w:cs="Arial"/>
          <w:color w:val="808080" w:themeColor="background1" w:themeShade="80"/>
          <w:sz w:val="22"/>
          <w:szCs w:val="22"/>
        </w:rPr>
        <w:t>A</w:t>
      </w:r>
      <w:r w:rsidR="005403D1">
        <w:rPr>
          <w:rFonts w:ascii="Avenir Next" w:hAnsi="Avenir Next" w:cs="Arial"/>
          <w:color w:val="808080" w:themeColor="background1" w:themeShade="80"/>
          <w:sz w:val="22"/>
          <w:szCs w:val="22"/>
        </w:rPr>
        <w:t xml:space="preserve"> particular transaction could have been entered into years prior to the commencement of the liquidation proceeding.</w:t>
      </w:r>
      <w:r w:rsidR="006C143F">
        <w:rPr>
          <w:rFonts w:ascii="Avenir Next" w:hAnsi="Avenir Next" w:cs="Arial"/>
          <w:color w:val="808080" w:themeColor="background1" w:themeShade="80"/>
          <w:sz w:val="22"/>
          <w:szCs w:val="22"/>
        </w:rPr>
        <w:t xml:space="preserve"> </w:t>
      </w:r>
      <w:r w:rsidR="0095793E">
        <w:rPr>
          <w:rFonts w:ascii="Avenir Next" w:hAnsi="Avenir Next" w:cs="Arial"/>
          <w:color w:val="808080" w:themeColor="background1" w:themeShade="80"/>
          <w:sz w:val="22"/>
          <w:szCs w:val="22"/>
        </w:rPr>
        <w:t xml:space="preserve">Interestingly, transactions in the form of gifts made to connected parties, </w:t>
      </w:r>
      <w:r w:rsidR="002C3D11">
        <w:rPr>
          <w:rFonts w:ascii="Avenir Next" w:hAnsi="Avenir Next" w:cs="Arial"/>
          <w:color w:val="808080" w:themeColor="background1" w:themeShade="80"/>
          <w:sz w:val="22"/>
          <w:szCs w:val="22"/>
        </w:rPr>
        <w:t>such as</w:t>
      </w:r>
      <w:r w:rsidR="0095793E">
        <w:rPr>
          <w:rFonts w:ascii="Avenir Next" w:hAnsi="Avenir Next" w:cs="Arial"/>
          <w:color w:val="808080" w:themeColor="background1" w:themeShade="80"/>
          <w:sz w:val="22"/>
          <w:szCs w:val="22"/>
        </w:rPr>
        <w:t xml:space="preserve"> the company’s management, would also fall under section 423</w:t>
      </w:r>
      <w:r w:rsidR="00BC19DB">
        <w:rPr>
          <w:rFonts w:ascii="Avenir Next" w:hAnsi="Avenir Next" w:cs="Arial"/>
          <w:color w:val="808080" w:themeColor="background1" w:themeShade="80"/>
          <w:sz w:val="22"/>
          <w:szCs w:val="22"/>
        </w:rPr>
        <w:t xml:space="preserve"> of the Act</w:t>
      </w:r>
      <w:r w:rsidR="002C3D11">
        <w:rPr>
          <w:rFonts w:ascii="Avenir Next" w:hAnsi="Avenir Next" w:cs="Arial"/>
          <w:color w:val="808080" w:themeColor="background1" w:themeShade="80"/>
          <w:sz w:val="22"/>
          <w:szCs w:val="22"/>
        </w:rPr>
        <w:t xml:space="preserve">, especially if assets are intended to be kept for a </w:t>
      </w:r>
      <w:r w:rsidR="005F3AC8">
        <w:rPr>
          <w:rFonts w:ascii="Avenir Next" w:hAnsi="Avenir Next" w:cs="Arial"/>
          <w:color w:val="808080" w:themeColor="background1" w:themeShade="80"/>
          <w:sz w:val="22"/>
          <w:szCs w:val="22"/>
        </w:rPr>
        <w:t>“</w:t>
      </w:r>
      <w:r w:rsidR="002C3D11">
        <w:rPr>
          <w:rFonts w:ascii="Avenir Next" w:hAnsi="Avenir Next" w:cs="Arial"/>
          <w:color w:val="808080" w:themeColor="background1" w:themeShade="80"/>
          <w:sz w:val="22"/>
          <w:szCs w:val="22"/>
        </w:rPr>
        <w:t>difficult</w:t>
      </w:r>
      <w:r w:rsidR="005F3AC8">
        <w:rPr>
          <w:rFonts w:ascii="Avenir Next" w:hAnsi="Avenir Next" w:cs="Arial"/>
          <w:color w:val="808080" w:themeColor="background1" w:themeShade="80"/>
          <w:sz w:val="22"/>
          <w:szCs w:val="22"/>
        </w:rPr>
        <w:t>”</w:t>
      </w:r>
      <w:r w:rsidR="002C3D11">
        <w:rPr>
          <w:rFonts w:ascii="Avenir Next" w:hAnsi="Avenir Next" w:cs="Arial"/>
          <w:color w:val="808080" w:themeColor="background1" w:themeShade="80"/>
          <w:sz w:val="22"/>
          <w:szCs w:val="22"/>
        </w:rPr>
        <w:t xml:space="preserve"> situation</w:t>
      </w:r>
      <w:r w:rsidR="0095793E">
        <w:rPr>
          <w:rFonts w:ascii="Avenir Next" w:hAnsi="Avenir Next" w:cs="Arial"/>
          <w:color w:val="808080" w:themeColor="background1" w:themeShade="80"/>
          <w:sz w:val="22"/>
          <w:szCs w:val="22"/>
        </w:rPr>
        <w:t>.</w:t>
      </w:r>
      <w:r w:rsidR="00F23F04">
        <w:rPr>
          <w:rFonts w:ascii="Avenir Next" w:hAnsi="Avenir Next" w:cs="Arial"/>
          <w:color w:val="808080" w:themeColor="background1" w:themeShade="80"/>
          <w:sz w:val="22"/>
          <w:szCs w:val="22"/>
        </w:rPr>
        <w:t xml:space="preserve"> The company is deemed to be the victim of the transaction</w:t>
      </w:r>
      <w:r w:rsidR="00257FCE">
        <w:rPr>
          <w:rFonts w:ascii="Avenir Next" w:hAnsi="Avenir Next" w:cs="Arial"/>
          <w:color w:val="808080" w:themeColor="background1" w:themeShade="80"/>
          <w:sz w:val="22"/>
          <w:szCs w:val="22"/>
        </w:rPr>
        <w:t xml:space="preserve"> and in the context of a liquidation (compulsory winding up) proceeding the liquidator will be applying on behalf of the</w:t>
      </w:r>
      <w:r w:rsidR="008E26E9">
        <w:rPr>
          <w:rFonts w:ascii="Avenir Next" w:hAnsi="Avenir Next" w:cs="Arial"/>
          <w:color w:val="808080" w:themeColor="background1" w:themeShade="80"/>
          <w:sz w:val="22"/>
          <w:szCs w:val="22"/>
        </w:rPr>
        <w:t xml:space="preserve"> victim.</w:t>
      </w:r>
    </w:p>
    <w:p w14:paraId="68233F5E" w14:textId="77777777" w:rsidR="00BD148F" w:rsidRDefault="00BD148F" w:rsidP="00EA3B38">
      <w:pPr>
        <w:jc w:val="both"/>
        <w:rPr>
          <w:rFonts w:ascii="Avenir Next" w:hAnsi="Avenir Next" w:cs="Arial"/>
          <w:color w:val="808080" w:themeColor="background1" w:themeShade="80"/>
          <w:sz w:val="22"/>
          <w:szCs w:val="22"/>
        </w:rPr>
      </w:pPr>
    </w:p>
    <w:p w14:paraId="67C2D407" w14:textId="6FCAD5A0" w:rsidR="00BD148F" w:rsidRDefault="00F2594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anti-deprivation rule </w:t>
      </w:r>
      <w:r w:rsidR="005E0365">
        <w:rPr>
          <w:rFonts w:ascii="Avenir Next" w:hAnsi="Avenir Next" w:cs="Arial"/>
          <w:color w:val="808080" w:themeColor="background1" w:themeShade="80"/>
          <w:sz w:val="22"/>
          <w:szCs w:val="22"/>
        </w:rPr>
        <w:t xml:space="preserve">avoids transactions that aim at ‘depriving’ the insolvency estate from an asset or assets that would be available for creditors. </w:t>
      </w:r>
      <w:r w:rsidR="00837EA8">
        <w:rPr>
          <w:rFonts w:ascii="Avenir Next" w:hAnsi="Avenir Next" w:cs="Arial"/>
          <w:color w:val="808080" w:themeColor="background1" w:themeShade="80"/>
          <w:sz w:val="22"/>
          <w:szCs w:val="22"/>
        </w:rPr>
        <w:t xml:space="preserve">The rule centres on contractual terms that would dispossess the debtor, who would subsequently enter formal insolvency proceedings, from assets. </w:t>
      </w:r>
      <w:r w:rsidR="005B3989">
        <w:rPr>
          <w:rFonts w:ascii="Avenir Next" w:hAnsi="Avenir Next" w:cs="Arial"/>
          <w:color w:val="808080" w:themeColor="background1" w:themeShade="80"/>
          <w:sz w:val="22"/>
          <w:szCs w:val="22"/>
        </w:rPr>
        <w:t>Usually, t</w:t>
      </w:r>
      <w:r w:rsidR="00837EA8">
        <w:rPr>
          <w:rFonts w:ascii="Avenir Next" w:hAnsi="Avenir Next" w:cs="Arial"/>
          <w:color w:val="808080" w:themeColor="background1" w:themeShade="80"/>
          <w:sz w:val="22"/>
          <w:szCs w:val="22"/>
        </w:rPr>
        <w:t xml:space="preserve">his </w:t>
      </w:r>
      <w:r w:rsidR="005B3989">
        <w:rPr>
          <w:rFonts w:ascii="Avenir Next" w:hAnsi="Avenir Next" w:cs="Arial"/>
          <w:color w:val="808080" w:themeColor="background1" w:themeShade="80"/>
          <w:sz w:val="22"/>
          <w:szCs w:val="22"/>
        </w:rPr>
        <w:t>anti-</w:t>
      </w:r>
      <w:r w:rsidR="00837EA8">
        <w:rPr>
          <w:rFonts w:ascii="Avenir Next" w:hAnsi="Avenir Next" w:cs="Arial"/>
          <w:color w:val="808080" w:themeColor="background1" w:themeShade="80"/>
          <w:sz w:val="22"/>
          <w:szCs w:val="22"/>
        </w:rPr>
        <w:t>deprivation</w:t>
      </w:r>
      <w:r w:rsidR="005B3989">
        <w:rPr>
          <w:rFonts w:ascii="Avenir Next" w:hAnsi="Avenir Next" w:cs="Arial"/>
          <w:color w:val="808080" w:themeColor="background1" w:themeShade="80"/>
          <w:sz w:val="22"/>
          <w:szCs w:val="22"/>
        </w:rPr>
        <w:t xml:space="preserve"> rule is not applicable i</w:t>
      </w:r>
      <w:r w:rsidR="00D07231">
        <w:rPr>
          <w:rFonts w:ascii="Avenir Next" w:hAnsi="Avenir Next" w:cs="Arial"/>
          <w:color w:val="808080" w:themeColor="background1" w:themeShade="80"/>
          <w:sz w:val="22"/>
          <w:szCs w:val="22"/>
        </w:rPr>
        <w:t>f</w:t>
      </w:r>
      <w:r w:rsidR="005B3989">
        <w:rPr>
          <w:rFonts w:ascii="Avenir Next" w:hAnsi="Avenir Next" w:cs="Arial"/>
          <w:color w:val="808080" w:themeColor="background1" w:themeShade="80"/>
          <w:sz w:val="22"/>
          <w:szCs w:val="22"/>
        </w:rPr>
        <w:t xml:space="preserve"> the event </w:t>
      </w:r>
      <w:r w:rsidR="00D07231">
        <w:rPr>
          <w:rFonts w:ascii="Avenir Next" w:hAnsi="Avenir Next" w:cs="Arial"/>
          <w:color w:val="808080" w:themeColor="background1" w:themeShade="80"/>
          <w:sz w:val="22"/>
          <w:szCs w:val="22"/>
        </w:rPr>
        <w:t xml:space="preserve">has not been set off by </w:t>
      </w:r>
      <w:r w:rsidR="005B3989">
        <w:rPr>
          <w:rFonts w:ascii="Avenir Next" w:hAnsi="Avenir Next" w:cs="Arial"/>
          <w:color w:val="808080" w:themeColor="background1" w:themeShade="80"/>
          <w:sz w:val="22"/>
          <w:szCs w:val="22"/>
        </w:rPr>
        <w:t>a</w:t>
      </w:r>
      <w:r w:rsidR="00D07231">
        <w:rPr>
          <w:rFonts w:ascii="Avenir Next" w:hAnsi="Avenir Next" w:cs="Arial"/>
          <w:color w:val="808080" w:themeColor="background1" w:themeShade="80"/>
          <w:sz w:val="22"/>
          <w:szCs w:val="22"/>
        </w:rPr>
        <w:t>n</w:t>
      </w:r>
      <w:r w:rsidR="005B3989">
        <w:rPr>
          <w:rFonts w:ascii="Avenir Next" w:hAnsi="Avenir Next" w:cs="Arial"/>
          <w:color w:val="808080" w:themeColor="background1" w:themeShade="80"/>
          <w:sz w:val="22"/>
          <w:szCs w:val="22"/>
        </w:rPr>
        <w:t xml:space="preserve"> insolvency procedure. </w:t>
      </w:r>
      <w:r w:rsidR="00115708">
        <w:rPr>
          <w:rFonts w:ascii="Avenir Next" w:hAnsi="Avenir Next" w:cs="Arial"/>
          <w:color w:val="808080" w:themeColor="background1" w:themeShade="80"/>
          <w:sz w:val="22"/>
          <w:szCs w:val="22"/>
        </w:rPr>
        <w:t xml:space="preserve">Moreover, there is uncertainty among courts as regards the consideration of whether </w:t>
      </w:r>
      <w:r w:rsidR="00FE3509">
        <w:rPr>
          <w:rFonts w:ascii="Avenir Next" w:hAnsi="Avenir Next" w:cs="Arial"/>
          <w:color w:val="808080" w:themeColor="background1" w:themeShade="80"/>
          <w:sz w:val="22"/>
          <w:szCs w:val="22"/>
        </w:rPr>
        <w:t>an</w:t>
      </w:r>
      <w:r w:rsidR="00115708">
        <w:rPr>
          <w:rFonts w:ascii="Avenir Next" w:hAnsi="Avenir Next" w:cs="Arial"/>
          <w:color w:val="808080" w:themeColor="background1" w:themeShade="80"/>
          <w:sz w:val="22"/>
          <w:szCs w:val="22"/>
        </w:rPr>
        <w:t xml:space="preserve"> agreed clause is triggered by the commencement of a formal procedure or by the debtor’s insolvency (</w:t>
      </w:r>
      <w:r w:rsidR="00115708">
        <w:rPr>
          <w:rFonts w:ascii="Avenir Next" w:hAnsi="Avenir Next" w:cs="Arial"/>
          <w:i/>
          <w:iCs/>
          <w:color w:val="808080" w:themeColor="background1" w:themeShade="80"/>
          <w:sz w:val="22"/>
          <w:szCs w:val="22"/>
        </w:rPr>
        <w:t xml:space="preserve">see </w:t>
      </w:r>
      <w:r w:rsidR="00115708">
        <w:rPr>
          <w:rFonts w:ascii="Avenir Next" w:hAnsi="Avenir Next" w:cs="Arial"/>
          <w:color w:val="808080" w:themeColor="background1" w:themeShade="80"/>
          <w:sz w:val="22"/>
          <w:szCs w:val="22"/>
        </w:rPr>
        <w:t xml:space="preserve">Eugenio Vaccari, </w:t>
      </w:r>
      <w:r w:rsidR="00115708" w:rsidRPr="00FE3509">
        <w:rPr>
          <w:rFonts w:ascii="Avenir Next" w:hAnsi="Avenir Next" w:cs="Arial"/>
          <w:i/>
          <w:iCs/>
          <w:color w:val="808080" w:themeColor="background1" w:themeShade="80"/>
          <w:sz w:val="22"/>
          <w:szCs w:val="22"/>
        </w:rPr>
        <w:t>The normative and Jural meanings of the anti-deprivation principle vis-à-vis freedom of contract</w:t>
      </w:r>
      <w:r w:rsidR="00115708">
        <w:rPr>
          <w:rFonts w:ascii="Avenir Next" w:hAnsi="Avenir Next" w:cs="Arial"/>
          <w:color w:val="808080" w:themeColor="background1" w:themeShade="80"/>
          <w:sz w:val="22"/>
          <w:szCs w:val="22"/>
        </w:rPr>
        <w:t>, Wiley, INSOL International (2021)).</w:t>
      </w:r>
      <w:r w:rsidR="00E7116E">
        <w:rPr>
          <w:rFonts w:ascii="Avenir Next" w:hAnsi="Avenir Next" w:cs="Arial"/>
          <w:color w:val="808080" w:themeColor="background1" w:themeShade="80"/>
          <w:sz w:val="22"/>
          <w:szCs w:val="22"/>
        </w:rPr>
        <w:t xml:space="preserve"> </w:t>
      </w:r>
    </w:p>
    <w:p w14:paraId="7EED080A" w14:textId="77777777" w:rsidR="00BD148F" w:rsidRDefault="00BD148F" w:rsidP="00EA3B38">
      <w:pPr>
        <w:jc w:val="both"/>
        <w:rPr>
          <w:rFonts w:ascii="Avenir Next" w:hAnsi="Avenir Next" w:cs="Arial"/>
          <w:color w:val="808080" w:themeColor="background1" w:themeShade="80"/>
          <w:sz w:val="22"/>
          <w:szCs w:val="22"/>
        </w:rPr>
      </w:pPr>
    </w:p>
    <w:p w14:paraId="7256D4AC" w14:textId="10A92841" w:rsidR="00F2594C" w:rsidRDefault="00AF6E49" w:rsidP="00EA3B38">
      <w:pPr>
        <w:jc w:val="both"/>
        <w:rPr>
          <w:rFonts w:ascii="Avenir Next" w:hAnsi="Avenir Next" w:cs="Arial"/>
          <w:color w:val="808080" w:themeColor="background1" w:themeShade="80"/>
          <w:sz w:val="22"/>
          <w:szCs w:val="22"/>
        </w:rPr>
      </w:pPr>
      <w:r w:rsidRPr="003B5A69">
        <w:rPr>
          <w:rFonts w:ascii="Avenir Next" w:hAnsi="Avenir Next" w:cs="Arial"/>
          <w:color w:val="808080" w:themeColor="background1" w:themeShade="80"/>
          <w:sz w:val="22"/>
          <w:szCs w:val="22"/>
        </w:rPr>
        <w:t>Concerning the</w:t>
      </w:r>
      <w:r w:rsidR="00A1734A" w:rsidRPr="003B5A69">
        <w:rPr>
          <w:rFonts w:ascii="Avenir Next" w:hAnsi="Avenir Next" w:cs="Arial"/>
          <w:color w:val="808080" w:themeColor="background1" w:themeShade="80"/>
          <w:sz w:val="22"/>
          <w:szCs w:val="22"/>
        </w:rPr>
        <w:t xml:space="preserve"> </w:t>
      </w:r>
      <w:r w:rsidR="00BD148F" w:rsidRPr="003B5A69">
        <w:rPr>
          <w:rFonts w:ascii="Avenir Next" w:hAnsi="Avenir Next" w:cs="Arial"/>
          <w:color w:val="808080" w:themeColor="background1" w:themeShade="80"/>
          <w:sz w:val="22"/>
          <w:szCs w:val="22"/>
        </w:rPr>
        <w:t xml:space="preserve">anti-deprivation </w:t>
      </w:r>
      <w:r w:rsidR="00A1734A" w:rsidRPr="003B5A69">
        <w:rPr>
          <w:rFonts w:ascii="Avenir Next" w:hAnsi="Avenir Next" w:cs="Arial"/>
          <w:color w:val="808080" w:themeColor="background1" w:themeShade="80"/>
          <w:sz w:val="22"/>
          <w:szCs w:val="22"/>
        </w:rPr>
        <w:t>principle</w:t>
      </w:r>
      <w:r w:rsidRPr="003B5A69">
        <w:rPr>
          <w:rFonts w:ascii="Avenir Next" w:hAnsi="Avenir Next" w:cs="Arial"/>
          <w:color w:val="808080" w:themeColor="background1" w:themeShade="80"/>
          <w:sz w:val="22"/>
          <w:szCs w:val="22"/>
        </w:rPr>
        <w:t xml:space="preserve">, </w:t>
      </w:r>
      <w:r w:rsidR="003A3059">
        <w:rPr>
          <w:rFonts w:ascii="Avenir Next" w:hAnsi="Avenir Next" w:cs="Arial"/>
          <w:color w:val="808080" w:themeColor="background1" w:themeShade="80"/>
          <w:sz w:val="22"/>
          <w:szCs w:val="22"/>
        </w:rPr>
        <w:t xml:space="preserve">in </w:t>
      </w:r>
      <w:r w:rsidRPr="003B5A69">
        <w:rPr>
          <w:rFonts w:ascii="Avenir Next" w:hAnsi="Avenir Next" w:cs="Arial"/>
          <w:color w:val="808080" w:themeColor="background1" w:themeShade="80"/>
          <w:sz w:val="22"/>
          <w:szCs w:val="22"/>
        </w:rPr>
        <w:t xml:space="preserve">the case at hand </w:t>
      </w:r>
      <w:r w:rsidR="003A3059">
        <w:rPr>
          <w:rFonts w:ascii="Avenir Next" w:hAnsi="Avenir Next" w:cs="Arial"/>
          <w:color w:val="808080" w:themeColor="background1" w:themeShade="80"/>
          <w:sz w:val="22"/>
          <w:szCs w:val="22"/>
        </w:rPr>
        <w:t>there is no indication that a</w:t>
      </w:r>
      <w:r w:rsidR="00A1734A" w:rsidRPr="003B5A69">
        <w:rPr>
          <w:rFonts w:ascii="Avenir Next" w:hAnsi="Avenir Next" w:cs="Arial"/>
          <w:color w:val="808080" w:themeColor="background1" w:themeShade="80"/>
          <w:sz w:val="22"/>
          <w:szCs w:val="22"/>
        </w:rPr>
        <w:t xml:space="preserve"> deprivation </w:t>
      </w:r>
      <w:r w:rsidR="003B5A69">
        <w:rPr>
          <w:rFonts w:ascii="Avenir Next" w:hAnsi="Avenir Next" w:cs="Arial"/>
          <w:color w:val="808080" w:themeColor="background1" w:themeShade="80"/>
          <w:sz w:val="22"/>
          <w:szCs w:val="22"/>
        </w:rPr>
        <w:t xml:space="preserve"> is</w:t>
      </w:r>
      <w:r w:rsidR="00A1734A" w:rsidRPr="003B5A69">
        <w:rPr>
          <w:rFonts w:ascii="Avenir Next" w:hAnsi="Avenir Next" w:cs="Arial"/>
          <w:color w:val="808080" w:themeColor="background1" w:themeShade="80"/>
          <w:sz w:val="22"/>
          <w:szCs w:val="22"/>
        </w:rPr>
        <w:t xml:space="preserve"> set off by the insolvency proceeding</w:t>
      </w:r>
      <w:r w:rsidR="00D86681">
        <w:rPr>
          <w:rFonts w:ascii="Avenir Next" w:hAnsi="Avenir Next" w:cs="Arial"/>
          <w:color w:val="808080" w:themeColor="background1" w:themeShade="80"/>
          <w:sz w:val="22"/>
          <w:szCs w:val="22"/>
        </w:rPr>
        <w:t>,</w:t>
      </w:r>
      <w:r w:rsidR="003A3059">
        <w:rPr>
          <w:rFonts w:ascii="Avenir Next" w:hAnsi="Avenir Next" w:cs="Arial"/>
          <w:color w:val="808080" w:themeColor="background1" w:themeShade="80"/>
          <w:sz w:val="22"/>
          <w:szCs w:val="22"/>
        </w:rPr>
        <w:t xml:space="preserve"> except that “</w:t>
      </w:r>
      <w:r w:rsidR="003A3059" w:rsidRPr="003A3059">
        <w:rPr>
          <w:rFonts w:ascii="Avenir Next" w:hAnsi="Avenir Next" w:cs="Arial"/>
          <w:color w:val="808080" w:themeColor="background1" w:themeShade="80"/>
          <w:sz w:val="22"/>
          <w:szCs w:val="22"/>
        </w:rPr>
        <w:t>the Company continued to suffer cash flow problems</w:t>
      </w:r>
      <w:r w:rsidR="003A3059">
        <w:rPr>
          <w:rFonts w:ascii="Avenir Next" w:hAnsi="Avenir Next" w:cs="Arial"/>
          <w:color w:val="808080" w:themeColor="background1" w:themeShade="80"/>
          <w:sz w:val="22"/>
          <w:szCs w:val="22"/>
        </w:rPr>
        <w:t>”.</w:t>
      </w:r>
      <w:r w:rsidR="00A1734A" w:rsidRPr="003B5A69">
        <w:rPr>
          <w:rFonts w:ascii="Avenir Next" w:hAnsi="Avenir Next" w:cs="Arial"/>
          <w:color w:val="808080" w:themeColor="background1" w:themeShade="80"/>
          <w:sz w:val="22"/>
          <w:szCs w:val="22"/>
        </w:rPr>
        <w:t xml:space="preserve"> </w:t>
      </w:r>
      <w:r w:rsidR="003A3059">
        <w:rPr>
          <w:rFonts w:ascii="Avenir Next" w:hAnsi="Avenir Next" w:cs="Arial"/>
          <w:color w:val="808080" w:themeColor="background1" w:themeShade="80"/>
          <w:sz w:val="22"/>
          <w:szCs w:val="22"/>
        </w:rPr>
        <w:t xml:space="preserve">In any event, the case </w:t>
      </w:r>
      <w:r w:rsidR="00D560C8">
        <w:rPr>
          <w:rFonts w:ascii="Avenir Next" w:hAnsi="Avenir Next" w:cs="Arial"/>
          <w:color w:val="808080" w:themeColor="background1" w:themeShade="80"/>
          <w:sz w:val="22"/>
          <w:szCs w:val="22"/>
        </w:rPr>
        <w:t xml:space="preserve">is not linked </w:t>
      </w:r>
      <w:r w:rsidR="008F26C8" w:rsidRPr="003B5A69">
        <w:rPr>
          <w:rFonts w:ascii="Avenir Next" w:hAnsi="Avenir Next" w:cs="Arial"/>
          <w:color w:val="808080" w:themeColor="background1" w:themeShade="80"/>
          <w:sz w:val="22"/>
          <w:szCs w:val="22"/>
        </w:rPr>
        <w:t>to</w:t>
      </w:r>
      <w:r w:rsidR="00A1734A" w:rsidRPr="003B5A69">
        <w:rPr>
          <w:rFonts w:ascii="Avenir Next" w:hAnsi="Avenir Next" w:cs="Arial"/>
          <w:color w:val="808080" w:themeColor="background1" w:themeShade="80"/>
          <w:sz w:val="22"/>
          <w:szCs w:val="22"/>
        </w:rPr>
        <w:t xml:space="preserve"> the existence o</w:t>
      </w:r>
      <w:r w:rsidR="00D75A94">
        <w:rPr>
          <w:rFonts w:ascii="Avenir Next" w:hAnsi="Avenir Next" w:cs="Arial"/>
          <w:color w:val="808080" w:themeColor="background1" w:themeShade="80"/>
          <w:sz w:val="22"/>
          <w:szCs w:val="22"/>
        </w:rPr>
        <w:t>r</w:t>
      </w:r>
      <w:r w:rsidR="00A1734A" w:rsidRPr="003B5A69">
        <w:rPr>
          <w:rFonts w:ascii="Avenir Next" w:hAnsi="Avenir Next" w:cs="Arial"/>
          <w:color w:val="808080" w:themeColor="background1" w:themeShade="80"/>
          <w:sz w:val="22"/>
          <w:szCs w:val="22"/>
        </w:rPr>
        <w:t xml:space="preserve"> the consideration of clauses</w:t>
      </w:r>
      <w:r w:rsidR="00502A62" w:rsidRPr="003B5A69">
        <w:rPr>
          <w:rFonts w:ascii="Avenir Next" w:hAnsi="Avenir Next" w:cs="Arial"/>
          <w:color w:val="808080" w:themeColor="background1" w:themeShade="80"/>
          <w:sz w:val="22"/>
          <w:szCs w:val="22"/>
        </w:rPr>
        <w:t xml:space="preserve">, </w:t>
      </w:r>
      <w:r w:rsidR="00502A62" w:rsidRPr="003B5A69">
        <w:rPr>
          <w:rFonts w:ascii="Avenir Next" w:hAnsi="Avenir Next" w:cs="Arial"/>
          <w:i/>
          <w:iCs/>
          <w:color w:val="808080" w:themeColor="background1" w:themeShade="80"/>
          <w:sz w:val="22"/>
          <w:szCs w:val="22"/>
        </w:rPr>
        <w:t>ipso facto</w:t>
      </w:r>
      <w:r w:rsidR="00502A62" w:rsidRPr="003B5A69">
        <w:rPr>
          <w:rFonts w:ascii="Avenir Next" w:hAnsi="Avenir Next" w:cs="Arial"/>
          <w:color w:val="808080" w:themeColor="background1" w:themeShade="80"/>
          <w:sz w:val="22"/>
          <w:szCs w:val="22"/>
        </w:rPr>
        <w:t xml:space="preserve"> or other</w:t>
      </w:r>
      <w:r w:rsidR="008F26C8" w:rsidRPr="003B5A69">
        <w:rPr>
          <w:rFonts w:ascii="Avenir Next" w:hAnsi="Avenir Next" w:cs="Arial"/>
          <w:color w:val="808080" w:themeColor="background1" w:themeShade="80"/>
          <w:sz w:val="22"/>
          <w:szCs w:val="22"/>
        </w:rPr>
        <w:t xml:space="preserve"> agreed terms</w:t>
      </w:r>
      <w:r w:rsidR="00D75A94">
        <w:rPr>
          <w:rFonts w:ascii="Avenir Next" w:hAnsi="Avenir Next" w:cs="Arial"/>
          <w:color w:val="808080" w:themeColor="background1" w:themeShade="80"/>
          <w:sz w:val="22"/>
          <w:szCs w:val="22"/>
        </w:rPr>
        <w:t>,</w:t>
      </w:r>
      <w:r w:rsidR="008F26C8" w:rsidRPr="003B5A69">
        <w:rPr>
          <w:rFonts w:ascii="Avenir Next" w:hAnsi="Avenir Next" w:cs="Arial"/>
          <w:color w:val="808080" w:themeColor="background1" w:themeShade="80"/>
          <w:sz w:val="22"/>
          <w:szCs w:val="22"/>
        </w:rPr>
        <w:t xml:space="preserve"> intended to deprive a subsequently insolvent party of property that would be at the disposal of creditor</w:t>
      </w:r>
      <w:r w:rsidR="00FE3509">
        <w:rPr>
          <w:rFonts w:ascii="Avenir Next" w:hAnsi="Avenir Next" w:cs="Arial"/>
          <w:color w:val="808080" w:themeColor="background1" w:themeShade="80"/>
          <w:sz w:val="22"/>
          <w:szCs w:val="22"/>
        </w:rPr>
        <w:t>s</w:t>
      </w:r>
      <w:r w:rsidR="00D86681">
        <w:rPr>
          <w:rFonts w:ascii="Avenir Next" w:hAnsi="Avenir Next" w:cs="Arial"/>
          <w:color w:val="808080" w:themeColor="background1" w:themeShade="80"/>
          <w:sz w:val="22"/>
          <w:szCs w:val="22"/>
        </w:rPr>
        <w:t>.</w:t>
      </w:r>
    </w:p>
    <w:p w14:paraId="0DCD6929" w14:textId="77777777" w:rsidR="005654D2" w:rsidRDefault="005654D2" w:rsidP="00EA3B38">
      <w:pPr>
        <w:jc w:val="both"/>
        <w:rPr>
          <w:rFonts w:ascii="Avenir Next" w:hAnsi="Avenir Next" w:cs="Arial"/>
          <w:color w:val="808080" w:themeColor="background1" w:themeShade="80"/>
          <w:sz w:val="22"/>
          <w:szCs w:val="22"/>
        </w:rPr>
      </w:pPr>
    </w:p>
    <w:p w14:paraId="6C4E5F58" w14:textId="7CC50B2C" w:rsidR="004B54C6" w:rsidRDefault="004B54C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At the same time, </w:t>
      </w:r>
      <w:r w:rsidR="00E05896">
        <w:rPr>
          <w:rFonts w:ascii="Avenir Next" w:hAnsi="Avenir Next" w:cs="Arial"/>
          <w:color w:val="808080" w:themeColor="background1" w:themeShade="80"/>
          <w:sz w:val="22"/>
          <w:szCs w:val="22"/>
        </w:rPr>
        <w:t xml:space="preserve">the possibility of making </w:t>
      </w:r>
      <w:r>
        <w:rPr>
          <w:rFonts w:ascii="Avenir Next" w:hAnsi="Avenir Next" w:cs="Arial"/>
          <w:color w:val="808080" w:themeColor="background1" w:themeShade="80"/>
          <w:sz w:val="22"/>
          <w:szCs w:val="22"/>
        </w:rPr>
        <w:t xml:space="preserve">an application under section 423 </w:t>
      </w:r>
      <w:r w:rsidR="002A0F29">
        <w:rPr>
          <w:rFonts w:ascii="Avenir Next" w:hAnsi="Avenir Next" w:cs="Arial"/>
          <w:color w:val="808080" w:themeColor="background1" w:themeShade="80"/>
          <w:sz w:val="22"/>
          <w:szCs w:val="22"/>
        </w:rPr>
        <w:t xml:space="preserve">should be </w:t>
      </w:r>
      <w:r w:rsidR="00C9227C">
        <w:rPr>
          <w:rFonts w:ascii="Avenir Next" w:hAnsi="Avenir Next" w:cs="Arial"/>
          <w:color w:val="808080" w:themeColor="background1" w:themeShade="80"/>
          <w:sz w:val="22"/>
          <w:szCs w:val="22"/>
        </w:rPr>
        <w:t>also observed</w:t>
      </w:r>
      <w:r w:rsidR="00D75A94">
        <w:rPr>
          <w:rFonts w:ascii="Avenir Next" w:hAnsi="Avenir Next" w:cs="Arial"/>
          <w:color w:val="808080" w:themeColor="background1" w:themeShade="80"/>
          <w:sz w:val="22"/>
          <w:szCs w:val="22"/>
        </w:rPr>
        <w:t>. T</w:t>
      </w:r>
      <w:r>
        <w:rPr>
          <w:rFonts w:ascii="Avenir Next" w:hAnsi="Avenir Next" w:cs="Arial"/>
          <w:color w:val="808080" w:themeColor="background1" w:themeShade="80"/>
          <w:sz w:val="22"/>
          <w:szCs w:val="22"/>
        </w:rPr>
        <w:t>he Company itself approved the sale of the two marble cutting machines to a director of the Company, Rita Perkins</w:t>
      </w:r>
      <w:r w:rsidR="00D75A94">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for a considerably reduced price of GBP 10,000. These machines had been purchased by the Company one year before for GBP 25,000.</w:t>
      </w:r>
      <w:r w:rsidR="002A0F29">
        <w:rPr>
          <w:rFonts w:ascii="Avenir Next" w:hAnsi="Avenir Next" w:cs="Arial"/>
          <w:color w:val="808080" w:themeColor="background1" w:themeShade="80"/>
          <w:sz w:val="22"/>
          <w:szCs w:val="22"/>
        </w:rPr>
        <w:t xml:space="preserve"> </w:t>
      </w:r>
      <w:r w:rsidR="00E05896">
        <w:rPr>
          <w:rFonts w:ascii="Avenir Next" w:hAnsi="Avenir Next" w:cs="Arial"/>
          <w:color w:val="808080" w:themeColor="background1" w:themeShade="80"/>
          <w:sz w:val="22"/>
          <w:szCs w:val="22"/>
        </w:rPr>
        <w:t>However,</w:t>
      </w:r>
      <w:r w:rsidR="002615D9">
        <w:rPr>
          <w:rFonts w:ascii="Avenir Next" w:hAnsi="Avenir Next" w:cs="Arial"/>
          <w:color w:val="808080" w:themeColor="background1" w:themeShade="80"/>
          <w:sz w:val="22"/>
          <w:szCs w:val="22"/>
        </w:rPr>
        <w:t xml:space="preserve"> although the situation of the absence of a time limit is advantageous,</w:t>
      </w:r>
      <w:r w:rsidR="00E05896">
        <w:rPr>
          <w:rFonts w:ascii="Avenir Next" w:hAnsi="Avenir Next" w:cs="Arial"/>
          <w:color w:val="808080" w:themeColor="background1" w:themeShade="80"/>
          <w:sz w:val="22"/>
          <w:szCs w:val="22"/>
        </w:rPr>
        <w:t xml:space="preserve"> the liquidator will have to prove the intention</w:t>
      </w:r>
      <w:r w:rsidR="00D75A94">
        <w:rPr>
          <w:rFonts w:ascii="Avenir Next" w:hAnsi="Avenir Next" w:cs="Arial"/>
          <w:color w:val="808080" w:themeColor="background1" w:themeShade="80"/>
          <w:sz w:val="22"/>
          <w:szCs w:val="22"/>
        </w:rPr>
        <w:t xml:space="preserve"> of the Company to ‘defraud creditors’</w:t>
      </w:r>
      <w:r w:rsidR="00713B8B">
        <w:rPr>
          <w:rFonts w:ascii="Avenir Next" w:hAnsi="Avenir Next" w:cs="Arial"/>
          <w:color w:val="808080" w:themeColor="background1" w:themeShade="80"/>
          <w:sz w:val="22"/>
          <w:szCs w:val="22"/>
        </w:rPr>
        <w:t>,</w:t>
      </w:r>
      <w:r w:rsidR="00D75A94">
        <w:rPr>
          <w:rFonts w:ascii="Avenir Next" w:hAnsi="Avenir Next" w:cs="Arial"/>
          <w:color w:val="808080" w:themeColor="background1" w:themeShade="80"/>
          <w:sz w:val="22"/>
          <w:szCs w:val="22"/>
        </w:rPr>
        <w:t xml:space="preserve"> which includes either that the Company aimed at</w:t>
      </w:r>
      <w:r w:rsidR="00E05896">
        <w:rPr>
          <w:rFonts w:ascii="Avenir Next" w:hAnsi="Avenir Next" w:cs="Arial"/>
          <w:color w:val="808080" w:themeColor="background1" w:themeShade="80"/>
          <w:sz w:val="22"/>
          <w:szCs w:val="22"/>
        </w:rPr>
        <w:t xml:space="preserve"> keep</w:t>
      </w:r>
      <w:r w:rsidR="00D75A94">
        <w:rPr>
          <w:rFonts w:ascii="Avenir Next" w:hAnsi="Avenir Next" w:cs="Arial"/>
          <w:color w:val="808080" w:themeColor="background1" w:themeShade="80"/>
          <w:sz w:val="22"/>
          <w:szCs w:val="22"/>
        </w:rPr>
        <w:t>ing</w:t>
      </w:r>
      <w:r w:rsidR="00E05896">
        <w:rPr>
          <w:rFonts w:ascii="Avenir Next" w:hAnsi="Avenir Next" w:cs="Arial"/>
          <w:color w:val="808080" w:themeColor="background1" w:themeShade="80"/>
          <w:sz w:val="22"/>
          <w:szCs w:val="22"/>
        </w:rPr>
        <w:t xml:space="preserve"> the marble cutting machines out of the reach of creditors </w:t>
      </w:r>
      <w:r w:rsidR="00713B8B">
        <w:rPr>
          <w:rFonts w:ascii="Avenir Next" w:hAnsi="Avenir Next" w:cs="Arial"/>
          <w:color w:val="808080" w:themeColor="background1" w:themeShade="80"/>
          <w:sz w:val="22"/>
          <w:szCs w:val="22"/>
        </w:rPr>
        <w:t xml:space="preserve">(who were in the process of making or </w:t>
      </w:r>
      <w:r w:rsidR="00390CBC">
        <w:rPr>
          <w:rFonts w:ascii="Avenir Next" w:hAnsi="Avenir Next" w:cs="Arial"/>
          <w:color w:val="808080" w:themeColor="background1" w:themeShade="80"/>
          <w:sz w:val="22"/>
          <w:szCs w:val="22"/>
        </w:rPr>
        <w:t>may make an application in the future</w:t>
      </w:r>
      <w:r w:rsidR="00713B8B">
        <w:rPr>
          <w:rFonts w:ascii="Avenir Next" w:hAnsi="Avenir Next" w:cs="Arial"/>
          <w:color w:val="808080" w:themeColor="background1" w:themeShade="80"/>
          <w:sz w:val="22"/>
          <w:szCs w:val="22"/>
        </w:rPr>
        <w:t>)</w:t>
      </w:r>
      <w:r w:rsidR="00390CBC">
        <w:rPr>
          <w:rFonts w:ascii="Avenir Next" w:hAnsi="Avenir Next" w:cs="Arial"/>
          <w:color w:val="808080" w:themeColor="background1" w:themeShade="80"/>
          <w:sz w:val="22"/>
          <w:szCs w:val="22"/>
        </w:rPr>
        <w:t xml:space="preserve"> </w:t>
      </w:r>
      <w:r w:rsidR="00E05896">
        <w:rPr>
          <w:rFonts w:ascii="Avenir Next" w:hAnsi="Avenir Next" w:cs="Arial"/>
          <w:color w:val="808080" w:themeColor="background1" w:themeShade="80"/>
          <w:sz w:val="22"/>
          <w:szCs w:val="22"/>
        </w:rPr>
        <w:t xml:space="preserve">or </w:t>
      </w:r>
      <w:r w:rsidR="00D75A94">
        <w:rPr>
          <w:rFonts w:ascii="Avenir Next" w:hAnsi="Avenir Next" w:cs="Arial"/>
          <w:color w:val="808080" w:themeColor="background1" w:themeShade="80"/>
          <w:sz w:val="22"/>
          <w:szCs w:val="22"/>
        </w:rPr>
        <w:t>that the Company aimed at harming</w:t>
      </w:r>
      <w:r w:rsidR="00E05896">
        <w:rPr>
          <w:rFonts w:ascii="Avenir Next" w:hAnsi="Avenir Next" w:cs="Arial"/>
          <w:color w:val="808080" w:themeColor="background1" w:themeShade="80"/>
          <w:sz w:val="22"/>
          <w:szCs w:val="22"/>
        </w:rPr>
        <w:t xml:space="preserve"> </w:t>
      </w:r>
      <w:r w:rsidR="005F7321">
        <w:rPr>
          <w:rFonts w:ascii="Avenir Next" w:hAnsi="Avenir Next" w:cs="Arial"/>
          <w:color w:val="808080" w:themeColor="background1" w:themeShade="80"/>
          <w:sz w:val="22"/>
          <w:szCs w:val="22"/>
        </w:rPr>
        <w:t>the interests of such</w:t>
      </w:r>
      <w:r w:rsidR="00390CBC">
        <w:rPr>
          <w:rFonts w:ascii="Avenir Next" w:hAnsi="Avenir Next" w:cs="Arial"/>
          <w:color w:val="808080" w:themeColor="background1" w:themeShade="80"/>
          <w:sz w:val="22"/>
          <w:szCs w:val="22"/>
        </w:rPr>
        <w:t xml:space="preserve"> </w:t>
      </w:r>
      <w:r w:rsidR="00E05896">
        <w:rPr>
          <w:rFonts w:ascii="Avenir Next" w:hAnsi="Avenir Next" w:cs="Arial"/>
          <w:color w:val="808080" w:themeColor="background1" w:themeShade="80"/>
          <w:sz w:val="22"/>
          <w:szCs w:val="22"/>
        </w:rPr>
        <w:t>creditors</w:t>
      </w:r>
      <w:r w:rsidR="00713B8B">
        <w:rPr>
          <w:rFonts w:ascii="Avenir Next" w:hAnsi="Avenir Next" w:cs="Arial"/>
          <w:color w:val="808080" w:themeColor="background1" w:themeShade="80"/>
          <w:sz w:val="22"/>
          <w:szCs w:val="22"/>
        </w:rPr>
        <w:t>.</w:t>
      </w:r>
    </w:p>
    <w:p w14:paraId="0FE721AA" w14:textId="77777777" w:rsidR="005654D2" w:rsidRDefault="005654D2" w:rsidP="00EA3B38">
      <w:pPr>
        <w:jc w:val="both"/>
        <w:rPr>
          <w:rFonts w:ascii="Avenir Next" w:hAnsi="Avenir Next" w:cs="Arial"/>
          <w:color w:val="808080" w:themeColor="background1" w:themeShade="80"/>
          <w:sz w:val="22"/>
          <w:szCs w:val="22"/>
        </w:rPr>
      </w:pPr>
    </w:p>
    <w:p w14:paraId="6B66114B" w14:textId="7F4ED5E7" w:rsidR="0078036F" w:rsidRDefault="0078036F" w:rsidP="0078036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 respect to section 238 (transactions at undervalue), the Company sold to a director, Rita Perkins, the two marble cutting machines for a reduced price of GBP 10,000 in July 2022, before the Company entered compulsory liquidation in December 2022. The transaction falls within the two-year time limit. The rebuttable presumption that the </w:t>
      </w:r>
      <w:r w:rsidR="00C9227C">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ompany became unable to pay its debts as a result of that transaction with a connected person or was already unable to pay its debts</w:t>
      </w:r>
      <w:r w:rsidR="00800C6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is an interesting element of this remedy. The connected person</w:t>
      </w:r>
      <w:r w:rsidR="00800C6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in this context</w:t>
      </w:r>
      <w:r w:rsidR="00800C6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would be one of the directors of the Company, Rita Perkins. </w:t>
      </w:r>
      <w:r w:rsidR="000C36C7">
        <w:rPr>
          <w:rFonts w:ascii="Avenir Next" w:hAnsi="Avenir Next" w:cs="Arial"/>
          <w:color w:val="808080" w:themeColor="background1" w:themeShade="80"/>
          <w:sz w:val="22"/>
          <w:szCs w:val="22"/>
        </w:rPr>
        <w:t>This remedy seems to be the most relevant for the present purposes.</w:t>
      </w:r>
    </w:p>
    <w:p w14:paraId="5FAF0608" w14:textId="77777777" w:rsidR="005654D2" w:rsidRDefault="005654D2" w:rsidP="0078036F">
      <w:pPr>
        <w:jc w:val="both"/>
        <w:rPr>
          <w:rFonts w:ascii="Avenir Next" w:hAnsi="Avenir Next" w:cs="Arial"/>
          <w:color w:val="808080" w:themeColor="background1" w:themeShade="80"/>
          <w:sz w:val="22"/>
          <w:szCs w:val="22"/>
        </w:rPr>
      </w:pPr>
    </w:p>
    <w:p w14:paraId="6709C259" w14:textId="6C815DF8" w:rsidR="0078036F" w:rsidRPr="00115708" w:rsidRDefault="008F3BB9" w:rsidP="000C36C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 another note</w:t>
      </w:r>
      <w:r w:rsidR="0078036F">
        <w:rPr>
          <w:rFonts w:ascii="Avenir Next" w:hAnsi="Avenir Next" w:cs="Arial"/>
          <w:color w:val="808080" w:themeColor="background1" w:themeShade="80"/>
          <w:sz w:val="22"/>
          <w:szCs w:val="22"/>
        </w:rPr>
        <w:t xml:space="preserve">, it is useful to </w:t>
      </w:r>
      <w:r w:rsidR="00800C67">
        <w:rPr>
          <w:rFonts w:ascii="Avenir Next" w:hAnsi="Avenir Next" w:cs="Arial"/>
          <w:color w:val="808080" w:themeColor="background1" w:themeShade="80"/>
          <w:sz w:val="22"/>
          <w:szCs w:val="22"/>
        </w:rPr>
        <w:t>underscore</w:t>
      </w:r>
      <w:r w:rsidR="0078036F">
        <w:rPr>
          <w:rFonts w:ascii="Avenir Next" w:hAnsi="Avenir Next" w:cs="Arial"/>
          <w:color w:val="808080" w:themeColor="background1" w:themeShade="80"/>
          <w:sz w:val="22"/>
          <w:szCs w:val="22"/>
        </w:rPr>
        <w:t xml:space="preserve"> that the liquidator may have the possibility, under section 212 of the Insolvency Act</w:t>
      </w:r>
      <w:r w:rsidR="004E05B8">
        <w:rPr>
          <w:rFonts w:ascii="Avenir Next" w:hAnsi="Avenir Next" w:cs="Arial"/>
          <w:color w:val="808080" w:themeColor="background1" w:themeShade="80"/>
          <w:sz w:val="22"/>
          <w:szCs w:val="22"/>
        </w:rPr>
        <w:t xml:space="preserve"> (1986)</w:t>
      </w:r>
      <w:r w:rsidR="0078036F">
        <w:rPr>
          <w:rFonts w:ascii="Avenir Next" w:hAnsi="Avenir Next" w:cs="Arial"/>
          <w:color w:val="808080" w:themeColor="background1" w:themeShade="80"/>
          <w:sz w:val="22"/>
          <w:szCs w:val="22"/>
        </w:rPr>
        <w:t xml:space="preserve">, to bring an action for misfeasance with regard to any misfeasance or breach of duty concerning the </w:t>
      </w:r>
      <w:r w:rsidR="00C9227C">
        <w:rPr>
          <w:rFonts w:ascii="Avenir Next" w:hAnsi="Avenir Next" w:cs="Arial"/>
          <w:color w:val="808080" w:themeColor="background1" w:themeShade="80"/>
          <w:sz w:val="22"/>
          <w:szCs w:val="22"/>
        </w:rPr>
        <w:t>C</w:t>
      </w:r>
      <w:r w:rsidR="0078036F">
        <w:rPr>
          <w:rFonts w:ascii="Avenir Next" w:hAnsi="Avenir Next" w:cs="Arial"/>
          <w:color w:val="808080" w:themeColor="background1" w:themeShade="80"/>
          <w:sz w:val="22"/>
          <w:szCs w:val="22"/>
        </w:rPr>
        <w:t xml:space="preserve">ompany undergoing liquidation proceedings. </w:t>
      </w:r>
      <w:r w:rsidR="00D61FC6">
        <w:rPr>
          <w:rFonts w:ascii="Avenir Next" w:hAnsi="Avenir Next" w:cs="Arial"/>
          <w:color w:val="808080" w:themeColor="background1" w:themeShade="80"/>
          <w:sz w:val="22"/>
          <w:szCs w:val="22"/>
        </w:rPr>
        <w:t xml:space="preserve">In such a case, the </w:t>
      </w:r>
      <w:r w:rsidR="00D61FC6">
        <w:rPr>
          <w:rFonts w:ascii="Avenir Next" w:hAnsi="Avenir Next" w:cs="Arial"/>
          <w:color w:val="808080" w:themeColor="background1" w:themeShade="80"/>
          <w:sz w:val="22"/>
          <w:szCs w:val="22"/>
        </w:rPr>
        <w:lastRenderedPageBreak/>
        <w:t xml:space="preserve">court may order </w:t>
      </w:r>
      <w:r w:rsidR="000C36C7">
        <w:rPr>
          <w:rFonts w:ascii="Avenir Next" w:hAnsi="Avenir Next" w:cs="Arial"/>
          <w:color w:val="808080" w:themeColor="background1" w:themeShade="80"/>
          <w:sz w:val="22"/>
          <w:szCs w:val="22"/>
        </w:rPr>
        <w:t>the wrongdoer “</w:t>
      </w:r>
      <w:r w:rsidR="000C36C7" w:rsidRPr="000C36C7">
        <w:rPr>
          <w:rFonts w:ascii="Avenir Next" w:hAnsi="Avenir Next" w:cs="Arial"/>
          <w:color w:val="808080" w:themeColor="background1" w:themeShade="80"/>
          <w:sz w:val="22"/>
          <w:szCs w:val="22"/>
        </w:rPr>
        <w:t>(a)</w:t>
      </w:r>
      <w:r w:rsidR="000C36C7">
        <w:rPr>
          <w:rFonts w:ascii="Avenir Next" w:hAnsi="Avenir Next" w:cs="Arial"/>
          <w:color w:val="808080" w:themeColor="background1" w:themeShade="80"/>
          <w:sz w:val="22"/>
          <w:szCs w:val="22"/>
        </w:rPr>
        <w:t xml:space="preserve"> </w:t>
      </w:r>
      <w:r w:rsidR="000C36C7" w:rsidRPr="000C36C7">
        <w:rPr>
          <w:rFonts w:ascii="Avenir Next" w:hAnsi="Avenir Next" w:cs="Arial"/>
          <w:color w:val="808080" w:themeColor="background1" w:themeShade="80"/>
          <w:sz w:val="22"/>
          <w:szCs w:val="22"/>
        </w:rPr>
        <w:t>to repay, restore or account for the money or property or any part of it, with interest at such rate as the court thinks just, or</w:t>
      </w:r>
      <w:r w:rsidR="000C36C7">
        <w:rPr>
          <w:rFonts w:ascii="Avenir Next" w:hAnsi="Avenir Next" w:cs="Arial"/>
          <w:color w:val="808080" w:themeColor="background1" w:themeShade="80"/>
          <w:sz w:val="22"/>
          <w:szCs w:val="22"/>
        </w:rPr>
        <w:t xml:space="preserve"> </w:t>
      </w:r>
      <w:r w:rsidR="000C36C7" w:rsidRPr="000C36C7">
        <w:rPr>
          <w:rFonts w:ascii="Avenir Next" w:hAnsi="Avenir Next" w:cs="Arial"/>
          <w:color w:val="808080" w:themeColor="background1" w:themeShade="80"/>
          <w:sz w:val="22"/>
          <w:szCs w:val="22"/>
        </w:rPr>
        <w:t>(b)</w:t>
      </w:r>
      <w:r w:rsidR="000C36C7">
        <w:rPr>
          <w:rFonts w:ascii="Avenir Next" w:hAnsi="Avenir Next" w:cs="Arial"/>
          <w:color w:val="808080" w:themeColor="background1" w:themeShade="80"/>
          <w:sz w:val="22"/>
          <w:szCs w:val="22"/>
        </w:rPr>
        <w:t xml:space="preserve"> </w:t>
      </w:r>
      <w:r w:rsidR="000C36C7" w:rsidRPr="000C36C7">
        <w:rPr>
          <w:rFonts w:ascii="Avenir Next" w:hAnsi="Avenir Next" w:cs="Arial"/>
          <w:color w:val="808080" w:themeColor="background1" w:themeShade="80"/>
          <w:sz w:val="22"/>
          <w:szCs w:val="22"/>
        </w:rPr>
        <w:t>to contribute such sum to the company’s assets by way of compensation in respect of the misfeasance or breach of fiduciary or other duty as the court thinks just</w:t>
      </w:r>
      <w:r w:rsidR="000C36C7">
        <w:rPr>
          <w:rFonts w:ascii="Avenir Next" w:hAnsi="Avenir Next" w:cs="Arial"/>
          <w:color w:val="808080" w:themeColor="background1" w:themeShade="80"/>
          <w:sz w:val="22"/>
          <w:szCs w:val="22"/>
        </w:rPr>
        <w:t>” (section 212 (3), Insolvency Act of 1986)</w:t>
      </w:r>
      <w:r w:rsidR="000C36C7" w:rsidRPr="000C36C7">
        <w:rPr>
          <w:rFonts w:ascii="Avenir Next" w:hAnsi="Avenir Next" w:cs="Arial"/>
          <w:color w:val="808080" w:themeColor="background1" w:themeShade="80"/>
          <w:sz w:val="22"/>
          <w:szCs w:val="22"/>
        </w:rPr>
        <w:t xml:space="preserve">. </w:t>
      </w:r>
      <w:r w:rsidR="000C36C7">
        <w:rPr>
          <w:rFonts w:ascii="Avenir Next" w:hAnsi="Avenir Next" w:cs="Arial"/>
          <w:color w:val="808080" w:themeColor="background1" w:themeShade="80"/>
          <w:sz w:val="22"/>
          <w:szCs w:val="22"/>
        </w:rPr>
        <w:t xml:space="preserve">The wrongdoer </w:t>
      </w:r>
      <w:r w:rsidR="00540D50">
        <w:rPr>
          <w:rFonts w:ascii="Avenir Next" w:hAnsi="Avenir Next" w:cs="Arial"/>
          <w:color w:val="808080" w:themeColor="background1" w:themeShade="80"/>
          <w:sz w:val="22"/>
          <w:szCs w:val="22"/>
        </w:rPr>
        <w:t>is believed to have “</w:t>
      </w:r>
      <w:r w:rsidR="00540D50" w:rsidRPr="00540D50">
        <w:rPr>
          <w:rFonts w:ascii="Avenir Next" w:hAnsi="Avenir Next" w:cs="Arial"/>
          <w:color w:val="808080" w:themeColor="background1" w:themeShade="80"/>
          <w:sz w:val="22"/>
          <w:szCs w:val="22"/>
        </w:rPr>
        <w:t xml:space="preserve">misapplied or retained, or become accountable for, any money or other property of the company, or </w:t>
      </w:r>
      <w:r w:rsidR="0095727C">
        <w:rPr>
          <w:rFonts w:ascii="Avenir Next" w:hAnsi="Avenir Next" w:cs="Arial"/>
          <w:color w:val="808080" w:themeColor="background1" w:themeShade="80"/>
          <w:sz w:val="22"/>
          <w:szCs w:val="22"/>
        </w:rPr>
        <w:t>[is]</w:t>
      </w:r>
      <w:r w:rsidR="00540D50" w:rsidRPr="00540D50">
        <w:rPr>
          <w:rFonts w:ascii="Avenir Next" w:hAnsi="Avenir Next" w:cs="Arial"/>
          <w:color w:val="808080" w:themeColor="background1" w:themeShade="80"/>
          <w:sz w:val="22"/>
          <w:szCs w:val="22"/>
        </w:rPr>
        <w:t xml:space="preserve"> guilty of any misfeasance or breach of any fiduciary or other duty in relation to the company</w:t>
      </w:r>
      <w:r w:rsidR="00360EF7">
        <w:rPr>
          <w:rFonts w:ascii="Avenir Next" w:hAnsi="Avenir Next" w:cs="Arial"/>
          <w:color w:val="808080" w:themeColor="background1" w:themeShade="80"/>
          <w:sz w:val="22"/>
          <w:szCs w:val="22"/>
        </w:rPr>
        <w:t>” (section 212</w:t>
      </w:r>
      <w:r w:rsidR="000C36C7">
        <w:rPr>
          <w:rFonts w:ascii="Avenir Next" w:hAnsi="Avenir Next" w:cs="Arial"/>
          <w:color w:val="808080" w:themeColor="background1" w:themeShade="80"/>
          <w:sz w:val="22"/>
          <w:szCs w:val="22"/>
        </w:rPr>
        <w:t xml:space="preserve"> (1)</w:t>
      </w:r>
      <w:r w:rsidR="00360EF7">
        <w:rPr>
          <w:rFonts w:ascii="Avenir Next" w:hAnsi="Avenir Next" w:cs="Arial"/>
          <w:color w:val="808080" w:themeColor="background1" w:themeShade="80"/>
          <w:sz w:val="22"/>
          <w:szCs w:val="22"/>
        </w:rPr>
        <w:t>, Insolvency Act of 1986)</w:t>
      </w:r>
      <w:r w:rsidR="00347757">
        <w:rPr>
          <w:rFonts w:ascii="Avenir Next" w:hAnsi="Avenir Next" w:cs="Arial"/>
          <w:color w:val="808080" w:themeColor="background1" w:themeShade="80"/>
          <w:sz w:val="22"/>
          <w:szCs w:val="22"/>
        </w:rPr>
        <w:t xml:space="preserve">. </w:t>
      </w:r>
      <w:r w:rsidR="0095727C">
        <w:rPr>
          <w:rFonts w:ascii="Avenir Next" w:hAnsi="Avenir Next" w:cs="Arial"/>
          <w:color w:val="808080" w:themeColor="background1" w:themeShade="80"/>
          <w:sz w:val="22"/>
          <w:szCs w:val="22"/>
        </w:rPr>
        <w:t xml:space="preserve">More specifically, the liquidator may pursue an action </w:t>
      </w:r>
      <w:r w:rsidR="009347DC">
        <w:rPr>
          <w:rFonts w:ascii="Avenir Next" w:hAnsi="Avenir Next" w:cs="Arial"/>
          <w:color w:val="808080" w:themeColor="background1" w:themeShade="80"/>
          <w:sz w:val="22"/>
          <w:szCs w:val="22"/>
        </w:rPr>
        <w:t>against the director</w:t>
      </w:r>
      <w:r w:rsidR="000C36C7">
        <w:rPr>
          <w:rFonts w:ascii="Avenir Next" w:hAnsi="Avenir Next" w:cs="Arial"/>
          <w:color w:val="808080" w:themeColor="background1" w:themeShade="80"/>
          <w:sz w:val="22"/>
          <w:szCs w:val="22"/>
        </w:rPr>
        <w:t>s</w:t>
      </w:r>
      <w:r w:rsidR="009347DC">
        <w:rPr>
          <w:rFonts w:ascii="Avenir Next" w:hAnsi="Avenir Next" w:cs="Arial"/>
          <w:color w:val="808080" w:themeColor="background1" w:themeShade="80"/>
          <w:sz w:val="22"/>
          <w:szCs w:val="22"/>
        </w:rPr>
        <w:t xml:space="preserve"> </w:t>
      </w:r>
      <w:r w:rsidR="0095727C">
        <w:rPr>
          <w:rFonts w:ascii="Avenir Next" w:hAnsi="Avenir Next" w:cs="Arial"/>
          <w:color w:val="808080" w:themeColor="background1" w:themeShade="80"/>
          <w:sz w:val="22"/>
          <w:szCs w:val="22"/>
        </w:rPr>
        <w:t xml:space="preserve">for breach of fiduciary duties in particular with respect to the duty to act in the </w:t>
      </w:r>
      <w:r w:rsidR="009347DC">
        <w:rPr>
          <w:rFonts w:ascii="Avenir Next" w:hAnsi="Avenir Next" w:cs="Arial"/>
          <w:color w:val="808080" w:themeColor="background1" w:themeShade="80"/>
          <w:sz w:val="22"/>
          <w:szCs w:val="22"/>
        </w:rPr>
        <w:t xml:space="preserve">company’s </w:t>
      </w:r>
      <w:r w:rsidR="0095727C">
        <w:rPr>
          <w:rFonts w:ascii="Avenir Next" w:hAnsi="Avenir Next" w:cs="Arial"/>
          <w:color w:val="808080" w:themeColor="background1" w:themeShade="80"/>
          <w:sz w:val="22"/>
          <w:szCs w:val="22"/>
        </w:rPr>
        <w:t>best interests</w:t>
      </w:r>
      <w:r w:rsidR="009347DC">
        <w:rPr>
          <w:rFonts w:ascii="Avenir Next" w:hAnsi="Avenir Next" w:cs="Arial"/>
          <w:color w:val="808080" w:themeColor="background1" w:themeShade="80"/>
          <w:sz w:val="22"/>
          <w:szCs w:val="22"/>
        </w:rPr>
        <w:t xml:space="preserve"> with reference to the </w:t>
      </w:r>
      <w:r w:rsidR="00C9227C">
        <w:rPr>
          <w:rFonts w:ascii="Avenir Next" w:hAnsi="Avenir Next" w:cs="Arial"/>
          <w:color w:val="808080" w:themeColor="background1" w:themeShade="80"/>
          <w:sz w:val="22"/>
          <w:szCs w:val="22"/>
        </w:rPr>
        <w:t>transaction regarding</w:t>
      </w:r>
      <w:r w:rsidR="009347DC">
        <w:rPr>
          <w:rFonts w:ascii="Avenir Next" w:hAnsi="Avenir Next" w:cs="Arial"/>
          <w:color w:val="808080" w:themeColor="background1" w:themeShade="80"/>
          <w:sz w:val="22"/>
          <w:szCs w:val="22"/>
        </w:rPr>
        <w:t xml:space="preserve"> the two marble cutting machines</w:t>
      </w:r>
      <w:r w:rsidR="0095727C">
        <w:rPr>
          <w:rFonts w:ascii="Avenir Next" w:hAnsi="Avenir Next" w:cs="Arial"/>
          <w:color w:val="808080" w:themeColor="background1" w:themeShade="80"/>
          <w:sz w:val="22"/>
          <w:szCs w:val="22"/>
        </w:rPr>
        <w:t xml:space="preserve">. </w:t>
      </w:r>
      <w:r w:rsidR="000C36C7">
        <w:rPr>
          <w:rFonts w:ascii="Avenir Next" w:hAnsi="Avenir Next" w:cs="Arial"/>
          <w:color w:val="808080" w:themeColor="background1" w:themeShade="80"/>
          <w:sz w:val="22"/>
          <w:szCs w:val="22"/>
        </w:rPr>
        <w:t xml:space="preserve">This action </w:t>
      </w:r>
      <w:r w:rsidR="0095727C">
        <w:rPr>
          <w:rFonts w:ascii="Avenir Next" w:hAnsi="Avenir Next" w:cs="Arial"/>
          <w:color w:val="808080" w:themeColor="background1" w:themeShade="80"/>
          <w:sz w:val="22"/>
          <w:szCs w:val="22"/>
        </w:rPr>
        <w:t xml:space="preserve">may not be successful in cases where the court considers the reasonable and honest conduct of a director and </w:t>
      </w:r>
      <w:r w:rsidR="00E90771">
        <w:rPr>
          <w:rFonts w:ascii="Avenir Next" w:hAnsi="Avenir Next" w:cs="Arial"/>
          <w:color w:val="808080" w:themeColor="background1" w:themeShade="80"/>
          <w:sz w:val="22"/>
          <w:szCs w:val="22"/>
        </w:rPr>
        <w:t>where</w:t>
      </w:r>
      <w:r w:rsidR="0095727C">
        <w:rPr>
          <w:rFonts w:ascii="Avenir Next" w:hAnsi="Avenir Next" w:cs="Arial"/>
          <w:color w:val="808080" w:themeColor="background1" w:themeShade="80"/>
          <w:sz w:val="22"/>
          <w:szCs w:val="22"/>
        </w:rPr>
        <w:t xml:space="preserve"> a</w:t>
      </w:r>
      <w:r w:rsidR="00303FDB">
        <w:rPr>
          <w:rFonts w:ascii="Avenir Next" w:hAnsi="Avenir Next" w:cs="Arial"/>
          <w:color w:val="808080" w:themeColor="background1" w:themeShade="80"/>
          <w:sz w:val="22"/>
          <w:szCs w:val="22"/>
        </w:rPr>
        <w:t>n</w:t>
      </w:r>
      <w:r w:rsidR="0095727C">
        <w:rPr>
          <w:rFonts w:ascii="Avenir Next" w:hAnsi="Avenir Next" w:cs="Arial"/>
          <w:color w:val="808080" w:themeColor="background1" w:themeShade="80"/>
          <w:sz w:val="22"/>
          <w:szCs w:val="22"/>
        </w:rPr>
        <w:t xml:space="preserve"> </w:t>
      </w:r>
      <w:r w:rsidR="00172999">
        <w:rPr>
          <w:rFonts w:ascii="Avenir Next" w:hAnsi="Avenir Next" w:cs="Arial"/>
          <w:color w:val="808080" w:themeColor="background1" w:themeShade="80"/>
          <w:sz w:val="22"/>
          <w:szCs w:val="22"/>
        </w:rPr>
        <w:t>exception should be made</w:t>
      </w:r>
      <w:r w:rsidR="009347DC">
        <w:rPr>
          <w:rFonts w:ascii="Avenir Next" w:hAnsi="Avenir Next" w:cs="Arial"/>
          <w:color w:val="808080" w:themeColor="background1" w:themeShade="80"/>
          <w:sz w:val="22"/>
          <w:szCs w:val="22"/>
        </w:rPr>
        <w:t>.</w:t>
      </w:r>
      <w:r w:rsidR="00667FA3">
        <w:rPr>
          <w:rFonts w:ascii="Avenir Next" w:hAnsi="Avenir Next" w:cs="Arial"/>
          <w:color w:val="808080" w:themeColor="background1" w:themeShade="80"/>
          <w:sz w:val="22"/>
          <w:szCs w:val="22"/>
        </w:rPr>
        <w:t xml:space="preserve"> </w:t>
      </w:r>
      <w:r w:rsidR="00E90771">
        <w:rPr>
          <w:rFonts w:ascii="Avenir Next" w:hAnsi="Avenir Next" w:cs="Arial"/>
          <w:color w:val="808080" w:themeColor="background1" w:themeShade="80"/>
          <w:sz w:val="22"/>
          <w:szCs w:val="22"/>
        </w:rPr>
        <w:t>In any case, t</w:t>
      </w:r>
      <w:r w:rsidR="00667FA3">
        <w:rPr>
          <w:rFonts w:ascii="Avenir Next" w:hAnsi="Avenir Next" w:cs="Arial"/>
          <w:color w:val="808080" w:themeColor="background1" w:themeShade="80"/>
          <w:sz w:val="22"/>
          <w:szCs w:val="22"/>
        </w:rPr>
        <w:t>h</w:t>
      </w:r>
      <w:r w:rsidR="005654D2">
        <w:rPr>
          <w:rFonts w:ascii="Avenir Next" w:hAnsi="Avenir Next" w:cs="Arial"/>
          <w:color w:val="808080" w:themeColor="background1" w:themeShade="80"/>
          <w:sz w:val="22"/>
          <w:szCs w:val="22"/>
        </w:rPr>
        <w:t>is section establishes a</w:t>
      </w:r>
      <w:r w:rsidR="00667FA3">
        <w:rPr>
          <w:rFonts w:ascii="Avenir Next" w:hAnsi="Avenir Next" w:cs="Arial"/>
          <w:color w:val="808080" w:themeColor="background1" w:themeShade="80"/>
          <w:sz w:val="22"/>
          <w:szCs w:val="22"/>
        </w:rPr>
        <w:t xml:space="preserve"> simplified procedure </w:t>
      </w:r>
      <w:r w:rsidR="005654D2">
        <w:rPr>
          <w:rFonts w:ascii="Avenir Next" w:hAnsi="Avenir Next" w:cs="Arial"/>
          <w:color w:val="808080" w:themeColor="background1" w:themeShade="80"/>
          <w:sz w:val="22"/>
          <w:szCs w:val="22"/>
        </w:rPr>
        <w:t xml:space="preserve">for </w:t>
      </w:r>
      <w:r w:rsidR="00667FA3">
        <w:rPr>
          <w:rFonts w:ascii="Avenir Next" w:hAnsi="Avenir Next" w:cs="Arial"/>
          <w:color w:val="808080" w:themeColor="background1" w:themeShade="80"/>
          <w:sz w:val="22"/>
          <w:szCs w:val="22"/>
        </w:rPr>
        <w:t xml:space="preserve">causes of actions </w:t>
      </w:r>
      <w:r w:rsidR="00A02D5F">
        <w:rPr>
          <w:rFonts w:ascii="Avenir Next" w:hAnsi="Avenir Next" w:cs="Arial"/>
          <w:color w:val="808080" w:themeColor="background1" w:themeShade="80"/>
          <w:sz w:val="22"/>
          <w:szCs w:val="22"/>
        </w:rPr>
        <w:t xml:space="preserve">against directors </w:t>
      </w:r>
      <w:r w:rsidR="00667FA3">
        <w:rPr>
          <w:rFonts w:ascii="Avenir Next" w:hAnsi="Avenir Next" w:cs="Arial"/>
          <w:color w:val="808080" w:themeColor="background1" w:themeShade="80"/>
          <w:sz w:val="22"/>
          <w:szCs w:val="22"/>
        </w:rPr>
        <w:t xml:space="preserve">that </w:t>
      </w:r>
      <w:r w:rsidR="005654D2" w:rsidRPr="005654D2">
        <w:rPr>
          <w:rFonts w:ascii="Avenir Next" w:hAnsi="Avenir Next" w:cs="Arial"/>
          <w:color w:val="808080" w:themeColor="background1" w:themeShade="80"/>
          <w:sz w:val="22"/>
          <w:szCs w:val="22"/>
        </w:rPr>
        <w:t xml:space="preserve">could have been carried out by the company before the commencement of </w:t>
      </w:r>
      <w:r w:rsidR="005654D2">
        <w:rPr>
          <w:rFonts w:ascii="Avenir Next" w:hAnsi="Avenir Next" w:cs="Arial"/>
          <w:color w:val="808080" w:themeColor="background1" w:themeShade="80"/>
          <w:sz w:val="22"/>
          <w:szCs w:val="22"/>
        </w:rPr>
        <w:t xml:space="preserve">the compulsory </w:t>
      </w:r>
      <w:r w:rsidR="005654D2" w:rsidRPr="005654D2">
        <w:rPr>
          <w:rFonts w:ascii="Avenir Next" w:hAnsi="Avenir Next" w:cs="Arial"/>
          <w:color w:val="808080" w:themeColor="background1" w:themeShade="80"/>
          <w:sz w:val="22"/>
          <w:szCs w:val="22"/>
        </w:rPr>
        <w:t>winding-up</w:t>
      </w:r>
      <w:r w:rsidR="00612799">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07BD970B" w:rsidR="009452DF" w:rsidRDefault="00D80E7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regards the payments to Hard and Fast Ltd., the liquidator </w:t>
      </w:r>
      <w:r w:rsidR="009D75F8">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ould examine the following</w:t>
      </w:r>
      <w:r w:rsidR="00B23671">
        <w:rPr>
          <w:rFonts w:ascii="Avenir Next" w:hAnsi="Avenir Next" w:cs="Arial"/>
          <w:color w:val="808080" w:themeColor="background1" w:themeShade="80"/>
          <w:sz w:val="22"/>
          <w:szCs w:val="22"/>
        </w:rPr>
        <w:t xml:space="preserve"> possibilities</w:t>
      </w:r>
      <w:r>
        <w:rPr>
          <w:rFonts w:ascii="Avenir Next" w:hAnsi="Avenir Next" w:cs="Arial"/>
          <w:color w:val="808080" w:themeColor="background1" w:themeShade="80"/>
          <w:sz w:val="22"/>
          <w:szCs w:val="22"/>
        </w:rPr>
        <w:t>.</w:t>
      </w:r>
    </w:p>
    <w:p w14:paraId="58036AC2" w14:textId="77777777" w:rsidR="00D80E7D" w:rsidRDefault="00D80E7D" w:rsidP="009452DF">
      <w:pPr>
        <w:jc w:val="both"/>
        <w:rPr>
          <w:rFonts w:ascii="Avenir Next" w:hAnsi="Avenir Next" w:cs="Arial"/>
          <w:color w:val="808080" w:themeColor="background1" w:themeShade="80"/>
          <w:sz w:val="22"/>
          <w:szCs w:val="22"/>
        </w:rPr>
      </w:pPr>
    </w:p>
    <w:p w14:paraId="0C74035D" w14:textId="74FA4512" w:rsidR="00A35D57" w:rsidRDefault="00A35D57"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239 (Insolvency Act of 1986), a liquidator’s main purpose would be to avoid </w:t>
      </w:r>
      <w:r w:rsidR="00783259">
        <w:rPr>
          <w:rFonts w:ascii="Avenir Next" w:hAnsi="Avenir Next" w:cs="Arial"/>
          <w:color w:val="808080" w:themeColor="background1" w:themeShade="80"/>
          <w:sz w:val="22"/>
          <w:szCs w:val="22"/>
        </w:rPr>
        <w:t xml:space="preserve">transactions through which the intent was to prefer a specific creditor right before the commencement of a formal insolvency proceeding. </w:t>
      </w:r>
      <w:r w:rsidR="00B23671">
        <w:rPr>
          <w:rFonts w:ascii="Avenir Next" w:hAnsi="Avenir Next" w:cs="Arial"/>
          <w:color w:val="808080" w:themeColor="background1" w:themeShade="80"/>
          <w:sz w:val="22"/>
          <w:szCs w:val="22"/>
        </w:rPr>
        <w:t xml:space="preserve">It must be demonstrated that the person given the preference was a creditor of the company, that a specific action </w:t>
      </w:r>
      <w:r w:rsidR="00560F46">
        <w:rPr>
          <w:rFonts w:ascii="Avenir Next" w:hAnsi="Avenir Next" w:cs="Arial"/>
          <w:color w:val="808080" w:themeColor="background1" w:themeShade="80"/>
          <w:sz w:val="22"/>
          <w:szCs w:val="22"/>
        </w:rPr>
        <w:t xml:space="preserve">directed </w:t>
      </w:r>
      <w:r w:rsidR="00977326">
        <w:rPr>
          <w:rFonts w:ascii="Avenir Next" w:hAnsi="Avenir Next" w:cs="Arial"/>
          <w:color w:val="808080" w:themeColor="background1" w:themeShade="80"/>
          <w:sz w:val="22"/>
          <w:szCs w:val="22"/>
        </w:rPr>
        <w:t>at</w:t>
      </w:r>
      <w:r w:rsidR="00560F46">
        <w:rPr>
          <w:rFonts w:ascii="Avenir Next" w:hAnsi="Avenir Next" w:cs="Arial"/>
          <w:color w:val="808080" w:themeColor="background1" w:themeShade="80"/>
          <w:sz w:val="22"/>
          <w:szCs w:val="22"/>
        </w:rPr>
        <w:t xml:space="preserve"> that creditor </w:t>
      </w:r>
      <w:r w:rsidR="00B23671">
        <w:rPr>
          <w:rFonts w:ascii="Avenir Next" w:hAnsi="Avenir Next" w:cs="Arial"/>
          <w:color w:val="808080" w:themeColor="background1" w:themeShade="80"/>
          <w:sz w:val="22"/>
          <w:szCs w:val="22"/>
        </w:rPr>
        <w:t xml:space="preserve">was carried out by the company in such a way </w:t>
      </w:r>
      <w:r w:rsidR="005D6A8F">
        <w:rPr>
          <w:rFonts w:ascii="Avenir Next" w:hAnsi="Avenir Next" w:cs="Arial"/>
          <w:color w:val="808080" w:themeColor="background1" w:themeShade="80"/>
          <w:sz w:val="22"/>
          <w:szCs w:val="22"/>
        </w:rPr>
        <w:t>that</w:t>
      </w:r>
      <w:r w:rsidR="00560F46">
        <w:rPr>
          <w:rFonts w:ascii="Avenir Next" w:hAnsi="Avenir Next" w:cs="Arial"/>
          <w:color w:val="808080" w:themeColor="background1" w:themeShade="80"/>
          <w:sz w:val="22"/>
          <w:szCs w:val="22"/>
        </w:rPr>
        <w:t xml:space="preserve"> the effect of th</w:t>
      </w:r>
      <w:r w:rsidR="005D6A8F">
        <w:rPr>
          <w:rFonts w:ascii="Avenir Next" w:hAnsi="Avenir Next" w:cs="Arial"/>
          <w:color w:val="808080" w:themeColor="background1" w:themeShade="80"/>
          <w:sz w:val="22"/>
          <w:szCs w:val="22"/>
        </w:rPr>
        <w:t>at</w:t>
      </w:r>
      <w:r w:rsidR="00560F46">
        <w:rPr>
          <w:rFonts w:ascii="Avenir Next" w:hAnsi="Avenir Next" w:cs="Arial"/>
          <w:color w:val="808080" w:themeColor="background1" w:themeShade="80"/>
          <w:sz w:val="22"/>
          <w:szCs w:val="22"/>
        </w:rPr>
        <w:t xml:space="preserve"> action </w:t>
      </w:r>
      <w:r w:rsidR="005D6A8F">
        <w:rPr>
          <w:rFonts w:ascii="Avenir Next" w:hAnsi="Avenir Next" w:cs="Arial"/>
          <w:color w:val="808080" w:themeColor="background1" w:themeShade="80"/>
          <w:sz w:val="22"/>
          <w:szCs w:val="22"/>
        </w:rPr>
        <w:t>is deemed</w:t>
      </w:r>
      <w:r w:rsidR="00560F46">
        <w:rPr>
          <w:rFonts w:ascii="Avenir Next" w:hAnsi="Avenir Next" w:cs="Arial"/>
          <w:color w:val="808080" w:themeColor="background1" w:themeShade="80"/>
          <w:sz w:val="22"/>
          <w:szCs w:val="22"/>
        </w:rPr>
        <w:t xml:space="preserve"> an amelioration of the creditor’s position in </w:t>
      </w:r>
      <w:r w:rsidR="00EC4DE1">
        <w:rPr>
          <w:rFonts w:ascii="Avenir Next" w:hAnsi="Avenir Next" w:cs="Arial"/>
          <w:color w:val="808080" w:themeColor="background1" w:themeShade="80"/>
          <w:sz w:val="22"/>
          <w:szCs w:val="22"/>
        </w:rPr>
        <w:t>view</w:t>
      </w:r>
      <w:r w:rsidR="00560F46">
        <w:rPr>
          <w:rFonts w:ascii="Avenir Next" w:hAnsi="Avenir Next" w:cs="Arial"/>
          <w:color w:val="808080" w:themeColor="background1" w:themeShade="80"/>
          <w:sz w:val="22"/>
          <w:szCs w:val="22"/>
        </w:rPr>
        <w:t xml:space="preserve"> of</w:t>
      </w:r>
      <w:r w:rsidR="00EC4DE1">
        <w:rPr>
          <w:rFonts w:ascii="Avenir Next" w:hAnsi="Avenir Next" w:cs="Arial"/>
          <w:color w:val="808080" w:themeColor="background1" w:themeShade="80"/>
          <w:sz w:val="22"/>
          <w:szCs w:val="22"/>
        </w:rPr>
        <w:t xml:space="preserve"> the</w:t>
      </w:r>
      <w:r w:rsidR="00560F46">
        <w:rPr>
          <w:rFonts w:ascii="Avenir Next" w:hAnsi="Avenir Next" w:cs="Arial"/>
          <w:color w:val="808080" w:themeColor="background1" w:themeShade="80"/>
          <w:sz w:val="22"/>
          <w:szCs w:val="22"/>
        </w:rPr>
        <w:t xml:space="preserve"> insolvency of th</w:t>
      </w:r>
      <w:r w:rsidR="005D6A8F">
        <w:rPr>
          <w:rFonts w:ascii="Avenir Next" w:hAnsi="Avenir Next" w:cs="Arial"/>
          <w:color w:val="808080" w:themeColor="background1" w:themeShade="80"/>
          <w:sz w:val="22"/>
          <w:szCs w:val="22"/>
        </w:rPr>
        <w:t>at</w:t>
      </w:r>
      <w:r w:rsidR="00560F46">
        <w:rPr>
          <w:rFonts w:ascii="Avenir Next" w:hAnsi="Avenir Next" w:cs="Arial"/>
          <w:color w:val="808080" w:themeColor="background1" w:themeShade="80"/>
          <w:sz w:val="22"/>
          <w:szCs w:val="22"/>
        </w:rPr>
        <w:t xml:space="preserve"> company</w:t>
      </w:r>
      <w:r w:rsidR="00B23671">
        <w:rPr>
          <w:rFonts w:ascii="Avenir Next" w:hAnsi="Avenir Next" w:cs="Arial"/>
          <w:color w:val="808080" w:themeColor="background1" w:themeShade="80"/>
          <w:sz w:val="22"/>
          <w:szCs w:val="22"/>
        </w:rPr>
        <w:t xml:space="preserve">, that </w:t>
      </w:r>
      <w:r w:rsidR="000C51D9">
        <w:rPr>
          <w:rFonts w:ascii="Avenir Next" w:hAnsi="Avenir Next" w:cs="Arial"/>
          <w:color w:val="808080" w:themeColor="background1" w:themeShade="80"/>
          <w:sz w:val="22"/>
          <w:szCs w:val="22"/>
        </w:rPr>
        <w:t xml:space="preserve">the debtor company was </w:t>
      </w:r>
      <w:r w:rsidR="004E4AB3">
        <w:rPr>
          <w:rFonts w:ascii="Avenir Next" w:hAnsi="Avenir Next" w:cs="Arial"/>
          <w:color w:val="808080" w:themeColor="background1" w:themeShade="80"/>
          <w:sz w:val="22"/>
          <w:szCs w:val="22"/>
        </w:rPr>
        <w:t>guided</w:t>
      </w:r>
      <w:r w:rsidR="000C51D9">
        <w:rPr>
          <w:rFonts w:ascii="Avenir Next" w:hAnsi="Avenir Next" w:cs="Arial"/>
          <w:color w:val="808080" w:themeColor="background1" w:themeShade="80"/>
          <w:sz w:val="22"/>
          <w:szCs w:val="22"/>
        </w:rPr>
        <w:t xml:space="preserve"> by </w:t>
      </w:r>
      <w:r w:rsidR="00B23671">
        <w:rPr>
          <w:rFonts w:ascii="Avenir Next" w:hAnsi="Avenir Next" w:cs="Arial"/>
          <w:color w:val="808080" w:themeColor="background1" w:themeShade="80"/>
          <w:sz w:val="22"/>
          <w:szCs w:val="22"/>
        </w:rPr>
        <w:t xml:space="preserve">a ‘desire’ to prefer that creditor and that the preference was acquired within </w:t>
      </w:r>
      <w:r w:rsidR="005D6A8F">
        <w:rPr>
          <w:rFonts w:ascii="Avenir Next" w:hAnsi="Avenir Next" w:cs="Arial"/>
          <w:color w:val="808080" w:themeColor="background1" w:themeShade="80"/>
          <w:sz w:val="22"/>
          <w:szCs w:val="22"/>
        </w:rPr>
        <w:t>a specific</w:t>
      </w:r>
      <w:r w:rsidR="00B23671">
        <w:rPr>
          <w:rFonts w:ascii="Avenir Next" w:hAnsi="Avenir Next" w:cs="Arial"/>
          <w:color w:val="808080" w:themeColor="background1" w:themeShade="80"/>
          <w:sz w:val="22"/>
          <w:szCs w:val="22"/>
        </w:rPr>
        <w:t xml:space="preserve"> time limit</w:t>
      </w:r>
      <w:r w:rsidR="00367927">
        <w:rPr>
          <w:rFonts w:ascii="Avenir Next" w:hAnsi="Avenir Next" w:cs="Arial"/>
          <w:color w:val="808080" w:themeColor="background1" w:themeShade="80"/>
          <w:sz w:val="22"/>
          <w:szCs w:val="22"/>
        </w:rPr>
        <w:t xml:space="preserve"> (six months before the commencement of liquidation proceedings in the case of a non-connected person)</w:t>
      </w:r>
      <w:r w:rsidR="00B23671">
        <w:rPr>
          <w:rFonts w:ascii="Avenir Next" w:hAnsi="Avenir Next" w:cs="Arial"/>
          <w:color w:val="808080" w:themeColor="background1" w:themeShade="80"/>
          <w:sz w:val="22"/>
          <w:szCs w:val="22"/>
        </w:rPr>
        <w:t>.</w:t>
      </w:r>
      <w:r w:rsidR="000E4BE0">
        <w:rPr>
          <w:rFonts w:ascii="Avenir Next" w:hAnsi="Avenir Next" w:cs="Arial"/>
          <w:color w:val="808080" w:themeColor="background1" w:themeShade="80"/>
          <w:sz w:val="22"/>
          <w:szCs w:val="22"/>
        </w:rPr>
        <w:t xml:space="preserve"> </w:t>
      </w:r>
      <w:r w:rsidR="003E06E5">
        <w:rPr>
          <w:rFonts w:ascii="Avenir Next" w:hAnsi="Avenir Next" w:cs="Arial"/>
          <w:color w:val="808080" w:themeColor="background1" w:themeShade="80"/>
          <w:sz w:val="22"/>
          <w:szCs w:val="22"/>
        </w:rPr>
        <w:t>It is required that the company</w:t>
      </w:r>
      <w:r w:rsidR="008E192D">
        <w:rPr>
          <w:rFonts w:ascii="Avenir Next" w:hAnsi="Avenir Next" w:cs="Arial"/>
          <w:color w:val="808080" w:themeColor="background1" w:themeShade="80"/>
          <w:sz w:val="22"/>
          <w:szCs w:val="22"/>
        </w:rPr>
        <w:t>, at the time the transaction was made,</w:t>
      </w:r>
      <w:r w:rsidR="003E06E5">
        <w:rPr>
          <w:rFonts w:ascii="Avenir Next" w:hAnsi="Avenir Next" w:cs="Arial"/>
          <w:color w:val="808080" w:themeColor="background1" w:themeShade="80"/>
          <w:sz w:val="22"/>
          <w:szCs w:val="22"/>
        </w:rPr>
        <w:t xml:space="preserve"> was either </w:t>
      </w:r>
      <w:r w:rsidR="005D6A8F">
        <w:rPr>
          <w:rFonts w:ascii="Avenir Next" w:hAnsi="Avenir Next" w:cs="Arial"/>
          <w:color w:val="808080" w:themeColor="background1" w:themeShade="80"/>
          <w:sz w:val="22"/>
          <w:szCs w:val="22"/>
        </w:rPr>
        <w:t>not in a position</w:t>
      </w:r>
      <w:r w:rsidR="003E06E5">
        <w:rPr>
          <w:rFonts w:ascii="Avenir Next" w:hAnsi="Avenir Next" w:cs="Arial"/>
          <w:color w:val="808080" w:themeColor="background1" w:themeShade="80"/>
          <w:sz w:val="22"/>
          <w:szCs w:val="22"/>
        </w:rPr>
        <w:t xml:space="preserve"> to pay its debts or became unable as a result of that preference</w:t>
      </w:r>
      <w:r w:rsidR="008E192D">
        <w:rPr>
          <w:rFonts w:ascii="Avenir Next" w:hAnsi="Avenir Next" w:cs="Arial"/>
          <w:color w:val="808080" w:themeColor="background1" w:themeShade="80"/>
          <w:sz w:val="22"/>
          <w:szCs w:val="22"/>
        </w:rPr>
        <w:t>, pursuant to section 123 of the Insolvency Act (1986)</w:t>
      </w:r>
      <w:r w:rsidR="003E06E5">
        <w:rPr>
          <w:rFonts w:ascii="Avenir Next" w:hAnsi="Avenir Next" w:cs="Arial"/>
          <w:color w:val="808080" w:themeColor="background1" w:themeShade="80"/>
          <w:sz w:val="22"/>
          <w:szCs w:val="22"/>
        </w:rPr>
        <w:t xml:space="preserve">. </w:t>
      </w:r>
      <w:r w:rsidR="000E4BE0">
        <w:rPr>
          <w:rFonts w:ascii="Avenir Next" w:hAnsi="Avenir Next" w:cs="Arial"/>
          <w:color w:val="808080" w:themeColor="background1" w:themeShade="80"/>
          <w:sz w:val="22"/>
          <w:szCs w:val="22"/>
        </w:rPr>
        <w:t xml:space="preserve">Interestingly, it </w:t>
      </w:r>
      <w:r w:rsidR="00367927">
        <w:rPr>
          <w:rFonts w:ascii="Avenir Next" w:hAnsi="Avenir Next" w:cs="Arial"/>
          <w:color w:val="808080" w:themeColor="background1" w:themeShade="80"/>
          <w:sz w:val="22"/>
          <w:szCs w:val="22"/>
        </w:rPr>
        <w:t xml:space="preserve">should be noted </w:t>
      </w:r>
      <w:r w:rsidR="000E4BE0">
        <w:rPr>
          <w:rFonts w:ascii="Avenir Next" w:hAnsi="Avenir Next" w:cs="Arial"/>
          <w:color w:val="808080" w:themeColor="background1" w:themeShade="80"/>
          <w:sz w:val="22"/>
          <w:szCs w:val="22"/>
        </w:rPr>
        <w:t xml:space="preserve">that any form of pressure by the creditor to the debtor is not </w:t>
      </w:r>
      <w:r w:rsidR="005D6A8F">
        <w:rPr>
          <w:rFonts w:ascii="Avenir Next" w:hAnsi="Avenir Next" w:cs="Arial"/>
          <w:color w:val="808080" w:themeColor="background1" w:themeShade="80"/>
          <w:sz w:val="22"/>
          <w:szCs w:val="22"/>
        </w:rPr>
        <w:t>considered</w:t>
      </w:r>
      <w:r w:rsidR="00416AA7">
        <w:rPr>
          <w:rFonts w:ascii="Avenir Next" w:hAnsi="Avenir Next" w:cs="Arial"/>
          <w:color w:val="808080" w:themeColor="background1" w:themeShade="80"/>
          <w:sz w:val="22"/>
          <w:szCs w:val="22"/>
        </w:rPr>
        <w:t>.</w:t>
      </w:r>
      <w:r w:rsidR="007F645A">
        <w:rPr>
          <w:rFonts w:ascii="Avenir Next" w:hAnsi="Avenir Next" w:cs="Arial"/>
          <w:color w:val="808080" w:themeColor="background1" w:themeShade="80"/>
          <w:sz w:val="22"/>
          <w:szCs w:val="22"/>
        </w:rPr>
        <w:t xml:space="preserve"> </w:t>
      </w:r>
      <w:r w:rsidR="000C51D9">
        <w:rPr>
          <w:rFonts w:ascii="Avenir Next" w:hAnsi="Avenir Next" w:cs="Arial"/>
          <w:color w:val="808080" w:themeColor="background1" w:themeShade="80"/>
          <w:sz w:val="22"/>
          <w:szCs w:val="22"/>
        </w:rPr>
        <w:t xml:space="preserve">At the same time, the most complex element to determine is the fact that the debtor company was </w:t>
      </w:r>
      <w:r w:rsidR="005D6A8F">
        <w:rPr>
          <w:rFonts w:ascii="Avenir Next" w:hAnsi="Avenir Next" w:cs="Arial"/>
          <w:color w:val="808080" w:themeColor="background1" w:themeShade="80"/>
          <w:sz w:val="22"/>
          <w:szCs w:val="22"/>
        </w:rPr>
        <w:t>“</w:t>
      </w:r>
      <w:r w:rsidR="000C51D9">
        <w:rPr>
          <w:rFonts w:ascii="Avenir Next" w:hAnsi="Avenir Next" w:cs="Arial"/>
          <w:color w:val="808080" w:themeColor="background1" w:themeShade="80"/>
          <w:sz w:val="22"/>
          <w:szCs w:val="22"/>
        </w:rPr>
        <w:t>influenced by a desire</w:t>
      </w:r>
      <w:r w:rsidR="005D6A8F">
        <w:rPr>
          <w:rFonts w:ascii="Avenir Next" w:hAnsi="Avenir Next" w:cs="Arial"/>
          <w:color w:val="808080" w:themeColor="background1" w:themeShade="80"/>
          <w:sz w:val="22"/>
          <w:szCs w:val="22"/>
        </w:rPr>
        <w:t>”</w:t>
      </w:r>
      <w:r w:rsidR="000C51D9">
        <w:rPr>
          <w:rFonts w:ascii="Avenir Next" w:hAnsi="Avenir Next" w:cs="Arial"/>
          <w:color w:val="808080" w:themeColor="background1" w:themeShade="80"/>
          <w:sz w:val="22"/>
          <w:szCs w:val="22"/>
        </w:rPr>
        <w:t xml:space="preserve"> to prefer that creditor</w:t>
      </w:r>
      <w:r w:rsidR="005D6A8F">
        <w:rPr>
          <w:rFonts w:ascii="Avenir Next" w:hAnsi="Avenir Next" w:cs="Arial"/>
          <w:color w:val="808080" w:themeColor="background1" w:themeShade="80"/>
          <w:sz w:val="22"/>
          <w:szCs w:val="22"/>
        </w:rPr>
        <w:t xml:space="preserve"> (section 239, Insolvency Act of 1986; </w:t>
      </w:r>
      <w:r w:rsidR="005D6A8F" w:rsidRPr="00EC4DE1">
        <w:rPr>
          <w:rFonts w:ascii="Avenir Next" w:hAnsi="Avenir Next" w:cs="Arial"/>
          <w:i/>
          <w:iCs/>
          <w:color w:val="808080" w:themeColor="background1" w:themeShade="80"/>
          <w:sz w:val="22"/>
          <w:szCs w:val="22"/>
        </w:rPr>
        <w:t>see</w:t>
      </w:r>
      <w:r w:rsidR="005D6A8F">
        <w:rPr>
          <w:rFonts w:ascii="Avenir Next" w:hAnsi="Avenir Next" w:cs="Arial"/>
          <w:color w:val="808080" w:themeColor="background1" w:themeShade="80"/>
          <w:sz w:val="22"/>
          <w:szCs w:val="22"/>
        </w:rPr>
        <w:t xml:space="preserve"> also </w:t>
      </w:r>
      <w:r w:rsidR="005D6A8F">
        <w:rPr>
          <w:rFonts w:ascii="Avenir Next" w:hAnsi="Avenir Next" w:cs="Arial"/>
          <w:i/>
          <w:iCs/>
          <w:color w:val="808080" w:themeColor="background1" w:themeShade="80"/>
          <w:sz w:val="22"/>
          <w:szCs w:val="22"/>
        </w:rPr>
        <w:t>Re MC Bacon Ltd.</w:t>
      </w:r>
      <w:r w:rsidR="005D6A8F">
        <w:rPr>
          <w:rFonts w:ascii="Avenir Next" w:hAnsi="Avenir Next" w:cs="Arial"/>
          <w:color w:val="808080" w:themeColor="background1" w:themeShade="80"/>
          <w:sz w:val="22"/>
          <w:szCs w:val="22"/>
        </w:rPr>
        <w:t xml:space="preserve"> [1990] BCC 78)</w:t>
      </w:r>
      <w:r w:rsidR="000C51D9">
        <w:rPr>
          <w:rFonts w:ascii="Avenir Next" w:hAnsi="Avenir Next" w:cs="Arial"/>
          <w:color w:val="808080" w:themeColor="background1" w:themeShade="80"/>
          <w:sz w:val="22"/>
          <w:szCs w:val="22"/>
        </w:rPr>
        <w:t>.</w:t>
      </w:r>
      <w:r w:rsidR="00636D1A">
        <w:rPr>
          <w:rFonts w:ascii="Avenir Next" w:hAnsi="Avenir Next" w:cs="Arial"/>
          <w:color w:val="808080" w:themeColor="background1" w:themeShade="80"/>
          <w:sz w:val="22"/>
          <w:szCs w:val="22"/>
        </w:rPr>
        <w:t xml:space="preserve"> </w:t>
      </w:r>
      <w:r w:rsidR="005D6A8F">
        <w:rPr>
          <w:rFonts w:ascii="Avenir Next" w:hAnsi="Avenir Next" w:cs="Arial"/>
          <w:color w:val="808080" w:themeColor="background1" w:themeShade="80"/>
          <w:sz w:val="22"/>
          <w:szCs w:val="22"/>
        </w:rPr>
        <w:t xml:space="preserve">Through the years, </w:t>
      </w:r>
      <w:r w:rsidR="00636D1A">
        <w:rPr>
          <w:rFonts w:ascii="Avenir Next" w:hAnsi="Avenir Next" w:cs="Arial"/>
          <w:color w:val="808080" w:themeColor="background1" w:themeShade="80"/>
          <w:sz w:val="22"/>
          <w:szCs w:val="22"/>
        </w:rPr>
        <w:t xml:space="preserve">UK jurisprudence has demonstrated that </w:t>
      </w:r>
      <w:r w:rsidR="00361861">
        <w:rPr>
          <w:rFonts w:ascii="Avenir Next" w:hAnsi="Avenir Next" w:cs="Arial"/>
          <w:color w:val="808080" w:themeColor="background1" w:themeShade="80"/>
          <w:sz w:val="22"/>
          <w:szCs w:val="22"/>
        </w:rPr>
        <w:t xml:space="preserve">no such desire to improve the position of </w:t>
      </w:r>
      <w:r w:rsidR="005D6A8F">
        <w:rPr>
          <w:rFonts w:ascii="Avenir Next" w:hAnsi="Avenir Next" w:cs="Arial"/>
          <w:color w:val="808080" w:themeColor="background1" w:themeShade="80"/>
          <w:sz w:val="22"/>
          <w:szCs w:val="22"/>
        </w:rPr>
        <w:t xml:space="preserve">a </w:t>
      </w:r>
      <w:r w:rsidR="00361861">
        <w:rPr>
          <w:rFonts w:ascii="Avenir Next" w:hAnsi="Avenir Next" w:cs="Arial"/>
          <w:color w:val="808080" w:themeColor="background1" w:themeShade="80"/>
          <w:sz w:val="22"/>
          <w:szCs w:val="22"/>
        </w:rPr>
        <w:t xml:space="preserve">particular creditor can be established where there is a </w:t>
      </w:r>
      <w:r w:rsidR="00755808">
        <w:rPr>
          <w:rFonts w:ascii="Avenir Next" w:hAnsi="Avenir Next" w:cs="Arial"/>
          <w:color w:val="808080" w:themeColor="background1" w:themeShade="80"/>
          <w:sz w:val="22"/>
          <w:szCs w:val="22"/>
        </w:rPr>
        <w:t>mere</w:t>
      </w:r>
      <w:r w:rsidR="00361861">
        <w:rPr>
          <w:rFonts w:ascii="Avenir Next" w:hAnsi="Avenir Next" w:cs="Arial"/>
          <w:color w:val="808080" w:themeColor="background1" w:themeShade="80"/>
          <w:sz w:val="22"/>
          <w:szCs w:val="22"/>
        </w:rPr>
        <w:t xml:space="preserve"> willingness on behalf of the company to continue trade in the context of </w:t>
      </w:r>
      <w:r w:rsidR="00755808">
        <w:rPr>
          <w:rFonts w:ascii="Avenir Next" w:hAnsi="Avenir Next" w:cs="Arial"/>
          <w:color w:val="808080" w:themeColor="background1" w:themeShade="80"/>
          <w:sz w:val="22"/>
          <w:szCs w:val="22"/>
        </w:rPr>
        <w:t xml:space="preserve">purely </w:t>
      </w:r>
      <w:r w:rsidR="00361861">
        <w:rPr>
          <w:rFonts w:ascii="Avenir Next" w:hAnsi="Avenir Next" w:cs="Arial"/>
          <w:color w:val="808080" w:themeColor="background1" w:themeShade="80"/>
          <w:sz w:val="22"/>
          <w:szCs w:val="22"/>
        </w:rPr>
        <w:t>commercial-driven considerations.</w:t>
      </w:r>
    </w:p>
    <w:p w14:paraId="13BD8D26" w14:textId="77777777" w:rsidR="00755808" w:rsidRDefault="00755808" w:rsidP="009452DF">
      <w:pPr>
        <w:jc w:val="both"/>
        <w:rPr>
          <w:rFonts w:ascii="Avenir Next" w:hAnsi="Avenir Next" w:cs="Arial"/>
          <w:color w:val="808080" w:themeColor="background1" w:themeShade="80"/>
          <w:sz w:val="22"/>
          <w:szCs w:val="22"/>
        </w:rPr>
      </w:pPr>
    </w:p>
    <w:p w14:paraId="4FB55AB3" w14:textId="789EC603" w:rsidR="00011725" w:rsidRDefault="00EC66AE"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127 (Insolvency Act of 1986), transactions made by the debtor company in a compulsory winding up proceeding </w:t>
      </w:r>
      <w:r w:rsidR="006C5119">
        <w:rPr>
          <w:rFonts w:ascii="Avenir Next" w:hAnsi="Avenir Next" w:cs="Arial"/>
          <w:color w:val="808080" w:themeColor="background1" w:themeShade="80"/>
          <w:sz w:val="22"/>
          <w:szCs w:val="22"/>
        </w:rPr>
        <w:t xml:space="preserve">may be avoided </w:t>
      </w:r>
      <w:r>
        <w:rPr>
          <w:rFonts w:ascii="Avenir Next" w:hAnsi="Avenir Next" w:cs="Arial"/>
          <w:color w:val="808080" w:themeColor="background1" w:themeShade="80"/>
          <w:sz w:val="22"/>
          <w:szCs w:val="22"/>
        </w:rPr>
        <w:t xml:space="preserve">when this disposal of property was carried out right after the commencement of the formal proceeding. </w:t>
      </w:r>
      <w:r w:rsidR="00D82E98">
        <w:rPr>
          <w:rFonts w:ascii="Avenir Next" w:hAnsi="Avenir Next" w:cs="Arial"/>
          <w:color w:val="808080" w:themeColor="background1" w:themeShade="80"/>
          <w:sz w:val="22"/>
          <w:szCs w:val="22"/>
        </w:rPr>
        <w:t xml:space="preserve">The court is vested with a discretionary power to validate those transactions (‘validation order’) only where considerations of a transaction concluded in </w:t>
      </w:r>
      <w:r w:rsidR="00D82E98" w:rsidRPr="00EC4DE1">
        <w:rPr>
          <w:rFonts w:ascii="Avenir Next" w:hAnsi="Avenir Next" w:cs="Arial"/>
          <w:i/>
          <w:iCs/>
          <w:color w:val="808080" w:themeColor="background1" w:themeShade="80"/>
          <w:sz w:val="22"/>
          <w:szCs w:val="22"/>
        </w:rPr>
        <w:t>bona</w:t>
      </w:r>
      <w:r w:rsidR="00D82E98">
        <w:rPr>
          <w:rFonts w:ascii="Avenir Next" w:hAnsi="Avenir Next" w:cs="Arial"/>
          <w:color w:val="808080" w:themeColor="background1" w:themeShade="80"/>
          <w:sz w:val="22"/>
          <w:szCs w:val="22"/>
        </w:rPr>
        <w:t xml:space="preserve"> </w:t>
      </w:r>
      <w:r w:rsidR="00D82E98" w:rsidRPr="00EC4DE1">
        <w:rPr>
          <w:rFonts w:ascii="Avenir Next" w:hAnsi="Avenir Next" w:cs="Arial"/>
          <w:i/>
          <w:iCs/>
          <w:color w:val="808080" w:themeColor="background1" w:themeShade="80"/>
          <w:sz w:val="22"/>
          <w:szCs w:val="22"/>
        </w:rPr>
        <w:t>fide</w:t>
      </w:r>
      <w:r w:rsidR="00D82E98">
        <w:rPr>
          <w:rFonts w:ascii="Avenir Next" w:hAnsi="Avenir Next" w:cs="Arial"/>
          <w:color w:val="808080" w:themeColor="background1" w:themeShade="80"/>
          <w:sz w:val="22"/>
          <w:szCs w:val="22"/>
        </w:rPr>
        <w:t xml:space="preserve"> and of transactions entered into </w:t>
      </w:r>
      <w:r w:rsidR="00D82E98" w:rsidRPr="00D82E98">
        <w:rPr>
          <w:rFonts w:ascii="Avenir Next" w:hAnsi="Avenir Next" w:cs="Arial"/>
          <w:color w:val="808080" w:themeColor="background1" w:themeShade="80"/>
          <w:sz w:val="22"/>
          <w:szCs w:val="22"/>
        </w:rPr>
        <w:t>in favo</w:t>
      </w:r>
      <w:r w:rsidR="00EC4DE1">
        <w:rPr>
          <w:rFonts w:ascii="Avenir Next" w:hAnsi="Avenir Next" w:cs="Arial"/>
          <w:color w:val="808080" w:themeColor="background1" w:themeShade="80"/>
          <w:sz w:val="22"/>
          <w:szCs w:val="22"/>
        </w:rPr>
        <w:t>u</w:t>
      </w:r>
      <w:r w:rsidR="00D82E98" w:rsidRPr="00D82E98">
        <w:rPr>
          <w:rFonts w:ascii="Avenir Next" w:hAnsi="Avenir Next" w:cs="Arial"/>
          <w:color w:val="808080" w:themeColor="background1" w:themeShade="80"/>
          <w:sz w:val="22"/>
          <w:szCs w:val="22"/>
        </w:rPr>
        <w:t xml:space="preserve">r of all unsecured creditors </w:t>
      </w:r>
      <w:r w:rsidR="00D82E98">
        <w:rPr>
          <w:rFonts w:ascii="Avenir Next" w:hAnsi="Avenir Next" w:cs="Arial"/>
          <w:color w:val="808080" w:themeColor="background1" w:themeShade="80"/>
          <w:sz w:val="22"/>
          <w:szCs w:val="22"/>
        </w:rPr>
        <w:t>are relevant.</w:t>
      </w:r>
      <w:r w:rsidR="00EF0940">
        <w:rPr>
          <w:rFonts w:ascii="Avenir Next" w:hAnsi="Avenir Next" w:cs="Arial"/>
          <w:color w:val="808080" w:themeColor="background1" w:themeShade="80"/>
          <w:sz w:val="22"/>
          <w:szCs w:val="22"/>
        </w:rPr>
        <w:t xml:space="preserve"> Any party in interest applying for a validation order has the burden of proof. </w:t>
      </w:r>
      <w:r w:rsidR="00C140DC">
        <w:rPr>
          <w:rFonts w:ascii="Avenir Next" w:hAnsi="Avenir Next" w:cs="Arial"/>
          <w:color w:val="808080" w:themeColor="background1" w:themeShade="80"/>
          <w:sz w:val="22"/>
          <w:szCs w:val="22"/>
        </w:rPr>
        <w:t xml:space="preserve">It is important to note that the commencement date is considered to be </w:t>
      </w:r>
      <w:r w:rsidR="001450D2">
        <w:rPr>
          <w:rFonts w:ascii="Avenir Next" w:hAnsi="Avenir Next" w:cs="Arial"/>
          <w:color w:val="808080" w:themeColor="background1" w:themeShade="80"/>
          <w:sz w:val="22"/>
          <w:szCs w:val="22"/>
        </w:rPr>
        <w:t xml:space="preserve">the </w:t>
      </w:r>
      <w:r w:rsidR="00C140DC">
        <w:rPr>
          <w:rFonts w:ascii="Avenir Next" w:hAnsi="Avenir Next" w:cs="Arial"/>
          <w:color w:val="808080" w:themeColor="background1" w:themeShade="80"/>
          <w:sz w:val="22"/>
          <w:szCs w:val="22"/>
        </w:rPr>
        <w:t>date of the filing of the petition for a winding up procedure.</w:t>
      </w:r>
      <w:r w:rsidR="00BC2D98">
        <w:rPr>
          <w:rFonts w:ascii="Avenir Next" w:hAnsi="Avenir Next" w:cs="Arial"/>
          <w:color w:val="808080" w:themeColor="background1" w:themeShade="80"/>
          <w:sz w:val="22"/>
          <w:szCs w:val="22"/>
        </w:rPr>
        <w:t xml:space="preserve"> Usually, companies intend to defend the </w:t>
      </w:r>
      <w:r w:rsidR="00C725F4">
        <w:rPr>
          <w:rFonts w:ascii="Avenir Next" w:hAnsi="Avenir Next" w:cs="Arial"/>
          <w:color w:val="808080" w:themeColor="background1" w:themeShade="80"/>
          <w:sz w:val="22"/>
          <w:szCs w:val="22"/>
        </w:rPr>
        <w:t xml:space="preserve">winding up </w:t>
      </w:r>
      <w:r w:rsidR="00BC2D98">
        <w:rPr>
          <w:rFonts w:ascii="Avenir Next" w:hAnsi="Avenir Next" w:cs="Arial"/>
          <w:color w:val="808080" w:themeColor="background1" w:themeShade="80"/>
          <w:sz w:val="22"/>
          <w:szCs w:val="22"/>
        </w:rPr>
        <w:t xml:space="preserve">petition and, thus, on that basis, </w:t>
      </w:r>
      <w:r w:rsidR="001450D2">
        <w:rPr>
          <w:rFonts w:ascii="Avenir Next" w:hAnsi="Avenir Next" w:cs="Arial"/>
          <w:color w:val="808080" w:themeColor="background1" w:themeShade="80"/>
          <w:sz w:val="22"/>
          <w:szCs w:val="22"/>
        </w:rPr>
        <w:t xml:space="preserve">they </w:t>
      </w:r>
      <w:r w:rsidR="00BC2D98">
        <w:rPr>
          <w:rFonts w:ascii="Avenir Next" w:hAnsi="Avenir Next" w:cs="Arial"/>
          <w:color w:val="808080" w:themeColor="background1" w:themeShade="80"/>
          <w:sz w:val="22"/>
          <w:szCs w:val="22"/>
        </w:rPr>
        <w:t xml:space="preserve">continue trading. </w:t>
      </w:r>
      <w:r w:rsidR="00C725F4">
        <w:rPr>
          <w:rFonts w:ascii="Avenir Next" w:hAnsi="Avenir Next" w:cs="Arial"/>
          <w:color w:val="808080" w:themeColor="background1" w:themeShade="80"/>
          <w:sz w:val="22"/>
          <w:szCs w:val="22"/>
        </w:rPr>
        <w:t>Failure to defend the petition will result in the avoidance of all the transactions that took place during that period</w:t>
      </w:r>
      <w:r w:rsidR="00F526A4">
        <w:rPr>
          <w:rFonts w:ascii="Avenir Next" w:hAnsi="Avenir Next" w:cs="Arial"/>
          <w:color w:val="808080" w:themeColor="background1" w:themeShade="80"/>
          <w:sz w:val="22"/>
          <w:szCs w:val="22"/>
        </w:rPr>
        <w:t xml:space="preserve"> </w:t>
      </w:r>
      <w:r w:rsidR="002E2228">
        <w:rPr>
          <w:rFonts w:ascii="Avenir Next" w:hAnsi="Avenir Next" w:cs="Arial"/>
          <w:color w:val="808080" w:themeColor="background1" w:themeShade="80"/>
          <w:sz w:val="22"/>
          <w:szCs w:val="22"/>
        </w:rPr>
        <w:t>until</w:t>
      </w:r>
      <w:r w:rsidR="00F526A4">
        <w:rPr>
          <w:rFonts w:ascii="Avenir Next" w:hAnsi="Avenir Next" w:cs="Arial"/>
          <w:color w:val="808080" w:themeColor="background1" w:themeShade="80"/>
          <w:sz w:val="22"/>
          <w:szCs w:val="22"/>
        </w:rPr>
        <w:t xml:space="preserve"> the winding up order</w:t>
      </w:r>
      <w:r w:rsidR="00512DCD">
        <w:rPr>
          <w:rFonts w:ascii="Avenir Next" w:hAnsi="Avenir Next" w:cs="Arial"/>
          <w:color w:val="808080" w:themeColor="background1" w:themeShade="80"/>
          <w:sz w:val="22"/>
          <w:szCs w:val="22"/>
        </w:rPr>
        <w:t>.</w:t>
      </w:r>
    </w:p>
    <w:p w14:paraId="162332A4" w14:textId="77777777" w:rsidR="005B48AA" w:rsidRDefault="005B48AA" w:rsidP="009452DF">
      <w:pPr>
        <w:jc w:val="both"/>
        <w:rPr>
          <w:rFonts w:ascii="Avenir Next" w:hAnsi="Avenir Next" w:cs="Arial"/>
          <w:color w:val="808080" w:themeColor="background1" w:themeShade="80"/>
          <w:sz w:val="22"/>
          <w:szCs w:val="22"/>
        </w:rPr>
      </w:pPr>
    </w:p>
    <w:p w14:paraId="4F24282A" w14:textId="24957B4A" w:rsidR="00755808" w:rsidRDefault="0097609F" w:rsidP="009452DF">
      <w:pPr>
        <w:jc w:val="both"/>
        <w:rPr>
          <w:rFonts w:ascii="Avenir Next" w:hAnsi="Avenir Next" w:cs="Arial"/>
          <w:color w:val="808080" w:themeColor="background1" w:themeShade="80"/>
          <w:sz w:val="22"/>
          <w:szCs w:val="22"/>
        </w:rPr>
      </w:pPr>
      <w:r w:rsidRPr="0097609F">
        <w:rPr>
          <w:rFonts w:ascii="Avenir Next" w:hAnsi="Avenir Next" w:cs="Arial"/>
          <w:color w:val="808080" w:themeColor="background1" w:themeShade="80"/>
          <w:sz w:val="22"/>
          <w:szCs w:val="22"/>
        </w:rPr>
        <w:t xml:space="preserve">In this respect, the court attaches particular importance to the following considerations: the </w:t>
      </w:r>
      <w:r w:rsidRPr="0097609F">
        <w:rPr>
          <w:rFonts w:ascii="Avenir Next" w:hAnsi="Avenir Next" w:cs="Arial"/>
          <w:i/>
          <w:iCs/>
          <w:color w:val="808080" w:themeColor="background1" w:themeShade="80"/>
          <w:sz w:val="22"/>
          <w:szCs w:val="22"/>
        </w:rPr>
        <w:t>pari passu</w:t>
      </w:r>
      <w:r w:rsidRPr="0097609F">
        <w:rPr>
          <w:rFonts w:ascii="Avenir Next" w:hAnsi="Avenir Next" w:cs="Arial"/>
          <w:color w:val="808080" w:themeColor="background1" w:themeShade="80"/>
          <w:sz w:val="22"/>
          <w:szCs w:val="22"/>
        </w:rPr>
        <w:t xml:space="preserve"> principle, which aims to avoid creating a preferential situation for certain creditors prior to liquidation </w:t>
      </w:r>
      <w:r w:rsidRPr="0097609F">
        <w:rPr>
          <w:rFonts w:ascii="Avenir Next" w:hAnsi="Avenir Next" w:cs="Arial"/>
          <w:color w:val="808080" w:themeColor="background1" w:themeShade="80"/>
          <w:sz w:val="22"/>
          <w:szCs w:val="22"/>
        </w:rPr>
        <w:lastRenderedPageBreak/>
        <w:t xml:space="preserve">to the detriment of other creditors in the liquidation proceeding; the continuation of the business to the extent that it would be beneficial to the creditors; the fact that the transactions </w:t>
      </w:r>
      <w:r>
        <w:rPr>
          <w:rFonts w:ascii="Avenir Next" w:hAnsi="Avenir Next" w:cs="Arial"/>
          <w:color w:val="808080" w:themeColor="background1" w:themeShade="80"/>
          <w:sz w:val="22"/>
          <w:szCs w:val="22"/>
        </w:rPr>
        <w:t>at issue</w:t>
      </w:r>
      <w:r w:rsidRPr="0097609F">
        <w:rPr>
          <w:rFonts w:ascii="Avenir Next" w:hAnsi="Avenir Next" w:cs="Arial"/>
          <w:color w:val="808080" w:themeColor="background1" w:themeShade="80"/>
          <w:sz w:val="22"/>
          <w:szCs w:val="22"/>
        </w:rPr>
        <w:t xml:space="preserve"> do not reduce the debtor company's net assets, but on the contrary increase their value and protect them; ignorance by the parties to the transaction (which </w:t>
      </w:r>
      <w:r>
        <w:rPr>
          <w:rFonts w:ascii="Avenir Next" w:hAnsi="Avenir Next" w:cs="Arial"/>
          <w:color w:val="808080" w:themeColor="background1" w:themeShade="80"/>
          <w:sz w:val="22"/>
          <w:szCs w:val="22"/>
        </w:rPr>
        <w:t>sh</w:t>
      </w:r>
      <w:r w:rsidRPr="0097609F">
        <w:rPr>
          <w:rFonts w:ascii="Avenir Next" w:hAnsi="Avenir Next" w:cs="Arial"/>
          <w:color w:val="808080" w:themeColor="background1" w:themeShade="80"/>
          <w:sz w:val="22"/>
          <w:szCs w:val="22"/>
        </w:rPr>
        <w:t xml:space="preserve">ould in any case be in </w:t>
      </w:r>
      <w:r w:rsidRPr="0097609F">
        <w:rPr>
          <w:rFonts w:ascii="Avenir Next" w:hAnsi="Avenir Next" w:cs="Arial"/>
          <w:i/>
          <w:iCs/>
          <w:color w:val="808080" w:themeColor="background1" w:themeShade="80"/>
          <w:sz w:val="22"/>
          <w:szCs w:val="22"/>
        </w:rPr>
        <w:t>bona fide</w:t>
      </w:r>
      <w:r w:rsidR="00B26EE2">
        <w:rPr>
          <w:rFonts w:ascii="Avenir Next" w:hAnsi="Avenir Next" w:cs="Arial"/>
          <w:color w:val="808080" w:themeColor="background1" w:themeShade="80"/>
          <w:sz w:val="22"/>
          <w:szCs w:val="22"/>
        </w:rPr>
        <w:t xml:space="preserve">, made during the ordinary course of business </w:t>
      </w:r>
      <w:r w:rsidRPr="0097609F">
        <w:rPr>
          <w:rFonts w:ascii="Avenir Next" w:hAnsi="Avenir Next" w:cs="Arial"/>
          <w:color w:val="808080" w:themeColor="background1" w:themeShade="80"/>
          <w:sz w:val="22"/>
          <w:szCs w:val="22"/>
        </w:rPr>
        <w:t xml:space="preserve">and </w:t>
      </w:r>
      <w:r w:rsidR="00EC4DE1">
        <w:rPr>
          <w:rFonts w:ascii="Avenir Next" w:hAnsi="Avenir Next" w:cs="Arial"/>
          <w:color w:val="808080" w:themeColor="background1" w:themeShade="80"/>
          <w:sz w:val="22"/>
          <w:szCs w:val="22"/>
        </w:rPr>
        <w:t xml:space="preserve">pursued </w:t>
      </w:r>
      <w:r w:rsidRPr="0097609F">
        <w:rPr>
          <w:rFonts w:ascii="Avenir Next" w:hAnsi="Avenir Next" w:cs="Arial"/>
          <w:color w:val="808080" w:themeColor="background1" w:themeShade="80"/>
          <w:sz w:val="22"/>
          <w:szCs w:val="22"/>
        </w:rPr>
        <w:t>to the benefit of the creditors) of the filing of the winding</w:t>
      </w:r>
      <w:r>
        <w:rPr>
          <w:rFonts w:ascii="Avenir Next" w:hAnsi="Avenir Next" w:cs="Arial"/>
          <w:color w:val="808080" w:themeColor="background1" w:themeShade="80"/>
          <w:sz w:val="22"/>
          <w:szCs w:val="22"/>
        </w:rPr>
        <w:t xml:space="preserve"> </w:t>
      </w:r>
      <w:r w:rsidRPr="0097609F">
        <w:rPr>
          <w:rFonts w:ascii="Avenir Next" w:hAnsi="Avenir Next" w:cs="Arial"/>
          <w:color w:val="808080" w:themeColor="background1" w:themeShade="80"/>
          <w:sz w:val="22"/>
          <w:szCs w:val="22"/>
        </w:rPr>
        <w:t>up petition; and the benefit to the debtor company, such as any additional supplies to be provided to</w:t>
      </w:r>
      <w:r w:rsidR="00B26EE2">
        <w:rPr>
          <w:rFonts w:ascii="Avenir Next" w:hAnsi="Avenir Next" w:cs="Arial"/>
          <w:color w:val="808080" w:themeColor="background1" w:themeShade="80"/>
          <w:sz w:val="22"/>
          <w:szCs w:val="22"/>
        </w:rPr>
        <w:t xml:space="preserve"> it </w:t>
      </w:r>
      <w:r w:rsidRPr="0097609F">
        <w:rPr>
          <w:rFonts w:ascii="Avenir Next" w:hAnsi="Avenir Next" w:cs="Arial"/>
          <w:color w:val="808080" w:themeColor="background1" w:themeShade="80"/>
          <w:sz w:val="22"/>
          <w:szCs w:val="22"/>
        </w:rPr>
        <w:t xml:space="preserve">and </w:t>
      </w:r>
      <w:r w:rsidR="00B26EE2">
        <w:rPr>
          <w:rFonts w:ascii="Avenir Next" w:hAnsi="Avenir Next" w:cs="Arial"/>
          <w:color w:val="808080" w:themeColor="background1" w:themeShade="80"/>
          <w:sz w:val="22"/>
          <w:szCs w:val="22"/>
        </w:rPr>
        <w:t xml:space="preserve">enabling </w:t>
      </w:r>
      <w:r w:rsidRPr="0097609F">
        <w:rPr>
          <w:rFonts w:ascii="Avenir Next" w:hAnsi="Avenir Next" w:cs="Arial"/>
          <w:color w:val="808080" w:themeColor="background1" w:themeShade="80"/>
          <w:sz w:val="22"/>
          <w:szCs w:val="22"/>
        </w:rPr>
        <w:t>the continuation of its business, where "cash on delivery" terms have been agreed for the payment of goods.</w:t>
      </w:r>
      <w:r w:rsidR="005461B0">
        <w:rPr>
          <w:rFonts w:ascii="Avenir Next" w:hAnsi="Avenir Next" w:cs="Arial"/>
          <w:color w:val="808080" w:themeColor="background1" w:themeShade="80"/>
          <w:sz w:val="22"/>
          <w:szCs w:val="22"/>
        </w:rPr>
        <w:t xml:space="preserve"> </w:t>
      </w:r>
      <w:r w:rsidR="00860B71">
        <w:rPr>
          <w:rFonts w:ascii="Avenir Next" w:hAnsi="Avenir Next" w:cs="Arial"/>
          <w:color w:val="808080" w:themeColor="background1" w:themeShade="80"/>
          <w:sz w:val="22"/>
          <w:szCs w:val="22"/>
        </w:rPr>
        <w:t xml:space="preserve">Regardless of whether to validate or not a transaction, the court can </w:t>
      </w:r>
      <w:r w:rsidR="00FB2567">
        <w:rPr>
          <w:rFonts w:ascii="Avenir Next" w:hAnsi="Avenir Next" w:cs="Arial"/>
          <w:color w:val="808080" w:themeColor="background1" w:themeShade="80"/>
          <w:sz w:val="22"/>
          <w:szCs w:val="22"/>
        </w:rPr>
        <w:t xml:space="preserve">generally </w:t>
      </w:r>
      <w:r w:rsidR="00860B71">
        <w:rPr>
          <w:rFonts w:ascii="Avenir Next" w:hAnsi="Avenir Next" w:cs="Arial"/>
          <w:color w:val="808080" w:themeColor="background1" w:themeShade="80"/>
          <w:sz w:val="22"/>
          <w:szCs w:val="22"/>
        </w:rPr>
        <w:t xml:space="preserve">permit </w:t>
      </w:r>
      <w:r w:rsidR="00B26EE2">
        <w:rPr>
          <w:rFonts w:ascii="Avenir Next" w:hAnsi="Avenir Next" w:cs="Arial"/>
          <w:color w:val="808080" w:themeColor="background1" w:themeShade="80"/>
          <w:sz w:val="22"/>
          <w:szCs w:val="22"/>
        </w:rPr>
        <w:t>the</w:t>
      </w:r>
      <w:r w:rsidR="00FB2567">
        <w:rPr>
          <w:rFonts w:ascii="Avenir Next" w:hAnsi="Avenir Next" w:cs="Arial"/>
          <w:color w:val="808080" w:themeColor="background1" w:themeShade="80"/>
          <w:sz w:val="22"/>
          <w:szCs w:val="22"/>
        </w:rPr>
        <w:t xml:space="preserve"> continuation of trading</w:t>
      </w:r>
      <w:r w:rsidR="007F174B">
        <w:rPr>
          <w:rFonts w:ascii="Avenir Next" w:hAnsi="Avenir Next" w:cs="Arial"/>
          <w:color w:val="808080" w:themeColor="background1" w:themeShade="80"/>
          <w:sz w:val="22"/>
          <w:szCs w:val="22"/>
        </w:rPr>
        <w:t xml:space="preserve"> for the debtor compan</w:t>
      </w:r>
      <w:r w:rsidR="00622ADB">
        <w:rPr>
          <w:rFonts w:ascii="Avenir Next" w:hAnsi="Avenir Next" w:cs="Arial"/>
          <w:color w:val="808080" w:themeColor="background1" w:themeShade="80"/>
          <w:sz w:val="22"/>
          <w:szCs w:val="22"/>
        </w:rPr>
        <w:t xml:space="preserve">y. </w:t>
      </w:r>
      <w:r w:rsidR="00011725">
        <w:rPr>
          <w:rFonts w:ascii="Avenir Next" w:hAnsi="Avenir Next" w:cs="Arial"/>
          <w:color w:val="808080" w:themeColor="background1" w:themeShade="80"/>
          <w:sz w:val="22"/>
          <w:szCs w:val="22"/>
        </w:rPr>
        <w:t xml:space="preserve">Generally speaking, the continuation of the trading of the business, especially where the contract seemed to be beneficial </w:t>
      </w:r>
      <w:r w:rsidR="00D566E1">
        <w:rPr>
          <w:rFonts w:ascii="Avenir Next" w:hAnsi="Avenir Next" w:cs="Arial"/>
          <w:color w:val="808080" w:themeColor="background1" w:themeShade="80"/>
          <w:sz w:val="22"/>
          <w:szCs w:val="22"/>
        </w:rPr>
        <w:t>to</w:t>
      </w:r>
      <w:r w:rsidR="00011725">
        <w:rPr>
          <w:rFonts w:ascii="Avenir Next" w:hAnsi="Avenir Next" w:cs="Arial"/>
          <w:color w:val="808080" w:themeColor="background1" w:themeShade="80"/>
          <w:sz w:val="22"/>
          <w:szCs w:val="22"/>
        </w:rPr>
        <w:t xml:space="preserve"> the company, honesty in payments</w:t>
      </w:r>
      <w:r w:rsidR="00B26EE2">
        <w:rPr>
          <w:rFonts w:ascii="Avenir Next" w:hAnsi="Avenir Next" w:cs="Arial"/>
          <w:color w:val="808080" w:themeColor="background1" w:themeShade="80"/>
          <w:sz w:val="22"/>
          <w:szCs w:val="22"/>
        </w:rPr>
        <w:t xml:space="preserve"> and</w:t>
      </w:r>
      <w:r w:rsidR="00011725">
        <w:rPr>
          <w:rFonts w:ascii="Avenir Next" w:hAnsi="Avenir Next" w:cs="Arial"/>
          <w:color w:val="808080" w:themeColor="background1" w:themeShade="80"/>
          <w:sz w:val="22"/>
          <w:szCs w:val="22"/>
        </w:rPr>
        <w:t xml:space="preserve"> the overall benefit </w:t>
      </w:r>
      <w:r w:rsidR="00B26EE2">
        <w:rPr>
          <w:rFonts w:ascii="Avenir Next" w:hAnsi="Avenir Next" w:cs="Arial"/>
          <w:color w:val="808080" w:themeColor="background1" w:themeShade="80"/>
          <w:sz w:val="22"/>
          <w:szCs w:val="22"/>
        </w:rPr>
        <w:t>to</w:t>
      </w:r>
      <w:r w:rsidR="00011725">
        <w:rPr>
          <w:rFonts w:ascii="Avenir Next" w:hAnsi="Avenir Next" w:cs="Arial"/>
          <w:color w:val="808080" w:themeColor="background1" w:themeShade="80"/>
          <w:sz w:val="22"/>
          <w:szCs w:val="22"/>
        </w:rPr>
        <w:t xml:space="preserve"> the debtor company </w:t>
      </w:r>
      <w:r w:rsidR="00D566E1">
        <w:rPr>
          <w:rFonts w:ascii="Avenir Next" w:hAnsi="Avenir Next" w:cs="Arial"/>
          <w:color w:val="808080" w:themeColor="background1" w:themeShade="80"/>
          <w:sz w:val="22"/>
          <w:szCs w:val="22"/>
        </w:rPr>
        <w:t xml:space="preserve">are elements that </w:t>
      </w:r>
      <w:r w:rsidR="00011725">
        <w:rPr>
          <w:rFonts w:ascii="Avenir Next" w:hAnsi="Avenir Next" w:cs="Arial"/>
          <w:color w:val="808080" w:themeColor="background1" w:themeShade="80"/>
          <w:sz w:val="22"/>
          <w:szCs w:val="22"/>
        </w:rPr>
        <w:t>will usually result in the validation of a transaction</w:t>
      </w:r>
      <w:r w:rsidR="00D566E1">
        <w:rPr>
          <w:rFonts w:ascii="Avenir Next" w:hAnsi="Avenir Next" w:cs="Arial"/>
          <w:color w:val="808080" w:themeColor="background1" w:themeShade="80"/>
          <w:sz w:val="22"/>
          <w:szCs w:val="22"/>
        </w:rPr>
        <w:t>.</w:t>
      </w:r>
      <w:r w:rsidR="00F779CF">
        <w:rPr>
          <w:rFonts w:ascii="Avenir Next" w:hAnsi="Avenir Next" w:cs="Arial"/>
          <w:color w:val="808080" w:themeColor="background1" w:themeShade="80"/>
          <w:sz w:val="22"/>
          <w:szCs w:val="22"/>
        </w:rPr>
        <w:t xml:space="preserve"> </w:t>
      </w:r>
    </w:p>
    <w:p w14:paraId="3AF14300" w14:textId="77777777" w:rsidR="00982A44" w:rsidRDefault="00982A44" w:rsidP="009452DF">
      <w:pPr>
        <w:jc w:val="both"/>
        <w:rPr>
          <w:rFonts w:ascii="Avenir Next" w:hAnsi="Avenir Next" w:cs="Arial"/>
          <w:color w:val="808080" w:themeColor="background1" w:themeShade="80"/>
          <w:sz w:val="22"/>
          <w:szCs w:val="22"/>
        </w:rPr>
      </w:pPr>
    </w:p>
    <w:p w14:paraId="3BB005BB" w14:textId="685F679D" w:rsidR="00982A44" w:rsidRPr="0097489A" w:rsidRDefault="00982A4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present case, Hard and Fast </w:t>
      </w:r>
      <w:r w:rsidR="005D6DDB">
        <w:rPr>
          <w:rFonts w:ascii="Avenir Next" w:hAnsi="Avenir Next" w:cs="Arial"/>
          <w:color w:val="808080" w:themeColor="background1" w:themeShade="80"/>
          <w:sz w:val="22"/>
          <w:szCs w:val="22"/>
        </w:rPr>
        <w:t xml:space="preserve">Ltd </w:t>
      </w:r>
      <w:r>
        <w:rPr>
          <w:rFonts w:ascii="Avenir Next" w:hAnsi="Avenir Next" w:cs="Arial"/>
          <w:color w:val="808080" w:themeColor="background1" w:themeShade="80"/>
          <w:sz w:val="22"/>
          <w:szCs w:val="22"/>
        </w:rPr>
        <w:t>demanded</w:t>
      </w:r>
      <w:r w:rsidR="005D6DD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09123B">
        <w:rPr>
          <w:rFonts w:ascii="Avenir Next" w:hAnsi="Avenir Next" w:cs="Arial"/>
          <w:color w:val="808080" w:themeColor="background1" w:themeShade="80"/>
          <w:sz w:val="22"/>
          <w:szCs w:val="22"/>
        </w:rPr>
        <w:t xml:space="preserve">one month prior to the winding up order </w:t>
      </w:r>
      <w:r w:rsidR="005D6DDB">
        <w:rPr>
          <w:rFonts w:ascii="Avenir Next" w:hAnsi="Avenir Next" w:cs="Arial"/>
          <w:color w:val="808080" w:themeColor="background1" w:themeShade="80"/>
          <w:sz w:val="22"/>
          <w:szCs w:val="22"/>
        </w:rPr>
        <w:t xml:space="preserve">of </w:t>
      </w:r>
      <w:r w:rsidR="0009123B">
        <w:rPr>
          <w:rFonts w:ascii="Avenir Next" w:hAnsi="Avenir Next" w:cs="Arial"/>
          <w:color w:val="808080" w:themeColor="background1" w:themeShade="80"/>
          <w:sz w:val="22"/>
          <w:szCs w:val="22"/>
        </w:rPr>
        <w:t>December 2022</w:t>
      </w:r>
      <w:r w:rsidR="005D6DDB">
        <w:rPr>
          <w:rFonts w:ascii="Avenir Next" w:hAnsi="Avenir Next" w:cs="Arial"/>
          <w:color w:val="808080" w:themeColor="background1" w:themeShade="80"/>
          <w:sz w:val="22"/>
          <w:szCs w:val="22"/>
        </w:rPr>
        <w:t>,</w:t>
      </w:r>
      <w:r w:rsidR="0009123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immediate payment of all outstanding amounts</w:t>
      </w:r>
      <w:r w:rsidR="005D6DD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5D6DDB">
        <w:rPr>
          <w:rFonts w:ascii="Avenir Next" w:hAnsi="Avenir Next" w:cs="Arial"/>
          <w:color w:val="808080" w:themeColor="background1" w:themeShade="80"/>
          <w:sz w:val="22"/>
          <w:szCs w:val="22"/>
        </w:rPr>
        <w:t>informing</w:t>
      </w:r>
      <w:r>
        <w:rPr>
          <w:rFonts w:ascii="Avenir Next" w:hAnsi="Avenir Next" w:cs="Arial"/>
          <w:color w:val="808080" w:themeColor="background1" w:themeShade="80"/>
          <w:sz w:val="22"/>
          <w:szCs w:val="22"/>
        </w:rPr>
        <w:t xml:space="preserve"> the debtor Company that further supplies would be </w:t>
      </w:r>
      <w:r w:rsidR="005D6DDB">
        <w:rPr>
          <w:rFonts w:ascii="Avenir Next" w:hAnsi="Avenir Next" w:cs="Arial"/>
          <w:color w:val="808080" w:themeColor="background1" w:themeShade="80"/>
          <w:sz w:val="22"/>
          <w:szCs w:val="22"/>
        </w:rPr>
        <w:t>provided</w:t>
      </w:r>
      <w:r>
        <w:rPr>
          <w:rFonts w:ascii="Avenir Next" w:hAnsi="Avenir Next" w:cs="Arial"/>
          <w:color w:val="808080" w:themeColor="background1" w:themeShade="80"/>
          <w:sz w:val="22"/>
          <w:szCs w:val="22"/>
        </w:rPr>
        <w:t xml:space="preserve"> on a ‘cash on delivery’ basis. The directors of the Company permitted the payment of the current liabilities amounting to GBP 8,000</w:t>
      </w:r>
      <w:r w:rsidR="005D6DD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5D6DDB">
        <w:rPr>
          <w:rFonts w:ascii="Avenir Next" w:hAnsi="Avenir Next" w:cs="Arial"/>
          <w:color w:val="808080" w:themeColor="background1" w:themeShade="80"/>
          <w:sz w:val="22"/>
          <w:szCs w:val="22"/>
        </w:rPr>
        <w:t>while</w:t>
      </w:r>
      <w:r w:rsidR="00807ED9">
        <w:rPr>
          <w:rFonts w:ascii="Avenir Next" w:hAnsi="Avenir Next" w:cs="Arial"/>
          <w:color w:val="808080" w:themeColor="background1" w:themeShade="80"/>
          <w:sz w:val="22"/>
          <w:szCs w:val="22"/>
        </w:rPr>
        <w:t xml:space="preserve"> GBP 3,000 were utilized, on a cash on delivery basis, </w:t>
      </w:r>
      <w:r w:rsidR="005D6DDB">
        <w:rPr>
          <w:rFonts w:ascii="Avenir Next" w:hAnsi="Avenir Next" w:cs="Arial"/>
          <w:color w:val="808080" w:themeColor="background1" w:themeShade="80"/>
          <w:sz w:val="22"/>
          <w:szCs w:val="22"/>
        </w:rPr>
        <w:t>for</w:t>
      </w:r>
      <w:r w:rsidR="00807ED9">
        <w:rPr>
          <w:rFonts w:ascii="Avenir Next" w:hAnsi="Avenir Next" w:cs="Arial"/>
          <w:color w:val="808080" w:themeColor="background1" w:themeShade="80"/>
          <w:sz w:val="22"/>
          <w:szCs w:val="22"/>
        </w:rPr>
        <w:t xml:space="preserve"> additional supplies </w:t>
      </w:r>
      <w:r w:rsidR="00EC4DE1">
        <w:rPr>
          <w:rFonts w:ascii="Avenir Next" w:hAnsi="Avenir Next" w:cs="Arial"/>
          <w:color w:val="808080" w:themeColor="background1" w:themeShade="80"/>
          <w:sz w:val="22"/>
          <w:szCs w:val="22"/>
        </w:rPr>
        <w:t>delivered</w:t>
      </w:r>
      <w:r w:rsidR="00807ED9">
        <w:rPr>
          <w:rFonts w:ascii="Avenir Next" w:hAnsi="Avenir Next" w:cs="Arial"/>
          <w:color w:val="808080" w:themeColor="background1" w:themeShade="80"/>
          <w:sz w:val="22"/>
          <w:szCs w:val="22"/>
        </w:rPr>
        <w:t xml:space="preserve"> by Hard and Fast </w:t>
      </w:r>
      <w:r w:rsidR="005D6DDB">
        <w:rPr>
          <w:rFonts w:ascii="Avenir Next" w:hAnsi="Avenir Next" w:cs="Arial"/>
          <w:color w:val="808080" w:themeColor="background1" w:themeShade="80"/>
          <w:sz w:val="22"/>
          <w:szCs w:val="22"/>
        </w:rPr>
        <w:t xml:space="preserve">Ltd </w:t>
      </w:r>
      <w:r w:rsidR="00807ED9">
        <w:rPr>
          <w:rFonts w:ascii="Avenir Next" w:hAnsi="Avenir Next" w:cs="Arial"/>
          <w:color w:val="808080" w:themeColor="background1" w:themeShade="80"/>
          <w:sz w:val="22"/>
          <w:szCs w:val="22"/>
        </w:rPr>
        <w:t>to the Company until the winding up order date</w:t>
      </w:r>
      <w:r w:rsidR="005D6DDB">
        <w:rPr>
          <w:rFonts w:ascii="Avenir Next" w:hAnsi="Avenir Next" w:cs="Arial"/>
          <w:color w:val="808080" w:themeColor="background1" w:themeShade="80"/>
          <w:sz w:val="22"/>
          <w:szCs w:val="22"/>
        </w:rPr>
        <w:t xml:space="preserve"> of </w:t>
      </w:r>
      <w:r w:rsidR="00807ED9">
        <w:rPr>
          <w:rFonts w:ascii="Avenir Next" w:hAnsi="Avenir Next" w:cs="Arial"/>
          <w:color w:val="808080" w:themeColor="background1" w:themeShade="80"/>
          <w:sz w:val="22"/>
          <w:szCs w:val="22"/>
        </w:rPr>
        <w:t>23</w:t>
      </w:r>
      <w:r w:rsidR="00807ED9" w:rsidRPr="00807ED9">
        <w:rPr>
          <w:rFonts w:ascii="Avenir Next" w:hAnsi="Avenir Next" w:cs="Arial"/>
          <w:color w:val="808080" w:themeColor="background1" w:themeShade="80"/>
          <w:sz w:val="22"/>
          <w:szCs w:val="22"/>
          <w:vertAlign w:val="superscript"/>
        </w:rPr>
        <w:t>rd</w:t>
      </w:r>
      <w:r w:rsidR="00807ED9">
        <w:rPr>
          <w:rFonts w:ascii="Avenir Next" w:hAnsi="Avenir Next" w:cs="Arial"/>
          <w:color w:val="808080" w:themeColor="background1" w:themeShade="80"/>
          <w:sz w:val="22"/>
          <w:szCs w:val="22"/>
        </w:rPr>
        <w:t xml:space="preserve"> December 2022. </w:t>
      </w:r>
    </w:p>
    <w:p w14:paraId="7DE819FB" w14:textId="77777777" w:rsidR="005D6DDB" w:rsidRDefault="005D6DDB" w:rsidP="005B48AA">
      <w:pPr>
        <w:jc w:val="both"/>
        <w:rPr>
          <w:rFonts w:ascii="Avenir Next" w:hAnsi="Avenir Next" w:cs="Arial"/>
          <w:color w:val="808080" w:themeColor="background1" w:themeShade="80"/>
          <w:sz w:val="22"/>
          <w:szCs w:val="22"/>
        </w:rPr>
      </w:pPr>
    </w:p>
    <w:p w14:paraId="227982CD" w14:textId="0C02A2E3" w:rsidR="005B48AA" w:rsidRDefault="005B48AA" w:rsidP="005B48A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per the action under section 239, </w:t>
      </w:r>
      <w:r w:rsidR="009B3024">
        <w:rPr>
          <w:rFonts w:ascii="Avenir Next" w:hAnsi="Avenir Next" w:cs="Arial"/>
          <w:color w:val="808080" w:themeColor="background1" w:themeShade="80"/>
          <w:sz w:val="22"/>
          <w:szCs w:val="22"/>
        </w:rPr>
        <w:t>since</w:t>
      </w:r>
      <w:r>
        <w:rPr>
          <w:rFonts w:ascii="Avenir Next" w:hAnsi="Avenir Next" w:cs="Arial"/>
          <w:color w:val="808080" w:themeColor="background1" w:themeShade="80"/>
          <w:sz w:val="22"/>
          <w:szCs w:val="22"/>
        </w:rPr>
        <w:t xml:space="preserve"> the payments from the Company to Hard and Fast</w:t>
      </w:r>
      <w:r w:rsidR="004E4AB3">
        <w:rPr>
          <w:rFonts w:ascii="Avenir Next" w:hAnsi="Avenir Next" w:cs="Arial"/>
          <w:color w:val="808080" w:themeColor="background1" w:themeShade="80"/>
          <w:sz w:val="22"/>
          <w:szCs w:val="22"/>
        </w:rPr>
        <w:t xml:space="preserve"> Ltd</w:t>
      </w:r>
      <w:r>
        <w:rPr>
          <w:rFonts w:ascii="Avenir Next" w:hAnsi="Avenir Next" w:cs="Arial"/>
          <w:color w:val="808080" w:themeColor="background1" w:themeShade="80"/>
          <w:sz w:val="22"/>
          <w:szCs w:val="22"/>
        </w:rPr>
        <w:t xml:space="preserve"> were made a month before the winding up order</w:t>
      </w:r>
      <w:r w:rsidR="004E4AB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and, thus, during the six</w:t>
      </w:r>
      <w:r w:rsidR="009B3024">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month period for non-connected persons, the relevant time frame is </w:t>
      </w:r>
      <w:r w:rsidR="004E4AB3">
        <w:rPr>
          <w:rFonts w:ascii="Avenir Next" w:hAnsi="Avenir Next" w:cs="Arial"/>
          <w:color w:val="808080" w:themeColor="background1" w:themeShade="80"/>
          <w:sz w:val="22"/>
          <w:szCs w:val="22"/>
        </w:rPr>
        <w:t xml:space="preserve">certainly </w:t>
      </w:r>
      <w:r>
        <w:rPr>
          <w:rFonts w:ascii="Avenir Next" w:hAnsi="Avenir Next" w:cs="Arial"/>
          <w:color w:val="808080" w:themeColor="background1" w:themeShade="80"/>
          <w:sz w:val="22"/>
          <w:szCs w:val="22"/>
        </w:rPr>
        <w:t xml:space="preserve">present. Nevertheless, this option does not seem compatible with the case at hand as, except for the </w:t>
      </w:r>
      <w:r w:rsidR="009B3024">
        <w:rPr>
          <w:rFonts w:ascii="Avenir Next" w:hAnsi="Avenir Next" w:cs="Arial"/>
          <w:color w:val="808080" w:themeColor="background1" w:themeShade="80"/>
          <w:sz w:val="22"/>
          <w:szCs w:val="22"/>
        </w:rPr>
        <w:t>specific</w:t>
      </w:r>
      <w:r>
        <w:rPr>
          <w:rFonts w:ascii="Avenir Next" w:hAnsi="Avenir Next" w:cs="Arial"/>
          <w:color w:val="808080" w:themeColor="background1" w:themeShade="80"/>
          <w:sz w:val="22"/>
          <w:szCs w:val="22"/>
        </w:rPr>
        <w:t xml:space="preserve"> difficulty in proving that the Company was </w:t>
      </w:r>
      <w:r w:rsidR="009B3024">
        <w:rPr>
          <w:rFonts w:ascii="Avenir Next" w:hAnsi="Avenir Next" w:cs="Arial"/>
          <w:color w:val="808080" w:themeColor="background1" w:themeShade="80"/>
          <w:sz w:val="22"/>
          <w:szCs w:val="22"/>
        </w:rPr>
        <w:t>guided</w:t>
      </w:r>
      <w:r>
        <w:rPr>
          <w:rFonts w:ascii="Avenir Next" w:hAnsi="Avenir Next" w:cs="Arial"/>
          <w:color w:val="808080" w:themeColor="background1" w:themeShade="80"/>
          <w:sz w:val="22"/>
          <w:szCs w:val="22"/>
        </w:rPr>
        <w:t xml:space="preserve"> by a desire to favo</w:t>
      </w:r>
      <w:r w:rsidR="00EC4DE1">
        <w:rPr>
          <w:rFonts w:ascii="Avenir Next" w:hAnsi="Avenir Next" w:cs="Arial"/>
          <w:color w:val="808080" w:themeColor="background1" w:themeShade="80"/>
          <w:sz w:val="22"/>
          <w:szCs w:val="22"/>
        </w:rPr>
        <w:t>u</w:t>
      </w:r>
      <w:r>
        <w:rPr>
          <w:rFonts w:ascii="Avenir Next" w:hAnsi="Avenir Next" w:cs="Arial"/>
          <w:color w:val="808080" w:themeColor="background1" w:themeShade="80"/>
          <w:sz w:val="22"/>
          <w:szCs w:val="22"/>
        </w:rPr>
        <w:t xml:space="preserve">r a specific creditor, the mere willingness of the Company to continue trading taking into account purely commercial considerations </w:t>
      </w:r>
      <w:r w:rsidR="0040194C">
        <w:rPr>
          <w:rFonts w:ascii="Avenir Next" w:hAnsi="Avenir Next" w:cs="Arial"/>
          <w:color w:val="808080" w:themeColor="background1" w:themeShade="80"/>
          <w:sz w:val="22"/>
          <w:szCs w:val="22"/>
        </w:rPr>
        <w:t>can</w:t>
      </w:r>
      <w:r w:rsidR="002A34BD">
        <w:rPr>
          <w:rFonts w:ascii="Avenir Next" w:hAnsi="Avenir Next" w:cs="Arial"/>
          <w:color w:val="808080" w:themeColor="background1" w:themeShade="80"/>
          <w:sz w:val="22"/>
          <w:szCs w:val="22"/>
        </w:rPr>
        <w:t xml:space="preserve"> also </w:t>
      </w:r>
      <w:r>
        <w:rPr>
          <w:rFonts w:ascii="Avenir Next" w:hAnsi="Avenir Next" w:cs="Arial"/>
          <w:color w:val="808080" w:themeColor="background1" w:themeShade="80"/>
          <w:sz w:val="22"/>
          <w:szCs w:val="22"/>
        </w:rPr>
        <w:t xml:space="preserve">not </w:t>
      </w:r>
      <w:r w:rsidR="00441570">
        <w:rPr>
          <w:rFonts w:ascii="Avenir Next" w:hAnsi="Avenir Next" w:cs="Arial"/>
          <w:color w:val="808080" w:themeColor="background1" w:themeShade="80"/>
          <w:sz w:val="22"/>
          <w:szCs w:val="22"/>
        </w:rPr>
        <w:t>support</w:t>
      </w:r>
      <w:r>
        <w:rPr>
          <w:rFonts w:ascii="Avenir Next" w:hAnsi="Avenir Next" w:cs="Arial"/>
          <w:color w:val="808080" w:themeColor="background1" w:themeShade="80"/>
          <w:sz w:val="22"/>
          <w:szCs w:val="22"/>
        </w:rPr>
        <w:t xml:space="preserve"> </w:t>
      </w:r>
      <w:r w:rsidR="00EC4DE1">
        <w:rPr>
          <w:rFonts w:ascii="Avenir Next" w:hAnsi="Avenir Next" w:cs="Arial"/>
          <w:color w:val="808080" w:themeColor="background1" w:themeShade="80"/>
          <w:sz w:val="22"/>
          <w:szCs w:val="22"/>
        </w:rPr>
        <w:t xml:space="preserve">the fact that </w:t>
      </w:r>
      <w:r>
        <w:rPr>
          <w:rFonts w:ascii="Avenir Next" w:hAnsi="Avenir Next" w:cs="Arial"/>
          <w:color w:val="808080" w:themeColor="background1" w:themeShade="80"/>
          <w:sz w:val="22"/>
          <w:szCs w:val="22"/>
        </w:rPr>
        <w:t xml:space="preserve">the debtor </w:t>
      </w:r>
      <w:r w:rsidR="0040194C">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 xml:space="preserve">ompany </w:t>
      </w:r>
      <w:r w:rsidR="00BE78BC">
        <w:rPr>
          <w:rFonts w:ascii="Avenir Next" w:hAnsi="Avenir Next" w:cs="Arial"/>
          <w:color w:val="808080" w:themeColor="background1" w:themeShade="80"/>
          <w:sz w:val="22"/>
          <w:szCs w:val="22"/>
        </w:rPr>
        <w:t>was</w:t>
      </w:r>
      <w:r>
        <w:rPr>
          <w:rFonts w:ascii="Avenir Next" w:hAnsi="Avenir Next" w:cs="Arial"/>
          <w:color w:val="808080" w:themeColor="background1" w:themeShade="80"/>
          <w:sz w:val="22"/>
          <w:szCs w:val="22"/>
        </w:rPr>
        <w:t xml:space="preserve"> influenced by a desire to prefer a particular creditor, and in our case, Hard and Fast Ltd. At the same time, as Hard and Fast </w:t>
      </w:r>
      <w:r w:rsidR="00EC4DE1">
        <w:rPr>
          <w:rFonts w:ascii="Avenir Next" w:hAnsi="Avenir Next" w:cs="Arial"/>
          <w:color w:val="808080" w:themeColor="background1" w:themeShade="80"/>
          <w:sz w:val="22"/>
          <w:szCs w:val="22"/>
        </w:rPr>
        <w:t xml:space="preserve">Ltd. </w:t>
      </w:r>
      <w:r>
        <w:rPr>
          <w:rFonts w:ascii="Avenir Next" w:hAnsi="Avenir Next" w:cs="Arial"/>
          <w:color w:val="808080" w:themeColor="background1" w:themeShade="80"/>
          <w:sz w:val="22"/>
          <w:szCs w:val="22"/>
        </w:rPr>
        <w:t>“demanded immediate payment” and, therefore, exercised, one could say, some sort of pressure, that pressure is not taken into consideration for avoiding such a transaction under section 239</w:t>
      </w:r>
      <w:r w:rsidR="00150358">
        <w:rPr>
          <w:rFonts w:ascii="Avenir Next" w:hAnsi="Avenir Next" w:cs="Arial"/>
          <w:color w:val="808080" w:themeColor="background1" w:themeShade="80"/>
          <w:sz w:val="22"/>
          <w:szCs w:val="22"/>
        </w:rPr>
        <w:t>.</w:t>
      </w:r>
    </w:p>
    <w:p w14:paraId="58CD8092" w14:textId="77777777" w:rsidR="00A35D57" w:rsidRPr="00B84055" w:rsidRDefault="00A35D57" w:rsidP="009452DF">
      <w:pPr>
        <w:jc w:val="both"/>
        <w:rPr>
          <w:rFonts w:ascii="Avenir Next" w:hAnsi="Avenir Next" w:cs="Arial"/>
          <w:color w:val="808080" w:themeColor="background1" w:themeShade="80"/>
          <w:sz w:val="22"/>
          <w:szCs w:val="22"/>
        </w:rPr>
      </w:pPr>
    </w:p>
    <w:p w14:paraId="2630BE41" w14:textId="78D4D7BE" w:rsidR="00341E68" w:rsidRDefault="00341E68" w:rsidP="00341E6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per section 127, the Company is undergoing winding up proceedings and these payments were made between the petition </w:t>
      </w:r>
      <w:r w:rsidR="00E41546">
        <w:rPr>
          <w:rFonts w:ascii="Avenir Next" w:hAnsi="Avenir Next" w:cs="Arial"/>
          <w:color w:val="808080" w:themeColor="background1" w:themeShade="80"/>
          <w:sz w:val="22"/>
          <w:szCs w:val="22"/>
        </w:rPr>
        <w:t xml:space="preserve">of 14 October 2022 </w:t>
      </w:r>
      <w:r>
        <w:rPr>
          <w:rFonts w:ascii="Avenir Next" w:hAnsi="Avenir Next" w:cs="Arial"/>
          <w:color w:val="808080" w:themeColor="background1" w:themeShade="80"/>
          <w:sz w:val="22"/>
          <w:szCs w:val="22"/>
        </w:rPr>
        <w:t>for a winding up procedure and the winding up order</w:t>
      </w:r>
      <w:r w:rsidR="00B71F0E">
        <w:rPr>
          <w:rFonts w:ascii="Avenir Next" w:hAnsi="Avenir Next" w:cs="Arial"/>
          <w:color w:val="808080" w:themeColor="background1" w:themeShade="80"/>
          <w:sz w:val="22"/>
          <w:szCs w:val="22"/>
        </w:rPr>
        <w:t xml:space="preserve"> of</w:t>
      </w:r>
      <w:r>
        <w:rPr>
          <w:rFonts w:ascii="Avenir Next" w:hAnsi="Avenir Next" w:cs="Arial"/>
          <w:color w:val="808080" w:themeColor="background1" w:themeShade="80"/>
          <w:sz w:val="22"/>
          <w:szCs w:val="22"/>
        </w:rPr>
        <w:t xml:space="preserve"> 23 December 2022. All the aforementioned considerations to be observed by the court in its determination on whether to validate or not a transaction during that period tend to indicate that the transactions could be validated. Notwithstanding the protection of the general </w:t>
      </w:r>
      <w:r>
        <w:rPr>
          <w:rFonts w:ascii="Avenir Next" w:hAnsi="Avenir Next" w:cs="Arial"/>
          <w:i/>
          <w:iCs/>
          <w:color w:val="808080" w:themeColor="background1" w:themeShade="80"/>
          <w:sz w:val="22"/>
          <w:szCs w:val="22"/>
        </w:rPr>
        <w:t xml:space="preserve">pari passu </w:t>
      </w:r>
      <w:r>
        <w:rPr>
          <w:rFonts w:ascii="Avenir Next" w:hAnsi="Avenir Next" w:cs="Arial"/>
          <w:color w:val="808080" w:themeColor="background1" w:themeShade="80"/>
          <w:sz w:val="22"/>
          <w:szCs w:val="22"/>
        </w:rPr>
        <w:t xml:space="preserve">principle, the continued supply of marble was </w:t>
      </w:r>
      <w:r w:rsidR="00C55221">
        <w:rPr>
          <w:rFonts w:ascii="Avenir Next" w:hAnsi="Avenir Next" w:cs="Arial"/>
          <w:color w:val="808080" w:themeColor="background1" w:themeShade="80"/>
          <w:sz w:val="22"/>
          <w:szCs w:val="22"/>
        </w:rPr>
        <w:t xml:space="preserve">deemed </w:t>
      </w:r>
      <w:r>
        <w:rPr>
          <w:rFonts w:ascii="Avenir Next" w:hAnsi="Avenir Next" w:cs="Arial"/>
          <w:color w:val="808080" w:themeColor="background1" w:themeShade="80"/>
          <w:sz w:val="22"/>
          <w:szCs w:val="22"/>
        </w:rPr>
        <w:t>essential for the Company</w:t>
      </w:r>
      <w:r w:rsidR="00BF310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especially with regard to the continuation of trading</w:t>
      </w:r>
      <w:r w:rsidR="00B71F0E">
        <w:rPr>
          <w:rFonts w:ascii="Avenir Next" w:hAnsi="Avenir Next" w:cs="Arial"/>
          <w:color w:val="808080" w:themeColor="background1" w:themeShade="80"/>
          <w:sz w:val="22"/>
          <w:szCs w:val="22"/>
        </w:rPr>
        <w:t xml:space="preserve">. Moreover, </w:t>
      </w:r>
      <w:r>
        <w:rPr>
          <w:rFonts w:ascii="Avenir Next" w:hAnsi="Avenir Next" w:cs="Arial"/>
          <w:color w:val="808080" w:themeColor="background1" w:themeShade="80"/>
          <w:sz w:val="22"/>
          <w:szCs w:val="22"/>
        </w:rPr>
        <w:t xml:space="preserve">these transactions may translate </w:t>
      </w:r>
      <w:r w:rsidR="00C55221">
        <w:rPr>
          <w:rFonts w:ascii="Avenir Next" w:hAnsi="Avenir Next" w:cs="Arial"/>
          <w:color w:val="808080" w:themeColor="background1" w:themeShade="80"/>
          <w:sz w:val="22"/>
          <w:szCs w:val="22"/>
        </w:rPr>
        <w:t>in</w:t>
      </w:r>
      <w:r>
        <w:rPr>
          <w:rFonts w:ascii="Avenir Next" w:hAnsi="Avenir Next" w:cs="Arial"/>
          <w:color w:val="808080" w:themeColor="background1" w:themeShade="80"/>
          <w:sz w:val="22"/>
          <w:szCs w:val="22"/>
        </w:rPr>
        <w:t xml:space="preserve">to a further increase in the Company’s assets </w:t>
      </w:r>
      <w:r w:rsidR="00BF3108">
        <w:rPr>
          <w:rFonts w:ascii="Avenir Next" w:hAnsi="Avenir Next" w:cs="Arial"/>
          <w:color w:val="808080" w:themeColor="background1" w:themeShade="80"/>
          <w:sz w:val="22"/>
          <w:szCs w:val="22"/>
        </w:rPr>
        <w:t xml:space="preserve">indeed </w:t>
      </w:r>
      <w:r>
        <w:rPr>
          <w:rFonts w:ascii="Avenir Next" w:hAnsi="Avenir Next" w:cs="Arial"/>
          <w:color w:val="808080" w:themeColor="background1" w:themeShade="80"/>
          <w:sz w:val="22"/>
          <w:szCs w:val="22"/>
        </w:rPr>
        <w:t xml:space="preserve">due to the continuation of its business activity. In addition, there </w:t>
      </w:r>
      <w:r w:rsidR="00BF3108">
        <w:rPr>
          <w:rFonts w:ascii="Avenir Next" w:hAnsi="Avenir Next" w:cs="Arial"/>
          <w:color w:val="808080" w:themeColor="background1" w:themeShade="80"/>
          <w:sz w:val="22"/>
          <w:szCs w:val="22"/>
        </w:rPr>
        <w:t>is</w:t>
      </w:r>
      <w:r>
        <w:rPr>
          <w:rFonts w:ascii="Avenir Next" w:hAnsi="Avenir Next" w:cs="Arial"/>
          <w:color w:val="808080" w:themeColor="background1" w:themeShade="80"/>
          <w:sz w:val="22"/>
          <w:szCs w:val="22"/>
        </w:rPr>
        <w:t xml:space="preserve"> no indication in the present case that the Company was informed of the winding up petition. Finally, the Company has agreed to be further supplied with marble on ‘cash on delivery’ terms </w:t>
      </w:r>
      <w:r w:rsidR="007D7D18">
        <w:rPr>
          <w:rFonts w:ascii="Avenir Next" w:hAnsi="Avenir Next" w:cs="Arial"/>
          <w:color w:val="808080" w:themeColor="background1" w:themeShade="80"/>
          <w:sz w:val="22"/>
          <w:szCs w:val="22"/>
        </w:rPr>
        <w:t xml:space="preserve">(especially as regards the second payment of GBP 3,000) </w:t>
      </w:r>
      <w:r>
        <w:rPr>
          <w:rFonts w:ascii="Avenir Next" w:hAnsi="Avenir Next" w:cs="Arial"/>
          <w:color w:val="808080" w:themeColor="background1" w:themeShade="80"/>
          <w:sz w:val="22"/>
          <w:szCs w:val="22"/>
        </w:rPr>
        <w:t>which, as previously mentioned, are viewed as promoting the future supply of goods to the Company and thus the continuation of the business activity for the benefit of creditors.</w:t>
      </w:r>
    </w:p>
    <w:p w14:paraId="6EA8A4A5" w14:textId="77777777" w:rsidR="009D75F8" w:rsidRDefault="009D75F8" w:rsidP="00341E68">
      <w:pPr>
        <w:jc w:val="both"/>
        <w:rPr>
          <w:rFonts w:ascii="Avenir Next" w:hAnsi="Avenir Next" w:cs="Arial"/>
          <w:color w:val="808080" w:themeColor="background1" w:themeShade="80"/>
          <w:sz w:val="22"/>
          <w:szCs w:val="22"/>
        </w:rPr>
      </w:pPr>
    </w:p>
    <w:p w14:paraId="4E8F8DD4" w14:textId="2698B5CD" w:rsidR="009D75F8" w:rsidRPr="002F37B5" w:rsidRDefault="009D75F8" w:rsidP="00341E6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From the aforementioned analysis, it may be concluded that, even under section 127, the payments made to Hard and Fast </w:t>
      </w:r>
      <w:r w:rsidR="00BF3108">
        <w:rPr>
          <w:rFonts w:ascii="Avenir Next" w:hAnsi="Avenir Next" w:cs="Arial"/>
          <w:color w:val="808080" w:themeColor="background1" w:themeShade="80"/>
          <w:sz w:val="22"/>
          <w:szCs w:val="22"/>
        </w:rPr>
        <w:t xml:space="preserve">Ltd. </w:t>
      </w:r>
      <w:r>
        <w:rPr>
          <w:rFonts w:ascii="Avenir Next" w:hAnsi="Avenir Next" w:cs="Arial"/>
          <w:color w:val="808080" w:themeColor="background1" w:themeShade="80"/>
          <w:sz w:val="22"/>
          <w:szCs w:val="22"/>
        </w:rPr>
        <w:t xml:space="preserve">may be validated mostly because of the important considerations of continuing </w:t>
      </w:r>
      <w:r w:rsidR="00BF3108">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business </w:t>
      </w:r>
      <w:r w:rsidR="00BF3108">
        <w:rPr>
          <w:rFonts w:ascii="Avenir Next" w:hAnsi="Avenir Next" w:cs="Arial"/>
          <w:color w:val="808080" w:themeColor="background1" w:themeShade="80"/>
          <w:sz w:val="22"/>
          <w:szCs w:val="22"/>
        </w:rPr>
        <w:t xml:space="preserve">activity </w:t>
      </w:r>
      <w:r>
        <w:rPr>
          <w:rFonts w:ascii="Avenir Next" w:hAnsi="Avenir Next" w:cs="Arial"/>
          <w:color w:val="808080" w:themeColor="background1" w:themeShade="80"/>
          <w:sz w:val="22"/>
          <w:szCs w:val="22"/>
        </w:rPr>
        <w:t>to the benefit of both the debtor and creditors</w:t>
      </w:r>
      <w:r w:rsidR="00F06D57">
        <w:rPr>
          <w:rFonts w:ascii="Avenir Next" w:hAnsi="Avenir Next" w:cs="Arial"/>
          <w:color w:val="808080" w:themeColor="background1" w:themeShade="80"/>
          <w:sz w:val="22"/>
          <w:szCs w:val="22"/>
        </w:rPr>
        <w:t xml:space="preserve"> in the winding up procedure</w:t>
      </w:r>
      <w:r>
        <w:rPr>
          <w:rFonts w:ascii="Avenir Next" w:hAnsi="Avenir Next" w:cs="Arial"/>
          <w:color w:val="808080" w:themeColor="background1" w:themeShade="80"/>
          <w:sz w:val="22"/>
          <w:szCs w:val="22"/>
        </w:rPr>
        <w:t>.</w:t>
      </w:r>
      <w:r w:rsidR="002A34BD">
        <w:rPr>
          <w:rFonts w:ascii="Avenir Next" w:hAnsi="Avenir Next" w:cs="Arial"/>
          <w:color w:val="808080" w:themeColor="background1" w:themeShade="80"/>
          <w:sz w:val="22"/>
          <w:szCs w:val="22"/>
        </w:rPr>
        <w:t xml:space="preserve"> This, nevertheless, does not mean that the transaction</w:t>
      </w:r>
      <w:r w:rsidR="00BF3108">
        <w:rPr>
          <w:rFonts w:ascii="Avenir Next" w:hAnsi="Avenir Next" w:cs="Arial"/>
          <w:color w:val="808080" w:themeColor="background1" w:themeShade="80"/>
          <w:sz w:val="22"/>
          <w:szCs w:val="22"/>
        </w:rPr>
        <w:t>s</w:t>
      </w:r>
      <w:r w:rsidR="002A34BD">
        <w:rPr>
          <w:rFonts w:ascii="Avenir Next" w:hAnsi="Avenir Next" w:cs="Arial"/>
          <w:color w:val="808080" w:themeColor="background1" w:themeShade="80"/>
          <w:sz w:val="22"/>
          <w:szCs w:val="22"/>
        </w:rPr>
        <w:t xml:space="preserve"> won’t be rendered void, by application of section 127, </w:t>
      </w:r>
      <w:r w:rsidR="00493CE5">
        <w:rPr>
          <w:rFonts w:ascii="Avenir Next" w:hAnsi="Avenir Next" w:cs="Arial"/>
          <w:color w:val="808080" w:themeColor="background1" w:themeShade="80"/>
          <w:sz w:val="22"/>
          <w:szCs w:val="22"/>
        </w:rPr>
        <w:t xml:space="preserve">and </w:t>
      </w:r>
      <w:r w:rsidR="00BF3108">
        <w:rPr>
          <w:rFonts w:ascii="Avenir Next" w:hAnsi="Avenir Next" w:cs="Arial"/>
          <w:color w:val="808080" w:themeColor="background1" w:themeShade="80"/>
          <w:sz w:val="22"/>
          <w:szCs w:val="22"/>
        </w:rPr>
        <w:t xml:space="preserve">won’t </w:t>
      </w:r>
      <w:r w:rsidR="00493CE5">
        <w:rPr>
          <w:rFonts w:ascii="Avenir Next" w:hAnsi="Avenir Next" w:cs="Arial"/>
          <w:color w:val="808080" w:themeColor="background1" w:themeShade="80"/>
          <w:sz w:val="22"/>
          <w:szCs w:val="22"/>
        </w:rPr>
        <w:t xml:space="preserve">remain </w:t>
      </w:r>
      <w:r w:rsidR="00BF3108">
        <w:rPr>
          <w:rFonts w:ascii="Avenir Next" w:hAnsi="Avenir Next" w:cs="Arial"/>
          <w:color w:val="808080" w:themeColor="background1" w:themeShade="80"/>
          <w:sz w:val="22"/>
          <w:szCs w:val="22"/>
        </w:rPr>
        <w:t>so</w:t>
      </w:r>
      <w:r w:rsidR="00493CE5">
        <w:rPr>
          <w:rFonts w:ascii="Avenir Next" w:hAnsi="Avenir Next" w:cs="Arial"/>
          <w:color w:val="808080" w:themeColor="background1" w:themeShade="80"/>
          <w:sz w:val="22"/>
          <w:szCs w:val="22"/>
        </w:rPr>
        <w:t xml:space="preserve"> </w:t>
      </w:r>
      <w:r w:rsidR="002A34BD">
        <w:rPr>
          <w:rFonts w:ascii="Avenir Next" w:hAnsi="Avenir Next" w:cs="Arial"/>
          <w:color w:val="808080" w:themeColor="background1" w:themeShade="80"/>
          <w:sz w:val="22"/>
          <w:szCs w:val="22"/>
        </w:rPr>
        <w:t>at least until a validation order is issued</w:t>
      </w:r>
      <w:r w:rsidR="00BF3108">
        <w:rPr>
          <w:rFonts w:ascii="Avenir Next" w:hAnsi="Avenir Next" w:cs="Arial"/>
          <w:color w:val="808080" w:themeColor="background1" w:themeShade="80"/>
          <w:sz w:val="22"/>
          <w:szCs w:val="22"/>
        </w:rPr>
        <w:t>, eventuall</w:t>
      </w:r>
      <w:r w:rsidR="00826153">
        <w:rPr>
          <w:rFonts w:ascii="Avenir Next" w:hAnsi="Avenir Next" w:cs="Arial"/>
          <w:color w:val="808080" w:themeColor="background1" w:themeShade="80"/>
          <w:sz w:val="22"/>
          <w:szCs w:val="22"/>
        </w:rPr>
        <w:t>y.</w:t>
      </w:r>
    </w:p>
    <w:p w14:paraId="488DF8D9" w14:textId="3A709608" w:rsidR="009D75F8" w:rsidRPr="006925C1" w:rsidRDefault="009D75F8"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AF27" w14:textId="77777777" w:rsidR="000007C3" w:rsidRDefault="000007C3" w:rsidP="00241B44">
      <w:r>
        <w:separator/>
      </w:r>
    </w:p>
  </w:endnote>
  <w:endnote w:type="continuationSeparator" w:id="0">
    <w:p w14:paraId="5014FD76" w14:textId="77777777" w:rsidR="000007C3" w:rsidRDefault="000007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rPr>
      <w:id w:val="-758512077"/>
      <w:docPartObj>
        <w:docPartGallery w:val="Page Numbers (Bottom of Page)"/>
        <w:docPartUnique/>
      </w:docPartObj>
    </w:sdtPr>
    <w:sdtEndPr>
      <w:rPr>
        <w:rStyle w:val="ab"/>
        <w:b w:val="0"/>
        <w:sz w:val="22"/>
        <w:szCs w:val="22"/>
      </w:rPr>
    </w:sdtEndPr>
    <w:sdtContent>
      <w:p w14:paraId="0AAD6B61" w14:textId="77777777" w:rsidR="00E450A4" w:rsidRPr="00FC7B47" w:rsidRDefault="00E450A4" w:rsidP="009B4976">
        <w:pPr>
          <w:pStyle w:val="aa"/>
          <w:framePr w:wrap="none" w:vAnchor="text" w:hAnchor="margin" w:xAlign="right" w:y="1"/>
          <w:rPr>
            <w:rStyle w:val="ab"/>
            <w:rFonts w:ascii="Arial" w:hAnsi="Arial" w:cs="Arial"/>
            <w:sz w:val="22"/>
            <w:szCs w:val="22"/>
          </w:rPr>
        </w:pPr>
        <w:r w:rsidRPr="00697EA1">
          <w:rPr>
            <w:rStyle w:val="ab"/>
            <w:rFonts w:ascii="Arial" w:hAnsi="Arial" w:cs="Arial"/>
            <w:b/>
          </w:rPr>
          <w:t xml:space="preserve">Page </w:t>
        </w:r>
        <w:r w:rsidRPr="00697EA1">
          <w:rPr>
            <w:rStyle w:val="ab"/>
            <w:rFonts w:ascii="Arial" w:hAnsi="Arial" w:cs="Arial"/>
            <w:b/>
            <w:sz w:val="22"/>
            <w:szCs w:val="22"/>
          </w:rPr>
          <w:fldChar w:fldCharType="begin"/>
        </w:r>
        <w:r w:rsidRPr="00697EA1">
          <w:rPr>
            <w:rStyle w:val="ab"/>
            <w:rFonts w:ascii="Arial" w:hAnsi="Arial" w:cs="Arial"/>
            <w:b/>
            <w:sz w:val="22"/>
            <w:szCs w:val="22"/>
          </w:rPr>
          <w:instrText xml:space="preserve"> PAGE </w:instrText>
        </w:r>
        <w:r w:rsidRPr="00697EA1">
          <w:rPr>
            <w:rStyle w:val="ab"/>
            <w:rFonts w:ascii="Arial" w:hAnsi="Arial" w:cs="Arial"/>
            <w:b/>
            <w:sz w:val="22"/>
            <w:szCs w:val="22"/>
          </w:rPr>
          <w:fldChar w:fldCharType="separate"/>
        </w:r>
        <w:r>
          <w:rPr>
            <w:rStyle w:val="ab"/>
            <w:rFonts w:ascii="Arial" w:hAnsi="Arial" w:cs="Arial"/>
            <w:b/>
            <w:noProof/>
            <w:sz w:val="22"/>
            <w:szCs w:val="22"/>
          </w:rPr>
          <w:t>10</w:t>
        </w:r>
        <w:r w:rsidRPr="00697EA1">
          <w:rPr>
            <w:rStyle w:val="ab"/>
            <w:rFonts w:ascii="Arial" w:hAnsi="Arial" w:cs="Arial"/>
            <w:b/>
            <w:sz w:val="22"/>
            <w:szCs w:val="22"/>
          </w:rPr>
          <w:fldChar w:fldCharType="end"/>
        </w:r>
      </w:p>
    </w:sdtContent>
  </w:sdt>
  <w:p w14:paraId="39FD1B0B" w14:textId="3A981440" w:rsidR="00E450A4" w:rsidRPr="00FC7B47" w:rsidRDefault="00445CE6" w:rsidP="00FC7B47">
    <w:pPr>
      <w:pStyle w:val="a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venir Next" w:hAnsi="Avenir Next" w:cs="Arial"/>
        <w:sz w:val="22"/>
        <w:szCs w:val="22"/>
      </w:rPr>
      <w:id w:val="-1409602822"/>
      <w:docPartObj>
        <w:docPartGallery w:val="Page Numbers (Bottom of Page)"/>
        <w:docPartUnique/>
      </w:docPartObj>
    </w:sdtPr>
    <w:sdtEndPr>
      <w:rPr>
        <w:rStyle w:val="ab"/>
        <w:rFonts w:ascii="Arial" w:hAnsi="Arial"/>
        <w:sz w:val="18"/>
        <w:szCs w:val="18"/>
      </w:rPr>
    </w:sdtEndPr>
    <w:sdtContent>
      <w:p w14:paraId="0A05F8FD" w14:textId="1857BB82" w:rsidR="009B4976" w:rsidRPr="009B4976" w:rsidRDefault="009B4976" w:rsidP="00E23A7A">
        <w:pPr>
          <w:pStyle w:val="aa"/>
          <w:framePr w:wrap="none" w:vAnchor="text" w:hAnchor="margin" w:xAlign="right" w:y="1"/>
          <w:rPr>
            <w:rStyle w:val="ab"/>
            <w:rFonts w:ascii="Arial" w:hAnsi="Arial" w:cs="Arial"/>
            <w:sz w:val="18"/>
            <w:szCs w:val="18"/>
          </w:rPr>
        </w:pPr>
        <w:r w:rsidRPr="00A84235">
          <w:rPr>
            <w:rStyle w:val="ab"/>
            <w:rFonts w:ascii="Avenir Next" w:hAnsi="Avenir Next" w:cs="Arial"/>
            <w:sz w:val="22"/>
            <w:szCs w:val="22"/>
          </w:rPr>
          <w:t xml:space="preserve">Page </w:t>
        </w:r>
        <w:r w:rsidRPr="00A84235">
          <w:rPr>
            <w:rStyle w:val="ab"/>
            <w:rFonts w:ascii="Avenir Next" w:hAnsi="Avenir Next" w:cs="Arial"/>
            <w:sz w:val="22"/>
            <w:szCs w:val="22"/>
          </w:rPr>
          <w:fldChar w:fldCharType="begin"/>
        </w:r>
        <w:r w:rsidRPr="00A84235">
          <w:rPr>
            <w:rStyle w:val="ab"/>
            <w:rFonts w:ascii="Avenir Next" w:hAnsi="Avenir Next" w:cs="Arial"/>
            <w:sz w:val="22"/>
            <w:szCs w:val="22"/>
          </w:rPr>
          <w:instrText xml:space="preserve"> PAGE </w:instrText>
        </w:r>
        <w:r w:rsidRPr="00A84235">
          <w:rPr>
            <w:rStyle w:val="ab"/>
            <w:rFonts w:ascii="Avenir Next" w:hAnsi="Avenir Next" w:cs="Arial"/>
            <w:sz w:val="22"/>
            <w:szCs w:val="22"/>
          </w:rPr>
          <w:fldChar w:fldCharType="separate"/>
        </w:r>
        <w:r w:rsidR="009D3AF0" w:rsidRPr="00A84235">
          <w:rPr>
            <w:rStyle w:val="ab"/>
            <w:rFonts w:ascii="Avenir Next" w:hAnsi="Avenir Next" w:cs="Arial"/>
            <w:noProof/>
            <w:sz w:val="22"/>
            <w:szCs w:val="22"/>
          </w:rPr>
          <w:t>8</w:t>
        </w:r>
        <w:r w:rsidRPr="00A84235">
          <w:rPr>
            <w:rStyle w:val="ab"/>
            <w:rFonts w:ascii="Avenir Next" w:hAnsi="Avenir Next" w:cs="Arial"/>
            <w:sz w:val="22"/>
            <w:szCs w:val="22"/>
          </w:rPr>
          <w:fldChar w:fldCharType="end"/>
        </w:r>
      </w:p>
    </w:sdtContent>
  </w:sdt>
  <w:p w14:paraId="30F05E79" w14:textId="07BDB4DA" w:rsidR="00241FA3" w:rsidRPr="00A84235" w:rsidRDefault="001A0D71" w:rsidP="009B4976">
    <w:pPr>
      <w:pStyle w:val="aa"/>
      <w:ind w:right="360"/>
      <w:rPr>
        <w:rFonts w:ascii="Avenir Next" w:hAnsi="Avenir Next" w:cs="Arial"/>
        <w:sz w:val="22"/>
        <w:szCs w:val="22"/>
        <w:lang w:val="en-GB"/>
      </w:rPr>
    </w:pPr>
    <w:r w:rsidRPr="001A0D71">
      <w:rPr>
        <w:rFonts w:ascii="Avenir Next" w:hAnsi="Avenir Next" w:cs="Arial"/>
        <w:sz w:val="22"/>
        <w:szCs w:val="22"/>
        <w:lang w:val="en-GB"/>
      </w:rPr>
      <w:t>202223-936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C6B0" w14:textId="77777777" w:rsidR="000007C3" w:rsidRDefault="000007C3" w:rsidP="00241B44">
      <w:r>
        <w:separator/>
      </w:r>
    </w:p>
  </w:footnote>
  <w:footnote w:type="continuationSeparator" w:id="0">
    <w:p w14:paraId="4D70EBFD" w14:textId="77777777" w:rsidR="000007C3" w:rsidRDefault="000007C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905158">
    <w:abstractNumId w:val="3"/>
  </w:num>
  <w:num w:numId="2" w16cid:durableId="1282108097">
    <w:abstractNumId w:val="1"/>
  </w:num>
  <w:num w:numId="3" w16cid:durableId="963080795">
    <w:abstractNumId w:val="0"/>
  </w:num>
  <w:num w:numId="4" w16cid:durableId="1473404181">
    <w:abstractNumId w:val="7"/>
  </w:num>
  <w:num w:numId="5" w16cid:durableId="130251078">
    <w:abstractNumId w:val="10"/>
  </w:num>
  <w:num w:numId="6" w16cid:durableId="502554171">
    <w:abstractNumId w:val="2"/>
  </w:num>
  <w:num w:numId="7" w16cid:durableId="338433452">
    <w:abstractNumId w:val="11"/>
  </w:num>
  <w:num w:numId="8" w16cid:durableId="513615671">
    <w:abstractNumId w:val="15"/>
  </w:num>
  <w:num w:numId="9" w16cid:durableId="5376731">
    <w:abstractNumId w:val="8"/>
  </w:num>
  <w:num w:numId="10" w16cid:durableId="851408268">
    <w:abstractNumId w:val="16"/>
  </w:num>
  <w:num w:numId="11" w16cid:durableId="1373922033">
    <w:abstractNumId w:val="5"/>
  </w:num>
  <w:num w:numId="12" w16cid:durableId="1048839964">
    <w:abstractNumId w:val="13"/>
  </w:num>
  <w:num w:numId="13" w16cid:durableId="742527430">
    <w:abstractNumId w:val="9"/>
  </w:num>
  <w:num w:numId="14" w16cid:durableId="1516262555">
    <w:abstractNumId w:val="4"/>
  </w:num>
  <w:num w:numId="15" w16cid:durableId="297534612">
    <w:abstractNumId w:val="12"/>
  </w:num>
  <w:num w:numId="16" w16cid:durableId="1012729881">
    <w:abstractNumId w:val="14"/>
  </w:num>
  <w:num w:numId="17" w16cid:durableId="171770308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C3"/>
    <w:rsid w:val="00010BA0"/>
    <w:rsid w:val="00011725"/>
    <w:rsid w:val="0001279B"/>
    <w:rsid w:val="000145D0"/>
    <w:rsid w:val="00020557"/>
    <w:rsid w:val="00021FC2"/>
    <w:rsid w:val="000250C7"/>
    <w:rsid w:val="00026F16"/>
    <w:rsid w:val="0003037D"/>
    <w:rsid w:val="00036883"/>
    <w:rsid w:val="00037621"/>
    <w:rsid w:val="00037C1A"/>
    <w:rsid w:val="00041335"/>
    <w:rsid w:val="00044D46"/>
    <w:rsid w:val="00044FF7"/>
    <w:rsid w:val="00045088"/>
    <w:rsid w:val="00045904"/>
    <w:rsid w:val="000463B5"/>
    <w:rsid w:val="000502FD"/>
    <w:rsid w:val="0005102C"/>
    <w:rsid w:val="00054F38"/>
    <w:rsid w:val="00065166"/>
    <w:rsid w:val="000666AD"/>
    <w:rsid w:val="0007320E"/>
    <w:rsid w:val="000732C3"/>
    <w:rsid w:val="000751F6"/>
    <w:rsid w:val="0007560B"/>
    <w:rsid w:val="00075937"/>
    <w:rsid w:val="000764CA"/>
    <w:rsid w:val="00077695"/>
    <w:rsid w:val="00082609"/>
    <w:rsid w:val="000851CC"/>
    <w:rsid w:val="00086CB3"/>
    <w:rsid w:val="00087F21"/>
    <w:rsid w:val="0009123B"/>
    <w:rsid w:val="00093BE8"/>
    <w:rsid w:val="000948C2"/>
    <w:rsid w:val="000A275E"/>
    <w:rsid w:val="000A407B"/>
    <w:rsid w:val="000A68ED"/>
    <w:rsid w:val="000A6983"/>
    <w:rsid w:val="000B5FF1"/>
    <w:rsid w:val="000B609F"/>
    <w:rsid w:val="000C36C7"/>
    <w:rsid w:val="000C4C4B"/>
    <w:rsid w:val="000C51D9"/>
    <w:rsid w:val="000D10C6"/>
    <w:rsid w:val="000D55A8"/>
    <w:rsid w:val="000E4841"/>
    <w:rsid w:val="000E4BE0"/>
    <w:rsid w:val="000F1660"/>
    <w:rsid w:val="000F1677"/>
    <w:rsid w:val="000F3D6C"/>
    <w:rsid w:val="000F4156"/>
    <w:rsid w:val="0010045C"/>
    <w:rsid w:val="00101694"/>
    <w:rsid w:val="00101707"/>
    <w:rsid w:val="00102CC9"/>
    <w:rsid w:val="0010593A"/>
    <w:rsid w:val="0011473D"/>
    <w:rsid w:val="001152BE"/>
    <w:rsid w:val="00115708"/>
    <w:rsid w:val="00115C85"/>
    <w:rsid w:val="0012085C"/>
    <w:rsid w:val="001227AE"/>
    <w:rsid w:val="00123855"/>
    <w:rsid w:val="00123AAA"/>
    <w:rsid w:val="00124B44"/>
    <w:rsid w:val="00126A4D"/>
    <w:rsid w:val="0014171F"/>
    <w:rsid w:val="00143C61"/>
    <w:rsid w:val="001450D2"/>
    <w:rsid w:val="0014622C"/>
    <w:rsid w:val="00150358"/>
    <w:rsid w:val="00152348"/>
    <w:rsid w:val="0015456D"/>
    <w:rsid w:val="00155FA2"/>
    <w:rsid w:val="00157AEB"/>
    <w:rsid w:val="00161F1B"/>
    <w:rsid w:val="00162829"/>
    <w:rsid w:val="00170193"/>
    <w:rsid w:val="0017044C"/>
    <w:rsid w:val="001705B9"/>
    <w:rsid w:val="00172999"/>
    <w:rsid w:val="00172A81"/>
    <w:rsid w:val="00175EC4"/>
    <w:rsid w:val="00180548"/>
    <w:rsid w:val="00180AC4"/>
    <w:rsid w:val="00180CCE"/>
    <w:rsid w:val="00182574"/>
    <w:rsid w:val="0018267A"/>
    <w:rsid w:val="00182779"/>
    <w:rsid w:val="00182788"/>
    <w:rsid w:val="001830DF"/>
    <w:rsid w:val="001966D9"/>
    <w:rsid w:val="00196B3B"/>
    <w:rsid w:val="00196B9E"/>
    <w:rsid w:val="001A007A"/>
    <w:rsid w:val="001A0D71"/>
    <w:rsid w:val="001A504D"/>
    <w:rsid w:val="001A7E9A"/>
    <w:rsid w:val="001B0F70"/>
    <w:rsid w:val="001B5016"/>
    <w:rsid w:val="001C45FC"/>
    <w:rsid w:val="001C69E1"/>
    <w:rsid w:val="001C6EED"/>
    <w:rsid w:val="001D0469"/>
    <w:rsid w:val="001D0644"/>
    <w:rsid w:val="001D29C0"/>
    <w:rsid w:val="001D2DFB"/>
    <w:rsid w:val="001D4862"/>
    <w:rsid w:val="001D70CD"/>
    <w:rsid w:val="001E0744"/>
    <w:rsid w:val="001E09B3"/>
    <w:rsid w:val="001E130C"/>
    <w:rsid w:val="001E25B9"/>
    <w:rsid w:val="001E37E4"/>
    <w:rsid w:val="001E49E0"/>
    <w:rsid w:val="001E7B5A"/>
    <w:rsid w:val="001F3C98"/>
    <w:rsid w:val="001F7412"/>
    <w:rsid w:val="0020090A"/>
    <w:rsid w:val="0020204E"/>
    <w:rsid w:val="00202DFE"/>
    <w:rsid w:val="0020693B"/>
    <w:rsid w:val="0020725B"/>
    <w:rsid w:val="002110F1"/>
    <w:rsid w:val="00211C2B"/>
    <w:rsid w:val="00212001"/>
    <w:rsid w:val="00231343"/>
    <w:rsid w:val="002356EA"/>
    <w:rsid w:val="0024116D"/>
    <w:rsid w:val="00241B44"/>
    <w:rsid w:val="00241FA3"/>
    <w:rsid w:val="00245EFB"/>
    <w:rsid w:val="0024685F"/>
    <w:rsid w:val="0025386E"/>
    <w:rsid w:val="00257FCE"/>
    <w:rsid w:val="002615D9"/>
    <w:rsid w:val="002620DC"/>
    <w:rsid w:val="002638B0"/>
    <w:rsid w:val="0026647A"/>
    <w:rsid w:val="002668D3"/>
    <w:rsid w:val="0027185F"/>
    <w:rsid w:val="0027299F"/>
    <w:rsid w:val="002839A2"/>
    <w:rsid w:val="00284EBE"/>
    <w:rsid w:val="00285AFA"/>
    <w:rsid w:val="00287771"/>
    <w:rsid w:val="002903A7"/>
    <w:rsid w:val="00293AE5"/>
    <w:rsid w:val="0029433F"/>
    <w:rsid w:val="00294829"/>
    <w:rsid w:val="00295D9E"/>
    <w:rsid w:val="0029690F"/>
    <w:rsid w:val="00297C8A"/>
    <w:rsid w:val="002A0F29"/>
    <w:rsid w:val="002A2A60"/>
    <w:rsid w:val="002A34BD"/>
    <w:rsid w:val="002A37BB"/>
    <w:rsid w:val="002B1C45"/>
    <w:rsid w:val="002C0DE7"/>
    <w:rsid w:val="002C13C8"/>
    <w:rsid w:val="002C3547"/>
    <w:rsid w:val="002C39D5"/>
    <w:rsid w:val="002C3D11"/>
    <w:rsid w:val="002C4572"/>
    <w:rsid w:val="002C46CB"/>
    <w:rsid w:val="002C5FAF"/>
    <w:rsid w:val="002D0021"/>
    <w:rsid w:val="002D299D"/>
    <w:rsid w:val="002D31B7"/>
    <w:rsid w:val="002D3473"/>
    <w:rsid w:val="002E2228"/>
    <w:rsid w:val="002F1956"/>
    <w:rsid w:val="002F3440"/>
    <w:rsid w:val="002F37B5"/>
    <w:rsid w:val="002F75A3"/>
    <w:rsid w:val="002F77D6"/>
    <w:rsid w:val="00303C2F"/>
    <w:rsid w:val="00303FDB"/>
    <w:rsid w:val="003103F0"/>
    <w:rsid w:val="00311816"/>
    <w:rsid w:val="003144EF"/>
    <w:rsid w:val="00314F32"/>
    <w:rsid w:val="00325054"/>
    <w:rsid w:val="00326292"/>
    <w:rsid w:val="00326415"/>
    <w:rsid w:val="00330937"/>
    <w:rsid w:val="00330F31"/>
    <w:rsid w:val="003332EF"/>
    <w:rsid w:val="00334648"/>
    <w:rsid w:val="0033768C"/>
    <w:rsid w:val="00337938"/>
    <w:rsid w:val="00337CBC"/>
    <w:rsid w:val="00340769"/>
    <w:rsid w:val="00340A17"/>
    <w:rsid w:val="00341AA6"/>
    <w:rsid w:val="00341E68"/>
    <w:rsid w:val="00347757"/>
    <w:rsid w:val="00350590"/>
    <w:rsid w:val="00360EF7"/>
    <w:rsid w:val="00361861"/>
    <w:rsid w:val="00361A0A"/>
    <w:rsid w:val="00364836"/>
    <w:rsid w:val="0036565C"/>
    <w:rsid w:val="0036625E"/>
    <w:rsid w:val="00367927"/>
    <w:rsid w:val="00370D5E"/>
    <w:rsid w:val="0037465A"/>
    <w:rsid w:val="00380B05"/>
    <w:rsid w:val="00382C98"/>
    <w:rsid w:val="00383D8B"/>
    <w:rsid w:val="0038410E"/>
    <w:rsid w:val="0038533C"/>
    <w:rsid w:val="00386568"/>
    <w:rsid w:val="00390B57"/>
    <w:rsid w:val="00390CBC"/>
    <w:rsid w:val="003948D5"/>
    <w:rsid w:val="003955C5"/>
    <w:rsid w:val="00396821"/>
    <w:rsid w:val="00397535"/>
    <w:rsid w:val="00397D3A"/>
    <w:rsid w:val="003A051B"/>
    <w:rsid w:val="003A051E"/>
    <w:rsid w:val="003A3059"/>
    <w:rsid w:val="003A4482"/>
    <w:rsid w:val="003B0F26"/>
    <w:rsid w:val="003B170F"/>
    <w:rsid w:val="003B3C5F"/>
    <w:rsid w:val="003B5A69"/>
    <w:rsid w:val="003C300A"/>
    <w:rsid w:val="003C4471"/>
    <w:rsid w:val="003D0A6D"/>
    <w:rsid w:val="003D6A22"/>
    <w:rsid w:val="003D7145"/>
    <w:rsid w:val="003D7D8B"/>
    <w:rsid w:val="003E06E5"/>
    <w:rsid w:val="003E0B16"/>
    <w:rsid w:val="003E1BBF"/>
    <w:rsid w:val="003E2B87"/>
    <w:rsid w:val="003E5F4A"/>
    <w:rsid w:val="003E67D1"/>
    <w:rsid w:val="003E6DE7"/>
    <w:rsid w:val="003F459A"/>
    <w:rsid w:val="0040194C"/>
    <w:rsid w:val="00404329"/>
    <w:rsid w:val="00404E7F"/>
    <w:rsid w:val="00405DC1"/>
    <w:rsid w:val="00407339"/>
    <w:rsid w:val="00415F1F"/>
    <w:rsid w:val="00416AA7"/>
    <w:rsid w:val="0041743F"/>
    <w:rsid w:val="004174A5"/>
    <w:rsid w:val="0042108F"/>
    <w:rsid w:val="00430FED"/>
    <w:rsid w:val="00434A8C"/>
    <w:rsid w:val="00435114"/>
    <w:rsid w:val="00437297"/>
    <w:rsid w:val="00441570"/>
    <w:rsid w:val="00444284"/>
    <w:rsid w:val="00445CE6"/>
    <w:rsid w:val="0045163E"/>
    <w:rsid w:val="004534C2"/>
    <w:rsid w:val="00454035"/>
    <w:rsid w:val="0045446F"/>
    <w:rsid w:val="0045683E"/>
    <w:rsid w:val="00456D12"/>
    <w:rsid w:val="004572B8"/>
    <w:rsid w:val="00461F95"/>
    <w:rsid w:val="004622CB"/>
    <w:rsid w:val="0047259D"/>
    <w:rsid w:val="00473D10"/>
    <w:rsid w:val="00474968"/>
    <w:rsid w:val="00474C2B"/>
    <w:rsid w:val="0047610A"/>
    <w:rsid w:val="00477A53"/>
    <w:rsid w:val="00477C72"/>
    <w:rsid w:val="00482018"/>
    <w:rsid w:val="00491675"/>
    <w:rsid w:val="00493855"/>
    <w:rsid w:val="00493CE5"/>
    <w:rsid w:val="00495E79"/>
    <w:rsid w:val="0049646E"/>
    <w:rsid w:val="004976B3"/>
    <w:rsid w:val="004A2D83"/>
    <w:rsid w:val="004A57DD"/>
    <w:rsid w:val="004A7B51"/>
    <w:rsid w:val="004A7D71"/>
    <w:rsid w:val="004A7EF3"/>
    <w:rsid w:val="004B11FD"/>
    <w:rsid w:val="004B23A2"/>
    <w:rsid w:val="004B54C6"/>
    <w:rsid w:val="004C46AD"/>
    <w:rsid w:val="004C5BA0"/>
    <w:rsid w:val="004D1A5A"/>
    <w:rsid w:val="004D2FFF"/>
    <w:rsid w:val="004D3721"/>
    <w:rsid w:val="004D4FA8"/>
    <w:rsid w:val="004D5644"/>
    <w:rsid w:val="004D64F9"/>
    <w:rsid w:val="004E05B8"/>
    <w:rsid w:val="004E2E29"/>
    <w:rsid w:val="004E3A6B"/>
    <w:rsid w:val="004E4AB3"/>
    <w:rsid w:val="004E622C"/>
    <w:rsid w:val="004F5FDF"/>
    <w:rsid w:val="00500ECD"/>
    <w:rsid w:val="00502A62"/>
    <w:rsid w:val="00503FC3"/>
    <w:rsid w:val="0051199B"/>
    <w:rsid w:val="00512DCD"/>
    <w:rsid w:val="005162DD"/>
    <w:rsid w:val="00516D1C"/>
    <w:rsid w:val="005177FE"/>
    <w:rsid w:val="00520242"/>
    <w:rsid w:val="0052263B"/>
    <w:rsid w:val="00524728"/>
    <w:rsid w:val="00530256"/>
    <w:rsid w:val="00531DE4"/>
    <w:rsid w:val="005331CA"/>
    <w:rsid w:val="00534964"/>
    <w:rsid w:val="00537822"/>
    <w:rsid w:val="00537970"/>
    <w:rsid w:val="005403D1"/>
    <w:rsid w:val="00540D50"/>
    <w:rsid w:val="00540E3A"/>
    <w:rsid w:val="0054182F"/>
    <w:rsid w:val="00544127"/>
    <w:rsid w:val="005461B0"/>
    <w:rsid w:val="005463A9"/>
    <w:rsid w:val="00553EB2"/>
    <w:rsid w:val="00554792"/>
    <w:rsid w:val="00560534"/>
    <w:rsid w:val="00560F46"/>
    <w:rsid w:val="0056391B"/>
    <w:rsid w:val="005650E2"/>
    <w:rsid w:val="005654D2"/>
    <w:rsid w:val="00565F92"/>
    <w:rsid w:val="00567AD7"/>
    <w:rsid w:val="005722F5"/>
    <w:rsid w:val="00575B2D"/>
    <w:rsid w:val="005778E7"/>
    <w:rsid w:val="00581C56"/>
    <w:rsid w:val="005833D0"/>
    <w:rsid w:val="005846F3"/>
    <w:rsid w:val="0058622F"/>
    <w:rsid w:val="00592F82"/>
    <w:rsid w:val="0059319D"/>
    <w:rsid w:val="005A0CCA"/>
    <w:rsid w:val="005A1083"/>
    <w:rsid w:val="005A22DF"/>
    <w:rsid w:val="005A5F97"/>
    <w:rsid w:val="005A6FF2"/>
    <w:rsid w:val="005A726D"/>
    <w:rsid w:val="005B2E0D"/>
    <w:rsid w:val="005B3989"/>
    <w:rsid w:val="005B429C"/>
    <w:rsid w:val="005B48AA"/>
    <w:rsid w:val="005B67AC"/>
    <w:rsid w:val="005B79F4"/>
    <w:rsid w:val="005C5F32"/>
    <w:rsid w:val="005D09BD"/>
    <w:rsid w:val="005D154F"/>
    <w:rsid w:val="005D16DD"/>
    <w:rsid w:val="005D43E0"/>
    <w:rsid w:val="005D58A3"/>
    <w:rsid w:val="005D6A8F"/>
    <w:rsid w:val="005D6DDB"/>
    <w:rsid w:val="005E0365"/>
    <w:rsid w:val="005E1B79"/>
    <w:rsid w:val="005E3F10"/>
    <w:rsid w:val="005E6076"/>
    <w:rsid w:val="005E7008"/>
    <w:rsid w:val="005F026D"/>
    <w:rsid w:val="005F2AEA"/>
    <w:rsid w:val="005F2D0B"/>
    <w:rsid w:val="005F3AC8"/>
    <w:rsid w:val="005F4B31"/>
    <w:rsid w:val="005F7321"/>
    <w:rsid w:val="005F7AC0"/>
    <w:rsid w:val="00601512"/>
    <w:rsid w:val="006039EB"/>
    <w:rsid w:val="00610388"/>
    <w:rsid w:val="00610AC7"/>
    <w:rsid w:val="00612799"/>
    <w:rsid w:val="00612CA5"/>
    <w:rsid w:val="0061492A"/>
    <w:rsid w:val="006153EC"/>
    <w:rsid w:val="00617428"/>
    <w:rsid w:val="00621A17"/>
    <w:rsid w:val="00622ADB"/>
    <w:rsid w:val="00627CC9"/>
    <w:rsid w:val="00627E7B"/>
    <w:rsid w:val="00630542"/>
    <w:rsid w:val="00632E44"/>
    <w:rsid w:val="0063333D"/>
    <w:rsid w:val="0063381C"/>
    <w:rsid w:val="00634622"/>
    <w:rsid w:val="00636808"/>
    <w:rsid w:val="00636D1A"/>
    <w:rsid w:val="00641515"/>
    <w:rsid w:val="00651A7C"/>
    <w:rsid w:val="00654C2F"/>
    <w:rsid w:val="00657050"/>
    <w:rsid w:val="00657087"/>
    <w:rsid w:val="00657D4B"/>
    <w:rsid w:val="00660CBE"/>
    <w:rsid w:val="006624AB"/>
    <w:rsid w:val="006639DB"/>
    <w:rsid w:val="006661EF"/>
    <w:rsid w:val="00667ADC"/>
    <w:rsid w:val="00667FA3"/>
    <w:rsid w:val="00671D3C"/>
    <w:rsid w:val="006757A9"/>
    <w:rsid w:val="006767FB"/>
    <w:rsid w:val="00677AEB"/>
    <w:rsid w:val="00680EF2"/>
    <w:rsid w:val="00687A1D"/>
    <w:rsid w:val="006925C1"/>
    <w:rsid w:val="00697EA1"/>
    <w:rsid w:val="006A1F42"/>
    <w:rsid w:val="006A2646"/>
    <w:rsid w:val="006A6530"/>
    <w:rsid w:val="006B435A"/>
    <w:rsid w:val="006B4C64"/>
    <w:rsid w:val="006B6681"/>
    <w:rsid w:val="006C143F"/>
    <w:rsid w:val="006C2F94"/>
    <w:rsid w:val="006C5119"/>
    <w:rsid w:val="006C5430"/>
    <w:rsid w:val="006C61F2"/>
    <w:rsid w:val="006D282B"/>
    <w:rsid w:val="006D3F52"/>
    <w:rsid w:val="006D6BD5"/>
    <w:rsid w:val="006D7DA9"/>
    <w:rsid w:val="006E0D3B"/>
    <w:rsid w:val="006E481A"/>
    <w:rsid w:val="006E5298"/>
    <w:rsid w:val="006F4A78"/>
    <w:rsid w:val="006F65C4"/>
    <w:rsid w:val="006F734A"/>
    <w:rsid w:val="006F7466"/>
    <w:rsid w:val="00700D83"/>
    <w:rsid w:val="00702A53"/>
    <w:rsid w:val="00704852"/>
    <w:rsid w:val="0070495E"/>
    <w:rsid w:val="0070524B"/>
    <w:rsid w:val="007074E9"/>
    <w:rsid w:val="00713B8B"/>
    <w:rsid w:val="00713DA4"/>
    <w:rsid w:val="00713FA2"/>
    <w:rsid w:val="00714BF1"/>
    <w:rsid w:val="00721383"/>
    <w:rsid w:val="00727699"/>
    <w:rsid w:val="0072780A"/>
    <w:rsid w:val="007302DC"/>
    <w:rsid w:val="0073158B"/>
    <w:rsid w:val="007333CC"/>
    <w:rsid w:val="0073399A"/>
    <w:rsid w:val="00740DAD"/>
    <w:rsid w:val="00742AF3"/>
    <w:rsid w:val="00742E23"/>
    <w:rsid w:val="00750D9E"/>
    <w:rsid w:val="00755808"/>
    <w:rsid w:val="007603F5"/>
    <w:rsid w:val="00763348"/>
    <w:rsid w:val="00764DB0"/>
    <w:rsid w:val="00766D86"/>
    <w:rsid w:val="0076764D"/>
    <w:rsid w:val="0077498C"/>
    <w:rsid w:val="0078036F"/>
    <w:rsid w:val="007809BC"/>
    <w:rsid w:val="00783259"/>
    <w:rsid w:val="00784128"/>
    <w:rsid w:val="00787418"/>
    <w:rsid w:val="00787BCC"/>
    <w:rsid w:val="0079100E"/>
    <w:rsid w:val="007919C7"/>
    <w:rsid w:val="00793173"/>
    <w:rsid w:val="00797B93"/>
    <w:rsid w:val="007A0791"/>
    <w:rsid w:val="007A2A33"/>
    <w:rsid w:val="007A5171"/>
    <w:rsid w:val="007B5C89"/>
    <w:rsid w:val="007C1FCC"/>
    <w:rsid w:val="007C6201"/>
    <w:rsid w:val="007D3381"/>
    <w:rsid w:val="007D7C92"/>
    <w:rsid w:val="007D7D18"/>
    <w:rsid w:val="007E1154"/>
    <w:rsid w:val="007E2919"/>
    <w:rsid w:val="007E46A8"/>
    <w:rsid w:val="007E6BA4"/>
    <w:rsid w:val="007E7CF9"/>
    <w:rsid w:val="007F00A1"/>
    <w:rsid w:val="007F080E"/>
    <w:rsid w:val="007F174B"/>
    <w:rsid w:val="007F41F8"/>
    <w:rsid w:val="007F645A"/>
    <w:rsid w:val="007F659B"/>
    <w:rsid w:val="00800C67"/>
    <w:rsid w:val="0080441E"/>
    <w:rsid w:val="0080454E"/>
    <w:rsid w:val="00804C32"/>
    <w:rsid w:val="00806302"/>
    <w:rsid w:val="00807119"/>
    <w:rsid w:val="00807ED9"/>
    <w:rsid w:val="008108D0"/>
    <w:rsid w:val="0082202D"/>
    <w:rsid w:val="00822D0C"/>
    <w:rsid w:val="0082483F"/>
    <w:rsid w:val="00826153"/>
    <w:rsid w:val="008279C0"/>
    <w:rsid w:val="0083346A"/>
    <w:rsid w:val="00836028"/>
    <w:rsid w:val="00837EA8"/>
    <w:rsid w:val="00846504"/>
    <w:rsid w:val="00846ED5"/>
    <w:rsid w:val="00860B71"/>
    <w:rsid w:val="00867701"/>
    <w:rsid w:val="00871C74"/>
    <w:rsid w:val="008723F3"/>
    <w:rsid w:val="00872E6C"/>
    <w:rsid w:val="008737AA"/>
    <w:rsid w:val="00876F56"/>
    <w:rsid w:val="00877940"/>
    <w:rsid w:val="00881DE6"/>
    <w:rsid w:val="008837A6"/>
    <w:rsid w:val="00891417"/>
    <w:rsid w:val="0089145D"/>
    <w:rsid w:val="00891690"/>
    <w:rsid w:val="00897350"/>
    <w:rsid w:val="00897B93"/>
    <w:rsid w:val="008A4DF2"/>
    <w:rsid w:val="008A6CFE"/>
    <w:rsid w:val="008B0E39"/>
    <w:rsid w:val="008B5333"/>
    <w:rsid w:val="008B58D5"/>
    <w:rsid w:val="008B6223"/>
    <w:rsid w:val="008B72B8"/>
    <w:rsid w:val="008C3E30"/>
    <w:rsid w:val="008C44A9"/>
    <w:rsid w:val="008C66E0"/>
    <w:rsid w:val="008D1616"/>
    <w:rsid w:val="008E192D"/>
    <w:rsid w:val="008E26E9"/>
    <w:rsid w:val="008E3339"/>
    <w:rsid w:val="008F20FC"/>
    <w:rsid w:val="008F26C8"/>
    <w:rsid w:val="008F3BB9"/>
    <w:rsid w:val="008F5FFE"/>
    <w:rsid w:val="00902991"/>
    <w:rsid w:val="0090316B"/>
    <w:rsid w:val="0090552B"/>
    <w:rsid w:val="00905A43"/>
    <w:rsid w:val="00912C79"/>
    <w:rsid w:val="009218EE"/>
    <w:rsid w:val="00921B8C"/>
    <w:rsid w:val="00921DBC"/>
    <w:rsid w:val="00924DAF"/>
    <w:rsid w:val="00930B70"/>
    <w:rsid w:val="00931D14"/>
    <w:rsid w:val="009347DC"/>
    <w:rsid w:val="00936199"/>
    <w:rsid w:val="00942123"/>
    <w:rsid w:val="009452DF"/>
    <w:rsid w:val="0094745A"/>
    <w:rsid w:val="00951AA8"/>
    <w:rsid w:val="0095207B"/>
    <w:rsid w:val="0095727C"/>
    <w:rsid w:val="0095793E"/>
    <w:rsid w:val="00962045"/>
    <w:rsid w:val="00963083"/>
    <w:rsid w:val="0097489A"/>
    <w:rsid w:val="0097609F"/>
    <w:rsid w:val="00977326"/>
    <w:rsid w:val="00980E61"/>
    <w:rsid w:val="00982A44"/>
    <w:rsid w:val="009838F6"/>
    <w:rsid w:val="0098602A"/>
    <w:rsid w:val="00991428"/>
    <w:rsid w:val="00992676"/>
    <w:rsid w:val="009927BA"/>
    <w:rsid w:val="009954B2"/>
    <w:rsid w:val="00996691"/>
    <w:rsid w:val="009A3AB7"/>
    <w:rsid w:val="009B0723"/>
    <w:rsid w:val="009B07AD"/>
    <w:rsid w:val="009B0883"/>
    <w:rsid w:val="009B15E2"/>
    <w:rsid w:val="009B2BFE"/>
    <w:rsid w:val="009B3024"/>
    <w:rsid w:val="009B4976"/>
    <w:rsid w:val="009C0B8E"/>
    <w:rsid w:val="009C1BC8"/>
    <w:rsid w:val="009C2442"/>
    <w:rsid w:val="009C4826"/>
    <w:rsid w:val="009C5583"/>
    <w:rsid w:val="009C7D58"/>
    <w:rsid w:val="009D0811"/>
    <w:rsid w:val="009D0EE1"/>
    <w:rsid w:val="009D3AF0"/>
    <w:rsid w:val="009D75F8"/>
    <w:rsid w:val="009E2AEB"/>
    <w:rsid w:val="009E2E27"/>
    <w:rsid w:val="009E35AF"/>
    <w:rsid w:val="009E45DF"/>
    <w:rsid w:val="009E4DE3"/>
    <w:rsid w:val="009F1E59"/>
    <w:rsid w:val="009F256D"/>
    <w:rsid w:val="009F275E"/>
    <w:rsid w:val="009F736C"/>
    <w:rsid w:val="00A02D5F"/>
    <w:rsid w:val="00A0361E"/>
    <w:rsid w:val="00A047EE"/>
    <w:rsid w:val="00A06E91"/>
    <w:rsid w:val="00A165A9"/>
    <w:rsid w:val="00A1734A"/>
    <w:rsid w:val="00A2274A"/>
    <w:rsid w:val="00A235B7"/>
    <w:rsid w:val="00A25D0D"/>
    <w:rsid w:val="00A27A7A"/>
    <w:rsid w:val="00A34ABE"/>
    <w:rsid w:val="00A35D57"/>
    <w:rsid w:val="00A363FC"/>
    <w:rsid w:val="00A407EF"/>
    <w:rsid w:val="00A4098E"/>
    <w:rsid w:val="00A45606"/>
    <w:rsid w:val="00A46B4C"/>
    <w:rsid w:val="00A5117B"/>
    <w:rsid w:val="00A5551D"/>
    <w:rsid w:val="00A56D34"/>
    <w:rsid w:val="00A60074"/>
    <w:rsid w:val="00A634B8"/>
    <w:rsid w:val="00A65FDF"/>
    <w:rsid w:val="00A6627C"/>
    <w:rsid w:val="00A6738A"/>
    <w:rsid w:val="00A6758C"/>
    <w:rsid w:val="00A71019"/>
    <w:rsid w:val="00A81029"/>
    <w:rsid w:val="00A84235"/>
    <w:rsid w:val="00A845F5"/>
    <w:rsid w:val="00A91338"/>
    <w:rsid w:val="00A96489"/>
    <w:rsid w:val="00AA2435"/>
    <w:rsid w:val="00AA2757"/>
    <w:rsid w:val="00AA4350"/>
    <w:rsid w:val="00AA4628"/>
    <w:rsid w:val="00AA5ACA"/>
    <w:rsid w:val="00AB2425"/>
    <w:rsid w:val="00AB685C"/>
    <w:rsid w:val="00AB6C2D"/>
    <w:rsid w:val="00AC08F7"/>
    <w:rsid w:val="00AC19A5"/>
    <w:rsid w:val="00AC317D"/>
    <w:rsid w:val="00AC3839"/>
    <w:rsid w:val="00AC64CA"/>
    <w:rsid w:val="00AC7082"/>
    <w:rsid w:val="00AD4BE8"/>
    <w:rsid w:val="00AE52AD"/>
    <w:rsid w:val="00AE5B6F"/>
    <w:rsid w:val="00AF040D"/>
    <w:rsid w:val="00AF228E"/>
    <w:rsid w:val="00AF6E49"/>
    <w:rsid w:val="00B016A8"/>
    <w:rsid w:val="00B029A8"/>
    <w:rsid w:val="00B04033"/>
    <w:rsid w:val="00B101D1"/>
    <w:rsid w:val="00B10E6B"/>
    <w:rsid w:val="00B14819"/>
    <w:rsid w:val="00B15E2F"/>
    <w:rsid w:val="00B17AA9"/>
    <w:rsid w:val="00B23671"/>
    <w:rsid w:val="00B26EE2"/>
    <w:rsid w:val="00B32482"/>
    <w:rsid w:val="00B35BB9"/>
    <w:rsid w:val="00B36010"/>
    <w:rsid w:val="00B37A12"/>
    <w:rsid w:val="00B41A47"/>
    <w:rsid w:val="00B42349"/>
    <w:rsid w:val="00B439A8"/>
    <w:rsid w:val="00B44713"/>
    <w:rsid w:val="00B455E5"/>
    <w:rsid w:val="00B51B95"/>
    <w:rsid w:val="00B56103"/>
    <w:rsid w:val="00B604A1"/>
    <w:rsid w:val="00B64929"/>
    <w:rsid w:val="00B70E67"/>
    <w:rsid w:val="00B71F0E"/>
    <w:rsid w:val="00B736DF"/>
    <w:rsid w:val="00B738D2"/>
    <w:rsid w:val="00B743D6"/>
    <w:rsid w:val="00B74FBD"/>
    <w:rsid w:val="00B77F46"/>
    <w:rsid w:val="00B82586"/>
    <w:rsid w:val="00B829A3"/>
    <w:rsid w:val="00B86DB1"/>
    <w:rsid w:val="00B87869"/>
    <w:rsid w:val="00B95A16"/>
    <w:rsid w:val="00B9639B"/>
    <w:rsid w:val="00BA1CFD"/>
    <w:rsid w:val="00BB0F2B"/>
    <w:rsid w:val="00BC19DB"/>
    <w:rsid w:val="00BC2D98"/>
    <w:rsid w:val="00BC2FAE"/>
    <w:rsid w:val="00BC4D62"/>
    <w:rsid w:val="00BD148F"/>
    <w:rsid w:val="00BE4FF3"/>
    <w:rsid w:val="00BE78BC"/>
    <w:rsid w:val="00BF2C93"/>
    <w:rsid w:val="00BF3108"/>
    <w:rsid w:val="00BF50F7"/>
    <w:rsid w:val="00BF5702"/>
    <w:rsid w:val="00C02F29"/>
    <w:rsid w:val="00C0359E"/>
    <w:rsid w:val="00C140DC"/>
    <w:rsid w:val="00C17718"/>
    <w:rsid w:val="00C20AFE"/>
    <w:rsid w:val="00C22A25"/>
    <w:rsid w:val="00C23585"/>
    <w:rsid w:val="00C305F5"/>
    <w:rsid w:val="00C33F8D"/>
    <w:rsid w:val="00C35671"/>
    <w:rsid w:val="00C35B77"/>
    <w:rsid w:val="00C376EB"/>
    <w:rsid w:val="00C45791"/>
    <w:rsid w:val="00C46A92"/>
    <w:rsid w:val="00C46EC1"/>
    <w:rsid w:val="00C52042"/>
    <w:rsid w:val="00C52796"/>
    <w:rsid w:val="00C53E2C"/>
    <w:rsid w:val="00C550C8"/>
    <w:rsid w:val="00C55221"/>
    <w:rsid w:val="00C55824"/>
    <w:rsid w:val="00C56737"/>
    <w:rsid w:val="00C56B61"/>
    <w:rsid w:val="00C57CDE"/>
    <w:rsid w:val="00C57D2C"/>
    <w:rsid w:val="00C606C3"/>
    <w:rsid w:val="00C620F4"/>
    <w:rsid w:val="00C627C6"/>
    <w:rsid w:val="00C725F4"/>
    <w:rsid w:val="00C72848"/>
    <w:rsid w:val="00C7736C"/>
    <w:rsid w:val="00C80D15"/>
    <w:rsid w:val="00C82D87"/>
    <w:rsid w:val="00C835A3"/>
    <w:rsid w:val="00C8712A"/>
    <w:rsid w:val="00C902C8"/>
    <w:rsid w:val="00C91062"/>
    <w:rsid w:val="00C919D1"/>
    <w:rsid w:val="00C9227C"/>
    <w:rsid w:val="00C963D3"/>
    <w:rsid w:val="00CA101E"/>
    <w:rsid w:val="00CA2876"/>
    <w:rsid w:val="00CA33B8"/>
    <w:rsid w:val="00CA39A2"/>
    <w:rsid w:val="00CA4C08"/>
    <w:rsid w:val="00CB1983"/>
    <w:rsid w:val="00CB2CBB"/>
    <w:rsid w:val="00CB7063"/>
    <w:rsid w:val="00CB7CAC"/>
    <w:rsid w:val="00CC4B6F"/>
    <w:rsid w:val="00CC5335"/>
    <w:rsid w:val="00CC5BA4"/>
    <w:rsid w:val="00CD4998"/>
    <w:rsid w:val="00CE1035"/>
    <w:rsid w:val="00CE6E50"/>
    <w:rsid w:val="00CF2819"/>
    <w:rsid w:val="00CF4F9D"/>
    <w:rsid w:val="00CF5F3B"/>
    <w:rsid w:val="00CF70DC"/>
    <w:rsid w:val="00D01697"/>
    <w:rsid w:val="00D020D7"/>
    <w:rsid w:val="00D064E6"/>
    <w:rsid w:val="00D07231"/>
    <w:rsid w:val="00D148DC"/>
    <w:rsid w:val="00D14DC3"/>
    <w:rsid w:val="00D157A4"/>
    <w:rsid w:val="00D166FB"/>
    <w:rsid w:val="00D17FDC"/>
    <w:rsid w:val="00D20AF5"/>
    <w:rsid w:val="00D21D8C"/>
    <w:rsid w:val="00D25AE3"/>
    <w:rsid w:val="00D267A4"/>
    <w:rsid w:val="00D26A70"/>
    <w:rsid w:val="00D26C03"/>
    <w:rsid w:val="00D349D7"/>
    <w:rsid w:val="00D402E6"/>
    <w:rsid w:val="00D46A43"/>
    <w:rsid w:val="00D53719"/>
    <w:rsid w:val="00D560C8"/>
    <w:rsid w:val="00D566E1"/>
    <w:rsid w:val="00D61FC6"/>
    <w:rsid w:val="00D63E7B"/>
    <w:rsid w:val="00D63EFD"/>
    <w:rsid w:val="00D65254"/>
    <w:rsid w:val="00D759F6"/>
    <w:rsid w:val="00D75A94"/>
    <w:rsid w:val="00D80E7D"/>
    <w:rsid w:val="00D82E98"/>
    <w:rsid w:val="00D83732"/>
    <w:rsid w:val="00D84752"/>
    <w:rsid w:val="00D86681"/>
    <w:rsid w:val="00D86B3B"/>
    <w:rsid w:val="00D8748A"/>
    <w:rsid w:val="00D927DD"/>
    <w:rsid w:val="00D93196"/>
    <w:rsid w:val="00DA02FC"/>
    <w:rsid w:val="00DA0B8B"/>
    <w:rsid w:val="00DA0DC0"/>
    <w:rsid w:val="00DA4A1E"/>
    <w:rsid w:val="00DB2190"/>
    <w:rsid w:val="00DB243C"/>
    <w:rsid w:val="00DB482A"/>
    <w:rsid w:val="00DB50FB"/>
    <w:rsid w:val="00DB56F2"/>
    <w:rsid w:val="00DB6EF5"/>
    <w:rsid w:val="00DC1CB6"/>
    <w:rsid w:val="00DC3089"/>
    <w:rsid w:val="00DC4420"/>
    <w:rsid w:val="00DC46D4"/>
    <w:rsid w:val="00DD0802"/>
    <w:rsid w:val="00DD2D3A"/>
    <w:rsid w:val="00DD2E11"/>
    <w:rsid w:val="00DD799E"/>
    <w:rsid w:val="00DE03AF"/>
    <w:rsid w:val="00DE0857"/>
    <w:rsid w:val="00DE121C"/>
    <w:rsid w:val="00DE1899"/>
    <w:rsid w:val="00DE44ED"/>
    <w:rsid w:val="00DE6633"/>
    <w:rsid w:val="00DE7CED"/>
    <w:rsid w:val="00DF57E4"/>
    <w:rsid w:val="00DF75F8"/>
    <w:rsid w:val="00DF7A3A"/>
    <w:rsid w:val="00E00C00"/>
    <w:rsid w:val="00E0470C"/>
    <w:rsid w:val="00E05896"/>
    <w:rsid w:val="00E07C5A"/>
    <w:rsid w:val="00E15BA9"/>
    <w:rsid w:val="00E15E1D"/>
    <w:rsid w:val="00E1601D"/>
    <w:rsid w:val="00E20DF7"/>
    <w:rsid w:val="00E2647A"/>
    <w:rsid w:val="00E265E1"/>
    <w:rsid w:val="00E26E19"/>
    <w:rsid w:val="00E275F5"/>
    <w:rsid w:val="00E31DF3"/>
    <w:rsid w:val="00E41546"/>
    <w:rsid w:val="00E443D7"/>
    <w:rsid w:val="00E450A4"/>
    <w:rsid w:val="00E45A55"/>
    <w:rsid w:val="00E506BE"/>
    <w:rsid w:val="00E55547"/>
    <w:rsid w:val="00E57BCE"/>
    <w:rsid w:val="00E6065E"/>
    <w:rsid w:val="00E6302B"/>
    <w:rsid w:val="00E6452F"/>
    <w:rsid w:val="00E64F45"/>
    <w:rsid w:val="00E65265"/>
    <w:rsid w:val="00E655A3"/>
    <w:rsid w:val="00E6742D"/>
    <w:rsid w:val="00E7116E"/>
    <w:rsid w:val="00E71CB0"/>
    <w:rsid w:val="00E73739"/>
    <w:rsid w:val="00E7650D"/>
    <w:rsid w:val="00E77C3D"/>
    <w:rsid w:val="00E80ABF"/>
    <w:rsid w:val="00E833F4"/>
    <w:rsid w:val="00E83BEC"/>
    <w:rsid w:val="00E90771"/>
    <w:rsid w:val="00E90991"/>
    <w:rsid w:val="00E909F0"/>
    <w:rsid w:val="00E90D47"/>
    <w:rsid w:val="00E93993"/>
    <w:rsid w:val="00E94797"/>
    <w:rsid w:val="00E95431"/>
    <w:rsid w:val="00E9597C"/>
    <w:rsid w:val="00E96738"/>
    <w:rsid w:val="00EA0913"/>
    <w:rsid w:val="00EA1E8B"/>
    <w:rsid w:val="00EA3B38"/>
    <w:rsid w:val="00EA4E35"/>
    <w:rsid w:val="00EA5B00"/>
    <w:rsid w:val="00EA5D0B"/>
    <w:rsid w:val="00EB146B"/>
    <w:rsid w:val="00EB22B1"/>
    <w:rsid w:val="00EB45AC"/>
    <w:rsid w:val="00EB58F0"/>
    <w:rsid w:val="00EB7504"/>
    <w:rsid w:val="00EC27CA"/>
    <w:rsid w:val="00EC38DC"/>
    <w:rsid w:val="00EC441F"/>
    <w:rsid w:val="00EC4755"/>
    <w:rsid w:val="00EC4DE1"/>
    <w:rsid w:val="00EC66AE"/>
    <w:rsid w:val="00ED0BC4"/>
    <w:rsid w:val="00ED3F41"/>
    <w:rsid w:val="00ED447D"/>
    <w:rsid w:val="00EE4971"/>
    <w:rsid w:val="00EE6CB0"/>
    <w:rsid w:val="00EF090E"/>
    <w:rsid w:val="00EF0940"/>
    <w:rsid w:val="00EF1EEE"/>
    <w:rsid w:val="00EF5572"/>
    <w:rsid w:val="00F0177A"/>
    <w:rsid w:val="00F01D7D"/>
    <w:rsid w:val="00F033DA"/>
    <w:rsid w:val="00F06D57"/>
    <w:rsid w:val="00F072D1"/>
    <w:rsid w:val="00F13691"/>
    <w:rsid w:val="00F13FB1"/>
    <w:rsid w:val="00F200C2"/>
    <w:rsid w:val="00F23F04"/>
    <w:rsid w:val="00F253AE"/>
    <w:rsid w:val="00F2594C"/>
    <w:rsid w:val="00F2654D"/>
    <w:rsid w:val="00F27CD8"/>
    <w:rsid w:val="00F30351"/>
    <w:rsid w:val="00F30F0A"/>
    <w:rsid w:val="00F316CC"/>
    <w:rsid w:val="00F3323E"/>
    <w:rsid w:val="00F341F4"/>
    <w:rsid w:val="00F34F9D"/>
    <w:rsid w:val="00F35570"/>
    <w:rsid w:val="00F3598A"/>
    <w:rsid w:val="00F35CCE"/>
    <w:rsid w:val="00F41146"/>
    <w:rsid w:val="00F420DD"/>
    <w:rsid w:val="00F43DE8"/>
    <w:rsid w:val="00F50CF1"/>
    <w:rsid w:val="00F51605"/>
    <w:rsid w:val="00F526A4"/>
    <w:rsid w:val="00F5524B"/>
    <w:rsid w:val="00F60538"/>
    <w:rsid w:val="00F60579"/>
    <w:rsid w:val="00F610E4"/>
    <w:rsid w:val="00F61DD2"/>
    <w:rsid w:val="00F62E7A"/>
    <w:rsid w:val="00F64447"/>
    <w:rsid w:val="00F66AFF"/>
    <w:rsid w:val="00F70126"/>
    <w:rsid w:val="00F71433"/>
    <w:rsid w:val="00F779CF"/>
    <w:rsid w:val="00F87B04"/>
    <w:rsid w:val="00F97C5B"/>
    <w:rsid w:val="00FA12B9"/>
    <w:rsid w:val="00FA3D50"/>
    <w:rsid w:val="00FA417D"/>
    <w:rsid w:val="00FB2567"/>
    <w:rsid w:val="00FB31D6"/>
    <w:rsid w:val="00FB3662"/>
    <w:rsid w:val="00FB7FBD"/>
    <w:rsid w:val="00FC374A"/>
    <w:rsid w:val="00FC57C1"/>
    <w:rsid w:val="00FC74C8"/>
    <w:rsid w:val="00FC7B47"/>
    <w:rsid w:val="00FD035C"/>
    <w:rsid w:val="00FD1A35"/>
    <w:rsid w:val="00FD2EA4"/>
    <w:rsid w:val="00FD36C5"/>
    <w:rsid w:val="00FD6310"/>
    <w:rsid w:val="00FD7C7B"/>
    <w:rsid w:val="00FE1D12"/>
    <w:rsid w:val="00FE2122"/>
    <w:rsid w:val="00FE2A86"/>
    <w:rsid w:val="00FE2DE2"/>
    <w:rsid w:val="00FE3509"/>
    <w:rsid w:val="00FE5CE1"/>
    <w:rsid w:val="00FF04DF"/>
    <w:rsid w:val="00FF296F"/>
    <w:rsid w:val="00FF547E"/>
    <w:rsid w:val="00FF5E23"/>
    <w:rsid w:val="00FF6403"/>
    <w:rsid w:val="00FF757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semiHidden/>
    <w:unhideWhenUsed/>
    <w:rsid w:val="008B5333"/>
    <w:rPr>
      <w:szCs w:val="20"/>
    </w:rPr>
  </w:style>
  <w:style w:type="character" w:customStyle="1" w:styleId="Char0">
    <w:name w:val="Κείμενο σχολίου Char"/>
    <w:basedOn w:val="a0"/>
    <w:link w:val="a7"/>
    <w:uiPriority w:val="99"/>
    <w:semiHidden/>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081814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7494</Words>
  <Characters>40472</Characters>
  <Application>Microsoft Office Word</Application>
  <DocSecurity>0</DocSecurity>
  <Lines>337</Lines>
  <Paragraphs>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 Giannakou</cp:lastModifiedBy>
  <cp:revision>405</cp:revision>
  <cp:lastPrinted>2019-08-27T05:42:00Z</cp:lastPrinted>
  <dcterms:created xsi:type="dcterms:W3CDTF">2022-07-04T17:01:00Z</dcterms:created>
  <dcterms:modified xsi:type="dcterms:W3CDTF">2023-06-03T20:41:00Z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