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C3155A" w:rsidRDefault="00D66F96" w:rsidP="005B7C95">
      <w:pPr>
        <w:pStyle w:val="ListParagraph"/>
        <w:numPr>
          <w:ilvl w:val="0"/>
          <w:numId w:val="26"/>
        </w:numPr>
        <w:ind w:left="426"/>
        <w:jc w:val="both"/>
        <w:rPr>
          <w:rFonts w:ascii="Avenir Next" w:hAnsi="Avenir Next" w:cs="Arial"/>
          <w:sz w:val="22"/>
          <w:szCs w:val="22"/>
          <w:highlight w:val="yellow"/>
          <w:lang w:val="en-GB"/>
        </w:rPr>
      </w:pPr>
      <w:r w:rsidRPr="00C3155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E12F22"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E12F22">
        <w:rPr>
          <w:rFonts w:ascii="Avenir Next" w:hAnsi="Avenir Next" w:cs="Arial"/>
          <w:iCs/>
          <w:sz w:val="22"/>
          <w:szCs w:val="22"/>
          <w:highlight w:val="yellow"/>
          <w:lang w:val="en-GB"/>
        </w:rPr>
        <w:t>t</w:t>
      </w:r>
      <w:r w:rsidR="00302D76" w:rsidRPr="00E12F22">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5C7C5F"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5C7C5F">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EB37B5" w:rsidRDefault="00971896" w:rsidP="003C4BCB">
      <w:pPr>
        <w:pStyle w:val="ListParagraph"/>
        <w:numPr>
          <w:ilvl w:val="0"/>
          <w:numId w:val="5"/>
        </w:numPr>
        <w:ind w:left="426"/>
        <w:jc w:val="both"/>
        <w:rPr>
          <w:rFonts w:ascii="Avenir Next" w:hAnsi="Avenir Next" w:cs="Arial"/>
          <w:sz w:val="22"/>
          <w:szCs w:val="22"/>
          <w:highlight w:val="yellow"/>
          <w:lang w:val="en-GB"/>
        </w:rPr>
      </w:pPr>
      <w:r w:rsidRPr="00EB37B5">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EB37B5">
        <w:rPr>
          <w:rFonts w:ascii="Avenir Next" w:hAnsi="Avenir Next" w:cs="Arial"/>
          <w:sz w:val="22"/>
          <w:szCs w:val="22"/>
          <w:highlight w:val="yellow"/>
          <w:lang w:val="en-GB"/>
        </w:rPr>
        <w:t xml:space="preserve">EIR 2000 and mostly codified the jurisprudence of the CJEU. </w:t>
      </w:r>
    </w:p>
    <w:p w14:paraId="2A421E30" w14:textId="0AC3CF7B" w:rsidR="008E0EC8" w:rsidRPr="008E3C96" w:rsidRDefault="00571ED5" w:rsidP="008E0EC8">
      <w:pPr>
        <w:jc w:val="both"/>
        <w:rPr>
          <w:rFonts w:ascii="Avenir Next" w:hAnsi="Avenir Next" w:cs="Arial"/>
          <w:sz w:val="22"/>
          <w:szCs w:val="22"/>
          <w:lang w:val="en-GB"/>
        </w:rPr>
      </w:pPr>
      <w:r>
        <w:rPr>
          <w:rFonts w:ascii="Avenir Next" w:hAnsi="Avenir Next" w:cs="Arial"/>
          <w:sz w:val="22"/>
          <w:szCs w:val="22"/>
          <w:lang w:val="en-GB"/>
        </w:rPr>
        <w:t xml:space="preserve"> </w:t>
      </w: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5A04CA" w:rsidRDefault="00CA7069" w:rsidP="008E3C96">
      <w:pPr>
        <w:pStyle w:val="ListParagraph"/>
        <w:numPr>
          <w:ilvl w:val="0"/>
          <w:numId w:val="28"/>
        </w:numPr>
        <w:ind w:left="426"/>
        <w:jc w:val="both"/>
        <w:rPr>
          <w:rFonts w:ascii="Avenir Next" w:hAnsi="Avenir Next" w:cs="Arial"/>
          <w:sz w:val="22"/>
          <w:szCs w:val="22"/>
          <w:highlight w:val="yellow"/>
          <w:lang w:val="en-GB"/>
        </w:rPr>
      </w:pPr>
      <w:r w:rsidRPr="005A04CA">
        <w:rPr>
          <w:rFonts w:ascii="Avenir Next" w:hAnsi="Avenir Next" w:cs="Arial"/>
          <w:sz w:val="22"/>
          <w:szCs w:val="22"/>
          <w:highlight w:val="yellow"/>
          <w:lang w:val="en-GB"/>
        </w:rPr>
        <w:t>Article 31 EIR Recast (“</w:t>
      </w:r>
      <w:r w:rsidRPr="005A04CA">
        <w:rPr>
          <w:rFonts w:ascii="Avenir Next" w:hAnsi="Avenir Next" w:cs="Arial"/>
          <w:bCs/>
          <w:sz w:val="22"/>
          <w:szCs w:val="22"/>
          <w:highlight w:val="yellow"/>
          <w:lang w:val="en-GB"/>
        </w:rPr>
        <w:t>Honouring of an obligation to a debtor”</w:t>
      </w:r>
      <w:r w:rsidRPr="005A04CA">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D22B29" w:rsidRDefault="00CA7069" w:rsidP="003C4BCB">
      <w:pPr>
        <w:pStyle w:val="ListParagraph"/>
        <w:numPr>
          <w:ilvl w:val="0"/>
          <w:numId w:val="7"/>
        </w:numPr>
        <w:ind w:left="426"/>
        <w:jc w:val="both"/>
        <w:rPr>
          <w:rFonts w:ascii="Avenir Next" w:hAnsi="Avenir Next" w:cs="Arial"/>
          <w:sz w:val="22"/>
          <w:szCs w:val="22"/>
          <w:highlight w:val="yellow"/>
          <w:lang w:val="en-GB"/>
        </w:rPr>
      </w:pPr>
      <w:r w:rsidRPr="00D22B29">
        <w:rPr>
          <w:rFonts w:ascii="Avenir Next" w:hAnsi="Avenir Next" w:cs="Arial"/>
          <w:sz w:val="22"/>
          <w:szCs w:val="22"/>
          <w:highlight w:val="yellow"/>
          <w:lang w:val="en-GB"/>
        </w:rPr>
        <w:t xml:space="preserve">Each Member State will define </w:t>
      </w:r>
      <w:r w:rsidR="001A68CC" w:rsidRPr="00D22B29">
        <w:rPr>
          <w:rFonts w:ascii="Avenir Next" w:hAnsi="Avenir Next" w:cs="Arial"/>
          <w:sz w:val="22"/>
          <w:szCs w:val="22"/>
          <w:highlight w:val="yellow"/>
          <w:lang w:val="en-GB"/>
        </w:rPr>
        <w:t>“</w:t>
      </w:r>
      <w:r w:rsidRPr="00D22B29">
        <w:rPr>
          <w:rFonts w:ascii="Avenir Next" w:hAnsi="Avenir Next" w:cs="Arial"/>
          <w:sz w:val="22"/>
          <w:szCs w:val="22"/>
          <w:highlight w:val="yellow"/>
          <w:lang w:val="en-GB"/>
        </w:rPr>
        <w:t>insolvency</w:t>
      </w:r>
      <w:r w:rsidR="001A68CC" w:rsidRPr="00D22B29">
        <w:rPr>
          <w:rFonts w:ascii="Avenir Next" w:hAnsi="Avenir Next" w:cs="Arial"/>
          <w:sz w:val="22"/>
          <w:szCs w:val="22"/>
          <w:highlight w:val="yellow"/>
          <w:lang w:val="en-GB"/>
        </w:rPr>
        <w:t>”</w:t>
      </w:r>
      <w:r w:rsidRPr="00D22B29">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C954B3" w:rsidRDefault="00CA7069" w:rsidP="00CA7069">
      <w:pPr>
        <w:pStyle w:val="ListParagraph"/>
        <w:numPr>
          <w:ilvl w:val="0"/>
          <w:numId w:val="8"/>
        </w:numPr>
        <w:ind w:left="426"/>
        <w:jc w:val="both"/>
        <w:rPr>
          <w:rFonts w:ascii="Avenir Next" w:hAnsi="Avenir Next" w:cs="Arial"/>
          <w:sz w:val="22"/>
          <w:szCs w:val="22"/>
          <w:highlight w:val="yellow"/>
          <w:lang w:val="en-GB"/>
        </w:rPr>
      </w:pPr>
      <w:r w:rsidRPr="00C954B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D22B29" w:rsidRDefault="00C15FA2" w:rsidP="008E3C96">
      <w:pPr>
        <w:pStyle w:val="ListParagraph"/>
        <w:numPr>
          <w:ilvl w:val="0"/>
          <w:numId w:val="29"/>
        </w:numPr>
        <w:ind w:left="426"/>
        <w:jc w:val="both"/>
        <w:rPr>
          <w:rFonts w:ascii="Avenir Next" w:hAnsi="Avenir Next" w:cs="Arial"/>
          <w:sz w:val="22"/>
          <w:szCs w:val="22"/>
          <w:highlight w:val="yellow"/>
          <w:lang w:val="en-GB"/>
        </w:rPr>
      </w:pPr>
      <w:r w:rsidRPr="00D22B29">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641FAD" w:rsidRDefault="00EC242E" w:rsidP="008E3C96">
      <w:pPr>
        <w:pStyle w:val="ListParagraph"/>
        <w:numPr>
          <w:ilvl w:val="0"/>
          <w:numId w:val="30"/>
        </w:numPr>
        <w:ind w:left="426"/>
        <w:jc w:val="both"/>
        <w:rPr>
          <w:rFonts w:ascii="Avenir Next" w:hAnsi="Avenir Next" w:cs="Arial"/>
          <w:sz w:val="22"/>
          <w:szCs w:val="22"/>
          <w:highlight w:val="yellow"/>
          <w:lang w:val="en-GB"/>
        </w:rPr>
      </w:pPr>
      <w:r w:rsidRPr="00641FAD">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007532" w:rsidRDefault="00EC242E" w:rsidP="00EC242E">
      <w:pPr>
        <w:pStyle w:val="ListParagraph"/>
        <w:numPr>
          <w:ilvl w:val="0"/>
          <w:numId w:val="9"/>
        </w:numPr>
        <w:ind w:left="426"/>
        <w:jc w:val="both"/>
        <w:rPr>
          <w:rFonts w:ascii="Avenir Next" w:hAnsi="Avenir Next" w:cs="Arial"/>
          <w:sz w:val="22"/>
          <w:szCs w:val="22"/>
          <w:highlight w:val="yellow"/>
          <w:lang w:val="en-GB"/>
        </w:rPr>
      </w:pPr>
      <w:r w:rsidRPr="00007532">
        <w:rPr>
          <w:rFonts w:ascii="Avenir Next" w:hAnsi="Avenir Next" w:cs="Arial"/>
          <w:sz w:val="22"/>
          <w:szCs w:val="22"/>
          <w:highlight w:val="yellow"/>
          <w:lang w:val="en-GB"/>
        </w:rPr>
        <w:t xml:space="preserve">The contested transactions cannot be avoided if Canetier SARL can prove that the </w:t>
      </w:r>
      <w:r w:rsidRPr="00007532">
        <w:rPr>
          <w:rFonts w:ascii="Avenir Next" w:hAnsi="Avenir Next" w:cs="Arial"/>
          <w:i/>
          <w:sz w:val="22"/>
          <w:szCs w:val="22"/>
          <w:highlight w:val="yellow"/>
          <w:lang w:val="en-GB"/>
        </w:rPr>
        <w:t>lex causae</w:t>
      </w:r>
      <w:r w:rsidRPr="00007532">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5905B6B1" w14:textId="77777777" w:rsidR="005F02F5" w:rsidRDefault="005F02F5" w:rsidP="00636C15">
      <w:pPr>
        <w:jc w:val="both"/>
        <w:rPr>
          <w:rFonts w:ascii="Avenir Next" w:hAnsi="Avenir Next" w:cs="Arial"/>
          <w:sz w:val="22"/>
          <w:szCs w:val="22"/>
          <w:lang w:val="en-GB"/>
        </w:rPr>
      </w:pPr>
    </w:p>
    <w:p w14:paraId="2633FC75" w14:textId="6255AAE5" w:rsidR="005F02F5" w:rsidRDefault="005F02F5" w:rsidP="00636C15">
      <w:pPr>
        <w:jc w:val="both"/>
        <w:rPr>
          <w:rFonts w:ascii="Arial" w:hAnsi="Arial" w:cs="Arial"/>
          <w:sz w:val="24"/>
          <w:lang w:val="en-GB"/>
        </w:rPr>
      </w:pPr>
      <w:r>
        <w:rPr>
          <w:rFonts w:ascii="Arial" w:hAnsi="Arial" w:cs="Arial"/>
          <w:sz w:val="24"/>
          <w:lang w:val="en-GB"/>
        </w:rPr>
        <w:t>Statement 1 refers to the concept of a debtor’s centre of main interest (COMI)</w:t>
      </w:r>
      <w:r w:rsidR="00996BE2">
        <w:rPr>
          <w:rFonts w:ascii="Arial" w:hAnsi="Arial" w:cs="Arial"/>
          <w:sz w:val="24"/>
          <w:lang w:val="en-GB"/>
        </w:rPr>
        <w:t xml:space="preserve"> presumptions</w:t>
      </w:r>
      <w:r>
        <w:rPr>
          <w:rFonts w:ascii="Arial" w:hAnsi="Arial" w:cs="Arial"/>
          <w:sz w:val="24"/>
          <w:lang w:val="en-GB"/>
        </w:rPr>
        <w:t xml:space="preserve"> which is stated in Article 3 (1) </w:t>
      </w:r>
      <w:r w:rsidR="007E6905">
        <w:rPr>
          <w:rFonts w:ascii="Arial" w:hAnsi="Arial" w:cs="Arial"/>
          <w:sz w:val="24"/>
          <w:lang w:val="en-GB"/>
        </w:rPr>
        <w:t xml:space="preserve">and Recital 30 </w:t>
      </w:r>
      <w:r>
        <w:rPr>
          <w:rFonts w:ascii="Arial" w:hAnsi="Arial" w:cs="Arial"/>
          <w:sz w:val="24"/>
          <w:lang w:val="en-GB"/>
        </w:rPr>
        <w:t>EIR Recast.</w:t>
      </w:r>
    </w:p>
    <w:p w14:paraId="58DD768C" w14:textId="77777777" w:rsidR="005F02F5" w:rsidRDefault="005F02F5" w:rsidP="00636C15">
      <w:pPr>
        <w:jc w:val="both"/>
        <w:rPr>
          <w:rFonts w:ascii="Arial" w:hAnsi="Arial" w:cs="Arial"/>
          <w:sz w:val="24"/>
          <w:lang w:val="en-GB"/>
        </w:rPr>
      </w:pPr>
    </w:p>
    <w:p w14:paraId="3668E909" w14:textId="47C07D83" w:rsidR="005F02F5" w:rsidRPr="005F02F5" w:rsidRDefault="005F02F5" w:rsidP="00636C15">
      <w:pPr>
        <w:jc w:val="both"/>
        <w:rPr>
          <w:rFonts w:ascii="Arial" w:hAnsi="Arial" w:cs="Arial"/>
          <w:sz w:val="24"/>
          <w:lang w:val="en-GB"/>
        </w:rPr>
      </w:pPr>
      <w:r>
        <w:rPr>
          <w:rFonts w:ascii="Arial" w:hAnsi="Arial" w:cs="Arial"/>
          <w:sz w:val="24"/>
          <w:lang w:val="en-GB"/>
        </w:rPr>
        <w:t xml:space="preserve">Statement 2 refers to the Scope of the EIR Recast provided for in Article 1. </w:t>
      </w:r>
    </w:p>
    <w:p w14:paraId="63129F80" w14:textId="77777777" w:rsidR="00636C15" w:rsidRPr="008E3C96" w:rsidRDefault="00636C15"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0049A85F" w14:textId="24CD0780" w:rsidR="007E5C1C" w:rsidRDefault="007E5C1C" w:rsidP="002A37BB">
      <w:pPr>
        <w:ind w:left="720" w:hanging="720"/>
        <w:jc w:val="both"/>
        <w:rPr>
          <w:rFonts w:ascii="Avenir Next" w:hAnsi="Avenir Next" w:cs="Arial"/>
          <w:sz w:val="22"/>
          <w:szCs w:val="22"/>
        </w:rPr>
      </w:pPr>
    </w:p>
    <w:p w14:paraId="450C5BD4" w14:textId="6EDFFD36" w:rsidR="00636C15"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2201F3EF" w14:textId="3FF7E048" w:rsidR="00796B7D" w:rsidRDefault="00796B7D" w:rsidP="00636C15">
      <w:pPr>
        <w:jc w:val="both"/>
        <w:rPr>
          <w:rFonts w:ascii="Avenir Next" w:hAnsi="Avenir Next" w:cs="Arial"/>
          <w:sz w:val="22"/>
          <w:szCs w:val="22"/>
          <w:lang w:val="en-GB"/>
        </w:rPr>
      </w:pPr>
    </w:p>
    <w:p w14:paraId="1D49A429" w14:textId="3216ADE6" w:rsidR="00BA38AB" w:rsidRDefault="00BA38AB" w:rsidP="00BA38AB">
      <w:pPr>
        <w:pStyle w:val="ListParagraph"/>
        <w:jc w:val="both"/>
        <w:rPr>
          <w:rFonts w:ascii="Arial" w:hAnsi="Arial" w:cs="Arial"/>
          <w:sz w:val="24"/>
          <w:lang w:val="en-GB"/>
        </w:rPr>
      </w:pPr>
      <w:r>
        <w:rPr>
          <w:rFonts w:ascii="Arial" w:hAnsi="Arial" w:cs="Arial"/>
          <w:sz w:val="24"/>
          <w:lang w:val="en-GB"/>
        </w:rPr>
        <w:t xml:space="preserve">    </w:t>
      </w:r>
    </w:p>
    <w:p w14:paraId="7DD518EB" w14:textId="43D6AA22" w:rsidR="009F211E" w:rsidRDefault="009F211E" w:rsidP="009F211E">
      <w:pPr>
        <w:pStyle w:val="ListParagraph"/>
        <w:numPr>
          <w:ilvl w:val="0"/>
          <w:numId w:val="31"/>
        </w:numPr>
        <w:jc w:val="both"/>
        <w:rPr>
          <w:rFonts w:ascii="Arial" w:hAnsi="Arial" w:cs="Arial"/>
          <w:sz w:val="24"/>
          <w:lang w:val="en-GB"/>
        </w:rPr>
      </w:pPr>
      <w:r>
        <w:rPr>
          <w:rFonts w:ascii="Arial" w:hAnsi="Arial" w:cs="Arial"/>
          <w:sz w:val="24"/>
          <w:lang w:val="en-GB"/>
        </w:rPr>
        <w:t xml:space="preserve">Chapter </w:t>
      </w:r>
      <w:r w:rsidR="008433C8">
        <w:rPr>
          <w:rFonts w:ascii="Arial" w:hAnsi="Arial" w:cs="Arial"/>
          <w:sz w:val="24"/>
          <w:lang w:val="en-GB"/>
        </w:rPr>
        <w:t>V</w:t>
      </w:r>
      <w:r>
        <w:rPr>
          <w:rFonts w:ascii="Arial" w:hAnsi="Arial" w:cs="Arial"/>
          <w:sz w:val="24"/>
          <w:lang w:val="en-GB"/>
        </w:rPr>
        <w:t xml:space="preserve"> on group insolvencies under Recital 53. The EIR Recast allows the possibility for a court to open insolvency proceedings for several companies belonging to the same group in a single jurisdiction if that court finds that the COMIs of those companies are located </w:t>
      </w:r>
      <w:r w:rsidR="008B18EA">
        <w:rPr>
          <w:rFonts w:ascii="Arial" w:hAnsi="Arial" w:cs="Arial"/>
          <w:sz w:val="24"/>
          <w:lang w:val="en-GB"/>
        </w:rPr>
        <w:t>in</w:t>
      </w:r>
      <w:r>
        <w:rPr>
          <w:rFonts w:ascii="Arial" w:hAnsi="Arial" w:cs="Arial"/>
          <w:sz w:val="24"/>
          <w:lang w:val="en-GB"/>
        </w:rPr>
        <w:t xml:space="preserve"> a single member state.</w:t>
      </w:r>
    </w:p>
    <w:p w14:paraId="6EE5C25B" w14:textId="77777777" w:rsidR="006A2A0C" w:rsidRDefault="006A2A0C" w:rsidP="006A2A0C">
      <w:pPr>
        <w:pStyle w:val="ListParagraph"/>
        <w:jc w:val="both"/>
        <w:rPr>
          <w:rFonts w:ascii="Arial" w:hAnsi="Arial" w:cs="Arial"/>
          <w:sz w:val="24"/>
          <w:lang w:val="en-GB"/>
        </w:rPr>
      </w:pPr>
    </w:p>
    <w:p w14:paraId="1F9B4D6B" w14:textId="042CE21B" w:rsidR="00B1072C" w:rsidRDefault="006A2A0C" w:rsidP="009F211E">
      <w:pPr>
        <w:pStyle w:val="ListParagraph"/>
        <w:numPr>
          <w:ilvl w:val="0"/>
          <w:numId w:val="31"/>
        </w:numPr>
        <w:jc w:val="both"/>
        <w:rPr>
          <w:rFonts w:ascii="Arial" w:hAnsi="Arial" w:cs="Arial"/>
          <w:sz w:val="24"/>
          <w:lang w:val="en-GB"/>
        </w:rPr>
      </w:pPr>
      <w:r>
        <w:rPr>
          <w:rFonts w:ascii="Arial" w:hAnsi="Arial" w:cs="Arial"/>
          <w:sz w:val="24"/>
          <w:lang w:val="en-GB"/>
        </w:rPr>
        <w:t>Chapter II Article 19 contains the general provision on the immediate</w:t>
      </w:r>
      <w:r w:rsidR="00634666">
        <w:rPr>
          <w:rFonts w:ascii="Arial" w:hAnsi="Arial" w:cs="Arial"/>
          <w:sz w:val="24"/>
          <w:lang w:val="en-GB"/>
        </w:rPr>
        <w:t xml:space="preserve"> and automatic</w:t>
      </w:r>
      <w:r>
        <w:rPr>
          <w:rFonts w:ascii="Arial" w:hAnsi="Arial" w:cs="Arial"/>
          <w:sz w:val="24"/>
          <w:lang w:val="en-GB"/>
        </w:rPr>
        <w:t xml:space="preserve"> recognition of judgements opening insolvency proceedings by a court of a Member State which has jurisdiction, from the moment they become effective in the State of the opening of </w:t>
      </w:r>
      <w:r w:rsidR="00BA38AB">
        <w:rPr>
          <w:rFonts w:ascii="Arial" w:hAnsi="Arial" w:cs="Arial"/>
          <w:sz w:val="24"/>
          <w:lang w:val="en-GB"/>
        </w:rPr>
        <w:t>proceedings</w:t>
      </w:r>
      <w:r>
        <w:rPr>
          <w:rFonts w:ascii="Arial" w:hAnsi="Arial" w:cs="Arial"/>
          <w:sz w:val="24"/>
          <w:lang w:val="en-GB"/>
        </w:rPr>
        <w:t xml:space="preserve">. </w:t>
      </w:r>
    </w:p>
    <w:p w14:paraId="20C4A85E" w14:textId="77777777" w:rsidR="00A64A95" w:rsidRPr="00A64A95" w:rsidRDefault="00A64A95" w:rsidP="00A64A95">
      <w:pPr>
        <w:pStyle w:val="ListParagraph"/>
        <w:rPr>
          <w:rFonts w:ascii="Arial" w:hAnsi="Arial" w:cs="Arial"/>
          <w:sz w:val="24"/>
          <w:lang w:val="en-GB"/>
        </w:rPr>
      </w:pPr>
    </w:p>
    <w:p w14:paraId="3C0ED9C1" w14:textId="709D5485" w:rsidR="00A64A95" w:rsidRPr="009F211E" w:rsidRDefault="00177207" w:rsidP="009F211E">
      <w:pPr>
        <w:pStyle w:val="ListParagraph"/>
        <w:numPr>
          <w:ilvl w:val="0"/>
          <w:numId w:val="31"/>
        </w:numPr>
        <w:jc w:val="both"/>
        <w:rPr>
          <w:rFonts w:ascii="Arial" w:hAnsi="Arial" w:cs="Arial"/>
          <w:sz w:val="24"/>
          <w:lang w:val="en-GB"/>
        </w:rPr>
      </w:pPr>
      <w:r>
        <w:rPr>
          <w:rFonts w:ascii="Arial" w:hAnsi="Arial" w:cs="Arial"/>
          <w:sz w:val="24"/>
          <w:lang w:val="en-GB"/>
        </w:rPr>
        <w:t>Extension of insolvency jur</w:t>
      </w:r>
      <w:r w:rsidR="00A64A95">
        <w:rPr>
          <w:rFonts w:ascii="Arial" w:hAnsi="Arial" w:cs="Arial"/>
          <w:sz w:val="24"/>
          <w:lang w:val="en-GB"/>
        </w:rPr>
        <w:t xml:space="preserve">isdiction of the Courts </w:t>
      </w:r>
      <w:r w:rsidR="003B743E">
        <w:rPr>
          <w:rFonts w:ascii="Arial" w:hAnsi="Arial" w:cs="Arial"/>
          <w:sz w:val="24"/>
          <w:lang w:val="en-GB"/>
        </w:rPr>
        <w:t xml:space="preserve">opening insolvency proceedings with respect to related actions. According to Article 6 of the EIR Recast, courts of a Member State within the territory of which insolvency proceedings have been opened in accordance with Article 3, shall also have jurisdiction for any action which derives directly from the insolvency proceedings and </w:t>
      </w:r>
      <w:r w:rsidR="00C56FA8">
        <w:rPr>
          <w:rFonts w:ascii="Arial" w:hAnsi="Arial" w:cs="Arial"/>
          <w:sz w:val="24"/>
          <w:lang w:val="en-GB"/>
        </w:rPr>
        <w:t>is closely linked with them such as avoidance actions.</w:t>
      </w:r>
      <w:r w:rsidR="003B743E">
        <w:rPr>
          <w:rFonts w:ascii="Arial" w:hAnsi="Arial" w:cs="Arial"/>
          <w:sz w:val="24"/>
          <w:lang w:val="en-GB"/>
        </w:rPr>
        <w:t xml:space="preserve">   </w:t>
      </w:r>
      <w:r w:rsidR="00A64A95">
        <w:rPr>
          <w:rFonts w:ascii="Arial" w:hAnsi="Arial" w:cs="Arial"/>
          <w:sz w:val="24"/>
          <w:lang w:val="en-GB"/>
        </w:rPr>
        <w:t xml:space="preserve"> </w:t>
      </w:r>
    </w:p>
    <w:p w14:paraId="56A5D377" w14:textId="77777777" w:rsidR="00222FB5" w:rsidRPr="008E3C96" w:rsidRDefault="00222FB5" w:rsidP="00636C15">
      <w:pPr>
        <w:jc w:val="both"/>
        <w:rPr>
          <w:rFonts w:ascii="Avenir Next" w:hAnsi="Avenir Next" w:cs="Arial"/>
          <w:sz w:val="22"/>
          <w:szCs w:val="22"/>
          <w:lang w:val="en-GB"/>
        </w:rPr>
      </w:pP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4F051265" w14:textId="662938EE" w:rsidR="006723E9"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5679F6A3" w14:textId="1FF7AA3A" w:rsidR="00B53D13" w:rsidRDefault="00B53D13" w:rsidP="002A37BB">
      <w:pPr>
        <w:jc w:val="both"/>
        <w:rPr>
          <w:rFonts w:ascii="Avenir Next" w:hAnsi="Avenir Next" w:cs="Arial"/>
          <w:sz w:val="22"/>
          <w:szCs w:val="22"/>
          <w:lang w:val="en-GB"/>
        </w:rPr>
      </w:pPr>
    </w:p>
    <w:p w14:paraId="688D0552" w14:textId="77777777" w:rsidR="00B53D13" w:rsidRDefault="00B53D13" w:rsidP="00B53D13">
      <w:pPr>
        <w:ind w:left="720" w:hanging="720"/>
        <w:jc w:val="both"/>
        <w:rPr>
          <w:rFonts w:ascii="Arial" w:hAnsi="Arial" w:cs="Arial"/>
          <w:sz w:val="24"/>
        </w:rPr>
      </w:pPr>
      <w:r>
        <w:rPr>
          <w:rFonts w:ascii="Arial" w:hAnsi="Arial" w:cs="Arial"/>
          <w:sz w:val="24"/>
        </w:rPr>
        <w:t>Article 41 mandates cooperation between insolvency practitioners;</w:t>
      </w:r>
    </w:p>
    <w:p w14:paraId="05120305" w14:textId="77777777" w:rsidR="00B53D13" w:rsidRDefault="00B53D13" w:rsidP="00B53D13">
      <w:pPr>
        <w:ind w:left="720" w:hanging="720"/>
        <w:jc w:val="both"/>
        <w:rPr>
          <w:rFonts w:ascii="Arial" w:hAnsi="Arial" w:cs="Arial"/>
          <w:sz w:val="24"/>
        </w:rPr>
      </w:pPr>
      <w:r>
        <w:rPr>
          <w:rFonts w:ascii="Arial" w:hAnsi="Arial" w:cs="Arial"/>
          <w:sz w:val="24"/>
        </w:rPr>
        <w:t xml:space="preserve">Article 42 mandates cooperation between courts and </w:t>
      </w:r>
    </w:p>
    <w:p w14:paraId="1F0A7D55" w14:textId="77777777" w:rsidR="00B53D13" w:rsidRDefault="00B53D13" w:rsidP="00B53D13">
      <w:pPr>
        <w:ind w:left="720" w:hanging="720"/>
        <w:jc w:val="both"/>
        <w:rPr>
          <w:rFonts w:ascii="Arial" w:hAnsi="Arial" w:cs="Arial"/>
          <w:sz w:val="24"/>
        </w:rPr>
      </w:pPr>
      <w:r>
        <w:rPr>
          <w:rFonts w:ascii="Arial" w:hAnsi="Arial" w:cs="Arial"/>
          <w:sz w:val="24"/>
        </w:rPr>
        <w:t>Article 43 mandates cooperation between insolvency practitioners and Courts.</w:t>
      </w:r>
    </w:p>
    <w:p w14:paraId="7B4A32D5" w14:textId="77777777" w:rsidR="00B53D13" w:rsidRPr="008E3C96" w:rsidRDefault="00B53D13" w:rsidP="002A37BB">
      <w:pPr>
        <w:jc w:val="both"/>
        <w:rPr>
          <w:rFonts w:ascii="Avenir Next" w:hAnsi="Avenir Next" w:cs="Arial"/>
          <w:sz w:val="22"/>
          <w:szCs w:val="22"/>
          <w:lang w:val="en-GB"/>
        </w:rPr>
      </w:pPr>
    </w:p>
    <w:p w14:paraId="59446EAA" w14:textId="77777777" w:rsidR="00127060" w:rsidRDefault="00127060" w:rsidP="002A37BB">
      <w:pPr>
        <w:jc w:val="both"/>
        <w:rPr>
          <w:rFonts w:ascii="Avenir Next Demi Bold" w:hAnsi="Avenir Next Demi Bold" w:cs="Arial"/>
          <w:b/>
          <w:bCs/>
          <w:sz w:val="22"/>
          <w:szCs w:val="22"/>
          <w:lang w:val="en-GB"/>
        </w:rPr>
      </w:pPr>
    </w:p>
    <w:p w14:paraId="58C20830" w14:textId="77777777" w:rsidR="00127060" w:rsidRDefault="00127060" w:rsidP="002A37BB">
      <w:pPr>
        <w:jc w:val="both"/>
        <w:rPr>
          <w:rFonts w:ascii="Avenir Next Demi Bold" w:hAnsi="Avenir Next Demi Bold" w:cs="Arial"/>
          <w:b/>
          <w:bCs/>
          <w:sz w:val="22"/>
          <w:szCs w:val="22"/>
          <w:lang w:val="en-GB"/>
        </w:rPr>
      </w:pPr>
    </w:p>
    <w:p w14:paraId="57272F96" w14:textId="77777777" w:rsidR="00127060" w:rsidRDefault="00127060" w:rsidP="002A37BB">
      <w:pPr>
        <w:jc w:val="both"/>
        <w:rPr>
          <w:rFonts w:ascii="Avenir Next Demi Bold" w:hAnsi="Avenir Next Demi Bold" w:cs="Arial"/>
          <w:b/>
          <w:bCs/>
          <w:sz w:val="22"/>
          <w:szCs w:val="22"/>
          <w:lang w:val="en-GB"/>
        </w:rPr>
      </w:pPr>
    </w:p>
    <w:p w14:paraId="57CD06CF" w14:textId="26C10D47"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58CB6111" w:rsidR="00636C15"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D579F6C" w14:textId="758BA854" w:rsidR="007977E2" w:rsidRDefault="007977E2" w:rsidP="002A37BB">
      <w:pPr>
        <w:jc w:val="both"/>
        <w:rPr>
          <w:rFonts w:ascii="Avenir Next" w:hAnsi="Avenir Next" w:cs="Arial"/>
          <w:sz w:val="22"/>
          <w:szCs w:val="22"/>
          <w:lang w:val="en-GB"/>
        </w:rPr>
      </w:pPr>
    </w:p>
    <w:p w14:paraId="2D4AB828" w14:textId="0198C504" w:rsidR="00D51F1D" w:rsidRPr="00C64C3F" w:rsidRDefault="007977E2" w:rsidP="00D51F1D">
      <w:pPr>
        <w:pStyle w:val="ListParagraph"/>
        <w:numPr>
          <w:ilvl w:val="0"/>
          <w:numId w:val="32"/>
        </w:numPr>
        <w:jc w:val="both"/>
        <w:rPr>
          <w:rFonts w:ascii="Arial" w:hAnsi="Arial" w:cs="Arial"/>
          <w:sz w:val="24"/>
          <w:lang w:val="en-GB"/>
        </w:rPr>
      </w:pPr>
      <w:r w:rsidRPr="00C64C3F">
        <w:rPr>
          <w:rFonts w:ascii="Arial" w:hAnsi="Arial" w:cs="Arial"/>
          <w:sz w:val="24"/>
          <w:lang w:val="en-GB"/>
        </w:rPr>
        <w:t>Article 38(2), the Court</w:t>
      </w:r>
      <w:r w:rsidR="00102D26" w:rsidRPr="00C64C3F">
        <w:rPr>
          <w:rFonts w:ascii="Arial" w:hAnsi="Arial" w:cs="Arial"/>
          <w:sz w:val="24"/>
          <w:lang w:val="en-GB"/>
        </w:rPr>
        <w:t xml:space="preserve"> seized with a request </w:t>
      </w:r>
      <w:r w:rsidRPr="00C64C3F">
        <w:rPr>
          <w:rFonts w:ascii="Arial" w:hAnsi="Arial" w:cs="Arial"/>
          <w:sz w:val="24"/>
          <w:lang w:val="en-GB"/>
        </w:rPr>
        <w:t>to open secondary proceedings should not, at the request of the insolvency practitioner, open where an insolvency practitioner in the main insolvency proceeding has given an undertaking in accordance with Article 36, if the Court is satisfied that the undertaking</w:t>
      </w:r>
      <w:r w:rsidR="00102D26" w:rsidRPr="00C64C3F">
        <w:rPr>
          <w:rFonts w:ascii="Arial" w:hAnsi="Arial" w:cs="Arial"/>
          <w:sz w:val="24"/>
          <w:lang w:val="en-GB"/>
        </w:rPr>
        <w:t xml:space="preserve"> adequately protects the general interests of local creditors. The undertaking operates in </w:t>
      </w:r>
      <w:r w:rsidR="00BC73CD">
        <w:rPr>
          <w:rFonts w:ascii="Arial" w:hAnsi="Arial" w:cs="Arial"/>
          <w:sz w:val="24"/>
          <w:lang w:val="en-GB"/>
        </w:rPr>
        <w:t xml:space="preserve">that </w:t>
      </w:r>
      <w:r w:rsidR="00102D26" w:rsidRPr="00C64C3F">
        <w:rPr>
          <w:rFonts w:ascii="Arial" w:hAnsi="Arial" w:cs="Arial"/>
          <w:sz w:val="24"/>
          <w:lang w:val="en-GB"/>
        </w:rPr>
        <w:t xml:space="preserve">the insolvency practitioner in the main proceedings may give a unilateral undertaking in respect of assets located in the Member State in which </w:t>
      </w:r>
      <w:r w:rsidR="004B13CC" w:rsidRPr="00C64C3F">
        <w:rPr>
          <w:rFonts w:ascii="Arial" w:hAnsi="Arial" w:cs="Arial"/>
          <w:sz w:val="24"/>
          <w:lang w:val="en-GB"/>
        </w:rPr>
        <w:t>secondary</w:t>
      </w:r>
      <w:r w:rsidR="00102D26" w:rsidRPr="00C64C3F">
        <w:rPr>
          <w:rFonts w:ascii="Arial" w:hAnsi="Arial" w:cs="Arial"/>
          <w:sz w:val="24"/>
          <w:lang w:val="en-GB"/>
        </w:rPr>
        <w:t xml:space="preserve"> proceedings could be opened, </w:t>
      </w:r>
      <w:r w:rsidR="004B13CC" w:rsidRPr="00C64C3F">
        <w:rPr>
          <w:rFonts w:ascii="Arial" w:hAnsi="Arial" w:cs="Arial"/>
          <w:sz w:val="24"/>
          <w:lang w:val="en-GB"/>
        </w:rPr>
        <w:t>that when</w:t>
      </w:r>
      <w:r w:rsidR="00102D26" w:rsidRPr="00C64C3F">
        <w:rPr>
          <w:rFonts w:ascii="Arial" w:hAnsi="Arial" w:cs="Arial"/>
          <w:sz w:val="24"/>
          <w:lang w:val="en-GB"/>
        </w:rPr>
        <w:t xml:space="preserve"> distributing those assets or the proceeds received as a result of their realisation, he will comply with the distribution and priority right</w:t>
      </w:r>
      <w:r w:rsidR="00D51F1D" w:rsidRPr="00C64C3F">
        <w:rPr>
          <w:rFonts w:ascii="Arial" w:hAnsi="Arial" w:cs="Arial"/>
          <w:sz w:val="24"/>
          <w:lang w:val="en-GB"/>
        </w:rPr>
        <w:t xml:space="preserve">s under national law that creditors would have if secondary </w:t>
      </w:r>
      <w:r w:rsidR="004B13CC" w:rsidRPr="00C64C3F">
        <w:rPr>
          <w:rFonts w:ascii="Arial" w:hAnsi="Arial" w:cs="Arial"/>
          <w:sz w:val="24"/>
          <w:lang w:val="en-GB"/>
        </w:rPr>
        <w:t>proceedings</w:t>
      </w:r>
      <w:r w:rsidR="00D51F1D" w:rsidRPr="00C64C3F">
        <w:rPr>
          <w:rFonts w:ascii="Arial" w:hAnsi="Arial" w:cs="Arial"/>
          <w:sz w:val="24"/>
          <w:lang w:val="en-GB"/>
        </w:rPr>
        <w:t xml:space="preserve"> were opened in the </w:t>
      </w:r>
      <w:r w:rsidR="004B13CC" w:rsidRPr="00C64C3F">
        <w:rPr>
          <w:rFonts w:ascii="Arial" w:hAnsi="Arial" w:cs="Arial"/>
          <w:sz w:val="24"/>
          <w:lang w:val="en-GB"/>
        </w:rPr>
        <w:t>Member</w:t>
      </w:r>
      <w:r w:rsidR="00D51F1D" w:rsidRPr="00C64C3F">
        <w:rPr>
          <w:rFonts w:ascii="Arial" w:hAnsi="Arial" w:cs="Arial"/>
          <w:sz w:val="24"/>
          <w:lang w:val="en-GB"/>
        </w:rPr>
        <w:t xml:space="preserve"> State.  </w:t>
      </w:r>
    </w:p>
    <w:p w14:paraId="06F3E079" w14:textId="54F74624" w:rsidR="00D51F1D" w:rsidRPr="00C64C3F" w:rsidRDefault="00D51F1D" w:rsidP="00D51F1D">
      <w:pPr>
        <w:pStyle w:val="ListParagraph"/>
        <w:jc w:val="both"/>
        <w:rPr>
          <w:rFonts w:ascii="Arial" w:hAnsi="Arial" w:cs="Arial"/>
          <w:sz w:val="24"/>
          <w:lang w:val="en-GB"/>
        </w:rPr>
      </w:pPr>
      <w:r w:rsidRPr="00C64C3F">
        <w:rPr>
          <w:rFonts w:ascii="Arial" w:hAnsi="Arial" w:cs="Arial"/>
          <w:sz w:val="24"/>
          <w:lang w:val="en-GB"/>
        </w:rPr>
        <w:t xml:space="preserve"> </w:t>
      </w:r>
    </w:p>
    <w:p w14:paraId="09C5A444" w14:textId="0A3DBC60" w:rsidR="007977E2" w:rsidRPr="00C64C3F" w:rsidRDefault="00D51F1D" w:rsidP="00D62423">
      <w:pPr>
        <w:pStyle w:val="ListParagraph"/>
        <w:numPr>
          <w:ilvl w:val="0"/>
          <w:numId w:val="32"/>
        </w:numPr>
        <w:jc w:val="both"/>
        <w:rPr>
          <w:rFonts w:ascii="Arial" w:hAnsi="Arial" w:cs="Arial"/>
          <w:sz w:val="24"/>
          <w:lang w:val="en-GB"/>
        </w:rPr>
      </w:pPr>
      <w:r w:rsidRPr="00C64C3F">
        <w:rPr>
          <w:rFonts w:ascii="Arial" w:hAnsi="Arial" w:cs="Arial"/>
          <w:sz w:val="24"/>
          <w:lang w:val="en-GB"/>
        </w:rPr>
        <w:t xml:space="preserve">Recital 45 Empowers the court to temporarily stay the opening of </w:t>
      </w:r>
      <w:r w:rsidR="00FF4105" w:rsidRPr="00C64C3F">
        <w:rPr>
          <w:rFonts w:ascii="Arial" w:hAnsi="Arial" w:cs="Arial"/>
          <w:sz w:val="24"/>
          <w:lang w:val="en-GB"/>
        </w:rPr>
        <w:t xml:space="preserve">secondary </w:t>
      </w:r>
      <w:r w:rsidRPr="00C64C3F">
        <w:rPr>
          <w:rFonts w:ascii="Arial" w:hAnsi="Arial" w:cs="Arial"/>
          <w:sz w:val="24"/>
          <w:lang w:val="en-GB"/>
        </w:rPr>
        <w:t>insolvency proceedings</w:t>
      </w:r>
      <w:r w:rsidR="00FF4105" w:rsidRPr="00C64C3F">
        <w:rPr>
          <w:rFonts w:ascii="Arial" w:hAnsi="Arial" w:cs="Arial"/>
          <w:sz w:val="24"/>
          <w:lang w:val="en-GB"/>
        </w:rPr>
        <w:t xml:space="preserve">, when a temporary stay of individual enforcement </w:t>
      </w:r>
      <w:r w:rsidR="004B13CC" w:rsidRPr="00C64C3F">
        <w:rPr>
          <w:rFonts w:ascii="Arial" w:hAnsi="Arial" w:cs="Arial"/>
          <w:sz w:val="24"/>
          <w:lang w:val="en-GB"/>
        </w:rPr>
        <w:t>proceedings has</w:t>
      </w:r>
      <w:r w:rsidR="00FF4105" w:rsidRPr="00C64C3F">
        <w:rPr>
          <w:rFonts w:ascii="Arial" w:hAnsi="Arial" w:cs="Arial"/>
          <w:sz w:val="24"/>
          <w:lang w:val="en-GB"/>
        </w:rPr>
        <w:t xml:space="preserve"> been granted in the main insolvency proceedings. </w:t>
      </w:r>
      <w:r w:rsidRPr="00C64C3F">
        <w:rPr>
          <w:rFonts w:ascii="Arial" w:hAnsi="Arial" w:cs="Arial"/>
          <w:sz w:val="24"/>
          <w:lang w:val="en-GB"/>
        </w:rPr>
        <w:t xml:space="preserve"> </w:t>
      </w:r>
      <w:r w:rsidR="00102D26" w:rsidRPr="00C64C3F">
        <w:rPr>
          <w:rFonts w:ascii="Arial" w:hAnsi="Arial" w:cs="Arial"/>
          <w:sz w:val="24"/>
          <w:lang w:val="en-GB"/>
        </w:rPr>
        <w:t xml:space="preserve">    </w:t>
      </w:r>
      <w:r w:rsidR="007977E2" w:rsidRPr="00C64C3F">
        <w:rPr>
          <w:rFonts w:ascii="Arial" w:hAnsi="Arial" w:cs="Arial"/>
          <w:sz w:val="24"/>
          <w:lang w:val="en-GB"/>
        </w:rPr>
        <w:t xml:space="preserve">  </w:t>
      </w:r>
    </w:p>
    <w:p w14:paraId="115A9259" w14:textId="77777777" w:rsidR="00DD47EF" w:rsidRPr="008E3C96" w:rsidRDefault="00DD47EF" w:rsidP="002A37BB">
      <w:pPr>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1717D1F3" w:rsidR="00B12499"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07DE20A3" w14:textId="6F96BA05" w:rsidR="00BB70F1" w:rsidRDefault="00BB70F1" w:rsidP="002A37BB">
      <w:pPr>
        <w:jc w:val="both"/>
        <w:rPr>
          <w:rFonts w:ascii="Avenir Next" w:hAnsi="Avenir Next" w:cs="Arial"/>
          <w:sz w:val="22"/>
          <w:szCs w:val="22"/>
          <w:lang w:val="en-GB"/>
        </w:rPr>
      </w:pPr>
    </w:p>
    <w:p w14:paraId="4AD6487B" w14:textId="4A290138" w:rsidR="00881A0F" w:rsidRDefault="002F5885" w:rsidP="002A37BB">
      <w:pPr>
        <w:jc w:val="both"/>
        <w:rPr>
          <w:rFonts w:ascii="Arial" w:hAnsi="Arial" w:cs="Arial"/>
          <w:sz w:val="24"/>
          <w:lang w:val="en-GB"/>
        </w:rPr>
      </w:pPr>
      <w:r>
        <w:rPr>
          <w:rFonts w:ascii="Arial" w:hAnsi="Arial" w:cs="Arial"/>
          <w:sz w:val="24"/>
          <w:lang w:val="en-GB"/>
        </w:rPr>
        <w:t>The Commission identified that the insolvency regulation needed to broaden its scope</w:t>
      </w:r>
      <w:r w:rsidR="00881A0F">
        <w:rPr>
          <w:rFonts w:ascii="Arial" w:hAnsi="Arial" w:cs="Arial"/>
          <w:sz w:val="24"/>
          <w:lang w:val="en-GB"/>
        </w:rPr>
        <w:t xml:space="preserve"> to include restructuring and not just insolvency, unlike under the EIR 2000. The Commission highlighted that there was a need to support a more business-friendly environment for debtors in financial distress. The rationale for this recommendation was to;</w:t>
      </w:r>
    </w:p>
    <w:p w14:paraId="4AC211C1" w14:textId="77777777" w:rsidR="00881A0F" w:rsidRDefault="00881A0F" w:rsidP="002A37BB">
      <w:pPr>
        <w:jc w:val="both"/>
        <w:rPr>
          <w:rFonts w:ascii="Arial" w:hAnsi="Arial" w:cs="Arial"/>
          <w:sz w:val="24"/>
          <w:lang w:val="en-GB"/>
        </w:rPr>
      </w:pPr>
    </w:p>
    <w:p w14:paraId="64DFB278" w14:textId="77777777" w:rsidR="00881A0F" w:rsidRDefault="00881A0F" w:rsidP="00881A0F">
      <w:pPr>
        <w:pStyle w:val="ListParagraph"/>
        <w:numPr>
          <w:ilvl w:val="0"/>
          <w:numId w:val="33"/>
        </w:numPr>
        <w:jc w:val="both"/>
        <w:rPr>
          <w:rFonts w:ascii="Arial" w:hAnsi="Arial" w:cs="Arial"/>
          <w:sz w:val="24"/>
          <w:lang w:val="en-GB"/>
        </w:rPr>
      </w:pPr>
      <w:r>
        <w:rPr>
          <w:rFonts w:ascii="Arial" w:hAnsi="Arial" w:cs="Arial"/>
          <w:sz w:val="24"/>
          <w:lang w:val="en-GB"/>
        </w:rPr>
        <w:t>Promote a rescue and recovery culture and</w:t>
      </w:r>
    </w:p>
    <w:p w14:paraId="7BAEFFD2" w14:textId="4A52491B" w:rsidR="00F673F3" w:rsidRDefault="00881A0F" w:rsidP="00F673F3">
      <w:pPr>
        <w:pStyle w:val="ListParagraph"/>
        <w:numPr>
          <w:ilvl w:val="0"/>
          <w:numId w:val="33"/>
        </w:numPr>
        <w:jc w:val="both"/>
        <w:rPr>
          <w:rFonts w:ascii="Arial" w:hAnsi="Arial" w:cs="Arial"/>
          <w:sz w:val="24"/>
          <w:lang w:val="en-GB"/>
        </w:rPr>
      </w:pPr>
      <w:r>
        <w:rPr>
          <w:rFonts w:ascii="Arial" w:hAnsi="Arial" w:cs="Arial"/>
          <w:sz w:val="24"/>
          <w:lang w:val="en-GB"/>
        </w:rPr>
        <w:t>Create a level playing field</w:t>
      </w:r>
      <w:r w:rsidR="008A01C7">
        <w:rPr>
          <w:rFonts w:ascii="Arial" w:hAnsi="Arial" w:cs="Arial"/>
          <w:sz w:val="24"/>
          <w:lang w:val="en-GB"/>
        </w:rPr>
        <w:t xml:space="preserve"> </w:t>
      </w:r>
      <w:r>
        <w:rPr>
          <w:rFonts w:ascii="Arial" w:hAnsi="Arial" w:cs="Arial"/>
          <w:sz w:val="24"/>
          <w:lang w:val="en-GB"/>
        </w:rPr>
        <w:t>of national insolvency laws, which would in turn lead to improved access to credit and foreign investment.</w:t>
      </w:r>
    </w:p>
    <w:p w14:paraId="62BDDBEF" w14:textId="1316D4A7" w:rsidR="00576131" w:rsidRDefault="00576131" w:rsidP="00F673F3">
      <w:pPr>
        <w:jc w:val="both"/>
        <w:rPr>
          <w:rFonts w:ascii="Arial" w:hAnsi="Arial" w:cs="Arial"/>
          <w:sz w:val="24"/>
          <w:lang w:val="en-GB"/>
        </w:rPr>
      </w:pPr>
      <w:r>
        <w:rPr>
          <w:rFonts w:ascii="Arial" w:hAnsi="Arial" w:cs="Arial"/>
          <w:sz w:val="24"/>
          <w:lang w:val="en-GB"/>
        </w:rPr>
        <w:t>This recommendation was reflected in the EIR Recast by the extension of the scope to included pre-insolvency res</w:t>
      </w:r>
      <w:r w:rsidR="004B13CC">
        <w:rPr>
          <w:rFonts w:ascii="Arial" w:hAnsi="Arial" w:cs="Arial"/>
          <w:sz w:val="24"/>
          <w:lang w:val="en-GB"/>
        </w:rPr>
        <w:t>t</w:t>
      </w:r>
      <w:r>
        <w:rPr>
          <w:rFonts w:ascii="Arial" w:hAnsi="Arial" w:cs="Arial"/>
          <w:sz w:val="24"/>
          <w:lang w:val="en-GB"/>
        </w:rPr>
        <w:t>ruct</w:t>
      </w:r>
      <w:r w:rsidR="004B13CC">
        <w:rPr>
          <w:rFonts w:ascii="Arial" w:hAnsi="Arial" w:cs="Arial"/>
          <w:sz w:val="24"/>
          <w:lang w:val="en-GB"/>
        </w:rPr>
        <w:t>ur</w:t>
      </w:r>
      <w:r>
        <w:rPr>
          <w:rFonts w:ascii="Arial" w:hAnsi="Arial" w:cs="Arial"/>
          <w:sz w:val="24"/>
          <w:lang w:val="en-GB"/>
        </w:rPr>
        <w:t>ing.</w:t>
      </w:r>
    </w:p>
    <w:p w14:paraId="26E7A389" w14:textId="2EDDE9E0" w:rsidR="00576131" w:rsidRDefault="00576131" w:rsidP="00F673F3">
      <w:pPr>
        <w:jc w:val="both"/>
        <w:rPr>
          <w:rFonts w:ascii="Arial" w:hAnsi="Arial" w:cs="Arial"/>
          <w:sz w:val="24"/>
          <w:lang w:val="en-GB"/>
        </w:rPr>
      </w:pPr>
      <w:r>
        <w:rPr>
          <w:rFonts w:ascii="Arial" w:hAnsi="Arial" w:cs="Arial"/>
          <w:sz w:val="24"/>
          <w:lang w:val="en-GB"/>
        </w:rPr>
        <w:t>Beside</w:t>
      </w:r>
      <w:r w:rsidR="000B4A86">
        <w:rPr>
          <w:rFonts w:ascii="Arial" w:hAnsi="Arial" w:cs="Arial"/>
          <w:sz w:val="24"/>
          <w:lang w:val="en-GB"/>
        </w:rPr>
        <w:t>s</w:t>
      </w:r>
      <w:r>
        <w:rPr>
          <w:rFonts w:ascii="Arial" w:hAnsi="Arial" w:cs="Arial"/>
          <w:sz w:val="24"/>
          <w:lang w:val="en-GB"/>
        </w:rPr>
        <w:t xml:space="preserve"> the scope of the regulation the Commission also identified as needing reform the following;</w:t>
      </w:r>
    </w:p>
    <w:p w14:paraId="14BE42EB" w14:textId="77777777" w:rsidR="00576131" w:rsidRDefault="00576131" w:rsidP="00F673F3">
      <w:pPr>
        <w:jc w:val="both"/>
        <w:rPr>
          <w:rFonts w:ascii="Arial" w:hAnsi="Arial" w:cs="Arial"/>
          <w:sz w:val="24"/>
          <w:lang w:val="en-GB"/>
        </w:rPr>
      </w:pPr>
    </w:p>
    <w:p w14:paraId="67232533" w14:textId="77777777" w:rsidR="00576131" w:rsidRPr="000B4A86" w:rsidRDefault="00576131" w:rsidP="000B4A86">
      <w:pPr>
        <w:pStyle w:val="ListParagraph"/>
        <w:numPr>
          <w:ilvl w:val="0"/>
          <w:numId w:val="35"/>
        </w:numPr>
        <w:jc w:val="both"/>
        <w:rPr>
          <w:rFonts w:ascii="Arial" w:hAnsi="Arial" w:cs="Arial"/>
          <w:sz w:val="24"/>
          <w:lang w:val="en-GB"/>
        </w:rPr>
      </w:pPr>
      <w:r w:rsidRPr="000B4A86">
        <w:rPr>
          <w:rFonts w:ascii="Arial" w:hAnsi="Arial" w:cs="Arial"/>
          <w:sz w:val="24"/>
          <w:lang w:val="en-GB"/>
        </w:rPr>
        <w:t>jurisdictional rules on COMI and forum shopping;</w:t>
      </w:r>
    </w:p>
    <w:p w14:paraId="6B7695FE" w14:textId="1C960DF4" w:rsidR="00622BC1" w:rsidRDefault="00576131" w:rsidP="000B4A86">
      <w:pPr>
        <w:pStyle w:val="ListParagraph"/>
        <w:numPr>
          <w:ilvl w:val="0"/>
          <w:numId w:val="35"/>
        </w:numPr>
        <w:jc w:val="both"/>
        <w:rPr>
          <w:rFonts w:ascii="Arial" w:hAnsi="Arial" w:cs="Arial"/>
          <w:sz w:val="24"/>
          <w:lang w:val="en-GB"/>
        </w:rPr>
      </w:pPr>
      <w:r w:rsidRPr="000B4A86">
        <w:rPr>
          <w:rFonts w:ascii="Arial" w:hAnsi="Arial" w:cs="Arial"/>
          <w:sz w:val="24"/>
          <w:lang w:val="en-GB"/>
        </w:rPr>
        <w:lastRenderedPageBreak/>
        <w:t>Publicity Rules</w:t>
      </w:r>
      <w:r w:rsidR="002916E5" w:rsidRPr="000B4A86">
        <w:rPr>
          <w:rFonts w:ascii="Arial" w:hAnsi="Arial" w:cs="Arial"/>
          <w:sz w:val="24"/>
          <w:lang w:val="en-GB"/>
        </w:rPr>
        <w:t>.</w:t>
      </w:r>
    </w:p>
    <w:p w14:paraId="43A1FB05" w14:textId="77777777" w:rsidR="000B4A86" w:rsidRPr="000B4A86" w:rsidRDefault="000B4A86" w:rsidP="000B4A86">
      <w:pPr>
        <w:pStyle w:val="ListParagraph"/>
        <w:jc w:val="both"/>
        <w:rPr>
          <w:rFonts w:ascii="Arial" w:hAnsi="Arial" w:cs="Arial"/>
          <w:sz w:val="24"/>
          <w:lang w:val="en-GB"/>
        </w:rPr>
      </w:pPr>
    </w:p>
    <w:p w14:paraId="59814EA6" w14:textId="4D830EBD" w:rsidR="00576131" w:rsidRPr="0087750A" w:rsidRDefault="00B60A69" w:rsidP="0087750A">
      <w:pPr>
        <w:pStyle w:val="ListParagraph"/>
        <w:numPr>
          <w:ilvl w:val="0"/>
          <w:numId w:val="35"/>
        </w:numPr>
        <w:jc w:val="both"/>
        <w:rPr>
          <w:rFonts w:ascii="Arial" w:hAnsi="Arial" w:cs="Arial"/>
          <w:sz w:val="24"/>
          <w:lang w:val="en-GB"/>
        </w:rPr>
      </w:pPr>
      <w:r w:rsidRPr="0087750A">
        <w:rPr>
          <w:rFonts w:ascii="Arial" w:hAnsi="Arial" w:cs="Arial"/>
          <w:sz w:val="24"/>
          <w:lang w:val="en-GB"/>
        </w:rPr>
        <w:t xml:space="preserve">The EIR </w:t>
      </w:r>
      <w:r w:rsidR="000B4A86" w:rsidRPr="0087750A">
        <w:rPr>
          <w:rFonts w:ascii="Arial" w:hAnsi="Arial" w:cs="Arial"/>
          <w:sz w:val="24"/>
          <w:lang w:val="en-GB"/>
        </w:rPr>
        <w:t xml:space="preserve">2000 </w:t>
      </w:r>
      <w:r w:rsidRPr="0087750A">
        <w:rPr>
          <w:rFonts w:ascii="Arial" w:hAnsi="Arial" w:cs="Arial"/>
          <w:sz w:val="24"/>
          <w:lang w:val="en-GB"/>
        </w:rPr>
        <w:t>allowed the opening of secondary proceedings which often compromised the insolvency process by making it more expensive and ti</w:t>
      </w:r>
      <w:r w:rsidR="00C837A8" w:rsidRPr="0087750A">
        <w:rPr>
          <w:rFonts w:ascii="Arial" w:hAnsi="Arial" w:cs="Arial"/>
          <w:sz w:val="24"/>
          <w:lang w:val="en-GB"/>
        </w:rPr>
        <w:t>m</w:t>
      </w:r>
      <w:r w:rsidRPr="0087750A">
        <w:rPr>
          <w:rFonts w:ascii="Arial" w:hAnsi="Arial" w:cs="Arial"/>
          <w:sz w:val="24"/>
          <w:lang w:val="en-GB"/>
        </w:rPr>
        <w:t>e consuming and ultimately diminishing the value of the assets for the creditors. The opening of secondary proceedings complicated the task of the insolvency practitioner in the main proceedings since the insolvency practitioner needed to bargain</w:t>
      </w:r>
      <w:r w:rsidR="00576131" w:rsidRPr="0087750A">
        <w:rPr>
          <w:rFonts w:ascii="Arial" w:hAnsi="Arial" w:cs="Arial"/>
          <w:sz w:val="24"/>
          <w:lang w:val="en-GB"/>
        </w:rPr>
        <w:t xml:space="preserve"> and</w:t>
      </w:r>
      <w:r w:rsidRPr="0087750A">
        <w:rPr>
          <w:rFonts w:ascii="Arial" w:hAnsi="Arial" w:cs="Arial"/>
          <w:sz w:val="24"/>
          <w:lang w:val="en-GB"/>
        </w:rPr>
        <w:t xml:space="preserve"> cooperate with independent officers.</w:t>
      </w:r>
      <w:r w:rsidR="00576131" w:rsidRPr="0087750A">
        <w:rPr>
          <w:rFonts w:ascii="Arial" w:hAnsi="Arial" w:cs="Arial"/>
          <w:sz w:val="24"/>
          <w:lang w:val="en-GB"/>
        </w:rPr>
        <w:t xml:space="preserve"> </w:t>
      </w:r>
    </w:p>
    <w:p w14:paraId="37D937B6" w14:textId="77777777" w:rsidR="0087750A" w:rsidRDefault="0087750A" w:rsidP="00F673F3">
      <w:pPr>
        <w:jc w:val="both"/>
        <w:rPr>
          <w:rFonts w:ascii="Arial" w:hAnsi="Arial" w:cs="Arial"/>
          <w:sz w:val="24"/>
          <w:lang w:val="en-GB"/>
        </w:rPr>
      </w:pPr>
    </w:p>
    <w:p w14:paraId="7298F308" w14:textId="37BC4314" w:rsidR="00F673F3" w:rsidRPr="0087750A" w:rsidRDefault="00576131" w:rsidP="0087750A">
      <w:pPr>
        <w:pStyle w:val="ListParagraph"/>
        <w:numPr>
          <w:ilvl w:val="0"/>
          <w:numId w:val="36"/>
        </w:numPr>
        <w:jc w:val="both"/>
        <w:rPr>
          <w:rFonts w:ascii="Arial" w:hAnsi="Arial" w:cs="Arial"/>
          <w:sz w:val="24"/>
          <w:lang w:val="en-GB"/>
        </w:rPr>
      </w:pPr>
      <w:r w:rsidRPr="0087750A">
        <w:rPr>
          <w:rFonts w:ascii="Arial" w:hAnsi="Arial" w:cs="Arial"/>
          <w:sz w:val="24"/>
          <w:lang w:val="en-GB"/>
        </w:rPr>
        <w:t xml:space="preserve">Rules dealing with group insolvencies under EIR 2000. </w:t>
      </w:r>
    </w:p>
    <w:p w14:paraId="4098D7DA" w14:textId="77777777" w:rsidR="00241FA3" w:rsidRPr="008E3C96" w:rsidRDefault="00241FA3" w:rsidP="002A37BB">
      <w:pPr>
        <w:jc w:val="both"/>
        <w:rPr>
          <w:rFonts w:ascii="Avenir Next" w:hAnsi="Avenir Next" w:cs="Arial"/>
          <w:sz w:val="22"/>
          <w:szCs w:val="22"/>
          <w:lang w:val="en-GB"/>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16354134" w:rsidR="003D4A79" w:rsidRDefault="003D4A79" w:rsidP="003D4A79">
      <w:pPr>
        <w:jc w:val="both"/>
        <w:rPr>
          <w:rFonts w:ascii="Avenir Next" w:hAnsi="Avenir Next" w:cs="Arial"/>
          <w:sz w:val="22"/>
          <w:szCs w:val="22"/>
          <w:lang w:val="en-GB"/>
        </w:rPr>
      </w:pPr>
    </w:p>
    <w:p w14:paraId="141316CD" w14:textId="3B5E75B6" w:rsidR="005C4BB0" w:rsidRDefault="005C4BB0" w:rsidP="003D4A79">
      <w:pPr>
        <w:jc w:val="both"/>
        <w:rPr>
          <w:rFonts w:ascii="Avenir Next" w:hAnsi="Avenir Next" w:cs="Arial"/>
          <w:sz w:val="22"/>
          <w:szCs w:val="22"/>
          <w:lang w:val="en-GB"/>
        </w:rPr>
      </w:pPr>
    </w:p>
    <w:p w14:paraId="31D6ACA5" w14:textId="4C35FFDF" w:rsidR="005C4BB0" w:rsidRDefault="005C4BB0" w:rsidP="003D4A79">
      <w:pPr>
        <w:jc w:val="both"/>
        <w:rPr>
          <w:rFonts w:ascii="Arial" w:hAnsi="Arial" w:cs="Arial"/>
          <w:i/>
          <w:sz w:val="24"/>
          <w:lang w:val="en-GB"/>
        </w:rPr>
      </w:pPr>
      <w:r>
        <w:rPr>
          <w:rFonts w:ascii="Arial" w:hAnsi="Arial" w:cs="Arial"/>
          <w:sz w:val="24"/>
          <w:lang w:val="en-GB"/>
        </w:rPr>
        <w:t xml:space="preserve">The COMI </w:t>
      </w:r>
      <w:r w:rsidR="003B444E">
        <w:rPr>
          <w:rFonts w:ascii="Arial" w:hAnsi="Arial" w:cs="Arial"/>
          <w:sz w:val="24"/>
          <w:lang w:val="en-GB"/>
        </w:rPr>
        <w:t xml:space="preserve">principle </w:t>
      </w:r>
      <w:r>
        <w:rPr>
          <w:rFonts w:ascii="Arial" w:hAnsi="Arial" w:cs="Arial"/>
          <w:sz w:val="24"/>
          <w:lang w:val="en-GB"/>
        </w:rPr>
        <w:t>was meant to prevent</w:t>
      </w:r>
      <w:r w:rsidR="00BA2E89">
        <w:rPr>
          <w:rFonts w:ascii="Arial" w:hAnsi="Arial" w:cs="Arial"/>
          <w:sz w:val="24"/>
          <w:lang w:val="en-GB"/>
        </w:rPr>
        <w:t xml:space="preserve"> abusive</w:t>
      </w:r>
      <w:r>
        <w:rPr>
          <w:rFonts w:ascii="Arial" w:hAnsi="Arial" w:cs="Arial"/>
          <w:sz w:val="24"/>
          <w:lang w:val="en-GB"/>
        </w:rPr>
        <w:t xml:space="preserve"> forum shopping by allocating jurisdiction to the place </w:t>
      </w:r>
      <w:r w:rsidR="008D062E">
        <w:rPr>
          <w:rFonts w:ascii="Arial" w:hAnsi="Arial" w:cs="Arial"/>
          <w:sz w:val="24"/>
          <w:lang w:val="en-GB"/>
        </w:rPr>
        <w:t xml:space="preserve">of the debtor’s true location. </w:t>
      </w:r>
      <w:r w:rsidR="004B13CC">
        <w:rPr>
          <w:rFonts w:ascii="Arial" w:hAnsi="Arial" w:cs="Arial"/>
          <w:sz w:val="24"/>
          <w:lang w:val="en-GB"/>
        </w:rPr>
        <w:t>However,</w:t>
      </w:r>
      <w:r w:rsidR="008D062E">
        <w:rPr>
          <w:rFonts w:ascii="Arial" w:hAnsi="Arial" w:cs="Arial"/>
          <w:sz w:val="24"/>
          <w:lang w:val="en-GB"/>
        </w:rPr>
        <w:t xml:space="preserve"> there were many cases of COMI shifting within the EU. The COMI model has been criticised as being obscure</w:t>
      </w:r>
      <w:r w:rsidR="008D062E">
        <w:rPr>
          <w:rStyle w:val="FootnoteReference"/>
          <w:rFonts w:ascii="Arial" w:hAnsi="Arial" w:cs="Arial"/>
          <w:sz w:val="24"/>
          <w:lang w:val="en-GB"/>
        </w:rPr>
        <w:footnoteReference w:id="1"/>
      </w:r>
      <w:r w:rsidR="008D062E">
        <w:rPr>
          <w:rFonts w:ascii="Arial" w:hAnsi="Arial" w:cs="Arial"/>
          <w:sz w:val="24"/>
          <w:lang w:val="en-GB"/>
        </w:rPr>
        <w:t xml:space="preserve"> and allowing for unrestricted forum shopping thus reducing the pay-offs for creditors.  </w:t>
      </w:r>
      <w:r w:rsidR="006B00CE">
        <w:rPr>
          <w:rFonts w:ascii="Arial" w:hAnsi="Arial" w:cs="Arial"/>
          <w:sz w:val="24"/>
          <w:lang w:val="en-GB"/>
        </w:rPr>
        <w:t xml:space="preserve">Article 3 (1) of the Recast codified the circumstances in which the COMI presumptions could be rebutted following the </w:t>
      </w:r>
      <w:r w:rsidR="006B00CE">
        <w:rPr>
          <w:rFonts w:ascii="Arial" w:hAnsi="Arial" w:cs="Arial"/>
          <w:i/>
          <w:sz w:val="24"/>
          <w:lang w:val="en-GB"/>
        </w:rPr>
        <w:t xml:space="preserve">Interedil </w:t>
      </w:r>
      <w:r w:rsidR="006B00CE">
        <w:rPr>
          <w:rFonts w:ascii="Arial" w:hAnsi="Arial" w:cs="Arial"/>
          <w:sz w:val="24"/>
          <w:lang w:val="en-GB"/>
        </w:rPr>
        <w:t>judgement of the CJEU</w:t>
      </w:r>
      <w:r w:rsidR="005810B7">
        <w:rPr>
          <w:rStyle w:val="FootnoteReference"/>
          <w:rFonts w:ascii="Arial" w:hAnsi="Arial" w:cs="Arial"/>
          <w:sz w:val="24"/>
          <w:lang w:val="en-GB"/>
        </w:rPr>
        <w:footnoteReference w:id="2"/>
      </w:r>
      <w:r w:rsidR="006B00CE">
        <w:rPr>
          <w:rFonts w:ascii="Arial" w:hAnsi="Arial" w:cs="Arial"/>
          <w:sz w:val="24"/>
          <w:lang w:val="en-GB"/>
        </w:rPr>
        <w:t>.</w:t>
      </w:r>
      <w:r w:rsidR="008D062E">
        <w:rPr>
          <w:rFonts w:ascii="Arial" w:hAnsi="Arial" w:cs="Arial"/>
          <w:sz w:val="24"/>
          <w:lang w:val="en-GB"/>
        </w:rPr>
        <w:t xml:space="preserve"> </w:t>
      </w:r>
      <w:r>
        <w:rPr>
          <w:rFonts w:ascii="Arial" w:hAnsi="Arial" w:cs="Arial"/>
          <w:sz w:val="24"/>
          <w:lang w:val="en-GB"/>
        </w:rPr>
        <w:t xml:space="preserve"> </w:t>
      </w:r>
      <w:r w:rsidR="0000551C">
        <w:rPr>
          <w:rFonts w:ascii="Arial" w:hAnsi="Arial" w:cs="Arial"/>
          <w:sz w:val="24"/>
          <w:lang w:val="en-GB"/>
        </w:rPr>
        <w:t xml:space="preserve">A possible solution to the problem of abusive forum shopping is to adopt a choice of law model for the EIR where one can freely and easily change the insolvency law and forum applicable to the company. </w:t>
      </w:r>
      <w:r w:rsidR="0017240A">
        <w:rPr>
          <w:rFonts w:ascii="Arial" w:hAnsi="Arial" w:cs="Arial"/>
          <w:sz w:val="24"/>
          <w:lang w:val="en-GB"/>
        </w:rPr>
        <w:t>On</w:t>
      </w:r>
      <w:r w:rsidR="004B13CC">
        <w:rPr>
          <w:rFonts w:ascii="Arial" w:hAnsi="Arial" w:cs="Arial"/>
          <w:sz w:val="24"/>
          <w:lang w:val="en-GB"/>
        </w:rPr>
        <w:t>e</w:t>
      </w:r>
      <w:r w:rsidR="0017240A">
        <w:rPr>
          <w:rFonts w:ascii="Arial" w:hAnsi="Arial" w:cs="Arial"/>
          <w:sz w:val="24"/>
          <w:lang w:val="en-GB"/>
        </w:rPr>
        <w:t xml:space="preserve"> thus has the ability to choose the applicable insolvency law through contract </w:t>
      </w:r>
      <w:r w:rsidR="004B13CC">
        <w:rPr>
          <w:rFonts w:ascii="Arial" w:hAnsi="Arial" w:cs="Arial"/>
          <w:sz w:val="24"/>
          <w:lang w:val="en-GB"/>
        </w:rPr>
        <w:t>regardless</w:t>
      </w:r>
      <w:r w:rsidR="0017240A">
        <w:rPr>
          <w:rFonts w:ascii="Arial" w:hAnsi="Arial" w:cs="Arial"/>
          <w:sz w:val="24"/>
          <w:lang w:val="en-GB"/>
        </w:rPr>
        <w:t xml:space="preserve"> of the place of incorporation </w:t>
      </w:r>
      <w:r w:rsidR="00C80466">
        <w:rPr>
          <w:rFonts w:ascii="Arial" w:hAnsi="Arial" w:cs="Arial"/>
          <w:sz w:val="24"/>
          <w:lang w:val="en-GB"/>
        </w:rPr>
        <w:t xml:space="preserve">and the allocation of the applicable law and forum by the way of the place of incorporation. </w:t>
      </w:r>
      <w:r w:rsidR="0000551C">
        <w:rPr>
          <w:rFonts w:ascii="Arial" w:hAnsi="Arial" w:cs="Arial"/>
          <w:sz w:val="24"/>
          <w:lang w:val="en-GB"/>
        </w:rPr>
        <w:t xml:space="preserve">Companies </w:t>
      </w:r>
      <w:r w:rsidR="004B13CC">
        <w:rPr>
          <w:rFonts w:ascii="Arial" w:hAnsi="Arial" w:cs="Arial"/>
          <w:sz w:val="24"/>
          <w:lang w:val="en-GB"/>
        </w:rPr>
        <w:t>would</w:t>
      </w:r>
      <w:r w:rsidR="0000551C">
        <w:rPr>
          <w:rFonts w:ascii="Arial" w:hAnsi="Arial" w:cs="Arial"/>
          <w:sz w:val="24"/>
          <w:lang w:val="en-GB"/>
        </w:rPr>
        <w:t xml:space="preserve"> have the freedom to choose the insolvency law and forum best suiting their circumstances.</w:t>
      </w:r>
      <w:r w:rsidR="00E81FD3">
        <w:rPr>
          <w:rFonts w:ascii="Arial" w:hAnsi="Arial" w:cs="Arial"/>
          <w:sz w:val="24"/>
          <w:lang w:val="en-GB"/>
        </w:rPr>
        <w:t xml:space="preserve"> This approach has already been taken by the EU Legislature with regard to group companies.</w:t>
      </w:r>
      <w:r w:rsidR="00E81FD3">
        <w:rPr>
          <w:rStyle w:val="FootnoteReference"/>
          <w:rFonts w:ascii="Arial" w:hAnsi="Arial" w:cs="Arial"/>
          <w:sz w:val="24"/>
          <w:lang w:val="en-GB"/>
        </w:rPr>
        <w:footnoteReference w:id="3"/>
      </w:r>
      <w:r w:rsidR="00486305">
        <w:rPr>
          <w:rFonts w:ascii="Arial" w:hAnsi="Arial" w:cs="Arial"/>
          <w:sz w:val="24"/>
          <w:lang w:val="en-GB"/>
        </w:rPr>
        <w:t xml:space="preserve"> </w:t>
      </w:r>
      <w:r w:rsidR="00C80466">
        <w:rPr>
          <w:rFonts w:ascii="Arial" w:hAnsi="Arial" w:cs="Arial"/>
          <w:sz w:val="24"/>
          <w:lang w:val="en-GB"/>
        </w:rPr>
        <w:t xml:space="preserve">Some of the advantages of this proposal </w:t>
      </w:r>
      <w:r w:rsidR="006676B4">
        <w:rPr>
          <w:rFonts w:ascii="Arial" w:hAnsi="Arial" w:cs="Arial"/>
          <w:sz w:val="24"/>
          <w:lang w:val="en-GB"/>
        </w:rPr>
        <w:t xml:space="preserve">is that the harmonisation of insolvency law and company law avoiding possible frictions  due to discrepancies in </w:t>
      </w:r>
      <w:r w:rsidR="004B13CC">
        <w:rPr>
          <w:rFonts w:ascii="Arial" w:hAnsi="Arial" w:cs="Arial"/>
          <w:sz w:val="24"/>
          <w:lang w:val="en-GB"/>
        </w:rPr>
        <w:t>applicable</w:t>
      </w:r>
      <w:r w:rsidR="006676B4">
        <w:rPr>
          <w:rFonts w:ascii="Arial" w:hAnsi="Arial" w:cs="Arial"/>
          <w:sz w:val="24"/>
          <w:lang w:val="en-GB"/>
        </w:rPr>
        <w:t xml:space="preserve"> company and insolvency law. It also provides clarity unlike the COMI model leading to a reduction in associated transactional costs. The weakness of the proposal is that it is prone to regulatory competition within the EU States.</w:t>
      </w:r>
      <w:r w:rsidR="00486305">
        <w:rPr>
          <w:rFonts w:ascii="Arial" w:hAnsi="Arial" w:cs="Arial"/>
          <w:i/>
          <w:sz w:val="24"/>
          <w:lang w:val="en-GB"/>
        </w:rPr>
        <w:t xml:space="preserve"> </w:t>
      </w:r>
    </w:p>
    <w:p w14:paraId="202BBCB6" w14:textId="48F35D7F" w:rsidR="00B77719" w:rsidRDefault="00B77719" w:rsidP="003D4A79">
      <w:pPr>
        <w:jc w:val="both"/>
        <w:rPr>
          <w:rFonts w:ascii="Arial" w:hAnsi="Arial" w:cs="Arial"/>
          <w:i/>
          <w:sz w:val="24"/>
          <w:lang w:val="en-GB"/>
        </w:rPr>
      </w:pPr>
    </w:p>
    <w:p w14:paraId="3B56A0A3" w14:textId="5919C757" w:rsidR="00B77719" w:rsidRPr="00B77719" w:rsidRDefault="00EC3C96" w:rsidP="003D4A79">
      <w:pPr>
        <w:jc w:val="both"/>
        <w:rPr>
          <w:rFonts w:ascii="Arial" w:hAnsi="Arial" w:cs="Arial"/>
          <w:sz w:val="24"/>
          <w:lang w:val="en-GB"/>
        </w:rPr>
      </w:pPr>
      <w:r>
        <w:rPr>
          <w:rFonts w:ascii="Arial" w:hAnsi="Arial" w:cs="Arial"/>
          <w:sz w:val="24"/>
          <w:lang w:val="en-GB"/>
        </w:rPr>
        <w:t xml:space="preserve">The Recast allows for the opening of secondary and synthetic </w:t>
      </w:r>
      <w:r w:rsidR="004B13CC">
        <w:rPr>
          <w:rFonts w:ascii="Arial" w:hAnsi="Arial" w:cs="Arial"/>
          <w:sz w:val="24"/>
          <w:lang w:val="en-GB"/>
        </w:rPr>
        <w:t>proceedings</w:t>
      </w:r>
      <w:r>
        <w:rPr>
          <w:rFonts w:ascii="Arial" w:hAnsi="Arial" w:cs="Arial"/>
          <w:sz w:val="24"/>
          <w:lang w:val="en-GB"/>
        </w:rPr>
        <w:t xml:space="preserve">  as did its predecessor EIR 2000. It refined the </w:t>
      </w:r>
      <w:r w:rsidR="004B13CC">
        <w:rPr>
          <w:rFonts w:ascii="Arial" w:hAnsi="Arial" w:cs="Arial"/>
          <w:sz w:val="24"/>
          <w:lang w:val="en-GB"/>
        </w:rPr>
        <w:t>prerequisites</w:t>
      </w:r>
      <w:r>
        <w:rPr>
          <w:rFonts w:ascii="Arial" w:hAnsi="Arial" w:cs="Arial"/>
          <w:sz w:val="24"/>
          <w:lang w:val="en-GB"/>
        </w:rPr>
        <w:t xml:space="preserve"> for opening them. One disadvantage of secondary synthetic proceedings is that the approval of an undertaking is subject to </w:t>
      </w:r>
      <w:r w:rsidR="004B13CC">
        <w:rPr>
          <w:rFonts w:ascii="Arial" w:hAnsi="Arial" w:cs="Arial"/>
          <w:sz w:val="24"/>
          <w:lang w:val="en-GB"/>
        </w:rPr>
        <w:t>creditors’ consent</w:t>
      </w:r>
      <w:r>
        <w:rPr>
          <w:rFonts w:ascii="Arial" w:hAnsi="Arial" w:cs="Arial"/>
          <w:sz w:val="24"/>
          <w:lang w:val="en-GB"/>
        </w:rPr>
        <w:t xml:space="preserve"> and to national law reservations.</w:t>
      </w:r>
      <w:r>
        <w:rPr>
          <w:rStyle w:val="FootnoteReference"/>
          <w:rFonts w:ascii="Arial" w:hAnsi="Arial" w:cs="Arial"/>
          <w:sz w:val="24"/>
          <w:lang w:val="en-GB"/>
        </w:rPr>
        <w:footnoteReference w:id="4"/>
      </w:r>
      <w:r>
        <w:rPr>
          <w:rFonts w:ascii="Arial" w:hAnsi="Arial" w:cs="Arial"/>
          <w:sz w:val="24"/>
          <w:lang w:val="en-GB"/>
        </w:rPr>
        <w:t xml:space="preserve"> </w:t>
      </w:r>
      <w:r w:rsidR="007371E5">
        <w:rPr>
          <w:rFonts w:ascii="Arial" w:hAnsi="Arial" w:cs="Arial"/>
          <w:sz w:val="24"/>
          <w:lang w:val="en-GB"/>
        </w:rPr>
        <w:t xml:space="preserve">This could be used by local creditors to </w:t>
      </w:r>
      <w:r w:rsidR="004B13CC">
        <w:rPr>
          <w:rFonts w:ascii="Arial" w:hAnsi="Arial" w:cs="Arial"/>
          <w:sz w:val="24"/>
          <w:lang w:val="en-GB"/>
        </w:rPr>
        <w:t>resist</w:t>
      </w:r>
      <w:r w:rsidR="007371E5">
        <w:rPr>
          <w:rFonts w:ascii="Arial" w:hAnsi="Arial" w:cs="Arial"/>
          <w:sz w:val="24"/>
          <w:lang w:val="en-GB"/>
        </w:rPr>
        <w:t xml:space="preserve"> the process in ring-fencing their claims making insolvencies more expensive and less expedient. </w:t>
      </w:r>
    </w:p>
    <w:p w14:paraId="71FFA978" w14:textId="781566B6" w:rsidR="008A3046" w:rsidRDefault="008A3046" w:rsidP="003D4A79">
      <w:pPr>
        <w:jc w:val="both"/>
        <w:rPr>
          <w:rFonts w:ascii="Arial" w:hAnsi="Arial" w:cs="Arial"/>
          <w:i/>
          <w:sz w:val="24"/>
          <w:lang w:val="en-GB"/>
        </w:rPr>
      </w:pPr>
    </w:p>
    <w:p w14:paraId="681259B6" w14:textId="77777777" w:rsidR="008A3046" w:rsidRPr="008A3046" w:rsidRDefault="008A3046" w:rsidP="003D4A79">
      <w:pPr>
        <w:jc w:val="both"/>
        <w:rPr>
          <w:rFonts w:ascii="Arial" w:hAnsi="Arial" w:cs="Arial"/>
          <w:sz w:val="24"/>
          <w:lang w:val="en-GB"/>
        </w:rPr>
      </w:pPr>
    </w:p>
    <w:p w14:paraId="42CA6926" w14:textId="1A02335C" w:rsidR="00E81FD3" w:rsidRDefault="00E81FD3" w:rsidP="003D4A79">
      <w:pPr>
        <w:jc w:val="both"/>
        <w:rPr>
          <w:rFonts w:ascii="Arial" w:hAnsi="Arial" w:cs="Arial"/>
          <w:sz w:val="24"/>
          <w:lang w:val="en-GB"/>
        </w:rPr>
      </w:pPr>
    </w:p>
    <w:p w14:paraId="61790060" w14:textId="77777777" w:rsidR="00E81FD3" w:rsidRPr="005C4BB0" w:rsidRDefault="00E81FD3" w:rsidP="003D4A79">
      <w:pPr>
        <w:jc w:val="both"/>
        <w:rPr>
          <w:rFonts w:ascii="Arial" w:hAnsi="Arial" w:cs="Arial"/>
          <w:sz w:val="24"/>
          <w:lang w:val="en-GB"/>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6B5681FC" w:rsidR="00DF75F8"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70C59E20" w14:textId="68501BF2" w:rsidR="00037A8D" w:rsidRDefault="00037A8D" w:rsidP="002A37BB">
      <w:pPr>
        <w:jc w:val="both"/>
        <w:rPr>
          <w:rFonts w:ascii="Avenir Next" w:hAnsi="Avenir Next" w:cs="Arial"/>
          <w:sz w:val="22"/>
          <w:szCs w:val="22"/>
          <w:lang w:val="en-GB"/>
        </w:rPr>
      </w:pPr>
    </w:p>
    <w:p w14:paraId="644D0986" w14:textId="52D0FE5C" w:rsidR="00037A8D" w:rsidRDefault="00F20425" w:rsidP="00F20425">
      <w:pPr>
        <w:pStyle w:val="ListParagraph"/>
        <w:numPr>
          <w:ilvl w:val="0"/>
          <w:numId w:val="34"/>
        </w:numPr>
        <w:jc w:val="both"/>
        <w:rPr>
          <w:rFonts w:ascii="Arial" w:hAnsi="Arial" w:cs="Arial"/>
          <w:b/>
          <w:sz w:val="24"/>
          <w:lang w:val="en-GB"/>
        </w:rPr>
      </w:pPr>
      <w:r w:rsidRPr="00F20425">
        <w:rPr>
          <w:rFonts w:ascii="Arial" w:hAnsi="Arial" w:cs="Arial"/>
          <w:b/>
          <w:sz w:val="24"/>
          <w:lang w:val="en-GB"/>
        </w:rPr>
        <w:t>PUBLIC PROCEEDINGS</w:t>
      </w:r>
    </w:p>
    <w:p w14:paraId="36BAF45A" w14:textId="38B566DD" w:rsidR="00F20425" w:rsidRDefault="00F20425" w:rsidP="00F20425">
      <w:pPr>
        <w:pStyle w:val="ListParagraph"/>
        <w:jc w:val="both"/>
        <w:rPr>
          <w:rFonts w:ascii="Arial" w:hAnsi="Arial" w:cs="Arial"/>
          <w:sz w:val="24"/>
          <w:lang w:val="en-GB"/>
        </w:rPr>
      </w:pPr>
      <w:r>
        <w:rPr>
          <w:rFonts w:ascii="Arial" w:hAnsi="Arial" w:cs="Arial"/>
          <w:sz w:val="24"/>
          <w:lang w:val="en-GB"/>
        </w:rPr>
        <w:t>The EIR Recast applies only to public and not private proceedings.</w:t>
      </w:r>
      <w:r>
        <w:rPr>
          <w:rStyle w:val="FootnoteReference"/>
          <w:rFonts w:ascii="Arial" w:hAnsi="Arial" w:cs="Arial"/>
          <w:sz w:val="24"/>
          <w:lang w:val="en-GB"/>
        </w:rPr>
        <w:footnoteReference w:id="5"/>
      </w:r>
      <w:r>
        <w:rPr>
          <w:rFonts w:ascii="Arial" w:hAnsi="Arial" w:cs="Arial"/>
          <w:sz w:val="24"/>
          <w:lang w:val="en-GB"/>
        </w:rPr>
        <w:t xml:space="preserve"> On the other hand the </w:t>
      </w:r>
      <w:r w:rsidR="004B13CC">
        <w:rPr>
          <w:rFonts w:ascii="Arial" w:hAnsi="Arial" w:cs="Arial"/>
          <w:sz w:val="24"/>
          <w:lang w:val="en-GB"/>
        </w:rPr>
        <w:t>Directive</w:t>
      </w:r>
      <w:r>
        <w:rPr>
          <w:rFonts w:ascii="Arial" w:hAnsi="Arial" w:cs="Arial"/>
          <w:sz w:val="24"/>
          <w:lang w:val="en-GB"/>
        </w:rPr>
        <w:t xml:space="preserve"> of 2019 refrained from requiring publicity of preventative restructuring frameworks leaving the question for determination by </w:t>
      </w:r>
      <w:r w:rsidR="004B13CC">
        <w:rPr>
          <w:rFonts w:ascii="Arial" w:hAnsi="Arial" w:cs="Arial"/>
          <w:sz w:val="24"/>
          <w:lang w:val="en-GB"/>
        </w:rPr>
        <w:t>Member</w:t>
      </w:r>
      <w:r>
        <w:rPr>
          <w:rFonts w:ascii="Arial" w:hAnsi="Arial" w:cs="Arial"/>
          <w:sz w:val="24"/>
          <w:lang w:val="en-GB"/>
        </w:rPr>
        <w:t xml:space="preserve"> States. Confidentiality </w:t>
      </w:r>
      <w:r w:rsidR="004B13CC">
        <w:rPr>
          <w:rFonts w:ascii="Arial" w:hAnsi="Arial" w:cs="Arial"/>
          <w:sz w:val="24"/>
          <w:lang w:val="en-GB"/>
        </w:rPr>
        <w:t>may be</w:t>
      </w:r>
      <w:r>
        <w:rPr>
          <w:rFonts w:ascii="Arial" w:hAnsi="Arial" w:cs="Arial"/>
          <w:sz w:val="24"/>
          <w:lang w:val="en-GB"/>
        </w:rPr>
        <w:t xml:space="preserve"> of particular importance as it can be crucial for exploring and obtaining the support of key creditors </w:t>
      </w:r>
      <w:r w:rsidR="004B13CC">
        <w:rPr>
          <w:rFonts w:ascii="Arial" w:hAnsi="Arial" w:cs="Arial"/>
          <w:sz w:val="24"/>
          <w:lang w:val="en-GB"/>
        </w:rPr>
        <w:t>in a</w:t>
      </w:r>
      <w:r>
        <w:rPr>
          <w:rFonts w:ascii="Arial" w:hAnsi="Arial" w:cs="Arial"/>
          <w:sz w:val="24"/>
          <w:lang w:val="en-GB"/>
        </w:rPr>
        <w:t xml:space="preserve"> restructuring.</w:t>
      </w:r>
      <w:r>
        <w:rPr>
          <w:rStyle w:val="FootnoteReference"/>
          <w:rFonts w:ascii="Arial" w:hAnsi="Arial" w:cs="Arial"/>
          <w:sz w:val="24"/>
          <w:lang w:val="en-GB"/>
        </w:rPr>
        <w:footnoteReference w:id="6"/>
      </w:r>
      <w:r>
        <w:rPr>
          <w:rFonts w:ascii="Arial" w:hAnsi="Arial" w:cs="Arial"/>
          <w:sz w:val="24"/>
          <w:lang w:val="en-GB"/>
        </w:rPr>
        <w:t xml:space="preserve"> </w:t>
      </w:r>
    </w:p>
    <w:p w14:paraId="57DDC7BE" w14:textId="7244A25B" w:rsidR="00F20425" w:rsidRDefault="00F20425" w:rsidP="00F20425">
      <w:pPr>
        <w:pStyle w:val="ListParagraph"/>
        <w:jc w:val="both"/>
        <w:rPr>
          <w:rFonts w:ascii="Arial" w:hAnsi="Arial" w:cs="Arial"/>
          <w:sz w:val="24"/>
          <w:lang w:val="en-GB"/>
        </w:rPr>
      </w:pPr>
    </w:p>
    <w:p w14:paraId="4E157132" w14:textId="47F491A9" w:rsidR="00F20425" w:rsidRDefault="00F20425" w:rsidP="00F20425">
      <w:pPr>
        <w:pStyle w:val="ListParagraph"/>
        <w:numPr>
          <w:ilvl w:val="0"/>
          <w:numId w:val="34"/>
        </w:numPr>
        <w:jc w:val="both"/>
        <w:rPr>
          <w:rFonts w:ascii="Arial" w:hAnsi="Arial" w:cs="Arial"/>
          <w:b/>
          <w:sz w:val="24"/>
          <w:lang w:val="en-GB"/>
        </w:rPr>
      </w:pPr>
      <w:r>
        <w:rPr>
          <w:rFonts w:ascii="Arial" w:hAnsi="Arial" w:cs="Arial"/>
          <w:b/>
          <w:sz w:val="24"/>
          <w:lang w:val="en-GB"/>
        </w:rPr>
        <w:t>DIVESTMENT OF DEBTOR AND APPOINTMENT OF INSOLVENCY PRACTITIONER</w:t>
      </w:r>
    </w:p>
    <w:p w14:paraId="0C84D298" w14:textId="5E8FCEA9" w:rsidR="00F20425" w:rsidRDefault="00F20425" w:rsidP="00F20425">
      <w:pPr>
        <w:pStyle w:val="ListParagraph"/>
        <w:jc w:val="both"/>
        <w:rPr>
          <w:rFonts w:ascii="Arial" w:hAnsi="Arial" w:cs="Arial"/>
          <w:b/>
          <w:sz w:val="24"/>
          <w:lang w:val="en-GB"/>
        </w:rPr>
      </w:pPr>
    </w:p>
    <w:p w14:paraId="4DF80123" w14:textId="709832CF" w:rsidR="00F20425" w:rsidRPr="00F20425" w:rsidRDefault="006D2968" w:rsidP="00F20425">
      <w:pPr>
        <w:pStyle w:val="ListParagraph"/>
        <w:jc w:val="both"/>
        <w:rPr>
          <w:rFonts w:ascii="Arial" w:hAnsi="Arial" w:cs="Arial"/>
          <w:sz w:val="24"/>
          <w:lang w:val="en-GB"/>
        </w:rPr>
      </w:pPr>
      <w:r>
        <w:rPr>
          <w:rFonts w:ascii="Arial" w:hAnsi="Arial" w:cs="Arial"/>
          <w:sz w:val="24"/>
          <w:lang w:val="en-GB"/>
        </w:rPr>
        <w:t>Another condition on the a</w:t>
      </w:r>
      <w:r w:rsidR="00F20425">
        <w:rPr>
          <w:rFonts w:ascii="Arial" w:hAnsi="Arial" w:cs="Arial"/>
          <w:sz w:val="24"/>
          <w:lang w:val="en-GB"/>
        </w:rPr>
        <w:t>ppli</w:t>
      </w:r>
      <w:r>
        <w:rPr>
          <w:rFonts w:ascii="Arial" w:hAnsi="Arial" w:cs="Arial"/>
          <w:sz w:val="24"/>
          <w:lang w:val="en-GB"/>
        </w:rPr>
        <w:t xml:space="preserve">cation of the Recast is that for the purposes of rescue, adjustment of debt, re-organisation or liquidation a debtor should be partially or totally divested of its assets and an insolvency </w:t>
      </w:r>
      <w:r w:rsidR="004B13CC">
        <w:rPr>
          <w:rFonts w:ascii="Arial" w:hAnsi="Arial" w:cs="Arial"/>
          <w:sz w:val="24"/>
          <w:lang w:val="en-GB"/>
        </w:rPr>
        <w:t>practitioner</w:t>
      </w:r>
      <w:r>
        <w:rPr>
          <w:rFonts w:ascii="Arial" w:hAnsi="Arial" w:cs="Arial"/>
          <w:sz w:val="24"/>
          <w:lang w:val="en-GB"/>
        </w:rPr>
        <w:t xml:space="preserve"> appointed.</w:t>
      </w:r>
      <w:r>
        <w:rPr>
          <w:rStyle w:val="FootnoteReference"/>
          <w:rFonts w:ascii="Arial" w:hAnsi="Arial" w:cs="Arial"/>
          <w:sz w:val="24"/>
          <w:lang w:val="en-GB"/>
        </w:rPr>
        <w:footnoteReference w:id="7"/>
      </w:r>
      <w:r>
        <w:rPr>
          <w:rFonts w:ascii="Arial" w:hAnsi="Arial" w:cs="Arial"/>
          <w:sz w:val="24"/>
          <w:lang w:val="en-GB"/>
        </w:rPr>
        <w:t xml:space="preserve"> Article 5 of the Directive differs in that it allows for a debtor-in possession proceedings. </w:t>
      </w:r>
      <w:r w:rsidR="0049459C">
        <w:rPr>
          <w:rFonts w:ascii="Arial" w:hAnsi="Arial" w:cs="Arial"/>
          <w:sz w:val="24"/>
          <w:lang w:val="en-GB"/>
        </w:rPr>
        <w:t xml:space="preserve">The debtor is not expected to be partially or totally divested of its assets. This encourages debtor in possession finance in the restructuring process. </w:t>
      </w:r>
      <w:r>
        <w:rPr>
          <w:rFonts w:ascii="Arial" w:hAnsi="Arial" w:cs="Arial"/>
          <w:sz w:val="24"/>
          <w:lang w:val="en-GB"/>
        </w:rPr>
        <w:t xml:space="preserve">The appointment of an insolvency practitioner is not </w:t>
      </w:r>
      <w:r w:rsidR="004B13CC">
        <w:rPr>
          <w:rFonts w:ascii="Arial" w:hAnsi="Arial" w:cs="Arial"/>
          <w:sz w:val="24"/>
          <w:lang w:val="en-GB"/>
        </w:rPr>
        <w:t>mandatory</w:t>
      </w:r>
      <w:r>
        <w:rPr>
          <w:rFonts w:ascii="Arial" w:hAnsi="Arial" w:cs="Arial"/>
          <w:sz w:val="24"/>
          <w:lang w:val="en-GB"/>
        </w:rPr>
        <w:t xml:space="preserve"> in all circumstances.</w:t>
      </w:r>
      <w:r w:rsidR="00B033D6">
        <w:rPr>
          <w:rStyle w:val="FootnoteReference"/>
          <w:rFonts w:ascii="Arial" w:hAnsi="Arial" w:cs="Arial"/>
          <w:sz w:val="24"/>
          <w:lang w:val="en-GB"/>
        </w:rPr>
        <w:footnoteReference w:id="8"/>
      </w:r>
      <w:r>
        <w:rPr>
          <w:rFonts w:ascii="Arial" w:hAnsi="Arial" w:cs="Arial"/>
          <w:sz w:val="24"/>
          <w:lang w:val="en-GB"/>
        </w:rPr>
        <w:t xml:space="preserve">  </w:t>
      </w:r>
    </w:p>
    <w:p w14:paraId="42D48AA6" w14:textId="77777777" w:rsidR="00F20425" w:rsidRPr="00F20425" w:rsidRDefault="00F20425" w:rsidP="002A37BB">
      <w:pPr>
        <w:jc w:val="both"/>
        <w:rPr>
          <w:rFonts w:ascii="Arial" w:hAnsi="Arial" w:cs="Arial"/>
          <w:sz w:val="24"/>
          <w:lang w:val="en-GB"/>
        </w:rPr>
      </w:pP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59C979C" w:rsidR="009B0723"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2371155D" w14:textId="444D5485" w:rsidR="007E1223" w:rsidRDefault="007E1223" w:rsidP="002A37BB">
      <w:pPr>
        <w:jc w:val="both"/>
        <w:rPr>
          <w:rFonts w:ascii="Avenir Next" w:hAnsi="Avenir Next" w:cs="Arial"/>
          <w:sz w:val="22"/>
          <w:szCs w:val="22"/>
          <w:lang w:val="en-GB"/>
        </w:rPr>
      </w:pPr>
    </w:p>
    <w:p w14:paraId="65B053F2" w14:textId="2A512285" w:rsidR="007E1223" w:rsidRDefault="007E1223" w:rsidP="002A37BB">
      <w:pPr>
        <w:jc w:val="both"/>
        <w:rPr>
          <w:rFonts w:ascii="Arial" w:hAnsi="Arial" w:cs="Arial"/>
          <w:sz w:val="24"/>
          <w:lang w:val="en-GB"/>
        </w:rPr>
      </w:pPr>
      <w:r>
        <w:rPr>
          <w:rFonts w:ascii="Arial" w:hAnsi="Arial" w:cs="Arial"/>
          <w:sz w:val="24"/>
          <w:lang w:val="en-GB"/>
        </w:rPr>
        <w:t xml:space="preserve">EIR 2000 reflected a traditional concept of insolvency namely that it applied to collective insolvency proceedings which entailed a partial or total divestment of a debtor and the appointment of a liquidator. </w:t>
      </w:r>
      <w:r>
        <w:rPr>
          <w:rStyle w:val="FootnoteReference"/>
          <w:rFonts w:ascii="Arial" w:hAnsi="Arial" w:cs="Arial"/>
          <w:sz w:val="24"/>
          <w:lang w:val="en-GB"/>
        </w:rPr>
        <w:footnoteReference w:id="9"/>
      </w:r>
      <w:r w:rsidR="00E32290">
        <w:rPr>
          <w:rFonts w:ascii="Arial" w:hAnsi="Arial" w:cs="Arial"/>
          <w:sz w:val="24"/>
          <w:lang w:val="en-GB"/>
        </w:rPr>
        <w:t xml:space="preserve">It did not incorporate pre-insolvency proceedings or anticipate </w:t>
      </w:r>
      <w:r w:rsidR="001639EF">
        <w:rPr>
          <w:rFonts w:ascii="Arial" w:hAnsi="Arial" w:cs="Arial"/>
          <w:sz w:val="24"/>
          <w:lang w:val="en-GB"/>
        </w:rPr>
        <w:t xml:space="preserve">restructuring and </w:t>
      </w:r>
      <w:r w:rsidR="00E32290">
        <w:rPr>
          <w:rFonts w:ascii="Arial" w:hAnsi="Arial" w:cs="Arial"/>
          <w:sz w:val="24"/>
          <w:lang w:val="en-GB"/>
        </w:rPr>
        <w:t xml:space="preserve">debtor in-charge proceedings.  A </w:t>
      </w:r>
      <w:r w:rsidR="004B13CC">
        <w:rPr>
          <w:rFonts w:ascii="Arial" w:hAnsi="Arial" w:cs="Arial"/>
          <w:sz w:val="24"/>
          <w:lang w:val="en-GB"/>
        </w:rPr>
        <w:t>Safeguard proceeding</w:t>
      </w:r>
      <w:r w:rsidR="00E32290">
        <w:rPr>
          <w:rFonts w:ascii="Arial" w:hAnsi="Arial" w:cs="Arial"/>
          <w:sz w:val="24"/>
          <w:lang w:val="en-GB"/>
        </w:rPr>
        <w:t xml:space="preserve"> can be considered as a </w:t>
      </w:r>
      <w:r w:rsidR="004B13CC">
        <w:rPr>
          <w:rFonts w:ascii="Arial" w:hAnsi="Arial" w:cs="Arial"/>
          <w:sz w:val="24"/>
          <w:lang w:val="en-GB"/>
        </w:rPr>
        <w:t>pre-insolvency proceeding</w:t>
      </w:r>
      <w:r w:rsidR="00E32290">
        <w:rPr>
          <w:rFonts w:ascii="Arial" w:hAnsi="Arial" w:cs="Arial"/>
          <w:sz w:val="24"/>
          <w:lang w:val="en-GB"/>
        </w:rPr>
        <w:t xml:space="preserve"> where the debtor seeks a temporary stay order to get breathing space and re-organise its debt while remaining in control of its assets.   </w:t>
      </w:r>
    </w:p>
    <w:p w14:paraId="067500D2" w14:textId="5429E2E6" w:rsidR="00AF6180" w:rsidRDefault="00AF6180" w:rsidP="002A37BB">
      <w:pPr>
        <w:jc w:val="both"/>
        <w:rPr>
          <w:rFonts w:ascii="Arial" w:hAnsi="Arial" w:cs="Arial"/>
          <w:sz w:val="24"/>
          <w:lang w:val="en-GB"/>
        </w:rPr>
      </w:pPr>
    </w:p>
    <w:p w14:paraId="65F2816C" w14:textId="343F6A37" w:rsidR="00AF6180" w:rsidRPr="007E1223" w:rsidRDefault="00AF6180" w:rsidP="002A37BB">
      <w:pPr>
        <w:jc w:val="both"/>
        <w:rPr>
          <w:rFonts w:ascii="Arial" w:hAnsi="Arial" w:cs="Arial"/>
          <w:sz w:val="24"/>
          <w:lang w:val="en-GB"/>
        </w:rPr>
      </w:pPr>
      <w:r>
        <w:rPr>
          <w:rFonts w:ascii="Arial" w:hAnsi="Arial" w:cs="Arial"/>
          <w:sz w:val="24"/>
          <w:lang w:val="en-GB"/>
        </w:rPr>
        <w:t xml:space="preserve">The </w:t>
      </w:r>
      <w:r w:rsidR="00B84684">
        <w:rPr>
          <w:rFonts w:ascii="Arial" w:hAnsi="Arial" w:cs="Arial"/>
          <w:sz w:val="24"/>
          <w:lang w:val="en-GB"/>
        </w:rPr>
        <w:t xml:space="preserve">Strasbourg High Court would therefore not have jurisdiction to determine Bella SARL’s </w:t>
      </w:r>
      <w:r w:rsidR="004B13CC">
        <w:rPr>
          <w:rFonts w:ascii="Arial" w:hAnsi="Arial" w:cs="Arial"/>
          <w:sz w:val="24"/>
          <w:lang w:val="en-GB"/>
        </w:rPr>
        <w:t>petition to</w:t>
      </w:r>
      <w:r w:rsidR="00B84684">
        <w:rPr>
          <w:rFonts w:ascii="Arial" w:hAnsi="Arial" w:cs="Arial"/>
          <w:sz w:val="24"/>
          <w:lang w:val="en-GB"/>
        </w:rPr>
        <w:t xml:space="preserve"> open safeguard proceedings under EIR 2000 as such proceedings were not insolvency proceedings that were collective, partially or totally divested the company of its assets and involved the appointment of a liquidator. </w:t>
      </w:r>
    </w:p>
    <w:p w14:paraId="29DDDE02" w14:textId="3F9AB21E" w:rsidR="004A2244" w:rsidRDefault="004A2244"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3FC29739"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27303116" w14:textId="7ED7E87D" w:rsidR="00B84684" w:rsidRDefault="00B84684" w:rsidP="002A37BB">
      <w:pPr>
        <w:jc w:val="both"/>
        <w:rPr>
          <w:rFonts w:ascii="Avenir Next" w:hAnsi="Avenir Next" w:cs="Arial"/>
          <w:sz w:val="22"/>
          <w:szCs w:val="22"/>
          <w:lang w:val="en-GB"/>
        </w:rPr>
      </w:pPr>
    </w:p>
    <w:p w14:paraId="0333D95C" w14:textId="7F18474A" w:rsidR="008F41DD" w:rsidRDefault="00C41254" w:rsidP="00B84684">
      <w:pPr>
        <w:jc w:val="both"/>
        <w:rPr>
          <w:rFonts w:ascii="Arial" w:hAnsi="Arial" w:cs="Arial"/>
          <w:sz w:val="24"/>
          <w:lang w:val="en-GB"/>
        </w:rPr>
      </w:pPr>
      <w:r>
        <w:rPr>
          <w:rFonts w:ascii="Arial" w:hAnsi="Arial" w:cs="Arial"/>
          <w:sz w:val="24"/>
          <w:lang w:val="en-GB"/>
        </w:rPr>
        <w:t>The EIR Recast came into force on 26</w:t>
      </w:r>
      <w:r w:rsidRPr="00C41254">
        <w:rPr>
          <w:rFonts w:ascii="Arial" w:hAnsi="Arial" w:cs="Arial"/>
          <w:sz w:val="24"/>
          <w:vertAlign w:val="superscript"/>
          <w:lang w:val="en-GB"/>
        </w:rPr>
        <w:t>th</w:t>
      </w:r>
      <w:r>
        <w:rPr>
          <w:rFonts w:ascii="Arial" w:hAnsi="Arial" w:cs="Arial"/>
          <w:sz w:val="24"/>
          <w:lang w:val="en-GB"/>
        </w:rPr>
        <w:t xml:space="preserve"> June 2017 applicable to insolvency proceedings opened after the 26</w:t>
      </w:r>
      <w:r w:rsidRPr="00C41254">
        <w:rPr>
          <w:rFonts w:ascii="Arial" w:hAnsi="Arial" w:cs="Arial"/>
          <w:sz w:val="24"/>
          <w:vertAlign w:val="superscript"/>
          <w:lang w:val="en-GB"/>
        </w:rPr>
        <w:t>th</w:t>
      </w:r>
      <w:r>
        <w:rPr>
          <w:rFonts w:ascii="Arial" w:hAnsi="Arial" w:cs="Arial"/>
          <w:sz w:val="24"/>
          <w:lang w:val="en-GB"/>
        </w:rPr>
        <w:t xml:space="preserve"> June 2017. </w:t>
      </w:r>
      <w:r w:rsidR="00B84684" w:rsidRPr="00E40076">
        <w:rPr>
          <w:rFonts w:ascii="Arial" w:hAnsi="Arial" w:cs="Arial"/>
          <w:sz w:val="24"/>
          <w:lang w:val="en-GB"/>
        </w:rPr>
        <w:t>Article 1</w:t>
      </w:r>
      <w:r>
        <w:rPr>
          <w:rFonts w:ascii="Arial" w:hAnsi="Arial" w:cs="Arial"/>
          <w:sz w:val="24"/>
          <w:lang w:val="en-GB"/>
        </w:rPr>
        <w:t xml:space="preserve"> EIR Recast unlike its predecessor</w:t>
      </w:r>
      <w:r w:rsidR="006554E6">
        <w:rPr>
          <w:rFonts w:ascii="Arial" w:hAnsi="Arial" w:cs="Arial"/>
          <w:sz w:val="24"/>
          <w:lang w:val="en-GB"/>
        </w:rPr>
        <w:t>,</w:t>
      </w:r>
      <w:r>
        <w:rPr>
          <w:rFonts w:ascii="Arial" w:hAnsi="Arial" w:cs="Arial"/>
          <w:sz w:val="24"/>
          <w:lang w:val="en-GB"/>
        </w:rPr>
        <w:t xml:space="preserve"> EIR 2000</w:t>
      </w:r>
      <w:r w:rsidR="006554E6">
        <w:rPr>
          <w:rFonts w:ascii="Arial" w:hAnsi="Arial" w:cs="Arial"/>
          <w:sz w:val="24"/>
          <w:lang w:val="en-GB"/>
        </w:rPr>
        <w:t>,</w:t>
      </w:r>
      <w:r>
        <w:rPr>
          <w:rFonts w:ascii="Arial" w:hAnsi="Arial" w:cs="Arial"/>
          <w:sz w:val="24"/>
          <w:lang w:val="en-GB"/>
        </w:rPr>
        <w:t xml:space="preserve"> applies to pre-insolvency and hybrid proceedings. The proceedings must be collective, </w:t>
      </w:r>
      <w:r w:rsidR="008A2D1D">
        <w:rPr>
          <w:rFonts w:ascii="Arial" w:hAnsi="Arial" w:cs="Arial"/>
          <w:sz w:val="24"/>
          <w:lang w:val="en-GB"/>
        </w:rPr>
        <w:t xml:space="preserve">public, include </w:t>
      </w:r>
      <w:r w:rsidR="005857C8">
        <w:rPr>
          <w:rFonts w:ascii="Arial" w:hAnsi="Arial" w:cs="Arial"/>
          <w:sz w:val="24"/>
          <w:lang w:val="en-GB"/>
        </w:rPr>
        <w:t>interim proceedings, they must be based on a law relating to insolvency and they must entail certain restrictions on the individual rights of</w:t>
      </w:r>
      <w:r w:rsidR="00756B4F">
        <w:rPr>
          <w:rFonts w:ascii="Arial" w:hAnsi="Arial" w:cs="Arial"/>
          <w:sz w:val="24"/>
          <w:lang w:val="en-GB"/>
        </w:rPr>
        <w:t xml:space="preserve"> the debtor</w:t>
      </w:r>
      <w:r w:rsidR="008F41DD">
        <w:rPr>
          <w:rFonts w:ascii="Arial" w:hAnsi="Arial" w:cs="Arial"/>
          <w:sz w:val="24"/>
          <w:lang w:val="en-GB"/>
        </w:rPr>
        <w:t xml:space="preserve"> and/or creditor. They must be included in Annexure A of the Regulation. </w:t>
      </w:r>
    </w:p>
    <w:p w14:paraId="15BEA39C" w14:textId="77777777" w:rsidR="008F41DD" w:rsidRDefault="008F41DD" w:rsidP="00B84684">
      <w:pPr>
        <w:jc w:val="both"/>
        <w:rPr>
          <w:rFonts w:ascii="Arial" w:hAnsi="Arial" w:cs="Arial"/>
          <w:sz w:val="24"/>
          <w:lang w:val="en-GB"/>
        </w:rPr>
      </w:pPr>
    </w:p>
    <w:p w14:paraId="6B872EF6" w14:textId="024AAFC5" w:rsidR="008F41DD" w:rsidRDefault="008F41DD" w:rsidP="00B84684">
      <w:pPr>
        <w:jc w:val="both"/>
        <w:rPr>
          <w:rFonts w:ascii="Arial" w:hAnsi="Arial" w:cs="Arial"/>
          <w:sz w:val="24"/>
          <w:lang w:val="en-GB"/>
        </w:rPr>
      </w:pPr>
      <w:r>
        <w:rPr>
          <w:rFonts w:ascii="Arial" w:hAnsi="Arial" w:cs="Arial"/>
          <w:sz w:val="24"/>
          <w:lang w:val="en-GB"/>
        </w:rPr>
        <w:lastRenderedPageBreak/>
        <w:t>Safe-guard proceedings are based on a law relating to insolvency</w:t>
      </w:r>
      <w:r w:rsidR="00BD300A">
        <w:rPr>
          <w:rFonts w:ascii="Arial" w:hAnsi="Arial" w:cs="Arial"/>
          <w:sz w:val="24"/>
          <w:lang w:val="en-GB"/>
        </w:rPr>
        <w:t xml:space="preserve"> </w:t>
      </w:r>
      <w:r w:rsidR="00BD300A">
        <w:rPr>
          <w:rFonts w:ascii="Arial" w:hAnsi="Arial" w:cs="Arial"/>
          <w:i/>
          <w:sz w:val="24"/>
          <w:lang w:val="en-GB"/>
        </w:rPr>
        <w:t>‘for the purpose of rescue, adjustment</w:t>
      </w:r>
      <w:r w:rsidR="00AC5217">
        <w:rPr>
          <w:rFonts w:ascii="Arial" w:hAnsi="Arial" w:cs="Arial"/>
          <w:i/>
          <w:sz w:val="24"/>
          <w:lang w:val="en-GB"/>
        </w:rPr>
        <w:t xml:space="preserve"> of debt, reorganisation or liquidation”</w:t>
      </w:r>
      <w:r w:rsidR="00AC5217">
        <w:rPr>
          <w:rStyle w:val="FootnoteReference"/>
          <w:rFonts w:ascii="Arial" w:hAnsi="Arial" w:cs="Arial"/>
          <w:i/>
          <w:sz w:val="24"/>
          <w:lang w:val="en-GB"/>
        </w:rPr>
        <w:footnoteReference w:id="10"/>
      </w:r>
      <w:r>
        <w:rPr>
          <w:rFonts w:ascii="Arial" w:hAnsi="Arial" w:cs="Arial"/>
          <w:sz w:val="24"/>
          <w:lang w:val="en-GB"/>
        </w:rPr>
        <w:t xml:space="preserve"> </w:t>
      </w:r>
      <w:r w:rsidR="008B0A19">
        <w:rPr>
          <w:rFonts w:ascii="Arial" w:hAnsi="Arial" w:cs="Arial"/>
          <w:sz w:val="24"/>
          <w:lang w:val="en-GB"/>
        </w:rPr>
        <w:t>,</w:t>
      </w:r>
      <w:r>
        <w:rPr>
          <w:rFonts w:ascii="Arial" w:hAnsi="Arial" w:cs="Arial"/>
          <w:sz w:val="24"/>
          <w:lang w:val="en-GB"/>
        </w:rPr>
        <w:t xml:space="preserve">namely restructuring/debt rescue. They are a form of hybrid proceedings. </w:t>
      </w:r>
    </w:p>
    <w:p w14:paraId="6FB11393" w14:textId="77777777" w:rsidR="008F41DD" w:rsidRDefault="008F41DD" w:rsidP="00B84684">
      <w:pPr>
        <w:jc w:val="both"/>
        <w:rPr>
          <w:rFonts w:ascii="Arial" w:hAnsi="Arial" w:cs="Arial"/>
          <w:sz w:val="24"/>
          <w:lang w:val="en-GB"/>
        </w:rPr>
      </w:pPr>
    </w:p>
    <w:p w14:paraId="3BC128AC" w14:textId="788D7389" w:rsidR="00B84684" w:rsidRPr="00E40076" w:rsidRDefault="008F41DD" w:rsidP="00B84684">
      <w:pPr>
        <w:jc w:val="both"/>
        <w:rPr>
          <w:rFonts w:ascii="Arial" w:hAnsi="Arial" w:cs="Arial"/>
          <w:sz w:val="24"/>
          <w:lang w:val="en-GB"/>
        </w:rPr>
      </w:pPr>
      <w:r>
        <w:rPr>
          <w:rFonts w:ascii="Arial" w:hAnsi="Arial" w:cs="Arial"/>
          <w:sz w:val="24"/>
          <w:lang w:val="en-GB"/>
        </w:rPr>
        <w:t>The EIR Recast maintains COMI (</w:t>
      </w:r>
      <w:r w:rsidR="00BD300A">
        <w:rPr>
          <w:rFonts w:ascii="Arial" w:hAnsi="Arial" w:cs="Arial"/>
          <w:sz w:val="24"/>
          <w:lang w:val="en-GB"/>
        </w:rPr>
        <w:t xml:space="preserve">Centre of Main Interest) as the connecting factor for opening of universal proceedings. Article 3(1) defines COMI as </w:t>
      </w:r>
      <w:r w:rsidR="00BD300A">
        <w:rPr>
          <w:rFonts w:ascii="Arial" w:hAnsi="Arial" w:cs="Arial"/>
          <w:i/>
          <w:sz w:val="24"/>
          <w:lang w:val="en-GB"/>
        </w:rPr>
        <w:t>“the place where the debtor conducts the administration of his interests on a regular ba</w:t>
      </w:r>
      <w:r w:rsidR="00BD300A">
        <w:rPr>
          <w:rFonts w:ascii="Arial" w:hAnsi="Arial" w:cs="Arial"/>
          <w:sz w:val="24"/>
          <w:lang w:val="en-GB"/>
        </w:rPr>
        <w:t xml:space="preserve">sis </w:t>
      </w:r>
      <w:r w:rsidR="00BD300A">
        <w:rPr>
          <w:rFonts w:ascii="Arial" w:hAnsi="Arial" w:cs="Arial"/>
          <w:i/>
          <w:sz w:val="24"/>
          <w:lang w:val="en-GB"/>
        </w:rPr>
        <w:t>and which is ascertainable by third parties”.</w:t>
      </w:r>
      <w:r w:rsidR="00BD300A">
        <w:rPr>
          <w:rFonts w:ascii="Arial" w:hAnsi="Arial" w:cs="Arial"/>
          <w:sz w:val="24"/>
          <w:lang w:val="en-GB"/>
        </w:rPr>
        <w:t xml:space="preserve"> </w:t>
      </w:r>
      <w:r>
        <w:rPr>
          <w:rFonts w:ascii="Arial" w:hAnsi="Arial" w:cs="Arial"/>
          <w:sz w:val="24"/>
          <w:lang w:val="en-GB"/>
        </w:rPr>
        <w:t xml:space="preserve"> </w:t>
      </w:r>
    </w:p>
    <w:p w14:paraId="7C421F1B" w14:textId="77777777" w:rsidR="00B84684" w:rsidRPr="00E40076" w:rsidRDefault="00B84684" w:rsidP="00B84684">
      <w:pPr>
        <w:jc w:val="both"/>
        <w:rPr>
          <w:rFonts w:ascii="Avenir Next" w:hAnsi="Avenir Next" w:cs="Arial"/>
          <w:sz w:val="24"/>
          <w:lang w:val="en-GB"/>
        </w:rPr>
      </w:pPr>
    </w:p>
    <w:p w14:paraId="0FB039BC" w14:textId="75A7F5EA" w:rsidR="00B84684" w:rsidRDefault="008B0A19" w:rsidP="00B84684">
      <w:pPr>
        <w:jc w:val="both"/>
        <w:rPr>
          <w:rFonts w:ascii="Arial" w:hAnsi="Arial" w:cs="Arial"/>
          <w:sz w:val="24"/>
          <w:lang w:val="en-GB"/>
        </w:rPr>
      </w:pPr>
      <w:r>
        <w:rPr>
          <w:rFonts w:ascii="Arial" w:hAnsi="Arial" w:cs="Arial"/>
          <w:sz w:val="24"/>
          <w:lang w:val="en-GB"/>
        </w:rPr>
        <w:t>In t</w:t>
      </w:r>
      <w:r w:rsidR="00B84684">
        <w:rPr>
          <w:rFonts w:ascii="Arial" w:hAnsi="Arial" w:cs="Arial"/>
          <w:sz w:val="24"/>
          <w:lang w:val="en-GB"/>
        </w:rPr>
        <w:t xml:space="preserve">he CJEU’s decision </w:t>
      </w:r>
      <w:r>
        <w:rPr>
          <w:rFonts w:ascii="Arial" w:hAnsi="Arial" w:cs="Arial"/>
          <w:sz w:val="24"/>
          <w:lang w:val="en-GB"/>
        </w:rPr>
        <w:t>of</w:t>
      </w:r>
      <w:r w:rsidR="00B84684">
        <w:rPr>
          <w:rFonts w:ascii="Arial" w:hAnsi="Arial" w:cs="Arial"/>
          <w:sz w:val="24"/>
          <w:lang w:val="en-GB"/>
        </w:rPr>
        <w:t xml:space="preserve"> </w:t>
      </w:r>
      <w:r w:rsidR="00B84684">
        <w:rPr>
          <w:rFonts w:ascii="Arial" w:hAnsi="Arial" w:cs="Arial"/>
          <w:i/>
          <w:sz w:val="24"/>
          <w:lang w:val="en-GB"/>
        </w:rPr>
        <w:t>Interedil Srl v Fallimento Interedil Srl,</w:t>
      </w:r>
      <w:r w:rsidR="00070222">
        <w:rPr>
          <w:rStyle w:val="FootnoteReference"/>
          <w:rFonts w:ascii="Arial" w:hAnsi="Arial" w:cs="Arial"/>
          <w:i/>
          <w:sz w:val="24"/>
          <w:lang w:val="en-GB"/>
        </w:rPr>
        <w:footnoteReference w:id="11"/>
      </w:r>
      <w:r w:rsidR="00B84684">
        <w:rPr>
          <w:rFonts w:ascii="Arial" w:hAnsi="Arial" w:cs="Arial"/>
          <w:i/>
          <w:sz w:val="24"/>
          <w:lang w:val="en-GB"/>
        </w:rPr>
        <w:t xml:space="preserve"> </w:t>
      </w:r>
      <w:r w:rsidR="00B84684">
        <w:rPr>
          <w:rFonts w:ascii="Arial" w:hAnsi="Arial" w:cs="Arial"/>
          <w:sz w:val="24"/>
          <w:lang w:val="en-GB"/>
        </w:rPr>
        <w:t>the court provided the following guidance;</w:t>
      </w:r>
    </w:p>
    <w:p w14:paraId="4791F909" w14:textId="77777777" w:rsidR="001975E7" w:rsidRDefault="001975E7" w:rsidP="00B84684">
      <w:pPr>
        <w:jc w:val="both"/>
        <w:rPr>
          <w:rFonts w:ascii="Arial" w:hAnsi="Arial" w:cs="Arial"/>
          <w:sz w:val="24"/>
          <w:lang w:val="en-GB"/>
        </w:rPr>
      </w:pPr>
    </w:p>
    <w:p w14:paraId="76A39C90" w14:textId="77777777" w:rsidR="00B84684" w:rsidRDefault="00B84684" w:rsidP="00B84684">
      <w:pPr>
        <w:jc w:val="both"/>
        <w:rPr>
          <w:rFonts w:ascii="Arial" w:hAnsi="Arial" w:cs="Arial"/>
          <w:sz w:val="24"/>
          <w:lang w:val="en-GB"/>
        </w:rPr>
      </w:pPr>
      <w:r>
        <w:rPr>
          <w:rFonts w:ascii="Arial" w:hAnsi="Arial" w:cs="Arial"/>
          <w:sz w:val="24"/>
          <w:lang w:val="en-GB"/>
        </w:rPr>
        <w:t>When bodies responsible for the management and supervision of the debtor are in the same place as its registered office, and the management decisions of the company are taken in that same place in a manner that is ascertainable by 3</w:t>
      </w:r>
      <w:r w:rsidRPr="008F6B36">
        <w:rPr>
          <w:rFonts w:ascii="Arial" w:hAnsi="Arial" w:cs="Arial"/>
          <w:sz w:val="24"/>
          <w:vertAlign w:val="superscript"/>
          <w:lang w:val="en-GB"/>
        </w:rPr>
        <w:t>rd</w:t>
      </w:r>
      <w:r>
        <w:rPr>
          <w:rFonts w:ascii="Arial" w:hAnsi="Arial" w:cs="Arial"/>
          <w:sz w:val="24"/>
          <w:lang w:val="en-GB"/>
        </w:rPr>
        <w:t xml:space="preserve"> parties, the registered office presumption is irrefutable. The presumption is rebutted when the place in which the company’s central administration does not coincide with the jurisdiction of the registered office. Further, the mere presence of assets will not rebut the registered office presumption. The court further stated that assets encompassed bank accounts, moveable and immoveable assets.</w:t>
      </w:r>
    </w:p>
    <w:p w14:paraId="7DBA3426" w14:textId="77777777" w:rsidR="00B84684" w:rsidRDefault="00B84684" w:rsidP="00B84684">
      <w:pPr>
        <w:jc w:val="both"/>
        <w:rPr>
          <w:rFonts w:ascii="Arial" w:hAnsi="Arial" w:cs="Arial"/>
          <w:sz w:val="24"/>
          <w:lang w:val="en-GB"/>
        </w:rPr>
      </w:pPr>
    </w:p>
    <w:p w14:paraId="6B6F8F1C" w14:textId="7ED07007" w:rsidR="00B84684" w:rsidRPr="008E3C96" w:rsidRDefault="00B84684" w:rsidP="00B84684">
      <w:pPr>
        <w:jc w:val="both"/>
        <w:rPr>
          <w:rFonts w:ascii="Avenir Next" w:hAnsi="Avenir Next" w:cs="Arial"/>
          <w:sz w:val="22"/>
          <w:szCs w:val="22"/>
          <w:lang w:val="en-GB"/>
        </w:rPr>
      </w:pPr>
      <w:r>
        <w:rPr>
          <w:rFonts w:ascii="Arial" w:hAnsi="Arial" w:cs="Arial"/>
          <w:sz w:val="24"/>
          <w:lang w:val="en-GB"/>
        </w:rPr>
        <w:t>Under Article 3(1) the Strasbourg High Court would have jurisdiction if the French Law so designates it with such jurisdiction</w:t>
      </w:r>
      <w:r w:rsidR="00BD300A">
        <w:rPr>
          <w:rFonts w:ascii="Arial" w:hAnsi="Arial" w:cs="Arial"/>
          <w:sz w:val="24"/>
          <w:lang w:val="en-GB"/>
        </w:rPr>
        <w:t xml:space="preserve">. </w:t>
      </w:r>
      <w:r>
        <w:rPr>
          <w:rFonts w:ascii="Arial" w:hAnsi="Arial" w:cs="Arial"/>
          <w:sz w:val="24"/>
          <w:lang w:val="en-GB"/>
        </w:rPr>
        <w:t xml:space="preserve">As a member of the EU, the EIR </w:t>
      </w:r>
      <w:r w:rsidR="00BD300A">
        <w:rPr>
          <w:rFonts w:ascii="Arial" w:hAnsi="Arial" w:cs="Arial"/>
          <w:sz w:val="24"/>
          <w:lang w:val="en-GB"/>
        </w:rPr>
        <w:t xml:space="preserve">Recast </w:t>
      </w:r>
      <w:r>
        <w:rPr>
          <w:rFonts w:ascii="Arial" w:hAnsi="Arial" w:cs="Arial"/>
          <w:sz w:val="24"/>
          <w:lang w:val="en-GB"/>
        </w:rPr>
        <w:t xml:space="preserve">is binding and applicable to France. The next issue for examination is whether one could say the COMI of Bellar SARL is France for the Strasbourg Court to exercise jurisdiction. The registered office is in France. On the Jurisprudence of </w:t>
      </w:r>
      <w:r>
        <w:rPr>
          <w:rFonts w:ascii="Arial" w:hAnsi="Arial" w:cs="Arial"/>
          <w:i/>
          <w:sz w:val="24"/>
          <w:lang w:val="en-GB"/>
        </w:rPr>
        <w:t xml:space="preserve">Interedil, </w:t>
      </w:r>
      <w:r>
        <w:rPr>
          <w:rFonts w:ascii="Arial" w:hAnsi="Arial" w:cs="Arial"/>
          <w:sz w:val="24"/>
          <w:lang w:val="en-GB"/>
        </w:rPr>
        <w:t xml:space="preserve">has the presumption of the registered office been rebutted because of the presence of assets and employees all over Europe and the main warehouse being in Cork, Ireland? It is clear from the above decision that the mere presence of assets in other jurisdictions does not rebut the registered office presumption. It cannot be decided with </w:t>
      </w:r>
      <w:r w:rsidR="004B13CC">
        <w:rPr>
          <w:rFonts w:ascii="Arial" w:hAnsi="Arial" w:cs="Arial"/>
          <w:sz w:val="24"/>
          <w:lang w:val="en-GB"/>
        </w:rPr>
        <w:t>certainty</w:t>
      </w:r>
      <w:r>
        <w:rPr>
          <w:rFonts w:ascii="Arial" w:hAnsi="Arial" w:cs="Arial"/>
          <w:sz w:val="24"/>
          <w:lang w:val="en-GB"/>
        </w:rPr>
        <w:t xml:space="preserve"> from the given facts that because the main ware house was in Cork, Ireland and not at its registered office in France that the Company’s central administration did not coincide with the jurisdiction of the registered office. In conclusion the Strasbourg Court would have jurisdiction to open the requested safe-guard proceedings under the registered office presumption.           </w:t>
      </w:r>
      <w:r>
        <w:rPr>
          <w:rFonts w:ascii="Avenir Next" w:hAnsi="Avenir Next" w:cs="Arial"/>
          <w:sz w:val="22"/>
          <w:szCs w:val="22"/>
          <w:lang w:val="en-GB"/>
        </w:rPr>
        <w:t xml:space="preserve"> </w:t>
      </w:r>
    </w:p>
    <w:p w14:paraId="3BFEF8E6" w14:textId="77777777" w:rsidR="00B84684" w:rsidRPr="008E3C96" w:rsidRDefault="00B84684" w:rsidP="002A37BB">
      <w:pPr>
        <w:jc w:val="both"/>
        <w:rPr>
          <w:rFonts w:ascii="Avenir Next" w:hAnsi="Avenir Next" w:cs="Arial"/>
          <w:sz w:val="22"/>
          <w:szCs w:val="22"/>
          <w:lang w:val="en-GB"/>
        </w:rPr>
      </w:pPr>
    </w:p>
    <w:p w14:paraId="3FE0F33A" w14:textId="77777777" w:rsidR="002729AB" w:rsidRPr="008E3C96" w:rsidRDefault="002729AB" w:rsidP="002A37BB">
      <w:pPr>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4438C77F" w:rsidR="002D0021"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514A1F1D" w14:textId="23987C6B" w:rsidR="00903B68" w:rsidRDefault="00903B68" w:rsidP="002A37BB">
      <w:pPr>
        <w:jc w:val="both"/>
        <w:rPr>
          <w:rFonts w:ascii="Avenir Next" w:hAnsi="Avenir Next" w:cs="Arial"/>
          <w:sz w:val="22"/>
          <w:szCs w:val="22"/>
          <w:lang w:val="en-GB"/>
        </w:rPr>
      </w:pPr>
    </w:p>
    <w:p w14:paraId="0FBFAE86" w14:textId="46BE4900" w:rsidR="008F5148" w:rsidRDefault="00824B74" w:rsidP="002A37BB">
      <w:pPr>
        <w:jc w:val="both"/>
        <w:rPr>
          <w:rFonts w:ascii="Arial" w:hAnsi="Arial" w:cs="Arial"/>
          <w:sz w:val="24"/>
          <w:lang w:val="en-GB"/>
        </w:rPr>
      </w:pPr>
      <w:r>
        <w:rPr>
          <w:rFonts w:ascii="Arial" w:hAnsi="Arial" w:cs="Arial"/>
          <w:sz w:val="24"/>
          <w:lang w:val="en-GB"/>
        </w:rPr>
        <w:lastRenderedPageBreak/>
        <w:t xml:space="preserve">The </w:t>
      </w:r>
      <w:r w:rsidR="00D26158">
        <w:rPr>
          <w:rFonts w:ascii="Arial" w:hAnsi="Arial" w:cs="Arial"/>
          <w:sz w:val="24"/>
          <w:lang w:val="en-GB"/>
        </w:rPr>
        <w:t xml:space="preserve">EIR Recast provides for the opening of secondary insolvency proceedings </w:t>
      </w:r>
      <w:r w:rsidR="004B13CC">
        <w:rPr>
          <w:rFonts w:ascii="Arial" w:hAnsi="Arial" w:cs="Arial"/>
          <w:sz w:val="24"/>
          <w:lang w:val="en-GB"/>
        </w:rPr>
        <w:t>against</w:t>
      </w:r>
      <w:r w:rsidR="00D26158">
        <w:rPr>
          <w:rFonts w:ascii="Arial" w:hAnsi="Arial" w:cs="Arial"/>
          <w:sz w:val="24"/>
          <w:lang w:val="en-GB"/>
        </w:rPr>
        <w:t xml:space="preserve"> a debtor in any Member State where it </w:t>
      </w:r>
      <w:r w:rsidR="004B13CC">
        <w:rPr>
          <w:rFonts w:ascii="Arial" w:hAnsi="Arial" w:cs="Arial"/>
          <w:sz w:val="24"/>
          <w:lang w:val="en-GB"/>
        </w:rPr>
        <w:t>possesses</w:t>
      </w:r>
      <w:r w:rsidR="00D26158">
        <w:rPr>
          <w:rFonts w:ascii="Arial" w:hAnsi="Arial" w:cs="Arial"/>
          <w:sz w:val="24"/>
          <w:lang w:val="en-GB"/>
        </w:rPr>
        <w:t xml:space="preserve"> an establishment.</w:t>
      </w:r>
      <w:r w:rsidR="00D26158">
        <w:rPr>
          <w:rStyle w:val="FootnoteReference"/>
          <w:rFonts w:ascii="Arial" w:hAnsi="Arial" w:cs="Arial"/>
          <w:sz w:val="24"/>
          <w:lang w:val="en-GB"/>
        </w:rPr>
        <w:footnoteReference w:id="12"/>
      </w:r>
      <w:r w:rsidR="00D26158">
        <w:rPr>
          <w:rFonts w:ascii="Arial" w:hAnsi="Arial" w:cs="Arial"/>
          <w:sz w:val="24"/>
          <w:lang w:val="en-GB"/>
        </w:rPr>
        <w:t xml:space="preserve"> </w:t>
      </w:r>
      <w:r w:rsidR="00C62369">
        <w:rPr>
          <w:rFonts w:ascii="Arial" w:hAnsi="Arial" w:cs="Arial"/>
          <w:sz w:val="24"/>
          <w:lang w:val="en-GB"/>
        </w:rPr>
        <w:t xml:space="preserve">An “establishment” under Article 2 (10) Recast </w:t>
      </w:r>
      <w:r w:rsidR="004B13CC">
        <w:rPr>
          <w:rFonts w:ascii="Arial" w:hAnsi="Arial" w:cs="Arial"/>
          <w:sz w:val="24"/>
          <w:lang w:val="en-GB"/>
        </w:rPr>
        <w:t>means “any</w:t>
      </w:r>
      <w:r w:rsidR="00C62369">
        <w:rPr>
          <w:rFonts w:ascii="Arial" w:hAnsi="Arial" w:cs="Arial"/>
          <w:i/>
          <w:sz w:val="24"/>
          <w:lang w:val="en-GB"/>
        </w:rPr>
        <w:t xml:space="preserve"> place of operations where a debtor carries out or has carried out in the </w:t>
      </w:r>
      <w:r w:rsidR="004B13CC">
        <w:rPr>
          <w:rFonts w:ascii="Arial" w:hAnsi="Arial" w:cs="Arial"/>
          <w:i/>
          <w:sz w:val="24"/>
          <w:lang w:val="en-GB"/>
        </w:rPr>
        <w:t>three-month</w:t>
      </w:r>
      <w:r w:rsidR="00C62369">
        <w:rPr>
          <w:rFonts w:ascii="Arial" w:hAnsi="Arial" w:cs="Arial"/>
          <w:i/>
          <w:sz w:val="24"/>
          <w:lang w:val="en-GB"/>
        </w:rPr>
        <w:t xml:space="preserve"> period prior to the request to open main insolvency proceedings a non-transitory economic activity with human means and assets”.</w:t>
      </w:r>
      <w:r w:rsidR="008F5148">
        <w:rPr>
          <w:rFonts w:ascii="Arial" w:hAnsi="Arial" w:cs="Arial"/>
          <w:i/>
          <w:sz w:val="24"/>
          <w:lang w:val="en-GB"/>
        </w:rPr>
        <w:t xml:space="preserve"> </w:t>
      </w:r>
      <w:r w:rsidR="008F5148" w:rsidRPr="008F5148">
        <w:rPr>
          <w:rFonts w:ascii="Arial" w:hAnsi="Arial" w:cs="Arial"/>
          <w:sz w:val="24"/>
          <w:lang w:val="en-GB"/>
        </w:rPr>
        <w:t>Secondary</w:t>
      </w:r>
      <w:r w:rsidR="008F5148">
        <w:rPr>
          <w:rFonts w:ascii="Arial" w:hAnsi="Arial" w:cs="Arial"/>
          <w:sz w:val="24"/>
          <w:lang w:val="en-GB"/>
        </w:rPr>
        <w:t xml:space="preserve"> </w:t>
      </w:r>
      <w:r w:rsidR="001975E7">
        <w:rPr>
          <w:rFonts w:ascii="Arial" w:hAnsi="Arial" w:cs="Arial"/>
          <w:sz w:val="24"/>
          <w:lang w:val="en-GB"/>
        </w:rPr>
        <w:t xml:space="preserve">proceedings </w:t>
      </w:r>
      <w:bookmarkStart w:id="1" w:name="_GoBack"/>
      <w:bookmarkEnd w:id="1"/>
      <w:r w:rsidR="008F5148">
        <w:rPr>
          <w:rFonts w:ascii="Arial" w:hAnsi="Arial" w:cs="Arial"/>
          <w:sz w:val="24"/>
          <w:lang w:val="en-GB"/>
        </w:rPr>
        <w:t xml:space="preserve">are linked to a debtor’s establishment. </w:t>
      </w:r>
      <w:r w:rsidR="00D26158">
        <w:rPr>
          <w:rFonts w:ascii="Arial" w:hAnsi="Arial" w:cs="Arial"/>
          <w:sz w:val="24"/>
          <w:lang w:val="en-GB"/>
        </w:rPr>
        <w:t xml:space="preserve">Secondary proceedings can only follow in time after the opening of the main insolvency proceedings. Secondary insolvency proceedings are confined to the assets of the debtor situated </w:t>
      </w:r>
      <w:r w:rsidR="00C62369">
        <w:rPr>
          <w:rFonts w:ascii="Arial" w:hAnsi="Arial" w:cs="Arial"/>
          <w:sz w:val="24"/>
          <w:lang w:val="en-GB"/>
        </w:rPr>
        <w:t>in the territory of the Member State where secondary proceedings have been opened. The proceedings protect local interests.</w:t>
      </w:r>
    </w:p>
    <w:p w14:paraId="057623A8" w14:textId="77777777" w:rsidR="008F5148" w:rsidRDefault="008F5148" w:rsidP="002A37BB">
      <w:pPr>
        <w:jc w:val="both"/>
        <w:rPr>
          <w:rFonts w:ascii="Arial" w:hAnsi="Arial" w:cs="Arial"/>
          <w:sz w:val="24"/>
          <w:lang w:val="en-GB"/>
        </w:rPr>
      </w:pPr>
    </w:p>
    <w:p w14:paraId="6DC34F3C" w14:textId="77777777" w:rsidR="004063E4" w:rsidRDefault="008F5148" w:rsidP="002A37BB">
      <w:pPr>
        <w:jc w:val="both"/>
        <w:rPr>
          <w:rFonts w:ascii="Arial" w:hAnsi="Arial" w:cs="Arial"/>
          <w:sz w:val="24"/>
          <w:lang w:val="en-GB"/>
        </w:rPr>
      </w:pPr>
      <w:r>
        <w:rPr>
          <w:rFonts w:ascii="Arial" w:hAnsi="Arial" w:cs="Arial"/>
          <w:sz w:val="24"/>
          <w:lang w:val="en-GB"/>
        </w:rPr>
        <w:t xml:space="preserve">In </w:t>
      </w:r>
      <w:r>
        <w:rPr>
          <w:rFonts w:ascii="Arial" w:hAnsi="Arial" w:cs="Arial"/>
          <w:i/>
          <w:sz w:val="24"/>
          <w:lang w:val="en-GB"/>
        </w:rPr>
        <w:t xml:space="preserve">Interedil </w:t>
      </w:r>
      <w:r>
        <w:rPr>
          <w:rFonts w:ascii="Arial" w:hAnsi="Arial" w:cs="Arial"/>
          <w:sz w:val="24"/>
          <w:lang w:val="en-GB"/>
        </w:rPr>
        <w:t>the CJEU in examining the concept of establishment</w:t>
      </w:r>
      <w:r w:rsidR="00E14462">
        <w:rPr>
          <w:rFonts w:ascii="Arial" w:hAnsi="Arial" w:cs="Arial"/>
          <w:sz w:val="24"/>
          <w:lang w:val="en-GB"/>
        </w:rPr>
        <w:t>, held that the fact that definition of establishment links the pursuit of an economic activity to the presence of human resources demonstrates some organisation and a degree of stability are required.</w:t>
      </w:r>
      <w:r w:rsidR="009D612B">
        <w:rPr>
          <w:rFonts w:ascii="Arial" w:hAnsi="Arial" w:cs="Arial"/>
          <w:sz w:val="24"/>
          <w:lang w:val="en-GB"/>
        </w:rPr>
        <w:t xml:space="preserve"> The decisive factor is how the activity appears externally to thir</w:t>
      </w:r>
      <w:r w:rsidR="004063E4">
        <w:rPr>
          <w:rFonts w:ascii="Arial" w:hAnsi="Arial" w:cs="Arial"/>
          <w:sz w:val="24"/>
          <w:lang w:val="en-GB"/>
        </w:rPr>
        <w:t>d</w:t>
      </w:r>
      <w:r w:rsidR="009D612B">
        <w:rPr>
          <w:rFonts w:ascii="Arial" w:hAnsi="Arial" w:cs="Arial"/>
          <w:sz w:val="24"/>
          <w:lang w:val="en-GB"/>
        </w:rPr>
        <w:t xml:space="preserve"> parties.</w:t>
      </w:r>
    </w:p>
    <w:p w14:paraId="05226D7E" w14:textId="77777777" w:rsidR="004063E4" w:rsidRDefault="004063E4" w:rsidP="002A37BB">
      <w:pPr>
        <w:jc w:val="both"/>
        <w:rPr>
          <w:rFonts w:ascii="Arial" w:hAnsi="Arial" w:cs="Arial"/>
          <w:sz w:val="24"/>
          <w:lang w:val="en-GB"/>
        </w:rPr>
      </w:pPr>
    </w:p>
    <w:p w14:paraId="2BE9E964" w14:textId="34F4E849" w:rsidR="00903B68" w:rsidRPr="00903B68" w:rsidRDefault="004063E4" w:rsidP="002A37BB">
      <w:pPr>
        <w:jc w:val="both"/>
        <w:rPr>
          <w:rFonts w:ascii="Arial" w:hAnsi="Arial" w:cs="Arial"/>
          <w:sz w:val="24"/>
          <w:lang w:val="en-GB"/>
        </w:rPr>
      </w:pPr>
      <w:r>
        <w:rPr>
          <w:rFonts w:ascii="Arial" w:hAnsi="Arial" w:cs="Arial"/>
          <w:sz w:val="24"/>
          <w:lang w:val="en-GB"/>
        </w:rPr>
        <w:t xml:space="preserve">From the facts of the case, </w:t>
      </w:r>
      <w:r w:rsidR="00D628CA">
        <w:rPr>
          <w:rFonts w:ascii="Arial" w:hAnsi="Arial" w:cs="Arial"/>
          <w:sz w:val="24"/>
          <w:lang w:val="en-GB"/>
        </w:rPr>
        <w:t>a warehouse with employees was opened in Italy as in many countries across Europe. This satisfies the definition of an establishment in terms of the EIR Recast as the pursuit of an economic activity has the presence of a human resource. I</w:t>
      </w:r>
      <w:r>
        <w:rPr>
          <w:rFonts w:ascii="Arial" w:hAnsi="Arial" w:cs="Arial"/>
          <w:sz w:val="24"/>
          <w:lang w:val="en-GB"/>
        </w:rPr>
        <w:t xml:space="preserve">nsolvency proceedings have not been opened. </w:t>
      </w:r>
      <w:r w:rsidR="00210434">
        <w:rPr>
          <w:rFonts w:ascii="Arial" w:hAnsi="Arial" w:cs="Arial"/>
          <w:sz w:val="24"/>
          <w:lang w:val="en-GB"/>
        </w:rPr>
        <w:t xml:space="preserve">Rather Bellar </w:t>
      </w:r>
      <w:r w:rsidR="004B13CC">
        <w:rPr>
          <w:rFonts w:ascii="Arial" w:hAnsi="Arial" w:cs="Arial"/>
          <w:sz w:val="24"/>
          <w:lang w:val="en-GB"/>
        </w:rPr>
        <w:t>SARL has</w:t>
      </w:r>
      <w:r w:rsidR="00210434">
        <w:rPr>
          <w:rFonts w:ascii="Arial" w:hAnsi="Arial" w:cs="Arial"/>
          <w:sz w:val="24"/>
          <w:lang w:val="en-GB"/>
        </w:rPr>
        <w:t xml:space="preserve"> requested protection from the Court in France to enable it to restructure the business. Secondary Insolvency proceedings can only be opened under the EIR Recast where Main insolvency proceedings have already been instituted. </w:t>
      </w:r>
      <w:r w:rsidR="00D628CA">
        <w:rPr>
          <w:rFonts w:ascii="Arial" w:hAnsi="Arial" w:cs="Arial"/>
          <w:sz w:val="24"/>
          <w:lang w:val="en-GB"/>
        </w:rPr>
        <w:t xml:space="preserve">Safeguard measures in France </w:t>
      </w:r>
      <w:r w:rsidR="004B13CC">
        <w:rPr>
          <w:rFonts w:ascii="Arial" w:hAnsi="Arial" w:cs="Arial"/>
          <w:sz w:val="24"/>
          <w:lang w:val="en-GB"/>
        </w:rPr>
        <w:t>cannot</w:t>
      </w:r>
      <w:r w:rsidR="00D628CA">
        <w:rPr>
          <w:rFonts w:ascii="Arial" w:hAnsi="Arial" w:cs="Arial"/>
          <w:sz w:val="24"/>
          <w:lang w:val="en-GB"/>
        </w:rPr>
        <w:t xml:space="preserve"> be equated to Insolvency proceedings as is being sought in Italy. For the reasons stated above insolvency proceedings cannot be opened in Italy under the EIR Recast.  </w:t>
      </w:r>
      <w:r w:rsidR="00210434">
        <w:rPr>
          <w:rFonts w:ascii="Arial" w:hAnsi="Arial" w:cs="Arial"/>
          <w:sz w:val="24"/>
          <w:lang w:val="en-GB"/>
        </w:rPr>
        <w:t xml:space="preserve"> </w:t>
      </w:r>
      <w:r w:rsidR="009D612B">
        <w:rPr>
          <w:rFonts w:ascii="Arial" w:hAnsi="Arial" w:cs="Arial"/>
          <w:sz w:val="24"/>
          <w:lang w:val="en-GB"/>
        </w:rPr>
        <w:t xml:space="preserve">  </w:t>
      </w:r>
      <w:r w:rsidR="00C62369">
        <w:rPr>
          <w:rFonts w:ascii="Arial" w:hAnsi="Arial" w:cs="Arial"/>
          <w:sz w:val="24"/>
          <w:lang w:val="en-GB"/>
        </w:rPr>
        <w:t xml:space="preserve"> </w:t>
      </w:r>
      <w:r w:rsidR="00D26158">
        <w:rPr>
          <w:rFonts w:ascii="Arial" w:hAnsi="Arial" w:cs="Arial"/>
          <w:sz w:val="24"/>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081EF1D0" w14:textId="7E547F9A"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6FBE" w14:textId="77777777" w:rsidR="00C26FFA" w:rsidRDefault="00C26FFA" w:rsidP="00241B44">
      <w:r>
        <w:separator/>
      </w:r>
    </w:p>
  </w:endnote>
  <w:endnote w:type="continuationSeparator" w:id="0">
    <w:p w14:paraId="6CB20C5A" w14:textId="77777777" w:rsidR="00C26FFA" w:rsidRDefault="00C26FF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6F675352" w:rsidR="00D509A5" w:rsidRPr="00E36039" w:rsidRDefault="00736E74" w:rsidP="009B4976">
    <w:pPr>
      <w:pStyle w:val="Footer"/>
      <w:ind w:right="360"/>
      <w:rPr>
        <w:rFonts w:ascii="Avenir Next" w:hAnsi="Avenir Next" w:cs="Arial"/>
        <w:sz w:val="22"/>
        <w:szCs w:val="22"/>
        <w:lang w:val="en-GB"/>
      </w:rPr>
    </w:pPr>
    <w:r>
      <w:rPr>
        <w:rFonts w:ascii="Avenir Next" w:hAnsi="Avenir Next" w:cs="Arial"/>
        <w:sz w:val="22"/>
        <w:szCs w:val="22"/>
        <w:lang w:val="en-GB"/>
      </w:rPr>
      <w:t>202223-787.</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191C" w14:textId="77777777" w:rsidR="00C26FFA" w:rsidRDefault="00C26FFA" w:rsidP="00241B44">
      <w:r>
        <w:separator/>
      </w:r>
    </w:p>
  </w:footnote>
  <w:footnote w:type="continuationSeparator" w:id="0">
    <w:p w14:paraId="6EBB7051" w14:textId="77777777" w:rsidR="00C26FFA" w:rsidRDefault="00C26FFA" w:rsidP="00241B44">
      <w:r>
        <w:continuationSeparator/>
      </w:r>
    </w:p>
  </w:footnote>
  <w:footnote w:id="1">
    <w:p w14:paraId="781D7313" w14:textId="034CF20B" w:rsidR="008D062E" w:rsidRPr="008D062E" w:rsidRDefault="008D062E">
      <w:pPr>
        <w:pStyle w:val="FootnoteText"/>
        <w:rPr>
          <w:lang w:val="en-GB"/>
        </w:rPr>
      </w:pPr>
      <w:r>
        <w:rPr>
          <w:rStyle w:val="FootnoteReference"/>
        </w:rPr>
        <w:footnoteRef/>
      </w:r>
      <w:r>
        <w:t xml:space="preserve"> </w:t>
      </w:r>
      <w:r>
        <w:rPr>
          <w:lang w:val="en-GB"/>
        </w:rPr>
        <w:t xml:space="preserve">Nottingham Insolvency &amp; Business Law e-Journal (2016) 4 (1) Amir ADL Rudbordeh “A Theory on Abusive Forum Shopping in Insolvency Law”. </w:t>
      </w:r>
    </w:p>
  </w:footnote>
  <w:footnote w:id="2">
    <w:p w14:paraId="60E139D3" w14:textId="0858700F" w:rsidR="005810B7" w:rsidRPr="005810B7" w:rsidRDefault="005810B7">
      <w:pPr>
        <w:pStyle w:val="FootnoteText"/>
        <w:rPr>
          <w:lang w:val="en-GB"/>
        </w:rPr>
      </w:pPr>
      <w:r>
        <w:rPr>
          <w:rStyle w:val="FootnoteReference"/>
        </w:rPr>
        <w:footnoteRef/>
      </w:r>
      <w:r>
        <w:t xml:space="preserve"> </w:t>
      </w:r>
      <w:r w:rsidR="00C95690">
        <w:t>Case C-396/09, ECLI:EU:C:2011:671( Oct.20,2011).</w:t>
      </w:r>
    </w:p>
  </w:footnote>
  <w:footnote w:id="3">
    <w:p w14:paraId="1335DB80" w14:textId="01622045" w:rsidR="00E81FD3" w:rsidRPr="00E81FD3" w:rsidRDefault="00E81FD3">
      <w:pPr>
        <w:pStyle w:val="FootnoteText"/>
        <w:rPr>
          <w:i/>
          <w:lang w:val="en-GB"/>
        </w:rPr>
      </w:pPr>
      <w:r>
        <w:rPr>
          <w:rStyle w:val="FootnoteReference"/>
        </w:rPr>
        <w:footnoteRef/>
      </w:r>
      <w:r>
        <w:t xml:space="preserve"> </w:t>
      </w:r>
      <w:r>
        <w:rPr>
          <w:i/>
          <w:lang w:val="en-GB"/>
        </w:rPr>
        <w:t>See footnote 1. Paragraph 13.</w:t>
      </w:r>
    </w:p>
  </w:footnote>
  <w:footnote w:id="4">
    <w:p w14:paraId="59776882" w14:textId="287D5D23" w:rsidR="00EC3C96" w:rsidRPr="00EC3C96" w:rsidRDefault="00EC3C96">
      <w:pPr>
        <w:pStyle w:val="FootnoteText"/>
        <w:rPr>
          <w:lang w:val="en-GB"/>
        </w:rPr>
      </w:pPr>
      <w:r>
        <w:rPr>
          <w:rStyle w:val="FootnoteReference"/>
        </w:rPr>
        <w:footnoteRef/>
      </w:r>
      <w:r>
        <w:t xml:space="preserve"> </w:t>
      </w:r>
      <w:r>
        <w:rPr>
          <w:lang w:val="en-GB"/>
        </w:rPr>
        <w:t>Article 36(5).</w:t>
      </w:r>
    </w:p>
  </w:footnote>
  <w:footnote w:id="5">
    <w:p w14:paraId="24DBFFC9" w14:textId="4FC6926A" w:rsidR="00F20425" w:rsidRPr="00F20425" w:rsidRDefault="00F20425">
      <w:pPr>
        <w:pStyle w:val="FootnoteText"/>
        <w:rPr>
          <w:lang w:val="en-GB"/>
        </w:rPr>
      </w:pPr>
      <w:r>
        <w:rPr>
          <w:rStyle w:val="FootnoteReference"/>
        </w:rPr>
        <w:footnoteRef/>
      </w:r>
      <w:r>
        <w:t xml:space="preserve"> </w:t>
      </w:r>
      <w:r>
        <w:rPr>
          <w:lang w:val="en-GB"/>
        </w:rPr>
        <w:t>Recital 12.</w:t>
      </w:r>
    </w:p>
  </w:footnote>
  <w:footnote w:id="6">
    <w:p w14:paraId="78629A8D" w14:textId="50022E4E" w:rsidR="00F20425" w:rsidRPr="00F20425" w:rsidRDefault="00F20425">
      <w:pPr>
        <w:pStyle w:val="FootnoteText"/>
        <w:rPr>
          <w:lang w:val="en-GB"/>
        </w:rPr>
      </w:pPr>
      <w:r>
        <w:rPr>
          <w:rStyle w:val="FootnoteReference"/>
        </w:rPr>
        <w:footnoteRef/>
      </w:r>
      <w:r>
        <w:t xml:space="preserve"> </w:t>
      </w:r>
      <w:hyperlink r:id="rId1" w:history="1">
        <w:r w:rsidRPr="00CE0D4B">
          <w:rPr>
            <w:rStyle w:val="Hyperlink"/>
            <w:lang w:val="en-GB"/>
          </w:rPr>
          <w:t>https://doi.org/10.1002/iir.1447</w:t>
        </w:r>
      </w:hyperlink>
      <w:r>
        <w:rPr>
          <w:lang w:val="en-GB"/>
        </w:rPr>
        <w:t xml:space="preserve"> Jessica Schmidt.</w:t>
      </w:r>
    </w:p>
  </w:footnote>
  <w:footnote w:id="7">
    <w:p w14:paraId="31DEE343" w14:textId="018349A9" w:rsidR="006D2968" w:rsidRPr="006D2968" w:rsidRDefault="006D2968">
      <w:pPr>
        <w:pStyle w:val="FootnoteText"/>
        <w:rPr>
          <w:lang w:val="en-GB"/>
        </w:rPr>
      </w:pPr>
      <w:r>
        <w:rPr>
          <w:rStyle w:val="FootnoteReference"/>
        </w:rPr>
        <w:footnoteRef/>
      </w:r>
      <w:r>
        <w:t xml:space="preserve"> </w:t>
      </w:r>
      <w:r>
        <w:rPr>
          <w:lang w:val="en-GB"/>
        </w:rPr>
        <w:t>Article 1(1).</w:t>
      </w:r>
      <w:r w:rsidR="00EB0A8F">
        <w:rPr>
          <w:lang w:val="en-GB"/>
        </w:rPr>
        <w:t xml:space="preserve"> EIR RECAST.</w:t>
      </w:r>
    </w:p>
  </w:footnote>
  <w:footnote w:id="8">
    <w:p w14:paraId="5D950555" w14:textId="044FB945" w:rsidR="00B033D6" w:rsidRPr="00B033D6" w:rsidRDefault="00B033D6">
      <w:pPr>
        <w:pStyle w:val="FootnoteText"/>
        <w:rPr>
          <w:lang w:val="en-GB"/>
        </w:rPr>
      </w:pPr>
      <w:r>
        <w:rPr>
          <w:rStyle w:val="FootnoteReference"/>
        </w:rPr>
        <w:footnoteRef/>
      </w:r>
      <w:r>
        <w:t xml:space="preserve"> </w:t>
      </w:r>
      <w:r>
        <w:rPr>
          <w:lang w:val="en-GB"/>
        </w:rPr>
        <w:t>Article 5(3).</w:t>
      </w:r>
      <w:r w:rsidR="00EB0A8F">
        <w:rPr>
          <w:lang w:val="en-GB"/>
        </w:rPr>
        <w:t xml:space="preserve"> DIRECTIVE.</w:t>
      </w:r>
    </w:p>
  </w:footnote>
  <w:footnote w:id="9">
    <w:p w14:paraId="3066EA28" w14:textId="6139EA55" w:rsidR="007E1223" w:rsidRPr="007E1223" w:rsidRDefault="007E1223">
      <w:pPr>
        <w:pStyle w:val="FootnoteText"/>
        <w:rPr>
          <w:lang w:val="en-GB"/>
        </w:rPr>
      </w:pPr>
      <w:r>
        <w:rPr>
          <w:rStyle w:val="FootnoteReference"/>
        </w:rPr>
        <w:footnoteRef/>
      </w:r>
      <w:r>
        <w:rPr>
          <w:rStyle w:val="FootnoteReference"/>
        </w:rPr>
        <w:footnoteRef/>
      </w:r>
      <w:r>
        <w:t xml:space="preserve"> Art 1(1) EIR 2000.</w:t>
      </w:r>
    </w:p>
  </w:footnote>
  <w:footnote w:id="10">
    <w:p w14:paraId="1AC1DE79" w14:textId="7B0EF1A6" w:rsidR="00AC5217" w:rsidRPr="00AC5217" w:rsidRDefault="00AC5217">
      <w:pPr>
        <w:pStyle w:val="FootnoteText"/>
        <w:rPr>
          <w:lang w:val="en-GB"/>
        </w:rPr>
      </w:pPr>
      <w:r>
        <w:rPr>
          <w:rStyle w:val="FootnoteReference"/>
        </w:rPr>
        <w:footnoteRef/>
      </w:r>
      <w:r>
        <w:t xml:space="preserve"> </w:t>
      </w:r>
      <w:r>
        <w:rPr>
          <w:lang w:val="en-GB"/>
        </w:rPr>
        <w:t>Article 1(1) I Recast.</w:t>
      </w:r>
    </w:p>
  </w:footnote>
  <w:footnote w:id="11">
    <w:p w14:paraId="2D499612" w14:textId="77777777" w:rsidR="00D11844" w:rsidRPr="005810B7" w:rsidRDefault="00070222" w:rsidP="00D11844">
      <w:pPr>
        <w:pStyle w:val="FootnoteText"/>
        <w:rPr>
          <w:lang w:val="en-GB"/>
        </w:rPr>
      </w:pPr>
      <w:r>
        <w:rPr>
          <w:rStyle w:val="FootnoteReference"/>
        </w:rPr>
        <w:footnoteRef/>
      </w:r>
      <w:r>
        <w:t xml:space="preserve"> </w:t>
      </w:r>
      <w:r w:rsidR="00D11844">
        <w:t>Case C-396/09, ECLI:EU:C:2011:671( Oct.20,2011).</w:t>
      </w:r>
    </w:p>
    <w:p w14:paraId="77987F9B" w14:textId="163612D3" w:rsidR="00070222" w:rsidRPr="00070222" w:rsidRDefault="00070222">
      <w:pPr>
        <w:pStyle w:val="FootnoteText"/>
        <w:rPr>
          <w:lang w:val="en-GB"/>
        </w:rPr>
      </w:pPr>
    </w:p>
  </w:footnote>
  <w:footnote w:id="12">
    <w:p w14:paraId="159119A5" w14:textId="46F866CA" w:rsidR="00D26158" w:rsidRPr="00D26158" w:rsidRDefault="00D26158">
      <w:pPr>
        <w:pStyle w:val="FootnoteText"/>
        <w:rPr>
          <w:lang w:val="en-GB"/>
        </w:rPr>
      </w:pPr>
      <w:r>
        <w:rPr>
          <w:rStyle w:val="FootnoteReference"/>
        </w:rPr>
        <w:footnoteRef/>
      </w:r>
      <w:r>
        <w:t xml:space="preserve"> Article 3(2) EIR Recast.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DD40FE"/>
    <w:multiLevelType w:val="hybridMultilevel"/>
    <w:tmpl w:val="46CED5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3A2B66"/>
    <w:multiLevelType w:val="hybridMultilevel"/>
    <w:tmpl w:val="3BE4EF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AEF2916"/>
    <w:multiLevelType w:val="hybridMultilevel"/>
    <w:tmpl w:val="5504CC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6814ABC"/>
    <w:multiLevelType w:val="hybridMultilevel"/>
    <w:tmpl w:val="CAF2635C"/>
    <w:lvl w:ilvl="0" w:tplc="20000019">
      <w:start w:val="1"/>
      <w:numFmt w:val="lowerLetter"/>
      <w:lvlText w:val="%1."/>
      <w:lvlJc w:val="left"/>
      <w:pPr>
        <w:ind w:left="1050" w:hanging="360"/>
      </w:pPr>
    </w:lvl>
    <w:lvl w:ilvl="1" w:tplc="20000019" w:tentative="1">
      <w:start w:val="1"/>
      <w:numFmt w:val="lowerLetter"/>
      <w:lvlText w:val="%2."/>
      <w:lvlJc w:val="left"/>
      <w:pPr>
        <w:ind w:left="1770" w:hanging="360"/>
      </w:pPr>
    </w:lvl>
    <w:lvl w:ilvl="2" w:tplc="2000001B" w:tentative="1">
      <w:start w:val="1"/>
      <w:numFmt w:val="lowerRoman"/>
      <w:lvlText w:val="%3."/>
      <w:lvlJc w:val="right"/>
      <w:pPr>
        <w:ind w:left="2490" w:hanging="180"/>
      </w:pPr>
    </w:lvl>
    <w:lvl w:ilvl="3" w:tplc="2000000F" w:tentative="1">
      <w:start w:val="1"/>
      <w:numFmt w:val="decimal"/>
      <w:lvlText w:val="%4."/>
      <w:lvlJc w:val="left"/>
      <w:pPr>
        <w:ind w:left="3210" w:hanging="360"/>
      </w:pPr>
    </w:lvl>
    <w:lvl w:ilvl="4" w:tplc="20000019" w:tentative="1">
      <w:start w:val="1"/>
      <w:numFmt w:val="lowerLetter"/>
      <w:lvlText w:val="%5."/>
      <w:lvlJc w:val="left"/>
      <w:pPr>
        <w:ind w:left="3930" w:hanging="360"/>
      </w:pPr>
    </w:lvl>
    <w:lvl w:ilvl="5" w:tplc="2000001B" w:tentative="1">
      <w:start w:val="1"/>
      <w:numFmt w:val="lowerRoman"/>
      <w:lvlText w:val="%6."/>
      <w:lvlJc w:val="right"/>
      <w:pPr>
        <w:ind w:left="4650" w:hanging="180"/>
      </w:pPr>
    </w:lvl>
    <w:lvl w:ilvl="6" w:tplc="2000000F" w:tentative="1">
      <w:start w:val="1"/>
      <w:numFmt w:val="decimal"/>
      <w:lvlText w:val="%7."/>
      <w:lvlJc w:val="left"/>
      <w:pPr>
        <w:ind w:left="5370" w:hanging="360"/>
      </w:pPr>
    </w:lvl>
    <w:lvl w:ilvl="7" w:tplc="20000019" w:tentative="1">
      <w:start w:val="1"/>
      <w:numFmt w:val="lowerLetter"/>
      <w:lvlText w:val="%8."/>
      <w:lvlJc w:val="left"/>
      <w:pPr>
        <w:ind w:left="6090" w:hanging="360"/>
      </w:pPr>
    </w:lvl>
    <w:lvl w:ilvl="8" w:tplc="2000001B" w:tentative="1">
      <w:start w:val="1"/>
      <w:numFmt w:val="lowerRoman"/>
      <w:lvlText w:val="%9."/>
      <w:lvlJc w:val="right"/>
      <w:pPr>
        <w:ind w:left="6810"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D747CCD"/>
    <w:multiLevelType w:val="hybridMultilevel"/>
    <w:tmpl w:val="AF946E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6A92E8B"/>
    <w:multiLevelType w:val="hybridMultilevel"/>
    <w:tmpl w:val="493C01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5"/>
  </w:num>
  <w:num w:numId="3">
    <w:abstractNumId w:val="17"/>
  </w:num>
  <w:num w:numId="4">
    <w:abstractNumId w:val="32"/>
  </w:num>
  <w:num w:numId="5">
    <w:abstractNumId w:val="24"/>
  </w:num>
  <w:num w:numId="6">
    <w:abstractNumId w:val="27"/>
  </w:num>
  <w:num w:numId="7">
    <w:abstractNumId w:val="6"/>
  </w:num>
  <w:num w:numId="8">
    <w:abstractNumId w:val="21"/>
  </w:num>
  <w:num w:numId="9">
    <w:abstractNumId w:val="20"/>
  </w:num>
  <w:num w:numId="10">
    <w:abstractNumId w:val="15"/>
  </w:num>
  <w:num w:numId="11">
    <w:abstractNumId w:val="22"/>
  </w:num>
  <w:num w:numId="12">
    <w:abstractNumId w:val="2"/>
  </w:num>
  <w:num w:numId="13">
    <w:abstractNumId w:val="12"/>
  </w:num>
  <w:num w:numId="14">
    <w:abstractNumId w:val="19"/>
  </w:num>
  <w:num w:numId="15">
    <w:abstractNumId w:val="16"/>
  </w:num>
  <w:num w:numId="16">
    <w:abstractNumId w:val="11"/>
  </w:num>
  <w:num w:numId="17">
    <w:abstractNumId w:val="14"/>
  </w:num>
  <w:num w:numId="18">
    <w:abstractNumId w:val="3"/>
  </w:num>
  <w:num w:numId="19">
    <w:abstractNumId w:val="0"/>
  </w:num>
  <w:num w:numId="20">
    <w:abstractNumId w:val="5"/>
  </w:num>
  <w:num w:numId="21">
    <w:abstractNumId w:val="0"/>
  </w:num>
  <w:num w:numId="22">
    <w:abstractNumId w:val="7"/>
  </w:num>
  <w:num w:numId="23">
    <w:abstractNumId w:val="26"/>
  </w:num>
  <w:num w:numId="24">
    <w:abstractNumId w:val="28"/>
  </w:num>
  <w:num w:numId="25">
    <w:abstractNumId w:val="4"/>
  </w:num>
  <w:num w:numId="26">
    <w:abstractNumId w:val="33"/>
  </w:num>
  <w:num w:numId="27">
    <w:abstractNumId w:val="8"/>
  </w:num>
  <w:num w:numId="28">
    <w:abstractNumId w:val="1"/>
  </w:num>
  <w:num w:numId="29">
    <w:abstractNumId w:val="13"/>
  </w:num>
  <w:num w:numId="30">
    <w:abstractNumId w:val="31"/>
  </w:num>
  <w:num w:numId="31">
    <w:abstractNumId w:val="9"/>
  </w:num>
  <w:num w:numId="32">
    <w:abstractNumId w:val="18"/>
  </w:num>
  <w:num w:numId="33">
    <w:abstractNumId w:val="23"/>
  </w:num>
  <w:num w:numId="34">
    <w:abstractNumId w:val="30"/>
  </w:num>
  <w:num w:numId="35">
    <w:abstractNumId w:val="29"/>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51C"/>
    <w:rsid w:val="00007146"/>
    <w:rsid w:val="00007532"/>
    <w:rsid w:val="00010BA0"/>
    <w:rsid w:val="0001344B"/>
    <w:rsid w:val="00016162"/>
    <w:rsid w:val="000168B7"/>
    <w:rsid w:val="00020557"/>
    <w:rsid w:val="000250C7"/>
    <w:rsid w:val="00026F16"/>
    <w:rsid w:val="0003705E"/>
    <w:rsid w:val="00037621"/>
    <w:rsid w:val="00037A8D"/>
    <w:rsid w:val="00041B32"/>
    <w:rsid w:val="00044D46"/>
    <w:rsid w:val="00045088"/>
    <w:rsid w:val="00045904"/>
    <w:rsid w:val="00054E15"/>
    <w:rsid w:val="00065166"/>
    <w:rsid w:val="00070222"/>
    <w:rsid w:val="00071621"/>
    <w:rsid w:val="00082609"/>
    <w:rsid w:val="000851CC"/>
    <w:rsid w:val="00087CD6"/>
    <w:rsid w:val="00093BE8"/>
    <w:rsid w:val="0009639E"/>
    <w:rsid w:val="000A68ED"/>
    <w:rsid w:val="000A7BF9"/>
    <w:rsid w:val="000B4A86"/>
    <w:rsid w:val="000B5FF1"/>
    <w:rsid w:val="000B609F"/>
    <w:rsid w:val="000C6BB5"/>
    <w:rsid w:val="000D55A8"/>
    <w:rsid w:val="000E4841"/>
    <w:rsid w:val="000F1677"/>
    <w:rsid w:val="000F3D6C"/>
    <w:rsid w:val="000F4A14"/>
    <w:rsid w:val="00101707"/>
    <w:rsid w:val="00102D26"/>
    <w:rsid w:val="00104E52"/>
    <w:rsid w:val="00113E29"/>
    <w:rsid w:val="0011473D"/>
    <w:rsid w:val="0011548B"/>
    <w:rsid w:val="00115C85"/>
    <w:rsid w:val="00123855"/>
    <w:rsid w:val="00126A4D"/>
    <w:rsid w:val="00127060"/>
    <w:rsid w:val="0014171F"/>
    <w:rsid w:val="0014622C"/>
    <w:rsid w:val="00152348"/>
    <w:rsid w:val="0015456D"/>
    <w:rsid w:val="00155FA2"/>
    <w:rsid w:val="00161F1B"/>
    <w:rsid w:val="00162829"/>
    <w:rsid w:val="001639EF"/>
    <w:rsid w:val="0017240A"/>
    <w:rsid w:val="00174DC4"/>
    <w:rsid w:val="00175A7D"/>
    <w:rsid w:val="00177207"/>
    <w:rsid w:val="00180548"/>
    <w:rsid w:val="00180AC4"/>
    <w:rsid w:val="00180CCE"/>
    <w:rsid w:val="0018267A"/>
    <w:rsid w:val="00182779"/>
    <w:rsid w:val="001830DF"/>
    <w:rsid w:val="00183ED8"/>
    <w:rsid w:val="00187A34"/>
    <w:rsid w:val="00195033"/>
    <w:rsid w:val="001966D9"/>
    <w:rsid w:val="001975E7"/>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10F"/>
    <w:rsid w:val="00203720"/>
    <w:rsid w:val="0020725B"/>
    <w:rsid w:val="00210434"/>
    <w:rsid w:val="002110F1"/>
    <w:rsid w:val="00222FB5"/>
    <w:rsid w:val="0024116D"/>
    <w:rsid w:val="00241B44"/>
    <w:rsid w:val="00241FA3"/>
    <w:rsid w:val="00244C44"/>
    <w:rsid w:val="00245EFB"/>
    <w:rsid w:val="0025386E"/>
    <w:rsid w:val="00257A03"/>
    <w:rsid w:val="002638B0"/>
    <w:rsid w:val="0026647A"/>
    <w:rsid w:val="002668D3"/>
    <w:rsid w:val="0027299F"/>
    <w:rsid w:val="002729AB"/>
    <w:rsid w:val="00284EBE"/>
    <w:rsid w:val="002916E5"/>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19F2"/>
    <w:rsid w:val="002F3440"/>
    <w:rsid w:val="002F5885"/>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1ED3"/>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444E"/>
    <w:rsid w:val="003B743E"/>
    <w:rsid w:val="003C4342"/>
    <w:rsid w:val="003C4471"/>
    <w:rsid w:val="003C4BCB"/>
    <w:rsid w:val="003D0A6D"/>
    <w:rsid w:val="003D17A2"/>
    <w:rsid w:val="003D1974"/>
    <w:rsid w:val="003D4A79"/>
    <w:rsid w:val="003E0B16"/>
    <w:rsid w:val="003E4DB0"/>
    <w:rsid w:val="003E67D1"/>
    <w:rsid w:val="00404329"/>
    <w:rsid w:val="00405DC1"/>
    <w:rsid w:val="004063E4"/>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86305"/>
    <w:rsid w:val="00491675"/>
    <w:rsid w:val="00493855"/>
    <w:rsid w:val="0049459C"/>
    <w:rsid w:val="00495E79"/>
    <w:rsid w:val="0049649C"/>
    <w:rsid w:val="004A0692"/>
    <w:rsid w:val="004A2244"/>
    <w:rsid w:val="004A57DD"/>
    <w:rsid w:val="004A7B51"/>
    <w:rsid w:val="004A7D71"/>
    <w:rsid w:val="004A7EF3"/>
    <w:rsid w:val="004B11FD"/>
    <w:rsid w:val="004B13CC"/>
    <w:rsid w:val="004B23A2"/>
    <w:rsid w:val="004B517C"/>
    <w:rsid w:val="004C0D03"/>
    <w:rsid w:val="004C0D33"/>
    <w:rsid w:val="004D1A5A"/>
    <w:rsid w:val="004D2FFF"/>
    <w:rsid w:val="004D3721"/>
    <w:rsid w:val="004D64F9"/>
    <w:rsid w:val="004E3A6B"/>
    <w:rsid w:val="004E622C"/>
    <w:rsid w:val="004F4245"/>
    <w:rsid w:val="004F4AF9"/>
    <w:rsid w:val="004F5FDF"/>
    <w:rsid w:val="005177FE"/>
    <w:rsid w:val="00521CC8"/>
    <w:rsid w:val="0052263B"/>
    <w:rsid w:val="00524728"/>
    <w:rsid w:val="00532C70"/>
    <w:rsid w:val="005331CA"/>
    <w:rsid w:val="00537970"/>
    <w:rsid w:val="00540E3A"/>
    <w:rsid w:val="00544127"/>
    <w:rsid w:val="00544F6E"/>
    <w:rsid w:val="005463A9"/>
    <w:rsid w:val="00553EB2"/>
    <w:rsid w:val="00560534"/>
    <w:rsid w:val="0056391B"/>
    <w:rsid w:val="005650E2"/>
    <w:rsid w:val="00567AD7"/>
    <w:rsid w:val="00571ED5"/>
    <w:rsid w:val="00575B2D"/>
    <w:rsid w:val="00576131"/>
    <w:rsid w:val="00576465"/>
    <w:rsid w:val="005810B7"/>
    <w:rsid w:val="005825F5"/>
    <w:rsid w:val="005833D0"/>
    <w:rsid w:val="005846F3"/>
    <w:rsid w:val="005857C8"/>
    <w:rsid w:val="0058622F"/>
    <w:rsid w:val="00591280"/>
    <w:rsid w:val="00592F82"/>
    <w:rsid w:val="005A04CA"/>
    <w:rsid w:val="005A0CCA"/>
    <w:rsid w:val="005A726D"/>
    <w:rsid w:val="005B3D62"/>
    <w:rsid w:val="005B67AC"/>
    <w:rsid w:val="005B79F4"/>
    <w:rsid w:val="005B7C95"/>
    <w:rsid w:val="005C1D45"/>
    <w:rsid w:val="005C4BB0"/>
    <w:rsid w:val="005C7C5F"/>
    <w:rsid w:val="005D2CD6"/>
    <w:rsid w:val="005D43E0"/>
    <w:rsid w:val="005D58A3"/>
    <w:rsid w:val="005E1B79"/>
    <w:rsid w:val="005E7008"/>
    <w:rsid w:val="005E784A"/>
    <w:rsid w:val="005F026D"/>
    <w:rsid w:val="005F02F5"/>
    <w:rsid w:val="005F19C3"/>
    <w:rsid w:val="005F2AEA"/>
    <w:rsid w:val="005F2D0B"/>
    <w:rsid w:val="005F4B31"/>
    <w:rsid w:val="006048C0"/>
    <w:rsid w:val="00610388"/>
    <w:rsid w:val="00611DE6"/>
    <w:rsid w:val="00612CA5"/>
    <w:rsid w:val="006153EC"/>
    <w:rsid w:val="00621A17"/>
    <w:rsid w:val="00622BC1"/>
    <w:rsid w:val="00627CC9"/>
    <w:rsid w:val="00627DE9"/>
    <w:rsid w:val="00627E7B"/>
    <w:rsid w:val="00630542"/>
    <w:rsid w:val="0063292A"/>
    <w:rsid w:val="00632E44"/>
    <w:rsid w:val="00634622"/>
    <w:rsid w:val="00634666"/>
    <w:rsid w:val="00636808"/>
    <w:rsid w:val="00636C15"/>
    <w:rsid w:val="00641515"/>
    <w:rsid w:val="00641FAD"/>
    <w:rsid w:val="00654B27"/>
    <w:rsid w:val="00654C2F"/>
    <w:rsid w:val="006554E6"/>
    <w:rsid w:val="00656DA7"/>
    <w:rsid w:val="00657087"/>
    <w:rsid w:val="006603F1"/>
    <w:rsid w:val="006639DB"/>
    <w:rsid w:val="006661EF"/>
    <w:rsid w:val="006676B4"/>
    <w:rsid w:val="006723E9"/>
    <w:rsid w:val="00677AEB"/>
    <w:rsid w:val="00680EF2"/>
    <w:rsid w:val="00687A1D"/>
    <w:rsid w:val="00696ED8"/>
    <w:rsid w:val="00697EA1"/>
    <w:rsid w:val="006A2646"/>
    <w:rsid w:val="006A2A0C"/>
    <w:rsid w:val="006A6530"/>
    <w:rsid w:val="006B00CE"/>
    <w:rsid w:val="006B435A"/>
    <w:rsid w:val="006B4C64"/>
    <w:rsid w:val="006C4FAA"/>
    <w:rsid w:val="006D217A"/>
    <w:rsid w:val="006D2968"/>
    <w:rsid w:val="006D6BD5"/>
    <w:rsid w:val="006E481A"/>
    <w:rsid w:val="006E5287"/>
    <w:rsid w:val="006E5298"/>
    <w:rsid w:val="006E7293"/>
    <w:rsid w:val="006F0106"/>
    <w:rsid w:val="006F2B12"/>
    <w:rsid w:val="006F4A78"/>
    <w:rsid w:val="006F734A"/>
    <w:rsid w:val="00700D83"/>
    <w:rsid w:val="00704852"/>
    <w:rsid w:val="007074E9"/>
    <w:rsid w:val="00713DA4"/>
    <w:rsid w:val="00714BF1"/>
    <w:rsid w:val="00721383"/>
    <w:rsid w:val="0073158B"/>
    <w:rsid w:val="007333CC"/>
    <w:rsid w:val="0073399A"/>
    <w:rsid w:val="00736E74"/>
    <w:rsid w:val="007371E5"/>
    <w:rsid w:val="00745D6F"/>
    <w:rsid w:val="00756B4F"/>
    <w:rsid w:val="007603F5"/>
    <w:rsid w:val="00764DB0"/>
    <w:rsid w:val="0076764D"/>
    <w:rsid w:val="0077498C"/>
    <w:rsid w:val="007772BD"/>
    <w:rsid w:val="007809BC"/>
    <w:rsid w:val="00782DF0"/>
    <w:rsid w:val="00782EE1"/>
    <w:rsid w:val="00784128"/>
    <w:rsid w:val="00793173"/>
    <w:rsid w:val="00796B7D"/>
    <w:rsid w:val="007977E2"/>
    <w:rsid w:val="007A107A"/>
    <w:rsid w:val="007A2A33"/>
    <w:rsid w:val="007A6B8D"/>
    <w:rsid w:val="007A7B20"/>
    <w:rsid w:val="007C1FCC"/>
    <w:rsid w:val="007C50AA"/>
    <w:rsid w:val="007C6201"/>
    <w:rsid w:val="007C6760"/>
    <w:rsid w:val="007D7C92"/>
    <w:rsid w:val="007E1154"/>
    <w:rsid w:val="007E1223"/>
    <w:rsid w:val="007E39B3"/>
    <w:rsid w:val="007E44C4"/>
    <w:rsid w:val="007E5C1C"/>
    <w:rsid w:val="007E6905"/>
    <w:rsid w:val="007E6BA4"/>
    <w:rsid w:val="007F41F8"/>
    <w:rsid w:val="007F6A57"/>
    <w:rsid w:val="00800B1B"/>
    <w:rsid w:val="00800B76"/>
    <w:rsid w:val="008017F0"/>
    <w:rsid w:val="0080454E"/>
    <w:rsid w:val="00804C32"/>
    <w:rsid w:val="00804DA6"/>
    <w:rsid w:val="00806302"/>
    <w:rsid w:val="00807119"/>
    <w:rsid w:val="0082424D"/>
    <w:rsid w:val="0082483F"/>
    <w:rsid w:val="00824B74"/>
    <w:rsid w:val="008279C0"/>
    <w:rsid w:val="00835422"/>
    <w:rsid w:val="00841051"/>
    <w:rsid w:val="008433C8"/>
    <w:rsid w:val="008500BD"/>
    <w:rsid w:val="00857862"/>
    <w:rsid w:val="00860723"/>
    <w:rsid w:val="00864593"/>
    <w:rsid w:val="0086548F"/>
    <w:rsid w:val="008723F3"/>
    <w:rsid w:val="00874240"/>
    <w:rsid w:val="0087750A"/>
    <w:rsid w:val="00881A0F"/>
    <w:rsid w:val="00881DE6"/>
    <w:rsid w:val="008836D9"/>
    <w:rsid w:val="008837A6"/>
    <w:rsid w:val="0089145D"/>
    <w:rsid w:val="0089362E"/>
    <w:rsid w:val="00894C1D"/>
    <w:rsid w:val="00897A78"/>
    <w:rsid w:val="008A01C7"/>
    <w:rsid w:val="008A2D1D"/>
    <w:rsid w:val="008A3046"/>
    <w:rsid w:val="008A4DF2"/>
    <w:rsid w:val="008A6CFE"/>
    <w:rsid w:val="008B0A19"/>
    <w:rsid w:val="008B18EA"/>
    <w:rsid w:val="008B1B4B"/>
    <w:rsid w:val="008B5333"/>
    <w:rsid w:val="008B6223"/>
    <w:rsid w:val="008C28D4"/>
    <w:rsid w:val="008C385B"/>
    <w:rsid w:val="008C4AC6"/>
    <w:rsid w:val="008C66E0"/>
    <w:rsid w:val="008D062E"/>
    <w:rsid w:val="008D6048"/>
    <w:rsid w:val="008D62F7"/>
    <w:rsid w:val="008D70EB"/>
    <w:rsid w:val="008E0EC8"/>
    <w:rsid w:val="008E3339"/>
    <w:rsid w:val="008E3C96"/>
    <w:rsid w:val="008E7371"/>
    <w:rsid w:val="008F20FC"/>
    <w:rsid w:val="008F41DD"/>
    <w:rsid w:val="008F5148"/>
    <w:rsid w:val="008F5FFE"/>
    <w:rsid w:val="008F6B36"/>
    <w:rsid w:val="00903B68"/>
    <w:rsid w:val="00905A43"/>
    <w:rsid w:val="00912C79"/>
    <w:rsid w:val="00914A23"/>
    <w:rsid w:val="00935A21"/>
    <w:rsid w:val="00942123"/>
    <w:rsid w:val="0095207B"/>
    <w:rsid w:val="009600E0"/>
    <w:rsid w:val="00962045"/>
    <w:rsid w:val="00967219"/>
    <w:rsid w:val="00971896"/>
    <w:rsid w:val="00977E7A"/>
    <w:rsid w:val="00980E61"/>
    <w:rsid w:val="00991428"/>
    <w:rsid w:val="00992676"/>
    <w:rsid w:val="009954B2"/>
    <w:rsid w:val="00996691"/>
    <w:rsid w:val="00996BE2"/>
    <w:rsid w:val="009B0723"/>
    <w:rsid w:val="009B07AD"/>
    <w:rsid w:val="009B0883"/>
    <w:rsid w:val="009B15E2"/>
    <w:rsid w:val="009B4976"/>
    <w:rsid w:val="009C0B8E"/>
    <w:rsid w:val="009C1BC8"/>
    <w:rsid w:val="009C2442"/>
    <w:rsid w:val="009C5E52"/>
    <w:rsid w:val="009D0811"/>
    <w:rsid w:val="009D0EE1"/>
    <w:rsid w:val="009D612B"/>
    <w:rsid w:val="009E2AEB"/>
    <w:rsid w:val="009E2E27"/>
    <w:rsid w:val="009E39B2"/>
    <w:rsid w:val="009E4DE3"/>
    <w:rsid w:val="009F211E"/>
    <w:rsid w:val="009F275E"/>
    <w:rsid w:val="00A047EE"/>
    <w:rsid w:val="00A05E1E"/>
    <w:rsid w:val="00A07E6F"/>
    <w:rsid w:val="00A11E80"/>
    <w:rsid w:val="00A16616"/>
    <w:rsid w:val="00A17858"/>
    <w:rsid w:val="00A2274A"/>
    <w:rsid w:val="00A235B7"/>
    <w:rsid w:val="00A26868"/>
    <w:rsid w:val="00A27A7A"/>
    <w:rsid w:val="00A33FA6"/>
    <w:rsid w:val="00A407EF"/>
    <w:rsid w:val="00A4368D"/>
    <w:rsid w:val="00A46B4C"/>
    <w:rsid w:val="00A50055"/>
    <w:rsid w:val="00A5117B"/>
    <w:rsid w:val="00A54CB5"/>
    <w:rsid w:val="00A60074"/>
    <w:rsid w:val="00A620A6"/>
    <w:rsid w:val="00A62FDA"/>
    <w:rsid w:val="00A64A95"/>
    <w:rsid w:val="00A6627C"/>
    <w:rsid w:val="00A71019"/>
    <w:rsid w:val="00A7758E"/>
    <w:rsid w:val="00A81029"/>
    <w:rsid w:val="00A82731"/>
    <w:rsid w:val="00A83E9F"/>
    <w:rsid w:val="00A96489"/>
    <w:rsid w:val="00AA55B5"/>
    <w:rsid w:val="00AB29D9"/>
    <w:rsid w:val="00AB685C"/>
    <w:rsid w:val="00AB6C2D"/>
    <w:rsid w:val="00AC08F7"/>
    <w:rsid w:val="00AC3839"/>
    <w:rsid w:val="00AC4C4F"/>
    <w:rsid w:val="00AC5217"/>
    <w:rsid w:val="00AC7082"/>
    <w:rsid w:val="00AD2931"/>
    <w:rsid w:val="00AD513F"/>
    <w:rsid w:val="00AD6870"/>
    <w:rsid w:val="00AE2316"/>
    <w:rsid w:val="00AE74BA"/>
    <w:rsid w:val="00AF228E"/>
    <w:rsid w:val="00AF6180"/>
    <w:rsid w:val="00B016A8"/>
    <w:rsid w:val="00B033D6"/>
    <w:rsid w:val="00B070D2"/>
    <w:rsid w:val="00B07AAB"/>
    <w:rsid w:val="00B1072C"/>
    <w:rsid w:val="00B12499"/>
    <w:rsid w:val="00B12EF7"/>
    <w:rsid w:val="00B14819"/>
    <w:rsid w:val="00B15E2F"/>
    <w:rsid w:val="00B17AA9"/>
    <w:rsid w:val="00B30D9A"/>
    <w:rsid w:val="00B44713"/>
    <w:rsid w:val="00B53D13"/>
    <w:rsid w:val="00B56103"/>
    <w:rsid w:val="00B60A69"/>
    <w:rsid w:val="00B64929"/>
    <w:rsid w:val="00B70CB2"/>
    <w:rsid w:val="00B736DF"/>
    <w:rsid w:val="00B743D6"/>
    <w:rsid w:val="00B74725"/>
    <w:rsid w:val="00B74FBD"/>
    <w:rsid w:val="00B77719"/>
    <w:rsid w:val="00B77F46"/>
    <w:rsid w:val="00B82586"/>
    <w:rsid w:val="00B829A3"/>
    <w:rsid w:val="00B84684"/>
    <w:rsid w:val="00B86DB1"/>
    <w:rsid w:val="00B87869"/>
    <w:rsid w:val="00B96BF4"/>
    <w:rsid w:val="00B96CE3"/>
    <w:rsid w:val="00BA2E89"/>
    <w:rsid w:val="00BA38AB"/>
    <w:rsid w:val="00BA543A"/>
    <w:rsid w:val="00BB0F2B"/>
    <w:rsid w:val="00BB38D1"/>
    <w:rsid w:val="00BB70F1"/>
    <w:rsid w:val="00BC6912"/>
    <w:rsid w:val="00BC73CD"/>
    <w:rsid w:val="00BD300A"/>
    <w:rsid w:val="00BD73DA"/>
    <w:rsid w:val="00BE4FF3"/>
    <w:rsid w:val="00BF50F7"/>
    <w:rsid w:val="00C00B20"/>
    <w:rsid w:val="00C00E77"/>
    <w:rsid w:val="00C02F29"/>
    <w:rsid w:val="00C15FA2"/>
    <w:rsid w:val="00C20AFE"/>
    <w:rsid w:val="00C22A25"/>
    <w:rsid w:val="00C26FFA"/>
    <w:rsid w:val="00C3155A"/>
    <w:rsid w:val="00C35671"/>
    <w:rsid w:val="00C35B77"/>
    <w:rsid w:val="00C35F52"/>
    <w:rsid w:val="00C376EB"/>
    <w:rsid w:val="00C41254"/>
    <w:rsid w:val="00C46A92"/>
    <w:rsid w:val="00C46DF7"/>
    <w:rsid w:val="00C46EC1"/>
    <w:rsid w:val="00C52796"/>
    <w:rsid w:val="00C53E2C"/>
    <w:rsid w:val="00C550C8"/>
    <w:rsid w:val="00C56B61"/>
    <w:rsid w:val="00C56FA8"/>
    <w:rsid w:val="00C606C3"/>
    <w:rsid w:val="00C60B85"/>
    <w:rsid w:val="00C620F4"/>
    <w:rsid w:val="00C62369"/>
    <w:rsid w:val="00C63E03"/>
    <w:rsid w:val="00C64C3F"/>
    <w:rsid w:val="00C72848"/>
    <w:rsid w:val="00C754B9"/>
    <w:rsid w:val="00C7729F"/>
    <w:rsid w:val="00C7736C"/>
    <w:rsid w:val="00C80466"/>
    <w:rsid w:val="00C82D87"/>
    <w:rsid w:val="00C837A8"/>
    <w:rsid w:val="00C8712A"/>
    <w:rsid w:val="00C954B3"/>
    <w:rsid w:val="00C95690"/>
    <w:rsid w:val="00C963D3"/>
    <w:rsid w:val="00C97790"/>
    <w:rsid w:val="00CA7069"/>
    <w:rsid w:val="00CB1983"/>
    <w:rsid w:val="00CB2CBB"/>
    <w:rsid w:val="00CB7CAC"/>
    <w:rsid w:val="00CC5335"/>
    <w:rsid w:val="00CC5BA4"/>
    <w:rsid w:val="00CD4998"/>
    <w:rsid w:val="00CE1035"/>
    <w:rsid w:val="00CE4206"/>
    <w:rsid w:val="00CE6E50"/>
    <w:rsid w:val="00CF2819"/>
    <w:rsid w:val="00CF4F9D"/>
    <w:rsid w:val="00CF70DC"/>
    <w:rsid w:val="00D11844"/>
    <w:rsid w:val="00D148DC"/>
    <w:rsid w:val="00D17FDC"/>
    <w:rsid w:val="00D21F62"/>
    <w:rsid w:val="00D22B29"/>
    <w:rsid w:val="00D23248"/>
    <w:rsid w:val="00D26158"/>
    <w:rsid w:val="00D26E26"/>
    <w:rsid w:val="00D43B3A"/>
    <w:rsid w:val="00D509A5"/>
    <w:rsid w:val="00D51F1D"/>
    <w:rsid w:val="00D56B4E"/>
    <w:rsid w:val="00D608A4"/>
    <w:rsid w:val="00D60E46"/>
    <w:rsid w:val="00D628CA"/>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5D07"/>
    <w:rsid w:val="00DE6633"/>
    <w:rsid w:val="00DF0864"/>
    <w:rsid w:val="00DF75F8"/>
    <w:rsid w:val="00DF7A3A"/>
    <w:rsid w:val="00E00C00"/>
    <w:rsid w:val="00E030EE"/>
    <w:rsid w:val="00E03AF0"/>
    <w:rsid w:val="00E07C5A"/>
    <w:rsid w:val="00E12F22"/>
    <w:rsid w:val="00E14462"/>
    <w:rsid w:val="00E15BA9"/>
    <w:rsid w:val="00E26E19"/>
    <w:rsid w:val="00E30C8A"/>
    <w:rsid w:val="00E31DF3"/>
    <w:rsid w:val="00E32290"/>
    <w:rsid w:val="00E36039"/>
    <w:rsid w:val="00E40076"/>
    <w:rsid w:val="00E450A4"/>
    <w:rsid w:val="00E506BE"/>
    <w:rsid w:val="00E55547"/>
    <w:rsid w:val="00E604A1"/>
    <w:rsid w:val="00E6302B"/>
    <w:rsid w:val="00E6452F"/>
    <w:rsid w:val="00E64F45"/>
    <w:rsid w:val="00E6742D"/>
    <w:rsid w:val="00E71CB0"/>
    <w:rsid w:val="00E77C3D"/>
    <w:rsid w:val="00E81160"/>
    <w:rsid w:val="00E81FD3"/>
    <w:rsid w:val="00E83CE8"/>
    <w:rsid w:val="00E90991"/>
    <w:rsid w:val="00E909F0"/>
    <w:rsid w:val="00E90D47"/>
    <w:rsid w:val="00E93993"/>
    <w:rsid w:val="00E9597C"/>
    <w:rsid w:val="00EA0913"/>
    <w:rsid w:val="00EA5B00"/>
    <w:rsid w:val="00EB0A8F"/>
    <w:rsid w:val="00EB146B"/>
    <w:rsid w:val="00EB37B5"/>
    <w:rsid w:val="00EB45AC"/>
    <w:rsid w:val="00EB5CA4"/>
    <w:rsid w:val="00EC00F9"/>
    <w:rsid w:val="00EC242E"/>
    <w:rsid w:val="00EC3C96"/>
    <w:rsid w:val="00ED0BC4"/>
    <w:rsid w:val="00ED20E8"/>
    <w:rsid w:val="00ED472A"/>
    <w:rsid w:val="00ED54B6"/>
    <w:rsid w:val="00EE4971"/>
    <w:rsid w:val="00EF090E"/>
    <w:rsid w:val="00EF6839"/>
    <w:rsid w:val="00F033DA"/>
    <w:rsid w:val="00F13FB1"/>
    <w:rsid w:val="00F20425"/>
    <w:rsid w:val="00F27CD8"/>
    <w:rsid w:val="00F30351"/>
    <w:rsid w:val="00F3323E"/>
    <w:rsid w:val="00F341F4"/>
    <w:rsid w:val="00F34F9D"/>
    <w:rsid w:val="00F35CCE"/>
    <w:rsid w:val="00F5524B"/>
    <w:rsid w:val="00F60538"/>
    <w:rsid w:val="00F61DD2"/>
    <w:rsid w:val="00F66AFF"/>
    <w:rsid w:val="00F673F3"/>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410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F2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2/iir.1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6410-884A-434E-9029-79AA7B17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13</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AOJ</cp:lastModifiedBy>
  <cp:revision>71</cp:revision>
  <cp:lastPrinted>2023-05-24T20:09:00Z</cp:lastPrinted>
  <dcterms:created xsi:type="dcterms:W3CDTF">2023-05-04T11:41:00Z</dcterms:created>
  <dcterms:modified xsi:type="dcterms:W3CDTF">2023-05-24T21:06:00Z</dcterms:modified>
</cp:coreProperties>
</file>