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235E99" w:rsidRDefault="00500836" w:rsidP="00500836">
      <w:pPr>
        <w:pStyle w:val="ListParagraph"/>
        <w:numPr>
          <w:ilvl w:val="0"/>
          <w:numId w:val="22"/>
        </w:numPr>
        <w:ind w:left="426"/>
        <w:jc w:val="both"/>
        <w:rPr>
          <w:rFonts w:ascii="Avenir Next" w:hAnsi="Avenir Next" w:cs="Arial"/>
          <w:sz w:val="22"/>
          <w:szCs w:val="22"/>
          <w:highlight w:val="yellow"/>
          <w:lang w:val="en-GB"/>
        </w:rPr>
      </w:pPr>
      <w:r w:rsidRPr="00235E99">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940A1E" w:rsidRDefault="00D03AE2" w:rsidP="00D03AE2">
      <w:pPr>
        <w:pStyle w:val="ListParagraph"/>
        <w:numPr>
          <w:ilvl w:val="0"/>
          <w:numId w:val="23"/>
        </w:numPr>
        <w:ind w:left="426"/>
        <w:jc w:val="both"/>
        <w:rPr>
          <w:rFonts w:ascii="Avenir Next" w:hAnsi="Avenir Next" w:cs="Arial"/>
          <w:sz w:val="22"/>
          <w:szCs w:val="22"/>
          <w:highlight w:val="yellow"/>
        </w:rPr>
      </w:pPr>
      <w:r w:rsidRPr="00940A1E">
        <w:rPr>
          <w:rFonts w:ascii="Avenir Next" w:hAnsi="Avenir Next" w:cs="Arial"/>
          <w:sz w:val="22"/>
          <w:szCs w:val="22"/>
          <w:highlight w:val="yellow"/>
        </w:rPr>
        <w:t>T</w:t>
      </w:r>
      <w:r w:rsidR="00582326" w:rsidRPr="00940A1E">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605027" w:rsidRDefault="00771D67" w:rsidP="00992661">
      <w:pPr>
        <w:pStyle w:val="ListParagraph"/>
        <w:numPr>
          <w:ilvl w:val="0"/>
          <w:numId w:val="24"/>
        </w:numPr>
        <w:ind w:left="426"/>
        <w:rPr>
          <w:rFonts w:ascii="Avenir Next" w:hAnsi="Avenir Next" w:cs="Arial"/>
          <w:sz w:val="22"/>
          <w:szCs w:val="22"/>
          <w:highlight w:val="yellow"/>
        </w:rPr>
      </w:pPr>
      <w:r w:rsidRPr="00605027">
        <w:rPr>
          <w:rFonts w:ascii="Avenir Next" w:hAnsi="Avenir Next" w:cs="Arial"/>
          <w:sz w:val="22"/>
          <w:szCs w:val="22"/>
          <w:highlight w:val="yellow"/>
        </w:rPr>
        <w:t xml:space="preserve">The CCAA is available to companies with debts </w:t>
      </w:r>
      <w:r w:rsidR="00992661" w:rsidRPr="00605027">
        <w:rPr>
          <w:rFonts w:ascii="Avenir Next" w:hAnsi="Avenir Next" w:cs="Arial"/>
          <w:sz w:val="22"/>
          <w:szCs w:val="22"/>
          <w:highlight w:val="yellow"/>
        </w:rPr>
        <w:t xml:space="preserve">of </w:t>
      </w:r>
      <w:r w:rsidRPr="00605027">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proofErr w:type="spellStart"/>
      <w:r w:rsidRPr="00260EF7">
        <w:rPr>
          <w:rFonts w:ascii="Avenir Next" w:hAnsi="Avenir Next" w:cs="Arial"/>
          <w:i/>
          <w:iCs/>
          <w:sz w:val="22"/>
          <w:szCs w:val="22"/>
        </w:rPr>
        <w:t>pari</w:t>
      </w:r>
      <w:proofErr w:type="spellEnd"/>
      <w:r w:rsidRPr="00260EF7">
        <w:rPr>
          <w:rFonts w:ascii="Avenir Next" w:hAnsi="Avenir Next" w:cs="Arial"/>
          <w:i/>
          <w:iCs/>
          <w:sz w:val="22"/>
          <w:szCs w:val="22"/>
        </w:rPr>
        <w:t xml:space="preserve">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804DC1" w:rsidRDefault="00B4609D" w:rsidP="00B4609D">
      <w:pPr>
        <w:pStyle w:val="ListParagraph"/>
        <w:numPr>
          <w:ilvl w:val="0"/>
          <w:numId w:val="25"/>
        </w:numPr>
        <w:ind w:left="426"/>
        <w:jc w:val="both"/>
        <w:rPr>
          <w:rFonts w:ascii="Avenir Next" w:hAnsi="Avenir Next" w:cs="Arial"/>
          <w:sz w:val="22"/>
          <w:szCs w:val="22"/>
          <w:highlight w:val="yellow"/>
        </w:rPr>
      </w:pPr>
      <w:r w:rsidRPr="00804DC1">
        <w:rPr>
          <w:rFonts w:ascii="Avenir Next" w:hAnsi="Avenir Next" w:cs="Arial"/>
          <w:sz w:val="22"/>
          <w:szCs w:val="22"/>
          <w:highlight w:val="yellow"/>
        </w:rPr>
        <w:t>all of the above statements</w:t>
      </w:r>
      <w:r w:rsidR="00D40715" w:rsidRPr="00804DC1">
        <w:rPr>
          <w:rFonts w:ascii="Avenir Next" w:hAnsi="Avenir Next" w:cs="Arial"/>
          <w:sz w:val="22"/>
          <w:szCs w:val="22"/>
          <w:highlight w:val="yellow"/>
        </w:rPr>
        <w:t xml:space="preserve"> are correct</w:t>
      </w:r>
      <w:r w:rsidRPr="00804DC1">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147C48"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147C48">
        <w:rPr>
          <w:rFonts w:ascii="Avenir Next" w:hAnsi="Avenir Next" w:cs="Arial"/>
          <w:sz w:val="22"/>
          <w:szCs w:val="22"/>
          <w:highlight w:val="yellow"/>
          <w:lang w:val="en-GB"/>
        </w:rPr>
        <w:t>A</w:t>
      </w:r>
      <w:r w:rsidR="00012B29" w:rsidRPr="00147C48">
        <w:rPr>
          <w:rFonts w:ascii="Avenir Next" w:hAnsi="Avenir Next" w:cs="Arial"/>
          <w:sz w:val="22"/>
          <w:szCs w:val="22"/>
          <w:highlight w:val="yellow"/>
          <w:lang w:val="en-GB"/>
        </w:rPr>
        <w:t xml:space="preserve"> person whose liabilities to creditors provable as claims under the BIA amount to at least CAD 10,000</w:t>
      </w:r>
      <w:r w:rsidRPr="00147C48">
        <w:rPr>
          <w:rFonts w:ascii="Avenir Next" w:hAnsi="Avenir Next" w:cs="Arial"/>
          <w:sz w:val="22"/>
          <w:szCs w:val="22"/>
          <w:highlight w:val="yellow"/>
          <w:lang w:val="en-GB"/>
        </w:rPr>
        <w:t>.</w:t>
      </w:r>
      <w:r w:rsidR="00012B29" w:rsidRPr="00147C48">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5C4559" w:rsidRDefault="00351EF7" w:rsidP="00351EF7">
      <w:pPr>
        <w:pStyle w:val="ListParagraph"/>
        <w:numPr>
          <w:ilvl w:val="0"/>
          <w:numId w:val="27"/>
        </w:numPr>
        <w:ind w:left="426"/>
        <w:jc w:val="both"/>
        <w:rPr>
          <w:rFonts w:ascii="Avenir Next" w:hAnsi="Avenir Next" w:cs="Arial"/>
          <w:sz w:val="22"/>
          <w:szCs w:val="22"/>
          <w:highlight w:val="yellow"/>
          <w:lang w:val="en-GB"/>
        </w:rPr>
      </w:pPr>
      <w:r w:rsidRPr="005C4559">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F61252"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F61252">
        <w:rPr>
          <w:rFonts w:ascii="Avenir Next" w:hAnsi="Avenir Next" w:cs="Arial"/>
          <w:iCs/>
          <w:sz w:val="22"/>
          <w:szCs w:val="22"/>
          <w:highlight w:val="yellow"/>
          <w:lang w:val="en-GB"/>
        </w:rPr>
        <w:t>True</w:t>
      </w:r>
      <w:r w:rsidR="00F47A63" w:rsidRPr="00F61252">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 xml:space="preserve">The CCAA is a debtor-in-possession restructuring statute designed for the </w:t>
      </w:r>
      <w:proofErr w:type="spellStart"/>
      <w:r w:rsidRPr="00864AC2">
        <w:rPr>
          <w:rFonts w:ascii="Avenir Next" w:hAnsi="Avenir Next" w:cs="Arial"/>
          <w:sz w:val="22"/>
          <w:szCs w:val="22"/>
        </w:rPr>
        <w:t>reorgani</w:t>
      </w:r>
      <w:r w:rsidR="000032D2">
        <w:rPr>
          <w:rFonts w:ascii="Avenir Next" w:hAnsi="Avenir Next" w:cs="Arial"/>
          <w:sz w:val="22"/>
          <w:szCs w:val="22"/>
        </w:rPr>
        <w:t>s</w:t>
      </w:r>
      <w:r w:rsidRPr="00864AC2">
        <w:rPr>
          <w:rFonts w:ascii="Avenir Next" w:hAnsi="Avenir Next" w:cs="Arial"/>
          <w:sz w:val="22"/>
          <w:szCs w:val="22"/>
        </w:rPr>
        <w:t>ation</w:t>
      </w:r>
      <w:proofErr w:type="spellEnd"/>
      <w:r w:rsidRPr="00864AC2">
        <w:rPr>
          <w:rFonts w:ascii="Avenir Next" w:hAnsi="Avenir Next" w:cs="Arial"/>
          <w:sz w:val="22"/>
          <w:szCs w:val="22"/>
        </w:rPr>
        <w:t xml:space="preserve">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47563F"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47563F">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724D8F"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724D8F">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81362D"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81362D">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2C4358EB" w:rsidR="006F4E04" w:rsidRDefault="004B0A20" w:rsidP="004B0A20">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rehabilitation of insolvent persons,</w:t>
      </w:r>
    </w:p>
    <w:p w14:paraId="2EB6FDAD" w14:textId="6DF97E61" w:rsidR="004B0A20" w:rsidRDefault="00C55E87" w:rsidP="004B0A20">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a collective procedure for the orderly and fair distribution of the bankrupt’s property amongst unsecured creditors in a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manner,</w:t>
      </w:r>
    </w:p>
    <w:p w14:paraId="292248D5" w14:textId="71BAE42F" w:rsidR="00C55E87" w:rsidRPr="004B0A20" w:rsidRDefault="00875A06" w:rsidP="004B0A20">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Allowing for an investigation into the affairs of a bankrupt and </w:t>
      </w:r>
      <w:r w:rsidR="00BF1D81">
        <w:rPr>
          <w:rFonts w:ascii="Avenir Next" w:hAnsi="Avenir Next" w:cs="Arial"/>
          <w:color w:val="808080" w:themeColor="background1" w:themeShade="80"/>
          <w:sz w:val="22"/>
          <w:szCs w:val="22"/>
          <w:lang w:val="en-GB"/>
        </w:rPr>
        <w:t>to set aside any under value transfers</w:t>
      </w:r>
      <w:r w:rsidR="004D21CF">
        <w:rPr>
          <w:rFonts w:ascii="Avenir Next" w:hAnsi="Avenir Next" w:cs="Arial"/>
          <w:color w:val="808080" w:themeColor="background1" w:themeShade="80"/>
          <w:sz w:val="22"/>
          <w:szCs w:val="22"/>
          <w:lang w:val="en-GB"/>
        </w:rPr>
        <w:t xml:space="preserve"> so that creditors may share equally in the assets.</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49BED0FE" w:rsidR="006F4E04" w:rsidRDefault="00757461"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Assets that an individual can keep are </w:t>
      </w:r>
      <w:r w:rsidR="00214044">
        <w:rPr>
          <w:rFonts w:ascii="Avenir Next" w:hAnsi="Avenir Next" w:cs="Arial"/>
          <w:color w:val="808080" w:themeColor="background1" w:themeShade="80"/>
          <w:sz w:val="22"/>
          <w:szCs w:val="22"/>
          <w:lang w:val="en-GB"/>
        </w:rPr>
        <w:t>p</w:t>
      </w:r>
      <w:r w:rsidR="00620A76">
        <w:rPr>
          <w:rFonts w:ascii="Avenir Next" w:hAnsi="Avenir Next" w:cs="Arial"/>
          <w:color w:val="808080" w:themeColor="background1" w:themeShade="80"/>
          <w:sz w:val="22"/>
          <w:szCs w:val="22"/>
          <w:lang w:val="en-GB"/>
        </w:rPr>
        <w:t xml:space="preserve">roperty held in trust for another or </w:t>
      </w:r>
      <w:r w:rsidR="00F83164">
        <w:rPr>
          <w:rFonts w:ascii="Avenir Next" w:hAnsi="Avenir Next" w:cs="Arial"/>
          <w:color w:val="808080" w:themeColor="background1" w:themeShade="80"/>
          <w:sz w:val="22"/>
          <w:szCs w:val="22"/>
          <w:lang w:val="en-GB"/>
        </w:rPr>
        <w:t>property that is exempt from seizure in provincial law where the debtor resides</w:t>
      </w:r>
      <w:r w:rsidR="00214044">
        <w:rPr>
          <w:rFonts w:ascii="Avenir Next" w:hAnsi="Avenir Next" w:cs="Arial"/>
          <w:color w:val="808080" w:themeColor="background1" w:themeShade="80"/>
          <w:sz w:val="22"/>
          <w:szCs w:val="22"/>
          <w:lang w:val="en-GB"/>
        </w:rPr>
        <w:t xml:space="preserve">. Under section 67 of the BIA </w:t>
      </w:r>
      <w:r w:rsidR="001A753E">
        <w:rPr>
          <w:rFonts w:ascii="Avenir Next" w:hAnsi="Avenir Next" w:cs="Arial"/>
          <w:color w:val="808080" w:themeColor="background1" w:themeShade="80"/>
          <w:sz w:val="22"/>
          <w:szCs w:val="22"/>
          <w:lang w:val="en-GB"/>
        </w:rPr>
        <w:t xml:space="preserve">amounts held in RSSPs are exempt from seizure </w:t>
      </w:r>
      <w:r w:rsidR="00A16906">
        <w:rPr>
          <w:rFonts w:ascii="Avenir Next" w:hAnsi="Avenir Next" w:cs="Arial"/>
          <w:color w:val="808080" w:themeColor="background1" w:themeShade="80"/>
          <w:sz w:val="22"/>
          <w:szCs w:val="22"/>
          <w:lang w:val="en-GB"/>
        </w:rPr>
        <w:t xml:space="preserve">subject to a 12 month clawback in the months leading up to bankruptcy. </w:t>
      </w:r>
      <w:r w:rsidR="007163F1">
        <w:rPr>
          <w:rFonts w:ascii="Avenir Next" w:hAnsi="Avenir Next" w:cs="Arial"/>
          <w:color w:val="808080" w:themeColor="background1" w:themeShade="80"/>
          <w:sz w:val="22"/>
          <w:szCs w:val="22"/>
          <w:lang w:val="en-GB"/>
        </w:rPr>
        <w:t xml:space="preserve">Depending on the province – the exemption on an individual’s </w:t>
      </w:r>
      <w:r w:rsidR="00E9171E">
        <w:rPr>
          <w:rFonts w:ascii="Avenir Next" w:hAnsi="Avenir Next" w:cs="Arial"/>
          <w:color w:val="808080" w:themeColor="background1" w:themeShade="80"/>
          <w:sz w:val="22"/>
          <w:szCs w:val="22"/>
          <w:lang w:val="en-GB"/>
        </w:rPr>
        <w:t xml:space="preserve">homestead is set at different values. </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0FF721A7" w14:textId="77777777" w:rsidR="00AE1375" w:rsidRDefault="00AE1375" w:rsidP="006F4E04">
      <w:pPr>
        <w:pStyle w:val="ListParagraph"/>
        <w:numPr>
          <w:ilvl w:val="0"/>
          <w:numId w:val="32"/>
        </w:numPr>
        <w:jc w:val="both"/>
        <w:rPr>
          <w:rFonts w:ascii="Avenir Next" w:hAnsi="Avenir Next" w:cs="Arial"/>
          <w:color w:val="808080" w:themeColor="background1" w:themeShade="80"/>
          <w:sz w:val="22"/>
          <w:szCs w:val="22"/>
          <w:lang w:val="en-GB"/>
        </w:rPr>
      </w:pPr>
      <w:r w:rsidRPr="00AE1375">
        <w:rPr>
          <w:rFonts w:ascii="Avenir Next" w:hAnsi="Avenir Next" w:cs="Arial"/>
          <w:color w:val="808080" w:themeColor="background1" w:themeShade="80"/>
          <w:sz w:val="22"/>
          <w:szCs w:val="22"/>
          <w:lang w:val="en-GB"/>
        </w:rPr>
        <w:t xml:space="preserve">Trustees are appointed in BIA appointed bankruptcy proceedings who manage the proceedings. </w:t>
      </w:r>
    </w:p>
    <w:p w14:paraId="2603E984" w14:textId="77777777" w:rsidR="00AE1375" w:rsidRDefault="00E83718" w:rsidP="006F4E04">
      <w:pPr>
        <w:pStyle w:val="ListParagraph"/>
        <w:numPr>
          <w:ilvl w:val="0"/>
          <w:numId w:val="32"/>
        </w:numPr>
        <w:jc w:val="both"/>
        <w:rPr>
          <w:rFonts w:ascii="Avenir Next" w:hAnsi="Avenir Next" w:cs="Arial"/>
          <w:color w:val="808080" w:themeColor="background1" w:themeShade="80"/>
          <w:sz w:val="22"/>
          <w:szCs w:val="22"/>
          <w:lang w:val="en-GB"/>
        </w:rPr>
      </w:pPr>
      <w:r w:rsidRPr="00AE1375">
        <w:rPr>
          <w:rFonts w:ascii="Avenir Next" w:hAnsi="Avenir Next" w:cs="Arial"/>
          <w:color w:val="808080" w:themeColor="background1" w:themeShade="80"/>
          <w:sz w:val="22"/>
          <w:szCs w:val="22"/>
          <w:lang w:val="en-GB"/>
        </w:rPr>
        <w:t>A receiver is a licensed trustee in bankruptcy and by way of a court order, pursuant to a security sharing agreement</w:t>
      </w:r>
      <w:r w:rsidR="00AE1375" w:rsidRPr="00AE1375">
        <w:rPr>
          <w:rFonts w:ascii="Avenir Next" w:hAnsi="Avenir Next" w:cs="Arial"/>
          <w:color w:val="808080" w:themeColor="background1" w:themeShade="80"/>
          <w:sz w:val="22"/>
          <w:szCs w:val="22"/>
          <w:lang w:val="en-GB"/>
        </w:rPr>
        <w:t xml:space="preserve">, can be granted the right to take possession of the debtors assets and sell them subject to the receivership. </w:t>
      </w:r>
    </w:p>
    <w:p w14:paraId="36FA6C1F" w14:textId="01DD68A3" w:rsidR="00AE1375" w:rsidRPr="00AE1375" w:rsidRDefault="00AE1375" w:rsidP="006F4E04">
      <w:pPr>
        <w:pStyle w:val="ListParagraph"/>
        <w:numPr>
          <w:ilvl w:val="0"/>
          <w:numId w:val="32"/>
        </w:numPr>
        <w:jc w:val="both"/>
        <w:rPr>
          <w:rFonts w:ascii="Avenir Next" w:hAnsi="Avenir Next" w:cs="Arial"/>
          <w:color w:val="808080" w:themeColor="background1" w:themeShade="80"/>
          <w:sz w:val="22"/>
          <w:szCs w:val="22"/>
          <w:lang w:val="en-GB"/>
        </w:rPr>
      </w:pPr>
      <w:r w:rsidRPr="00AE1375">
        <w:rPr>
          <w:rFonts w:ascii="Avenir Next" w:hAnsi="Avenir Next" w:cs="Arial"/>
          <w:color w:val="808080" w:themeColor="background1" w:themeShade="80"/>
          <w:sz w:val="22"/>
          <w:szCs w:val="22"/>
          <w:lang w:val="en-GB"/>
        </w:rPr>
        <w:t xml:space="preserve">In CCAA proceedings distributions are generally overseen by a court appointed officer known as a “monitor”. </w:t>
      </w:r>
    </w:p>
    <w:p w14:paraId="043B1D84" w14:textId="6F2D469A" w:rsidR="00AE1375" w:rsidRDefault="00AE137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0F73F26" w14:textId="03A1BEA3" w:rsidR="00C57600" w:rsidRDefault="00965A8F" w:rsidP="000101F5">
      <w:pPr>
        <w:jc w:val="both"/>
        <w:rPr>
          <w:rFonts w:ascii="Avenir Next" w:hAnsi="Avenir Next" w:cs="Arial"/>
          <w:bCs/>
          <w:color w:val="000000" w:themeColor="text1"/>
          <w:sz w:val="22"/>
          <w:szCs w:val="22"/>
          <w:lang w:val="en-GB"/>
        </w:rPr>
      </w:pPr>
      <w:r>
        <w:rPr>
          <w:rFonts w:ascii="Avenir Next" w:hAnsi="Avenir Next" w:cs="Arial"/>
          <w:color w:val="808080" w:themeColor="background1" w:themeShade="80"/>
          <w:sz w:val="22"/>
          <w:szCs w:val="22"/>
          <w:lang w:val="en-GB"/>
        </w:rPr>
        <w:t xml:space="preserve">A “person” includes a partnership , an unincorporated association, a corporation, a cooperative society or a cooperative organisation, as well as the successors, heirs, executors, liquidators of the succession, administrators or other legal representatives of a person. </w:t>
      </w:r>
    </w:p>
    <w:p w14:paraId="08DABEA9" w14:textId="4AD1012E"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189858A" w14:textId="3580AE94" w:rsidR="00F47A63" w:rsidRDefault="004865E8"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private receiver is provided for in the security arrangement between the debtor and the secured creditor with the latter having the right to appoint the receiver. While the receiver will have </w:t>
      </w:r>
      <w:r>
        <w:rPr>
          <w:rFonts w:ascii="Avenir Next" w:hAnsi="Avenir Next" w:cs="Arial"/>
          <w:color w:val="808080" w:themeColor="background1" w:themeShade="80"/>
          <w:sz w:val="22"/>
          <w:szCs w:val="22"/>
          <w:lang w:val="en-GB"/>
        </w:rPr>
        <w:lastRenderedPageBreak/>
        <w:t xml:space="preserve">obligations to the secured creditor in the event that the debtor is unable to meet its obligations, they will have a general duty to act honestly, in good faith and in a commercially reasonable manner, including acting in a manner to maximise the value of the security to the benefit of the debtor and creditor. This type of receiver is generally used in small businesses or where the pool of assets is discrete and there are no competing claims or disputes with the debtor. Private receivers do not require any court involvement. </w:t>
      </w:r>
    </w:p>
    <w:p w14:paraId="24B63A4F" w14:textId="7DE7BAAB" w:rsidR="004865E8" w:rsidRDefault="004865E8" w:rsidP="00D67759">
      <w:pPr>
        <w:jc w:val="both"/>
        <w:rPr>
          <w:rFonts w:ascii="Avenir Next" w:hAnsi="Avenir Next" w:cs="Arial"/>
          <w:color w:val="808080" w:themeColor="background1" w:themeShade="80"/>
          <w:sz w:val="22"/>
          <w:szCs w:val="22"/>
          <w:lang w:val="en-GB"/>
        </w:rPr>
      </w:pPr>
    </w:p>
    <w:p w14:paraId="3DF12762" w14:textId="332D0378" w:rsidR="004865E8" w:rsidRDefault="004865E8"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is in contrast to court appointed receivers, who are generally appointed in matters where there are competing claims on security </w:t>
      </w:r>
      <w:r w:rsidR="001138B7">
        <w:rPr>
          <w:rFonts w:ascii="Avenir Next" w:hAnsi="Avenir Next" w:cs="Arial"/>
          <w:color w:val="808080" w:themeColor="background1" w:themeShade="80"/>
          <w:sz w:val="22"/>
          <w:szCs w:val="22"/>
          <w:lang w:val="en-GB"/>
        </w:rPr>
        <w:t>where there are disputes with the debtor and or where it appears there will be ongoing assistance required from the courts. The benefit of having a court appointed receiver will be that the receiver derives their authority from the court and so such issues a fair value and process will have to have the court approval compared to a private receiver. T</w:t>
      </w:r>
      <w:r>
        <w:rPr>
          <w:rFonts w:ascii="Avenir Next" w:hAnsi="Avenir Next" w:cs="Arial"/>
          <w:color w:val="808080" w:themeColor="background1" w:themeShade="80"/>
          <w:sz w:val="22"/>
          <w:szCs w:val="22"/>
          <w:lang w:val="en-GB"/>
        </w:rPr>
        <w:t xml:space="preserve">he receiver can be appointed on application of a secured creditor or by any interested party (such as shareholder or unsecured creditor) where it is just and convenient to do so. </w:t>
      </w:r>
      <w:r w:rsidR="001138B7">
        <w:rPr>
          <w:rFonts w:ascii="Avenir Next" w:hAnsi="Avenir Next" w:cs="Arial"/>
          <w:color w:val="808080" w:themeColor="background1" w:themeShade="80"/>
          <w:sz w:val="22"/>
          <w:szCs w:val="22"/>
          <w:lang w:val="en-GB"/>
        </w:rPr>
        <w:t xml:space="preserve">The receiver will have duties to all creditors of the debtor, not just the creditor who sought their appointment – the receiver reports and takes instructions from the court. </w:t>
      </w:r>
    </w:p>
    <w:p w14:paraId="57969097" w14:textId="4635D688" w:rsidR="004865E8" w:rsidRDefault="004865E8" w:rsidP="00D67759">
      <w:pPr>
        <w:jc w:val="both"/>
        <w:rPr>
          <w:rFonts w:ascii="Avenir Next" w:hAnsi="Avenir Next" w:cs="Arial"/>
          <w:color w:val="808080" w:themeColor="background1" w:themeShade="80"/>
          <w:sz w:val="22"/>
          <w:szCs w:val="22"/>
          <w:lang w:val="en-GB"/>
        </w:rPr>
      </w:pPr>
    </w:p>
    <w:p w14:paraId="1A740BE8" w14:textId="77777777" w:rsidR="004865E8" w:rsidRPr="00D67759" w:rsidRDefault="004865E8" w:rsidP="00D67759">
      <w:pPr>
        <w:jc w:val="both"/>
        <w:rPr>
          <w:rFonts w:ascii="Avenir Next" w:hAnsi="Avenir Next" w:cs="Arial"/>
          <w:color w:val="808080" w:themeColor="background1" w:themeShade="80"/>
          <w:sz w:val="22"/>
          <w:szCs w:val="22"/>
          <w:lang w:val="en-GB"/>
        </w:rPr>
      </w:pPr>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5F85EDF6" w:rsidR="007E70EC" w:rsidRDefault="00FF7330"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three methods for entering bankruptcy are;</w:t>
      </w:r>
    </w:p>
    <w:p w14:paraId="3006DAC6" w14:textId="1837F035" w:rsidR="00FF7330" w:rsidRDefault="00FF7330" w:rsidP="00FF7330">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Involuntary</w:t>
      </w:r>
    </w:p>
    <w:p w14:paraId="0B3CB4EE" w14:textId="3ED0283D" w:rsidR="00FF7330" w:rsidRDefault="00FF7330" w:rsidP="00FF7330">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 and</w:t>
      </w:r>
    </w:p>
    <w:p w14:paraId="52A47909" w14:textId="0DB7AFB5" w:rsidR="00FF7330" w:rsidRPr="00FF7330" w:rsidRDefault="00FF7330" w:rsidP="00FF7330">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failure of, or failure to perform in terms of a BIA proposal</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47D4F254" w14:textId="4C8D8175" w:rsidR="00FF7330" w:rsidRDefault="00FF7330" w:rsidP="00FF7330">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Involuntary bankruptcy is initiated by court application/order whereby the applying creditor must show that the debtor owes in excess of CAD1000 and that the debtor has committed an act of bankruptcy in the previous 6 months. </w:t>
      </w:r>
    </w:p>
    <w:p w14:paraId="31E898F8" w14:textId="77777777" w:rsidR="006544F3" w:rsidRDefault="00FF7330" w:rsidP="00FF7330">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voluntary bankruptcy is initiated </w:t>
      </w:r>
      <w:r w:rsidR="006544F3">
        <w:rPr>
          <w:rFonts w:ascii="Avenir Next" w:hAnsi="Avenir Next" w:cs="Arial"/>
          <w:color w:val="808080" w:themeColor="background1" w:themeShade="80"/>
          <w:sz w:val="22"/>
          <w:szCs w:val="22"/>
          <w:lang w:val="en-GB"/>
        </w:rPr>
        <w:t xml:space="preserve">when a debtor voluntarily makes an assignment into bankruptcy proceedings. The process does not involve a court application and the debtor executes an assignment of its property for the benefit of its creditors which is accompanied by a sworn statement that discloses the debtors property, names and addresses of the creditors and the amounts owed to them. Once the documents are accepted, proceedings have commenced. </w:t>
      </w:r>
    </w:p>
    <w:p w14:paraId="4AE63D89" w14:textId="77777777" w:rsidR="006544F3" w:rsidRDefault="006544F3" w:rsidP="00FF7330">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BIA includes provisions for proposals to be made and accepted by creditors and ratified by the court. Should any plan not get the approval of its creditors or a class of its creditors, the debtors is deemed to have made an assignment in bankruptcy </w:t>
      </w:r>
    </w:p>
    <w:p w14:paraId="49AB2D6D" w14:textId="77777777" w:rsidR="006544F3" w:rsidRDefault="006544F3" w:rsidP="006544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act of bankruptcy is listed in the BIA and includes any of the following;</w:t>
      </w:r>
    </w:p>
    <w:p w14:paraId="222D322B" w14:textId="3BE08FAC" w:rsidR="006544F3" w:rsidRDefault="006544F3"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Canada or elsewhere the bankrupt makes and assignment of property to a trustee for the benefit of creditors. </w:t>
      </w:r>
    </w:p>
    <w:p w14:paraId="30F49A98" w14:textId="3C0D89C5" w:rsidR="006544F3" w:rsidRDefault="006544F3"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makes a fraudulent gift, delivery or transfer of the debtor’s property or any part of it. </w:t>
      </w:r>
    </w:p>
    <w:p w14:paraId="6E6B2753" w14:textId="61FD1E35" w:rsidR="006544F3"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makes any transfer of the debtors property or any part of it, or creates a charge on it that is a fraudulent preference. </w:t>
      </w:r>
    </w:p>
    <w:p w14:paraId="467CBB6F" w14:textId="013CE7A6" w:rsidR="00BF5DCB"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with the intent to defeat or delay his creditors, departs out of Canada or remains out of the country or departs from his dwelling or otherwise absents himself. </w:t>
      </w:r>
    </w:p>
    <w:p w14:paraId="601DC189" w14:textId="77777777" w:rsidR="00BF5DCB"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Permitting, for certain specified periods of time, execution under which the debtor’s property is taken.</w:t>
      </w:r>
    </w:p>
    <w:p w14:paraId="694A0BCE" w14:textId="77777777" w:rsidR="00BF5DCB"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admission of his inability to pay his debts.</w:t>
      </w:r>
    </w:p>
    <w:p w14:paraId="0D578160" w14:textId="77777777" w:rsidR="00BF5DCB"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assigns, removes, secretes or disposes of or attempts or is about to do same with his property with the intent to defraud, defeat or delay his creditors or any of them.</w:t>
      </w:r>
    </w:p>
    <w:p w14:paraId="1C7C145F" w14:textId="77777777" w:rsidR="00BF5DCB"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Giving notice to creditors that the debtor has suspended or is about to suspend payment of debts.</w:t>
      </w:r>
    </w:p>
    <w:p w14:paraId="7B9C4A7E" w14:textId="77777777" w:rsidR="00BF5DCB"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Defaulting on a proposal</w:t>
      </w:r>
    </w:p>
    <w:p w14:paraId="188F8CF2" w14:textId="62C84EA4" w:rsidR="00BF5DCB" w:rsidRDefault="00BF5DCB" w:rsidP="006544F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ceases to </w:t>
      </w:r>
      <w:r w:rsidR="00B24EAE">
        <w:rPr>
          <w:rFonts w:ascii="Avenir Next" w:hAnsi="Avenir Next" w:cs="Arial"/>
          <w:color w:val="808080" w:themeColor="background1" w:themeShade="80"/>
          <w:sz w:val="22"/>
          <w:szCs w:val="22"/>
          <w:lang w:val="en-GB"/>
        </w:rPr>
        <w:t xml:space="preserve">meet liabilities generally when they are due. </w:t>
      </w:r>
      <w:r>
        <w:rPr>
          <w:rFonts w:ascii="Avenir Next" w:hAnsi="Avenir Next" w:cs="Arial"/>
          <w:color w:val="808080" w:themeColor="background1" w:themeShade="80"/>
          <w:sz w:val="22"/>
          <w:szCs w:val="22"/>
          <w:lang w:val="en-GB"/>
        </w:rPr>
        <w:t xml:space="preserve">  </w:t>
      </w:r>
    </w:p>
    <w:p w14:paraId="6AEBFDC1" w14:textId="397DC691" w:rsidR="006544F3" w:rsidRDefault="006544F3" w:rsidP="006544F3">
      <w:pPr>
        <w:jc w:val="both"/>
        <w:rPr>
          <w:rFonts w:ascii="Avenir Next" w:hAnsi="Avenir Next" w:cs="Arial"/>
          <w:color w:val="808080" w:themeColor="background1" w:themeShade="80"/>
          <w:sz w:val="22"/>
          <w:szCs w:val="22"/>
          <w:lang w:val="en-GB"/>
        </w:rPr>
      </w:pPr>
    </w:p>
    <w:p w14:paraId="4BF61EEF" w14:textId="77777777" w:rsidR="006544F3" w:rsidRPr="006544F3" w:rsidRDefault="006544F3" w:rsidP="006544F3">
      <w:pPr>
        <w:jc w:val="both"/>
        <w:rPr>
          <w:rFonts w:ascii="Avenir Next" w:hAnsi="Avenir Next" w:cs="Arial"/>
          <w:color w:val="808080" w:themeColor="background1" w:themeShade="80"/>
          <w:sz w:val="22"/>
          <w:szCs w:val="22"/>
          <w:lang w:val="en-GB"/>
        </w:rPr>
      </w:pPr>
    </w:p>
    <w:p w14:paraId="6BAC549F" w14:textId="02D0DFFA" w:rsidR="00FF7330" w:rsidRPr="006544F3" w:rsidRDefault="006544F3" w:rsidP="006544F3">
      <w:pPr>
        <w:jc w:val="both"/>
        <w:rPr>
          <w:rFonts w:ascii="Avenir Next" w:hAnsi="Avenir Next" w:cs="Arial"/>
          <w:color w:val="808080" w:themeColor="background1" w:themeShade="80"/>
          <w:sz w:val="22"/>
          <w:szCs w:val="22"/>
          <w:lang w:val="en-GB"/>
        </w:rPr>
      </w:pPr>
      <w:r w:rsidRPr="006544F3">
        <w:rPr>
          <w:rFonts w:ascii="Avenir Next" w:hAnsi="Avenir Next" w:cs="Arial"/>
          <w:color w:val="808080" w:themeColor="background1" w:themeShade="80"/>
          <w:sz w:val="22"/>
          <w:szCs w:val="22"/>
          <w:lang w:val="en-GB"/>
        </w:rPr>
        <w:t xml:space="preserve">    </w:t>
      </w: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08A35210" w14:textId="77777777" w:rsidR="005C44DF" w:rsidRDefault="005C44D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Canadian insolvency system is one of modified universalism. In 2009 amendments in both the BIA and CCAA were made as Canada adopted a modified version of the UNCITRAL Model Law in Part XII of the BIA and a new Part IV of the CCAA. These sections provide a framework for recognition of foreign insolvency proceedings and acceptance of jurisdiction. </w:t>
      </w:r>
    </w:p>
    <w:p w14:paraId="72B27F8B" w14:textId="77777777" w:rsidR="006370B3" w:rsidRDefault="005C44D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two main principles are 1) mandatory recognition of foreign insolvency proceedings</w:t>
      </w:r>
      <w:r w:rsidR="006370B3">
        <w:rPr>
          <w:rFonts w:ascii="Avenir Next" w:hAnsi="Avenir Next" w:cs="Arial"/>
          <w:color w:val="808080" w:themeColor="background1" w:themeShade="80"/>
          <w:sz w:val="22"/>
          <w:szCs w:val="22"/>
          <w:lang w:val="en-GB"/>
        </w:rPr>
        <w:t xml:space="preserve"> (unless they are against public policy) and 2) the classification of the foreign proceedings as either “foreign main proceedings” or “foreign non-main proceedings”. The mandatory recognition of foreign proceedings is intended to facilitate judicial cooperation between countries and provide access to domestic courts for foreign representatives. </w:t>
      </w:r>
    </w:p>
    <w:p w14:paraId="3778342D" w14:textId="77777777" w:rsidR="006370B3" w:rsidRDefault="006370B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Canadian courts therefore need to recognize the foreign proceedings on formal proof of three main requirements;</w:t>
      </w:r>
    </w:p>
    <w:p w14:paraId="0507144B" w14:textId="6DCE2915" w:rsidR="006370B3" w:rsidRDefault="006370B3" w:rsidP="006370B3">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proceeding is a foreign proceeding in accordance with the statutory definition,</w:t>
      </w:r>
    </w:p>
    <w:p w14:paraId="4FAB7B2C" w14:textId="77777777" w:rsidR="006370B3" w:rsidRDefault="006370B3" w:rsidP="006370B3">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applicant is a foreign representative in accordance with the statutory definition and</w:t>
      </w:r>
    </w:p>
    <w:p w14:paraId="4447B348" w14:textId="77777777" w:rsidR="006370B3" w:rsidRDefault="006370B3" w:rsidP="006370B3">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Whether the foreign proceeding is a foreign main proceeding or a foreign non-main proceeding based on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 analysis. </w:t>
      </w:r>
    </w:p>
    <w:p w14:paraId="189C8B6E" w14:textId="0D79B830" w:rsidR="006F4E04" w:rsidRPr="006370B3" w:rsidRDefault="006370B3" w:rsidP="006370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application is commenced by a foreign representative who files sufficient evidence to allow the Canadian court to determine that they are a foreign representative and proceeding is a foreign proceeding. Once these requirements are met the recognition is automatic and the court must make an order recognizing the foreign proceeding. </w:t>
      </w:r>
      <w:r w:rsidRPr="006370B3">
        <w:rPr>
          <w:rFonts w:ascii="Avenir Next" w:hAnsi="Avenir Next" w:cs="Arial"/>
          <w:color w:val="808080" w:themeColor="background1" w:themeShade="80"/>
          <w:sz w:val="22"/>
          <w:szCs w:val="22"/>
          <w:lang w:val="en-GB"/>
        </w:rPr>
        <w:t xml:space="preserve">  </w:t>
      </w:r>
      <w:r w:rsidR="005C44DF" w:rsidRPr="006370B3">
        <w:rPr>
          <w:rFonts w:ascii="Avenir Next" w:hAnsi="Avenir Next" w:cs="Arial"/>
          <w:color w:val="808080" w:themeColor="background1" w:themeShade="80"/>
          <w:sz w:val="22"/>
          <w:szCs w:val="22"/>
          <w:lang w:val="en-GB"/>
        </w:rPr>
        <w:t xml:space="preserve">    </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0342F5D4" w14:textId="77777777" w:rsidR="00D53C14" w:rsidRDefault="00D53C1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statutory definition of centre of main interest (“COMI”) in either the CCAA or the BIA, however each statute contains a rebuttable presumption. In the case of an individual, the COMI, in the absence of proof is the debtor’s ordinary place of residence and with a company it is the company’s registered office. There are three consideration which are important for the courts to determine COMI;</w:t>
      </w:r>
    </w:p>
    <w:p w14:paraId="3ED3EAE0" w14:textId="77777777" w:rsidR="00D53C14" w:rsidRDefault="00D53C14" w:rsidP="00D53C14">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that significant creditors recognize as being the centre of the company’s operations;</w:t>
      </w:r>
    </w:p>
    <w:p w14:paraId="39802F24" w14:textId="77777777" w:rsidR="00D53C14" w:rsidRDefault="00D53C14" w:rsidP="00D53C14">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in which the debtor’s principal assets or operations are found and</w:t>
      </w:r>
    </w:p>
    <w:p w14:paraId="181FF2D5" w14:textId="77777777" w:rsidR="00D53C14" w:rsidRDefault="00D53C14" w:rsidP="00D53C14">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debtor’s headquarters, head office or “nerve centre”.</w:t>
      </w:r>
    </w:p>
    <w:p w14:paraId="22883110" w14:textId="10113465" w:rsidR="006F4E04" w:rsidRPr="00D53C14" w:rsidRDefault="00D53C14" w:rsidP="00D53C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above – while the company’s headquarters are not in Canada, it may want to argue that the warehouse is a “nerve centre” or that the warehouse is the principal operations or if there are significant creditors in Canada – the company may have a case to argue the company’s COMI is in Canada.</w:t>
      </w:r>
      <w:r w:rsidRPr="00D53C14">
        <w:rPr>
          <w:rFonts w:ascii="Avenir Next" w:hAnsi="Avenir Next" w:cs="Arial"/>
          <w:color w:val="808080" w:themeColor="background1" w:themeShade="80"/>
          <w:sz w:val="22"/>
          <w:szCs w:val="22"/>
          <w:lang w:val="en-GB"/>
        </w:rPr>
        <w:t xml:space="preserve">  </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3561B06A" w:rsidR="006F4E04" w:rsidRDefault="00075E9D"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Canadian courts have take a broad and liberal approach to the enforcement of foreign judgements, which can be time consuming, costly and procedurally complex to have a foreign judgement recognized and enforced. There are two main routes to enforce foreign judgements;</w:t>
      </w:r>
    </w:p>
    <w:p w14:paraId="34849962" w14:textId="2BCA4CDA" w:rsidR="00075E9D" w:rsidRDefault="00075E9D" w:rsidP="00075E9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way of reciprocal enforcement of judgements – where the judgement in question is issued by a jurisdiction governed by reciprocal enforcement legislation. Each province has reciprocal jurisdictions with one another and Canada is party to several conventions such as the Convention between Canada and the United Kingdom of Great Britain and Northern Ireland Providing for the Reciprocal Recognition and Enforcement of Judgements in Civil and Commercial Matters</w:t>
      </w:r>
      <w:r w:rsidR="00E27443">
        <w:rPr>
          <w:rFonts w:ascii="Avenir Next" w:hAnsi="Avenir Next" w:cs="Arial"/>
          <w:color w:val="808080" w:themeColor="background1" w:themeShade="80"/>
          <w:sz w:val="22"/>
          <w:szCs w:val="22"/>
          <w:lang w:val="en-GB"/>
        </w:rPr>
        <w:t xml:space="preserve"> – which makes it fairly straightforward to register and enforce judgements obtained within 6 years of the judgement. So the foreign agent would have to advise which country the judgement has been obtained. Most Canadian provinces have a streamlined process for enforcing judgements from reciprocal jurisdictions by way of a simplified court application and thereafter enforcement. </w:t>
      </w:r>
    </w:p>
    <w:p w14:paraId="7FB990EB" w14:textId="1C47EF3D" w:rsidR="00075E9D" w:rsidRPr="00075E9D" w:rsidRDefault="00075E9D" w:rsidP="00075E9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common law provinces one can obtain common law recognition of the judgement in accordance with the test articulated in the Supreme Court of Canada’s decision in </w:t>
      </w:r>
      <w:proofErr w:type="spellStart"/>
      <w:r>
        <w:rPr>
          <w:rFonts w:ascii="Avenir Next" w:hAnsi="Avenir Next" w:cs="Arial"/>
          <w:color w:val="808080" w:themeColor="background1" w:themeShade="80"/>
          <w:sz w:val="22"/>
          <w:szCs w:val="22"/>
          <w:lang w:val="en-GB"/>
        </w:rPr>
        <w:t>Morguard</w:t>
      </w:r>
      <w:proofErr w:type="spellEnd"/>
      <w:r>
        <w:rPr>
          <w:rFonts w:ascii="Avenir Next" w:hAnsi="Avenir Next" w:cs="Arial"/>
          <w:color w:val="808080" w:themeColor="background1" w:themeShade="80"/>
          <w:sz w:val="22"/>
          <w:szCs w:val="22"/>
          <w:lang w:val="en-GB"/>
        </w:rPr>
        <w:t xml:space="preserve"> Investments Ltd v De </w:t>
      </w:r>
      <w:proofErr w:type="spellStart"/>
      <w:r>
        <w:rPr>
          <w:rFonts w:ascii="Avenir Next" w:hAnsi="Avenir Next" w:cs="Arial"/>
          <w:color w:val="808080" w:themeColor="background1" w:themeShade="80"/>
          <w:sz w:val="22"/>
          <w:szCs w:val="22"/>
          <w:lang w:val="en-GB"/>
        </w:rPr>
        <w:t>Savoye</w:t>
      </w:r>
      <w:proofErr w:type="spellEnd"/>
      <w:r>
        <w:rPr>
          <w:rFonts w:ascii="Avenir Next" w:hAnsi="Avenir Next" w:cs="Arial"/>
          <w:color w:val="808080" w:themeColor="background1" w:themeShade="80"/>
          <w:sz w:val="22"/>
          <w:szCs w:val="22"/>
          <w:lang w:val="en-GB"/>
        </w:rPr>
        <w:t xml:space="preserve">. Since Quebec is governed by the Civil Code – its laws are found in the code itself.  </w:t>
      </w:r>
      <w:r w:rsidR="00E27443">
        <w:rPr>
          <w:rFonts w:ascii="Avenir Next" w:hAnsi="Avenir Next" w:cs="Arial"/>
          <w:color w:val="808080" w:themeColor="background1" w:themeShade="80"/>
          <w:sz w:val="22"/>
          <w:szCs w:val="22"/>
          <w:lang w:val="en-GB"/>
        </w:rPr>
        <w:t xml:space="preserve">In this instance if the foreign agent is wishing to enforce in Quebec it would </w:t>
      </w:r>
      <w:r w:rsidR="00E27443">
        <w:rPr>
          <w:rFonts w:ascii="Avenir Next" w:hAnsi="Avenir Next" w:cs="Arial"/>
          <w:color w:val="808080" w:themeColor="background1" w:themeShade="80"/>
          <w:sz w:val="22"/>
          <w:szCs w:val="22"/>
          <w:lang w:val="en-GB"/>
        </w:rPr>
        <w:lastRenderedPageBreak/>
        <w:t xml:space="preserve">have to start enforcement proceedings and meet the test for enforcement. The test for enforcement may be presumptively enforced in Canada provided there is a “real and substantial connection” between the foreign court and: i) the defendant; ii) the cause of action, or iii) the subject matter of the action. From the prime face evidence it appears this is the case with the foreign agent’s matter regarding the warehouse in Canada. </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D035" w14:textId="77777777" w:rsidR="002803BB" w:rsidRDefault="002803BB" w:rsidP="00241B44">
      <w:r>
        <w:separator/>
      </w:r>
    </w:p>
  </w:endnote>
  <w:endnote w:type="continuationSeparator" w:id="0">
    <w:p w14:paraId="5C3C0652" w14:textId="77777777" w:rsidR="002803BB" w:rsidRDefault="002803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8531464" w:rsidR="00241FA3" w:rsidRPr="009B4976" w:rsidRDefault="005F0A6A" w:rsidP="009B4976">
    <w:pPr>
      <w:pStyle w:val="Footer"/>
      <w:ind w:right="360"/>
      <w:rPr>
        <w:rFonts w:ascii="Arial" w:hAnsi="Arial" w:cs="Arial"/>
        <w:sz w:val="18"/>
        <w:szCs w:val="18"/>
        <w:lang w:val="en-GB"/>
      </w:rPr>
    </w:pPr>
    <w:r>
      <w:rPr>
        <w:rFonts w:ascii="Arial" w:hAnsi="Arial" w:cs="Arial"/>
        <w:sz w:val="18"/>
        <w:szCs w:val="18"/>
        <w:lang w:val="en-GB"/>
      </w:rPr>
      <w:t>202223-985</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6F58B" w14:textId="77777777" w:rsidR="002803BB" w:rsidRDefault="002803BB" w:rsidP="00241B44">
      <w:r>
        <w:separator/>
      </w:r>
    </w:p>
  </w:footnote>
  <w:footnote w:type="continuationSeparator" w:id="0">
    <w:p w14:paraId="4A2478A7" w14:textId="77777777" w:rsidR="002803BB" w:rsidRDefault="002803B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D10"/>
    <w:multiLevelType w:val="hybridMultilevel"/>
    <w:tmpl w:val="F9BC4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6709A7"/>
    <w:multiLevelType w:val="hybridMultilevel"/>
    <w:tmpl w:val="6D04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9E36C2"/>
    <w:multiLevelType w:val="hybridMultilevel"/>
    <w:tmpl w:val="7466E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EA179F"/>
    <w:multiLevelType w:val="hybridMultilevel"/>
    <w:tmpl w:val="9156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321B7F8E"/>
    <w:multiLevelType w:val="hybridMultilevel"/>
    <w:tmpl w:val="02EC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9A6CD8"/>
    <w:multiLevelType w:val="hybridMultilevel"/>
    <w:tmpl w:val="2E2C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062E0"/>
    <w:multiLevelType w:val="hybridMultilevel"/>
    <w:tmpl w:val="BEDC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63058FC"/>
    <w:multiLevelType w:val="hybridMultilevel"/>
    <w:tmpl w:val="E3327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0"/>
  </w:num>
  <w:num w:numId="2">
    <w:abstractNumId w:val="5"/>
  </w:num>
  <w:num w:numId="3">
    <w:abstractNumId w:val="20"/>
  </w:num>
  <w:num w:numId="4">
    <w:abstractNumId w:val="15"/>
  </w:num>
  <w:num w:numId="5">
    <w:abstractNumId w:val="6"/>
  </w:num>
  <w:num w:numId="6">
    <w:abstractNumId w:val="33"/>
  </w:num>
  <w:num w:numId="7">
    <w:abstractNumId w:val="13"/>
  </w:num>
  <w:num w:numId="8">
    <w:abstractNumId w:val="27"/>
  </w:num>
  <w:num w:numId="9">
    <w:abstractNumId w:val="31"/>
  </w:num>
  <w:num w:numId="10">
    <w:abstractNumId w:val="8"/>
  </w:num>
  <w:num w:numId="11">
    <w:abstractNumId w:val="10"/>
  </w:num>
  <w:num w:numId="12">
    <w:abstractNumId w:val="1"/>
  </w:num>
  <w:num w:numId="13">
    <w:abstractNumId w:val="17"/>
  </w:num>
  <w:num w:numId="14">
    <w:abstractNumId w:val="4"/>
  </w:num>
  <w:num w:numId="15">
    <w:abstractNumId w:val="36"/>
  </w:num>
  <w:num w:numId="16">
    <w:abstractNumId w:val="23"/>
  </w:num>
  <w:num w:numId="17">
    <w:abstractNumId w:val="28"/>
  </w:num>
  <w:num w:numId="18">
    <w:abstractNumId w:val="22"/>
  </w:num>
  <w:num w:numId="19">
    <w:abstractNumId w:val="19"/>
  </w:num>
  <w:num w:numId="20">
    <w:abstractNumId w:val="18"/>
  </w:num>
  <w:num w:numId="21">
    <w:abstractNumId w:val="3"/>
  </w:num>
  <w:num w:numId="22">
    <w:abstractNumId w:val="34"/>
  </w:num>
  <w:num w:numId="23">
    <w:abstractNumId w:val="12"/>
  </w:num>
  <w:num w:numId="24">
    <w:abstractNumId w:val="7"/>
  </w:num>
  <w:num w:numId="25">
    <w:abstractNumId w:val="29"/>
  </w:num>
  <w:num w:numId="26">
    <w:abstractNumId w:val="32"/>
  </w:num>
  <w:num w:numId="27">
    <w:abstractNumId w:val="21"/>
  </w:num>
  <w:num w:numId="28">
    <w:abstractNumId w:val="2"/>
  </w:num>
  <w:num w:numId="29">
    <w:abstractNumId w:val="26"/>
  </w:num>
  <w:num w:numId="30">
    <w:abstractNumId w:val="37"/>
  </w:num>
  <w:num w:numId="31">
    <w:abstractNumId w:val="11"/>
  </w:num>
  <w:num w:numId="32">
    <w:abstractNumId w:val="25"/>
  </w:num>
  <w:num w:numId="33">
    <w:abstractNumId w:val="14"/>
  </w:num>
  <w:num w:numId="34">
    <w:abstractNumId w:val="9"/>
  </w:num>
  <w:num w:numId="35">
    <w:abstractNumId w:val="0"/>
  </w:num>
  <w:num w:numId="36">
    <w:abstractNumId w:val="35"/>
  </w:num>
  <w:num w:numId="37">
    <w:abstractNumId w:val="24"/>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5E9D"/>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8B7"/>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47C48"/>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53E"/>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44"/>
    <w:rsid w:val="0021407D"/>
    <w:rsid w:val="0022116B"/>
    <w:rsid w:val="00221D20"/>
    <w:rsid w:val="0022359C"/>
    <w:rsid w:val="00226CB6"/>
    <w:rsid w:val="00230812"/>
    <w:rsid w:val="00231FB2"/>
    <w:rsid w:val="00233B19"/>
    <w:rsid w:val="002356EA"/>
    <w:rsid w:val="00235E99"/>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3BB"/>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63F"/>
    <w:rsid w:val="00475CC7"/>
    <w:rsid w:val="00477C72"/>
    <w:rsid w:val="00477D4E"/>
    <w:rsid w:val="00481D6B"/>
    <w:rsid w:val="00482465"/>
    <w:rsid w:val="004865E8"/>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0A20"/>
    <w:rsid w:val="004B11FD"/>
    <w:rsid w:val="004B23A2"/>
    <w:rsid w:val="004B6651"/>
    <w:rsid w:val="004B7DFB"/>
    <w:rsid w:val="004C5A9F"/>
    <w:rsid w:val="004D0603"/>
    <w:rsid w:val="004D17F6"/>
    <w:rsid w:val="004D1A5A"/>
    <w:rsid w:val="004D1DE3"/>
    <w:rsid w:val="004D21CF"/>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44DF"/>
    <w:rsid w:val="005C4559"/>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0A6A"/>
    <w:rsid w:val="005F25A8"/>
    <w:rsid w:val="005F2AEA"/>
    <w:rsid w:val="005F2D0B"/>
    <w:rsid w:val="005F4B31"/>
    <w:rsid w:val="005F53AD"/>
    <w:rsid w:val="005F7B12"/>
    <w:rsid w:val="005F7B9A"/>
    <w:rsid w:val="00601D70"/>
    <w:rsid w:val="00605027"/>
    <w:rsid w:val="0061036B"/>
    <w:rsid w:val="00610388"/>
    <w:rsid w:val="00610AC7"/>
    <w:rsid w:val="00610E39"/>
    <w:rsid w:val="00612CA5"/>
    <w:rsid w:val="006153EC"/>
    <w:rsid w:val="00620A76"/>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370B3"/>
    <w:rsid w:val="00641515"/>
    <w:rsid w:val="00641C46"/>
    <w:rsid w:val="00645A9D"/>
    <w:rsid w:val="0065181E"/>
    <w:rsid w:val="006544F3"/>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163F1"/>
    <w:rsid w:val="00721383"/>
    <w:rsid w:val="00722D0C"/>
    <w:rsid w:val="007235ED"/>
    <w:rsid w:val="00723A11"/>
    <w:rsid w:val="0072450D"/>
    <w:rsid w:val="00724D8F"/>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57461"/>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2138"/>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4DC1"/>
    <w:rsid w:val="008056EF"/>
    <w:rsid w:val="00805EE5"/>
    <w:rsid w:val="00806302"/>
    <w:rsid w:val="00806E0A"/>
    <w:rsid w:val="00807119"/>
    <w:rsid w:val="00807F12"/>
    <w:rsid w:val="0081362D"/>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23F3"/>
    <w:rsid w:val="00874FFA"/>
    <w:rsid w:val="008759B7"/>
    <w:rsid w:val="00875A06"/>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0A1E"/>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5A8F"/>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16906"/>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6ECB"/>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37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24EAE"/>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D7304"/>
    <w:rsid w:val="00BE0F37"/>
    <w:rsid w:val="00BE4005"/>
    <w:rsid w:val="00BE4FF3"/>
    <w:rsid w:val="00BF1D81"/>
    <w:rsid w:val="00BF2335"/>
    <w:rsid w:val="00BF499E"/>
    <w:rsid w:val="00BF50F7"/>
    <w:rsid w:val="00BF5DCB"/>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5E87"/>
    <w:rsid w:val="00C56AB2"/>
    <w:rsid w:val="00C56B61"/>
    <w:rsid w:val="00C57273"/>
    <w:rsid w:val="00C57600"/>
    <w:rsid w:val="00C606C3"/>
    <w:rsid w:val="00C61146"/>
    <w:rsid w:val="00C619D3"/>
    <w:rsid w:val="00C620F4"/>
    <w:rsid w:val="00C63FAD"/>
    <w:rsid w:val="00C6409D"/>
    <w:rsid w:val="00C64575"/>
    <w:rsid w:val="00C67E2E"/>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07C4"/>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53C14"/>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3E9E"/>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443"/>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3718"/>
    <w:rsid w:val="00E85922"/>
    <w:rsid w:val="00E90971"/>
    <w:rsid w:val="00E90991"/>
    <w:rsid w:val="00E909F0"/>
    <w:rsid w:val="00E90D47"/>
    <w:rsid w:val="00E9171E"/>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252"/>
    <w:rsid w:val="00F61DD2"/>
    <w:rsid w:val="00F648DF"/>
    <w:rsid w:val="00F66AFF"/>
    <w:rsid w:val="00F67DAD"/>
    <w:rsid w:val="00F67EA8"/>
    <w:rsid w:val="00F70573"/>
    <w:rsid w:val="00F71433"/>
    <w:rsid w:val="00F71568"/>
    <w:rsid w:val="00F76CBA"/>
    <w:rsid w:val="00F814B1"/>
    <w:rsid w:val="00F83164"/>
    <w:rsid w:val="00F83DBA"/>
    <w:rsid w:val="00F85679"/>
    <w:rsid w:val="00F85C6E"/>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330"/>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Christopher Li Green (ZA)</cp:lastModifiedBy>
  <cp:revision>36</cp:revision>
  <cp:lastPrinted>2019-08-27T05:42:00Z</cp:lastPrinted>
  <dcterms:created xsi:type="dcterms:W3CDTF">2023-05-15T18:10:00Z</dcterms:created>
  <dcterms:modified xsi:type="dcterms:W3CDTF">2023-05-20T07:50:00Z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deaab5a0-7cb0-4e63-a70a-92059479a61f</vt:lpwstr>
  </property>
  <property fmtid="{D5CDD505-2E9C-101B-9397-08002B2CF9AE}" pid="3" name="TitusContentScanMode">
    <vt:lpwstr>TitusContentScanModeAutomatic</vt:lpwstr>
  </property>
  <property fmtid="{D5CDD505-2E9C-101B-9397-08002B2CF9AE}" pid="4" name="TitusClassification">
    <vt:lpwstr>TitusRestricted</vt:lpwstr>
  </property>
  <property fmtid="{D5CDD505-2E9C-101B-9397-08002B2CF9AE}" pid="5" name="TitusGDPR">
    <vt:lpwstr>TitusGDPRNo</vt:lpwstr>
  </property>
  <property fmtid="{D5CDD505-2E9C-101B-9397-08002B2CF9AE}" pid="6" name="TitusPCI">
    <vt:lpwstr>TitusPCINo</vt:lpwstr>
  </property>
  <property fmtid="{D5CDD505-2E9C-101B-9397-08002B2CF9AE}" pid="7" name="TitusPOPI">
    <vt:lpwstr>TitusPOPINo</vt:lpwstr>
  </property>
  <property fmtid="{D5CDD505-2E9C-101B-9397-08002B2CF9AE}" pid="8" name="TitusPOPISpecial">
    <vt:lpwstr>TitusPOPISpecialNo</vt:lpwstr>
  </property>
</Properties>
</file>