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“studentID”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A9055C" w:rsidRDefault="000F6063" w:rsidP="008E0D7A">
      <w:pPr>
        <w:pStyle w:val="ListParagraph"/>
        <w:numPr>
          <w:ilvl w:val="0"/>
          <w:numId w:val="1"/>
        </w:numPr>
        <w:ind w:left="426"/>
        <w:rPr>
          <w:rFonts w:ascii="Avenir Next" w:hAnsi="Avenir Next" w:cs="Arial"/>
          <w:sz w:val="22"/>
          <w:szCs w:val="22"/>
          <w:highlight w:val="yellow"/>
          <w:lang w:val="en-GB"/>
        </w:rPr>
      </w:pPr>
      <w:r w:rsidRPr="00A9055C">
        <w:rPr>
          <w:rFonts w:ascii="Avenir Next" w:hAnsi="Avenir Next" w:cs="Arial"/>
          <w:sz w:val="22"/>
          <w:szCs w:val="22"/>
          <w:highlight w:val="yellow"/>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8E0D7A">
      <w:pPr>
        <w:pStyle w:val="ListParagraph"/>
        <w:numPr>
          <w:ilvl w:val="0"/>
          <w:numId w:val="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8E0D7A">
      <w:pPr>
        <w:pStyle w:val="ListParagraph"/>
        <w:numPr>
          <w:ilvl w:val="0"/>
          <w:numId w:val="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8E0D7A">
      <w:pPr>
        <w:pStyle w:val="ListParagraph"/>
        <w:numPr>
          <w:ilvl w:val="0"/>
          <w:numId w:val="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8E0D7A">
      <w:pPr>
        <w:pStyle w:val="ListParagraph"/>
        <w:numPr>
          <w:ilvl w:val="0"/>
          <w:numId w:val="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8E0D7A">
      <w:pPr>
        <w:pStyle w:val="ListParagraph"/>
        <w:numPr>
          <w:ilvl w:val="0"/>
          <w:numId w:val="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8E0D7A">
      <w:pPr>
        <w:pStyle w:val="ListParagraph"/>
        <w:numPr>
          <w:ilvl w:val="0"/>
          <w:numId w:val="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A9055C" w:rsidRDefault="000F6063" w:rsidP="008E0D7A">
      <w:pPr>
        <w:pStyle w:val="ListParagraph"/>
        <w:numPr>
          <w:ilvl w:val="0"/>
          <w:numId w:val="2"/>
        </w:numPr>
        <w:ind w:left="426"/>
        <w:rPr>
          <w:rFonts w:ascii="Avenir Next" w:hAnsi="Avenir Next" w:cs="Arial"/>
          <w:sz w:val="22"/>
          <w:szCs w:val="22"/>
          <w:highlight w:val="yellow"/>
          <w:lang w:val="en-GB"/>
        </w:rPr>
      </w:pPr>
      <w:r w:rsidRPr="00A9055C">
        <w:rPr>
          <w:rFonts w:ascii="Avenir Next" w:hAnsi="Avenir Next" w:cs="Arial"/>
          <w:sz w:val="22"/>
          <w:szCs w:val="22"/>
          <w:highlight w:val="yellow"/>
          <w:lang w:val="en-GB"/>
        </w:rPr>
        <w:t>Deed of Company Arrangement.</w:t>
      </w:r>
    </w:p>
    <w:p w14:paraId="7EABCDE7" w14:textId="77777777" w:rsidR="00310533" w:rsidRP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8E0D7A">
      <w:pPr>
        <w:pStyle w:val="ListParagraph"/>
        <w:numPr>
          <w:ilvl w:val="0"/>
          <w:numId w:val="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A9055C" w:rsidRDefault="00210493" w:rsidP="008E0D7A">
      <w:pPr>
        <w:pStyle w:val="ListParagraph"/>
        <w:numPr>
          <w:ilvl w:val="0"/>
          <w:numId w:val="3"/>
        </w:numPr>
        <w:ind w:left="426"/>
        <w:rPr>
          <w:rFonts w:ascii="Avenir Next" w:hAnsi="Avenir Next" w:cs="Arial"/>
          <w:color w:val="000000" w:themeColor="text1"/>
          <w:sz w:val="22"/>
          <w:szCs w:val="22"/>
          <w:highlight w:val="yellow"/>
          <w:lang w:val="en-GB"/>
        </w:rPr>
      </w:pPr>
      <w:r w:rsidRPr="00A9055C">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A9055C">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8E0D7A">
      <w:pPr>
        <w:pStyle w:val="ListParagraph"/>
        <w:numPr>
          <w:ilvl w:val="0"/>
          <w:numId w:val="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8E0D7A">
      <w:pPr>
        <w:pStyle w:val="ListParagraph"/>
        <w:numPr>
          <w:ilvl w:val="0"/>
          <w:numId w:val="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8E0D7A">
      <w:pPr>
        <w:pStyle w:val="ListParagraph"/>
        <w:numPr>
          <w:ilvl w:val="0"/>
          <w:numId w:val="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8E0D7A">
      <w:pPr>
        <w:pStyle w:val="ListParagraph"/>
        <w:numPr>
          <w:ilvl w:val="0"/>
          <w:numId w:val="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8E0D7A">
      <w:pPr>
        <w:pStyle w:val="ListParagraph"/>
        <w:numPr>
          <w:ilvl w:val="0"/>
          <w:numId w:val="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A9055C" w:rsidRDefault="00CB2364" w:rsidP="008E0D7A">
      <w:pPr>
        <w:pStyle w:val="ListParagraph"/>
        <w:numPr>
          <w:ilvl w:val="0"/>
          <w:numId w:val="4"/>
        </w:numPr>
        <w:ind w:left="426"/>
        <w:rPr>
          <w:rFonts w:ascii="Avenir Next" w:hAnsi="Avenir Next" w:cs="Arial"/>
          <w:sz w:val="22"/>
          <w:szCs w:val="22"/>
          <w:highlight w:val="yellow"/>
          <w:lang w:val="en-GB"/>
        </w:rPr>
      </w:pPr>
      <w:r w:rsidRPr="00A9055C">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8E0D7A">
      <w:pPr>
        <w:pStyle w:val="ListParagraph"/>
        <w:numPr>
          <w:ilvl w:val="0"/>
          <w:numId w:val="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4987E399" w14:textId="41BC2870" w:rsidR="00310533" w:rsidRPr="00A9055C" w:rsidRDefault="000F6063" w:rsidP="008E0D7A">
      <w:pPr>
        <w:pStyle w:val="ListParagraph"/>
        <w:numPr>
          <w:ilvl w:val="0"/>
          <w:numId w:val="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0A9B585" w14:textId="77777777" w:rsidR="00310533" w:rsidRPr="00310533" w:rsidRDefault="00310533" w:rsidP="00924973">
      <w:pPr>
        <w:rPr>
          <w:rFonts w:ascii="Avenir Next" w:hAnsi="Avenir Next" w:cs="Arial"/>
          <w:sz w:val="22"/>
          <w:szCs w:val="22"/>
          <w:lang w:val="en-GB"/>
        </w:rPr>
      </w:pPr>
    </w:p>
    <w:p w14:paraId="0D0C443F" w14:textId="0F1DC2CC" w:rsidR="000F6063" w:rsidRPr="00A9055C" w:rsidRDefault="000F6063" w:rsidP="008E0D7A">
      <w:pPr>
        <w:pStyle w:val="ListParagraph"/>
        <w:numPr>
          <w:ilvl w:val="0"/>
          <w:numId w:val="5"/>
        </w:numPr>
        <w:ind w:left="426"/>
        <w:rPr>
          <w:rFonts w:ascii="Avenir Next" w:hAnsi="Avenir Next" w:cs="Arial"/>
          <w:sz w:val="22"/>
          <w:szCs w:val="22"/>
          <w:highlight w:val="yellow"/>
          <w:lang w:val="en-GB"/>
        </w:rPr>
      </w:pPr>
      <w:r w:rsidRPr="00A9055C">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8E0D7A">
      <w:pPr>
        <w:pStyle w:val="ListParagraph"/>
        <w:numPr>
          <w:ilvl w:val="0"/>
          <w:numId w:val="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8E0D7A">
      <w:pPr>
        <w:pStyle w:val="ListParagraph"/>
        <w:numPr>
          <w:ilvl w:val="0"/>
          <w:numId w:val="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8E0D7A">
      <w:pPr>
        <w:pStyle w:val="ListParagraph"/>
        <w:numPr>
          <w:ilvl w:val="0"/>
          <w:numId w:val="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A9055C" w:rsidRDefault="00E177F0" w:rsidP="008E0D7A">
      <w:pPr>
        <w:pStyle w:val="ListParagraph"/>
        <w:numPr>
          <w:ilvl w:val="0"/>
          <w:numId w:val="6"/>
        </w:numPr>
        <w:ind w:left="426"/>
        <w:rPr>
          <w:rFonts w:ascii="Avenir Next" w:hAnsi="Avenir Next" w:cs="Arial"/>
          <w:sz w:val="22"/>
          <w:szCs w:val="22"/>
          <w:highlight w:val="yellow"/>
          <w:lang w:val="en-GB"/>
        </w:rPr>
      </w:pPr>
      <w:r w:rsidRPr="00A9055C">
        <w:rPr>
          <w:rFonts w:ascii="Avenir Next" w:hAnsi="Avenir Next" w:cs="Arial"/>
          <w:sz w:val="22"/>
          <w:szCs w:val="22"/>
          <w:highlight w:val="yellow"/>
          <w:lang w:val="en-GB"/>
        </w:rPr>
        <w:t>May enforce their security without leave of the court</w:t>
      </w:r>
      <w:r w:rsidR="00803C72" w:rsidRPr="00A9055C">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8E0D7A">
      <w:pPr>
        <w:pStyle w:val="ListParagraph"/>
        <w:numPr>
          <w:ilvl w:val="0"/>
          <w:numId w:val="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8E0D7A">
      <w:pPr>
        <w:pStyle w:val="ListParagraph"/>
        <w:numPr>
          <w:ilvl w:val="0"/>
          <w:numId w:val="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A9055C" w:rsidRDefault="000F6063" w:rsidP="008E0D7A">
      <w:pPr>
        <w:pStyle w:val="ListParagraph"/>
        <w:numPr>
          <w:ilvl w:val="0"/>
          <w:numId w:val="7"/>
        </w:numPr>
        <w:ind w:left="426"/>
        <w:jc w:val="both"/>
        <w:rPr>
          <w:rFonts w:ascii="Avenir Next" w:hAnsi="Avenir Next" w:cs="Arial"/>
          <w:sz w:val="22"/>
          <w:szCs w:val="22"/>
          <w:highlight w:val="yellow"/>
          <w:lang w:val="en-GB"/>
        </w:rPr>
      </w:pPr>
      <w:r w:rsidRPr="00A9055C">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8E0D7A">
      <w:pPr>
        <w:pStyle w:val="ListParagraph"/>
        <w:numPr>
          <w:ilvl w:val="0"/>
          <w:numId w:val="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7777777" w:rsidR="000F6063" w:rsidRPr="00310533" w:rsidRDefault="000F6063" w:rsidP="008E0D7A">
      <w:pPr>
        <w:pStyle w:val="ListParagraph"/>
        <w:numPr>
          <w:ilvl w:val="0"/>
          <w:numId w:val="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8E0D7A">
      <w:pPr>
        <w:pStyle w:val="ListParagraph"/>
        <w:numPr>
          <w:ilvl w:val="0"/>
          <w:numId w:val="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8E0D7A">
      <w:pPr>
        <w:pStyle w:val="ListParagraph"/>
        <w:numPr>
          <w:ilvl w:val="0"/>
          <w:numId w:val="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A9055C" w:rsidRDefault="00853B56" w:rsidP="008E0D7A">
      <w:pPr>
        <w:pStyle w:val="ListParagraph"/>
        <w:numPr>
          <w:ilvl w:val="0"/>
          <w:numId w:val="8"/>
        </w:numPr>
        <w:ind w:left="426"/>
        <w:jc w:val="both"/>
        <w:rPr>
          <w:rFonts w:ascii="Avenir Next" w:hAnsi="Avenir Next" w:cs="Arial"/>
          <w:sz w:val="22"/>
          <w:szCs w:val="22"/>
          <w:highlight w:val="yellow"/>
          <w:lang w:val="en-GB"/>
        </w:rPr>
      </w:pPr>
      <w:r w:rsidRPr="00A9055C">
        <w:rPr>
          <w:rFonts w:ascii="Avenir Next" w:hAnsi="Avenir Next" w:cs="Arial"/>
          <w:sz w:val="22"/>
          <w:szCs w:val="22"/>
          <w:highlight w:val="yellow"/>
          <w:lang w:val="en-GB"/>
        </w:rPr>
        <w:t>Amounts due to p</w:t>
      </w:r>
      <w:r w:rsidR="005327B7" w:rsidRPr="00A9055C">
        <w:rPr>
          <w:rFonts w:ascii="Avenir Next" w:hAnsi="Avenir Next" w:cs="Arial"/>
          <w:sz w:val="22"/>
          <w:szCs w:val="22"/>
          <w:highlight w:val="yellow"/>
          <w:lang w:val="en-GB"/>
        </w:rPr>
        <w:t>referred shareholders</w:t>
      </w:r>
      <w:r w:rsidR="00803C72" w:rsidRPr="00A9055C">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8E0D7A">
      <w:pPr>
        <w:pStyle w:val="ListParagraph"/>
        <w:numPr>
          <w:ilvl w:val="0"/>
          <w:numId w:val="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8E0D7A">
      <w:pPr>
        <w:pStyle w:val="ListParagraph"/>
        <w:numPr>
          <w:ilvl w:val="0"/>
          <w:numId w:val="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8E0D7A">
      <w:pPr>
        <w:pStyle w:val="ListParagraph"/>
        <w:numPr>
          <w:ilvl w:val="0"/>
          <w:numId w:val="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8E0D7A">
      <w:pPr>
        <w:pStyle w:val="ListParagraph"/>
        <w:numPr>
          <w:ilvl w:val="0"/>
          <w:numId w:val="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8E0D7A">
      <w:pPr>
        <w:pStyle w:val="ListParagraph"/>
        <w:numPr>
          <w:ilvl w:val="0"/>
          <w:numId w:val="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A9055C" w:rsidRDefault="005327B7" w:rsidP="008E0D7A">
      <w:pPr>
        <w:pStyle w:val="ListParagraph"/>
        <w:numPr>
          <w:ilvl w:val="0"/>
          <w:numId w:val="9"/>
        </w:numPr>
        <w:ind w:left="426"/>
        <w:jc w:val="both"/>
        <w:rPr>
          <w:rFonts w:ascii="Avenir Next" w:hAnsi="Avenir Next" w:cs="Arial"/>
          <w:sz w:val="22"/>
          <w:szCs w:val="22"/>
          <w:highlight w:val="yellow"/>
          <w:lang w:val="en-GB"/>
        </w:rPr>
      </w:pPr>
      <w:r w:rsidRPr="00A9055C">
        <w:rPr>
          <w:rFonts w:ascii="Avenir Next" w:hAnsi="Avenir Next" w:cs="Arial"/>
          <w:sz w:val="22"/>
          <w:szCs w:val="22"/>
          <w:highlight w:val="yellow"/>
          <w:lang w:val="en-GB"/>
        </w:rPr>
        <w:t>The board of directors decides it is “just and equitable” for the company to be wound up</w:t>
      </w:r>
      <w:r w:rsidR="00D06A87" w:rsidRPr="00A9055C">
        <w:rPr>
          <w:rFonts w:ascii="Avenir Next" w:hAnsi="Avenir Next" w:cs="Arial"/>
          <w:sz w:val="22"/>
          <w:szCs w:val="22"/>
          <w:highlight w:val="yellow"/>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8E0D7A">
      <w:pPr>
        <w:pStyle w:val="ListParagraph"/>
        <w:numPr>
          <w:ilvl w:val="0"/>
          <w:numId w:val="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In order for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8E0D7A">
      <w:pPr>
        <w:pStyle w:val="ListParagraph"/>
        <w:numPr>
          <w:ilvl w:val="0"/>
          <w:numId w:val="1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89759A4" w:rsidR="000F6063" w:rsidRPr="00310533" w:rsidRDefault="000F6063" w:rsidP="008E0D7A">
      <w:pPr>
        <w:pStyle w:val="ListParagraph"/>
        <w:numPr>
          <w:ilvl w:val="0"/>
          <w:numId w:val="1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more than 75% f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8E0D7A">
      <w:pPr>
        <w:pStyle w:val="ListParagraph"/>
        <w:numPr>
          <w:ilvl w:val="0"/>
          <w:numId w:val="1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A9055C" w:rsidRDefault="000F6063" w:rsidP="008E0D7A">
      <w:pPr>
        <w:pStyle w:val="ListParagraph"/>
        <w:numPr>
          <w:ilvl w:val="0"/>
          <w:numId w:val="10"/>
        </w:numPr>
        <w:ind w:left="426"/>
        <w:jc w:val="both"/>
        <w:rPr>
          <w:rFonts w:ascii="Avenir Next" w:hAnsi="Avenir Next" w:cs="Arial"/>
          <w:sz w:val="22"/>
          <w:szCs w:val="22"/>
          <w:highlight w:val="yellow"/>
          <w:lang w:val="en-GB"/>
        </w:rPr>
      </w:pPr>
      <w:r w:rsidRPr="00A9055C">
        <w:rPr>
          <w:rFonts w:ascii="Avenir Next" w:hAnsi="Avenir Next" w:cs="Arial"/>
          <w:sz w:val="22"/>
          <w:szCs w:val="22"/>
          <w:highlight w:val="yellow"/>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Pr="00310533" w:rsidRDefault="00A26898" w:rsidP="00D27CBC">
      <w:pPr>
        <w:jc w:val="both"/>
        <w:rPr>
          <w:rFonts w:ascii="Avenir Next" w:hAnsi="Avenir Next" w:cs="Arial"/>
          <w:sz w:val="22"/>
          <w:szCs w:val="22"/>
          <w:lang w:val="en-GB"/>
        </w:rPr>
      </w:pPr>
    </w:p>
    <w:p w14:paraId="1E3D1C45" w14:textId="02124250" w:rsidR="00A9055C" w:rsidRDefault="00A9055C" w:rsidP="00A9055C">
      <w:pPr>
        <w:rPr>
          <w:rFonts w:ascii="Arial" w:hAnsi="Arial" w:cs="Arial"/>
          <w:sz w:val="22"/>
          <w:szCs w:val="22"/>
        </w:rPr>
      </w:pPr>
      <w:r w:rsidRPr="00A9055C">
        <w:rPr>
          <w:rFonts w:ascii="Arial" w:hAnsi="Arial" w:cs="Arial"/>
          <w:sz w:val="22"/>
          <w:szCs w:val="22"/>
        </w:rPr>
        <w:t>It is possible for a creditor to register its security over an asset in the Cayman Islands. In particular, the Cayman Islands has ownership registers for real estate, ships, aircraft, motor vehicles and intellectual property.</w:t>
      </w:r>
      <w:r w:rsidRPr="00A9055C">
        <w:rPr>
          <w:rStyle w:val="FootnoteReference"/>
          <w:rFonts w:ascii="Arial" w:eastAsiaTheme="majorEastAsia" w:hAnsi="Arial" w:cs="Arial"/>
          <w:sz w:val="22"/>
          <w:szCs w:val="22"/>
        </w:rPr>
        <w:footnoteReference w:id="1"/>
      </w:r>
      <w:r w:rsidRPr="00A9055C">
        <w:rPr>
          <w:rFonts w:ascii="Arial" w:hAnsi="Arial" w:cs="Arial"/>
          <w:sz w:val="22"/>
          <w:szCs w:val="22"/>
        </w:rPr>
        <w:t xml:space="preserve"> Both mortgages and charges can be registered in these centrally maintained ownership registers.</w:t>
      </w:r>
      <w:r w:rsidRPr="00A9055C">
        <w:rPr>
          <w:rStyle w:val="FootnoteReference"/>
          <w:rFonts w:ascii="Arial" w:eastAsiaTheme="majorEastAsia" w:hAnsi="Arial" w:cs="Arial"/>
          <w:sz w:val="22"/>
          <w:szCs w:val="22"/>
        </w:rPr>
        <w:footnoteReference w:id="2"/>
      </w:r>
    </w:p>
    <w:p w14:paraId="1186B914" w14:textId="77777777" w:rsidR="00A9055C" w:rsidRPr="00A9055C" w:rsidRDefault="00A9055C" w:rsidP="00A9055C">
      <w:pPr>
        <w:rPr>
          <w:rFonts w:ascii="Arial" w:hAnsi="Arial" w:cs="Arial"/>
          <w:sz w:val="22"/>
          <w:szCs w:val="22"/>
        </w:rPr>
      </w:pPr>
    </w:p>
    <w:p w14:paraId="297235A5" w14:textId="77777777" w:rsidR="00A9055C" w:rsidRPr="00A9055C" w:rsidRDefault="00A9055C" w:rsidP="00A9055C">
      <w:pPr>
        <w:rPr>
          <w:rFonts w:ascii="Arial" w:hAnsi="Arial" w:cs="Arial"/>
          <w:sz w:val="22"/>
          <w:szCs w:val="22"/>
        </w:rPr>
      </w:pPr>
      <w:r w:rsidRPr="00A9055C">
        <w:rPr>
          <w:rFonts w:ascii="Arial" w:hAnsi="Arial" w:cs="Arial"/>
          <w:sz w:val="22"/>
          <w:szCs w:val="22"/>
        </w:rPr>
        <w:t>The effect of registry is as follows:</w:t>
      </w:r>
      <w:r w:rsidRPr="00A9055C">
        <w:rPr>
          <w:rStyle w:val="FootnoteReference"/>
          <w:rFonts w:ascii="Arial" w:eastAsiaTheme="majorEastAsia" w:hAnsi="Arial" w:cs="Arial"/>
          <w:sz w:val="22"/>
          <w:szCs w:val="22"/>
        </w:rPr>
        <w:footnoteReference w:id="3"/>
      </w:r>
    </w:p>
    <w:p w14:paraId="1D80C5B9" w14:textId="77777777" w:rsidR="00A9055C" w:rsidRPr="00A9055C" w:rsidRDefault="00A9055C" w:rsidP="008E0D7A">
      <w:pPr>
        <w:pStyle w:val="ListParagraph"/>
        <w:numPr>
          <w:ilvl w:val="0"/>
          <w:numId w:val="12"/>
        </w:numPr>
        <w:spacing w:before="120" w:after="120"/>
        <w:contextualSpacing w:val="0"/>
        <w:rPr>
          <w:rFonts w:ascii="Arial" w:hAnsi="Arial" w:cs="Arial"/>
          <w:sz w:val="22"/>
          <w:szCs w:val="22"/>
        </w:rPr>
      </w:pPr>
      <w:r w:rsidRPr="00A9055C">
        <w:rPr>
          <w:rFonts w:ascii="Arial" w:hAnsi="Arial" w:cs="Arial"/>
          <w:sz w:val="22"/>
          <w:szCs w:val="22"/>
        </w:rPr>
        <w:t>The secured creditor will now have priority over non-registered creditors; and</w:t>
      </w:r>
    </w:p>
    <w:p w14:paraId="702E0852" w14:textId="77777777" w:rsidR="00A9055C" w:rsidRPr="00A9055C" w:rsidRDefault="00A9055C" w:rsidP="008E0D7A">
      <w:pPr>
        <w:pStyle w:val="ListParagraph"/>
        <w:numPr>
          <w:ilvl w:val="0"/>
          <w:numId w:val="12"/>
        </w:numPr>
        <w:spacing w:before="120" w:after="120"/>
        <w:contextualSpacing w:val="0"/>
        <w:rPr>
          <w:rFonts w:ascii="Arial" w:hAnsi="Arial" w:cs="Arial"/>
          <w:sz w:val="22"/>
          <w:szCs w:val="22"/>
        </w:rPr>
      </w:pPr>
      <w:r w:rsidRPr="00A9055C">
        <w:rPr>
          <w:rFonts w:ascii="Arial" w:hAnsi="Arial" w:cs="Arial"/>
          <w:sz w:val="22"/>
          <w:szCs w:val="22"/>
        </w:rPr>
        <w:t>Third party purchasers of the charged asset will now be deemed to have notice of any such interest and will therefore acquire the asset subject to the secured creditor's interest.</w:t>
      </w:r>
    </w:p>
    <w:p w14:paraId="310221E2" w14:textId="77777777" w:rsidR="00A9055C" w:rsidRPr="00A9055C" w:rsidRDefault="00A9055C" w:rsidP="00A9055C">
      <w:pPr>
        <w:rPr>
          <w:rFonts w:ascii="Arial" w:hAnsi="Arial" w:cs="Arial"/>
          <w:sz w:val="22"/>
          <w:szCs w:val="22"/>
        </w:rPr>
      </w:pPr>
      <w:r w:rsidRPr="00A9055C">
        <w:rPr>
          <w:rFonts w:ascii="Arial" w:hAnsi="Arial" w:cs="Arial"/>
          <w:sz w:val="22"/>
          <w:szCs w:val="22"/>
        </w:rPr>
        <w:t>Aside from the above, there is no public security registration regime for other type of assets.</w:t>
      </w:r>
      <w:r w:rsidRPr="00A9055C">
        <w:rPr>
          <w:rStyle w:val="FootnoteReference"/>
          <w:rFonts w:ascii="Arial" w:eastAsiaTheme="majorEastAsia" w:hAnsi="Arial" w:cs="Arial"/>
          <w:sz w:val="22"/>
          <w:szCs w:val="22"/>
        </w:rPr>
        <w:footnoteReference w:id="4"/>
      </w:r>
    </w:p>
    <w:p w14:paraId="04CAAB05" w14:textId="77777777" w:rsidR="00A9055C" w:rsidRDefault="00A9055C" w:rsidP="00A9055C">
      <w:pPr>
        <w:rPr>
          <w:rFonts w:ascii="Arial" w:hAnsi="Arial" w:cs="Arial"/>
          <w:sz w:val="22"/>
          <w:szCs w:val="22"/>
        </w:rPr>
      </w:pPr>
    </w:p>
    <w:p w14:paraId="39DAAAC0" w14:textId="7876E8B7" w:rsidR="00A9055C" w:rsidRPr="00A9055C" w:rsidRDefault="00A9055C" w:rsidP="00A9055C">
      <w:pPr>
        <w:rPr>
          <w:rFonts w:ascii="Arial" w:hAnsi="Arial" w:cs="Arial"/>
          <w:sz w:val="22"/>
          <w:szCs w:val="22"/>
        </w:rPr>
      </w:pPr>
      <w:r w:rsidRPr="00A9055C">
        <w:rPr>
          <w:rFonts w:ascii="Arial" w:hAnsi="Arial" w:cs="Arial"/>
          <w:sz w:val="22"/>
          <w:szCs w:val="22"/>
        </w:rPr>
        <w:t>However, section 54 of the Companies Act (2022 Revision) does require security interests to be entered in the register of mortgages and charges of a debtor company.</w:t>
      </w:r>
      <w:r w:rsidRPr="00A9055C">
        <w:rPr>
          <w:rStyle w:val="FootnoteReference"/>
          <w:rFonts w:ascii="Arial" w:eastAsiaTheme="majorEastAsia" w:hAnsi="Arial" w:cs="Arial"/>
          <w:sz w:val="22"/>
          <w:szCs w:val="22"/>
        </w:rPr>
        <w:footnoteReference w:id="5"/>
      </w:r>
      <w:r w:rsidRPr="00A9055C">
        <w:rPr>
          <w:rFonts w:ascii="Arial" w:hAnsi="Arial" w:cs="Arial"/>
          <w:sz w:val="22"/>
          <w:szCs w:val="22"/>
        </w:rPr>
        <w:t xml:space="preserve"> Whilst this does not create a priority as above, the register is open for inspection by any member of the company or creditor and therefore puts third parties on notice of the existence of the recorded security.</w:t>
      </w:r>
      <w:r w:rsidRPr="00A9055C">
        <w:rPr>
          <w:rStyle w:val="FootnoteReference"/>
          <w:rFonts w:ascii="Arial" w:eastAsiaTheme="majorEastAsia" w:hAnsi="Arial" w:cs="Arial"/>
          <w:sz w:val="22"/>
          <w:szCs w:val="22"/>
        </w:rPr>
        <w:footnoteReference w:id="6"/>
      </w:r>
      <w:r w:rsidRPr="00A9055C">
        <w:rPr>
          <w:rFonts w:ascii="Arial" w:hAnsi="Arial" w:cs="Arial"/>
          <w:sz w:val="22"/>
          <w:szCs w:val="22"/>
        </w:rPr>
        <w:t xml:space="preserve"> Failure by the company to update its register will also not invalidate any unrecorded security interest.</w:t>
      </w:r>
      <w:r w:rsidRPr="00A9055C">
        <w:rPr>
          <w:rStyle w:val="FootnoteReference"/>
          <w:rFonts w:ascii="Arial" w:eastAsiaTheme="majorEastAsia" w:hAnsi="Arial" w:cs="Arial"/>
          <w:sz w:val="22"/>
          <w:szCs w:val="22"/>
        </w:rPr>
        <w:footnoteReference w:id="7"/>
      </w:r>
    </w:p>
    <w:p w14:paraId="5DCFDFFB" w14:textId="77777777" w:rsidR="00D27CBC" w:rsidRPr="00310533" w:rsidRDefault="00D27CBC"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64EA7180" w14:textId="6E0FA014" w:rsidR="00A9055C" w:rsidRDefault="00A9055C" w:rsidP="00A9055C">
      <w:pPr>
        <w:rPr>
          <w:rFonts w:ascii="Arial" w:hAnsi="Arial" w:cs="Arial"/>
          <w:sz w:val="22"/>
          <w:szCs w:val="22"/>
        </w:rPr>
      </w:pPr>
      <w:r w:rsidRPr="00A9055C">
        <w:rPr>
          <w:rFonts w:ascii="Arial" w:hAnsi="Arial" w:cs="Arial"/>
          <w:sz w:val="22"/>
          <w:szCs w:val="22"/>
        </w:rPr>
        <w:lastRenderedPageBreak/>
        <w:t>The Cayman Islands Grand Court has the power to assist foreign bankruptcy proceedings. Its powers to do so are provided for in Part XVII of the Companies Act (2022 Revision) (</w:t>
      </w:r>
      <w:r w:rsidRPr="00A9055C">
        <w:rPr>
          <w:rFonts w:ascii="Arial" w:hAnsi="Arial" w:cs="Arial"/>
          <w:b/>
          <w:bCs/>
          <w:sz w:val="22"/>
          <w:szCs w:val="22"/>
        </w:rPr>
        <w:t>Act</w:t>
      </w:r>
      <w:r w:rsidRPr="00A9055C">
        <w:rPr>
          <w:rFonts w:ascii="Arial" w:hAnsi="Arial" w:cs="Arial"/>
          <w:sz w:val="22"/>
          <w:szCs w:val="22"/>
        </w:rPr>
        <w:t>).</w:t>
      </w:r>
    </w:p>
    <w:p w14:paraId="687D011F" w14:textId="77777777" w:rsidR="00A9055C" w:rsidRPr="00A9055C" w:rsidRDefault="00A9055C" w:rsidP="00A9055C">
      <w:pPr>
        <w:rPr>
          <w:rFonts w:ascii="Arial" w:hAnsi="Arial" w:cs="Arial"/>
          <w:sz w:val="22"/>
          <w:szCs w:val="22"/>
        </w:rPr>
      </w:pPr>
    </w:p>
    <w:p w14:paraId="1111338A" w14:textId="1EA0E4CB" w:rsidR="00A9055C" w:rsidRDefault="00A9055C" w:rsidP="00A9055C">
      <w:pPr>
        <w:rPr>
          <w:rFonts w:ascii="Arial" w:hAnsi="Arial" w:cs="Arial"/>
          <w:sz w:val="22"/>
          <w:szCs w:val="22"/>
        </w:rPr>
      </w:pPr>
      <w:r w:rsidRPr="00A9055C">
        <w:rPr>
          <w:rFonts w:ascii="Arial" w:hAnsi="Arial" w:cs="Arial"/>
          <w:sz w:val="22"/>
          <w:szCs w:val="22"/>
        </w:rPr>
        <w:t>Whilst there is no threshold test for the grant of assistance, a foreign representative must satisfy the Cayman court that it is appropriate for the court to exercise its discretion by granting the relief sought in the foreign representative's application.</w:t>
      </w:r>
      <w:r w:rsidRPr="00A9055C">
        <w:rPr>
          <w:rStyle w:val="FootnoteReference"/>
          <w:rFonts w:ascii="Arial" w:eastAsiaTheme="majorEastAsia" w:hAnsi="Arial" w:cs="Arial"/>
          <w:sz w:val="22"/>
          <w:szCs w:val="22"/>
        </w:rPr>
        <w:footnoteReference w:id="8"/>
      </w:r>
      <w:r w:rsidRPr="00A9055C">
        <w:rPr>
          <w:rFonts w:ascii="Arial" w:hAnsi="Arial" w:cs="Arial"/>
          <w:sz w:val="22"/>
          <w:szCs w:val="22"/>
        </w:rPr>
        <w:t xml:space="preserve"> </w:t>
      </w:r>
    </w:p>
    <w:p w14:paraId="1D76141E" w14:textId="77777777" w:rsidR="00A9055C" w:rsidRPr="00A9055C" w:rsidRDefault="00A9055C" w:rsidP="00A9055C">
      <w:pPr>
        <w:rPr>
          <w:rFonts w:ascii="Arial" w:hAnsi="Arial" w:cs="Arial"/>
          <w:sz w:val="22"/>
          <w:szCs w:val="22"/>
        </w:rPr>
      </w:pPr>
    </w:p>
    <w:p w14:paraId="5BF2E828" w14:textId="77777777" w:rsidR="00A9055C" w:rsidRPr="00A9055C" w:rsidRDefault="00A9055C" w:rsidP="00A9055C">
      <w:pPr>
        <w:rPr>
          <w:rFonts w:ascii="Arial" w:hAnsi="Arial" w:cs="Arial"/>
          <w:sz w:val="22"/>
          <w:szCs w:val="22"/>
        </w:rPr>
      </w:pPr>
      <w:r w:rsidRPr="00A9055C">
        <w:rPr>
          <w:rFonts w:ascii="Arial" w:hAnsi="Arial" w:cs="Arial"/>
          <w:sz w:val="22"/>
          <w:szCs w:val="22"/>
        </w:rPr>
        <w:t>Additionally, the court may grant several forms of ancillary relief as set out in section 240 of the Act:</w:t>
      </w:r>
      <w:r w:rsidRPr="00A9055C">
        <w:rPr>
          <w:rStyle w:val="FootnoteReference"/>
          <w:rFonts w:ascii="Arial" w:eastAsiaTheme="majorEastAsia" w:hAnsi="Arial" w:cs="Arial"/>
          <w:sz w:val="22"/>
          <w:szCs w:val="22"/>
        </w:rPr>
        <w:footnoteReference w:id="9"/>
      </w:r>
    </w:p>
    <w:p w14:paraId="10C13B1F" w14:textId="77777777" w:rsidR="00A9055C" w:rsidRPr="00A9055C" w:rsidRDefault="00A9055C" w:rsidP="00575BEC">
      <w:pPr>
        <w:pStyle w:val="Multilevel3"/>
        <w:tabs>
          <w:tab w:val="clear" w:pos="1440"/>
          <w:tab w:val="num" w:pos="567"/>
        </w:tabs>
        <w:ind w:left="567" w:hanging="567"/>
        <w:rPr>
          <w:rFonts w:ascii="Arial" w:hAnsi="Arial" w:cs="Arial"/>
          <w:sz w:val="22"/>
          <w:szCs w:val="22"/>
        </w:rPr>
      </w:pPr>
      <w:r w:rsidRPr="00A9055C">
        <w:rPr>
          <w:rFonts w:ascii="Arial" w:hAnsi="Arial" w:cs="Arial"/>
          <w:sz w:val="22"/>
          <w:szCs w:val="22"/>
        </w:rPr>
        <w:t>Recognise the foreign representative's right to act in the Islands on behalf of or in the name of a debtor;</w:t>
      </w:r>
    </w:p>
    <w:p w14:paraId="6005E003" w14:textId="3346B8B4" w:rsidR="00A9055C" w:rsidRPr="00A9055C" w:rsidRDefault="00A9055C" w:rsidP="00575BEC">
      <w:pPr>
        <w:pStyle w:val="Multilevel3"/>
        <w:tabs>
          <w:tab w:val="clear" w:pos="1440"/>
          <w:tab w:val="num" w:pos="567"/>
        </w:tabs>
        <w:ind w:left="0" w:firstLine="0"/>
        <w:rPr>
          <w:rFonts w:ascii="Arial" w:hAnsi="Arial" w:cs="Arial"/>
          <w:sz w:val="22"/>
          <w:szCs w:val="22"/>
        </w:rPr>
      </w:pPr>
      <w:r w:rsidRPr="00A9055C">
        <w:rPr>
          <w:rFonts w:ascii="Arial" w:hAnsi="Arial" w:cs="Arial"/>
          <w:sz w:val="22"/>
          <w:szCs w:val="22"/>
        </w:rPr>
        <w:t xml:space="preserve">Enjoin the commencement or stay the continuation of legal proceedings against the </w:t>
      </w:r>
      <w:r w:rsidR="00575BEC">
        <w:rPr>
          <w:rFonts w:ascii="Arial" w:hAnsi="Arial" w:cs="Arial"/>
          <w:sz w:val="22"/>
          <w:szCs w:val="22"/>
        </w:rPr>
        <w:tab/>
      </w:r>
      <w:r w:rsidRPr="00A9055C">
        <w:rPr>
          <w:rFonts w:ascii="Arial" w:hAnsi="Arial" w:cs="Arial"/>
          <w:sz w:val="22"/>
          <w:szCs w:val="22"/>
        </w:rPr>
        <w:t>debtor;</w:t>
      </w:r>
    </w:p>
    <w:p w14:paraId="5C6FC56E" w14:textId="77777777" w:rsidR="00A9055C" w:rsidRPr="00A9055C" w:rsidRDefault="00A9055C" w:rsidP="00575BEC">
      <w:pPr>
        <w:pStyle w:val="Multilevel3"/>
        <w:tabs>
          <w:tab w:val="clear" w:pos="1440"/>
          <w:tab w:val="num" w:pos="567"/>
        </w:tabs>
        <w:ind w:left="0" w:firstLine="0"/>
        <w:rPr>
          <w:rFonts w:ascii="Arial" w:hAnsi="Arial" w:cs="Arial"/>
          <w:sz w:val="22"/>
          <w:szCs w:val="22"/>
        </w:rPr>
      </w:pPr>
      <w:r w:rsidRPr="00A9055C">
        <w:rPr>
          <w:rFonts w:ascii="Arial" w:hAnsi="Arial" w:cs="Arial"/>
          <w:sz w:val="22"/>
          <w:szCs w:val="22"/>
        </w:rPr>
        <w:t>Stay the enforcement of any judgment against the debtor;</w:t>
      </w:r>
    </w:p>
    <w:p w14:paraId="46F5EDD8" w14:textId="77777777" w:rsidR="00A9055C" w:rsidRPr="00A9055C" w:rsidRDefault="00A9055C" w:rsidP="00575BEC">
      <w:pPr>
        <w:pStyle w:val="Multilevel3"/>
        <w:tabs>
          <w:tab w:val="clear" w:pos="1440"/>
          <w:tab w:val="num" w:pos="567"/>
        </w:tabs>
        <w:ind w:left="567" w:hanging="567"/>
        <w:rPr>
          <w:rFonts w:ascii="Arial" w:hAnsi="Arial" w:cs="Arial"/>
          <w:sz w:val="22"/>
          <w:szCs w:val="22"/>
        </w:rPr>
      </w:pPr>
      <w:r w:rsidRPr="00A9055C">
        <w:rPr>
          <w:rFonts w:ascii="Arial" w:hAnsi="Arial" w:cs="Arial"/>
          <w:sz w:val="22"/>
          <w:szCs w:val="22"/>
        </w:rPr>
        <w:t xml:space="preserve">Require the examination of a person in possession of information relevant to the business or affairs to the debtor by the foreign representative, as well as order the person to produce documents; and </w:t>
      </w:r>
    </w:p>
    <w:p w14:paraId="63B24BFC" w14:textId="77777777" w:rsidR="00A9055C" w:rsidRPr="00A9055C" w:rsidRDefault="00A9055C" w:rsidP="00575BEC">
      <w:pPr>
        <w:pStyle w:val="Multilevel3"/>
        <w:tabs>
          <w:tab w:val="clear" w:pos="1440"/>
          <w:tab w:val="num" w:pos="567"/>
        </w:tabs>
        <w:ind w:left="567" w:hanging="567"/>
        <w:rPr>
          <w:rFonts w:ascii="Arial" w:hAnsi="Arial" w:cs="Arial"/>
          <w:sz w:val="22"/>
          <w:szCs w:val="22"/>
        </w:rPr>
      </w:pPr>
      <w:r w:rsidRPr="00A9055C">
        <w:rPr>
          <w:rFonts w:ascii="Arial" w:hAnsi="Arial" w:cs="Arial"/>
          <w:sz w:val="22"/>
          <w:szCs w:val="22"/>
        </w:rPr>
        <w:t xml:space="preserve">Order any property belonging to the debtor to be handed over to a foreign representative. </w:t>
      </w:r>
    </w:p>
    <w:p w14:paraId="4A19FE8E" w14:textId="77777777" w:rsidR="00A9055C" w:rsidRPr="00A9055C" w:rsidRDefault="00A9055C" w:rsidP="00A9055C">
      <w:pPr>
        <w:rPr>
          <w:rFonts w:ascii="Arial" w:hAnsi="Arial" w:cs="Arial"/>
          <w:sz w:val="22"/>
          <w:szCs w:val="22"/>
        </w:rPr>
      </w:pPr>
      <w:r w:rsidRPr="00A9055C">
        <w:rPr>
          <w:rFonts w:ascii="Arial" w:hAnsi="Arial" w:cs="Arial"/>
          <w:sz w:val="22"/>
          <w:szCs w:val="22"/>
        </w:rPr>
        <w:t>In determining whether to exercise its power, the court is guided by the following matters as set out in section 242 of the Act, which are aimed to ensure an economic and expeditious administration of the debtor's estate:</w:t>
      </w:r>
      <w:r w:rsidRPr="00A9055C">
        <w:rPr>
          <w:rStyle w:val="FootnoteReference"/>
          <w:rFonts w:ascii="Arial" w:eastAsiaTheme="majorEastAsia" w:hAnsi="Arial" w:cs="Arial"/>
          <w:sz w:val="22"/>
          <w:szCs w:val="22"/>
        </w:rPr>
        <w:footnoteReference w:id="10"/>
      </w:r>
    </w:p>
    <w:p w14:paraId="624758AA" w14:textId="77777777" w:rsidR="00A9055C" w:rsidRPr="00A9055C" w:rsidRDefault="00A9055C" w:rsidP="008E0D7A">
      <w:pPr>
        <w:pStyle w:val="Multilevel3"/>
        <w:numPr>
          <w:ilvl w:val="2"/>
          <w:numId w:val="15"/>
        </w:numPr>
        <w:ind w:left="567" w:hanging="567"/>
        <w:rPr>
          <w:rFonts w:ascii="Arial" w:hAnsi="Arial" w:cs="Arial"/>
          <w:sz w:val="22"/>
          <w:szCs w:val="22"/>
        </w:rPr>
      </w:pPr>
      <w:r w:rsidRPr="00A9055C">
        <w:rPr>
          <w:rFonts w:ascii="Arial" w:hAnsi="Arial" w:cs="Arial"/>
          <w:sz w:val="22"/>
          <w:szCs w:val="22"/>
        </w:rPr>
        <w:t>The fair treatment of all holders of claims in accordance with the established principles of natural justice, irrespective where they are domiciled;</w:t>
      </w:r>
    </w:p>
    <w:p w14:paraId="66214BBF" w14:textId="77777777" w:rsidR="00A9055C" w:rsidRPr="00A9055C" w:rsidRDefault="00A9055C" w:rsidP="008E0D7A">
      <w:pPr>
        <w:pStyle w:val="Multilevel3"/>
        <w:numPr>
          <w:ilvl w:val="2"/>
          <w:numId w:val="15"/>
        </w:numPr>
        <w:ind w:left="567" w:hanging="567"/>
        <w:rPr>
          <w:rFonts w:ascii="Arial" w:hAnsi="Arial" w:cs="Arial"/>
          <w:sz w:val="22"/>
          <w:szCs w:val="22"/>
        </w:rPr>
      </w:pPr>
      <w:r w:rsidRPr="00A9055C">
        <w:rPr>
          <w:rFonts w:ascii="Arial" w:hAnsi="Arial" w:cs="Arial"/>
          <w:sz w:val="22"/>
          <w:szCs w:val="22"/>
        </w:rPr>
        <w:t>The protection of claim holders in the Cayman Islands against prejudice and inconvenience in the processing of claims in foreign proceedings;</w:t>
      </w:r>
    </w:p>
    <w:p w14:paraId="2663BDFF" w14:textId="77777777" w:rsidR="00A9055C" w:rsidRPr="00A9055C" w:rsidRDefault="00A9055C" w:rsidP="008E0D7A">
      <w:pPr>
        <w:pStyle w:val="Multilevel3"/>
        <w:numPr>
          <w:ilvl w:val="2"/>
          <w:numId w:val="15"/>
        </w:numPr>
        <w:ind w:left="567" w:hanging="567"/>
        <w:rPr>
          <w:rFonts w:ascii="Arial" w:hAnsi="Arial" w:cs="Arial"/>
          <w:sz w:val="22"/>
          <w:szCs w:val="22"/>
        </w:rPr>
      </w:pPr>
      <w:r w:rsidRPr="00A9055C">
        <w:rPr>
          <w:rFonts w:ascii="Arial" w:hAnsi="Arial" w:cs="Arial"/>
          <w:sz w:val="22"/>
          <w:szCs w:val="22"/>
        </w:rPr>
        <w:t>The prevention of preferential or fraudulent dispositions of property in the debtor's estate;</w:t>
      </w:r>
    </w:p>
    <w:p w14:paraId="5B7CB0C8" w14:textId="77777777" w:rsidR="00A9055C" w:rsidRPr="00A9055C" w:rsidRDefault="00A9055C" w:rsidP="008E0D7A">
      <w:pPr>
        <w:pStyle w:val="Multilevel3"/>
        <w:numPr>
          <w:ilvl w:val="2"/>
          <w:numId w:val="15"/>
        </w:numPr>
        <w:ind w:left="567" w:hanging="567"/>
        <w:rPr>
          <w:rFonts w:ascii="Arial" w:hAnsi="Arial" w:cs="Arial"/>
          <w:sz w:val="22"/>
          <w:szCs w:val="22"/>
        </w:rPr>
      </w:pPr>
      <w:r w:rsidRPr="00A9055C">
        <w:rPr>
          <w:rFonts w:ascii="Arial" w:hAnsi="Arial" w:cs="Arial"/>
          <w:sz w:val="22"/>
          <w:szCs w:val="22"/>
        </w:rPr>
        <w:t>The distribution of the estate among creditors in accordance with the statutory order of priority;</w:t>
      </w:r>
    </w:p>
    <w:p w14:paraId="5996DDFE" w14:textId="77777777" w:rsidR="00A9055C" w:rsidRPr="00A9055C" w:rsidRDefault="00A9055C" w:rsidP="008E0D7A">
      <w:pPr>
        <w:pStyle w:val="Multilevel3"/>
        <w:numPr>
          <w:ilvl w:val="2"/>
          <w:numId w:val="15"/>
        </w:numPr>
        <w:ind w:left="567" w:hanging="567"/>
        <w:rPr>
          <w:rFonts w:ascii="Arial" w:hAnsi="Arial" w:cs="Arial"/>
          <w:sz w:val="22"/>
          <w:szCs w:val="22"/>
        </w:rPr>
      </w:pPr>
      <w:r w:rsidRPr="00A9055C">
        <w:rPr>
          <w:rFonts w:ascii="Arial" w:hAnsi="Arial" w:cs="Arial"/>
          <w:sz w:val="22"/>
          <w:szCs w:val="22"/>
        </w:rPr>
        <w:t>The recognition and enforcement of security interests created by the debtor;</w:t>
      </w:r>
    </w:p>
    <w:p w14:paraId="0BCF4459" w14:textId="77777777" w:rsidR="00A9055C" w:rsidRPr="00A9055C" w:rsidRDefault="00A9055C" w:rsidP="008E0D7A">
      <w:pPr>
        <w:pStyle w:val="Multilevel3"/>
        <w:numPr>
          <w:ilvl w:val="2"/>
          <w:numId w:val="15"/>
        </w:numPr>
        <w:ind w:left="567" w:hanging="567"/>
        <w:rPr>
          <w:rFonts w:ascii="Arial" w:hAnsi="Arial" w:cs="Arial"/>
          <w:sz w:val="22"/>
          <w:szCs w:val="22"/>
        </w:rPr>
      </w:pPr>
      <w:r w:rsidRPr="00A9055C">
        <w:rPr>
          <w:rFonts w:ascii="Arial" w:hAnsi="Arial" w:cs="Arial"/>
          <w:sz w:val="22"/>
          <w:szCs w:val="22"/>
        </w:rPr>
        <w:t>The non-enforcement of foreign taxes, fines and penalties; and</w:t>
      </w:r>
    </w:p>
    <w:p w14:paraId="297DD377" w14:textId="77777777" w:rsidR="00A9055C" w:rsidRPr="00A9055C" w:rsidRDefault="00A9055C" w:rsidP="008E0D7A">
      <w:pPr>
        <w:pStyle w:val="Multilevel3"/>
        <w:numPr>
          <w:ilvl w:val="2"/>
          <w:numId w:val="15"/>
        </w:numPr>
        <w:ind w:left="567" w:hanging="567"/>
        <w:rPr>
          <w:rFonts w:ascii="Arial" w:hAnsi="Arial" w:cs="Arial"/>
          <w:sz w:val="22"/>
          <w:szCs w:val="22"/>
        </w:rPr>
      </w:pPr>
      <w:r w:rsidRPr="00A9055C">
        <w:rPr>
          <w:rFonts w:ascii="Arial" w:hAnsi="Arial" w:cs="Arial"/>
          <w:sz w:val="22"/>
          <w:szCs w:val="22"/>
        </w:rPr>
        <w:t>Comity, meaning the mutual recognition and co-operation concerning legal decisions.</w:t>
      </w:r>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6DC49B8F" w14:textId="77777777" w:rsidR="00D27CBC" w:rsidRPr="00310533" w:rsidRDefault="00D27CBC" w:rsidP="00D27CBC">
      <w:pPr>
        <w:jc w:val="both"/>
        <w:rPr>
          <w:rFonts w:ascii="Avenir Next" w:hAnsi="Avenir Next" w:cs="Arial"/>
          <w:b/>
          <w:bCs/>
          <w:sz w:val="22"/>
          <w:szCs w:val="22"/>
          <w:lang w:val="en-GB"/>
        </w:rPr>
      </w:pPr>
    </w:p>
    <w:p w14:paraId="48E2E581" w14:textId="38A51142" w:rsidR="00A9055C" w:rsidRDefault="00A9055C" w:rsidP="00A9055C">
      <w:pPr>
        <w:rPr>
          <w:rFonts w:ascii="Arial" w:hAnsi="Arial" w:cs="Arial"/>
          <w:sz w:val="22"/>
          <w:szCs w:val="22"/>
        </w:rPr>
      </w:pPr>
      <w:r w:rsidRPr="00575BEC">
        <w:rPr>
          <w:rFonts w:ascii="Arial" w:hAnsi="Arial" w:cs="Arial"/>
          <w:sz w:val="22"/>
          <w:szCs w:val="22"/>
        </w:rPr>
        <w:t>The recognition of foreign judgments in the Cayman Islands is possible through two possible avenues.</w:t>
      </w:r>
    </w:p>
    <w:p w14:paraId="2F93D829" w14:textId="77777777" w:rsidR="00575BEC" w:rsidRPr="00575BEC" w:rsidRDefault="00575BEC" w:rsidP="00A9055C">
      <w:pPr>
        <w:rPr>
          <w:rFonts w:ascii="Arial" w:hAnsi="Arial" w:cs="Arial"/>
          <w:sz w:val="22"/>
          <w:szCs w:val="22"/>
        </w:rPr>
      </w:pPr>
    </w:p>
    <w:p w14:paraId="438B6B2B" w14:textId="55D865CC" w:rsidR="00A9055C" w:rsidRDefault="00A9055C" w:rsidP="00A9055C">
      <w:pPr>
        <w:rPr>
          <w:rFonts w:ascii="Arial" w:hAnsi="Arial" w:cs="Arial"/>
          <w:sz w:val="22"/>
          <w:szCs w:val="22"/>
        </w:rPr>
      </w:pPr>
      <w:r w:rsidRPr="00575BEC">
        <w:rPr>
          <w:rFonts w:ascii="Arial" w:hAnsi="Arial" w:cs="Arial"/>
          <w:sz w:val="22"/>
          <w:szCs w:val="22"/>
        </w:rPr>
        <w:lastRenderedPageBreak/>
        <w:t>The first option is recognition under the Foreign Judgments Reciprocal Enforcement Act (1996 Revision) (</w:t>
      </w:r>
      <w:r w:rsidRPr="00575BEC">
        <w:rPr>
          <w:rFonts w:ascii="Arial" w:hAnsi="Arial" w:cs="Arial"/>
          <w:b/>
          <w:bCs/>
          <w:sz w:val="22"/>
          <w:szCs w:val="22"/>
        </w:rPr>
        <w:t>Act</w:t>
      </w:r>
      <w:r w:rsidRPr="00575BEC">
        <w:rPr>
          <w:rFonts w:ascii="Arial" w:hAnsi="Arial" w:cs="Arial"/>
          <w:sz w:val="22"/>
          <w:szCs w:val="22"/>
        </w:rPr>
        <w:t>), which provides for a statutory scheme for recognition and enforcement of foreign judgments.</w:t>
      </w:r>
      <w:r w:rsidRPr="00575BEC">
        <w:rPr>
          <w:rStyle w:val="FootnoteReference"/>
          <w:rFonts w:ascii="Arial" w:eastAsiaTheme="majorEastAsia" w:hAnsi="Arial" w:cs="Arial"/>
          <w:sz w:val="22"/>
          <w:szCs w:val="22"/>
        </w:rPr>
        <w:footnoteReference w:id="11"/>
      </w:r>
      <w:r w:rsidRPr="00575BEC">
        <w:rPr>
          <w:rFonts w:ascii="Arial" w:hAnsi="Arial" w:cs="Arial"/>
          <w:sz w:val="22"/>
          <w:szCs w:val="22"/>
        </w:rPr>
        <w:t xml:space="preserve"> </w:t>
      </w:r>
    </w:p>
    <w:p w14:paraId="69C63932" w14:textId="77777777" w:rsidR="00575BEC" w:rsidRPr="00575BEC" w:rsidRDefault="00575BEC" w:rsidP="00A9055C">
      <w:pPr>
        <w:rPr>
          <w:rFonts w:ascii="Arial" w:hAnsi="Arial" w:cs="Arial"/>
          <w:sz w:val="22"/>
          <w:szCs w:val="22"/>
        </w:rPr>
      </w:pPr>
    </w:p>
    <w:p w14:paraId="569B25BD" w14:textId="77777777" w:rsidR="00A9055C" w:rsidRPr="00575BEC" w:rsidRDefault="00A9055C" w:rsidP="00A9055C">
      <w:pPr>
        <w:rPr>
          <w:rFonts w:ascii="Arial" w:hAnsi="Arial" w:cs="Arial"/>
          <w:sz w:val="22"/>
          <w:szCs w:val="22"/>
        </w:rPr>
      </w:pPr>
      <w:r w:rsidRPr="00575BEC">
        <w:rPr>
          <w:rFonts w:ascii="Arial" w:hAnsi="Arial" w:cs="Arial"/>
          <w:sz w:val="22"/>
          <w:szCs w:val="22"/>
        </w:rPr>
        <w:t>However, the Act only provides for recognition where the country from which the judgment originates assures substantial reciprocity of treatment regarding the enforcement of Cayman Island judgments.</w:t>
      </w:r>
      <w:r w:rsidRPr="00575BEC">
        <w:rPr>
          <w:rStyle w:val="FootnoteReference"/>
          <w:rFonts w:ascii="Arial" w:eastAsiaTheme="majorEastAsia" w:hAnsi="Arial" w:cs="Arial"/>
          <w:sz w:val="22"/>
          <w:szCs w:val="22"/>
        </w:rPr>
        <w:footnoteReference w:id="12"/>
      </w:r>
      <w:r w:rsidRPr="00575BEC">
        <w:rPr>
          <w:rFonts w:ascii="Arial" w:hAnsi="Arial" w:cs="Arial"/>
          <w:sz w:val="22"/>
          <w:szCs w:val="22"/>
        </w:rPr>
        <w:t xml:space="preserve"> </w:t>
      </w:r>
    </w:p>
    <w:p w14:paraId="1903AAB0" w14:textId="77777777" w:rsidR="00A9055C" w:rsidRPr="00575BEC" w:rsidRDefault="00A9055C" w:rsidP="00A9055C">
      <w:pPr>
        <w:pStyle w:val="Multilevel1"/>
        <w:numPr>
          <w:ilvl w:val="0"/>
          <w:numId w:val="0"/>
        </w:numPr>
        <w:ind w:left="720" w:hanging="720"/>
        <w:rPr>
          <w:rFonts w:ascii="Arial" w:hAnsi="Arial" w:cs="Arial"/>
          <w:sz w:val="22"/>
          <w:szCs w:val="22"/>
        </w:rPr>
      </w:pPr>
      <w:r w:rsidRPr="00575BEC">
        <w:rPr>
          <w:rFonts w:ascii="Arial" w:hAnsi="Arial" w:cs="Arial"/>
          <w:sz w:val="22"/>
          <w:szCs w:val="22"/>
        </w:rPr>
        <w:t>Subject to the above, the Act will only apply to judgments that are:</w:t>
      </w:r>
      <w:r w:rsidRPr="00575BEC">
        <w:rPr>
          <w:rStyle w:val="FootnoteReference"/>
          <w:rFonts w:ascii="Arial" w:eastAsiaTheme="majorEastAsia" w:hAnsi="Arial" w:cs="Arial"/>
          <w:sz w:val="22"/>
          <w:szCs w:val="22"/>
        </w:rPr>
        <w:footnoteReference w:id="13"/>
      </w:r>
    </w:p>
    <w:p w14:paraId="3CB7F269" w14:textId="77777777" w:rsidR="00A9055C" w:rsidRPr="00575BEC" w:rsidRDefault="00A9055C" w:rsidP="008E0D7A">
      <w:pPr>
        <w:pStyle w:val="Multilevel3"/>
        <w:numPr>
          <w:ilvl w:val="2"/>
          <w:numId w:val="20"/>
        </w:numPr>
        <w:ind w:left="567" w:hanging="567"/>
        <w:rPr>
          <w:rFonts w:ascii="Arial" w:hAnsi="Arial" w:cs="Arial"/>
          <w:sz w:val="22"/>
          <w:szCs w:val="22"/>
        </w:rPr>
      </w:pPr>
      <w:r w:rsidRPr="00575BEC">
        <w:rPr>
          <w:rFonts w:ascii="Arial" w:hAnsi="Arial" w:cs="Arial"/>
          <w:sz w:val="22"/>
          <w:szCs w:val="22"/>
        </w:rPr>
        <w:t>Final;</w:t>
      </w:r>
    </w:p>
    <w:p w14:paraId="77DB8321" w14:textId="77777777" w:rsidR="00A9055C" w:rsidRPr="00575BEC" w:rsidRDefault="00A9055C" w:rsidP="00A9055C">
      <w:pPr>
        <w:pStyle w:val="Multilevel3"/>
        <w:ind w:left="567" w:hanging="567"/>
        <w:rPr>
          <w:rFonts w:ascii="Arial" w:hAnsi="Arial" w:cs="Arial"/>
          <w:sz w:val="22"/>
          <w:szCs w:val="22"/>
        </w:rPr>
      </w:pPr>
      <w:r w:rsidRPr="00575BEC">
        <w:rPr>
          <w:rFonts w:ascii="Arial" w:hAnsi="Arial" w:cs="Arial"/>
          <w:sz w:val="22"/>
          <w:szCs w:val="22"/>
        </w:rPr>
        <w:t xml:space="preserve">Money judgments; and </w:t>
      </w:r>
    </w:p>
    <w:p w14:paraId="3B4272CA" w14:textId="77777777" w:rsidR="00A9055C" w:rsidRPr="00575BEC" w:rsidRDefault="00A9055C" w:rsidP="00A9055C">
      <w:pPr>
        <w:pStyle w:val="Multilevel3"/>
        <w:ind w:left="567" w:hanging="567"/>
        <w:rPr>
          <w:rFonts w:ascii="Arial" w:hAnsi="Arial" w:cs="Arial"/>
          <w:sz w:val="22"/>
          <w:szCs w:val="22"/>
        </w:rPr>
      </w:pPr>
      <w:r w:rsidRPr="00575BEC">
        <w:rPr>
          <w:rFonts w:ascii="Arial" w:hAnsi="Arial" w:cs="Arial"/>
          <w:sz w:val="22"/>
          <w:szCs w:val="22"/>
        </w:rPr>
        <w:t>Made after the Act was extended to the relevant foreign country.</w:t>
      </w:r>
    </w:p>
    <w:p w14:paraId="7F3A7523" w14:textId="77777777" w:rsidR="00A9055C" w:rsidRPr="00575BEC" w:rsidRDefault="00A9055C" w:rsidP="00A9055C">
      <w:pPr>
        <w:pStyle w:val="Multilevel1"/>
        <w:numPr>
          <w:ilvl w:val="0"/>
          <w:numId w:val="0"/>
        </w:numPr>
        <w:ind w:left="720" w:hanging="720"/>
        <w:rPr>
          <w:rFonts w:ascii="Arial" w:hAnsi="Arial" w:cs="Arial"/>
          <w:sz w:val="22"/>
          <w:szCs w:val="22"/>
        </w:rPr>
      </w:pPr>
      <w:r w:rsidRPr="00575BEC">
        <w:rPr>
          <w:rFonts w:ascii="Arial" w:hAnsi="Arial" w:cs="Arial"/>
          <w:sz w:val="22"/>
          <w:szCs w:val="22"/>
        </w:rPr>
        <w:t>The procedure under the Act is governed by Order 71 of the Grand Court Rules.</w:t>
      </w:r>
      <w:r w:rsidRPr="00575BEC">
        <w:rPr>
          <w:rStyle w:val="FootnoteReference"/>
          <w:rFonts w:ascii="Arial" w:eastAsiaTheme="majorEastAsia" w:hAnsi="Arial" w:cs="Arial"/>
          <w:sz w:val="22"/>
          <w:szCs w:val="22"/>
        </w:rPr>
        <w:footnoteReference w:id="14"/>
      </w:r>
    </w:p>
    <w:p w14:paraId="00ACC40B" w14:textId="2F5C2C51" w:rsidR="00A9055C" w:rsidRDefault="00A9055C" w:rsidP="00A9055C">
      <w:pPr>
        <w:rPr>
          <w:rFonts w:ascii="Arial" w:hAnsi="Arial" w:cs="Arial"/>
          <w:sz w:val="22"/>
          <w:szCs w:val="22"/>
        </w:rPr>
      </w:pPr>
      <w:r w:rsidRPr="00575BEC">
        <w:rPr>
          <w:rFonts w:ascii="Arial" w:hAnsi="Arial" w:cs="Arial"/>
          <w:sz w:val="22"/>
          <w:szCs w:val="22"/>
        </w:rPr>
        <w:t>In light of the above, recognition of a foreign judgment under the Act has to date only been extended to judgments from the Superior Courts of Australia.</w:t>
      </w:r>
      <w:r w:rsidRPr="00575BEC">
        <w:rPr>
          <w:rStyle w:val="FootnoteReference"/>
          <w:rFonts w:ascii="Arial" w:eastAsiaTheme="majorEastAsia" w:hAnsi="Arial" w:cs="Arial"/>
          <w:sz w:val="22"/>
          <w:szCs w:val="22"/>
        </w:rPr>
        <w:footnoteReference w:id="15"/>
      </w:r>
    </w:p>
    <w:p w14:paraId="7E1CE209" w14:textId="77777777" w:rsidR="00575BEC" w:rsidRPr="00575BEC" w:rsidRDefault="00575BEC" w:rsidP="00A9055C">
      <w:pPr>
        <w:rPr>
          <w:rFonts w:ascii="Arial" w:hAnsi="Arial" w:cs="Arial"/>
          <w:sz w:val="22"/>
          <w:szCs w:val="22"/>
        </w:rPr>
      </w:pPr>
    </w:p>
    <w:p w14:paraId="7EE98514" w14:textId="35185F78" w:rsidR="00A9055C" w:rsidRDefault="00A9055C" w:rsidP="00A9055C">
      <w:pPr>
        <w:rPr>
          <w:rFonts w:ascii="Arial" w:hAnsi="Arial" w:cs="Arial"/>
          <w:sz w:val="22"/>
          <w:szCs w:val="22"/>
        </w:rPr>
      </w:pPr>
      <w:r w:rsidRPr="00575BEC">
        <w:rPr>
          <w:rFonts w:ascii="Arial" w:hAnsi="Arial" w:cs="Arial"/>
          <w:sz w:val="22"/>
          <w:szCs w:val="22"/>
        </w:rPr>
        <w:t>Given the limited application of the Act, the second and more utilised open for recognition of foreign judgments is to commence a new action in the Cayman Islands based upon the             foreign judgment as an unsatisfied debt or other obligation.</w:t>
      </w:r>
      <w:r w:rsidRPr="00575BEC">
        <w:rPr>
          <w:rStyle w:val="FootnoteReference"/>
          <w:rFonts w:ascii="Arial" w:eastAsiaTheme="majorEastAsia" w:hAnsi="Arial" w:cs="Arial"/>
          <w:sz w:val="22"/>
          <w:szCs w:val="22"/>
        </w:rPr>
        <w:footnoteReference w:id="16"/>
      </w:r>
    </w:p>
    <w:p w14:paraId="03133D2A" w14:textId="77777777" w:rsidR="00575BEC" w:rsidRPr="00575BEC" w:rsidRDefault="00575BEC" w:rsidP="00A9055C">
      <w:pPr>
        <w:rPr>
          <w:rFonts w:ascii="Arial" w:hAnsi="Arial" w:cs="Arial"/>
          <w:sz w:val="22"/>
          <w:szCs w:val="22"/>
        </w:rPr>
      </w:pPr>
    </w:p>
    <w:p w14:paraId="5FA33B1D" w14:textId="141E1B13" w:rsidR="00A9055C" w:rsidRDefault="00A9055C" w:rsidP="00A9055C">
      <w:pPr>
        <w:rPr>
          <w:rFonts w:ascii="Arial" w:hAnsi="Arial" w:cs="Arial"/>
          <w:sz w:val="22"/>
          <w:szCs w:val="22"/>
        </w:rPr>
      </w:pPr>
      <w:r w:rsidRPr="00575BEC">
        <w:rPr>
          <w:rFonts w:ascii="Arial" w:hAnsi="Arial" w:cs="Arial"/>
          <w:sz w:val="22"/>
          <w:szCs w:val="22"/>
        </w:rPr>
        <w:t>Both money and non-money judgments (including declaratory judgments) are enforceable at common law.</w:t>
      </w:r>
      <w:r w:rsidRPr="00575BEC">
        <w:rPr>
          <w:rStyle w:val="FootnoteReference"/>
          <w:rFonts w:ascii="Arial" w:eastAsiaTheme="majorEastAsia" w:hAnsi="Arial" w:cs="Arial"/>
          <w:sz w:val="22"/>
          <w:szCs w:val="22"/>
        </w:rPr>
        <w:footnoteReference w:id="17"/>
      </w:r>
      <w:r w:rsidRPr="00575BEC">
        <w:rPr>
          <w:rFonts w:ascii="Arial" w:hAnsi="Arial" w:cs="Arial"/>
          <w:sz w:val="22"/>
          <w:szCs w:val="22"/>
        </w:rPr>
        <w:t xml:space="preserve"> The procedural regime as set out in the Grand Court Rules applies.</w:t>
      </w:r>
      <w:r w:rsidRPr="00575BEC">
        <w:rPr>
          <w:rStyle w:val="FootnoteReference"/>
          <w:rFonts w:ascii="Arial" w:eastAsiaTheme="majorEastAsia" w:hAnsi="Arial" w:cs="Arial"/>
          <w:sz w:val="22"/>
          <w:szCs w:val="22"/>
        </w:rPr>
        <w:footnoteReference w:id="18"/>
      </w:r>
    </w:p>
    <w:p w14:paraId="62015ED3" w14:textId="77777777" w:rsidR="00575BEC" w:rsidRPr="00575BEC" w:rsidRDefault="00575BEC" w:rsidP="00A9055C">
      <w:pPr>
        <w:rPr>
          <w:rFonts w:ascii="Arial" w:hAnsi="Arial" w:cs="Arial"/>
          <w:sz w:val="22"/>
          <w:szCs w:val="22"/>
        </w:rPr>
      </w:pPr>
    </w:p>
    <w:p w14:paraId="141FADAA" w14:textId="77777777" w:rsidR="00A9055C" w:rsidRPr="00575BEC" w:rsidRDefault="00A9055C" w:rsidP="00A9055C">
      <w:pPr>
        <w:rPr>
          <w:rFonts w:ascii="Arial" w:hAnsi="Arial" w:cs="Arial"/>
          <w:sz w:val="22"/>
          <w:szCs w:val="22"/>
        </w:rPr>
      </w:pPr>
      <w:r w:rsidRPr="00575BEC">
        <w:rPr>
          <w:rFonts w:ascii="Arial" w:hAnsi="Arial" w:cs="Arial"/>
          <w:sz w:val="22"/>
          <w:szCs w:val="22"/>
        </w:rPr>
        <w:t>There are five mandatory requirements for the enforcement of a foreign judgment at common law:</w:t>
      </w:r>
      <w:r w:rsidRPr="00575BEC">
        <w:rPr>
          <w:rStyle w:val="FootnoteReference"/>
          <w:rFonts w:ascii="Arial" w:eastAsiaTheme="majorEastAsia" w:hAnsi="Arial" w:cs="Arial"/>
          <w:sz w:val="22"/>
          <w:szCs w:val="22"/>
        </w:rPr>
        <w:footnoteReference w:id="19"/>
      </w:r>
    </w:p>
    <w:p w14:paraId="1E561C57" w14:textId="77777777" w:rsidR="00A9055C" w:rsidRPr="00575BEC" w:rsidRDefault="00A9055C" w:rsidP="008E0D7A">
      <w:pPr>
        <w:pStyle w:val="Multilevel3"/>
        <w:numPr>
          <w:ilvl w:val="2"/>
          <w:numId w:val="16"/>
        </w:numPr>
        <w:ind w:left="567" w:hanging="567"/>
        <w:rPr>
          <w:rFonts w:ascii="Arial" w:hAnsi="Arial" w:cs="Arial"/>
          <w:sz w:val="22"/>
          <w:szCs w:val="22"/>
        </w:rPr>
      </w:pPr>
      <w:r w:rsidRPr="00575BEC">
        <w:rPr>
          <w:rFonts w:ascii="Arial" w:hAnsi="Arial" w:cs="Arial"/>
          <w:sz w:val="22"/>
          <w:szCs w:val="22"/>
        </w:rPr>
        <w:t>The judgment must be final;</w:t>
      </w:r>
    </w:p>
    <w:p w14:paraId="6889F751" w14:textId="77777777" w:rsidR="00A9055C" w:rsidRPr="00575BEC" w:rsidRDefault="00A9055C" w:rsidP="00A9055C">
      <w:pPr>
        <w:pStyle w:val="Multilevel3"/>
        <w:ind w:left="567" w:hanging="567"/>
        <w:rPr>
          <w:rFonts w:ascii="Arial" w:hAnsi="Arial" w:cs="Arial"/>
          <w:sz w:val="22"/>
          <w:szCs w:val="22"/>
        </w:rPr>
      </w:pPr>
      <w:r w:rsidRPr="00575BEC">
        <w:rPr>
          <w:rFonts w:ascii="Arial" w:hAnsi="Arial" w:cs="Arial"/>
          <w:sz w:val="22"/>
          <w:szCs w:val="22"/>
        </w:rPr>
        <w:t>The foreign court must have had jurisdiction over the debtor;</w:t>
      </w:r>
    </w:p>
    <w:p w14:paraId="0FE1C3BB" w14:textId="77777777" w:rsidR="00A9055C" w:rsidRPr="00575BEC" w:rsidRDefault="00A9055C" w:rsidP="00A9055C">
      <w:pPr>
        <w:pStyle w:val="Multilevel3"/>
        <w:ind w:left="567" w:hanging="567"/>
        <w:rPr>
          <w:rFonts w:ascii="Arial" w:hAnsi="Arial" w:cs="Arial"/>
          <w:sz w:val="22"/>
          <w:szCs w:val="22"/>
        </w:rPr>
      </w:pPr>
      <w:r w:rsidRPr="00575BEC">
        <w:rPr>
          <w:rFonts w:ascii="Arial" w:hAnsi="Arial" w:cs="Arial"/>
          <w:sz w:val="22"/>
          <w:szCs w:val="22"/>
        </w:rPr>
        <w:t>The foreign judgment must not have been obtained by fraud;</w:t>
      </w:r>
    </w:p>
    <w:p w14:paraId="631EA696" w14:textId="77777777" w:rsidR="00A9055C" w:rsidRPr="00575BEC" w:rsidRDefault="00A9055C" w:rsidP="00A9055C">
      <w:pPr>
        <w:pStyle w:val="Multilevel3"/>
        <w:ind w:left="567" w:hanging="567"/>
        <w:rPr>
          <w:rFonts w:ascii="Arial" w:hAnsi="Arial" w:cs="Arial"/>
          <w:sz w:val="22"/>
          <w:szCs w:val="22"/>
        </w:rPr>
      </w:pPr>
      <w:r w:rsidRPr="00575BEC">
        <w:rPr>
          <w:rFonts w:ascii="Arial" w:hAnsi="Arial" w:cs="Arial"/>
          <w:sz w:val="22"/>
          <w:szCs w:val="22"/>
        </w:rPr>
        <w:t>The foreign judgment must not be contrary to the public policy of the Cayman Islands; and</w:t>
      </w:r>
    </w:p>
    <w:p w14:paraId="29E9B78A" w14:textId="77777777" w:rsidR="00A9055C" w:rsidRPr="00575BEC" w:rsidRDefault="00A9055C" w:rsidP="00A9055C">
      <w:pPr>
        <w:pStyle w:val="Multilevel3"/>
        <w:ind w:left="567" w:hanging="567"/>
        <w:rPr>
          <w:rFonts w:ascii="Arial" w:hAnsi="Arial" w:cs="Arial"/>
          <w:sz w:val="22"/>
          <w:szCs w:val="22"/>
        </w:rPr>
      </w:pPr>
      <w:r w:rsidRPr="00575BEC">
        <w:rPr>
          <w:rFonts w:ascii="Arial" w:hAnsi="Arial" w:cs="Arial"/>
          <w:sz w:val="22"/>
          <w:szCs w:val="22"/>
        </w:rPr>
        <w:t xml:space="preserve">The foreign judgment must not have been obtained contrary to the rules of natural justice. </w:t>
      </w:r>
    </w:p>
    <w:p w14:paraId="0632E3F5" w14:textId="699FBAF6" w:rsidR="00A9055C" w:rsidRDefault="00A9055C" w:rsidP="00A9055C">
      <w:pPr>
        <w:rPr>
          <w:rFonts w:ascii="Arial" w:hAnsi="Arial" w:cs="Arial"/>
          <w:sz w:val="22"/>
          <w:szCs w:val="22"/>
        </w:rPr>
      </w:pPr>
      <w:r w:rsidRPr="00575BEC">
        <w:rPr>
          <w:rFonts w:ascii="Arial" w:hAnsi="Arial" w:cs="Arial"/>
          <w:sz w:val="22"/>
          <w:szCs w:val="22"/>
        </w:rPr>
        <w:t>Once a foreign judgment is recognised under common law, all domestic enforcement remedies will be available.</w:t>
      </w:r>
      <w:r w:rsidRPr="00575BEC">
        <w:rPr>
          <w:rStyle w:val="FootnoteReference"/>
          <w:rFonts w:ascii="Arial" w:eastAsiaTheme="majorEastAsia" w:hAnsi="Arial" w:cs="Arial"/>
          <w:sz w:val="22"/>
          <w:szCs w:val="22"/>
        </w:rPr>
        <w:footnoteReference w:id="20"/>
      </w:r>
    </w:p>
    <w:p w14:paraId="767F559D" w14:textId="77777777" w:rsidR="008E0D7A" w:rsidRDefault="008E0D7A" w:rsidP="00575BEC">
      <w:pPr>
        <w:rPr>
          <w:rFonts w:ascii="Arial" w:hAnsi="Arial" w:cs="Arial"/>
          <w:sz w:val="22"/>
          <w:szCs w:val="22"/>
        </w:rPr>
      </w:pPr>
    </w:p>
    <w:p w14:paraId="337A31CC" w14:textId="4B64D655" w:rsidR="00E4294D" w:rsidRDefault="00A9055C" w:rsidP="00575BEC">
      <w:pPr>
        <w:rPr>
          <w:rFonts w:ascii="Arial" w:hAnsi="Arial" w:cs="Arial"/>
          <w:sz w:val="22"/>
          <w:szCs w:val="22"/>
        </w:rPr>
      </w:pPr>
      <w:r w:rsidRPr="00575BEC">
        <w:rPr>
          <w:rFonts w:ascii="Arial" w:hAnsi="Arial" w:cs="Arial"/>
          <w:sz w:val="22"/>
          <w:szCs w:val="22"/>
        </w:rPr>
        <w:t xml:space="preserve">Importantly, a </w:t>
      </w:r>
      <w:r w:rsidR="008E0D7A" w:rsidRPr="00575BEC">
        <w:rPr>
          <w:rFonts w:ascii="Arial" w:hAnsi="Arial" w:cs="Arial"/>
          <w:sz w:val="22"/>
          <w:szCs w:val="22"/>
        </w:rPr>
        <w:t>six-year</w:t>
      </w:r>
      <w:r w:rsidRPr="00575BEC">
        <w:rPr>
          <w:rFonts w:ascii="Arial" w:hAnsi="Arial" w:cs="Arial"/>
          <w:sz w:val="22"/>
          <w:szCs w:val="22"/>
        </w:rPr>
        <w:t xml:space="preserve"> limitation period applicable from the date of the judgment or last judgment in the case of appeals, applies to enforcement under both the Act as well as under the common law.</w:t>
      </w:r>
      <w:r w:rsidRPr="00575BEC">
        <w:rPr>
          <w:rStyle w:val="FootnoteReference"/>
          <w:rFonts w:ascii="Arial" w:eastAsiaTheme="majorEastAsia" w:hAnsi="Arial" w:cs="Arial"/>
          <w:sz w:val="22"/>
          <w:szCs w:val="22"/>
        </w:rPr>
        <w:footnoteReference w:id="21"/>
      </w:r>
      <w:r w:rsidRPr="00575BEC">
        <w:rPr>
          <w:rFonts w:ascii="Arial" w:hAnsi="Arial" w:cs="Arial"/>
          <w:sz w:val="22"/>
          <w:szCs w:val="22"/>
        </w:rPr>
        <w:t xml:space="preserve"> </w:t>
      </w:r>
    </w:p>
    <w:p w14:paraId="5194A3BC" w14:textId="77777777" w:rsidR="008E0D7A" w:rsidRPr="00575BEC" w:rsidRDefault="008E0D7A" w:rsidP="00575BEC">
      <w:pPr>
        <w:rPr>
          <w:rFonts w:ascii="Arial" w:hAnsi="Arial" w:cs="Arial"/>
          <w:sz w:val="22"/>
          <w:szCs w:val="22"/>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311CA539" w14:textId="77777777" w:rsidR="00DF75F8" w:rsidRPr="00310533" w:rsidRDefault="00DF75F8" w:rsidP="002A37BB">
      <w:pPr>
        <w:jc w:val="both"/>
        <w:rPr>
          <w:rFonts w:ascii="Avenir Next" w:hAnsi="Avenir Next" w:cs="Arial"/>
          <w:sz w:val="22"/>
          <w:szCs w:val="22"/>
        </w:rPr>
      </w:pPr>
    </w:p>
    <w:p w14:paraId="32B2BB68" w14:textId="093ED11E" w:rsidR="00A9055C" w:rsidRDefault="00A9055C" w:rsidP="00A9055C">
      <w:pPr>
        <w:rPr>
          <w:rFonts w:ascii="Arial" w:hAnsi="Arial" w:cs="Arial"/>
          <w:sz w:val="22"/>
          <w:szCs w:val="22"/>
        </w:rPr>
      </w:pPr>
      <w:r w:rsidRPr="00575BEC">
        <w:rPr>
          <w:rFonts w:ascii="Arial" w:hAnsi="Arial" w:cs="Arial"/>
          <w:sz w:val="22"/>
          <w:szCs w:val="22"/>
        </w:rPr>
        <w:t xml:space="preserve">Despite the absence of a statutory prohibition on insolvent trading in the Cayman Islands, it is still possible for court appointed liquidators of an insolvent company, or creditors of such company, to hold its former directors accountable by either seeking financial damages against those directors and/or by seeking to claw back any payments that those directors should not have made. </w:t>
      </w:r>
    </w:p>
    <w:p w14:paraId="49E915C9" w14:textId="77777777" w:rsidR="00575BEC" w:rsidRPr="00575BEC" w:rsidRDefault="00575BEC" w:rsidP="00A9055C">
      <w:pPr>
        <w:rPr>
          <w:rFonts w:ascii="Arial" w:hAnsi="Arial" w:cs="Arial"/>
          <w:sz w:val="22"/>
          <w:szCs w:val="22"/>
        </w:rPr>
      </w:pPr>
    </w:p>
    <w:p w14:paraId="0DCC5841" w14:textId="0DF59F19" w:rsidR="00A9055C" w:rsidRDefault="00A9055C" w:rsidP="00A9055C">
      <w:pPr>
        <w:rPr>
          <w:rFonts w:ascii="Arial" w:hAnsi="Arial" w:cs="Arial"/>
          <w:sz w:val="22"/>
          <w:szCs w:val="22"/>
        </w:rPr>
      </w:pPr>
      <w:r w:rsidRPr="00575BEC">
        <w:rPr>
          <w:rFonts w:ascii="Arial" w:hAnsi="Arial" w:cs="Arial"/>
          <w:sz w:val="22"/>
          <w:szCs w:val="22"/>
        </w:rPr>
        <w:t xml:space="preserve">There are several available options. </w:t>
      </w:r>
    </w:p>
    <w:p w14:paraId="22E53988" w14:textId="77777777" w:rsidR="00575BEC" w:rsidRPr="00575BEC" w:rsidRDefault="00575BEC" w:rsidP="00A9055C">
      <w:pPr>
        <w:rPr>
          <w:rFonts w:ascii="Arial" w:hAnsi="Arial" w:cs="Arial"/>
          <w:sz w:val="22"/>
          <w:szCs w:val="22"/>
        </w:rPr>
      </w:pPr>
    </w:p>
    <w:p w14:paraId="7362766C" w14:textId="4EDCD9C4" w:rsidR="00A9055C" w:rsidRDefault="00A9055C" w:rsidP="00A9055C">
      <w:pPr>
        <w:rPr>
          <w:rFonts w:ascii="Arial" w:hAnsi="Arial" w:cs="Arial"/>
          <w:sz w:val="22"/>
          <w:szCs w:val="22"/>
        </w:rPr>
      </w:pPr>
      <w:r w:rsidRPr="00575BEC">
        <w:rPr>
          <w:rFonts w:ascii="Arial" w:hAnsi="Arial" w:cs="Arial"/>
          <w:sz w:val="22"/>
          <w:szCs w:val="22"/>
        </w:rPr>
        <w:t>The first is pursuing directors for breach of common law fiduciary duty. Directors have a common law fiduciary duty to act in the best interests of the company.</w:t>
      </w:r>
      <w:r w:rsidRPr="00575BEC">
        <w:rPr>
          <w:rStyle w:val="FootnoteReference"/>
          <w:rFonts w:ascii="Arial" w:eastAsiaTheme="majorEastAsia" w:hAnsi="Arial" w:cs="Arial"/>
          <w:sz w:val="22"/>
          <w:szCs w:val="22"/>
        </w:rPr>
        <w:footnoteReference w:id="22"/>
      </w:r>
      <w:r w:rsidRPr="00575BEC">
        <w:rPr>
          <w:rFonts w:ascii="Arial" w:hAnsi="Arial" w:cs="Arial"/>
          <w:sz w:val="22"/>
          <w:szCs w:val="22"/>
        </w:rPr>
        <w:t xml:space="preserve"> Breach of that duty can result in personal liability for any losses caused to the company.</w:t>
      </w:r>
      <w:r w:rsidRPr="00575BEC">
        <w:rPr>
          <w:rStyle w:val="FootnoteReference"/>
          <w:rFonts w:ascii="Arial" w:eastAsiaTheme="majorEastAsia" w:hAnsi="Arial" w:cs="Arial"/>
          <w:sz w:val="22"/>
          <w:szCs w:val="22"/>
        </w:rPr>
        <w:footnoteReference w:id="23"/>
      </w:r>
      <w:r w:rsidRPr="00575BEC">
        <w:rPr>
          <w:rFonts w:ascii="Arial" w:hAnsi="Arial" w:cs="Arial"/>
          <w:sz w:val="22"/>
          <w:szCs w:val="22"/>
        </w:rPr>
        <w:t xml:space="preserve"> One examples of the court considering such duty is the case of </w:t>
      </w:r>
      <w:r w:rsidRPr="00575BEC">
        <w:rPr>
          <w:rFonts w:ascii="Arial" w:hAnsi="Arial" w:cs="Arial"/>
          <w:i/>
          <w:iCs/>
          <w:sz w:val="22"/>
          <w:szCs w:val="22"/>
        </w:rPr>
        <w:t>Prospect Properties v McNeill</w:t>
      </w:r>
      <w:r w:rsidRPr="00575BEC">
        <w:rPr>
          <w:rFonts w:ascii="Arial" w:hAnsi="Arial" w:cs="Arial"/>
          <w:sz w:val="22"/>
          <w:szCs w:val="22"/>
        </w:rPr>
        <w:t xml:space="preserve"> [1990-91 CILR 171], in which the Grand Court held that where a company is insolvent, the directors have a duty to act in the best interest of the company, which requires regard to the interest of its creditors.</w:t>
      </w:r>
      <w:r w:rsidRPr="00575BEC">
        <w:rPr>
          <w:rStyle w:val="FootnoteReference"/>
          <w:rFonts w:ascii="Arial" w:eastAsiaTheme="majorEastAsia" w:hAnsi="Arial" w:cs="Arial"/>
          <w:sz w:val="22"/>
          <w:szCs w:val="22"/>
        </w:rPr>
        <w:footnoteReference w:id="24"/>
      </w:r>
      <w:r w:rsidRPr="00575BEC">
        <w:rPr>
          <w:rFonts w:ascii="Arial" w:hAnsi="Arial" w:cs="Arial"/>
          <w:sz w:val="22"/>
          <w:szCs w:val="22"/>
        </w:rPr>
        <w:t xml:space="preserve"> Furthermore, the Grand Court noted that it is in the interest of creditors to be paid, and in the interest of the company to be safeguarded against being put in a position where it is unable to pay its debts.</w:t>
      </w:r>
      <w:r w:rsidRPr="00575BEC">
        <w:rPr>
          <w:rStyle w:val="FootnoteReference"/>
          <w:rFonts w:ascii="Arial" w:eastAsiaTheme="majorEastAsia" w:hAnsi="Arial" w:cs="Arial"/>
          <w:sz w:val="22"/>
          <w:szCs w:val="22"/>
        </w:rPr>
        <w:footnoteReference w:id="25"/>
      </w:r>
    </w:p>
    <w:p w14:paraId="099B195C" w14:textId="77777777" w:rsidR="00575BEC" w:rsidRPr="00575BEC" w:rsidRDefault="00575BEC" w:rsidP="00A9055C">
      <w:pPr>
        <w:rPr>
          <w:rFonts w:ascii="Arial" w:hAnsi="Arial" w:cs="Arial"/>
          <w:sz w:val="22"/>
          <w:szCs w:val="22"/>
        </w:rPr>
      </w:pPr>
    </w:p>
    <w:p w14:paraId="23661202" w14:textId="1E289A24" w:rsidR="00A9055C" w:rsidRDefault="00A9055C" w:rsidP="00A9055C">
      <w:pPr>
        <w:rPr>
          <w:rFonts w:ascii="Arial" w:hAnsi="Arial" w:cs="Arial"/>
          <w:sz w:val="22"/>
          <w:szCs w:val="22"/>
        </w:rPr>
      </w:pPr>
      <w:r w:rsidRPr="00575BEC">
        <w:rPr>
          <w:rFonts w:ascii="Arial" w:hAnsi="Arial" w:cs="Arial"/>
          <w:sz w:val="22"/>
          <w:szCs w:val="22"/>
        </w:rPr>
        <w:t>In an official liquidation, the official liquidator could pursue such claims against the directors on behalf of the company.</w:t>
      </w:r>
      <w:r w:rsidRPr="00575BEC">
        <w:rPr>
          <w:rStyle w:val="FootnoteReference"/>
          <w:rFonts w:ascii="Arial" w:eastAsiaTheme="majorEastAsia" w:hAnsi="Arial" w:cs="Arial"/>
          <w:sz w:val="22"/>
          <w:szCs w:val="22"/>
        </w:rPr>
        <w:footnoteReference w:id="26"/>
      </w:r>
    </w:p>
    <w:p w14:paraId="16AE2801" w14:textId="77777777" w:rsidR="00575BEC" w:rsidRPr="00575BEC" w:rsidRDefault="00575BEC" w:rsidP="00A9055C">
      <w:pPr>
        <w:rPr>
          <w:rFonts w:ascii="Arial" w:hAnsi="Arial" w:cs="Arial"/>
          <w:sz w:val="22"/>
          <w:szCs w:val="22"/>
        </w:rPr>
      </w:pPr>
    </w:p>
    <w:p w14:paraId="1DCDAB79" w14:textId="3241686F" w:rsidR="00A9055C" w:rsidRDefault="00A9055C" w:rsidP="00A9055C">
      <w:pPr>
        <w:rPr>
          <w:rFonts w:ascii="Arial" w:hAnsi="Arial" w:cs="Arial"/>
          <w:sz w:val="22"/>
          <w:szCs w:val="22"/>
        </w:rPr>
      </w:pPr>
      <w:r w:rsidRPr="00575BEC">
        <w:rPr>
          <w:rFonts w:ascii="Arial" w:hAnsi="Arial" w:cs="Arial"/>
          <w:sz w:val="22"/>
          <w:szCs w:val="22"/>
        </w:rPr>
        <w:t>Secondly, section 147 of the Companies Act (2022 Revision) (</w:t>
      </w:r>
      <w:r w:rsidRPr="00575BEC">
        <w:rPr>
          <w:rFonts w:ascii="Arial" w:hAnsi="Arial" w:cs="Arial"/>
          <w:b/>
          <w:bCs/>
          <w:sz w:val="22"/>
          <w:szCs w:val="22"/>
        </w:rPr>
        <w:t>Act</w:t>
      </w:r>
      <w:r w:rsidRPr="00575BEC">
        <w:rPr>
          <w:rFonts w:ascii="Arial" w:hAnsi="Arial" w:cs="Arial"/>
          <w:sz w:val="22"/>
          <w:szCs w:val="22"/>
        </w:rPr>
        <w:t>) provides a remedy for fraudulent trading. If the business of a company was carried on with intent to defraud creditors, or for any other fraudulent purpose, a liquidator may apply for an order requiring any persons who were knowingly parties to such conduct (including directors of the company in liquidation) to make such contributions to the company's assets as the Court considers appropriate.</w:t>
      </w:r>
      <w:r w:rsidRPr="00575BEC">
        <w:rPr>
          <w:rStyle w:val="FootnoteReference"/>
          <w:rFonts w:ascii="Arial" w:eastAsiaTheme="majorEastAsia" w:hAnsi="Arial" w:cs="Arial"/>
          <w:sz w:val="22"/>
          <w:szCs w:val="22"/>
        </w:rPr>
        <w:footnoteReference w:id="27"/>
      </w:r>
    </w:p>
    <w:p w14:paraId="12503B66" w14:textId="77777777" w:rsidR="00575BEC" w:rsidRPr="00575BEC" w:rsidRDefault="00575BEC" w:rsidP="00A9055C">
      <w:pPr>
        <w:rPr>
          <w:rFonts w:ascii="Arial" w:hAnsi="Arial" w:cs="Arial"/>
          <w:sz w:val="22"/>
          <w:szCs w:val="22"/>
        </w:rPr>
      </w:pPr>
    </w:p>
    <w:p w14:paraId="76380524" w14:textId="2B038010" w:rsidR="00A9055C" w:rsidRDefault="00A9055C" w:rsidP="00A9055C">
      <w:pPr>
        <w:rPr>
          <w:rFonts w:ascii="Arial" w:hAnsi="Arial" w:cs="Arial"/>
          <w:sz w:val="22"/>
          <w:szCs w:val="22"/>
        </w:rPr>
      </w:pPr>
      <w:r w:rsidRPr="00575BEC">
        <w:rPr>
          <w:rFonts w:ascii="Arial" w:hAnsi="Arial" w:cs="Arial"/>
          <w:sz w:val="22"/>
          <w:szCs w:val="22"/>
        </w:rPr>
        <w:t>Whilst the above options allow for a director to be held personally liable, or to be ordered to make contributions, there are also options to claw back payments or void transactions entered into.</w:t>
      </w:r>
    </w:p>
    <w:p w14:paraId="4054AEA5" w14:textId="77777777" w:rsidR="00575BEC" w:rsidRPr="00575BEC" w:rsidRDefault="00575BEC" w:rsidP="00A9055C">
      <w:pPr>
        <w:rPr>
          <w:rFonts w:ascii="Arial" w:hAnsi="Arial" w:cs="Arial"/>
          <w:sz w:val="22"/>
          <w:szCs w:val="22"/>
        </w:rPr>
      </w:pPr>
    </w:p>
    <w:p w14:paraId="5E2A1B28" w14:textId="0BBCB8B3" w:rsidR="00A9055C" w:rsidRDefault="00A9055C" w:rsidP="00A9055C">
      <w:pPr>
        <w:rPr>
          <w:rFonts w:ascii="Arial" w:hAnsi="Arial" w:cs="Arial"/>
          <w:sz w:val="22"/>
          <w:szCs w:val="22"/>
        </w:rPr>
      </w:pPr>
      <w:r w:rsidRPr="00575BEC">
        <w:rPr>
          <w:rFonts w:ascii="Arial" w:hAnsi="Arial" w:cs="Arial"/>
          <w:sz w:val="22"/>
          <w:szCs w:val="22"/>
        </w:rPr>
        <w:lastRenderedPageBreak/>
        <w:t>For example, under section 99 of the act, any disposition of property made after the deemed commencement of the winding-up order (this being the date on which the winding-up petition was filed) will be void if a winding-up order is consequently made.</w:t>
      </w:r>
      <w:r w:rsidRPr="00575BEC">
        <w:rPr>
          <w:rStyle w:val="FootnoteReference"/>
          <w:rFonts w:ascii="Arial" w:eastAsiaTheme="majorEastAsia" w:hAnsi="Arial" w:cs="Arial"/>
          <w:sz w:val="22"/>
          <w:szCs w:val="22"/>
        </w:rPr>
        <w:footnoteReference w:id="28"/>
      </w:r>
      <w:r w:rsidRPr="00575BEC">
        <w:rPr>
          <w:rFonts w:ascii="Arial" w:hAnsi="Arial" w:cs="Arial"/>
          <w:sz w:val="22"/>
          <w:szCs w:val="22"/>
        </w:rPr>
        <w:t xml:space="preserve"> If the disposition is held to be void, the liquidator can seek either repayment of the funds, or return of the asset.</w:t>
      </w:r>
      <w:r w:rsidRPr="00575BEC">
        <w:rPr>
          <w:rStyle w:val="FootnoteReference"/>
          <w:rFonts w:ascii="Arial" w:eastAsiaTheme="majorEastAsia" w:hAnsi="Arial" w:cs="Arial"/>
          <w:sz w:val="22"/>
          <w:szCs w:val="22"/>
        </w:rPr>
        <w:footnoteReference w:id="29"/>
      </w:r>
    </w:p>
    <w:p w14:paraId="62066CD0" w14:textId="77777777" w:rsidR="00575BEC" w:rsidRPr="00575BEC" w:rsidRDefault="00575BEC" w:rsidP="00A9055C">
      <w:pPr>
        <w:rPr>
          <w:rFonts w:ascii="Arial" w:hAnsi="Arial" w:cs="Arial"/>
          <w:sz w:val="22"/>
          <w:szCs w:val="22"/>
        </w:rPr>
      </w:pPr>
    </w:p>
    <w:p w14:paraId="1060A8B9" w14:textId="2B8953D6" w:rsidR="00A9055C" w:rsidRDefault="00A9055C" w:rsidP="00A9055C">
      <w:pPr>
        <w:rPr>
          <w:rFonts w:ascii="Arial" w:hAnsi="Arial" w:cs="Arial"/>
          <w:sz w:val="22"/>
          <w:szCs w:val="22"/>
        </w:rPr>
      </w:pPr>
      <w:r w:rsidRPr="00575BEC">
        <w:rPr>
          <w:rFonts w:ascii="Arial" w:hAnsi="Arial" w:cs="Arial"/>
          <w:sz w:val="22"/>
          <w:szCs w:val="22"/>
        </w:rPr>
        <w:t>However, a court may validate a post-petition grant of security if the company is clearly solvent and if the court is satisfied that an "intelligent and honest" director acting reasonably would come to that decision.</w:t>
      </w:r>
      <w:r w:rsidRPr="00575BEC">
        <w:rPr>
          <w:rStyle w:val="FootnoteReference"/>
          <w:rFonts w:ascii="Arial" w:eastAsiaTheme="majorEastAsia" w:hAnsi="Arial" w:cs="Arial"/>
          <w:sz w:val="22"/>
          <w:szCs w:val="22"/>
        </w:rPr>
        <w:footnoteReference w:id="30"/>
      </w:r>
      <w:r w:rsidRPr="00575BEC">
        <w:rPr>
          <w:rFonts w:ascii="Arial" w:hAnsi="Arial" w:cs="Arial"/>
          <w:sz w:val="22"/>
          <w:szCs w:val="22"/>
        </w:rPr>
        <w:t xml:space="preserve"> If the arrangement is validated, it will not be voided under section 99 of the Act. A court is unlikely to validate such arrangement if the company is insolvent, unless it can be demonstrated that the security grant benefits the company and thereby enhances the value for creditors as a whole.</w:t>
      </w:r>
      <w:r w:rsidRPr="00575BEC">
        <w:rPr>
          <w:rStyle w:val="FootnoteReference"/>
          <w:rFonts w:ascii="Arial" w:eastAsiaTheme="majorEastAsia" w:hAnsi="Arial" w:cs="Arial"/>
          <w:sz w:val="22"/>
          <w:szCs w:val="22"/>
        </w:rPr>
        <w:footnoteReference w:id="31"/>
      </w:r>
    </w:p>
    <w:p w14:paraId="4E61FE46" w14:textId="77777777" w:rsidR="00575BEC" w:rsidRPr="00575BEC" w:rsidRDefault="00575BEC" w:rsidP="00A9055C">
      <w:pPr>
        <w:rPr>
          <w:rFonts w:ascii="Arial" w:hAnsi="Arial" w:cs="Arial"/>
          <w:sz w:val="22"/>
          <w:szCs w:val="22"/>
        </w:rPr>
      </w:pPr>
    </w:p>
    <w:p w14:paraId="673576DB" w14:textId="2064B2DA" w:rsidR="00A9055C" w:rsidRDefault="00A9055C" w:rsidP="00A9055C">
      <w:pPr>
        <w:rPr>
          <w:rFonts w:ascii="Arial" w:hAnsi="Arial" w:cs="Arial"/>
          <w:sz w:val="22"/>
          <w:szCs w:val="22"/>
        </w:rPr>
      </w:pPr>
      <w:r w:rsidRPr="00575BEC">
        <w:rPr>
          <w:rFonts w:ascii="Arial" w:hAnsi="Arial" w:cs="Arial"/>
          <w:sz w:val="22"/>
          <w:szCs w:val="22"/>
        </w:rPr>
        <w:t>In addition, section 145 of the Act provides for the voidance of a payment or disposal of property to a creditor if the payment or disposal amounts to a preference.</w:t>
      </w:r>
      <w:r w:rsidRPr="00575BEC">
        <w:rPr>
          <w:rStyle w:val="FootnoteReference"/>
          <w:rFonts w:ascii="Arial" w:eastAsiaTheme="majorEastAsia" w:hAnsi="Arial" w:cs="Arial"/>
          <w:sz w:val="22"/>
          <w:szCs w:val="22"/>
        </w:rPr>
        <w:footnoteReference w:id="32"/>
      </w:r>
    </w:p>
    <w:p w14:paraId="522E0C7E" w14:textId="77777777" w:rsidR="00575BEC" w:rsidRPr="00575BEC" w:rsidRDefault="00575BEC" w:rsidP="00A9055C">
      <w:pPr>
        <w:rPr>
          <w:rFonts w:ascii="Arial" w:hAnsi="Arial" w:cs="Arial"/>
          <w:sz w:val="22"/>
          <w:szCs w:val="22"/>
        </w:rPr>
      </w:pPr>
    </w:p>
    <w:p w14:paraId="091D8B80" w14:textId="77777777" w:rsidR="00A9055C" w:rsidRPr="00575BEC" w:rsidRDefault="00A9055C" w:rsidP="00A9055C">
      <w:pPr>
        <w:rPr>
          <w:rFonts w:ascii="Arial" w:hAnsi="Arial" w:cs="Arial"/>
          <w:sz w:val="22"/>
          <w:szCs w:val="22"/>
        </w:rPr>
      </w:pPr>
      <w:r w:rsidRPr="00575BEC">
        <w:rPr>
          <w:rFonts w:ascii="Arial" w:hAnsi="Arial" w:cs="Arial"/>
          <w:sz w:val="22"/>
          <w:szCs w:val="22"/>
        </w:rPr>
        <w:t>Such payment or disposal of property will be a preference captured by section 145 if:</w:t>
      </w:r>
      <w:r w:rsidRPr="00575BEC">
        <w:rPr>
          <w:rStyle w:val="FootnoteReference"/>
          <w:rFonts w:ascii="Arial" w:eastAsiaTheme="majorEastAsia" w:hAnsi="Arial" w:cs="Arial"/>
          <w:sz w:val="22"/>
          <w:szCs w:val="22"/>
        </w:rPr>
        <w:footnoteReference w:id="33"/>
      </w:r>
    </w:p>
    <w:p w14:paraId="4D7D5C1B" w14:textId="77777777" w:rsidR="00A9055C" w:rsidRPr="00575BEC" w:rsidRDefault="00A9055C" w:rsidP="008E0D7A">
      <w:pPr>
        <w:pStyle w:val="Multilevel3"/>
        <w:numPr>
          <w:ilvl w:val="2"/>
          <w:numId w:val="21"/>
        </w:numPr>
        <w:ind w:left="567" w:hanging="567"/>
        <w:rPr>
          <w:rFonts w:ascii="Arial" w:hAnsi="Arial" w:cs="Arial"/>
          <w:sz w:val="22"/>
          <w:szCs w:val="22"/>
        </w:rPr>
      </w:pPr>
      <w:r w:rsidRPr="00575BEC">
        <w:rPr>
          <w:rFonts w:ascii="Arial" w:hAnsi="Arial" w:cs="Arial"/>
          <w:sz w:val="22"/>
          <w:szCs w:val="22"/>
        </w:rPr>
        <w:t xml:space="preserve">It occurs in the six months before the deemed commencement of the liquidation and at a time when the company is unable to pay its debts; and </w:t>
      </w:r>
    </w:p>
    <w:p w14:paraId="5D4350E6" w14:textId="77777777" w:rsidR="00A9055C" w:rsidRPr="00575BEC" w:rsidRDefault="00A9055C" w:rsidP="00A9055C">
      <w:pPr>
        <w:pStyle w:val="Multilevel3"/>
        <w:ind w:left="567" w:hanging="567"/>
        <w:rPr>
          <w:rFonts w:ascii="Arial" w:hAnsi="Arial" w:cs="Arial"/>
          <w:sz w:val="22"/>
          <w:szCs w:val="22"/>
        </w:rPr>
      </w:pPr>
      <w:r w:rsidRPr="00575BEC">
        <w:rPr>
          <w:rFonts w:ascii="Arial" w:hAnsi="Arial" w:cs="Arial"/>
          <w:sz w:val="22"/>
          <w:szCs w:val="22"/>
        </w:rPr>
        <w:t>The dominant intention of the company's directors was to give the applicable creditor a preference over other creditors.</w:t>
      </w:r>
    </w:p>
    <w:p w14:paraId="7A836044" w14:textId="7728EE48" w:rsidR="00A9055C" w:rsidRDefault="00A9055C" w:rsidP="00A9055C">
      <w:pPr>
        <w:rPr>
          <w:rFonts w:ascii="Arial" w:hAnsi="Arial" w:cs="Arial"/>
          <w:sz w:val="22"/>
          <w:szCs w:val="22"/>
        </w:rPr>
      </w:pPr>
      <w:r w:rsidRPr="00575BEC">
        <w:rPr>
          <w:rFonts w:ascii="Arial" w:hAnsi="Arial" w:cs="Arial"/>
          <w:sz w:val="22"/>
          <w:szCs w:val="22"/>
        </w:rPr>
        <w:t>A creditor has been given a preference over other creditors if the creditor has been put in a better position that he or she would have otherwise been.</w:t>
      </w:r>
      <w:r w:rsidRPr="00575BEC">
        <w:rPr>
          <w:rStyle w:val="FootnoteReference"/>
          <w:rFonts w:ascii="Arial" w:eastAsiaTheme="majorEastAsia" w:hAnsi="Arial" w:cs="Arial"/>
          <w:sz w:val="22"/>
          <w:szCs w:val="22"/>
        </w:rPr>
        <w:footnoteReference w:id="34"/>
      </w:r>
    </w:p>
    <w:p w14:paraId="784A3A10" w14:textId="77777777" w:rsidR="00575BEC" w:rsidRPr="00575BEC" w:rsidRDefault="00575BEC" w:rsidP="00A9055C">
      <w:pPr>
        <w:rPr>
          <w:rFonts w:ascii="Arial" w:hAnsi="Arial" w:cs="Arial"/>
          <w:sz w:val="22"/>
          <w:szCs w:val="22"/>
        </w:rPr>
      </w:pPr>
    </w:p>
    <w:p w14:paraId="1D11134E" w14:textId="52A26608" w:rsidR="00A9055C" w:rsidRDefault="00A9055C" w:rsidP="00A9055C">
      <w:pPr>
        <w:rPr>
          <w:rFonts w:ascii="Arial" w:hAnsi="Arial" w:cs="Arial"/>
          <w:sz w:val="22"/>
          <w:szCs w:val="22"/>
        </w:rPr>
      </w:pPr>
      <w:r w:rsidRPr="00575BEC">
        <w:rPr>
          <w:rFonts w:ascii="Arial" w:hAnsi="Arial" w:cs="Arial"/>
          <w:sz w:val="22"/>
          <w:szCs w:val="22"/>
        </w:rPr>
        <w:t>Whether or not there was a dominant intention may be inferred from the available evidence.</w:t>
      </w:r>
      <w:r w:rsidRPr="00575BEC">
        <w:rPr>
          <w:rStyle w:val="FootnoteReference"/>
          <w:rFonts w:ascii="Arial" w:eastAsiaTheme="majorEastAsia" w:hAnsi="Arial" w:cs="Arial"/>
          <w:sz w:val="22"/>
          <w:szCs w:val="22"/>
        </w:rPr>
        <w:footnoteReference w:id="35"/>
      </w:r>
      <w:r w:rsidRPr="00575BEC">
        <w:rPr>
          <w:rFonts w:ascii="Arial" w:hAnsi="Arial" w:cs="Arial"/>
          <w:sz w:val="22"/>
          <w:szCs w:val="22"/>
        </w:rPr>
        <w:t xml:space="preserve"> If a disposition is made to a "related party" of the company (this being a person who has the ability to control the company or exercise significant influence), a dominant intention to give a preference will be deemed to be in place per section 145(2) and (3) of the Act.</w:t>
      </w:r>
      <w:r w:rsidRPr="00575BEC">
        <w:rPr>
          <w:rStyle w:val="FootnoteReference"/>
          <w:rFonts w:ascii="Arial" w:eastAsiaTheme="majorEastAsia" w:hAnsi="Arial" w:cs="Arial"/>
          <w:sz w:val="22"/>
          <w:szCs w:val="22"/>
        </w:rPr>
        <w:footnoteReference w:id="36"/>
      </w:r>
    </w:p>
    <w:p w14:paraId="3B31223D" w14:textId="77777777" w:rsidR="00575BEC" w:rsidRPr="00575BEC" w:rsidRDefault="00575BEC" w:rsidP="00A9055C">
      <w:pPr>
        <w:rPr>
          <w:rFonts w:ascii="Arial" w:hAnsi="Arial" w:cs="Arial"/>
          <w:sz w:val="22"/>
          <w:szCs w:val="22"/>
        </w:rPr>
      </w:pPr>
    </w:p>
    <w:p w14:paraId="331E61E4" w14:textId="66FB5620" w:rsidR="00A9055C" w:rsidRDefault="00A9055C" w:rsidP="00A9055C">
      <w:pPr>
        <w:rPr>
          <w:rFonts w:ascii="Arial" w:hAnsi="Arial" w:cs="Arial"/>
          <w:sz w:val="22"/>
          <w:szCs w:val="22"/>
        </w:rPr>
      </w:pPr>
      <w:r w:rsidRPr="00575BEC">
        <w:rPr>
          <w:rFonts w:ascii="Arial" w:hAnsi="Arial" w:cs="Arial"/>
          <w:sz w:val="22"/>
          <w:szCs w:val="22"/>
        </w:rPr>
        <w:t>Importantly, if the dominant intention was to achieve another purpose, the transaction may not be treated as a voidable transaction even if a creditor enjoys a preference as a collateral effect.</w:t>
      </w:r>
      <w:r w:rsidRPr="00575BEC">
        <w:rPr>
          <w:rStyle w:val="FootnoteReference"/>
          <w:rFonts w:ascii="Arial" w:eastAsiaTheme="majorEastAsia" w:hAnsi="Arial" w:cs="Arial"/>
          <w:sz w:val="22"/>
          <w:szCs w:val="22"/>
        </w:rPr>
        <w:footnoteReference w:id="37"/>
      </w:r>
    </w:p>
    <w:p w14:paraId="5323ECE7" w14:textId="77777777" w:rsidR="00575BEC" w:rsidRPr="00575BEC" w:rsidRDefault="00575BEC" w:rsidP="00A9055C">
      <w:pPr>
        <w:rPr>
          <w:rFonts w:ascii="Arial" w:hAnsi="Arial" w:cs="Arial"/>
          <w:sz w:val="22"/>
          <w:szCs w:val="22"/>
        </w:rPr>
      </w:pPr>
    </w:p>
    <w:p w14:paraId="2F9E3767" w14:textId="24444D9C" w:rsidR="00A9055C" w:rsidRDefault="00A9055C" w:rsidP="00A9055C">
      <w:pPr>
        <w:rPr>
          <w:rFonts w:ascii="Arial" w:hAnsi="Arial" w:cs="Arial"/>
          <w:sz w:val="22"/>
          <w:szCs w:val="22"/>
        </w:rPr>
      </w:pPr>
      <w:r w:rsidRPr="00575BEC">
        <w:rPr>
          <w:rFonts w:ascii="Arial" w:hAnsi="Arial" w:cs="Arial"/>
          <w:sz w:val="22"/>
          <w:szCs w:val="22"/>
        </w:rPr>
        <w:t>If on the application of a liquidator, the transaction is voided, the Grant Court may order the creditor to return the asset and prove for the amount of its claim in the liquidation.</w:t>
      </w:r>
      <w:r w:rsidRPr="00575BEC">
        <w:rPr>
          <w:rStyle w:val="FootnoteReference"/>
          <w:rFonts w:ascii="Arial" w:eastAsiaTheme="majorEastAsia" w:hAnsi="Arial" w:cs="Arial"/>
          <w:sz w:val="22"/>
          <w:szCs w:val="22"/>
        </w:rPr>
        <w:footnoteReference w:id="38"/>
      </w:r>
    </w:p>
    <w:p w14:paraId="6B621E87" w14:textId="77777777" w:rsidR="00575BEC" w:rsidRPr="00575BEC" w:rsidRDefault="00575BEC" w:rsidP="00A9055C">
      <w:pPr>
        <w:rPr>
          <w:rFonts w:ascii="Arial" w:hAnsi="Arial" w:cs="Arial"/>
          <w:sz w:val="22"/>
          <w:szCs w:val="22"/>
        </w:rPr>
      </w:pPr>
    </w:p>
    <w:p w14:paraId="63C04082" w14:textId="77777777" w:rsidR="00A9055C" w:rsidRPr="00575BEC" w:rsidRDefault="00A9055C" w:rsidP="00A9055C">
      <w:pPr>
        <w:rPr>
          <w:rFonts w:ascii="Arial" w:hAnsi="Arial" w:cs="Arial"/>
          <w:sz w:val="22"/>
          <w:szCs w:val="22"/>
        </w:rPr>
      </w:pPr>
      <w:r w:rsidRPr="00575BEC">
        <w:rPr>
          <w:rFonts w:ascii="Arial" w:hAnsi="Arial" w:cs="Arial"/>
          <w:sz w:val="22"/>
          <w:szCs w:val="22"/>
        </w:rPr>
        <w:t>Lastly, section 146 of the Act provides for the avoidance of dispositions at undervalue. In particular, section 146 states that a transaction is voidable on application of the liquidator if the property:</w:t>
      </w:r>
      <w:r w:rsidRPr="00575BEC">
        <w:rPr>
          <w:rStyle w:val="FootnoteReference"/>
          <w:rFonts w:ascii="Arial" w:eastAsiaTheme="majorEastAsia" w:hAnsi="Arial" w:cs="Arial"/>
          <w:sz w:val="22"/>
          <w:szCs w:val="22"/>
        </w:rPr>
        <w:footnoteReference w:id="39"/>
      </w:r>
    </w:p>
    <w:p w14:paraId="6177B01D" w14:textId="77777777" w:rsidR="00A9055C" w:rsidRPr="00575BEC" w:rsidRDefault="00A9055C" w:rsidP="008E0D7A">
      <w:pPr>
        <w:pStyle w:val="Multilevel3"/>
        <w:numPr>
          <w:ilvl w:val="2"/>
          <w:numId w:val="22"/>
        </w:numPr>
        <w:ind w:left="567" w:hanging="567"/>
        <w:rPr>
          <w:rFonts w:ascii="Arial" w:hAnsi="Arial" w:cs="Arial"/>
          <w:sz w:val="22"/>
          <w:szCs w:val="22"/>
        </w:rPr>
      </w:pPr>
      <w:r w:rsidRPr="00575BEC">
        <w:rPr>
          <w:rFonts w:ascii="Arial" w:hAnsi="Arial" w:cs="Arial"/>
          <w:sz w:val="22"/>
          <w:szCs w:val="22"/>
        </w:rPr>
        <w:lastRenderedPageBreak/>
        <w:t>Is disposed of at an undervalue; and</w:t>
      </w:r>
    </w:p>
    <w:p w14:paraId="47AC3029" w14:textId="77777777" w:rsidR="00A9055C" w:rsidRPr="00575BEC" w:rsidRDefault="00A9055C" w:rsidP="00A9055C">
      <w:pPr>
        <w:pStyle w:val="Multilevel3"/>
        <w:ind w:left="567" w:hanging="567"/>
        <w:rPr>
          <w:rFonts w:ascii="Arial" w:hAnsi="Arial" w:cs="Arial"/>
          <w:sz w:val="22"/>
          <w:szCs w:val="22"/>
        </w:rPr>
      </w:pPr>
      <w:r w:rsidRPr="00575BEC">
        <w:rPr>
          <w:rFonts w:ascii="Arial" w:hAnsi="Arial" w:cs="Arial"/>
          <w:sz w:val="22"/>
          <w:szCs w:val="22"/>
        </w:rPr>
        <w:t>With the intention of wilfully defeating an obligation owed to a creditor, this effectively being an intent to defraud.</w:t>
      </w:r>
    </w:p>
    <w:p w14:paraId="33C076C0" w14:textId="04898B11" w:rsidR="00A9055C" w:rsidRDefault="00A9055C" w:rsidP="00A9055C">
      <w:pPr>
        <w:rPr>
          <w:rFonts w:ascii="Arial" w:hAnsi="Arial" w:cs="Arial"/>
          <w:sz w:val="22"/>
          <w:szCs w:val="22"/>
        </w:rPr>
      </w:pPr>
      <w:r w:rsidRPr="00575BEC">
        <w:rPr>
          <w:rFonts w:ascii="Arial" w:hAnsi="Arial" w:cs="Arial"/>
          <w:sz w:val="22"/>
          <w:szCs w:val="22"/>
        </w:rPr>
        <w:t>A disposition is made at undervalue if no consideration, or consideration in money's worth being significantly less than the value of the property, is provided.</w:t>
      </w:r>
      <w:r w:rsidRPr="00575BEC">
        <w:rPr>
          <w:rStyle w:val="FootnoteReference"/>
          <w:rFonts w:ascii="Arial" w:eastAsiaTheme="majorEastAsia" w:hAnsi="Arial" w:cs="Arial"/>
          <w:sz w:val="22"/>
          <w:szCs w:val="22"/>
        </w:rPr>
        <w:footnoteReference w:id="40"/>
      </w:r>
    </w:p>
    <w:p w14:paraId="2BA8B1B1" w14:textId="77777777" w:rsidR="00575BEC" w:rsidRPr="00575BEC" w:rsidRDefault="00575BEC" w:rsidP="00A9055C">
      <w:pPr>
        <w:rPr>
          <w:rFonts w:ascii="Arial" w:hAnsi="Arial" w:cs="Arial"/>
          <w:sz w:val="22"/>
          <w:szCs w:val="22"/>
        </w:rPr>
      </w:pPr>
    </w:p>
    <w:p w14:paraId="6F724901" w14:textId="01B594B8" w:rsidR="00D17FDC" w:rsidRPr="00575BEC" w:rsidRDefault="00A9055C" w:rsidP="00575BEC">
      <w:pPr>
        <w:rPr>
          <w:rFonts w:ascii="Arial" w:hAnsi="Arial" w:cs="Arial"/>
          <w:sz w:val="22"/>
          <w:szCs w:val="22"/>
        </w:rPr>
      </w:pPr>
      <w:r w:rsidRPr="00575BEC">
        <w:rPr>
          <w:rFonts w:ascii="Arial" w:hAnsi="Arial" w:cs="Arial"/>
          <w:sz w:val="22"/>
          <w:szCs w:val="22"/>
        </w:rPr>
        <w:t>An application under section 146 must be brought within six years of the disposal, and the creditor or liquidator bringing the application bears the burden of establishing an intent to defraud.</w:t>
      </w:r>
      <w:r w:rsidRPr="00575BEC">
        <w:rPr>
          <w:rStyle w:val="FootnoteReference"/>
          <w:rFonts w:ascii="Arial" w:eastAsiaTheme="majorEastAsia" w:hAnsi="Arial" w:cs="Arial"/>
          <w:sz w:val="22"/>
          <w:szCs w:val="22"/>
        </w:rPr>
        <w:footnoteReference w:id="41"/>
      </w:r>
    </w:p>
    <w:p w14:paraId="633F7CD6" w14:textId="15A4F8B5" w:rsidR="00924973" w:rsidRPr="00310533" w:rsidRDefault="00924973" w:rsidP="002A37BB">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4328F1FF" w14:textId="2E16F9E9" w:rsidR="00A9055C" w:rsidRDefault="00A9055C" w:rsidP="00A9055C">
      <w:pPr>
        <w:rPr>
          <w:rFonts w:ascii="Arial" w:hAnsi="Arial" w:cs="Arial"/>
          <w:sz w:val="22"/>
          <w:szCs w:val="22"/>
        </w:rPr>
      </w:pPr>
      <w:r w:rsidRPr="00575BEC">
        <w:rPr>
          <w:rFonts w:ascii="Arial" w:hAnsi="Arial" w:cs="Arial"/>
          <w:sz w:val="22"/>
          <w:szCs w:val="22"/>
        </w:rPr>
        <w:t>Whilst receivers and receivership are not explicitly mentioned in the statutory provisions dealing with insolvency (these being the Companies Act (2022 Revision) (</w:t>
      </w:r>
      <w:r w:rsidRPr="00575BEC">
        <w:rPr>
          <w:rFonts w:ascii="Arial" w:hAnsi="Arial" w:cs="Arial"/>
          <w:b/>
          <w:bCs/>
          <w:sz w:val="22"/>
          <w:szCs w:val="22"/>
        </w:rPr>
        <w:t>Act</w:t>
      </w:r>
      <w:r w:rsidRPr="00575BEC">
        <w:rPr>
          <w:rFonts w:ascii="Arial" w:hAnsi="Arial" w:cs="Arial"/>
          <w:sz w:val="22"/>
          <w:szCs w:val="22"/>
        </w:rPr>
        <w:t xml:space="preserve">) and the Companies Winding up Rules), receivers still have a role to play in a Cayman Islands insolvency scenario. </w:t>
      </w:r>
    </w:p>
    <w:p w14:paraId="427E39C9" w14:textId="77777777" w:rsidR="00575BEC" w:rsidRPr="00575BEC" w:rsidRDefault="00575BEC" w:rsidP="00A9055C">
      <w:pPr>
        <w:rPr>
          <w:rFonts w:ascii="Arial" w:hAnsi="Arial" w:cs="Arial"/>
          <w:sz w:val="22"/>
          <w:szCs w:val="22"/>
        </w:rPr>
      </w:pPr>
    </w:p>
    <w:p w14:paraId="14D8AB57" w14:textId="77777777" w:rsidR="00A9055C" w:rsidRPr="00575BEC" w:rsidRDefault="00A9055C" w:rsidP="00A9055C">
      <w:pPr>
        <w:rPr>
          <w:rFonts w:ascii="Arial" w:hAnsi="Arial" w:cs="Arial"/>
          <w:sz w:val="22"/>
          <w:szCs w:val="22"/>
        </w:rPr>
      </w:pPr>
      <w:r w:rsidRPr="00575BEC">
        <w:rPr>
          <w:rFonts w:ascii="Arial" w:hAnsi="Arial" w:cs="Arial"/>
          <w:sz w:val="22"/>
          <w:szCs w:val="22"/>
        </w:rPr>
        <w:t>Firstly, the Grant Court Rules (</w:t>
      </w:r>
      <w:r w:rsidRPr="00575BEC">
        <w:rPr>
          <w:rFonts w:ascii="Arial" w:hAnsi="Arial" w:cs="Arial"/>
          <w:b/>
          <w:bCs/>
          <w:sz w:val="22"/>
          <w:szCs w:val="22"/>
        </w:rPr>
        <w:t>GCR</w:t>
      </w:r>
      <w:r w:rsidRPr="00575BEC">
        <w:rPr>
          <w:rFonts w:ascii="Arial" w:hAnsi="Arial" w:cs="Arial"/>
          <w:sz w:val="22"/>
          <w:szCs w:val="22"/>
        </w:rPr>
        <w:t>) contemplate that receivers may be appointed by the court for the following purposes:</w:t>
      </w:r>
      <w:r w:rsidRPr="00575BEC">
        <w:rPr>
          <w:rStyle w:val="FootnoteReference"/>
          <w:rFonts w:ascii="Arial" w:eastAsiaTheme="majorEastAsia" w:hAnsi="Arial" w:cs="Arial"/>
          <w:sz w:val="22"/>
          <w:szCs w:val="22"/>
        </w:rPr>
        <w:footnoteReference w:id="42"/>
      </w:r>
    </w:p>
    <w:p w14:paraId="5731EB11" w14:textId="77777777" w:rsidR="00A9055C" w:rsidRPr="00575BEC" w:rsidRDefault="00A9055C" w:rsidP="008E0D7A">
      <w:pPr>
        <w:pStyle w:val="Multilevel3"/>
        <w:numPr>
          <w:ilvl w:val="2"/>
          <w:numId w:val="23"/>
        </w:numPr>
        <w:ind w:left="567" w:hanging="567"/>
        <w:rPr>
          <w:rFonts w:ascii="Arial" w:hAnsi="Arial" w:cs="Arial"/>
          <w:sz w:val="22"/>
          <w:szCs w:val="22"/>
        </w:rPr>
      </w:pPr>
      <w:r w:rsidRPr="00575BEC">
        <w:rPr>
          <w:rFonts w:ascii="Arial" w:hAnsi="Arial" w:cs="Arial"/>
          <w:sz w:val="22"/>
          <w:szCs w:val="22"/>
        </w:rPr>
        <w:t>Collecting money, such as rents; or</w:t>
      </w:r>
    </w:p>
    <w:p w14:paraId="3113C970" w14:textId="77777777" w:rsidR="00A9055C" w:rsidRPr="00575BEC" w:rsidRDefault="00A9055C" w:rsidP="00A9055C">
      <w:pPr>
        <w:pStyle w:val="Multilevel3"/>
        <w:ind w:left="567" w:hanging="567"/>
        <w:rPr>
          <w:rFonts w:ascii="Arial" w:hAnsi="Arial" w:cs="Arial"/>
          <w:sz w:val="22"/>
          <w:szCs w:val="22"/>
        </w:rPr>
      </w:pPr>
      <w:r w:rsidRPr="00575BEC">
        <w:rPr>
          <w:rFonts w:ascii="Arial" w:hAnsi="Arial" w:cs="Arial"/>
          <w:sz w:val="22"/>
          <w:szCs w:val="22"/>
        </w:rPr>
        <w:t>Carry out some other act, such as execution of a contract or a document of title.</w:t>
      </w:r>
    </w:p>
    <w:p w14:paraId="5F23947E" w14:textId="77777777" w:rsidR="00A9055C" w:rsidRPr="00575BEC" w:rsidRDefault="00A9055C" w:rsidP="00A9055C">
      <w:pPr>
        <w:pStyle w:val="Multilevel1"/>
        <w:numPr>
          <w:ilvl w:val="0"/>
          <w:numId w:val="0"/>
        </w:numPr>
        <w:ind w:left="720" w:hanging="720"/>
        <w:rPr>
          <w:rFonts w:ascii="Arial" w:hAnsi="Arial" w:cs="Arial"/>
          <w:sz w:val="22"/>
          <w:szCs w:val="22"/>
        </w:rPr>
      </w:pPr>
      <w:r w:rsidRPr="00575BEC">
        <w:rPr>
          <w:rFonts w:ascii="Arial" w:hAnsi="Arial" w:cs="Arial"/>
          <w:sz w:val="22"/>
          <w:szCs w:val="22"/>
        </w:rPr>
        <w:t>In particular, the following GCR specifically deal with receivers:</w:t>
      </w:r>
      <w:r w:rsidRPr="00575BEC">
        <w:rPr>
          <w:rStyle w:val="FootnoteReference"/>
          <w:rFonts w:ascii="Arial" w:eastAsiaTheme="majorEastAsia" w:hAnsi="Arial" w:cs="Arial"/>
          <w:sz w:val="22"/>
          <w:szCs w:val="22"/>
        </w:rPr>
        <w:footnoteReference w:id="43"/>
      </w:r>
    </w:p>
    <w:p w14:paraId="73049890" w14:textId="77777777" w:rsidR="00A9055C" w:rsidRPr="008E0D7A" w:rsidRDefault="00A9055C" w:rsidP="008E0D7A">
      <w:pPr>
        <w:pStyle w:val="Multilevel3"/>
        <w:numPr>
          <w:ilvl w:val="2"/>
          <w:numId w:val="26"/>
        </w:numPr>
        <w:ind w:left="567" w:hanging="567"/>
        <w:rPr>
          <w:rFonts w:ascii="Arial" w:hAnsi="Arial" w:cs="Arial"/>
          <w:sz w:val="22"/>
          <w:szCs w:val="22"/>
        </w:rPr>
      </w:pPr>
      <w:r w:rsidRPr="008E0D7A">
        <w:rPr>
          <w:rFonts w:ascii="Arial" w:hAnsi="Arial" w:cs="Arial"/>
          <w:sz w:val="22"/>
          <w:szCs w:val="22"/>
        </w:rPr>
        <w:t>Order 30 GCR governs the appointment and duties of receivers generally;</w:t>
      </w:r>
    </w:p>
    <w:p w14:paraId="125DB0A5" w14:textId="77777777" w:rsidR="00A9055C" w:rsidRPr="00575BEC" w:rsidRDefault="00A9055C" w:rsidP="00A9055C">
      <w:pPr>
        <w:pStyle w:val="Multilevel3"/>
        <w:ind w:left="567" w:hanging="567"/>
        <w:rPr>
          <w:rFonts w:ascii="Arial" w:hAnsi="Arial" w:cs="Arial"/>
          <w:sz w:val="22"/>
          <w:szCs w:val="22"/>
        </w:rPr>
      </w:pPr>
      <w:r w:rsidRPr="00575BEC">
        <w:rPr>
          <w:rFonts w:ascii="Arial" w:hAnsi="Arial" w:cs="Arial"/>
          <w:sz w:val="22"/>
          <w:szCs w:val="22"/>
        </w:rPr>
        <w:t>Order 45 GCR deals with the enforcement of judgments and orders generally, and states that receivers may be appointed to enforce court orders for the payment of money;</w:t>
      </w:r>
    </w:p>
    <w:p w14:paraId="2F4E65CF" w14:textId="77777777" w:rsidR="00A9055C" w:rsidRPr="00575BEC" w:rsidRDefault="00A9055C" w:rsidP="00A9055C">
      <w:pPr>
        <w:pStyle w:val="Multilevel3"/>
        <w:ind w:left="567" w:hanging="567"/>
        <w:rPr>
          <w:rFonts w:ascii="Arial" w:hAnsi="Arial" w:cs="Arial"/>
          <w:sz w:val="22"/>
          <w:szCs w:val="22"/>
        </w:rPr>
      </w:pPr>
      <w:r w:rsidRPr="00575BEC">
        <w:rPr>
          <w:rFonts w:ascii="Arial" w:hAnsi="Arial" w:cs="Arial"/>
          <w:sz w:val="22"/>
          <w:szCs w:val="22"/>
        </w:rPr>
        <w:t>Order 51 GCR provides for the appointment of receivers by way of equitable execution.</w:t>
      </w:r>
    </w:p>
    <w:p w14:paraId="6DA4950E" w14:textId="4B189154" w:rsidR="00A9055C" w:rsidRDefault="00A9055C" w:rsidP="00A9055C">
      <w:pPr>
        <w:rPr>
          <w:rFonts w:ascii="Arial" w:hAnsi="Arial" w:cs="Arial"/>
          <w:sz w:val="22"/>
          <w:szCs w:val="22"/>
        </w:rPr>
      </w:pPr>
      <w:r w:rsidRPr="00575BEC">
        <w:rPr>
          <w:rFonts w:ascii="Arial" w:hAnsi="Arial" w:cs="Arial"/>
          <w:sz w:val="22"/>
          <w:szCs w:val="22"/>
        </w:rPr>
        <w:t>In addition to the GCR, receivers and receivership orders are also specifically provided for by statute in respect of Segregated Portfolio Companies (</w:t>
      </w:r>
      <w:r w:rsidRPr="00575BEC">
        <w:rPr>
          <w:rFonts w:ascii="Arial" w:hAnsi="Arial" w:cs="Arial"/>
          <w:b/>
          <w:bCs/>
          <w:sz w:val="22"/>
          <w:szCs w:val="22"/>
        </w:rPr>
        <w:t>SPC</w:t>
      </w:r>
      <w:r w:rsidRPr="00575BEC">
        <w:rPr>
          <w:rFonts w:ascii="Arial" w:hAnsi="Arial" w:cs="Arial"/>
          <w:sz w:val="22"/>
          <w:szCs w:val="22"/>
        </w:rPr>
        <w:t>), which are a particular type of Cayman Islands legal entity.</w:t>
      </w:r>
      <w:r w:rsidRPr="00575BEC">
        <w:rPr>
          <w:rStyle w:val="FootnoteReference"/>
          <w:rFonts w:ascii="Arial" w:eastAsiaTheme="majorEastAsia" w:hAnsi="Arial" w:cs="Arial"/>
          <w:sz w:val="22"/>
          <w:szCs w:val="22"/>
        </w:rPr>
        <w:footnoteReference w:id="44"/>
      </w:r>
    </w:p>
    <w:p w14:paraId="088C2A05" w14:textId="77777777" w:rsidR="00575BEC" w:rsidRPr="00575BEC" w:rsidRDefault="00575BEC" w:rsidP="00A9055C">
      <w:pPr>
        <w:rPr>
          <w:rFonts w:ascii="Arial" w:hAnsi="Arial" w:cs="Arial"/>
          <w:sz w:val="22"/>
          <w:szCs w:val="22"/>
        </w:rPr>
      </w:pPr>
    </w:p>
    <w:p w14:paraId="5DF738A3" w14:textId="0434C7E1" w:rsidR="00A9055C" w:rsidRDefault="00A9055C" w:rsidP="00A9055C">
      <w:pPr>
        <w:rPr>
          <w:rFonts w:ascii="Arial" w:hAnsi="Arial" w:cs="Arial"/>
          <w:sz w:val="22"/>
          <w:szCs w:val="22"/>
        </w:rPr>
      </w:pPr>
      <w:r w:rsidRPr="00575BEC">
        <w:rPr>
          <w:rFonts w:ascii="Arial" w:hAnsi="Arial" w:cs="Arial"/>
          <w:sz w:val="22"/>
          <w:szCs w:val="22"/>
        </w:rPr>
        <w:t>Whilst an SPC is a regular, single entity company, it is permitted to create separate portfolios for the allocation of different type of assets and liabilities, with each portfolio ring-fenced by statute from the assets and liabilities contained in other portfolios.</w:t>
      </w:r>
      <w:r w:rsidRPr="00575BEC">
        <w:rPr>
          <w:rStyle w:val="FootnoteReference"/>
          <w:rFonts w:ascii="Arial" w:eastAsiaTheme="majorEastAsia" w:hAnsi="Arial" w:cs="Arial"/>
          <w:sz w:val="22"/>
          <w:szCs w:val="22"/>
        </w:rPr>
        <w:footnoteReference w:id="45"/>
      </w:r>
    </w:p>
    <w:p w14:paraId="77E4AFD8" w14:textId="77777777" w:rsidR="00575BEC" w:rsidRPr="00575BEC" w:rsidRDefault="00575BEC" w:rsidP="00A9055C">
      <w:pPr>
        <w:rPr>
          <w:rFonts w:ascii="Arial" w:hAnsi="Arial" w:cs="Arial"/>
          <w:sz w:val="22"/>
          <w:szCs w:val="22"/>
        </w:rPr>
      </w:pPr>
    </w:p>
    <w:p w14:paraId="7044BD79" w14:textId="1B3AD8A6" w:rsidR="00A9055C" w:rsidRDefault="00A9055C" w:rsidP="00A9055C">
      <w:pPr>
        <w:rPr>
          <w:rFonts w:ascii="Arial" w:hAnsi="Arial" w:cs="Arial"/>
          <w:sz w:val="22"/>
          <w:szCs w:val="22"/>
        </w:rPr>
      </w:pPr>
      <w:r w:rsidRPr="00575BEC">
        <w:rPr>
          <w:rFonts w:ascii="Arial" w:hAnsi="Arial" w:cs="Arial"/>
          <w:sz w:val="22"/>
          <w:szCs w:val="22"/>
        </w:rPr>
        <w:t>If the Grand Court is satisfied that the SPC's assets attributable to a portfolio are likely to be insufficient to discharge the claims of creditors relating to that portfolio, the Grand Court may make a receivership order in respect of that portfolio under section 224(1) of the Act.</w:t>
      </w:r>
      <w:r w:rsidRPr="00575BEC">
        <w:rPr>
          <w:rStyle w:val="FootnoteReference"/>
          <w:rFonts w:ascii="Arial" w:eastAsiaTheme="majorEastAsia" w:hAnsi="Arial" w:cs="Arial"/>
          <w:sz w:val="22"/>
          <w:szCs w:val="22"/>
        </w:rPr>
        <w:footnoteReference w:id="46"/>
      </w:r>
      <w:r w:rsidRPr="00575BEC">
        <w:rPr>
          <w:rFonts w:ascii="Arial" w:hAnsi="Arial" w:cs="Arial"/>
          <w:sz w:val="22"/>
          <w:szCs w:val="22"/>
        </w:rPr>
        <w:t xml:space="preserve"> </w:t>
      </w:r>
    </w:p>
    <w:p w14:paraId="3B96106D" w14:textId="77777777" w:rsidR="00575BEC" w:rsidRPr="00575BEC" w:rsidRDefault="00575BEC" w:rsidP="00A9055C">
      <w:pPr>
        <w:rPr>
          <w:rFonts w:ascii="Arial" w:hAnsi="Arial" w:cs="Arial"/>
          <w:sz w:val="22"/>
          <w:szCs w:val="22"/>
        </w:rPr>
      </w:pPr>
    </w:p>
    <w:p w14:paraId="1825B941" w14:textId="77777777" w:rsidR="00A9055C" w:rsidRPr="00575BEC" w:rsidRDefault="00A9055C" w:rsidP="00A9055C">
      <w:pPr>
        <w:rPr>
          <w:rFonts w:ascii="Arial" w:hAnsi="Arial" w:cs="Arial"/>
          <w:sz w:val="22"/>
          <w:szCs w:val="22"/>
        </w:rPr>
      </w:pPr>
      <w:r w:rsidRPr="00575BEC">
        <w:rPr>
          <w:rFonts w:ascii="Arial" w:hAnsi="Arial" w:cs="Arial"/>
          <w:sz w:val="22"/>
          <w:szCs w:val="22"/>
        </w:rPr>
        <w:lastRenderedPageBreak/>
        <w:t>Such receivership order must direct that the business and assets of, or attributable to a portfolio must be managed by the appointed receiver for the purpose of:</w:t>
      </w:r>
      <w:r w:rsidRPr="00575BEC">
        <w:rPr>
          <w:rStyle w:val="FootnoteReference"/>
          <w:rFonts w:ascii="Arial" w:eastAsiaTheme="majorEastAsia" w:hAnsi="Arial" w:cs="Arial"/>
          <w:sz w:val="22"/>
          <w:szCs w:val="22"/>
        </w:rPr>
        <w:footnoteReference w:id="47"/>
      </w:r>
    </w:p>
    <w:p w14:paraId="7A40B479" w14:textId="77777777" w:rsidR="00A9055C" w:rsidRPr="00575BEC" w:rsidRDefault="00A9055C" w:rsidP="008E0D7A">
      <w:pPr>
        <w:pStyle w:val="Multilevel3"/>
        <w:numPr>
          <w:ilvl w:val="2"/>
          <w:numId w:val="17"/>
        </w:numPr>
        <w:ind w:left="567" w:hanging="567"/>
        <w:rPr>
          <w:rFonts w:ascii="Arial" w:hAnsi="Arial" w:cs="Arial"/>
          <w:sz w:val="22"/>
          <w:szCs w:val="22"/>
        </w:rPr>
      </w:pPr>
      <w:r w:rsidRPr="00575BEC">
        <w:rPr>
          <w:rFonts w:ascii="Arial" w:hAnsi="Arial" w:cs="Arial"/>
          <w:sz w:val="22"/>
          <w:szCs w:val="22"/>
        </w:rPr>
        <w:t xml:space="preserve">The orderly closing down of the business of, or attributable to, the segregated portfolio; and </w:t>
      </w:r>
    </w:p>
    <w:p w14:paraId="1F587933" w14:textId="77777777" w:rsidR="00A9055C" w:rsidRPr="00575BEC" w:rsidRDefault="00A9055C" w:rsidP="00A9055C">
      <w:pPr>
        <w:pStyle w:val="Multilevel3"/>
        <w:ind w:left="567" w:hanging="567"/>
        <w:rPr>
          <w:rFonts w:ascii="Arial" w:hAnsi="Arial" w:cs="Arial"/>
          <w:sz w:val="22"/>
          <w:szCs w:val="22"/>
        </w:rPr>
      </w:pPr>
      <w:r w:rsidRPr="00575BEC">
        <w:rPr>
          <w:rFonts w:ascii="Arial" w:hAnsi="Arial" w:cs="Arial"/>
          <w:sz w:val="22"/>
          <w:szCs w:val="22"/>
        </w:rPr>
        <w:t>The distribution of the portfolio assets to those entitled to those assets.</w:t>
      </w:r>
    </w:p>
    <w:p w14:paraId="202E5B18" w14:textId="07010150" w:rsidR="00A9055C" w:rsidRDefault="00A9055C" w:rsidP="00A9055C">
      <w:pPr>
        <w:rPr>
          <w:rFonts w:ascii="Arial" w:hAnsi="Arial" w:cs="Arial"/>
          <w:sz w:val="22"/>
          <w:szCs w:val="22"/>
        </w:rPr>
      </w:pPr>
      <w:r w:rsidRPr="00575BEC">
        <w:rPr>
          <w:rFonts w:ascii="Arial" w:hAnsi="Arial" w:cs="Arial"/>
          <w:sz w:val="22"/>
          <w:szCs w:val="22"/>
        </w:rPr>
        <w:t>However, a receivership order must not be made if the SPC is in the process of being wound up and ceases to be of effect upon commencement of winding up. Per section 224(4) of the Act, the receivership order ceasing in such circumstances is without prejudice to any prior acts of the receiver or his/her agents.</w:t>
      </w:r>
      <w:r w:rsidRPr="00575BEC">
        <w:rPr>
          <w:rStyle w:val="FootnoteReference"/>
          <w:rFonts w:ascii="Arial" w:eastAsiaTheme="majorEastAsia" w:hAnsi="Arial" w:cs="Arial"/>
          <w:sz w:val="22"/>
          <w:szCs w:val="22"/>
        </w:rPr>
        <w:footnoteReference w:id="48"/>
      </w:r>
    </w:p>
    <w:p w14:paraId="4C9C1A20" w14:textId="77777777" w:rsidR="00575BEC" w:rsidRPr="00575BEC" w:rsidRDefault="00575BEC" w:rsidP="00A9055C">
      <w:pPr>
        <w:rPr>
          <w:rFonts w:ascii="Arial" w:hAnsi="Arial" w:cs="Arial"/>
          <w:sz w:val="22"/>
          <w:szCs w:val="22"/>
        </w:rPr>
      </w:pPr>
    </w:p>
    <w:p w14:paraId="2D6958B9" w14:textId="1BA32315" w:rsidR="00A9055C" w:rsidRDefault="00A9055C" w:rsidP="00A9055C">
      <w:pPr>
        <w:rPr>
          <w:rFonts w:ascii="Arial" w:hAnsi="Arial" w:cs="Arial"/>
          <w:sz w:val="22"/>
          <w:szCs w:val="22"/>
        </w:rPr>
      </w:pPr>
      <w:r w:rsidRPr="00575BEC">
        <w:rPr>
          <w:rFonts w:ascii="Arial" w:hAnsi="Arial" w:cs="Arial"/>
          <w:sz w:val="22"/>
          <w:szCs w:val="22"/>
        </w:rPr>
        <w:t>Once an application has been made for a receivership as well as during its operation, nobody may bring a suit, action or any other proceeding against the SPC without the leave of the court.</w:t>
      </w:r>
      <w:r w:rsidRPr="00575BEC">
        <w:rPr>
          <w:rStyle w:val="FootnoteReference"/>
          <w:rFonts w:ascii="Arial" w:eastAsiaTheme="majorEastAsia" w:hAnsi="Arial" w:cs="Arial"/>
          <w:sz w:val="22"/>
          <w:szCs w:val="22"/>
        </w:rPr>
        <w:footnoteReference w:id="49"/>
      </w:r>
    </w:p>
    <w:p w14:paraId="5C858DDB" w14:textId="77777777" w:rsidR="00575BEC" w:rsidRPr="00575BEC" w:rsidRDefault="00575BEC" w:rsidP="00A9055C">
      <w:pPr>
        <w:rPr>
          <w:rFonts w:ascii="Arial" w:hAnsi="Arial" w:cs="Arial"/>
          <w:sz w:val="22"/>
          <w:szCs w:val="22"/>
        </w:rPr>
      </w:pPr>
    </w:p>
    <w:p w14:paraId="3D7D831B" w14:textId="0A9FF15D" w:rsidR="00A9055C" w:rsidRDefault="00A9055C" w:rsidP="00A9055C">
      <w:pPr>
        <w:rPr>
          <w:rFonts w:ascii="Arial" w:hAnsi="Arial" w:cs="Arial"/>
          <w:sz w:val="22"/>
          <w:szCs w:val="22"/>
        </w:rPr>
      </w:pPr>
      <w:r w:rsidRPr="00575BEC">
        <w:rPr>
          <w:rFonts w:ascii="Arial" w:hAnsi="Arial" w:cs="Arial"/>
          <w:sz w:val="22"/>
          <w:szCs w:val="22"/>
        </w:rPr>
        <w:t>The receivership role is similar to that of a liquidator,</w:t>
      </w:r>
      <w:r w:rsidRPr="00575BEC">
        <w:rPr>
          <w:rStyle w:val="FootnoteReference"/>
          <w:rFonts w:ascii="Arial" w:eastAsiaTheme="majorEastAsia" w:hAnsi="Arial" w:cs="Arial"/>
          <w:sz w:val="22"/>
          <w:szCs w:val="22"/>
        </w:rPr>
        <w:footnoteReference w:id="50"/>
      </w:r>
      <w:r w:rsidRPr="00575BEC">
        <w:rPr>
          <w:rFonts w:ascii="Arial" w:hAnsi="Arial" w:cs="Arial"/>
          <w:sz w:val="22"/>
          <w:szCs w:val="22"/>
        </w:rPr>
        <w:t xml:space="preserve"> and the receiver ordinarily relieves the directors of their functions and powers relating to the business of the segregated portfolio.</w:t>
      </w:r>
      <w:r w:rsidRPr="00575BEC">
        <w:rPr>
          <w:rStyle w:val="FootnoteReference"/>
          <w:rFonts w:ascii="Arial" w:eastAsiaTheme="majorEastAsia" w:hAnsi="Arial" w:cs="Arial"/>
          <w:sz w:val="22"/>
          <w:szCs w:val="22"/>
        </w:rPr>
        <w:footnoteReference w:id="51"/>
      </w:r>
    </w:p>
    <w:p w14:paraId="34FB385B" w14:textId="77777777" w:rsidR="00575BEC" w:rsidRPr="00575BEC" w:rsidRDefault="00575BEC" w:rsidP="00A9055C">
      <w:pPr>
        <w:rPr>
          <w:rFonts w:ascii="Arial" w:hAnsi="Arial" w:cs="Arial"/>
          <w:sz w:val="22"/>
          <w:szCs w:val="22"/>
        </w:rPr>
      </w:pPr>
    </w:p>
    <w:p w14:paraId="131B6ABE" w14:textId="24ADBE0C" w:rsidR="00A9055C" w:rsidRDefault="00A9055C" w:rsidP="00A9055C">
      <w:pPr>
        <w:rPr>
          <w:rFonts w:ascii="Arial" w:hAnsi="Arial" w:cs="Arial"/>
          <w:sz w:val="22"/>
          <w:szCs w:val="22"/>
        </w:rPr>
      </w:pPr>
      <w:r w:rsidRPr="00575BEC">
        <w:rPr>
          <w:rFonts w:ascii="Arial" w:hAnsi="Arial" w:cs="Arial"/>
          <w:sz w:val="22"/>
          <w:szCs w:val="22"/>
        </w:rPr>
        <w:t>Lastly, receivers also have a role to play in a Cayman Islands insolvency scenario through appointment without court involvement pursuant to the rights of a security instrument.</w:t>
      </w:r>
      <w:r w:rsidRPr="00575BEC">
        <w:rPr>
          <w:rStyle w:val="FootnoteReference"/>
          <w:rFonts w:ascii="Arial" w:eastAsiaTheme="majorEastAsia" w:hAnsi="Arial" w:cs="Arial"/>
          <w:sz w:val="22"/>
          <w:szCs w:val="22"/>
        </w:rPr>
        <w:footnoteReference w:id="52"/>
      </w:r>
    </w:p>
    <w:p w14:paraId="386094AC" w14:textId="77777777" w:rsidR="00575BEC" w:rsidRPr="00575BEC" w:rsidRDefault="00575BEC" w:rsidP="00A9055C">
      <w:pPr>
        <w:rPr>
          <w:rFonts w:ascii="Arial" w:hAnsi="Arial" w:cs="Arial"/>
          <w:sz w:val="22"/>
          <w:szCs w:val="22"/>
        </w:rPr>
      </w:pPr>
    </w:p>
    <w:p w14:paraId="1DDABCE3" w14:textId="5F84E8ED" w:rsidR="00A9055C" w:rsidRDefault="00A9055C" w:rsidP="00A9055C">
      <w:pPr>
        <w:rPr>
          <w:rFonts w:ascii="Arial" w:hAnsi="Arial" w:cs="Arial"/>
          <w:sz w:val="22"/>
          <w:szCs w:val="22"/>
        </w:rPr>
      </w:pPr>
      <w:r w:rsidRPr="00575BEC">
        <w:rPr>
          <w:rFonts w:ascii="Arial" w:hAnsi="Arial" w:cs="Arial"/>
          <w:sz w:val="22"/>
          <w:szCs w:val="22"/>
        </w:rPr>
        <w:t>If appointed this way, the receiver will act in accordance with the powers set out in the charge document.</w:t>
      </w:r>
      <w:r w:rsidRPr="00575BEC">
        <w:rPr>
          <w:rStyle w:val="FootnoteReference"/>
          <w:rFonts w:ascii="Arial" w:eastAsiaTheme="majorEastAsia" w:hAnsi="Arial" w:cs="Arial"/>
          <w:sz w:val="22"/>
          <w:szCs w:val="22"/>
        </w:rPr>
        <w:footnoteReference w:id="53"/>
      </w:r>
      <w:r w:rsidRPr="00575BEC">
        <w:rPr>
          <w:rFonts w:ascii="Arial" w:hAnsi="Arial" w:cs="Arial"/>
          <w:sz w:val="22"/>
          <w:szCs w:val="22"/>
        </w:rPr>
        <w:t xml:space="preserve"> Ordinarily, the receiver will realise the value of the charged asset and use the proceeds to repay the creditor the unpaid debt.</w:t>
      </w:r>
      <w:r w:rsidRPr="00575BEC">
        <w:rPr>
          <w:rStyle w:val="FootnoteReference"/>
          <w:rFonts w:ascii="Arial" w:eastAsiaTheme="majorEastAsia" w:hAnsi="Arial" w:cs="Arial"/>
          <w:sz w:val="22"/>
          <w:szCs w:val="22"/>
        </w:rPr>
        <w:footnoteReference w:id="54"/>
      </w:r>
    </w:p>
    <w:p w14:paraId="08E8C81C" w14:textId="77777777" w:rsidR="00575BEC" w:rsidRPr="00575BEC" w:rsidRDefault="00575BEC" w:rsidP="00A9055C">
      <w:pPr>
        <w:rPr>
          <w:rFonts w:ascii="Arial" w:hAnsi="Arial" w:cs="Arial"/>
          <w:sz w:val="22"/>
          <w:szCs w:val="22"/>
        </w:rPr>
      </w:pPr>
    </w:p>
    <w:p w14:paraId="6B8D1D57" w14:textId="77777777" w:rsidR="00A9055C" w:rsidRPr="00575BEC" w:rsidRDefault="00A9055C" w:rsidP="00A9055C">
      <w:pPr>
        <w:rPr>
          <w:rFonts w:ascii="Arial" w:hAnsi="Arial" w:cs="Arial"/>
          <w:sz w:val="22"/>
          <w:szCs w:val="22"/>
        </w:rPr>
      </w:pPr>
      <w:r w:rsidRPr="00575BEC">
        <w:rPr>
          <w:rFonts w:ascii="Arial" w:hAnsi="Arial" w:cs="Arial"/>
          <w:sz w:val="22"/>
          <w:szCs w:val="22"/>
        </w:rPr>
        <w:t>Given this receivership scenario has no court involvement, the receiver is not supervised by the court and instead of owing his duties to the debtor company, will owe them to the creditor.</w:t>
      </w:r>
      <w:r w:rsidRPr="00575BEC">
        <w:rPr>
          <w:rStyle w:val="FootnoteReference"/>
          <w:rFonts w:ascii="Arial" w:eastAsiaTheme="majorEastAsia" w:hAnsi="Arial" w:cs="Arial"/>
          <w:sz w:val="22"/>
          <w:szCs w:val="22"/>
        </w:rPr>
        <w:footnoteReference w:id="55"/>
      </w:r>
    </w:p>
    <w:p w14:paraId="193DB0C1" w14:textId="77777777"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0" w:name="_Hlk17745211"/>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lastRenderedPageBreak/>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 xml:space="preserve">Johnson &amp; Boris Ltd (JoBo)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r w:rsidR="00BB6D1E" w:rsidRPr="00310533">
        <w:rPr>
          <w:rFonts w:ascii="Avenir Next" w:hAnsi="Avenir Next" w:cs="Arial"/>
          <w:sz w:val="22"/>
          <w:szCs w:val="22"/>
          <w:lang w:val="en-GB"/>
        </w:rPr>
        <w:t>JoBo</w:t>
      </w:r>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522C5BD9" w:rsidR="002A2C21" w:rsidRPr="00310533" w:rsidRDefault="002A2C21" w:rsidP="008E0D7A">
      <w:pPr>
        <w:pStyle w:val="ListParagraph"/>
        <w:numPr>
          <w:ilvl w:val="0"/>
          <w:numId w:val="1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60988ABD" w14:textId="77777777" w:rsidR="00952187" w:rsidRPr="00310533" w:rsidRDefault="00952187" w:rsidP="00924973">
      <w:pPr>
        <w:ind w:left="426"/>
        <w:jc w:val="both"/>
        <w:rPr>
          <w:rFonts w:ascii="Avenir Next" w:hAnsi="Avenir Next" w:cs="Arial"/>
          <w:sz w:val="22"/>
          <w:szCs w:val="22"/>
          <w:lang w:val="en-GB"/>
        </w:rPr>
      </w:pPr>
    </w:p>
    <w:p w14:paraId="2954EC21" w14:textId="0EA2932A" w:rsidR="002A2C21" w:rsidRPr="00310533" w:rsidRDefault="002A2C21" w:rsidP="008E0D7A">
      <w:pPr>
        <w:pStyle w:val="ListParagraph"/>
        <w:numPr>
          <w:ilvl w:val="0"/>
          <w:numId w:val="1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JoBo</w:t>
      </w:r>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5C96F779" w14:textId="77777777" w:rsidR="00952187" w:rsidRPr="00310533" w:rsidRDefault="00952187" w:rsidP="00924973">
      <w:pPr>
        <w:ind w:left="426"/>
        <w:jc w:val="both"/>
        <w:rPr>
          <w:rFonts w:ascii="Avenir Next" w:hAnsi="Avenir Next" w:cs="Arial"/>
          <w:sz w:val="22"/>
          <w:szCs w:val="22"/>
          <w:lang w:val="en-GB"/>
        </w:rPr>
      </w:pPr>
    </w:p>
    <w:p w14:paraId="786BD95B" w14:textId="25A34D20" w:rsidR="002A2C21" w:rsidRPr="00310533" w:rsidRDefault="002A2C21" w:rsidP="008E0D7A">
      <w:pPr>
        <w:pStyle w:val="ListParagraph"/>
        <w:numPr>
          <w:ilvl w:val="0"/>
          <w:numId w:val="1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2D2F4E09" w14:textId="77777777" w:rsidR="00952187" w:rsidRPr="00310533" w:rsidRDefault="00952187" w:rsidP="00924973">
      <w:pPr>
        <w:ind w:left="426"/>
        <w:jc w:val="both"/>
        <w:rPr>
          <w:rFonts w:ascii="Avenir Next" w:hAnsi="Avenir Next" w:cs="Arial"/>
          <w:sz w:val="22"/>
          <w:szCs w:val="22"/>
          <w:lang w:val="en-GB"/>
        </w:rPr>
      </w:pPr>
    </w:p>
    <w:p w14:paraId="50895D5F" w14:textId="5FCBEDBD" w:rsidR="00F730FA" w:rsidRPr="00310533" w:rsidRDefault="00F730FA" w:rsidP="008E0D7A">
      <w:pPr>
        <w:pStyle w:val="ListParagraph"/>
        <w:numPr>
          <w:ilvl w:val="0"/>
          <w:numId w:val="1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43E439C8" w14:textId="77777777" w:rsidR="00952187" w:rsidRPr="00310533" w:rsidRDefault="00952187" w:rsidP="00924973">
      <w:pPr>
        <w:ind w:left="426"/>
        <w:jc w:val="both"/>
        <w:rPr>
          <w:rFonts w:ascii="Avenir Next" w:hAnsi="Avenir Next" w:cs="Arial"/>
          <w:sz w:val="22"/>
          <w:szCs w:val="22"/>
          <w:lang w:val="en-GB"/>
        </w:rPr>
      </w:pPr>
    </w:p>
    <w:p w14:paraId="74CFE4E1" w14:textId="4776FB6A" w:rsidR="00A30968" w:rsidRPr="00575BEC" w:rsidRDefault="002A2C21" w:rsidP="008E0D7A">
      <w:pPr>
        <w:pStyle w:val="ListParagraph"/>
        <w:numPr>
          <w:ilvl w:val="0"/>
          <w:numId w:val="1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36A2882A" w14:textId="77777777" w:rsidR="00A30968" w:rsidRPr="00310533" w:rsidRDefault="00A30968" w:rsidP="00924973">
      <w:pPr>
        <w:ind w:left="426"/>
        <w:jc w:val="both"/>
        <w:rPr>
          <w:rFonts w:ascii="Avenir Next" w:hAnsi="Avenir Next" w:cs="Arial"/>
          <w:sz w:val="22"/>
          <w:szCs w:val="22"/>
          <w:lang w:val="en-GB"/>
        </w:rPr>
      </w:pPr>
    </w:p>
    <w:p w14:paraId="20A1D69F" w14:textId="42CD7203" w:rsidR="00927C9D" w:rsidRPr="00310533" w:rsidRDefault="00C41A0C" w:rsidP="008E0D7A">
      <w:pPr>
        <w:pStyle w:val="ListParagraph"/>
        <w:numPr>
          <w:ilvl w:val="0"/>
          <w:numId w:val="1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7ADDA549" w14:textId="77777777" w:rsidR="00952187" w:rsidRPr="00310533" w:rsidRDefault="00952187" w:rsidP="00924973">
      <w:pPr>
        <w:ind w:left="426"/>
        <w:jc w:val="both"/>
        <w:rPr>
          <w:rFonts w:ascii="Avenir Next" w:hAnsi="Avenir Next" w:cs="Arial"/>
          <w:sz w:val="22"/>
          <w:szCs w:val="22"/>
          <w:lang w:val="en-GB"/>
        </w:rPr>
      </w:pPr>
    </w:p>
    <w:p w14:paraId="5144D848" w14:textId="144E7FD6" w:rsidR="00BC3A55" w:rsidRDefault="002A2C21" w:rsidP="008E0D7A">
      <w:pPr>
        <w:pStyle w:val="ListParagraph"/>
        <w:numPr>
          <w:ilvl w:val="0"/>
          <w:numId w:val="11"/>
        </w:numPr>
        <w:ind w:left="426"/>
        <w:jc w:val="both"/>
        <w:rPr>
          <w:rFonts w:ascii="Avenir Next" w:hAnsi="Avenir Next" w:cs="Arial"/>
          <w:sz w:val="22"/>
          <w:szCs w:val="22"/>
          <w:lang w:val="en-GB"/>
        </w:rPr>
      </w:pPr>
      <w:r w:rsidRPr="00310533">
        <w:rPr>
          <w:rFonts w:ascii="Avenir Next" w:hAnsi="Avenir Next" w:cs="Arial"/>
          <w:sz w:val="22"/>
          <w:szCs w:val="22"/>
          <w:lang w:val="en-GB"/>
        </w:rPr>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p>
    <w:p w14:paraId="228B00A6" w14:textId="0748A033" w:rsidR="00A30968" w:rsidRDefault="00A30968" w:rsidP="00A30968">
      <w:pPr>
        <w:ind w:left="66"/>
        <w:jc w:val="both"/>
        <w:rPr>
          <w:rFonts w:ascii="Avenir Next" w:hAnsi="Avenir Next" w:cs="Arial"/>
          <w:sz w:val="22"/>
          <w:szCs w:val="22"/>
          <w:lang w:val="en-GB"/>
        </w:rPr>
      </w:pPr>
    </w:p>
    <w:p w14:paraId="08368798" w14:textId="77777777" w:rsidR="00575BEC" w:rsidRPr="00A30968" w:rsidRDefault="00575BEC" w:rsidP="00A30968">
      <w:pPr>
        <w:ind w:left="66"/>
        <w:jc w:val="both"/>
        <w:rPr>
          <w:rFonts w:ascii="Avenir Next" w:hAnsi="Avenir Next" w:cs="Arial"/>
          <w:sz w:val="22"/>
          <w:szCs w:val="22"/>
          <w:lang w:val="en-GB"/>
        </w:rPr>
      </w:pPr>
    </w:p>
    <w:bookmarkEnd w:id="0"/>
    <w:p w14:paraId="6F6DB3E7" w14:textId="77777777" w:rsidR="00575BEC" w:rsidRPr="00575BEC" w:rsidRDefault="00575BEC" w:rsidP="00575BEC">
      <w:pPr>
        <w:jc w:val="both"/>
        <w:rPr>
          <w:rFonts w:ascii="Arial" w:hAnsi="Arial" w:cs="Arial"/>
          <w:sz w:val="22"/>
          <w:szCs w:val="22"/>
          <w:lang w:val="en-GB"/>
        </w:rPr>
      </w:pPr>
      <w:r w:rsidRPr="00575BEC">
        <w:rPr>
          <w:rFonts w:ascii="Arial" w:hAnsi="Arial" w:cs="Arial"/>
          <w:sz w:val="22"/>
          <w:szCs w:val="22"/>
        </w:rPr>
        <w:t>(</w:t>
      </w:r>
      <w:r w:rsidR="00A9055C" w:rsidRPr="00575BEC">
        <w:rPr>
          <w:rFonts w:ascii="Arial" w:hAnsi="Arial" w:cs="Arial"/>
          <w:sz w:val="22"/>
          <w:szCs w:val="22"/>
        </w:rPr>
        <w:t>a)</w:t>
      </w:r>
      <w:r w:rsidRPr="00575BEC">
        <w:rPr>
          <w:rFonts w:ascii="Arial" w:hAnsi="Arial" w:cs="Arial"/>
          <w:sz w:val="22"/>
          <w:szCs w:val="22"/>
        </w:rPr>
        <w:t xml:space="preserve"> </w:t>
      </w:r>
      <w:r w:rsidRPr="00575BEC">
        <w:rPr>
          <w:rFonts w:ascii="Arial" w:hAnsi="Arial" w:cs="Arial"/>
          <w:sz w:val="22"/>
          <w:szCs w:val="22"/>
          <w:lang w:val="en-GB"/>
        </w:rPr>
        <w:t>What action can BITB take to protect its interests?</w:t>
      </w:r>
    </w:p>
    <w:p w14:paraId="77828AFB" w14:textId="77777777" w:rsidR="00575BEC" w:rsidRDefault="00575BEC" w:rsidP="00A9055C">
      <w:pPr>
        <w:rPr>
          <w:rFonts w:ascii="Arial" w:hAnsi="Arial" w:cs="Arial"/>
          <w:sz w:val="22"/>
          <w:szCs w:val="22"/>
        </w:rPr>
      </w:pPr>
    </w:p>
    <w:p w14:paraId="44809C3D" w14:textId="0BC0AA62" w:rsidR="00A9055C" w:rsidRDefault="00A9055C" w:rsidP="00A9055C">
      <w:pPr>
        <w:rPr>
          <w:rFonts w:ascii="Arial" w:hAnsi="Arial" w:cs="Arial"/>
          <w:sz w:val="22"/>
          <w:szCs w:val="22"/>
        </w:rPr>
      </w:pPr>
      <w:r w:rsidRPr="00575BEC">
        <w:rPr>
          <w:rFonts w:ascii="Arial" w:hAnsi="Arial" w:cs="Arial"/>
          <w:sz w:val="22"/>
          <w:szCs w:val="22"/>
        </w:rPr>
        <w:t>BITB is already in a good position as USD 180 million of its loan is secured by a mortgage. This means that it will be able to take steps to satisfy this portion of the debt given VP is in default by taking possession of the party boats and exercise its power of sale, even if VP is put into liquidation as BITB is a secured creditor with respect to this debt.</w:t>
      </w:r>
      <w:r w:rsidRPr="00575BEC">
        <w:rPr>
          <w:rStyle w:val="FootnoteReference"/>
          <w:rFonts w:ascii="Arial" w:eastAsiaTheme="majorEastAsia" w:hAnsi="Arial" w:cs="Arial"/>
          <w:sz w:val="22"/>
          <w:szCs w:val="22"/>
        </w:rPr>
        <w:footnoteReference w:id="56"/>
      </w:r>
      <w:r w:rsidRPr="00575BEC">
        <w:rPr>
          <w:rFonts w:ascii="Arial" w:hAnsi="Arial" w:cs="Arial"/>
          <w:sz w:val="22"/>
          <w:szCs w:val="22"/>
        </w:rPr>
        <w:t xml:space="preserve"> As a result, any moratorium or stay on actions against VP as a result of a liquidation will not apply with respect to BITB. </w:t>
      </w:r>
    </w:p>
    <w:p w14:paraId="79551929" w14:textId="77777777" w:rsidR="00584036" w:rsidRPr="00575BEC" w:rsidRDefault="00584036" w:rsidP="00A9055C">
      <w:pPr>
        <w:rPr>
          <w:rFonts w:ascii="Arial" w:hAnsi="Arial" w:cs="Arial"/>
          <w:sz w:val="22"/>
          <w:szCs w:val="22"/>
        </w:rPr>
      </w:pPr>
    </w:p>
    <w:p w14:paraId="14F6A74E" w14:textId="2CE7A4A0" w:rsidR="00A9055C" w:rsidRDefault="00A9055C" w:rsidP="00A9055C">
      <w:pPr>
        <w:rPr>
          <w:rFonts w:ascii="Arial" w:hAnsi="Arial" w:cs="Arial"/>
          <w:sz w:val="22"/>
          <w:szCs w:val="22"/>
        </w:rPr>
      </w:pPr>
      <w:r w:rsidRPr="00575BEC">
        <w:rPr>
          <w:rFonts w:ascii="Arial" w:hAnsi="Arial" w:cs="Arial"/>
          <w:sz w:val="22"/>
          <w:szCs w:val="22"/>
        </w:rPr>
        <w:t>However, in the event there are other secured creditors, BITB could take steps to register its mortgage in the Cayman Islands ownership register for ships. Not only will this give potential third party purchasers of the party boats deemed notice of BITB's interest, it will also give BITB priority over non-registered creditors.</w:t>
      </w:r>
    </w:p>
    <w:p w14:paraId="4DA3463F" w14:textId="77777777" w:rsidR="00584036" w:rsidRPr="00575BEC" w:rsidRDefault="00584036" w:rsidP="00A9055C">
      <w:pPr>
        <w:rPr>
          <w:rFonts w:ascii="Arial" w:hAnsi="Arial" w:cs="Arial"/>
          <w:sz w:val="22"/>
          <w:szCs w:val="22"/>
        </w:rPr>
      </w:pPr>
    </w:p>
    <w:p w14:paraId="557D1854" w14:textId="0BCABA9A" w:rsidR="00A9055C" w:rsidRDefault="00A9055C" w:rsidP="00A9055C">
      <w:pPr>
        <w:rPr>
          <w:rFonts w:ascii="Arial" w:hAnsi="Arial" w:cs="Arial"/>
          <w:sz w:val="22"/>
          <w:szCs w:val="22"/>
        </w:rPr>
      </w:pPr>
      <w:r w:rsidRPr="00575BEC">
        <w:rPr>
          <w:rFonts w:ascii="Arial" w:hAnsi="Arial" w:cs="Arial"/>
          <w:sz w:val="22"/>
          <w:szCs w:val="22"/>
        </w:rPr>
        <w:t xml:space="preserve">Additionally, and subject to BITB's mortgage instrument including such right, BITB could appoint a receiver to realise the party boats and thereby facilitate repayment of the USD 180 million loan secured by the mortgage. This could be an alternative to BITB enforcing its security on its own outlined above. To the extent realisation of the party boats does not </w:t>
      </w:r>
      <w:r w:rsidRPr="00575BEC">
        <w:rPr>
          <w:rFonts w:ascii="Arial" w:hAnsi="Arial" w:cs="Arial"/>
          <w:sz w:val="22"/>
          <w:szCs w:val="22"/>
        </w:rPr>
        <w:lastRenderedPageBreak/>
        <w:t>equate to USD 180 million, BITB will be able to prove for the unpaid balance in liquidation, where the balance would be treated as an unsecured debt (further discussed below).</w:t>
      </w:r>
    </w:p>
    <w:p w14:paraId="7B656601" w14:textId="77777777" w:rsidR="00584036" w:rsidRPr="00575BEC" w:rsidRDefault="00584036" w:rsidP="00A9055C">
      <w:pPr>
        <w:rPr>
          <w:rFonts w:ascii="Arial" w:hAnsi="Arial" w:cs="Arial"/>
          <w:sz w:val="22"/>
          <w:szCs w:val="22"/>
        </w:rPr>
      </w:pPr>
    </w:p>
    <w:p w14:paraId="3B1B22D0" w14:textId="3993290A" w:rsidR="00A9055C" w:rsidRDefault="00A9055C" w:rsidP="00A9055C">
      <w:pPr>
        <w:rPr>
          <w:rFonts w:ascii="Arial" w:hAnsi="Arial" w:cs="Arial"/>
          <w:sz w:val="22"/>
          <w:szCs w:val="22"/>
        </w:rPr>
      </w:pPr>
      <w:r w:rsidRPr="00575BEC">
        <w:rPr>
          <w:rFonts w:ascii="Arial" w:hAnsi="Arial" w:cs="Arial"/>
          <w:sz w:val="22"/>
          <w:szCs w:val="22"/>
        </w:rPr>
        <w:t xml:space="preserve">However, the above steps will not assist BITB in protecting the outstanding USD 120 million loan, which is unsecured. BITB could file a petition for the winding up of VP on the basis that VP is registered in the Cayman Islands, BITB is a </w:t>
      </w:r>
      <w:r w:rsidR="008E0D7A" w:rsidRPr="00575BEC">
        <w:rPr>
          <w:rFonts w:ascii="Arial" w:hAnsi="Arial" w:cs="Arial"/>
          <w:sz w:val="22"/>
          <w:szCs w:val="22"/>
        </w:rPr>
        <w:t>creditor,</w:t>
      </w:r>
      <w:r w:rsidRPr="00575BEC">
        <w:rPr>
          <w:rFonts w:ascii="Arial" w:hAnsi="Arial" w:cs="Arial"/>
          <w:sz w:val="22"/>
          <w:szCs w:val="22"/>
        </w:rPr>
        <w:t xml:space="preserve"> and that VP is unable to pay its debts. BITB would have to prove for its debt. Given BITB's debt is unsecured, it would count as a preferential debt under section 141 of the Companies Act (2022 Revision) (</w:t>
      </w:r>
      <w:r w:rsidRPr="00575BEC">
        <w:rPr>
          <w:rFonts w:ascii="Arial" w:hAnsi="Arial" w:cs="Arial"/>
          <w:b/>
          <w:bCs/>
          <w:sz w:val="22"/>
          <w:szCs w:val="22"/>
        </w:rPr>
        <w:t>Act</w:t>
      </w:r>
      <w:r w:rsidRPr="00575BEC">
        <w:rPr>
          <w:rFonts w:ascii="Arial" w:hAnsi="Arial" w:cs="Arial"/>
          <w:sz w:val="22"/>
          <w:szCs w:val="22"/>
        </w:rPr>
        <w:t>), which would rank equally with the other preferential debts listed in that section. Given preferential debts rank second in the order of priority (after liquidation expenses), this option would be unlikely to result in full repayment of the loan.</w:t>
      </w:r>
    </w:p>
    <w:p w14:paraId="3D35FC74" w14:textId="77777777" w:rsidR="00584036" w:rsidRPr="00575BEC" w:rsidRDefault="00584036" w:rsidP="00A9055C">
      <w:pPr>
        <w:rPr>
          <w:rFonts w:ascii="Arial" w:hAnsi="Arial" w:cs="Arial"/>
          <w:sz w:val="22"/>
          <w:szCs w:val="22"/>
        </w:rPr>
      </w:pPr>
    </w:p>
    <w:p w14:paraId="0727D24D" w14:textId="77777777" w:rsidR="00584036" w:rsidRPr="00584036" w:rsidRDefault="00584036" w:rsidP="00584036">
      <w:pPr>
        <w:jc w:val="both"/>
        <w:rPr>
          <w:rFonts w:ascii="Avenir Next" w:hAnsi="Avenir Next" w:cs="Arial"/>
          <w:sz w:val="22"/>
          <w:szCs w:val="22"/>
          <w:lang w:val="en-GB"/>
        </w:rPr>
      </w:pPr>
      <w:r w:rsidRPr="00584036">
        <w:rPr>
          <w:rFonts w:ascii="Arial" w:hAnsi="Arial" w:cs="Arial"/>
          <w:sz w:val="22"/>
          <w:szCs w:val="22"/>
        </w:rPr>
        <w:t>(</w:t>
      </w:r>
      <w:r w:rsidR="00A9055C" w:rsidRPr="00584036">
        <w:rPr>
          <w:rFonts w:ascii="Arial" w:hAnsi="Arial" w:cs="Arial"/>
          <w:sz w:val="22"/>
          <w:szCs w:val="22"/>
        </w:rPr>
        <w:t>b)</w:t>
      </w:r>
      <w:r w:rsidRPr="00584036">
        <w:rPr>
          <w:rFonts w:ascii="Arial" w:hAnsi="Arial" w:cs="Arial"/>
          <w:sz w:val="22"/>
          <w:szCs w:val="22"/>
        </w:rPr>
        <w:t xml:space="preserve"> </w:t>
      </w:r>
      <w:r w:rsidR="00A9055C" w:rsidRPr="00584036">
        <w:rPr>
          <w:rFonts w:ascii="Arial" w:hAnsi="Arial" w:cs="Arial"/>
          <w:sz w:val="22"/>
          <w:szCs w:val="22"/>
        </w:rPr>
        <w:t xml:space="preserve"> </w:t>
      </w:r>
      <w:r w:rsidRPr="00584036">
        <w:rPr>
          <w:rFonts w:ascii="Arial" w:hAnsi="Arial" w:cs="Arial"/>
          <w:sz w:val="22"/>
          <w:szCs w:val="22"/>
          <w:lang w:val="en-GB"/>
        </w:rPr>
        <w:t>What action can JoBo take to protect its interests?</w:t>
      </w:r>
    </w:p>
    <w:p w14:paraId="1B13464E" w14:textId="1DBB7BC3" w:rsidR="00A9055C" w:rsidRPr="00575BEC" w:rsidRDefault="00A9055C" w:rsidP="00A9055C">
      <w:pPr>
        <w:rPr>
          <w:rFonts w:ascii="Arial" w:hAnsi="Arial" w:cs="Arial"/>
          <w:sz w:val="22"/>
          <w:szCs w:val="22"/>
        </w:rPr>
      </w:pPr>
    </w:p>
    <w:p w14:paraId="4D7CCF6A" w14:textId="09EF4392" w:rsidR="00A9055C" w:rsidRDefault="00A9055C" w:rsidP="00A9055C">
      <w:pPr>
        <w:rPr>
          <w:rFonts w:ascii="Arial" w:hAnsi="Arial" w:cs="Arial"/>
          <w:sz w:val="22"/>
          <w:szCs w:val="22"/>
        </w:rPr>
      </w:pPr>
      <w:r w:rsidRPr="00575BEC">
        <w:rPr>
          <w:rFonts w:ascii="Arial" w:hAnsi="Arial" w:cs="Arial"/>
          <w:sz w:val="22"/>
          <w:szCs w:val="22"/>
        </w:rPr>
        <w:t xml:space="preserve">JoBo's interest, being the outstanding judgment debt of USD 50 million, is an unsecured debt. Given the judgment is a judgment of the ICC sitting in London, and notwithstanding that the Cayman Islands is a British Overseas Territory, the judgment is a foreign judgment and JoBo should take steps to have that judgment recognised in The Cayman Islands in order to protect its interests. </w:t>
      </w:r>
    </w:p>
    <w:p w14:paraId="3AFFDCFB" w14:textId="77777777" w:rsidR="00584036" w:rsidRPr="00575BEC" w:rsidRDefault="00584036" w:rsidP="00A9055C">
      <w:pPr>
        <w:rPr>
          <w:rFonts w:ascii="Arial" w:hAnsi="Arial" w:cs="Arial"/>
          <w:sz w:val="22"/>
          <w:szCs w:val="22"/>
        </w:rPr>
      </w:pPr>
    </w:p>
    <w:p w14:paraId="482DEE5F" w14:textId="04CD51B8" w:rsidR="00A9055C" w:rsidRDefault="00A9055C" w:rsidP="00A9055C">
      <w:pPr>
        <w:rPr>
          <w:rFonts w:ascii="Arial" w:hAnsi="Arial" w:cs="Arial"/>
          <w:sz w:val="22"/>
          <w:szCs w:val="22"/>
        </w:rPr>
      </w:pPr>
      <w:r w:rsidRPr="00575BEC">
        <w:rPr>
          <w:rFonts w:ascii="Arial" w:hAnsi="Arial" w:cs="Arial"/>
          <w:sz w:val="22"/>
          <w:szCs w:val="22"/>
        </w:rPr>
        <w:t>Reliance on the Foreign Judgments Reciprocal Enforcement Act (1996 Revision) is not a viable option here given the provisions of that Act have to date only been extended to judgments of the Superior Courts of Australia.</w:t>
      </w:r>
      <w:r w:rsidRPr="00575BEC">
        <w:rPr>
          <w:rStyle w:val="FootnoteReference"/>
          <w:rFonts w:ascii="Arial" w:eastAsiaTheme="majorEastAsia" w:hAnsi="Arial" w:cs="Arial"/>
          <w:sz w:val="22"/>
          <w:szCs w:val="22"/>
        </w:rPr>
        <w:footnoteReference w:id="57"/>
      </w:r>
    </w:p>
    <w:p w14:paraId="53C4ACBA" w14:textId="77777777" w:rsidR="00584036" w:rsidRPr="00575BEC" w:rsidRDefault="00584036" w:rsidP="00A9055C">
      <w:pPr>
        <w:rPr>
          <w:rFonts w:ascii="Arial" w:hAnsi="Arial" w:cs="Arial"/>
          <w:sz w:val="22"/>
          <w:szCs w:val="22"/>
        </w:rPr>
      </w:pPr>
    </w:p>
    <w:p w14:paraId="251E9CB0" w14:textId="77777777" w:rsidR="00A9055C" w:rsidRPr="00575BEC" w:rsidRDefault="00A9055C" w:rsidP="00A9055C">
      <w:pPr>
        <w:rPr>
          <w:rFonts w:ascii="Arial" w:hAnsi="Arial" w:cs="Arial"/>
          <w:sz w:val="22"/>
          <w:szCs w:val="22"/>
        </w:rPr>
      </w:pPr>
      <w:r w:rsidRPr="00575BEC">
        <w:rPr>
          <w:rFonts w:ascii="Arial" w:hAnsi="Arial" w:cs="Arial"/>
          <w:sz w:val="22"/>
          <w:szCs w:val="22"/>
        </w:rPr>
        <w:t>Instead, JoBo should bring a proceeding for recognition of the foreign judgment under common law. JoBo should be successful in doing so if the five mandatory requirements for enforcement of a foreign judgment are made out:</w:t>
      </w:r>
    </w:p>
    <w:p w14:paraId="226DCE2D" w14:textId="77777777" w:rsidR="00A9055C" w:rsidRPr="00575BEC" w:rsidRDefault="00A9055C" w:rsidP="008E0D7A">
      <w:pPr>
        <w:pStyle w:val="ListParagraph"/>
        <w:numPr>
          <w:ilvl w:val="0"/>
          <w:numId w:val="18"/>
        </w:numPr>
        <w:spacing w:before="120" w:after="120"/>
        <w:contextualSpacing w:val="0"/>
        <w:rPr>
          <w:rFonts w:ascii="Arial" w:hAnsi="Arial" w:cs="Arial"/>
          <w:sz w:val="22"/>
          <w:szCs w:val="22"/>
        </w:rPr>
      </w:pPr>
      <w:r w:rsidRPr="00575BEC">
        <w:rPr>
          <w:rFonts w:ascii="Arial" w:hAnsi="Arial" w:cs="Arial"/>
          <w:sz w:val="22"/>
          <w:szCs w:val="22"/>
        </w:rPr>
        <w:t>The judgment is final – based on the facts provided, this appears satisfied;</w:t>
      </w:r>
    </w:p>
    <w:p w14:paraId="698B5DB3" w14:textId="77777777" w:rsidR="00A9055C" w:rsidRPr="00575BEC" w:rsidRDefault="00A9055C" w:rsidP="008E0D7A">
      <w:pPr>
        <w:pStyle w:val="ListParagraph"/>
        <w:numPr>
          <w:ilvl w:val="0"/>
          <w:numId w:val="18"/>
        </w:numPr>
        <w:spacing w:before="120" w:after="120"/>
        <w:contextualSpacing w:val="0"/>
        <w:rPr>
          <w:rFonts w:ascii="Arial" w:hAnsi="Arial" w:cs="Arial"/>
          <w:sz w:val="22"/>
          <w:szCs w:val="22"/>
        </w:rPr>
      </w:pPr>
      <w:r w:rsidRPr="00575BEC">
        <w:rPr>
          <w:rFonts w:ascii="Arial" w:hAnsi="Arial" w:cs="Arial"/>
          <w:sz w:val="22"/>
          <w:szCs w:val="22"/>
        </w:rPr>
        <w:t>The foreign court had jurisdiction over the debtor – based on the facts provided, it appears the ICC had jurisdiction over VP by virtue of the arbitration clause contained in VP's agreement with JoBo;</w:t>
      </w:r>
    </w:p>
    <w:p w14:paraId="22969590" w14:textId="77777777" w:rsidR="00A9055C" w:rsidRPr="00575BEC" w:rsidRDefault="00A9055C" w:rsidP="008E0D7A">
      <w:pPr>
        <w:pStyle w:val="ListParagraph"/>
        <w:numPr>
          <w:ilvl w:val="0"/>
          <w:numId w:val="18"/>
        </w:numPr>
        <w:spacing w:before="120" w:after="120"/>
        <w:contextualSpacing w:val="0"/>
        <w:rPr>
          <w:rFonts w:ascii="Arial" w:hAnsi="Arial" w:cs="Arial"/>
          <w:sz w:val="22"/>
          <w:szCs w:val="22"/>
        </w:rPr>
      </w:pPr>
      <w:r w:rsidRPr="00575BEC">
        <w:rPr>
          <w:rFonts w:ascii="Arial" w:hAnsi="Arial" w:cs="Arial"/>
          <w:sz w:val="22"/>
          <w:szCs w:val="22"/>
        </w:rPr>
        <w:t>The foreign judgment was not obtained by fraud – there is nothing in the facts to suggest this;</w:t>
      </w:r>
    </w:p>
    <w:p w14:paraId="05F4809F" w14:textId="77777777" w:rsidR="00A9055C" w:rsidRPr="00575BEC" w:rsidRDefault="00A9055C" w:rsidP="008E0D7A">
      <w:pPr>
        <w:pStyle w:val="ListParagraph"/>
        <w:numPr>
          <w:ilvl w:val="0"/>
          <w:numId w:val="18"/>
        </w:numPr>
        <w:spacing w:before="120" w:after="120"/>
        <w:contextualSpacing w:val="0"/>
        <w:rPr>
          <w:rFonts w:ascii="Arial" w:hAnsi="Arial" w:cs="Arial"/>
          <w:sz w:val="22"/>
          <w:szCs w:val="22"/>
        </w:rPr>
      </w:pPr>
      <w:r w:rsidRPr="00575BEC">
        <w:rPr>
          <w:rFonts w:ascii="Arial" w:hAnsi="Arial" w:cs="Arial"/>
          <w:sz w:val="22"/>
          <w:szCs w:val="22"/>
        </w:rPr>
        <w:t>The foreign judgment is not contrary to the public policy of the Cayman Islands – there is nothing in the facts to suggest this;</w:t>
      </w:r>
    </w:p>
    <w:p w14:paraId="0FF6F5EF" w14:textId="77777777" w:rsidR="00A9055C" w:rsidRPr="00575BEC" w:rsidRDefault="00A9055C" w:rsidP="008E0D7A">
      <w:pPr>
        <w:pStyle w:val="ListParagraph"/>
        <w:numPr>
          <w:ilvl w:val="0"/>
          <w:numId w:val="18"/>
        </w:numPr>
        <w:spacing w:before="120" w:after="120"/>
        <w:contextualSpacing w:val="0"/>
        <w:rPr>
          <w:rFonts w:ascii="Arial" w:hAnsi="Arial" w:cs="Arial"/>
          <w:sz w:val="22"/>
          <w:szCs w:val="22"/>
        </w:rPr>
      </w:pPr>
      <w:r w:rsidRPr="00575BEC">
        <w:rPr>
          <w:rFonts w:ascii="Arial" w:hAnsi="Arial" w:cs="Arial"/>
          <w:sz w:val="22"/>
          <w:szCs w:val="22"/>
        </w:rPr>
        <w:t>The foreign judgment was not obtained contrary to the rules of natural justice – there is nothing in the facts provided to suggest this.</w:t>
      </w:r>
    </w:p>
    <w:p w14:paraId="10457EB6" w14:textId="3B232DD8" w:rsidR="00A9055C" w:rsidRDefault="00A9055C" w:rsidP="00A9055C">
      <w:pPr>
        <w:rPr>
          <w:rFonts w:ascii="Arial" w:hAnsi="Arial" w:cs="Arial"/>
          <w:sz w:val="22"/>
          <w:szCs w:val="22"/>
        </w:rPr>
      </w:pPr>
      <w:r w:rsidRPr="00575BEC">
        <w:rPr>
          <w:rFonts w:ascii="Arial" w:hAnsi="Arial" w:cs="Arial"/>
          <w:sz w:val="22"/>
          <w:szCs w:val="22"/>
        </w:rPr>
        <w:t>As such, the ICC judgment ought to be recognised in the Cayman Islands. This means that JoBo would then have the full range of domestic enforcement remedies available to it.</w:t>
      </w:r>
    </w:p>
    <w:p w14:paraId="4FA27BE1" w14:textId="77777777" w:rsidR="00584036" w:rsidRPr="00575BEC" w:rsidRDefault="00584036" w:rsidP="00A9055C">
      <w:pPr>
        <w:rPr>
          <w:rFonts w:ascii="Arial" w:hAnsi="Arial" w:cs="Arial"/>
          <w:sz w:val="22"/>
          <w:szCs w:val="22"/>
        </w:rPr>
      </w:pPr>
    </w:p>
    <w:p w14:paraId="551AB806" w14:textId="2EBB3027" w:rsidR="00A9055C" w:rsidRDefault="00A9055C" w:rsidP="00A9055C">
      <w:pPr>
        <w:rPr>
          <w:rFonts w:ascii="Arial" w:hAnsi="Arial" w:cs="Arial"/>
          <w:sz w:val="22"/>
          <w:szCs w:val="22"/>
        </w:rPr>
      </w:pPr>
      <w:r w:rsidRPr="00575BEC">
        <w:rPr>
          <w:rFonts w:ascii="Arial" w:hAnsi="Arial" w:cs="Arial"/>
          <w:sz w:val="22"/>
          <w:szCs w:val="22"/>
        </w:rPr>
        <w:t>JoBo could then apply to have a receiver appointed by the Grand Court under Grand Court Rules Order 45, under which receivers may be appointed to enforce court orders for the payment of money.</w:t>
      </w:r>
      <w:r w:rsidRPr="00575BEC">
        <w:rPr>
          <w:rStyle w:val="FootnoteReference"/>
          <w:rFonts w:ascii="Arial" w:eastAsiaTheme="majorEastAsia" w:hAnsi="Arial" w:cs="Arial"/>
          <w:sz w:val="22"/>
          <w:szCs w:val="22"/>
        </w:rPr>
        <w:footnoteReference w:id="58"/>
      </w:r>
    </w:p>
    <w:p w14:paraId="5E331DA9" w14:textId="77777777" w:rsidR="00584036" w:rsidRPr="00575BEC" w:rsidRDefault="00584036" w:rsidP="00A9055C">
      <w:pPr>
        <w:rPr>
          <w:rFonts w:ascii="Arial" w:hAnsi="Arial" w:cs="Arial"/>
          <w:sz w:val="22"/>
          <w:szCs w:val="22"/>
        </w:rPr>
      </w:pPr>
    </w:p>
    <w:p w14:paraId="02901019" w14:textId="77777777" w:rsidR="00584036" w:rsidRPr="00584036" w:rsidRDefault="00584036" w:rsidP="00584036">
      <w:pPr>
        <w:jc w:val="both"/>
        <w:rPr>
          <w:rFonts w:ascii="Avenir Next" w:hAnsi="Avenir Next" w:cs="Arial"/>
          <w:sz w:val="22"/>
          <w:szCs w:val="22"/>
          <w:lang w:val="en-GB"/>
        </w:rPr>
      </w:pPr>
      <w:r w:rsidRPr="00584036">
        <w:rPr>
          <w:rFonts w:ascii="Arial" w:hAnsi="Arial" w:cs="Arial"/>
          <w:sz w:val="22"/>
          <w:szCs w:val="22"/>
        </w:rPr>
        <w:t>(</w:t>
      </w:r>
      <w:r w:rsidR="00A9055C" w:rsidRPr="00584036">
        <w:rPr>
          <w:rFonts w:ascii="Arial" w:hAnsi="Arial" w:cs="Arial"/>
          <w:sz w:val="22"/>
          <w:szCs w:val="22"/>
        </w:rPr>
        <w:t>c)</w:t>
      </w:r>
      <w:r w:rsidRPr="00584036">
        <w:rPr>
          <w:rFonts w:ascii="Arial" w:hAnsi="Arial" w:cs="Arial"/>
          <w:sz w:val="22"/>
          <w:szCs w:val="22"/>
        </w:rPr>
        <w:t xml:space="preserve"> </w:t>
      </w:r>
      <w:r w:rsidRPr="00584036">
        <w:rPr>
          <w:rFonts w:ascii="Arial" w:hAnsi="Arial" w:cs="Arial"/>
          <w:sz w:val="22"/>
          <w:szCs w:val="22"/>
          <w:lang w:val="en-GB"/>
        </w:rPr>
        <w:t>What action can the unpaid employees take against VP?</w:t>
      </w:r>
    </w:p>
    <w:p w14:paraId="2406AA2C" w14:textId="77777777" w:rsidR="00584036" w:rsidRPr="00575BEC" w:rsidRDefault="00584036" w:rsidP="00A9055C">
      <w:pPr>
        <w:rPr>
          <w:rFonts w:ascii="Arial" w:hAnsi="Arial" w:cs="Arial"/>
          <w:sz w:val="22"/>
          <w:szCs w:val="22"/>
        </w:rPr>
      </w:pPr>
    </w:p>
    <w:p w14:paraId="4FE86C43" w14:textId="52CE3E5E" w:rsidR="00A9055C" w:rsidRDefault="00A9055C" w:rsidP="00A9055C">
      <w:pPr>
        <w:rPr>
          <w:rFonts w:ascii="Arial" w:hAnsi="Arial" w:cs="Arial"/>
          <w:sz w:val="22"/>
          <w:szCs w:val="22"/>
        </w:rPr>
      </w:pPr>
      <w:r w:rsidRPr="00575BEC">
        <w:rPr>
          <w:rFonts w:ascii="Arial" w:hAnsi="Arial" w:cs="Arial"/>
          <w:sz w:val="22"/>
          <w:szCs w:val="22"/>
        </w:rPr>
        <w:t xml:space="preserve">Unpaid employees could take steps to put VP into official liquidation. </w:t>
      </w:r>
    </w:p>
    <w:p w14:paraId="4D3B89D8" w14:textId="77777777" w:rsidR="00584036" w:rsidRPr="00575BEC" w:rsidRDefault="00584036" w:rsidP="00A9055C">
      <w:pPr>
        <w:rPr>
          <w:rFonts w:ascii="Arial" w:hAnsi="Arial" w:cs="Arial"/>
          <w:sz w:val="22"/>
          <w:szCs w:val="22"/>
        </w:rPr>
      </w:pPr>
    </w:p>
    <w:p w14:paraId="228E1517" w14:textId="0023FA51" w:rsidR="00A9055C" w:rsidRDefault="00A9055C" w:rsidP="00A9055C">
      <w:pPr>
        <w:rPr>
          <w:rFonts w:ascii="Arial" w:hAnsi="Arial" w:cs="Arial"/>
          <w:sz w:val="22"/>
          <w:szCs w:val="22"/>
        </w:rPr>
      </w:pPr>
      <w:r w:rsidRPr="00575BEC">
        <w:rPr>
          <w:rFonts w:ascii="Arial" w:hAnsi="Arial" w:cs="Arial"/>
          <w:sz w:val="22"/>
          <w:szCs w:val="22"/>
        </w:rPr>
        <w:lastRenderedPageBreak/>
        <w:t>Given they are unpaid, the employees are creditors who could file a petition for the winding up of VP on the basis that VP is registered in the Cayman Islands and is unable to pay its debts. The benefit of this to the unpaid employees would be that sums due to employees are captured by section 141 of the Act as preferential debts, payable after liquidation expenses.</w:t>
      </w:r>
      <w:r w:rsidRPr="00575BEC">
        <w:rPr>
          <w:rStyle w:val="FootnoteReference"/>
          <w:rFonts w:ascii="Arial" w:eastAsiaTheme="majorEastAsia" w:hAnsi="Arial" w:cs="Arial"/>
          <w:sz w:val="22"/>
          <w:szCs w:val="22"/>
        </w:rPr>
        <w:footnoteReference w:id="59"/>
      </w:r>
      <w:r w:rsidRPr="00575BEC">
        <w:rPr>
          <w:rFonts w:ascii="Arial" w:hAnsi="Arial" w:cs="Arial"/>
          <w:sz w:val="22"/>
          <w:szCs w:val="22"/>
        </w:rPr>
        <w:t xml:space="preserve"> Although the sums due to employees rank equally with the other preferential debts set out by section 141 of the Act, this is the best option unpaid employees could take in order to ensure the best chance of repayment by VP. </w:t>
      </w:r>
    </w:p>
    <w:p w14:paraId="7F46968A" w14:textId="77777777" w:rsidR="00584036" w:rsidRPr="00575BEC" w:rsidRDefault="00584036" w:rsidP="00A9055C">
      <w:pPr>
        <w:rPr>
          <w:rFonts w:ascii="Arial" w:hAnsi="Arial" w:cs="Arial"/>
          <w:sz w:val="22"/>
          <w:szCs w:val="22"/>
        </w:rPr>
      </w:pPr>
    </w:p>
    <w:p w14:paraId="3C7C65FE" w14:textId="77777777" w:rsidR="00584036" w:rsidRPr="00584036" w:rsidRDefault="00584036" w:rsidP="00584036">
      <w:pPr>
        <w:jc w:val="both"/>
        <w:rPr>
          <w:rFonts w:ascii="Avenir Next" w:hAnsi="Avenir Next" w:cs="Arial"/>
          <w:sz w:val="22"/>
          <w:szCs w:val="22"/>
          <w:lang w:val="en-GB"/>
        </w:rPr>
      </w:pPr>
      <w:r w:rsidRPr="00584036">
        <w:rPr>
          <w:rFonts w:ascii="Arial" w:hAnsi="Arial" w:cs="Arial"/>
          <w:sz w:val="22"/>
          <w:szCs w:val="22"/>
        </w:rPr>
        <w:t>(</w:t>
      </w:r>
      <w:r w:rsidR="00A9055C" w:rsidRPr="00584036">
        <w:rPr>
          <w:rFonts w:ascii="Arial" w:hAnsi="Arial" w:cs="Arial"/>
          <w:sz w:val="22"/>
          <w:szCs w:val="22"/>
        </w:rPr>
        <w:t xml:space="preserve">d) </w:t>
      </w:r>
      <w:r w:rsidRPr="00584036">
        <w:rPr>
          <w:rFonts w:ascii="Arial" w:hAnsi="Arial" w:cs="Arial"/>
          <w:sz w:val="22"/>
          <w:szCs w:val="22"/>
          <w:lang w:val="en-GB"/>
        </w:rPr>
        <w:t>Does the Cayman Islands Court have jurisdiction over VP?</w:t>
      </w:r>
    </w:p>
    <w:p w14:paraId="3FCBE986" w14:textId="0B618F21" w:rsidR="00A9055C" w:rsidRPr="00575BEC" w:rsidRDefault="00A9055C" w:rsidP="00A9055C">
      <w:pPr>
        <w:rPr>
          <w:rFonts w:ascii="Arial" w:hAnsi="Arial" w:cs="Arial"/>
          <w:sz w:val="22"/>
          <w:szCs w:val="22"/>
        </w:rPr>
      </w:pPr>
    </w:p>
    <w:p w14:paraId="0CCA8F2D" w14:textId="77777777" w:rsidR="00A9055C" w:rsidRPr="00575BEC" w:rsidRDefault="00A9055C" w:rsidP="00A9055C">
      <w:pPr>
        <w:rPr>
          <w:rFonts w:ascii="Arial" w:hAnsi="Arial" w:cs="Arial"/>
          <w:sz w:val="22"/>
          <w:szCs w:val="22"/>
        </w:rPr>
      </w:pPr>
      <w:r w:rsidRPr="00575BEC">
        <w:rPr>
          <w:rFonts w:ascii="Arial" w:hAnsi="Arial" w:cs="Arial"/>
          <w:sz w:val="22"/>
          <w:szCs w:val="22"/>
        </w:rPr>
        <w:t>Section 91 of the Act sets out which companies the Grand Court has jurisdiction to make orders over as follows:</w:t>
      </w:r>
      <w:r w:rsidRPr="00575BEC">
        <w:rPr>
          <w:rStyle w:val="FootnoteReference"/>
          <w:rFonts w:ascii="Arial" w:eastAsiaTheme="majorEastAsia" w:hAnsi="Arial" w:cs="Arial"/>
          <w:sz w:val="22"/>
          <w:szCs w:val="22"/>
        </w:rPr>
        <w:footnoteReference w:id="60"/>
      </w:r>
    </w:p>
    <w:p w14:paraId="51E36E7D" w14:textId="77777777" w:rsidR="00A9055C" w:rsidRPr="00584036" w:rsidRDefault="00A9055C" w:rsidP="008E0D7A">
      <w:pPr>
        <w:pStyle w:val="Multilevel3"/>
        <w:numPr>
          <w:ilvl w:val="2"/>
          <w:numId w:val="24"/>
        </w:numPr>
        <w:ind w:left="567" w:hanging="567"/>
        <w:rPr>
          <w:rFonts w:ascii="Arial" w:hAnsi="Arial" w:cs="Arial"/>
          <w:sz w:val="22"/>
          <w:szCs w:val="22"/>
        </w:rPr>
      </w:pPr>
      <w:r w:rsidRPr="00584036">
        <w:rPr>
          <w:rFonts w:ascii="Arial" w:hAnsi="Arial" w:cs="Arial"/>
          <w:sz w:val="22"/>
          <w:szCs w:val="22"/>
        </w:rPr>
        <w:t>Incorporated in the Cayman Islands;</w:t>
      </w:r>
    </w:p>
    <w:p w14:paraId="1D1293A5" w14:textId="77777777" w:rsidR="00A9055C" w:rsidRPr="00575BEC" w:rsidRDefault="00A9055C" w:rsidP="00A9055C">
      <w:pPr>
        <w:pStyle w:val="Multilevel3"/>
        <w:ind w:left="567" w:hanging="567"/>
        <w:rPr>
          <w:rFonts w:ascii="Arial" w:hAnsi="Arial" w:cs="Arial"/>
          <w:sz w:val="22"/>
          <w:szCs w:val="22"/>
        </w:rPr>
      </w:pPr>
      <w:r w:rsidRPr="00575BEC">
        <w:rPr>
          <w:rFonts w:ascii="Arial" w:hAnsi="Arial" w:cs="Arial"/>
          <w:sz w:val="22"/>
          <w:szCs w:val="22"/>
        </w:rPr>
        <w:t>Incorporated elsewhere but subsequently registered in the Cayman Islands; or</w:t>
      </w:r>
    </w:p>
    <w:p w14:paraId="6CB6D96F" w14:textId="77777777" w:rsidR="00A9055C" w:rsidRPr="00575BEC" w:rsidRDefault="00A9055C" w:rsidP="00A9055C">
      <w:pPr>
        <w:pStyle w:val="Multilevel3"/>
        <w:ind w:left="567" w:hanging="567"/>
        <w:rPr>
          <w:rFonts w:ascii="Arial" w:hAnsi="Arial" w:cs="Arial"/>
          <w:sz w:val="22"/>
          <w:szCs w:val="22"/>
        </w:rPr>
      </w:pPr>
      <w:r w:rsidRPr="00575BEC">
        <w:rPr>
          <w:rFonts w:ascii="Arial" w:hAnsi="Arial" w:cs="Arial"/>
          <w:sz w:val="22"/>
          <w:szCs w:val="22"/>
        </w:rPr>
        <w:t>In respect of a foreign company which –</w:t>
      </w:r>
    </w:p>
    <w:p w14:paraId="3DC075E1" w14:textId="77777777" w:rsidR="00A9055C" w:rsidRPr="00575BEC" w:rsidRDefault="00A9055C" w:rsidP="00A9055C">
      <w:pPr>
        <w:pStyle w:val="Multilevel4"/>
        <w:tabs>
          <w:tab w:val="clear" w:pos="2160"/>
          <w:tab w:val="num" w:pos="1134"/>
        </w:tabs>
        <w:ind w:left="567" w:firstLine="0"/>
        <w:rPr>
          <w:rFonts w:ascii="Arial" w:hAnsi="Arial" w:cs="Arial"/>
          <w:sz w:val="22"/>
          <w:szCs w:val="22"/>
        </w:rPr>
      </w:pPr>
      <w:r w:rsidRPr="00575BEC">
        <w:rPr>
          <w:rFonts w:ascii="Arial" w:hAnsi="Arial" w:cs="Arial"/>
          <w:sz w:val="22"/>
          <w:szCs w:val="22"/>
        </w:rPr>
        <w:t>Has property located in the Islands;</w:t>
      </w:r>
    </w:p>
    <w:p w14:paraId="1B770AA3" w14:textId="77777777" w:rsidR="00A9055C" w:rsidRPr="00575BEC" w:rsidRDefault="00A9055C" w:rsidP="00A9055C">
      <w:pPr>
        <w:pStyle w:val="Multilevel4"/>
        <w:tabs>
          <w:tab w:val="clear" w:pos="2160"/>
          <w:tab w:val="num" w:pos="1134"/>
        </w:tabs>
        <w:ind w:left="567" w:firstLine="0"/>
        <w:rPr>
          <w:rFonts w:ascii="Arial" w:hAnsi="Arial" w:cs="Arial"/>
          <w:sz w:val="22"/>
          <w:szCs w:val="22"/>
        </w:rPr>
      </w:pPr>
      <w:r w:rsidRPr="00575BEC">
        <w:rPr>
          <w:rFonts w:ascii="Arial" w:hAnsi="Arial" w:cs="Arial"/>
          <w:sz w:val="22"/>
          <w:szCs w:val="22"/>
        </w:rPr>
        <w:t>Is carrying on business in the islands;</w:t>
      </w:r>
    </w:p>
    <w:p w14:paraId="40DFD725" w14:textId="77777777" w:rsidR="00A9055C" w:rsidRPr="00575BEC" w:rsidRDefault="00A9055C" w:rsidP="00A9055C">
      <w:pPr>
        <w:pStyle w:val="Multilevel4"/>
        <w:tabs>
          <w:tab w:val="clear" w:pos="2160"/>
          <w:tab w:val="num" w:pos="1134"/>
        </w:tabs>
        <w:ind w:left="567" w:firstLine="0"/>
        <w:rPr>
          <w:rFonts w:ascii="Arial" w:hAnsi="Arial" w:cs="Arial"/>
          <w:sz w:val="22"/>
          <w:szCs w:val="22"/>
        </w:rPr>
      </w:pPr>
      <w:r w:rsidRPr="00575BEC">
        <w:rPr>
          <w:rFonts w:ascii="Arial" w:hAnsi="Arial" w:cs="Arial"/>
          <w:sz w:val="22"/>
          <w:szCs w:val="22"/>
        </w:rPr>
        <w:t>Is the general partner of a limited partnership; or</w:t>
      </w:r>
    </w:p>
    <w:p w14:paraId="664D8EAA" w14:textId="77777777" w:rsidR="00A9055C" w:rsidRPr="00575BEC" w:rsidRDefault="00A9055C" w:rsidP="00A9055C">
      <w:pPr>
        <w:pStyle w:val="Multilevel4"/>
        <w:tabs>
          <w:tab w:val="clear" w:pos="2160"/>
          <w:tab w:val="num" w:pos="1134"/>
        </w:tabs>
        <w:ind w:left="567" w:firstLine="0"/>
        <w:rPr>
          <w:rFonts w:ascii="Arial" w:hAnsi="Arial" w:cs="Arial"/>
          <w:sz w:val="22"/>
          <w:szCs w:val="22"/>
        </w:rPr>
      </w:pPr>
      <w:r w:rsidRPr="00575BEC">
        <w:rPr>
          <w:rFonts w:ascii="Arial" w:hAnsi="Arial" w:cs="Arial"/>
          <w:sz w:val="22"/>
          <w:szCs w:val="22"/>
        </w:rPr>
        <w:t xml:space="preserve">Is registered under Part IX of the Act as an overseas company. </w:t>
      </w:r>
    </w:p>
    <w:p w14:paraId="486702FF" w14:textId="35B46F19" w:rsidR="00A9055C" w:rsidRDefault="00A9055C" w:rsidP="00A9055C">
      <w:pPr>
        <w:rPr>
          <w:rFonts w:ascii="Arial" w:hAnsi="Arial" w:cs="Arial"/>
          <w:sz w:val="22"/>
          <w:szCs w:val="22"/>
        </w:rPr>
      </w:pPr>
      <w:r w:rsidRPr="00575BEC">
        <w:rPr>
          <w:rFonts w:ascii="Arial" w:hAnsi="Arial" w:cs="Arial"/>
          <w:sz w:val="22"/>
          <w:szCs w:val="22"/>
        </w:rPr>
        <w:t xml:space="preserve">While the facts are silent on VP's place of incorporation, VP is registered in the Cayman Islands. As such, the Cayman Islands Court has jurisdiction over VP. </w:t>
      </w:r>
    </w:p>
    <w:p w14:paraId="6616D42B" w14:textId="77777777" w:rsidR="00584036" w:rsidRPr="00575BEC" w:rsidRDefault="00584036" w:rsidP="00A9055C">
      <w:pPr>
        <w:rPr>
          <w:rFonts w:ascii="Arial" w:hAnsi="Arial" w:cs="Arial"/>
          <w:sz w:val="22"/>
          <w:szCs w:val="22"/>
        </w:rPr>
      </w:pPr>
    </w:p>
    <w:p w14:paraId="3216969E" w14:textId="77777777" w:rsidR="00584036" w:rsidRPr="00584036" w:rsidRDefault="00584036" w:rsidP="00584036">
      <w:pPr>
        <w:jc w:val="both"/>
        <w:rPr>
          <w:rFonts w:ascii="Arial" w:hAnsi="Arial" w:cs="Arial"/>
          <w:sz w:val="22"/>
          <w:szCs w:val="22"/>
          <w:lang w:val="en-GB"/>
        </w:rPr>
      </w:pPr>
      <w:r w:rsidRPr="00584036">
        <w:rPr>
          <w:rFonts w:ascii="Arial" w:hAnsi="Arial" w:cs="Arial"/>
          <w:sz w:val="22"/>
          <w:szCs w:val="22"/>
        </w:rPr>
        <w:t>(</w:t>
      </w:r>
      <w:r w:rsidR="00A9055C" w:rsidRPr="00584036">
        <w:rPr>
          <w:rFonts w:ascii="Arial" w:hAnsi="Arial" w:cs="Arial"/>
          <w:sz w:val="22"/>
          <w:szCs w:val="22"/>
        </w:rPr>
        <w:t>e)</w:t>
      </w:r>
      <w:r w:rsidRPr="00584036">
        <w:rPr>
          <w:rFonts w:ascii="Arial" w:hAnsi="Arial" w:cs="Arial"/>
          <w:sz w:val="22"/>
          <w:szCs w:val="22"/>
        </w:rPr>
        <w:t xml:space="preserve"> </w:t>
      </w:r>
      <w:r w:rsidRPr="00584036">
        <w:rPr>
          <w:rFonts w:ascii="Arial" w:hAnsi="Arial" w:cs="Arial"/>
          <w:sz w:val="22"/>
          <w:szCs w:val="22"/>
          <w:lang w:val="en-GB"/>
        </w:rPr>
        <w:t xml:space="preserve">Is there a legal route via which VP can protect itself and seek to restructure? </w:t>
      </w:r>
    </w:p>
    <w:p w14:paraId="32EAD86A" w14:textId="279CEF6F" w:rsidR="00A9055C" w:rsidRPr="00575BEC" w:rsidRDefault="00A9055C" w:rsidP="00A9055C">
      <w:pPr>
        <w:rPr>
          <w:rFonts w:ascii="Arial" w:hAnsi="Arial" w:cs="Arial"/>
          <w:sz w:val="22"/>
          <w:szCs w:val="22"/>
        </w:rPr>
      </w:pPr>
    </w:p>
    <w:p w14:paraId="767D23EF" w14:textId="57D2509E" w:rsidR="00A9055C" w:rsidRDefault="00A9055C" w:rsidP="00A9055C">
      <w:pPr>
        <w:rPr>
          <w:rFonts w:ascii="Arial" w:hAnsi="Arial" w:cs="Arial"/>
          <w:sz w:val="22"/>
          <w:szCs w:val="22"/>
        </w:rPr>
      </w:pPr>
      <w:r w:rsidRPr="00584036">
        <w:rPr>
          <w:rFonts w:ascii="Arial" w:hAnsi="Arial" w:cs="Arial"/>
          <w:sz w:val="22"/>
          <w:szCs w:val="22"/>
        </w:rPr>
        <w:t>VP could present a petition to the Grand Court for the appointment of a restructuring officer on the grounds that it is unable to pay its debts and that it intends to present a compromise or arrangement to its creditors.</w:t>
      </w:r>
      <w:r w:rsidRPr="00584036">
        <w:rPr>
          <w:rStyle w:val="FootnoteReference"/>
          <w:rFonts w:ascii="Arial" w:eastAsiaTheme="majorEastAsia" w:hAnsi="Arial" w:cs="Arial"/>
          <w:sz w:val="22"/>
          <w:szCs w:val="22"/>
        </w:rPr>
        <w:footnoteReference w:id="61"/>
      </w:r>
    </w:p>
    <w:p w14:paraId="3A6BAD1E" w14:textId="77777777" w:rsidR="00584036" w:rsidRPr="00584036" w:rsidRDefault="00584036" w:rsidP="00A9055C">
      <w:pPr>
        <w:rPr>
          <w:rFonts w:ascii="Arial" w:hAnsi="Arial" w:cs="Arial"/>
          <w:sz w:val="22"/>
          <w:szCs w:val="22"/>
        </w:rPr>
      </w:pPr>
    </w:p>
    <w:p w14:paraId="39D88854" w14:textId="4FDD2B11" w:rsidR="00A9055C" w:rsidRDefault="00A9055C" w:rsidP="00A9055C">
      <w:pPr>
        <w:rPr>
          <w:rFonts w:ascii="Arial" w:hAnsi="Arial" w:cs="Arial"/>
          <w:sz w:val="22"/>
          <w:szCs w:val="22"/>
        </w:rPr>
      </w:pPr>
      <w:r w:rsidRPr="00584036">
        <w:rPr>
          <w:rFonts w:ascii="Arial" w:hAnsi="Arial" w:cs="Arial"/>
          <w:sz w:val="22"/>
          <w:szCs w:val="22"/>
        </w:rPr>
        <w:t>The benefit of this option to VP is that upon filling of the petition, a moratorium with extraterritorial effects is triggered to prevent all suits, actions or any other proceedings against VP without leave to the court.</w:t>
      </w:r>
      <w:r w:rsidRPr="00584036">
        <w:rPr>
          <w:rStyle w:val="FootnoteReference"/>
          <w:rFonts w:ascii="Arial" w:eastAsiaTheme="majorEastAsia" w:hAnsi="Arial" w:cs="Arial"/>
          <w:sz w:val="22"/>
          <w:szCs w:val="22"/>
        </w:rPr>
        <w:footnoteReference w:id="62"/>
      </w:r>
      <w:r w:rsidRPr="00584036">
        <w:rPr>
          <w:rFonts w:ascii="Arial" w:hAnsi="Arial" w:cs="Arial"/>
          <w:sz w:val="22"/>
          <w:szCs w:val="22"/>
        </w:rPr>
        <w:t xml:space="preserve"> However, such moratorium would not affect BITB with respect to its USD 180 million secured loan as secured creditors will continue to be entitled to enforce their security without leave of the court and without reference to the restructuring officer.</w:t>
      </w:r>
      <w:r w:rsidRPr="00584036">
        <w:rPr>
          <w:rStyle w:val="FootnoteReference"/>
          <w:rFonts w:ascii="Arial" w:eastAsiaTheme="majorEastAsia" w:hAnsi="Arial" w:cs="Arial"/>
          <w:sz w:val="22"/>
          <w:szCs w:val="22"/>
        </w:rPr>
        <w:footnoteReference w:id="63"/>
      </w:r>
    </w:p>
    <w:p w14:paraId="72CA1CD7" w14:textId="77777777" w:rsidR="00584036" w:rsidRPr="00584036" w:rsidRDefault="00584036" w:rsidP="00A9055C">
      <w:pPr>
        <w:rPr>
          <w:rFonts w:ascii="Arial" w:hAnsi="Arial" w:cs="Arial"/>
          <w:sz w:val="22"/>
          <w:szCs w:val="22"/>
        </w:rPr>
      </w:pPr>
    </w:p>
    <w:p w14:paraId="42F2C5C6" w14:textId="351CF0FE" w:rsidR="00A9055C" w:rsidRDefault="00A9055C" w:rsidP="00A9055C">
      <w:pPr>
        <w:rPr>
          <w:rFonts w:ascii="Arial" w:hAnsi="Arial" w:cs="Arial"/>
          <w:sz w:val="22"/>
          <w:szCs w:val="22"/>
        </w:rPr>
      </w:pPr>
      <w:r w:rsidRPr="00584036">
        <w:rPr>
          <w:rFonts w:ascii="Arial" w:hAnsi="Arial" w:cs="Arial"/>
          <w:sz w:val="22"/>
          <w:szCs w:val="22"/>
        </w:rPr>
        <w:t xml:space="preserve">Once the restructuring officer is appointed, VP could attempt to strike an informal deal with all </w:t>
      </w:r>
      <w:r w:rsidR="008E0D7A" w:rsidRPr="00584036">
        <w:rPr>
          <w:rFonts w:ascii="Arial" w:hAnsi="Arial" w:cs="Arial"/>
          <w:sz w:val="22"/>
          <w:szCs w:val="22"/>
        </w:rPr>
        <w:t>creditors or</w:t>
      </w:r>
      <w:r w:rsidRPr="00584036">
        <w:rPr>
          <w:rFonts w:ascii="Arial" w:hAnsi="Arial" w:cs="Arial"/>
          <w:sz w:val="22"/>
          <w:szCs w:val="22"/>
        </w:rPr>
        <w:t xml:space="preserve"> attempt to introduce a formal scheme of arrangement. </w:t>
      </w:r>
    </w:p>
    <w:p w14:paraId="6999FA3E" w14:textId="77777777" w:rsidR="00584036" w:rsidRPr="00584036" w:rsidRDefault="00584036" w:rsidP="00A9055C">
      <w:pPr>
        <w:rPr>
          <w:rFonts w:ascii="Arial" w:hAnsi="Arial" w:cs="Arial"/>
          <w:sz w:val="22"/>
          <w:szCs w:val="22"/>
        </w:rPr>
      </w:pPr>
    </w:p>
    <w:p w14:paraId="769A0CCD" w14:textId="53221528" w:rsidR="00A9055C" w:rsidRDefault="00A9055C" w:rsidP="00A9055C">
      <w:pPr>
        <w:rPr>
          <w:rFonts w:ascii="Arial" w:hAnsi="Arial" w:cs="Arial"/>
          <w:sz w:val="22"/>
          <w:szCs w:val="22"/>
        </w:rPr>
      </w:pPr>
      <w:r w:rsidRPr="00584036">
        <w:rPr>
          <w:rFonts w:ascii="Arial" w:hAnsi="Arial" w:cs="Arial"/>
          <w:sz w:val="22"/>
          <w:szCs w:val="22"/>
        </w:rPr>
        <w:t xml:space="preserve">The creditors may agree to such restructuring and the proposed scheme on the basis that it will likely lead to better returns than a classic liquidation. </w:t>
      </w:r>
    </w:p>
    <w:p w14:paraId="5D928A4D" w14:textId="77777777" w:rsidR="00584036" w:rsidRPr="00584036" w:rsidRDefault="00584036" w:rsidP="00A9055C">
      <w:pPr>
        <w:rPr>
          <w:rFonts w:ascii="Arial" w:hAnsi="Arial" w:cs="Arial"/>
          <w:sz w:val="22"/>
          <w:szCs w:val="22"/>
        </w:rPr>
      </w:pPr>
    </w:p>
    <w:p w14:paraId="0EEA0671" w14:textId="2F00856A" w:rsidR="00A9055C" w:rsidRPr="00584036" w:rsidRDefault="00A9055C" w:rsidP="00A9055C">
      <w:pPr>
        <w:rPr>
          <w:rFonts w:ascii="Arial" w:hAnsi="Arial" w:cs="Arial"/>
          <w:sz w:val="22"/>
          <w:szCs w:val="22"/>
        </w:rPr>
      </w:pPr>
      <w:r w:rsidRPr="00584036">
        <w:rPr>
          <w:rFonts w:ascii="Arial" w:hAnsi="Arial" w:cs="Arial"/>
          <w:sz w:val="22"/>
          <w:szCs w:val="22"/>
        </w:rPr>
        <w:t xml:space="preserve">Once VP files the scheme petition, the </w:t>
      </w:r>
      <w:r w:rsidR="008E0D7A" w:rsidRPr="00584036">
        <w:rPr>
          <w:rFonts w:ascii="Arial" w:hAnsi="Arial" w:cs="Arial"/>
          <w:sz w:val="22"/>
          <w:szCs w:val="22"/>
        </w:rPr>
        <w:t>three-stage</w:t>
      </w:r>
      <w:r w:rsidRPr="00584036">
        <w:rPr>
          <w:rFonts w:ascii="Arial" w:hAnsi="Arial" w:cs="Arial"/>
          <w:sz w:val="22"/>
          <w:szCs w:val="22"/>
        </w:rPr>
        <w:t xml:space="preserve"> process for schemes must be followed:</w:t>
      </w:r>
      <w:r w:rsidRPr="00584036">
        <w:rPr>
          <w:rStyle w:val="FootnoteReference"/>
          <w:rFonts w:ascii="Arial" w:eastAsiaTheme="majorEastAsia" w:hAnsi="Arial" w:cs="Arial"/>
          <w:sz w:val="22"/>
          <w:szCs w:val="22"/>
        </w:rPr>
        <w:footnoteReference w:id="64"/>
      </w:r>
    </w:p>
    <w:p w14:paraId="4305DB2B" w14:textId="77777777" w:rsidR="00A9055C" w:rsidRPr="00584036" w:rsidRDefault="00A9055C" w:rsidP="008E0D7A">
      <w:pPr>
        <w:pStyle w:val="ListParagraph"/>
        <w:numPr>
          <w:ilvl w:val="0"/>
          <w:numId w:val="19"/>
        </w:numPr>
        <w:spacing w:before="120" w:after="120"/>
        <w:contextualSpacing w:val="0"/>
        <w:rPr>
          <w:rFonts w:ascii="Arial" w:hAnsi="Arial" w:cs="Arial"/>
          <w:sz w:val="22"/>
          <w:szCs w:val="22"/>
        </w:rPr>
      </w:pPr>
      <w:r w:rsidRPr="00584036">
        <w:rPr>
          <w:rFonts w:ascii="Arial" w:hAnsi="Arial" w:cs="Arial"/>
          <w:sz w:val="22"/>
          <w:szCs w:val="22"/>
        </w:rPr>
        <w:lastRenderedPageBreak/>
        <w:t>An application must be  made to the Grand Court for an order that meetings of creditors or members be convened for the purpose of approving the scheme, this being the convening hearing;</w:t>
      </w:r>
    </w:p>
    <w:p w14:paraId="52B5CA5A" w14:textId="77777777" w:rsidR="00A9055C" w:rsidRPr="00584036" w:rsidRDefault="00A9055C" w:rsidP="008E0D7A">
      <w:pPr>
        <w:pStyle w:val="ListParagraph"/>
        <w:numPr>
          <w:ilvl w:val="0"/>
          <w:numId w:val="19"/>
        </w:numPr>
        <w:spacing w:before="120" w:after="120"/>
        <w:contextualSpacing w:val="0"/>
        <w:rPr>
          <w:rFonts w:ascii="Arial" w:hAnsi="Arial" w:cs="Arial"/>
          <w:sz w:val="22"/>
          <w:szCs w:val="22"/>
        </w:rPr>
      </w:pPr>
      <w:r w:rsidRPr="00584036">
        <w:rPr>
          <w:rFonts w:ascii="Arial" w:hAnsi="Arial" w:cs="Arial"/>
          <w:sz w:val="22"/>
          <w:szCs w:val="22"/>
        </w:rPr>
        <w:t xml:space="preserve">The scheme proposals are then discussed at meetings held in accordance with the convening order and are either approved or rejected – this being the scheme meetings; and </w:t>
      </w:r>
    </w:p>
    <w:p w14:paraId="2320AE59" w14:textId="77777777" w:rsidR="00A9055C" w:rsidRPr="00584036" w:rsidRDefault="00A9055C" w:rsidP="008E0D7A">
      <w:pPr>
        <w:pStyle w:val="ListParagraph"/>
        <w:numPr>
          <w:ilvl w:val="0"/>
          <w:numId w:val="19"/>
        </w:numPr>
        <w:spacing w:before="120" w:after="120"/>
        <w:contextualSpacing w:val="0"/>
        <w:rPr>
          <w:rFonts w:ascii="Arial" w:hAnsi="Arial" w:cs="Arial"/>
          <w:sz w:val="22"/>
          <w:szCs w:val="22"/>
        </w:rPr>
      </w:pPr>
      <w:r w:rsidRPr="00584036">
        <w:rPr>
          <w:rFonts w:ascii="Arial" w:hAnsi="Arial" w:cs="Arial"/>
          <w:sz w:val="22"/>
          <w:szCs w:val="22"/>
        </w:rPr>
        <w:t xml:space="preserve">If approved at the scheme meeting, an application is made to the Grand Court to obtain approval and sanction of the scheme – this being the sanction hearing. </w:t>
      </w:r>
    </w:p>
    <w:p w14:paraId="37CD4308" w14:textId="59D0A5F4" w:rsidR="00A9055C" w:rsidRDefault="00A9055C" w:rsidP="00A9055C">
      <w:pPr>
        <w:rPr>
          <w:rFonts w:ascii="Arial" w:hAnsi="Arial" w:cs="Arial"/>
          <w:sz w:val="22"/>
          <w:szCs w:val="22"/>
        </w:rPr>
      </w:pPr>
      <w:r w:rsidRPr="00584036">
        <w:rPr>
          <w:rFonts w:ascii="Arial" w:hAnsi="Arial" w:cs="Arial"/>
          <w:sz w:val="22"/>
          <w:szCs w:val="22"/>
        </w:rPr>
        <w:t xml:space="preserve">The overarching benefit of seeking a restructure and a corresponding deal or scheme of arrangement with creditors for VP is that it could avoid an official liquidation and any potential causes of action against VP's directors for voidable property dispositions, voidable preferences, dispositions at undervalue, fraudulent trading or breach of the common law fiduciary duty. </w:t>
      </w:r>
    </w:p>
    <w:p w14:paraId="347B76C1" w14:textId="77777777" w:rsidR="00584036" w:rsidRPr="00584036" w:rsidRDefault="00584036" w:rsidP="00A9055C">
      <w:pPr>
        <w:rPr>
          <w:rFonts w:ascii="Arial" w:hAnsi="Arial" w:cs="Arial"/>
          <w:sz w:val="22"/>
          <w:szCs w:val="22"/>
        </w:rPr>
      </w:pPr>
    </w:p>
    <w:p w14:paraId="1A221D4A" w14:textId="77777777" w:rsidR="00584036" w:rsidRPr="00584036" w:rsidRDefault="00584036" w:rsidP="00584036">
      <w:pPr>
        <w:jc w:val="both"/>
        <w:rPr>
          <w:rFonts w:ascii="Avenir Next" w:hAnsi="Avenir Next" w:cs="Arial"/>
          <w:sz w:val="22"/>
          <w:szCs w:val="22"/>
          <w:lang w:val="en-GB"/>
        </w:rPr>
      </w:pPr>
      <w:r w:rsidRPr="00584036">
        <w:rPr>
          <w:rFonts w:ascii="Arial" w:hAnsi="Arial" w:cs="Arial"/>
          <w:sz w:val="22"/>
          <w:szCs w:val="22"/>
        </w:rPr>
        <w:t>(</w:t>
      </w:r>
      <w:r w:rsidR="00A9055C" w:rsidRPr="00584036">
        <w:rPr>
          <w:rFonts w:ascii="Arial" w:hAnsi="Arial" w:cs="Arial"/>
          <w:sz w:val="22"/>
          <w:szCs w:val="22"/>
        </w:rPr>
        <w:t>f)</w:t>
      </w:r>
      <w:r w:rsidRPr="00584036">
        <w:rPr>
          <w:rFonts w:ascii="Arial" w:hAnsi="Arial" w:cs="Arial"/>
          <w:sz w:val="22"/>
          <w:szCs w:val="22"/>
        </w:rPr>
        <w:t xml:space="preserve"> </w:t>
      </w:r>
      <w:r w:rsidR="00A9055C" w:rsidRPr="00584036">
        <w:rPr>
          <w:rFonts w:ascii="Arial" w:hAnsi="Arial" w:cs="Arial"/>
          <w:sz w:val="22"/>
          <w:szCs w:val="22"/>
        </w:rPr>
        <w:t xml:space="preserve"> </w:t>
      </w:r>
      <w:r w:rsidRPr="00584036">
        <w:rPr>
          <w:rFonts w:ascii="Arial" w:hAnsi="Arial" w:cs="Arial"/>
          <w:sz w:val="22"/>
          <w:szCs w:val="22"/>
          <w:lang w:val="en-GB"/>
        </w:rPr>
        <w:t>Following on from (e) above, can the Rackham family continue play a part in running VP during any restructuring process?</w:t>
      </w:r>
    </w:p>
    <w:p w14:paraId="5891544F" w14:textId="29CA6498" w:rsidR="00A9055C" w:rsidRPr="00584036" w:rsidRDefault="00A9055C" w:rsidP="00A9055C">
      <w:pPr>
        <w:rPr>
          <w:rFonts w:ascii="Arial" w:hAnsi="Arial" w:cs="Arial"/>
          <w:sz w:val="22"/>
          <w:szCs w:val="22"/>
        </w:rPr>
      </w:pPr>
    </w:p>
    <w:p w14:paraId="5A5C42B3" w14:textId="6F1146C8" w:rsidR="00A9055C" w:rsidRDefault="00A9055C" w:rsidP="00A9055C">
      <w:pPr>
        <w:rPr>
          <w:rFonts w:ascii="Arial" w:hAnsi="Arial" w:cs="Arial"/>
          <w:sz w:val="22"/>
          <w:szCs w:val="22"/>
        </w:rPr>
      </w:pPr>
      <w:r w:rsidRPr="00584036">
        <w:rPr>
          <w:rFonts w:ascii="Arial" w:hAnsi="Arial" w:cs="Arial"/>
          <w:sz w:val="22"/>
          <w:szCs w:val="22"/>
        </w:rPr>
        <w:t>Given the role the restructuring officer was only introduced on 30 August 2022,</w:t>
      </w:r>
      <w:r w:rsidRPr="00584036">
        <w:rPr>
          <w:rStyle w:val="FootnoteReference"/>
          <w:rFonts w:ascii="Arial" w:eastAsiaTheme="majorEastAsia" w:hAnsi="Arial" w:cs="Arial"/>
          <w:sz w:val="22"/>
          <w:szCs w:val="22"/>
        </w:rPr>
        <w:footnoteReference w:id="65"/>
      </w:r>
      <w:r w:rsidRPr="00584036">
        <w:rPr>
          <w:rFonts w:ascii="Arial" w:hAnsi="Arial" w:cs="Arial"/>
          <w:sz w:val="22"/>
          <w:szCs w:val="22"/>
        </w:rPr>
        <w:t xml:space="preserve"> it remains to be seen whether, and to what extent, existing management will continue to have a role in managing the company after a restructuring officer has been appointed. </w:t>
      </w:r>
    </w:p>
    <w:p w14:paraId="04D55DF2" w14:textId="77777777" w:rsidR="00584036" w:rsidRPr="00584036" w:rsidRDefault="00584036" w:rsidP="00A9055C">
      <w:pPr>
        <w:rPr>
          <w:rFonts w:ascii="Arial" w:hAnsi="Arial" w:cs="Arial"/>
          <w:sz w:val="22"/>
          <w:szCs w:val="22"/>
        </w:rPr>
      </w:pPr>
    </w:p>
    <w:p w14:paraId="2077AB5D" w14:textId="43ABAF79" w:rsidR="00A9055C" w:rsidRDefault="00A9055C" w:rsidP="00A9055C">
      <w:pPr>
        <w:rPr>
          <w:rFonts w:ascii="Arial" w:hAnsi="Arial" w:cs="Arial"/>
          <w:sz w:val="22"/>
          <w:szCs w:val="22"/>
        </w:rPr>
      </w:pPr>
      <w:r w:rsidRPr="00584036">
        <w:rPr>
          <w:rFonts w:ascii="Arial" w:hAnsi="Arial" w:cs="Arial"/>
          <w:sz w:val="22"/>
          <w:szCs w:val="22"/>
        </w:rPr>
        <w:t>However, it is anticipated that the Grand Court will determine which powers will remain with the directors (if any) and which will be vested in the restructuring officer in the same wa</w:t>
      </w:r>
      <w:r w:rsidR="00584036">
        <w:rPr>
          <w:rFonts w:ascii="Arial" w:hAnsi="Arial" w:cs="Arial"/>
          <w:sz w:val="22"/>
          <w:szCs w:val="22"/>
        </w:rPr>
        <w:t>y</w:t>
      </w:r>
      <w:r w:rsidRPr="00584036">
        <w:rPr>
          <w:rFonts w:ascii="Arial" w:hAnsi="Arial" w:cs="Arial"/>
          <w:sz w:val="22"/>
          <w:szCs w:val="22"/>
        </w:rPr>
        <w:t xml:space="preserve"> as the Grand Court used to do when appointing provisional liquidators.</w:t>
      </w:r>
      <w:r w:rsidRPr="00584036">
        <w:rPr>
          <w:rStyle w:val="FootnoteReference"/>
          <w:rFonts w:ascii="Arial" w:eastAsiaTheme="majorEastAsia" w:hAnsi="Arial" w:cs="Arial"/>
          <w:sz w:val="22"/>
          <w:szCs w:val="22"/>
        </w:rPr>
        <w:footnoteReference w:id="66"/>
      </w:r>
    </w:p>
    <w:p w14:paraId="75BB829E" w14:textId="77777777" w:rsidR="00584036" w:rsidRPr="00584036" w:rsidRDefault="00584036" w:rsidP="00A9055C">
      <w:pPr>
        <w:rPr>
          <w:rFonts w:ascii="Arial" w:hAnsi="Arial" w:cs="Arial"/>
          <w:sz w:val="22"/>
          <w:szCs w:val="22"/>
        </w:rPr>
      </w:pPr>
    </w:p>
    <w:p w14:paraId="29F5DC90" w14:textId="2C7784AF" w:rsidR="00A9055C" w:rsidRDefault="00A9055C" w:rsidP="00A9055C">
      <w:pPr>
        <w:rPr>
          <w:rFonts w:ascii="Arial" w:hAnsi="Arial" w:cs="Arial"/>
          <w:sz w:val="22"/>
          <w:szCs w:val="22"/>
        </w:rPr>
      </w:pPr>
      <w:r w:rsidRPr="00584036">
        <w:rPr>
          <w:rFonts w:ascii="Arial" w:hAnsi="Arial" w:cs="Arial"/>
          <w:sz w:val="22"/>
          <w:szCs w:val="22"/>
        </w:rPr>
        <w:t>With respect to provisional liquidations, the Grand Court tailors each order to the specific needs of the case and the extent of the powers granted by the court to the provisional liquidator depends upon the reason for the provisional liquidator's appointment.</w:t>
      </w:r>
      <w:r w:rsidRPr="00584036">
        <w:rPr>
          <w:rStyle w:val="FootnoteReference"/>
          <w:rFonts w:ascii="Arial" w:eastAsiaTheme="majorEastAsia" w:hAnsi="Arial" w:cs="Arial"/>
          <w:sz w:val="22"/>
          <w:szCs w:val="22"/>
        </w:rPr>
        <w:footnoteReference w:id="67"/>
      </w:r>
    </w:p>
    <w:p w14:paraId="0029EB3F" w14:textId="77777777" w:rsidR="00584036" w:rsidRPr="00584036" w:rsidRDefault="00584036" w:rsidP="00A9055C">
      <w:pPr>
        <w:rPr>
          <w:rFonts w:ascii="Arial" w:hAnsi="Arial" w:cs="Arial"/>
          <w:sz w:val="22"/>
          <w:szCs w:val="22"/>
        </w:rPr>
      </w:pPr>
    </w:p>
    <w:p w14:paraId="581B489E" w14:textId="63326FCE" w:rsidR="00A9055C" w:rsidRDefault="00A9055C" w:rsidP="00A9055C">
      <w:pPr>
        <w:rPr>
          <w:rFonts w:ascii="Arial" w:hAnsi="Arial" w:cs="Arial"/>
          <w:sz w:val="22"/>
          <w:szCs w:val="22"/>
        </w:rPr>
      </w:pPr>
      <w:r w:rsidRPr="00584036">
        <w:rPr>
          <w:rFonts w:ascii="Arial" w:hAnsi="Arial" w:cs="Arial"/>
          <w:sz w:val="22"/>
          <w:szCs w:val="22"/>
        </w:rPr>
        <w:t>Given the Rackham family here appears to have largely mismanaged VP, which subsequently resulted in VP's financial demise (notwithstanding that the pandemic has had some unforeseen consequences), it is likely that a court would remove the entirety of the Rackham family's power and vest it in the restructuring officer. Alternatively,  the family may remain in control subject to the oversight of the restructuring officer.</w:t>
      </w:r>
    </w:p>
    <w:p w14:paraId="20F81A37" w14:textId="77777777" w:rsidR="00584036" w:rsidRPr="00584036" w:rsidRDefault="00584036" w:rsidP="00A9055C">
      <w:pPr>
        <w:rPr>
          <w:rFonts w:ascii="Arial" w:hAnsi="Arial" w:cs="Arial"/>
          <w:sz w:val="22"/>
          <w:szCs w:val="22"/>
        </w:rPr>
      </w:pPr>
    </w:p>
    <w:p w14:paraId="16569F0B" w14:textId="77777777" w:rsidR="00584036" w:rsidRPr="00584036" w:rsidRDefault="00584036" w:rsidP="00584036">
      <w:pPr>
        <w:jc w:val="both"/>
        <w:rPr>
          <w:rFonts w:ascii="Avenir Next" w:hAnsi="Avenir Next" w:cs="Arial"/>
          <w:sz w:val="22"/>
          <w:szCs w:val="22"/>
          <w:lang w:val="en-GB"/>
        </w:rPr>
      </w:pPr>
      <w:r w:rsidRPr="00584036">
        <w:rPr>
          <w:rFonts w:ascii="Arial" w:hAnsi="Arial" w:cs="Arial"/>
          <w:sz w:val="22"/>
          <w:szCs w:val="22"/>
        </w:rPr>
        <w:t>(</w:t>
      </w:r>
      <w:r w:rsidR="00A9055C" w:rsidRPr="00584036">
        <w:rPr>
          <w:rFonts w:ascii="Arial" w:hAnsi="Arial" w:cs="Arial"/>
          <w:sz w:val="22"/>
          <w:szCs w:val="22"/>
        </w:rPr>
        <w:t>g)</w:t>
      </w:r>
      <w:r w:rsidRPr="00584036">
        <w:rPr>
          <w:rFonts w:ascii="Arial" w:hAnsi="Arial" w:cs="Arial"/>
          <w:sz w:val="22"/>
          <w:szCs w:val="22"/>
        </w:rPr>
        <w:t xml:space="preserve"> </w:t>
      </w:r>
      <w:r w:rsidRPr="00584036">
        <w:rPr>
          <w:rFonts w:ascii="Arial" w:hAnsi="Arial" w:cs="Arial"/>
          <w:sz w:val="22"/>
          <w:szCs w:val="22"/>
          <w:lang w:val="en-GB"/>
        </w:rPr>
        <w:t>What factors will the Cayman Islands court take into consideration before approving any proposed restructuring?</w:t>
      </w:r>
    </w:p>
    <w:p w14:paraId="29BDBA1B" w14:textId="14201A4D" w:rsidR="00A9055C" w:rsidRPr="00584036" w:rsidRDefault="00A9055C" w:rsidP="00A9055C">
      <w:pPr>
        <w:rPr>
          <w:rFonts w:ascii="Arial" w:hAnsi="Arial" w:cs="Arial"/>
          <w:sz w:val="22"/>
          <w:szCs w:val="22"/>
        </w:rPr>
      </w:pPr>
    </w:p>
    <w:p w14:paraId="6E995614" w14:textId="7F7173B2" w:rsidR="00A9055C" w:rsidRDefault="00A9055C" w:rsidP="00A9055C">
      <w:pPr>
        <w:rPr>
          <w:rFonts w:ascii="Arial" w:hAnsi="Arial" w:cs="Arial"/>
          <w:sz w:val="22"/>
          <w:szCs w:val="22"/>
        </w:rPr>
      </w:pPr>
      <w:r w:rsidRPr="00584036">
        <w:rPr>
          <w:rFonts w:ascii="Arial" w:hAnsi="Arial" w:cs="Arial"/>
          <w:sz w:val="22"/>
          <w:szCs w:val="22"/>
        </w:rPr>
        <w:t>If the proposed restructuring is by way of a scheme of arrangement, per section 86(2) of the Act, the restructuring will require approval by the court even if the scheme is approved by creditors.</w:t>
      </w:r>
      <w:r w:rsidRPr="00584036">
        <w:rPr>
          <w:rStyle w:val="FootnoteReference"/>
          <w:rFonts w:ascii="Arial" w:eastAsiaTheme="majorEastAsia" w:hAnsi="Arial" w:cs="Arial"/>
          <w:sz w:val="22"/>
          <w:szCs w:val="22"/>
        </w:rPr>
        <w:footnoteReference w:id="68"/>
      </w:r>
    </w:p>
    <w:p w14:paraId="3E7076A4" w14:textId="77777777" w:rsidR="00584036" w:rsidRPr="00584036" w:rsidRDefault="00584036" w:rsidP="00A9055C">
      <w:pPr>
        <w:rPr>
          <w:rFonts w:ascii="Arial" w:hAnsi="Arial" w:cs="Arial"/>
          <w:sz w:val="22"/>
          <w:szCs w:val="22"/>
        </w:rPr>
      </w:pPr>
    </w:p>
    <w:p w14:paraId="0B8826EB" w14:textId="77777777" w:rsidR="00A9055C" w:rsidRPr="00584036" w:rsidRDefault="00A9055C" w:rsidP="00A9055C">
      <w:pPr>
        <w:rPr>
          <w:rFonts w:ascii="Arial" w:hAnsi="Arial" w:cs="Arial"/>
          <w:sz w:val="22"/>
          <w:szCs w:val="22"/>
        </w:rPr>
      </w:pPr>
      <w:r w:rsidRPr="00584036">
        <w:rPr>
          <w:rFonts w:ascii="Arial" w:hAnsi="Arial" w:cs="Arial"/>
          <w:sz w:val="22"/>
          <w:szCs w:val="22"/>
        </w:rPr>
        <w:t>Generally speaking, the Grand Court must be satisfied that the scheme document and supporting explanatory statement contains all the information reasonably necessary to enable the scheme creditors to make an informed decision about the proposed scheme.</w:t>
      </w:r>
      <w:r w:rsidRPr="00584036">
        <w:rPr>
          <w:rStyle w:val="FootnoteReference"/>
          <w:rFonts w:ascii="Arial" w:eastAsiaTheme="majorEastAsia" w:hAnsi="Arial" w:cs="Arial"/>
          <w:sz w:val="22"/>
          <w:szCs w:val="22"/>
        </w:rPr>
        <w:footnoteReference w:id="69"/>
      </w:r>
    </w:p>
    <w:p w14:paraId="0149BD59" w14:textId="77777777" w:rsidR="00A9055C" w:rsidRPr="00584036" w:rsidRDefault="00A9055C" w:rsidP="00A9055C">
      <w:pPr>
        <w:rPr>
          <w:rFonts w:ascii="Arial" w:hAnsi="Arial" w:cs="Arial"/>
          <w:sz w:val="22"/>
          <w:szCs w:val="22"/>
        </w:rPr>
      </w:pPr>
      <w:r w:rsidRPr="00584036">
        <w:rPr>
          <w:rFonts w:ascii="Arial" w:hAnsi="Arial" w:cs="Arial"/>
          <w:sz w:val="22"/>
          <w:szCs w:val="22"/>
        </w:rPr>
        <w:lastRenderedPageBreak/>
        <w:t>The court will also take the following factors into account before approving the proposed restructuring:</w:t>
      </w:r>
      <w:r w:rsidRPr="00584036">
        <w:rPr>
          <w:rStyle w:val="FootnoteReference"/>
          <w:rFonts w:ascii="Arial" w:eastAsiaTheme="majorEastAsia" w:hAnsi="Arial" w:cs="Arial"/>
          <w:sz w:val="22"/>
          <w:szCs w:val="22"/>
        </w:rPr>
        <w:footnoteReference w:id="70"/>
      </w:r>
    </w:p>
    <w:p w14:paraId="04F1A6C0" w14:textId="77777777" w:rsidR="00A9055C" w:rsidRPr="00584036" w:rsidRDefault="00A9055C" w:rsidP="008E0D7A">
      <w:pPr>
        <w:pStyle w:val="Multilevel3"/>
        <w:numPr>
          <w:ilvl w:val="2"/>
          <w:numId w:val="25"/>
        </w:numPr>
        <w:ind w:left="567" w:hanging="567"/>
        <w:rPr>
          <w:rFonts w:ascii="Arial" w:hAnsi="Arial" w:cs="Arial"/>
          <w:sz w:val="22"/>
          <w:szCs w:val="22"/>
        </w:rPr>
      </w:pPr>
      <w:r w:rsidRPr="00584036">
        <w:rPr>
          <w:rFonts w:ascii="Arial" w:hAnsi="Arial" w:cs="Arial"/>
          <w:sz w:val="22"/>
          <w:szCs w:val="22"/>
        </w:rPr>
        <w:t>Compliance with the convening orders;</w:t>
      </w:r>
    </w:p>
    <w:p w14:paraId="4596B5B2" w14:textId="77777777" w:rsidR="00A9055C" w:rsidRPr="00584036" w:rsidRDefault="00A9055C" w:rsidP="00A9055C">
      <w:pPr>
        <w:pStyle w:val="Multilevel3"/>
        <w:ind w:left="567" w:hanging="567"/>
        <w:rPr>
          <w:rFonts w:ascii="Arial" w:hAnsi="Arial" w:cs="Arial"/>
          <w:sz w:val="22"/>
          <w:szCs w:val="22"/>
        </w:rPr>
      </w:pPr>
      <w:r w:rsidRPr="00584036">
        <w:rPr>
          <w:rFonts w:ascii="Arial" w:hAnsi="Arial" w:cs="Arial"/>
          <w:sz w:val="22"/>
          <w:szCs w:val="22"/>
        </w:rPr>
        <w:t>Whether the majority fairly represent the class; and</w:t>
      </w:r>
    </w:p>
    <w:p w14:paraId="41C53780" w14:textId="77777777" w:rsidR="00A9055C" w:rsidRPr="00584036" w:rsidRDefault="00A9055C" w:rsidP="00A9055C">
      <w:pPr>
        <w:pStyle w:val="Multilevel3"/>
        <w:ind w:left="567" w:hanging="567"/>
        <w:rPr>
          <w:rFonts w:ascii="Arial" w:hAnsi="Arial" w:cs="Arial"/>
          <w:sz w:val="22"/>
          <w:szCs w:val="22"/>
        </w:rPr>
      </w:pPr>
      <w:r w:rsidRPr="00584036">
        <w:rPr>
          <w:rFonts w:ascii="Arial" w:hAnsi="Arial" w:cs="Arial"/>
          <w:sz w:val="22"/>
          <w:szCs w:val="22"/>
        </w:rPr>
        <w:t>Whether the arrangement is such that an intelligent, honest members of the class convened, acting in their own interest, might reasonably approve it.</w:t>
      </w:r>
    </w:p>
    <w:p w14:paraId="45EF0F2D" w14:textId="77777777" w:rsidR="00A9055C" w:rsidRPr="00584036" w:rsidRDefault="00A9055C" w:rsidP="00A9055C">
      <w:pPr>
        <w:pStyle w:val="Multilevel1"/>
        <w:numPr>
          <w:ilvl w:val="0"/>
          <w:numId w:val="0"/>
        </w:numPr>
        <w:ind w:left="720" w:hanging="720"/>
        <w:rPr>
          <w:rFonts w:ascii="Arial" w:hAnsi="Arial" w:cs="Arial"/>
          <w:sz w:val="22"/>
          <w:szCs w:val="22"/>
        </w:rPr>
      </w:pPr>
      <w:r w:rsidRPr="00584036">
        <w:rPr>
          <w:rFonts w:ascii="Arial" w:hAnsi="Arial" w:cs="Arial"/>
          <w:sz w:val="22"/>
          <w:szCs w:val="22"/>
        </w:rPr>
        <w:t>Ultimately, the court must be satisfied that the scheme is fair.</w:t>
      </w:r>
      <w:r w:rsidRPr="00584036">
        <w:rPr>
          <w:rStyle w:val="FootnoteReference"/>
          <w:rFonts w:ascii="Arial" w:eastAsiaTheme="majorEastAsia" w:hAnsi="Arial" w:cs="Arial"/>
          <w:sz w:val="22"/>
          <w:szCs w:val="22"/>
        </w:rPr>
        <w:footnoteReference w:id="71"/>
      </w:r>
    </w:p>
    <w:p w14:paraId="154681F0" w14:textId="3933A239" w:rsidR="009D20B1" w:rsidRPr="00310533" w:rsidRDefault="009D20B1" w:rsidP="00087F21">
      <w:pPr>
        <w:jc w:val="both"/>
        <w:rPr>
          <w:rFonts w:ascii="Avenir Next" w:hAnsi="Avenir Next" w:cs="Arial"/>
          <w:color w:val="000000" w:themeColor="text1"/>
          <w:sz w:val="22"/>
          <w:szCs w:val="22"/>
          <w:lang w:val="en-GB"/>
        </w:rPr>
      </w:pPr>
    </w:p>
    <w:p w14:paraId="0CE34777" w14:textId="472A3554" w:rsidR="007B22CF" w:rsidRPr="00310533" w:rsidRDefault="007B22CF" w:rsidP="00087F21">
      <w:pPr>
        <w:jc w:val="both"/>
        <w:rPr>
          <w:rFonts w:ascii="Avenir Next" w:hAnsi="Avenir Next" w:cs="Arial"/>
          <w:color w:val="000000" w:themeColor="text1"/>
          <w:sz w:val="22"/>
          <w:szCs w:val="22"/>
          <w:lang w:val="en-GB"/>
        </w:rPr>
      </w:pPr>
    </w:p>
    <w:p w14:paraId="394CA5D1" w14:textId="4C8215A5" w:rsidR="00952187" w:rsidRPr="00310533" w:rsidRDefault="00952187"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7781D" w14:textId="77777777" w:rsidR="00305564" w:rsidRDefault="00305564" w:rsidP="00241B44">
      <w:r>
        <w:separator/>
      </w:r>
    </w:p>
  </w:endnote>
  <w:endnote w:type="continuationSeparator" w:id="0">
    <w:p w14:paraId="21AFC00C" w14:textId="77777777" w:rsidR="00305564" w:rsidRDefault="0030556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36A2880E" w:rsidR="00920BE7" w:rsidRPr="009B4976" w:rsidRDefault="000D33BB" w:rsidP="009B4976">
    <w:pPr>
      <w:pStyle w:val="Footer"/>
      <w:ind w:right="360"/>
      <w:rPr>
        <w:rFonts w:ascii="Arial" w:hAnsi="Arial" w:cs="Arial"/>
        <w:sz w:val="18"/>
        <w:szCs w:val="18"/>
        <w:lang w:val="en-GB"/>
      </w:rPr>
    </w:pPr>
    <w:r w:rsidRPr="00584036">
      <w:rPr>
        <w:rFonts w:ascii="Arial" w:hAnsi="Arial" w:cs="Arial"/>
        <w:sz w:val="18"/>
        <w:szCs w:val="18"/>
        <w:lang w:val="en-GB"/>
      </w:rPr>
      <w:fldChar w:fldCharType="begin"/>
    </w:r>
    <w:r w:rsidRPr="00584036">
      <w:rPr>
        <w:rFonts w:ascii="Arial" w:hAnsi="Arial" w:cs="Arial"/>
        <w:sz w:val="18"/>
        <w:szCs w:val="18"/>
        <w:lang w:val="en-GB"/>
      </w:rPr>
      <w:instrText xml:space="preserve"> DOCPROPERTY iManageFooter \* MERGEFORMAT </w:instrText>
    </w:r>
    <w:r w:rsidRPr="00584036">
      <w:rPr>
        <w:rFonts w:ascii="Arial" w:hAnsi="Arial" w:cs="Arial"/>
        <w:sz w:val="18"/>
        <w:szCs w:val="18"/>
        <w:lang w:val="en-GB"/>
      </w:rPr>
      <w:fldChar w:fldCharType="end"/>
    </w:r>
    <w:r w:rsidR="00584036" w:rsidRPr="00584036">
      <w:rPr>
        <w:rFonts w:ascii="Arial" w:hAnsi="Arial" w:cs="Arial"/>
        <w:sz w:val="18"/>
        <w:szCs w:val="18"/>
        <w:lang w:val="en-GB"/>
      </w:rPr>
      <w:t>202223-916</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4AB8" w14:textId="77777777" w:rsidR="00305564" w:rsidRDefault="00305564" w:rsidP="00241B44">
      <w:r>
        <w:separator/>
      </w:r>
    </w:p>
  </w:footnote>
  <w:footnote w:type="continuationSeparator" w:id="0">
    <w:p w14:paraId="329038C9" w14:textId="77777777" w:rsidR="00305564" w:rsidRDefault="00305564" w:rsidP="00241B44">
      <w:r>
        <w:continuationSeparator/>
      </w:r>
    </w:p>
  </w:footnote>
  <w:footnote w:id="1">
    <w:p w14:paraId="14D564D0"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Benjamin Tonner QC, </w:t>
      </w:r>
      <w:r w:rsidRPr="00584036">
        <w:rPr>
          <w:rFonts w:ascii="Arial" w:hAnsi="Arial" w:cs="Arial"/>
          <w:i/>
          <w:iCs/>
          <w:sz w:val="22"/>
          <w:szCs w:val="22"/>
        </w:rPr>
        <w:t>Module 5B Guidance Text – Cayman Islands,</w:t>
      </w:r>
      <w:r w:rsidRPr="00584036">
        <w:rPr>
          <w:rFonts w:ascii="Arial" w:hAnsi="Arial" w:cs="Arial"/>
          <w:sz w:val="22"/>
          <w:szCs w:val="22"/>
        </w:rPr>
        <w:t xml:space="preserve"> September 2022, p 10.</w:t>
      </w:r>
    </w:p>
  </w:footnote>
  <w:footnote w:id="2">
    <w:p w14:paraId="598949F7"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Idem,</w:t>
      </w:r>
      <w:r w:rsidRPr="00584036">
        <w:rPr>
          <w:rFonts w:ascii="Arial" w:hAnsi="Arial" w:cs="Arial"/>
          <w:sz w:val="22"/>
          <w:szCs w:val="22"/>
        </w:rPr>
        <w:t xml:space="preserve"> p 10 – 11.</w:t>
      </w:r>
    </w:p>
  </w:footnote>
  <w:footnote w:id="3">
    <w:p w14:paraId="02E770BC"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Idem,</w:t>
      </w:r>
      <w:r w:rsidRPr="00584036">
        <w:rPr>
          <w:rFonts w:ascii="Arial" w:hAnsi="Arial" w:cs="Arial"/>
          <w:sz w:val="22"/>
          <w:szCs w:val="22"/>
        </w:rPr>
        <w:t xml:space="preserve"> p 11.</w:t>
      </w:r>
    </w:p>
  </w:footnote>
  <w:footnote w:id="4">
    <w:p w14:paraId="03DC9446"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Ibid</w:t>
      </w:r>
      <w:r w:rsidRPr="00584036">
        <w:rPr>
          <w:rFonts w:ascii="Arial" w:hAnsi="Arial" w:cs="Arial"/>
          <w:sz w:val="22"/>
          <w:szCs w:val="22"/>
        </w:rPr>
        <w:t xml:space="preserve">. </w:t>
      </w:r>
    </w:p>
  </w:footnote>
  <w:footnote w:id="5">
    <w:p w14:paraId="4030E8D8"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Ibid</w:t>
      </w:r>
      <w:r w:rsidRPr="00584036">
        <w:rPr>
          <w:rFonts w:ascii="Arial" w:hAnsi="Arial" w:cs="Arial"/>
          <w:sz w:val="22"/>
          <w:szCs w:val="22"/>
        </w:rPr>
        <w:t>.</w:t>
      </w:r>
    </w:p>
  </w:footnote>
  <w:footnote w:id="6">
    <w:p w14:paraId="2F6185C5"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Ibid</w:t>
      </w:r>
      <w:r w:rsidRPr="00584036">
        <w:rPr>
          <w:rFonts w:ascii="Arial" w:hAnsi="Arial" w:cs="Arial"/>
          <w:sz w:val="22"/>
          <w:szCs w:val="22"/>
        </w:rPr>
        <w:t>.</w:t>
      </w:r>
    </w:p>
  </w:footnote>
  <w:footnote w:id="7">
    <w:p w14:paraId="4B55A2EB" w14:textId="77777777" w:rsidR="00A9055C" w:rsidRDefault="00A9055C" w:rsidP="00A9055C">
      <w:pPr>
        <w:pStyle w:val="FootnoteText"/>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Ibid</w:t>
      </w:r>
      <w:r w:rsidRPr="00584036">
        <w:rPr>
          <w:rFonts w:ascii="Arial" w:hAnsi="Arial" w:cs="Arial"/>
          <w:sz w:val="22"/>
          <w:szCs w:val="22"/>
        </w:rPr>
        <w:t>.</w:t>
      </w:r>
    </w:p>
  </w:footnote>
  <w:footnote w:id="8">
    <w:p w14:paraId="5B263A7F"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Idem,</w:t>
      </w:r>
      <w:r w:rsidRPr="00584036">
        <w:rPr>
          <w:rFonts w:ascii="Arial" w:hAnsi="Arial" w:cs="Arial"/>
          <w:sz w:val="22"/>
          <w:szCs w:val="22"/>
        </w:rPr>
        <w:t xml:space="preserve"> p 50.</w:t>
      </w:r>
    </w:p>
  </w:footnote>
  <w:footnote w:id="9">
    <w:p w14:paraId="649EF1CD"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Idem,</w:t>
      </w:r>
      <w:r w:rsidRPr="00584036">
        <w:rPr>
          <w:rFonts w:ascii="Arial" w:hAnsi="Arial" w:cs="Arial"/>
          <w:sz w:val="22"/>
          <w:szCs w:val="22"/>
        </w:rPr>
        <w:t xml:space="preserve"> p 50 – 51.</w:t>
      </w:r>
    </w:p>
  </w:footnote>
  <w:footnote w:id="10">
    <w:p w14:paraId="40AF333E" w14:textId="77777777" w:rsidR="00A9055C" w:rsidRDefault="00A9055C" w:rsidP="00A9055C">
      <w:pPr>
        <w:pStyle w:val="FootnoteText"/>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Idem,</w:t>
      </w:r>
      <w:r w:rsidRPr="00584036">
        <w:rPr>
          <w:rFonts w:ascii="Arial" w:hAnsi="Arial" w:cs="Arial"/>
          <w:sz w:val="22"/>
          <w:szCs w:val="22"/>
        </w:rPr>
        <w:t xml:space="preserve"> p 51.</w:t>
      </w:r>
    </w:p>
  </w:footnote>
  <w:footnote w:id="11">
    <w:p w14:paraId="1BFB78A5"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Idem,</w:t>
      </w:r>
      <w:r w:rsidRPr="00584036">
        <w:rPr>
          <w:rFonts w:ascii="Arial" w:hAnsi="Arial" w:cs="Arial"/>
          <w:sz w:val="22"/>
          <w:szCs w:val="22"/>
        </w:rPr>
        <w:t xml:space="preserve"> p 53.</w:t>
      </w:r>
    </w:p>
  </w:footnote>
  <w:footnote w:id="12">
    <w:p w14:paraId="19501E85"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Ibid</w:t>
      </w:r>
      <w:r w:rsidRPr="00584036">
        <w:rPr>
          <w:rFonts w:ascii="Arial" w:hAnsi="Arial" w:cs="Arial"/>
          <w:sz w:val="22"/>
          <w:szCs w:val="22"/>
        </w:rPr>
        <w:t>, citing section 3(1) of the Foreign Judgments Reciprocal Enforcement Act (1996 Revision).</w:t>
      </w:r>
    </w:p>
  </w:footnote>
  <w:footnote w:id="13">
    <w:p w14:paraId="31AFA038"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Idem,</w:t>
      </w:r>
      <w:r w:rsidRPr="00584036">
        <w:rPr>
          <w:rFonts w:ascii="Arial" w:hAnsi="Arial" w:cs="Arial"/>
          <w:sz w:val="22"/>
          <w:szCs w:val="22"/>
        </w:rPr>
        <w:t xml:space="preserve"> p 54.</w:t>
      </w:r>
    </w:p>
  </w:footnote>
  <w:footnote w:id="14">
    <w:p w14:paraId="39A25E42"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Ibid</w:t>
      </w:r>
      <w:r w:rsidRPr="00584036">
        <w:rPr>
          <w:rFonts w:ascii="Arial" w:hAnsi="Arial" w:cs="Arial"/>
          <w:sz w:val="22"/>
          <w:szCs w:val="22"/>
        </w:rPr>
        <w:t>.</w:t>
      </w:r>
    </w:p>
  </w:footnote>
  <w:footnote w:id="15">
    <w:p w14:paraId="2506E29E"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Ibid</w:t>
      </w:r>
      <w:r w:rsidRPr="00584036">
        <w:rPr>
          <w:rFonts w:ascii="Arial" w:hAnsi="Arial" w:cs="Arial"/>
          <w:sz w:val="22"/>
          <w:szCs w:val="22"/>
        </w:rPr>
        <w:t>.</w:t>
      </w:r>
    </w:p>
  </w:footnote>
  <w:footnote w:id="16">
    <w:p w14:paraId="14309CAB"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Ibid</w:t>
      </w:r>
      <w:r w:rsidRPr="00584036">
        <w:rPr>
          <w:rFonts w:ascii="Arial" w:hAnsi="Arial" w:cs="Arial"/>
          <w:sz w:val="22"/>
          <w:szCs w:val="22"/>
        </w:rPr>
        <w:t>.</w:t>
      </w:r>
    </w:p>
  </w:footnote>
  <w:footnote w:id="17">
    <w:p w14:paraId="27F71AB9"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Ibid</w:t>
      </w:r>
      <w:r w:rsidRPr="00584036">
        <w:rPr>
          <w:rFonts w:ascii="Arial" w:hAnsi="Arial" w:cs="Arial"/>
          <w:sz w:val="22"/>
          <w:szCs w:val="22"/>
        </w:rPr>
        <w:t>.</w:t>
      </w:r>
    </w:p>
  </w:footnote>
  <w:footnote w:id="18">
    <w:p w14:paraId="4DC8F370"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Ibid</w:t>
      </w:r>
      <w:r w:rsidRPr="00584036">
        <w:rPr>
          <w:rFonts w:ascii="Arial" w:hAnsi="Arial" w:cs="Arial"/>
          <w:sz w:val="22"/>
          <w:szCs w:val="22"/>
        </w:rPr>
        <w:t>.</w:t>
      </w:r>
    </w:p>
  </w:footnote>
  <w:footnote w:id="19">
    <w:p w14:paraId="312FED6D"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Ibid</w:t>
      </w:r>
      <w:r w:rsidRPr="00584036">
        <w:rPr>
          <w:rFonts w:ascii="Arial" w:hAnsi="Arial" w:cs="Arial"/>
          <w:sz w:val="22"/>
          <w:szCs w:val="22"/>
        </w:rPr>
        <w:t>.</w:t>
      </w:r>
    </w:p>
  </w:footnote>
  <w:footnote w:id="20">
    <w:p w14:paraId="16B42AFE"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Ibid</w:t>
      </w:r>
      <w:r w:rsidRPr="00584036">
        <w:rPr>
          <w:rFonts w:ascii="Arial" w:hAnsi="Arial" w:cs="Arial"/>
          <w:sz w:val="22"/>
          <w:szCs w:val="22"/>
        </w:rPr>
        <w:t>.</w:t>
      </w:r>
    </w:p>
  </w:footnote>
  <w:footnote w:id="21">
    <w:p w14:paraId="18E21530" w14:textId="77777777" w:rsidR="00A9055C" w:rsidRDefault="00A9055C" w:rsidP="00A9055C">
      <w:pPr>
        <w:pStyle w:val="FootnoteText"/>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Idem,</w:t>
      </w:r>
      <w:r w:rsidRPr="00584036">
        <w:rPr>
          <w:rFonts w:ascii="Arial" w:hAnsi="Arial" w:cs="Arial"/>
          <w:sz w:val="22"/>
          <w:szCs w:val="22"/>
        </w:rPr>
        <w:t xml:space="preserve"> p 55.</w:t>
      </w:r>
    </w:p>
  </w:footnote>
  <w:footnote w:id="22">
    <w:p w14:paraId="6B5E8CC8"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Idem,</w:t>
      </w:r>
      <w:r w:rsidRPr="00584036">
        <w:rPr>
          <w:rFonts w:ascii="Arial" w:hAnsi="Arial" w:cs="Arial"/>
          <w:sz w:val="22"/>
          <w:szCs w:val="22"/>
        </w:rPr>
        <w:t xml:space="preserve"> p 40.</w:t>
      </w:r>
    </w:p>
  </w:footnote>
  <w:footnote w:id="23">
    <w:p w14:paraId="254BCAF8"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Ibid</w:t>
      </w:r>
      <w:r w:rsidRPr="00584036">
        <w:rPr>
          <w:rFonts w:ascii="Arial" w:hAnsi="Arial" w:cs="Arial"/>
          <w:sz w:val="22"/>
          <w:szCs w:val="22"/>
        </w:rPr>
        <w:t>.</w:t>
      </w:r>
    </w:p>
  </w:footnote>
  <w:footnote w:id="24">
    <w:p w14:paraId="67B65EBD"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Ibid</w:t>
      </w:r>
      <w:r w:rsidRPr="00584036">
        <w:rPr>
          <w:rFonts w:ascii="Arial" w:hAnsi="Arial" w:cs="Arial"/>
          <w:sz w:val="22"/>
          <w:szCs w:val="22"/>
        </w:rPr>
        <w:t>.</w:t>
      </w:r>
    </w:p>
  </w:footnote>
  <w:footnote w:id="25">
    <w:p w14:paraId="5A5D5FE9"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Ibid</w:t>
      </w:r>
      <w:r w:rsidRPr="00584036">
        <w:rPr>
          <w:rFonts w:ascii="Arial" w:hAnsi="Arial" w:cs="Arial"/>
          <w:sz w:val="22"/>
          <w:szCs w:val="22"/>
        </w:rPr>
        <w:t>.</w:t>
      </w:r>
    </w:p>
  </w:footnote>
  <w:footnote w:id="26">
    <w:p w14:paraId="4B355306"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Ibid</w:t>
      </w:r>
      <w:r w:rsidRPr="00584036">
        <w:rPr>
          <w:rFonts w:ascii="Arial" w:hAnsi="Arial" w:cs="Arial"/>
          <w:sz w:val="22"/>
          <w:szCs w:val="22"/>
        </w:rPr>
        <w:t>.</w:t>
      </w:r>
    </w:p>
  </w:footnote>
  <w:footnote w:id="27">
    <w:p w14:paraId="57BEDDCD" w14:textId="77777777" w:rsidR="00A9055C" w:rsidRDefault="00A9055C" w:rsidP="00A9055C">
      <w:pPr>
        <w:pStyle w:val="FootnoteText"/>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Ibid</w:t>
      </w:r>
      <w:r w:rsidRPr="00584036">
        <w:rPr>
          <w:rFonts w:ascii="Arial" w:hAnsi="Arial" w:cs="Arial"/>
          <w:sz w:val="22"/>
          <w:szCs w:val="22"/>
        </w:rPr>
        <w:t>.</w:t>
      </w:r>
    </w:p>
  </w:footnote>
  <w:footnote w:id="28">
    <w:p w14:paraId="504FEC65"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Idem,</w:t>
      </w:r>
      <w:r w:rsidRPr="00584036">
        <w:rPr>
          <w:rFonts w:ascii="Arial" w:hAnsi="Arial" w:cs="Arial"/>
          <w:sz w:val="22"/>
          <w:szCs w:val="22"/>
        </w:rPr>
        <w:t xml:space="preserve"> p 38.</w:t>
      </w:r>
    </w:p>
  </w:footnote>
  <w:footnote w:id="29">
    <w:p w14:paraId="252CC040"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Ibid</w:t>
      </w:r>
      <w:r w:rsidRPr="00584036">
        <w:rPr>
          <w:rFonts w:ascii="Arial" w:hAnsi="Arial" w:cs="Arial"/>
          <w:sz w:val="22"/>
          <w:szCs w:val="22"/>
        </w:rPr>
        <w:t>.</w:t>
      </w:r>
    </w:p>
  </w:footnote>
  <w:footnote w:id="30">
    <w:p w14:paraId="40D81DC2"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Ibid</w:t>
      </w:r>
      <w:r w:rsidRPr="00584036">
        <w:rPr>
          <w:rFonts w:ascii="Arial" w:hAnsi="Arial" w:cs="Arial"/>
          <w:sz w:val="22"/>
          <w:szCs w:val="22"/>
        </w:rPr>
        <w:t>.</w:t>
      </w:r>
    </w:p>
  </w:footnote>
  <w:footnote w:id="31">
    <w:p w14:paraId="3DFA7265"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Ibid</w:t>
      </w:r>
      <w:r w:rsidRPr="00584036">
        <w:rPr>
          <w:rFonts w:ascii="Arial" w:hAnsi="Arial" w:cs="Arial"/>
          <w:sz w:val="22"/>
          <w:szCs w:val="22"/>
        </w:rPr>
        <w:t>.</w:t>
      </w:r>
    </w:p>
  </w:footnote>
  <w:footnote w:id="32">
    <w:p w14:paraId="4C035B24"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Ibid</w:t>
      </w:r>
      <w:r w:rsidRPr="00584036">
        <w:rPr>
          <w:rFonts w:ascii="Arial" w:hAnsi="Arial" w:cs="Arial"/>
          <w:sz w:val="22"/>
          <w:szCs w:val="22"/>
        </w:rPr>
        <w:t>.</w:t>
      </w:r>
    </w:p>
  </w:footnote>
  <w:footnote w:id="33">
    <w:p w14:paraId="37CC54BD"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Idem,</w:t>
      </w:r>
      <w:r w:rsidRPr="00584036">
        <w:rPr>
          <w:rFonts w:ascii="Arial" w:hAnsi="Arial" w:cs="Arial"/>
          <w:sz w:val="22"/>
          <w:szCs w:val="22"/>
        </w:rPr>
        <w:t xml:space="preserve"> p 38-39.</w:t>
      </w:r>
    </w:p>
  </w:footnote>
  <w:footnote w:id="34">
    <w:p w14:paraId="34DB9646"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Idem,</w:t>
      </w:r>
      <w:r w:rsidRPr="00584036">
        <w:rPr>
          <w:rFonts w:ascii="Arial" w:hAnsi="Arial" w:cs="Arial"/>
          <w:sz w:val="22"/>
          <w:szCs w:val="22"/>
        </w:rPr>
        <w:t xml:space="preserve"> p 39, citing </w:t>
      </w:r>
      <w:r w:rsidRPr="00584036">
        <w:rPr>
          <w:rFonts w:ascii="Arial" w:hAnsi="Arial" w:cs="Arial"/>
          <w:i/>
          <w:iCs/>
          <w:sz w:val="22"/>
          <w:szCs w:val="22"/>
        </w:rPr>
        <w:t>Weavering Marco Fixed Income Fund Ltd (in Liquidation)</w:t>
      </w:r>
      <w:r w:rsidRPr="00584036">
        <w:rPr>
          <w:rFonts w:ascii="Arial" w:hAnsi="Arial" w:cs="Arial"/>
          <w:sz w:val="22"/>
          <w:szCs w:val="22"/>
        </w:rPr>
        <w:t xml:space="preserve"> [2019] UKPC 36.</w:t>
      </w:r>
    </w:p>
  </w:footnote>
  <w:footnote w:id="35">
    <w:p w14:paraId="6720DD6F"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Idem,</w:t>
      </w:r>
      <w:r w:rsidRPr="00584036">
        <w:rPr>
          <w:rFonts w:ascii="Arial" w:hAnsi="Arial" w:cs="Arial"/>
          <w:sz w:val="22"/>
          <w:szCs w:val="22"/>
        </w:rPr>
        <w:t xml:space="preserve"> p 39. </w:t>
      </w:r>
    </w:p>
  </w:footnote>
  <w:footnote w:id="36">
    <w:p w14:paraId="72DBDBA4"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Ibid</w:t>
      </w:r>
      <w:r w:rsidRPr="00584036">
        <w:rPr>
          <w:rFonts w:ascii="Arial" w:hAnsi="Arial" w:cs="Arial"/>
          <w:sz w:val="22"/>
          <w:szCs w:val="22"/>
        </w:rPr>
        <w:t>.</w:t>
      </w:r>
    </w:p>
  </w:footnote>
  <w:footnote w:id="37">
    <w:p w14:paraId="77860721"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Ibid</w:t>
      </w:r>
      <w:r w:rsidRPr="00584036">
        <w:rPr>
          <w:rFonts w:ascii="Arial" w:hAnsi="Arial" w:cs="Arial"/>
          <w:sz w:val="22"/>
          <w:szCs w:val="22"/>
        </w:rPr>
        <w:t>.</w:t>
      </w:r>
    </w:p>
  </w:footnote>
  <w:footnote w:id="38">
    <w:p w14:paraId="6BCC7432"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Ibid</w:t>
      </w:r>
      <w:r w:rsidRPr="00584036">
        <w:rPr>
          <w:rFonts w:ascii="Arial" w:hAnsi="Arial" w:cs="Arial"/>
          <w:sz w:val="22"/>
          <w:szCs w:val="22"/>
        </w:rPr>
        <w:t>.</w:t>
      </w:r>
    </w:p>
  </w:footnote>
  <w:footnote w:id="39">
    <w:p w14:paraId="1D92A212" w14:textId="77777777" w:rsidR="00A9055C" w:rsidRDefault="00A9055C" w:rsidP="00A9055C">
      <w:pPr>
        <w:pStyle w:val="FootnoteText"/>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Ibid</w:t>
      </w:r>
      <w:r w:rsidRPr="00584036">
        <w:rPr>
          <w:rFonts w:ascii="Arial" w:hAnsi="Arial" w:cs="Arial"/>
          <w:sz w:val="22"/>
          <w:szCs w:val="22"/>
        </w:rPr>
        <w:t>.</w:t>
      </w:r>
    </w:p>
  </w:footnote>
  <w:footnote w:id="40">
    <w:p w14:paraId="1D60426A"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Ibid</w:t>
      </w:r>
      <w:r w:rsidRPr="00584036">
        <w:rPr>
          <w:rFonts w:ascii="Arial" w:hAnsi="Arial" w:cs="Arial"/>
          <w:sz w:val="22"/>
          <w:szCs w:val="22"/>
        </w:rPr>
        <w:t>.</w:t>
      </w:r>
    </w:p>
  </w:footnote>
  <w:footnote w:id="41">
    <w:p w14:paraId="10E0A6FD"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Ibid</w:t>
      </w:r>
      <w:r w:rsidRPr="00584036">
        <w:rPr>
          <w:rFonts w:ascii="Arial" w:hAnsi="Arial" w:cs="Arial"/>
          <w:sz w:val="22"/>
          <w:szCs w:val="22"/>
        </w:rPr>
        <w:t>.</w:t>
      </w:r>
    </w:p>
  </w:footnote>
  <w:footnote w:id="42">
    <w:p w14:paraId="1FAB7A62"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Idem,</w:t>
      </w:r>
      <w:r w:rsidRPr="00584036">
        <w:rPr>
          <w:rFonts w:ascii="Arial" w:hAnsi="Arial" w:cs="Arial"/>
          <w:sz w:val="22"/>
          <w:szCs w:val="22"/>
        </w:rPr>
        <w:t xml:space="preserve"> p 41.</w:t>
      </w:r>
    </w:p>
  </w:footnote>
  <w:footnote w:id="43">
    <w:p w14:paraId="1082CB1C"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Idem,</w:t>
      </w:r>
      <w:r w:rsidRPr="00584036">
        <w:rPr>
          <w:rFonts w:ascii="Arial" w:hAnsi="Arial" w:cs="Arial"/>
          <w:sz w:val="22"/>
          <w:szCs w:val="22"/>
        </w:rPr>
        <w:t xml:space="preserve"> p 41 – 42.</w:t>
      </w:r>
    </w:p>
  </w:footnote>
  <w:footnote w:id="44">
    <w:p w14:paraId="04B6ABEB"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Idem,</w:t>
      </w:r>
      <w:r w:rsidRPr="00584036">
        <w:rPr>
          <w:rFonts w:ascii="Arial" w:hAnsi="Arial" w:cs="Arial"/>
          <w:sz w:val="22"/>
          <w:szCs w:val="22"/>
        </w:rPr>
        <w:t xml:space="preserve"> p 42.</w:t>
      </w:r>
    </w:p>
  </w:footnote>
  <w:footnote w:id="45">
    <w:p w14:paraId="6EEE196E"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Ibid</w:t>
      </w:r>
      <w:r w:rsidRPr="00584036">
        <w:rPr>
          <w:rFonts w:ascii="Arial" w:hAnsi="Arial" w:cs="Arial"/>
          <w:sz w:val="22"/>
          <w:szCs w:val="22"/>
        </w:rPr>
        <w:t>, citing section 126 of Companies Act (2022 Revision) (</w:t>
      </w:r>
      <w:r w:rsidRPr="00584036">
        <w:rPr>
          <w:rFonts w:ascii="Arial" w:hAnsi="Arial" w:cs="Arial"/>
          <w:b/>
          <w:bCs/>
          <w:sz w:val="22"/>
          <w:szCs w:val="22"/>
        </w:rPr>
        <w:t>Act</w:t>
      </w:r>
      <w:r w:rsidRPr="00584036">
        <w:rPr>
          <w:rFonts w:ascii="Arial" w:hAnsi="Arial" w:cs="Arial"/>
          <w:sz w:val="22"/>
          <w:szCs w:val="22"/>
        </w:rPr>
        <w:t xml:space="preserve">). </w:t>
      </w:r>
    </w:p>
  </w:footnote>
  <w:footnote w:id="46">
    <w:p w14:paraId="3F52809B" w14:textId="77777777" w:rsidR="00A9055C" w:rsidRDefault="00A9055C" w:rsidP="00A9055C">
      <w:pPr>
        <w:pStyle w:val="FootnoteText"/>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Idem,</w:t>
      </w:r>
      <w:r w:rsidRPr="00584036">
        <w:rPr>
          <w:rFonts w:ascii="Arial" w:hAnsi="Arial" w:cs="Arial"/>
          <w:sz w:val="22"/>
          <w:szCs w:val="22"/>
        </w:rPr>
        <w:t xml:space="preserve"> p 42.</w:t>
      </w:r>
    </w:p>
  </w:footnote>
  <w:footnote w:id="47">
    <w:p w14:paraId="5B1C86A9"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Ibid</w:t>
      </w:r>
      <w:r w:rsidRPr="00584036">
        <w:rPr>
          <w:rFonts w:ascii="Arial" w:hAnsi="Arial" w:cs="Arial"/>
          <w:sz w:val="22"/>
          <w:szCs w:val="22"/>
        </w:rPr>
        <w:t>, citing section 224(3) of the Act.</w:t>
      </w:r>
    </w:p>
  </w:footnote>
  <w:footnote w:id="48">
    <w:p w14:paraId="7066DEC1"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Idem,</w:t>
      </w:r>
      <w:r w:rsidRPr="00584036">
        <w:rPr>
          <w:rFonts w:ascii="Arial" w:hAnsi="Arial" w:cs="Arial"/>
          <w:sz w:val="22"/>
          <w:szCs w:val="22"/>
        </w:rPr>
        <w:t xml:space="preserve"> p 42.</w:t>
      </w:r>
    </w:p>
  </w:footnote>
  <w:footnote w:id="49">
    <w:p w14:paraId="357C7864"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Idem,</w:t>
      </w:r>
      <w:r w:rsidRPr="00584036">
        <w:rPr>
          <w:rFonts w:ascii="Arial" w:hAnsi="Arial" w:cs="Arial"/>
          <w:sz w:val="22"/>
          <w:szCs w:val="22"/>
        </w:rPr>
        <w:t xml:space="preserve"> p 42 – 43, citing section 226(5) of the Act.</w:t>
      </w:r>
    </w:p>
  </w:footnote>
  <w:footnote w:id="50">
    <w:p w14:paraId="03236BEC"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Idem,</w:t>
      </w:r>
      <w:r w:rsidRPr="00584036">
        <w:rPr>
          <w:rFonts w:ascii="Arial" w:hAnsi="Arial" w:cs="Arial"/>
          <w:sz w:val="22"/>
          <w:szCs w:val="22"/>
        </w:rPr>
        <w:t xml:space="preserve"> p 42.</w:t>
      </w:r>
    </w:p>
  </w:footnote>
  <w:footnote w:id="51">
    <w:p w14:paraId="00EFFD2D"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Idem,</w:t>
      </w:r>
      <w:r w:rsidRPr="00584036">
        <w:rPr>
          <w:rFonts w:ascii="Arial" w:hAnsi="Arial" w:cs="Arial"/>
          <w:sz w:val="22"/>
          <w:szCs w:val="22"/>
        </w:rPr>
        <w:t xml:space="preserve"> p 43, citing section 226(6) of the Act. </w:t>
      </w:r>
    </w:p>
  </w:footnote>
  <w:footnote w:id="52">
    <w:p w14:paraId="11D062EC"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Idem,</w:t>
      </w:r>
      <w:r w:rsidRPr="00584036">
        <w:rPr>
          <w:rFonts w:ascii="Arial" w:hAnsi="Arial" w:cs="Arial"/>
          <w:sz w:val="22"/>
          <w:szCs w:val="22"/>
        </w:rPr>
        <w:t xml:space="preserve"> p 43.</w:t>
      </w:r>
    </w:p>
  </w:footnote>
  <w:footnote w:id="53">
    <w:p w14:paraId="026FAB5C"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Ibid</w:t>
      </w:r>
      <w:r w:rsidRPr="00584036">
        <w:rPr>
          <w:rFonts w:ascii="Arial" w:hAnsi="Arial" w:cs="Arial"/>
          <w:sz w:val="22"/>
          <w:szCs w:val="22"/>
        </w:rPr>
        <w:t>.</w:t>
      </w:r>
    </w:p>
  </w:footnote>
  <w:footnote w:id="54">
    <w:p w14:paraId="110D8E8B"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Ibid</w:t>
      </w:r>
      <w:r w:rsidRPr="00584036">
        <w:rPr>
          <w:rFonts w:ascii="Arial" w:hAnsi="Arial" w:cs="Arial"/>
          <w:sz w:val="22"/>
          <w:szCs w:val="22"/>
        </w:rPr>
        <w:t>.</w:t>
      </w:r>
    </w:p>
  </w:footnote>
  <w:footnote w:id="55">
    <w:p w14:paraId="50223748" w14:textId="77777777" w:rsidR="00A9055C" w:rsidRDefault="00A9055C" w:rsidP="00A9055C">
      <w:pPr>
        <w:pStyle w:val="FootnoteText"/>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Ibid</w:t>
      </w:r>
      <w:r w:rsidRPr="00584036">
        <w:rPr>
          <w:rFonts w:ascii="Arial" w:hAnsi="Arial" w:cs="Arial"/>
          <w:sz w:val="22"/>
          <w:szCs w:val="22"/>
        </w:rPr>
        <w:t>.</w:t>
      </w:r>
    </w:p>
  </w:footnote>
  <w:footnote w:id="56">
    <w:p w14:paraId="7F261DD7"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Idem,</w:t>
      </w:r>
      <w:r w:rsidRPr="00584036">
        <w:rPr>
          <w:rFonts w:ascii="Arial" w:hAnsi="Arial" w:cs="Arial"/>
          <w:sz w:val="22"/>
          <w:szCs w:val="22"/>
        </w:rPr>
        <w:t xml:space="preserve"> p 6 -7.</w:t>
      </w:r>
    </w:p>
  </w:footnote>
  <w:footnote w:id="57">
    <w:p w14:paraId="7453C1E8"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Idem,</w:t>
      </w:r>
      <w:r w:rsidRPr="00584036">
        <w:rPr>
          <w:rFonts w:ascii="Arial" w:hAnsi="Arial" w:cs="Arial"/>
          <w:sz w:val="22"/>
          <w:szCs w:val="22"/>
        </w:rPr>
        <w:t xml:space="preserve"> p 53-54.</w:t>
      </w:r>
    </w:p>
  </w:footnote>
  <w:footnote w:id="58">
    <w:p w14:paraId="4C42C469" w14:textId="77777777" w:rsidR="00A9055C" w:rsidRDefault="00A9055C" w:rsidP="00A9055C">
      <w:pPr>
        <w:pStyle w:val="FootnoteText"/>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Idem,</w:t>
      </w:r>
      <w:r w:rsidRPr="00584036">
        <w:rPr>
          <w:rFonts w:ascii="Arial" w:hAnsi="Arial" w:cs="Arial"/>
          <w:sz w:val="22"/>
          <w:szCs w:val="22"/>
        </w:rPr>
        <w:t xml:space="preserve"> p 41.</w:t>
      </w:r>
    </w:p>
  </w:footnote>
  <w:footnote w:id="59">
    <w:p w14:paraId="3875D5F9"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Idem,</w:t>
      </w:r>
      <w:r w:rsidRPr="00584036">
        <w:rPr>
          <w:rFonts w:ascii="Arial" w:hAnsi="Arial" w:cs="Arial"/>
          <w:sz w:val="22"/>
          <w:szCs w:val="22"/>
        </w:rPr>
        <w:t xml:space="preserve"> p 36-37.</w:t>
      </w:r>
    </w:p>
  </w:footnote>
  <w:footnote w:id="60">
    <w:p w14:paraId="1B9E8587"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Idem,</w:t>
      </w:r>
      <w:r w:rsidRPr="00584036">
        <w:rPr>
          <w:rFonts w:ascii="Arial" w:hAnsi="Arial" w:cs="Arial"/>
          <w:sz w:val="22"/>
          <w:szCs w:val="22"/>
        </w:rPr>
        <w:t xml:space="preserve"> p 22.</w:t>
      </w:r>
    </w:p>
  </w:footnote>
  <w:footnote w:id="61">
    <w:p w14:paraId="2B755E3E"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Idem,</w:t>
      </w:r>
      <w:r w:rsidRPr="00584036">
        <w:rPr>
          <w:rFonts w:ascii="Arial" w:hAnsi="Arial" w:cs="Arial"/>
          <w:sz w:val="22"/>
          <w:szCs w:val="22"/>
        </w:rPr>
        <w:t xml:space="preserve"> p 44.</w:t>
      </w:r>
    </w:p>
  </w:footnote>
  <w:footnote w:id="62">
    <w:p w14:paraId="50AD2DF7"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Ibid</w:t>
      </w:r>
      <w:r w:rsidRPr="00584036">
        <w:rPr>
          <w:rFonts w:ascii="Arial" w:hAnsi="Arial" w:cs="Arial"/>
          <w:sz w:val="22"/>
          <w:szCs w:val="22"/>
        </w:rPr>
        <w:t>.</w:t>
      </w:r>
    </w:p>
  </w:footnote>
  <w:footnote w:id="63">
    <w:p w14:paraId="1EC93479"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Ibid</w:t>
      </w:r>
      <w:r w:rsidRPr="00584036">
        <w:rPr>
          <w:rFonts w:ascii="Arial" w:hAnsi="Arial" w:cs="Arial"/>
          <w:sz w:val="22"/>
          <w:szCs w:val="22"/>
        </w:rPr>
        <w:t>.</w:t>
      </w:r>
    </w:p>
  </w:footnote>
  <w:footnote w:id="64">
    <w:p w14:paraId="27EED455" w14:textId="77777777" w:rsidR="00A9055C" w:rsidRDefault="00A9055C" w:rsidP="00A9055C">
      <w:pPr>
        <w:pStyle w:val="FootnoteText"/>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Idem,</w:t>
      </w:r>
      <w:r w:rsidRPr="00584036">
        <w:rPr>
          <w:rFonts w:ascii="Arial" w:hAnsi="Arial" w:cs="Arial"/>
          <w:sz w:val="22"/>
          <w:szCs w:val="22"/>
        </w:rPr>
        <w:t xml:space="preserve"> p 46.</w:t>
      </w:r>
    </w:p>
  </w:footnote>
  <w:footnote w:id="65">
    <w:p w14:paraId="10549A92"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Idem,</w:t>
      </w:r>
      <w:r w:rsidRPr="00584036">
        <w:rPr>
          <w:rFonts w:ascii="Arial" w:hAnsi="Arial" w:cs="Arial"/>
          <w:sz w:val="22"/>
          <w:szCs w:val="22"/>
        </w:rPr>
        <w:t xml:space="preserve"> p 43.</w:t>
      </w:r>
    </w:p>
  </w:footnote>
  <w:footnote w:id="66">
    <w:p w14:paraId="18BA96C7"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Idem,</w:t>
      </w:r>
      <w:r w:rsidRPr="00584036">
        <w:rPr>
          <w:rFonts w:ascii="Arial" w:hAnsi="Arial" w:cs="Arial"/>
          <w:sz w:val="22"/>
          <w:szCs w:val="22"/>
        </w:rPr>
        <w:t xml:space="preserve"> p 46.</w:t>
      </w:r>
    </w:p>
  </w:footnote>
  <w:footnote w:id="67">
    <w:p w14:paraId="49370B90"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Idem,</w:t>
      </w:r>
      <w:r w:rsidRPr="00584036">
        <w:rPr>
          <w:rFonts w:ascii="Arial" w:hAnsi="Arial" w:cs="Arial"/>
          <w:sz w:val="22"/>
          <w:szCs w:val="22"/>
        </w:rPr>
        <w:t xml:space="preserve"> p 27.</w:t>
      </w:r>
    </w:p>
  </w:footnote>
  <w:footnote w:id="68">
    <w:p w14:paraId="5FC360C9"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Idem,</w:t>
      </w:r>
      <w:r w:rsidRPr="00584036">
        <w:rPr>
          <w:rFonts w:ascii="Arial" w:hAnsi="Arial" w:cs="Arial"/>
          <w:sz w:val="22"/>
          <w:szCs w:val="22"/>
        </w:rPr>
        <w:t xml:space="preserve"> p 47.</w:t>
      </w:r>
    </w:p>
  </w:footnote>
  <w:footnote w:id="69">
    <w:p w14:paraId="6564F82D" w14:textId="77777777" w:rsidR="00A9055C" w:rsidRDefault="00A9055C" w:rsidP="00A9055C">
      <w:pPr>
        <w:pStyle w:val="FootnoteText"/>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Idem,</w:t>
      </w:r>
      <w:r w:rsidRPr="00584036">
        <w:rPr>
          <w:rFonts w:ascii="Arial" w:hAnsi="Arial" w:cs="Arial"/>
          <w:sz w:val="22"/>
          <w:szCs w:val="22"/>
        </w:rPr>
        <w:t xml:space="preserve"> p 46.</w:t>
      </w:r>
    </w:p>
  </w:footnote>
  <w:footnote w:id="70">
    <w:p w14:paraId="6D91CB88" w14:textId="77777777" w:rsidR="00A9055C" w:rsidRPr="00584036" w:rsidRDefault="00A9055C" w:rsidP="00A9055C">
      <w:pPr>
        <w:pStyle w:val="FootnoteText"/>
        <w:rPr>
          <w:rFonts w:ascii="Arial" w:hAnsi="Arial" w:cs="Arial"/>
          <w:sz w:val="22"/>
          <w:szCs w:val="22"/>
        </w:rPr>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Idem,</w:t>
      </w:r>
      <w:r w:rsidRPr="00584036">
        <w:rPr>
          <w:rFonts w:ascii="Arial" w:hAnsi="Arial" w:cs="Arial"/>
          <w:sz w:val="22"/>
          <w:szCs w:val="22"/>
        </w:rPr>
        <w:t xml:space="preserve"> p 48.</w:t>
      </w:r>
    </w:p>
  </w:footnote>
  <w:footnote w:id="71">
    <w:p w14:paraId="0D3A23E9" w14:textId="77777777" w:rsidR="00A9055C" w:rsidRDefault="00A9055C" w:rsidP="00A9055C">
      <w:pPr>
        <w:pStyle w:val="FootnoteText"/>
      </w:pPr>
      <w:r w:rsidRPr="00584036">
        <w:rPr>
          <w:rStyle w:val="FootnoteReference"/>
          <w:rFonts w:ascii="Arial" w:eastAsiaTheme="majorEastAsia" w:hAnsi="Arial" w:cs="Arial"/>
          <w:sz w:val="22"/>
          <w:szCs w:val="22"/>
        </w:rPr>
        <w:footnoteRef/>
      </w:r>
      <w:r w:rsidRPr="00584036">
        <w:rPr>
          <w:rFonts w:ascii="Arial" w:hAnsi="Arial" w:cs="Arial"/>
          <w:sz w:val="22"/>
          <w:szCs w:val="22"/>
        </w:rPr>
        <w:t xml:space="preserve"> </w:t>
      </w:r>
      <w:r w:rsidRPr="00584036">
        <w:rPr>
          <w:rFonts w:ascii="Arial" w:hAnsi="Arial" w:cs="Arial"/>
          <w:i/>
          <w:iCs/>
          <w:sz w:val="22"/>
          <w:szCs w:val="22"/>
        </w:rPr>
        <w:t>Idem,</w:t>
      </w:r>
      <w:r w:rsidRPr="00584036">
        <w:rPr>
          <w:rFonts w:ascii="Arial" w:hAnsi="Arial" w:cs="Arial"/>
          <w:sz w:val="22"/>
          <w:szCs w:val="22"/>
        </w:rPr>
        <w:t xml:space="preserve"> p 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71454"/>
    <w:multiLevelType w:val="hybridMultilevel"/>
    <w:tmpl w:val="C282700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6A46F6"/>
    <w:multiLevelType w:val="hybridMultilevel"/>
    <w:tmpl w:val="C9C28E7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47D74C59"/>
    <w:multiLevelType w:val="hybridMultilevel"/>
    <w:tmpl w:val="493CFF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60A607EB"/>
    <w:multiLevelType w:val="multilevel"/>
    <w:tmpl w:val="8E24829A"/>
    <w:numStyleLink w:val="AHNumbering"/>
  </w:abstractNum>
  <w:abstractNum w:abstractNumId="15"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76045982"/>
    <w:multiLevelType w:val="multilevel"/>
    <w:tmpl w:val="8E24829A"/>
    <w:styleLink w:val="AHNumbering"/>
    <w:lvl w:ilvl="0">
      <w:start w:val="1"/>
      <w:numFmt w:val="decimal"/>
      <w:pStyle w:val="Multilevel1"/>
      <w:lvlText w:val="%1"/>
      <w:lvlJc w:val="left"/>
      <w:pPr>
        <w:tabs>
          <w:tab w:val="num" w:pos="720"/>
        </w:tabs>
        <w:ind w:left="720" w:hanging="720"/>
      </w:pPr>
      <w:rPr>
        <w:rFonts w:hint="default"/>
      </w:rPr>
    </w:lvl>
    <w:lvl w:ilvl="1">
      <w:start w:val="1"/>
      <w:numFmt w:val="decimal"/>
      <w:pStyle w:val="Multilevel2"/>
      <w:lvlText w:val="%1.%2"/>
      <w:lvlJc w:val="left"/>
      <w:pPr>
        <w:tabs>
          <w:tab w:val="num" w:pos="720"/>
        </w:tabs>
        <w:ind w:left="1440" w:hanging="720"/>
      </w:pPr>
      <w:rPr>
        <w:rFonts w:hint="default"/>
      </w:rPr>
    </w:lvl>
    <w:lvl w:ilvl="2">
      <w:start w:val="1"/>
      <w:numFmt w:val="lowerLetter"/>
      <w:pStyle w:val="Multilevel3"/>
      <w:lvlText w:val="(%3)"/>
      <w:lvlJc w:val="left"/>
      <w:pPr>
        <w:tabs>
          <w:tab w:val="num" w:pos="1440"/>
        </w:tabs>
        <w:ind w:left="2160" w:hanging="720"/>
      </w:pPr>
      <w:rPr>
        <w:rFonts w:hint="default"/>
      </w:rPr>
    </w:lvl>
    <w:lvl w:ilvl="3">
      <w:start w:val="1"/>
      <w:numFmt w:val="lowerRoman"/>
      <w:pStyle w:val="Multilevel4"/>
      <w:lvlText w:val="(%4)"/>
      <w:lvlJc w:val="left"/>
      <w:pPr>
        <w:tabs>
          <w:tab w:val="num" w:pos="2160"/>
        </w:tabs>
        <w:ind w:left="2880" w:hanging="720"/>
      </w:pPr>
      <w:rPr>
        <w:rFonts w:hint="default"/>
      </w:rPr>
    </w:lvl>
    <w:lvl w:ilvl="4">
      <w:start w:val="1"/>
      <w:numFmt w:val="upperLetter"/>
      <w:pStyle w:val="Multilevel5"/>
      <w:lvlText w:val="(%5)"/>
      <w:lvlJc w:val="left"/>
      <w:pPr>
        <w:tabs>
          <w:tab w:val="num" w:pos="2880"/>
        </w:tabs>
        <w:ind w:left="3600" w:hanging="720"/>
      </w:pPr>
      <w:rPr>
        <w:rFonts w:hint="default"/>
      </w:rPr>
    </w:lvl>
    <w:lvl w:ilvl="5">
      <w:start w:val="1"/>
      <w:numFmt w:val="upperRoman"/>
      <w:pStyle w:val="Multilevel6"/>
      <w:lvlText w:val="(%6)"/>
      <w:lvlJc w:val="left"/>
      <w:pPr>
        <w:tabs>
          <w:tab w:val="num" w:pos="3600"/>
        </w:tabs>
        <w:ind w:left="4321" w:hanging="721"/>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9"/>
  </w:num>
  <w:num w:numId="2">
    <w:abstractNumId w:val="7"/>
  </w:num>
  <w:num w:numId="3">
    <w:abstractNumId w:val="10"/>
  </w:num>
  <w:num w:numId="4">
    <w:abstractNumId w:val="5"/>
  </w:num>
  <w:num w:numId="5">
    <w:abstractNumId w:val="4"/>
  </w:num>
  <w:num w:numId="6">
    <w:abstractNumId w:val="0"/>
  </w:num>
  <w:num w:numId="7">
    <w:abstractNumId w:val="12"/>
  </w:num>
  <w:num w:numId="8">
    <w:abstractNumId w:val="8"/>
  </w:num>
  <w:num w:numId="9">
    <w:abstractNumId w:val="15"/>
  </w:num>
  <w:num w:numId="10">
    <w:abstractNumId w:val="13"/>
  </w:num>
  <w:num w:numId="11">
    <w:abstractNumId w:val="3"/>
  </w:num>
  <w:num w:numId="12">
    <w:abstractNumId w:val="11"/>
  </w:num>
  <w:num w:numId="13">
    <w:abstractNumId w:val="16"/>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7621"/>
    <w:rsid w:val="00044D46"/>
    <w:rsid w:val="00045088"/>
    <w:rsid w:val="00045904"/>
    <w:rsid w:val="000502FD"/>
    <w:rsid w:val="000577D2"/>
    <w:rsid w:val="00065166"/>
    <w:rsid w:val="000659CF"/>
    <w:rsid w:val="00082609"/>
    <w:rsid w:val="000851CC"/>
    <w:rsid w:val="00087F21"/>
    <w:rsid w:val="00093BE8"/>
    <w:rsid w:val="000A407B"/>
    <w:rsid w:val="000A68ED"/>
    <w:rsid w:val="000A7BE7"/>
    <w:rsid w:val="000B5FF1"/>
    <w:rsid w:val="000B609F"/>
    <w:rsid w:val="000C3F26"/>
    <w:rsid w:val="000D33BB"/>
    <w:rsid w:val="000D55A8"/>
    <w:rsid w:val="000E4841"/>
    <w:rsid w:val="000F1677"/>
    <w:rsid w:val="000F3D6C"/>
    <w:rsid w:val="000F6063"/>
    <w:rsid w:val="00101707"/>
    <w:rsid w:val="00102CC9"/>
    <w:rsid w:val="0010593A"/>
    <w:rsid w:val="001108F8"/>
    <w:rsid w:val="0011473D"/>
    <w:rsid w:val="00115C85"/>
    <w:rsid w:val="00123855"/>
    <w:rsid w:val="00126A4D"/>
    <w:rsid w:val="0014171F"/>
    <w:rsid w:val="0014622C"/>
    <w:rsid w:val="001463D6"/>
    <w:rsid w:val="00152348"/>
    <w:rsid w:val="0015456D"/>
    <w:rsid w:val="00155FA2"/>
    <w:rsid w:val="00161F1B"/>
    <w:rsid w:val="00162829"/>
    <w:rsid w:val="00163644"/>
    <w:rsid w:val="0016583A"/>
    <w:rsid w:val="00180548"/>
    <w:rsid w:val="00180AC4"/>
    <w:rsid w:val="00180CCE"/>
    <w:rsid w:val="0018267A"/>
    <w:rsid w:val="00182779"/>
    <w:rsid w:val="001830DF"/>
    <w:rsid w:val="0018424C"/>
    <w:rsid w:val="001966D9"/>
    <w:rsid w:val="001A007A"/>
    <w:rsid w:val="001A7E9A"/>
    <w:rsid w:val="001B0F70"/>
    <w:rsid w:val="001B5016"/>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F1956"/>
    <w:rsid w:val="002F3440"/>
    <w:rsid w:val="002F75A3"/>
    <w:rsid w:val="00303C2F"/>
    <w:rsid w:val="003042CB"/>
    <w:rsid w:val="00305564"/>
    <w:rsid w:val="00310533"/>
    <w:rsid w:val="003144E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77C72"/>
    <w:rsid w:val="0048787C"/>
    <w:rsid w:val="00491675"/>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5FDF"/>
    <w:rsid w:val="00501EDC"/>
    <w:rsid w:val="005177FE"/>
    <w:rsid w:val="0052263B"/>
    <w:rsid w:val="00524728"/>
    <w:rsid w:val="00527EDC"/>
    <w:rsid w:val="00532230"/>
    <w:rsid w:val="005327B7"/>
    <w:rsid w:val="005331CA"/>
    <w:rsid w:val="00537970"/>
    <w:rsid w:val="00540E3A"/>
    <w:rsid w:val="00544127"/>
    <w:rsid w:val="005463A9"/>
    <w:rsid w:val="00551038"/>
    <w:rsid w:val="00553EB2"/>
    <w:rsid w:val="00560534"/>
    <w:rsid w:val="0056391B"/>
    <w:rsid w:val="005650E2"/>
    <w:rsid w:val="00567AD7"/>
    <w:rsid w:val="00575B2D"/>
    <w:rsid w:val="00575BEC"/>
    <w:rsid w:val="005833D0"/>
    <w:rsid w:val="00584036"/>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0267E"/>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7AEB"/>
    <w:rsid w:val="00680EF2"/>
    <w:rsid w:val="00687A1D"/>
    <w:rsid w:val="00697EA1"/>
    <w:rsid w:val="006A2646"/>
    <w:rsid w:val="006A5375"/>
    <w:rsid w:val="006A6530"/>
    <w:rsid w:val="006B28CB"/>
    <w:rsid w:val="006B435A"/>
    <w:rsid w:val="006B4C64"/>
    <w:rsid w:val="006D3DC9"/>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6650"/>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7C92"/>
    <w:rsid w:val="007E03FA"/>
    <w:rsid w:val="007E1154"/>
    <w:rsid w:val="007E3906"/>
    <w:rsid w:val="007E6BA4"/>
    <w:rsid w:val="007F41F8"/>
    <w:rsid w:val="007F659B"/>
    <w:rsid w:val="00803C72"/>
    <w:rsid w:val="0080454E"/>
    <w:rsid w:val="00804C32"/>
    <w:rsid w:val="00806302"/>
    <w:rsid w:val="00807119"/>
    <w:rsid w:val="0082483F"/>
    <w:rsid w:val="008279C0"/>
    <w:rsid w:val="00853516"/>
    <w:rsid w:val="00853B56"/>
    <w:rsid w:val="00867701"/>
    <w:rsid w:val="008723F3"/>
    <w:rsid w:val="00876F56"/>
    <w:rsid w:val="00881DE6"/>
    <w:rsid w:val="008837A6"/>
    <w:rsid w:val="00891116"/>
    <w:rsid w:val="0089145D"/>
    <w:rsid w:val="008A4DF2"/>
    <w:rsid w:val="008A6CFE"/>
    <w:rsid w:val="008B5333"/>
    <w:rsid w:val="008B6223"/>
    <w:rsid w:val="008C66E0"/>
    <w:rsid w:val="008D7C65"/>
    <w:rsid w:val="008E0D7A"/>
    <w:rsid w:val="008E3339"/>
    <w:rsid w:val="008F20FC"/>
    <w:rsid w:val="008F5FFE"/>
    <w:rsid w:val="008F6CAB"/>
    <w:rsid w:val="00905A43"/>
    <w:rsid w:val="00912C79"/>
    <w:rsid w:val="00920BE7"/>
    <w:rsid w:val="00921B8C"/>
    <w:rsid w:val="00924973"/>
    <w:rsid w:val="00927C9D"/>
    <w:rsid w:val="00931FD7"/>
    <w:rsid w:val="00942123"/>
    <w:rsid w:val="0095207B"/>
    <w:rsid w:val="00952187"/>
    <w:rsid w:val="0096204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2274A"/>
    <w:rsid w:val="00A235B7"/>
    <w:rsid w:val="00A25392"/>
    <w:rsid w:val="00A26898"/>
    <w:rsid w:val="00A27A7A"/>
    <w:rsid w:val="00A30968"/>
    <w:rsid w:val="00A34ABE"/>
    <w:rsid w:val="00A407EF"/>
    <w:rsid w:val="00A46B4C"/>
    <w:rsid w:val="00A46FE2"/>
    <w:rsid w:val="00A5117B"/>
    <w:rsid w:val="00A56D34"/>
    <w:rsid w:val="00A60074"/>
    <w:rsid w:val="00A6627C"/>
    <w:rsid w:val="00A71019"/>
    <w:rsid w:val="00A81029"/>
    <w:rsid w:val="00A845F5"/>
    <w:rsid w:val="00A9055C"/>
    <w:rsid w:val="00A96489"/>
    <w:rsid w:val="00AB0E3A"/>
    <w:rsid w:val="00AB2425"/>
    <w:rsid w:val="00AB685C"/>
    <w:rsid w:val="00AB6C2D"/>
    <w:rsid w:val="00AC08F7"/>
    <w:rsid w:val="00AC2F1F"/>
    <w:rsid w:val="00AC3839"/>
    <w:rsid w:val="00AC43F8"/>
    <w:rsid w:val="00AC7082"/>
    <w:rsid w:val="00AD12C7"/>
    <w:rsid w:val="00AD4BE8"/>
    <w:rsid w:val="00AF228E"/>
    <w:rsid w:val="00B016A8"/>
    <w:rsid w:val="00B14819"/>
    <w:rsid w:val="00B15E2F"/>
    <w:rsid w:val="00B17AA9"/>
    <w:rsid w:val="00B37221"/>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B6D1E"/>
    <w:rsid w:val="00BC3A55"/>
    <w:rsid w:val="00BE4FF3"/>
    <w:rsid w:val="00BF50F7"/>
    <w:rsid w:val="00C02F29"/>
    <w:rsid w:val="00C17718"/>
    <w:rsid w:val="00C20AFE"/>
    <w:rsid w:val="00C22A25"/>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364"/>
    <w:rsid w:val="00CB2CBB"/>
    <w:rsid w:val="00CB7CAC"/>
    <w:rsid w:val="00CC5335"/>
    <w:rsid w:val="00CC5BA4"/>
    <w:rsid w:val="00CC6748"/>
    <w:rsid w:val="00CD4998"/>
    <w:rsid w:val="00CE1035"/>
    <w:rsid w:val="00CE6E50"/>
    <w:rsid w:val="00CF2819"/>
    <w:rsid w:val="00CF4F9D"/>
    <w:rsid w:val="00CF70DC"/>
    <w:rsid w:val="00D063C2"/>
    <w:rsid w:val="00D06A87"/>
    <w:rsid w:val="00D148DC"/>
    <w:rsid w:val="00D17FDC"/>
    <w:rsid w:val="00D21D8C"/>
    <w:rsid w:val="00D27CBC"/>
    <w:rsid w:val="00D53719"/>
    <w:rsid w:val="00D6188D"/>
    <w:rsid w:val="00D63EFD"/>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447D"/>
    <w:rsid w:val="00ED5BDC"/>
    <w:rsid w:val="00EE425D"/>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30FA"/>
    <w:rsid w:val="00F97C5B"/>
    <w:rsid w:val="00FA18CF"/>
    <w:rsid w:val="00FA3D50"/>
    <w:rsid w:val="00FB721C"/>
    <w:rsid w:val="00FB7FBD"/>
    <w:rsid w:val="00FC374A"/>
    <w:rsid w:val="00FC74C8"/>
    <w:rsid w:val="00FC7B47"/>
    <w:rsid w:val="00FD035C"/>
    <w:rsid w:val="00FD1A35"/>
    <w:rsid w:val="00FD2EA4"/>
    <w:rsid w:val="00FD36C5"/>
    <w:rsid w:val="00FD6094"/>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 w:type="numbering" w:customStyle="1" w:styleId="AHNumbering">
    <w:name w:val="AH Numbering"/>
    <w:rsid w:val="00A9055C"/>
    <w:pPr>
      <w:numPr>
        <w:numId w:val="13"/>
      </w:numPr>
    </w:pPr>
  </w:style>
  <w:style w:type="paragraph" w:customStyle="1" w:styleId="Multilevel1">
    <w:name w:val="Multilevel1"/>
    <w:basedOn w:val="Normal"/>
    <w:uiPriority w:val="3"/>
    <w:qFormat/>
    <w:rsid w:val="00A9055C"/>
    <w:pPr>
      <w:numPr>
        <w:numId w:val="14"/>
      </w:numPr>
      <w:spacing w:before="120" w:after="120"/>
      <w:outlineLvl w:val="0"/>
    </w:pPr>
    <w:rPr>
      <w:rFonts w:ascii="Verdana" w:hAnsi="Verdana" w:cs="Times New Roman"/>
      <w:sz w:val="18"/>
      <w:szCs w:val="18"/>
      <w:lang w:val="en-NZ" w:eastAsia="en-NZ"/>
    </w:rPr>
  </w:style>
  <w:style w:type="paragraph" w:customStyle="1" w:styleId="Multilevel2">
    <w:name w:val="Multilevel2"/>
    <w:basedOn w:val="Multilevel1"/>
    <w:uiPriority w:val="3"/>
    <w:qFormat/>
    <w:rsid w:val="00A9055C"/>
    <w:pPr>
      <w:numPr>
        <w:ilvl w:val="1"/>
      </w:numPr>
      <w:outlineLvl w:val="1"/>
    </w:pPr>
  </w:style>
  <w:style w:type="paragraph" w:customStyle="1" w:styleId="Multilevel3">
    <w:name w:val="Multilevel3"/>
    <w:basedOn w:val="Multilevel2"/>
    <w:uiPriority w:val="3"/>
    <w:qFormat/>
    <w:rsid w:val="00A9055C"/>
    <w:pPr>
      <w:numPr>
        <w:ilvl w:val="2"/>
      </w:numPr>
      <w:outlineLvl w:val="2"/>
    </w:pPr>
  </w:style>
  <w:style w:type="paragraph" w:customStyle="1" w:styleId="Multilevel4">
    <w:name w:val="Multilevel4"/>
    <w:basedOn w:val="Multilevel3"/>
    <w:uiPriority w:val="3"/>
    <w:qFormat/>
    <w:rsid w:val="00A9055C"/>
    <w:pPr>
      <w:numPr>
        <w:ilvl w:val="3"/>
      </w:numPr>
    </w:pPr>
  </w:style>
  <w:style w:type="paragraph" w:customStyle="1" w:styleId="Multilevel5">
    <w:name w:val="Multilevel5"/>
    <w:basedOn w:val="Multilevel4"/>
    <w:uiPriority w:val="3"/>
    <w:qFormat/>
    <w:rsid w:val="00A9055C"/>
    <w:pPr>
      <w:numPr>
        <w:ilvl w:val="4"/>
      </w:numPr>
    </w:pPr>
  </w:style>
  <w:style w:type="paragraph" w:customStyle="1" w:styleId="Multilevel6">
    <w:name w:val="Multilevel6"/>
    <w:basedOn w:val="Multilevel5"/>
    <w:uiPriority w:val="3"/>
    <w:rsid w:val="00A9055C"/>
    <w:pPr>
      <w:numPr>
        <w:ilvl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5905</Words>
  <Characters>29616</Characters>
  <Application>Microsoft Office Word</Application>
  <DocSecurity>0</DocSecurity>
  <Lines>714</Lines>
  <Paragraphs>247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Anthony Harper</cp:lastModifiedBy>
  <cp:revision>4</cp:revision>
  <cp:lastPrinted>2019-08-27T05:42:00Z</cp:lastPrinted>
  <dcterms:created xsi:type="dcterms:W3CDTF">2023-05-14T03:53:00Z</dcterms:created>
  <dcterms:modified xsi:type="dcterms:W3CDTF">2023-05-14T03:58:00Z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