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a3"/>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a3"/>
        <w:ind w:left="426"/>
        <w:jc w:val="both"/>
        <w:rPr>
          <w:rFonts w:ascii="Avenir Next" w:hAnsi="Avenir Next" w:cs="Arial"/>
          <w:sz w:val="22"/>
          <w:szCs w:val="22"/>
          <w:lang w:val="en-GB"/>
        </w:rPr>
      </w:pPr>
    </w:p>
    <w:p w14:paraId="327576EE" w14:textId="4AC8B157" w:rsidR="00D66F96" w:rsidRPr="008E3C96" w:rsidRDefault="00D66F96" w:rsidP="005B7C95">
      <w:pPr>
        <w:pStyle w:val="a3"/>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a3"/>
        <w:ind w:left="426"/>
        <w:jc w:val="both"/>
        <w:rPr>
          <w:rFonts w:ascii="Avenir Next" w:hAnsi="Avenir Next" w:cs="Arial"/>
          <w:sz w:val="22"/>
          <w:szCs w:val="22"/>
          <w:lang w:val="en-GB"/>
        </w:rPr>
      </w:pPr>
    </w:p>
    <w:p w14:paraId="5F606333" w14:textId="3F76D48E" w:rsidR="00D66F96" w:rsidRPr="008E3C96" w:rsidRDefault="00D66F96" w:rsidP="005B7C95">
      <w:pPr>
        <w:pStyle w:val="a3"/>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a3"/>
        <w:ind w:left="426"/>
        <w:jc w:val="both"/>
        <w:rPr>
          <w:rFonts w:ascii="Avenir Next" w:hAnsi="Avenir Next" w:cs="Arial"/>
          <w:sz w:val="22"/>
          <w:szCs w:val="22"/>
          <w:lang w:val="en-GB"/>
        </w:rPr>
      </w:pPr>
    </w:p>
    <w:p w14:paraId="0FCA7419" w14:textId="77777777" w:rsidR="00D66F96" w:rsidRPr="00477D0B" w:rsidRDefault="00D66F96" w:rsidP="005B7C95">
      <w:pPr>
        <w:pStyle w:val="a3"/>
        <w:numPr>
          <w:ilvl w:val="0"/>
          <w:numId w:val="26"/>
        </w:numPr>
        <w:ind w:left="426"/>
        <w:jc w:val="both"/>
        <w:rPr>
          <w:rFonts w:ascii="Avenir Next" w:hAnsi="Avenir Next" w:cs="Arial"/>
          <w:sz w:val="22"/>
          <w:szCs w:val="22"/>
          <w:highlight w:val="yellow"/>
          <w:lang w:val="en-GB"/>
        </w:rPr>
      </w:pPr>
      <w:r w:rsidRPr="00477D0B">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477D0B" w:rsidRDefault="00A26868" w:rsidP="003922EE">
      <w:pPr>
        <w:pStyle w:val="a3"/>
        <w:numPr>
          <w:ilvl w:val="0"/>
          <w:numId w:val="3"/>
        </w:numPr>
        <w:ind w:left="426"/>
        <w:jc w:val="both"/>
        <w:rPr>
          <w:rFonts w:ascii="Avenir Next" w:hAnsi="Avenir Next" w:cs="Arial"/>
          <w:iCs/>
          <w:sz w:val="22"/>
          <w:szCs w:val="22"/>
          <w:highlight w:val="yellow"/>
          <w:lang w:val="en-GB"/>
        </w:rPr>
      </w:pPr>
      <w:r w:rsidRPr="00477D0B">
        <w:rPr>
          <w:rFonts w:ascii="Avenir Next" w:hAnsi="Avenir Next" w:cs="Arial"/>
          <w:iCs/>
          <w:sz w:val="22"/>
          <w:szCs w:val="22"/>
          <w:highlight w:val="yellow"/>
          <w:lang w:val="en-GB"/>
        </w:rPr>
        <w:t>t</w:t>
      </w:r>
      <w:r w:rsidR="00302D76" w:rsidRPr="00477D0B">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a3"/>
        <w:ind w:left="426"/>
        <w:jc w:val="both"/>
        <w:rPr>
          <w:rFonts w:ascii="Avenir Next" w:hAnsi="Avenir Next" w:cs="Arial"/>
          <w:iCs/>
          <w:sz w:val="22"/>
          <w:szCs w:val="22"/>
          <w:lang w:val="en-GB"/>
        </w:rPr>
      </w:pPr>
    </w:p>
    <w:p w14:paraId="74C0E9B6" w14:textId="32988A54" w:rsidR="005B79F4" w:rsidRPr="008E3C96" w:rsidRDefault="00A26868" w:rsidP="00D21F62">
      <w:pPr>
        <w:pStyle w:val="a3"/>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a3"/>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a3"/>
        <w:ind w:left="426"/>
        <w:jc w:val="both"/>
        <w:rPr>
          <w:rFonts w:ascii="Avenir Next" w:hAnsi="Avenir Next" w:cs="Arial"/>
          <w:iCs/>
          <w:sz w:val="22"/>
          <w:szCs w:val="22"/>
          <w:lang w:val="en-GB"/>
        </w:rPr>
      </w:pPr>
    </w:p>
    <w:p w14:paraId="5447959C" w14:textId="5271DBEE" w:rsidR="00302D76" w:rsidRPr="008E3C96" w:rsidRDefault="00A26868" w:rsidP="00302D76">
      <w:pPr>
        <w:pStyle w:val="a3"/>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a3"/>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a3"/>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lastRenderedPageBreak/>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477D0B" w:rsidRDefault="00302D76" w:rsidP="005B7C95">
      <w:pPr>
        <w:pStyle w:val="a3"/>
        <w:numPr>
          <w:ilvl w:val="0"/>
          <w:numId w:val="27"/>
        </w:numPr>
        <w:ind w:left="426"/>
        <w:jc w:val="both"/>
        <w:rPr>
          <w:rFonts w:ascii="Avenir Next" w:hAnsi="Avenir Next" w:cs="Arial"/>
          <w:iCs/>
          <w:sz w:val="22"/>
          <w:szCs w:val="22"/>
          <w:highlight w:val="yellow"/>
          <w:lang w:val="en-GB"/>
        </w:rPr>
      </w:pPr>
      <w:r w:rsidRPr="00477D0B">
        <w:rPr>
          <w:rFonts w:ascii="Avenir Next" w:hAnsi="Avenir Next"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2936E4A" w14:textId="77777777" w:rsidR="00302D76" w:rsidRPr="008E3C96" w:rsidRDefault="00302D76" w:rsidP="005B7C95">
      <w:pPr>
        <w:pStyle w:val="a3"/>
        <w:ind w:left="426"/>
        <w:jc w:val="both"/>
        <w:rPr>
          <w:rFonts w:ascii="Avenir Next" w:hAnsi="Avenir Next" w:cs="Arial"/>
          <w:iCs/>
          <w:sz w:val="22"/>
          <w:szCs w:val="22"/>
          <w:lang w:val="en-GB"/>
        </w:rPr>
      </w:pPr>
    </w:p>
    <w:p w14:paraId="2E108863" w14:textId="6CFAAD40" w:rsidR="00302D76" w:rsidRPr="008E3C96" w:rsidRDefault="00302D76" w:rsidP="005B7C95">
      <w:pPr>
        <w:pStyle w:val="a3"/>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a3"/>
        <w:ind w:left="426"/>
        <w:jc w:val="both"/>
        <w:rPr>
          <w:rFonts w:ascii="Avenir Next" w:hAnsi="Avenir Next" w:cs="Arial"/>
          <w:iCs/>
          <w:sz w:val="22"/>
          <w:szCs w:val="22"/>
          <w:lang w:val="en-GB"/>
        </w:rPr>
      </w:pPr>
    </w:p>
    <w:p w14:paraId="4B4D02E6" w14:textId="77777777" w:rsidR="00302D76" w:rsidRPr="008E3C96" w:rsidRDefault="00302D76" w:rsidP="005B7C95">
      <w:pPr>
        <w:pStyle w:val="a3"/>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a3"/>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477D0B" w:rsidRDefault="00971896" w:rsidP="003C4BCB">
      <w:pPr>
        <w:pStyle w:val="a3"/>
        <w:numPr>
          <w:ilvl w:val="0"/>
          <w:numId w:val="5"/>
        </w:numPr>
        <w:ind w:left="426"/>
        <w:jc w:val="both"/>
        <w:rPr>
          <w:rFonts w:ascii="Avenir Next" w:hAnsi="Avenir Next" w:cs="Arial"/>
          <w:sz w:val="22"/>
          <w:szCs w:val="22"/>
          <w:highlight w:val="yellow"/>
          <w:lang w:val="en-GB"/>
        </w:rPr>
      </w:pPr>
      <w:r w:rsidRPr="00477D0B">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477D0B">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a3"/>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a3"/>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a3"/>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a3"/>
        <w:ind w:left="426"/>
        <w:jc w:val="both"/>
        <w:rPr>
          <w:rFonts w:ascii="Avenir Next" w:hAnsi="Avenir Next" w:cs="Arial"/>
          <w:sz w:val="22"/>
          <w:szCs w:val="22"/>
          <w:lang w:val="en-GB"/>
        </w:rPr>
      </w:pPr>
    </w:p>
    <w:p w14:paraId="26A80627" w14:textId="6CEDA8AC" w:rsidR="00302D76" w:rsidRPr="008E3C96" w:rsidRDefault="00302D76" w:rsidP="008E3C96">
      <w:pPr>
        <w:pStyle w:val="a3"/>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a3"/>
        <w:ind w:left="426"/>
        <w:jc w:val="both"/>
        <w:rPr>
          <w:rFonts w:ascii="Avenir Next" w:hAnsi="Avenir Next" w:cs="Arial"/>
          <w:sz w:val="22"/>
          <w:szCs w:val="22"/>
          <w:lang w:val="en-GB"/>
        </w:rPr>
      </w:pPr>
    </w:p>
    <w:p w14:paraId="1700C230" w14:textId="7924230F" w:rsidR="00302D76" w:rsidRPr="008E3C96" w:rsidRDefault="00302D76" w:rsidP="008E3C96">
      <w:pPr>
        <w:pStyle w:val="a3"/>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(“Applicable law”).</w:t>
      </w:r>
    </w:p>
    <w:p w14:paraId="7A61DDFF" w14:textId="77777777" w:rsidR="00CA7069" w:rsidRPr="008E3C96" w:rsidRDefault="00CA7069" w:rsidP="008E3C96">
      <w:pPr>
        <w:pStyle w:val="a3"/>
        <w:ind w:left="426"/>
        <w:jc w:val="both"/>
        <w:rPr>
          <w:rFonts w:ascii="Avenir Next" w:hAnsi="Avenir Next" w:cs="Arial"/>
          <w:sz w:val="22"/>
          <w:szCs w:val="22"/>
          <w:lang w:val="en-GB"/>
        </w:rPr>
      </w:pPr>
    </w:p>
    <w:p w14:paraId="448D3B2E" w14:textId="77777777" w:rsidR="00CA7069" w:rsidRPr="00477D0B" w:rsidRDefault="00CA7069" w:rsidP="008E3C96">
      <w:pPr>
        <w:pStyle w:val="a3"/>
        <w:numPr>
          <w:ilvl w:val="0"/>
          <w:numId w:val="28"/>
        </w:numPr>
        <w:ind w:left="426"/>
        <w:jc w:val="both"/>
        <w:rPr>
          <w:rFonts w:ascii="Avenir Next" w:hAnsi="Avenir Next" w:cs="Arial"/>
          <w:sz w:val="22"/>
          <w:szCs w:val="22"/>
          <w:highlight w:val="yellow"/>
          <w:lang w:val="en-GB"/>
        </w:rPr>
      </w:pPr>
      <w:r w:rsidRPr="00477D0B">
        <w:rPr>
          <w:rFonts w:ascii="Avenir Next" w:hAnsi="Avenir Next" w:cs="Arial"/>
          <w:sz w:val="22"/>
          <w:szCs w:val="22"/>
          <w:highlight w:val="yellow"/>
          <w:lang w:val="en-GB"/>
        </w:rPr>
        <w:t>Article 31 EIR Recast (“</w:t>
      </w:r>
      <w:r w:rsidRPr="00477D0B">
        <w:rPr>
          <w:rFonts w:ascii="Avenir Next" w:hAnsi="Avenir Next" w:cs="Arial"/>
          <w:bCs/>
          <w:sz w:val="22"/>
          <w:szCs w:val="22"/>
          <w:highlight w:val="yellow"/>
          <w:lang w:val="en-GB"/>
        </w:rPr>
        <w:t>Honouring of an obligation to a debtor”</w:t>
      </w:r>
      <w:r w:rsidRPr="00477D0B">
        <w:rPr>
          <w:rFonts w:ascii="Avenir Next" w:hAnsi="Avenir Next" w:cs="Arial"/>
          <w:sz w:val="22"/>
          <w:szCs w:val="22"/>
          <w:highlight w:val="yellow"/>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a3"/>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a3"/>
        <w:ind w:left="426"/>
        <w:jc w:val="both"/>
        <w:rPr>
          <w:rFonts w:ascii="Avenir Next" w:hAnsi="Avenir Next" w:cs="Arial"/>
          <w:sz w:val="22"/>
          <w:szCs w:val="22"/>
          <w:lang w:val="en-GB"/>
        </w:rPr>
      </w:pPr>
    </w:p>
    <w:p w14:paraId="59E5541F" w14:textId="24AE7A7F" w:rsidR="00113E29" w:rsidRPr="008E3C96" w:rsidRDefault="00CA7069" w:rsidP="00CA7069">
      <w:pPr>
        <w:pStyle w:val="a3"/>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477D0B" w:rsidRDefault="00CA7069" w:rsidP="003C4BCB">
      <w:pPr>
        <w:pStyle w:val="a3"/>
        <w:numPr>
          <w:ilvl w:val="0"/>
          <w:numId w:val="7"/>
        </w:numPr>
        <w:ind w:left="426"/>
        <w:jc w:val="both"/>
        <w:rPr>
          <w:rFonts w:ascii="Avenir Next" w:hAnsi="Avenir Next" w:cs="Arial"/>
          <w:sz w:val="22"/>
          <w:szCs w:val="22"/>
          <w:highlight w:val="yellow"/>
          <w:lang w:val="en-GB"/>
        </w:rPr>
      </w:pPr>
      <w:r w:rsidRPr="00477D0B">
        <w:rPr>
          <w:rFonts w:ascii="Avenir Next" w:hAnsi="Avenir Next" w:cs="Arial"/>
          <w:sz w:val="22"/>
          <w:szCs w:val="22"/>
          <w:highlight w:val="yellow"/>
          <w:lang w:val="en-GB"/>
        </w:rPr>
        <w:t xml:space="preserve">Each Member State will define </w:t>
      </w:r>
      <w:r w:rsidR="001A68CC" w:rsidRPr="00477D0B">
        <w:rPr>
          <w:rFonts w:ascii="Avenir Next" w:hAnsi="Avenir Next" w:cs="Arial"/>
          <w:sz w:val="22"/>
          <w:szCs w:val="22"/>
          <w:highlight w:val="yellow"/>
          <w:lang w:val="en-GB"/>
        </w:rPr>
        <w:t>“</w:t>
      </w:r>
      <w:r w:rsidRPr="00477D0B">
        <w:rPr>
          <w:rFonts w:ascii="Avenir Next" w:hAnsi="Avenir Next" w:cs="Arial"/>
          <w:sz w:val="22"/>
          <w:szCs w:val="22"/>
          <w:highlight w:val="yellow"/>
          <w:lang w:val="en-GB"/>
        </w:rPr>
        <w:t>insolvency</w:t>
      </w:r>
      <w:r w:rsidR="001A68CC" w:rsidRPr="00477D0B">
        <w:rPr>
          <w:rFonts w:ascii="Avenir Next" w:hAnsi="Avenir Next" w:cs="Arial"/>
          <w:sz w:val="22"/>
          <w:szCs w:val="22"/>
          <w:highlight w:val="yellow"/>
          <w:lang w:val="en-GB"/>
        </w:rPr>
        <w:t>”</w:t>
      </w:r>
      <w:r w:rsidRPr="00477D0B">
        <w:rPr>
          <w:rFonts w:ascii="Avenir Next" w:hAnsi="Avenir Next" w:cs="Arial"/>
          <w:sz w:val="22"/>
          <w:szCs w:val="22"/>
          <w:highlight w:val="yellow"/>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a3"/>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477D0B" w:rsidRDefault="00CA7069" w:rsidP="00CA7069">
      <w:pPr>
        <w:pStyle w:val="a3"/>
        <w:numPr>
          <w:ilvl w:val="0"/>
          <w:numId w:val="8"/>
        </w:numPr>
        <w:ind w:left="426"/>
        <w:jc w:val="both"/>
        <w:rPr>
          <w:rFonts w:ascii="Avenir Next" w:hAnsi="Avenir Next" w:cs="Arial"/>
          <w:sz w:val="22"/>
          <w:szCs w:val="22"/>
          <w:highlight w:val="yellow"/>
          <w:lang w:val="en-GB"/>
        </w:rPr>
      </w:pPr>
      <w:r w:rsidRPr="00477D0B">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a3"/>
        <w:ind w:left="426"/>
        <w:jc w:val="both"/>
        <w:rPr>
          <w:rFonts w:ascii="Avenir Next" w:hAnsi="Avenir Next" w:cs="Arial"/>
          <w:sz w:val="22"/>
          <w:szCs w:val="22"/>
          <w:lang w:val="en-GB"/>
        </w:rPr>
      </w:pPr>
    </w:p>
    <w:p w14:paraId="757169A8" w14:textId="47F05D2D" w:rsidR="00113E29" w:rsidRPr="008E3C96" w:rsidRDefault="0034705B" w:rsidP="003C4BCB">
      <w:pPr>
        <w:pStyle w:val="a3"/>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a3"/>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a3"/>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a3"/>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a3"/>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a3"/>
        <w:ind w:left="426"/>
        <w:jc w:val="both"/>
        <w:rPr>
          <w:rFonts w:ascii="Avenir Next" w:hAnsi="Avenir Next" w:cs="Arial"/>
          <w:sz w:val="22"/>
          <w:szCs w:val="22"/>
          <w:lang w:val="en-GB"/>
        </w:rPr>
      </w:pPr>
    </w:p>
    <w:p w14:paraId="02DEF131" w14:textId="169791F5" w:rsidR="00C15FA2" w:rsidRPr="008E3C96" w:rsidRDefault="00C15FA2" w:rsidP="008E3C96">
      <w:pPr>
        <w:pStyle w:val="a3"/>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a3"/>
        <w:ind w:left="426"/>
        <w:jc w:val="both"/>
        <w:rPr>
          <w:rFonts w:ascii="Avenir Next" w:hAnsi="Avenir Next" w:cs="Arial"/>
          <w:sz w:val="22"/>
          <w:szCs w:val="22"/>
          <w:lang w:val="en-GB"/>
        </w:rPr>
      </w:pPr>
    </w:p>
    <w:p w14:paraId="3DD7A10B" w14:textId="18EC073B" w:rsidR="00C15FA2" w:rsidRPr="008E3C96" w:rsidRDefault="00C15FA2" w:rsidP="008E3C96">
      <w:pPr>
        <w:pStyle w:val="a3"/>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a3"/>
        <w:ind w:left="426"/>
        <w:jc w:val="both"/>
        <w:rPr>
          <w:rFonts w:ascii="Avenir Next" w:hAnsi="Avenir Next" w:cs="Arial"/>
          <w:sz w:val="22"/>
          <w:szCs w:val="22"/>
          <w:lang w:val="en-GB"/>
        </w:rPr>
      </w:pPr>
    </w:p>
    <w:p w14:paraId="1449FE57" w14:textId="77777777" w:rsidR="00C15FA2" w:rsidRPr="00477D0B" w:rsidRDefault="00C15FA2" w:rsidP="008E3C96">
      <w:pPr>
        <w:pStyle w:val="a3"/>
        <w:numPr>
          <w:ilvl w:val="0"/>
          <w:numId w:val="29"/>
        </w:numPr>
        <w:ind w:left="426"/>
        <w:jc w:val="both"/>
        <w:rPr>
          <w:rFonts w:ascii="Avenir Next" w:hAnsi="Avenir Next" w:cs="Arial"/>
          <w:sz w:val="22"/>
          <w:szCs w:val="22"/>
          <w:highlight w:val="yellow"/>
          <w:lang w:val="en-GB"/>
        </w:rPr>
      </w:pPr>
      <w:r w:rsidRPr="00477D0B">
        <w:rPr>
          <w:rFonts w:ascii="Avenir Next" w:hAnsi="Avenir Next"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477D0B" w:rsidRDefault="00EC242E" w:rsidP="008E3C96">
      <w:pPr>
        <w:pStyle w:val="a3"/>
        <w:numPr>
          <w:ilvl w:val="0"/>
          <w:numId w:val="30"/>
        </w:numPr>
        <w:ind w:left="426"/>
        <w:jc w:val="both"/>
        <w:rPr>
          <w:rFonts w:ascii="Avenir Next" w:hAnsi="Avenir Next" w:cs="Arial"/>
          <w:sz w:val="22"/>
          <w:szCs w:val="22"/>
          <w:highlight w:val="yellow"/>
          <w:lang w:val="en-GB"/>
        </w:rPr>
      </w:pPr>
      <w:r w:rsidRPr="00477D0B">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p>
    <w:p w14:paraId="107FDD4D" w14:textId="77777777" w:rsidR="00EC242E" w:rsidRPr="008E3C96" w:rsidRDefault="00EC242E" w:rsidP="008E3C96">
      <w:pPr>
        <w:pStyle w:val="a3"/>
        <w:ind w:left="426"/>
        <w:jc w:val="both"/>
        <w:rPr>
          <w:rFonts w:ascii="Avenir Next" w:hAnsi="Avenir Next" w:cs="Arial"/>
          <w:sz w:val="22"/>
          <w:szCs w:val="22"/>
          <w:lang w:val="en-GB"/>
        </w:rPr>
      </w:pPr>
    </w:p>
    <w:p w14:paraId="145983AE" w14:textId="77777777" w:rsidR="00EC242E" w:rsidRPr="008E3C96" w:rsidRDefault="00EC242E" w:rsidP="008E3C96">
      <w:pPr>
        <w:pStyle w:val="a3"/>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a3"/>
        <w:ind w:left="426"/>
        <w:jc w:val="both"/>
        <w:rPr>
          <w:rFonts w:ascii="Avenir Next" w:hAnsi="Avenir Next" w:cs="Arial"/>
          <w:sz w:val="22"/>
          <w:szCs w:val="22"/>
          <w:lang w:val="en-GB"/>
        </w:rPr>
      </w:pPr>
    </w:p>
    <w:p w14:paraId="0701B637" w14:textId="77777777" w:rsidR="00EC242E" w:rsidRPr="008E3C96" w:rsidRDefault="00EC242E" w:rsidP="008E3C96">
      <w:pPr>
        <w:pStyle w:val="a3"/>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a3"/>
        <w:ind w:left="426"/>
        <w:jc w:val="both"/>
        <w:rPr>
          <w:rFonts w:ascii="Avenir Next" w:hAnsi="Avenir Next" w:cs="Arial"/>
          <w:sz w:val="22"/>
          <w:szCs w:val="22"/>
          <w:lang w:val="en-GB"/>
        </w:rPr>
      </w:pPr>
    </w:p>
    <w:p w14:paraId="1D2436EF" w14:textId="2009EE5E" w:rsidR="00EC242E" w:rsidRPr="008E3C96" w:rsidRDefault="00EC242E" w:rsidP="008E3C96">
      <w:pPr>
        <w:pStyle w:val="a3"/>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Canetier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Canetier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Canetier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a3"/>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insolvency practitioner will always succeed in his claim if he can clearly prove that under the </w:t>
      </w:r>
      <w:r w:rsidRPr="008E3C96">
        <w:rPr>
          <w:rFonts w:ascii="Avenir Next" w:hAnsi="Avenir Next" w:cs="Arial"/>
          <w:i/>
          <w:sz w:val="22"/>
          <w:szCs w:val="22"/>
          <w:lang w:val="en-GB"/>
        </w:rPr>
        <w:t>lex concursus</w:t>
      </w:r>
      <w:r w:rsidRPr="008E3C96">
        <w:rPr>
          <w:rFonts w:ascii="Avenir Next" w:hAnsi="Avenir Next" w:cs="Arial"/>
          <w:sz w:val="22"/>
          <w:szCs w:val="22"/>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477D0B" w:rsidRDefault="00EC242E" w:rsidP="00EC242E">
      <w:pPr>
        <w:pStyle w:val="a3"/>
        <w:numPr>
          <w:ilvl w:val="0"/>
          <w:numId w:val="9"/>
        </w:numPr>
        <w:ind w:left="426"/>
        <w:jc w:val="both"/>
        <w:rPr>
          <w:rFonts w:ascii="Avenir Next" w:hAnsi="Avenir Next" w:cs="Arial"/>
          <w:sz w:val="22"/>
          <w:szCs w:val="22"/>
          <w:highlight w:val="yellow"/>
          <w:lang w:val="en-GB"/>
        </w:rPr>
      </w:pPr>
      <w:r w:rsidRPr="00477D0B">
        <w:rPr>
          <w:rFonts w:ascii="Avenir Next" w:hAnsi="Avenir Next" w:cs="Arial"/>
          <w:sz w:val="22"/>
          <w:szCs w:val="22"/>
          <w:highlight w:val="yellow"/>
          <w:lang w:val="en-GB"/>
        </w:rPr>
        <w:t xml:space="preserve">The contested transactions cannot be avoided if Canetier SARL can prove that the </w:t>
      </w:r>
      <w:r w:rsidRPr="00477D0B">
        <w:rPr>
          <w:rFonts w:ascii="Avenir Next" w:hAnsi="Avenir Next" w:cs="Arial"/>
          <w:i/>
          <w:sz w:val="22"/>
          <w:szCs w:val="22"/>
          <w:highlight w:val="yellow"/>
          <w:lang w:val="en-GB"/>
        </w:rPr>
        <w:t>lex causae</w:t>
      </w:r>
      <w:r w:rsidRPr="00477D0B">
        <w:rPr>
          <w:rFonts w:ascii="Avenir Next" w:hAnsi="Avenir Next"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2DC65C69" w14:textId="77777777" w:rsidR="00EC242E" w:rsidRPr="008E3C96" w:rsidRDefault="00EC242E" w:rsidP="00EC242E">
      <w:pPr>
        <w:pStyle w:val="a3"/>
        <w:ind w:left="426"/>
        <w:jc w:val="both"/>
        <w:rPr>
          <w:rFonts w:ascii="Avenir Next" w:hAnsi="Avenir Next" w:cs="Arial"/>
          <w:sz w:val="22"/>
          <w:szCs w:val="22"/>
          <w:lang w:val="en-GB"/>
        </w:rPr>
      </w:pPr>
    </w:p>
    <w:p w14:paraId="22DD9FEF" w14:textId="18795AB2" w:rsidR="00054E15" w:rsidRPr="008E3C96" w:rsidRDefault="00054E15" w:rsidP="00054E15">
      <w:pPr>
        <w:pStyle w:val="a3"/>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payments </w:t>
      </w:r>
      <w:r w:rsidR="00FC235E">
        <w:rPr>
          <w:rFonts w:ascii="Avenir Next" w:hAnsi="Avenir Next" w:cs="Arial"/>
          <w:sz w:val="22"/>
          <w:szCs w:val="22"/>
          <w:lang w:val="en-GB"/>
        </w:rPr>
        <w:t>will</w:t>
      </w:r>
      <w:r w:rsidRPr="008E3C96">
        <w:rPr>
          <w:rFonts w:ascii="Avenir Next" w:hAnsi="Avenir Next" w:cs="Arial"/>
          <w:sz w:val="22"/>
          <w:szCs w:val="22"/>
          <w:lang w:val="en-GB"/>
        </w:rPr>
        <w:t xml:space="preserve"> not be avoided if Canetier SARL proves that such transactions cannot be challenged on the basis of the insolvency provisions of Italian law (Article 16 EIR Recast).</w:t>
      </w:r>
    </w:p>
    <w:p w14:paraId="53AE8D5A" w14:textId="77777777" w:rsidR="00054E15" w:rsidRPr="008E3C96" w:rsidRDefault="00054E15" w:rsidP="00183ED8">
      <w:pPr>
        <w:pStyle w:val="a3"/>
        <w:ind w:left="426"/>
        <w:jc w:val="both"/>
        <w:rPr>
          <w:rFonts w:ascii="Avenir Next" w:hAnsi="Avenir Next" w:cs="Arial"/>
          <w:sz w:val="22"/>
          <w:szCs w:val="22"/>
          <w:lang w:val="en-GB"/>
        </w:rPr>
      </w:pPr>
    </w:p>
    <w:p w14:paraId="2DD3E669" w14:textId="77777777" w:rsidR="00EC242E" w:rsidRPr="008E3C96" w:rsidRDefault="00EC242E" w:rsidP="00EC242E">
      <w:pPr>
        <w:pStyle w:val="a3"/>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Canetier SARL can rely solely, in a purely abstract manner, on the unchallengeable character of the payments at issue on the basis of a provision of the </w:t>
      </w:r>
      <w:r w:rsidRPr="008E3C96">
        <w:rPr>
          <w:rFonts w:ascii="Avenir Next" w:hAnsi="Avenir Next" w:cs="Arial"/>
          <w:i/>
          <w:sz w:val="22"/>
          <w:szCs w:val="22"/>
          <w:lang w:val="en-GB"/>
        </w:rPr>
        <w:t>lex causae</w:t>
      </w:r>
      <w:r w:rsidRPr="008E3C96">
        <w:rPr>
          <w:rFonts w:ascii="Avenir Next" w:hAnsi="Avenir Next" w:cs="Arial"/>
          <w:sz w:val="22"/>
          <w:szCs w:val="22"/>
          <w:lang w:val="en-GB"/>
        </w:rPr>
        <w:t>.</w:t>
      </w:r>
    </w:p>
    <w:p w14:paraId="353B21D0" w14:textId="77777777" w:rsidR="00EC242E" w:rsidRPr="008E3C96" w:rsidRDefault="00EC242E" w:rsidP="00EC242E">
      <w:pPr>
        <w:pStyle w:val="a3"/>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lastRenderedPageBreak/>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8E3C96" w:rsidRDefault="00636C15" w:rsidP="00636C15">
      <w:pPr>
        <w:ind w:left="720" w:hanging="720"/>
        <w:jc w:val="both"/>
        <w:rPr>
          <w:rFonts w:ascii="Avenir Next" w:hAnsi="Avenir Next" w:cs="Arial"/>
          <w:sz w:val="22"/>
          <w:szCs w:val="22"/>
        </w:rPr>
      </w:pPr>
    </w:p>
    <w:p w14:paraId="5C7DD9F3" w14:textId="4421C72A" w:rsidR="00636C15" w:rsidRDefault="00502C38" w:rsidP="004062AE">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In the context of statement n.1, </w:t>
      </w:r>
      <w:r w:rsidR="0001147F">
        <w:rPr>
          <w:rFonts w:ascii="Avenir Next" w:hAnsi="Avenir Next" w:cs="Arial"/>
          <w:color w:val="7B7B7B" w:themeColor="accent3" w:themeShade="BF"/>
          <w:sz w:val="22"/>
          <w:szCs w:val="22"/>
        </w:rPr>
        <w:t xml:space="preserve">the relevant concept refers to </w:t>
      </w:r>
      <w:r w:rsidR="00840CAE">
        <w:rPr>
          <w:rFonts w:ascii="Avenir Next" w:hAnsi="Avenir Next" w:cs="Arial"/>
          <w:color w:val="7B7B7B" w:themeColor="accent3" w:themeShade="BF"/>
          <w:sz w:val="22"/>
          <w:szCs w:val="22"/>
        </w:rPr>
        <w:t>A</w:t>
      </w:r>
      <w:r w:rsidR="0001147F">
        <w:rPr>
          <w:rFonts w:ascii="Avenir Next" w:hAnsi="Avenir Next" w:cs="Arial"/>
          <w:color w:val="7B7B7B" w:themeColor="accent3" w:themeShade="BF"/>
          <w:sz w:val="22"/>
          <w:szCs w:val="22"/>
        </w:rPr>
        <w:t>rticle 3 of the EIR recast, ‘International jurisdiction’</w:t>
      </w:r>
      <w:r w:rsidR="00680F4C">
        <w:rPr>
          <w:rFonts w:ascii="Avenir Next" w:hAnsi="Avenir Next" w:cs="Arial"/>
          <w:color w:val="7B7B7B" w:themeColor="accent3" w:themeShade="BF"/>
          <w:sz w:val="22"/>
          <w:szCs w:val="22"/>
        </w:rPr>
        <w:t xml:space="preserve"> </w:t>
      </w:r>
      <w:r w:rsidR="00BF764D">
        <w:rPr>
          <w:rFonts w:ascii="Avenir Next" w:hAnsi="Avenir Next" w:cs="Arial"/>
          <w:color w:val="7B7B7B" w:themeColor="accent3" w:themeShade="BF"/>
          <w:sz w:val="22"/>
          <w:szCs w:val="22"/>
        </w:rPr>
        <w:t>(</w:t>
      </w:r>
      <w:r w:rsidR="00832FC6">
        <w:rPr>
          <w:rFonts w:ascii="Avenir Next" w:hAnsi="Avenir Next" w:cs="Arial"/>
          <w:color w:val="7B7B7B" w:themeColor="accent3" w:themeShade="BF"/>
          <w:sz w:val="22"/>
          <w:szCs w:val="22"/>
        </w:rPr>
        <w:t>Chapter I, General Provisions</w:t>
      </w:r>
      <w:r w:rsidR="00BF764D">
        <w:rPr>
          <w:rFonts w:ascii="Avenir Next" w:hAnsi="Avenir Next" w:cs="Arial"/>
          <w:color w:val="7B7B7B" w:themeColor="accent3" w:themeShade="BF"/>
          <w:sz w:val="22"/>
          <w:szCs w:val="22"/>
        </w:rPr>
        <w:t>)</w:t>
      </w:r>
      <w:r w:rsidR="0001147F">
        <w:rPr>
          <w:rFonts w:ascii="Avenir Next" w:hAnsi="Avenir Next" w:cs="Arial"/>
          <w:color w:val="7B7B7B" w:themeColor="accent3" w:themeShade="BF"/>
          <w:sz w:val="22"/>
          <w:szCs w:val="22"/>
        </w:rPr>
        <w:t xml:space="preserve">. </w:t>
      </w:r>
      <w:r w:rsidR="00840CAE">
        <w:rPr>
          <w:rFonts w:ascii="Avenir Next" w:hAnsi="Avenir Next" w:cs="Arial"/>
          <w:color w:val="7B7B7B" w:themeColor="accent3" w:themeShade="BF"/>
          <w:sz w:val="22"/>
          <w:szCs w:val="22"/>
        </w:rPr>
        <w:t>The latter</w:t>
      </w:r>
      <w:r w:rsidR="0001147F">
        <w:rPr>
          <w:rFonts w:ascii="Avenir Next" w:hAnsi="Avenir Next" w:cs="Arial"/>
          <w:color w:val="7B7B7B" w:themeColor="accent3" w:themeShade="BF"/>
          <w:sz w:val="22"/>
          <w:szCs w:val="22"/>
        </w:rPr>
        <w:t xml:space="preserve"> particularly elaborates on the </w:t>
      </w:r>
      <w:r w:rsidR="004062AE">
        <w:rPr>
          <w:rFonts w:ascii="Avenir Next" w:hAnsi="Avenir Next" w:cs="Arial"/>
          <w:color w:val="7B7B7B" w:themeColor="accent3" w:themeShade="BF"/>
          <w:sz w:val="22"/>
          <w:szCs w:val="22"/>
        </w:rPr>
        <w:t xml:space="preserve">rebuttable </w:t>
      </w:r>
      <w:r w:rsidR="0001147F">
        <w:rPr>
          <w:rFonts w:ascii="Avenir Next" w:hAnsi="Avenir Next" w:cs="Arial"/>
          <w:color w:val="7B7B7B" w:themeColor="accent3" w:themeShade="BF"/>
          <w:sz w:val="22"/>
          <w:szCs w:val="22"/>
        </w:rPr>
        <w:t xml:space="preserve">presumptions laid down in respect of the centre of the debtor’s main interests for a company or legal person, an individual, specifically in case of an independent business or professional activity, or any other individual. The </w:t>
      </w:r>
      <w:r w:rsidR="00655919">
        <w:rPr>
          <w:rFonts w:ascii="Avenir Next" w:hAnsi="Avenir Next" w:cs="Arial"/>
          <w:color w:val="7B7B7B" w:themeColor="accent3" w:themeShade="BF"/>
          <w:sz w:val="22"/>
          <w:szCs w:val="22"/>
        </w:rPr>
        <w:t>assessment</w:t>
      </w:r>
      <w:r w:rsidR="0001147F">
        <w:rPr>
          <w:rFonts w:ascii="Avenir Next" w:hAnsi="Avenir Next" w:cs="Arial"/>
          <w:color w:val="7B7B7B" w:themeColor="accent3" w:themeShade="BF"/>
          <w:sz w:val="22"/>
          <w:szCs w:val="22"/>
        </w:rPr>
        <w:t xml:space="preserve"> of the centre of the debtor’s main interests is critical for the determination of the courts competent to open main insolvency proceedings. </w:t>
      </w:r>
      <w:r w:rsidR="004062AE">
        <w:rPr>
          <w:rFonts w:ascii="Avenir Next" w:hAnsi="Avenir Next" w:cs="Arial"/>
          <w:color w:val="7B7B7B" w:themeColor="accent3" w:themeShade="BF"/>
          <w:sz w:val="22"/>
          <w:szCs w:val="22"/>
        </w:rPr>
        <w:t xml:space="preserve">The presumptions should be rebuttable so to avoid abusive or fraudulent forum shopping. </w:t>
      </w:r>
      <w:r w:rsidR="00655919">
        <w:rPr>
          <w:rFonts w:ascii="Avenir Next" w:hAnsi="Avenir Next" w:cs="Arial"/>
          <w:color w:val="7B7B7B" w:themeColor="accent3" w:themeShade="BF"/>
          <w:sz w:val="22"/>
          <w:szCs w:val="22"/>
        </w:rPr>
        <w:t>In particular, p</w:t>
      </w:r>
      <w:r w:rsidR="0001147F">
        <w:rPr>
          <w:rFonts w:ascii="Avenir Next" w:hAnsi="Avenir Next" w:cs="Arial"/>
          <w:color w:val="7B7B7B" w:themeColor="accent3" w:themeShade="BF"/>
          <w:sz w:val="22"/>
          <w:szCs w:val="22"/>
        </w:rPr>
        <w:t xml:space="preserve">aragraph 1 of </w:t>
      </w:r>
      <w:r w:rsidR="00655919">
        <w:rPr>
          <w:rFonts w:ascii="Avenir Next" w:hAnsi="Avenir Next" w:cs="Arial"/>
          <w:color w:val="7B7B7B" w:themeColor="accent3" w:themeShade="BF"/>
          <w:sz w:val="22"/>
          <w:szCs w:val="22"/>
        </w:rPr>
        <w:t>A</w:t>
      </w:r>
      <w:r w:rsidR="0001147F">
        <w:rPr>
          <w:rFonts w:ascii="Avenir Next" w:hAnsi="Avenir Next" w:cs="Arial"/>
          <w:color w:val="7B7B7B" w:themeColor="accent3" w:themeShade="BF"/>
          <w:sz w:val="22"/>
          <w:szCs w:val="22"/>
        </w:rPr>
        <w:t>rticle 3 st</w:t>
      </w:r>
      <w:r w:rsidR="00655919">
        <w:rPr>
          <w:rFonts w:ascii="Avenir Next" w:hAnsi="Avenir Next" w:cs="Arial"/>
          <w:color w:val="7B7B7B" w:themeColor="accent3" w:themeShade="BF"/>
          <w:sz w:val="22"/>
          <w:szCs w:val="22"/>
        </w:rPr>
        <w:t>ipulates</w:t>
      </w:r>
      <w:r w:rsidR="0001147F">
        <w:rPr>
          <w:rFonts w:ascii="Avenir Next" w:hAnsi="Avenir Next" w:cs="Arial"/>
          <w:color w:val="7B7B7B" w:themeColor="accent3" w:themeShade="BF"/>
          <w:sz w:val="22"/>
          <w:szCs w:val="22"/>
        </w:rPr>
        <w:t xml:space="preserve"> that </w:t>
      </w:r>
      <w:r w:rsidR="004062AE">
        <w:rPr>
          <w:rFonts w:ascii="Avenir Next" w:hAnsi="Avenir Next" w:cs="Arial"/>
          <w:color w:val="7B7B7B" w:themeColor="accent3" w:themeShade="BF"/>
          <w:sz w:val="22"/>
          <w:szCs w:val="22"/>
        </w:rPr>
        <w:t xml:space="preserve">the </w:t>
      </w:r>
      <w:r w:rsidR="0001147F">
        <w:rPr>
          <w:rFonts w:ascii="Avenir Next" w:hAnsi="Avenir Next" w:cs="Arial"/>
          <w:color w:val="7B7B7B" w:themeColor="accent3" w:themeShade="BF"/>
          <w:sz w:val="22"/>
          <w:szCs w:val="22"/>
        </w:rPr>
        <w:t xml:space="preserve">centre of main interests is linked to </w:t>
      </w:r>
      <w:r w:rsidR="004062AE">
        <w:rPr>
          <w:rFonts w:ascii="Avenir Next" w:hAnsi="Avenir Next" w:cs="Arial"/>
          <w:color w:val="7B7B7B" w:themeColor="accent3" w:themeShade="BF"/>
          <w:sz w:val="22"/>
          <w:szCs w:val="22"/>
        </w:rPr>
        <w:t xml:space="preserve">the place where </w:t>
      </w:r>
      <w:r w:rsidR="006926E1">
        <w:rPr>
          <w:rFonts w:ascii="Avenir Next" w:hAnsi="Avenir Next" w:cs="Arial"/>
          <w:color w:val="7B7B7B" w:themeColor="accent3" w:themeShade="BF"/>
          <w:sz w:val="22"/>
          <w:szCs w:val="22"/>
        </w:rPr>
        <w:t>“</w:t>
      </w:r>
      <w:r w:rsidR="004062AE">
        <w:rPr>
          <w:rFonts w:ascii="Avenir Next" w:hAnsi="Avenir Next" w:cs="Arial"/>
          <w:color w:val="7B7B7B" w:themeColor="accent3" w:themeShade="BF"/>
          <w:sz w:val="22"/>
          <w:szCs w:val="22"/>
        </w:rPr>
        <w:t xml:space="preserve">the debtor </w:t>
      </w:r>
      <w:r w:rsidR="004062AE" w:rsidRPr="0001147F">
        <w:rPr>
          <w:rFonts w:ascii="Avenir Next" w:hAnsi="Avenir Next" w:cs="Arial"/>
          <w:color w:val="7B7B7B" w:themeColor="accent3" w:themeShade="BF"/>
          <w:sz w:val="22"/>
          <w:szCs w:val="22"/>
        </w:rPr>
        <w:t>conducts the administration of its interests on a regular basis</w:t>
      </w:r>
      <w:r w:rsidR="006926E1">
        <w:rPr>
          <w:rFonts w:ascii="Avenir Next" w:hAnsi="Avenir Next" w:cs="Arial"/>
          <w:color w:val="7B7B7B" w:themeColor="accent3" w:themeShade="BF"/>
          <w:sz w:val="22"/>
          <w:szCs w:val="22"/>
        </w:rPr>
        <w:t>”</w:t>
      </w:r>
      <w:r w:rsidR="004062AE">
        <w:rPr>
          <w:rFonts w:ascii="Avenir Next" w:hAnsi="Avenir Next" w:cs="Arial"/>
          <w:color w:val="7B7B7B" w:themeColor="accent3" w:themeShade="BF"/>
          <w:sz w:val="22"/>
          <w:szCs w:val="22"/>
        </w:rPr>
        <w:t xml:space="preserve"> (Article 3(1) EIR </w:t>
      </w:r>
      <w:r w:rsidR="00E15430">
        <w:rPr>
          <w:rFonts w:ascii="Avenir Next" w:hAnsi="Avenir Next" w:cs="Arial"/>
          <w:color w:val="7B7B7B" w:themeColor="accent3" w:themeShade="BF"/>
          <w:sz w:val="22"/>
          <w:szCs w:val="22"/>
        </w:rPr>
        <w:t>R</w:t>
      </w:r>
      <w:r w:rsidR="004062AE">
        <w:rPr>
          <w:rFonts w:ascii="Avenir Next" w:hAnsi="Avenir Next" w:cs="Arial"/>
          <w:color w:val="7B7B7B" w:themeColor="accent3" w:themeShade="BF"/>
          <w:sz w:val="22"/>
          <w:szCs w:val="22"/>
        </w:rPr>
        <w:t>ecast) and</w:t>
      </w:r>
      <w:r w:rsidR="00E15430">
        <w:rPr>
          <w:rFonts w:ascii="Avenir Next" w:hAnsi="Avenir Next" w:cs="Arial"/>
          <w:color w:val="7B7B7B" w:themeColor="accent3" w:themeShade="BF"/>
          <w:sz w:val="22"/>
          <w:szCs w:val="22"/>
        </w:rPr>
        <w:t xml:space="preserve"> to</w:t>
      </w:r>
      <w:r w:rsidR="004062AE">
        <w:rPr>
          <w:rFonts w:ascii="Avenir Next" w:hAnsi="Avenir Next" w:cs="Arial"/>
          <w:color w:val="7B7B7B" w:themeColor="accent3" w:themeShade="BF"/>
          <w:sz w:val="22"/>
          <w:szCs w:val="22"/>
        </w:rPr>
        <w:t xml:space="preserve"> </w:t>
      </w:r>
      <w:r w:rsidR="0001147F">
        <w:rPr>
          <w:rFonts w:ascii="Avenir Next" w:hAnsi="Avenir Next" w:cs="Arial"/>
          <w:color w:val="7B7B7B" w:themeColor="accent3" w:themeShade="BF"/>
          <w:sz w:val="22"/>
          <w:szCs w:val="22"/>
        </w:rPr>
        <w:t xml:space="preserve">the element of ascertainability by third </w:t>
      </w:r>
      <w:r w:rsidR="004062AE">
        <w:rPr>
          <w:rFonts w:ascii="Avenir Next" w:hAnsi="Avenir Next" w:cs="Arial"/>
          <w:color w:val="7B7B7B" w:themeColor="accent3" w:themeShade="BF"/>
          <w:sz w:val="22"/>
          <w:szCs w:val="22"/>
        </w:rPr>
        <w:t>parties</w:t>
      </w:r>
      <w:r w:rsidR="00771A1E">
        <w:rPr>
          <w:rFonts w:ascii="Avenir Next" w:hAnsi="Avenir Next" w:cs="Arial"/>
          <w:color w:val="7B7B7B" w:themeColor="accent3" w:themeShade="BF"/>
          <w:sz w:val="22"/>
          <w:szCs w:val="22"/>
        </w:rPr>
        <w:t>.</w:t>
      </w:r>
    </w:p>
    <w:p w14:paraId="6D37459C" w14:textId="7C765626" w:rsidR="00502C38" w:rsidRDefault="00502C38" w:rsidP="00636C15">
      <w:pPr>
        <w:ind w:left="720" w:hanging="720"/>
        <w:jc w:val="both"/>
        <w:rPr>
          <w:rFonts w:ascii="Avenir Next" w:hAnsi="Avenir Next" w:cs="Arial"/>
          <w:color w:val="7B7B7B" w:themeColor="accent3" w:themeShade="BF"/>
          <w:sz w:val="22"/>
          <w:szCs w:val="22"/>
        </w:rPr>
      </w:pPr>
    </w:p>
    <w:p w14:paraId="62D3DFF8" w14:textId="648A066B" w:rsidR="00502C38" w:rsidRPr="000C166E" w:rsidRDefault="00502C38" w:rsidP="009E40CB">
      <w:pPr>
        <w:jc w:val="both"/>
        <w:rPr>
          <w:rFonts w:ascii="Avenir Next" w:hAnsi="Avenir Next" w:cs="Arial"/>
          <w:sz w:val="22"/>
          <w:szCs w:val="22"/>
        </w:rPr>
      </w:pPr>
      <w:r>
        <w:rPr>
          <w:rFonts w:ascii="Avenir Next" w:hAnsi="Avenir Next" w:cs="Arial"/>
          <w:color w:val="7B7B7B" w:themeColor="accent3" w:themeShade="BF"/>
          <w:sz w:val="22"/>
          <w:szCs w:val="22"/>
        </w:rPr>
        <w:t>In the context of statement n.2</w:t>
      </w:r>
      <w:r w:rsidR="004062AE">
        <w:rPr>
          <w:rFonts w:ascii="Avenir Next" w:hAnsi="Avenir Next" w:cs="Arial"/>
          <w:color w:val="7B7B7B" w:themeColor="accent3" w:themeShade="BF"/>
          <w:sz w:val="22"/>
          <w:szCs w:val="22"/>
        </w:rPr>
        <w:t xml:space="preserve">, the relevant concept refers to </w:t>
      </w:r>
      <w:r w:rsidR="002C13F4">
        <w:rPr>
          <w:rFonts w:ascii="Avenir Next" w:hAnsi="Avenir Next" w:cs="Arial"/>
          <w:color w:val="7B7B7B" w:themeColor="accent3" w:themeShade="BF"/>
          <w:sz w:val="22"/>
          <w:szCs w:val="22"/>
        </w:rPr>
        <w:t>A</w:t>
      </w:r>
      <w:r w:rsidR="004062AE">
        <w:rPr>
          <w:rFonts w:ascii="Avenir Next" w:hAnsi="Avenir Next" w:cs="Arial"/>
          <w:color w:val="7B7B7B" w:themeColor="accent3" w:themeShade="BF"/>
          <w:sz w:val="22"/>
          <w:szCs w:val="22"/>
        </w:rPr>
        <w:t xml:space="preserve">rticle 1 of the EIR </w:t>
      </w:r>
      <w:r w:rsidR="002C13F4">
        <w:rPr>
          <w:rFonts w:ascii="Avenir Next" w:hAnsi="Avenir Next" w:cs="Arial"/>
          <w:color w:val="7B7B7B" w:themeColor="accent3" w:themeShade="BF"/>
          <w:sz w:val="22"/>
          <w:szCs w:val="22"/>
        </w:rPr>
        <w:t>R</w:t>
      </w:r>
      <w:r w:rsidR="004062AE">
        <w:rPr>
          <w:rFonts w:ascii="Avenir Next" w:hAnsi="Avenir Next" w:cs="Arial"/>
          <w:color w:val="7B7B7B" w:themeColor="accent3" w:themeShade="BF"/>
          <w:sz w:val="22"/>
          <w:szCs w:val="22"/>
        </w:rPr>
        <w:t>ecast, ‘Scope’</w:t>
      </w:r>
      <w:r w:rsidR="00D81DA9">
        <w:rPr>
          <w:rFonts w:ascii="Avenir Next" w:hAnsi="Avenir Next" w:cs="Arial"/>
          <w:color w:val="7B7B7B" w:themeColor="accent3" w:themeShade="BF"/>
          <w:sz w:val="22"/>
          <w:szCs w:val="22"/>
        </w:rPr>
        <w:t xml:space="preserve"> (Chapter I, General Provisions). </w:t>
      </w:r>
      <w:r w:rsidR="009E40CB">
        <w:rPr>
          <w:rFonts w:ascii="Avenir Next" w:hAnsi="Avenir Next" w:cs="Arial"/>
          <w:color w:val="7B7B7B" w:themeColor="accent3" w:themeShade="BF"/>
          <w:sz w:val="22"/>
          <w:szCs w:val="22"/>
        </w:rPr>
        <w:t>This article analyzes the requirements that an insolvency proceeding should</w:t>
      </w:r>
      <w:r w:rsidR="00F54181">
        <w:rPr>
          <w:rFonts w:ascii="Avenir Next" w:hAnsi="Avenir Next" w:cs="Arial"/>
          <w:color w:val="7B7B7B" w:themeColor="accent3" w:themeShade="BF"/>
          <w:sz w:val="22"/>
          <w:szCs w:val="22"/>
        </w:rPr>
        <w:t xml:space="preserve"> have in order for the EIR recast to apply. </w:t>
      </w:r>
      <w:r w:rsidR="00B639B4">
        <w:rPr>
          <w:rFonts w:ascii="Avenir Next" w:hAnsi="Avenir Next" w:cs="Arial"/>
          <w:color w:val="7B7B7B" w:themeColor="accent3" w:themeShade="BF"/>
          <w:sz w:val="22"/>
          <w:szCs w:val="22"/>
        </w:rPr>
        <w:t xml:space="preserve">Noting the innovative approach of the EIR recast, it should be noted that the applicability of the Regulation should further extend to proceedings dealing with financially viable </w:t>
      </w:r>
      <w:r w:rsidR="00666A97">
        <w:rPr>
          <w:rFonts w:ascii="Avenir Next" w:hAnsi="Avenir Next" w:cs="Arial"/>
          <w:color w:val="7B7B7B" w:themeColor="accent3" w:themeShade="BF"/>
          <w:sz w:val="22"/>
          <w:szCs w:val="22"/>
        </w:rPr>
        <w:t xml:space="preserve">but distressed </w:t>
      </w:r>
      <w:r w:rsidR="00B639B4">
        <w:rPr>
          <w:rFonts w:ascii="Avenir Next" w:hAnsi="Avenir Next" w:cs="Arial"/>
          <w:color w:val="7B7B7B" w:themeColor="accent3" w:themeShade="BF"/>
          <w:sz w:val="22"/>
          <w:szCs w:val="22"/>
        </w:rPr>
        <w:t>debtors</w:t>
      </w:r>
      <w:r w:rsidR="00666A97">
        <w:rPr>
          <w:rFonts w:ascii="Avenir Next" w:hAnsi="Avenir Next" w:cs="Arial"/>
          <w:color w:val="7B7B7B" w:themeColor="accent3" w:themeShade="BF"/>
          <w:sz w:val="22"/>
          <w:szCs w:val="22"/>
        </w:rPr>
        <w:t xml:space="preserve"> and to proceedings where </w:t>
      </w:r>
      <w:r w:rsidR="004D7F83">
        <w:rPr>
          <w:rFonts w:ascii="Avenir Next" w:hAnsi="Avenir Next" w:cs="Arial"/>
          <w:color w:val="7B7B7B" w:themeColor="accent3" w:themeShade="BF"/>
          <w:sz w:val="22"/>
          <w:szCs w:val="22"/>
        </w:rPr>
        <w:t>the debtor is close to insolvency</w:t>
      </w:r>
      <w:r w:rsidR="006926E1">
        <w:rPr>
          <w:rFonts w:ascii="Avenir Next" w:hAnsi="Avenir Next" w:cs="Arial"/>
          <w:color w:val="7B7B7B" w:themeColor="accent3" w:themeShade="BF"/>
          <w:sz w:val="22"/>
          <w:szCs w:val="22"/>
        </w:rPr>
        <w:t xml:space="preserve"> </w:t>
      </w:r>
      <w:r w:rsidR="00B639B4">
        <w:rPr>
          <w:rFonts w:ascii="Avenir Next" w:hAnsi="Avenir Next" w:cs="Arial"/>
          <w:color w:val="7B7B7B" w:themeColor="accent3" w:themeShade="BF"/>
          <w:sz w:val="22"/>
          <w:szCs w:val="22"/>
        </w:rPr>
        <w:t>(as also noted in Recital 10)</w:t>
      </w:r>
      <w:r w:rsidR="000C166E">
        <w:rPr>
          <w:rFonts w:ascii="Avenir Next" w:hAnsi="Avenir Next" w:cs="Arial"/>
          <w:color w:val="7B7B7B" w:themeColor="accent3" w:themeShade="BF"/>
          <w:sz w:val="22"/>
          <w:szCs w:val="22"/>
        </w:rPr>
        <w:t>.</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653F9E46" w14:textId="071D07B8" w:rsidR="00682411" w:rsidRDefault="00682411" w:rsidP="006A04A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a </w:t>
      </w:r>
      <w:r w:rsidR="0064381D">
        <w:rPr>
          <w:rFonts w:ascii="Avenir Next" w:hAnsi="Avenir Next" w:cs="Arial"/>
          <w:color w:val="7B7B7B" w:themeColor="accent3" w:themeShade="BF"/>
          <w:sz w:val="22"/>
          <w:szCs w:val="22"/>
          <w:lang w:val="en-GB"/>
        </w:rPr>
        <w:t>first</w:t>
      </w:r>
      <w:r>
        <w:rPr>
          <w:rFonts w:ascii="Avenir Next" w:hAnsi="Avenir Next" w:cs="Arial"/>
          <w:color w:val="7B7B7B" w:themeColor="accent3" w:themeShade="BF"/>
          <w:sz w:val="22"/>
          <w:szCs w:val="22"/>
          <w:lang w:val="en-GB"/>
        </w:rPr>
        <w:t xml:space="preserve"> example, </w:t>
      </w:r>
      <w:r w:rsidR="004C756D">
        <w:rPr>
          <w:rFonts w:ascii="Avenir Next" w:hAnsi="Avenir Next" w:cs="Arial"/>
          <w:color w:val="7B7B7B" w:themeColor="accent3" w:themeShade="BF"/>
          <w:sz w:val="22"/>
          <w:szCs w:val="22"/>
          <w:lang w:val="en-GB"/>
        </w:rPr>
        <w:t xml:space="preserve">we </w:t>
      </w:r>
      <w:r w:rsidR="0064381D">
        <w:rPr>
          <w:rFonts w:ascii="Avenir Next" w:hAnsi="Avenir Next" w:cs="Arial"/>
          <w:color w:val="7B7B7B" w:themeColor="accent3" w:themeShade="BF"/>
          <w:sz w:val="22"/>
          <w:szCs w:val="22"/>
          <w:lang w:val="en-GB"/>
        </w:rPr>
        <w:t>could</w:t>
      </w:r>
      <w:r w:rsidR="004C756D">
        <w:rPr>
          <w:rFonts w:ascii="Avenir Next" w:hAnsi="Avenir Next" w:cs="Arial"/>
          <w:color w:val="7B7B7B" w:themeColor="accent3" w:themeShade="BF"/>
          <w:sz w:val="22"/>
          <w:szCs w:val="22"/>
          <w:lang w:val="en-GB"/>
        </w:rPr>
        <w:t xml:space="preserve"> refer to Article 3(2) EIR Re</w:t>
      </w:r>
      <w:r w:rsidR="003421C8">
        <w:rPr>
          <w:rFonts w:ascii="Avenir Next" w:hAnsi="Avenir Next" w:cs="Arial"/>
          <w:color w:val="7B7B7B" w:themeColor="accent3" w:themeShade="BF"/>
          <w:sz w:val="22"/>
          <w:szCs w:val="22"/>
          <w:lang w:val="en-GB"/>
        </w:rPr>
        <w:t>c</w:t>
      </w:r>
      <w:r w:rsidR="004C756D">
        <w:rPr>
          <w:rFonts w:ascii="Avenir Next" w:hAnsi="Avenir Next" w:cs="Arial"/>
          <w:color w:val="7B7B7B" w:themeColor="accent3" w:themeShade="BF"/>
          <w:sz w:val="22"/>
          <w:szCs w:val="22"/>
          <w:lang w:val="en-GB"/>
        </w:rPr>
        <w:t xml:space="preserve">ast. If main insolvency proceedings relate to the centre of the debtor’s main interests (‘COMI of the debtor’), </w:t>
      </w:r>
      <w:r w:rsidR="00E54DE5">
        <w:rPr>
          <w:rFonts w:ascii="Avenir Next" w:hAnsi="Avenir Next" w:cs="Arial"/>
          <w:color w:val="7B7B7B" w:themeColor="accent3" w:themeShade="BF"/>
          <w:sz w:val="22"/>
          <w:szCs w:val="22"/>
          <w:lang w:val="en-GB"/>
        </w:rPr>
        <w:t xml:space="preserve">an establishment of the debtor in any </w:t>
      </w:r>
      <w:r w:rsidR="00717031">
        <w:rPr>
          <w:rFonts w:ascii="Avenir Next" w:hAnsi="Avenir Next" w:cs="Arial"/>
          <w:color w:val="7B7B7B" w:themeColor="accent3" w:themeShade="BF"/>
          <w:sz w:val="22"/>
          <w:szCs w:val="22"/>
          <w:lang w:val="en-GB"/>
        </w:rPr>
        <w:t>EU Member State</w:t>
      </w:r>
      <w:r w:rsidR="00E54DE5">
        <w:rPr>
          <w:rFonts w:ascii="Avenir Next" w:hAnsi="Avenir Next" w:cs="Arial"/>
          <w:color w:val="7B7B7B" w:themeColor="accent3" w:themeShade="BF"/>
          <w:sz w:val="22"/>
          <w:szCs w:val="22"/>
          <w:lang w:val="en-GB"/>
        </w:rPr>
        <w:t xml:space="preserve"> can justify the opening of secondary insolvency proceedings. </w:t>
      </w:r>
      <w:r w:rsidR="00D3649F">
        <w:rPr>
          <w:rFonts w:ascii="Avenir Next" w:hAnsi="Avenir Next" w:cs="Arial"/>
          <w:color w:val="7B7B7B" w:themeColor="accent3" w:themeShade="BF"/>
          <w:sz w:val="22"/>
          <w:szCs w:val="22"/>
          <w:lang w:val="en-GB"/>
        </w:rPr>
        <w:t>In accordance with the EIR Recast</w:t>
      </w:r>
      <w:r w:rsidR="000F1A41">
        <w:rPr>
          <w:rFonts w:ascii="Avenir Next" w:hAnsi="Avenir Next" w:cs="Arial"/>
          <w:color w:val="7B7B7B" w:themeColor="accent3" w:themeShade="BF"/>
          <w:sz w:val="22"/>
          <w:szCs w:val="22"/>
          <w:lang w:val="en-GB"/>
        </w:rPr>
        <w:t>,</w:t>
      </w:r>
      <w:r w:rsidR="00D3649F">
        <w:rPr>
          <w:rFonts w:ascii="Avenir Next" w:hAnsi="Avenir Next" w:cs="Arial"/>
          <w:color w:val="7B7B7B" w:themeColor="accent3" w:themeShade="BF"/>
          <w:sz w:val="22"/>
          <w:szCs w:val="22"/>
          <w:lang w:val="en-GB"/>
        </w:rPr>
        <w:t xml:space="preserve"> there </w:t>
      </w:r>
      <w:r w:rsidR="00FE13B5">
        <w:rPr>
          <w:rFonts w:ascii="Avenir Next" w:hAnsi="Avenir Next" w:cs="Arial"/>
          <w:color w:val="7B7B7B" w:themeColor="accent3" w:themeShade="BF"/>
          <w:sz w:val="22"/>
          <w:szCs w:val="22"/>
          <w:lang w:val="en-GB"/>
        </w:rPr>
        <w:t>could be</w:t>
      </w:r>
      <w:r w:rsidR="00D3649F">
        <w:rPr>
          <w:rFonts w:ascii="Avenir Next" w:hAnsi="Avenir Next" w:cs="Arial"/>
          <w:color w:val="7B7B7B" w:themeColor="accent3" w:themeShade="BF"/>
          <w:sz w:val="22"/>
          <w:szCs w:val="22"/>
          <w:lang w:val="en-GB"/>
        </w:rPr>
        <w:t xml:space="preserve"> only one main insolvency proceeding and there could eventually be 26 secondary </w:t>
      </w:r>
      <w:r w:rsidR="000F1A41">
        <w:rPr>
          <w:rFonts w:ascii="Avenir Next" w:hAnsi="Avenir Next" w:cs="Arial"/>
          <w:color w:val="7B7B7B" w:themeColor="accent3" w:themeShade="BF"/>
          <w:sz w:val="22"/>
          <w:szCs w:val="22"/>
          <w:lang w:val="en-GB"/>
        </w:rPr>
        <w:t xml:space="preserve">insolvency </w:t>
      </w:r>
      <w:r w:rsidR="00D3649F">
        <w:rPr>
          <w:rFonts w:ascii="Avenir Next" w:hAnsi="Avenir Next" w:cs="Arial"/>
          <w:color w:val="7B7B7B" w:themeColor="accent3" w:themeShade="BF"/>
          <w:sz w:val="22"/>
          <w:szCs w:val="22"/>
          <w:lang w:val="en-GB"/>
        </w:rPr>
        <w:t xml:space="preserve">proceedings reflecting the </w:t>
      </w:r>
      <w:r w:rsidR="005E55D4">
        <w:rPr>
          <w:rFonts w:ascii="Avenir Next" w:hAnsi="Avenir Next" w:cs="Arial"/>
          <w:color w:val="7B7B7B" w:themeColor="accent3" w:themeShade="BF"/>
          <w:sz w:val="22"/>
          <w:szCs w:val="22"/>
          <w:lang w:val="en-GB"/>
        </w:rPr>
        <w:t xml:space="preserve">maximum </w:t>
      </w:r>
      <w:r w:rsidR="00D3649F">
        <w:rPr>
          <w:rFonts w:ascii="Avenir Next" w:hAnsi="Avenir Next" w:cs="Arial"/>
          <w:color w:val="7B7B7B" w:themeColor="accent3" w:themeShade="BF"/>
          <w:sz w:val="22"/>
          <w:szCs w:val="22"/>
          <w:lang w:val="en-GB"/>
        </w:rPr>
        <w:t>number of the debtor’s establishment</w:t>
      </w:r>
      <w:r w:rsidR="00B71F29">
        <w:rPr>
          <w:rFonts w:ascii="Avenir Next" w:hAnsi="Avenir Next" w:cs="Arial"/>
          <w:color w:val="7B7B7B" w:themeColor="accent3" w:themeShade="BF"/>
          <w:sz w:val="22"/>
          <w:szCs w:val="22"/>
          <w:lang w:val="en-GB"/>
        </w:rPr>
        <w:t>s</w:t>
      </w:r>
      <w:r w:rsidR="00D3649F">
        <w:rPr>
          <w:rFonts w:ascii="Avenir Next" w:hAnsi="Avenir Next" w:cs="Arial"/>
          <w:color w:val="7B7B7B" w:themeColor="accent3" w:themeShade="BF"/>
          <w:sz w:val="22"/>
          <w:szCs w:val="22"/>
          <w:lang w:val="en-GB"/>
        </w:rPr>
        <w:t xml:space="preserve"> across </w:t>
      </w:r>
      <w:r w:rsidR="000F1A41">
        <w:rPr>
          <w:rFonts w:ascii="Avenir Next" w:hAnsi="Avenir Next" w:cs="Arial"/>
          <w:color w:val="7B7B7B" w:themeColor="accent3" w:themeShade="BF"/>
          <w:sz w:val="22"/>
          <w:szCs w:val="22"/>
          <w:lang w:val="en-GB"/>
        </w:rPr>
        <w:t>all</w:t>
      </w:r>
      <w:r w:rsidR="00D3649F">
        <w:rPr>
          <w:rFonts w:ascii="Avenir Next" w:hAnsi="Avenir Next" w:cs="Arial"/>
          <w:color w:val="7B7B7B" w:themeColor="accent3" w:themeShade="BF"/>
          <w:sz w:val="22"/>
          <w:szCs w:val="22"/>
          <w:lang w:val="en-GB"/>
        </w:rPr>
        <w:t xml:space="preserve"> </w:t>
      </w:r>
      <w:r w:rsidR="00D924E8">
        <w:rPr>
          <w:rFonts w:ascii="Avenir Next" w:hAnsi="Avenir Next" w:cs="Arial"/>
          <w:color w:val="7B7B7B" w:themeColor="accent3" w:themeShade="BF"/>
          <w:sz w:val="22"/>
          <w:szCs w:val="22"/>
          <w:lang w:val="en-GB"/>
        </w:rPr>
        <w:t xml:space="preserve">other </w:t>
      </w:r>
      <w:r w:rsidR="00D3649F">
        <w:rPr>
          <w:rFonts w:ascii="Avenir Next" w:hAnsi="Avenir Next" w:cs="Arial"/>
          <w:color w:val="7B7B7B" w:themeColor="accent3" w:themeShade="BF"/>
          <w:sz w:val="22"/>
          <w:szCs w:val="22"/>
          <w:lang w:val="en-GB"/>
        </w:rPr>
        <w:t>EU Member-States.</w:t>
      </w:r>
      <w:r w:rsidR="005E0650">
        <w:rPr>
          <w:rFonts w:ascii="Avenir Next" w:hAnsi="Avenir Next" w:cs="Arial"/>
          <w:color w:val="7B7B7B" w:themeColor="accent3" w:themeShade="BF"/>
          <w:sz w:val="22"/>
          <w:szCs w:val="22"/>
          <w:lang w:val="en-GB"/>
        </w:rPr>
        <w:t xml:space="preserve"> As a result, the eventuality of opening </w:t>
      </w:r>
      <w:r w:rsidR="006A04AD">
        <w:rPr>
          <w:rFonts w:ascii="Avenir Next" w:hAnsi="Avenir Next" w:cs="Arial"/>
          <w:color w:val="7B7B7B" w:themeColor="accent3" w:themeShade="BF"/>
          <w:sz w:val="22"/>
          <w:szCs w:val="22"/>
          <w:lang w:val="en-GB"/>
        </w:rPr>
        <w:t xml:space="preserve">both a main insolvency proceeding and one or more secondary insolvency proceedings in respect of one debtor </w:t>
      </w:r>
      <w:r w:rsidR="008734FB">
        <w:rPr>
          <w:rFonts w:ascii="Avenir Next" w:hAnsi="Avenir Next" w:cs="Arial"/>
          <w:color w:val="7B7B7B" w:themeColor="accent3" w:themeShade="BF"/>
          <w:sz w:val="22"/>
          <w:szCs w:val="22"/>
          <w:lang w:val="en-GB"/>
        </w:rPr>
        <w:t>allows</w:t>
      </w:r>
      <w:r w:rsidR="006A04AD">
        <w:rPr>
          <w:rFonts w:ascii="Avenir Next" w:hAnsi="Avenir Next" w:cs="Arial"/>
          <w:color w:val="7B7B7B" w:themeColor="accent3" w:themeShade="BF"/>
          <w:sz w:val="22"/>
          <w:szCs w:val="22"/>
          <w:lang w:val="en-GB"/>
        </w:rPr>
        <w:t xml:space="preserve"> t</w:t>
      </w:r>
      <w:r w:rsidR="008734FB">
        <w:rPr>
          <w:rFonts w:ascii="Avenir Next" w:hAnsi="Avenir Next" w:cs="Arial"/>
          <w:color w:val="7B7B7B" w:themeColor="accent3" w:themeShade="BF"/>
          <w:sz w:val="22"/>
          <w:szCs w:val="22"/>
          <w:lang w:val="en-GB"/>
        </w:rPr>
        <w:t>he creation of</w:t>
      </w:r>
      <w:r w:rsidR="006A04AD">
        <w:rPr>
          <w:rFonts w:ascii="Avenir Next" w:hAnsi="Avenir Next" w:cs="Arial"/>
          <w:color w:val="7B7B7B" w:themeColor="accent3" w:themeShade="BF"/>
          <w:sz w:val="22"/>
          <w:szCs w:val="22"/>
          <w:lang w:val="en-GB"/>
        </w:rPr>
        <w:t xml:space="preserve"> an intricate situation for the debtor’s assets and affairs.</w:t>
      </w:r>
      <w:r w:rsidR="00165BF5">
        <w:rPr>
          <w:rFonts w:ascii="Avenir Next" w:hAnsi="Avenir Next" w:cs="Arial"/>
          <w:color w:val="7B7B7B" w:themeColor="accent3" w:themeShade="BF"/>
          <w:sz w:val="22"/>
          <w:szCs w:val="22"/>
          <w:lang w:val="en-GB"/>
        </w:rPr>
        <w:t xml:space="preserve"> In this context, the main proceeding </w:t>
      </w:r>
      <w:r w:rsidR="000F1A41">
        <w:rPr>
          <w:rFonts w:ascii="Avenir Next" w:hAnsi="Avenir Next" w:cs="Arial"/>
          <w:color w:val="7B7B7B" w:themeColor="accent3" w:themeShade="BF"/>
          <w:sz w:val="22"/>
          <w:szCs w:val="22"/>
          <w:lang w:val="en-GB"/>
        </w:rPr>
        <w:t>is considered to have</w:t>
      </w:r>
      <w:r w:rsidR="00165BF5">
        <w:rPr>
          <w:rFonts w:ascii="Avenir Next" w:hAnsi="Avenir Next" w:cs="Arial"/>
          <w:color w:val="7B7B7B" w:themeColor="accent3" w:themeShade="BF"/>
          <w:sz w:val="22"/>
          <w:szCs w:val="22"/>
          <w:lang w:val="en-GB"/>
        </w:rPr>
        <w:t xml:space="preserve"> a ‘dominant’ role</w:t>
      </w:r>
      <w:r w:rsidR="00140E81">
        <w:rPr>
          <w:rFonts w:ascii="Avenir Next" w:hAnsi="Avenir Next" w:cs="Arial"/>
          <w:color w:val="7B7B7B" w:themeColor="accent3" w:themeShade="BF"/>
          <w:sz w:val="22"/>
          <w:szCs w:val="22"/>
          <w:lang w:val="en-GB"/>
        </w:rPr>
        <w:t xml:space="preserve">. Secondary insolvency proceedings depend upon procedures of coordination with the main </w:t>
      </w:r>
      <w:r w:rsidR="009D24DB">
        <w:rPr>
          <w:rFonts w:ascii="Avenir Next" w:hAnsi="Avenir Next" w:cs="Arial"/>
          <w:color w:val="7B7B7B" w:themeColor="accent3" w:themeShade="BF"/>
          <w:sz w:val="22"/>
          <w:szCs w:val="22"/>
          <w:lang w:val="en-GB"/>
        </w:rPr>
        <w:t xml:space="preserve">insolvency </w:t>
      </w:r>
      <w:r w:rsidR="00140E81">
        <w:rPr>
          <w:rFonts w:ascii="Avenir Next" w:hAnsi="Avenir Next" w:cs="Arial"/>
          <w:color w:val="7B7B7B" w:themeColor="accent3" w:themeShade="BF"/>
          <w:sz w:val="22"/>
          <w:szCs w:val="22"/>
          <w:lang w:val="en-GB"/>
        </w:rPr>
        <w:t>proceeding</w:t>
      </w:r>
      <w:r w:rsidR="00165BF5">
        <w:rPr>
          <w:rFonts w:ascii="Avenir Next" w:hAnsi="Avenir Next" w:cs="Arial"/>
          <w:color w:val="7B7B7B" w:themeColor="accent3" w:themeShade="BF"/>
          <w:sz w:val="22"/>
          <w:szCs w:val="22"/>
          <w:lang w:val="en-GB"/>
        </w:rPr>
        <w:t>.</w:t>
      </w:r>
    </w:p>
    <w:p w14:paraId="50CB308D" w14:textId="3AA1195A" w:rsidR="00682411" w:rsidRDefault="00682411" w:rsidP="00C506BF">
      <w:pPr>
        <w:jc w:val="both"/>
        <w:rPr>
          <w:rFonts w:ascii="Avenir Next" w:hAnsi="Avenir Next" w:cs="Arial"/>
          <w:color w:val="7B7B7B" w:themeColor="accent3" w:themeShade="BF"/>
          <w:sz w:val="22"/>
          <w:szCs w:val="22"/>
          <w:lang w:val="en-GB"/>
        </w:rPr>
      </w:pPr>
    </w:p>
    <w:p w14:paraId="7F792CB0" w14:textId="7A26EBDE" w:rsidR="00C506BF" w:rsidRDefault="00682411" w:rsidP="006A04A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C506BF">
        <w:rPr>
          <w:rFonts w:ascii="Avenir Next" w:hAnsi="Avenir Next" w:cs="Arial"/>
          <w:color w:val="7B7B7B" w:themeColor="accent3" w:themeShade="BF"/>
          <w:sz w:val="22"/>
          <w:szCs w:val="22"/>
          <w:lang w:val="en-GB"/>
        </w:rPr>
        <w:t>second</w:t>
      </w:r>
      <w:r>
        <w:rPr>
          <w:rFonts w:ascii="Avenir Next" w:hAnsi="Avenir Next" w:cs="Arial"/>
          <w:color w:val="7B7B7B" w:themeColor="accent3" w:themeShade="BF"/>
          <w:sz w:val="22"/>
          <w:szCs w:val="22"/>
          <w:lang w:val="en-GB"/>
        </w:rPr>
        <w:t xml:space="preserve"> example relates to</w:t>
      </w:r>
      <w:r w:rsidR="004C756D">
        <w:rPr>
          <w:rFonts w:ascii="Avenir Next" w:hAnsi="Avenir Next" w:cs="Arial"/>
          <w:color w:val="7B7B7B" w:themeColor="accent3" w:themeShade="BF"/>
          <w:sz w:val="22"/>
          <w:szCs w:val="22"/>
          <w:lang w:val="en-GB"/>
        </w:rPr>
        <w:t xml:space="preserve"> Article 19(2) EIR Recast. It </w:t>
      </w:r>
      <w:r w:rsidR="009D24DB">
        <w:rPr>
          <w:rFonts w:ascii="Avenir Next" w:hAnsi="Avenir Next" w:cs="Arial"/>
          <w:color w:val="7B7B7B" w:themeColor="accent3" w:themeShade="BF"/>
          <w:sz w:val="22"/>
          <w:szCs w:val="22"/>
          <w:lang w:val="en-GB"/>
        </w:rPr>
        <w:t>is linked</w:t>
      </w:r>
      <w:r w:rsidR="004C756D">
        <w:rPr>
          <w:rFonts w:ascii="Avenir Next" w:hAnsi="Avenir Next" w:cs="Arial"/>
          <w:color w:val="7B7B7B" w:themeColor="accent3" w:themeShade="BF"/>
          <w:sz w:val="22"/>
          <w:szCs w:val="22"/>
          <w:lang w:val="en-GB"/>
        </w:rPr>
        <w:t xml:space="preserve"> to the fact that the recognition of main insolvency proceedings should not set obstacles to the opening of secondary insolvency proceedings by a court situated in a different EU Member State.</w:t>
      </w:r>
    </w:p>
    <w:p w14:paraId="2E0C3C2D" w14:textId="77777777" w:rsidR="00C506BF" w:rsidRDefault="00C506BF" w:rsidP="006A04AD">
      <w:pPr>
        <w:jc w:val="both"/>
        <w:rPr>
          <w:rFonts w:ascii="Avenir Next" w:hAnsi="Avenir Next" w:cs="Arial"/>
          <w:color w:val="7B7B7B" w:themeColor="accent3" w:themeShade="BF"/>
          <w:sz w:val="22"/>
          <w:szCs w:val="22"/>
          <w:lang w:val="en-GB"/>
        </w:rPr>
      </w:pPr>
    </w:p>
    <w:p w14:paraId="4448CEFC" w14:textId="34BC81A8" w:rsidR="00682411" w:rsidRPr="008E3C96" w:rsidRDefault="00C506BF" w:rsidP="00C506BF">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modified universalism approach </w:t>
      </w:r>
      <w:r w:rsidR="007A10FD">
        <w:rPr>
          <w:rFonts w:ascii="Avenir Next" w:hAnsi="Avenir Next" w:cs="Arial"/>
          <w:color w:val="7B7B7B" w:themeColor="accent3" w:themeShade="BF"/>
          <w:sz w:val="22"/>
          <w:szCs w:val="22"/>
          <w:lang w:val="en-GB"/>
        </w:rPr>
        <w:t>may</w:t>
      </w:r>
      <w:r>
        <w:rPr>
          <w:rFonts w:ascii="Avenir Next" w:hAnsi="Avenir Next" w:cs="Arial"/>
          <w:color w:val="7B7B7B" w:themeColor="accent3" w:themeShade="BF"/>
          <w:sz w:val="22"/>
          <w:szCs w:val="22"/>
          <w:lang w:val="en-GB"/>
        </w:rPr>
        <w:t xml:space="preserve"> be also identified in </w:t>
      </w:r>
      <w:r w:rsidRPr="00C506BF">
        <w:rPr>
          <w:rFonts w:ascii="Avenir Next" w:hAnsi="Avenir Next" w:cs="Arial"/>
          <w:color w:val="7B7B7B" w:themeColor="accent3" w:themeShade="BF"/>
          <w:sz w:val="22"/>
          <w:szCs w:val="22"/>
          <w:lang w:val="en-GB"/>
        </w:rPr>
        <w:t>Article 34</w:t>
      </w:r>
      <w:r>
        <w:rPr>
          <w:rFonts w:ascii="Avenir Next" w:hAnsi="Avenir Next" w:cs="Arial"/>
          <w:color w:val="7B7B7B" w:themeColor="accent3" w:themeShade="BF"/>
          <w:sz w:val="22"/>
          <w:szCs w:val="22"/>
          <w:lang w:val="en-GB"/>
        </w:rPr>
        <w:t xml:space="preserve"> EIR Recast concerning the modalities of the opening of secondary insolvency proceedings. </w:t>
      </w:r>
      <w:r w:rsidR="00F239D7">
        <w:rPr>
          <w:rFonts w:ascii="Avenir Next" w:hAnsi="Avenir Next" w:cs="Arial"/>
          <w:color w:val="7B7B7B" w:themeColor="accent3" w:themeShade="BF"/>
          <w:sz w:val="22"/>
          <w:szCs w:val="22"/>
          <w:lang w:val="en-GB"/>
        </w:rPr>
        <w:t>A</w:t>
      </w:r>
      <w:r>
        <w:rPr>
          <w:rFonts w:ascii="Avenir Next" w:hAnsi="Avenir Next" w:cs="Arial"/>
          <w:color w:val="7B7B7B" w:themeColor="accent3" w:themeShade="BF"/>
          <w:sz w:val="22"/>
          <w:szCs w:val="22"/>
          <w:lang w:val="en-GB"/>
        </w:rPr>
        <w:t xml:space="preserve"> court in a EU Member State having jurisdiction under Article 3(2) EIR Recast has the opportunity to open secondary insolvency proceedings. </w:t>
      </w:r>
      <w:r w:rsidR="00DD4E8B">
        <w:rPr>
          <w:rFonts w:ascii="Avenir Next" w:hAnsi="Avenir Next" w:cs="Arial"/>
          <w:color w:val="7B7B7B" w:themeColor="accent3" w:themeShade="BF"/>
          <w:sz w:val="22"/>
          <w:szCs w:val="22"/>
          <w:lang w:val="en-GB"/>
        </w:rPr>
        <w:t>Th</w:t>
      </w:r>
      <w:r w:rsidR="00F239D7">
        <w:rPr>
          <w:rFonts w:ascii="Avenir Next" w:hAnsi="Avenir Next" w:cs="Arial"/>
          <w:color w:val="7B7B7B" w:themeColor="accent3" w:themeShade="BF"/>
          <w:sz w:val="22"/>
          <w:szCs w:val="22"/>
          <w:lang w:val="en-GB"/>
        </w:rPr>
        <w:t>e</w:t>
      </w:r>
      <w:r w:rsidR="00DD4E8B">
        <w:rPr>
          <w:rFonts w:ascii="Avenir Next" w:hAnsi="Avenir Next" w:cs="Arial"/>
          <w:color w:val="7B7B7B" w:themeColor="accent3" w:themeShade="BF"/>
          <w:sz w:val="22"/>
          <w:szCs w:val="22"/>
          <w:lang w:val="en-GB"/>
        </w:rPr>
        <w:t xml:space="preserve">se proceedings will affect only the assets situated in that Member State. The opening of secondary proceedings is </w:t>
      </w:r>
      <w:r w:rsidR="00ED707B">
        <w:rPr>
          <w:rFonts w:ascii="Avenir Next" w:hAnsi="Avenir Next" w:cs="Arial"/>
          <w:color w:val="7B7B7B" w:themeColor="accent3" w:themeShade="BF"/>
          <w:sz w:val="22"/>
          <w:szCs w:val="22"/>
          <w:lang w:val="en-GB"/>
        </w:rPr>
        <w:t xml:space="preserve">thus </w:t>
      </w:r>
      <w:r w:rsidR="00DD4E8B">
        <w:rPr>
          <w:rFonts w:ascii="Avenir Next" w:hAnsi="Avenir Next" w:cs="Arial"/>
          <w:color w:val="7B7B7B" w:themeColor="accent3" w:themeShade="BF"/>
          <w:sz w:val="22"/>
          <w:szCs w:val="22"/>
          <w:lang w:val="en-GB"/>
        </w:rPr>
        <w:t xml:space="preserve">possible </w:t>
      </w:r>
      <w:r w:rsidR="00ED707B">
        <w:rPr>
          <w:rFonts w:ascii="Avenir Next" w:hAnsi="Avenir Next" w:cs="Arial"/>
          <w:color w:val="7B7B7B" w:themeColor="accent3" w:themeShade="BF"/>
          <w:sz w:val="22"/>
          <w:szCs w:val="22"/>
          <w:lang w:val="en-GB"/>
        </w:rPr>
        <w:t xml:space="preserve">in a Member State when </w:t>
      </w:r>
      <w:r w:rsidR="00DD4E8B">
        <w:rPr>
          <w:rFonts w:ascii="Avenir Next" w:hAnsi="Avenir Next" w:cs="Arial"/>
          <w:color w:val="7B7B7B" w:themeColor="accent3" w:themeShade="BF"/>
          <w:sz w:val="22"/>
          <w:szCs w:val="22"/>
          <w:lang w:val="en-GB"/>
        </w:rPr>
        <w:t>a court of a</w:t>
      </w:r>
      <w:r w:rsidR="00ED707B">
        <w:rPr>
          <w:rFonts w:ascii="Avenir Next" w:hAnsi="Avenir Next" w:cs="Arial"/>
          <w:color w:val="7B7B7B" w:themeColor="accent3" w:themeShade="BF"/>
          <w:sz w:val="22"/>
          <w:szCs w:val="22"/>
          <w:lang w:val="en-GB"/>
        </w:rPr>
        <w:t>nother</w:t>
      </w:r>
      <w:r w:rsidR="00DD4E8B">
        <w:rPr>
          <w:rFonts w:ascii="Avenir Next" w:hAnsi="Avenir Next" w:cs="Arial"/>
          <w:color w:val="7B7B7B" w:themeColor="accent3" w:themeShade="BF"/>
          <w:sz w:val="22"/>
          <w:szCs w:val="22"/>
          <w:lang w:val="en-GB"/>
        </w:rPr>
        <w:t xml:space="preserve"> Member State has opened main insolvency proceedings and those proceedings are subsequently recognized</w:t>
      </w:r>
      <w:r w:rsidR="00ED707B">
        <w:rPr>
          <w:rFonts w:ascii="Avenir Next" w:hAnsi="Avenir Next" w:cs="Arial"/>
          <w:color w:val="7B7B7B" w:themeColor="accent3" w:themeShade="BF"/>
          <w:sz w:val="22"/>
          <w:szCs w:val="22"/>
          <w:lang w:val="en-GB"/>
        </w:rPr>
        <w:t xml:space="preserve"> in that first Member State</w:t>
      </w:r>
      <w:r w:rsidR="00DD4E8B">
        <w:rPr>
          <w:rFonts w:ascii="Avenir Next" w:hAnsi="Avenir Next" w:cs="Arial"/>
          <w:color w:val="7B7B7B" w:themeColor="accent3" w:themeShade="BF"/>
          <w:sz w:val="22"/>
          <w:szCs w:val="22"/>
          <w:lang w:val="en-GB"/>
        </w:rPr>
        <w:t xml:space="preserve">. </w:t>
      </w:r>
      <w:r w:rsidR="00ED707B">
        <w:rPr>
          <w:rFonts w:ascii="Avenir Next" w:hAnsi="Avenir Next" w:cs="Arial"/>
          <w:color w:val="7B7B7B" w:themeColor="accent3" w:themeShade="BF"/>
          <w:sz w:val="22"/>
          <w:szCs w:val="22"/>
          <w:lang w:val="en-GB"/>
        </w:rPr>
        <w:t>A re-assessment of the debtor’s insolvency by the court opening secondary insolvency proceedings should not be pursued where there is</w:t>
      </w:r>
      <w:r w:rsidR="00F239D7">
        <w:rPr>
          <w:rFonts w:ascii="Avenir Next" w:hAnsi="Avenir Next" w:cs="Arial"/>
          <w:color w:val="7B7B7B" w:themeColor="accent3" w:themeShade="BF"/>
          <w:sz w:val="22"/>
          <w:szCs w:val="22"/>
          <w:lang w:val="en-GB"/>
        </w:rPr>
        <w:t xml:space="preserve"> already</w:t>
      </w:r>
      <w:r w:rsidR="00ED707B">
        <w:rPr>
          <w:rFonts w:ascii="Avenir Next" w:hAnsi="Avenir Next" w:cs="Arial"/>
          <w:color w:val="7B7B7B" w:themeColor="accent3" w:themeShade="BF"/>
          <w:sz w:val="22"/>
          <w:szCs w:val="22"/>
          <w:lang w:val="en-GB"/>
        </w:rPr>
        <w:t xml:space="preserve"> a requirement of </w:t>
      </w:r>
      <w:r w:rsidR="00F239D7">
        <w:rPr>
          <w:rFonts w:ascii="Avenir Next" w:hAnsi="Avenir Next" w:cs="Arial"/>
          <w:color w:val="7B7B7B" w:themeColor="accent3" w:themeShade="BF"/>
          <w:sz w:val="22"/>
          <w:szCs w:val="22"/>
          <w:lang w:val="en-GB"/>
        </w:rPr>
        <w:t xml:space="preserve">the </w:t>
      </w:r>
      <w:r w:rsidR="00ED707B">
        <w:rPr>
          <w:rFonts w:ascii="Avenir Next" w:hAnsi="Avenir Next" w:cs="Arial"/>
          <w:color w:val="7B7B7B" w:themeColor="accent3" w:themeShade="BF"/>
          <w:sz w:val="22"/>
          <w:szCs w:val="22"/>
          <w:lang w:val="en-GB"/>
        </w:rPr>
        <w:t xml:space="preserve">debtor’s </w:t>
      </w:r>
      <w:r w:rsidR="00ED707B">
        <w:rPr>
          <w:rFonts w:ascii="Avenir Next" w:hAnsi="Avenir Next" w:cs="Arial"/>
          <w:color w:val="7B7B7B" w:themeColor="accent3" w:themeShade="BF"/>
          <w:sz w:val="22"/>
          <w:szCs w:val="22"/>
          <w:lang w:val="en-GB"/>
        </w:rPr>
        <w:lastRenderedPageBreak/>
        <w:t>insolvency in the main insolvency proceeding.</w:t>
      </w:r>
      <w:r w:rsidR="004637A2">
        <w:rPr>
          <w:rFonts w:ascii="Avenir Next" w:hAnsi="Avenir Next" w:cs="Arial"/>
          <w:color w:val="7B7B7B" w:themeColor="accent3" w:themeShade="BF"/>
          <w:sz w:val="22"/>
          <w:szCs w:val="22"/>
          <w:lang w:val="en-GB"/>
        </w:rPr>
        <w:t xml:space="preserve"> It should be noted that </w:t>
      </w:r>
      <w:r w:rsidR="00B743D5">
        <w:rPr>
          <w:rFonts w:ascii="Avenir Next" w:hAnsi="Avenir Next" w:cs="Arial"/>
          <w:color w:val="7B7B7B" w:themeColor="accent3" w:themeShade="BF"/>
          <w:sz w:val="22"/>
          <w:szCs w:val="22"/>
          <w:lang w:val="en-GB"/>
        </w:rPr>
        <w:t>specific</w:t>
      </w:r>
      <w:r w:rsidR="004637A2">
        <w:rPr>
          <w:rFonts w:ascii="Avenir Next" w:hAnsi="Avenir Next" w:cs="Arial"/>
          <w:color w:val="7B7B7B" w:themeColor="accent3" w:themeShade="BF"/>
          <w:sz w:val="22"/>
          <w:szCs w:val="22"/>
          <w:lang w:val="en-GB"/>
        </w:rPr>
        <w:t xml:space="preserve"> circumstances set forth in Article 3(4) permit the</w:t>
      </w:r>
      <w:r w:rsidR="00830E71">
        <w:rPr>
          <w:rFonts w:ascii="Avenir Next" w:hAnsi="Avenir Next" w:cs="Arial"/>
          <w:color w:val="7B7B7B" w:themeColor="accent3" w:themeShade="BF"/>
          <w:sz w:val="22"/>
          <w:szCs w:val="22"/>
          <w:lang w:val="en-GB"/>
        </w:rPr>
        <w:t xml:space="preserve"> </w:t>
      </w:r>
      <w:r w:rsidR="004637A2">
        <w:rPr>
          <w:rFonts w:ascii="Avenir Next" w:hAnsi="Avenir Next" w:cs="Arial"/>
          <w:color w:val="7B7B7B" w:themeColor="accent3" w:themeShade="BF"/>
          <w:sz w:val="22"/>
          <w:szCs w:val="22"/>
          <w:lang w:val="en-GB"/>
        </w:rPr>
        <w:t xml:space="preserve">opening of secondary insolvency proceedings </w:t>
      </w:r>
      <w:r w:rsidR="00B743D5">
        <w:rPr>
          <w:rFonts w:ascii="Avenir Next" w:hAnsi="Avenir Next" w:cs="Arial"/>
          <w:color w:val="7B7B7B" w:themeColor="accent3" w:themeShade="BF"/>
          <w:sz w:val="22"/>
          <w:szCs w:val="22"/>
          <w:lang w:val="en-GB"/>
        </w:rPr>
        <w:t>before</w:t>
      </w:r>
      <w:r w:rsidR="004637A2">
        <w:rPr>
          <w:rFonts w:ascii="Avenir Next" w:hAnsi="Avenir Next" w:cs="Arial"/>
          <w:color w:val="7B7B7B" w:themeColor="accent3" w:themeShade="BF"/>
          <w:sz w:val="22"/>
          <w:szCs w:val="22"/>
          <w:lang w:val="en-GB"/>
        </w:rPr>
        <w:t xml:space="preserve"> the opening of main insolvency proceedings.</w:t>
      </w:r>
    </w:p>
    <w:p w14:paraId="6948B395" w14:textId="65A1604F" w:rsidR="00E90991" w:rsidRPr="008E3C96" w:rsidRDefault="00E90991" w:rsidP="002A37BB">
      <w:pPr>
        <w:ind w:left="720" w:hanging="720"/>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r w:rsidR="00C35F52" w:rsidRPr="008E3C96">
        <w:rPr>
          <w:rFonts w:ascii="Avenir Next" w:hAnsi="Avenir Next" w:cs="Arial"/>
          <w:sz w:val="22"/>
          <w:szCs w:val="22"/>
          <w:lang w:val="en-GB"/>
        </w:rPr>
        <w:t>In light of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52D19744" w14:textId="388EE48B" w:rsidR="00732582" w:rsidRPr="008B6188" w:rsidRDefault="00CD1BA9" w:rsidP="00CD1BA9">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First of all, the EIR Recast </w:t>
      </w:r>
      <w:r w:rsidR="00FB5CC6">
        <w:rPr>
          <w:rFonts w:ascii="Avenir Next" w:hAnsi="Avenir Next" w:cs="Arial"/>
          <w:color w:val="7B7B7B" w:themeColor="accent3" w:themeShade="BF"/>
          <w:sz w:val="22"/>
          <w:szCs w:val="22"/>
        </w:rPr>
        <w:t xml:space="preserve">has </w:t>
      </w:r>
      <w:r>
        <w:rPr>
          <w:rFonts w:ascii="Avenir Next" w:hAnsi="Avenir Next" w:cs="Arial"/>
          <w:color w:val="7B7B7B" w:themeColor="accent3" w:themeShade="BF"/>
          <w:sz w:val="22"/>
          <w:szCs w:val="22"/>
        </w:rPr>
        <w:t>develop</w:t>
      </w:r>
      <w:r w:rsidR="00FB5CC6">
        <w:rPr>
          <w:rFonts w:ascii="Avenir Next" w:hAnsi="Avenir Next" w:cs="Arial"/>
          <w:color w:val="7B7B7B" w:themeColor="accent3" w:themeShade="BF"/>
          <w:sz w:val="22"/>
          <w:szCs w:val="22"/>
        </w:rPr>
        <w:t>ed</w:t>
      </w:r>
      <w:r>
        <w:rPr>
          <w:rFonts w:ascii="Avenir Next" w:hAnsi="Avenir Next" w:cs="Arial"/>
          <w:color w:val="7B7B7B" w:themeColor="accent3" w:themeShade="BF"/>
          <w:sz w:val="22"/>
          <w:szCs w:val="22"/>
        </w:rPr>
        <w:t xml:space="preserve"> a significant mechanism for the c</w:t>
      </w:r>
      <w:r w:rsidR="00DD406C">
        <w:rPr>
          <w:rFonts w:ascii="Avenir Next" w:hAnsi="Avenir Next" w:cs="Arial"/>
          <w:color w:val="7B7B7B" w:themeColor="accent3" w:themeShade="BF"/>
          <w:sz w:val="22"/>
          <w:szCs w:val="22"/>
        </w:rPr>
        <w:t xml:space="preserve">ooperation </w:t>
      </w:r>
      <w:r w:rsidR="00836798">
        <w:rPr>
          <w:rFonts w:ascii="Avenir Next" w:hAnsi="Avenir Next" w:cs="Arial"/>
          <w:color w:val="7B7B7B" w:themeColor="accent3" w:themeShade="BF"/>
          <w:sz w:val="22"/>
          <w:szCs w:val="22"/>
        </w:rPr>
        <w:t xml:space="preserve">and communication </w:t>
      </w:r>
      <w:r w:rsidR="00DD406C">
        <w:rPr>
          <w:rFonts w:ascii="Avenir Next" w:hAnsi="Avenir Next" w:cs="Arial"/>
          <w:color w:val="7B7B7B" w:themeColor="accent3" w:themeShade="BF"/>
          <w:sz w:val="22"/>
          <w:szCs w:val="22"/>
        </w:rPr>
        <w:t xml:space="preserve">between insolvency </w:t>
      </w:r>
      <w:r w:rsidR="00FB5CC6">
        <w:rPr>
          <w:rFonts w:ascii="Avenir Next" w:hAnsi="Avenir Next" w:cs="Arial"/>
          <w:color w:val="7B7B7B" w:themeColor="accent3" w:themeShade="BF"/>
          <w:sz w:val="22"/>
          <w:szCs w:val="22"/>
        </w:rPr>
        <w:t>practitioners</w:t>
      </w:r>
      <w:r w:rsidR="0033054A">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 xml:space="preserve">pursuant to Article </w:t>
      </w:r>
      <w:r w:rsidR="0033054A">
        <w:rPr>
          <w:rFonts w:ascii="Avenir Next" w:hAnsi="Avenir Next" w:cs="Arial"/>
          <w:color w:val="7B7B7B" w:themeColor="accent3" w:themeShade="BF"/>
          <w:sz w:val="22"/>
          <w:szCs w:val="22"/>
        </w:rPr>
        <w:t>41</w:t>
      </w:r>
      <w:r>
        <w:rPr>
          <w:rFonts w:ascii="Avenir Next" w:hAnsi="Avenir Next" w:cs="Arial"/>
          <w:color w:val="7B7B7B" w:themeColor="accent3" w:themeShade="BF"/>
          <w:sz w:val="22"/>
          <w:szCs w:val="22"/>
        </w:rPr>
        <w:t xml:space="preserve">. </w:t>
      </w:r>
      <w:r w:rsidR="00584C17">
        <w:rPr>
          <w:rFonts w:ascii="Avenir Next" w:hAnsi="Avenir Next" w:cs="Arial"/>
          <w:color w:val="7B7B7B" w:themeColor="accent3" w:themeShade="BF"/>
          <w:sz w:val="22"/>
          <w:szCs w:val="22"/>
        </w:rPr>
        <w:t xml:space="preserve">More specifically, Article 41(1) establishes an obligation </w:t>
      </w:r>
      <w:r w:rsidR="008734FB">
        <w:rPr>
          <w:rFonts w:ascii="Avenir Next" w:hAnsi="Avenir Next" w:cs="Arial"/>
          <w:color w:val="7B7B7B" w:themeColor="accent3" w:themeShade="BF"/>
          <w:sz w:val="22"/>
          <w:szCs w:val="22"/>
        </w:rPr>
        <w:t xml:space="preserve">to cooperate </w:t>
      </w:r>
      <w:r w:rsidR="00584C17">
        <w:rPr>
          <w:rFonts w:ascii="Avenir Next" w:hAnsi="Avenir Next" w:cs="Arial"/>
          <w:color w:val="7B7B7B" w:themeColor="accent3" w:themeShade="BF"/>
          <w:sz w:val="22"/>
          <w:szCs w:val="22"/>
        </w:rPr>
        <w:t xml:space="preserve">for </w:t>
      </w:r>
      <w:r w:rsidR="00FB5CC6">
        <w:rPr>
          <w:rFonts w:ascii="Avenir Next" w:hAnsi="Avenir Next" w:cs="Arial"/>
          <w:color w:val="7B7B7B" w:themeColor="accent3" w:themeShade="BF"/>
          <w:sz w:val="22"/>
          <w:szCs w:val="22"/>
        </w:rPr>
        <w:t xml:space="preserve">both </w:t>
      </w:r>
      <w:r w:rsidR="00584C17">
        <w:rPr>
          <w:rFonts w:ascii="Avenir Next" w:hAnsi="Avenir Next" w:cs="Arial"/>
          <w:color w:val="7B7B7B" w:themeColor="accent3" w:themeShade="BF"/>
          <w:sz w:val="22"/>
          <w:szCs w:val="22"/>
        </w:rPr>
        <w:t xml:space="preserve">the insolvency </w:t>
      </w:r>
      <w:r w:rsidR="00FB5CC6">
        <w:rPr>
          <w:rFonts w:ascii="Avenir Next" w:hAnsi="Avenir Next" w:cs="Arial"/>
          <w:color w:val="7B7B7B" w:themeColor="accent3" w:themeShade="BF"/>
          <w:sz w:val="22"/>
          <w:szCs w:val="22"/>
        </w:rPr>
        <w:t>practitioner</w:t>
      </w:r>
      <w:r w:rsidR="00584C17">
        <w:rPr>
          <w:rFonts w:ascii="Avenir Next" w:hAnsi="Avenir Next" w:cs="Arial"/>
          <w:color w:val="7B7B7B" w:themeColor="accent3" w:themeShade="BF"/>
          <w:sz w:val="22"/>
          <w:szCs w:val="22"/>
        </w:rPr>
        <w:t xml:space="preserve"> involved in main insolvency proceedings and the insolvency </w:t>
      </w:r>
      <w:r w:rsidR="00FB5CC6">
        <w:rPr>
          <w:rFonts w:ascii="Avenir Next" w:hAnsi="Avenir Next" w:cs="Arial"/>
          <w:color w:val="7B7B7B" w:themeColor="accent3" w:themeShade="BF"/>
          <w:sz w:val="22"/>
          <w:szCs w:val="22"/>
        </w:rPr>
        <w:t>practitioner</w:t>
      </w:r>
      <w:r w:rsidR="00584C17">
        <w:rPr>
          <w:rFonts w:ascii="Avenir Next" w:hAnsi="Avenir Next" w:cs="Arial"/>
          <w:color w:val="7B7B7B" w:themeColor="accent3" w:themeShade="BF"/>
          <w:sz w:val="22"/>
          <w:szCs w:val="22"/>
        </w:rPr>
        <w:t xml:space="preserve"> involved in secondary insolvency proceedings, those proceedings relating to the same debtor</w:t>
      </w:r>
      <w:r w:rsidR="00107DED">
        <w:rPr>
          <w:rFonts w:ascii="Avenir Next" w:hAnsi="Avenir Next" w:cs="Arial"/>
          <w:color w:val="7B7B7B" w:themeColor="accent3" w:themeShade="BF"/>
          <w:sz w:val="22"/>
          <w:szCs w:val="22"/>
        </w:rPr>
        <w:t xml:space="preserve">. </w:t>
      </w:r>
      <w:r w:rsidR="00AC4DDD">
        <w:rPr>
          <w:rFonts w:ascii="Avenir Next" w:hAnsi="Avenir Next" w:cs="Arial"/>
          <w:color w:val="7B7B7B" w:themeColor="accent3" w:themeShade="BF"/>
          <w:sz w:val="22"/>
          <w:szCs w:val="22"/>
        </w:rPr>
        <w:t>It should be noted that the EIR Recast, in contrast to the EIR 2000, takes a step further noting that such cooperation may be realized in any form, such as protocols or the conclusion of an agreement.</w:t>
      </w:r>
      <w:r w:rsidR="00732582">
        <w:rPr>
          <w:rFonts w:ascii="Avenir Next" w:hAnsi="Avenir Next" w:cs="Arial"/>
          <w:color w:val="7B7B7B" w:themeColor="accent3" w:themeShade="BF"/>
          <w:sz w:val="22"/>
          <w:szCs w:val="22"/>
        </w:rPr>
        <w:t xml:space="preserve"> For instance, Article 41(2)(a) states</w:t>
      </w:r>
      <w:r w:rsidR="00FB5CC6">
        <w:rPr>
          <w:rFonts w:ascii="Avenir Next" w:hAnsi="Avenir Next" w:cs="Arial"/>
          <w:color w:val="7B7B7B" w:themeColor="accent3" w:themeShade="BF"/>
          <w:sz w:val="22"/>
          <w:szCs w:val="22"/>
        </w:rPr>
        <w:t xml:space="preserve"> </w:t>
      </w:r>
      <w:r w:rsidR="00732582">
        <w:rPr>
          <w:rFonts w:ascii="Avenir Next" w:hAnsi="Avenir Next" w:cs="Arial"/>
          <w:color w:val="7B7B7B" w:themeColor="accent3" w:themeShade="BF"/>
          <w:sz w:val="22"/>
          <w:szCs w:val="22"/>
        </w:rPr>
        <w:t xml:space="preserve">that cooperation is crucial for the communication of information pertaining to the lodging of claims, the verification of claims, measures directed towards the debtor’s rescue or restructuring and </w:t>
      </w:r>
      <w:r w:rsidR="00FB5CC6">
        <w:rPr>
          <w:rFonts w:ascii="Avenir Next" w:hAnsi="Avenir Next" w:cs="Arial"/>
          <w:color w:val="7B7B7B" w:themeColor="accent3" w:themeShade="BF"/>
          <w:sz w:val="22"/>
          <w:szCs w:val="22"/>
        </w:rPr>
        <w:t xml:space="preserve">the </w:t>
      </w:r>
      <w:r w:rsidR="00732582">
        <w:rPr>
          <w:rFonts w:ascii="Avenir Next" w:hAnsi="Avenir Next" w:cs="Arial"/>
          <w:color w:val="7B7B7B" w:themeColor="accent3" w:themeShade="BF"/>
          <w:sz w:val="22"/>
          <w:szCs w:val="22"/>
        </w:rPr>
        <w:t>termination of proceedings.</w:t>
      </w:r>
      <w:r w:rsidR="00FB5CC6">
        <w:rPr>
          <w:rFonts w:ascii="Avenir Next" w:hAnsi="Avenir Next" w:cs="Arial"/>
          <w:color w:val="7B7B7B" w:themeColor="accent3" w:themeShade="BF"/>
          <w:sz w:val="22"/>
          <w:szCs w:val="22"/>
        </w:rPr>
        <w:t xml:space="preserve"> S</w:t>
      </w:r>
      <w:r w:rsidR="00732582">
        <w:rPr>
          <w:rFonts w:ascii="Avenir Next" w:hAnsi="Avenir Next" w:cs="Arial"/>
          <w:color w:val="7B7B7B" w:themeColor="accent3" w:themeShade="BF"/>
          <w:sz w:val="22"/>
          <w:szCs w:val="22"/>
        </w:rPr>
        <w:t xml:space="preserve">ubparagraphs (b) and (c) further specify that cooperation is essential for the development and </w:t>
      </w:r>
      <w:r w:rsidR="00C71DE2">
        <w:rPr>
          <w:rFonts w:ascii="Avenir Next" w:hAnsi="Avenir Next" w:cs="Arial"/>
          <w:color w:val="7B7B7B" w:themeColor="accent3" w:themeShade="BF"/>
          <w:sz w:val="22"/>
          <w:szCs w:val="22"/>
        </w:rPr>
        <w:t xml:space="preserve">the </w:t>
      </w:r>
      <w:r w:rsidR="00732582">
        <w:rPr>
          <w:rFonts w:ascii="Avenir Next" w:hAnsi="Avenir Next" w:cs="Arial"/>
          <w:color w:val="7B7B7B" w:themeColor="accent3" w:themeShade="BF"/>
          <w:sz w:val="22"/>
          <w:szCs w:val="22"/>
        </w:rPr>
        <w:t xml:space="preserve">implementation of a plan as well as </w:t>
      </w:r>
      <w:r w:rsidR="008B6188">
        <w:rPr>
          <w:rFonts w:ascii="Avenir Next" w:hAnsi="Avenir Next" w:cs="Arial"/>
          <w:color w:val="7B7B7B" w:themeColor="accent3" w:themeShade="BF"/>
          <w:sz w:val="22"/>
          <w:szCs w:val="22"/>
        </w:rPr>
        <w:t>for the coordination of ‘the administration of the realization or use of the debtor’s assets and affairs’ (subpara</w:t>
      </w:r>
      <w:r w:rsidR="00C71DE2">
        <w:rPr>
          <w:rFonts w:ascii="Avenir Next" w:hAnsi="Avenir Next" w:cs="Arial"/>
          <w:color w:val="7B7B7B" w:themeColor="accent3" w:themeShade="BF"/>
          <w:sz w:val="22"/>
          <w:szCs w:val="22"/>
        </w:rPr>
        <w:t>graph</w:t>
      </w:r>
      <w:r w:rsidR="008B6188">
        <w:rPr>
          <w:rFonts w:ascii="Avenir Next" w:hAnsi="Avenir Next" w:cs="Arial"/>
          <w:color w:val="7B7B7B" w:themeColor="accent3" w:themeShade="BF"/>
          <w:sz w:val="22"/>
          <w:szCs w:val="22"/>
        </w:rPr>
        <w:t xml:space="preserve"> (c) of Article 41(2)).</w:t>
      </w:r>
    </w:p>
    <w:p w14:paraId="0511FFF6" w14:textId="1E9526E2" w:rsidR="00DD406C" w:rsidRDefault="00DD406C" w:rsidP="002A37BB">
      <w:pPr>
        <w:ind w:left="720" w:hanging="720"/>
        <w:jc w:val="both"/>
        <w:rPr>
          <w:rFonts w:ascii="Avenir Next" w:hAnsi="Avenir Next" w:cs="Arial"/>
          <w:color w:val="7B7B7B" w:themeColor="accent3" w:themeShade="BF"/>
          <w:sz w:val="22"/>
          <w:szCs w:val="22"/>
        </w:rPr>
      </w:pPr>
    </w:p>
    <w:p w14:paraId="5B016D83" w14:textId="03805C3B" w:rsidR="00DD406C" w:rsidRPr="0033054A" w:rsidRDefault="008B6188" w:rsidP="006E055E">
      <w:pPr>
        <w:jc w:val="both"/>
        <w:rPr>
          <w:rFonts w:ascii="Avenir Next" w:hAnsi="Avenir Next" w:cs="Arial"/>
          <w:sz w:val="22"/>
          <w:szCs w:val="22"/>
        </w:rPr>
      </w:pPr>
      <w:r>
        <w:rPr>
          <w:rFonts w:ascii="Avenir Next" w:hAnsi="Avenir Next" w:cs="Arial"/>
          <w:color w:val="7B7B7B" w:themeColor="accent3" w:themeShade="BF"/>
          <w:sz w:val="22"/>
          <w:szCs w:val="22"/>
        </w:rPr>
        <w:t xml:space="preserve">An obligation to cooperate </w:t>
      </w:r>
      <w:r w:rsidR="00836798">
        <w:rPr>
          <w:rFonts w:ascii="Avenir Next" w:hAnsi="Avenir Next" w:cs="Arial"/>
          <w:color w:val="7B7B7B" w:themeColor="accent3" w:themeShade="BF"/>
          <w:sz w:val="22"/>
          <w:szCs w:val="22"/>
        </w:rPr>
        <w:t xml:space="preserve">and communicate </w:t>
      </w:r>
      <w:r>
        <w:rPr>
          <w:rFonts w:ascii="Avenir Next" w:hAnsi="Avenir Next" w:cs="Arial"/>
          <w:color w:val="7B7B7B" w:themeColor="accent3" w:themeShade="BF"/>
          <w:sz w:val="22"/>
          <w:szCs w:val="22"/>
        </w:rPr>
        <w:t xml:space="preserve">exists also between </w:t>
      </w:r>
      <w:r w:rsidR="00DD406C">
        <w:rPr>
          <w:rFonts w:ascii="Avenir Next" w:hAnsi="Avenir Next" w:cs="Arial"/>
          <w:color w:val="7B7B7B" w:themeColor="accent3" w:themeShade="BF"/>
          <w:sz w:val="22"/>
          <w:szCs w:val="22"/>
        </w:rPr>
        <w:t>courts</w:t>
      </w:r>
      <w:r w:rsidR="00F91EC7">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in accordance with</w:t>
      </w:r>
      <w:r w:rsidR="0033054A">
        <w:rPr>
          <w:rFonts w:ascii="Avenir Next" w:hAnsi="Avenir Next" w:cs="Arial"/>
          <w:color w:val="7B7B7B" w:themeColor="accent3" w:themeShade="BF"/>
          <w:sz w:val="22"/>
          <w:szCs w:val="22"/>
        </w:rPr>
        <w:t xml:space="preserve"> Article 42 EIR Recast</w:t>
      </w:r>
      <w:r>
        <w:rPr>
          <w:rFonts w:ascii="Avenir Next" w:hAnsi="Avenir Next" w:cs="Arial"/>
          <w:color w:val="7B7B7B" w:themeColor="accent3" w:themeShade="BF"/>
          <w:sz w:val="22"/>
          <w:szCs w:val="22"/>
        </w:rPr>
        <w:t xml:space="preserve">. </w:t>
      </w:r>
      <w:r w:rsidR="006E055E">
        <w:rPr>
          <w:rFonts w:ascii="Avenir Next" w:hAnsi="Avenir Next" w:cs="Arial"/>
          <w:color w:val="7B7B7B" w:themeColor="accent3" w:themeShade="BF"/>
          <w:sz w:val="22"/>
          <w:szCs w:val="22"/>
        </w:rPr>
        <w:t>Paragraph 1 stipulates that a court to whom the opening of a</w:t>
      </w:r>
      <w:r w:rsidR="00FB5CC6">
        <w:rPr>
          <w:rFonts w:ascii="Avenir Next" w:hAnsi="Avenir Next" w:cs="Arial"/>
          <w:color w:val="7B7B7B" w:themeColor="accent3" w:themeShade="BF"/>
          <w:sz w:val="22"/>
          <w:szCs w:val="22"/>
        </w:rPr>
        <w:t>n</w:t>
      </w:r>
      <w:r w:rsidR="006E055E">
        <w:rPr>
          <w:rFonts w:ascii="Avenir Next" w:hAnsi="Avenir Next" w:cs="Arial"/>
          <w:color w:val="7B7B7B" w:themeColor="accent3" w:themeShade="BF"/>
          <w:sz w:val="22"/>
          <w:szCs w:val="22"/>
        </w:rPr>
        <w:t xml:space="preserve"> insolvency proceeding has been requested</w:t>
      </w:r>
      <w:r w:rsidR="008734FB">
        <w:rPr>
          <w:rFonts w:ascii="Avenir Next" w:hAnsi="Avenir Next" w:cs="Arial"/>
          <w:color w:val="7B7B7B" w:themeColor="accent3" w:themeShade="BF"/>
          <w:sz w:val="22"/>
          <w:szCs w:val="22"/>
        </w:rPr>
        <w:t>,</w:t>
      </w:r>
      <w:r w:rsidR="006E055E">
        <w:rPr>
          <w:rFonts w:ascii="Avenir Next" w:hAnsi="Avenir Next" w:cs="Arial"/>
          <w:color w:val="7B7B7B" w:themeColor="accent3" w:themeShade="BF"/>
          <w:sz w:val="22"/>
          <w:szCs w:val="22"/>
        </w:rPr>
        <w:t xml:space="preserve"> or that already opened such proceedings</w:t>
      </w:r>
      <w:r w:rsidR="00264C63">
        <w:rPr>
          <w:rFonts w:ascii="Avenir Next" w:hAnsi="Avenir Next" w:cs="Arial"/>
          <w:color w:val="7B7B7B" w:themeColor="accent3" w:themeShade="BF"/>
          <w:sz w:val="22"/>
          <w:szCs w:val="22"/>
        </w:rPr>
        <w:t>,</w:t>
      </w:r>
      <w:r w:rsidR="006E055E">
        <w:rPr>
          <w:rFonts w:ascii="Avenir Next" w:hAnsi="Avenir Next" w:cs="Arial"/>
          <w:color w:val="7B7B7B" w:themeColor="accent3" w:themeShade="BF"/>
          <w:sz w:val="22"/>
          <w:szCs w:val="22"/>
        </w:rPr>
        <w:t xml:space="preserve"> is compelled </w:t>
      </w:r>
      <w:r w:rsidR="00264C63">
        <w:rPr>
          <w:rFonts w:ascii="Avenir Next" w:hAnsi="Avenir Next" w:cs="Arial"/>
          <w:color w:val="7B7B7B" w:themeColor="accent3" w:themeShade="BF"/>
          <w:sz w:val="22"/>
          <w:szCs w:val="22"/>
        </w:rPr>
        <w:t>to cooperate with any court similarly being in the situation of a pending request to open insolvency proceedings or of already open</w:t>
      </w:r>
      <w:r w:rsidR="005A0207">
        <w:rPr>
          <w:rFonts w:ascii="Avenir Next" w:hAnsi="Avenir Next" w:cs="Arial"/>
          <w:color w:val="7B7B7B" w:themeColor="accent3" w:themeShade="BF"/>
          <w:sz w:val="22"/>
          <w:szCs w:val="22"/>
        </w:rPr>
        <w:t>ed</w:t>
      </w:r>
      <w:r w:rsidR="00264C63">
        <w:rPr>
          <w:rFonts w:ascii="Avenir Next" w:hAnsi="Avenir Next" w:cs="Arial"/>
          <w:color w:val="7B7B7B" w:themeColor="accent3" w:themeShade="BF"/>
          <w:sz w:val="22"/>
          <w:szCs w:val="22"/>
        </w:rPr>
        <w:t xml:space="preserve"> proceedings</w:t>
      </w:r>
      <w:r w:rsidR="00A871E6">
        <w:rPr>
          <w:rFonts w:ascii="Avenir Next" w:hAnsi="Avenir Next" w:cs="Arial"/>
          <w:color w:val="7B7B7B" w:themeColor="accent3" w:themeShade="BF"/>
          <w:sz w:val="22"/>
          <w:szCs w:val="22"/>
        </w:rPr>
        <w:t xml:space="preserve">. </w:t>
      </w:r>
      <w:r w:rsidR="000F26CD">
        <w:rPr>
          <w:rFonts w:ascii="Avenir Next" w:hAnsi="Avenir Next" w:cs="Arial"/>
          <w:color w:val="7B7B7B" w:themeColor="accent3" w:themeShade="BF"/>
          <w:sz w:val="22"/>
          <w:szCs w:val="22"/>
        </w:rPr>
        <w:t xml:space="preserve">Court-to-court cooperation </w:t>
      </w:r>
      <w:r w:rsidR="0031197B">
        <w:rPr>
          <w:rFonts w:ascii="Avenir Next" w:hAnsi="Avenir Next" w:cs="Arial"/>
          <w:color w:val="7B7B7B" w:themeColor="accent3" w:themeShade="BF"/>
          <w:sz w:val="22"/>
          <w:szCs w:val="22"/>
        </w:rPr>
        <w:t>relates to</w:t>
      </w:r>
      <w:r w:rsidR="000F26CD">
        <w:rPr>
          <w:rFonts w:ascii="Avenir Next" w:hAnsi="Avenir Next" w:cs="Arial"/>
          <w:color w:val="7B7B7B" w:themeColor="accent3" w:themeShade="BF"/>
          <w:sz w:val="22"/>
          <w:szCs w:val="22"/>
        </w:rPr>
        <w:t xml:space="preserve"> various types of proceedings</w:t>
      </w:r>
      <w:r w:rsidR="008734FB">
        <w:rPr>
          <w:rFonts w:ascii="Avenir Next" w:hAnsi="Avenir Next" w:cs="Arial"/>
          <w:color w:val="7B7B7B" w:themeColor="accent3" w:themeShade="BF"/>
          <w:sz w:val="22"/>
          <w:szCs w:val="22"/>
        </w:rPr>
        <w:t>. I</w:t>
      </w:r>
      <w:r w:rsidR="000F26CD">
        <w:rPr>
          <w:rFonts w:ascii="Avenir Next" w:hAnsi="Avenir Next" w:cs="Arial"/>
          <w:color w:val="7B7B7B" w:themeColor="accent3" w:themeShade="BF"/>
          <w:sz w:val="22"/>
          <w:szCs w:val="22"/>
        </w:rPr>
        <w:t xml:space="preserve">t may take many forms and </w:t>
      </w:r>
      <w:r w:rsidR="00C56E2A">
        <w:rPr>
          <w:rFonts w:ascii="Avenir Next" w:hAnsi="Avenir Next" w:cs="Arial"/>
          <w:color w:val="7B7B7B" w:themeColor="accent3" w:themeShade="BF"/>
          <w:sz w:val="22"/>
          <w:szCs w:val="22"/>
        </w:rPr>
        <w:t xml:space="preserve">may </w:t>
      </w:r>
      <w:r w:rsidR="000F26CD">
        <w:rPr>
          <w:rFonts w:ascii="Avenir Next" w:hAnsi="Avenir Next" w:cs="Arial"/>
          <w:color w:val="7B7B7B" w:themeColor="accent3" w:themeShade="BF"/>
          <w:sz w:val="22"/>
          <w:szCs w:val="22"/>
        </w:rPr>
        <w:t>be implemented by any appropriate means</w:t>
      </w:r>
      <w:r w:rsidR="00696991">
        <w:rPr>
          <w:rFonts w:ascii="Avenir Next" w:hAnsi="Avenir Next" w:cs="Arial"/>
          <w:color w:val="7B7B7B" w:themeColor="accent3" w:themeShade="BF"/>
          <w:sz w:val="22"/>
          <w:szCs w:val="22"/>
        </w:rPr>
        <w:t xml:space="preserve"> by the court</w:t>
      </w:r>
      <w:r w:rsidR="00503577">
        <w:rPr>
          <w:rFonts w:ascii="Avenir Next" w:hAnsi="Avenir Next" w:cs="Arial"/>
          <w:color w:val="7B7B7B" w:themeColor="accent3" w:themeShade="BF"/>
          <w:sz w:val="22"/>
          <w:szCs w:val="22"/>
        </w:rPr>
        <w:t>s</w:t>
      </w:r>
      <w:r w:rsidR="00696991">
        <w:rPr>
          <w:rFonts w:ascii="Avenir Next" w:hAnsi="Avenir Next" w:cs="Arial"/>
          <w:color w:val="7B7B7B" w:themeColor="accent3" w:themeShade="BF"/>
          <w:sz w:val="22"/>
          <w:szCs w:val="22"/>
        </w:rPr>
        <w:t xml:space="preserve">. </w:t>
      </w:r>
      <w:r w:rsidR="008734FB">
        <w:rPr>
          <w:rFonts w:ascii="Avenir Next" w:hAnsi="Avenir Next" w:cs="Arial"/>
          <w:color w:val="7B7B7B" w:themeColor="accent3" w:themeShade="BF"/>
          <w:sz w:val="22"/>
          <w:szCs w:val="22"/>
        </w:rPr>
        <w:t xml:space="preserve">Interestingly, </w:t>
      </w:r>
      <w:r w:rsidR="00696991">
        <w:rPr>
          <w:rFonts w:ascii="Avenir Next" w:hAnsi="Avenir Next" w:cs="Arial"/>
          <w:color w:val="7B7B7B" w:themeColor="accent3" w:themeShade="BF"/>
          <w:sz w:val="22"/>
          <w:szCs w:val="22"/>
        </w:rPr>
        <w:t>Article 42(3)(c) specifies that cooperation can be relevant to the ‘coordination of the administration and supervision of the debtor’s assets and affairs’ (EIR Recast, subpara. (c), Article 42(3))</w:t>
      </w:r>
      <w:r w:rsidR="0031197B">
        <w:rPr>
          <w:rFonts w:ascii="Avenir Next" w:hAnsi="Avenir Next" w:cs="Arial"/>
          <w:color w:val="7B7B7B" w:themeColor="accent3" w:themeShade="BF"/>
          <w:sz w:val="22"/>
          <w:szCs w:val="22"/>
        </w:rPr>
        <w:t>.</w:t>
      </w:r>
    </w:p>
    <w:p w14:paraId="4AEEB153" w14:textId="42159472" w:rsidR="00DD406C" w:rsidRDefault="00DD406C" w:rsidP="002A37BB">
      <w:pPr>
        <w:ind w:left="720" w:hanging="720"/>
        <w:jc w:val="both"/>
        <w:rPr>
          <w:rFonts w:ascii="Avenir Next" w:hAnsi="Avenir Next" w:cs="Arial"/>
          <w:color w:val="7B7B7B" w:themeColor="accent3" w:themeShade="BF"/>
          <w:sz w:val="22"/>
          <w:szCs w:val="22"/>
        </w:rPr>
      </w:pPr>
    </w:p>
    <w:p w14:paraId="12D4B99A" w14:textId="152887AE" w:rsidR="00AF5DB3" w:rsidRPr="00AF5DB3" w:rsidRDefault="00836798" w:rsidP="00AF5DB3">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Thirdly, pursuant to Article 43 EIR Recast, c</w:t>
      </w:r>
      <w:r w:rsidR="00DD406C">
        <w:rPr>
          <w:rFonts w:ascii="Avenir Next" w:hAnsi="Avenir Next" w:cs="Arial"/>
          <w:color w:val="7B7B7B" w:themeColor="accent3" w:themeShade="BF"/>
          <w:sz w:val="22"/>
          <w:szCs w:val="22"/>
        </w:rPr>
        <w:t xml:space="preserve">ooperation </w:t>
      </w:r>
      <w:r>
        <w:rPr>
          <w:rFonts w:ascii="Avenir Next" w:hAnsi="Avenir Next" w:cs="Arial"/>
          <w:color w:val="7B7B7B" w:themeColor="accent3" w:themeShade="BF"/>
          <w:sz w:val="22"/>
          <w:szCs w:val="22"/>
        </w:rPr>
        <w:t xml:space="preserve">and communication </w:t>
      </w:r>
      <w:r w:rsidR="00DD406C">
        <w:rPr>
          <w:rFonts w:ascii="Avenir Next" w:hAnsi="Avenir Next" w:cs="Arial"/>
          <w:color w:val="7B7B7B" w:themeColor="accent3" w:themeShade="BF"/>
          <w:sz w:val="22"/>
          <w:szCs w:val="22"/>
        </w:rPr>
        <w:t xml:space="preserve">between courts and insolvency </w:t>
      </w:r>
      <w:r w:rsidR="00FB5CC6">
        <w:rPr>
          <w:rFonts w:ascii="Avenir Next" w:hAnsi="Avenir Next" w:cs="Arial"/>
          <w:color w:val="7B7B7B" w:themeColor="accent3" w:themeShade="BF"/>
          <w:sz w:val="22"/>
          <w:szCs w:val="22"/>
        </w:rPr>
        <w:t>practitioners</w:t>
      </w:r>
      <w:r w:rsidR="0033054A">
        <w:rPr>
          <w:rFonts w:ascii="Avenir Next" w:hAnsi="Avenir Next" w:cs="Arial"/>
          <w:color w:val="7B7B7B" w:themeColor="accent3" w:themeShade="BF"/>
          <w:sz w:val="22"/>
          <w:szCs w:val="22"/>
        </w:rPr>
        <w:t xml:space="preserve"> </w:t>
      </w:r>
      <w:r w:rsidR="00AF5DB3">
        <w:rPr>
          <w:rFonts w:ascii="Avenir Next" w:hAnsi="Avenir Next" w:cs="Arial"/>
          <w:color w:val="7B7B7B" w:themeColor="accent3" w:themeShade="BF"/>
          <w:sz w:val="22"/>
          <w:szCs w:val="22"/>
        </w:rPr>
        <w:t xml:space="preserve">also constitutes an obligation. The insolvency practitioner involved in the main insolvency proceeding is obligated to communicate and cooperate with a court to whom the opening of a </w:t>
      </w:r>
      <w:r w:rsidR="00E90F4B">
        <w:rPr>
          <w:rFonts w:ascii="Avenir Next" w:hAnsi="Avenir Next" w:cs="Arial"/>
          <w:color w:val="7B7B7B" w:themeColor="accent3" w:themeShade="BF"/>
          <w:sz w:val="22"/>
          <w:szCs w:val="22"/>
        </w:rPr>
        <w:t xml:space="preserve">secondary </w:t>
      </w:r>
      <w:r w:rsidR="00AF5DB3">
        <w:rPr>
          <w:rFonts w:ascii="Avenir Next" w:hAnsi="Avenir Next" w:cs="Arial"/>
          <w:color w:val="7B7B7B" w:themeColor="accent3" w:themeShade="BF"/>
          <w:sz w:val="22"/>
          <w:szCs w:val="22"/>
        </w:rPr>
        <w:t>insolvency proceeding has been requested or that already opened such proceedings. An insolvency practitioner ‘</w:t>
      </w:r>
      <w:r w:rsidR="00AF5DB3" w:rsidRPr="00AF5DB3">
        <w:rPr>
          <w:rFonts w:ascii="Avenir Next" w:hAnsi="Avenir Next" w:cs="Arial"/>
          <w:color w:val="7B7B7B" w:themeColor="accent3" w:themeShade="BF"/>
          <w:sz w:val="22"/>
          <w:szCs w:val="22"/>
        </w:rPr>
        <w:t>in territorial or secondary insolvency proceedings</w:t>
      </w:r>
      <w:r w:rsidR="00AF5DB3">
        <w:rPr>
          <w:rFonts w:ascii="Avenir Next" w:hAnsi="Avenir Next" w:cs="Arial"/>
          <w:color w:val="7B7B7B" w:themeColor="accent3" w:themeShade="BF"/>
          <w:sz w:val="22"/>
          <w:szCs w:val="22"/>
        </w:rPr>
        <w:t>’ is equally obliged to communicate and cooperate with the court to whom the opening of a</w:t>
      </w:r>
      <w:r w:rsidR="00E90F4B">
        <w:rPr>
          <w:rFonts w:ascii="Avenir Next" w:hAnsi="Avenir Next" w:cs="Arial"/>
          <w:color w:val="7B7B7B" w:themeColor="accent3" w:themeShade="BF"/>
          <w:sz w:val="22"/>
          <w:szCs w:val="22"/>
        </w:rPr>
        <w:t xml:space="preserve"> main</w:t>
      </w:r>
      <w:r w:rsidR="00AF5DB3">
        <w:rPr>
          <w:rFonts w:ascii="Avenir Next" w:hAnsi="Avenir Next" w:cs="Arial"/>
          <w:color w:val="7B7B7B" w:themeColor="accent3" w:themeShade="BF"/>
          <w:sz w:val="22"/>
          <w:szCs w:val="22"/>
        </w:rPr>
        <w:t xml:space="preserve"> insolvency proceeding has been requested or that already opened such proceedings.</w:t>
      </w:r>
      <w:r w:rsidR="00CC26A0">
        <w:rPr>
          <w:rFonts w:ascii="Avenir Next" w:hAnsi="Avenir Next" w:cs="Arial"/>
          <w:color w:val="7B7B7B" w:themeColor="accent3" w:themeShade="BF"/>
          <w:sz w:val="22"/>
          <w:szCs w:val="22"/>
        </w:rPr>
        <w:t xml:space="preserve"> </w:t>
      </w:r>
      <w:r w:rsidR="00AF5DB3">
        <w:rPr>
          <w:rFonts w:ascii="Avenir Next" w:hAnsi="Avenir Next" w:cs="Arial"/>
          <w:color w:val="7B7B7B" w:themeColor="accent3" w:themeShade="BF"/>
          <w:sz w:val="22"/>
          <w:szCs w:val="22"/>
        </w:rPr>
        <w:t>Finally, cooperation and communication shall also be established between the insolvency practitioner involved in territorial or secondary insolvency proceedings</w:t>
      </w:r>
      <w:r w:rsidR="00E90F4B">
        <w:rPr>
          <w:rFonts w:ascii="Avenir Next" w:hAnsi="Avenir Next" w:cs="Arial"/>
          <w:color w:val="7B7B7B" w:themeColor="accent3" w:themeShade="BF"/>
          <w:sz w:val="22"/>
          <w:szCs w:val="22"/>
        </w:rPr>
        <w:t xml:space="preserve"> and the court before which a request has been made to open </w:t>
      </w:r>
      <w:r w:rsidR="00E90F4B" w:rsidRPr="00AF5DB3">
        <w:rPr>
          <w:rFonts w:ascii="Avenir Next" w:hAnsi="Avenir Next" w:cs="Arial"/>
          <w:color w:val="7B7B7B" w:themeColor="accent3" w:themeShade="BF"/>
          <w:sz w:val="22"/>
          <w:szCs w:val="22"/>
        </w:rPr>
        <w:t>territorial or secondary insolvency proceedings</w:t>
      </w:r>
      <w:r w:rsidR="00E90F4B">
        <w:rPr>
          <w:rFonts w:ascii="Avenir Next" w:hAnsi="Avenir Next" w:cs="Arial"/>
          <w:color w:val="7B7B7B" w:themeColor="accent3" w:themeShade="BF"/>
          <w:sz w:val="22"/>
          <w:szCs w:val="22"/>
        </w:rPr>
        <w:t xml:space="preserve"> or </w:t>
      </w:r>
      <w:r w:rsidR="002D13BA">
        <w:rPr>
          <w:rFonts w:ascii="Avenir Next" w:hAnsi="Avenir Next" w:cs="Arial"/>
          <w:color w:val="7B7B7B" w:themeColor="accent3" w:themeShade="BF"/>
          <w:sz w:val="22"/>
          <w:szCs w:val="22"/>
        </w:rPr>
        <w:t>that</w:t>
      </w:r>
      <w:r w:rsidR="00E90F4B">
        <w:rPr>
          <w:rFonts w:ascii="Avenir Next" w:hAnsi="Avenir Next" w:cs="Arial"/>
          <w:color w:val="7B7B7B" w:themeColor="accent3" w:themeShade="BF"/>
          <w:sz w:val="22"/>
          <w:szCs w:val="22"/>
        </w:rPr>
        <w:t xml:space="preserve"> has already opened </w:t>
      </w:r>
      <w:r w:rsidR="002D13BA">
        <w:rPr>
          <w:rFonts w:ascii="Avenir Next" w:hAnsi="Avenir Next" w:cs="Arial"/>
          <w:color w:val="7B7B7B" w:themeColor="accent3" w:themeShade="BF"/>
          <w:sz w:val="22"/>
          <w:szCs w:val="22"/>
        </w:rPr>
        <w:t>such</w:t>
      </w:r>
      <w:r w:rsidR="00E90F4B">
        <w:rPr>
          <w:rFonts w:ascii="Avenir Next" w:hAnsi="Avenir Next" w:cs="Arial"/>
          <w:color w:val="7B7B7B" w:themeColor="accent3" w:themeShade="BF"/>
          <w:sz w:val="22"/>
          <w:szCs w:val="22"/>
        </w:rPr>
        <w:t xml:space="preserve"> proceedings</w:t>
      </w:r>
      <w:r w:rsidR="002E7FC5">
        <w:rPr>
          <w:rFonts w:ascii="Avenir Next" w:hAnsi="Avenir Next" w:cs="Arial"/>
          <w:color w:val="7B7B7B" w:themeColor="accent3" w:themeShade="BF"/>
          <w:sz w:val="22"/>
          <w:szCs w:val="22"/>
        </w:rPr>
        <w:t>.</w:t>
      </w:r>
    </w:p>
    <w:p w14:paraId="3595531C" w14:textId="3CA22EBE" w:rsidR="00A871E6" w:rsidRDefault="00A871E6" w:rsidP="002A37BB">
      <w:pPr>
        <w:ind w:left="720" w:hanging="720"/>
        <w:jc w:val="both"/>
        <w:rPr>
          <w:rFonts w:ascii="Avenir Next" w:hAnsi="Avenir Next" w:cs="Arial"/>
          <w:color w:val="7B7B7B" w:themeColor="accent3" w:themeShade="BF"/>
          <w:sz w:val="22"/>
          <w:szCs w:val="22"/>
        </w:rPr>
      </w:pPr>
    </w:p>
    <w:p w14:paraId="34E7F322" w14:textId="230E74A9" w:rsidR="00A871E6" w:rsidRPr="00DD406C" w:rsidRDefault="00A871E6" w:rsidP="00A871E6">
      <w:pPr>
        <w:jc w:val="both"/>
        <w:rPr>
          <w:rFonts w:ascii="Avenir Next" w:hAnsi="Avenir Next" w:cs="Arial"/>
          <w:sz w:val="22"/>
          <w:szCs w:val="22"/>
        </w:rPr>
      </w:pPr>
      <w:r>
        <w:rPr>
          <w:rFonts w:ascii="Avenir Next" w:hAnsi="Avenir Next" w:cs="Arial"/>
          <w:color w:val="7B7B7B" w:themeColor="accent3" w:themeShade="BF"/>
          <w:sz w:val="22"/>
          <w:szCs w:val="22"/>
        </w:rPr>
        <w:t>All the aforementioned cooperation</w:t>
      </w:r>
      <w:r w:rsidR="00AF5DB3">
        <w:rPr>
          <w:rFonts w:ascii="Avenir Next" w:hAnsi="Avenir Next" w:cs="Arial"/>
          <w:color w:val="7B7B7B" w:themeColor="accent3" w:themeShade="BF"/>
          <w:sz w:val="22"/>
          <w:szCs w:val="22"/>
        </w:rPr>
        <w:t xml:space="preserve"> a</w:t>
      </w:r>
      <w:r w:rsidR="002D13BA">
        <w:rPr>
          <w:rFonts w:ascii="Avenir Next" w:hAnsi="Avenir Next" w:cs="Arial"/>
          <w:color w:val="7B7B7B" w:themeColor="accent3" w:themeShade="BF"/>
          <w:sz w:val="22"/>
          <w:szCs w:val="22"/>
        </w:rPr>
        <w:t>n</w:t>
      </w:r>
      <w:r w:rsidR="00AF5DB3">
        <w:rPr>
          <w:rFonts w:ascii="Avenir Next" w:hAnsi="Avenir Next" w:cs="Arial"/>
          <w:color w:val="7B7B7B" w:themeColor="accent3" w:themeShade="BF"/>
          <w:sz w:val="22"/>
          <w:szCs w:val="22"/>
        </w:rPr>
        <w:t>d communication</w:t>
      </w:r>
      <w:r>
        <w:rPr>
          <w:rFonts w:ascii="Avenir Next" w:hAnsi="Avenir Next" w:cs="Arial"/>
          <w:color w:val="7B7B7B" w:themeColor="accent3" w:themeShade="BF"/>
          <w:sz w:val="22"/>
          <w:szCs w:val="22"/>
        </w:rPr>
        <w:t xml:space="preserve"> </w:t>
      </w:r>
      <w:r w:rsidR="00FB5CC6">
        <w:rPr>
          <w:rFonts w:ascii="Avenir Next" w:hAnsi="Avenir Next" w:cs="Arial"/>
          <w:color w:val="7B7B7B" w:themeColor="accent3" w:themeShade="BF"/>
          <w:sz w:val="22"/>
          <w:szCs w:val="22"/>
        </w:rPr>
        <w:t>scenarios</w:t>
      </w:r>
      <w:r>
        <w:rPr>
          <w:rFonts w:ascii="Avenir Next" w:hAnsi="Avenir Next" w:cs="Arial"/>
          <w:color w:val="7B7B7B" w:themeColor="accent3" w:themeShade="BF"/>
          <w:sz w:val="22"/>
          <w:szCs w:val="22"/>
        </w:rPr>
        <w:t xml:space="preserve"> are </w:t>
      </w:r>
      <w:r w:rsidR="00FB5CC6">
        <w:rPr>
          <w:rFonts w:ascii="Avenir Next" w:hAnsi="Avenir Next" w:cs="Arial"/>
          <w:color w:val="7B7B7B" w:themeColor="accent3" w:themeShade="BF"/>
          <w:sz w:val="22"/>
          <w:szCs w:val="22"/>
        </w:rPr>
        <w:t>possible and available</w:t>
      </w:r>
      <w:r w:rsidR="003D604B">
        <w:rPr>
          <w:rFonts w:ascii="Avenir Next" w:hAnsi="Avenir Next" w:cs="Arial"/>
          <w:color w:val="7B7B7B" w:themeColor="accent3" w:themeShade="BF"/>
          <w:sz w:val="22"/>
          <w:szCs w:val="22"/>
        </w:rPr>
        <w:t>,</w:t>
      </w:r>
      <w:r w:rsidR="00FB5CC6">
        <w:rPr>
          <w:rFonts w:ascii="Avenir Next" w:hAnsi="Avenir Next" w:cs="Arial"/>
          <w:color w:val="7B7B7B" w:themeColor="accent3" w:themeShade="BF"/>
          <w:sz w:val="22"/>
          <w:szCs w:val="22"/>
        </w:rPr>
        <w:t xml:space="preserve"> unless </w:t>
      </w:r>
      <w:r>
        <w:rPr>
          <w:rFonts w:ascii="Avenir Next" w:hAnsi="Avenir Next" w:cs="Arial"/>
          <w:color w:val="7B7B7B" w:themeColor="accent3" w:themeShade="BF"/>
          <w:sz w:val="22"/>
          <w:szCs w:val="22"/>
        </w:rPr>
        <w:t xml:space="preserve">such cooperation is not possible </w:t>
      </w:r>
      <w:r w:rsidR="00FB5CC6">
        <w:rPr>
          <w:rFonts w:ascii="Avenir Next" w:hAnsi="Avenir Next" w:cs="Arial"/>
          <w:color w:val="7B7B7B" w:themeColor="accent3" w:themeShade="BF"/>
          <w:sz w:val="22"/>
          <w:szCs w:val="22"/>
        </w:rPr>
        <w:t>due to the incompatibility</w:t>
      </w:r>
      <w:r>
        <w:rPr>
          <w:rFonts w:ascii="Avenir Next" w:hAnsi="Avenir Next" w:cs="Arial"/>
          <w:color w:val="7B7B7B" w:themeColor="accent3" w:themeShade="BF"/>
          <w:sz w:val="22"/>
          <w:szCs w:val="22"/>
        </w:rPr>
        <w:t xml:space="preserve"> with the applicable rules to the proceedings concerne</w:t>
      </w:r>
      <w:r w:rsidR="002968E3">
        <w:rPr>
          <w:rFonts w:ascii="Avenir Next" w:hAnsi="Avenir Next" w:cs="Arial"/>
          <w:color w:val="7B7B7B" w:themeColor="accent3" w:themeShade="BF"/>
          <w:sz w:val="22"/>
          <w:szCs w:val="22"/>
        </w:rPr>
        <w:t>d.</w:t>
      </w:r>
    </w:p>
    <w:p w14:paraId="572227E7" w14:textId="10041403" w:rsidR="0045683E" w:rsidRPr="00FB5CC6" w:rsidRDefault="0045683E" w:rsidP="002A37BB">
      <w:pPr>
        <w:jc w:val="both"/>
        <w:rPr>
          <w:rFonts w:ascii="Avenir Next" w:hAnsi="Avenir Next" w:cs="Arial"/>
          <w:bCs/>
          <w:sz w:val="22"/>
          <w:szCs w:val="22"/>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4103B269" w14:textId="1B065532" w:rsidR="00E52BCA" w:rsidRDefault="002C1CE8" w:rsidP="002C1CE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One of the instruments comprise</w:t>
      </w:r>
      <w:r w:rsidR="00A70CF4">
        <w:rPr>
          <w:rFonts w:ascii="Avenir Next" w:hAnsi="Avenir Next" w:cs="Arial"/>
          <w:color w:val="7B7B7B" w:themeColor="accent3" w:themeShade="BF"/>
          <w:sz w:val="22"/>
          <w:szCs w:val="22"/>
          <w:lang w:val="en-GB"/>
        </w:rPr>
        <w:t>d</w:t>
      </w:r>
      <w:r>
        <w:rPr>
          <w:rFonts w:ascii="Avenir Next" w:hAnsi="Avenir Next" w:cs="Arial"/>
          <w:color w:val="7B7B7B" w:themeColor="accent3" w:themeShade="BF"/>
          <w:sz w:val="22"/>
          <w:szCs w:val="22"/>
          <w:lang w:val="en-GB"/>
        </w:rPr>
        <w:t xml:space="preserve"> in the EIR Recast </w:t>
      </w:r>
      <w:r w:rsidR="00A70CF4">
        <w:rPr>
          <w:rFonts w:ascii="Avenir Next" w:hAnsi="Avenir Next" w:cs="Arial"/>
          <w:color w:val="7B7B7B" w:themeColor="accent3" w:themeShade="BF"/>
          <w:sz w:val="22"/>
          <w:szCs w:val="22"/>
          <w:lang w:val="en-GB"/>
        </w:rPr>
        <w:t>concerning</w:t>
      </w:r>
      <w:r>
        <w:rPr>
          <w:rFonts w:ascii="Avenir Next" w:hAnsi="Avenir Next" w:cs="Arial"/>
          <w:color w:val="7B7B7B" w:themeColor="accent3" w:themeShade="BF"/>
          <w:sz w:val="22"/>
          <w:szCs w:val="22"/>
          <w:lang w:val="en-GB"/>
        </w:rPr>
        <w:t xml:space="preserve"> the control of secondary insolvency proceedings refers to synthetic proceedings.</w:t>
      </w:r>
      <w:r w:rsidR="00A70CF4">
        <w:rPr>
          <w:rFonts w:ascii="Avenir Next" w:hAnsi="Avenir Next" w:cs="Arial"/>
          <w:color w:val="7B7B7B" w:themeColor="accent3" w:themeShade="BF"/>
          <w:sz w:val="22"/>
          <w:szCs w:val="22"/>
          <w:lang w:val="en-GB"/>
        </w:rPr>
        <w:t xml:space="preserve"> This </w:t>
      </w:r>
      <w:r w:rsidR="002E5458">
        <w:rPr>
          <w:rFonts w:ascii="Avenir Next" w:hAnsi="Avenir Next" w:cs="Arial"/>
          <w:color w:val="7B7B7B" w:themeColor="accent3" w:themeShade="BF"/>
          <w:sz w:val="22"/>
          <w:szCs w:val="22"/>
          <w:lang w:val="en-GB"/>
        </w:rPr>
        <w:t xml:space="preserve">scenario </w:t>
      </w:r>
      <w:r w:rsidR="00A70CF4">
        <w:rPr>
          <w:rFonts w:ascii="Avenir Next" w:hAnsi="Avenir Next" w:cs="Arial"/>
          <w:color w:val="7B7B7B" w:themeColor="accent3" w:themeShade="BF"/>
          <w:sz w:val="22"/>
          <w:szCs w:val="22"/>
          <w:lang w:val="en-GB"/>
        </w:rPr>
        <w:t>is related to the</w:t>
      </w:r>
      <w:r w:rsidR="00CC1BD1">
        <w:rPr>
          <w:rFonts w:ascii="Avenir Next" w:hAnsi="Avenir Next" w:cs="Arial"/>
          <w:color w:val="7B7B7B" w:themeColor="accent3" w:themeShade="BF"/>
          <w:sz w:val="22"/>
          <w:szCs w:val="22"/>
          <w:lang w:val="en-GB"/>
        </w:rPr>
        <w:t xml:space="preserve"> cas</w:t>
      </w:r>
      <w:r w:rsidR="00A70CF4">
        <w:rPr>
          <w:rFonts w:ascii="Avenir Next" w:hAnsi="Avenir Next" w:cs="Arial"/>
          <w:color w:val="7B7B7B" w:themeColor="accent3" w:themeShade="BF"/>
          <w:sz w:val="22"/>
          <w:szCs w:val="22"/>
          <w:lang w:val="en-GB"/>
        </w:rPr>
        <w:t xml:space="preserve">e of an insolvency practitioner involved in a main insolvency proceeding having given an undertaking pursuant to Article 36, in accordance with Article 38(2) EIR Recast. In this </w:t>
      </w:r>
      <w:r w:rsidR="002E5458">
        <w:rPr>
          <w:rFonts w:ascii="Avenir Next" w:hAnsi="Avenir Next" w:cs="Arial"/>
          <w:color w:val="7B7B7B" w:themeColor="accent3" w:themeShade="BF"/>
          <w:sz w:val="22"/>
          <w:szCs w:val="22"/>
          <w:lang w:val="en-GB"/>
        </w:rPr>
        <w:t>context</w:t>
      </w:r>
      <w:r w:rsidR="00A70CF4">
        <w:rPr>
          <w:rFonts w:ascii="Avenir Next" w:hAnsi="Avenir Next" w:cs="Arial"/>
          <w:color w:val="7B7B7B" w:themeColor="accent3" w:themeShade="BF"/>
          <w:sz w:val="22"/>
          <w:szCs w:val="22"/>
          <w:lang w:val="en-GB"/>
        </w:rPr>
        <w:t>, the court requested to open secondary insolvency proceedings should not proceed with the opening of such proceedings if th</w:t>
      </w:r>
      <w:r w:rsidR="00CB4434">
        <w:rPr>
          <w:rFonts w:ascii="Avenir Next" w:hAnsi="Avenir Next" w:cs="Arial"/>
          <w:color w:val="7B7B7B" w:themeColor="accent3" w:themeShade="BF"/>
          <w:sz w:val="22"/>
          <w:szCs w:val="22"/>
          <w:lang w:val="en-GB"/>
        </w:rPr>
        <w:t>at</w:t>
      </w:r>
      <w:r w:rsidR="00A70CF4">
        <w:rPr>
          <w:rFonts w:ascii="Avenir Next" w:hAnsi="Avenir Next" w:cs="Arial"/>
          <w:color w:val="7B7B7B" w:themeColor="accent3" w:themeShade="BF"/>
          <w:sz w:val="22"/>
          <w:szCs w:val="22"/>
          <w:lang w:val="en-GB"/>
        </w:rPr>
        <w:t xml:space="preserve"> court is satisfied that local creditors’ rights are protected by the undertaking. </w:t>
      </w:r>
      <w:r w:rsidR="002E5458">
        <w:rPr>
          <w:rFonts w:ascii="Avenir Next" w:hAnsi="Avenir Next" w:cs="Arial"/>
          <w:color w:val="7B7B7B" w:themeColor="accent3" w:themeShade="BF"/>
          <w:sz w:val="22"/>
          <w:szCs w:val="22"/>
          <w:lang w:val="en-GB"/>
        </w:rPr>
        <w:t>Notwithstanding the fact that</w:t>
      </w:r>
      <w:r w:rsidR="00A70CF4">
        <w:rPr>
          <w:rFonts w:ascii="Avenir Next" w:hAnsi="Avenir Next" w:cs="Arial"/>
          <w:color w:val="7B7B7B" w:themeColor="accent3" w:themeShade="BF"/>
          <w:sz w:val="22"/>
          <w:szCs w:val="22"/>
          <w:lang w:val="en-GB"/>
        </w:rPr>
        <w:t xml:space="preserve"> no secondary proceedings are opened, local credito</w:t>
      </w:r>
      <w:r w:rsidR="001628FE">
        <w:rPr>
          <w:rFonts w:ascii="Avenir Next" w:hAnsi="Avenir Next" w:cs="Arial"/>
          <w:color w:val="7B7B7B" w:themeColor="accent3" w:themeShade="BF"/>
          <w:sz w:val="22"/>
          <w:szCs w:val="22"/>
          <w:lang w:val="en-GB"/>
        </w:rPr>
        <w:t>r</w:t>
      </w:r>
      <w:r w:rsidR="00A70CF4">
        <w:rPr>
          <w:rFonts w:ascii="Avenir Next" w:hAnsi="Avenir Next" w:cs="Arial"/>
          <w:color w:val="7B7B7B" w:themeColor="accent3" w:themeShade="BF"/>
          <w:sz w:val="22"/>
          <w:szCs w:val="22"/>
          <w:lang w:val="en-GB"/>
        </w:rPr>
        <w:t xml:space="preserve">s receive the advantages of the secondary proceedings </w:t>
      </w:r>
      <w:r w:rsidR="001628FE">
        <w:rPr>
          <w:rFonts w:ascii="Avenir Next" w:hAnsi="Avenir Next" w:cs="Arial"/>
          <w:color w:val="7B7B7B" w:themeColor="accent3" w:themeShade="BF"/>
          <w:sz w:val="22"/>
          <w:szCs w:val="22"/>
          <w:lang w:val="en-GB"/>
        </w:rPr>
        <w:t>even if th</w:t>
      </w:r>
      <w:r w:rsidR="00E52BCA">
        <w:rPr>
          <w:rFonts w:ascii="Avenir Next" w:hAnsi="Avenir Next" w:cs="Arial"/>
          <w:color w:val="7B7B7B" w:themeColor="accent3" w:themeShade="BF"/>
          <w:sz w:val="22"/>
          <w:szCs w:val="22"/>
          <w:lang w:val="en-GB"/>
        </w:rPr>
        <w:t>ose</w:t>
      </w:r>
      <w:r w:rsidR="001628FE">
        <w:rPr>
          <w:rFonts w:ascii="Avenir Next" w:hAnsi="Avenir Next" w:cs="Arial"/>
          <w:color w:val="7B7B7B" w:themeColor="accent3" w:themeShade="BF"/>
          <w:sz w:val="22"/>
          <w:szCs w:val="22"/>
          <w:lang w:val="en-GB"/>
        </w:rPr>
        <w:t xml:space="preserve"> don’t formally exist. Consequently, this system ensures the centralization of debtor’s assets and affairs and the compliance </w:t>
      </w:r>
      <w:r w:rsidR="00E52BCA">
        <w:rPr>
          <w:rFonts w:ascii="Avenir Next" w:hAnsi="Avenir Next" w:cs="Arial"/>
          <w:color w:val="7B7B7B" w:themeColor="accent3" w:themeShade="BF"/>
          <w:sz w:val="22"/>
          <w:szCs w:val="22"/>
          <w:lang w:val="en-GB"/>
        </w:rPr>
        <w:t xml:space="preserve">of the insolvency practitioner </w:t>
      </w:r>
      <w:r w:rsidR="001628FE">
        <w:rPr>
          <w:rFonts w:ascii="Avenir Next" w:hAnsi="Avenir Next" w:cs="Arial"/>
          <w:color w:val="7B7B7B" w:themeColor="accent3" w:themeShade="BF"/>
          <w:sz w:val="22"/>
          <w:szCs w:val="22"/>
          <w:lang w:val="en-GB"/>
        </w:rPr>
        <w:t>with</w:t>
      </w:r>
      <w:r w:rsidR="00532D55">
        <w:rPr>
          <w:rFonts w:ascii="Avenir Next" w:hAnsi="Avenir Next" w:cs="Arial"/>
          <w:color w:val="7B7B7B" w:themeColor="accent3" w:themeShade="BF"/>
          <w:sz w:val="22"/>
          <w:szCs w:val="22"/>
          <w:lang w:val="en-GB"/>
        </w:rPr>
        <w:t xml:space="preserve"> </w:t>
      </w:r>
      <w:r w:rsidR="00E52BCA">
        <w:rPr>
          <w:rFonts w:ascii="Avenir Next" w:hAnsi="Avenir Next" w:cs="Arial"/>
          <w:color w:val="7B7B7B" w:themeColor="accent3" w:themeShade="BF"/>
          <w:sz w:val="22"/>
          <w:szCs w:val="22"/>
          <w:lang w:val="en-GB"/>
        </w:rPr>
        <w:t xml:space="preserve">distribution and </w:t>
      </w:r>
      <w:r w:rsidR="00F47B45">
        <w:rPr>
          <w:rFonts w:ascii="Avenir Next" w:hAnsi="Avenir Next" w:cs="Arial"/>
          <w:color w:val="7B7B7B" w:themeColor="accent3" w:themeShade="BF"/>
          <w:sz w:val="22"/>
          <w:szCs w:val="22"/>
          <w:lang w:val="en-GB"/>
        </w:rPr>
        <w:t xml:space="preserve">priority rights linked to local insolvency rules </w:t>
      </w:r>
      <w:r w:rsidR="001628FE">
        <w:rPr>
          <w:rFonts w:ascii="Avenir Next" w:hAnsi="Avenir Next" w:cs="Arial"/>
          <w:color w:val="7B7B7B" w:themeColor="accent3" w:themeShade="BF"/>
          <w:sz w:val="22"/>
          <w:szCs w:val="22"/>
          <w:lang w:val="en-GB"/>
        </w:rPr>
        <w:t>in respect of local creditors’ right</w:t>
      </w:r>
      <w:r w:rsidR="00FD1719">
        <w:rPr>
          <w:rFonts w:ascii="Avenir Next" w:hAnsi="Avenir Next" w:cs="Arial"/>
          <w:color w:val="7B7B7B" w:themeColor="accent3" w:themeShade="BF"/>
          <w:sz w:val="22"/>
          <w:szCs w:val="22"/>
          <w:lang w:val="en-GB"/>
        </w:rPr>
        <w:t>s.</w:t>
      </w:r>
    </w:p>
    <w:p w14:paraId="3C679543" w14:textId="142F156B" w:rsidR="00F47B45" w:rsidRDefault="00F47B45" w:rsidP="002C1CE8">
      <w:pPr>
        <w:jc w:val="both"/>
        <w:rPr>
          <w:rFonts w:ascii="Avenir Next" w:hAnsi="Avenir Next" w:cs="Arial"/>
          <w:color w:val="7B7B7B" w:themeColor="accent3" w:themeShade="BF"/>
          <w:sz w:val="22"/>
          <w:szCs w:val="22"/>
          <w:lang w:val="en-GB"/>
        </w:rPr>
      </w:pPr>
    </w:p>
    <w:p w14:paraId="59D00D21" w14:textId="77E599E5" w:rsidR="00395528" w:rsidRDefault="00E52BCA" w:rsidP="002C1CE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second instrument </w:t>
      </w:r>
      <w:r w:rsidR="00E352AC">
        <w:rPr>
          <w:rFonts w:ascii="Avenir Next" w:hAnsi="Avenir Next" w:cs="Arial"/>
          <w:color w:val="7B7B7B" w:themeColor="accent3" w:themeShade="BF"/>
          <w:sz w:val="22"/>
          <w:szCs w:val="22"/>
          <w:lang w:val="en-GB"/>
        </w:rPr>
        <w:t>linked</w:t>
      </w:r>
      <w:r>
        <w:rPr>
          <w:rFonts w:ascii="Avenir Next" w:hAnsi="Avenir Next" w:cs="Arial"/>
          <w:color w:val="7B7B7B" w:themeColor="accent3" w:themeShade="BF"/>
          <w:sz w:val="22"/>
          <w:szCs w:val="22"/>
          <w:lang w:val="en-GB"/>
        </w:rPr>
        <w:t xml:space="preserve"> to the control of secondary insolvency proceedings relates to </w:t>
      </w:r>
      <w:r w:rsidR="00FF6F6B">
        <w:rPr>
          <w:rFonts w:ascii="Avenir Next" w:hAnsi="Avenir Next" w:cs="Arial"/>
          <w:color w:val="7B7B7B" w:themeColor="accent3" w:themeShade="BF"/>
          <w:sz w:val="22"/>
          <w:szCs w:val="22"/>
          <w:lang w:val="en-GB"/>
        </w:rPr>
        <w:t>a</w:t>
      </w:r>
      <w:r w:rsidR="00B83AC6">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stay</w:t>
      </w:r>
      <w:r w:rsidR="00B83AC6">
        <w:rPr>
          <w:rFonts w:ascii="Avenir Next" w:hAnsi="Avenir Next" w:cs="Arial"/>
          <w:color w:val="7B7B7B" w:themeColor="accent3" w:themeShade="BF"/>
          <w:sz w:val="22"/>
          <w:szCs w:val="22"/>
          <w:lang w:val="en-GB"/>
        </w:rPr>
        <w:t xml:space="preserve"> of</w:t>
      </w:r>
      <w:r>
        <w:rPr>
          <w:rFonts w:ascii="Avenir Next" w:hAnsi="Avenir Next" w:cs="Arial"/>
          <w:color w:val="7B7B7B" w:themeColor="accent3" w:themeShade="BF"/>
          <w:sz w:val="22"/>
          <w:szCs w:val="22"/>
          <w:lang w:val="en-GB"/>
        </w:rPr>
        <w:t xml:space="preserve"> those proceedings. </w:t>
      </w:r>
      <w:r w:rsidR="00B83AC6">
        <w:rPr>
          <w:rFonts w:ascii="Avenir Next" w:hAnsi="Avenir Next" w:cs="Arial"/>
          <w:color w:val="7B7B7B" w:themeColor="accent3" w:themeShade="BF"/>
          <w:sz w:val="22"/>
          <w:szCs w:val="22"/>
          <w:lang w:val="en-GB"/>
        </w:rPr>
        <w:t>Pursuant to Article 45 EIR Recast, the court is given the possibility to stay the opening of secondary insolvency proceedings, at the request of an insolvency practitioner o</w:t>
      </w:r>
      <w:r w:rsidR="002E5458">
        <w:rPr>
          <w:rFonts w:ascii="Avenir Next" w:hAnsi="Avenir Next" w:cs="Arial"/>
          <w:color w:val="7B7B7B" w:themeColor="accent3" w:themeShade="BF"/>
          <w:sz w:val="22"/>
          <w:szCs w:val="22"/>
          <w:lang w:val="en-GB"/>
        </w:rPr>
        <w:t>r</w:t>
      </w:r>
      <w:r w:rsidR="00B83AC6">
        <w:rPr>
          <w:rFonts w:ascii="Avenir Next" w:hAnsi="Avenir Next" w:cs="Arial"/>
          <w:color w:val="7B7B7B" w:themeColor="accent3" w:themeShade="BF"/>
          <w:sz w:val="22"/>
          <w:szCs w:val="22"/>
          <w:lang w:val="en-GB"/>
        </w:rPr>
        <w:t xml:space="preserve"> the debtor-in-possession, in case a stay has already been granted in the main insolvency proceeding. This is to protect any negotiation </w:t>
      </w:r>
      <w:r w:rsidR="00E352AC">
        <w:rPr>
          <w:rFonts w:ascii="Avenir Next" w:hAnsi="Avenir Next" w:cs="Arial"/>
          <w:color w:val="7B7B7B" w:themeColor="accent3" w:themeShade="BF"/>
          <w:sz w:val="22"/>
          <w:szCs w:val="22"/>
          <w:lang w:val="en-GB"/>
        </w:rPr>
        <w:t>mechanism</w:t>
      </w:r>
      <w:r w:rsidR="00B83AC6">
        <w:rPr>
          <w:rFonts w:ascii="Avenir Next" w:hAnsi="Avenir Next" w:cs="Arial"/>
          <w:color w:val="7B7B7B" w:themeColor="accent3" w:themeShade="BF"/>
          <w:sz w:val="22"/>
          <w:szCs w:val="22"/>
          <w:lang w:val="en-GB"/>
        </w:rPr>
        <w:t xml:space="preserve"> and </w:t>
      </w:r>
      <w:r w:rsidR="00327CBA">
        <w:rPr>
          <w:rFonts w:ascii="Avenir Next" w:hAnsi="Avenir Next" w:cs="Arial"/>
          <w:color w:val="7B7B7B" w:themeColor="accent3" w:themeShade="BF"/>
          <w:sz w:val="22"/>
          <w:szCs w:val="22"/>
          <w:lang w:val="en-GB"/>
        </w:rPr>
        <w:t xml:space="preserve">to </w:t>
      </w:r>
      <w:r w:rsidR="00492D25">
        <w:rPr>
          <w:rFonts w:ascii="Avenir Next" w:hAnsi="Avenir Next" w:cs="Arial"/>
          <w:color w:val="7B7B7B" w:themeColor="accent3" w:themeShade="BF"/>
          <w:sz w:val="22"/>
          <w:szCs w:val="22"/>
          <w:lang w:val="en-GB"/>
        </w:rPr>
        <w:t>promote</w:t>
      </w:r>
      <w:r w:rsidR="00B83AC6">
        <w:rPr>
          <w:rFonts w:ascii="Avenir Next" w:hAnsi="Avenir Next" w:cs="Arial"/>
          <w:color w:val="7B7B7B" w:themeColor="accent3" w:themeShade="BF"/>
          <w:sz w:val="22"/>
          <w:szCs w:val="22"/>
          <w:lang w:val="en-GB"/>
        </w:rPr>
        <w:t xml:space="preserve"> </w:t>
      </w:r>
      <w:r w:rsidR="00E352AC">
        <w:rPr>
          <w:rFonts w:ascii="Avenir Next" w:hAnsi="Avenir Next" w:cs="Arial"/>
          <w:color w:val="7B7B7B" w:themeColor="accent3" w:themeShade="BF"/>
          <w:sz w:val="22"/>
          <w:szCs w:val="22"/>
          <w:lang w:val="en-GB"/>
        </w:rPr>
        <w:t xml:space="preserve">the </w:t>
      </w:r>
      <w:r w:rsidR="00B83AC6">
        <w:rPr>
          <w:rFonts w:ascii="Avenir Next" w:hAnsi="Avenir Next" w:cs="Arial"/>
          <w:color w:val="7B7B7B" w:themeColor="accent3" w:themeShade="BF"/>
          <w:sz w:val="22"/>
          <w:szCs w:val="22"/>
          <w:lang w:val="en-GB"/>
        </w:rPr>
        <w:t>rescue process.</w:t>
      </w:r>
      <w:r w:rsidR="00CB4434">
        <w:rPr>
          <w:rFonts w:ascii="Avenir Next" w:hAnsi="Avenir Next" w:cs="Arial"/>
          <w:color w:val="7B7B7B" w:themeColor="accent3" w:themeShade="BF"/>
          <w:sz w:val="22"/>
          <w:szCs w:val="22"/>
          <w:lang w:val="en-GB"/>
        </w:rPr>
        <w:t xml:space="preserve"> In any event</w:t>
      </w:r>
      <w:r w:rsidR="00395528">
        <w:rPr>
          <w:rFonts w:ascii="Avenir Next" w:hAnsi="Avenir Next" w:cs="Arial"/>
          <w:color w:val="7B7B7B" w:themeColor="accent3" w:themeShade="BF"/>
          <w:sz w:val="22"/>
          <w:szCs w:val="22"/>
          <w:lang w:val="en-GB"/>
        </w:rPr>
        <w:t xml:space="preserve">, </w:t>
      </w:r>
      <w:r w:rsidR="002E5458">
        <w:rPr>
          <w:rFonts w:ascii="Avenir Next" w:hAnsi="Avenir Next" w:cs="Arial"/>
          <w:color w:val="7B7B7B" w:themeColor="accent3" w:themeShade="BF"/>
          <w:sz w:val="22"/>
          <w:szCs w:val="22"/>
          <w:lang w:val="en-GB"/>
        </w:rPr>
        <w:t xml:space="preserve">it should be </w:t>
      </w:r>
      <w:r w:rsidR="00327CBA">
        <w:rPr>
          <w:rFonts w:ascii="Avenir Next" w:hAnsi="Avenir Next" w:cs="Arial"/>
          <w:color w:val="7B7B7B" w:themeColor="accent3" w:themeShade="BF"/>
          <w:sz w:val="22"/>
          <w:szCs w:val="22"/>
          <w:lang w:val="en-GB"/>
        </w:rPr>
        <w:t>stressed</w:t>
      </w:r>
      <w:r w:rsidR="002E5458">
        <w:rPr>
          <w:rFonts w:ascii="Avenir Next" w:hAnsi="Avenir Next" w:cs="Arial"/>
          <w:color w:val="7B7B7B" w:themeColor="accent3" w:themeShade="BF"/>
          <w:sz w:val="22"/>
          <w:szCs w:val="22"/>
          <w:lang w:val="en-GB"/>
        </w:rPr>
        <w:t xml:space="preserve"> that </w:t>
      </w:r>
      <w:r w:rsidR="00395528">
        <w:rPr>
          <w:rFonts w:ascii="Avenir Next" w:hAnsi="Avenir Next" w:cs="Arial"/>
          <w:color w:val="7B7B7B" w:themeColor="accent3" w:themeShade="BF"/>
          <w:sz w:val="22"/>
          <w:szCs w:val="22"/>
          <w:lang w:val="en-GB"/>
        </w:rPr>
        <w:t xml:space="preserve">certain conditions </w:t>
      </w:r>
      <w:r w:rsidR="009B095D">
        <w:rPr>
          <w:rFonts w:ascii="Avenir Next" w:hAnsi="Avenir Next" w:cs="Arial"/>
          <w:color w:val="7B7B7B" w:themeColor="accent3" w:themeShade="BF"/>
          <w:sz w:val="22"/>
          <w:szCs w:val="22"/>
          <w:lang w:val="en-GB"/>
        </w:rPr>
        <w:t xml:space="preserve">should </w:t>
      </w:r>
      <w:r w:rsidR="00B46786">
        <w:rPr>
          <w:rFonts w:ascii="Avenir Next" w:hAnsi="Avenir Next" w:cs="Arial"/>
          <w:color w:val="7B7B7B" w:themeColor="accent3" w:themeShade="BF"/>
          <w:sz w:val="22"/>
          <w:szCs w:val="22"/>
          <w:lang w:val="en-GB"/>
        </w:rPr>
        <w:t xml:space="preserve">also </w:t>
      </w:r>
      <w:r w:rsidR="009B095D">
        <w:rPr>
          <w:rFonts w:ascii="Avenir Next" w:hAnsi="Avenir Next" w:cs="Arial"/>
          <w:color w:val="7B7B7B" w:themeColor="accent3" w:themeShade="BF"/>
          <w:sz w:val="22"/>
          <w:szCs w:val="22"/>
          <w:lang w:val="en-GB"/>
        </w:rPr>
        <w:t xml:space="preserve">be met </w:t>
      </w:r>
      <w:r w:rsidR="00395528">
        <w:rPr>
          <w:rFonts w:ascii="Avenir Next" w:hAnsi="Avenir Next" w:cs="Arial"/>
          <w:color w:val="7B7B7B" w:themeColor="accent3" w:themeShade="BF"/>
          <w:sz w:val="22"/>
          <w:szCs w:val="22"/>
          <w:lang w:val="en-GB"/>
        </w:rPr>
        <w:t>for staying the secondary proceeding</w:t>
      </w:r>
      <w:r w:rsidR="002E5458">
        <w:rPr>
          <w:rFonts w:ascii="Avenir Next" w:hAnsi="Avenir Next" w:cs="Arial"/>
          <w:color w:val="7B7B7B" w:themeColor="accent3" w:themeShade="BF"/>
          <w:sz w:val="22"/>
          <w:szCs w:val="22"/>
          <w:lang w:val="en-GB"/>
        </w:rPr>
        <w:t>.</w:t>
      </w:r>
      <w:r w:rsidR="00395528">
        <w:rPr>
          <w:rFonts w:ascii="Avenir Next" w:hAnsi="Avenir Next" w:cs="Arial"/>
          <w:color w:val="7B7B7B" w:themeColor="accent3" w:themeShade="BF"/>
          <w:sz w:val="22"/>
          <w:szCs w:val="22"/>
          <w:lang w:val="en-GB"/>
        </w:rPr>
        <w:t xml:space="preserve"> </w:t>
      </w:r>
      <w:r w:rsidR="002E5458">
        <w:rPr>
          <w:rFonts w:ascii="Avenir Next" w:hAnsi="Avenir Next" w:cs="Arial"/>
          <w:color w:val="7B7B7B" w:themeColor="accent3" w:themeShade="BF"/>
          <w:sz w:val="22"/>
          <w:szCs w:val="22"/>
          <w:lang w:val="en-GB"/>
        </w:rPr>
        <w:t>T</w:t>
      </w:r>
      <w:r w:rsidR="00395528">
        <w:rPr>
          <w:rFonts w:ascii="Avenir Next" w:hAnsi="Avenir Next" w:cs="Arial"/>
          <w:color w:val="7B7B7B" w:themeColor="accent3" w:themeShade="BF"/>
          <w:sz w:val="22"/>
          <w:szCs w:val="22"/>
          <w:lang w:val="en-GB"/>
        </w:rPr>
        <w:t xml:space="preserve">his mechanism is </w:t>
      </w:r>
      <w:r w:rsidR="00CB4434">
        <w:rPr>
          <w:rFonts w:ascii="Avenir Next" w:hAnsi="Avenir Next" w:cs="Arial"/>
          <w:color w:val="7B7B7B" w:themeColor="accent3" w:themeShade="BF"/>
          <w:sz w:val="22"/>
          <w:szCs w:val="22"/>
          <w:lang w:val="en-GB"/>
        </w:rPr>
        <w:t xml:space="preserve">generally </w:t>
      </w:r>
      <w:r w:rsidR="00395528">
        <w:rPr>
          <w:rFonts w:ascii="Avenir Next" w:hAnsi="Avenir Next" w:cs="Arial"/>
          <w:color w:val="7B7B7B" w:themeColor="accent3" w:themeShade="BF"/>
          <w:sz w:val="22"/>
          <w:szCs w:val="22"/>
          <w:lang w:val="en-GB"/>
        </w:rPr>
        <w:t xml:space="preserve">considered weaker when compared to the effectiveness of the ‘synthetic proceedings’ measure </w:t>
      </w:r>
      <w:r w:rsidR="002E5458">
        <w:rPr>
          <w:rFonts w:ascii="Avenir Next" w:hAnsi="Avenir Next" w:cs="Arial"/>
          <w:color w:val="7B7B7B" w:themeColor="accent3" w:themeShade="BF"/>
          <w:sz w:val="22"/>
          <w:szCs w:val="22"/>
          <w:lang w:val="en-GB"/>
        </w:rPr>
        <w:t>with respect to</w:t>
      </w:r>
      <w:r w:rsidR="00395528">
        <w:rPr>
          <w:rFonts w:ascii="Avenir Next" w:hAnsi="Avenir Next" w:cs="Arial"/>
          <w:color w:val="7B7B7B" w:themeColor="accent3" w:themeShade="BF"/>
          <w:sz w:val="22"/>
          <w:szCs w:val="22"/>
          <w:lang w:val="en-GB"/>
        </w:rPr>
        <w:t xml:space="preserve"> restraining the effects of secondary insolvency proceedings and safeguarding those of the main proceedi</w:t>
      </w:r>
      <w:r w:rsidR="0093102C">
        <w:rPr>
          <w:rFonts w:ascii="Avenir Next" w:hAnsi="Avenir Next" w:cs="Arial"/>
          <w:color w:val="7B7B7B" w:themeColor="accent3" w:themeShade="BF"/>
          <w:sz w:val="22"/>
          <w:szCs w:val="22"/>
          <w:lang w:val="en-GB"/>
        </w:rPr>
        <w:t>ng.</w:t>
      </w:r>
    </w:p>
    <w:p w14:paraId="69638973" w14:textId="7956DB7C" w:rsidR="00F47B45" w:rsidRPr="008E3C96" w:rsidRDefault="00F47B45" w:rsidP="002C1CE8">
      <w:pPr>
        <w:jc w:val="both"/>
        <w:rPr>
          <w:rFonts w:ascii="Avenir Next" w:hAnsi="Avenir Next" w:cs="Arial"/>
          <w:sz w:val="22"/>
          <w:szCs w:val="22"/>
          <w:lang w:val="en-GB"/>
        </w:rPr>
      </w:pPr>
    </w:p>
    <w:p w14:paraId="321358EA" w14:textId="77777777" w:rsidR="009954B2" w:rsidRPr="008E3C96" w:rsidRDefault="009954B2"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4024A332" w14:textId="5B09BB0C" w:rsidR="00544127" w:rsidRDefault="003627DD" w:rsidP="002A37B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Notwithstanding the </w:t>
      </w:r>
      <w:r w:rsidR="002E02C6">
        <w:rPr>
          <w:rFonts w:ascii="Avenir Next" w:hAnsi="Avenir Next" w:cs="Arial"/>
          <w:color w:val="7B7B7B" w:themeColor="accent3" w:themeShade="BF"/>
          <w:sz w:val="22"/>
          <w:szCs w:val="22"/>
        </w:rPr>
        <w:t>overall success of the EIR 2000, some adjustments were considered necessary in light of the new needs and developments</w:t>
      </w:r>
      <w:r w:rsidR="00C263C1">
        <w:rPr>
          <w:rFonts w:ascii="Avenir Next" w:hAnsi="Avenir Next" w:cs="Arial"/>
          <w:color w:val="7B7B7B" w:themeColor="accent3" w:themeShade="BF"/>
          <w:sz w:val="22"/>
          <w:szCs w:val="22"/>
        </w:rPr>
        <w:t xml:space="preserve"> in the insolvency domain</w:t>
      </w:r>
      <w:r w:rsidR="002E02C6">
        <w:rPr>
          <w:rFonts w:ascii="Avenir Next" w:hAnsi="Avenir Next" w:cs="Arial"/>
          <w:color w:val="7B7B7B" w:themeColor="accent3" w:themeShade="BF"/>
          <w:sz w:val="22"/>
          <w:szCs w:val="22"/>
        </w:rPr>
        <w:t xml:space="preserve">. </w:t>
      </w:r>
      <w:r w:rsidR="00C263C1">
        <w:rPr>
          <w:rFonts w:ascii="Avenir Next" w:hAnsi="Avenir Next" w:cs="Arial"/>
          <w:color w:val="7B7B7B" w:themeColor="accent3" w:themeShade="BF"/>
          <w:sz w:val="22"/>
          <w:szCs w:val="22"/>
        </w:rPr>
        <w:t xml:space="preserve">These adjustments </w:t>
      </w:r>
      <w:r w:rsidR="002E5458">
        <w:rPr>
          <w:rFonts w:ascii="Avenir Next" w:hAnsi="Avenir Next" w:cs="Arial"/>
          <w:color w:val="7B7B7B" w:themeColor="accent3" w:themeShade="BF"/>
          <w:sz w:val="22"/>
          <w:szCs w:val="22"/>
        </w:rPr>
        <w:t>can be summarized</w:t>
      </w:r>
      <w:r w:rsidR="00C263C1">
        <w:rPr>
          <w:rFonts w:ascii="Avenir Next" w:hAnsi="Avenir Next" w:cs="Arial"/>
          <w:color w:val="7B7B7B" w:themeColor="accent3" w:themeShade="BF"/>
          <w:sz w:val="22"/>
          <w:szCs w:val="22"/>
        </w:rPr>
        <w:t xml:space="preserve"> as follow</w:t>
      </w:r>
      <w:r w:rsidR="004E0DB9">
        <w:rPr>
          <w:rFonts w:ascii="Avenir Next" w:hAnsi="Avenir Next" w:cs="Arial"/>
          <w:color w:val="7B7B7B" w:themeColor="accent3" w:themeShade="BF"/>
          <w:sz w:val="22"/>
          <w:szCs w:val="22"/>
        </w:rPr>
        <w:t>s.</w:t>
      </w:r>
    </w:p>
    <w:p w14:paraId="5633C784" w14:textId="1B79F82F" w:rsidR="00C263C1" w:rsidRDefault="00C263C1" w:rsidP="002A37BB">
      <w:pPr>
        <w:jc w:val="both"/>
        <w:rPr>
          <w:rFonts w:ascii="Avenir Next" w:hAnsi="Avenir Next" w:cs="Arial"/>
          <w:color w:val="7B7B7B" w:themeColor="accent3" w:themeShade="BF"/>
          <w:sz w:val="22"/>
          <w:szCs w:val="22"/>
        </w:rPr>
      </w:pPr>
    </w:p>
    <w:p w14:paraId="3132E5C3" w14:textId="56FEF394" w:rsidR="00C263C1" w:rsidRDefault="00C263C1" w:rsidP="002A37B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First of all, </w:t>
      </w:r>
      <w:r w:rsidR="001C57F2">
        <w:rPr>
          <w:rFonts w:ascii="Avenir Next" w:hAnsi="Avenir Next" w:cs="Arial"/>
          <w:color w:val="7B7B7B" w:themeColor="accent3" w:themeShade="BF"/>
          <w:sz w:val="22"/>
          <w:szCs w:val="22"/>
        </w:rPr>
        <w:t>broadening the scope of the EIR 2000</w:t>
      </w:r>
      <w:r w:rsidR="000C4C64">
        <w:rPr>
          <w:rFonts w:ascii="Avenir Next" w:hAnsi="Avenir Next" w:cs="Arial"/>
          <w:color w:val="7B7B7B" w:themeColor="accent3" w:themeShade="BF"/>
          <w:sz w:val="22"/>
          <w:szCs w:val="22"/>
        </w:rPr>
        <w:t xml:space="preserve"> in terms of </w:t>
      </w:r>
      <w:r w:rsidR="001C57F2">
        <w:rPr>
          <w:rFonts w:ascii="Avenir Next" w:hAnsi="Avenir Next" w:cs="Arial"/>
          <w:color w:val="7B7B7B" w:themeColor="accent3" w:themeShade="BF"/>
          <w:sz w:val="22"/>
          <w:szCs w:val="22"/>
        </w:rPr>
        <w:t xml:space="preserve">restructuring </w:t>
      </w:r>
      <w:r w:rsidR="000C4C64">
        <w:rPr>
          <w:rFonts w:ascii="Avenir Next" w:hAnsi="Avenir Next" w:cs="Arial"/>
          <w:color w:val="7B7B7B" w:themeColor="accent3" w:themeShade="BF"/>
          <w:sz w:val="22"/>
          <w:szCs w:val="22"/>
        </w:rPr>
        <w:t>proceedings was considered imperative. The scope of the new Regulation was extended to proceedings in which the mere likelihood of insolvency is present and to proceedings leaving the debtor fully or partly in control of affairs and assets</w:t>
      </w:r>
      <w:r w:rsidR="004D11AE">
        <w:rPr>
          <w:rFonts w:ascii="Avenir Next" w:hAnsi="Avenir Next" w:cs="Arial"/>
          <w:color w:val="7B7B7B" w:themeColor="accent3" w:themeShade="BF"/>
          <w:sz w:val="22"/>
          <w:szCs w:val="22"/>
        </w:rPr>
        <w:t xml:space="preserve"> (see Recital 10)</w:t>
      </w:r>
      <w:r w:rsidR="00673C6E">
        <w:rPr>
          <w:rFonts w:ascii="Avenir Next" w:hAnsi="Avenir Next" w:cs="Arial"/>
          <w:color w:val="7B7B7B" w:themeColor="accent3" w:themeShade="BF"/>
          <w:sz w:val="22"/>
          <w:szCs w:val="22"/>
        </w:rPr>
        <w:t>.</w:t>
      </w:r>
      <w:r w:rsidR="008C2B26">
        <w:rPr>
          <w:rFonts w:ascii="Avenir Next" w:hAnsi="Avenir Next" w:cs="Arial"/>
          <w:color w:val="7B7B7B" w:themeColor="accent3" w:themeShade="BF"/>
          <w:sz w:val="22"/>
          <w:szCs w:val="22"/>
        </w:rPr>
        <w:t xml:space="preserve"> Indeed, during the reform process, the need to </w:t>
      </w:r>
      <w:r w:rsidR="00655C29">
        <w:rPr>
          <w:rFonts w:ascii="Avenir Next" w:hAnsi="Avenir Next" w:cs="Arial"/>
          <w:color w:val="7B7B7B" w:themeColor="accent3" w:themeShade="BF"/>
          <w:sz w:val="22"/>
          <w:szCs w:val="22"/>
        </w:rPr>
        <w:t>include in the scope of the Regulation</w:t>
      </w:r>
      <w:r w:rsidR="008C2B26">
        <w:rPr>
          <w:rFonts w:ascii="Avenir Next" w:hAnsi="Avenir Next" w:cs="Arial"/>
          <w:color w:val="7B7B7B" w:themeColor="accent3" w:themeShade="BF"/>
          <w:sz w:val="22"/>
          <w:szCs w:val="22"/>
        </w:rPr>
        <w:t xml:space="preserve"> </w:t>
      </w:r>
      <w:r w:rsidR="00471A0A">
        <w:rPr>
          <w:rFonts w:ascii="Avenir Next" w:hAnsi="Avenir Next" w:cs="Arial"/>
          <w:color w:val="7B7B7B" w:themeColor="accent3" w:themeShade="BF"/>
          <w:sz w:val="22"/>
          <w:szCs w:val="22"/>
        </w:rPr>
        <w:t>the restructuring of companies in a “pre-insolvency” situation and “hybrid proceedings” was acknowledged.</w:t>
      </w:r>
    </w:p>
    <w:p w14:paraId="1DB951F5" w14:textId="77777777" w:rsidR="00794947" w:rsidRDefault="00794947" w:rsidP="002A37BB">
      <w:pPr>
        <w:jc w:val="both"/>
        <w:rPr>
          <w:rFonts w:ascii="Avenir Next" w:hAnsi="Avenir Next" w:cs="Arial"/>
          <w:color w:val="7B7B7B" w:themeColor="accent3" w:themeShade="BF"/>
          <w:sz w:val="22"/>
          <w:szCs w:val="22"/>
        </w:rPr>
      </w:pPr>
    </w:p>
    <w:p w14:paraId="6AC87C93" w14:textId="2DE9424D" w:rsidR="00794947" w:rsidRDefault="00794947" w:rsidP="002A37B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 xml:space="preserve">Secondly, </w:t>
      </w:r>
      <w:r w:rsidR="00776EFE">
        <w:rPr>
          <w:rFonts w:ascii="Avenir Next" w:hAnsi="Avenir Next" w:cs="Arial"/>
          <w:color w:val="7B7B7B" w:themeColor="accent3" w:themeShade="BF"/>
          <w:sz w:val="22"/>
          <w:szCs w:val="22"/>
        </w:rPr>
        <w:t xml:space="preserve">the </w:t>
      </w:r>
      <w:r w:rsidR="002E5458">
        <w:rPr>
          <w:rFonts w:ascii="Avenir Next" w:hAnsi="Avenir Next" w:cs="Arial"/>
          <w:color w:val="7B7B7B" w:themeColor="accent3" w:themeShade="BF"/>
          <w:sz w:val="22"/>
          <w:szCs w:val="22"/>
        </w:rPr>
        <w:t>aspects</w:t>
      </w:r>
      <w:r w:rsidR="00776EFE">
        <w:rPr>
          <w:rFonts w:ascii="Avenir Next" w:hAnsi="Avenir Next" w:cs="Arial"/>
          <w:color w:val="7B7B7B" w:themeColor="accent3" w:themeShade="BF"/>
          <w:sz w:val="22"/>
          <w:szCs w:val="22"/>
        </w:rPr>
        <w:t xml:space="preserve"> of informing foreign creditors and facilitating the procedures regarding the lodging of claims and creditors’ participation in insolvency proceedings had to be improved. </w:t>
      </w:r>
      <w:r w:rsidR="00AB4A5D">
        <w:rPr>
          <w:rFonts w:ascii="Avenir Next" w:hAnsi="Avenir Next" w:cs="Arial"/>
          <w:color w:val="7B7B7B" w:themeColor="accent3" w:themeShade="BF"/>
          <w:sz w:val="22"/>
          <w:szCs w:val="22"/>
        </w:rPr>
        <w:t>Article 28(1) EIR Recast makes</w:t>
      </w:r>
      <w:r w:rsidR="00526679">
        <w:rPr>
          <w:rFonts w:ascii="Avenir Next" w:hAnsi="Avenir Next" w:cs="Arial"/>
          <w:color w:val="7B7B7B" w:themeColor="accent3" w:themeShade="BF"/>
          <w:sz w:val="22"/>
          <w:szCs w:val="22"/>
        </w:rPr>
        <w:t xml:space="preserve"> </w:t>
      </w:r>
      <w:r w:rsidR="00AB4A5D">
        <w:rPr>
          <w:rFonts w:ascii="Avenir Next" w:hAnsi="Avenir Next" w:cs="Arial"/>
          <w:color w:val="7B7B7B" w:themeColor="accent3" w:themeShade="BF"/>
          <w:sz w:val="22"/>
          <w:szCs w:val="22"/>
        </w:rPr>
        <w:t xml:space="preserve">it mandatory for the insolvency practitioner (or the debtor-in-possession) to </w:t>
      </w:r>
      <w:r w:rsidR="004E5DA6">
        <w:rPr>
          <w:rFonts w:ascii="Avenir Next" w:hAnsi="Avenir Next" w:cs="Arial"/>
          <w:color w:val="7B7B7B" w:themeColor="accent3" w:themeShade="BF"/>
          <w:sz w:val="22"/>
          <w:szCs w:val="22"/>
        </w:rPr>
        <w:t xml:space="preserve">demand the </w:t>
      </w:r>
      <w:r w:rsidR="00AB4A5D">
        <w:rPr>
          <w:rFonts w:ascii="Avenir Next" w:hAnsi="Avenir Next" w:cs="Arial"/>
          <w:color w:val="7B7B7B" w:themeColor="accent3" w:themeShade="BF"/>
          <w:sz w:val="22"/>
          <w:szCs w:val="22"/>
        </w:rPr>
        <w:t>publi</w:t>
      </w:r>
      <w:r w:rsidR="004E5DA6">
        <w:rPr>
          <w:rFonts w:ascii="Avenir Next" w:hAnsi="Avenir Next" w:cs="Arial"/>
          <w:color w:val="7B7B7B" w:themeColor="accent3" w:themeShade="BF"/>
          <w:sz w:val="22"/>
          <w:szCs w:val="22"/>
        </w:rPr>
        <w:t>cation of</w:t>
      </w:r>
      <w:r w:rsidR="00AB4A5D">
        <w:rPr>
          <w:rFonts w:ascii="Avenir Next" w:hAnsi="Avenir Next" w:cs="Arial"/>
          <w:color w:val="7B7B7B" w:themeColor="accent3" w:themeShade="BF"/>
          <w:sz w:val="22"/>
          <w:szCs w:val="22"/>
        </w:rPr>
        <w:t xml:space="preserve"> the notice regarding the opening of insolvency proceedings at the place of the debtor’s establishment. The publication processes follow the Member State’s local rules. </w:t>
      </w:r>
      <w:r w:rsidR="004E5DA6">
        <w:rPr>
          <w:rFonts w:ascii="Avenir Next" w:hAnsi="Avenir Next" w:cs="Arial"/>
          <w:color w:val="7B7B7B" w:themeColor="accent3" w:themeShade="BF"/>
          <w:sz w:val="22"/>
          <w:szCs w:val="22"/>
        </w:rPr>
        <w:t>Similarly, the court or the insolvency practitioner involved in the insolvency proceeding is required to subsequently inform the foreign creditors, wh</w:t>
      </w:r>
      <w:r w:rsidR="00953AAB">
        <w:rPr>
          <w:rFonts w:ascii="Avenir Next" w:hAnsi="Avenir Next" w:cs="Arial"/>
          <w:color w:val="7B7B7B" w:themeColor="accent3" w:themeShade="BF"/>
          <w:sz w:val="22"/>
          <w:szCs w:val="22"/>
        </w:rPr>
        <w:t>o</w:t>
      </w:r>
      <w:r w:rsidR="004E5DA6">
        <w:rPr>
          <w:rFonts w:ascii="Avenir Next" w:hAnsi="Avenir Next" w:cs="Arial"/>
          <w:color w:val="7B7B7B" w:themeColor="accent3" w:themeShade="BF"/>
          <w:sz w:val="22"/>
          <w:szCs w:val="22"/>
        </w:rPr>
        <w:t xml:space="preserve"> are known, of such an event (Article 54 EIR Recast)</w:t>
      </w:r>
      <w:r w:rsidR="00287B60">
        <w:rPr>
          <w:rFonts w:ascii="Avenir Next" w:hAnsi="Avenir Next" w:cs="Arial"/>
          <w:color w:val="7B7B7B" w:themeColor="accent3" w:themeShade="BF"/>
          <w:sz w:val="22"/>
          <w:szCs w:val="22"/>
        </w:rPr>
        <w:t xml:space="preserve">. </w:t>
      </w:r>
      <w:r w:rsidR="00D46891">
        <w:rPr>
          <w:rFonts w:ascii="Avenir Next" w:hAnsi="Avenir Next" w:cs="Arial"/>
          <w:color w:val="7B7B7B" w:themeColor="accent3" w:themeShade="BF"/>
          <w:sz w:val="22"/>
          <w:szCs w:val="22"/>
        </w:rPr>
        <w:t xml:space="preserve">Paragraphs 2 and 3 of </w:t>
      </w:r>
      <w:r w:rsidR="00554369">
        <w:rPr>
          <w:rFonts w:ascii="Avenir Next" w:hAnsi="Avenir Next" w:cs="Arial"/>
          <w:color w:val="7B7B7B" w:themeColor="accent3" w:themeShade="BF"/>
          <w:sz w:val="22"/>
          <w:szCs w:val="22"/>
        </w:rPr>
        <w:t xml:space="preserve">the said </w:t>
      </w:r>
      <w:r w:rsidR="00D46891">
        <w:rPr>
          <w:rFonts w:ascii="Avenir Next" w:hAnsi="Avenir Next" w:cs="Arial"/>
          <w:color w:val="7B7B7B" w:themeColor="accent3" w:themeShade="BF"/>
          <w:sz w:val="22"/>
          <w:szCs w:val="22"/>
        </w:rPr>
        <w:t xml:space="preserve">Article indicate procedural matters to be taken into account. </w:t>
      </w:r>
      <w:r w:rsidR="004647FD">
        <w:rPr>
          <w:rFonts w:ascii="Avenir Next" w:hAnsi="Avenir Next" w:cs="Arial"/>
          <w:color w:val="7B7B7B" w:themeColor="accent3" w:themeShade="BF"/>
          <w:sz w:val="22"/>
          <w:szCs w:val="22"/>
        </w:rPr>
        <w:t>Most important, t</w:t>
      </w:r>
      <w:r w:rsidR="00D9638C">
        <w:rPr>
          <w:rFonts w:ascii="Avenir Next" w:hAnsi="Avenir Next" w:cs="Arial"/>
          <w:color w:val="7B7B7B" w:themeColor="accent3" w:themeShade="BF"/>
          <w:sz w:val="22"/>
          <w:szCs w:val="22"/>
        </w:rPr>
        <w:t xml:space="preserve">he operability of the general mechanism </w:t>
      </w:r>
      <w:r w:rsidR="009A5400">
        <w:rPr>
          <w:rFonts w:ascii="Avenir Next" w:hAnsi="Avenir Next" w:cs="Arial"/>
          <w:color w:val="7B7B7B" w:themeColor="accent3" w:themeShade="BF"/>
          <w:sz w:val="22"/>
          <w:szCs w:val="22"/>
        </w:rPr>
        <w:t>regarding</w:t>
      </w:r>
      <w:r w:rsidR="00D9638C">
        <w:rPr>
          <w:rFonts w:ascii="Avenir Next" w:hAnsi="Avenir Next" w:cs="Arial"/>
          <w:color w:val="7B7B7B" w:themeColor="accent3" w:themeShade="BF"/>
          <w:sz w:val="22"/>
          <w:szCs w:val="22"/>
        </w:rPr>
        <w:t xml:space="preserve"> creditor information developed within the EIR Recast is strengthened by Articles 24 and 25. Article 24 stipulates that every Member State should develop one or more registers comprising information on insolvency proceedings</w:t>
      </w:r>
      <w:r w:rsidR="001B3D4D">
        <w:rPr>
          <w:rFonts w:ascii="Avenir Next" w:hAnsi="Avenir Next" w:cs="Arial"/>
          <w:color w:val="7B7B7B" w:themeColor="accent3" w:themeShade="BF"/>
          <w:sz w:val="22"/>
          <w:szCs w:val="22"/>
        </w:rPr>
        <w:t>. These registers should be made available</w:t>
      </w:r>
      <w:r w:rsidR="00D9638C">
        <w:rPr>
          <w:rFonts w:ascii="Avenir Next" w:hAnsi="Avenir Next" w:cs="Arial"/>
          <w:color w:val="7B7B7B" w:themeColor="accent3" w:themeShade="BF"/>
          <w:sz w:val="22"/>
          <w:szCs w:val="22"/>
        </w:rPr>
        <w:t xml:space="preserve"> in an expeditious manner.</w:t>
      </w:r>
      <w:r w:rsidR="009A5400">
        <w:rPr>
          <w:rFonts w:ascii="Avenir Next" w:hAnsi="Avenir Next" w:cs="Arial"/>
          <w:color w:val="7B7B7B" w:themeColor="accent3" w:themeShade="BF"/>
          <w:sz w:val="22"/>
          <w:szCs w:val="22"/>
        </w:rPr>
        <w:t xml:space="preserve"> </w:t>
      </w:r>
      <w:r w:rsidR="00D9638C">
        <w:rPr>
          <w:rFonts w:ascii="Avenir Next" w:hAnsi="Avenir Next" w:cs="Arial"/>
          <w:color w:val="7B7B7B" w:themeColor="accent3" w:themeShade="BF"/>
          <w:sz w:val="22"/>
          <w:szCs w:val="22"/>
        </w:rPr>
        <w:t xml:space="preserve">Article 25 </w:t>
      </w:r>
      <w:r w:rsidR="004647FD">
        <w:rPr>
          <w:rFonts w:ascii="Avenir Next" w:hAnsi="Avenir Next" w:cs="Arial"/>
          <w:color w:val="7B7B7B" w:themeColor="accent3" w:themeShade="BF"/>
          <w:sz w:val="22"/>
          <w:szCs w:val="22"/>
        </w:rPr>
        <w:t xml:space="preserve">stresses the </w:t>
      </w:r>
      <w:r w:rsidR="00E34E00">
        <w:rPr>
          <w:rFonts w:ascii="Avenir Next" w:hAnsi="Avenir Next" w:cs="Arial"/>
          <w:color w:val="7B7B7B" w:themeColor="accent3" w:themeShade="BF"/>
          <w:sz w:val="22"/>
          <w:szCs w:val="22"/>
        </w:rPr>
        <w:t xml:space="preserve">importance of developing a </w:t>
      </w:r>
      <w:r w:rsidR="00F161DB">
        <w:rPr>
          <w:rFonts w:ascii="Avenir Next" w:hAnsi="Avenir Next" w:cs="Arial"/>
          <w:color w:val="7B7B7B" w:themeColor="accent3" w:themeShade="BF"/>
          <w:sz w:val="22"/>
          <w:szCs w:val="22"/>
        </w:rPr>
        <w:t xml:space="preserve">publicly accessible </w:t>
      </w:r>
      <w:r w:rsidR="004647FD">
        <w:rPr>
          <w:rFonts w:ascii="Avenir Next" w:hAnsi="Avenir Next" w:cs="Arial"/>
          <w:color w:val="7B7B7B" w:themeColor="accent3" w:themeShade="BF"/>
          <w:sz w:val="22"/>
          <w:szCs w:val="22"/>
        </w:rPr>
        <w:t>decentralized system of registers which will serve the purpose of interconnecti</w:t>
      </w:r>
      <w:r w:rsidR="006B328C">
        <w:rPr>
          <w:rFonts w:ascii="Avenir Next" w:hAnsi="Avenir Next" w:cs="Arial"/>
          <w:color w:val="7B7B7B" w:themeColor="accent3" w:themeShade="BF"/>
          <w:sz w:val="22"/>
          <w:szCs w:val="22"/>
        </w:rPr>
        <w:t xml:space="preserve">ng </w:t>
      </w:r>
      <w:r w:rsidR="004647FD">
        <w:rPr>
          <w:rFonts w:ascii="Avenir Next" w:hAnsi="Avenir Next" w:cs="Arial"/>
          <w:color w:val="7B7B7B" w:themeColor="accent3" w:themeShade="BF"/>
          <w:sz w:val="22"/>
          <w:szCs w:val="22"/>
        </w:rPr>
        <w:t>insolvency register</w:t>
      </w:r>
      <w:r w:rsidR="00466204">
        <w:rPr>
          <w:rFonts w:ascii="Avenir Next" w:hAnsi="Avenir Next" w:cs="Arial"/>
          <w:color w:val="7B7B7B" w:themeColor="accent3" w:themeShade="BF"/>
          <w:sz w:val="22"/>
          <w:szCs w:val="22"/>
        </w:rPr>
        <w:t>s</w:t>
      </w:r>
      <w:r w:rsidR="006B328C">
        <w:rPr>
          <w:rFonts w:ascii="Avenir Next" w:hAnsi="Avenir Next" w:cs="Arial"/>
          <w:color w:val="7B7B7B" w:themeColor="accent3" w:themeShade="BF"/>
          <w:sz w:val="22"/>
          <w:szCs w:val="22"/>
        </w:rPr>
        <w:t>.</w:t>
      </w:r>
    </w:p>
    <w:p w14:paraId="069CDA38" w14:textId="77777777" w:rsidR="00B67032" w:rsidRDefault="00B67032" w:rsidP="002A37BB">
      <w:pPr>
        <w:jc w:val="both"/>
        <w:rPr>
          <w:rFonts w:ascii="Avenir Next" w:hAnsi="Avenir Next" w:cs="Arial"/>
          <w:color w:val="7B7B7B" w:themeColor="accent3" w:themeShade="BF"/>
          <w:sz w:val="22"/>
          <w:szCs w:val="22"/>
        </w:rPr>
      </w:pPr>
    </w:p>
    <w:p w14:paraId="5FD483FE" w14:textId="5133B3D2" w:rsidR="00E23410" w:rsidRDefault="00E23410" w:rsidP="00E23410">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As related thereto, the dimension of data protection has received considerable attention in the context of the EIR Recast. </w:t>
      </w:r>
      <w:r w:rsidR="002E5458">
        <w:rPr>
          <w:rFonts w:ascii="Avenir Next" w:hAnsi="Avenir Next" w:cs="Arial"/>
          <w:color w:val="7B7B7B" w:themeColor="accent3" w:themeShade="BF"/>
          <w:sz w:val="22"/>
          <w:szCs w:val="22"/>
        </w:rPr>
        <w:t>Indeed,</w:t>
      </w:r>
      <w:r>
        <w:rPr>
          <w:rFonts w:ascii="Avenir Next" w:hAnsi="Avenir Next" w:cs="Arial"/>
          <w:color w:val="7B7B7B" w:themeColor="accent3" w:themeShade="BF"/>
          <w:sz w:val="22"/>
          <w:szCs w:val="22"/>
        </w:rPr>
        <w:t xml:space="preserve"> the newly added Chapter VI, entitled ‘Data protection’, regulates the accessibility of data in respect of insolvency registers, creditor notices as well as standard claims form</w:t>
      </w:r>
      <w:r w:rsidR="0066362E">
        <w:rPr>
          <w:rFonts w:ascii="Avenir Next" w:hAnsi="Avenir Next" w:cs="Arial"/>
          <w:color w:val="7B7B7B" w:themeColor="accent3" w:themeShade="BF"/>
          <w:sz w:val="22"/>
          <w:szCs w:val="22"/>
        </w:rPr>
        <w:t>s</w:t>
      </w:r>
      <w:r w:rsidR="00A17FE6">
        <w:rPr>
          <w:rFonts w:ascii="Avenir Next" w:hAnsi="Avenir Next" w:cs="Arial"/>
          <w:color w:val="7B7B7B" w:themeColor="accent3" w:themeShade="BF"/>
          <w:sz w:val="22"/>
          <w:szCs w:val="22"/>
        </w:rPr>
        <w:t xml:space="preserve"> (see Articles 78-83 EIR Recast)</w:t>
      </w:r>
      <w:r w:rsidR="000A7F81">
        <w:rPr>
          <w:rFonts w:ascii="Avenir Next" w:hAnsi="Avenir Next" w:cs="Arial"/>
          <w:color w:val="7B7B7B" w:themeColor="accent3" w:themeShade="BF"/>
          <w:sz w:val="22"/>
          <w:szCs w:val="22"/>
        </w:rPr>
        <w:t>.</w:t>
      </w:r>
    </w:p>
    <w:p w14:paraId="6DF483A4" w14:textId="77777777" w:rsidR="00E23410" w:rsidRDefault="00E23410" w:rsidP="00E23410">
      <w:pPr>
        <w:jc w:val="both"/>
        <w:rPr>
          <w:rFonts w:ascii="Avenir Next" w:hAnsi="Avenir Next" w:cs="Arial"/>
          <w:color w:val="7B7B7B" w:themeColor="accent3" w:themeShade="BF"/>
          <w:sz w:val="22"/>
          <w:szCs w:val="22"/>
        </w:rPr>
      </w:pPr>
    </w:p>
    <w:p w14:paraId="00AA4EFD" w14:textId="0473C4C8" w:rsidR="007D06EF" w:rsidRDefault="006A44DE" w:rsidP="002A37B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Thirdly, </w:t>
      </w:r>
      <w:r w:rsidR="00A83335">
        <w:rPr>
          <w:rFonts w:ascii="Avenir Next" w:hAnsi="Avenir Next" w:cs="Arial"/>
          <w:color w:val="7B7B7B" w:themeColor="accent3" w:themeShade="BF"/>
          <w:sz w:val="22"/>
          <w:szCs w:val="22"/>
        </w:rPr>
        <w:t>some specific</w:t>
      </w:r>
      <w:r w:rsidR="007003A4">
        <w:rPr>
          <w:rFonts w:ascii="Avenir Next" w:hAnsi="Avenir Next" w:cs="Arial"/>
          <w:color w:val="7B7B7B" w:themeColor="accent3" w:themeShade="BF"/>
          <w:sz w:val="22"/>
          <w:szCs w:val="22"/>
        </w:rPr>
        <w:t xml:space="preserve"> refinements were also crucial for furthering the success of the EIR Recast </w:t>
      </w:r>
      <w:r w:rsidR="00A83335">
        <w:rPr>
          <w:rFonts w:ascii="Avenir Next" w:hAnsi="Avenir Next" w:cs="Arial"/>
          <w:color w:val="7B7B7B" w:themeColor="accent3" w:themeShade="BF"/>
          <w:sz w:val="22"/>
          <w:szCs w:val="22"/>
        </w:rPr>
        <w:t>framework</w:t>
      </w:r>
      <w:r w:rsidR="007003A4">
        <w:rPr>
          <w:rFonts w:ascii="Avenir Next" w:hAnsi="Avenir Next" w:cs="Arial"/>
          <w:color w:val="7B7B7B" w:themeColor="accent3" w:themeShade="BF"/>
          <w:sz w:val="22"/>
          <w:szCs w:val="22"/>
        </w:rPr>
        <w:t xml:space="preserve">. For instance, within the definition of establishment </w:t>
      </w:r>
      <w:r w:rsidR="00A83335">
        <w:rPr>
          <w:rFonts w:ascii="Avenir Next" w:hAnsi="Avenir Next" w:cs="Arial"/>
          <w:color w:val="7B7B7B" w:themeColor="accent3" w:themeShade="BF"/>
          <w:sz w:val="22"/>
          <w:szCs w:val="22"/>
        </w:rPr>
        <w:t>of</w:t>
      </w:r>
      <w:r w:rsidR="007003A4">
        <w:rPr>
          <w:rFonts w:ascii="Avenir Next" w:hAnsi="Avenir Next" w:cs="Arial"/>
          <w:color w:val="7B7B7B" w:themeColor="accent3" w:themeShade="BF"/>
          <w:sz w:val="22"/>
          <w:szCs w:val="22"/>
        </w:rPr>
        <w:t xml:space="preserve"> Article 2(h) of the EIR 2000 the time period was added </w:t>
      </w:r>
      <w:r w:rsidR="00276685">
        <w:rPr>
          <w:rFonts w:ascii="Avenir Next" w:hAnsi="Avenir Next" w:cs="Arial"/>
          <w:color w:val="7B7B7B" w:themeColor="accent3" w:themeShade="BF"/>
          <w:sz w:val="22"/>
          <w:szCs w:val="22"/>
        </w:rPr>
        <w:t>and within Article 3(3) EIR 2000</w:t>
      </w:r>
      <w:r w:rsidR="007003A4">
        <w:rPr>
          <w:rFonts w:ascii="Avenir Next" w:hAnsi="Avenir Next" w:cs="Arial"/>
          <w:color w:val="7B7B7B" w:themeColor="accent3" w:themeShade="BF"/>
          <w:sz w:val="22"/>
          <w:szCs w:val="22"/>
        </w:rPr>
        <w:t xml:space="preserve"> the prerequisite that secondary insolvency proceedings must be winding-up proceedings was deleted. </w:t>
      </w:r>
      <w:r w:rsidR="00597530" w:rsidRPr="00597530">
        <w:rPr>
          <w:rFonts w:ascii="Avenir Next" w:hAnsi="Avenir Next" w:cs="Arial"/>
          <w:color w:val="7B7B7B" w:themeColor="accent3" w:themeShade="BF"/>
          <w:sz w:val="22"/>
          <w:szCs w:val="22"/>
        </w:rPr>
        <w:t>At the same time, it was considered necessary to provide guidance on the determination and interpretation of COMI and on the rebuttal of the presumption of COMI. Most important, improvements to the jurisdictional rules were considered essentia</w:t>
      </w:r>
      <w:r w:rsidR="004E6A50">
        <w:rPr>
          <w:rFonts w:ascii="Avenir Next" w:hAnsi="Avenir Next" w:cs="Arial"/>
          <w:color w:val="7B7B7B" w:themeColor="accent3" w:themeShade="BF"/>
          <w:sz w:val="22"/>
          <w:szCs w:val="22"/>
        </w:rPr>
        <w:t>l.</w:t>
      </w:r>
    </w:p>
    <w:p w14:paraId="0CB82CCE" w14:textId="77777777" w:rsidR="000D6AEB" w:rsidRDefault="000D6AEB" w:rsidP="002A37BB">
      <w:pPr>
        <w:jc w:val="both"/>
        <w:rPr>
          <w:rFonts w:ascii="Avenir Next" w:hAnsi="Avenir Next" w:cs="Arial"/>
          <w:color w:val="7B7B7B" w:themeColor="accent3" w:themeShade="BF"/>
          <w:sz w:val="22"/>
          <w:szCs w:val="22"/>
        </w:rPr>
      </w:pPr>
    </w:p>
    <w:p w14:paraId="3CFF8A18" w14:textId="7D797383" w:rsidR="000D6AEB" w:rsidRPr="00A10828" w:rsidRDefault="00A05ABF" w:rsidP="002A37B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Fourthly, Articles 36 and 38(2) explain the right to give an undertaking with the scope of avoiding the opening </w:t>
      </w:r>
      <w:r w:rsidR="00824F5E">
        <w:rPr>
          <w:rFonts w:ascii="Avenir Next" w:hAnsi="Avenir Next" w:cs="Arial"/>
          <w:color w:val="7B7B7B" w:themeColor="accent3" w:themeShade="BF"/>
          <w:sz w:val="22"/>
          <w:szCs w:val="22"/>
        </w:rPr>
        <w:t xml:space="preserve">of </w:t>
      </w:r>
      <w:r>
        <w:rPr>
          <w:rFonts w:ascii="Avenir Next" w:hAnsi="Avenir Next" w:cs="Arial"/>
          <w:color w:val="7B7B7B" w:themeColor="accent3" w:themeShade="BF"/>
          <w:sz w:val="22"/>
          <w:szCs w:val="22"/>
        </w:rPr>
        <w:t>secondary insolvency proceedings</w:t>
      </w:r>
      <w:r w:rsidR="00771018">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w:t>
      </w:r>
      <w:r w:rsidR="00C96EC2">
        <w:rPr>
          <w:rFonts w:ascii="Avenir Next" w:hAnsi="Avenir Next" w:cs="Arial"/>
          <w:color w:val="7B7B7B" w:themeColor="accent3" w:themeShade="BF"/>
          <w:sz w:val="22"/>
          <w:szCs w:val="22"/>
        </w:rPr>
        <w:t>That</w:t>
      </w:r>
      <w:r w:rsidR="00771018">
        <w:rPr>
          <w:rFonts w:ascii="Avenir Next" w:hAnsi="Avenir Next" w:cs="Arial"/>
          <w:color w:val="7B7B7B" w:themeColor="accent3" w:themeShade="BF"/>
          <w:sz w:val="22"/>
          <w:szCs w:val="22"/>
        </w:rPr>
        <w:t xml:space="preserve"> mechanism was not present in the EIR 20</w:t>
      </w:r>
      <w:r w:rsidR="0098311B">
        <w:rPr>
          <w:rFonts w:ascii="Avenir Next" w:hAnsi="Avenir Next" w:cs="Arial"/>
          <w:color w:val="7B7B7B" w:themeColor="accent3" w:themeShade="BF"/>
          <w:sz w:val="22"/>
          <w:szCs w:val="22"/>
        </w:rPr>
        <w:t>0</w:t>
      </w:r>
      <w:r w:rsidR="00771018">
        <w:rPr>
          <w:rFonts w:ascii="Avenir Next" w:hAnsi="Avenir Next" w:cs="Arial"/>
          <w:color w:val="7B7B7B" w:themeColor="accent3" w:themeShade="BF"/>
          <w:sz w:val="22"/>
          <w:szCs w:val="22"/>
        </w:rPr>
        <w:t>0</w:t>
      </w:r>
      <w:r w:rsidR="00824F5E">
        <w:rPr>
          <w:rFonts w:ascii="Avenir Next" w:hAnsi="Avenir Next" w:cs="Arial"/>
          <w:color w:val="7B7B7B" w:themeColor="accent3" w:themeShade="BF"/>
          <w:sz w:val="22"/>
          <w:szCs w:val="22"/>
        </w:rPr>
        <w:t>. It</w:t>
      </w:r>
      <w:r w:rsidR="00771018">
        <w:rPr>
          <w:rFonts w:ascii="Avenir Next" w:hAnsi="Avenir Next" w:cs="Arial"/>
          <w:color w:val="7B7B7B" w:themeColor="accent3" w:themeShade="BF"/>
          <w:sz w:val="22"/>
          <w:szCs w:val="22"/>
        </w:rPr>
        <w:t xml:space="preserve"> evolved through jurisprudence (see </w:t>
      </w:r>
      <w:r w:rsidR="00771018" w:rsidRPr="00824F5E">
        <w:rPr>
          <w:rFonts w:ascii="Avenir Next" w:hAnsi="Avenir Next" w:cs="Arial"/>
          <w:i/>
          <w:iCs/>
          <w:color w:val="7B7B7B" w:themeColor="accent3" w:themeShade="BF"/>
          <w:sz w:val="22"/>
          <w:szCs w:val="22"/>
        </w:rPr>
        <w:t>Collins &amp; Aikman Europe SA</w:t>
      </w:r>
      <w:r w:rsidR="00945E42">
        <w:rPr>
          <w:rFonts w:ascii="Avenir Next" w:hAnsi="Avenir Next" w:cs="Arial"/>
          <w:i/>
          <w:iCs/>
          <w:color w:val="7B7B7B" w:themeColor="accent3" w:themeShade="BF"/>
          <w:sz w:val="22"/>
          <w:szCs w:val="22"/>
        </w:rPr>
        <w:t xml:space="preserve"> and other companies </w:t>
      </w:r>
      <w:r w:rsidR="00945E42">
        <w:rPr>
          <w:rFonts w:ascii="Avenir Next" w:hAnsi="Avenir Next" w:cs="Arial"/>
          <w:color w:val="7B7B7B" w:themeColor="accent3" w:themeShade="BF"/>
          <w:sz w:val="22"/>
          <w:szCs w:val="22"/>
        </w:rPr>
        <w:t>[2006] EWHC 1343 (Ch)</w:t>
      </w:r>
      <w:r w:rsidR="00771018">
        <w:rPr>
          <w:rFonts w:ascii="Avenir Next" w:hAnsi="Avenir Next" w:cs="Arial"/>
          <w:color w:val="7B7B7B" w:themeColor="accent3" w:themeShade="BF"/>
          <w:sz w:val="22"/>
          <w:szCs w:val="22"/>
        </w:rPr>
        <w:t>)</w:t>
      </w:r>
      <w:r w:rsidR="005A1D6F">
        <w:rPr>
          <w:rFonts w:ascii="Avenir Next" w:hAnsi="Avenir Next" w:cs="Arial"/>
          <w:color w:val="7B7B7B" w:themeColor="accent3" w:themeShade="BF"/>
          <w:sz w:val="22"/>
          <w:szCs w:val="22"/>
        </w:rPr>
        <w:t xml:space="preserve"> and </w:t>
      </w:r>
      <w:r w:rsidR="00824F5E">
        <w:rPr>
          <w:rFonts w:ascii="Avenir Next" w:hAnsi="Avenir Next" w:cs="Arial"/>
          <w:color w:val="7B7B7B" w:themeColor="accent3" w:themeShade="BF"/>
          <w:sz w:val="22"/>
          <w:szCs w:val="22"/>
        </w:rPr>
        <w:t xml:space="preserve">was </w:t>
      </w:r>
      <w:r w:rsidR="005A1D6F">
        <w:rPr>
          <w:rFonts w:ascii="Avenir Next" w:hAnsi="Avenir Next" w:cs="Arial"/>
          <w:color w:val="7B7B7B" w:themeColor="accent3" w:themeShade="BF"/>
          <w:sz w:val="22"/>
          <w:szCs w:val="22"/>
        </w:rPr>
        <w:t>subsequently included in the context of the EIR Recast</w:t>
      </w:r>
      <w:r w:rsidR="00461034">
        <w:rPr>
          <w:rFonts w:ascii="Avenir Next" w:hAnsi="Avenir Next" w:cs="Arial"/>
          <w:color w:val="7B7B7B" w:themeColor="accent3" w:themeShade="BF"/>
          <w:sz w:val="22"/>
          <w:szCs w:val="22"/>
        </w:rPr>
        <w:t>.</w:t>
      </w:r>
      <w:r w:rsidR="00A10828" w:rsidRPr="00A10828">
        <w:rPr>
          <w:rFonts w:ascii="Avenir Next" w:hAnsi="Avenir Next" w:cs="Arial"/>
          <w:color w:val="7B7B7B" w:themeColor="accent3" w:themeShade="BF"/>
          <w:sz w:val="22"/>
          <w:szCs w:val="22"/>
        </w:rPr>
        <w:t xml:space="preserve"> </w:t>
      </w:r>
      <w:r w:rsidR="00A413B6">
        <w:rPr>
          <w:rFonts w:ascii="Avenir Next" w:hAnsi="Avenir Next" w:cs="Arial"/>
          <w:color w:val="7B7B7B" w:themeColor="accent3" w:themeShade="BF"/>
          <w:sz w:val="22"/>
          <w:szCs w:val="22"/>
        </w:rPr>
        <w:t xml:space="preserve">The concept of the stay of the opening of secondary insolvency proceedings was also added in the Recast (Article </w:t>
      </w:r>
      <w:r w:rsidR="00502C6B">
        <w:rPr>
          <w:rFonts w:ascii="Avenir Next" w:hAnsi="Avenir Next" w:cs="Arial"/>
          <w:color w:val="7B7B7B" w:themeColor="accent3" w:themeShade="BF"/>
          <w:sz w:val="22"/>
          <w:szCs w:val="22"/>
        </w:rPr>
        <w:t xml:space="preserve">38(3)). </w:t>
      </w:r>
      <w:r w:rsidR="00A10828">
        <w:rPr>
          <w:rFonts w:ascii="Avenir Next" w:hAnsi="Avenir Next" w:cs="Arial"/>
          <w:color w:val="7B7B7B" w:themeColor="accent3" w:themeShade="BF"/>
          <w:sz w:val="22"/>
          <w:szCs w:val="22"/>
        </w:rPr>
        <w:t xml:space="preserve">Generally speaking, </w:t>
      </w:r>
      <w:r w:rsidR="000A52F6" w:rsidRPr="000A52F6">
        <w:rPr>
          <w:rFonts w:ascii="Avenir Next" w:hAnsi="Avenir Next" w:cs="Arial"/>
          <w:color w:val="7B7B7B" w:themeColor="accent3" w:themeShade="BF"/>
          <w:sz w:val="22"/>
          <w:szCs w:val="22"/>
        </w:rPr>
        <w:t xml:space="preserve">during the </w:t>
      </w:r>
      <w:r w:rsidR="00034AA4">
        <w:rPr>
          <w:rFonts w:ascii="Avenir Next" w:hAnsi="Avenir Next" w:cs="Arial"/>
          <w:color w:val="7B7B7B" w:themeColor="accent3" w:themeShade="BF"/>
          <w:sz w:val="22"/>
          <w:szCs w:val="22"/>
        </w:rPr>
        <w:t xml:space="preserve">reform </w:t>
      </w:r>
      <w:r w:rsidR="000A52F6" w:rsidRPr="000A52F6">
        <w:rPr>
          <w:rFonts w:ascii="Avenir Next" w:hAnsi="Avenir Next" w:cs="Arial"/>
          <w:color w:val="7B7B7B" w:themeColor="accent3" w:themeShade="BF"/>
          <w:sz w:val="22"/>
          <w:szCs w:val="22"/>
        </w:rPr>
        <w:t xml:space="preserve">process </w:t>
      </w:r>
      <w:r w:rsidR="00034AA4">
        <w:rPr>
          <w:rFonts w:ascii="Avenir Next" w:hAnsi="Avenir Next" w:cs="Arial"/>
          <w:color w:val="7B7B7B" w:themeColor="accent3" w:themeShade="BF"/>
          <w:sz w:val="22"/>
          <w:szCs w:val="22"/>
        </w:rPr>
        <w:t xml:space="preserve">of </w:t>
      </w:r>
      <w:r w:rsidR="000A52F6" w:rsidRPr="000A52F6">
        <w:rPr>
          <w:rFonts w:ascii="Avenir Next" w:hAnsi="Avenir Next" w:cs="Arial"/>
          <w:color w:val="7B7B7B" w:themeColor="accent3" w:themeShade="BF"/>
          <w:sz w:val="22"/>
          <w:szCs w:val="22"/>
        </w:rPr>
        <w:t>the EIR 2000, issues concerning the interaction between main and secondary insolvency proceedings were identified, in particular with respect to the fact that the commencement of secondary proceedings may interfere with the administration of the debtor's estat</w:t>
      </w:r>
      <w:r w:rsidR="000A52F6">
        <w:rPr>
          <w:rFonts w:ascii="Avenir Next" w:hAnsi="Avenir Next" w:cs="Arial"/>
          <w:color w:val="7B7B7B" w:themeColor="accent3" w:themeShade="BF"/>
          <w:sz w:val="22"/>
          <w:szCs w:val="22"/>
        </w:rPr>
        <w:t>e.</w:t>
      </w:r>
    </w:p>
    <w:p w14:paraId="0A47D4F5" w14:textId="77777777" w:rsidR="00853A76" w:rsidRDefault="00853A76" w:rsidP="002A37BB">
      <w:pPr>
        <w:jc w:val="both"/>
        <w:rPr>
          <w:rFonts w:ascii="Avenir Next" w:hAnsi="Avenir Next" w:cs="Arial"/>
          <w:color w:val="7B7B7B" w:themeColor="accent3" w:themeShade="BF"/>
          <w:sz w:val="22"/>
          <w:szCs w:val="22"/>
        </w:rPr>
      </w:pPr>
    </w:p>
    <w:p w14:paraId="195623BC" w14:textId="65B5A04D" w:rsidR="00853A76" w:rsidRPr="006D121D" w:rsidRDefault="00416668" w:rsidP="002A37B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In addition</w:t>
      </w:r>
      <w:r w:rsidR="00853A76">
        <w:rPr>
          <w:rFonts w:ascii="Avenir Next" w:hAnsi="Avenir Next" w:cs="Arial"/>
          <w:color w:val="7B7B7B" w:themeColor="accent3" w:themeShade="BF"/>
          <w:sz w:val="22"/>
          <w:szCs w:val="22"/>
        </w:rPr>
        <w:t xml:space="preserve">, the EIR Recast </w:t>
      </w:r>
      <w:r w:rsidR="00B7251B">
        <w:rPr>
          <w:rFonts w:ascii="Avenir Next" w:hAnsi="Avenir Next" w:cs="Arial"/>
          <w:color w:val="7B7B7B" w:themeColor="accent3" w:themeShade="BF"/>
          <w:sz w:val="22"/>
          <w:szCs w:val="22"/>
        </w:rPr>
        <w:t>devotes</w:t>
      </w:r>
      <w:r w:rsidR="00853A76">
        <w:rPr>
          <w:rFonts w:ascii="Avenir Next" w:hAnsi="Avenir Next" w:cs="Arial"/>
          <w:color w:val="7B7B7B" w:themeColor="accent3" w:themeShade="BF"/>
          <w:sz w:val="22"/>
          <w:szCs w:val="22"/>
        </w:rPr>
        <w:t>, as opposed to the EIR 2000, an entire chapter (Chapter V, “I</w:t>
      </w:r>
      <w:r w:rsidR="00853A76" w:rsidRPr="00853A76">
        <w:rPr>
          <w:rFonts w:ascii="Avenir Next" w:hAnsi="Avenir Next" w:cs="Arial"/>
          <w:color w:val="7B7B7B" w:themeColor="accent3" w:themeShade="BF"/>
          <w:sz w:val="22"/>
          <w:szCs w:val="22"/>
        </w:rPr>
        <w:t xml:space="preserve">nsolvency </w:t>
      </w:r>
      <w:r w:rsidR="00853A76">
        <w:rPr>
          <w:rFonts w:ascii="Avenir Next" w:hAnsi="Avenir Next" w:cs="Arial"/>
          <w:color w:val="7B7B7B" w:themeColor="accent3" w:themeShade="BF"/>
          <w:sz w:val="22"/>
          <w:szCs w:val="22"/>
        </w:rPr>
        <w:t>p</w:t>
      </w:r>
      <w:r w:rsidR="00853A76" w:rsidRPr="00853A76">
        <w:rPr>
          <w:rFonts w:ascii="Avenir Next" w:hAnsi="Avenir Next" w:cs="Arial"/>
          <w:color w:val="7B7B7B" w:themeColor="accent3" w:themeShade="BF"/>
          <w:sz w:val="22"/>
          <w:szCs w:val="22"/>
        </w:rPr>
        <w:t>roceedings of members of a group of companies</w:t>
      </w:r>
      <w:r w:rsidR="00853A76">
        <w:rPr>
          <w:rFonts w:ascii="Avenir Next" w:hAnsi="Avenir Next" w:cs="Arial"/>
          <w:color w:val="7B7B7B" w:themeColor="accent3" w:themeShade="BF"/>
          <w:sz w:val="22"/>
          <w:szCs w:val="22"/>
        </w:rPr>
        <w:t>”)</w:t>
      </w:r>
      <w:r w:rsidR="00043E26">
        <w:rPr>
          <w:rFonts w:ascii="Avenir Next" w:hAnsi="Avenir Next" w:cs="Arial"/>
          <w:color w:val="7B7B7B" w:themeColor="accent3" w:themeShade="BF"/>
          <w:sz w:val="22"/>
          <w:szCs w:val="22"/>
        </w:rPr>
        <w:t xml:space="preserve"> </w:t>
      </w:r>
      <w:r w:rsidR="00B7251B">
        <w:rPr>
          <w:rFonts w:ascii="Avenir Next" w:hAnsi="Avenir Next" w:cs="Arial"/>
          <w:color w:val="7B7B7B" w:themeColor="accent3" w:themeShade="BF"/>
          <w:sz w:val="22"/>
          <w:szCs w:val="22"/>
        </w:rPr>
        <w:t>to</w:t>
      </w:r>
      <w:r w:rsidR="00043E26">
        <w:rPr>
          <w:rFonts w:ascii="Avenir Next" w:hAnsi="Avenir Next" w:cs="Arial"/>
          <w:color w:val="7B7B7B" w:themeColor="accent3" w:themeShade="BF"/>
          <w:sz w:val="22"/>
          <w:szCs w:val="22"/>
        </w:rPr>
        <w:t xml:space="preserve"> the insolvency of enterprises as members of group</w:t>
      </w:r>
      <w:r w:rsidR="00C62B9E">
        <w:rPr>
          <w:rFonts w:ascii="Avenir Next" w:hAnsi="Avenir Next" w:cs="Arial"/>
          <w:color w:val="7B7B7B" w:themeColor="accent3" w:themeShade="BF"/>
          <w:sz w:val="22"/>
          <w:szCs w:val="22"/>
        </w:rPr>
        <w:t>s</w:t>
      </w:r>
      <w:r w:rsidR="00043E26">
        <w:rPr>
          <w:rFonts w:ascii="Avenir Next" w:hAnsi="Avenir Next" w:cs="Arial"/>
          <w:color w:val="7B7B7B" w:themeColor="accent3" w:themeShade="BF"/>
          <w:sz w:val="22"/>
          <w:szCs w:val="22"/>
        </w:rPr>
        <w:t xml:space="preserve"> of companies. </w:t>
      </w:r>
      <w:r w:rsidR="00B7251B">
        <w:rPr>
          <w:rFonts w:ascii="Avenir Next" w:hAnsi="Avenir Next" w:cs="Arial"/>
          <w:color w:val="7B7B7B" w:themeColor="accent3" w:themeShade="BF"/>
          <w:sz w:val="22"/>
          <w:szCs w:val="22"/>
        </w:rPr>
        <w:t>I</w:t>
      </w:r>
      <w:r w:rsidR="00BF5F17">
        <w:rPr>
          <w:rFonts w:ascii="Avenir Next" w:hAnsi="Avenir Next" w:cs="Arial"/>
          <w:color w:val="7B7B7B" w:themeColor="accent3" w:themeShade="BF"/>
          <w:sz w:val="22"/>
          <w:szCs w:val="22"/>
        </w:rPr>
        <w:t xml:space="preserve">t comprises rules pertaining to communication and cooperation among insolvency practitioners and courts </w:t>
      </w:r>
      <w:r w:rsidR="00A97E32">
        <w:rPr>
          <w:rFonts w:ascii="Avenir Next" w:hAnsi="Avenir Next" w:cs="Arial"/>
          <w:color w:val="7B7B7B" w:themeColor="accent3" w:themeShade="BF"/>
          <w:sz w:val="22"/>
          <w:szCs w:val="22"/>
        </w:rPr>
        <w:t xml:space="preserve">(Arts. 56-60 EIR Recast) </w:t>
      </w:r>
      <w:r w:rsidR="00BF5F17">
        <w:rPr>
          <w:rFonts w:ascii="Avenir Next" w:hAnsi="Avenir Next" w:cs="Arial"/>
          <w:color w:val="7B7B7B" w:themeColor="accent3" w:themeShade="BF"/>
          <w:sz w:val="22"/>
          <w:szCs w:val="22"/>
        </w:rPr>
        <w:t>as well as rules on a new procedure called ‘group coordination proceeding’ in which the group coordinator plays a</w:t>
      </w:r>
      <w:r w:rsidR="00A83335">
        <w:rPr>
          <w:rFonts w:ascii="Avenir Next" w:hAnsi="Avenir Next" w:cs="Arial"/>
          <w:color w:val="7B7B7B" w:themeColor="accent3" w:themeShade="BF"/>
          <w:sz w:val="22"/>
          <w:szCs w:val="22"/>
        </w:rPr>
        <w:t xml:space="preserve"> pivotal </w:t>
      </w:r>
      <w:r w:rsidR="00BF5F17">
        <w:rPr>
          <w:rFonts w:ascii="Avenir Next" w:hAnsi="Avenir Next" w:cs="Arial"/>
          <w:color w:val="7B7B7B" w:themeColor="accent3" w:themeShade="BF"/>
          <w:sz w:val="22"/>
          <w:szCs w:val="22"/>
        </w:rPr>
        <w:t>role</w:t>
      </w:r>
      <w:r w:rsidR="00A97E32">
        <w:rPr>
          <w:rFonts w:ascii="Avenir Next" w:hAnsi="Avenir Next" w:cs="Arial"/>
          <w:color w:val="7B7B7B" w:themeColor="accent3" w:themeShade="BF"/>
          <w:sz w:val="22"/>
          <w:szCs w:val="22"/>
        </w:rPr>
        <w:t xml:space="preserve"> (Arts. 61-77 EIR Recast)</w:t>
      </w:r>
      <w:r w:rsidR="00BF5F17">
        <w:rPr>
          <w:rFonts w:ascii="Avenir Next" w:hAnsi="Avenir Next" w:cs="Arial"/>
          <w:color w:val="7B7B7B" w:themeColor="accent3" w:themeShade="BF"/>
          <w:sz w:val="22"/>
          <w:szCs w:val="22"/>
        </w:rPr>
        <w:t>.</w:t>
      </w:r>
      <w:r w:rsidR="003365B1">
        <w:rPr>
          <w:rFonts w:ascii="Avenir Next" w:hAnsi="Avenir Next" w:cs="Arial"/>
          <w:color w:val="7B7B7B" w:themeColor="accent3" w:themeShade="BF"/>
          <w:sz w:val="22"/>
          <w:szCs w:val="22"/>
        </w:rPr>
        <w:t xml:space="preserve"> Addressing the concept of group insolvency was considered important so to avoid </w:t>
      </w:r>
      <w:r w:rsidR="00673C6E">
        <w:rPr>
          <w:rFonts w:ascii="Avenir Next" w:hAnsi="Avenir Next" w:cs="Arial"/>
          <w:color w:val="7B7B7B" w:themeColor="accent3" w:themeShade="BF"/>
          <w:sz w:val="22"/>
          <w:szCs w:val="22"/>
        </w:rPr>
        <w:t>inefficient</w:t>
      </w:r>
      <w:r w:rsidR="003365B1">
        <w:rPr>
          <w:rFonts w:ascii="Avenir Next" w:hAnsi="Avenir Next" w:cs="Arial"/>
          <w:color w:val="7B7B7B" w:themeColor="accent3" w:themeShade="BF"/>
          <w:sz w:val="22"/>
          <w:szCs w:val="22"/>
        </w:rPr>
        <w:t xml:space="preserve"> results </w:t>
      </w:r>
      <w:r w:rsidR="00673C6E">
        <w:rPr>
          <w:rFonts w:ascii="Avenir Next" w:hAnsi="Avenir Next" w:cs="Arial"/>
          <w:color w:val="7B7B7B" w:themeColor="accent3" w:themeShade="BF"/>
          <w:sz w:val="22"/>
          <w:szCs w:val="22"/>
        </w:rPr>
        <w:t xml:space="preserve">in the group restructuring context </w:t>
      </w:r>
      <w:r w:rsidR="003365B1">
        <w:rPr>
          <w:rFonts w:ascii="Avenir Next" w:hAnsi="Avenir Next" w:cs="Arial"/>
          <w:color w:val="7B7B7B" w:themeColor="accent3" w:themeShade="BF"/>
          <w:sz w:val="22"/>
          <w:szCs w:val="22"/>
        </w:rPr>
        <w:t xml:space="preserve">and the fragmentation </w:t>
      </w:r>
      <w:r w:rsidR="009C0941">
        <w:rPr>
          <w:rFonts w:ascii="Avenir Next" w:hAnsi="Avenir Next" w:cs="Arial"/>
          <w:color w:val="7B7B7B" w:themeColor="accent3" w:themeShade="BF"/>
          <w:sz w:val="22"/>
          <w:szCs w:val="22"/>
        </w:rPr>
        <w:t>of the enterprise group in separate members</w:t>
      </w:r>
      <w:r w:rsidR="00DF696C">
        <w:rPr>
          <w:rFonts w:ascii="Avenir Next" w:hAnsi="Avenir Next" w:cs="Arial"/>
          <w:color w:val="7B7B7B" w:themeColor="accent3" w:themeShade="BF"/>
          <w:sz w:val="22"/>
          <w:szCs w:val="22"/>
        </w:rPr>
        <w:t xml:space="preserve"> when insolvency is concerned</w:t>
      </w:r>
      <w:r w:rsidR="006316AF">
        <w:rPr>
          <w:rFonts w:ascii="Avenir Next" w:hAnsi="Avenir Next" w:cs="Arial"/>
          <w:color w:val="7B7B7B" w:themeColor="accent3" w:themeShade="BF"/>
          <w:sz w:val="22"/>
          <w:szCs w:val="22"/>
        </w:rPr>
        <w:t>.</w:t>
      </w:r>
    </w:p>
    <w:p w14:paraId="479C8C7C" w14:textId="77777777" w:rsidR="00231275" w:rsidRDefault="00231275" w:rsidP="002A37BB">
      <w:pPr>
        <w:jc w:val="both"/>
        <w:rPr>
          <w:rFonts w:ascii="Avenir Next" w:hAnsi="Avenir Next" w:cs="Arial"/>
          <w:color w:val="7B7B7B" w:themeColor="accent3" w:themeShade="BF"/>
          <w:sz w:val="22"/>
          <w:szCs w:val="22"/>
        </w:rPr>
      </w:pPr>
    </w:p>
    <w:p w14:paraId="32C4A45F" w14:textId="40192EFD" w:rsidR="00E07A24" w:rsidRDefault="00B67032" w:rsidP="002A37B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Other tha</w:t>
      </w:r>
      <w:r w:rsidR="00824F5E">
        <w:rPr>
          <w:rFonts w:ascii="Avenir Next" w:hAnsi="Avenir Next" w:cs="Arial"/>
          <w:color w:val="7B7B7B" w:themeColor="accent3" w:themeShade="BF"/>
          <w:sz w:val="22"/>
          <w:szCs w:val="22"/>
        </w:rPr>
        <w:t>n</w:t>
      </w:r>
      <w:r>
        <w:rPr>
          <w:rFonts w:ascii="Avenir Next" w:hAnsi="Avenir Next" w:cs="Arial"/>
          <w:color w:val="7B7B7B" w:themeColor="accent3" w:themeShade="BF"/>
          <w:sz w:val="22"/>
          <w:szCs w:val="22"/>
        </w:rPr>
        <w:t xml:space="preserve"> </w:t>
      </w:r>
      <w:r w:rsidR="00444456">
        <w:rPr>
          <w:rFonts w:ascii="Avenir Next" w:hAnsi="Avenir Next" w:cs="Arial"/>
          <w:color w:val="7B7B7B" w:themeColor="accent3" w:themeShade="BF"/>
          <w:sz w:val="22"/>
          <w:szCs w:val="22"/>
        </w:rPr>
        <w:t>the above-mentioned</w:t>
      </w:r>
      <w:r>
        <w:rPr>
          <w:rFonts w:ascii="Avenir Next" w:hAnsi="Avenir Next" w:cs="Arial"/>
          <w:color w:val="7B7B7B" w:themeColor="accent3" w:themeShade="BF"/>
          <w:sz w:val="22"/>
          <w:szCs w:val="22"/>
        </w:rPr>
        <w:t xml:space="preserve"> </w:t>
      </w:r>
      <w:r w:rsidR="00A10C41">
        <w:rPr>
          <w:rFonts w:ascii="Avenir Next" w:hAnsi="Avenir Next" w:cs="Arial"/>
          <w:color w:val="7B7B7B" w:themeColor="accent3" w:themeShade="BF"/>
          <w:sz w:val="22"/>
          <w:szCs w:val="22"/>
        </w:rPr>
        <w:t>cases</w:t>
      </w:r>
      <w:r>
        <w:rPr>
          <w:rFonts w:ascii="Avenir Next" w:hAnsi="Avenir Next" w:cs="Arial"/>
          <w:color w:val="7B7B7B" w:themeColor="accent3" w:themeShade="BF"/>
          <w:sz w:val="22"/>
          <w:szCs w:val="22"/>
        </w:rPr>
        <w:t xml:space="preserve">, </w:t>
      </w:r>
      <w:r w:rsidR="007003A4">
        <w:rPr>
          <w:rFonts w:ascii="Avenir Next" w:hAnsi="Avenir Next" w:cs="Arial"/>
          <w:color w:val="7B7B7B" w:themeColor="accent3" w:themeShade="BF"/>
          <w:sz w:val="22"/>
          <w:szCs w:val="22"/>
        </w:rPr>
        <w:t>a number of adjustments have taken place in the EIR Recast</w:t>
      </w:r>
      <w:r w:rsidR="00A83335" w:rsidRPr="00A83335">
        <w:rPr>
          <w:rFonts w:ascii="Avenir Next" w:hAnsi="Avenir Next" w:cs="Arial"/>
          <w:color w:val="7B7B7B" w:themeColor="accent3" w:themeShade="BF"/>
          <w:sz w:val="22"/>
          <w:szCs w:val="22"/>
        </w:rPr>
        <w:t xml:space="preserve"> </w:t>
      </w:r>
      <w:r w:rsidR="00A83335">
        <w:rPr>
          <w:rFonts w:ascii="Avenir Next" w:hAnsi="Avenir Next" w:cs="Arial"/>
          <w:color w:val="7B7B7B" w:themeColor="accent3" w:themeShade="BF"/>
          <w:sz w:val="22"/>
          <w:szCs w:val="22"/>
        </w:rPr>
        <w:t>in the context of cooperation</w:t>
      </w:r>
      <w:r w:rsidR="007003A4">
        <w:rPr>
          <w:rFonts w:ascii="Avenir Next" w:hAnsi="Avenir Next" w:cs="Arial"/>
          <w:color w:val="7B7B7B" w:themeColor="accent3" w:themeShade="BF"/>
          <w:sz w:val="22"/>
          <w:szCs w:val="22"/>
        </w:rPr>
        <w:t xml:space="preserve">. Article 41 EIR Recast indicates that cooperation among insolvency practitioners, where one may be involved in main proceedings and the other in secondary proceedings, may be implemented in various forms, such as cooperation protocols or agreements (see </w:t>
      </w:r>
      <w:r w:rsidR="007003A4">
        <w:rPr>
          <w:rFonts w:ascii="Avenir Next" w:hAnsi="Avenir Next" w:cs="Arial"/>
          <w:color w:val="7B7B7B" w:themeColor="accent3" w:themeShade="BF"/>
          <w:sz w:val="22"/>
          <w:szCs w:val="22"/>
        </w:rPr>
        <w:lastRenderedPageBreak/>
        <w:t xml:space="preserve">also </w:t>
      </w:r>
      <w:r w:rsidR="007003A4">
        <w:rPr>
          <w:rFonts w:ascii="Avenir Next" w:hAnsi="Avenir Next" w:cs="Arial"/>
          <w:i/>
          <w:iCs/>
          <w:color w:val="7B7B7B" w:themeColor="accent3" w:themeShade="BF"/>
          <w:sz w:val="22"/>
          <w:szCs w:val="22"/>
        </w:rPr>
        <w:t xml:space="preserve">Maxwell </w:t>
      </w:r>
      <w:r w:rsidR="007003A4">
        <w:rPr>
          <w:rFonts w:ascii="Avenir Next" w:hAnsi="Avenir Next" w:cs="Arial"/>
          <w:color w:val="7B7B7B" w:themeColor="accent3" w:themeShade="BF"/>
          <w:sz w:val="22"/>
          <w:szCs w:val="22"/>
        </w:rPr>
        <w:t xml:space="preserve">case; </w:t>
      </w:r>
      <w:r w:rsidR="007003A4">
        <w:rPr>
          <w:rFonts w:ascii="Avenir Next" w:hAnsi="Avenir Next" w:cs="Arial"/>
          <w:i/>
          <w:iCs/>
          <w:color w:val="7B7B7B" w:themeColor="accent3" w:themeShade="BF"/>
          <w:sz w:val="22"/>
          <w:szCs w:val="22"/>
        </w:rPr>
        <w:t>Maxwell Communications Corp.</w:t>
      </w:r>
      <w:r w:rsidR="007003A4" w:rsidRPr="009343A3">
        <w:rPr>
          <w:rFonts w:ascii="Avenir Next" w:hAnsi="Avenir Next" w:cs="Arial"/>
          <w:color w:val="7B7B7B" w:themeColor="accent3" w:themeShade="BF"/>
          <w:sz w:val="22"/>
          <w:szCs w:val="22"/>
        </w:rPr>
        <w:t>, [1992] B.C.L.C. 465; 170 B.R. 800 (Bankr. S.D.N.Y. 1994); Aff’d B.R. 807 (Bankr. S.D.N.Y. 1995); 593 F.3</w:t>
      </w:r>
      <w:r w:rsidR="007003A4" w:rsidRPr="009343A3">
        <w:rPr>
          <w:rFonts w:ascii="Avenir Next" w:hAnsi="Avenir Next" w:cs="Arial"/>
          <w:color w:val="7B7B7B" w:themeColor="accent3" w:themeShade="BF"/>
          <w:sz w:val="22"/>
          <w:szCs w:val="22"/>
          <w:vertAlign w:val="superscript"/>
        </w:rPr>
        <w:t>rd</w:t>
      </w:r>
      <w:r w:rsidR="007003A4" w:rsidRPr="009343A3">
        <w:rPr>
          <w:rFonts w:ascii="Avenir Next" w:hAnsi="Avenir Next" w:cs="Arial"/>
          <w:color w:val="7B7B7B" w:themeColor="accent3" w:themeShade="BF"/>
          <w:sz w:val="22"/>
          <w:szCs w:val="22"/>
        </w:rPr>
        <w:t xml:space="preserve"> 1036 (2</w:t>
      </w:r>
      <w:r w:rsidR="007003A4" w:rsidRPr="009343A3">
        <w:rPr>
          <w:rFonts w:ascii="Avenir Next" w:hAnsi="Avenir Next" w:cs="Arial"/>
          <w:color w:val="7B7B7B" w:themeColor="accent3" w:themeShade="BF"/>
          <w:sz w:val="22"/>
          <w:szCs w:val="22"/>
          <w:vertAlign w:val="superscript"/>
        </w:rPr>
        <w:t>nd</w:t>
      </w:r>
      <w:r w:rsidR="007003A4" w:rsidRPr="009343A3">
        <w:rPr>
          <w:rFonts w:ascii="Avenir Next" w:hAnsi="Avenir Next" w:cs="Arial"/>
          <w:color w:val="7B7B7B" w:themeColor="accent3" w:themeShade="BF"/>
          <w:sz w:val="22"/>
          <w:szCs w:val="22"/>
        </w:rPr>
        <w:t xml:space="preserve"> Cir., 1996)). </w:t>
      </w:r>
      <w:r w:rsidR="007003A4">
        <w:rPr>
          <w:rFonts w:ascii="Avenir Next" w:hAnsi="Avenir Next" w:cs="Arial"/>
          <w:color w:val="7B7B7B" w:themeColor="accent3" w:themeShade="BF"/>
          <w:sz w:val="22"/>
          <w:szCs w:val="22"/>
        </w:rPr>
        <w:t xml:space="preserve">Also, Article 41(2)(a) EIR Recast mandates the insolvency practitioner to transmit relevant information to other insolvency practitioner(s) in a timely fashion in view of any progress regarding the filing and verification of claims </w:t>
      </w:r>
      <w:r w:rsidR="007003A4">
        <w:rPr>
          <w:rFonts w:ascii="Avenir Next" w:hAnsi="Avenir Next" w:cs="Arial"/>
          <w:i/>
          <w:iCs/>
          <w:color w:val="7B7B7B" w:themeColor="accent3" w:themeShade="BF"/>
          <w:sz w:val="22"/>
          <w:szCs w:val="22"/>
        </w:rPr>
        <w:t xml:space="preserve">and </w:t>
      </w:r>
      <w:r w:rsidR="007003A4">
        <w:rPr>
          <w:rFonts w:ascii="Avenir Next" w:hAnsi="Avenir Next" w:cs="Arial"/>
          <w:color w:val="7B7B7B" w:themeColor="accent3" w:themeShade="BF"/>
          <w:sz w:val="22"/>
          <w:szCs w:val="22"/>
        </w:rPr>
        <w:t xml:space="preserve">[emphasis added] the possible measures intended to rescue or restructure the insolvent or to conclude the proceedings. At the same time, another innovation of the EIR Recast, laid down in Article 42, regards cooperation and communication among courts in insolvency proceedings. In this respect, it is worth noting that the case of </w:t>
      </w:r>
      <w:r w:rsidR="007003A4">
        <w:rPr>
          <w:rFonts w:ascii="Avenir Next" w:hAnsi="Avenir Next" w:cs="Arial"/>
          <w:i/>
          <w:iCs/>
          <w:color w:val="7B7B7B" w:themeColor="accent3" w:themeShade="BF"/>
          <w:sz w:val="22"/>
          <w:szCs w:val="22"/>
        </w:rPr>
        <w:t>Bank Handlowy</w:t>
      </w:r>
      <w:r w:rsidR="007003A4">
        <w:rPr>
          <w:rFonts w:ascii="Avenir Next" w:hAnsi="Avenir Next" w:cs="Arial"/>
          <w:color w:val="7B7B7B" w:themeColor="accent3" w:themeShade="BF"/>
          <w:sz w:val="22"/>
          <w:szCs w:val="22"/>
        </w:rPr>
        <w:t xml:space="preserve"> has particularly influenced the cooperation spectrum (Case C-116/11, </w:t>
      </w:r>
      <w:r w:rsidR="007003A4">
        <w:rPr>
          <w:rFonts w:ascii="Avenir Next" w:hAnsi="Avenir Next" w:cs="Arial"/>
          <w:i/>
          <w:iCs/>
          <w:color w:val="7B7B7B" w:themeColor="accent3" w:themeShade="BF"/>
          <w:sz w:val="22"/>
          <w:szCs w:val="22"/>
        </w:rPr>
        <w:t xml:space="preserve">Bank Handlowy w Warszawie SA v Christianapol sp. z o.o., </w:t>
      </w:r>
      <w:r w:rsidR="007003A4">
        <w:rPr>
          <w:rFonts w:ascii="Avenir Next" w:hAnsi="Avenir Next" w:cs="Arial"/>
          <w:color w:val="7B7B7B" w:themeColor="accent3" w:themeShade="BF"/>
          <w:sz w:val="22"/>
          <w:szCs w:val="22"/>
        </w:rPr>
        <w:t>ECLI:EU:C:2012:739  (Nov. 22, 2012)</w:t>
      </w:r>
      <w:r w:rsidR="00E17295">
        <w:rPr>
          <w:rFonts w:ascii="Avenir Next" w:hAnsi="Avenir Next" w:cs="Arial"/>
          <w:color w:val="7B7B7B" w:themeColor="accent3" w:themeShade="BF"/>
          <w:sz w:val="22"/>
          <w:szCs w:val="22"/>
        </w:rPr>
        <w:t>).</w:t>
      </w:r>
      <w:r w:rsidR="003947CA">
        <w:rPr>
          <w:rFonts w:ascii="Avenir Next" w:hAnsi="Avenir Next" w:cs="Arial"/>
          <w:color w:val="7B7B7B" w:themeColor="accent3" w:themeShade="BF"/>
          <w:sz w:val="22"/>
          <w:szCs w:val="22"/>
        </w:rPr>
        <w:t xml:space="preserve"> </w:t>
      </w:r>
      <w:r w:rsidR="007003A4">
        <w:rPr>
          <w:rFonts w:ascii="Avenir Next" w:hAnsi="Avenir Next" w:cs="Arial"/>
          <w:color w:val="7B7B7B" w:themeColor="accent3" w:themeShade="BF"/>
          <w:sz w:val="22"/>
          <w:szCs w:val="22"/>
        </w:rPr>
        <w:t>Article 42(</w:t>
      </w:r>
      <w:r w:rsidR="007003A4" w:rsidRPr="00B43D7F">
        <w:rPr>
          <w:rFonts w:ascii="Avenir Next" w:hAnsi="Avenir Next" w:cs="Arial"/>
          <w:color w:val="7B7B7B" w:themeColor="accent3" w:themeShade="BF"/>
          <w:sz w:val="22"/>
          <w:szCs w:val="22"/>
        </w:rPr>
        <w:t>1</w:t>
      </w:r>
      <w:r w:rsidR="007003A4">
        <w:rPr>
          <w:rFonts w:ascii="Avenir Next" w:hAnsi="Avenir Next" w:cs="Arial"/>
          <w:color w:val="7B7B7B" w:themeColor="accent3" w:themeShade="BF"/>
          <w:sz w:val="22"/>
          <w:szCs w:val="22"/>
        </w:rPr>
        <w:t>)</w:t>
      </w:r>
      <w:r w:rsidR="007003A4" w:rsidRPr="00B43D7F">
        <w:rPr>
          <w:rFonts w:ascii="Avenir Next" w:hAnsi="Avenir Next" w:cs="Arial"/>
          <w:color w:val="7B7B7B" w:themeColor="accent3" w:themeShade="BF"/>
          <w:sz w:val="22"/>
          <w:szCs w:val="22"/>
        </w:rPr>
        <w:t xml:space="preserve"> stipulates that a court to whom the opening of a</w:t>
      </w:r>
      <w:r w:rsidR="007003A4">
        <w:rPr>
          <w:rFonts w:ascii="Avenir Next" w:hAnsi="Avenir Next" w:cs="Arial"/>
          <w:color w:val="7B7B7B" w:themeColor="accent3" w:themeShade="BF"/>
          <w:sz w:val="22"/>
          <w:szCs w:val="22"/>
        </w:rPr>
        <w:t>n</w:t>
      </w:r>
      <w:r w:rsidR="007003A4" w:rsidRPr="00B43D7F">
        <w:rPr>
          <w:rFonts w:ascii="Avenir Next" w:hAnsi="Avenir Next" w:cs="Arial"/>
          <w:color w:val="7B7B7B" w:themeColor="accent3" w:themeShade="BF"/>
          <w:sz w:val="22"/>
          <w:szCs w:val="22"/>
        </w:rPr>
        <w:t xml:space="preserve"> insolvency proceeding has been requested or that already opened such proceedings, is compelled to cooperate with any court similarly being in the situation of a pending request to open insolvency proceedings or of already opened proceedings</w:t>
      </w:r>
      <w:r w:rsidR="00E93647">
        <w:rPr>
          <w:rFonts w:ascii="Avenir Next" w:hAnsi="Avenir Next" w:cs="Arial"/>
          <w:color w:val="7B7B7B" w:themeColor="accent3" w:themeShade="BF"/>
          <w:sz w:val="22"/>
          <w:szCs w:val="22"/>
        </w:rPr>
        <w:t xml:space="preserve">. </w:t>
      </w:r>
      <w:r w:rsidR="007003A4">
        <w:rPr>
          <w:rFonts w:ascii="Avenir Next" w:hAnsi="Avenir Next" w:cs="Arial"/>
          <w:color w:val="7B7B7B" w:themeColor="accent3" w:themeShade="BF"/>
          <w:sz w:val="22"/>
          <w:szCs w:val="22"/>
        </w:rPr>
        <w:t>Most important, the EIR Recast includes in its Article 43 communication and cooperation obligations between insolvency practitioners and courts. The aforementioned Article also indicates three situations in which these obligations should take plac</w:t>
      </w:r>
      <w:r w:rsidR="00162E52">
        <w:rPr>
          <w:rFonts w:ascii="Avenir Next" w:hAnsi="Avenir Next" w:cs="Arial"/>
          <w:color w:val="7B7B7B" w:themeColor="accent3" w:themeShade="BF"/>
          <w:sz w:val="22"/>
          <w:szCs w:val="22"/>
        </w:rPr>
        <w:t>e.</w:t>
      </w:r>
    </w:p>
    <w:p w14:paraId="22EE6958" w14:textId="77777777" w:rsidR="00E93647" w:rsidRDefault="00E93647" w:rsidP="002A37BB">
      <w:pPr>
        <w:jc w:val="both"/>
        <w:rPr>
          <w:rFonts w:ascii="Avenir Next" w:hAnsi="Avenir Next" w:cs="Arial"/>
          <w:color w:val="7B7B7B" w:themeColor="accent3" w:themeShade="BF"/>
          <w:sz w:val="22"/>
          <w:szCs w:val="22"/>
        </w:rPr>
      </w:pPr>
    </w:p>
    <w:p w14:paraId="4279F84F" w14:textId="77777777" w:rsidR="00217670" w:rsidRDefault="00C01BA9" w:rsidP="002A37B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What’s more, contrary to </w:t>
      </w:r>
      <w:r w:rsidR="000D76A9">
        <w:rPr>
          <w:rFonts w:ascii="Avenir Next" w:hAnsi="Avenir Next" w:cs="Arial"/>
          <w:color w:val="7B7B7B" w:themeColor="accent3" w:themeShade="BF"/>
          <w:sz w:val="22"/>
          <w:szCs w:val="22"/>
        </w:rPr>
        <w:t xml:space="preserve">the </w:t>
      </w:r>
      <w:r>
        <w:rPr>
          <w:rFonts w:ascii="Avenir Next" w:hAnsi="Avenir Next" w:cs="Arial"/>
          <w:color w:val="7B7B7B" w:themeColor="accent3" w:themeShade="BF"/>
          <w:sz w:val="22"/>
          <w:szCs w:val="22"/>
        </w:rPr>
        <w:t xml:space="preserve">EIR 2000, the EIR Recast now also mentions arbitral proceedings in its Article 18 putting </w:t>
      </w:r>
      <w:r w:rsidR="000D76A9">
        <w:rPr>
          <w:rFonts w:ascii="Avenir Next" w:hAnsi="Avenir Next" w:cs="Arial"/>
          <w:color w:val="7B7B7B" w:themeColor="accent3" w:themeShade="BF"/>
          <w:sz w:val="22"/>
          <w:szCs w:val="22"/>
        </w:rPr>
        <w:t>the latter</w:t>
      </w:r>
      <w:r>
        <w:rPr>
          <w:rFonts w:ascii="Avenir Next" w:hAnsi="Avenir Next" w:cs="Arial"/>
          <w:color w:val="7B7B7B" w:themeColor="accent3" w:themeShade="BF"/>
          <w:sz w:val="22"/>
          <w:szCs w:val="22"/>
        </w:rPr>
        <w:t xml:space="preserve"> on an equal footing with </w:t>
      </w:r>
      <w:r w:rsidR="00563087">
        <w:rPr>
          <w:rFonts w:ascii="Avenir Next" w:hAnsi="Avenir Next" w:cs="Arial"/>
          <w:color w:val="7B7B7B" w:themeColor="accent3" w:themeShade="BF"/>
          <w:sz w:val="22"/>
          <w:szCs w:val="22"/>
        </w:rPr>
        <w:t xml:space="preserve">Member </w:t>
      </w:r>
      <w:r>
        <w:rPr>
          <w:rFonts w:ascii="Avenir Next" w:hAnsi="Avenir Next" w:cs="Arial"/>
          <w:color w:val="7B7B7B" w:themeColor="accent3" w:themeShade="BF"/>
          <w:sz w:val="22"/>
          <w:szCs w:val="22"/>
        </w:rPr>
        <w:t>States</w:t>
      </w:r>
      <w:r w:rsidR="00563087">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court decision</w:t>
      </w:r>
      <w:r w:rsidR="00563087">
        <w:rPr>
          <w:rFonts w:ascii="Avenir Next" w:hAnsi="Avenir Next" w:cs="Arial"/>
          <w:color w:val="7B7B7B" w:themeColor="accent3" w:themeShade="BF"/>
          <w:sz w:val="22"/>
          <w:szCs w:val="22"/>
        </w:rPr>
        <w:t>s</w:t>
      </w:r>
      <w:r w:rsidR="00DB469C">
        <w:rPr>
          <w:rFonts w:ascii="Avenir Next" w:hAnsi="Avenir Next" w:cs="Arial"/>
          <w:color w:val="7B7B7B" w:themeColor="accent3" w:themeShade="BF"/>
          <w:sz w:val="22"/>
          <w:szCs w:val="22"/>
        </w:rPr>
        <w:t xml:space="preserve">. </w:t>
      </w:r>
      <w:r w:rsidR="008E0F13">
        <w:rPr>
          <w:rFonts w:ascii="Avenir Next" w:hAnsi="Avenir Next" w:cs="Arial"/>
          <w:color w:val="7B7B7B" w:themeColor="accent3" w:themeShade="BF"/>
          <w:sz w:val="22"/>
          <w:szCs w:val="22"/>
        </w:rPr>
        <w:t xml:space="preserve">It is a matter </w:t>
      </w:r>
      <w:r w:rsidR="007F0B09">
        <w:rPr>
          <w:rFonts w:ascii="Avenir Next" w:hAnsi="Avenir Next" w:cs="Arial"/>
          <w:color w:val="7B7B7B" w:themeColor="accent3" w:themeShade="BF"/>
          <w:sz w:val="22"/>
          <w:szCs w:val="22"/>
        </w:rPr>
        <w:t xml:space="preserve">of </w:t>
      </w:r>
      <w:r w:rsidR="00386916">
        <w:rPr>
          <w:rFonts w:ascii="Avenir Next" w:hAnsi="Avenir Next" w:cs="Arial"/>
          <w:color w:val="7B7B7B" w:themeColor="accent3" w:themeShade="BF"/>
          <w:sz w:val="22"/>
          <w:szCs w:val="22"/>
        </w:rPr>
        <w:t>applying</w:t>
      </w:r>
      <w:r w:rsidR="007F0B09">
        <w:rPr>
          <w:rFonts w:ascii="Avenir Next" w:hAnsi="Avenir Next" w:cs="Arial"/>
          <w:color w:val="7B7B7B" w:themeColor="accent3" w:themeShade="BF"/>
          <w:sz w:val="22"/>
          <w:szCs w:val="22"/>
        </w:rPr>
        <w:t xml:space="preserve"> the </w:t>
      </w:r>
      <w:r w:rsidR="004E71EC">
        <w:rPr>
          <w:rFonts w:ascii="Avenir Next" w:hAnsi="Avenir Next" w:cs="Arial"/>
          <w:color w:val="7B7B7B" w:themeColor="accent3" w:themeShade="BF"/>
          <w:sz w:val="22"/>
          <w:szCs w:val="22"/>
        </w:rPr>
        <w:t xml:space="preserve">effects of the </w:t>
      </w:r>
      <w:r w:rsidR="00386916" w:rsidRPr="00F526C2">
        <w:rPr>
          <w:rFonts w:ascii="Avenir Next" w:hAnsi="Avenir Next" w:cs="Arial"/>
          <w:i/>
          <w:iCs/>
          <w:color w:val="7B7B7B" w:themeColor="accent3" w:themeShade="BF"/>
          <w:sz w:val="22"/>
          <w:szCs w:val="22"/>
        </w:rPr>
        <w:t>lex loci arbitri</w:t>
      </w:r>
      <w:r w:rsidR="000D76A9">
        <w:rPr>
          <w:rFonts w:ascii="Avenir Next" w:hAnsi="Avenir Next" w:cs="Arial"/>
          <w:color w:val="7B7B7B" w:themeColor="accent3" w:themeShade="BF"/>
          <w:sz w:val="22"/>
          <w:szCs w:val="22"/>
        </w:rPr>
        <w:t>,</w:t>
      </w:r>
      <w:r w:rsidR="00386916">
        <w:rPr>
          <w:rFonts w:ascii="Avenir Next" w:hAnsi="Avenir Next" w:cs="Arial"/>
          <w:color w:val="7B7B7B" w:themeColor="accent3" w:themeShade="BF"/>
          <w:sz w:val="22"/>
          <w:szCs w:val="22"/>
        </w:rPr>
        <w:t xml:space="preserve"> and not of the </w:t>
      </w:r>
      <w:r w:rsidR="00386916" w:rsidRPr="00F526C2">
        <w:rPr>
          <w:rFonts w:ascii="Avenir Next" w:hAnsi="Avenir Next" w:cs="Arial"/>
          <w:i/>
          <w:iCs/>
          <w:color w:val="7B7B7B" w:themeColor="accent3" w:themeShade="BF"/>
          <w:sz w:val="22"/>
          <w:szCs w:val="22"/>
        </w:rPr>
        <w:t>lex fori concursus</w:t>
      </w:r>
      <w:r w:rsidR="000D76A9">
        <w:rPr>
          <w:rFonts w:ascii="Avenir Next" w:hAnsi="Avenir Next" w:cs="Arial"/>
          <w:color w:val="7B7B7B" w:themeColor="accent3" w:themeShade="BF"/>
          <w:sz w:val="22"/>
          <w:szCs w:val="22"/>
        </w:rPr>
        <w:t>,</w:t>
      </w:r>
      <w:r w:rsidR="00386916">
        <w:rPr>
          <w:rFonts w:ascii="Avenir Next" w:hAnsi="Avenir Next" w:cs="Arial"/>
          <w:color w:val="7B7B7B" w:themeColor="accent3" w:themeShade="BF"/>
          <w:sz w:val="22"/>
          <w:szCs w:val="22"/>
        </w:rPr>
        <w:t xml:space="preserve"> </w:t>
      </w:r>
      <w:r w:rsidR="007F0B09">
        <w:rPr>
          <w:rFonts w:ascii="Avenir Next" w:hAnsi="Avenir Next" w:cs="Arial"/>
          <w:color w:val="7B7B7B" w:themeColor="accent3" w:themeShade="BF"/>
          <w:sz w:val="22"/>
          <w:szCs w:val="22"/>
        </w:rPr>
        <w:t>to</w:t>
      </w:r>
      <w:r w:rsidR="000D76A9">
        <w:rPr>
          <w:rFonts w:ascii="Avenir Next" w:hAnsi="Avenir Next" w:cs="Arial"/>
          <w:color w:val="7B7B7B" w:themeColor="accent3" w:themeShade="BF"/>
          <w:sz w:val="22"/>
          <w:szCs w:val="22"/>
        </w:rPr>
        <w:t xml:space="preserve"> procedural matters of</w:t>
      </w:r>
      <w:r w:rsidR="007F0B09">
        <w:rPr>
          <w:rFonts w:ascii="Avenir Next" w:hAnsi="Avenir Next" w:cs="Arial"/>
          <w:color w:val="7B7B7B" w:themeColor="accent3" w:themeShade="BF"/>
          <w:sz w:val="22"/>
          <w:szCs w:val="22"/>
        </w:rPr>
        <w:t xml:space="preserve"> </w:t>
      </w:r>
      <w:r w:rsidR="00386916">
        <w:rPr>
          <w:rFonts w:ascii="Avenir Next" w:hAnsi="Avenir Next" w:cs="Arial"/>
          <w:color w:val="7B7B7B" w:themeColor="accent3" w:themeShade="BF"/>
          <w:sz w:val="22"/>
          <w:szCs w:val="22"/>
        </w:rPr>
        <w:t xml:space="preserve">pending </w:t>
      </w:r>
      <w:r w:rsidR="004E71EC">
        <w:rPr>
          <w:rFonts w:ascii="Avenir Next" w:hAnsi="Avenir Next" w:cs="Arial"/>
          <w:color w:val="7B7B7B" w:themeColor="accent3" w:themeShade="BF"/>
          <w:sz w:val="22"/>
          <w:szCs w:val="22"/>
        </w:rPr>
        <w:t>arbitral proceedings</w:t>
      </w:r>
      <w:r w:rsidR="00386916">
        <w:rPr>
          <w:rFonts w:ascii="Avenir Next" w:hAnsi="Avenir Next" w:cs="Arial"/>
          <w:color w:val="7B7B7B" w:themeColor="accent3" w:themeShade="BF"/>
          <w:sz w:val="22"/>
          <w:szCs w:val="22"/>
        </w:rPr>
        <w:t xml:space="preserve">. </w:t>
      </w:r>
    </w:p>
    <w:p w14:paraId="640F3C8D" w14:textId="77777777" w:rsidR="00217670" w:rsidRDefault="00217670" w:rsidP="002A37BB">
      <w:pPr>
        <w:jc w:val="both"/>
        <w:rPr>
          <w:rFonts w:ascii="Avenir Next" w:hAnsi="Avenir Next" w:cs="Arial"/>
          <w:color w:val="7B7B7B" w:themeColor="accent3" w:themeShade="BF"/>
          <w:sz w:val="22"/>
          <w:szCs w:val="22"/>
        </w:rPr>
      </w:pPr>
    </w:p>
    <w:p w14:paraId="2555BE4A" w14:textId="08B25A55" w:rsidR="00B67032" w:rsidRDefault="00A13F11" w:rsidP="002A37B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Furthermore, a form of exequatur for insolvency-related judgments was essential in the context of the EIR 2000</w:t>
      </w:r>
      <w:r w:rsidR="00F526C2">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 xml:space="preserve">This is no longer the case in </w:t>
      </w:r>
      <w:r w:rsidR="00822C5A">
        <w:rPr>
          <w:rFonts w:ascii="Avenir Next" w:hAnsi="Avenir Next" w:cs="Arial"/>
          <w:color w:val="7B7B7B" w:themeColor="accent3" w:themeShade="BF"/>
          <w:sz w:val="22"/>
          <w:szCs w:val="22"/>
        </w:rPr>
        <w:t>respect</w:t>
      </w:r>
      <w:r>
        <w:rPr>
          <w:rFonts w:ascii="Avenir Next" w:hAnsi="Avenir Next" w:cs="Arial"/>
          <w:color w:val="7B7B7B" w:themeColor="accent3" w:themeShade="BF"/>
          <w:sz w:val="22"/>
          <w:szCs w:val="22"/>
        </w:rPr>
        <w:t xml:space="preserve"> of Article 32(1) which cross-refers to Arts. 39-44 and 47-57 of </w:t>
      </w:r>
      <w:r w:rsidR="00822C5A">
        <w:rPr>
          <w:rFonts w:ascii="Avenir Next" w:hAnsi="Avenir Next" w:cs="Arial"/>
          <w:color w:val="7B7B7B" w:themeColor="accent3" w:themeShade="BF"/>
          <w:sz w:val="22"/>
          <w:szCs w:val="22"/>
        </w:rPr>
        <w:t xml:space="preserve">the </w:t>
      </w:r>
      <w:r>
        <w:rPr>
          <w:rFonts w:ascii="Avenir Next" w:hAnsi="Avenir Next" w:cs="Arial"/>
          <w:color w:val="7B7B7B" w:themeColor="accent3" w:themeShade="BF"/>
          <w:sz w:val="22"/>
          <w:szCs w:val="22"/>
        </w:rPr>
        <w:t xml:space="preserve">Brussels I (Recast). </w:t>
      </w:r>
      <w:r w:rsidR="00D148AC">
        <w:rPr>
          <w:rFonts w:ascii="Avenir Next" w:hAnsi="Avenir Next" w:cs="Arial"/>
          <w:color w:val="7B7B7B" w:themeColor="accent3" w:themeShade="BF"/>
          <w:sz w:val="22"/>
          <w:szCs w:val="22"/>
        </w:rPr>
        <w:t>Indeed, “[a]</w:t>
      </w:r>
      <w:r w:rsidR="00D148AC" w:rsidRPr="00D148AC">
        <w:rPr>
          <w:rFonts w:ascii="Avenir Next" w:hAnsi="Avenir Next" w:cs="Arial"/>
          <w:color w:val="7B7B7B" w:themeColor="accent3" w:themeShade="BF"/>
          <w:sz w:val="22"/>
          <w:szCs w:val="22"/>
        </w:rPr>
        <w:t xml:space="preserve"> judgment given in a Member State which is enforceable in that Member State shall be enforceable in the other Member States without any declaration of enforceability being required</w:t>
      </w:r>
      <w:r w:rsidR="00D148AC">
        <w:rPr>
          <w:rFonts w:ascii="Avenir Next" w:hAnsi="Avenir Next" w:cs="Arial"/>
          <w:color w:val="7B7B7B" w:themeColor="accent3" w:themeShade="BF"/>
          <w:sz w:val="22"/>
          <w:szCs w:val="22"/>
        </w:rPr>
        <w:t xml:space="preserve">” (Article 39 of </w:t>
      </w:r>
      <w:r w:rsidR="00D148AC" w:rsidRPr="00D148AC">
        <w:rPr>
          <w:rFonts w:ascii="Avenir Next" w:hAnsi="Avenir Next" w:cs="Arial"/>
          <w:color w:val="7B7B7B" w:themeColor="accent3" w:themeShade="BF"/>
          <w:sz w:val="22"/>
          <w:szCs w:val="22"/>
        </w:rPr>
        <w:t>Regulation (EU) No 1215/2012 of the European Parliament and of the Council of 12 December 2012</w:t>
      </w:r>
      <w:r w:rsidR="003C0BA5">
        <w:rPr>
          <w:rFonts w:ascii="Avenir Next" w:hAnsi="Avenir Next" w:cs="Arial"/>
          <w:color w:val="7B7B7B" w:themeColor="accent3" w:themeShade="BF"/>
          <w:sz w:val="22"/>
          <w:szCs w:val="22"/>
        </w:rPr>
        <w:t>).</w:t>
      </w:r>
    </w:p>
    <w:p w14:paraId="35A9A25C" w14:textId="77777777" w:rsidR="00B67032" w:rsidRPr="001C57F2" w:rsidRDefault="00B67032" w:rsidP="002A37BB">
      <w:pPr>
        <w:jc w:val="both"/>
        <w:rPr>
          <w:rFonts w:ascii="Avenir Next" w:hAnsi="Avenir Next" w:cs="Arial"/>
          <w:color w:val="7B7B7B" w:themeColor="accent3" w:themeShade="BF"/>
          <w:sz w:val="22"/>
          <w:szCs w:val="22"/>
        </w:rPr>
      </w:pPr>
    </w:p>
    <w:p w14:paraId="335DB82C" w14:textId="271C8C4F" w:rsidR="00C263C1" w:rsidRPr="003627DD" w:rsidRDefault="00C263C1" w:rsidP="002A37BB">
      <w:pPr>
        <w:jc w:val="both"/>
        <w:rPr>
          <w:rFonts w:ascii="Avenir Next" w:hAnsi="Avenir Next" w:cs="Arial"/>
          <w:sz w:val="22"/>
          <w:szCs w:val="22"/>
        </w:rPr>
      </w:pPr>
    </w:p>
    <w:p w14:paraId="4A637290" w14:textId="4A0282A0" w:rsidR="00544127" w:rsidRPr="008E3C96" w:rsidRDefault="00544127" w:rsidP="009505B8">
      <w:pPr>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3D4A79">
      <w:pPr>
        <w:jc w:val="both"/>
        <w:rPr>
          <w:rFonts w:ascii="Avenir Next" w:hAnsi="Avenir Next" w:cs="Arial"/>
          <w:sz w:val="22"/>
          <w:szCs w:val="22"/>
          <w:lang w:val="en-GB"/>
        </w:rPr>
      </w:pPr>
    </w:p>
    <w:p w14:paraId="3DAA6780" w14:textId="36267C74" w:rsidR="00962045" w:rsidRDefault="0056155A"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Notwithstanding the success of the European Regulation </w:t>
      </w:r>
      <w:r w:rsidRPr="0056155A">
        <w:rPr>
          <w:rFonts w:ascii="Avenir Next" w:hAnsi="Avenir Next" w:cs="Arial"/>
          <w:color w:val="7B7B7B" w:themeColor="accent3" w:themeShade="BF"/>
          <w:sz w:val="22"/>
          <w:szCs w:val="22"/>
          <w:lang w:val="en-GB"/>
        </w:rPr>
        <w:t>2015/848 of the European Parliament and of the Council of 20 May 2015 on insolvency proceedings (recast)</w:t>
      </w:r>
      <w:r>
        <w:rPr>
          <w:rFonts w:ascii="Avenir Next" w:hAnsi="Avenir Next" w:cs="Arial"/>
          <w:color w:val="7B7B7B" w:themeColor="accent3" w:themeShade="BF"/>
          <w:sz w:val="22"/>
          <w:szCs w:val="22"/>
          <w:lang w:val="en-GB"/>
        </w:rPr>
        <w:t xml:space="preserve">, views have been expressed </w:t>
      </w:r>
      <w:r w:rsidR="005D305F">
        <w:rPr>
          <w:rFonts w:ascii="Avenir Next" w:hAnsi="Avenir Next" w:cs="Arial"/>
          <w:color w:val="7B7B7B" w:themeColor="accent3" w:themeShade="BF"/>
          <w:sz w:val="22"/>
          <w:szCs w:val="22"/>
          <w:lang w:val="en-GB"/>
        </w:rPr>
        <w:t>that</w:t>
      </w:r>
      <w:r>
        <w:rPr>
          <w:rFonts w:ascii="Avenir Next" w:hAnsi="Avenir Next" w:cs="Arial"/>
          <w:color w:val="7B7B7B" w:themeColor="accent3" w:themeShade="BF"/>
          <w:sz w:val="22"/>
          <w:szCs w:val="22"/>
          <w:lang w:val="en-GB"/>
        </w:rPr>
        <w:t xml:space="preserve"> </w:t>
      </w:r>
      <w:r w:rsidR="005D305F">
        <w:rPr>
          <w:rFonts w:ascii="Avenir Next" w:hAnsi="Avenir Next" w:cs="Arial"/>
          <w:color w:val="7B7B7B" w:themeColor="accent3" w:themeShade="BF"/>
          <w:sz w:val="22"/>
          <w:szCs w:val="22"/>
          <w:lang w:val="en-GB"/>
        </w:rPr>
        <w:t>particular disadvantages</w:t>
      </w:r>
      <w:r w:rsidR="004276AA">
        <w:rPr>
          <w:rFonts w:ascii="Avenir Next" w:hAnsi="Avenir Next" w:cs="Arial"/>
          <w:color w:val="7B7B7B" w:themeColor="accent3" w:themeShade="BF"/>
          <w:sz w:val="22"/>
          <w:szCs w:val="22"/>
          <w:lang w:val="en-GB"/>
        </w:rPr>
        <w:t xml:space="preserve"> have</w:t>
      </w:r>
      <w:r w:rsidR="005D305F">
        <w:rPr>
          <w:rFonts w:ascii="Avenir Next" w:hAnsi="Avenir Next" w:cs="Arial"/>
          <w:color w:val="7B7B7B" w:themeColor="accent3" w:themeShade="BF"/>
          <w:sz w:val="22"/>
          <w:szCs w:val="22"/>
          <w:lang w:val="en-GB"/>
        </w:rPr>
        <w:t xml:space="preserve"> hinder</w:t>
      </w:r>
      <w:r w:rsidR="004276AA">
        <w:rPr>
          <w:rFonts w:ascii="Avenir Next" w:hAnsi="Avenir Next" w:cs="Arial"/>
          <w:color w:val="7B7B7B" w:themeColor="accent3" w:themeShade="BF"/>
          <w:sz w:val="22"/>
          <w:szCs w:val="22"/>
          <w:lang w:val="en-GB"/>
        </w:rPr>
        <w:t>ed</w:t>
      </w:r>
      <w:r w:rsidR="005D305F">
        <w:rPr>
          <w:rFonts w:ascii="Avenir Next" w:hAnsi="Avenir Next" w:cs="Arial"/>
          <w:color w:val="7B7B7B" w:themeColor="accent3" w:themeShade="BF"/>
          <w:sz w:val="22"/>
          <w:szCs w:val="22"/>
          <w:lang w:val="en-GB"/>
        </w:rPr>
        <w:t xml:space="preserve"> the effectiveness of the Regulation</w:t>
      </w:r>
      <w:r w:rsidR="001B43D2">
        <w:rPr>
          <w:rFonts w:ascii="Avenir Next" w:hAnsi="Avenir Next" w:cs="Arial"/>
          <w:color w:val="7B7B7B" w:themeColor="accent3" w:themeShade="BF"/>
          <w:sz w:val="22"/>
          <w:szCs w:val="22"/>
          <w:lang w:val="en-GB"/>
        </w:rPr>
        <w:t>.</w:t>
      </w:r>
    </w:p>
    <w:p w14:paraId="562B8A0E" w14:textId="77777777" w:rsidR="0056155A" w:rsidRDefault="0056155A" w:rsidP="002A37BB">
      <w:pPr>
        <w:jc w:val="both"/>
        <w:rPr>
          <w:rFonts w:ascii="Avenir Next" w:hAnsi="Avenir Next" w:cs="Arial"/>
          <w:color w:val="7B7B7B" w:themeColor="accent3" w:themeShade="BF"/>
          <w:sz w:val="22"/>
          <w:szCs w:val="22"/>
          <w:lang w:val="en-GB"/>
        </w:rPr>
      </w:pPr>
    </w:p>
    <w:p w14:paraId="6AACD8FE" w14:textId="48BD23B3" w:rsidR="0056155A" w:rsidRDefault="005D305F"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One of those disadvantages re</w:t>
      </w:r>
      <w:r w:rsidR="004276AA">
        <w:rPr>
          <w:rFonts w:ascii="Avenir Next" w:hAnsi="Avenir Next" w:cs="Arial"/>
          <w:color w:val="7B7B7B" w:themeColor="accent3" w:themeShade="BF"/>
          <w:sz w:val="22"/>
          <w:szCs w:val="22"/>
          <w:lang w:val="en-GB"/>
        </w:rPr>
        <w:t>late</w:t>
      </w:r>
      <w:r w:rsidR="00E14918">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to the absence of a definition for employment contracts. This absence is particularly felt in the context of the exceptions to the lex fori concursus. </w:t>
      </w:r>
      <w:r w:rsidR="00BA1C8C">
        <w:rPr>
          <w:rFonts w:ascii="Avenir Next" w:hAnsi="Avenir Next" w:cs="Arial"/>
          <w:color w:val="7B7B7B" w:themeColor="accent3" w:themeShade="BF"/>
          <w:sz w:val="22"/>
          <w:szCs w:val="22"/>
          <w:lang w:val="en-GB"/>
        </w:rPr>
        <w:t xml:space="preserve">Article 13 EIR Recast includes an exception to the general rule of the lex fori concursus. It </w:t>
      </w:r>
      <w:r w:rsidR="00DB0EFA">
        <w:rPr>
          <w:rFonts w:ascii="Avenir Next" w:hAnsi="Avenir Next" w:cs="Arial"/>
          <w:color w:val="7B7B7B" w:themeColor="accent3" w:themeShade="BF"/>
          <w:sz w:val="22"/>
          <w:szCs w:val="22"/>
          <w:lang w:val="en-GB"/>
        </w:rPr>
        <w:t>specifies</w:t>
      </w:r>
      <w:r w:rsidR="00BA1C8C">
        <w:rPr>
          <w:rFonts w:ascii="Avenir Next" w:hAnsi="Avenir Next" w:cs="Arial"/>
          <w:color w:val="7B7B7B" w:themeColor="accent3" w:themeShade="BF"/>
          <w:sz w:val="22"/>
          <w:szCs w:val="22"/>
          <w:lang w:val="en-GB"/>
        </w:rPr>
        <w:t xml:space="preserve"> that the effects of the opened insolvency proceedings on contracts of employment are governed by the </w:t>
      </w:r>
      <w:r w:rsidR="00BA1C8C" w:rsidRPr="009E50BB">
        <w:rPr>
          <w:rFonts w:ascii="Avenir Next" w:hAnsi="Avenir Next" w:cs="Arial"/>
          <w:i/>
          <w:iCs/>
          <w:color w:val="7B7B7B" w:themeColor="accent3" w:themeShade="BF"/>
          <w:sz w:val="22"/>
          <w:szCs w:val="22"/>
          <w:lang w:val="en-GB"/>
        </w:rPr>
        <w:t>lex contractus</w:t>
      </w:r>
      <w:r w:rsidR="00BA1C8C">
        <w:rPr>
          <w:rFonts w:ascii="Avenir Next" w:hAnsi="Avenir Next" w:cs="Arial"/>
          <w:color w:val="7B7B7B" w:themeColor="accent3" w:themeShade="BF"/>
          <w:sz w:val="22"/>
          <w:szCs w:val="22"/>
          <w:lang w:val="en-GB"/>
        </w:rPr>
        <w:t xml:space="preserve">, i.e. the law of the Member State which applies to the employment contract. </w:t>
      </w:r>
      <w:r w:rsidR="00B36FB1">
        <w:rPr>
          <w:rFonts w:ascii="Avenir Next" w:hAnsi="Avenir Next" w:cs="Arial"/>
          <w:color w:val="7B7B7B" w:themeColor="accent3" w:themeShade="BF"/>
          <w:sz w:val="22"/>
          <w:szCs w:val="22"/>
          <w:lang w:val="en-GB"/>
        </w:rPr>
        <w:t>This is a specific exception to Article 7(2)</w:t>
      </w:r>
      <w:r w:rsidR="00787F3D">
        <w:rPr>
          <w:rFonts w:ascii="Avenir Next" w:hAnsi="Avenir Next" w:cs="Arial"/>
          <w:color w:val="7B7B7B" w:themeColor="accent3" w:themeShade="BF"/>
          <w:sz w:val="22"/>
          <w:szCs w:val="22"/>
          <w:lang w:val="en-GB"/>
        </w:rPr>
        <w:t>(e)</w:t>
      </w:r>
      <w:r w:rsidR="00B36FB1">
        <w:rPr>
          <w:rFonts w:ascii="Avenir Next" w:hAnsi="Avenir Next" w:cs="Arial"/>
          <w:color w:val="7B7B7B" w:themeColor="accent3" w:themeShade="BF"/>
          <w:sz w:val="22"/>
          <w:szCs w:val="22"/>
          <w:lang w:val="en-GB"/>
        </w:rPr>
        <w:t xml:space="preserve"> EIR Recast applying the lex fori concursus to the effects of insolvency proceedings on </w:t>
      </w:r>
      <w:r w:rsidR="000D537B">
        <w:rPr>
          <w:rFonts w:ascii="Avenir Next" w:hAnsi="Avenir Next" w:cs="Arial"/>
          <w:color w:val="7B7B7B" w:themeColor="accent3" w:themeShade="BF"/>
          <w:sz w:val="22"/>
          <w:szCs w:val="22"/>
          <w:lang w:val="en-GB"/>
        </w:rPr>
        <w:t xml:space="preserve">current </w:t>
      </w:r>
      <w:r w:rsidR="00B36FB1">
        <w:rPr>
          <w:rFonts w:ascii="Avenir Next" w:hAnsi="Avenir Next" w:cs="Arial"/>
          <w:color w:val="7B7B7B" w:themeColor="accent3" w:themeShade="BF"/>
          <w:sz w:val="22"/>
          <w:szCs w:val="22"/>
          <w:lang w:val="en-GB"/>
        </w:rPr>
        <w:t>contracts</w:t>
      </w:r>
      <w:r w:rsidR="00480410">
        <w:rPr>
          <w:rFonts w:ascii="Avenir Next" w:hAnsi="Avenir Next" w:cs="Arial"/>
          <w:color w:val="7B7B7B" w:themeColor="accent3" w:themeShade="BF"/>
          <w:sz w:val="22"/>
          <w:szCs w:val="22"/>
          <w:lang w:val="en-GB"/>
        </w:rPr>
        <w:t xml:space="preserve">. </w:t>
      </w:r>
      <w:r w:rsidR="00A52005">
        <w:rPr>
          <w:rFonts w:ascii="Avenir Next" w:hAnsi="Avenir Next" w:cs="Arial"/>
          <w:color w:val="7B7B7B" w:themeColor="accent3" w:themeShade="BF"/>
          <w:sz w:val="22"/>
          <w:szCs w:val="22"/>
          <w:lang w:val="en-GB"/>
        </w:rPr>
        <w:t xml:space="preserve">Of course, this principle is in line with the protection of employment and employees. </w:t>
      </w:r>
      <w:r w:rsidR="00FC5F0B">
        <w:rPr>
          <w:rFonts w:ascii="Avenir Next" w:hAnsi="Avenir Next" w:cs="Arial"/>
          <w:color w:val="7B7B7B" w:themeColor="accent3" w:themeShade="BF"/>
          <w:sz w:val="22"/>
          <w:szCs w:val="22"/>
          <w:lang w:val="en-GB"/>
        </w:rPr>
        <w:t>Thus, w</w:t>
      </w:r>
      <w:r w:rsidR="00A52005">
        <w:rPr>
          <w:rFonts w:ascii="Avenir Next" w:hAnsi="Avenir Next" w:cs="Arial"/>
          <w:color w:val="7B7B7B" w:themeColor="accent3" w:themeShade="BF"/>
          <w:sz w:val="22"/>
          <w:szCs w:val="22"/>
          <w:lang w:val="en-GB"/>
        </w:rPr>
        <w:t xml:space="preserve">hether a contract of employment is going to be terminated or continued is a matter for the </w:t>
      </w:r>
      <w:r w:rsidR="00A52005" w:rsidRPr="005A1C32">
        <w:rPr>
          <w:rFonts w:ascii="Avenir Next" w:hAnsi="Avenir Next" w:cs="Arial"/>
          <w:i/>
          <w:iCs/>
          <w:color w:val="7B7B7B" w:themeColor="accent3" w:themeShade="BF"/>
          <w:sz w:val="22"/>
          <w:szCs w:val="22"/>
          <w:lang w:val="en-GB"/>
        </w:rPr>
        <w:t>lex contractus</w:t>
      </w:r>
      <w:r w:rsidR="00A52005">
        <w:rPr>
          <w:rFonts w:ascii="Avenir Next" w:hAnsi="Avenir Next" w:cs="Arial"/>
          <w:color w:val="7B7B7B" w:themeColor="accent3" w:themeShade="BF"/>
          <w:sz w:val="22"/>
          <w:szCs w:val="22"/>
          <w:lang w:val="en-GB"/>
        </w:rPr>
        <w:t xml:space="preserve"> </w:t>
      </w:r>
      <w:r w:rsidR="00FC5F0B">
        <w:rPr>
          <w:rFonts w:ascii="Avenir Next" w:hAnsi="Avenir Next" w:cs="Arial"/>
          <w:color w:val="7B7B7B" w:themeColor="accent3" w:themeShade="BF"/>
          <w:sz w:val="22"/>
          <w:szCs w:val="22"/>
          <w:lang w:val="en-GB"/>
        </w:rPr>
        <w:t xml:space="preserve">under the conflict of law rules </w:t>
      </w:r>
      <w:r w:rsidR="00A52005">
        <w:rPr>
          <w:rFonts w:ascii="Avenir Next" w:hAnsi="Avenir Next" w:cs="Arial"/>
          <w:color w:val="7B7B7B" w:themeColor="accent3" w:themeShade="BF"/>
          <w:sz w:val="22"/>
          <w:szCs w:val="22"/>
          <w:lang w:val="en-GB"/>
        </w:rPr>
        <w:t>to establis</w:t>
      </w:r>
      <w:r w:rsidR="009E29E2">
        <w:rPr>
          <w:rFonts w:ascii="Avenir Next" w:hAnsi="Avenir Next" w:cs="Arial"/>
          <w:color w:val="7B7B7B" w:themeColor="accent3" w:themeShade="BF"/>
          <w:sz w:val="22"/>
          <w:szCs w:val="22"/>
          <w:lang w:val="en-GB"/>
        </w:rPr>
        <w:t>h</w:t>
      </w:r>
      <w:r w:rsidR="00E928E0">
        <w:rPr>
          <w:rFonts w:ascii="Avenir Next" w:hAnsi="Avenir Next" w:cs="Arial"/>
          <w:color w:val="7B7B7B" w:themeColor="accent3" w:themeShade="BF"/>
          <w:sz w:val="22"/>
          <w:szCs w:val="22"/>
          <w:lang w:val="en-GB"/>
        </w:rPr>
        <w:t xml:space="preserve"> (para. 125, Virg</w:t>
      </w:r>
      <w:r w:rsidR="00E928E0">
        <w:rPr>
          <w:rFonts w:ascii="Calibri" w:hAnsi="Calibri" w:cs="Calibri"/>
          <w:color w:val="7B7B7B" w:themeColor="accent3" w:themeShade="BF"/>
          <w:sz w:val="22"/>
          <w:szCs w:val="22"/>
          <w:lang w:val="en-GB"/>
        </w:rPr>
        <w:t>ó</w:t>
      </w:r>
      <w:r w:rsidR="00E928E0">
        <w:rPr>
          <w:rFonts w:ascii="Avenir Next" w:hAnsi="Avenir Next" w:cs="Arial"/>
          <w:color w:val="7B7B7B" w:themeColor="accent3" w:themeShade="BF"/>
          <w:sz w:val="22"/>
          <w:szCs w:val="22"/>
          <w:lang w:val="en-GB"/>
        </w:rPr>
        <w:t>s-Schmit Report)</w:t>
      </w:r>
      <w:r w:rsidR="004826DE">
        <w:rPr>
          <w:rFonts w:ascii="Avenir Next" w:hAnsi="Avenir Next" w:cs="Arial"/>
          <w:color w:val="7B7B7B" w:themeColor="accent3" w:themeShade="BF"/>
          <w:sz w:val="22"/>
          <w:szCs w:val="22"/>
          <w:lang w:val="en-GB"/>
        </w:rPr>
        <w:t>.</w:t>
      </w:r>
    </w:p>
    <w:p w14:paraId="699F5311" w14:textId="77777777" w:rsidR="00FC5F0B" w:rsidRDefault="00FC5F0B" w:rsidP="002A37BB">
      <w:pPr>
        <w:jc w:val="both"/>
        <w:rPr>
          <w:rFonts w:ascii="Avenir Next" w:hAnsi="Avenir Next" w:cs="Arial"/>
          <w:color w:val="7B7B7B" w:themeColor="accent3" w:themeShade="BF"/>
          <w:sz w:val="22"/>
          <w:szCs w:val="22"/>
          <w:lang w:val="en-GB"/>
        </w:rPr>
      </w:pPr>
    </w:p>
    <w:p w14:paraId="37088305" w14:textId="03DA8542" w:rsidR="00FC5F0B" w:rsidRDefault="00FC5F0B" w:rsidP="002A37B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lastRenderedPageBreak/>
        <w:t>Issues, therefore, may exist in trying to apply Article 13 EIR Recast. The fact that the Regulation does not provide with a definition of employment contracts hampers a harmonized application of the Regulation</w:t>
      </w:r>
      <w:r w:rsidR="004276AA">
        <w:rPr>
          <w:rFonts w:ascii="Avenir Next" w:hAnsi="Avenir Next" w:cs="Arial"/>
          <w:color w:val="7B7B7B" w:themeColor="accent3" w:themeShade="BF"/>
          <w:sz w:val="22"/>
          <w:szCs w:val="22"/>
          <w:lang w:val="en-GB"/>
        </w:rPr>
        <w:t xml:space="preserve"> in this context</w:t>
      </w:r>
      <w:r w:rsidR="00D4535B">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In fact, </w:t>
      </w:r>
      <w:r w:rsidR="00BF0788" w:rsidRPr="00BF0788">
        <w:rPr>
          <w:rFonts w:ascii="Avenir Next" w:hAnsi="Avenir Next" w:cs="Arial"/>
          <w:color w:val="7B7B7B" w:themeColor="accent3" w:themeShade="BF"/>
          <w:sz w:val="22"/>
          <w:szCs w:val="22"/>
          <w:lang w:val="en-GB"/>
        </w:rPr>
        <w:t>such a</w:t>
      </w:r>
      <w:r w:rsidR="00D02901">
        <w:rPr>
          <w:rFonts w:ascii="Avenir Next" w:hAnsi="Avenir Next" w:cs="Arial"/>
          <w:color w:val="7B7B7B" w:themeColor="accent3" w:themeShade="BF"/>
          <w:sz w:val="22"/>
          <w:szCs w:val="22"/>
          <w:lang w:val="en-GB"/>
        </w:rPr>
        <w:t xml:space="preserve"> problem </w:t>
      </w:r>
      <w:r w:rsidR="00BF0788" w:rsidRPr="00BF0788">
        <w:rPr>
          <w:rFonts w:ascii="Avenir Next" w:hAnsi="Avenir Next" w:cs="Arial"/>
          <w:color w:val="7B7B7B" w:themeColor="accent3" w:themeShade="BF"/>
          <w:sz w:val="22"/>
          <w:szCs w:val="22"/>
          <w:lang w:val="en-GB"/>
        </w:rPr>
        <w:t xml:space="preserve">could be </w:t>
      </w:r>
      <w:r w:rsidR="00D02901">
        <w:rPr>
          <w:rFonts w:ascii="Avenir Next" w:hAnsi="Avenir Next" w:cs="Arial"/>
          <w:color w:val="7B7B7B" w:themeColor="accent3" w:themeShade="BF"/>
          <w:sz w:val="22"/>
          <w:szCs w:val="22"/>
          <w:lang w:val="en-GB"/>
        </w:rPr>
        <w:t>solved</w:t>
      </w:r>
      <w:r w:rsidR="00BF0788" w:rsidRPr="00BF0788">
        <w:rPr>
          <w:rFonts w:ascii="Avenir Next" w:hAnsi="Avenir Next" w:cs="Arial"/>
          <w:color w:val="7B7B7B" w:themeColor="accent3" w:themeShade="BF"/>
          <w:sz w:val="22"/>
          <w:szCs w:val="22"/>
          <w:lang w:val="en-GB"/>
        </w:rPr>
        <w:t xml:space="preserve"> either by </w:t>
      </w:r>
      <w:r w:rsidR="00D02901">
        <w:rPr>
          <w:rFonts w:ascii="Avenir Next" w:hAnsi="Avenir Next" w:cs="Arial"/>
          <w:color w:val="7B7B7B" w:themeColor="accent3" w:themeShade="BF"/>
          <w:sz w:val="22"/>
          <w:szCs w:val="22"/>
          <w:lang w:val="en-GB"/>
        </w:rPr>
        <w:t>referring</w:t>
      </w:r>
      <w:r w:rsidR="00BF0788" w:rsidRPr="00BF0788">
        <w:rPr>
          <w:rFonts w:ascii="Avenir Next" w:hAnsi="Avenir Next" w:cs="Arial"/>
          <w:color w:val="7B7B7B" w:themeColor="accent3" w:themeShade="BF"/>
          <w:sz w:val="22"/>
          <w:szCs w:val="22"/>
          <w:lang w:val="en-GB"/>
        </w:rPr>
        <w:t xml:space="preserve"> to the national legal systems of the EU Member States or by providing a definition embedded in the tex</w:t>
      </w:r>
      <w:r w:rsidR="00BF0788">
        <w:rPr>
          <w:rFonts w:ascii="Avenir Next" w:hAnsi="Avenir Next" w:cs="Arial"/>
          <w:color w:val="7B7B7B" w:themeColor="accent3" w:themeShade="BF"/>
          <w:sz w:val="22"/>
          <w:szCs w:val="22"/>
          <w:lang w:val="en-GB"/>
        </w:rPr>
        <w:t>t</w:t>
      </w:r>
      <w:r>
        <w:rPr>
          <w:rFonts w:ascii="Avenir Next" w:hAnsi="Avenir Next" w:cs="Arial"/>
          <w:color w:val="7B7B7B" w:themeColor="accent3" w:themeShade="BF"/>
          <w:sz w:val="22"/>
          <w:szCs w:val="22"/>
          <w:lang w:val="en-GB"/>
        </w:rPr>
        <w:t xml:space="preserve">. </w:t>
      </w:r>
      <w:r w:rsidR="00A47E33">
        <w:rPr>
          <w:rFonts w:ascii="Avenir Next" w:hAnsi="Avenir Next" w:cs="Arial"/>
          <w:color w:val="7B7B7B" w:themeColor="accent3" w:themeShade="BF"/>
          <w:sz w:val="22"/>
          <w:szCs w:val="22"/>
          <w:lang w:val="en-GB"/>
        </w:rPr>
        <w:t xml:space="preserve">Undoubtedly, a </w:t>
      </w:r>
      <w:r w:rsidR="00A47E33" w:rsidRPr="00A47E33">
        <w:rPr>
          <w:rFonts w:ascii="Avenir Next" w:hAnsi="Avenir Next" w:cs="Arial"/>
          <w:color w:val="7B7B7B" w:themeColor="accent3" w:themeShade="BF"/>
          <w:sz w:val="22"/>
          <w:szCs w:val="22"/>
          <w:lang w:val="en-GB"/>
        </w:rPr>
        <w:t xml:space="preserve">self-contained </w:t>
      </w:r>
      <w:r w:rsidR="00A47E33">
        <w:rPr>
          <w:rFonts w:ascii="Avenir Next" w:hAnsi="Avenir Next" w:cs="Arial"/>
          <w:color w:val="7B7B7B" w:themeColor="accent3" w:themeShade="BF"/>
          <w:sz w:val="22"/>
          <w:szCs w:val="22"/>
        </w:rPr>
        <w:t xml:space="preserve">definition would respond to the needs of predictability and legal certainty. </w:t>
      </w:r>
      <w:r w:rsidR="00AB231A">
        <w:rPr>
          <w:rFonts w:ascii="Avenir Next" w:hAnsi="Avenir Next" w:cs="Arial"/>
          <w:color w:val="7B7B7B" w:themeColor="accent3" w:themeShade="BF"/>
          <w:sz w:val="22"/>
          <w:szCs w:val="22"/>
        </w:rPr>
        <w:t xml:space="preserve">The CJEU has already pronounced itself on the primary elements of an employment situation in case 66/85, </w:t>
      </w:r>
      <w:r w:rsidR="00AB231A" w:rsidRPr="004276AA">
        <w:rPr>
          <w:rFonts w:ascii="Avenir Next" w:hAnsi="Avenir Next" w:cs="Arial"/>
          <w:i/>
          <w:iCs/>
          <w:color w:val="7B7B7B" w:themeColor="accent3" w:themeShade="BF"/>
          <w:sz w:val="22"/>
          <w:szCs w:val="22"/>
        </w:rPr>
        <w:t>Lawrie-Blum v. Land Baden-Württemberg</w:t>
      </w:r>
      <w:r w:rsidR="00AB231A">
        <w:rPr>
          <w:rFonts w:ascii="Avenir Next" w:hAnsi="Avenir Next" w:cs="Arial"/>
          <w:color w:val="7B7B7B" w:themeColor="accent3" w:themeShade="BF"/>
          <w:sz w:val="22"/>
          <w:szCs w:val="22"/>
        </w:rPr>
        <w:t xml:space="preserve"> </w:t>
      </w:r>
      <w:r w:rsidR="00D02901">
        <w:rPr>
          <w:rFonts w:ascii="Avenir Next" w:hAnsi="Avenir Next" w:cs="Arial"/>
          <w:color w:val="7B7B7B" w:themeColor="accent3" w:themeShade="BF"/>
          <w:sz w:val="22"/>
          <w:szCs w:val="22"/>
        </w:rPr>
        <w:t>(</w:t>
      </w:r>
      <w:r w:rsidR="00AB231A">
        <w:rPr>
          <w:rFonts w:ascii="Avenir Next" w:hAnsi="Avenir Next" w:cs="Arial"/>
          <w:color w:val="7B7B7B" w:themeColor="accent3" w:themeShade="BF"/>
          <w:sz w:val="22"/>
          <w:szCs w:val="22"/>
        </w:rPr>
        <w:t>ECLI:EU:C:1986:284 (July 3, 1986)</w:t>
      </w:r>
      <w:r w:rsidR="002B7256">
        <w:rPr>
          <w:rFonts w:ascii="Avenir Next" w:hAnsi="Avenir Next" w:cs="Arial"/>
          <w:color w:val="7B7B7B" w:themeColor="accent3" w:themeShade="BF"/>
          <w:sz w:val="22"/>
          <w:szCs w:val="22"/>
        </w:rPr>
        <w:t xml:space="preserve"> (para. 17)</w:t>
      </w:r>
      <w:r w:rsidR="00D02901">
        <w:rPr>
          <w:rFonts w:ascii="Avenir Next" w:hAnsi="Avenir Next" w:cs="Arial"/>
          <w:color w:val="7B7B7B" w:themeColor="accent3" w:themeShade="BF"/>
          <w:sz w:val="22"/>
          <w:szCs w:val="22"/>
        </w:rPr>
        <w:t>)</w:t>
      </w:r>
      <w:r w:rsidR="002B7256">
        <w:rPr>
          <w:rFonts w:ascii="Avenir Next" w:hAnsi="Avenir Next" w:cs="Arial"/>
          <w:color w:val="7B7B7B" w:themeColor="accent3" w:themeShade="BF"/>
          <w:sz w:val="22"/>
          <w:szCs w:val="22"/>
        </w:rPr>
        <w:t>.</w:t>
      </w:r>
    </w:p>
    <w:p w14:paraId="42E3F21F" w14:textId="77777777" w:rsidR="0079541E" w:rsidRDefault="0079541E" w:rsidP="002A37BB">
      <w:pPr>
        <w:jc w:val="both"/>
        <w:rPr>
          <w:rFonts w:ascii="Avenir Next" w:hAnsi="Avenir Next" w:cs="Arial"/>
          <w:color w:val="7B7B7B" w:themeColor="accent3" w:themeShade="BF"/>
          <w:sz w:val="22"/>
          <w:szCs w:val="22"/>
        </w:rPr>
      </w:pPr>
    </w:p>
    <w:p w14:paraId="63DAD3C8" w14:textId="3072A16C" w:rsidR="0079541E" w:rsidRPr="00D37914" w:rsidRDefault="0079541E" w:rsidP="002A37B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Another shortcoming is linked to the requisite pertaining to separate legal personalities in the light of the coordination in the insolvency proceedings of members of a group of companies. </w:t>
      </w:r>
      <w:r w:rsidR="00B85F64">
        <w:rPr>
          <w:rFonts w:ascii="Avenir Next" w:hAnsi="Avenir Next" w:cs="Arial"/>
          <w:color w:val="7B7B7B" w:themeColor="accent3" w:themeShade="BF"/>
          <w:sz w:val="22"/>
          <w:szCs w:val="22"/>
        </w:rPr>
        <w:t xml:space="preserve">As also identified </w:t>
      </w:r>
      <w:r w:rsidR="00A979B6">
        <w:rPr>
          <w:rFonts w:ascii="Avenir Next" w:hAnsi="Avenir Next" w:cs="Arial"/>
          <w:color w:val="7B7B7B" w:themeColor="accent3" w:themeShade="BF"/>
          <w:sz w:val="22"/>
          <w:szCs w:val="22"/>
        </w:rPr>
        <w:t>in</w:t>
      </w:r>
      <w:r w:rsidR="00B85F64">
        <w:rPr>
          <w:rFonts w:ascii="Avenir Next" w:hAnsi="Avenir Next" w:cs="Arial"/>
          <w:color w:val="7B7B7B" w:themeColor="accent3" w:themeShade="BF"/>
          <w:sz w:val="22"/>
          <w:szCs w:val="22"/>
        </w:rPr>
        <w:t xml:space="preserve"> Recital 54, this coordination should aim at effective results and </w:t>
      </w:r>
      <w:r w:rsidR="00B57DDF">
        <w:rPr>
          <w:rFonts w:ascii="Avenir Next" w:hAnsi="Avenir Next" w:cs="Arial"/>
          <w:color w:val="7B7B7B" w:themeColor="accent3" w:themeShade="BF"/>
          <w:sz w:val="22"/>
          <w:szCs w:val="22"/>
        </w:rPr>
        <w:t xml:space="preserve">at </w:t>
      </w:r>
      <w:r w:rsidR="00B85F64">
        <w:rPr>
          <w:rFonts w:ascii="Avenir Next" w:hAnsi="Avenir Next" w:cs="Arial"/>
          <w:color w:val="7B7B7B" w:themeColor="accent3" w:themeShade="BF"/>
          <w:sz w:val="22"/>
          <w:szCs w:val="22"/>
        </w:rPr>
        <w:t>the respect of every member’s legal personalit</w:t>
      </w:r>
      <w:r w:rsidR="00275231">
        <w:rPr>
          <w:rFonts w:ascii="Avenir Next" w:hAnsi="Avenir Next" w:cs="Arial"/>
          <w:color w:val="7B7B7B" w:themeColor="accent3" w:themeShade="BF"/>
          <w:sz w:val="22"/>
          <w:szCs w:val="22"/>
        </w:rPr>
        <w:t>y</w:t>
      </w:r>
      <w:r w:rsidR="00B85F64">
        <w:rPr>
          <w:rFonts w:ascii="Avenir Next" w:hAnsi="Avenir Next" w:cs="Arial"/>
          <w:color w:val="7B7B7B" w:themeColor="accent3" w:themeShade="BF"/>
          <w:sz w:val="22"/>
          <w:szCs w:val="22"/>
        </w:rPr>
        <w:t>.</w:t>
      </w:r>
      <w:r w:rsidR="00002054">
        <w:rPr>
          <w:rFonts w:ascii="Avenir Next" w:hAnsi="Avenir Next" w:cs="Arial"/>
          <w:color w:val="7B7B7B" w:themeColor="accent3" w:themeShade="BF"/>
          <w:sz w:val="22"/>
          <w:szCs w:val="22"/>
        </w:rPr>
        <w:t xml:space="preserve"> A</w:t>
      </w:r>
      <w:r w:rsidR="00E34851">
        <w:rPr>
          <w:rFonts w:ascii="Avenir Next" w:hAnsi="Avenir Next" w:cs="Arial"/>
          <w:color w:val="7B7B7B" w:themeColor="accent3" w:themeShade="BF"/>
          <w:sz w:val="22"/>
          <w:szCs w:val="22"/>
        </w:rPr>
        <w:t xml:space="preserve">dvocating for the respect of separate legal personalities </w:t>
      </w:r>
      <w:r w:rsidR="00B57DDF">
        <w:rPr>
          <w:rFonts w:ascii="Avenir Next" w:hAnsi="Avenir Next" w:cs="Arial"/>
          <w:color w:val="7B7B7B" w:themeColor="accent3" w:themeShade="BF"/>
          <w:sz w:val="22"/>
          <w:szCs w:val="22"/>
        </w:rPr>
        <w:t>entails</w:t>
      </w:r>
      <w:r w:rsidR="00E34851">
        <w:rPr>
          <w:rFonts w:ascii="Avenir Next" w:hAnsi="Avenir Next" w:cs="Arial"/>
          <w:color w:val="7B7B7B" w:themeColor="accent3" w:themeShade="BF"/>
          <w:sz w:val="22"/>
          <w:szCs w:val="22"/>
        </w:rPr>
        <w:t xml:space="preserve"> several implications as to the efficiency </w:t>
      </w:r>
      <w:r w:rsidR="00AB6CBE">
        <w:rPr>
          <w:rFonts w:ascii="Avenir Next" w:hAnsi="Avenir Next" w:cs="Arial"/>
          <w:color w:val="7B7B7B" w:themeColor="accent3" w:themeShade="BF"/>
          <w:sz w:val="22"/>
          <w:szCs w:val="22"/>
        </w:rPr>
        <w:t xml:space="preserve">and practicality </w:t>
      </w:r>
      <w:r w:rsidR="00E34851">
        <w:rPr>
          <w:rFonts w:ascii="Avenir Next" w:hAnsi="Avenir Next" w:cs="Arial"/>
          <w:color w:val="7B7B7B" w:themeColor="accent3" w:themeShade="BF"/>
          <w:sz w:val="22"/>
          <w:szCs w:val="22"/>
        </w:rPr>
        <w:t>of coordination proceedings in the context of enterprise grou</w:t>
      </w:r>
      <w:r w:rsidR="008E41DB">
        <w:rPr>
          <w:rFonts w:ascii="Avenir Next" w:hAnsi="Avenir Next" w:cs="Arial"/>
          <w:color w:val="7B7B7B" w:themeColor="accent3" w:themeShade="BF"/>
          <w:sz w:val="22"/>
          <w:szCs w:val="22"/>
        </w:rPr>
        <w:t xml:space="preserve">ps. </w:t>
      </w:r>
      <w:r w:rsidR="00AB6CBE">
        <w:rPr>
          <w:rFonts w:ascii="Avenir Next" w:hAnsi="Avenir Next" w:cs="Arial"/>
          <w:color w:val="7B7B7B" w:themeColor="accent3" w:themeShade="BF"/>
          <w:sz w:val="22"/>
          <w:szCs w:val="22"/>
        </w:rPr>
        <w:t>More specifically, group coordination proceedings under the EIR Recast are voluntary and result in non-binding recommendations on behalf of the group coordinator.</w:t>
      </w:r>
      <w:r w:rsidR="00275231">
        <w:rPr>
          <w:rFonts w:ascii="Avenir Next" w:hAnsi="Avenir Next" w:cs="Arial"/>
          <w:color w:val="7B7B7B" w:themeColor="accent3" w:themeShade="BF"/>
          <w:sz w:val="22"/>
          <w:szCs w:val="22"/>
        </w:rPr>
        <w:t xml:space="preserve"> </w:t>
      </w:r>
      <w:r w:rsidR="00BB4C81">
        <w:rPr>
          <w:rFonts w:ascii="Avenir Next" w:hAnsi="Avenir Next" w:cs="Arial"/>
          <w:color w:val="7B7B7B" w:themeColor="accent3" w:themeShade="BF"/>
          <w:sz w:val="22"/>
          <w:szCs w:val="22"/>
        </w:rPr>
        <w:t xml:space="preserve">At the same time, in accordance with the principle of legal separateness of members of </w:t>
      </w:r>
      <w:r w:rsidR="004276AA">
        <w:rPr>
          <w:rFonts w:ascii="Avenir Next" w:hAnsi="Avenir Next" w:cs="Arial"/>
          <w:color w:val="7B7B7B" w:themeColor="accent3" w:themeShade="BF"/>
          <w:sz w:val="22"/>
          <w:szCs w:val="22"/>
        </w:rPr>
        <w:t>a</w:t>
      </w:r>
      <w:r w:rsidR="00BB4C81">
        <w:rPr>
          <w:rFonts w:ascii="Avenir Next" w:hAnsi="Avenir Next" w:cs="Arial"/>
          <w:color w:val="7B7B7B" w:themeColor="accent3" w:themeShade="BF"/>
          <w:sz w:val="22"/>
          <w:szCs w:val="22"/>
        </w:rPr>
        <w:t xml:space="preserve"> group, the Regulation does not develop any kind of </w:t>
      </w:r>
      <w:r w:rsidR="004276AA">
        <w:rPr>
          <w:rFonts w:ascii="Avenir Next" w:hAnsi="Avenir Next" w:cs="Arial"/>
          <w:color w:val="7B7B7B" w:themeColor="accent3" w:themeShade="BF"/>
          <w:sz w:val="22"/>
          <w:szCs w:val="22"/>
        </w:rPr>
        <w:t>“</w:t>
      </w:r>
      <w:r w:rsidR="00BB4C81">
        <w:rPr>
          <w:rFonts w:ascii="Avenir Next" w:hAnsi="Avenir Next" w:cs="Arial"/>
          <w:color w:val="7B7B7B" w:themeColor="accent3" w:themeShade="BF"/>
          <w:sz w:val="22"/>
          <w:szCs w:val="22"/>
        </w:rPr>
        <w:t>enterprise center of main interests</w:t>
      </w:r>
      <w:r w:rsidR="004276AA">
        <w:rPr>
          <w:rFonts w:ascii="Avenir Next" w:hAnsi="Avenir Next" w:cs="Arial"/>
          <w:color w:val="7B7B7B" w:themeColor="accent3" w:themeShade="BF"/>
          <w:sz w:val="22"/>
          <w:szCs w:val="22"/>
        </w:rPr>
        <w:t>”</w:t>
      </w:r>
      <w:r w:rsidR="00BB4C81">
        <w:rPr>
          <w:rFonts w:ascii="Avenir Next" w:hAnsi="Avenir Next" w:cs="Arial"/>
          <w:color w:val="7B7B7B" w:themeColor="accent3" w:themeShade="BF"/>
          <w:sz w:val="22"/>
          <w:szCs w:val="22"/>
        </w:rPr>
        <w:t xml:space="preserve"> that would facilitate coordination proceedings by determining</w:t>
      </w:r>
      <w:r w:rsidR="0050221E">
        <w:rPr>
          <w:rFonts w:ascii="Avenir Next" w:hAnsi="Avenir Next" w:cs="Arial"/>
          <w:color w:val="7B7B7B" w:themeColor="accent3" w:themeShade="BF"/>
          <w:sz w:val="22"/>
          <w:szCs w:val="22"/>
        </w:rPr>
        <w:t>,</w:t>
      </w:r>
      <w:r w:rsidR="00BB4C81">
        <w:rPr>
          <w:rFonts w:ascii="Avenir Next" w:hAnsi="Avenir Next" w:cs="Arial"/>
          <w:color w:val="7B7B7B" w:themeColor="accent3" w:themeShade="BF"/>
          <w:sz w:val="22"/>
          <w:szCs w:val="22"/>
        </w:rPr>
        <w:t xml:space="preserve"> for instance</w:t>
      </w:r>
      <w:r w:rsidR="0050221E">
        <w:rPr>
          <w:rFonts w:ascii="Avenir Next" w:hAnsi="Avenir Next" w:cs="Arial"/>
          <w:color w:val="7B7B7B" w:themeColor="accent3" w:themeShade="BF"/>
          <w:sz w:val="22"/>
          <w:szCs w:val="22"/>
        </w:rPr>
        <w:t>,</w:t>
      </w:r>
      <w:r w:rsidR="00BB4C81">
        <w:rPr>
          <w:rFonts w:ascii="Avenir Next" w:hAnsi="Avenir Next" w:cs="Arial"/>
          <w:color w:val="7B7B7B" w:themeColor="accent3" w:themeShade="BF"/>
          <w:sz w:val="22"/>
          <w:szCs w:val="22"/>
        </w:rPr>
        <w:t xml:space="preserve"> the competent court</w:t>
      </w:r>
      <w:r w:rsidR="00512551">
        <w:rPr>
          <w:rFonts w:ascii="Avenir Next" w:hAnsi="Avenir Next" w:cs="Arial"/>
          <w:color w:val="7B7B7B" w:themeColor="accent3" w:themeShade="BF"/>
          <w:sz w:val="22"/>
          <w:szCs w:val="22"/>
        </w:rPr>
        <w:t xml:space="preserve">. </w:t>
      </w:r>
      <w:r w:rsidR="004276AA">
        <w:rPr>
          <w:rFonts w:ascii="Avenir Next" w:hAnsi="Avenir Next" w:cs="Arial"/>
          <w:color w:val="7B7B7B" w:themeColor="accent3" w:themeShade="BF"/>
          <w:sz w:val="22"/>
          <w:szCs w:val="22"/>
        </w:rPr>
        <w:t>Moreover</w:t>
      </w:r>
      <w:r w:rsidR="000D088B">
        <w:rPr>
          <w:rFonts w:ascii="Avenir Next" w:hAnsi="Avenir Next" w:cs="Arial"/>
          <w:color w:val="7B7B7B" w:themeColor="accent3" w:themeShade="BF"/>
          <w:sz w:val="22"/>
          <w:szCs w:val="22"/>
        </w:rPr>
        <w:t>,</w:t>
      </w:r>
      <w:r w:rsidR="00257C57">
        <w:rPr>
          <w:rFonts w:ascii="Avenir Next" w:hAnsi="Avenir Next" w:cs="Arial"/>
          <w:color w:val="7B7B7B" w:themeColor="accent3" w:themeShade="BF"/>
          <w:sz w:val="22"/>
          <w:szCs w:val="22"/>
        </w:rPr>
        <w:t xml:space="preserve"> </w:t>
      </w:r>
      <w:r w:rsidR="000D088B">
        <w:rPr>
          <w:rFonts w:ascii="Avenir Next" w:hAnsi="Avenir Next" w:cs="Arial"/>
          <w:color w:val="7B7B7B" w:themeColor="accent3" w:themeShade="BF"/>
          <w:sz w:val="22"/>
          <w:szCs w:val="22"/>
        </w:rPr>
        <w:t xml:space="preserve">another disadvantageous situation </w:t>
      </w:r>
      <w:r w:rsidR="004D6B18">
        <w:rPr>
          <w:rFonts w:ascii="Avenir Next" w:hAnsi="Avenir Next" w:cs="Arial"/>
          <w:color w:val="7B7B7B" w:themeColor="accent3" w:themeShade="BF"/>
          <w:sz w:val="22"/>
          <w:szCs w:val="22"/>
        </w:rPr>
        <w:t>is that</w:t>
      </w:r>
      <w:r w:rsidR="000D088B">
        <w:rPr>
          <w:rFonts w:ascii="Avenir Next" w:hAnsi="Avenir Next" w:cs="Arial"/>
          <w:color w:val="7B7B7B" w:themeColor="accent3" w:themeShade="BF"/>
          <w:sz w:val="22"/>
          <w:szCs w:val="22"/>
        </w:rPr>
        <w:t xml:space="preserve"> </w:t>
      </w:r>
      <w:r w:rsidR="004276AA">
        <w:rPr>
          <w:rFonts w:ascii="Avenir Next" w:hAnsi="Avenir Next" w:cs="Arial"/>
          <w:i/>
          <w:iCs/>
          <w:color w:val="7B7B7B" w:themeColor="accent3" w:themeShade="BF"/>
          <w:sz w:val="22"/>
          <w:szCs w:val="22"/>
        </w:rPr>
        <w:t>any</w:t>
      </w:r>
      <w:r w:rsidR="004276AA">
        <w:rPr>
          <w:rFonts w:ascii="Avenir Next" w:hAnsi="Avenir Next" w:cs="Arial"/>
          <w:color w:val="7B7B7B" w:themeColor="accent3" w:themeShade="BF"/>
          <w:sz w:val="22"/>
          <w:szCs w:val="22"/>
        </w:rPr>
        <w:t xml:space="preserve"> [emphasis added]</w:t>
      </w:r>
      <w:r w:rsidR="003A14DC">
        <w:rPr>
          <w:rFonts w:ascii="Avenir Next" w:hAnsi="Avenir Next" w:cs="Arial"/>
          <w:color w:val="7B7B7B" w:themeColor="accent3" w:themeShade="BF"/>
          <w:sz w:val="22"/>
          <w:szCs w:val="22"/>
        </w:rPr>
        <w:t xml:space="preserve"> </w:t>
      </w:r>
      <w:r w:rsidR="000D088B">
        <w:rPr>
          <w:rFonts w:ascii="Avenir Next" w:hAnsi="Avenir Next" w:cs="Arial"/>
          <w:color w:val="7B7B7B" w:themeColor="accent3" w:themeShade="BF"/>
          <w:sz w:val="22"/>
          <w:szCs w:val="22"/>
        </w:rPr>
        <w:t xml:space="preserve">insolvency practitioner has the right to object to the inclusion of </w:t>
      </w:r>
      <w:r w:rsidR="00935FAC">
        <w:rPr>
          <w:rFonts w:ascii="Avenir Next" w:hAnsi="Avenir Next" w:cs="Arial"/>
          <w:color w:val="7B7B7B" w:themeColor="accent3" w:themeShade="BF"/>
          <w:sz w:val="22"/>
          <w:szCs w:val="22"/>
        </w:rPr>
        <w:t>the</w:t>
      </w:r>
      <w:r w:rsidR="000D088B">
        <w:rPr>
          <w:rFonts w:ascii="Avenir Next" w:hAnsi="Avenir Next" w:cs="Arial"/>
          <w:color w:val="7B7B7B" w:themeColor="accent3" w:themeShade="BF"/>
          <w:sz w:val="22"/>
          <w:szCs w:val="22"/>
        </w:rPr>
        <w:t xml:space="preserve"> member</w:t>
      </w:r>
      <w:r w:rsidR="00935FAC">
        <w:rPr>
          <w:rFonts w:ascii="Avenir Next" w:hAnsi="Avenir Next" w:cs="Arial"/>
          <w:color w:val="7B7B7B" w:themeColor="accent3" w:themeShade="BF"/>
          <w:sz w:val="22"/>
          <w:szCs w:val="22"/>
        </w:rPr>
        <w:t>’</w:t>
      </w:r>
      <w:r w:rsidR="00C86EAB">
        <w:rPr>
          <w:rFonts w:ascii="Avenir Next" w:hAnsi="Avenir Next" w:cs="Arial"/>
          <w:color w:val="7B7B7B" w:themeColor="accent3" w:themeShade="BF"/>
          <w:sz w:val="22"/>
          <w:szCs w:val="22"/>
        </w:rPr>
        <w:t>s</w:t>
      </w:r>
      <w:r w:rsidR="00935FAC">
        <w:rPr>
          <w:rFonts w:ascii="Avenir Next" w:hAnsi="Avenir Next" w:cs="Arial"/>
          <w:color w:val="7B7B7B" w:themeColor="accent3" w:themeShade="BF"/>
          <w:sz w:val="22"/>
          <w:szCs w:val="22"/>
        </w:rPr>
        <w:t xml:space="preserve"> insolvency proceeding</w:t>
      </w:r>
      <w:r w:rsidR="005D5361">
        <w:rPr>
          <w:rFonts w:ascii="Avenir Next" w:hAnsi="Avenir Next" w:cs="Arial"/>
          <w:color w:val="7B7B7B" w:themeColor="accent3" w:themeShade="BF"/>
          <w:sz w:val="22"/>
          <w:szCs w:val="22"/>
        </w:rPr>
        <w:t xml:space="preserve"> </w:t>
      </w:r>
      <w:r w:rsidR="00935FAC">
        <w:rPr>
          <w:rFonts w:ascii="Avenir Next" w:hAnsi="Avenir Next" w:cs="Arial"/>
          <w:color w:val="7B7B7B" w:themeColor="accent3" w:themeShade="BF"/>
          <w:sz w:val="22"/>
          <w:szCs w:val="22"/>
        </w:rPr>
        <w:t>to which it has been appointed in group coordination proceedings, pursuant to Article 64(1) EIR Recast</w:t>
      </w:r>
      <w:r w:rsidR="0066091D">
        <w:rPr>
          <w:rFonts w:ascii="Avenir Next" w:hAnsi="Avenir Next" w:cs="Arial"/>
          <w:color w:val="7B7B7B" w:themeColor="accent3" w:themeShade="BF"/>
          <w:sz w:val="22"/>
          <w:szCs w:val="22"/>
        </w:rPr>
        <w:t xml:space="preserve"> </w:t>
      </w:r>
      <w:r w:rsidR="004E357B">
        <w:rPr>
          <w:rFonts w:ascii="Avenir Next" w:hAnsi="Avenir Next" w:cs="Arial"/>
          <w:color w:val="7B7B7B" w:themeColor="accent3" w:themeShade="BF"/>
          <w:sz w:val="22"/>
          <w:szCs w:val="22"/>
        </w:rPr>
        <w:t>(also considered an ‘opt-out’ model)</w:t>
      </w:r>
      <w:r w:rsidR="00935FAC">
        <w:rPr>
          <w:rFonts w:ascii="Avenir Next" w:hAnsi="Avenir Next" w:cs="Arial"/>
          <w:color w:val="7B7B7B" w:themeColor="accent3" w:themeShade="BF"/>
          <w:sz w:val="22"/>
          <w:szCs w:val="22"/>
        </w:rPr>
        <w:t xml:space="preserve">. </w:t>
      </w:r>
      <w:r w:rsidR="004E357B">
        <w:rPr>
          <w:rFonts w:ascii="Avenir Next" w:hAnsi="Avenir Next" w:cs="Arial"/>
          <w:color w:val="7B7B7B" w:themeColor="accent3" w:themeShade="BF"/>
          <w:sz w:val="22"/>
          <w:szCs w:val="22"/>
        </w:rPr>
        <w:t>Following such an objection, the group coordinat</w:t>
      </w:r>
      <w:r w:rsidR="008E1C11">
        <w:rPr>
          <w:rFonts w:ascii="Avenir Next" w:hAnsi="Avenir Next" w:cs="Arial"/>
          <w:color w:val="7B7B7B" w:themeColor="accent3" w:themeShade="BF"/>
          <w:sz w:val="22"/>
          <w:szCs w:val="22"/>
        </w:rPr>
        <w:t>or</w:t>
      </w:r>
      <w:r w:rsidR="004E357B">
        <w:rPr>
          <w:rFonts w:ascii="Avenir Next" w:hAnsi="Avenir Next" w:cs="Arial"/>
          <w:color w:val="7B7B7B" w:themeColor="accent3" w:themeShade="BF"/>
          <w:sz w:val="22"/>
          <w:szCs w:val="22"/>
        </w:rPr>
        <w:t xml:space="preserve"> cannot proceed with the inclusion </w:t>
      </w:r>
      <w:r w:rsidR="00C86EAB">
        <w:rPr>
          <w:rFonts w:ascii="Avenir Next" w:hAnsi="Avenir Next" w:cs="Arial"/>
          <w:color w:val="7B7B7B" w:themeColor="accent3" w:themeShade="BF"/>
          <w:sz w:val="22"/>
          <w:szCs w:val="22"/>
        </w:rPr>
        <w:t xml:space="preserve">of the member’s insolvency proceeding </w:t>
      </w:r>
      <w:r w:rsidR="004E357B">
        <w:rPr>
          <w:rFonts w:ascii="Avenir Next" w:hAnsi="Avenir Next" w:cs="Arial"/>
          <w:color w:val="7B7B7B" w:themeColor="accent3" w:themeShade="BF"/>
          <w:sz w:val="22"/>
          <w:szCs w:val="22"/>
        </w:rPr>
        <w:t>nor obje</w:t>
      </w:r>
      <w:r w:rsidR="00C60455">
        <w:rPr>
          <w:rFonts w:ascii="Avenir Next" w:hAnsi="Avenir Next" w:cs="Arial"/>
          <w:color w:val="7B7B7B" w:themeColor="accent3" w:themeShade="BF"/>
          <w:sz w:val="22"/>
          <w:szCs w:val="22"/>
        </w:rPr>
        <w:t>c</w:t>
      </w:r>
      <w:r w:rsidR="008364C5">
        <w:rPr>
          <w:rFonts w:ascii="Avenir Next" w:hAnsi="Avenir Next" w:cs="Arial"/>
          <w:color w:val="7B7B7B" w:themeColor="accent3" w:themeShade="BF"/>
          <w:sz w:val="22"/>
          <w:szCs w:val="22"/>
        </w:rPr>
        <w:t>t</w:t>
      </w:r>
      <w:r w:rsidR="00C608E4">
        <w:rPr>
          <w:rFonts w:ascii="Avenir Next" w:hAnsi="Avenir Next" w:cs="Arial"/>
          <w:color w:val="7B7B7B" w:themeColor="accent3" w:themeShade="BF"/>
          <w:sz w:val="22"/>
          <w:szCs w:val="22"/>
        </w:rPr>
        <w:t xml:space="preserve">. </w:t>
      </w:r>
      <w:r w:rsidR="00D37914">
        <w:rPr>
          <w:rFonts w:ascii="Avenir Next" w:hAnsi="Avenir Next" w:cs="Arial"/>
          <w:color w:val="7B7B7B" w:themeColor="accent3" w:themeShade="BF"/>
          <w:sz w:val="22"/>
          <w:szCs w:val="22"/>
        </w:rPr>
        <w:t xml:space="preserve">Of course, </w:t>
      </w:r>
      <w:r w:rsidR="005F1A9B">
        <w:rPr>
          <w:rFonts w:ascii="Avenir Next" w:hAnsi="Avenir Next" w:cs="Arial"/>
          <w:color w:val="7B7B7B" w:themeColor="accent3" w:themeShade="BF"/>
          <w:sz w:val="22"/>
          <w:szCs w:val="22"/>
        </w:rPr>
        <w:t xml:space="preserve">the objector or any insolvency practitioner appointed to </w:t>
      </w:r>
      <w:r w:rsidR="00C1163F">
        <w:rPr>
          <w:rFonts w:ascii="Avenir Next" w:hAnsi="Avenir Next" w:cs="Arial"/>
          <w:color w:val="7B7B7B" w:themeColor="accent3" w:themeShade="BF"/>
          <w:sz w:val="22"/>
          <w:szCs w:val="22"/>
        </w:rPr>
        <w:t>a</w:t>
      </w:r>
      <w:r w:rsidR="005F1A9B">
        <w:rPr>
          <w:rFonts w:ascii="Avenir Next" w:hAnsi="Avenir Next" w:cs="Arial"/>
          <w:color w:val="7B7B7B" w:themeColor="accent3" w:themeShade="BF"/>
          <w:sz w:val="22"/>
          <w:szCs w:val="22"/>
        </w:rPr>
        <w:t xml:space="preserve"> newly commenced proceeding against a new member of the group </w:t>
      </w:r>
      <w:r w:rsidR="00E708F2">
        <w:rPr>
          <w:rFonts w:ascii="Avenir Next" w:hAnsi="Avenir Next" w:cs="Arial"/>
          <w:color w:val="7B7B7B" w:themeColor="accent3" w:themeShade="BF"/>
          <w:sz w:val="22"/>
          <w:szCs w:val="22"/>
        </w:rPr>
        <w:t>are</w:t>
      </w:r>
      <w:r w:rsidR="005F1A9B">
        <w:rPr>
          <w:rFonts w:ascii="Avenir Next" w:hAnsi="Avenir Next" w:cs="Arial"/>
          <w:color w:val="7B7B7B" w:themeColor="accent3" w:themeShade="BF"/>
          <w:sz w:val="22"/>
          <w:szCs w:val="22"/>
        </w:rPr>
        <w:t xml:space="preserve"> given the opportunity to take part in group proceedings. This is possible after an assessment by the group coordinator following consultations with insolvency practitioners of </w:t>
      </w:r>
      <w:r w:rsidR="00B400EF">
        <w:rPr>
          <w:rFonts w:ascii="Avenir Next" w:hAnsi="Avenir Next" w:cs="Arial"/>
          <w:color w:val="7B7B7B" w:themeColor="accent3" w:themeShade="BF"/>
          <w:sz w:val="22"/>
          <w:szCs w:val="22"/>
        </w:rPr>
        <w:t xml:space="preserve">the </w:t>
      </w:r>
      <w:r w:rsidR="005F1A9B">
        <w:rPr>
          <w:rFonts w:ascii="Avenir Next" w:hAnsi="Avenir Next" w:cs="Arial"/>
          <w:color w:val="7B7B7B" w:themeColor="accent3" w:themeShade="BF"/>
          <w:sz w:val="22"/>
          <w:szCs w:val="22"/>
        </w:rPr>
        <w:t>other members of the group. Throughout the process specific conditions are taken into account (</w:t>
      </w:r>
      <w:r w:rsidR="00E3324C">
        <w:rPr>
          <w:rFonts w:ascii="Avenir Next" w:hAnsi="Avenir Next" w:cs="Arial"/>
          <w:color w:val="7B7B7B" w:themeColor="accent3" w:themeShade="BF"/>
          <w:sz w:val="22"/>
          <w:szCs w:val="22"/>
        </w:rPr>
        <w:t xml:space="preserve">see </w:t>
      </w:r>
      <w:r w:rsidR="005F1A9B">
        <w:rPr>
          <w:rFonts w:ascii="Avenir Next" w:hAnsi="Avenir Next" w:cs="Arial"/>
          <w:color w:val="7B7B7B" w:themeColor="accent3" w:themeShade="BF"/>
          <w:sz w:val="22"/>
          <w:szCs w:val="22"/>
        </w:rPr>
        <w:t>Article 69(2) EIR Recast</w:t>
      </w:r>
      <w:r w:rsidR="00A921F0">
        <w:rPr>
          <w:rFonts w:ascii="Avenir Next" w:hAnsi="Avenir Next" w:cs="Arial"/>
          <w:color w:val="7B7B7B" w:themeColor="accent3" w:themeShade="BF"/>
          <w:sz w:val="22"/>
          <w:szCs w:val="22"/>
        </w:rPr>
        <w:t>).</w:t>
      </w:r>
    </w:p>
    <w:p w14:paraId="763D8743" w14:textId="77777777" w:rsidR="00BF4753" w:rsidRDefault="00BF4753" w:rsidP="002A37BB">
      <w:pPr>
        <w:jc w:val="both"/>
        <w:rPr>
          <w:rFonts w:ascii="Avenir Next" w:hAnsi="Avenir Next" w:cs="Arial"/>
          <w:color w:val="7B7B7B" w:themeColor="accent3" w:themeShade="BF"/>
          <w:sz w:val="22"/>
          <w:szCs w:val="22"/>
        </w:rPr>
      </w:pPr>
    </w:p>
    <w:p w14:paraId="564771A9" w14:textId="4E8EEBEA" w:rsidR="00BF4753" w:rsidRDefault="00BF4753" w:rsidP="002A37B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w:t>
      </w:r>
      <w:r w:rsidR="00381809">
        <w:rPr>
          <w:rFonts w:ascii="Avenir Next" w:hAnsi="Avenir Next" w:cs="Arial"/>
          <w:color w:val="7B7B7B" w:themeColor="accent3" w:themeShade="BF"/>
          <w:sz w:val="22"/>
          <w:szCs w:val="22"/>
        </w:rPr>
        <w:t>e</w:t>
      </w:r>
      <w:r>
        <w:rPr>
          <w:rFonts w:ascii="Avenir Next" w:hAnsi="Avenir Next" w:cs="Arial"/>
          <w:color w:val="7B7B7B" w:themeColor="accent3" w:themeShade="BF"/>
          <w:sz w:val="22"/>
          <w:szCs w:val="22"/>
        </w:rPr>
        <w:t xml:space="preserve"> </w:t>
      </w:r>
      <w:r w:rsidR="001E695D">
        <w:rPr>
          <w:rFonts w:ascii="Avenir Next" w:hAnsi="Avenir Next" w:cs="Arial"/>
          <w:color w:val="7B7B7B" w:themeColor="accent3" w:themeShade="BF"/>
          <w:sz w:val="22"/>
          <w:szCs w:val="22"/>
        </w:rPr>
        <w:t>intricate consequences</w:t>
      </w:r>
      <w:r w:rsidR="00381809">
        <w:rPr>
          <w:rFonts w:ascii="Avenir Next" w:hAnsi="Avenir Next" w:cs="Arial"/>
          <w:color w:val="7B7B7B" w:themeColor="accent3" w:themeShade="BF"/>
          <w:sz w:val="22"/>
          <w:szCs w:val="22"/>
        </w:rPr>
        <w:t xml:space="preserve"> of this </w:t>
      </w:r>
      <w:r>
        <w:rPr>
          <w:rFonts w:ascii="Avenir Next" w:hAnsi="Avenir Next" w:cs="Arial"/>
          <w:color w:val="7B7B7B" w:themeColor="accent3" w:themeShade="BF"/>
          <w:sz w:val="22"/>
          <w:szCs w:val="22"/>
        </w:rPr>
        <w:t xml:space="preserve">second consideration might be attenuated by decreasing the effect of the legal separateness principle in some instances so to facilitate the purposes of the coordination proceedings in the group dimension. </w:t>
      </w:r>
      <w:r w:rsidR="008E1C11">
        <w:rPr>
          <w:rFonts w:ascii="Avenir Next" w:hAnsi="Avenir Next" w:cs="Arial"/>
          <w:color w:val="7B7B7B" w:themeColor="accent3" w:themeShade="BF"/>
          <w:sz w:val="22"/>
          <w:szCs w:val="22"/>
        </w:rPr>
        <w:t>As a matter of illustration, a certain ‘reaction’, for example</w:t>
      </w:r>
      <w:r w:rsidR="00381809">
        <w:rPr>
          <w:rFonts w:ascii="Avenir Next" w:hAnsi="Avenir Next" w:cs="Arial"/>
          <w:color w:val="7B7B7B" w:themeColor="accent3" w:themeShade="BF"/>
          <w:sz w:val="22"/>
          <w:szCs w:val="22"/>
        </w:rPr>
        <w:t>, or even</w:t>
      </w:r>
      <w:r w:rsidR="008E1C11">
        <w:rPr>
          <w:rFonts w:ascii="Avenir Next" w:hAnsi="Avenir Next" w:cs="Arial"/>
          <w:color w:val="7B7B7B" w:themeColor="accent3" w:themeShade="BF"/>
          <w:sz w:val="22"/>
          <w:szCs w:val="22"/>
        </w:rPr>
        <w:t xml:space="preserve"> a </w:t>
      </w:r>
      <w:r w:rsidR="00D36A8E">
        <w:rPr>
          <w:rFonts w:ascii="Avenir Next" w:hAnsi="Avenir Next" w:cs="Arial"/>
          <w:color w:val="7B7B7B" w:themeColor="accent3" w:themeShade="BF"/>
          <w:sz w:val="22"/>
          <w:szCs w:val="22"/>
        </w:rPr>
        <w:t>‘</w:t>
      </w:r>
      <w:r w:rsidR="008E1C11">
        <w:rPr>
          <w:rFonts w:ascii="Avenir Next" w:hAnsi="Avenir Next" w:cs="Arial"/>
          <w:color w:val="7B7B7B" w:themeColor="accent3" w:themeShade="BF"/>
          <w:sz w:val="22"/>
          <w:szCs w:val="22"/>
        </w:rPr>
        <w:t>counter-objectio</w:t>
      </w:r>
      <w:r w:rsidR="007C5EAA">
        <w:rPr>
          <w:rFonts w:ascii="Avenir Next" w:hAnsi="Avenir Next" w:cs="Arial"/>
          <w:color w:val="7B7B7B" w:themeColor="accent3" w:themeShade="BF"/>
          <w:sz w:val="22"/>
          <w:szCs w:val="22"/>
        </w:rPr>
        <w:t>n</w:t>
      </w:r>
      <w:r w:rsidR="00D36A8E">
        <w:rPr>
          <w:rFonts w:ascii="Avenir Next" w:hAnsi="Avenir Next" w:cs="Arial"/>
          <w:color w:val="7B7B7B" w:themeColor="accent3" w:themeShade="BF"/>
          <w:sz w:val="22"/>
          <w:szCs w:val="22"/>
        </w:rPr>
        <w:t>’</w:t>
      </w:r>
      <w:r w:rsidR="008E1C11">
        <w:rPr>
          <w:rFonts w:ascii="Avenir Next" w:hAnsi="Avenir Next" w:cs="Arial"/>
          <w:color w:val="7B7B7B" w:themeColor="accent3" w:themeShade="BF"/>
          <w:sz w:val="22"/>
          <w:szCs w:val="22"/>
        </w:rPr>
        <w:t xml:space="preserve"> mechanism providing appropriate time limits, could be developed</w:t>
      </w:r>
      <w:r w:rsidR="00675FCF">
        <w:rPr>
          <w:rFonts w:ascii="Avenir Next" w:hAnsi="Avenir Next" w:cs="Arial"/>
          <w:color w:val="7B7B7B" w:themeColor="accent3" w:themeShade="BF"/>
          <w:sz w:val="22"/>
          <w:szCs w:val="22"/>
        </w:rPr>
        <w:t xml:space="preserve"> </w:t>
      </w:r>
      <w:r w:rsidR="008E1C11">
        <w:rPr>
          <w:rFonts w:ascii="Avenir Next" w:hAnsi="Avenir Next" w:cs="Arial"/>
          <w:color w:val="7B7B7B" w:themeColor="accent3" w:themeShade="BF"/>
          <w:sz w:val="22"/>
          <w:szCs w:val="22"/>
        </w:rPr>
        <w:t xml:space="preserve">for the group coordinator when an insolvency practitioner objects to the inclusion of an insolvency proceeding in the </w:t>
      </w:r>
      <w:r w:rsidR="00381809">
        <w:rPr>
          <w:rFonts w:ascii="Avenir Next" w:hAnsi="Avenir Next" w:cs="Arial"/>
          <w:color w:val="7B7B7B" w:themeColor="accent3" w:themeShade="BF"/>
          <w:sz w:val="22"/>
          <w:szCs w:val="22"/>
        </w:rPr>
        <w:t xml:space="preserve">group </w:t>
      </w:r>
      <w:r w:rsidR="008E1C11">
        <w:rPr>
          <w:rFonts w:ascii="Avenir Next" w:hAnsi="Avenir Next" w:cs="Arial"/>
          <w:color w:val="7B7B7B" w:themeColor="accent3" w:themeShade="BF"/>
          <w:sz w:val="22"/>
          <w:szCs w:val="22"/>
        </w:rPr>
        <w:t xml:space="preserve">coordination system. </w:t>
      </w:r>
      <w:r w:rsidR="007C5EAA">
        <w:rPr>
          <w:rFonts w:ascii="Avenir Next" w:hAnsi="Avenir Next" w:cs="Arial"/>
          <w:color w:val="7B7B7B" w:themeColor="accent3" w:themeShade="BF"/>
          <w:sz w:val="22"/>
          <w:szCs w:val="22"/>
        </w:rPr>
        <w:t xml:space="preserve">On the other hand, </w:t>
      </w:r>
      <w:r w:rsidR="006C6284">
        <w:rPr>
          <w:rFonts w:ascii="Avenir Next" w:hAnsi="Avenir Next" w:cs="Arial"/>
          <w:color w:val="7B7B7B" w:themeColor="accent3" w:themeShade="BF"/>
          <w:sz w:val="22"/>
          <w:szCs w:val="22"/>
        </w:rPr>
        <w:t xml:space="preserve">one might argue, </w:t>
      </w:r>
      <w:r w:rsidR="007C5EAA">
        <w:rPr>
          <w:rFonts w:ascii="Avenir Next" w:hAnsi="Avenir Next" w:cs="Arial"/>
          <w:color w:val="7B7B7B" w:themeColor="accent3" w:themeShade="BF"/>
          <w:sz w:val="22"/>
          <w:szCs w:val="22"/>
        </w:rPr>
        <w:t xml:space="preserve">another solution would be to remove the objections’ mechanism relating to every insolvency practitioner and make </w:t>
      </w:r>
      <w:r w:rsidR="009C7013">
        <w:rPr>
          <w:rFonts w:ascii="Avenir Next" w:hAnsi="Avenir Next" w:cs="Arial"/>
          <w:color w:val="7B7B7B" w:themeColor="accent3" w:themeShade="BF"/>
          <w:sz w:val="22"/>
          <w:szCs w:val="22"/>
        </w:rPr>
        <w:t xml:space="preserve">the inclusion within group </w:t>
      </w:r>
      <w:r w:rsidR="007C5EAA">
        <w:rPr>
          <w:rFonts w:ascii="Avenir Next" w:hAnsi="Avenir Next" w:cs="Arial"/>
          <w:color w:val="7B7B7B" w:themeColor="accent3" w:themeShade="BF"/>
          <w:sz w:val="22"/>
          <w:szCs w:val="22"/>
        </w:rPr>
        <w:t xml:space="preserve">coordination proceedings </w:t>
      </w:r>
      <w:r w:rsidR="009C7013">
        <w:rPr>
          <w:rFonts w:ascii="Avenir Next" w:hAnsi="Avenir Next" w:cs="Arial"/>
          <w:color w:val="7B7B7B" w:themeColor="accent3" w:themeShade="BF"/>
          <w:sz w:val="22"/>
          <w:szCs w:val="22"/>
        </w:rPr>
        <w:t>compulsory</w:t>
      </w:r>
      <w:r w:rsidR="00381809">
        <w:rPr>
          <w:rFonts w:ascii="Avenir Next" w:hAnsi="Avenir Next" w:cs="Arial"/>
          <w:color w:val="7B7B7B" w:themeColor="accent3" w:themeShade="BF"/>
          <w:sz w:val="22"/>
          <w:szCs w:val="22"/>
        </w:rPr>
        <w:t xml:space="preserve"> for every member</w:t>
      </w:r>
      <w:r w:rsidR="00675FCF">
        <w:rPr>
          <w:rFonts w:ascii="Avenir Next" w:hAnsi="Avenir Next" w:cs="Arial"/>
          <w:color w:val="7B7B7B" w:themeColor="accent3" w:themeShade="BF"/>
          <w:sz w:val="22"/>
          <w:szCs w:val="22"/>
        </w:rPr>
        <w:t xml:space="preserve"> under certain circumstances</w:t>
      </w:r>
      <w:r w:rsidR="009C7013">
        <w:rPr>
          <w:rFonts w:ascii="Avenir Next" w:hAnsi="Avenir Next" w:cs="Arial"/>
          <w:color w:val="7B7B7B" w:themeColor="accent3" w:themeShade="BF"/>
          <w:sz w:val="22"/>
          <w:szCs w:val="22"/>
        </w:rPr>
        <w:t xml:space="preserve">. </w:t>
      </w:r>
      <w:r w:rsidR="000A7791">
        <w:rPr>
          <w:rFonts w:ascii="Avenir Next" w:hAnsi="Avenir Next" w:cs="Arial"/>
          <w:color w:val="7B7B7B" w:themeColor="accent3" w:themeShade="BF"/>
          <w:sz w:val="22"/>
          <w:szCs w:val="22"/>
        </w:rPr>
        <w:t xml:space="preserve">Furthermore, specifying or providing indicators as to the competent court or COMI of the group would result in </w:t>
      </w:r>
      <w:r w:rsidR="00664AF5">
        <w:rPr>
          <w:rFonts w:ascii="Avenir Next" w:hAnsi="Avenir Next" w:cs="Arial"/>
          <w:color w:val="7B7B7B" w:themeColor="accent3" w:themeShade="BF"/>
          <w:sz w:val="22"/>
          <w:szCs w:val="22"/>
        </w:rPr>
        <w:t xml:space="preserve">higher </w:t>
      </w:r>
      <w:r w:rsidR="000A7791">
        <w:rPr>
          <w:rFonts w:ascii="Avenir Next" w:hAnsi="Avenir Next" w:cs="Arial"/>
          <w:color w:val="7B7B7B" w:themeColor="accent3" w:themeShade="BF"/>
          <w:sz w:val="22"/>
          <w:szCs w:val="22"/>
        </w:rPr>
        <w:t>legal certainty and predictability</w:t>
      </w:r>
      <w:r w:rsidR="002E32AA">
        <w:rPr>
          <w:rFonts w:ascii="Avenir Next" w:hAnsi="Avenir Next" w:cs="Arial"/>
          <w:color w:val="7B7B7B" w:themeColor="accent3" w:themeShade="BF"/>
          <w:sz w:val="22"/>
          <w:szCs w:val="22"/>
        </w:rPr>
        <w:t xml:space="preserve"> </w:t>
      </w:r>
      <w:r w:rsidR="00E5610C">
        <w:rPr>
          <w:rFonts w:ascii="Avenir Next" w:hAnsi="Avenir Next" w:cs="Arial"/>
          <w:color w:val="7B7B7B" w:themeColor="accent3" w:themeShade="BF"/>
          <w:sz w:val="22"/>
          <w:szCs w:val="22"/>
        </w:rPr>
        <w:t>in</w:t>
      </w:r>
      <w:r w:rsidR="002E32AA">
        <w:rPr>
          <w:rFonts w:ascii="Avenir Next" w:hAnsi="Avenir Next" w:cs="Arial"/>
          <w:color w:val="7B7B7B" w:themeColor="accent3" w:themeShade="BF"/>
          <w:sz w:val="22"/>
          <w:szCs w:val="22"/>
        </w:rPr>
        <w:t xml:space="preserve"> group coordination proceedings</w:t>
      </w:r>
      <w:r w:rsidR="00446D13">
        <w:rPr>
          <w:rFonts w:ascii="Avenir Next" w:hAnsi="Avenir Next" w:cs="Arial"/>
          <w:color w:val="7B7B7B" w:themeColor="accent3" w:themeShade="BF"/>
          <w:sz w:val="22"/>
          <w:szCs w:val="22"/>
        </w:rPr>
        <w:t>.</w:t>
      </w:r>
    </w:p>
    <w:p w14:paraId="532A9D6F" w14:textId="77777777" w:rsidR="00664AF5" w:rsidRDefault="00664AF5" w:rsidP="002A37BB">
      <w:pPr>
        <w:jc w:val="both"/>
        <w:rPr>
          <w:rFonts w:ascii="Avenir Next" w:hAnsi="Avenir Next" w:cs="Arial"/>
          <w:color w:val="7B7B7B" w:themeColor="accent3" w:themeShade="BF"/>
          <w:sz w:val="22"/>
          <w:szCs w:val="22"/>
        </w:rPr>
      </w:pPr>
    </w:p>
    <w:p w14:paraId="6A479969" w14:textId="77777777" w:rsidR="0056155A" w:rsidRDefault="0056155A" w:rsidP="002A37BB">
      <w:pPr>
        <w:jc w:val="both"/>
        <w:rPr>
          <w:rFonts w:ascii="Avenir Next" w:hAnsi="Avenir Next" w:cs="Arial"/>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4E83D7AF" w14:textId="38C2FD49" w:rsidR="00DF75F8" w:rsidRDefault="008C0F4A" w:rsidP="002A37B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It is well understood that the EIR Recast</w:t>
      </w:r>
      <w:r w:rsidR="00BF426C">
        <w:rPr>
          <w:rFonts w:ascii="Avenir Next" w:hAnsi="Avenir Next" w:cs="Arial"/>
          <w:color w:val="7B7B7B" w:themeColor="accent3" w:themeShade="BF"/>
          <w:sz w:val="22"/>
          <w:szCs w:val="22"/>
        </w:rPr>
        <w:t xml:space="preserve"> did not attempt to harmonize substantive insolvency law. Thus, in the context of </w:t>
      </w:r>
      <w:r w:rsidR="005D6C0F">
        <w:rPr>
          <w:rFonts w:ascii="Avenir Next" w:hAnsi="Avenir Next" w:cs="Arial"/>
          <w:color w:val="7B7B7B" w:themeColor="accent3" w:themeShade="BF"/>
          <w:sz w:val="22"/>
          <w:szCs w:val="22"/>
        </w:rPr>
        <w:t>re</w:t>
      </w:r>
      <w:r w:rsidR="00BF426C">
        <w:rPr>
          <w:rFonts w:ascii="Avenir Next" w:hAnsi="Avenir Next" w:cs="Arial"/>
          <w:color w:val="7B7B7B" w:themeColor="accent3" w:themeShade="BF"/>
          <w:sz w:val="22"/>
          <w:szCs w:val="22"/>
        </w:rPr>
        <w:t>solving the existing differences between national insolvency laws in the European region</w:t>
      </w:r>
      <w:r w:rsidR="006A0CE5">
        <w:rPr>
          <w:rFonts w:ascii="Avenir Next" w:hAnsi="Avenir Next" w:cs="Arial"/>
          <w:color w:val="7B7B7B" w:themeColor="accent3" w:themeShade="BF"/>
          <w:sz w:val="22"/>
          <w:szCs w:val="22"/>
        </w:rPr>
        <w:t>,</w:t>
      </w:r>
      <w:r w:rsidR="00BF426C">
        <w:rPr>
          <w:rFonts w:ascii="Avenir Next" w:hAnsi="Avenir Next" w:cs="Arial"/>
          <w:color w:val="7B7B7B" w:themeColor="accent3" w:themeShade="BF"/>
          <w:sz w:val="22"/>
          <w:szCs w:val="22"/>
        </w:rPr>
        <w:t xml:space="preserve"> the Directive on Preventive Restructuring Frameworks </w:t>
      </w:r>
      <w:r w:rsidR="005F1CFC">
        <w:rPr>
          <w:rFonts w:ascii="Avenir Next" w:hAnsi="Avenir Next" w:cs="Arial"/>
          <w:color w:val="7B7B7B" w:themeColor="accent3" w:themeShade="BF"/>
          <w:sz w:val="22"/>
          <w:szCs w:val="22"/>
        </w:rPr>
        <w:t>of</w:t>
      </w:r>
      <w:r w:rsidR="00BF426C">
        <w:rPr>
          <w:rFonts w:ascii="Avenir Next" w:hAnsi="Avenir Next" w:cs="Arial"/>
          <w:color w:val="7B7B7B" w:themeColor="accent3" w:themeShade="BF"/>
          <w:sz w:val="22"/>
          <w:szCs w:val="22"/>
        </w:rPr>
        <w:t xml:space="preserve"> 2019 </w:t>
      </w:r>
      <w:r w:rsidR="005F1CFC">
        <w:rPr>
          <w:rFonts w:ascii="Avenir Next" w:hAnsi="Avenir Next" w:cs="Arial"/>
          <w:color w:val="7B7B7B" w:themeColor="accent3" w:themeShade="BF"/>
          <w:sz w:val="22"/>
          <w:szCs w:val="22"/>
        </w:rPr>
        <w:t xml:space="preserve">was developed </w:t>
      </w:r>
      <w:r w:rsidR="00BF426C">
        <w:rPr>
          <w:rFonts w:ascii="Avenir Next" w:hAnsi="Avenir Next" w:cs="Arial"/>
          <w:color w:val="7B7B7B" w:themeColor="accent3" w:themeShade="BF"/>
          <w:sz w:val="22"/>
          <w:szCs w:val="22"/>
        </w:rPr>
        <w:t>(</w:t>
      </w:r>
      <w:r w:rsidR="00381809">
        <w:rPr>
          <w:rFonts w:ascii="Avenir Next" w:hAnsi="Avenir Next" w:cs="Arial"/>
          <w:color w:val="7B7B7B" w:themeColor="accent3" w:themeShade="BF"/>
          <w:sz w:val="22"/>
          <w:szCs w:val="22"/>
        </w:rPr>
        <w:t>‘</w:t>
      </w:r>
      <w:r w:rsidR="005F1CFC" w:rsidRPr="005F1CFC">
        <w:rPr>
          <w:rFonts w:ascii="Avenir Next" w:hAnsi="Avenir Next" w:cs="Arial"/>
          <w:color w:val="7B7B7B" w:themeColor="accent3" w:themeShade="BF"/>
          <w:sz w:val="22"/>
          <w:szCs w:val="22"/>
        </w:rPr>
        <w:t>Directive (EU) 2019/1023 of the European Parliament and of the Council of 20 June 2019 on preventive restructuring frameworks, on discharge of debt and disqualifications, and on measures to increase the efficiency of procedures concerning restructuring, insolvency and discharge of debt, and amending Directive (EU) 2017/1132 (</w:t>
      </w:r>
      <w:r w:rsidR="00381809">
        <w:rPr>
          <w:rFonts w:ascii="Avenir Next" w:hAnsi="Avenir Next" w:cs="Arial"/>
          <w:color w:val="7B7B7B" w:themeColor="accent3" w:themeShade="BF"/>
          <w:sz w:val="22"/>
          <w:szCs w:val="22"/>
        </w:rPr>
        <w:t>“</w:t>
      </w:r>
      <w:r w:rsidR="005F1CFC" w:rsidRPr="005F1CFC">
        <w:rPr>
          <w:rFonts w:ascii="Avenir Next" w:hAnsi="Avenir Next" w:cs="Arial"/>
          <w:color w:val="7B7B7B" w:themeColor="accent3" w:themeShade="BF"/>
          <w:sz w:val="22"/>
          <w:szCs w:val="22"/>
        </w:rPr>
        <w:t>Directive on restructuring and insolvency</w:t>
      </w:r>
      <w:r w:rsidR="00381809">
        <w:rPr>
          <w:rFonts w:ascii="Avenir Next" w:hAnsi="Avenir Next" w:cs="Arial"/>
          <w:color w:val="7B7B7B" w:themeColor="accent3" w:themeShade="BF"/>
          <w:sz w:val="22"/>
          <w:szCs w:val="22"/>
        </w:rPr>
        <w:t>”</w:t>
      </w:r>
      <w:r w:rsidR="00413887">
        <w:rPr>
          <w:rFonts w:ascii="Avenir Next" w:hAnsi="Avenir Next" w:cs="Arial"/>
          <w:color w:val="7B7B7B" w:themeColor="accent3" w:themeShade="BF"/>
          <w:sz w:val="22"/>
          <w:szCs w:val="22"/>
        </w:rPr>
        <w:t>)</w:t>
      </w:r>
      <w:r w:rsidR="00381809">
        <w:rPr>
          <w:rFonts w:ascii="Avenir Next" w:hAnsi="Avenir Next" w:cs="Arial"/>
          <w:color w:val="7B7B7B" w:themeColor="accent3" w:themeShade="BF"/>
          <w:sz w:val="22"/>
          <w:szCs w:val="22"/>
        </w:rPr>
        <w:t>’</w:t>
      </w:r>
      <w:r w:rsidR="00413887">
        <w:rPr>
          <w:rFonts w:ascii="Avenir Next" w:hAnsi="Avenir Next" w:cs="Arial"/>
          <w:color w:val="7B7B7B" w:themeColor="accent3" w:themeShade="BF"/>
          <w:sz w:val="22"/>
          <w:szCs w:val="22"/>
        </w:rPr>
        <w:t xml:space="preserve">). </w:t>
      </w:r>
      <w:r w:rsidR="00A81855">
        <w:rPr>
          <w:rFonts w:ascii="Avenir Next" w:hAnsi="Avenir Next" w:cs="Arial"/>
          <w:color w:val="7B7B7B" w:themeColor="accent3" w:themeShade="BF"/>
          <w:sz w:val="22"/>
          <w:szCs w:val="22"/>
        </w:rPr>
        <w:t>It should be noted that</w:t>
      </w:r>
      <w:r w:rsidR="004341F6">
        <w:rPr>
          <w:rFonts w:ascii="Avenir Next" w:hAnsi="Avenir Next" w:cs="Arial"/>
          <w:color w:val="7B7B7B" w:themeColor="accent3" w:themeShade="BF"/>
          <w:sz w:val="22"/>
          <w:szCs w:val="22"/>
        </w:rPr>
        <w:t>,</w:t>
      </w:r>
      <w:r w:rsidR="00A81855">
        <w:rPr>
          <w:rFonts w:ascii="Avenir Next" w:hAnsi="Avenir Next" w:cs="Arial"/>
          <w:color w:val="7B7B7B" w:themeColor="accent3" w:themeShade="BF"/>
          <w:sz w:val="22"/>
          <w:szCs w:val="22"/>
        </w:rPr>
        <w:t xml:space="preserve"> pursuant to Article 1 of the EIR Recast, the Regulation does not focus only </w:t>
      </w:r>
      <w:r w:rsidR="007B54D5">
        <w:rPr>
          <w:rFonts w:ascii="Avenir Next" w:hAnsi="Avenir Next" w:cs="Arial"/>
          <w:color w:val="7B7B7B" w:themeColor="accent3" w:themeShade="BF"/>
          <w:sz w:val="22"/>
          <w:szCs w:val="22"/>
        </w:rPr>
        <w:t>on</w:t>
      </w:r>
      <w:r w:rsidR="00A81855">
        <w:rPr>
          <w:rFonts w:ascii="Avenir Next" w:hAnsi="Avenir Next" w:cs="Arial"/>
          <w:color w:val="7B7B7B" w:themeColor="accent3" w:themeShade="BF"/>
          <w:sz w:val="22"/>
          <w:szCs w:val="22"/>
        </w:rPr>
        <w:t xml:space="preserve"> ‘classic’ insolvency proceedings</w:t>
      </w:r>
      <w:r w:rsidR="00381809">
        <w:rPr>
          <w:rFonts w:ascii="Avenir Next" w:hAnsi="Avenir Next" w:cs="Arial"/>
          <w:color w:val="7B7B7B" w:themeColor="accent3" w:themeShade="BF"/>
          <w:sz w:val="22"/>
          <w:szCs w:val="22"/>
        </w:rPr>
        <w:t xml:space="preserve">, such as </w:t>
      </w:r>
      <w:r w:rsidR="00A81855">
        <w:rPr>
          <w:rFonts w:ascii="Avenir Next" w:hAnsi="Avenir Next" w:cs="Arial"/>
          <w:color w:val="7B7B7B" w:themeColor="accent3" w:themeShade="BF"/>
          <w:sz w:val="22"/>
          <w:szCs w:val="22"/>
        </w:rPr>
        <w:t>liquidation</w:t>
      </w:r>
      <w:r w:rsidR="00381809">
        <w:rPr>
          <w:rFonts w:ascii="Avenir Next" w:hAnsi="Avenir Next" w:cs="Arial"/>
          <w:color w:val="7B7B7B" w:themeColor="accent3" w:themeShade="BF"/>
          <w:sz w:val="22"/>
          <w:szCs w:val="22"/>
        </w:rPr>
        <w:t>,</w:t>
      </w:r>
      <w:r w:rsidR="00A81855">
        <w:rPr>
          <w:rFonts w:ascii="Avenir Next" w:hAnsi="Avenir Next" w:cs="Arial"/>
          <w:color w:val="7B7B7B" w:themeColor="accent3" w:themeShade="BF"/>
          <w:sz w:val="22"/>
          <w:szCs w:val="22"/>
        </w:rPr>
        <w:t xml:space="preserve"> but encompasses also procedures</w:t>
      </w:r>
      <w:r w:rsidR="00381809">
        <w:rPr>
          <w:rFonts w:ascii="Avenir Next" w:hAnsi="Avenir Next" w:cs="Arial"/>
          <w:color w:val="7B7B7B" w:themeColor="accent3" w:themeShade="BF"/>
          <w:sz w:val="22"/>
          <w:szCs w:val="22"/>
        </w:rPr>
        <w:t xml:space="preserve"> in which the mere indication of the likelihood of the </w:t>
      </w:r>
      <w:r w:rsidR="00A81855">
        <w:rPr>
          <w:rFonts w:ascii="Avenir Next" w:hAnsi="Avenir Next" w:cs="Arial"/>
          <w:color w:val="7B7B7B" w:themeColor="accent3" w:themeShade="BF"/>
          <w:sz w:val="22"/>
          <w:szCs w:val="22"/>
        </w:rPr>
        <w:t xml:space="preserve">insolvency </w:t>
      </w:r>
      <w:r w:rsidR="007B54D5">
        <w:rPr>
          <w:rFonts w:ascii="Avenir Next" w:hAnsi="Avenir Next" w:cs="Arial"/>
          <w:color w:val="7B7B7B" w:themeColor="accent3" w:themeShade="BF"/>
          <w:sz w:val="22"/>
          <w:szCs w:val="22"/>
        </w:rPr>
        <w:t>of</w:t>
      </w:r>
      <w:r w:rsidR="00A81855">
        <w:rPr>
          <w:rFonts w:ascii="Avenir Next" w:hAnsi="Avenir Next" w:cs="Arial"/>
          <w:color w:val="7B7B7B" w:themeColor="accent3" w:themeShade="BF"/>
          <w:sz w:val="22"/>
          <w:szCs w:val="22"/>
        </w:rPr>
        <w:t xml:space="preserve"> the debtor</w:t>
      </w:r>
      <w:r w:rsidR="00381809">
        <w:rPr>
          <w:rFonts w:ascii="Avenir Next" w:hAnsi="Avenir Next" w:cs="Arial"/>
          <w:color w:val="7B7B7B" w:themeColor="accent3" w:themeShade="BF"/>
          <w:sz w:val="22"/>
          <w:szCs w:val="22"/>
        </w:rPr>
        <w:t xml:space="preserve"> suffices</w:t>
      </w:r>
      <w:r w:rsidR="00A81855">
        <w:rPr>
          <w:rFonts w:ascii="Avenir Next" w:hAnsi="Avenir Next" w:cs="Arial"/>
          <w:color w:val="7B7B7B" w:themeColor="accent3" w:themeShade="BF"/>
          <w:sz w:val="22"/>
          <w:szCs w:val="22"/>
        </w:rPr>
        <w:t xml:space="preserve">. </w:t>
      </w:r>
      <w:r w:rsidR="00413887">
        <w:rPr>
          <w:rFonts w:ascii="Avenir Next" w:hAnsi="Avenir Next" w:cs="Arial"/>
          <w:color w:val="7B7B7B" w:themeColor="accent3" w:themeShade="BF"/>
          <w:sz w:val="22"/>
          <w:szCs w:val="22"/>
        </w:rPr>
        <w:t>Notwithstanding the fact that the Directive on Preventive Restructuring Frameworks is considered to supplement</w:t>
      </w:r>
      <w:r w:rsidR="00413887" w:rsidRPr="00413887">
        <w:rPr>
          <w:rFonts w:ascii="Avenir Next" w:hAnsi="Avenir Next" w:cs="Arial"/>
          <w:color w:val="7B7B7B" w:themeColor="accent3" w:themeShade="BF"/>
          <w:sz w:val="22"/>
          <w:szCs w:val="22"/>
        </w:rPr>
        <w:t xml:space="preserve"> </w:t>
      </w:r>
      <w:r w:rsidR="00413887">
        <w:rPr>
          <w:rFonts w:ascii="Avenir Next" w:hAnsi="Avenir Next" w:cs="Arial"/>
          <w:color w:val="7B7B7B" w:themeColor="accent3" w:themeShade="BF"/>
          <w:sz w:val="22"/>
          <w:szCs w:val="22"/>
        </w:rPr>
        <w:t>the EIR Recast</w:t>
      </w:r>
      <w:r w:rsidR="00A81855">
        <w:rPr>
          <w:rFonts w:ascii="Avenir Next" w:hAnsi="Avenir Next" w:cs="Arial"/>
          <w:color w:val="7B7B7B" w:themeColor="accent3" w:themeShade="BF"/>
          <w:sz w:val="22"/>
          <w:szCs w:val="22"/>
        </w:rPr>
        <w:t>,</w:t>
      </w:r>
      <w:r w:rsidR="00413887">
        <w:rPr>
          <w:rFonts w:ascii="Avenir Next" w:hAnsi="Avenir Next" w:cs="Arial"/>
          <w:color w:val="7B7B7B" w:themeColor="accent3" w:themeShade="BF"/>
          <w:sz w:val="22"/>
          <w:szCs w:val="22"/>
        </w:rPr>
        <w:t xml:space="preserve"> certain </w:t>
      </w:r>
      <w:r w:rsidR="00DF1788">
        <w:rPr>
          <w:rFonts w:ascii="Avenir Next" w:hAnsi="Avenir Next" w:cs="Arial"/>
          <w:color w:val="7B7B7B" w:themeColor="accent3" w:themeShade="BF"/>
          <w:sz w:val="22"/>
          <w:szCs w:val="22"/>
        </w:rPr>
        <w:t xml:space="preserve">differentiations </w:t>
      </w:r>
      <w:r w:rsidR="00413887">
        <w:rPr>
          <w:rFonts w:ascii="Avenir Next" w:hAnsi="Avenir Next" w:cs="Arial"/>
          <w:color w:val="7B7B7B" w:themeColor="accent3" w:themeShade="BF"/>
          <w:sz w:val="22"/>
          <w:szCs w:val="22"/>
        </w:rPr>
        <w:t>should be mentione</w:t>
      </w:r>
      <w:r w:rsidR="00DF1788">
        <w:rPr>
          <w:rFonts w:ascii="Avenir Next" w:hAnsi="Avenir Next" w:cs="Arial"/>
          <w:color w:val="7B7B7B" w:themeColor="accent3" w:themeShade="BF"/>
          <w:sz w:val="22"/>
          <w:szCs w:val="22"/>
        </w:rPr>
        <w:t xml:space="preserve">d. </w:t>
      </w:r>
    </w:p>
    <w:p w14:paraId="19B501B9" w14:textId="77777777" w:rsidR="00DF1788" w:rsidRDefault="00DF1788" w:rsidP="002A37BB">
      <w:pPr>
        <w:jc w:val="both"/>
        <w:rPr>
          <w:rFonts w:ascii="Avenir Next" w:hAnsi="Avenir Next" w:cs="Arial"/>
          <w:color w:val="7B7B7B" w:themeColor="accent3" w:themeShade="BF"/>
          <w:sz w:val="22"/>
          <w:szCs w:val="22"/>
        </w:rPr>
      </w:pPr>
    </w:p>
    <w:p w14:paraId="24DEB616" w14:textId="59206B8C" w:rsidR="00B10548" w:rsidRDefault="00020AC1" w:rsidP="002A37B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First of all, </w:t>
      </w:r>
      <w:r w:rsidR="00E852BB">
        <w:rPr>
          <w:rFonts w:ascii="Avenir Next" w:hAnsi="Avenir Next" w:cs="Arial"/>
          <w:color w:val="7B7B7B" w:themeColor="accent3" w:themeShade="BF"/>
          <w:sz w:val="22"/>
          <w:szCs w:val="22"/>
        </w:rPr>
        <w:t xml:space="preserve">Directive 2019/1023 constitutes </w:t>
      </w:r>
      <w:r w:rsidR="00381809">
        <w:rPr>
          <w:rFonts w:ascii="Avenir Next" w:hAnsi="Avenir Next" w:cs="Arial"/>
          <w:color w:val="7B7B7B" w:themeColor="accent3" w:themeShade="BF"/>
          <w:sz w:val="22"/>
          <w:szCs w:val="22"/>
        </w:rPr>
        <w:t xml:space="preserve">a first </w:t>
      </w:r>
      <w:r w:rsidR="000F4B84">
        <w:rPr>
          <w:rFonts w:ascii="Avenir Next" w:hAnsi="Avenir Next" w:cs="Arial"/>
          <w:color w:val="7B7B7B" w:themeColor="accent3" w:themeShade="BF"/>
          <w:sz w:val="22"/>
          <w:szCs w:val="22"/>
        </w:rPr>
        <w:t xml:space="preserve">major </w:t>
      </w:r>
      <w:r w:rsidR="00381809">
        <w:rPr>
          <w:rFonts w:ascii="Avenir Next" w:hAnsi="Avenir Next" w:cs="Arial"/>
          <w:color w:val="7B7B7B" w:themeColor="accent3" w:themeShade="BF"/>
          <w:sz w:val="22"/>
          <w:szCs w:val="22"/>
        </w:rPr>
        <w:t>instrument</w:t>
      </w:r>
      <w:r w:rsidR="00E852BB">
        <w:rPr>
          <w:rFonts w:ascii="Avenir Next" w:hAnsi="Avenir Next" w:cs="Arial"/>
          <w:color w:val="7B7B7B" w:themeColor="accent3" w:themeShade="BF"/>
          <w:sz w:val="22"/>
          <w:szCs w:val="22"/>
        </w:rPr>
        <w:t xml:space="preserve"> that tries to harmonize national insolvency laws of EU Member States. </w:t>
      </w:r>
      <w:r w:rsidR="00660859">
        <w:rPr>
          <w:rFonts w:ascii="Avenir Next" w:hAnsi="Avenir Next" w:cs="Arial"/>
          <w:color w:val="7B7B7B" w:themeColor="accent3" w:themeShade="BF"/>
          <w:sz w:val="22"/>
          <w:szCs w:val="22"/>
        </w:rPr>
        <w:t>Setting a series of minimum standards, i</w:t>
      </w:r>
      <w:r w:rsidR="00E852BB">
        <w:rPr>
          <w:rFonts w:ascii="Avenir Next" w:hAnsi="Avenir Next" w:cs="Arial"/>
          <w:color w:val="7B7B7B" w:themeColor="accent3" w:themeShade="BF"/>
          <w:sz w:val="22"/>
          <w:szCs w:val="22"/>
        </w:rPr>
        <w:t>t particularly focuses on the material aspects of the restructuring of businesses</w:t>
      </w:r>
      <w:r w:rsidR="002C4199">
        <w:rPr>
          <w:rFonts w:ascii="Avenir Next" w:hAnsi="Avenir Next" w:cs="Arial"/>
          <w:color w:val="7B7B7B" w:themeColor="accent3" w:themeShade="BF"/>
          <w:sz w:val="22"/>
          <w:szCs w:val="22"/>
        </w:rPr>
        <w:t xml:space="preserve"> for the specific period of the very early stages </w:t>
      </w:r>
      <w:r w:rsidR="009245D8">
        <w:rPr>
          <w:rFonts w:ascii="Avenir Next" w:hAnsi="Avenir Next" w:cs="Arial"/>
          <w:color w:val="7B7B7B" w:themeColor="accent3" w:themeShade="BF"/>
          <w:sz w:val="22"/>
          <w:szCs w:val="22"/>
        </w:rPr>
        <w:t>so to avoid</w:t>
      </w:r>
      <w:r w:rsidR="002C4199">
        <w:rPr>
          <w:rFonts w:ascii="Avenir Next" w:hAnsi="Avenir Next" w:cs="Arial"/>
          <w:color w:val="7B7B7B" w:themeColor="accent3" w:themeShade="BF"/>
          <w:sz w:val="22"/>
          <w:szCs w:val="22"/>
        </w:rPr>
        <w:t xml:space="preserve"> insolvency for debtors.</w:t>
      </w:r>
      <w:r w:rsidR="00660859">
        <w:rPr>
          <w:rFonts w:ascii="Avenir Next" w:hAnsi="Avenir Next" w:cs="Arial"/>
          <w:color w:val="7B7B7B" w:themeColor="accent3" w:themeShade="BF"/>
          <w:sz w:val="22"/>
          <w:szCs w:val="22"/>
        </w:rPr>
        <w:t xml:space="preserve"> </w:t>
      </w:r>
      <w:r w:rsidR="00AB3CAF" w:rsidRPr="00AB3CAF">
        <w:rPr>
          <w:rFonts w:ascii="Avenir Next" w:hAnsi="Avenir Next" w:cs="Arial"/>
          <w:color w:val="7B7B7B" w:themeColor="accent3" w:themeShade="BF"/>
          <w:sz w:val="22"/>
          <w:szCs w:val="22"/>
        </w:rPr>
        <w:t>The directive seeks</w:t>
      </w:r>
      <w:r w:rsidR="00AB3CAF">
        <w:rPr>
          <w:rFonts w:ascii="Avenir Next" w:hAnsi="Avenir Next" w:cs="Arial"/>
          <w:color w:val="7B7B7B" w:themeColor="accent3" w:themeShade="BF"/>
          <w:sz w:val="22"/>
          <w:szCs w:val="22"/>
        </w:rPr>
        <w:t>, inter alia,</w:t>
      </w:r>
      <w:r w:rsidR="00AB3CAF" w:rsidRPr="00AB3CAF">
        <w:rPr>
          <w:rFonts w:ascii="Avenir Next" w:hAnsi="Avenir Next" w:cs="Arial"/>
          <w:color w:val="7B7B7B" w:themeColor="accent3" w:themeShade="BF"/>
          <w:sz w:val="22"/>
          <w:szCs w:val="22"/>
        </w:rPr>
        <w:t xml:space="preserve"> to increase the efficiency of the procedure, enhance the negotiation mechanism, allow the debtor to continue its business operations during the restructuring process, reduce the risk of dissenting minority creditors and shareholders compromising the restructuring effort while protecting their interests, and minimize the cost and duration of the restructuring process.</w:t>
      </w:r>
      <w:r w:rsidR="00AB3CAF">
        <w:rPr>
          <w:rFonts w:ascii="Avenir Next" w:hAnsi="Avenir Next" w:cs="Arial"/>
          <w:color w:val="7B7B7B" w:themeColor="accent3" w:themeShade="BF"/>
          <w:sz w:val="22"/>
          <w:szCs w:val="22"/>
        </w:rPr>
        <w:t xml:space="preserve"> </w:t>
      </w:r>
      <w:r w:rsidR="002C4199">
        <w:rPr>
          <w:rFonts w:ascii="Avenir Next" w:hAnsi="Avenir Next" w:cs="Arial"/>
          <w:color w:val="7B7B7B" w:themeColor="accent3" w:themeShade="BF"/>
          <w:sz w:val="22"/>
          <w:szCs w:val="22"/>
        </w:rPr>
        <w:t>In</w:t>
      </w:r>
      <w:r w:rsidR="005C310C">
        <w:rPr>
          <w:rFonts w:ascii="Avenir Next" w:hAnsi="Avenir Next" w:cs="Arial"/>
          <w:color w:val="7B7B7B" w:themeColor="accent3" w:themeShade="BF"/>
          <w:sz w:val="22"/>
          <w:szCs w:val="22"/>
        </w:rPr>
        <w:t xml:space="preserve"> general</w:t>
      </w:r>
      <w:r w:rsidR="002C4199">
        <w:rPr>
          <w:rFonts w:ascii="Avenir Next" w:hAnsi="Avenir Next" w:cs="Arial"/>
          <w:color w:val="7B7B7B" w:themeColor="accent3" w:themeShade="BF"/>
          <w:sz w:val="22"/>
          <w:szCs w:val="22"/>
        </w:rPr>
        <w:t xml:space="preserve">, </w:t>
      </w:r>
      <w:r w:rsidR="00CD4249" w:rsidRPr="00CD4249">
        <w:rPr>
          <w:rFonts w:ascii="Avenir Next" w:hAnsi="Avenir Next" w:cs="Arial"/>
          <w:color w:val="7B7B7B" w:themeColor="accent3" w:themeShade="BF"/>
          <w:sz w:val="22"/>
          <w:szCs w:val="22"/>
        </w:rPr>
        <w:t xml:space="preserve">there </w:t>
      </w:r>
      <w:r w:rsidR="00495104">
        <w:rPr>
          <w:rFonts w:ascii="Avenir Next" w:hAnsi="Avenir Next" w:cs="Arial"/>
          <w:color w:val="7B7B7B" w:themeColor="accent3" w:themeShade="BF"/>
          <w:sz w:val="22"/>
          <w:szCs w:val="22"/>
        </w:rPr>
        <w:t>have been</w:t>
      </w:r>
      <w:r w:rsidR="00CD4249" w:rsidRPr="00CD4249">
        <w:rPr>
          <w:rFonts w:ascii="Avenir Next" w:hAnsi="Avenir Next" w:cs="Arial"/>
          <w:color w:val="7B7B7B" w:themeColor="accent3" w:themeShade="BF"/>
          <w:sz w:val="22"/>
          <w:szCs w:val="22"/>
        </w:rPr>
        <w:t xml:space="preserve"> instances of jurisdictions in the European region where restructuring mechanisms have been implemented </w:t>
      </w:r>
      <w:r w:rsidR="00495104">
        <w:rPr>
          <w:rFonts w:ascii="Avenir Next" w:hAnsi="Avenir Next" w:cs="Arial"/>
          <w:color w:val="7B7B7B" w:themeColor="accent3" w:themeShade="BF"/>
          <w:sz w:val="22"/>
          <w:szCs w:val="22"/>
        </w:rPr>
        <w:t>for</w:t>
      </w:r>
      <w:r w:rsidR="00CD4249" w:rsidRPr="00CD4249">
        <w:rPr>
          <w:rFonts w:ascii="Avenir Next" w:hAnsi="Avenir Next" w:cs="Arial"/>
          <w:color w:val="7B7B7B" w:themeColor="accent3" w:themeShade="BF"/>
          <w:sz w:val="22"/>
          <w:szCs w:val="22"/>
        </w:rPr>
        <w:t xml:space="preserve"> the early stages of insolvency, but not in an effective and practical manner</w:t>
      </w:r>
      <w:r w:rsidR="00CD4249">
        <w:rPr>
          <w:rFonts w:ascii="Avenir Next" w:hAnsi="Avenir Next" w:cs="Arial"/>
          <w:color w:val="7B7B7B" w:themeColor="accent3" w:themeShade="BF"/>
          <w:sz w:val="22"/>
          <w:szCs w:val="22"/>
        </w:rPr>
        <w:t>.</w:t>
      </w:r>
      <w:r w:rsidR="00E852BB">
        <w:rPr>
          <w:rFonts w:ascii="Avenir Next" w:hAnsi="Avenir Next" w:cs="Arial"/>
          <w:color w:val="7B7B7B" w:themeColor="accent3" w:themeShade="BF"/>
          <w:sz w:val="22"/>
          <w:szCs w:val="22"/>
        </w:rPr>
        <w:t xml:space="preserve"> </w:t>
      </w:r>
      <w:r w:rsidR="002C4199">
        <w:rPr>
          <w:rFonts w:ascii="Avenir Next" w:hAnsi="Avenir Next" w:cs="Arial"/>
          <w:color w:val="7B7B7B" w:themeColor="accent3" w:themeShade="BF"/>
          <w:sz w:val="22"/>
          <w:szCs w:val="22"/>
        </w:rPr>
        <w:t>This is where the Directive 2019/1023 steps in</w:t>
      </w:r>
      <w:r w:rsidR="00495104">
        <w:rPr>
          <w:rFonts w:ascii="Avenir Next" w:hAnsi="Avenir Next" w:cs="Arial"/>
          <w:color w:val="7B7B7B" w:themeColor="accent3" w:themeShade="BF"/>
          <w:sz w:val="22"/>
          <w:szCs w:val="22"/>
        </w:rPr>
        <w:t>, on the one hand,</w:t>
      </w:r>
      <w:r w:rsidR="002C4199">
        <w:rPr>
          <w:rFonts w:ascii="Avenir Next" w:hAnsi="Avenir Next" w:cs="Arial"/>
          <w:color w:val="7B7B7B" w:themeColor="accent3" w:themeShade="BF"/>
          <w:sz w:val="22"/>
          <w:szCs w:val="22"/>
        </w:rPr>
        <w:t xml:space="preserve"> to </w:t>
      </w:r>
      <w:r w:rsidR="00E219DC">
        <w:rPr>
          <w:rFonts w:ascii="Avenir Next" w:hAnsi="Avenir Next" w:cs="Arial"/>
          <w:color w:val="7B7B7B" w:themeColor="accent3" w:themeShade="BF"/>
          <w:sz w:val="22"/>
          <w:szCs w:val="22"/>
        </w:rPr>
        <w:t>re</w:t>
      </w:r>
      <w:r w:rsidR="002C4199">
        <w:rPr>
          <w:rFonts w:ascii="Avenir Next" w:hAnsi="Avenir Next" w:cs="Arial"/>
          <w:color w:val="7B7B7B" w:themeColor="accent3" w:themeShade="BF"/>
          <w:sz w:val="22"/>
          <w:szCs w:val="22"/>
        </w:rPr>
        <w:t xml:space="preserve">solve the ‘rigidity’ </w:t>
      </w:r>
      <w:r w:rsidR="00421471">
        <w:rPr>
          <w:rFonts w:ascii="Avenir Next" w:hAnsi="Avenir Next" w:cs="Arial"/>
          <w:color w:val="7B7B7B" w:themeColor="accent3" w:themeShade="BF"/>
          <w:sz w:val="22"/>
          <w:szCs w:val="22"/>
        </w:rPr>
        <w:t xml:space="preserve">of the Regulation </w:t>
      </w:r>
      <w:r w:rsidR="002C4199">
        <w:rPr>
          <w:rFonts w:ascii="Avenir Next" w:hAnsi="Avenir Next" w:cs="Arial"/>
          <w:color w:val="7B7B7B" w:themeColor="accent3" w:themeShade="BF"/>
          <w:sz w:val="22"/>
          <w:szCs w:val="22"/>
        </w:rPr>
        <w:t>and</w:t>
      </w:r>
      <w:r w:rsidR="00495104">
        <w:rPr>
          <w:rFonts w:ascii="Avenir Next" w:hAnsi="Avenir Next" w:cs="Arial"/>
          <w:color w:val="7B7B7B" w:themeColor="accent3" w:themeShade="BF"/>
          <w:sz w:val="22"/>
          <w:szCs w:val="22"/>
        </w:rPr>
        <w:t>, on the other hand,</w:t>
      </w:r>
      <w:r w:rsidR="002C4199">
        <w:rPr>
          <w:rFonts w:ascii="Avenir Next" w:hAnsi="Avenir Next" w:cs="Arial"/>
          <w:color w:val="7B7B7B" w:themeColor="accent3" w:themeShade="BF"/>
          <w:sz w:val="22"/>
          <w:szCs w:val="22"/>
        </w:rPr>
        <w:t xml:space="preserve"> </w:t>
      </w:r>
      <w:r w:rsidR="00421471">
        <w:rPr>
          <w:rFonts w:ascii="Avenir Next" w:hAnsi="Avenir Next" w:cs="Arial"/>
          <w:color w:val="7B7B7B" w:themeColor="accent3" w:themeShade="BF"/>
          <w:sz w:val="22"/>
          <w:szCs w:val="22"/>
        </w:rPr>
        <w:t xml:space="preserve">to focus on substantive issues rather than on </w:t>
      </w:r>
      <w:r w:rsidR="002C4199">
        <w:rPr>
          <w:rFonts w:ascii="Avenir Next" w:hAnsi="Avenir Next" w:cs="Arial"/>
          <w:color w:val="7B7B7B" w:themeColor="accent3" w:themeShade="BF"/>
          <w:sz w:val="22"/>
          <w:szCs w:val="22"/>
        </w:rPr>
        <w:t>the primarily procedural aspects of the EIR Recast</w:t>
      </w:r>
      <w:r w:rsidR="00142BD5">
        <w:rPr>
          <w:rFonts w:ascii="Avenir Next" w:hAnsi="Avenir Next" w:cs="Arial"/>
          <w:color w:val="7B7B7B" w:themeColor="accent3" w:themeShade="BF"/>
          <w:sz w:val="22"/>
          <w:szCs w:val="22"/>
        </w:rPr>
        <w:t>.</w:t>
      </w:r>
      <w:r w:rsidR="00243DD0">
        <w:rPr>
          <w:rFonts w:ascii="Avenir Next" w:hAnsi="Avenir Next" w:cs="Arial"/>
          <w:color w:val="7B7B7B" w:themeColor="accent3" w:themeShade="BF"/>
          <w:sz w:val="22"/>
          <w:szCs w:val="22"/>
        </w:rPr>
        <w:t xml:space="preserve"> In fact, the EIR Recast </w:t>
      </w:r>
      <w:r w:rsidR="00D57C6A">
        <w:rPr>
          <w:rFonts w:ascii="Avenir Next" w:hAnsi="Avenir Next" w:cs="Arial"/>
          <w:color w:val="7B7B7B" w:themeColor="accent3" w:themeShade="BF"/>
          <w:sz w:val="22"/>
          <w:szCs w:val="22"/>
        </w:rPr>
        <w:t>contains</w:t>
      </w:r>
      <w:r w:rsidR="00243DD0">
        <w:rPr>
          <w:rFonts w:ascii="Avenir Next" w:hAnsi="Avenir Next" w:cs="Arial"/>
          <w:color w:val="7B7B7B" w:themeColor="accent3" w:themeShade="BF"/>
          <w:sz w:val="22"/>
          <w:szCs w:val="22"/>
        </w:rPr>
        <w:t xml:space="preserve"> mechanisms pertaining to conflict-of-law rules</w:t>
      </w:r>
      <w:r w:rsidR="00BB3B47">
        <w:rPr>
          <w:rFonts w:ascii="Avenir Next" w:hAnsi="Avenir Next" w:cs="Arial"/>
          <w:color w:val="7B7B7B" w:themeColor="accent3" w:themeShade="BF"/>
          <w:sz w:val="22"/>
          <w:szCs w:val="22"/>
        </w:rPr>
        <w:t xml:space="preserve">. The EIR Recast </w:t>
      </w:r>
      <w:r w:rsidR="00BC2C54">
        <w:rPr>
          <w:rFonts w:ascii="Avenir Next" w:hAnsi="Avenir Next" w:cs="Arial"/>
          <w:color w:val="7B7B7B" w:themeColor="accent3" w:themeShade="BF"/>
          <w:sz w:val="22"/>
          <w:szCs w:val="22"/>
        </w:rPr>
        <w:t>includes</w:t>
      </w:r>
      <w:r w:rsidR="00243DD0">
        <w:rPr>
          <w:rFonts w:ascii="Avenir Next" w:hAnsi="Avenir Next" w:cs="Arial"/>
          <w:color w:val="7B7B7B" w:themeColor="accent3" w:themeShade="BF"/>
          <w:sz w:val="22"/>
          <w:szCs w:val="22"/>
        </w:rPr>
        <w:t xml:space="preserve">, </w:t>
      </w:r>
      <w:r w:rsidR="00D57C6A">
        <w:rPr>
          <w:rFonts w:ascii="Avenir Next" w:hAnsi="Avenir Next" w:cs="Arial"/>
          <w:color w:val="7B7B7B" w:themeColor="accent3" w:themeShade="BF"/>
          <w:sz w:val="22"/>
          <w:szCs w:val="22"/>
        </w:rPr>
        <w:t>for instance</w:t>
      </w:r>
      <w:r w:rsidR="00243DD0">
        <w:rPr>
          <w:rFonts w:ascii="Avenir Next" w:hAnsi="Avenir Next" w:cs="Arial"/>
          <w:color w:val="7B7B7B" w:themeColor="accent3" w:themeShade="BF"/>
          <w:sz w:val="22"/>
          <w:szCs w:val="22"/>
        </w:rPr>
        <w:t xml:space="preserve">, the concept of </w:t>
      </w:r>
      <w:r w:rsidR="00546DBF">
        <w:rPr>
          <w:rFonts w:ascii="Avenir Next" w:hAnsi="Avenir Next" w:cs="Arial"/>
          <w:color w:val="7B7B7B" w:themeColor="accent3" w:themeShade="BF"/>
          <w:sz w:val="22"/>
          <w:szCs w:val="22"/>
        </w:rPr>
        <w:t>the c</w:t>
      </w:r>
      <w:r w:rsidR="00243DD0">
        <w:rPr>
          <w:rFonts w:ascii="Avenir Next" w:hAnsi="Avenir Next" w:cs="Arial"/>
          <w:color w:val="7B7B7B" w:themeColor="accent3" w:themeShade="BF"/>
          <w:sz w:val="22"/>
          <w:szCs w:val="22"/>
        </w:rPr>
        <w:t>enter of the debtor’s main interests (COMI)</w:t>
      </w:r>
      <w:r w:rsidR="002F3F0E">
        <w:rPr>
          <w:rFonts w:ascii="Avenir Next" w:hAnsi="Avenir Next" w:cs="Arial"/>
          <w:color w:val="7B7B7B" w:themeColor="accent3" w:themeShade="BF"/>
          <w:sz w:val="22"/>
          <w:szCs w:val="22"/>
        </w:rPr>
        <w:t xml:space="preserve"> in Article 3 </w:t>
      </w:r>
      <w:r w:rsidR="00974C30">
        <w:rPr>
          <w:rFonts w:ascii="Avenir Next" w:hAnsi="Avenir Next" w:cs="Arial"/>
          <w:color w:val="7B7B7B" w:themeColor="accent3" w:themeShade="BF"/>
          <w:sz w:val="22"/>
          <w:szCs w:val="22"/>
        </w:rPr>
        <w:t xml:space="preserve">as well as the mechanism </w:t>
      </w:r>
      <w:r w:rsidR="00BB3B47">
        <w:rPr>
          <w:rFonts w:ascii="Avenir Next" w:hAnsi="Avenir Next" w:cs="Arial"/>
          <w:color w:val="7B7B7B" w:themeColor="accent3" w:themeShade="BF"/>
          <w:sz w:val="22"/>
          <w:szCs w:val="22"/>
        </w:rPr>
        <w:t>relating</w:t>
      </w:r>
      <w:r w:rsidR="00974C30">
        <w:rPr>
          <w:rFonts w:ascii="Avenir Next" w:hAnsi="Avenir Next" w:cs="Arial"/>
          <w:color w:val="7B7B7B" w:themeColor="accent3" w:themeShade="BF"/>
          <w:sz w:val="22"/>
          <w:szCs w:val="22"/>
        </w:rPr>
        <w:t xml:space="preserve"> to the recognition of insolvency proceedings </w:t>
      </w:r>
      <w:r w:rsidR="00BB3B47">
        <w:rPr>
          <w:rFonts w:ascii="Avenir Next" w:hAnsi="Avenir Next" w:cs="Arial"/>
          <w:color w:val="7B7B7B" w:themeColor="accent3" w:themeShade="BF"/>
          <w:sz w:val="22"/>
          <w:szCs w:val="22"/>
        </w:rPr>
        <w:t xml:space="preserve">originating from </w:t>
      </w:r>
      <w:r w:rsidR="00974C30">
        <w:rPr>
          <w:rFonts w:ascii="Avenir Next" w:hAnsi="Avenir Next" w:cs="Arial"/>
          <w:color w:val="7B7B7B" w:themeColor="accent3" w:themeShade="BF"/>
          <w:sz w:val="22"/>
          <w:szCs w:val="22"/>
        </w:rPr>
        <w:t xml:space="preserve">a certain EU Member State </w:t>
      </w:r>
      <w:r w:rsidR="00CD6E08">
        <w:rPr>
          <w:rFonts w:ascii="Avenir Next" w:hAnsi="Avenir Next" w:cs="Arial"/>
          <w:color w:val="7B7B7B" w:themeColor="accent3" w:themeShade="BF"/>
          <w:sz w:val="22"/>
          <w:szCs w:val="22"/>
        </w:rPr>
        <w:t>in</w:t>
      </w:r>
      <w:r w:rsidR="00974C30">
        <w:rPr>
          <w:rFonts w:ascii="Avenir Next" w:hAnsi="Avenir Next" w:cs="Arial"/>
          <w:color w:val="7B7B7B" w:themeColor="accent3" w:themeShade="BF"/>
          <w:sz w:val="22"/>
          <w:szCs w:val="22"/>
        </w:rPr>
        <w:t xml:space="preserve"> all other </w:t>
      </w:r>
      <w:r w:rsidR="00BB3B47">
        <w:rPr>
          <w:rFonts w:ascii="Avenir Next" w:hAnsi="Avenir Next" w:cs="Arial"/>
          <w:color w:val="7B7B7B" w:themeColor="accent3" w:themeShade="BF"/>
          <w:sz w:val="22"/>
          <w:szCs w:val="22"/>
        </w:rPr>
        <w:t xml:space="preserve">EU </w:t>
      </w:r>
      <w:r w:rsidR="00974C30">
        <w:rPr>
          <w:rFonts w:ascii="Avenir Next" w:hAnsi="Avenir Next" w:cs="Arial"/>
          <w:color w:val="7B7B7B" w:themeColor="accent3" w:themeShade="BF"/>
          <w:sz w:val="22"/>
          <w:szCs w:val="22"/>
        </w:rPr>
        <w:t>Member State</w:t>
      </w:r>
      <w:r w:rsidR="007F6349">
        <w:rPr>
          <w:rFonts w:ascii="Avenir Next" w:hAnsi="Avenir Next" w:cs="Arial"/>
          <w:color w:val="7B7B7B" w:themeColor="accent3" w:themeShade="BF"/>
          <w:sz w:val="22"/>
          <w:szCs w:val="22"/>
        </w:rPr>
        <w:t>s.</w:t>
      </w:r>
    </w:p>
    <w:p w14:paraId="7FC17C22" w14:textId="77777777" w:rsidR="00020AC1" w:rsidRDefault="00020AC1" w:rsidP="002A37BB">
      <w:pPr>
        <w:jc w:val="both"/>
        <w:rPr>
          <w:rFonts w:ascii="Avenir Next" w:hAnsi="Avenir Next" w:cs="Arial"/>
          <w:color w:val="7B7B7B" w:themeColor="accent3" w:themeShade="BF"/>
          <w:sz w:val="22"/>
          <w:szCs w:val="22"/>
        </w:rPr>
      </w:pPr>
    </w:p>
    <w:p w14:paraId="48B8CFFE" w14:textId="06FE0EA4" w:rsidR="00020AC1" w:rsidRDefault="00020AC1" w:rsidP="00DE4430">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Secondly,</w:t>
      </w:r>
      <w:r w:rsidR="00B10548">
        <w:rPr>
          <w:rFonts w:ascii="Avenir Next" w:hAnsi="Avenir Next" w:cs="Arial"/>
          <w:color w:val="7B7B7B" w:themeColor="accent3" w:themeShade="BF"/>
          <w:sz w:val="22"/>
          <w:szCs w:val="22"/>
        </w:rPr>
        <w:t xml:space="preserve"> </w:t>
      </w:r>
      <w:r w:rsidR="005D4DFF">
        <w:rPr>
          <w:rFonts w:ascii="Avenir Next" w:hAnsi="Avenir Next" w:cs="Arial"/>
          <w:color w:val="7B7B7B" w:themeColor="accent3" w:themeShade="BF"/>
          <w:sz w:val="22"/>
          <w:szCs w:val="22"/>
        </w:rPr>
        <w:t>from a substantive perspective, it may be noted that the EIR Recast</w:t>
      </w:r>
      <w:r w:rsidR="005C5E17">
        <w:rPr>
          <w:rFonts w:ascii="Avenir Next" w:hAnsi="Avenir Next" w:cs="Arial"/>
          <w:color w:val="7B7B7B" w:themeColor="accent3" w:themeShade="BF"/>
          <w:sz w:val="22"/>
          <w:szCs w:val="22"/>
        </w:rPr>
        <w:t xml:space="preserve"> </w:t>
      </w:r>
      <w:r w:rsidR="005D4DFF">
        <w:rPr>
          <w:rFonts w:ascii="Avenir Next" w:hAnsi="Avenir Next" w:cs="Arial"/>
          <w:color w:val="7B7B7B" w:themeColor="accent3" w:themeShade="BF"/>
          <w:sz w:val="22"/>
          <w:szCs w:val="22"/>
        </w:rPr>
        <w:t xml:space="preserve">addresses </w:t>
      </w:r>
      <w:r w:rsidR="00DE4430">
        <w:rPr>
          <w:rFonts w:ascii="Avenir Next" w:hAnsi="Avenir Next" w:cs="Arial"/>
          <w:color w:val="7B7B7B" w:themeColor="accent3" w:themeShade="BF"/>
          <w:sz w:val="22"/>
          <w:szCs w:val="22"/>
        </w:rPr>
        <w:t>collective and public in their nature proceedings, which could involve interim proceedings</w:t>
      </w:r>
      <w:r w:rsidR="00017548">
        <w:rPr>
          <w:rFonts w:ascii="Avenir Next" w:hAnsi="Avenir Next" w:cs="Arial"/>
          <w:color w:val="7B7B7B" w:themeColor="accent3" w:themeShade="BF"/>
          <w:sz w:val="22"/>
          <w:szCs w:val="22"/>
        </w:rPr>
        <w:t xml:space="preserve">, </w:t>
      </w:r>
      <w:r w:rsidR="005D05B3">
        <w:rPr>
          <w:rFonts w:ascii="Avenir Next" w:hAnsi="Avenir Next" w:cs="Arial"/>
          <w:color w:val="7B7B7B" w:themeColor="accent3" w:themeShade="BF"/>
          <w:sz w:val="22"/>
          <w:szCs w:val="22"/>
        </w:rPr>
        <w:t>including the</w:t>
      </w:r>
      <w:r w:rsidR="005C5E17">
        <w:rPr>
          <w:rFonts w:ascii="Avenir Next" w:hAnsi="Avenir Next" w:cs="Arial"/>
          <w:color w:val="7B7B7B" w:themeColor="accent3" w:themeShade="BF"/>
          <w:sz w:val="22"/>
          <w:szCs w:val="22"/>
        </w:rPr>
        <w:t>m</w:t>
      </w:r>
      <w:r w:rsidR="00017548">
        <w:rPr>
          <w:rFonts w:ascii="Avenir Next" w:hAnsi="Avenir Next" w:cs="Arial"/>
          <w:color w:val="7B7B7B" w:themeColor="accent3" w:themeShade="BF"/>
          <w:sz w:val="22"/>
          <w:szCs w:val="22"/>
        </w:rPr>
        <w:t xml:space="preserve"> in an exhaustive manner in Annex A</w:t>
      </w:r>
      <w:r w:rsidR="00DE4430">
        <w:rPr>
          <w:rFonts w:ascii="Avenir Next" w:hAnsi="Avenir Next" w:cs="Arial"/>
          <w:color w:val="7B7B7B" w:themeColor="accent3" w:themeShade="BF"/>
          <w:sz w:val="22"/>
          <w:szCs w:val="22"/>
        </w:rPr>
        <w:t>. C</w:t>
      </w:r>
      <w:r w:rsidR="005D4DFF">
        <w:rPr>
          <w:rFonts w:ascii="Avenir Next" w:hAnsi="Avenir Next" w:cs="Arial"/>
          <w:color w:val="7B7B7B" w:themeColor="accent3" w:themeShade="BF"/>
          <w:sz w:val="22"/>
          <w:szCs w:val="22"/>
        </w:rPr>
        <w:t>ontrary to the Regulation, the Directive enables the existence of a variety of restructuring proceedings</w:t>
      </w:r>
      <w:r w:rsidR="00DE4430">
        <w:rPr>
          <w:rFonts w:ascii="Avenir Next" w:hAnsi="Avenir Next" w:cs="Arial"/>
          <w:color w:val="7B7B7B" w:themeColor="accent3" w:themeShade="BF"/>
          <w:sz w:val="22"/>
          <w:szCs w:val="22"/>
        </w:rPr>
        <w:t xml:space="preserve"> through </w:t>
      </w:r>
      <w:r w:rsidR="00CF6608">
        <w:rPr>
          <w:rFonts w:ascii="Avenir Next" w:hAnsi="Avenir Next" w:cs="Arial"/>
          <w:color w:val="7B7B7B" w:themeColor="accent3" w:themeShade="BF"/>
          <w:sz w:val="22"/>
          <w:szCs w:val="22"/>
        </w:rPr>
        <w:t xml:space="preserve">its </w:t>
      </w:r>
      <w:r w:rsidR="00DE4430" w:rsidRPr="00DE4430">
        <w:rPr>
          <w:rFonts w:ascii="Avenir Next" w:hAnsi="Avenir Next" w:cs="Arial"/>
          <w:color w:val="7B7B7B" w:themeColor="accent3" w:themeShade="BF"/>
          <w:sz w:val="22"/>
          <w:szCs w:val="22"/>
        </w:rPr>
        <w:t xml:space="preserve">Article 1(1) </w:t>
      </w:r>
      <w:r w:rsidR="00DE4430">
        <w:rPr>
          <w:rFonts w:ascii="Avenir Next" w:hAnsi="Avenir Next" w:cs="Arial"/>
          <w:color w:val="7B7B7B" w:themeColor="accent3" w:themeShade="BF"/>
          <w:sz w:val="22"/>
          <w:szCs w:val="22"/>
        </w:rPr>
        <w:t xml:space="preserve">which </w:t>
      </w:r>
      <w:r w:rsidR="00DE4430" w:rsidRPr="00DE4430">
        <w:rPr>
          <w:rFonts w:ascii="Avenir Next" w:hAnsi="Avenir Next" w:cs="Arial"/>
          <w:color w:val="7B7B7B" w:themeColor="accent3" w:themeShade="BF"/>
          <w:sz w:val="22"/>
          <w:szCs w:val="22"/>
        </w:rPr>
        <w:t>lists the procedures to be introduced by the Member States</w:t>
      </w:r>
      <w:r w:rsidR="00ED4ED3">
        <w:rPr>
          <w:rFonts w:ascii="Avenir Next" w:hAnsi="Avenir Next" w:cs="Arial"/>
          <w:color w:val="7B7B7B" w:themeColor="accent3" w:themeShade="BF"/>
          <w:sz w:val="22"/>
          <w:szCs w:val="22"/>
        </w:rPr>
        <w:t>.</w:t>
      </w:r>
      <w:r w:rsidR="00DE4430">
        <w:rPr>
          <w:rFonts w:ascii="Avenir Next" w:hAnsi="Avenir Next" w:cs="Arial"/>
          <w:color w:val="7B7B7B" w:themeColor="accent3" w:themeShade="BF"/>
          <w:sz w:val="22"/>
          <w:szCs w:val="22"/>
        </w:rPr>
        <w:t xml:space="preserve"> It follows that </w:t>
      </w:r>
      <w:r w:rsidR="00C73D8E">
        <w:rPr>
          <w:rFonts w:ascii="Avenir Next" w:hAnsi="Avenir Next" w:cs="Arial"/>
          <w:color w:val="7B7B7B" w:themeColor="accent3" w:themeShade="BF"/>
          <w:sz w:val="22"/>
          <w:szCs w:val="22"/>
        </w:rPr>
        <w:t xml:space="preserve">Member States that import the Directive to their respective jurisdictions </w:t>
      </w:r>
      <w:r w:rsidR="00BF661C">
        <w:rPr>
          <w:rFonts w:ascii="Avenir Next" w:hAnsi="Avenir Next" w:cs="Arial"/>
          <w:color w:val="7B7B7B" w:themeColor="accent3" w:themeShade="BF"/>
          <w:sz w:val="22"/>
          <w:szCs w:val="22"/>
        </w:rPr>
        <w:t>have broader discretion</w:t>
      </w:r>
      <w:r w:rsidR="00694C2E">
        <w:rPr>
          <w:rFonts w:ascii="Avenir Next" w:hAnsi="Avenir Next" w:cs="Arial"/>
          <w:color w:val="7B7B7B" w:themeColor="accent3" w:themeShade="BF"/>
          <w:sz w:val="22"/>
          <w:szCs w:val="22"/>
        </w:rPr>
        <w:t xml:space="preserve"> in terms of various preventive restructurings</w:t>
      </w:r>
      <w:r w:rsidR="00BF661C">
        <w:rPr>
          <w:rFonts w:ascii="Avenir Next" w:hAnsi="Avenir Next" w:cs="Arial"/>
          <w:color w:val="7B7B7B" w:themeColor="accent3" w:themeShade="BF"/>
          <w:sz w:val="22"/>
          <w:szCs w:val="22"/>
        </w:rPr>
        <w:t xml:space="preserve"> </w:t>
      </w:r>
      <w:r w:rsidR="007D1E37">
        <w:rPr>
          <w:rFonts w:ascii="Avenir Next" w:hAnsi="Avenir Next" w:cs="Arial"/>
          <w:color w:val="7B7B7B" w:themeColor="accent3" w:themeShade="BF"/>
          <w:sz w:val="22"/>
          <w:szCs w:val="22"/>
        </w:rPr>
        <w:t xml:space="preserve">and </w:t>
      </w:r>
      <w:r w:rsidR="007B284F">
        <w:rPr>
          <w:rFonts w:ascii="Avenir Next" w:hAnsi="Avenir Next" w:cs="Arial"/>
          <w:color w:val="7B7B7B" w:themeColor="accent3" w:themeShade="BF"/>
          <w:sz w:val="22"/>
          <w:szCs w:val="22"/>
        </w:rPr>
        <w:t xml:space="preserve">that </w:t>
      </w:r>
      <w:r w:rsidR="007D1E37">
        <w:rPr>
          <w:rFonts w:ascii="Avenir Next" w:hAnsi="Avenir Next" w:cs="Arial"/>
          <w:color w:val="7B7B7B" w:themeColor="accent3" w:themeShade="BF"/>
          <w:sz w:val="22"/>
          <w:szCs w:val="22"/>
        </w:rPr>
        <w:t>the</w:t>
      </w:r>
      <w:r w:rsidR="007D1E37" w:rsidRPr="007D1E37">
        <w:rPr>
          <w:rFonts w:ascii="Avenir Next" w:hAnsi="Avenir Next" w:cs="Arial"/>
          <w:color w:val="7B7B7B" w:themeColor="accent3" w:themeShade="BF"/>
          <w:sz w:val="22"/>
          <w:szCs w:val="22"/>
        </w:rPr>
        <w:t xml:space="preserve"> Directive </w:t>
      </w:r>
      <w:r w:rsidR="00BB3B47">
        <w:rPr>
          <w:rFonts w:ascii="Avenir Next" w:hAnsi="Avenir Next" w:cs="Arial"/>
          <w:color w:val="7B7B7B" w:themeColor="accent3" w:themeShade="BF"/>
          <w:sz w:val="22"/>
          <w:szCs w:val="22"/>
        </w:rPr>
        <w:t xml:space="preserve">thus </w:t>
      </w:r>
      <w:r w:rsidR="007D1E37">
        <w:rPr>
          <w:rFonts w:ascii="Avenir Next" w:hAnsi="Avenir Next" w:cs="Arial"/>
          <w:color w:val="7B7B7B" w:themeColor="accent3" w:themeShade="BF"/>
          <w:sz w:val="22"/>
          <w:szCs w:val="22"/>
        </w:rPr>
        <w:t>“</w:t>
      </w:r>
      <w:r w:rsidR="007D1E37" w:rsidRPr="007D1E37">
        <w:rPr>
          <w:rFonts w:ascii="Avenir Next" w:hAnsi="Avenir Next" w:cs="Arial"/>
          <w:color w:val="7B7B7B" w:themeColor="accent3" w:themeShade="BF"/>
          <w:sz w:val="22"/>
          <w:szCs w:val="22"/>
        </w:rPr>
        <w:t xml:space="preserve">does not require that procedures within its scope fulfil all the conditions for notification under </w:t>
      </w:r>
      <w:r w:rsidR="007D1E37">
        <w:rPr>
          <w:rFonts w:ascii="Avenir Next" w:hAnsi="Avenir Next" w:cs="Arial"/>
          <w:color w:val="7B7B7B" w:themeColor="accent3" w:themeShade="BF"/>
          <w:sz w:val="22"/>
          <w:szCs w:val="22"/>
        </w:rPr>
        <w:t>Annex A” (</w:t>
      </w:r>
      <w:r w:rsidR="007D4F42">
        <w:rPr>
          <w:rFonts w:ascii="Avenir Next" w:hAnsi="Avenir Next" w:cs="Arial"/>
          <w:color w:val="7B7B7B" w:themeColor="accent3" w:themeShade="BF"/>
          <w:sz w:val="22"/>
          <w:szCs w:val="22"/>
        </w:rPr>
        <w:t xml:space="preserve">see </w:t>
      </w:r>
      <w:r w:rsidR="007D1E37">
        <w:rPr>
          <w:rFonts w:ascii="Avenir Next" w:hAnsi="Avenir Next" w:cs="Arial"/>
          <w:color w:val="7B7B7B" w:themeColor="accent3" w:themeShade="BF"/>
          <w:sz w:val="22"/>
          <w:szCs w:val="22"/>
        </w:rPr>
        <w:t>Recital 13, Directive 2019/1023</w:t>
      </w:r>
      <w:r w:rsidR="00BF373B">
        <w:rPr>
          <w:rFonts w:ascii="Avenir Next" w:hAnsi="Avenir Next" w:cs="Arial"/>
          <w:color w:val="7B7B7B" w:themeColor="accent3" w:themeShade="BF"/>
          <w:sz w:val="22"/>
          <w:szCs w:val="22"/>
        </w:rPr>
        <w:t>)</w:t>
      </w:r>
      <w:r w:rsidR="00B02090">
        <w:rPr>
          <w:rFonts w:ascii="Avenir Next" w:hAnsi="Avenir Next" w:cs="Arial"/>
          <w:color w:val="7B7B7B" w:themeColor="accent3" w:themeShade="BF"/>
          <w:sz w:val="22"/>
          <w:szCs w:val="22"/>
        </w:rPr>
        <w:t>.</w:t>
      </w:r>
    </w:p>
    <w:p w14:paraId="4D051E1E" w14:textId="77777777" w:rsidR="005D4DFF" w:rsidRPr="008C0F4A" w:rsidRDefault="005D4DFF" w:rsidP="002A37BB">
      <w:pPr>
        <w:jc w:val="both"/>
        <w:rPr>
          <w:rFonts w:ascii="Avenir Next" w:hAnsi="Avenir Next" w:cs="Arial"/>
          <w:sz w:val="22"/>
          <w:szCs w:val="22"/>
        </w:rPr>
      </w:pPr>
    </w:p>
    <w:p w14:paraId="4AE7EA78" w14:textId="24C76947" w:rsidR="007D7C92" w:rsidRPr="008E3C96" w:rsidRDefault="007D7C92" w:rsidP="002A37BB">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Spain and Portugal. Its main warehouse is located in Cork, Ireland. All of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By 2014 the company was in financial 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6265A4" w:rsidRDefault="003D17A2" w:rsidP="002A37BB">
      <w:pPr>
        <w:jc w:val="both"/>
        <w:rPr>
          <w:rFonts w:ascii="Avenir Next" w:hAnsi="Avenir Next" w:cs="Arial"/>
          <w:sz w:val="22"/>
          <w:szCs w:val="22"/>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7777777" w:rsidR="00B70CB2" w:rsidRPr="008E3C96" w:rsidRDefault="00B70CB2" w:rsidP="002A37BB">
      <w:pPr>
        <w:jc w:val="both"/>
        <w:rPr>
          <w:rFonts w:ascii="Avenir Next" w:hAnsi="Avenir Next" w:cs="Arial"/>
          <w:sz w:val="22"/>
          <w:szCs w:val="22"/>
          <w:lang w:val="en-GB"/>
        </w:rPr>
      </w:pPr>
    </w:p>
    <w:p w14:paraId="7F1A0E2E" w14:textId="60F88EFF" w:rsidR="00291E06" w:rsidRPr="00A64FE1" w:rsidRDefault="00291E06" w:rsidP="001C6AF3">
      <w:pPr>
        <w:jc w:val="both"/>
        <w:rPr>
          <w:rFonts w:ascii="Avenir Next" w:hAnsi="Avenir Next" w:cs="Arial"/>
          <w:color w:val="7B7B7B" w:themeColor="accent3" w:themeShade="BF"/>
          <w:sz w:val="22"/>
          <w:szCs w:val="22"/>
        </w:rPr>
      </w:pPr>
      <w:r w:rsidRPr="00291E06">
        <w:rPr>
          <w:rFonts w:ascii="Avenir Next" w:hAnsi="Avenir Next" w:cs="Arial"/>
          <w:color w:val="7B7B7B" w:themeColor="accent3" w:themeShade="BF"/>
          <w:sz w:val="22"/>
          <w:szCs w:val="22"/>
        </w:rPr>
        <w:t xml:space="preserve">Within the EIR 2000, the identification of the Member State and subsequently of the court having jurisdiction to open insolvency proceedings </w:t>
      </w:r>
      <w:r w:rsidR="006265A4">
        <w:rPr>
          <w:rFonts w:ascii="Avenir Next" w:hAnsi="Avenir Next" w:cs="Arial"/>
          <w:color w:val="7B7B7B" w:themeColor="accent3" w:themeShade="BF"/>
          <w:sz w:val="22"/>
          <w:szCs w:val="22"/>
        </w:rPr>
        <w:t>i</w:t>
      </w:r>
      <w:r w:rsidRPr="00291E06">
        <w:rPr>
          <w:rFonts w:ascii="Avenir Next" w:hAnsi="Avenir Next" w:cs="Arial"/>
          <w:color w:val="7B7B7B" w:themeColor="accent3" w:themeShade="BF"/>
          <w:sz w:val="22"/>
          <w:szCs w:val="22"/>
        </w:rPr>
        <w:t>s possible via Article 3(1). Pursuant to this Article, the center of the debtor’s main interests determines the jurisdiction of the court to open insolvency proceedings (“main</w:t>
      </w:r>
      <w:r w:rsidR="006265A4">
        <w:rPr>
          <w:rFonts w:ascii="Avenir Next" w:hAnsi="Avenir Next" w:cs="Arial"/>
          <w:color w:val="7B7B7B" w:themeColor="accent3" w:themeShade="BF"/>
          <w:sz w:val="22"/>
          <w:szCs w:val="22"/>
        </w:rPr>
        <w:t xml:space="preserve"> proceedings</w:t>
      </w:r>
      <w:r w:rsidRPr="00291E06">
        <w:rPr>
          <w:rFonts w:ascii="Avenir Next" w:hAnsi="Avenir Next" w:cs="Arial"/>
          <w:color w:val="7B7B7B" w:themeColor="accent3" w:themeShade="BF"/>
          <w:sz w:val="22"/>
          <w:szCs w:val="22"/>
        </w:rPr>
        <w:t xml:space="preserve">”). Article 3(1) goes </w:t>
      </w:r>
      <w:r w:rsidR="006265A4">
        <w:rPr>
          <w:rFonts w:ascii="Avenir Next" w:hAnsi="Avenir Next" w:cs="Arial"/>
          <w:color w:val="7B7B7B" w:themeColor="accent3" w:themeShade="BF"/>
          <w:sz w:val="22"/>
          <w:szCs w:val="22"/>
        </w:rPr>
        <w:t>on</w:t>
      </w:r>
      <w:r w:rsidRPr="00291E06">
        <w:rPr>
          <w:rFonts w:ascii="Avenir Next" w:hAnsi="Avenir Next" w:cs="Arial"/>
          <w:color w:val="7B7B7B" w:themeColor="accent3" w:themeShade="BF"/>
          <w:sz w:val="22"/>
          <w:szCs w:val="22"/>
        </w:rPr>
        <w:t xml:space="preserve"> instituting a presumption that the place of the registered office is the COMI of the legal person debto</w:t>
      </w:r>
      <w:r w:rsidR="007D12C8">
        <w:rPr>
          <w:rFonts w:ascii="Avenir Next" w:hAnsi="Avenir Next" w:cs="Arial"/>
          <w:color w:val="7B7B7B" w:themeColor="accent3" w:themeShade="BF"/>
          <w:sz w:val="22"/>
          <w:szCs w:val="22"/>
        </w:rPr>
        <w:t>r,</w:t>
      </w:r>
      <w:r w:rsidRPr="00291E06">
        <w:rPr>
          <w:rFonts w:ascii="Avenir Next" w:hAnsi="Avenir Next" w:cs="Arial"/>
          <w:color w:val="7B7B7B" w:themeColor="accent3" w:themeShade="BF"/>
          <w:sz w:val="22"/>
          <w:szCs w:val="22"/>
        </w:rPr>
        <w:t xml:space="preserve"> </w:t>
      </w:r>
      <w:r w:rsidR="00926EF6">
        <w:rPr>
          <w:rFonts w:ascii="Avenir Next" w:hAnsi="Avenir Next" w:cs="Arial"/>
          <w:color w:val="7B7B7B" w:themeColor="accent3" w:themeShade="BF"/>
          <w:sz w:val="22"/>
          <w:szCs w:val="22"/>
        </w:rPr>
        <w:t>absent</w:t>
      </w:r>
      <w:r w:rsidRPr="00291E06">
        <w:rPr>
          <w:rFonts w:ascii="Avenir Next" w:hAnsi="Avenir Next" w:cs="Arial"/>
          <w:color w:val="7B7B7B" w:themeColor="accent3" w:themeShade="BF"/>
          <w:sz w:val="22"/>
          <w:szCs w:val="22"/>
        </w:rPr>
        <w:t xml:space="preserve"> proof to the contrary. As set forth in Recital 15, the rules established in the EIR 2000 focus only on the international jurisdiction and not</w:t>
      </w:r>
      <w:r w:rsidR="006265A4">
        <w:rPr>
          <w:rFonts w:ascii="Avenir Next" w:hAnsi="Avenir Next" w:cs="Arial"/>
          <w:color w:val="7B7B7B" w:themeColor="accent3" w:themeShade="BF"/>
          <w:sz w:val="22"/>
          <w:szCs w:val="22"/>
        </w:rPr>
        <w:t xml:space="preserve"> on</w:t>
      </w:r>
      <w:r w:rsidRPr="00291E06">
        <w:rPr>
          <w:rFonts w:ascii="Avenir Next" w:hAnsi="Avenir Next" w:cs="Arial"/>
          <w:color w:val="7B7B7B" w:themeColor="accent3" w:themeShade="BF"/>
          <w:sz w:val="22"/>
          <w:szCs w:val="22"/>
        </w:rPr>
        <w:t xml:space="preserve"> the territorial jurisdiction in the Member State concerned. </w:t>
      </w:r>
      <w:r w:rsidR="004B062B">
        <w:rPr>
          <w:rFonts w:ascii="Avenir Next" w:hAnsi="Avenir Next" w:cs="Arial"/>
          <w:color w:val="7B7B7B" w:themeColor="accent3" w:themeShade="BF"/>
          <w:sz w:val="22"/>
          <w:szCs w:val="22"/>
        </w:rPr>
        <w:t xml:space="preserve">In this </w:t>
      </w:r>
      <w:r w:rsidR="00163214">
        <w:rPr>
          <w:rFonts w:ascii="Avenir Next" w:hAnsi="Avenir Next" w:cs="Arial"/>
          <w:color w:val="7B7B7B" w:themeColor="accent3" w:themeShade="BF"/>
          <w:sz w:val="22"/>
          <w:szCs w:val="22"/>
        </w:rPr>
        <w:t>regard</w:t>
      </w:r>
      <w:r w:rsidR="004B062B">
        <w:rPr>
          <w:rFonts w:ascii="Avenir Next" w:hAnsi="Avenir Next" w:cs="Arial"/>
          <w:color w:val="7B7B7B" w:themeColor="accent3" w:themeShade="BF"/>
          <w:sz w:val="22"/>
          <w:szCs w:val="22"/>
        </w:rPr>
        <w:t>, the territorial jurisdiction is determined by domestic law of th</w:t>
      </w:r>
      <w:r w:rsidR="000709BA">
        <w:rPr>
          <w:rFonts w:ascii="Avenir Next" w:hAnsi="Avenir Next" w:cs="Arial"/>
          <w:color w:val="7B7B7B" w:themeColor="accent3" w:themeShade="BF"/>
          <w:sz w:val="22"/>
          <w:szCs w:val="22"/>
        </w:rPr>
        <w:t>at</w:t>
      </w:r>
      <w:r w:rsidR="004B062B">
        <w:rPr>
          <w:rFonts w:ascii="Avenir Next" w:hAnsi="Avenir Next" w:cs="Arial"/>
          <w:color w:val="7B7B7B" w:themeColor="accent3" w:themeShade="BF"/>
          <w:sz w:val="22"/>
          <w:szCs w:val="22"/>
        </w:rPr>
        <w:t xml:space="preserve"> Member</w:t>
      </w:r>
      <w:r w:rsidR="00163214">
        <w:rPr>
          <w:rFonts w:ascii="Avenir Next" w:hAnsi="Avenir Next" w:cs="Arial"/>
          <w:color w:val="7B7B7B" w:themeColor="accent3" w:themeShade="BF"/>
          <w:sz w:val="22"/>
          <w:szCs w:val="22"/>
        </w:rPr>
        <w:t xml:space="preserve"> </w:t>
      </w:r>
      <w:r w:rsidR="004B062B">
        <w:rPr>
          <w:rFonts w:ascii="Avenir Next" w:hAnsi="Avenir Next" w:cs="Arial"/>
          <w:color w:val="7B7B7B" w:themeColor="accent3" w:themeShade="BF"/>
          <w:sz w:val="22"/>
          <w:szCs w:val="22"/>
        </w:rPr>
        <w:t xml:space="preserve">State. </w:t>
      </w:r>
      <w:r w:rsidRPr="00291E06">
        <w:rPr>
          <w:rFonts w:ascii="Avenir Next" w:hAnsi="Avenir Next" w:cs="Arial"/>
          <w:color w:val="7B7B7B" w:themeColor="accent3" w:themeShade="BF"/>
          <w:sz w:val="22"/>
          <w:szCs w:val="22"/>
        </w:rPr>
        <w:t xml:space="preserve">Pursuant to Recital 13, “[t]he "centre of main interests" should correspond to the place where the debtor conducts the administration of his interests on a regular basis and is therefore ascertainable by third parties” (Recital 13, EIR 2000). Important case law by the CJEU has shaped the meaning of COMI. In </w:t>
      </w:r>
      <w:r w:rsidRPr="00291E06">
        <w:rPr>
          <w:rFonts w:ascii="Avenir Next" w:hAnsi="Avenir Next" w:cs="Arial"/>
          <w:i/>
          <w:iCs/>
          <w:color w:val="7B7B7B" w:themeColor="accent3" w:themeShade="BF"/>
          <w:sz w:val="22"/>
          <w:szCs w:val="22"/>
        </w:rPr>
        <w:t>Eurofood</w:t>
      </w:r>
      <w:r w:rsidR="006265A4">
        <w:rPr>
          <w:rFonts w:ascii="Avenir Next" w:hAnsi="Avenir Next" w:cs="Arial"/>
          <w:i/>
          <w:iCs/>
          <w:color w:val="7B7B7B" w:themeColor="accent3" w:themeShade="BF"/>
          <w:sz w:val="22"/>
          <w:szCs w:val="22"/>
        </w:rPr>
        <w:t xml:space="preserve"> IFSC Ltd</w:t>
      </w:r>
      <w:r w:rsidRPr="00291E06">
        <w:rPr>
          <w:rFonts w:ascii="Avenir Next" w:hAnsi="Avenir Next" w:cs="Arial"/>
          <w:color w:val="7B7B7B" w:themeColor="accent3" w:themeShade="BF"/>
          <w:sz w:val="22"/>
          <w:szCs w:val="22"/>
        </w:rPr>
        <w:t xml:space="preserve"> (Case C-341/04, ECLI:EU:C:2006:281 (May 2, 2006))</w:t>
      </w:r>
      <w:r w:rsidR="00591457">
        <w:rPr>
          <w:rFonts w:ascii="Avenir Next" w:hAnsi="Avenir Next" w:cs="Arial"/>
          <w:color w:val="7B7B7B" w:themeColor="accent3" w:themeShade="BF"/>
          <w:sz w:val="22"/>
          <w:szCs w:val="22"/>
        </w:rPr>
        <w:t>,</w:t>
      </w:r>
      <w:r w:rsidRPr="00291E06">
        <w:rPr>
          <w:rFonts w:ascii="Avenir Next" w:hAnsi="Avenir Next" w:cs="Arial"/>
          <w:color w:val="7B7B7B" w:themeColor="accent3" w:themeShade="BF"/>
          <w:sz w:val="22"/>
          <w:szCs w:val="22"/>
        </w:rPr>
        <w:t xml:space="preserve"> the court noted the independent nature of the concept of COMI and the significance of examining the elements of ascertainability </w:t>
      </w:r>
      <w:r w:rsidR="004B062B" w:rsidRPr="00291E06">
        <w:rPr>
          <w:rFonts w:ascii="Avenir Next" w:hAnsi="Avenir Next" w:cs="Arial"/>
          <w:color w:val="7B7B7B" w:themeColor="accent3" w:themeShade="BF"/>
          <w:sz w:val="22"/>
          <w:szCs w:val="22"/>
        </w:rPr>
        <w:t xml:space="preserve">by third parties </w:t>
      </w:r>
      <w:r w:rsidRPr="00291E06">
        <w:rPr>
          <w:rFonts w:ascii="Avenir Next" w:hAnsi="Avenir Next" w:cs="Arial"/>
          <w:color w:val="7B7B7B" w:themeColor="accent3" w:themeShade="BF"/>
          <w:sz w:val="22"/>
          <w:szCs w:val="22"/>
        </w:rPr>
        <w:t>and objectivit</w:t>
      </w:r>
      <w:r w:rsidR="004B062B">
        <w:rPr>
          <w:rFonts w:ascii="Avenir Next" w:hAnsi="Avenir Next" w:cs="Arial"/>
          <w:color w:val="7B7B7B" w:themeColor="accent3" w:themeShade="BF"/>
          <w:sz w:val="22"/>
          <w:szCs w:val="22"/>
        </w:rPr>
        <w:t>y.</w:t>
      </w:r>
      <w:r w:rsidR="006265A4">
        <w:rPr>
          <w:rFonts w:ascii="Avenir Next" w:hAnsi="Avenir Next" w:cs="Arial"/>
          <w:color w:val="7B7B7B" w:themeColor="accent3" w:themeShade="BF"/>
          <w:sz w:val="22"/>
          <w:szCs w:val="22"/>
        </w:rPr>
        <w:t xml:space="preserve"> In </w:t>
      </w:r>
      <w:r w:rsidR="00A64FE1">
        <w:rPr>
          <w:rFonts w:ascii="Avenir Next" w:hAnsi="Avenir Next" w:cs="Arial"/>
          <w:i/>
          <w:iCs/>
          <w:color w:val="7B7B7B" w:themeColor="accent3" w:themeShade="BF"/>
          <w:sz w:val="22"/>
          <w:szCs w:val="22"/>
        </w:rPr>
        <w:t>Interedil Srl v Fallimento Interedil Srl</w:t>
      </w:r>
      <w:r w:rsidR="00A64FE1">
        <w:rPr>
          <w:rFonts w:ascii="Avenir Next" w:hAnsi="Avenir Next" w:cs="Arial"/>
          <w:color w:val="7B7B7B" w:themeColor="accent3" w:themeShade="BF"/>
          <w:sz w:val="22"/>
          <w:szCs w:val="22"/>
        </w:rPr>
        <w:t xml:space="preserve"> (Case C-396/09, ECLI:EU:C:2011:671 (Oct. 20, 2011)</w:t>
      </w:r>
      <w:r w:rsidR="00B726D1">
        <w:rPr>
          <w:rFonts w:ascii="Avenir Next" w:hAnsi="Avenir Next" w:cs="Arial"/>
          <w:color w:val="7B7B7B" w:themeColor="accent3" w:themeShade="BF"/>
          <w:sz w:val="22"/>
          <w:szCs w:val="22"/>
        </w:rPr>
        <w:t>)</w:t>
      </w:r>
      <w:r w:rsidR="00B23425">
        <w:rPr>
          <w:rFonts w:ascii="Avenir Next" w:hAnsi="Avenir Next" w:cs="Arial"/>
          <w:color w:val="7B7B7B" w:themeColor="accent3" w:themeShade="BF"/>
          <w:sz w:val="22"/>
          <w:szCs w:val="22"/>
        </w:rPr>
        <w:t xml:space="preserve">, the </w:t>
      </w:r>
      <w:r w:rsidR="008C4B5A">
        <w:rPr>
          <w:rFonts w:ascii="Avenir Next" w:hAnsi="Avenir Next" w:cs="Arial"/>
          <w:color w:val="7B7B7B" w:themeColor="accent3" w:themeShade="BF"/>
          <w:sz w:val="22"/>
          <w:szCs w:val="22"/>
        </w:rPr>
        <w:t>CJEU</w:t>
      </w:r>
      <w:r w:rsidR="00B23425">
        <w:rPr>
          <w:rFonts w:ascii="Avenir Next" w:hAnsi="Avenir Next" w:cs="Arial"/>
          <w:color w:val="7B7B7B" w:themeColor="accent3" w:themeShade="BF"/>
          <w:sz w:val="22"/>
          <w:szCs w:val="22"/>
        </w:rPr>
        <w:t xml:space="preserve"> stated that i</w:t>
      </w:r>
      <w:r w:rsidR="00B726D1">
        <w:rPr>
          <w:rFonts w:ascii="Avenir Next" w:hAnsi="Avenir Next" w:cs="Arial"/>
          <w:color w:val="7B7B7B" w:themeColor="accent3" w:themeShade="BF"/>
          <w:sz w:val="22"/>
          <w:szCs w:val="22"/>
        </w:rPr>
        <w:t xml:space="preserve">f </w:t>
      </w:r>
      <w:r w:rsidR="00B23425">
        <w:rPr>
          <w:rFonts w:ascii="Avenir Next" w:hAnsi="Avenir Next" w:cs="Arial"/>
          <w:color w:val="7B7B7B" w:themeColor="accent3" w:themeShade="BF"/>
          <w:sz w:val="22"/>
          <w:szCs w:val="22"/>
        </w:rPr>
        <w:t>the supervision</w:t>
      </w:r>
      <w:r w:rsidR="003F56F7">
        <w:rPr>
          <w:rFonts w:ascii="Avenir Next" w:hAnsi="Avenir Next" w:cs="Arial"/>
          <w:color w:val="7B7B7B" w:themeColor="accent3" w:themeShade="BF"/>
          <w:sz w:val="22"/>
          <w:szCs w:val="22"/>
        </w:rPr>
        <w:t>,</w:t>
      </w:r>
      <w:r w:rsidR="004B50BA">
        <w:rPr>
          <w:rFonts w:ascii="Avenir Next" w:hAnsi="Avenir Next" w:cs="Arial"/>
          <w:color w:val="7B7B7B" w:themeColor="accent3" w:themeShade="BF"/>
          <w:sz w:val="22"/>
          <w:szCs w:val="22"/>
        </w:rPr>
        <w:t xml:space="preserve"> </w:t>
      </w:r>
      <w:r w:rsidR="003F56F7">
        <w:rPr>
          <w:rFonts w:ascii="Avenir Next" w:hAnsi="Avenir Next" w:cs="Arial"/>
          <w:color w:val="7B7B7B" w:themeColor="accent3" w:themeShade="BF"/>
          <w:sz w:val="22"/>
          <w:szCs w:val="22"/>
        </w:rPr>
        <w:t>decision-making</w:t>
      </w:r>
      <w:r w:rsidR="00B23425">
        <w:rPr>
          <w:rFonts w:ascii="Avenir Next" w:hAnsi="Avenir Next" w:cs="Arial"/>
          <w:color w:val="7B7B7B" w:themeColor="accent3" w:themeShade="BF"/>
          <w:sz w:val="22"/>
          <w:szCs w:val="22"/>
        </w:rPr>
        <w:t xml:space="preserve"> and management are in </w:t>
      </w:r>
      <w:r w:rsidR="003F56F7">
        <w:rPr>
          <w:rFonts w:ascii="Avenir Next" w:hAnsi="Avenir Next" w:cs="Arial"/>
          <w:color w:val="7B7B7B" w:themeColor="accent3" w:themeShade="BF"/>
          <w:sz w:val="22"/>
          <w:szCs w:val="22"/>
        </w:rPr>
        <w:t>the same location as the debtor’s registered office</w:t>
      </w:r>
      <w:r w:rsidR="008E79F0">
        <w:rPr>
          <w:rFonts w:ascii="Avenir Next" w:hAnsi="Avenir Next" w:cs="Arial"/>
          <w:color w:val="7B7B7B" w:themeColor="accent3" w:themeShade="BF"/>
          <w:sz w:val="22"/>
          <w:szCs w:val="22"/>
        </w:rPr>
        <w:t>,</w:t>
      </w:r>
      <w:r w:rsidR="003F56F7">
        <w:rPr>
          <w:rFonts w:ascii="Avenir Next" w:hAnsi="Avenir Next" w:cs="Arial"/>
          <w:color w:val="7B7B7B" w:themeColor="accent3" w:themeShade="BF"/>
          <w:sz w:val="22"/>
          <w:szCs w:val="22"/>
        </w:rPr>
        <w:t xml:space="preserve"> then the presumption concerning the registered office is “irrefutable” (see para. 50 of the CJEU judgment</w:t>
      </w:r>
      <w:r w:rsidR="008C34D9">
        <w:rPr>
          <w:rFonts w:ascii="Avenir Next" w:hAnsi="Avenir Next" w:cs="Arial"/>
          <w:color w:val="7B7B7B" w:themeColor="accent3" w:themeShade="BF"/>
          <w:sz w:val="22"/>
          <w:szCs w:val="22"/>
        </w:rPr>
        <w:t>)</w:t>
      </w:r>
      <w:r w:rsidR="00B55B03">
        <w:rPr>
          <w:rFonts w:ascii="Avenir Next" w:hAnsi="Avenir Next" w:cs="Arial"/>
          <w:color w:val="7B7B7B" w:themeColor="accent3" w:themeShade="BF"/>
          <w:sz w:val="22"/>
          <w:szCs w:val="22"/>
        </w:rPr>
        <w:t>.</w:t>
      </w:r>
    </w:p>
    <w:p w14:paraId="5C07779E" w14:textId="77777777" w:rsidR="00291E06" w:rsidRDefault="00291E06" w:rsidP="001C6AF3">
      <w:pPr>
        <w:jc w:val="both"/>
        <w:rPr>
          <w:rFonts w:ascii="Avenir Next" w:hAnsi="Avenir Next" w:cs="Arial"/>
          <w:color w:val="7B7B7B" w:themeColor="accent3" w:themeShade="BF"/>
          <w:sz w:val="22"/>
          <w:szCs w:val="22"/>
        </w:rPr>
      </w:pPr>
    </w:p>
    <w:p w14:paraId="23233BE4" w14:textId="10BE07CA" w:rsidR="001C6AF3" w:rsidRPr="001C6AF3" w:rsidRDefault="00D33B8C" w:rsidP="001C6AF3">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As per </w:t>
      </w:r>
      <w:r w:rsidR="00E0314F">
        <w:rPr>
          <w:rFonts w:ascii="Avenir Next" w:hAnsi="Avenir Next" w:cs="Arial"/>
          <w:color w:val="7B7B7B" w:themeColor="accent3" w:themeShade="BF"/>
          <w:sz w:val="22"/>
          <w:szCs w:val="22"/>
        </w:rPr>
        <w:t xml:space="preserve">the </w:t>
      </w:r>
      <w:r w:rsidR="005B07E2">
        <w:rPr>
          <w:rFonts w:ascii="Avenir Next" w:hAnsi="Avenir Next" w:cs="Arial"/>
          <w:color w:val="7B7B7B" w:themeColor="accent3" w:themeShade="BF"/>
          <w:sz w:val="22"/>
          <w:szCs w:val="22"/>
        </w:rPr>
        <w:t xml:space="preserve">scope of the </w:t>
      </w:r>
      <w:r w:rsidR="00E0314F">
        <w:rPr>
          <w:rFonts w:ascii="Avenir Next" w:hAnsi="Avenir Next" w:cs="Arial"/>
          <w:color w:val="7B7B7B" w:themeColor="accent3" w:themeShade="BF"/>
          <w:sz w:val="22"/>
          <w:szCs w:val="22"/>
        </w:rPr>
        <w:t xml:space="preserve">EIR 2000, </w:t>
      </w:r>
      <w:r w:rsidR="000709BA">
        <w:rPr>
          <w:rFonts w:ascii="Avenir Next" w:hAnsi="Avenir Next" w:cs="Arial"/>
          <w:color w:val="7B7B7B" w:themeColor="accent3" w:themeShade="BF"/>
          <w:sz w:val="22"/>
          <w:szCs w:val="22"/>
        </w:rPr>
        <w:t>the Regulation</w:t>
      </w:r>
      <w:r w:rsidR="00E0314F">
        <w:rPr>
          <w:rFonts w:ascii="Avenir Next" w:hAnsi="Avenir Next" w:cs="Arial"/>
          <w:color w:val="7B7B7B" w:themeColor="accent3" w:themeShade="BF"/>
          <w:sz w:val="22"/>
          <w:szCs w:val="22"/>
        </w:rPr>
        <w:t xml:space="preserve"> </w:t>
      </w:r>
      <w:r w:rsidR="007F003A">
        <w:rPr>
          <w:rFonts w:ascii="Avenir Next" w:hAnsi="Avenir Next" w:cs="Arial"/>
          <w:color w:val="7B7B7B" w:themeColor="accent3" w:themeShade="BF"/>
          <w:sz w:val="22"/>
          <w:szCs w:val="22"/>
        </w:rPr>
        <w:t>was</w:t>
      </w:r>
      <w:r w:rsidR="00E0314F">
        <w:rPr>
          <w:rFonts w:ascii="Avenir Next" w:hAnsi="Avenir Next" w:cs="Arial"/>
          <w:color w:val="7B7B7B" w:themeColor="accent3" w:themeShade="BF"/>
          <w:sz w:val="22"/>
          <w:szCs w:val="22"/>
        </w:rPr>
        <w:t xml:space="preserve"> adopted in May 2000 </w:t>
      </w:r>
      <w:r w:rsidR="001901BA">
        <w:rPr>
          <w:rFonts w:ascii="Avenir Next" w:hAnsi="Avenir Next" w:cs="Arial"/>
          <w:color w:val="7B7B7B" w:themeColor="accent3" w:themeShade="BF"/>
          <w:sz w:val="22"/>
          <w:szCs w:val="22"/>
        </w:rPr>
        <w:t>and has been made</w:t>
      </w:r>
      <w:r w:rsidR="00E0314F">
        <w:rPr>
          <w:rFonts w:ascii="Avenir Next" w:hAnsi="Avenir Next" w:cs="Arial"/>
          <w:color w:val="7B7B7B" w:themeColor="accent3" w:themeShade="BF"/>
          <w:sz w:val="22"/>
          <w:szCs w:val="22"/>
        </w:rPr>
        <w:t xml:space="preserve"> directly applicable in all Member-States of the European Union (except Denmark). </w:t>
      </w:r>
      <w:r w:rsidR="007F003A">
        <w:rPr>
          <w:rFonts w:ascii="Avenir Next" w:hAnsi="Avenir Next" w:cs="Arial"/>
          <w:color w:val="7B7B7B" w:themeColor="accent3" w:themeShade="BF"/>
          <w:sz w:val="22"/>
          <w:szCs w:val="22"/>
        </w:rPr>
        <w:t xml:space="preserve">The </w:t>
      </w:r>
      <w:r w:rsidR="00C44A6A">
        <w:rPr>
          <w:rFonts w:ascii="Avenir Next" w:hAnsi="Avenir Next" w:cs="Arial"/>
          <w:color w:val="7B7B7B" w:themeColor="accent3" w:themeShade="BF"/>
          <w:sz w:val="22"/>
          <w:szCs w:val="22"/>
        </w:rPr>
        <w:t xml:space="preserve">Annexes </w:t>
      </w:r>
      <w:r w:rsidR="007F003A">
        <w:rPr>
          <w:rFonts w:ascii="Avenir Next" w:hAnsi="Avenir Next" w:cs="Arial"/>
          <w:color w:val="7B7B7B" w:themeColor="accent3" w:themeShade="BF"/>
          <w:sz w:val="22"/>
          <w:szCs w:val="22"/>
        </w:rPr>
        <w:t>included</w:t>
      </w:r>
      <w:r w:rsidR="00C44A6A">
        <w:rPr>
          <w:rFonts w:ascii="Avenir Next" w:hAnsi="Avenir Next" w:cs="Arial"/>
          <w:color w:val="7B7B7B" w:themeColor="accent3" w:themeShade="BF"/>
          <w:sz w:val="22"/>
          <w:szCs w:val="22"/>
        </w:rPr>
        <w:t xml:space="preserve"> in the Regulation serve to guide and assist courts and liquidators as to whether a certain liquidator or insolvency proceeding </w:t>
      </w:r>
      <w:r w:rsidR="001C6AF3">
        <w:rPr>
          <w:rFonts w:ascii="Avenir Next" w:hAnsi="Avenir Next" w:cs="Arial"/>
          <w:color w:val="7B7B7B" w:themeColor="accent3" w:themeShade="BF"/>
          <w:sz w:val="22"/>
          <w:szCs w:val="22"/>
        </w:rPr>
        <w:t>is</w:t>
      </w:r>
      <w:r w:rsidR="00C44A6A">
        <w:rPr>
          <w:rFonts w:ascii="Avenir Next" w:hAnsi="Avenir Next" w:cs="Arial"/>
          <w:color w:val="7B7B7B" w:themeColor="accent3" w:themeShade="BF"/>
          <w:sz w:val="22"/>
          <w:szCs w:val="22"/>
        </w:rPr>
        <w:t xml:space="preserve"> covered by the scope of the Insolvency Regulation of 2000. </w:t>
      </w:r>
      <w:r w:rsidR="000D2F20">
        <w:rPr>
          <w:rFonts w:ascii="Avenir Next" w:hAnsi="Avenir Next" w:cs="Arial"/>
          <w:color w:val="7B7B7B" w:themeColor="accent3" w:themeShade="BF"/>
          <w:sz w:val="22"/>
          <w:szCs w:val="22"/>
        </w:rPr>
        <w:t xml:space="preserve">As stated in </w:t>
      </w:r>
      <w:r w:rsidR="000D2F20" w:rsidRPr="001C6AF3">
        <w:rPr>
          <w:rFonts w:ascii="Avenir Next" w:hAnsi="Avenir Next" w:cs="Arial"/>
          <w:color w:val="7B7B7B" w:themeColor="accent3" w:themeShade="BF"/>
          <w:sz w:val="22"/>
          <w:szCs w:val="22"/>
        </w:rPr>
        <w:t>Article 2</w:t>
      </w:r>
      <w:r w:rsidR="000D2F20">
        <w:rPr>
          <w:rFonts w:ascii="Avenir Next" w:hAnsi="Avenir Next" w:cs="Arial"/>
          <w:color w:val="7B7B7B" w:themeColor="accent3" w:themeShade="BF"/>
          <w:sz w:val="22"/>
          <w:szCs w:val="22"/>
        </w:rPr>
        <w:t xml:space="preserve"> of the EIR 2000, in the context of the relevant d</w:t>
      </w:r>
      <w:r w:rsidR="000D2F20" w:rsidRPr="001C6AF3">
        <w:rPr>
          <w:rFonts w:ascii="Avenir Next" w:hAnsi="Avenir Next" w:cs="Arial"/>
          <w:color w:val="7B7B7B" w:themeColor="accent3" w:themeShade="BF"/>
          <w:sz w:val="22"/>
          <w:szCs w:val="22"/>
        </w:rPr>
        <w:t>efini</w:t>
      </w:r>
      <w:r w:rsidR="000D2F20">
        <w:rPr>
          <w:rFonts w:ascii="Avenir Next" w:hAnsi="Avenir Next" w:cs="Arial"/>
          <w:color w:val="7B7B7B" w:themeColor="accent3" w:themeShade="BF"/>
          <w:sz w:val="22"/>
          <w:szCs w:val="22"/>
        </w:rPr>
        <w:t xml:space="preserve">tions, paragraph (a) refers to insolvency proceedings as those are enumerated in Annex A of the European Insolvency Regulation of 2000. In fact, the crucial role of Annex A has been explained in Case C-116/11, </w:t>
      </w:r>
      <w:r w:rsidR="000D2F20">
        <w:rPr>
          <w:rFonts w:ascii="Avenir Next" w:hAnsi="Avenir Next" w:cs="Arial"/>
          <w:i/>
          <w:iCs/>
          <w:color w:val="7B7B7B" w:themeColor="accent3" w:themeShade="BF"/>
          <w:sz w:val="22"/>
          <w:szCs w:val="22"/>
        </w:rPr>
        <w:t xml:space="preserve">Bank Handlowy w Warszawie SA v Christianapol sp. z o. o. </w:t>
      </w:r>
      <w:r w:rsidR="000D2F20" w:rsidRPr="00A6490F">
        <w:rPr>
          <w:rFonts w:ascii="Avenir Next" w:hAnsi="Avenir Next" w:cs="Arial"/>
          <w:color w:val="7B7B7B" w:themeColor="accent3" w:themeShade="BF"/>
          <w:sz w:val="22"/>
          <w:szCs w:val="22"/>
        </w:rPr>
        <w:t>(ECLI:EU:C:2012:739)</w:t>
      </w:r>
      <w:r w:rsidR="000D2F20">
        <w:rPr>
          <w:rFonts w:ascii="Avenir Next" w:hAnsi="Avenir Next" w:cs="Arial"/>
          <w:i/>
          <w:iCs/>
          <w:color w:val="7B7B7B" w:themeColor="accent3" w:themeShade="BF"/>
          <w:sz w:val="22"/>
          <w:szCs w:val="22"/>
        </w:rPr>
        <w:t xml:space="preserve"> </w:t>
      </w:r>
      <w:r w:rsidR="000D2F20">
        <w:rPr>
          <w:rFonts w:ascii="Avenir Next" w:hAnsi="Avenir Next" w:cs="Arial"/>
          <w:color w:val="7B7B7B" w:themeColor="accent3" w:themeShade="BF"/>
          <w:sz w:val="22"/>
          <w:szCs w:val="22"/>
        </w:rPr>
        <w:t xml:space="preserve">(Nov. 22, 2012). In that case, the CJEU stated that “once proceedings are listed in Annex A to the Regulation, they must be regarded as coming within the scope of the Regulation. Inclusion in the list has the direct, binding effect attaching to the provisions of a regulation”. </w:t>
      </w:r>
      <w:r w:rsidR="00036835">
        <w:rPr>
          <w:rFonts w:ascii="Avenir Next" w:hAnsi="Avenir Next" w:cs="Arial"/>
          <w:color w:val="7B7B7B" w:themeColor="accent3" w:themeShade="BF"/>
          <w:sz w:val="22"/>
          <w:szCs w:val="22"/>
        </w:rPr>
        <w:t xml:space="preserve">It is important to note that the authoritative interpretations of the EIR </w:t>
      </w:r>
      <w:r w:rsidR="00036835">
        <w:rPr>
          <w:rFonts w:ascii="Avenir Next" w:hAnsi="Avenir Next" w:cs="Arial"/>
          <w:color w:val="7B7B7B" w:themeColor="accent3" w:themeShade="BF"/>
          <w:sz w:val="22"/>
          <w:szCs w:val="22"/>
        </w:rPr>
        <w:lastRenderedPageBreak/>
        <w:t xml:space="preserve">2000 by the Court of Justice of the European Union </w:t>
      </w:r>
      <w:r w:rsidR="001901BA">
        <w:rPr>
          <w:rFonts w:ascii="Avenir Next" w:hAnsi="Avenir Next" w:cs="Arial"/>
          <w:color w:val="7B7B7B" w:themeColor="accent3" w:themeShade="BF"/>
          <w:sz w:val="22"/>
          <w:szCs w:val="22"/>
        </w:rPr>
        <w:t xml:space="preserve">(CJEU) </w:t>
      </w:r>
      <w:r w:rsidR="00036835">
        <w:rPr>
          <w:rFonts w:ascii="Avenir Next" w:hAnsi="Avenir Next" w:cs="Arial"/>
          <w:color w:val="7B7B7B" w:themeColor="accent3" w:themeShade="BF"/>
          <w:sz w:val="22"/>
          <w:szCs w:val="22"/>
        </w:rPr>
        <w:t>remain relevant also in the context of the EIR Recast.</w:t>
      </w:r>
    </w:p>
    <w:p w14:paraId="6FA928B7" w14:textId="77777777" w:rsidR="00D33B8C" w:rsidRDefault="00D33B8C" w:rsidP="002A37BB">
      <w:pPr>
        <w:jc w:val="both"/>
        <w:rPr>
          <w:rFonts w:ascii="Avenir Next" w:hAnsi="Avenir Next" w:cs="Arial"/>
          <w:color w:val="7B7B7B" w:themeColor="accent3" w:themeShade="BF"/>
          <w:sz w:val="22"/>
          <w:szCs w:val="22"/>
        </w:rPr>
      </w:pPr>
    </w:p>
    <w:p w14:paraId="024CB965" w14:textId="262ECA0A" w:rsidR="00056E9E" w:rsidRPr="001D3BD5" w:rsidRDefault="00466356" w:rsidP="001D3BD5">
      <w:pPr>
        <w:jc w:val="both"/>
        <w:rPr>
          <w:rFonts w:ascii="Avenir Next" w:hAnsi="Avenir Next" w:cs="Arial"/>
          <w:color w:val="7B7B7B" w:themeColor="accent3" w:themeShade="BF"/>
          <w:sz w:val="22"/>
          <w:szCs w:val="22"/>
        </w:rPr>
      </w:pPr>
      <w:r w:rsidRPr="00466356">
        <w:rPr>
          <w:rFonts w:ascii="Avenir Next" w:hAnsi="Avenir Next" w:cs="Arial"/>
          <w:color w:val="7B7B7B" w:themeColor="accent3" w:themeShade="BF"/>
          <w:sz w:val="22"/>
          <w:szCs w:val="22"/>
        </w:rPr>
        <w:t xml:space="preserve">According to the facts of the case, Bella SARL is a company registered in France that trades in cosmetic products. In 2010, a first store was opened in Strasbourg (France) and warehouses were established </w:t>
      </w:r>
      <w:r>
        <w:rPr>
          <w:rFonts w:ascii="Avenir Next" w:hAnsi="Avenir Next" w:cs="Arial"/>
          <w:color w:val="7B7B7B" w:themeColor="accent3" w:themeShade="BF"/>
          <w:sz w:val="22"/>
          <w:szCs w:val="22"/>
        </w:rPr>
        <w:t>across the</w:t>
      </w:r>
      <w:r w:rsidRPr="00466356">
        <w:rPr>
          <w:rFonts w:ascii="Avenir Next" w:hAnsi="Avenir Next" w:cs="Arial"/>
          <w:color w:val="7B7B7B" w:themeColor="accent3" w:themeShade="BF"/>
          <w:sz w:val="22"/>
          <w:szCs w:val="22"/>
        </w:rPr>
        <w:t xml:space="preserve"> Europe</w:t>
      </w:r>
      <w:r>
        <w:rPr>
          <w:rFonts w:ascii="Avenir Next" w:hAnsi="Avenir Next" w:cs="Arial"/>
          <w:color w:val="7B7B7B" w:themeColor="accent3" w:themeShade="BF"/>
          <w:sz w:val="22"/>
          <w:szCs w:val="22"/>
        </w:rPr>
        <w:t>an region</w:t>
      </w:r>
      <w:r w:rsidRPr="00466356">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notably</w:t>
      </w:r>
      <w:r w:rsidRPr="00466356">
        <w:rPr>
          <w:rFonts w:ascii="Avenir Next" w:hAnsi="Avenir Next" w:cs="Arial"/>
          <w:color w:val="7B7B7B" w:themeColor="accent3" w:themeShade="BF"/>
          <w:sz w:val="22"/>
          <w:szCs w:val="22"/>
        </w:rPr>
        <w:t xml:space="preserve"> Germany, Ireland, Italy, Spain and Portugal. A principal warehouse is </w:t>
      </w:r>
      <w:r w:rsidR="00010573">
        <w:rPr>
          <w:rFonts w:ascii="Avenir Next" w:hAnsi="Avenir Next" w:cs="Arial"/>
          <w:color w:val="7B7B7B" w:themeColor="accent3" w:themeShade="BF"/>
          <w:sz w:val="22"/>
          <w:szCs w:val="22"/>
        </w:rPr>
        <w:t>situated</w:t>
      </w:r>
      <w:r w:rsidRPr="00466356">
        <w:rPr>
          <w:rFonts w:ascii="Avenir Next" w:hAnsi="Avenir Next" w:cs="Arial"/>
          <w:color w:val="7B7B7B" w:themeColor="accent3" w:themeShade="BF"/>
          <w:sz w:val="22"/>
          <w:szCs w:val="22"/>
        </w:rPr>
        <w:t xml:space="preserve"> in Ireland (Cork). </w:t>
      </w:r>
      <w:r w:rsidR="00010573">
        <w:rPr>
          <w:rFonts w:ascii="Avenir Next" w:hAnsi="Avenir Next" w:cs="Arial"/>
          <w:color w:val="7B7B7B" w:themeColor="accent3" w:themeShade="BF"/>
          <w:sz w:val="22"/>
          <w:szCs w:val="22"/>
        </w:rPr>
        <w:t xml:space="preserve">As far as Bella SARL’s employees are concerned, these are present, namely, in </w:t>
      </w:r>
      <w:r w:rsidR="00010573" w:rsidRPr="001D3BD5">
        <w:rPr>
          <w:rFonts w:ascii="Avenir Next" w:hAnsi="Avenir Next" w:cs="Arial"/>
          <w:color w:val="7B7B7B" w:themeColor="accent3" w:themeShade="BF"/>
          <w:sz w:val="22"/>
          <w:szCs w:val="22"/>
        </w:rPr>
        <w:t xml:space="preserve">Germany, Ireland, Italy, Spain and Portugal. </w:t>
      </w:r>
      <w:r w:rsidRPr="00466356">
        <w:rPr>
          <w:rFonts w:ascii="Avenir Next" w:hAnsi="Avenir Next" w:cs="Arial"/>
          <w:color w:val="7B7B7B" w:themeColor="accent3" w:themeShade="BF"/>
          <w:sz w:val="22"/>
          <w:szCs w:val="22"/>
        </w:rPr>
        <w:t xml:space="preserve">The majority of its customers are also based in the above mentioned countries. Bella SARL </w:t>
      </w:r>
      <w:r w:rsidR="00010573">
        <w:rPr>
          <w:rFonts w:ascii="Avenir Next" w:hAnsi="Avenir Next" w:cs="Arial"/>
          <w:color w:val="7B7B7B" w:themeColor="accent3" w:themeShade="BF"/>
          <w:sz w:val="22"/>
          <w:szCs w:val="22"/>
        </w:rPr>
        <w:t>reached</w:t>
      </w:r>
      <w:r w:rsidRPr="00466356">
        <w:rPr>
          <w:rFonts w:ascii="Avenir Next" w:hAnsi="Avenir Next" w:cs="Arial"/>
          <w:color w:val="7B7B7B" w:themeColor="accent3" w:themeShade="BF"/>
          <w:sz w:val="22"/>
          <w:szCs w:val="22"/>
        </w:rPr>
        <w:t xml:space="preserve"> a loan agreement with a Spanish banking institution and </w:t>
      </w:r>
      <w:r w:rsidR="00010573">
        <w:rPr>
          <w:rFonts w:ascii="Avenir Next" w:hAnsi="Avenir Next" w:cs="Arial"/>
          <w:color w:val="7B7B7B" w:themeColor="accent3" w:themeShade="BF"/>
          <w:sz w:val="22"/>
          <w:szCs w:val="22"/>
        </w:rPr>
        <w:t>entered into</w:t>
      </w:r>
      <w:r w:rsidRPr="00466356">
        <w:rPr>
          <w:rFonts w:ascii="Avenir Next" w:hAnsi="Avenir Next" w:cs="Arial"/>
          <w:color w:val="7B7B7B" w:themeColor="accent3" w:themeShade="BF"/>
          <w:sz w:val="22"/>
          <w:szCs w:val="22"/>
        </w:rPr>
        <w:t xml:space="preserve"> non-binding memorand</w:t>
      </w:r>
      <w:r w:rsidR="00010573">
        <w:rPr>
          <w:rFonts w:ascii="Avenir Next" w:hAnsi="Avenir Next" w:cs="Arial"/>
          <w:color w:val="7B7B7B" w:themeColor="accent3" w:themeShade="BF"/>
          <w:sz w:val="22"/>
          <w:szCs w:val="22"/>
        </w:rPr>
        <w:t>a</w:t>
      </w:r>
      <w:r w:rsidRPr="00466356">
        <w:rPr>
          <w:rFonts w:ascii="Avenir Next" w:hAnsi="Avenir Next" w:cs="Arial"/>
          <w:color w:val="7B7B7B" w:themeColor="accent3" w:themeShade="BF"/>
          <w:sz w:val="22"/>
          <w:szCs w:val="22"/>
        </w:rPr>
        <w:t xml:space="preserve"> of understanding with three suppliers located in the Spanish capital. </w:t>
      </w:r>
      <w:r w:rsidR="00010573">
        <w:rPr>
          <w:rFonts w:ascii="Avenir Next" w:hAnsi="Avenir Next" w:cs="Arial"/>
          <w:color w:val="7B7B7B" w:themeColor="accent3" w:themeShade="BF"/>
          <w:sz w:val="22"/>
          <w:szCs w:val="22"/>
        </w:rPr>
        <w:t xml:space="preserve">However, by 2014 financial difficulties had slowly been hitting the French company and by 2017 an application to open safeguard proceedings had been filed in Strasbourg. </w:t>
      </w:r>
      <w:r w:rsidRPr="00466356">
        <w:rPr>
          <w:rFonts w:ascii="Avenir Next" w:hAnsi="Avenir Next" w:cs="Arial"/>
          <w:color w:val="7B7B7B" w:themeColor="accent3" w:themeShade="BF"/>
          <w:sz w:val="22"/>
          <w:szCs w:val="22"/>
        </w:rPr>
        <w:t>For the purposes of this question, we assume a different timeline so that the EIR 2000 applies.</w:t>
      </w:r>
    </w:p>
    <w:p w14:paraId="076C1909" w14:textId="77777777" w:rsidR="001D3BD5" w:rsidRPr="001D3BD5" w:rsidRDefault="001D3BD5" w:rsidP="001D3BD5">
      <w:pPr>
        <w:jc w:val="both"/>
        <w:rPr>
          <w:rFonts w:ascii="Avenir Next" w:hAnsi="Avenir Next" w:cs="Arial"/>
          <w:color w:val="7B7B7B" w:themeColor="accent3" w:themeShade="BF"/>
          <w:sz w:val="22"/>
          <w:szCs w:val="22"/>
        </w:rPr>
      </w:pPr>
    </w:p>
    <w:p w14:paraId="36022505" w14:textId="28394F1E" w:rsidR="00A76D66" w:rsidRPr="004E313F" w:rsidRDefault="004B062B" w:rsidP="00E40581">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Applying the aforementioned rules contained in the EIR 2000, t</w:t>
      </w:r>
      <w:r w:rsidR="00A76D66">
        <w:rPr>
          <w:rFonts w:ascii="Avenir Next" w:hAnsi="Avenir Next" w:cs="Arial"/>
          <w:color w:val="7B7B7B" w:themeColor="accent3" w:themeShade="BF"/>
          <w:sz w:val="22"/>
          <w:szCs w:val="22"/>
        </w:rPr>
        <w:t xml:space="preserve">he COMI of the debtor indicates that France is the designated jurisdiction to open insolvency proceedings. </w:t>
      </w:r>
      <w:r>
        <w:rPr>
          <w:rFonts w:ascii="Avenir Next" w:hAnsi="Avenir Next" w:cs="Arial"/>
          <w:color w:val="7B7B7B" w:themeColor="accent3" w:themeShade="BF"/>
          <w:sz w:val="22"/>
          <w:szCs w:val="22"/>
        </w:rPr>
        <w:t>Noting</w:t>
      </w:r>
      <w:r w:rsidR="00A76D66">
        <w:rPr>
          <w:rFonts w:ascii="Avenir Next" w:hAnsi="Avenir Next" w:cs="Arial"/>
          <w:color w:val="7B7B7B" w:themeColor="accent3" w:themeShade="BF"/>
          <w:sz w:val="22"/>
          <w:szCs w:val="22"/>
        </w:rPr>
        <w:t xml:space="preserve"> the facts of the case, Bella SARL is a legal person registered in France </w:t>
      </w:r>
      <w:r>
        <w:rPr>
          <w:rFonts w:ascii="Avenir Next" w:hAnsi="Avenir Next" w:cs="Arial"/>
          <w:color w:val="7B7B7B" w:themeColor="accent3" w:themeShade="BF"/>
          <w:sz w:val="22"/>
          <w:szCs w:val="22"/>
        </w:rPr>
        <w:t>with the</w:t>
      </w:r>
      <w:r w:rsidR="00A76D66">
        <w:rPr>
          <w:rFonts w:ascii="Avenir Next" w:hAnsi="Avenir Next" w:cs="Arial"/>
          <w:color w:val="7B7B7B" w:themeColor="accent3" w:themeShade="BF"/>
          <w:sz w:val="22"/>
          <w:szCs w:val="22"/>
        </w:rPr>
        <w:t xml:space="preserve"> center of </w:t>
      </w:r>
      <w:r>
        <w:rPr>
          <w:rFonts w:ascii="Avenir Next" w:hAnsi="Avenir Next" w:cs="Arial"/>
          <w:color w:val="7B7B7B" w:themeColor="accent3" w:themeShade="BF"/>
          <w:sz w:val="22"/>
          <w:szCs w:val="22"/>
        </w:rPr>
        <w:t xml:space="preserve">its </w:t>
      </w:r>
      <w:r w:rsidR="00A76D66">
        <w:rPr>
          <w:rFonts w:ascii="Avenir Next" w:hAnsi="Avenir Next" w:cs="Arial"/>
          <w:color w:val="7B7B7B" w:themeColor="accent3" w:themeShade="BF"/>
          <w:sz w:val="22"/>
          <w:szCs w:val="22"/>
        </w:rPr>
        <w:t xml:space="preserve">main interests </w:t>
      </w:r>
      <w:r>
        <w:rPr>
          <w:rFonts w:ascii="Avenir Next" w:hAnsi="Avenir Next" w:cs="Arial"/>
          <w:color w:val="7B7B7B" w:themeColor="accent3" w:themeShade="BF"/>
          <w:sz w:val="22"/>
          <w:szCs w:val="22"/>
        </w:rPr>
        <w:t>in the said country</w:t>
      </w:r>
      <w:r w:rsidR="00A76D66">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 xml:space="preserve">As previously mentioned, </w:t>
      </w:r>
      <w:r w:rsidRPr="00291E06">
        <w:rPr>
          <w:rFonts w:ascii="Avenir Next" w:hAnsi="Avenir Next" w:cs="Arial"/>
          <w:color w:val="7B7B7B" w:themeColor="accent3" w:themeShade="BF"/>
          <w:sz w:val="22"/>
          <w:szCs w:val="22"/>
        </w:rPr>
        <w:t xml:space="preserve">objectivity and ascertainability </w:t>
      </w:r>
      <w:r>
        <w:rPr>
          <w:rFonts w:ascii="Avenir Next" w:hAnsi="Avenir Next" w:cs="Arial"/>
          <w:color w:val="7B7B7B" w:themeColor="accent3" w:themeShade="BF"/>
          <w:sz w:val="22"/>
          <w:szCs w:val="22"/>
        </w:rPr>
        <w:t>by third parties as well as the regular administration and management of the debtor’s business in a particular country define the COMI of that debtor which</w:t>
      </w:r>
      <w:r w:rsidR="00CD52F5">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in this case</w:t>
      </w:r>
      <w:r w:rsidR="00CD52F5">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is </w:t>
      </w:r>
      <w:r w:rsidR="00A265E1">
        <w:rPr>
          <w:rFonts w:ascii="Avenir Next" w:hAnsi="Avenir Next" w:cs="Arial"/>
          <w:color w:val="7B7B7B" w:themeColor="accent3" w:themeShade="BF"/>
          <w:sz w:val="22"/>
          <w:szCs w:val="22"/>
        </w:rPr>
        <w:t xml:space="preserve">linked to </w:t>
      </w:r>
      <w:r>
        <w:rPr>
          <w:rFonts w:ascii="Avenir Next" w:hAnsi="Avenir Next" w:cs="Arial"/>
          <w:color w:val="7B7B7B" w:themeColor="accent3" w:themeShade="BF"/>
          <w:sz w:val="22"/>
          <w:szCs w:val="22"/>
        </w:rPr>
        <w:t>Strasbourg, France. The competent national court in the case at hand is determined by national law</w:t>
      </w:r>
      <w:r w:rsidR="00E25F69">
        <w:rPr>
          <w:rFonts w:ascii="Avenir Next" w:hAnsi="Avenir Next" w:cs="Arial"/>
          <w:color w:val="7B7B7B" w:themeColor="accent3" w:themeShade="BF"/>
          <w:sz w:val="22"/>
          <w:szCs w:val="22"/>
        </w:rPr>
        <w:t xml:space="preserve"> and, in particular, </w:t>
      </w:r>
      <w:r w:rsidR="00CD52F5">
        <w:rPr>
          <w:rFonts w:ascii="Avenir Next" w:hAnsi="Avenir Next" w:cs="Arial"/>
          <w:color w:val="7B7B7B" w:themeColor="accent3" w:themeShade="BF"/>
          <w:sz w:val="22"/>
          <w:szCs w:val="22"/>
        </w:rPr>
        <w:t xml:space="preserve">by </w:t>
      </w:r>
      <w:r w:rsidR="00E25F69">
        <w:rPr>
          <w:rFonts w:ascii="Avenir Next" w:hAnsi="Avenir Next" w:cs="Arial"/>
          <w:color w:val="7B7B7B" w:themeColor="accent3" w:themeShade="BF"/>
          <w:sz w:val="22"/>
          <w:szCs w:val="22"/>
        </w:rPr>
        <w:t>Article L721-8</w:t>
      </w:r>
      <w:r w:rsidR="004E313F" w:rsidRPr="004E313F">
        <w:rPr>
          <w:rFonts w:ascii="Avenir Next" w:hAnsi="Avenir Next" w:cs="Arial"/>
          <w:color w:val="7B7B7B" w:themeColor="accent3" w:themeShade="BF"/>
          <w:sz w:val="22"/>
          <w:szCs w:val="22"/>
        </w:rPr>
        <w:t xml:space="preserve"> (</w:t>
      </w:r>
      <w:r w:rsidR="004E313F">
        <w:rPr>
          <w:rFonts w:ascii="Avenir Next" w:hAnsi="Avenir Next" w:cs="Arial"/>
          <w:color w:val="7B7B7B" w:themeColor="accent3" w:themeShade="BF"/>
          <w:sz w:val="22"/>
          <w:szCs w:val="22"/>
        </w:rPr>
        <w:t>“Comp</w:t>
      </w:r>
      <w:r w:rsidR="004E313F">
        <w:rPr>
          <w:rFonts w:ascii="Calibri" w:hAnsi="Calibri" w:cs="Calibri"/>
          <w:color w:val="7B7B7B" w:themeColor="accent3" w:themeShade="BF"/>
          <w:sz w:val="22"/>
          <w:szCs w:val="22"/>
        </w:rPr>
        <w:t>é</w:t>
      </w:r>
      <w:r w:rsidR="004E313F">
        <w:rPr>
          <w:rFonts w:ascii="Avenir Next" w:hAnsi="Avenir Next" w:cs="Arial"/>
          <w:color w:val="7B7B7B" w:themeColor="accent3" w:themeShade="BF"/>
          <w:sz w:val="22"/>
          <w:szCs w:val="22"/>
        </w:rPr>
        <w:t>tence particuli</w:t>
      </w:r>
      <w:r w:rsidR="004E313F">
        <w:rPr>
          <w:rFonts w:ascii="Calibri" w:hAnsi="Calibri" w:cs="Calibri"/>
          <w:color w:val="7B7B7B" w:themeColor="accent3" w:themeShade="BF"/>
          <w:sz w:val="22"/>
          <w:szCs w:val="22"/>
        </w:rPr>
        <w:t>è</w:t>
      </w:r>
      <w:r w:rsidR="004E313F">
        <w:rPr>
          <w:rFonts w:ascii="Avenir Next" w:hAnsi="Avenir Next" w:cs="Arial"/>
          <w:color w:val="7B7B7B" w:themeColor="accent3" w:themeShade="BF"/>
          <w:sz w:val="22"/>
          <w:szCs w:val="22"/>
        </w:rPr>
        <w:t xml:space="preserve">re </w:t>
      </w:r>
      <w:r w:rsidR="004E313F">
        <w:rPr>
          <w:rFonts w:ascii="Calibri" w:hAnsi="Calibri" w:cs="Calibri"/>
          <w:color w:val="7B7B7B" w:themeColor="accent3" w:themeShade="BF"/>
          <w:sz w:val="22"/>
          <w:szCs w:val="22"/>
        </w:rPr>
        <w:t>à</w:t>
      </w:r>
      <w:r w:rsidR="004E313F">
        <w:rPr>
          <w:rFonts w:ascii="Avenir Next" w:hAnsi="Avenir Next" w:cs="Arial"/>
          <w:color w:val="7B7B7B" w:themeColor="accent3" w:themeShade="BF"/>
          <w:sz w:val="22"/>
          <w:szCs w:val="22"/>
        </w:rPr>
        <w:t xml:space="preserve"> certains tribunaux de commerce”) in the context of Chapter I of the French Code of Commerce (“De l’institution et de la comp</w:t>
      </w:r>
      <w:r w:rsidR="0084758C">
        <w:rPr>
          <w:rFonts w:ascii="Calibri" w:hAnsi="Calibri" w:cs="Calibri"/>
          <w:color w:val="7B7B7B" w:themeColor="accent3" w:themeShade="BF"/>
          <w:sz w:val="22"/>
          <w:szCs w:val="22"/>
        </w:rPr>
        <w:t>é</w:t>
      </w:r>
      <w:r w:rsidR="004E313F">
        <w:rPr>
          <w:rFonts w:ascii="Avenir Next" w:hAnsi="Avenir Next" w:cs="Arial"/>
          <w:color w:val="7B7B7B" w:themeColor="accent3" w:themeShade="BF"/>
          <w:sz w:val="22"/>
          <w:szCs w:val="22"/>
        </w:rPr>
        <w:t>tence”)</w:t>
      </w:r>
      <w:r w:rsidR="0084758C">
        <w:rPr>
          <w:rFonts w:ascii="Avenir Next" w:hAnsi="Avenir Next" w:cs="Arial"/>
          <w:color w:val="7B7B7B" w:themeColor="accent3" w:themeShade="BF"/>
          <w:sz w:val="22"/>
          <w:szCs w:val="22"/>
        </w:rPr>
        <w:t>.</w:t>
      </w:r>
    </w:p>
    <w:p w14:paraId="0ADE0B71" w14:textId="77777777" w:rsidR="00A76D66" w:rsidRDefault="00A76D66" w:rsidP="00E40581">
      <w:pPr>
        <w:jc w:val="both"/>
        <w:rPr>
          <w:rFonts w:ascii="Avenir Next" w:hAnsi="Avenir Next" w:cs="Arial"/>
          <w:color w:val="7B7B7B" w:themeColor="accent3" w:themeShade="BF"/>
          <w:sz w:val="22"/>
          <w:szCs w:val="22"/>
        </w:rPr>
      </w:pPr>
    </w:p>
    <w:p w14:paraId="29FE3CB2" w14:textId="05D2DDAF" w:rsidR="00D33B8C" w:rsidRPr="00E40581" w:rsidRDefault="007B3B4F" w:rsidP="00E40581">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Nevertheless</w:t>
      </w:r>
      <w:r w:rsidR="00D33B8C">
        <w:rPr>
          <w:rFonts w:ascii="Avenir Next" w:hAnsi="Avenir Next" w:cs="Arial"/>
          <w:color w:val="7B7B7B" w:themeColor="accent3" w:themeShade="BF"/>
          <w:sz w:val="22"/>
          <w:szCs w:val="22"/>
        </w:rPr>
        <w:t xml:space="preserve">, </w:t>
      </w:r>
      <w:r w:rsidR="00E40581">
        <w:rPr>
          <w:rFonts w:ascii="Avenir Next" w:hAnsi="Avenir Next" w:cs="Arial"/>
          <w:color w:val="7B7B7B" w:themeColor="accent3" w:themeShade="BF"/>
          <w:sz w:val="22"/>
          <w:szCs w:val="22"/>
        </w:rPr>
        <w:t>Annex A of the EIR 2000 includes a list of all the insolvency proceedings covered by the Regulation. In the section dedicated to French insolvency proceedings, two types of proceedings are mentioned; ‘judicial liquidation’ (</w:t>
      </w:r>
      <w:r w:rsidR="00E56BAF">
        <w:rPr>
          <w:rFonts w:ascii="Avenir Next" w:hAnsi="Avenir Next" w:cs="Arial"/>
          <w:color w:val="7B7B7B" w:themeColor="accent3" w:themeShade="BF"/>
          <w:sz w:val="22"/>
          <w:szCs w:val="22"/>
        </w:rPr>
        <w:t>“</w:t>
      </w:r>
      <w:r w:rsidR="00E40581">
        <w:rPr>
          <w:rFonts w:ascii="Avenir Next" w:hAnsi="Avenir Next" w:cs="Arial"/>
          <w:color w:val="7B7B7B" w:themeColor="accent3" w:themeShade="BF"/>
          <w:sz w:val="22"/>
          <w:szCs w:val="22"/>
        </w:rPr>
        <w:t>l</w:t>
      </w:r>
      <w:r w:rsidR="00E40581" w:rsidRPr="00E40581">
        <w:rPr>
          <w:rFonts w:ascii="Avenir Next" w:hAnsi="Avenir Next" w:cs="Arial"/>
          <w:color w:val="7B7B7B" w:themeColor="accent3" w:themeShade="BF"/>
          <w:sz w:val="22"/>
          <w:szCs w:val="22"/>
        </w:rPr>
        <w:t>iquidation judiciaire</w:t>
      </w:r>
      <w:r w:rsidR="00E56BAF">
        <w:rPr>
          <w:rFonts w:ascii="Avenir Next" w:hAnsi="Avenir Next" w:cs="Arial"/>
          <w:color w:val="7B7B7B" w:themeColor="accent3" w:themeShade="BF"/>
          <w:sz w:val="22"/>
          <w:szCs w:val="22"/>
        </w:rPr>
        <w:t>”</w:t>
      </w:r>
      <w:r w:rsidR="00E40581">
        <w:rPr>
          <w:rFonts w:ascii="Avenir Next" w:hAnsi="Avenir Next" w:cs="Arial"/>
          <w:color w:val="7B7B7B" w:themeColor="accent3" w:themeShade="BF"/>
          <w:sz w:val="22"/>
          <w:szCs w:val="22"/>
        </w:rPr>
        <w:t xml:space="preserve">) and ‘judicial reorganization with </w:t>
      </w:r>
      <w:r w:rsidR="00E56BAF">
        <w:rPr>
          <w:rFonts w:ascii="Avenir Next" w:hAnsi="Avenir Next" w:cs="Arial"/>
          <w:color w:val="7B7B7B" w:themeColor="accent3" w:themeShade="BF"/>
          <w:sz w:val="22"/>
          <w:szCs w:val="22"/>
        </w:rPr>
        <w:t xml:space="preserve">the </w:t>
      </w:r>
      <w:r w:rsidR="00E40581">
        <w:rPr>
          <w:rFonts w:ascii="Avenir Next" w:hAnsi="Avenir Next" w:cs="Arial"/>
          <w:color w:val="7B7B7B" w:themeColor="accent3" w:themeShade="BF"/>
          <w:sz w:val="22"/>
          <w:szCs w:val="22"/>
        </w:rPr>
        <w:t>appointment of an administrator’ (</w:t>
      </w:r>
      <w:r w:rsidR="00E56BAF">
        <w:rPr>
          <w:rFonts w:ascii="Avenir Next" w:hAnsi="Avenir Next" w:cs="Arial"/>
          <w:color w:val="7B7B7B" w:themeColor="accent3" w:themeShade="BF"/>
          <w:sz w:val="22"/>
          <w:szCs w:val="22"/>
        </w:rPr>
        <w:t>“</w:t>
      </w:r>
      <w:r w:rsidR="00E40581">
        <w:rPr>
          <w:rFonts w:ascii="Avenir Next" w:hAnsi="Avenir Next" w:cs="Arial"/>
          <w:color w:val="7B7B7B" w:themeColor="accent3" w:themeShade="BF"/>
          <w:sz w:val="22"/>
          <w:szCs w:val="22"/>
        </w:rPr>
        <w:t>r</w:t>
      </w:r>
      <w:r w:rsidR="00E40581" w:rsidRPr="00E40581">
        <w:rPr>
          <w:rFonts w:ascii="Avenir Next" w:hAnsi="Avenir Next" w:cs="Arial"/>
          <w:color w:val="7B7B7B" w:themeColor="accent3" w:themeShade="BF"/>
          <w:sz w:val="22"/>
          <w:szCs w:val="22"/>
        </w:rPr>
        <w:t>edressement judiciaire avec nomination d'un administrateur</w:t>
      </w:r>
      <w:r w:rsidR="00E56BAF">
        <w:rPr>
          <w:rFonts w:ascii="Avenir Next" w:hAnsi="Avenir Next" w:cs="Arial"/>
          <w:color w:val="7B7B7B" w:themeColor="accent3" w:themeShade="BF"/>
          <w:sz w:val="22"/>
          <w:szCs w:val="22"/>
        </w:rPr>
        <w:t>”</w:t>
      </w:r>
      <w:r w:rsidR="00E40581">
        <w:rPr>
          <w:rFonts w:ascii="Avenir Next" w:hAnsi="Avenir Next" w:cs="Arial"/>
          <w:color w:val="7B7B7B" w:themeColor="accent3" w:themeShade="BF"/>
          <w:sz w:val="22"/>
          <w:szCs w:val="22"/>
        </w:rPr>
        <w:t>).</w:t>
      </w:r>
      <w:r w:rsidR="005F7F76">
        <w:rPr>
          <w:rFonts w:ascii="Avenir Next" w:hAnsi="Avenir Next" w:cs="Arial"/>
          <w:color w:val="7B7B7B" w:themeColor="accent3" w:themeShade="BF"/>
          <w:sz w:val="22"/>
          <w:szCs w:val="22"/>
        </w:rPr>
        <w:t xml:space="preserve"> Safeguard proceedings are not inclu</w:t>
      </w:r>
      <w:r w:rsidR="00DF556C">
        <w:rPr>
          <w:rFonts w:ascii="Avenir Next" w:hAnsi="Avenir Next" w:cs="Arial"/>
          <w:color w:val="7B7B7B" w:themeColor="accent3" w:themeShade="BF"/>
          <w:sz w:val="22"/>
          <w:szCs w:val="22"/>
        </w:rPr>
        <w:t xml:space="preserve">ded in the foregoing list. </w:t>
      </w:r>
      <w:r w:rsidR="000D2F20">
        <w:rPr>
          <w:rFonts w:ascii="Avenir Next" w:hAnsi="Avenir Next" w:cs="Arial"/>
          <w:color w:val="7B7B7B" w:themeColor="accent3" w:themeShade="BF"/>
          <w:sz w:val="22"/>
          <w:szCs w:val="22"/>
        </w:rPr>
        <w:t>As previously</w:t>
      </w:r>
      <w:r w:rsidR="00E56BAF">
        <w:rPr>
          <w:rFonts w:ascii="Avenir Next" w:hAnsi="Avenir Next" w:cs="Arial"/>
          <w:color w:val="7B7B7B" w:themeColor="accent3" w:themeShade="BF"/>
          <w:sz w:val="22"/>
          <w:szCs w:val="22"/>
        </w:rPr>
        <w:t xml:space="preserve"> pointed out</w:t>
      </w:r>
      <w:r w:rsidR="000D2F20">
        <w:rPr>
          <w:rFonts w:ascii="Avenir Next" w:hAnsi="Avenir Next" w:cs="Arial"/>
          <w:color w:val="7B7B7B" w:themeColor="accent3" w:themeShade="BF"/>
          <w:sz w:val="22"/>
          <w:szCs w:val="22"/>
        </w:rPr>
        <w:t>, t</w:t>
      </w:r>
      <w:r w:rsidR="000D62AE">
        <w:rPr>
          <w:rFonts w:ascii="Avenir Next" w:hAnsi="Avenir Next" w:cs="Arial"/>
          <w:color w:val="7B7B7B" w:themeColor="accent3" w:themeShade="BF"/>
          <w:sz w:val="22"/>
          <w:szCs w:val="22"/>
        </w:rPr>
        <w:t xml:space="preserve">he </w:t>
      </w:r>
      <w:r w:rsidR="00DF556C">
        <w:rPr>
          <w:rFonts w:ascii="Avenir Next" w:hAnsi="Avenir Next" w:cs="Arial"/>
          <w:color w:val="7B7B7B" w:themeColor="accent3" w:themeShade="BF"/>
          <w:sz w:val="22"/>
          <w:szCs w:val="22"/>
        </w:rPr>
        <w:t>annexes should be utilized to verify whether a proceeding fall</w:t>
      </w:r>
      <w:r w:rsidR="00A96AD7">
        <w:rPr>
          <w:rFonts w:ascii="Avenir Next" w:hAnsi="Avenir Next" w:cs="Arial"/>
          <w:color w:val="7B7B7B" w:themeColor="accent3" w:themeShade="BF"/>
          <w:sz w:val="22"/>
          <w:szCs w:val="22"/>
        </w:rPr>
        <w:t>s</w:t>
      </w:r>
      <w:r w:rsidR="00DF556C">
        <w:rPr>
          <w:rFonts w:ascii="Avenir Next" w:hAnsi="Avenir Next" w:cs="Arial"/>
          <w:color w:val="7B7B7B" w:themeColor="accent3" w:themeShade="BF"/>
          <w:sz w:val="22"/>
          <w:szCs w:val="22"/>
        </w:rPr>
        <w:t xml:space="preserve"> within the scope of the 2000 Regulation</w:t>
      </w:r>
      <w:r w:rsidR="00AF45FF">
        <w:rPr>
          <w:rFonts w:ascii="Avenir Next" w:hAnsi="Avenir Next" w:cs="Arial"/>
          <w:color w:val="7B7B7B" w:themeColor="accent3" w:themeShade="BF"/>
          <w:sz w:val="22"/>
          <w:szCs w:val="22"/>
        </w:rPr>
        <w:t>. Those proceedings are mentioned</w:t>
      </w:r>
      <w:r w:rsidR="000D62AE">
        <w:rPr>
          <w:rFonts w:ascii="Avenir Next" w:hAnsi="Avenir Next" w:cs="Arial"/>
          <w:color w:val="7B7B7B" w:themeColor="accent3" w:themeShade="BF"/>
          <w:sz w:val="22"/>
          <w:szCs w:val="22"/>
        </w:rPr>
        <w:t xml:space="preserve"> </w:t>
      </w:r>
      <w:r w:rsidR="00CD52F5">
        <w:rPr>
          <w:rFonts w:ascii="Avenir Next" w:hAnsi="Avenir Next" w:cs="Arial"/>
          <w:color w:val="7B7B7B" w:themeColor="accent3" w:themeShade="BF"/>
          <w:sz w:val="22"/>
          <w:szCs w:val="22"/>
        </w:rPr>
        <w:t>in the relevant annex</w:t>
      </w:r>
      <w:r w:rsidR="00E56BAF">
        <w:rPr>
          <w:rFonts w:ascii="Avenir Next" w:hAnsi="Avenir Next" w:cs="Arial"/>
          <w:color w:val="7B7B7B" w:themeColor="accent3" w:themeShade="BF"/>
          <w:sz w:val="22"/>
          <w:szCs w:val="22"/>
        </w:rPr>
        <w:t xml:space="preserve"> </w:t>
      </w:r>
      <w:r w:rsidR="000D62AE">
        <w:rPr>
          <w:rFonts w:ascii="Avenir Next" w:hAnsi="Avenir Next" w:cs="Arial"/>
          <w:color w:val="7B7B7B" w:themeColor="accent3" w:themeShade="BF"/>
          <w:sz w:val="22"/>
          <w:szCs w:val="22"/>
        </w:rPr>
        <w:t>in an explicit way. T</w:t>
      </w:r>
      <w:r w:rsidR="00DF556C">
        <w:rPr>
          <w:rFonts w:ascii="Avenir Next" w:hAnsi="Avenir Next" w:cs="Arial"/>
          <w:color w:val="7B7B7B" w:themeColor="accent3" w:themeShade="BF"/>
          <w:sz w:val="22"/>
          <w:szCs w:val="22"/>
        </w:rPr>
        <w:t xml:space="preserve">herefore, the High Court in Strasbourg where a petition to open safeguard proceedings has been filed </w:t>
      </w:r>
      <w:r>
        <w:rPr>
          <w:rFonts w:ascii="Avenir Next" w:hAnsi="Avenir Next" w:cs="Arial"/>
          <w:color w:val="7B7B7B" w:themeColor="accent3" w:themeShade="BF"/>
          <w:sz w:val="22"/>
          <w:szCs w:val="22"/>
        </w:rPr>
        <w:t xml:space="preserve">apparently has jurisdiction to </w:t>
      </w:r>
      <w:r w:rsidR="00DF556C">
        <w:rPr>
          <w:rFonts w:ascii="Avenir Next" w:hAnsi="Avenir Next" w:cs="Arial"/>
          <w:color w:val="7B7B7B" w:themeColor="accent3" w:themeShade="BF"/>
          <w:sz w:val="22"/>
          <w:szCs w:val="22"/>
        </w:rPr>
        <w:t>open those proceedings</w:t>
      </w:r>
      <w:r>
        <w:rPr>
          <w:rFonts w:ascii="Avenir Next" w:hAnsi="Avenir Next" w:cs="Arial"/>
          <w:color w:val="7B7B7B" w:themeColor="accent3" w:themeShade="BF"/>
          <w:sz w:val="22"/>
          <w:szCs w:val="22"/>
        </w:rPr>
        <w:t>, but, since the</w:t>
      </w:r>
      <w:r w:rsidR="002059FD">
        <w:rPr>
          <w:rFonts w:ascii="Avenir Next" w:hAnsi="Avenir Next" w:cs="Arial"/>
          <w:color w:val="7B7B7B" w:themeColor="accent3" w:themeShade="BF"/>
          <w:sz w:val="22"/>
          <w:szCs w:val="22"/>
        </w:rPr>
        <w:t xml:space="preserve"> (safeguard)</w:t>
      </w:r>
      <w:r>
        <w:rPr>
          <w:rFonts w:ascii="Avenir Next" w:hAnsi="Avenir Next" w:cs="Arial"/>
          <w:color w:val="7B7B7B" w:themeColor="accent3" w:themeShade="BF"/>
          <w:sz w:val="22"/>
          <w:szCs w:val="22"/>
        </w:rPr>
        <w:t xml:space="preserve"> proceeding</w:t>
      </w:r>
      <w:r w:rsidR="002059FD">
        <w:rPr>
          <w:rFonts w:ascii="Avenir Next" w:hAnsi="Avenir Next" w:cs="Arial"/>
          <w:color w:val="7B7B7B" w:themeColor="accent3" w:themeShade="BF"/>
          <w:sz w:val="22"/>
          <w:szCs w:val="22"/>
        </w:rPr>
        <w:t>s</w:t>
      </w:r>
      <w:r>
        <w:rPr>
          <w:rFonts w:ascii="Avenir Next" w:hAnsi="Avenir Next" w:cs="Arial"/>
          <w:color w:val="7B7B7B" w:themeColor="accent3" w:themeShade="BF"/>
          <w:sz w:val="22"/>
          <w:szCs w:val="22"/>
        </w:rPr>
        <w:t xml:space="preserve"> in question </w:t>
      </w:r>
      <w:r w:rsidR="002059FD">
        <w:rPr>
          <w:rFonts w:ascii="Avenir Next" w:hAnsi="Avenir Next" w:cs="Arial"/>
          <w:color w:val="7B7B7B" w:themeColor="accent3" w:themeShade="BF"/>
          <w:sz w:val="22"/>
          <w:szCs w:val="22"/>
        </w:rPr>
        <w:t>are</w:t>
      </w:r>
      <w:r>
        <w:rPr>
          <w:rFonts w:ascii="Avenir Next" w:hAnsi="Avenir Next" w:cs="Arial"/>
          <w:color w:val="7B7B7B" w:themeColor="accent3" w:themeShade="BF"/>
          <w:sz w:val="22"/>
          <w:szCs w:val="22"/>
        </w:rPr>
        <w:t xml:space="preserve"> not included in the Annex A list of insolvency proceedings</w:t>
      </w:r>
      <w:r w:rsidR="00CD52F5">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we do not consider </w:t>
      </w:r>
      <w:r w:rsidR="00A06D61">
        <w:rPr>
          <w:rFonts w:ascii="Avenir Next" w:hAnsi="Avenir Next" w:cs="Arial"/>
          <w:color w:val="7B7B7B" w:themeColor="accent3" w:themeShade="BF"/>
          <w:sz w:val="22"/>
          <w:szCs w:val="22"/>
        </w:rPr>
        <w:t>the EIR 2000</w:t>
      </w:r>
      <w:r>
        <w:rPr>
          <w:rFonts w:ascii="Avenir Next" w:hAnsi="Avenir Next" w:cs="Arial"/>
          <w:color w:val="7B7B7B" w:themeColor="accent3" w:themeShade="BF"/>
          <w:sz w:val="22"/>
          <w:szCs w:val="22"/>
        </w:rPr>
        <w:t xml:space="preserve"> applicable to those proceed</w:t>
      </w:r>
      <w:r w:rsidR="007B536E">
        <w:rPr>
          <w:rFonts w:ascii="Avenir Next" w:hAnsi="Avenir Next" w:cs="Arial"/>
          <w:color w:val="7B7B7B" w:themeColor="accent3" w:themeShade="BF"/>
          <w:sz w:val="22"/>
          <w:szCs w:val="22"/>
        </w:rPr>
        <w:t>ing</w:t>
      </w:r>
      <w:r w:rsidR="008A50AA">
        <w:rPr>
          <w:rFonts w:ascii="Avenir Next" w:hAnsi="Avenir Next" w:cs="Arial"/>
          <w:color w:val="7B7B7B" w:themeColor="accent3" w:themeShade="BF"/>
          <w:sz w:val="22"/>
          <w:szCs w:val="22"/>
        </w:rPr>
        <w:t>s.</w:t>
      </w:r>
    </w:p>
    <w:p w14:paraId="055F8988" w14:textId="47AA8D7A" w:rsidR="00D95496" w:rsidRPr="00CD52F5" w:rsidRDefault="00D95496" w:rsidP="002A37BB">
      <w:pPr>
        <w:jc w:val="both"/>
        <w:rPr>
          <w:rFonts w:ascii="Avenir Next" w:hAnsi="Avenir Next" w:cs="Arial"/>
          <w:sz w:val="22"/>
          <w:szCs w:val="22"/>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4F8CEE78" w14:textId="1DF2962B" w:rsidR="00353A37" w:rsidRDefault="00337EFB"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3A7273">
        <w:rPr>
          <w:rFonts w:ascii="Avenir Next" w:hAnsi="Avenir Next" w:cs="Arial"/>
          <w:color w:val="7B7B7B" w:themeColor="accent3" w:themeShade="BF"/>
          <w:sz w:val="22"/>
          <w:szCs w:val="22"/>
          <w:lang w:val="en-GB"/>
        </w:rPr>
        <w:t>he EIR Recast entered into force on 26 June 2017</w:t>
      </w:r>
      <w:r w:rsidR="00BF23F8">
        <w:rPr>
          <w:rFonts w:ascii="Avenir Next" w:hAnsi="Avenir Next" w:cs="Arial"/>
          <w:color w:val="7B7B7B" w:themeColor="accent3" w:themeShade="BF"/>
          <w:sz w:val="22"/>
          <w:szCs w:val="22"/>
          <w:lang w:val="en-GB"/>
        </w:rPr>
        <w:t>,</w:t>
      </w:r>
      <w:r w:rsidR="003A7273">
        <w:rPr>
          <w:rFonts w:ascii="Avenir Next" w:hAnsi="Avenir Next" w:cs="Arial"/>
          <w:color w:val="7B7B7B" w:themeColor="accent3" w:themeShade="BF"/>
          <w:sz w:val="22"/>
          <w:szCs w:val="22"/>
          <w:lang w:val="en-GB"/>
        </w:rPr>
        <w:t xml:space="preserve"> succeeded the EIR 2000</w:t>
      </w:r>
      <w:r w:rsidR="00BF23F8" w:rsidRPr="00BF23F8">
        <w:rPr>
          <w:rFonts w:ascii="Avenir Next" w:hAnsi="Avenir Next" w:cs="Arial"/>
          <w:color w:val="7B7B7B" w:themeColor="accent3" w:themeShade="BF"/>
          <w:sz w:val="22"/>
          <w:szCs w:val="22"/>
          <w:lang w:val="en-GB"/>
        </w:rPr>
        <w:t xml:space="preserve"> </w:t>
      </w:r>
      <w:r w:rsidR="00BF23F8">
        <w:rPr>
          <w:rFonts w:ascii="Avenir Next" w:hAnsi="Avenir Next" w:cs="Arial"/>
          <w:color w:val="7B7B7B" w:themeColor="accent3" w:themeShade="BF"/>
          <w:sz w:val="22"/>
          <w:szCs w:val="22"/>
          <w:lang w:val="en-GB"/>
        </w:rPr>
        <w:t xml:space="preserve">and </w:t>
      </w:r>
      <w:r w:rsidR="004A2B1A">
        <w:rPr>
          <w:rFonts w:ascii="Avenir Next" w:hAnsi="Avenir Next" w:cs="Arial"/>
          <w:color w:val="7B7B7B" w:themeColor="accent3" w:themeShade="BF"/>
          <w:sz w:val="22"/>
          <w:szCs w:val="22"/>
          <w:lang w:val="en-GB"/>
        </w:rPr>
        <w:t>constitute</w:t>
      </w:r>
      <w:r w:rsidR="00BF23F8">
        <w:rPr>
          <w:rFonts w:ascii="Avenir Next" w:hAnsi="Avenir Next" w:cs="Arial"/>
          <w:color w:val="7B7B7B" w:themeColor="accent3" w:themeShade="BF"/>
          <w:sz w:val="22"/>
          <w:szCs w:val="22"/>
          <w:lang w:val="en-GB"/>
        </w:rPr>
        <w:t>s a private international law instrument</w:t>
      </w:r>
      <w:r w:rsidR="0037560F">
        <w:rPr>
          <w:rFonts w:ascii="Avenir Next" w:hAnsi="Avenir Next" w:cs="Arial"/>
          <w:color w:val="7B7B7B" w:themeColor="accent3" w:themeShade="BF"/>
          <w:sz w:val="22"/>
          <w:szCs w:val="22"/>
          <w:lang w:val="en-GB"/>
        </w:rPr>
        <w:t xml:space="preserve">. </w:t>
      </w:r>
      <w:r w:rsidR="00040D92">
        <w:rPr>
          <w:rFonts w:ascii="Avenir Next" w:hAnsi="Avenir Next" w:cs="Arial"/>
          <w:color w:val="7B7B7B" w:themeColor="accent3" w:themeShade="BF"/>
          <w:sz w:val="22"/>
          <w:szCs w:val="22"/>
          <w:lang w:val="en-GB"/>
        </w:rPr>
        <w:t xml:space="preserve">It governs international jurisdiction regarding the commencement of insolvency proceedings and actions that draw on those proceedings. </w:t>
      </w:r>
      <w:r w:rsidR="000461E1">
        <w:rPr>
          <w:rFonts w:ascii="Avenir Next" w:hAnsi="Avenir Next" w:cs="Arial"/>
          <w:color w:val="7B7B7B" w:themeColor="accent3" w:themeShade="BF"/>
          <w:sz w:val="22"/>
          <w:szCs w:val="22"/>
          <w:lang w:val="en-GB"/>
        </w:rPr>
        <w:t>It includes p</w:t>
      </w:r>
      <w:r w:rsidR="002D4CBA">
        <w:rPr>
          <w:rFonts w:ascii="Avenir Next" w:hAnsi="Avenir Next" w:cs="Arial"/>
          <w:color w:val="7B7B7B" w:themeColor="accent3" w:themeShade="BF"/>
          <w:sz w:val="22"/>
          <w:szCs w:val="22"/>
          <w:lang w:val="en-GB"/>
        </w:rPr>
        <w:t xml:space="preserve">rovisions on the recognition and enforcement of judgments </w:t>
      </w:r>
      <w:r w:rsidR="00275719">
        <w:rPr>
          <w:rFonts w:ascii="Avenir Next" w:hAnsi="Avenir Next" w:cs="Arial"/>
          <w:color w:val="7B7B7B" w:themeColor="accent3" w:themeShade="BF"/>
          <w:sz w:val="22"/>
          <w:szCs w:val="22"/>
          <w:lang w:val="en-GB"/>
        </w:rPr>
        <w:t xml:space="preserve">and rules with respect to the law applicable to insolvency matters. </w:t>
      </w:r>
      <w:r w:rsidR="00DA259F">
        <w:rPr>
          <w:rFonts w:ascii="Avenir Next" w:hAnsi="Avenir Next" w:cs="Arial"/>
          <w:color w:val="7B7B7B" w:themeColor="accent3" w:themeShade="BF"/>
          <w:sz w:val="22"/>
          <w:szCs w:val="22"/>
          <w:lang w:val="en-GB"/>
        </w:rPr>
        <w:t>If Regulation (EU) No. 1215/2012 of December 2012 (Brussels I Recast)</w:t>
      </w:r>
      <w:r w:rsidR="00B248BB">
        <w:rPr>
          <w:rFonts w:ascii="Avenir Next" w:hAnsi="Avenir Next" w:cs="Arial"/>
          <w:color w:val="7B7B7B" w:themeColor="accent3" w:themeShade="BF"/>
          <w:sz w:val="22"/>
          <w:szCs w:val="22"/>
          <w:lang w:val="en-GB"/>
        </w:rPr>
        <w:t xml:space="preserve"> </w:t>
      </w:r>
      <w:r w:rsidR="00FD0E74">
        <w:rPr>
          <w:rFonts w:ascii="Avenir Next" w:hAnsi="Avenir Next" w:cs="Arial"/>
          <w:color w:val="7B7B7B" w:themeColor="accent3" w:themeShade="BF"/>
          <w:sz w:val="22"/>
          <w:szCs w:val="22"/>
          <w:lang w:val="en-GB"/>
        </w:rPr>
        <w:t xml:space="preserve">addresses </w:t>
      </w:r>
      <w:r w:rsidR="003E5970">
        <w:rPr>
          <w:rFonts w:ascii="Avenir Next" w:hAnsi="Avenir Next" w:cs="Arial"/>
          <w:color w:val="7B7B7B" w:themeColor="accent3" w:themeShade="BF"/>
          <w:sz w:val="22"/>
          <w:szCs w:val="22"/>
          <w:lang w:val="en-GB"/>
        </w:rPr>
        <w:t>jurisdiction as well as recognition and enforcement of judgments in civil and commercial matters excluding</w:t>
      </w:r>
      <w:r w:rsidR="002D49D3" w:rsidRPr="002D49D3">
        <w:rPr>
          <w:rFonts w:ascii="Avenir Next" w:hAnsi="Avenir Next" w:cs="Arial"/>
          <w:color w:val="7B7B7B" w:themeColor="accent3" w:themeShade="BF"/>
          <w:sz w:val="22"/>
          <w:szCs w:val="22"/>
        </w:rPr>
        <w:t>,</w:t>
      </w:r>
      <w:r w:rsidR="003E5970">
        <w:rPr>
          <w:rFonts w:ascii="Avenir Next" w:hAnsi="Avenir Next" w:cs="Arial"/>
          <w:color w:val="7B7B7B" w:themeColor="accent3" w:themeShade="BF"/>
          <w:sz w:val="22"/>
          <w:szCs w:val="22"/>
          <w:lang w:val="en-GB"/>
        </w:rPr>
        <w:t xml:space="preserve"> inter alia</w:t>
      </w:r>
      <w:r w:rsidR="002D49D3" w:rsidRPr="002D49D3">
        <w:rPr>
          <w:rFonts w:ascii="Avenir Next" w:hAnsi="Avenir Next" w:cs="Arial"/>
          <w:color w:val="7B7B7B" w:themeColor="accent3" w:themeShade="BF"/>
          <w:sz w:val="22"/>
          <w:szCs w:val="22"/>
        </w:rPr>
        <w:t>,</w:t>
      </w:r>
      <w:r w:rsidR="003E5970">
        <w:rPr>
          <w:rFonts w:ascii="Avenir Next" w:hAnsi="Avenir Next" w:cs="Arial"/>
          <w:color w:val="7B7B7B" w:themeColor="accent3" w:themeShade="BF"/>
          <w:sz w:val="22"/>
          <w:szCs w:val="22"/>
          <w:lang w:val="en-GB"/>
        </w:rPr>
        <w:t xml:space="preserve"> bankruptcy, winding-up and other proceedings, the EIR Recast treats specifically these last issues </w:t>
      </w:r>
      <w:r w:rsidR="003E5970">
        <w:rPr>
          <w:rFonts w:ascii="Avenir Next" w:hAnsi="Avenir Next" w:cs="Arial"/>
          <w:color w:val="7B7B7B" w:themeColor="accent3" w:themeShade="BF"/>
          <w:sz w:val="22"/>
          <w:szCs w:val="22"/>
          <w:lang w:val="en-GB"/>
        </w:rPr>
        <w:lastRenderedPageBreak/>
        <w:t>as an exclusive framework of insolvency and insolvency-related law.</w:t>
      </w:r>
      <w:r w:rsidR="00275719">
        <w:rPr>
          <w:rFonts w:ascii="Avenir Next" w:hAnsi="Avenir Next" w:cs="Arial"/>
          <w:color w:val="7B7B7B" w:themeColor="accent3" w:themeShade="BF"/>
          <w:sz w:val="22"/>
          <w:szCs w:val="22"/>
          <w:lang w:val="en-GB"/>
        </w:rPr>
        <w:t xml:space="preserve"> </w:t>
      </w:r>
      <w:r w:rsidR="000461E1">
        <w:rPr>
          <w:rFonts w:ascii="Avenir Next" w:hAnsi="Avenir Next" w:cs="Arial"/>
          <w:color w:val="7B7B7B" w:themeColor="accent3" w:themeShade="BF"/>
          <w:sz w:val="22"/>
          <w:szCs w:val="22"/>
          <w:lang w:val="en-GB"/>
        </w:rPr>
        <w:t>More specifically</w:t>
      </w:r>
      <w:r w:rsidR="00275719">
        <w:rPr>
          <w:rFonts w:ascii="Avenir Next" w:hAnsi="Avenir Next" w:cs="Arial"/>
          <w:color w:val="7B7B7B" w:themeColor="accent3" w:themeShade="BF"/>
          <w:sz w:val="22"/>
          <w:szCs w:val="22"/>
          <w:lang w:val="en-GB"/>
        </w:rPr>
        <w:t>, a</w:t>
      </w:r>
      <w:r w:rsidR="004A2B1A">
        <w:rPr>
          <w:rFonts w:ascii="Avenir Next" w:hAnsi="Avenir Next" w:cs="Arial"/>
          <w:color w:val="7B7B7B" w:themeColor="accent3" w:themeShade="BF"/>
          <w:sz w:val="22"/>
          <w:szCs w:val="22"/>
          <w:lang w:val="en-GB"/>
        </w:rPr>
        <w:t xml:space="preserve">pplicability of the EIR Recast to an insolvency proceeding depends upon the assessment of </w:t>
      </w:r>
      <w:r w:rsidR="000461E1">
        <w:rPr>
          <w:rFonts w:ascii="Avenir Next" w:hAnsi="Avenir Next" w:cs="Arial"/>
          <w:color w:val="7B7B7B" w:themeColor="accent3" w:themeShade="BF"/>
          <w:sz w:val="22"/>
          <w:szCs w:val="22"/>
          <w:lang w:val="en-GB"/>
        </w:rPr>
        <w:t>particular</w:t>
      </w:r>
      <w:r w:rsidR="004A2B1A">
        <w:rPr>
          <w:rFonts w:ascii="Avenir Next" w:hAnsi="Avenir Next" w:cs="Arial"/>
          <w:color w:val="7B7B7B" w:themeColor="accent3" w:themeShade="BF"/>
          <w:sz w:val="22"/>
          <w:szCs w:val="22"/>
          <w:lang w:val="en-GB"/>
        </w:rPr>
        <w:t xml:space="preserve"> elements. </w:t>
      </w:r>
      <w:r w:rsidR="00544294">
        <w:rPr>
          <w:rFonts w:ascii="Avenir Next" w:hAnsi="Avenir Next" w:cs="Arial"/>
          <w:color w:val="7B7B7B" w:themeColor="accent3" w:themeShade="BF"/>
          <w:sz w:val="22"/>
          <w:szCs w:val="22"/>
          <w:lang w:val="en-GB"/>
        </w:rPr>
        <w:t xml:space="preserve">In case </w:t>
      </w:r>
      <w:r w:rsidR="00257749">
        <w:rPr>
          <w:rFonts w:ascii="Avenir Next" w:hAnsi="Avenir Next" w:cs="Arial"/>
          <w:color w:val="7B7B7B" w:themeColor="accent3" w:themeShade="BF"/>
          <w:sz w:val="22"/>
          <w:szCs w:val="22"/>
          <w:lang w:val="en-GB"/>
        </w:rPr>
        <w:t xml:space="preserve">all answers to </w:t>
      </w:r>
      <w:r w:rsidR="00544294">
        <w:rPr>
          <w:rFonts w:ascii="Avenir Next" w:hAnsi="Avenir Next" w:cs="Arial"/>
          <w:color w:val="7B7B7B" w:themeColor="accent3" w:themeShade="BF"/>
          <w:sz w:val="22"/>
          <w:szCs w:val="22"/>
          <w:lang w:val="en-GB"/>
        </w:rPr>
        <w:t>th</w:t>
      </w:r>
      <w:r w:rsidR="00257749">
        <w:rPr>
          <w:rFonts w:ascii="Avenir Next" w:hAnsi="Avenir Next" w:cs="Arial"/>
          <w:color w:val="7B7B7B" w:themeColor="accent3" w:themeShade="BF"/>
          <w:sz w:val="22"/>
          <w:szCs w:val="22"/>
          <w:lang w:val="en-GB"/>
        </w:rPr>
        <w:t>at</w:t>
      </w:r>
      <w:r w:rsidR="00544294">
        <w:rPr>
          <w:rFonts w:ascii="Avenir Next" w:hAnsi="Avenir Next" w:cs="Arial"/>
          <w:color w:val="7B7B7B" w:themeColor="accent3" w:themeShade="BF"/>
          <w:sz w:val="22"/>
          <w:szCs w:val="22"/>
          <w:lang w:val="en-GB"/>
        </w:rPr>
        <w:t xml:space="preserve"> assessmen</w:t>
      </w:r>
      <w:r w:rsidR="00257749">
        <w:rPr>
          <w:rFonts w:ascii="Avenir Next" w:hAnsi="Avenir Next" w:cs="Arial"/>
          <w:color w:val="7B7B7B" w:themeColor="accent3" w:themeShade="BF"/>
          <w:sz w:val="22"/>
          <w:szCs w:val="22"/>
          <w:lang w:val="en-GB"/>
        </w:rPr>
        <w:t xml:space="preserve">t are </w:t>
      </w:r>
      <w:r w:rsidR="00675B11">
        <w:rPr>
          <w:rFonts w:ascii="Avenir Next" w:hAnsi="Avenir Next" w:cs="Arial"/>
          <w:color w:val="7B7B7B" w:themeColor="accent3" w:themeShade="BF"/>
          <w:sz w:val="22"/>
          <w:szCs w:val="22"/>
        </w:rPr>
        <w:t xml:space="preserve">in the </w:t>
      </w:r>
      <w:r w:rsidR="00257749">
        <w:rPr>
          <w:rFonts w:ascii="Avenir Next" w:hAnsi="Avenir Next" w:cs="Arial"/>
          <w:color w:val="7B7B7B" w:themeColor="accent3" w:themeShade="BF"/>
          <w:sz w:val="22"/>
          <w:szCs w:val="22"/>
          <w:lang w:val="en-GB"/>
        </w:rPr>
        <w:t xml:space="preserve">affirmative, then the EIR Recast will be applicable to the insolvency proceedings </w:t>
      </w:r>
      <w:r w:rsidR="000461E1">
        <w:rPr>
          <w:rFonts w:ascii="Avenir Next" w:hAnsi="Avenir Next" w:cs="Arial"/>
          <w:color w:val="7B7B7B" w:themeColor="accent3" w:themeShade="BF"/>
          <w:sz w:val="22"/>
          <w:szCs w:val="22"/>
          <w:lang w:val="en-GB"/>
        </w:rPr>
        <w:t>at issue</w:t>
      </w:r>
      <w:r w:rsidR="00257749">
        <w:rPr>
          <w:rFonts w:ascii="Avenir Next" w:hAnsi="Avenir Next" w:cs="Arial"/>
          <w:color w:val="7B7B7B" w:themeColor="accent3" w:themeShade="BF"/>
          <w:sz w:val="22"/>
          <w:szCs w:val="22"/>
          <w:lang w:val="en-GB"/>
        </w:rPr>
        <w:t xml:space="preserve">. </w:t>
      </w:r>
      <w:r w:rsidR="007C4A83">
        <w:rPr>
          <w:rFonts w:ascii="Avenir Next" w:hAnsi="Avenir Next" w:cs="Arial"/>
          <w:color w:val="7B7B7B" w:themeColor="accent3" w:themeShade="BF"/>
          <w:sz w:val="22"/>
          <w:szCs w:val="22"/>
          <w:lang w:val="en-GB"/>
        </w:rPr>
        <w:t xml:space="preserve">The first element concerns </w:t>
      </w:r>
      <w:r w:rsidR="00040D92">
        <w:rPr>
          <w:rFonts w:ascii="Avenir Next" w:hAnsi="Avenir Next" w:cs="Arial"/>
          <w:color w:val="7B7B7B" w:themeColor="accent3" w:themeShade="BF"/>
          <w:sz w:val="22"/>
          <w:szCs w:val="22"/>
          <w:lang w:val="en-GB"/>
        </w:rPr>
        <w:t xml:space="preserve">the </w:t>
      </w:r>
      <w:r w:rsidR="003E5970">
        <w:rPr>
          <w:rFonts w:ascii="Avenir Next" w:hAnsi="Avenir Next" w:cs="Arial"/>
          <w:color w:val="7B7B7B" w:themeColor="accent3" w:themeShade="BF"/>
          <w:sz w:val="22"/>
          <w:szCs w:val="22"/>
          <w:lang w:val="en-GB"/>
        </w:rPr>
        <w:t>material scope of the EIR Reca</w:t>
      </w:r>
      <w:r w:rsidR="00651D06">
        <w:rPr>
          <w:rFonts w:ascii="Avenir Next" w:hAnsi="Avenir Next" w:cs="Arial"/>
          <w:color w:val="7B7B7B" w:themeColor="accent3" w:themeShade="BF"/>
          <w:sz w:val="22"/>
          <w:szCs w:val="22"/>
          <w:lang w:val="en-GB"/>
        </w:rPr>
        <w:t>st.</w:t>
      </w:r>
    </w:p>
    <w:p w14:paraId="1D8504E7" w14:textId="77777777" w:rsidR="00353A37" w:rsidRDefault="00353A37" w:rsidP="002A37BB">
      <w:pPr>
        <w:autoSpaceDE w:val="0"/>
        <w:autoSpaceDN w:val="0"/>
        <w:adjustRightInd w:val="0"/>
        <w:jc w:val="both"/>
        <w:rPr>
          <w:rFonts w:ascii="Avenir Next" w:hAnsi="Avenir Next" w:cs="Arial"/>
          <w:color w:val="7B7B7B" w:themeColor="accent3" w:themeShade="BF"/>
          <w:sz w:val="22"/>
          <w:szCs w:val="22"/>
          <w:lang w:val="en-GB"/>
        </w:rPr>
      </w:pPr>
    </w:p>
    <w:p w14:paraId="214E76E5" w14:textId="4632B4CE" w:rsidR="008765D0" w:rsidRDefault="00574095"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With reference to Article 1 of the Regulation, it is stated that ‘public collective proceedings’, which include interim proceedings, fall under the EIR Recast</w:t>
      </w:r>
      <w:r w:rsidR="007B0C5E">
        <w:rPr>
          <w:rFonts w:ascii="Avenir Next" w:hAnsi="Avenir Next" w:cs="Arial"/>
          <w:color w:val="7B7B7B" w:themeColor="accent3" w:themeShade="BF"/>
          <w:sz w:val="22"/>
          <w:szCs w:val="22"/>
          <w:lang w:val="en-GB"/>
        </w:rPr>
        <w:t>.</w:t>
      </w:r>
      <w:r w:rsidR="00CB5537">
        <w:rPr>
          <w:rFonts w:ascii="Avenir Next" w:hAnsi="Avenir Next" w:cs="Arial"/>
          <w:color w:val="7B7B7B" w:themeColor="accent3" w:themeShade="BF"/>
          <w:sz w:val="22"/>
          <w:szCs w:val="22"/>
          <w:lang w:val="en-GB"/>
        </w:rPr>
        <w:t xml:space="preserve"> </w:t>
      </w:r>
      <w:r w:rsidR="00D6047D">
        <w:rPr>
          <w:rFonts w:ascii="Avenir Next" w:hAnsi="Avenir Next" w:cs="Arial"/>
          <w:color w:val="7B7B7B" w:themeColor="accent3" w:themeShade="BF"/>
          <w:sz w:val="22"/>
          <w:szCs w:val="22"/>
          <w:lang w:val="en-GB"/>
        </w:rPr>
        <w:t>In particular, t</w:t>
      </w:r>
      <w:r w:rsidR="007B0C5E">
        <w:rPr>
          <w:rFonts w:ascii="Avenir Next" w:hAnsi="Avenir Next" w:cs="Arial"/>
          <w:color w:val="7B7B7B" w:themeColor="accent3" w:themeShade="BF"/>
          <w:sz w:val="22"/>
          <w:szCs w:val="22"/>
          <w:lang w:val="en-GB"/>
        </w:rPr>
        <w:t>hose proceedings must be based on insolvency-related laws</w:t>
      </w:r>
      <w:r>
        <w:rPr>
          <w:rFonts w:ascii="Avenir Next" w:hAnsi="Avenir Next" w:cs="Arial"/>
          <w:color w:val="7B7B7B" w:themeColor="accent3" w:themeShade="BF"/>
          <w:sz w:val="22"/>
          <w:szCs w:val="22"/>
          <w:lang w:val="en-GB"/>
        </w:rPr>
        <w:t xml:space="preserve"> </w:t>
      </w:r>
      <w:r w:rsidR="007B0C5E">
        <w:rPr>
          <w:rFonts w:ascii="Avenir Next" w:hAnsi="Avenir Next" w:cs="Arial"/>
          <w:color w:val="7B7B7B" w:themeColor="accent3" w:themeShade="BF"/>
          <w:sz w:val="22"/>
          <w:szCs w:val="22"/>
          <w:lang w:val="en-GB"/>
        </w:rPr>
        <w:t xml:space="preserve">and </w:t>
      </w:r>
      <w:r w:rsidR="00EC2BA1">
        <w:rPr>
          <w:rFonts w:ascii="Avenir Next" w:hAnsi="Avenir Next" w:cs="Arial"/>
          <w:color w:val="7B7B7B" w:themeColor="accent3" w:themeShade="BF"/>
          <w:sz w:val="22"/>
          <w:szCs w:val="22"/>
          <w:lang w:val="en-GB"/>
        </w:rPr>
        <w:t xml:space="preserve">be oriented towards the reorganization, liquidation, financial rescue or </w:t>
      </w:r>
      <w:r w:rsidR="00D43B98">
        <w:rPr>
          <w:rFonts w:ascii="Avenir Next" w:hAnsi="Avenir Next" w:cs="Arial"/>
          <w:color w:val="7B7B7B" w:themeColor="accent3" w:themeShade="BF"/>
          <w:sz w:val="22"/>
          <w:szCs w:val="22"/>
          <w:lang w:val="en-GB"/>
        </w:rPr>
        <w:t xml:space="preserve">adjustment of debt procedures of the debtor. In addition, </w:t>
      </w:r>
      <w:r w:rsidR="00306FA5">
        <w:rPr>
          <w:rFonts w:ascii="Avenir Next" w:hAnsi="Avenir Next" w:cs="Arial"/>
          <w:color w:val="7B7B7B" w:themeColor="accent3" w:themeShade="BF"/>
          <w:sz w:val="22"/>
          <w:szCs w:val="22"/>
          <w:lang w:val="en-GB"/>
        </w:rPr>
        <w:t xml:space="preserve">certain characteristics must be present in the insolvency proceeding: a total or partial displacement of the debtor from its business and the appointment of an insolvency practitioner; </w:t>
      </w:r>
      <w:r w:rsidR="00E27FC9">
        <w:rPr>
          <w:rFonts w:ascii="Avenir Next" w:hAnsi="Avenir Next" w:cs="Arial"/>
          <w:color w:val="7B7B7B" w:themeColor="accent3" w:themeShade="BF"/>
          <w:sz w:val="22"/>
          <w:szCs w:val="22"/>
          <w:lang w:val="en-GB"/>
        </w:rPr>
        <w:t xml:space="preserve">the presence of control or supervision by a court of </w:t>
      </w:r>
      <w:r w:rsidR="00EF0EC5">
        <w:rPr>
          <w:rFonts w:ascii="Avenir Next" w:hAnsi="Avenir Next" w:cs="Arial"/>
          <w:color w:val="7B7B7B" w:themeColor="accent3" w:themeShade="BF"/>
          <w:sz w:val="22"/>
          <w:szCs w:val="22"/>
          <w:lang w:val="en-GB"/>
        </w:rPr>
        <w:t xml:space="preserve">the </w:t>
      </w:r>
      <w:r w:rsidR="00E27FC9">
        <w:rPr>
          <w:rFonts w:ascii="Avenir Next" w:hAnsi="Avenir Next" w:cs="Arial"/>
          <w:color w:val="7B7B7B" w:themeColor="accent3" w:themeShade="BF"/>
          <w:sz w:val="22"/>
          <w:szCs w:val="22"/>
          <w:lang w:val="en-GB"/>
        </w:rPr>
        <w:t xml:space="preserve">debtor’s affairs and assets; and, </w:t>
      </w:r>
      <w:r w:rsidR="005447F9">
        <w:rPr>
          <w:rFonts w:ascii="Avenir Next" w:hAnsi="Avenir Next" w:cs="Arial"/>
          <w:color w:val="7B7B7B" w:themeColor="accent3" w:themeShade="BF"/>
          <w:sz w:val="22"/>
          <w:szCs w:val="22"/>
          <w:lang w:val="en-GB"/>
        </w:rPr>
        <w:t>the existence of a provisional stay of individual enforcement proceedings</w:t>
      </w:r>
      <w:r w:rsidR="00E27FC9">
        <w:rPr>
          <w:rFonts w:ascii="Avenir Next" w:hAnsi="Avenir Next" w:cs="Arial"/>
          <w:color w:val="7B7B7B" w:themeColor="accent3" w:themeShade="BF"/>
          <w:sz w:val="22"/>
          <w:szCs w:val="22"/>
          <w:lang w:val="en-GB"/>
        </w:rPr>
        <w:t xml:space="preserve">. </w:t>
      </w:r>
      <w:r w:rsidR="00E02F01">
        <w:rPr>
          <w:rFonts w:ascii="Avenir Next" w:hAnsi="Avenir Next" w:cs="Arial"/>
          <w:color w:val="7B7B7B" w:themeColor="accent3" w:themeShade="BF"/>
          <w:sz w:val="22"/>
          <w:szCs w:val="22"/>
          <w:lang w:val="en-GB"/>
        </w:rPr>
        <w:t xml:space="preserve">The EIR Recast also applies to proceedings </w:t>
      </w:r>
      <w:r w:rsidR="00D6047D">
        <w:rPr>
          <w:rFonts w:ascii="Avenir Next" w:hAnsi="Avenir Next" w:cs="Arial"/>
          <w:color w:val="7B7B7B" w:themeColor="accent3" w:themeShade="BF"/>
          <w:sz w:val="22"/>
          <w:szCs w:val="22"/>
          <w:lang w:val="en-GB"/>
        </w:rPr>
        <w:t>concerning</w:t>
      </w:r>
      <w:r w:rsidR="00E02F01">
        <w:rPr>
          <w:rFonts w:ascii="Avenir Next" w:hAnsi="Avenir Next" w:cs="Arial"/>
          <w:color w:val="7B7B7B" w:themeColor="accent3" w:themeShade="BF"/>
          <w:sz w:val="22"/>
          <w:szCs w:val="22"/>
          <w:lang w:val="en-GB"/>
        </w:rPr>
        <w:t xml:space="preserve"> a debtor’s restructuring in the context of mere probability of insolvency.</w:t>
      </w:r>
    </w:p>
    <w:p w14:paraId="605472BD" w14:textId="77777777" w:rsidR="00353A37" w:rsidRDefault="00353A37" w:rsidP="002A37BB">
      <w:pPr>
        <w:autoSpaceDE w:val="0"/>
        <w:autoSpaceDN w:val="0"/>
        <w:adjustRightInd w:val="0"/>
        <w:jc w:val="both"/>
        <w:rPr>
          <w:rFonts w:ascii="Avenir Next" w:hAnsi="Avenir Next" w:cs="Arial"/>
          <w:color w:val="7B7B7B" w:themeColor="accent3" w:themeShade="BF"/>
          <w:sz w:val="22"/>
          <w:szCs w:val="22"/>
          <w:lang w:val="en-GB"/>
        </w:rPr>
      </w:pPr>
    </w:p>
    <w:p w14:paraId="21111BC6" w14:textId="7E77A9B0" w:rsidR="00353A37" w:rsidRPr="00353A37" w:rsidRDefault="00D6047D" w:rsidP="002A37BB">
      <w:pPr>
        <w:autoSpaceDE w:val="0"/>
        <w:autoSpaceDN w:val="0"/>
        <w:adjustRightInd w:val="0"/>
        <w:jc w:val="both"/>
        <w:rPr>
          <w:rFonts w:ascii="Avenir Next" w:hAnsi="Avenir Next" w:cs="Arial"/>
          <w:i/>
          <w:iCs/>
          <w:color w:val="7B7B7B" w:themeColor="accent3" w:themeShade="BF"/>
          <w:sz w:val="22"/>
          <w:szCs w:val="22"/>
          <w:lang w:val="en-GB"/>
        </w:rPr>
      </w:pPr>
      <w:r>
        <w:rPr>
          <w:rFonts w:ascii="Avenir Next" w:hAnsi="Avenir Next" w:cs="Arial"/>
          <w:color w:val="7B7B7B" w:themeColor="accent3" w:themeShade="BF"/>
          <w:sz w:val="22"/>
          <w:szCs w:val="22"/>
          <w:lang w:val="en-GB"/>
        </w:rPr>
        <w:t>A</w:t>
      </w:r>
      <w:r w:rsidR="00353A37">
        <w:rPr>
          <w:rFonts w:ascii="Avenir Next" w:hAnsi="Avenir Next" w:cs="Arial"/>
          <w:color w:val="7B7B7B" w:themeColor="accent3" w:themeShade="BF"/>
          <w:sz w:val="22"/>
          <w:szCs w:val="22"/>
          <w:lang w:val="en-GB"/>
        </w:rPr>
        <w:t>s already stated by the C</w:t>
      </w:r>
      <w:r w:rsidR="009933C1">
        <w:rPr>
          <w:rFonts w:ascii="Avenir Next" w:hAnsi="Avenir Next" w:cs="Arial"/>
          <w:color w:val="7B7B7B" w:themeColor="accent3" w:themeShade="BF"/>
          <w:sz w:val="22"/>
          <w:szCs w:val="22"/>
          <w:lang w:val="en-GB"/>
        </w:rPr>
        <w:t>J</w:t>
      </w:r>
      <w:r w:rsidR="00353A37">
        <w:rPr>
          <w:rFonts w:ascii="Avenir Next" w:hAnsi="Avenir Next" w:cs="Arial"/>
          <w:color w:val="7B7B7B" w:themeColor="accent3" w:themeShade="BF"/>
          <w:sz w:val="22"/>
          <w:szCs w:val="22"/>
          <w:lang w:val="en-GB"/>
        </w:rPr>
        <w:t xml:space="preserve">EU in the </w:t>
      </w:r>
      <w:r w:rsidR="00353A37">
        <w:rPr>
          <w:rFonts w:ascii="Avenir Next" w:hAnsi="Avenir Next" w:cs="Arial"/>
          <w:i/>
          <w:iCs/>
          <w:color w:val="7B7B7B" w:themeColor="accent3" w:themeShade="BF"/>
          <w:sz w:val="22"/>
          <w:szCs w:val="22"/>
          <w:lang w:val="en-GB"/>
        </w:rPr>
        <w:t xml:space="preserve">Bank Handlowy w Warszawie SA v Christianapol sp. z o.o. </w:t>
      </w:r>
      <w:r w:rsidR="00353A37">
        <w:rPr>
          <w:rFonts w:ascii="Avenir Next" w:hAnsi="Avenir Next" w:cs="Arial"/>
          <w:color w:val="7B7B7B" w:themeColor="accent3" w:themeShade="BF"/>
          <w:sz w:val="22"/>
          <w:szCs w:val="22"/>
          <w:lang w:val="en-GB"/>
        </w:rPr>
        <w:t>case</w:t>
      </w:r>
      <w:r w:rsidR="00E30777">
        <w:rPr>
          <w:rFonts w:ascii="Avenir Next" w:hAnsi="Avenir Next" w:cs="Arial"/>
          <w:color w:val="7B7B7B" w:themeColor="accent3" w:themeShade="BF"/>
          <w:sz w:val="22"/>
          <w:szCs w:val="22"/>
          <w:lang w:val="en-GB"/>
        </w:rPr>
        <w:t xml:space="preserve"> (</w:t>
      </w:r>
      <w:r w:rsidR="00E30777">
        <w:rPr>
          <w:rFonts w:ascii="Avenir Next" w:hAnsi="Avenir Next" w:cs="Arial"/>
          <w:color w:val="7B7B7B" w:themeColor="accent3" w:themeShade="BF"/>
          <w:sz w:val="22"/>
          <w:szCs w:val="22"/>
        </w:rPr>
        <w:t xml:space="preserve">Case C-116/11, </w:t>
      </w:r>
      <w:r w:rsidR="00E30777">
        <w:rPr>
          <w:rFonts w:ascii="Avenir Next" w:hAnsi="Avenir Next" w:cs="Arial"/>
          <w:i/>
          <w:iCs/>
          <w:color w:val="7B7B7B" w:themeColor="accent3" w:themeShade="BF"/>
          <w:sz w:val="22"/>
          <w:szCs w:val="22"/>
        </w:rPr>
        <w:t xml:space="preserve">Bank Handlowy w Warszawie SA v Christianapol sp. z o.o., </w:t>
      </w:r>
      <w:r w:rsidR="00E30777">
        <w:rPr>
          <w:rFonts w:ascii="Avenir Next" w:hAnsi="Avenir Next" w:cs="Arial"/>
          <w:color w:val="7B7B7B" w:themeColor="accent3" w:themeShade="BF"/>
          <w:sz w:val="22"/>
          <w:szCs w:val="22"/>
        </w:rPr>
        <w:t>ECLI:EU:C:2012:739  (Nov. 22, 2012))</w:t>
      </w:r>
      <w:r w:rsidR="00880724">
        <w:rPr>
          <w:rFonts w:ascii="Avenir Next" w:hAnsi="Avenir Next" w:cs="Arial"/>
          <w:color w:val="7B7B7B" w:themeColor="accent3" w:themeShade="BF"/>
          <w:sz w:val="22"/>
          <w:szCs w:val="22"/>
          <w:lang w:val="en-GB"/>
        </w:rPr>
        <w:t xml:space="preserve">, </w:t>
      </w:r>
      <w:r w:rsidR="00347A4D">
        <w:rPr>
          <w:rFonts w:ascii="Avenir Next" w:hAnsi="Avenir Next" w:cs="Arial"/>
          <w:color w:val="7B7B7B" w:themeColor="accent3" w:themeShade="BF"/>
          <w:sz w:val="22"/>
          <w:szCs w:val="22"/>
          <w:lang w:val="en-GB"/>
        </w:rPr>
        <w:t xml:space="preserve">proceedings included in Annex A </w:t>
      </w:r>
      <w:r w:rsidR="00C80C16">
        <w:rPr>
          <w:rFonts w:ascii="Avenir Next" w:hAnsi="Avenir Next" w:cs="Arial"/>
          <w:color w:val="7B7B7B" w:themeColor="accent3" w:themeShade="BF"/>
          <w:sz w:val="22"/>
          <w:szCs w:val="22"/>
          <w:lang w:val="en-GB"/>
        </w:rPr>
        <w:t xml:space="preserve">are considered </w:t>
      </w:r>
      <w:r w:rsidR="00C145E0">
        <w:rPr>
          <w:rFonts w:ascii="Avenir Next" w:hAnsi="Avenir Next" w:cs="Arial"/>
          <w:color w:val="7B7B7B" w:themeColor="accent3" w:themeShade="BF"/>
          <w:sz w:val="22"/>
          <w:szCs w:val="22"/>
          <w:lang w:val="en-GB"/>
        </w:rPr>
        <w:t xml:space="preserve">as </w:t>
      </w:r>
      <w:r w:rsidR="007B7624">
        <w:rPr>
          <w:rFonts w:ascii="Avenir Next" w:hAnsi="Avenir Next" w:cs="Arial"/>
          <w:color w:val="7B7B7B" w:themeColor="accent3" w:themeShade="BF"/>
          <w:sz w:val="22"/>
          <w:szCs w:val="22"/>
          <w:lang w:val="en-GB"/>
        </w:rPr>
        <w:t xml:space="preserve">falling </w:t>
      </w:r>
      <w:r w:rsidR="009933C1">
        <w:rPr>
          <w:rFonts w:ascii="Avenir Next" w:hAnsi="Avenir Next" w:cs="Arial"/>
          <w:color w:val="7B7B7B" w:themeColor="accent3" w:themeShade="BF"/>
          <w:sz w:val="22"/>
          <w:szCs w:val="22"/>
          <w:lang w:val="en-GB"/>
        </w:rPr>
        <w:t>with</w:t>
      </w:r>
      <w:r w:rsidR="007B7624">
        <w:rPr>
          <w:rFonts w:ascii="Avenir Next" w:hAnsi="Avenir Next" w:cs="Arial"/>
          <w:color w:val="7B7B7B" w:themeColor="accent3" w:themeShade="BF"/>
          <w:sz w:val="22"/>
          <w:szCs w:val="22"/>
          <w:lang w:val="en-GB"/>
        </w:rPr>
        <w:t xml:space="preserve">in the scope of the EIR Recast and having a binding effect. </w:t>
      </w:r>
      <w:r w:rsidR="00C80C16">
        <w:rPr>
          <w:rFonts w:ascii="Avenir Next" w:hAnsi="Avenir Next" w:cs="Arial"/>
          <w:color w:val="7B7B7B" w:themeColor="accent3" w:themeShade="BF"/>
          <w:sz w:val="22"/>
          <w:szCs w:val="22"/>
          <w:lang w:val="en-GB"/>
        </w:rPr>
        <w:t xml:space="preserve">Such proceedings </w:t>
      </w:r>
      <w:r w:rsidR="00347A4D">
        <w:rPr>
          <w:rFonts w:ascii="Avenir Next" w:hAnsi="Avenir Next" w:cs="Arial"/>
          <w:color w:val="7B7B7B" w:themeColor="accent3" w:themeShade="BF"/>
          <w:sz w:val="22"/>
          <w:szCs w:val="22"/>
          <w:lang w:val="en-GB"/>
        </w:rPr>
        <w:t xml:space="preserve">are covered by the EIR Recast </w:t>
      </w:r>
      <w:r w:rsidR="009933C1">
        <w:rPr>
          <w:rFonts w:ascii="Avenir Next" w:hAnsi="Avenir Next" w:cs="Arial"/>
          <w:color w:val="7B7B7B" w:themeColor="accent3" w:themeShade="BF"/>
          <w:sz w:val="22"/>
          <w:szCs w:val="22"/>
          <w:lang w:val="en-GB"/>
        </w:rPr>
        <w:t xml:space="preserve">in an </w:t>
      </w:r>
      <w:r w:rsidR="00347A4D">
        <w:rPr>
          <w:rFonts w:ascii="Avenir Next" w:hAnsi="Avenir Next" w:cs="Arial"/>
          <w:color w:val="7B7B7B" w:themeColor="accent3" w:themeShade="BF"/>
          <w:sz w:val="22"/>
          <w:szCs w:val="22"/>
          <w:lang w:val="en-GB"/>
        </w:rPr>
        <w:t>automatic</w:t>
      </w:r>
      <w:r w:rsidR="009933C1">
        <w:rPr>
          <w:rFonts w:ascii="Avenir Next" w:hAnsi="Avenir Next" w:cs="Arial"/>
          <w:color w:val="7B7B7B" w:themeColor="accent3" w:themeShade="BF"/>
          <w:sz w:val="22"/>
          <w:szCs w:val="22"/>
          <w:lang w:val="en-GB"/>
        </w:rPr>
        <w:t xml:space="preserve"> manner</w:t>
      </w:r>
      <w:r w:rsidR="00347A4D">
        <w:rPr>
          <w:rFonts w:ascii="Avenir Next" w:hAnsi="Avenir Next" w:cs="Arial"/>
          <w:color w:val="7B7B7B" w:themeColor="accent3" w:themeShade="BF"/>
          <w:sz w:val="22"/>
          <w:szCs w:val="22"/>
          <w:lang w:val="en-GB"/>
        </w:rPr>
        <w:t>, while others not listed are not.</w:t>
      </w:r>
      <w:r w:rsidR="007B7624">
        <w:rPr>
          <w:rFonts w:ascii="Avenir Next" w:hAnsi="Avenir Next" w:cs="Arial"/>
          <w:color w:val="7B7B7B" w:themeColor="accent3" w:themeShade="BF"/>
          <w:sz w:val="22"/>
          <w:szCs w:val="22"/>
          <w:lang w:val="en-GB"/>
        </w:rPr>
        <w:t xml:space="preserve"> </w:t>
      </w:r>
      <w:r w:rsidR="00F6328D">
        <w:rPr>
          <w:rFonts w:ascii="Avenir Next" w:hAnsi="Avenir Next" w:cs="Arial"/>
          <w:color w:val="7B7B7B" w:themeColor="accent3" w:themeShade="BF"/>
          <w:sz w:val="22"/>
          <w:szCs w:val="22"/>
          <w:lang w:val="en-GB"/>
        </w:rPr>
        <w:t xml:space="preserve">This system </w:t>
      </w:r>
      <w:r w:rsidR="009933C1">
        <w:rPr>
          <w:rFonts w:ascii="Avenir Next" w:hAnsi="Avenir Next" w:cs="Arial"/>
          <w:color w:val="7B7B7B" w:themeColor="accent3" w:themeShade="BF"/>
          <w:sz w:val="22"/>
          <w:szCs w:val="22"/>
          <w:lang w:val="en-GB"/>
        </w:rPr>
        <w:t>that build</w:t>
      </w:r>
      <w:r w:rsidR="0083474A">
        <w:rPr>
          <w:rFonts w:ascii="Avenir Next" w:hAnsi="Avenir Next" w:cs="Arial"/>
          <w:color w:val="7B7B7B" w:themeColor="accent3" w:themeShade="BF"/>
          <w:sz w:val="22"/>
          <w:szCs w:val="22"/>
          <w:lang w:val="en-GB"/>
        </w:rPr>
        <w:t>s</w:t>
      </w:r>
      <w:r w:rsidR="009933C1">
        <w:rPr>
          <w:rFonts w:ascii="Avenir Next" w:hAnsi="Avenir Next" w:cs="Arial"/>
          <w:color w:val="7B7B7B" w:themeColor="accent3" w:themeShade="BF"/>
          <w:sz w:val="22"/>
          <w:szCs w:val="22"/>
          <w:lang w:val="en-GB"/>
        </w:rPr>
        <w:t xml:space="preserve"> upon</w:t>
      </w:r>
      <w:r w:rsidR="00F6328D">
        <w:rPr>
          <w:rFonts w:ascii="Avenir Next" w:hAnsi="Avenir Next" w:cs="Arial"/>
          <w:color w:val="7B7B7B" w:themeColor="accent3" w:themeShade="BF"/>
          <w:sz w:val="22"/>
          <w:szCs w:val="22"/>
          <w:lang w:val="en-GB"/>
        </w:rPr>
        <w:t xml:space="preserve"> Annexes certainly offers clarity and efficiency to the </w:t>
      </w:r>
      <w:r w:rsidR="00DB1163">
        <w:rPr>
          <w:rFonts w:ascii="Avenir Next" w:hAnsi="Avenir Next" w:cs="Arial"/>
          <w:color w:val="7B7B7B" w:themeColor="accent3" w:themeShade="BF"/>
          <w:sz w:val="22"/>
          <w:szCs w:val="22"/>
          <w:lang w:val="en-GB"/>
        </w:rPr>
        <w:t>entire</w:t>
      </w:r>
      <w:r w:rsidR="00F6328D">
        <w:rPr>
          <w:rFonts w:ascii="Avenir Next" w:hAnsi="Avenir Next" w:cs="Arial"/>
          <w:color w:val="7B7B7B" w:themeColor="accent3" w:themeShade="BF"/>
          <w:sz w:val="22"/>
          <w:szCs w:val="22"/>
          <w:lang w:val="en-GB"/>
        </w:rPr>
        <w:t xml:space="preserve"> procedure.</w:t>
      </w:r>
    </w:p>
    <w:p w14:paraId="13914B8A" w14:textId="77777777" w:rsidR="008765D0" w:rsidRDefault="008765D0" w:rsidP="002A37BB">
      <w:pPr>
        <w:autoSpaceDE w:val="0"/>
        <w:autoSpaceDN w:val="0"/>
        <w:adjustRightInd w:val="0"/>
        <w:jc w:val="both"/>
        <w:rPr>
          <w:rFonts w:ascii="Avenir Next" w:hAnsi="Avenir Next" w:cs="Arial"/>
          <w:color w:val="7B7B7B" w:themeColor="accent3" w:themeShade="BF"/>
          <w:sz w:val="22"/>
          <w:szCs w:val="22"/>
          <w:lang w:val="en-GB"/>
        </w:rPr>
      </w:pPr>
    </w:p>
    <w:p w14:paraId="7367AA5C" w14:textId="0C152484" w:rsidR="00400AEA" w:rsidRPr="002C200E" w:rsidRDefault="003E5970" w:rsidP="002C200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second element refers to the temporal scope of the EIR Recast. </w:t>
      </w:r>
      <w:r w:rsidR="00D7641C">
        <w:rPr>
          <w:rFonts w:ascii="Avenir Next" w:hAnsi="Avenir Next" w:cs="Arial"/>
          <w:color w:val="7B7B7B" w:themeColor="accent3" w:themeShade="BF"/>
          <w:sz w:val="22"/>
          <w:szCs w:val="22"/>
          <w:lang w:val="en-GB"/>
        </w:rPr>
        <w:t xml:space="preserve">Noting that </w:t>
      </w:r>
      <w:r w:rsidR="006F7AF4">
        <w:rPr>
          <w:rFonts w:ascii="Avenir Next" w:hAnsi="Avenir Next" w:cs="Arial"/>
          <w:color w:val="7B7B7B" w:themeColor="accent3" w:themeShade="BF"/>
          <w:sz w:val="22"/>
          <w:szCs w:val="22"/>
          <w:lang w:val="en-GB"/>
        </w:rPr>
        <w:t xml:space="preserve">the EIR Recast repeals and succeeds the EIR 2000 as from 26 June 2017, </w:t>
      </w:r>
      <w:r w:rsidR="005733BA">
        <w:rPr>
          <w:rFonts w:ascii="Avenir Next" w:hAnsi="Avenir Next" w:cs="Arial"/>
          <w:color w:val="7B7B7B" w:themeColor="accent3" w:themeShade="BF"/>
          <w:sz w:val="22"/>
          <w:szCs w:val="22"/>
          <w:lang w:val="en-GB"/>
        </w:rPr>
        <w:t>it should be noted that</w:t>
      </w:r>
      <w:r w:rsidR="007260CA">
        <w:rPr>
          <w:rFonts w:ascii="Avenir Next" w:hAnsi="Avenir Next" w:cs="Arial"/>
          <w:color w:val="7B7B7B" w:themeColor="accent3" w:themeShade="BF"/>
          <w:sz w:val="22"/>
          <w:szCs w:val="22"/>
          <w:lang w:val="en-GB"/>
        </w:rPr>
        <w:t>,</w:t>
      </w:r>
      <w:r w:rsidR="005733BA">
        <w:rPr>
          <w:rFonts w:ascii="Avenir Next" w:hAnsi="Avenir Next" w:cs="Arial"/>
          <w:color w:val="7B7B7B" w:themeColor="accent3" w:themeShade="BF"/>
          <w:sz w:val="22"/>
          <w:szCs w:val="22"/>
          <w:lang w:val="en-GB"/>
        </w:rPr>
        <w:t xml:space="preserve"> </w:t>
      </w:r>
      <w:r w:rsidR="007260CA">
        <w:rPr>
          <w:rFonts w:ascii="Avenir Next" w:hAnsi="Avenir Next" w:cs="Arial"/>
          <w:color w:val="7B7B7B" w:themeColor="accent3" w:themeShade="BF"/>
          <w:sz w:val="22"/>
          <w:szCs w:val="22"/>
          <w:lang w:val="en-GB"/>
        </w:rPr>
        <w:t xml:space="preserve">pursuant to Article 92 of the Regulation, </w:t>
      </w:r>
      <w:r w:rsidR="005F2D4B">
        <w:rPr>
          <w:rFonts w:ascii="Avenir Next" w:hAnsi="Avenir Next" w:cs="Arial"/>
          <w:color w:val="7B7B7B" w:themeColor="accent3" w:themeShade="BF"/>
          <w:sz w:val="22"/>
          <w:szCs w:val="22"/>
          <w:lang w:val="en-GB"/>
        </w:rPr>
        <w:t xml:space="preserve">there is no retroactive applicability of </w:t>
      </w:r>
      <w:r w:rsidR="005733BA">
        <w:rPr>
          <w:rFonts w:ascii="Avenir Next" w:hAnsi="Avenir Next" w:cs="Arial"/>
          <w:color w:val="7B7B7B" w:themeColor="accent3" w:themeShade="BF"/>
          <w:sz w:val="22"/>
          <w:szCs w:val="22"/>
          <w:lang w:val="en-GB"/>
        </w:rPr>
        <w:t>the 2015 Regulation</w:t>
      </w:r>
      <w:r w:rsidR="005F2D4B">
        <w:rPr>
          <w:rFonts w:ascii="Avenir Next" w:hAnsi="Avenir Next" w:cs="Arial"/>
          <w:color w:val="7B7B7B" w:themeColor="accent3" w:themeShade="BF"/>
          <w:sz w:val="22"/>
          <w:szCs w:val="22"/>
          <w:lang w:val="en-GB"/>
        </w:rPr>
        <w:t>, except for some specific situations</w:t>
      </w:r>
      <w:r w:rsidR="005733BA">
        <w:rPr>
          <w:rFonts w:ascii="Avenir Next" w:hAnsi="Avenir Next" w:cs="Arial"/>
          <w:color w:val="7B7B7B" w:themeColor="accent3" w:themeShade="BF"/>
          <w:sz w:val="22"/>
          <w:szCs w:val="22"/>
          <w:lang w:val="en-GB"/>
        </w:rPr>
        <w:t>.</w:t>
      </w:r>
      <w:r w:rsidR="006F7AF4">
        <w:rPr>
          <w:rFonts w:ascii="Avenir Next" w:hAnsi="Avenir Next" w:cs="Arial"/>
          <w:color w:val="7B7B7B" w:themeColor="accent3" w:themeShade="BF"/>
          <w:sz w:val="22"/>
          <w:szCs w:val="22"/>
          <w:lang w:val="en-GB"/>
        </w:rPr>
        <w:t xml:space="preserve"> </w:t>
      </w:r>
      <w:r w:rsidR="0017510F">
        <w:rPr>
          <w:rFonts w:ascii="Avenir Next" w:hAnsi="Avenir Next" w:cs="Arial"/>
          <w:color w:val="7B7B7B" w:themeColor="accent3" w:themeShade="BF"/>
          <w:sz w:val="22"/>
          <w:szCs w:val="22"/>
          <w:lang w:val="en-GB"/>
        </w:rPr>
        <w:t>Thus, o</w:t>
      </w:r>
      <w:r w:rsidR="006F7AF4">
        <w:rPr>
          <w:rFonts w:ascii="Avenir Next" w:hAnsi="Avenir Next" w:cs="Arial"/>
          <w:color w:val="7B7B7B" w:themeColor="accent3" w:themeShade="BF"/>
          <w:sz w:val="22"/>
          <w:szCs w:val="22"/>
          <w:lang w:val="en-GB"/>
        </w:rPr>
        <w:t xml:space="preserve">nly insolvency proceedings </w:t>
      </w:r>
      <w:r w:rsidR="005B2F5D">
        <w:rPr>
          <w:rFonts w:ascii="Avenir Next" w:hAnsi="Avenir Next" w:cs="Arial"/>
          <w:color w:val="7B7B7B" w:themeColor="accent3" w:themeShade="BF"/>
          <w:sz w:val="22"/>
          <w:szCs w:val="22"/>
          <w:lang w:val="en-GB"/>
        </w:rPr>
        <w:t>commenced after that date</w:t>
      </w:r>
      <w:r w:rsidR="006F7AF4">
        <w:rPr>
          <w:rFonts w:ascii="Avenir Next" w:hAnsi="Avenir Next" w:cs="Arial"/>
          <w:color w:val="7B7B7B" w:themeColor="accent3" w:themeShade="BF"/>
          <w:sz w:val="22"/>
          <w:szCs w:val="22"/>
          <w:lang w:val="en-GB"/>
        </w:rPr>
        <w:t xml:space="preserve"> are covered by the EIR Recast. </w:t>
      </w:r>
      <w:r w:rsidR="005B2F5D">
        <w:rPr>
          <w:rFonts w:ascii="Avenir Next" w:hAnsi="Avenir Next" w:cs="Arial"/>
          <w:color w:val="7B7B7B" w:themeColor="accent3" w:themeShade="BF"/>
          <w:sz w:val="22"/>
          <w:szCs w:val="22"/>
          <w:lang w:val="en-GB"/>
        </w:rPr>
        <w:t xml:space="preserve">Insolvency proceedings </w:t>
      </w:r>
      <w:r w:rsidR="0083474A">
        <w:rPr>
          <w:rFonts w:ascii="Avenir Next" w:hAnsi="Avenir Next" w:cs="Arial"/>
          <w:color w:val="7B7B7B" w:themeColor="accent3" w:themeShade="BF"/>
          <w:sz w:val="22"/>
          <w:szCs w:val="22"/>
          <w:lang w:val="en-GB"/>
        </w:rPr>
        <w:t xml:space="preserve">with an earlier </w:t>
      </w:r>
      <w:r w:rsidR="005B2F5D">
        <w:rPr>
          <w:rFonts w:ascii="Avenir Next" w:hAnsi="Avenir Next" w:cs="Arial"/>
          <w:color w:val="7B7B7B" w:themeColor="accent3" w:themeShade="BF"/>
          <w:sz w:val="22"/>
          <w:szCs w:val="22"/>
          <w:lang w:val="en-GB"/>
        </w:rPr>
        <w:t xml:space="preserve">date fall within the scope of the EIR 2000. </w:t>
      </w:r>
      <w:r w:rsidR="006F31D8">
        <w:rPr>
          <w:rFonts w:ascii="Avenir Next" w:hAnsi="Avenir Next" w:cs="Arial"/>
          <w:color w:val="7B7B7B" w:themeColor="accent3" w:themeShade="BF"/>
          <w:sz w:val="22"/>
          <w:szCs w:val="22"/>
          <w:lang w:val="en-GB"/>
        </w:rPr>
        <w:t xml:space="preserve">An additional consideration relates to the time of </w:t>
      </w:r>
      <w:r w:rsidR="00D7330C">
        <w:rPr>
          <w:rFonts w:ascii="Avenir Next" w:hAnsi="Avenir Next" w:cs="Arial"/>
          <w:color w:val="7B7B7B" w:themeColor="accent3" w:themeShade="BF"/>
          <w:sz w:val="22"/>
          <w:szCs w:val="22"/>
          <w:lang w:val="en-GB"/>
        </w:rPr>
        <w:t xml:space="preserve">commencement </w:t>
      </w:r>
      <w:r w:rsidR="006F31D8">
        <w:rPr>
          <w:rFonts w:ascii="Avenir Next" w:hAnsi="Avenir Next" w:cs="Arial"/>
          <w:color w:val="7B7B7B" w:themeColor="accent3" w:themeShade="BF"/>
          <w:sz w:val="22"/>
          <w:szCs w:val="22"/>
          <w:lang w:val="en-GB"/>
        </w:rPr>
        <w:t xml:space="preserve">of the proceedings. </w:t>
      </w:r>
      <w:r w:rsidR="00D7330C">
        <w:rPr>
          <w:rFonts w:ascii="Avenir Next" w:hAnsi="Avenir Next" w:cs="Arial"/>
          <w:color w:val="7B7B7B" w:themeColor="accent3" w:themeShade="BF"/>
          <w:sz w:val="22"/>
          <w:szCs w:val="22"/>
          <w:lang w:val="en-GB"/>
        </w:rPr>
        <w:t xml:space="preserve">This </w:t>
      </w:r>
      <w:r w:rsidR="0017510F">
        <w:rPr>
          <w:rFonts w:ascii="Avenir Next" w:hAnsi="Avenir Next" w:cs="Arial"/>
          <w:color w:val="7B7B7B" w:themeColor="accent3" w:themeShade="BF"/>
          <w:sz w:val="22"/>
          <w:szCs w:val="22"/>
          <w:lang w:val="en-GB"/>
        </w:rPr>
        <w:t>temporal element</w:t>
      </w:r>
      <w:r w:rsidR="00D7330C">
        <w:rPr>
          <w:rFonts w:ascii="Avenir Next" w:hAnsi="Avenir Next" w:cs="Arial"/>
          <w:color w:val="7B7B7B" w:themeColor="accent3" w:themeShade="BF"/>
          <w:sz w:val="22"/>
          <w:szCs w:val="22"/>
          <w:lang w:val="en-GB"/>
        </w:rPr>
        <w:t xml:space="preserve"> is </w:t>
      </w:r>
      <w:r w:rsidR="0017510F">
        <w:rPr>
          <w:rFonts w:ascii="Avenir Next" w:hAnsi="Avenir Next" w:cs="Arial"/>
          <w:color w:val="7B7B7B" w:themeColor="accent3" w:themeShade="BF"/>
          <w:sz w:val="22"/>
          <w:szCs w:val="22"/>
          <w:lang w:val="en-GB"/>
        </w:rPr>
        <w:t>close</w:t>
      </w:r>
      <w:r w:rsidR="00D7330C">
        <w:rPr>
          <w:rFonts w:ascii="Avenir Next" w:hAnsi="Avenir Next" w:cs="Arial"/>
          <w:color w:val="7B7B7B" w:themeColor="accent3" w:themeShade="BF"/>
          <w:sz w:val="22"/>
          <w:szCs w:val="22"/>
          <w:lang w:val="en-GB"/>
        </w:rPr>
        <w:t xml:space="preserve">ly linked to the </w:t>
      </w:r>
      <w:r w:rsidR="008D06CD">
        <w:rPr>
          <w:rFonts w:ascii="Avenir Next" w:hAnsi="Avenir Next" w:cs="Arial"/>
          <w:color w:val="7B7B7B" w:themeColor="accent3" w:themeShade="BF"/>
          <w:sz w:val="22"/>
          <w:szCs w:val="22"/>
          <w:lang w:val="en-GB"/>
        </w:rPr>
        <w:t xml:space="preserve">time when the commencement of insolvency proceedings becomes </w:t>
      </w:r>
      <w:r w:rsidR="00E90BC6">
        <w:rPr>
          <w:rFonts w:ascii="Avenir Next" w:hAnsi="Avenir Next" w:cs="Arial"/>
          <w:color w:val="7B7B7B" w:themeColor="accent3" w:themeShade="BF"/>
          <w:sz w:val="22"/>
          <w:szCs w:val="22"/>
          <w:lang w:val="en-GB"/>
        </w:rPr>
        <w:t>effective, whether the judgment is final or not</w:t>
      </w:r>
      <w:r w:rsidR="00393E1F">
        <w:rPr>
          <w:rFonts w:ascii="Avenir Next" w:hAnsi="Avenir Next" w:cs="Arial"/>
          <w:color w:val="7B7B7B" w:themeColor="accent3" w:themeShade="BF"/>
          <w:sz w:val="22"/>
          <w:szCs w:val="22"/>
          <w:lang w:val="en-GB"/>
        </w:rPr>
        <w:t xml:space="preserve"> (</w:t>
      </w:r>
      <w:r w:rsidR="00393E1F">
        <w:rPr>
          <w:rFonts w:ascii="Avenir Next" w:hAnsi="Avenir Next" w:cs="Arial"/>
          <w:i/>
          <w:iCs/>
          <w:color w:val="7B7B7B" w:themeColor="accent3" w:themeShade="BF"/>
          <w:sz w:val="22"/>
          <w:szCs w:val="22"/>
          <w:lang w:val="en-GB"/>
        </w:rPr>
        <w:t>see</w:t>
      </w:r>
      <w:r w:rsidR="00393E1F">
        <w:rPr>
          <w:rFonts w:ascii="Avenir Next" w:hAnsi="Avenir Next" w:cs="Arial"/>
          <w:color w:val="7B7B7B" w:themeColor="accent3" w:themeShade="BF"/>
          <w:sz w:val="22"/>
          <w:szCs w:val="22"/>
          <w:lang w:val="en-GB"/>
        </w:rPr>
        <w:t>, definition of judgment opening insolvency proceedings</w:t>
      </w:r>
      <w:r w:rsidR="00A57FE8">
        <w:rPr>
          <w:rFonts w:ascii="Avenir Next" w:hAnsi="Avenir Next" w:cs="Arial"/>
          <w:color w:val="7B7B7B" w:themeColor="accent3" w:themeShade="BF"/>
          <w:sz w:val="22"/>
          <w:szCs w:val="22"/>
          <w:lang w:val="en-GB"/>
        </w:rPr>
        <w:t xml:space="preserve"> in Article 2(7)</w:t>
      </w:r>
      <w:r w:rsidR="00781EDA">
        <w:rPr>
          <w:rFonts w:ascii="Avenir Next" w:hAnsi="Avenir Next" w:cs="Arial"/>
          <w:color w:val="7B7B7B" w:themeColor="accent3" w:themeShade="BF"/>
          <w:sz w:val="22"/>
          <w:szCs w:val="22"/>
          <w:lang w:val="en-GB"/>
        </w:rPr>
        <w:t>, “</w:t>
      </w:r>
      <w:r w:rsidR="002C200E" w:rsidRPr="002C200E">
        <w:rPr>
          <w:rFonts w:ascii="Avenir Next" w:hAnsi="Avenir Next" w:cs="Arial"/>
          <w:color w:val="7B7B7B" w:themeColor="accent3" w:themeShade="BF"/>
          <w:sz w:val="22"/>
          <w:szCs w:val="22"/>
          <w:lang w:val="en-GB"/>
        </w:rPr>
        <w:t>‘judgment opening insolvency proceedings’ includes:</w:t>
      </w:r>
      <w:r w:rsidR="002C200E">
        <w:rPr>
          <w:rFonts w:ascii="Avenir Next" w:hAnsi="Avenir Next" w:cs="Arial"/>
          <w:color w:val="7B7B7B" w:themeColor="accent3" w:themeShade="BF"/>
          <w:sz w:val="22"/>
          <w:szCs w:val="22"/>
          <w:lang w:val="en-GB"/>
        </w:rPr>
        <w:t xml:space="preserve"> (i) </w:t>
      </w:r>
      <w:r w:rsidR="002C200E" w:rsidRPr="002C200E">
        <w:rPr>
          <w:rFonts w:ascii="Avenir Next" w:hAnsi="Avenir Next" w:cs="Arial"/>
          <w:color w:val="7B7B7B" w:themeColor="accent3" w:themeShade="BF"/>
          <w:sz w:val="22"/>
          <w:szCs w:val="22"/>
          <w:lang w:val="en-GB"/>
        </w:rPr>
        <w:t>the decision of any court to open insolvency proceedings or to confirm the opening of such proceedings; and (ii) the decision of a court to appoint an insolvency practitioner</w:t>
      </w:r>
      <w:r w:rsidR="00781EDA" w:rsidRPr="002C200E">
        <w:rPr>
          <w:rFonts w:ascii="Avenir Next" w:hAnsi="Avenir Next" w:cs="Arial"/>
          <w:color w:val="7B7B7B" w:themeColor="accent3" w:themeShade="BF"/>
          <w:sz w:val="22"/>
          <w:szCs w:val="22"/>
          <w:lang w:val="en-GB"/>
        </w:rPr>
        <w:t>”</w:t>
      </w:r>
      <w:r w:rsidR="00393E1F" w:rsidRPr="002C200E">
        <w:rPr>
          <w:rFonts w:ascii="Avenir Next" w:hAnsi="Avenir Next" w:cs="Arial"/>
          <w:color w:val="7B7B7B" w:themeColor="accent3" w:themeShade="BF"/>
          <w:sz w:val="22"/>
          <w:szCs w:val="22"/>
          <w:lang w:val="en-GB"/>
        </w:rPr>
        <w:t>)</w:t>
      </w:r>
      <w:r w:rsidR="002C200E">
        <w:rPr>
          <w:rFonts w:ascii="Avenir Next" w:hAnsi="Avenir Next" w:cs="Arial"/>
          <w:color w:val="7B7B7B" w:themeColor="accent3" w:themeShade="BF"/>
          <w:sz w:val="22"/>
          <w:szCs w:val="22"/>
          <w:lang w:val="en-GB"/>
        </w:rPr>
        <w:t>.</w:t>
      </w:r>
    </w:p>
    <w:p w14:paraId="6491796D" w14:textId="77777777" w:rsidR="00400AEA" w:rsidRDefault="00400AEA" w:rsidP="002A37BB">
      <w:pPr>
        <w:autoSpaceDE w:val="0"/>
        <w:autoSpaceDN w:val="0"/>
        <w:adjustRightInd w:val="0"/>
        <w:jc w:val="both"/>
        <w:rPr>
          <w:rFonts w:ascii="Avenir Next" w:hAnsi="Avenir Next" w:cs="Arial"/>
          <w:color w:val="7B7B7B" w:themeColor="accent3" w:themeShade="BF"/>
          <w:sz w:val="22"/>
          <w:szCs w:val="22"/>
          <w:lang w:val="en-GB"/>
        </w:rPr>
      </w:pPr>
    </w:p>
    <w:p w14:paraId="46C824E0" w14:textId="33BAD252" w:rsidR="00EF6925" w:rsidRDefault="003E5970"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third element is related to the personal scope of the Regula</w:t>
      </w:r>
      <w:r w:rsidR="00B934AC">
        <w:rPr>
          <w:rFonts w:ascii="Avenir Next" w:hAnsi="Avenir Next" w:cs="Arial"/>
          <w:color w:val="7B7B7B" w:themeColor="accent3" w:themeShade="BF"/>
          <w:sz w:val="22"/>
          <w:szCs w:val="22"/>
          <w:lang w:val="en-GB"/>
        </w:rPr>
        <w:t>tio</w:t>
      </w:r>
      <w:r w:rsidR="00692AAF">
        <w:rPr>
          <w:rFonts w:ascii="Avenir Next" w:hAnsi="Avenir Next" w:cs="Arial"/>
          <w:color w:val="7B7B7B" w:themeColor="accent3" w:themeShade="BF"/>
          <w:sz w:val="22"/>
          <w:szCs w:val="22"/>
          <w:lang w:val="en-GB"/>
        </w:rPr>
        <w:t xml:space="preserve">n. </w:t>
      </w:r>
      <w:r w:rsidR="00EF3534">
        <w:rPr>
          <w:rFonts w:ascii="Avenir Next" w:hAnsi="Avenir Next" w:cs="Arial"/>
          <w:color w:val="7B7B7B" w:themeColor="accent3" w:themeShade="BF"/>
          <w:sz w:val="22"/>
          <w:szCs w:val="22"/>
          <w:lang w:val="en-GB"/>
        </w:rPr>
        <w:t xml:space="preserve">As per Recital 9, </w:t>
      </w:r>
      <w:r w:rsidR="003230E1">
        <w:rPr>
          <w:rFonts w:ascii="Avenir Next" w:hAnsi="Avenir Next" w:cs="Arial"/>
          <w:color w:val="7B7B7B" w:themeColor="accent3" w:themeShade="BF"/>
          <w:sz w:val="22"/>
          <w:szCs w:val="22"/>
          <w:lang w:val="en-GB"/>
        </w:rPr>
        <w:t xml:space="preserve">Regulation </w:t>
      </w:r>
      <w:r w:rsidR="00C40CF9">
        <w:rPr>
          <w:rFonts w:ascii="Avenir Next" w:hAnsi="Avenir Next" w:cs="Arial"/>
          <w:color w:val="7B7B7B" w:themeColor="accent3" w:themeShade="BF"/>
          <w:sz w:val="22"/>
          <w:szCs w:val="22"/>
          <w:lang w:val="en-GB"/>
        </w:rPr>
        <w:t>2015/</w:t>
      </w:r>
      <w:r w:rsidR="003230E1">
        <w:rPr>
          <w:rFonts w:ascii="Avenir Next" w:hAnsi="Avenir Next" w:cs="Arial"/>
          <w:color w:val="7B7B7B" w:themeColor="accent3" w:themeShade="BF"/>
          <w:sz w:val="22"/>
          <w:szCs w:val="22"/>
          <w:lang w:val="en-GB"/>
        </w:rPr>
        <w:t>8</w:t>
      </w:r>
      <w:r w:rsidR="00B50D97">
        <w:rPr>
          <w:rFonts w:ascii="Avenir Next" w:hAnsi="Avenir Next" w:cs="Arial"/>
          <w:color w:val="7B7B7B" w:themeColor="accent3" w:themeShade="BF"/>
          <w:sz w:val="22"/>
          <w:szCs w:val="22"/>
          <w:lang w:val="en-GB"/>
        </w:rPr>
        <w:t>4</w:t>
      </w:r>
      <w:r w:rsidR="003230E1">
        <w:rPr>
          <w:rFonts w:ascii="Avenir Next" w:hAnsi="Avenir Next" w:cs="Arial"/>
          <w:color w:val="7B7B7B" w:themeColor="accent3" w:themeShade="BF"/>
          <w:sz w:val="22"/>
          <w:szCs w:val="22"/>
          <w:lang w:val="en-GB"/>
        </w:rPr>
        <w:t>8</w:t>
      </w:r>
      <w:r w:rsidR="00C40CF9">
        <w:rPr>
          <w:rFonts w:ascii="Avenir Next" w:hAnsi="Avenir Next" w:cs="Arial"/>
          <w:color w:val="7B7B7B" w:themeColor="accent3" w:themeShade="BF"/>
          <w:sz w:val="22"/>
          <w:szCs w:val="22"/>
          <w:lang w:val="en-GB"/>
        </w:rPr>
        <w:t xml:space="preserve"> </w:t>
      </w:r>
      <w:r w:rsidR="003230E1">
        <w:rPr>
          <w:rFonts w:ascii="Avenir Next" w:hAnsi="Avenir Next" w:cs="Arial"/>
          <w:color w:val="7B7B7B" w:themeColor="accent3" w:themeShade="BF"/>
          <w:sz w:val="22"/>
          <w:szCs w:val="22"/>
          <w:lang w:val="en-GB"/>
        </w:rPr>
        <w:t>applies to both natural and legal persons as well as to both traders and consumers</w:t>
      </w:r>
      <w:r w:rsidR="00EF3534">
        <w:rPr>
          <w:rFonts w:ascii="Avenir Next" w:hAnsi="Avenir Next" w:cs="Arial"/>
          <w:color w:val="7B7B7B" w:themeColor="accent3" w:themeShade="BF"/>
          <w:sz w:val="22"/>
          <w:szCs w:val="22"/>
          <w:lang w:val="en-GB"/>
        </w:rPr>
        <w:t xml:space="preserve">. </w:t>
      </w:r>
      <w:r w:rsidR="00F83606">
        <w:rPr>
          <w:rFonts w:ascii="Avenir Next" w:hAnsi="Avenir Next" w:cs="Arial"/>
          <w:color w:val="7B7B7B" w:themeColor="accent3" w:themeShade="BF"/>
          <w:sz w:val="22"/>
          <w:szCs w:val="22"/>
          <w:lang w:val="en-GB"/>
        </w:rPr>
        <w:t xml:space="preserve">In this </w:t>
      </w:r>
      <w:r w:rsidR="009C1651">
        <w:rPr>
          <w:rFonts w:ascii="Avenir Next" w:hAnsi="Avenir Next" w:cs="Arial"/>
          <w:color w:val="7B7B7B" w:themeColor="accent3" w:themeShade="BF"/>
          <w:sz w:val="22"/>
          <w:szCs w:val="22"/>
          <w:lang w:val="en-GB"/>
        </w:rPr>
        <w:t>regard</w:t>
      </w:r>
      <w:r w:rsidR="00F83606">
        <w:rPr>
          <w:rFonts w:ascii="Avenir Next" w:hAnsi="Avenir Next" w:cs="Arial"/>
          <w:color w:val="7B7B7B" w:themeColor="accent3" w:themeShade="BF"/>
          <w:sz w:val="22"/>
          <w:szCs w:val="22"/>
          <w:lang w:val="en-GB"/>
        </w:rPr>
        <w:t xml:space="preserve">, proceedings dedicated to debt adjustment or </w:t>
      </w:r>
      <w:r w:rsidR="00D16D05">
        <w:rPr>
          <w:rFonts w:ascii="Avenir Next" w:hAnsi="Avenir Next" w:cs="Arial"/>
          <w:color w:val="7B7B7B" w:themeColor="accent3" w:themeShade="BF"/>
          <w:sz w:val="22"/>
          <w:szCs w:val="22"/>
          <w:lang w:val="en-GB"/>
        </w:rPr>
        <w:t xml:space="preserve">debt </w:t>
      </w:r>
      <w:r w:rsidR="00F83606">
        <w:rPr>
          <w:rFonts w:ascii="Avenir Next" w:hAnsi="Avenir Next" w:cs="Arial"/>
          <w:color w:val="7B7B7B" w:themeColor="accent3" w:themeShade="BF"/>
          <w:sz w:val="22"/>
          <w:szCs w:val="22"/>
          <w:lang w:val="en-GB"/>
        </w:rPr>
        <w:t xml:space="preserve">discharge </w:t>
      </w:r>
      <w:r w:rsidR="00E32BAD">
        <w:rPr>
          <w:rFonts w:ascii="Avenir Next" w:hAnsi="Avenir Next" w:cs="Arial"/>
          <w:color w:val="7B7B7B" w:themeColor="accent3" w:themeShade="BF"/>
          <w:sz w:val="22"/>
          <w:szCs w:val="22"/>
          <w:lang w:val="en-GB"/>
        </w:rPr>
        <w:t>for</w:t>
      </w:r>
      <w:r w:rsidR="000D19CF">
        <w:rPr>
          <w:rFonts w:ascii="Avenir Next" w:hAnsi="Avenir Next" w:cs="Arial"/>
          <w:color w:val="7B7B7B" w:themeColor="accent3" w:themeShade="BF"/>
          <w:sz w:val="22"/>
          <w:szCs w:val="22"/>
          <w:lang w:val="en-GB"/>
        </w:rPr>
        <w:t xml:space="preserve"> self-employed individuals or</w:t>
      </w:r>
      <w:r w:rsidR="00D16D05">
        <w:rPr>
          <w:rFonts w:ascii="Avenir Next" w:hAnsi="Avenir Next" w:cs="Arial"/>
          <w:color w:val="7B7B7B" w:themeColor="accent3" w:themeShade="BF"/>
          <w:sz w:val="22"/>
          <w:szCs w:val="22"/>
          <w:lang w:val="en-GB"/>
        </w:rPr>
        <w:t xml:space="preserve"> </w:t>
      </w:r>
      <w:r w:rsidR="000D19CF">
        <w:rPr>
          <w:rFonts w:ascii="Avenir Next" w:hAnsi="Avenir Next" w:cs="Arial"/>
          <w:color w:val="7B7B7B" w:themeColor="accent3" w:themeShade="BF"/>
          <w:sz w:val="22"/>
          <w:szCs w:val="22"/>
          <w:lang w:val="en-GB"/>
        </w:rPr>
        <w:t xml:space="preserve">generally </w:t>
      </w:r>
      <w:r w:rsidR="00D16D05">
        <w:rPr>
          <w:rFonts w:ascii="Avenir Next" w:hAnsi="Avenir Next" w:cs="Arial"/>
          <w:color w:val="7B7B7B" w:themeColor="accent3" w:themeShade="BF"/>
          <w:sz w:val="22"/>
          <w:szCs w:val="22"/>
          <w:lang w:val="en-GB"/>
        </w:rPr>
        <w:t>consume</w:t>
      </w:r>
      <w:r w:rsidR="00E32BAD">
        <w:rPr>
          <w:rFonts w:ascii="Avenir Next" w:hAnsi="Avenir Next" w:cs="Arial"/>
          <w:color w:val="7B7B7B" w:themeColor="accent3" w:themeShade="BF"/>
          <w:sz w:val="22"/>
          <w:szCs w:val="22"/>
          <w:lang w:val="en-GB"/>
        </w:rPr>
        <w:t>rs</w:t>
      </w:r>
      <w:r w:rsidR="000D19CF">
        <w:rPr>
          <w:rFonts w:ascii="Avenir Next" w:hAnsi="Avenir Next" w:cs="Arial"/>
          <w:color w:val="7B7B7B" w:themeColor="accent3" w:themeShade="BF"/>
          <w:sz w:val="22"/>
          <w:szCs w:val="22"/>
          <w:lang w:val="en-GB"/>
        </w:rPr>
        <w:t xml:space="preserve"> are also included in the scope of the 2015 Regulation. </w:t>
      </w:r>
      <w:r w:rsidR="00211201">
        <w:rPr>
          <w:rFonts w:ascii="Avenir Next" w:hAnsi="Avenir Next" w:cs="Arial"/>
          <w:color w:val="7B7B7B" w:themeColor="accent3" w:themeShade="BF"/>
          <w:sz w:val="22"/>
          <w:szCs w:val="22"/>
          <w:lang w:val="en-GB"/>
        </w:rPr>
        <w:t>In contrast, the Regulation does not apply to very specific situations that relate to proceedings of insurance undertakings, investment and other firms</w:t>
      </w:r>
      <w:r w:rsidR="00A950B4">
        <w:rPr>
          <w:rFonts w:ascii="Avenir Next" w:hAnsi="Avenir Next" w:cs="Arial"/>
          <w:color w:val="7B7B7B" w:themeColor="accent3" w:themeShade="BF"/>
          <w:sz w:val="22"/>
          <w:szCs w:val="22"/>
          <w:lang w:val="en-GB"/>
        </w:rPr>
        <w:t>, undertakings or institutions (if covered by Directive 2001/24/EC)</w:t>
      </w:r>
      <w:r w:rsidR="00211201">
        <w:rPr>
          <w:rFonts w:ascii="Avenir Next" w:hAnsi="Avenir Next" w:cs="Arial"/>
          <w:color w:val="7B7B7B" w:themeColor="accent3" w:themeShade="BF"/>
          <w:sz w:val="22"/>
          <w:szCs w:val="22"/>
          <w:lang w:val="en-GB"/>
        </w:rPr>
        <w:t xml:space="preserve">, credit institutions and collective investment undertakings. Those proceedings fall within the </w:t>
      </w:r>
      <w:r w:rsidR="00747D42">
        <w:rPr>
          <w:rFonts w:ascii="Avenir Next" w:hAnsi="Avenir Next" w:cs="Arial"/>
          <w:color w:val="7B7B7B" w:themeColor="accent3" w:themeShade="BF"/>
          <w:sz w:val="22"/>
          <w:szCs w:val="22"/>
          <w:lang w:val="en-GB"/>
        </w:rPr>
        <w:t>s</w:t>
      </w:r>
      <w:r w:rsidR="00211201">
        <w:rPr>
          <w:rFonts w:ascii="Avenir Next" w:hAnsi="Avenir Next" w:cs="Arial"/>
          <w:color w:val="7B7B7B" w:themeColor="accent3" w:themeShade="BF"/>
          <w:sz w:val="22"/>
          <w:szCs w:val="22"/>
          <w:lang w:val="en-GB"/>
        </w:rPr>
        <w:t xml:space="preserve">cope </w:t>
      </w:r>
      <w:r w:rsidR="006526F6">
        <w:rPr>
          <w:rFonts w:ascii="Avenir Next" w:hAnsi="Avenir Next" w:cs="Arial"/>
          <w:color w:val="7B7B7B" w:themeColor="accent3" w:themeShade="BF"/>
          <w:sz w:val="22"/>
          <w:szCs w:val="22"/>
          <w:lang w:val="en-GB"/>
        </w:rPr>
        <w:t xml:space="preserve">of </w:t>
      </w:r>
      <w:r w:rsidR="00747D42">
        <w:rPr>
          <w:rFonts w:ascii="Avenir Next" w:hAnsi="Avenir Next" w:cs="Arial"/>
          <w:color w:val="7B7B7B" w:themeColor="accent3" w:themeShade="BF"/>
          <w:sz w:val="22"/>
          <w:szCs w:val="22"/>
          <w:lang w:val="en-GB"/>
        </w:rPr>
        <w:t>special legal frameworks outside the 2015 Regulation</w:t>
      </w:r>
      <w:r w:rsidR="000E28E2">
        <w:rPr>
          <w:rFonts w:ascii="Avenir Next" w:hAnsi="Avenir Next" w:cs="Arial"/>
          <w:color w:val="7B7B7B" w:themeColor="accent3" w:themeShade="BF"/>
          <w:sz w:val="22"/>
          <w:szCs w:val="22"/>
          <w:lang w:val="en-GB"/>
        </w:rPr>
        <w:t>.</w:t>
      </w:r>
    </w:p>
    <w:p w14:paraId="0E83EA10" w14:textId="77777777" w:rsidR="00EF6925" w:rsidRDefault="00EF6925" w:rsidP="002A37BB">
      <w:pPr>
        <w:autoSpaceDE w:val="0"/>
        <w:autoSpaceDN w:val="0"/>
        <w:adjustRightInd w:val="0"/>
        <w:jc w:val="both"/>
        <w:rPr>
          <w:rFonts w:ascii="Avenir Next" w:hAnsi="Avenir Next" w:cs="Arial"/>
          <w:color w:val="7B7B7B" w:themeColor="accent3" w:themeShade="BF"/>
          <w:sz w:val="22"/>
          <w:szCs w:val="22"/>
          <w:lang w:val="en-GB"/>
        </w:rPr>
      </w:pPr>
    </w:p>
    <w:p w14:paraId="4BB79E2D" w14:textId="6EAFDEEC" w:rsidR="001F4C9C" w:rsidRDefault="003E5970"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fourth element concerns the territorial scope of the EIR Recast.</w:t>
      </w:r>
      <w:r w:rsidR="00352975">
        <w:rPr>
          <w:rFonts w:ascii="Avenir Next" w:hAnsi="Avenir Next" w:cs="Arial"/>
          <w:color w:val="7B7B7B" w:themeColor="accent3" w:themeShade="BF"/>
          <w:sz w:val="22"/>
          <w:szCs w:val="22"/>
          <w:lang w:val="en-GB"/>
        </w:rPr>
        <w:t xml:space="preserve"> </w:t>
      </w:r>
      <w:r w:rsidR="001D78CC">
        <w:rPr>
          <w:rFonts w:ascii="Avenir Next" w:hAnsi="Avenir Next" w:cs="Arial"/>
          <w:color w:val="7B7B7B" w:themeColor="accent3" w:themeShade="BF"/>
          <w:sz w:val="22"/>
          <w:szCs w:val="22"/>
          <w:lang w:val="en-GB"/>
        </w:rPr>
        <w:t xml:space="preserve">Applicability of the 2015 Regulation concerns all EU Member States, except for Denmark. Recital 25 includes a very useful rule directing applicability of the EIR Recast only to proceedings that </w:t>
      </w:r>
      <w:r w:rsidR="00EB0BFA">
        <w:rPr>
          <w:rFonts w:ascii="Avenir Next" w:hAnsi="Avenir Next" w:cs="Arial"/>
          <w:color w:val="7B7B7B" w:themeColor="accent3" w:themeShade="BF"/>
          <w:sz w:val="22"/>
          <w:szCs w:val="22"/>
          <w:lang w:val="en-GB"/>
        </w:rPr>
        <w:t xml:space="preserve">are </w:t>
      </w:r>
      <w:r w:rsidR="001D78CC">
        <w:rPr>
          <w:rFonts w:ascii="Avenir Next" w:hAnsi="Avenir Next" w:cs="Arial"/>
          <w:color w:val="7B7B7B" w:themeColor="accent3" w:themeShade="BF"/>
          <w:sz w:val="22"/>
          <w:szCs w:val="22"/>
          <w:lang w:val="en-GB"/>
        </w:rPr>
        <w:t>initiate</w:t>
      </w:r>
      <w:r w:rsidR="00EB0BFA">
        <w:rPr>
          <w:rFonts w:ascii="Avenir Next" w:hAnsi="Avenir Next" w:cs="Arial"/>
          <w:color w:val="7B7B7B" w:themeColor="accent3" w:themeShade="BF"/>
          <w:sz w:val="22"/>
          <w:szCs w:val="22"/>
          <w:lang w:val="en-GB"/>
        </w:rPr>
        <w:t>d</w:t>
      </w:r>
      <w:r w:rsidR="001D78CC">
        <w:rPr>
          <w:rFonts w:ascii="Avenir Next" w:hAnsi="Avenir Next" w:cs="Arial"/>
          <w:color w:val="7B7B7B" w:themeColor="accent3" w:themeShade="BF"/>
          <w:sz w:val="22"/>
          <w:szCs w:val="22"/>
          <w:lang w:val="en-GB"/>
        </w:rPr>
        <w:t xml:space="preserve"> where the debtor’s COMI (“center of main interest”) i</w:t>
      </w:r>
      <w:r w:rsidR="007E15A4">
        <w:rPr>
          <w:rFonts w:ascii="Avenir Next" w:hAnsi="Avenir Next" w:cs="Arial"/>
          <w:color w:val="7B7B7B" w:themeColor="accent3" w:themeShade="BF"/>
          <w:sz w:val="22"/>
          <w:szCs w:val="22"/>
          <w:lang w:val="en-GB"/>
        </w:rPr>
        <w:t>s linked to</w:t>
      </w:r>
      <w:r w:rsidR="001D78CC">
        <w:rPr>
          <w:rFonts w:ascii="Avenir Next" w:hAnsi="Avenir Next" w:cs="Arial"/>
          <w:color w:val="7B7B7B" w:themeColor="accent3" w:themeShade="BF"/>
          <w:sz w:val="22"/>
          <w:szCs w:val="22"/>
          <w:lang w:val="en-GB"/>
        </w:rPr>
        <w:t xml:space="preserve"> the EU</w:t>
      </w:r>
      <w:r w:rsidR="007E15A4">
        <w:rPr>
          <w:rFonts w:ascii="Avenir Next" w:hAnsi="Avenir Next" w:cs="Arial"/>
          <w:color w:val="7B7B7B" w:themeColor="accent3" w:themeShade="BF"/>
          <w:sz w:val="22"/>
          <w:szCs w:val="22"/>
          <w:lang w:val="en-GB"/>
        </w:rPr>
        <w:t xml:space="preserve">. </w:t>
      </w:r>
      <w:r w:rsidR="00AD60B2">
        <w:rPr>
          <w:rFonts w:ascii="Avenir Next" w:hAnsi="Avenir Next" w:cs="Arial"/>
          <w:color w:val="7B7B7B" w:themeColor="accent3" w:themeShade="BF"/>
          <w:sz w:val="22"/>
          <w:szCs w:val="22"/>
          <w:lang w:val="en-GB"/>
        </w:rPr>
        <w:t xml:space="preserve">Recital 27 makes it mandatory for a court prior to initiating an insolvency proceeding to assess </w:t>
      </w:r>
      <w:r w:rsidR="00912A82">
        <w:rPr>
          <w:rFonts w:ascii="Avenir Next" w:hAnsi="Avenir Next" w:cs="Arial"/>
          <w:color w:val="7B7B7B" w:themeColor="accent3" w:themeShade="BF"/>
          <w:sz w:val="22"/>
          <w:szCs w:val="22"/>
          <w:lang w:val="en-GB"/>
        </w:rPr>
        <w:t xml:space="preserve">ex officio </w:t>
      </w:r>
      <w:r w:rsidR="00AD60B2">
        <w:rPr>
          <w:rFonts w:ascii="Avenir Next" w:hAnsi="Avenir Next" w:cs="Arial"/>
          <w:color w:val="7B7B7B" w:themeColor="accent3" w:themeShade="BF"/>
          <w:sz w:val="22"/>
          <w:szCs w:val="22"/>
          <w:lang w:val="en-GB"/>
        </w:rPr>
        <w:t xml:space="preserve">whether the debtor’s COMI is located in that Member State. </w:t>
      </w:r>
      <w:r w:rsidR="00B85658">
        <w:rPr>
          <w:rFonts w:ascii="Avenir Next" w:hAnsi="Avenir Next" w:cs="Arial"/>
          <w:color w:val="7B7B7B" w:themeColor="accent3" w:themeShade="BF"/>
          <w:sz w:val="22"/>
          <w:szCs w:val="22"/>
          <w:lang w:val="en-GB"/>
        </w:rPr>
        <w:t>T</w:t>
      </w:r>
      <w:r w:rsidR="00912A82">
        <w:rPr>
          <w:rFonts w:ascii="Avenir Next" w:hAnsi="Avenir Next" w:cs="Arial"/>
          <w:color w:val="7B7B7B" w:themeColor="accent3" w:themeShade="BF"/>
          <w:sz w:val="22"/>
          <w:szCs w:val="22"/>
          <w:lang w:val="en-GB"/>
        </w:rPr>
        <w:t>here is inapplicability of the EIR Recast in case the COMI of the debtor is situated outside the European Unio</w:t>
      </w:r>
      <w:r w:rsidR="00622A59">
        <w:rPr>
          <w:rFonts w:ascii="Avenir Next" w:hAnsi="Avenir Next" w:cs="Arial"/>
          <w:color w:val="7B7B7B" w:themeColor="accent3" w:themeShade="BF"/>
          <w:sz w:val="22"/>
          <w:szCs w:val="22"/>
          <w:lang w:val="en-GB"/>
        </w:rPr>
        <w:t>n.</w:t>
      </w:r>
      <w:r w:rsidR="00627B35">
        <w:rPr>
          <w:rFonts w:ascii="Avenir Next" w:hAnsi="Avenir Next" w:cs="Arial"/>
          <w:color w:val="7B7B7B" w:themeColor="accent3" w:themeShade="BF"/>
          <w:sz w:val="22"/>
          <w:szCs w:val="22"/>
          <w:lang w:val="en-GB"/>
        </w:rPr>
        <w:t xml:space="preserve"> </w:t>
      </w:r>
      <w:r w:rsidR="00B85658">
        <w:rPr>
          <w:rFonts w:ascii="Avenir Next" w:hAnsi="Avenir Next" w:cs="Arial"/>
          <w:color w:val="7B7B7B" w:themeColor="accent3" w:themeShade="BF"/>
          <w:sz w:val="22"/>
          <w:szCs w:val="22"/>
          <w:lang w:val="en-GB"/>
        </w:rPr>
        <w:t>In such circumstances, d</w:t>
      </w:r>
      <w:r w:rsidR="00627B35">
        <w:rPr>
          <w:rFonts w:ascii="Avenir Next" w:hAnsi="Avenir Next" w:cs="Arial"/>
          <w:color w:val="7B7B7B" w:themeColor="accent3" w:themeShade="BF"/>
          <w:sz w:val="22"/>
          <w:szCs w:val="22"/>
          <w:lang w:val="en-GB"/>
        </w:rPr>
        <w:t>omestic conflict of laws a</w:t>
      </w:r>
      <w:r w:rsidR="00B85658">
        <w:rPr>
          <w:rFonts w:ascii="Avenir Next" w:hAnsi="Avenir Next" w:cs="Arial"/>
          <w:color w:val="7B7B7B" w:themeColor="accent3" w:themeShade="BF"/>
          <w:sz w:val="22"/>
          <w:szCs w:val="22"/>
          <w:lang w:val="en-GB"/>
        </w:rPr>
        <w:t>s well as</w:t>
      </w:r>
      <w:r w:rsidR="00627B35">
        <w:rPr>
          <w:rFonts w:ascii="Avenir Next" w:hAnsi="Avenir Next" w:cs="Arial"/>
          <w:color w:val="7B7B7B" w:themeColor="accent3" w:themeShade="BF"/>
          <w:sz w:val="22"/>
          <w:szCs w:val="22"/>
          <w:lang w:val="en-GB"/>
        </w:rPr>
        <w:t xml:space="preserve"> insolvency law</w:t>
      </w:r>
      <w:r w:rsidR="00B85658">
        <w:rPr>
          <w:rFonts w:ascii="Avenir Next" w:hAnsi="Avenir Next" w:cs="Arial"/>
          <w:color w:val="7B7B7B" w:themeColor="accent3" w:themeShade="BF"/>
          <w:sz w:val="22"/>
          <w:szCs w:val="22"/>
          <w:lang w:val="en-GB"/>
        </w:rPr>
        <w:t>s</w:t>
      </w:r>
      <w:r w:rsidR="00627B35">
        <w:rPr>
          <w:rFonts w:ascii="Avenir Next" w:hAnsi="Avenir Next" w:cs="Arial"/>
          <w:color w:val="7B7B7B" w:themeColor="accent3" w:themeShade="BF"/>
          <w:sz w:val="22"/>
          <w:szCs w:val="22"/>
          <w:lang w:val="en-GB"/>
        </w:rPr>
        <w:t xml:space="preserve"> of the Member State or States concerned will govern jurisdictional issu</w:t>
      </w:r>
      <w:r w:rsidR="00B85658">
        <w:rPr>
          <w:rFonts w:ascii="Avenir Next" w:hAnsi="Avenir Next" w:cs="Arial"/>
          <w:color w:val="7B7B7B" w:themeColor="accent3" w:themeShade="BF"/>
          <w:sz w:val="22"/>
          <w:szCs w:val="22"/>
          <w:lang w:val="en-GB"/>
        </w:rPr>
        <w:t>es</w:t>
      </w:r>
      <w:r w:rsidR="00627B35">
        <w:rPr>
          <w:rFonts w:ascii="Avenir Next" w:hAnsi="Avenir Next" w:cs="Arial"/>
          <w:color w:val="7B7B7B" w:themeColor="accent3" w:themeShade="BF"/>
          <w:sz w:val="22"/>
          <w:szCs w:val="22"/>
          <w:lang w:val="en-GB"/>
        </w:rPr>
        <w:t>.</w:t>
      </w:r>
      <w:r w:rsidR="00622A59">
        <w:rPr>
          <w:rFonts w:ascii="Avenir Next" w:hAnsi="Avenir Next" w:cs="Arial"/>
          <w:color w:val="7B7B7B" w:themeColor="accent3" w:themeShade="BF"/>
          <w:sz w:val="22"/>
          <w:szCs w:val="22"/>
          <w:lang w:val="en-GB"/>
        </w:rPr>
        <w:t xml:space="preserve"> </w:t>
      </w:r>
      <w:r w:rsidR="00930C86">
        <w:rPr>
          <w:rFonts w:ascii="Avenir Next" w:hAnsi="Avenir Next" w:cs="Arial"/>
          <w:color w:val="7B7B7B" w:themeColor="accent3" w:themeShade="BF"/>
          <w:sz w:val="22"/>
          <w:szCs w:val="22"/>
          <w:lang w:val="en-GB"/>
        </w:rPr>
        <w:t xml:space="preserve">However, it should be </w:t>
      </w:r>
      <w:r w:rsidR="00930C86">
        <w:rPr>
          <w:rFonts w:ascii="Avenir Next" w:hAnsi="Avenir Next" w:cs="Arial"/>
          <w:color w:val="7B7B7B" w:themeColor="accent3" w:themeShade="BF"/>
          <w:sz w:val="22"/>
          <w:szCs w:val="22"/>
          <w:lang w:val="en-GB"/>
        </w:rPr>
        <w:lastRenderedPageBreak/>
        <w:t>noted that</w:t>
      </w:r>
      <w:r w:rsidR="00F51FA0">
        <w:rPr>
          <w:rFonts w:ascii="Avenir Next" w:hAnsi="Avenir Next" w:cs="Arial"/>
          <w:color w:val="7B7B7B" w:themeColor="accent3" w:themeShade="BF"/>
          <w:sz w:val="22"/>
          <w:szCs w:val="22"/>
          <w:lang w:val="en-GB"/>
        </w:rPr>
        <w:t>,</w:t>
      </w:r>
      <w:r w:rsidR="00930C86">
        <w:rPr>
          <w:rFonts w:ascii="Avenir Next" w:hAnsi="Avenir Next" w:cs="Arial"/>
          <w:color w:val="7B7B7B" w:themeColor="accent3" w:themeShade="BF"/>
          <w:sz w:val="22"/>
          <w:szCs w:val="22"/>
          <w:lang w:val="en-GB"/>
        </w:rPr>
        <w:t xml:space="preserve"> </w:t>
      </w:r>
      <w:r w:rsidR="00F51FA0">
        <w:rPr>
          <w:rFonts w:ascii="Avenir Next" w:hAnsi="Avenir Next" w:cs="Arial"/>
          <w:color w:val="7B7B7B" w:themeColor="accent3" w:themeShade="BF"/>
          <w:sz w:val="22"/>
          <w:szCs w:val="22"/>
          <w:lang w:val="en-GB"/>
        </w:rPr>
        <w:t xml:space="preserve">for instance, </w:t>
      </w:r>
      <w:r w:rsidR="00930C86">
        <w:rPr>
          <w:rFonts w:ascii="Avenir Next" w:hAnsi="Avenir Next" w:cs="Arial"/>
          <w:color w:val="7B7B7B" w:themeColor="accent3" w:themeShade="BF"/>
          <w:sz w:val="22"/>
          <w:szCs w:val="22"/>
          <w:lang w:val="en-GB"/>
        </w:rPr>
        <w:t xml:space="preserve">in </w:t>
      </w:r>
      <w:r w:rsidR="00930C86" w:rsidRPr="00CE0931">
        <w:rPr>
          <w:rFonts w:ascii="Avenir Next" w:hAnsi="Avenir Next" w:cs="Arial"/>
          <w:i/>
          <w:iCs/>
          <w:color w:val="7B7B7B" w:themeColor="accent3" w:themeShade="BF"/>
          <w:sz w:val="22"/>
          <w:szCs w:val="22"/>
          <w:lang w:val="en-GB"/>
        </w:rPr>
        <w:t>Ralph Schmid v Lilly Hertel</w:t>
      </w:r>
      <w:r w:rsidR="00F51FA0" w:rsidRPr="00CE0931">
        <w:rPr>
          <w:rFonts w:ascii="Avenir Next" w:hAnsi="Avenir Next" w:cs="Arial"/>
          <w:i/>
          <w:iCs/>
          <w:color w:val="7B7B7B" w:themeColor="accent3" w:themeShade="BF"/>
          <w:sz w:val="22"/>
          <w:szCs w:val="22"/>
          <w:lang w:val="en-GB"/>
        </w:rPr>
        <w:t xml:space="preserve"> </w:t>
      </w:r>
      <w:r w:rsidR="00996A08">
        <w:rPr>
          <w:rFonts w:ascii="Avenir Next" w:hAnsi="Avenir Next" w:cs="Arial"/>
          <w:color w:val="7B7B7B" w:themeColor="accent3" w:themeShade="BF"/>
          <w:sz w:val="22"/>
          <w:szCs w:val="22"/>
          <w:lang w:val="en-GB"/>
        </w:rPr>
        <w:t>(Case C-328/12, ECLI:EU:C:2014:6 (Jan. 16, 2014)</w:t>
      </w:r>
      <w:r w:rsidR="005844CF">
        <w:rPr>
          <w:rFonts w:ascii="Avenir Next" w:hAnsi="Avenir Next" w:cs="Arial"/>
          <w:color w:val="7B7B7B" w:themeColor="accent3" w:themeShade="BF"/>
          <w:sz w:val="22"/>
          <w:szCs w:val="22"/>
          <w:lang w:val="en-GB"/>
        </w:rPr>
        <w:t>)</w:t>
      </w:r>
      <w:r w:rsidR="00996A08">
        <w:rPr>
          <w:rFonts w:ascii="Avenir Next" w:hAnsi="Avenir Next" w:cs="Arial"/>
          <w:color w:val="7B7B7B" w:themeColor="accent3" w:themeShade="BF"/>
          <w:sz w:val="22"/>
          <w:szCs w:val="22"/>
          <w:lang w:val="en-GB"/>
        </w:rPr>
        <w:t xml:space="preserve"> </w:t>
      </w:r>
      <w:r w:rsidR="00F51FA0">
        <w:rPr>
          <w:rFonts w:ascii="Avenir Next" w:hAnsi="Avenir Next" w:cs="Arial"/>
          <w:color w:val="7B7B7B" w:themeColor="accent3" w:themeShade="BF"/>
          <w:sz w:val="22"/>
          <w:szCs w:val="22"/>
          <w:lang w:val="en-GB"/>
        </w:rPr>
        <w:t>and</w:t>
      </w:r>
      <w:r w:rsidR="00842821">
        <w:rPr>
          <w:rFonts w:ascii="Avenir Next" w:hAnsi="Avenir Next" w:cs="Arial"/>
          <w:color w:val="7B7B7B" w:themeColor="accent3" w:themeShade="BF"/>
          <w:sz w:val="22"/>
          <w:szCs w:val="22"/>
          <w:lang w:val="en-GB"/>
        </w:rPr>
        <w:t xml:space="preserve"> in</w:t>
      </w:r>
      <w:r w:rsidR="00F51FA0">
        <w:rPr>
          <w:rFonts w:ascii="Avenir Next" w:hAnsi="Avenir Next" w:cs="Arial"/>
          <w:color w:val="7B7B7B" w:themeColor="accent3" w:themeShade="BF"/>
          <w:sz w:val="22"/>
          <w:szCs w:val="22"/>
          <w:lang w:val="en-GB"/>
        </w:rPr>
        <w:t xml:space="preserve"> </w:t>
      </w:r>
      <w:r w:rsidR="00F51FA0" w:rsidRPr="00CE0931">
        <w:rPr>
          <w:rFonts w:ascii="Avenir Next" w:hAnsi="Avenir Next" w:cs="Arial"/>
          <w:i/>
          <w:iCs/>
          <w:color w:val="7B7B7B" w:themeColor="accent3" w:themeShade="BF"/>
          <w:sz w:val="22"/>
          <w:szCs w:val="22"/>
          <w:lang w:val="en-GB"/>
        </w:rPr>
        <w:t>Christopher Seagon v Deko Marty Belgium NV</w:t>
      </w:r>
      <w:r w:rsidR="00996A08">
        <w:rPr>
          <w:rFonts w:ascii="Avenir Next" w:hAnsi="Avenir Next" w:cs="Arial"/>
          <w:i/>
          <w:iCs/>
          <w:color w:val="7B7B7B" w:themeColor="accent3" w:themeShade="BF"/>
          <w:sz w:val="22"/>
          <w:szCs w:val="22"/>
          <w:lang w:val="en-GB"/>
        </w:rPr>
        <w:t xml:space="preserve"> </w:t>
      </w:r>
      <w:r w:rsidR="00996A08">
        <w:rPr>
          <w:rFonts w:ascii="Avenir Next" w:hAnsi="Avenir Next" w:cs="Arial"/>
          <w:color w:val="7B7B7B" w:themeColor="accent3" w:themeShade="BF"/>
          <w:sz w:val="22"/>
          <w:szCs w:val="22"/>
          <w:lang w:val="en-GB"/>
        </w:rPr>
        <w:t>(Case C-339/07, ECLI:EU:C:2009:83 (Feb. 12, 2009)</w:t>
      </w:r>
      <w:r w:rsidR="001D37A5">
        <w:rPr>
          <w:rFonts w:ascii="Avenir Next" w:hAnsi="Avenir Next" w:cs="Arial"/>
          <w:color w:val="7B7B7B" w:themeColor="accent3" w:themeShade="BF"/>
          <w:sz w:val="22"/>
          <w:szCs w:val="22"/>
          <w:lang w:val="en-GB"/>
        </w:rPr>
        <w:t>)</w:t>
      </w:r>
      <w:r w:rsidR="00F51FA0">
        <w:rPr>
          <w:rFonts w:ascii="Avenir Next" w:hAnsi="Avenir Next" w:cs="Arial"/>
          <w:color w:val="7B7B7B" w:themeColor="accent3" w:themeShade="BF"/>
          <w:sz w:val="22"/>
          <w:szCs w:val="22"/>
          <w:lang w:val="en-GB"/>
        </w:rPr>
        <w:t>,</w:t>
      </w:r>
      <w:r w:rsidR="00930C86">
        <w:rPr>
          <w:rFonts w:ascii="Avenir Next" w:hAnsi="Avenir Next" w:cs="Arial"/>
          <w:color w:val="7B7B7B" w:themeColor="accent3" w:themeShade="BF"/>
          <w:sz w:val="22"/>
          <w:szCs w:val="22"/>
          <w:lang w:val="en-GB"/>
        </w:rPr>
        <w:t xml:space="preserve"> the CJEU</w:t>
      </w:r>
      <w:r w:rsidR="00A079B1">
        <w:rPr>
          <w:rFonts w:ascii="Avenir Next" w:hAnsi="Avenir Next" w:cs="Arial"/>
          <w:color w:val="7B7B7B" w:themeColor="accent3" w:themeShade="BF"/>
          <w:sz w:val="22"/>
          <w:szCs w:val="22"/>
          <w:lang w:val="en-GB"/>
        </w:rPr>
        <w:t xml:space="preserve">, under the prism of </w:t>
      </w:r>
      <w:r w:rsidR="00946EEF">
        <w:rPr>
          <w:rFonts w:ascii="Avenir Next" w:hAnsi="Avenir Next" w:cs="Arial"/>
          <w:color w:val="7B7B7B" w:themeColor="accent3" w:themeShade="BF"/>
          <w:sz w:val="22"/>
          <w:szCs w:val="22"/>
          <w:lang w:val="en-GB"/>
        </w:rPr>
        <w:t>‘</w:t>
      </w:r>
      <w:r w:rsidR="00A079B1">
        <w:rPr>
          <w:rFonts w:ascii="Avenir Next" w:hAnsi="Avenir Next" w:cs="Arial"/>
          <w:color w:val="7B7B7B" w:themeColor="accent3" w:themeShade="BF"/>
          <w:sz w:val="22"/>
          <w:szCs w:val="22"/>
          <w:lang w:val="en-GB"/>
        </w:rPr>
        <w:t>foreseeability</w:t>
      </w:r>
      <w:r w:rsidR="00946EEF">
        <w:rPr>
          <w:rFonts w:ascii="Avenir Next" w:hAnsi="Avenir Next" w:cs="Arial"/>
          <w:color w:val="7B7B7B" w:themeColor="accent3" w:themeShade="BF"/>
          <w:sz w:val="22"/>
          <w:szCs w:val="22"/>
          <w:lang w:val="en-GB"/>
        </w:rPr>
        <w:t>’</w:t>
      </w:r>
      <w:r w:rsidR="007E264F">
        <w:rPr>
          <w:rFonts w:ascii="Avenir Next" w:hAnsi="Avenir Next" w:cs="Arial"/>
          <w:color w:val="7B7B7B" w:themeColor="accent3" w:themeShade="BF"/>
          <w:sz w:val="22"/>
          <w:szCs w:val="22"/>
          <w:lang w:val="en-GB"/>
        </w:rPr>
        <w:t xml:space="preserve"> and </w:t>
      </w:r>
      <w:r w:rsidR="00357839">
        <w:rPr>
          <w:rFonts w:ascii="Avenir Next" w:hAnsi="Avenir Next" w:cs="Arial"/>
          <w:color w:val="7B7B7B" w:themeColor="accent3" w:themeShade="BF"/>
          <w:sz w:val="22"/>
          <w:szCs w:val="22"/>
          <w:lang w:val="en-GB"/>
        </w:rPr>
        <w:t>universality of main proceedings</w:t>
      </w:r>
      <w:r w:rsidR="00A079B1">
        <w:rPr>
          <w:rFonts w:ascii="Avenir Next" w:hAnsi="Avenir Next" w:cs="Arial"/>
          <w:color w:val="7B7B7B" w:themeColor="accent3" w:themeShade="BF"/>
          <w:sz w:val="22"/>
          <w:szCs w:val="22"/>
          <w:lang w:val="en-GB"/>
        </w:rPr>
        <w:t>,</w:t>
      </w:r>
      <w:r w:rsidR="00F51FA0">
        <w:rPr>
          <w:rFonts w:ascii="Avenir Next" w:hAnsi="Avenir Next" w:cs="Arial"/>
          <w:color w:val="7B7B7B" w:themeColor="accent3" w:themeShade="BF"/>
          <w:sz w:val="22"/>
          <w:szCs w:val="22"/>
          <w:lang w:val="en-GB"/>
        </w:rPr>
        <w:t xml:space="preserve"> expanded the scope of the EIR </w:t>
      </w:r>
      <w:r w:rsidR="00CE0931">
        <w:rPr>
          <w:rFonts w:ascii="Avenir Next" w:hAnsi="Avenir Next" w:cs="Arial"/>
          <w:color w:val="7B7B7B" w:themeColor="accent3" w:themeShade="BF"/>
          <w:sz w:val="22"/>
          <w:szCs w:val="22"/>
          <w:lang w:val="en-GB"/>
        </w:rPr>
        <w:t xml:space="preserve">2000, and therefore </w:t>
      </w:r>
      <w:r w:rsidR="00EB0BFA">
        <w:rPr>
          <w:rFonts w:ascii="Avenir Next" w:hAnsi="Avenir Next" w:cs="Arial"/>
          <w:color w:val="7B7B7B" w:themeColor="accent3" w:themeShade="BF"/>
          <w:sz w:val="22"/>
          <w:szCs w:val="22"/>
          <w:lang w:val="en-GB"/>
        </w:rPr>
        <w:t xml:space="preserve">of </w:t>
      </w:r>
      <w:r w:rsidR="00CE0931">
        <w:rPr>
          <w:rFonts w:ascii="Avenir Next" w:hAnsi="Avenir Next" w:cs="Arial"/>
          <w:color w:val="7B7B7B" w:themeColor="accent3" w:themeShade="BF"/>
          <w:sz w:val="22"/>
          <w:szCs w:val="22"/>
          <w:lang w:val="en-GB"/>
        </w:rPr>
        <w:t xml:space="preserve">the EIR </w:t>
      </w:r>
      <w:r w:rsidR="00F51FA0">
        <w:rPr>
          <w:rFonts w:ascii="Avenir Next" w:hAnsi="Avenir Next" w:cs="Arial"/>
          <w:color w:val="7B7B7B" w:themeColor="accent3" w:themeShade="BF"/>
          <w:sz w:val="22"/>
          <w:szCs w:val="22"/>
          <w:lang w:val="en-GB"/>
        </w:rPr>
        <w:t>Recast</w:t>
      </w:r>
      <w:r w:rsidR="00CE0931">
        <w:rPr>
          <w:rFonts w:ascii="Avenir Next" w:hAnsi="Avenir Next" w:cs="Arial"/>
          <w:color w:val="7B7B7B" w:themeColor="accent3" w:themeShade="BF"/>
          <w:sz w:val="22"/>
          <w:szCs w:val="22"/>
          <w:lang w:val="en-GB"/>
        </w:rPr>
        <w:t>,</w:t>
      </w:r>
      <w:r w:rsidR="00F51FA0">
        <w:rPr>
          <w:rFonts w:ascii="Avenir Next" w:hAnsi="Avenir Next" w:cs="Arial"/>
          <w:color w:val="7B7B7B" w:themeColor="accent3" w:themeShade="BF"/>
          <w:sz w:val="22"/>
          <w:szCs w:val="22"/>
          <w:lang w:val="en-GB"/>
        </w:rPr>
        <w:t xml:space="preserve"> </w:t>
      </w:r>
      <w:r w:rsidR="00CE0931">
        <w:rPr>
          <w:rFonts w:ascii="Avenir Next" w:hAnsi="Avenir Next" w:cs="Arial"/>
          <w:color w:val="7B7B7B" w:themeColor="accent3" w:themeShade="BF"/>
          <w:sz w:val="22"/>
          <w:szCs w:val="22"/>
          <w:lang w:val="en-GB"/>
        </w:rPr>
        <w:t>to comprise</w:t>
      </w:r>
      <w:r w:rsidR="00277A0F">
        <w:rPr>
          <w:rFonts w:ascii="Avenir Next" w:hAnsi="Avenir Next" w:cs="Arial"/>
          <w:color w:val="7B7B7B" w:themeColor="accent3" w:themeShade="BF"/>
          <w:sz w:val="22"/>
          <w:szCs w:val="22"/>
          <w:lang w:val="en-GB"/>
        </w:rPr>
        <w:t xml:space="preserve"> actions against persons having their place of business in a country outside the EU</w:t>
      </w:r>
      <w:r w:rsidR="00E663CA">
        <w:rPr>
          <w:rFonts w:ascii="Avenir Next" w:hAnsi="Avenir Next" w:cs="Arial"/>
          <w:color w:val="7B7B7B" w:themeColor="accent3" w:themeShade="BF"/>
          <w:sz w:val="22"/>
          <w:szCs w:val="22"/>
          <w:lang w:val="en-GB"/>
        </w:rPr>
        <w:t>.</w:t>
      </w:r>
    </w:p>
    <w:p w14:paraId="46AF6739" w14:textId="77777777" w:rsidR="00EB0BFA" w:rsidRDefault="00EB0BFA" w:rsidP="002A37BB">
      <w:pPr>
        <w:autoSpaceDE w:val="0"/>
        <w:autoSpaceDN w:val="0"/>
        <w:adjustRightInd w:val="0"/>
        <w:jc w:val="both"/>
        <w:rPr>
          <w:rFonts w:ascii="Avenir Next" w:hAnsi="Avenir Next" w:cs="Arial"/>
          <w:color w:val="7B7B7B" w:themeColor="accent3" w:themeShade="BF"/>
          <w:sz w:val="22"/>
          <w:szCs w:val="22"/>
          <w:lang w:val="en-GB"/>
        </w:rPr>
      </w:pPr>
    </w:p>
    <w:p w14:paraId="0E6EDFD9" w14:textId="3EE3FCC5" w:rsidR="004326C4" w:rsidRDefault="000F1E88"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accordance with </w:t>
      </w:r>
      <w:r w:rsidR="004326C4">
        <w:rPr>
          <w:rFonts w:ascii="Avenir Next" w:hAnsi="Avenir Next" w:cs="Arial"/>
          <w:color w:val="7B7B7B" w:themeColor="accent3" w:themeShade="BF"/>
          <w:sz w:val="22"/>
          <w:szCs w:val="22"/>
          <w:lang w:val="en-GB"/>
        </w:rPr>
        <w:t>the facts of the case</w:t>
      </w:r>
      <w:r w:rsidR="00996A08">
        <w:rPr>
          <w:rFonts w:ascii="Avenir Next" w:hAnsi="Avenir Next" w:cs="Arial"/>
          <w:color w:val="7B7B7B" w:themeColor="accent3" w:themeShade="BF"/>
          <w:sz w:val="22"/>
          <w:szCs w:val="22"/>
          <w:lang w:val="en-GB"/>
        </w:rPr>
        <w:t>,</w:t>
      </w:r>
      <w:r w:rsidR="004326C4">
        <w:rPr>
          <w:rFonts w:ascii="Avenir Next" w:hAnsi="Avenir Next" w:cs="Arial"/>
          <w:color w:val="7B7B7B" w:themeColor="accent3" w:themeShade="BF"/>
          <w:sz w:val="22"/>
          <w:szCs w:val="22"/>
          <w:lang w:val="en-GB"/>
        </w:rPr>
        <w:t xml:space="preserve"> Bella SARL, as a French-registered company, has filed an application with the Strasbourg High Court to open safeguard proceedings on 20 June 2017. The High Court opened s</w:t>
      </w:r>
      <w:r w:rsidR="005844CF">
        <w:rPr>
          <w:rFonts w:ascii="Avenir Next" w:hAnsi="Avenir Next" w:cs="Arial"/>
          <w:color w:val="7B7B7B" w:themeColor="accent3" w:themeShade="BF"/>
          <w:sz w:val="22"/>
          <w:szCs w:val="22"/>
          <w:lang w:val="en-GB"/>
        </w:rPr>
        <w:t>aid</w:t>
      </w:r>
      <w:r w:rsidR="004326C4">
        <w:rPr>
          <w:rFonts w:ascii="Avenir Next" w:hAnsi="Avenir Next" w:cs="Arial"/>
          <w:color w:val="7B7B7B" w:themeColor="accent3" w:themeShade="BF"/>
          <w:sz w:val="22"/>
          <w:szCs w:val="22"/>
          <w:lang w:val="en-GB"/>
        </w:rPr>
        <w:t xml:space="preserve"> proceedings on 30 June 2017. </w:t>
      </w:r>
    </w:p>
    <w:p w14:paraId="79CC5FFB" w14:textId="77777777" w:rsidR="00357839" w:rsidRDefault="00357839" w:rsidP="002A37BB">
      <w:pPr>
        <w:autoSpaceDE w:val="0"/>
        <w:autoSpaceDN w:val="0"/>
        <w:adjustRightInd w:val="0"/>
        <w:jc w:val="both"/>
        <w:rPr>
          <w:rFonts w:ascii="Avenir Next" w:hAnsi="Avenir Next" w:cs="Arial"/>
          <w:color w:val="7B7B7B" w:themeColor="accent3" w:themeShade="BF"/>
          <w:sz w:val="22"/>
          <w:szCs w:val="22"/>
          <w:lang w:val="en-GB"/>
        </w:rPr>
      </w:pPr>
    </w:p>
    <w:p w14:paraId="644F48BF" w14:textId="11DD8F2A" w:rsidR="00357839" w:rsidRDefault="00547445"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context of the safeguard proceedings opened by the High Court of Strasbourg, the following should be </w:t>
      </w:r>
      <w:r w:rsidR="009E48FA">
        <w:rPr>
          <w:rFonts w:ascii="Avenir Next" w:hAnsi="Avenir Next" w:cs="Arial"/>
          <w:color w:val="7B7B7B" w:themeColor="accent3" w:themeShade="BF"/>
          <w:sz w:val="22"/>
          <w:szCs w:val="22"/>
          <w:lang w:val="en-GB"/>
        </w:rPr>
        <w:t>stressed</w:t>
      </w:r>
      <w:r>
        <w:rPr>
          <w:rFonts w:ascii="Avenir Next" w:hAnsi="Avenir Next" w:cs="Arial"/>
          <w:color w:val="7B7B7B" w:themeColor="accent3" w:themeShade="BF"/>
          <w:sz w:val="22"/>
          <w:szCs w:val="22"/>
          <w:lang w:val="en-GB"/>
        </w:rPr>
        <w:t xml:space="preserve">. </w:t>
      </w:r>
      <w:r w:rsidR="008A127E">
        <w:rPr>
          <w:rFonts w:ascii="Avenir Next" w:hAnsi="Avenir Next" w:cs="Arial"/>
          <w:color w:val="7B7B7B" w:themeColor="accent3" w:themeShade="BF"/>
          <w:sz w:val="22"/>
          <w:szCs w:val="22"/>
          <w:lang w:val="en-GB"/>
        </w:rPr>
        <w:t>Firstly,</w:t>
      </w:r>
      <w:r w:rsidR="00B63905">
        <w:rPr>
          <w:rFonts w:ascii="Avenir Next" w:hAnsi="Avenir Next" w:cs="Arial"/>
          <w:color w:val="7B7B7B" w:themeColor="accent3" w:themeShade="BF"/>
          <w:sz w:val="22"/>
          <w:szCs w:val="22"/>
          <w:lang w:val="en-GB"/>
        </w:rPr>
        <w:t xml:space="preserve"> with regard to the material scope</w:t>
      </w:r>
      <w:r w:rsidR="008F06B6">
        <w:rPr>
          <w:rFonts w:ascii="Avenir Next" w:hAnsi="Avenir Next" w:cs="Arial"/>
          <w:color w:val="7B7B7B" w:themeColor="accent3" w:themeShade="BF"/>
          <w:sz w:val="22"/>
          <w:szCs w:val="22"/>
          <w:lang w:val="en-GB"/>
        </w:rPr>
        <w:t xml:space="preserve"> of the 2015 Regulation</w:t>
      </w:r>
      <w:r w:rsidR="00B63905">
        <w:rPr>
          <w:rFonts w:ascii="Avenir Next" w:hAnsi="Avenir Next" w:cs="Arial"/>
          <w:color w:val="7B7B7B" w:themeColor="accent3" w:themeShade="BF"/>
          <w:sz w:val="22"/>
          <w:szCs w:val="22"/>
          <w:lang w:val="en-GB"/>
        </w:rPr>
        <w:t>, these particular proceedings are comprised in Annex A of the EIR Recas</w:t>
      </w:r>
      <w:r w:rsidR="002A455D">
        <w:rPr>
          <w:rFonts w:ascii="Avenir Next" w:hAnsi="Avenir Next" w:cs="Arial"/>
          <w:color w:val="7B7B7B" w:themeColor="accent3" w:themeShade="BF"/>
          <w:sz w:val="22"/>
          <w:szCs w:val="22"/>
          <w:lang w:val="en-GB"/>
        </w:rPr>
        <w:t>t</w:t>
      </w:r>
      <w:r w:rsidR="00676EA1">
        <w:rPr>
          <w:rFonts w:ascii="Avenir Next" w:hAnsi="Avenir Next" w:cs="Arial"/>
          <w:color w:val="7B7B7B" w:themeColor="accent3" w:themeShade="BF"/>
          <w:sz w:val="22"/>
          <w:szCs w:val="22"/>
          <w:lang w:val="en-GB"/>
        </w:rPr>
        <w:t>. They are mentioned as “</w:t>
      </w:r>
      <w:r w:rsidR="00676EA1" w:rsidRPr="00676EA1">
        <w:rPr>
          <w:rFonts w:ascii="Avenir Next" w:hAnsi="Avenir Next" w:cs="Arial"/>
          <w:color w:val="7B7B7B" w:themeColor="accent3" w:themeShade="BF"/>
          <w:sz w:val="22"/>
          <w:szCs w:val="22"/>
          <w:lang w:val="en-GB"/>
        </w:rPr>
        <w:t>Sauvegarde</w:t>
      </w:r>
      <w:r w:rsidR="00676EA1">
        <w:rPr>
          <w:rFonts w:ascii="Avenir Next" w:hAnsi="Avenir Next" w:cs="Arial"/>
          <w:color w:val="7B7B7B" w:themeColor="accent3" w:themeShade="BF"/>
          <w:sz w:val="22"/>
          <w:szCs w:val="22"/>
          <w:lang w:val="en-GB"/>
        </w:rPr>
        <w:t xml:space="preserve">” in the context of French proceedings </w:t>
      </w:r>
      <w:r w:rsidR="007D247D">
        <w:rPr>
          <w:rFonts w:ascii="Avenir Next" w:hAnsi="Avenir Next" w:cs="Arial"/>
          <w:color w:val="7B7B7B" w:themeColor="accent3" w:themeShade="BF"/>
          <w:sz w:val="22"/>
          <w:szCs w:val="22"/>
          <w:lang w:val="en-GB"/>
        </w:rPr>
        <w:t xml:space="preserve">and thus are </w:t>
      </w:r>
      <w:r w:rsidR="00676EA1">
        <w:rPr>
          <w:rFonts w:ascii="Avenir Next" w:hAnsi="Avenir Next" w:cs="Arial"/>
          <w:color w:val="7B7B7B" w:themeColor="accent3" w:themeShade="BF"/>
          <w:sz w:val="22"/>
          <w:szCs w:val="22"/>
          <w:lang w:val="en-GB"/>
        </w:rPr>
        <w:t xml:space="preserve">covered by the Regulation. </w:t>
      </w:r>
      <w:r w:rsidR="007D247D">
        <w:rPr>
          <w:rFonts w:ascii="Avenir Next" w:hAnsi="Avenir Next" w:cs="Arial"/>
          <w:color w:val="7B7B7B" w:themeColor="accent3" w:themeShade="BF"/>
          <w:sz w:val="22"/>
          <w:szCs w:val="22"/>
          <w:lang w:val="en-GB"/>
        </w:rPr>
        <w:t xml:space="preserve">As already </w:t>
      </w:r>
      <w:r w:rsidR="009E48FA">
        <w:rPr>
          <w:rFonts w:ascii="Avenir Next" w:hAnsi="Avenir Next" w:cs="Arial"/>
          <w:color w:val="7B7B7B" w:themeColor="accent3" w:themeShade="BF"/>
          <w:sz w:val="22"/>
          <w:szCs w:val="22"/>
          <w:lang w:val="en-GB"/>
        </w:rPr>
        <w:t>mention</w:t>
      </w:r>
      <w:r w:rsidR="007D247D">
        <w:rPr>
          <w:rFonts w:ascii="Avenir Next" w:hAnsi="Avenir Next" w:cs="Arial"/>
          <w:color w:val="7B7B7B" w:themeColor="accent3" w:themeShade="BF"/>
          <w:sz w:val="22"/>
          <w:szCs w:val="22"/>
          <w:lang w:val="en-GB"/>
        </w:rPr>
        <w:t xml:space="preserve">ed, the EIR Recast applies automatically with no further assessment by courts. </w:t>
      </w:r>
      <w:r w:rsidR="00A11858">
        <w:rPr>
          <w:rFonts w:ascii="Avenir Next" w:hAnsi="Avenir Next" w:cs="Arial"/>
          <w:color w:val="7B7B7B" w:themeColor="accent3" w:themeShade="BF"/>
          <w:sz w:val="22"/>
          <w:szCs w:val="22"/>
          <w:lang w:val="en-GB"/>
        </w:rPr>
        <w:t xml:space="preserve">Secondly, </w:t>
      </w:r>
      <w:r w:rsidR="00D66721">
        <w:rPr>
          <w:rFonts w:ascii="Avenir Next" w:hAnsi="Avenir Next" w:cs="Arial"/>
          <w:color w:val="7B7B7B" w:themeColor="accent3" w:themeShade="BF"/>
          <w:sz w:val="22"/>
          <w:szCs w:val="22"/>
          <w:lang w:val="en-GB"/>
        </w:rPr>
        <w:t xml:space="preserve">the proceeding </w:t>
      </w:r>
      <w:r w:rsidR="00272A1F">
        <w:rPr>
          <w:rFonts w:ascii="Avenir Next" w:hAnsi="Avenir Next" w:cs="Arial"/>
          <w:color w:val="7B7B7B" w:themeColor="accent3" w:themeShade="BF"/>
          <w:sz w:val="22"/>
          <w:szCs w:val="22"/>
          <w:lang w:val="en-GB"/>
        </w:rPr>
        <w:t xml:space="preserve">has </w:t>
      </w:r>
      <w:r w:rsidR="00D66721">
        <w:rPr>
          <w:rFonts w:ascii="Avenir Next" w:hAnsi="Avenir Next" w:cs="Arial"/>
          <w:color w:val="7B7B7B" w:themeColor="accent3" w:themeShade="BF"/>
          <w:sz w:val="22"/>
          <w:szCs w:val="22"/>
          <w:lang w:val="en-GB"/>
        </w:rPr>
        <w:t>opened on 30 June 2017 which is after 26 June 2017</w:t>
      </w:r>
      <w:r w:rsidR="004A096B">
        <w:rPr>
          <w:rFonts w:ascii="Avenir Next" w:hAnsi="Avenir Next" w:cs="Arial"/>
          <w:color w:val="7B7B7B" w:themeColor="accent3" w:themeShade="BF"/>
          <w:sz w:val="22"/>
          <w:szCs w:val="22"/>
          <w:lang w:val="en-GB"/>
        </w:rPr>
        <w:t xml:space="preserve">, making the EIR Recast </w:t>
      </w:r>
      <w:r w:rsidR="001833F1" w:rsidRPr="001833F1">
        <w:rPr>
          <w:rFonts w:ascii="Avenir Next" w:hAnsi="Avenir Next" w:cs="Arial"/>
          <w:color w:val="7B7B7B" w:themeColor="accent3" w:themeShade="BF"/>
          <w:sz w:val="22"/>
          <w:szCs w:val="22"/>
          <w:lang w:val="en-GB"/>
        </w:rPr>
        <w:t>susceptible to being applicable from this perspective as well</w:t>
      </w:r>
      <w:r w:rsidR="004A096B">
        <w:rPr>
          <w:rFonts w:ascii="Avenir Next" w:hAnsi="Avenir Next" w:cs="Arial"/>
          <w:color w:val="7B7B7B" w:themeColor="accent3" w:themeShade="BF"/>
          <w:sz w:val="22"/>
          <w:szCs w:val="22"/>
          <w:lang w:val="en-GB"/>
        </w:rPr>
        <w:t xml:space="preserve">. </w:t>
      </w:r>
      <w:r w:rsidR="006C417E">
        <w:rPr>
          <w:rFonts w:ascii="Avenir Next" w:hAnsi="Avenir Next" w:cs="Arial"/>
          <w:color w:val="7B7B7B" w:themeColor="accent3" w:themeShade="BF"/>
          <w:sz w:val="22"/>
          <w:szCs w:val="22"/>
          <w:lang w:val="en-GB"/>
        </w:rPr>
        <w:t>Thirdl</w:t>
      </w:r>
      <w:r w:rsidR="00F53693">
        <w:rPr>
          <w:rFonts w:ascii="Avenir Next" w:hAnsi="Avenir Next" w:cs="Arial"/>
          <w:color w:val="7B7B7B" w:themeColor="accent3" w:themeShade="BF"/>
          <w:sz w:val="22"/>
          <w:szCs w:val="22"/>
          <w:lang w:val="en-GB"/>
        </w:rPr>
        <w:t xml:space="preserve">y, </w:t>
      </w:r>
      <w:r w:rsidR="00D16571">
        <w:rPr>
          <w:rFonts w:ascii="Avenir Next" w:hAnsi="Avenir Next" w:cs="Arial"/>
          <w:color w:val="7B7B7B" w:themeColor="accent3" w:themeShade="BF"/>
          <w:sz w:val="22"/>
          <w:szCs w:val="22"/>
          <w:lang w:val="en-GB"/>
        </w:rPr>
        <w:t xml:space="preserve">Bella SARL is a company based in France specializing in cosmetic products. It, indeed, does not relate to </w:t>
      </w:r>
      <w:r w:rsidR="009856F3">
        <w:rPr>
          <w:rFonts w:ascii="Avenir Next" w:hAnsi="Avenir Next" w:cs="Arial"/>
          <w:color w:val="7B7B7B" w:themeColor="accent3" w:themeShade="BF"/>
          <w:sz w:val="22"/>
          <w:szCs w:val="22"/>
          <w:lang w:val="en-GB"/>
        </w:rPr>
        <w:t>proceedings focused on insurance undertaking</w:t>
      </w:r>
      <w:r w:rsidR="001E6398">
        <w:rPr>
          <w:rFonts w:ascii="Avenir Next" w:hAnsi="Avenir Next" w:cs="Arial"/>
          <w:color w:val="7B7B7B" w:themeColor="accent3" w:themeShade="BF"/>
          <w:sz w:val="22"/>
          <w:szCs w:val="22"/>
          <w:lang w:val="en-GB"/>
        </w:rPr>
        <w:t xml:space="preserve">s, </w:t>
      </w:r>
      <w:r w:rsidR="006A56B1">
        <w:rPr>
          <w:rFonts w:ascii="Avenir Next" w:hAnsi="Avenir Next" w:cs="Arial"/>
          <w:color w:val="7B7B7B" w:themeColor="accent3" w:themeShade="BF"/>
          <w:sz w:val="22"/>
          <w:szCs w:val="22"/>
          <w:lang w:val="en-GB"/>
        </w:rPr>
        <w:t>investment firms or other entities covered by the 2001/24/EC Directive, credit institutions</w:t>
      </w:r>
      <w:r w:rsidR="00272A1F">
        <w:rPr>
          <w:rFonts w:ascii="Avenir Next" w:hAnsi="Avenir Next" w:cs="Arial"/>
          <w:color w:val="7B7B7B" w:themeColor="accent3" w:themeShade="BF"/>
          <w:sz w:val="22"/>
          <w:szCs w:val="22"/>
          <w:lang w:val="en-GB"/>
        </w:rPr>
        <w:t xml:space="preserve"> or</w:t>
      </w:r>
      <w:r w:rsidR="006A56B1">
        <w:rPr>
          <w:rFonts w:ascii="Avenir Next" w:hAnsi="Avenir Next" w:cs="Arial"/>
          <w:color w:val="7B7B7B" w:themeColor="accent3" w:themeShade="BF"/>
          <w:sz w:val="22"/>
          <w:szCs w:val="22"/>
          <w:lang w:val="en-GB"/>
        </w:rPr>
        <w:t xml:space="preserve"> collective investment undertaking</w:t>
      </w:r>
      <w:r w:rsidR="00272A1F">
        <w:rPr>
          <w:rFonts w:ascii="Avenir Next" w:hAnsi="Avenir Next" w:cs="Arial"/>
          <w:color w:val="7B7B7B" w:themeColor="accent3" w:themeShade="BF"/>
          <w:sz w:val="22"/>
          <w:szCs w:val="22"/>
          <w:lang w:val="en-GB"/>
        </w:rPr>
        <w:t>s</w:t>
      </w:r>
      <w:r w:rsidR="006A56B1">
        <w:rPr>
          <w:rFonts w:ascii="Avenir Next" w:hAnsi="Avenir Next" w:cs="Arial"/>
          <w:color w:val="7B7B7B" w:themeColor="accent3" w:themeShade="BF"/>
          <w:sz w:val="22"/>
          <w:szCs w:val="22"/>
          <w:lang w:val="en-GB"/>
        </w:rPr>
        <w:t xml:space="preserve"> for which special proceedings and frameworks appl</w:t>
      </w:r>
      <w:r w:rsidR="00272A1F">
        <w:rPr>
          <w:rFonts w:ascii="Avenir Next" w:hAnsi="Avenir Next" w:cs="Arial"/>
          <w:color w:val="7B7B7B" w:themeColor="accent3" w:themeShade="BF"/>
          <w:sz w:val="22"/>
          <w:szCs w:val="22"/>
          <w:lang w:val="en-GB"/>
        </w:rPr>
        <w:t>y</w:t>
      </w:r>
      <w:r w:rsidR="002C756F">
        <w:rPr>
          <w:rFonts w:ascii="Avenir Next" w:hAnsi="Avenir Next" w:cs="Arial"/>
          <w:color w:val="7B7B7B" w:themeColor="accent3" w:themeShade="BF"/>
          <w:sz w:val="22"/>
          <w:szCs w:val="22"/>
          <w:lang w:val="en-GB"/>
        </w:rPr>
        <w:t xml:space="preserve">. </w:t>
      </w:r>
      <w:r w:rsidR="007F205B">
        <w:rPr>
          <w:rFonts w:ascii="Avenir Next" w:hAnsi="Avenir Next" w:cs="Arial"/>
          <w:color w:val="7B7B7B" w:themeColor="accent3" w:themeShade="BF"/>
          <w:sz w:val="22"/>
          <w:szCs w:val="22"/>
          <w:lang w:val="en-GB"/>
        </w:rPr>
        <w:t>Four</w:t>
      </w:r>
      <w:r w:rsidR="00B82848">
        <w:rPr>
          <w:rFonts w:ascii="Avenir Next" w:hAnsi="Avenir Next" w:cs="Arial"/>
          <w:color w:val="7B7B7B" w:themeColor="accent3" w:themeShade="BF"/>
          <w:sz w:val="22"/>
          <w:szCs w:val="22"/>
          <w:lang w:val="en-GB"/>
        </w:rPr>
        <w:t xml:space="preserve">thly, </w:t>
      </w:r>
      <w:r w:rsidR="00E84227">
        <w:rPr>
          <w:rFonts w:ascii="Avenir Next" w:hAnsi="Avenir Next" w:cs="Arial"/>
          <w:color w:val="7B7B7B" w:themeColor="accent3" w:themeShade="BF"/>
          <w:sz w:val="22"/>
          <w:szCs w:val="22"/>
          <w:lang w:val="en-GB"/>
        </w:rPr>
        <w:t>Bella SARL, as per the facts of the case, is registered in France and thus has its COMI in th</w:t>
      </w:r>
      <w:r w:rsidR="00132CC0">
        <w:rPr>
          <w:rFonts w:ascii="Avenir Next" w:hAnsi="Avenir Next" w:cs="Arial"/>
          <w:color w:val="7B7B7B" w:themeColor="accent3" w:themeShade="BF"/>
          <w:sz w:val="22"/>
          <w:szCs w:val="22"/>
          <w:lang w:val="en-GB"/>
        </w:rPr>
        <w:t>at</w:t>
      </w:r>
      <w:r w:rsidR="00E84227">
        <w:rPr>
          <w:rFonts w:ascii="Avenir Next" w:hAnsi="Avenir Next" w:cs="Arial"/>
          <w:color w:val="7B7B7B" w:themeColor="accent3" w:themeShade="BF"/>
          <w:sz w:val="22"/>
          <w:szCs w:val="22"/>
          <w:lang w:val="en-GB"/>
        </w:rPr>
        <w:t xml:space="preserve"> country. Since France is an EU Member State, insolvency proceedings opened in that</w:t>
      </w:r>
      <w:r w:rsidR="00DB2A77">
        <w:rPr>
          <w:rFonts w:ascii="Avenir Next" w:hAnsi="Avenir Next" w:cs="Arial"/>
          <w:color w:val="7B7B7B" w:themeColor="accent3" w:themeShade="BF"/>
          <w:sz w:val="22"/>
          <w:szCs w:val="22"/>
          <w:lang w:val="en-GB"/>
        </w:rPr>
        <w:t xml:space="preserve"> State fall within the scope of the EIR Recast.</w:t>
      </w:r>
    </w:p>
    <w:p w14:paraId="3AED7DF3" w14:textId="77777777" w:rsidR="00DB2A77" w:rsidRDefault="00DB2A77" w:rsidP="002A37BB">
      <w:pPr>
        <w:autoSpaceDE w:val="0"/>
        <w:autoSpaceDN w:val="0"/>
        <w:adjustRightInd w:val="0"/>
        <w:jc w:val="both"/>
        <w:rPr>
          <w:rFonts w:ascii="Avenir Next" w:hAnsi="Avenir Next" w:cs="Arial"/>
          <w:color w:val="7B7B7B" w:themeColor="accent3" w:themeShade="BF"/>
          <w:sz w:val="22"/>
          <w:szCs w:val="22"/>
          <w:lang w:val="en-GB"/>
        </w:rPr>
      </w:pPr>
    </w:p>
    <w:p w14:paraId="2548922E" w14:textId="2A03261E" w:rsidR="00DB2A77" w:rsidRPr="004326C4" w:rsidRDefault="00DB2A77"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sum up, given the preceding analysis</w:t>
      </w:r>
      <w:r w:rsidR="00D859BA">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the 2015 Regulation</w:t>
      </w:r>
      <w:r w:rsidR="00D859BA">
        <w:rPr>
          <w:rFonts w:ascii="Avenir Next" w:hAnsi="Avenir Next" w:cs="Arial"/>
          <w:color w:val="7B7B7B" w:themeColor="accent3" w:themeShade="BF"/>
          <w:sz w:val="22"/>
          <w:szCs w:val="22"/>
          <w:lang w:val="en-GB"/>
        </w:rPr>
        <w:t xml:space="preserve"> will be applicable to the safeguard proceedings commenced in France.</w:t>
      </w:r>
    </w:p>
    <w:p w14:paraId="1B5E2F08" w14:textId="43AA2127" w:rsidR="002D3473" w:rsidRPr="008E3C96" w:rsidRDefault="002D3473"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5155C2B3" w14:textId="621B3088" w:rsidR="00B035C4" w:rsidRDefault="00B035C4" w:rsidP="00A048DE">
      <w:pPr>
        <w:jc w:val="both"/>
        <w:rPr>
          <w:rFonts w:ascii="Avenir Next" w:hAnsi="Avenir Next" w:cs="Arial"/>
          <w:color w:val="7B7B7B" w:themeColor="accent3" w:themeShade="BF"/>
          <w:sz w:val="22"/>
          <w:szCs w:val="22"/>
          <w:lang w:val="en-GB"/>
        </w:rPr>
      </w:pPr>
    </w:p>
    <w:p w14:paraId="70074BBA" w14:textId="6D289D40" w:rsidR="00104F2C" w:rsidRPr="00C725C6" w:rsidRDefault="00104F2C" w:rsidP="00104F2C">
      <w:pPr>
        <w:jc w:val="both"/>
      </w:pPr>
      <w:r>
        <w:rPr>
          <w:rFonts w:ascii="Avenir Next" w:hAnsi="Avenir Next" w:cs="Arial"/>
          <w:color w:val="7B7B7B" w:themeColor="accent3" w:themeShade="BF"/>
          <w:sz w:val="22"/>
          <w:szCs w:val="22"/>
          <w:lang w:val="en-GB"/>
        </w:rPr>
        <w:t xml:space="preserve">In accordance with the facts of the case, Bella SARL, a French-registered company specialized in cosmetic products, </w:t>
      </w:r>
      <w:r w:rsidR="00E441C1">
        <w:rPr>
          <w:rFonts w:ascii="Avenir Next" w:hAnsi="Avenir Next" w:cs="Arial"/>
          <w:color w:val="7B7B7B" w:themeColor="accent3" w:themeShade="BF"/>
          <w:sz w:val="22"/>
          <w:szCs w:val="22"/>
          <w:lang w:val="en-GB"/>
        </w:rPr>
        <w:t>among other countries</w:t>
      </w:r>
      <w:r w:rsidR="003F290D">
        <w:rPr>
          <w:rFonts w:ascii="Avenir Next" w:hAnsi="Avenir Next" w:cs="Arial"/>
          <w:color w:val="7B7B7B" w:themeColor="accent3" w:themeShade="BF"/>
          <w:sz w:val="22"/>
          <w:szCs w:val="22"/>
          <w:lang w:val="en-GB"/>
        </w:rPr>
        <w:t>,</w:t>
      </w:r>
      <w:r w:rsidR="00E441C1">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maintains a warehouse in Italy. </w:t>
      </w:r>
      <w:r>
        <w:rPr>
          <w:rFonts w:ascii="Avenir Next" w:hAnsi="Avenir Next" w:cs="Arial"/>
          <w:color w:val="7B7B7B" w:themeColor="accent3" w:themeShade="BF"/>
          <w:sz w:val="22"/>
          <w:szCs w:val="22"/>
        </w:rPr>
        <w:t>Its main warehouse is situated in Ireland. In 2017, Bella SARL filed a petition to open safeguard proceedings in the High Court of Strasbourg. Those proceedings, accord</w:t>
      </w:r>
      <w:r w:rsidR="003F290D">
        <w:rPr>
          <w:rFonts w:ascii="Avenir Next" w:hAnsi="Avenir Next" w:cs="Arial"/>
          <w:color w:val="7B7B7B" w:themeColor="accent3" w:themeShade="BF"/>
          <w:sz w:val="22"/>
          <w:szCs w:val="22"/>
        </w:rPr>
        <w:t>ing to</w:t>
      </w:r>
      <w:r>
        <w:rPr>
          <w:rFonts w:ascii="Avenir Next" w:hAnsi="Avenir Next" w:cs="Arial"/>
          <w:color w:val="7B7B7B" w:themeColor="accent3" w:themeShade="BF"/>
          <w:sz w:val="22"/>
          <w:szCs w:val="22"/>
        </w:rPr>
        <w:t xml:space="preserve"> the facts given in question 4.2, are opened by the Strasbourg High Court on 30 June 20</w:t>
      </w:r>
      <w:r w:rsidR="00E441C1">
        <w:rPr>
          <w:rFonts w:ascii="Avenir Next" w:hAnsi="Avenir Next" w:cs="Arial"/>
          <w:color w:val="7B7B7B" w:themeColor="accent3" w:themeShade="BF"/>
          <w:sz w:val="22"/>
          <w:szCs w:val="22"/>
        </w:rPr>
        <w:t xml:space="preserve">17. </w:t>
      </w:r>
      <w:r>
        <w:rPr>
          <w:rFonts w:ascii="Avenir Next" w:hAnsi="Avenir Next" w:cs="Arial"/>
          <w:color w:val="7B7B7B" w:themeColor="accent3" w:themeShade="BF"/>
          <w:sz w:val="22"/>
          <w:szCs w:val="22"/>
        </w:rPr>
        <w:t>A filing of a petition to open secondary insolvency proceedings in Italy is also undertaken by an Italian bank.</w:t>
      </w:r>
      <w:r w:rsidR="00E441C1">
        <w:rPr>
          <w:rFonts w:ascii="Avenir Next" w:hAnsi="Avenir Next" w:cs="Arial"/>
          <w:color w:val="7B7B7B" w:themeColor="accent3" w:themeShade="BF"/>
          <w:sz w:val="22"/>
          <w:szCs w:val="22"/>
        </w:rPr>
        <w:t xml:space="preserve"> For the purposes of this question, we assume that the proceedings opened in the Strasbourg Court are main insolvency proceedings given that these are opened in </w:t>
      </w:r>
      <w:r w:rsidR="00184F06">
        <w:rPr>
          <w:rFonts w:ascii="Avenir Next" w:hAnsi="Avenir Next" w:cs="Arial"/>
          <w:color w:val="7B7B7B" w:themeColor="accent3" w:themeShade="BF"/>
          <w:sz w:val="22"/>
          <w:szCs w:val="22"/>
        </w:rPr>
        <w:t xml:space="preserve">the company’s seat, </w:t>
      </w:r>
      <w:r w:rsidR="0057131E">
        <w:rPr>
          <w:rFonts w:ascii="Avenir Next" w:hAnsi="Avenir Next" w:cs="Arial"/>
          <w:color w:val="7B7B7B" w:themeColor="accent3" w:themeShade="BF"/>
          <w:sz w:val="22"/>
          <w:szCs w:val="22"/>
        </w:rPr>
        <w:t xml:space="preserve">Strasbourg </w:t>
      </w:r>
      <w:r w:rsidR="00184F06">
        <w:rPr>
          <w:rFonts w:ascii="Avenir Next" w:hAnsi="Avenir Next" w:cs="Arial"/>
          <w:color w:val="7B7B7B" w:themeColor="accent3" w:themeShade="BF"/>
          <w:sz w:val="22"/>
          <w:szCs w:val="22"/>
        </w:rPr>
        <w:t>(</w:t>
      </w:r>
      <w:r w:rsidR="0057131E">
        <w:rPr>
          <w:rFonts w:ascii="Avenir Next" w:hAnsi="Avenir Next" w:cs="Arial"/>
          <w:color w:val="7B7B7B" w:themeColor="accent3" w:themeShade="BF"/>
          <w:sz w:val="22"/>
          <w:szCs w:val="22"/>
        </w:rPr>
        <w:t>France</w:t>
      </w:r>
      <w:r w:rsidR="00184F06">
        <w:rPr>
          <w:rFonts w:ascii="Avenir Next" w:hAnsi="Avenir Next" w:cs="Arial"/>
          <w:color w:val="7B7B7B" w:themeColor="accent3" w:themeShade="BF"/>
          <w:sz w:val="22"/>
          <w:szCs w:val="22"/>
        </w:rPr>
        <w:t>)</w:t>
      </w:r>
      <w:r w:rsidR="0057131E">
        <w:rPr>
          <w:rFonts w:ascii="Avenir Next" w:hAnsi="Avenir Next" w:cs="Arial"/>
          <w:color w:val="7B7B7B" w:themeColor="accent3" w:themeShade="BF"/>
          <w:sz w:val="22"/>
          <w:szCs w:val="22"/>
        </w:rPr>
        <w:t>.</w:t>
      </w:r>
    </w:p>
    <w:p w14:paraId="57AC3E4C" w14:textId="77777777" w:rsidR="00104F2C" w:rsidRDefault="00104F2C" w:rsidP="00586A25">
      <w:pPr>
        <w:jc w:val="both"/>
        <w:rPr>
          <w:rFonts w:ascii="Avenir Next" w:hAnsi="Avenir Next" w:cs="Arial"/>
          <w:color w:val="7B7B7B" w:themeColor="accent3" w:themeShade="BF"/>
          <w:sz w:val="22"/>
          <w:szCs w:val="22"/>
          <w:lang w:val="en-GB"/>
        </w:rPr>
      </w:pPr>
    </w:p>
    <w:p w14:paraId="0F1588A8" w14:textId="69BF64AB" w:rsidR="00586A25" w:rsidRPr="00A048DE" w:rsidRDefault="00586A25" w:rsidP="00586A2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With reference to the material, temporal, territorial and personal scopes of the EIR recast, the only elements that can be successfully taken into consideration for the applicability of the Regulation concern the territorial and personal scopes. The (secondary) insolvency proceeding fulfils the personal scope</w:t>
      </w:r>
      <w:r w:rsidR="001B45C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as it </w:t>
      </w:r>
      <w:r w:rsidR="002E3AD1">
        <w:rPr>
          <w:rFonts w:ascii="Avenir Next" w:hAnsi="Avenir Next" w:cs="Arial"/>
          <w:color w:val="7B7B7B" w:themeColor="accent3" w:themeShade="BF"/>
          <w:sz w:val="22"/>
          <w:szCs w:val="22"/>
          <w:lang w:val="en-GB"/>
        </w:rPr>
        <w:t>refers to</w:t>
      </w:r>
      <w:r>
        <w:rPr>
          <w:rFonts w:ascii="Avenir Next" w:hAnsi="Avenir Next" w:cs="Arial"/>
          <w:color w:val="7B7B7B" w:themeColor="accent3" w:themeShade="BF"/>
          <w:sz w:val="22"/>
          <w:szCs w:val="22"/>
          <w:lang w:val="en-GB"/>
        </w:rPr>
        <w:t xml:space="preserve"> a company specialized in cosmetic products</w:t>
      </w:r>
      <w:r w:rsidR="001B45CF">
        <w:rPr>
          <w:rFonts w:ascii="Avenir Next" w:hAnsi="Avenir Next" w:cs="Arial"/>
          <w:color w:val="7B7B7B" w:themeColor="accent3" w:themeShade="BF"/>
          <w:sz w:val="22"/>
          <w:szCs w:val="22"/>
          <w:lang w:val="en-GB"/>
        </w:rPr>
        <w:t xml:space="preserve"> and does not concern any of the exclusions set out in Article 1(2) EIR Recast,</w:t>
      </w:r>
      <w:r>
        <w:rPr>
          <w:rFonts w:ascii="Avenir Next" w:hAnsi="Avenir Next" w:cs="Arial"/>
          <w:color w:val="7B7B7B" w:themeColor="accent3" w:themeShade="BF"/>
          <w:sz w:val="22"/>
          <w:szCs w:val="22"/>
          <w:lang w:val="en-GB"/>
        </w:rPr>
        <w:t xml:space="preserve"> and the territorial scope</w:t>
      </w:r>
      <w:r w:rsidR="00D769AD">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as it is a proceeding opened in </w:t>
      </w:r>
      <w:r>
        <w:rPr>
          <w:rFonts w:ascii="Avenir Next" w:hAnsi="Avenir Next" w:cs="Arial"/>
          <w:color w:val="7B7B7B" w:themeColor="accent3" w:themeShade="BF"/>
          <w:sz w:val="22"/>
          <w:szCs w:val="22"/>
          <w:lang w:val="en-GB"/>
        </w:rPr>
        <w:lastRenderedPageBreak/>
        <w:t>Italy, a</w:t>
      </w:r>
      <w:r w:rsidR="00547002">
        <w:rPr>
          <w:rFonts w:ascii="Avenir Next" w:hAnsi="Avenir Next" w:cs="Arial"/>
          <w:color w:val="7B7B7B" w:themeColor="accent3" w:themeShade="BF"/>
          <w:sz w:val="22"/>
          <w:szCs w:val="22"/>
          <w:lang w:val="en-GB"/>
        </w:rPr>
        <w:t>n</w:t>
      </w:r>
      <w:r>
        <w:rPr>
          <w:rFonts w:ascii="Avenir Next" w:hAnsi="Avenir Next" w:cs="Arial"/>
          <w:color w:val="7B7B7B" w:themeColor="accent3" w:themeShade="BF"/>
          <w:sz w:val="22"/>
          <w:szCs w:val="22"/>
          <w:lang w:val="en-GB"/>
        </w:rPr>
        <w:t xml:space="preserve"> EU Member State. As per the material and temporal scope</w:t>
      </w:r>
      <w:r w:rsidR="00547002">
        <w:rPr>
          <w:rFonts w:ascii="Avenir Next" w:hAnsi="Avenir Next" w:cs="Arial"/>
          <w:color w:val="7B7B7B" w:themeColor="accent3" w:themeShade="BF"/>
          <w:sz w:val="22"/>
          <w:szCs w:val="22"/>
        </w:rPr>
        <w:t>s</w:t>
      </w:r>
      <w:r>
        <w:rPr>
          <w:rFonts w:ascii="Avenir Next" w:hAnsi="Avenir Next" w:cs="Arial"/>
          <w:color w:val="7B7B7B" w:themeColor="accent3" w:themeShade="BF"/>
          <w:sz w:val="22"/>
          <w:szCs w:val="22"/>
          <w:lang w:val="en-GB"/>
        </w:rPr>
        <w:t>, the facts of the case do not elaborate on pertinent informatio</w:t>
      </w:r>
      <w:r w:rsidR="00F51B25">
        <w:rPr>
          <w:rFonts w:ascii="Avenir Next" w:hAnsi="Avenir Next" w:cs="Arial"/>
          <w:color w:val="7B7B7B" w:themeColor="accent3" w:themeShade="BF"/>
          <w:sz w:val="22"/>
          <w:szCs w:val="22"/>
          <w:lang w:val="en-GB"/>
        </w:rPr>
        <w:t xml:space="preserve">n. </w:t>
      </w:r>
    </w:p>
    <w:p w14:paraId="5C29EB38" w14:textId="77777777" w:rsidR="005249C1" w:rsidRDefault="005249C1" w:rsidP="00A048DE">
      <w:pPr>
        <w:jc w:val="both"/>
        <w:rPr>
          <w:rFonts w:ascii="Avenir Next" w:hAnsi="Avenir Next" w:cs="Arial"/>
          <w:color w:val="7B7B7B" w:themeColor="accent3" w:themeShade="BF"/>
          <w:sz w:val="22"/>
          <w:szCs w:val="22"/>
          <w:lang w:val="en-GB"/>
        </w:rPr>
      </w:pPr>
    </w:p>
    <w:p w14:paraId="24CD1F2A" w14:textId="03B2CFA0" w:rsidR="001B45CF" w:rsidRDefault="00D769AD" w:rsidP="00A048D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w:t>
      </w:r>
      <w:r w:rsidR="005249C1">
        <w:rPr>
          <w:rFonts w:ascii="Avenir Next" w:hAnsi="Avenir Next" w:cs="Arial"/>
          <w:color w:val="7B7B7B" w:themeColor="accent3" w:themeShade="BF"/>
          <w:sz w:val="22"/>
          <w:szCs w:val="22"/>
          <w:lang w:val="en-GB"/>
        </w:rPr>
        <w:t xml:space="preserve">ursuant to Article </w:t>
      </w:r>
      <w:r w:rsidR="001B45CF">
        <w:rPr>
          <w:rFonts w:ascii="Avenir Next" w:hAnsi="Avenir Next" w:cs="Arial"/>
          <w:color w:val="7B7B7B" w:themeColor="accent3" w:themeShade="BF"/>
          <w:sz w:val="22"/>
          <w:szCs w:val="22"/>
          <w:lang w:val="en-GB"/>
        </w:rPr>
        <w:t xml:space="preserve">3(2) </w:t>
      </w:r>
      <w:r w:rsidR="005249C1">
        <w:rPr>
          <w:rFonts w:ascii="Avenir Next" w:hAnsi="Avenir Next" w:cs="Arial"/>
          <w:color w:val="7B7B7B" w:themeColor="accent3" w:themeShade="BF"/>
          <w:sz w:val="22"/>
          <w:szCs w:val="22"/>
          <w:lang w:val="en-GB"/>
        </w:rPr>
        <w:t xml:space="preserve">of the EIR Recast, it is permitted to open several </w:t>
      </w:r>
      <w:r w:rsidR="003A3058">
        <w:rPr>
          <w:rFonts w:ascii="Avenir Next" w:hAnsi="Avenir Next" w:cs="Arial"/>
          <w:color w:val="7B7B7B" w:themeColor="accent3" w:themeShade="BF"/>
          <w:sz w:val="22"/>
          <w:szCs w:val="22"/>
          <w:lang w:val="en-GB"/>
        </w:rPr>
        <w:t xml:space="preserve">secondary </w:t>
      </w:r>
      <w:r w:rsidR="005249C1">
        <w:rPr>
          <w:rFonts w:ascii="Avenir Next" w:hAnsi="Avenir Next" w:cs="Arial"/>
          <w:color w:val="7B7B7B" w:themeColor="accent3" w:themeShade="BF"/>
          <w:sz w:val="22"/>
          <w:szCs w:val="22"/>
          <w:lang w:val="en-GB"/>
        </w:rPr>
        <w:t>insolvency proceedings against the same debtor across EU Member States.</w:t>
      </w:r>
      <w:r w:rsidR="00C75675">
        <w:rPr>
          <w:rFonts w:ascii="Avenir Next" w:hAnsi="Avenir Next" w:cs="Arial"/>
          <w:color w:val="7B7B7B" w:themeColor="accent3" w:themeShade="BF"/>
          <w:sz w:val="22"/>
          <w:szCs w:val="22"/>
          <w:lang w:val="en-GB"/>
        </w:rPr>
        <w:t xml:space="preserve"> Pursuant to the same Article, for the opening of secondary proceedings the debtor should have an establishment in the territory </w:t>
      </w:r>
      <w:r>
        <w:rPr>
          <w:rFonts w:ascii="Avenir Next" w:hAnsi="Avenir Next" w:cs="Arial"/>
          <w:color w:val="7B7B7B" w:themeColor="accent3" w:themeShade="BF"/>
          <w:sz w:val="22"/>
          <w:szCs w:val="22"/>
          <w:lang w:val="en-GB"/>
        </w:rPr>
        <w:t>where these</w:t>
      </w:r>
      <w:r w:rsidR="00C75675">
        <w:rPr>
          <w:rFonts w:ascii="Avenir Next" w:hAnsi="Avenir Next" w:cs="Arial"/>
          <w:color w:val="7B7B7B" w:themeColor="accent3" w:themeShade="BF"/>
          <w:sz w:val="22"/>
          <w:szCs w:val="22"/>
          <w:lang w:val="en-GB"/>
        </w:rPr>
        <w:t xml:space="preserve"> proceedings</w:t>
      </w:r>
      <w:r>
        <w:rPr>
          <w:rFonts w:ascii="Avenir Next" w:hAnsi="Avenir Next" w:cs="Arial"/>
          <w:color w:val="7B7B7B" w:themeColor="accent3" w:themeShade="BF"/>
          <w:sz w:val="22"/>
          <w:szCs w:val="22"/>
          <w:lang w:val="en-GB"/>
        </w:rPr>
        <w:t xml:space="preserve"> are to be opened</w:t>
      </w:r>
      <w:r w:rsidR="00C75675">
        <w:rPr>
          <w:rFonts w:ascii="Avenir Next" w:hAnsi="Avenir Next" w:cs="Arial"/>
          <w:color w:val="7B7B7B" w:themeColor="accent3" w:themeShade="BF"/>
          <w:sz w:val="22"/>
          <w:szCs w:val="22"/>
          <w:lang w:val="en-GB"/>
        </w:rPr>
        <w:t>.</w:t>
      </w:r>
      <w:r w:rsidR="005249C1">
        <w:rPr>
          <w:rFonts w:ascii="Avenir Next" w:hAnsi="Avenir Next" w:cs="Arial"/>
          <w:color w:val="7B7B7B" w:themeColor="accent3" w:themeShade="BF"/>
          <w:sz w:val="22"/>
          <w:szCs w:val="22"/>
          <w:lang w:val="en-GB"/>
        </w:rPr>
        <w:t xml:space="preserve"> Secondary insolvency proceedings aim at promoting protection of local creditors’ interests, including by preserving the expectations as to local creditors’ ranking and the applicable insolvency law. </w:t>
      </w:r>
      <w:r w:rsidR="00104F2C">
        <w:rPr>
          <w:rFonts w:ascii="Avenir Next" w:hAnsi="Avenir Next" w:cs="Arial"/>
          <w:color w:val="7B7B7B" w:themeColor="accent3" w:themeShade="BF"/>
          <w:sz w:val="22"/>
          <w:szCs w:val="22"/>
          <w:lang w:val="en-GB"/>
        </w:rPr>
        <w:t>Legal experts</w:t>
      </w:r>
      <w:r w:rsidR="005249C1">
        <w:rPr>
          <w:rFonts w:ascii="Avenir Next" w:hAnsi="Avenir Next" w:cs="Arial"/>
          <w:color w:val="7B7B7B" w:themeColor="accent3" w:themeShade="BF"/>
          <w:sz w:val="22"/>
          <w:szCs w:val="22"/>
          <w:lang w:val="en-GB"/>
        </w:rPr>
        <w:t xml:space="preserve"> agree that an additional advantage of secondary insolvency proceedings lies in the participation of micro and small creditors in the procedure. </w:t>
      </w:r>
      <w:r w:rsidR="003A3058">
        <w:rPr>
          <w:rFonts w:ascii="Avenir Next" w:hAnsi="Avenir Next" w:cs="Arial"/>
          <w:color w:val="7B7B7B" w:themeColor="accent3" w:themeShade="BF"/>
          <w:sz w:val="22"/>
          <w:szCs w:val="22"/>
          <w:lang w:val="en-GB"/>
        </w:rPr>
        <w:t>In addition</w:t>
      </w:r>
      <w:r w:rsidR="005249C1">
        <w:rPr>
          <w:rFonts w:ascii="Avenir Next" w:hAnsi="Avenir Next" w:cs="Arial"/>
          <w:color w:val="7B7B7B" w:themeColor="accent3" w:themeShade="BF"/>
          <w:sz w:val="22"/>
          <w:szCs w:val="22"/>
          <w:lang w:val="en-GB"/>
        </w:rPr>
        <w:t>, p</w:t>
      </w:r>
      <w:r w:rsidR="00A048DE">
        <w:rPr>
          <w:rFonts w:ascii="Avenir Next" w:hAnsi="Avenir Next" w:cs="Arial"/>
          <w:color w:val="7B7B7B" w:themeColor="accent3" w:themeShade="BF"/>
          <w:sz w:val="22"/>
          <w:szCs w:val="22"/>
          <w:lang w:val="en-GB"/>
        </w:rPr>
        <w:t>ursuant to Article 37 paragraph 1 of the EIR Recast, “[t]</w:t>
      </w:r>
      <w:r w:rsidR="00A048DE" w:rsidRPr="00A048DE">
        <w:rPr>
          <w:rFonts w:ascii="Avenir Next" w:hAnsi="Avenir Next" w:cs="Arial"/>
          <w:color w:val="7B7B7B" w:themeColor="accent3" w:themeShade="BF"/>
          <w:sz w:val="22"/>
          <w:szCs w:val="22"/>
          <w:lang w:val="en-GB"/>
        </w:rPr>
        <w:t>he opening of secondary insolvency proceedings may be requested by:</w:t>
      </w:r>
      <w:r w:rsidR="00A048DE">
        <w:rPr>
          <w:rFonts w:ascii="Avenir Next" w:hAnsi="Avenir Next" w:cs="Arial"/>
          <w:color w:val="7B7B7B" w:themeColor="accent3" w:themeShade="BF"/>
          <w:sz w:val="22"/>
          <w:szCs w:val="22"/>
          <w:lang w:val="en-GB"/>
        </w:rPr>
        <w:t xml:space="preserve"> (a) </w:t>
      </w:r>
      <w:r w:rsidR="00A048DE" w:rsidRPr="00A048DE">
        <w:rPr>
          <w:rFonts w:ascii="Avenir Next" w:hAnsi="Avenir Next" w:cs="Arial"/>
          <w:color w:val="7B7B7B" w:themeColor="accent3" w:themeShade="BF"/>
          <w:sz w:val="22"/>
          <w:szCs w:val="22"/>
          <w:lang w:val="en-GB"/>
        </w:rPr>
        <w:t>the insolvency practitioner in the main insolvency proceedings; (b) any other person or authority empowered to request the opening of insolvency proceedings under the law of the Member State within the territory of which the opening of secondary insolvency proceedings is requested.”</w:t>
      </w:r>
      <w:r w:rsidR="00A048DE">
        <w:rPr>
          <w:rFonts w:ascii="Avenir Next" w:hAnsi="Avenir Next" w:cs="Arial"/>
          <w:color w:val="7B7B7B" w:themeColor="accent3" w:themeShade="BF"/>
          <w:sz w:val="22"/>
          <w:szCs w:val="22"/>
          <w:lang w:val="en-GB"/>
        </w:rPr>
        <w:t xml:space="preserve"> </w:t>
      </w:r>
      <w:r w:rsidR="00104F2C">
        <w:rPr>
          <w:rFonts w:ascii="Avenir Next" w:hAnsi="Avenir Next" w:cs="Arial"/>
          <w:color w:val="7B7B7B" w:themeColor="accent3" w:themeShade="BF"/>
          <w:sz w:val="22"/>
          <w:szCs w:val="22"/>
          <w:lang w:val="en-GB"/>
        </w:rPr>
        <w:t>As per the facts of the present case</w:t>
      </w:r>
      <w:r w:rsidR="001B45CF">
        <w:rPr>
          <w:rFonts w:ascii="Avenir Next" w:hAnsi="Avenir Next" w:cs="Arial"/>
          <w:color w:val="7B7B7B" w:themeColor="accent3" w:themeShade="BF"/>
          <w:sz w:val="22"/>
          <w:szCs w:val="22"/>
          <w:lang w:val="en-GB"/>
        </w:rPr>
        <w:t xml:space="preserve">, the Italian bank is authorized to </w:t>
      </w:r>
      <w:r w:rsidR="00174360">
        <w:rPr>
          <w:rFonts w:ascii="Avenir Next" w:hAnsi="Avenir Next" w:cs="Arial"/>
          <w:color w:val="7B7B7B" w:themeColor="accent3" w:themeShade="BF"/>
          <w:sz w:val="22"/>
          <w:szCs w:val="22"/>
          <w:lang w:val="en-GB"/>
        </w:rPr>
        <w:t>request the opening of</w:t>
      </w:r>
      <w:r w:rsidR="001B45CF">
        <w:rPr>
          <w:rFonts w:ascii="Avenir Next" w:hAnsi="Avenir Next" w:cs="Arial"/>
          <w:color w:val="7B7B7B" w:themeColor="accent3" w:themeShade="BF"/>
          <w:sz w:val="22"/>
          <w:szCs w:val="22"/>
          <w:lang w:val="en-GB"/>
        </w:rPr>
        <w:t xml:space="preserve"> secondary insolvency proceedings in Italy.</w:t>
      </w:r>
    </w:p>
    <w:p w14:paraId="263A0224" w14:textId="77777777" w:rsidR="005249C1" w:rsidRDefault="005249C1" w:rsidP="00A048DE">
      <w:pPr>
        <w:jc w:val="both"/>
        <w:rPr>
          <w:rFonts w:ascii="Avenir Next" w:hAnsi="Avenir Next" w:cs="Arial"/>
          <w:color w:val="7B7B7B" w:themeColor="accent3" w:themeShade="BF"/>
          <w:sz w:val="22"/>
          <w:szCs w:val="22"/>
          <w:lang w:val="en-GB"/>
        </w:rPr>
      </w:pPr>
    </w:p>
    <w:p w14:paraId="4F2D3B53" w14:textId="0130A1E9" w:rsidR="00FE3C85" w:rsidRDefault="00E441C1" w:rsidP="00454C3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w:t>
      </w:r>
      <w:r w:rsidR="00AF397F">
        <w:rPr>
          <w:rFonts w:ascii="Avenir Next" w:hAnsi="Avenir Next" w:cs="Arial"/>
          <w:color w:val="7B7B7B" w:themeColor="accent3" w:themeShade="BF"/>
          <w:sz w:val="22"/>
          <w:szCs w:val="22"/>
          <w:lang w:val="en-GB"/>
        </w:rPr>
        <w:t xml:space="preserve"> crucial question relates to the nature of the secondary proceedings</w:t>
      </w:r>
      <w:r w:rsidR="00E6292D">
        <w:rPr>
          <w:rFonts w:ascii="Avenir Next" w:hAnsi="Avenir Next" w:cs="Arial"/>
          <w:color w:val="7B7B7B" w:themeColor="accent3" w:themeShade="BF"/>
          <w:sz w:val="22"/>
          <w:szCs w:val="22"/>
          <w:lang w:val="en-GB"/>
        </w:rPr>
        <w:t xml:space="preserve">. </w:t>
      </w:r>
      <w:r w:rsidR="00C75675">
        <w:rPr>
          <w:rFonts w:ascii="Avenir Next" w:hAnsi="Avenir Next" w:cs="Arial"/>
          <w:color w:val="7B7B7B" w:themeColor="accent3" w:themeShade="BF"/>
          <w:sz w:val="22"/>
          <w:szCs w:val="22"/>
          <w:lang w:val="en-GB"/>
        </w:rPr>
        <w:t>According to the facts</w:t>
      </w:r>
      <w:r w:rsidR="00E378E8">
        <w:rPr>
          <w:rFonts w:ascii="Avenir Next" w:hAnsi="Avenir Next" w:cs="Arial"/>
          <w:color w:val="7B7B7B" w:themeColor="accent3" w:themeShade="BF"/>
          <w:sz w:val="22"/>
          <w:szCs w:val="22"/>
          <w:lang w:val="en-GB"/>
        </w:rPr>
        <w:t xml:space="preserve">, secondary proceedings </w:t>
      </w:r>
      <w:r w:rsidR="00AF397F">
        <w:rPr>
          <w:rFonts w:ascii="Avenir Next" w:hAnsi="Avenir Next" w:cs="Arial"/>
          <w:color w:val="7B7B7B" w:themeColor="accent3" w:themeShade="BF"/>
          <w:sz w:val="22"/>
          <w:szCs w:val="22"/>
          <w:lang w:val="en-GB"/>
        </w:rPr>
        <w:t>are envisaged to be opened through</w:t>
      </w:r>
      <w:r w:rsidR="00E6292D">
        <w:rPr>
          <w:rFonts w:ascii="Avenir Next" w:hAnsi="Avenir Next" w:cs="Arial"/>
          <w:color w:val="7B7B7B" w:themeColor="accent3" w:themeShade="BF"/>
          <w:sz w:val="22"/>
          <w:szCs w:val="22"/>
          <w:lang w:val="en-GB"/>
        </w:rPr>
        <w:t xml:space="preserve"> the</w:t>
      </w:r>
      <w:r w:rsidR="00AF397F">
        <w:rPr>
          <w:rFonts w:ascii="Avenir Next" w:hAnsi="Avenir Next" w:cs="Arial"/>
          <w:color w:val="7B7B7B" w:themeColor="accent3" w:themeShade="BF"/>
          <w:sz w:val="22"/>
          <w:szCs w:val="22"/>
          <w:lang w:val="en-GB"/>
        </w:rPr>
        <w:t xml:space="preserve"> filing </w:t>
      </w:r>
      <w:r w:rsidR="00E6292D">
        <w:rPr>
          <w:rFonts w:ascii="Avenir Next" w:hAnsi="Avenir Next" w:cs="Arial"/>
          <w:color w:val="7B7B7B" w:themeColor="accent3" w:themeShade="BF"/>
          <w:sz w:val="22"/>
          <w:szCs w:val="22"/>
          <w:lang w:val="en-GB"/>
        </w:rPr>
        <w:t xml:space="preserve">of </w:t>
      </w:r>
      <w:r w:rsidR="00AF397F">
        <w:rPr>
          <w:rFonts w:ascii="Avenir Next" w:hAnsi="Avenir Next" w:cs="Arial"/>
          <w:color w:val="7B7B7B" w:themeColor="accent3" w:themeShade="BF"/>
          <w:sz w:val="22"/>
          <w:szCs w:val="22"/>
          <w:lang w:val="en-GB"/>
        </w:rPr>
        <w:t xml:space="preserve">a petition </w:t>
      </w:r>
      <w:r w:rsidR="00E43E58">
        <w:rPr>
          <w:rFonts w:ascii="Avenir Next" w:hAnsi="Avenir Next" w:cs="Arial"/>
          <w:color w:val="7B7B7B" w:themeColor="accent3" w:themeShade="BF"/>
          <w:sz w:val="22"/>
          <w:szCs w:val="22"/>
          <w:lang w:val="en-GB"/>
        </w:rPr>
        <w:t>in Italy</w:t>
      </w:r>
      <w:r>
        <w:rPr>
          <w:rFonts w:ascii="Avenir Next" w:hAnsi="Avenir Next" w:cs="Arial"/>
          <w:color w:val="7B7B7B" w:themeColor="accent3" w:themeShade="BF"/>
          <w:sz w:val="22"/>
          <w:szCs w:val="22"/>
          <w:lang w:val="en-GB"/>
        </w:rPr>
        <w:t xml:space="preserve"> “with the purpose of securing an Italian insolvency distribution ranking”</w:t>
      </w:r>
      <w:r w:rsidR="00E43E58">
        <w:rPr>
          <w:rFonts w:ascii="Avenir Next" w:hAnsi="Avenir Next" w:cs="Arial"/>
          <w:color w:val="7B7B7B" w:themeColor="accent3" w:themeShade="BF"/>
          <w:sz w:val="22"/>
          <w:szCs w:val="22"/>
          <w:lang w:val="en-GB"/>
        </w:rPr>
        <w:t xml:space="preserve">. </w:t>
      </w:r>
      <w:r w:rsidR="00E6292D">
        <w:rPr>
          <w:rFonts w:ascii="Avenir Next" w:hAnsi="Avenir Next" w:cs="Arial"/>
          <w:color w:val="7B7B7B" w:themeColor="accent3" w:themeShade="BF"/>
          <w:sz w:val="22"/>
          <w:szCs w:val="22"/>
          <w:lang w:val="en-GB"/>
        </w:rPr>
        <w:t xml:space="preserve">Article 34 of the EIR Recast </w:t>
      </w:r>
      <w:r w:rsidR="00467122">
        <w:rPr>
          <w:rFonts w:ascii="Avenir Next" w:hAnsi="Avenir Next" w:cs="Arial"/>
          <w:color w:val="7B7B7B" w:themeColor="accent3" w:themeShade="BF"/>
          <w:sz w:val="22"/>
          <w:szCs w:val="22"/>
          <w:lang w:val="en-GB"/>
        </w:rPr>
        <w:t xml:space="preserve">stipulates that in the event main insolvency proceedings have been opened in a particular EU Member State and recognized in another EU Member State, secondary insolvency proceedings can be opened in that other EU Member State as long as the requirements set out in Article 3(2) are fulfilled. It is important to underscore that the effects of secondary insolvency proceedings are limited to the debtor’s assets located in the Member State’s territory </w:t>
      </w:r>
      <w:r w:rsidR="003E5538">
        <w:rPr>
          <w:rFonts w:ascii="Avenir Next" w:hAnsi="Avenir Next" w:cs="Arial"/>
          <w:color w:val="7B7B7B" w:themeColor="accent3" w:themeShade="BF"/>
          <w:sz w:val="22"/>
          <w:szCs w:val="22"/>
          <w:lang w:val="en-GB"/>
        </w:rPr>
        <w:t>where the opening of those proceedings has occurred</w:t>
      </w:r>
      <w:r w:rsidR="004A2284">
        <w:rPr>
          <w:rFonts w:ascii="Avenir Next" w:hAnsi="Avenir Next" w:cs="Arial"/>
          <w:color w:val="7B7B7B" w:themeColor="accent3" w:themeShade="BF"/>
          <w:sz w:val="22"/>
          <w:szCs w:val="22"/>
          <w:lang w:val="en-GB"/>
        </w:rPr>
        <w:t xml:space="preserve"> (see also Recital </w:t>
      </w:r>
      <w:r w:rsidR="00BB0222">
        <w:rPr>
          <w:rFonts w:ascii="Avenir Next" w:hAnsi="Avenir Next" w:cs="Arial"/>
          <w:color w:val="7B7B7B" w:themeColor="accent3" w:themeShade="BF"/>
          <w:sz w:val="22"/>
          <w:szCs w:val="22"/>
          <w:lang w:val="en-GB"/>
        </w:rPr>
        <w:t>23).</w:t>
      </w:r>
      <w:r w:rsidR="00F570BB">
        <w:rPr>
          <w:rFonts w:ascii="Avenir Next" w:hAnsi="Avenir Next" w:cs="Arial"/>
          <w:color w:val="7B7B7B" w:themeColor="accent3" w:themeShade="BF"/>
          <w:sz w:val="22"/>
          <w:szCs w:val="22"/>
          <w:lang w:val="en-GB"/>
        </w:rPr>
        <w:t xml:space="preserve"> </w:t>
      </w:r>
      <w:r w:rsidR="00E67C5C">
        <w:rPr>
          <w:rFonts w:ascii="Avenir Next" w:hAnsi="Avenir Next" w:cs="Arial"/>
          <w:color w:val="7B7B7B" w:themeColor="accent3" w:themeShade="BF"/>
          <w:sz w:val="22"/>
          <w:szCs w:val="22"/>
          <w:lang w:val="en-GB"/>
        </w:rPr>
        <w:t xml:space="preserve">In this context, the </w:t>
      </w:r>
      <w:r w:rsidR="00E67C5C" w:rsidRPr="00E67C5C">
        <w:rPr>
          <w:rFonts w:ascii="Avenir Next" w:hAnsi="Avenir Next" w:cs="Arial"/>
          <w:i/>
          <w:iCs/>
          <w:color w:val="7B7B7B" w:themeColor="accent3" w:themeShade="BF"/>
          <w:sz w:val="22"/>
          <w:szCs w:val="22"/>
          <w:lang w:val="en-GB"/>
        </w:rPr>
        <w:t>lex concursus secondarii</w:t>
      </w:r>
      <w:r w:rsidR="00E67C5C">
        <w:rPr>
          <w:rFonts w:ascii="Avenir Next" w:hAnsi="Avenir Next" w:cs="Arial"/>
          <w:color w:val="7B7B7B" w:themeColor="accent3" w:themeShade="BF"/>
          <w:sz w:val="22"/>
          <w:szCs w:val="22"/>
          <w:lang w:val="en-GB"/>
        </w:rPr>
        <w:t xml:space="preserve"> is the applicable law as opposed to</w:t>
      </w:r>
      <w:r w:rsidR="004F1182">
        <w:rPr>
          <w:rFonts w:ascii="Avenir Next" w:hAnsi="Avenir Next" w:cs="Arial"/>
          <w:color w:val="7B7B7B" w:themeColor="accent3" w:themeShade="BF"/>
          <w:sz w:val="22"/>
          <w:szCs w:val="22"/>
          <w:lang w:val="en-GB"/>
        </w:rPr>
        <w:t xml:space="preserve"> the</w:t>
      </w:r>
      <w:r w:rsidR="00E67C5C">
        <w:rPr>
          <w:rFonts w:ascii="Avenir Next" w:hAnsi="Avenir Next" w:cs="Arial"/>
          <w:color w:val="7B7B7B" w:themeColor="accent3" w:themeShade="BF"/>
          <w:sz w:val="22"/>
          <w:szCs w:val="22"/>
          <w:lang w:val="en-GB"/>
        </w:rPr>
        <w:t xml:space="preserve"> </w:t>
      </w:r>
      <w:r w:rsidR="00E67C5C" w:rsidRPr="00E67C5C">
        <w:rPr>
          <w:rFonts w:ascii="Avenir Next" w:hAnsi="Avenir Next" w:cs="Arial"/>
          <w:i/>
          <w:iCs/>
          <w:color w:val="7B7B7B" w:themeColor="accent3" w:themeShade="BF"/>
          <w:sz w:val="22"/>
          <w:szCs w:val="22"/>
          <w:lang w:val="en-GB"/>
        </w:rPr>
        <w:t>lex  concursus</w:t>
      </w:r>
      <w:r w:rsidR="00E67C5C">
        <w:rPr>
          <w:rFonts w:ascii="Avenir Next" w:hAnsi="Avenir Next" w:cs="Arial"/>
          <w:color w:val="7B7B7B" w:themeColor="accent3" w:themeShade="BF"/>
          <w:sz w:val="22"/>
          <w:szCs w:val="22"/>
          <w:lang w:val="en-GB"/>
        </w:rPr>
        <w:t xml:space="preserve"> which is relevant to the main insolvency proceedings.</w:t>
      </w:r>
      <w:r w:rsidR="00FE3C85">
        <w:rPr>
          <w:rFonts w:ascii="Avenir Next" w:hAnsi="Avenir Next" w:cs="Arial"/>
          <w:color w:val="7B7B7B" w:themeColor="accent3" w:themeShade="BF"/>
          <w:sz w:val="22"/>
          <w:szCs w:val="22"/>
          <w:lang w:val="en-GB"/>
        </w:rPr>
        <w:t xml:space="preserve"> As per the concept of establishment, </w:t>
      </w:r>
      <w:r w:rsidR="00324F98">
        <w:rPr>
          <w:rFonts w:ascii="Avenir Next" w:hAnsi="Avenir Next" w:cs="Arial"/>
          <w:color w:val="7B7B7B" w:themeColor="accent3" w:themeShade="BF"/>
          <w:sz w:val="22"/>
          <w:szCs w:val="22"/>
          <w:lang w:val="en-GB"/>
        </w:rPr>
        <w:t xml:space="preserve">this has been </w:t>
      </w:r>
      <w:r w:rsidR="00611D98">
        <w:rPr>
          <w:rFonts w:ascii="Avenir Next" w:hAnsi="Avenir Next" w:cs="Arial"/>
          <w:color w:val="7B7B7B" w:themeColor="accent3" w:themeShade="BF"/>
          <w:sz w:val="22"/>
          <w:szCs w:val="22"/>
          <w:lang w:val="en-GB"/>
        </w:rPr>
        <w:t>reflected in Article 2(1</w:t>
      </w:r>
      <w:r w:rsidR="00B553EE">
        <w:rPr>
          <w:rFonts w:ascii="Avenir Next" w:hAnsi="Avenir Next" w:cs="Arial"/>
          <w:color w:val="7B7B7B" w:themeColor="accent3" w:themeShade="BF"/>
          <w:sz w:val="22"/>
          <w:szCs w:val="22"/>
          <w:lang w:val="en-GB"/>
        </w:rPr>
        <w:t>0</w:t>
      </w:r>
      <w:r w:rsidR="00611D98">
        <w:rPr>
          <w:rFonts w:ascii="Avenir Next" w:hAnsi="Avenir Next" w:cs="Arial"/>
          <w:color w:val="7B7B7B" w:themeColor="accent3" w:themeShade="BF"/>
          <w:sz w:val="22"/>
          <w:szCs w:val="22"/>
          <w:lang w:val="en-GB"/>
        </w:rPr>
        <w:t xml:space="preserve">) of the EIR Recast </w:t>
      </w:r>
      <w:r w:rsidR="004F1182">
        <w:rPr>
          <w:rFonts w:ascii="Avenir Next" w:hAnsi="Avenir Next" w:cs="Arial"/>
          <w:color w:val="7B7B7B" w:themeColor="accent3" w:themeShade="BF"/>
          <w:sz w:val="22"/>
          <w:szCs w:val="22"/>
          <w:lang w:val="en-GB"/>
        </w:rPr>
        <w:t>and has been shaped through</w:t>
      </w:r>
      <w:r w:rsidR="00611D98">
        <w:rPr>
          <w:rFonts w:ascii="Avenir Next" w:hAnsi="Avenir Next" w:cs="Arial"/>
          <w:color w:val="7B7B7B" w:themeColor="accent3" w:themeShade="BF"/>
          <w:sz w:val="22"/>
          <w:szCs w:val="22"/>
          <w:lang w:val="en-GB"/>
        </w:rPr>
        <w:t xml:space="preserve"> C</w:t>
      </w:r>
      <w:r w:rsidR="00E53791">
        <w:rPr>
          <w:rFonts w:ascii="Avenir Next" w:hAnsi="Avenir Next" w:cs="Arial"/>
          <w:color w:val="7B7B7B" w:themeColor="accent3" w:themeShade="BF"/>
          <w:sz w:val="22"/>
          <w:szCs w:val="22"/>
          <w:lang w:val="en-GB"/>
        </w:rPr>
        <w:t>J</w:t>
      </w:r>
      <w:r w:rsidR="00611D98">
        <w:rPr>
          <w:rFonts w:ascii="Avenir Next" w:hAnsi="Avenir Next" w:cs="Arial"/>
          <w:color w:val="7B7B7B" w:themeColor="accent3" w:themeShade="BF"/>
          <w:sz w:val="22"/>
          <w:szCs w:val="22"/>
          <w:lang w:val="en-GB"/>
        </w:rPr>
        <w:t xml:space="preserve">EU jurisprudence. </w:t>
      </w:r>
      <w:r w:rsidR="00C31182">
        <w:rPr>
          <w:rFonts w:ascii="Avenir Next" w:hAnsi="Avenir Next" w:cs="Arial"/>
          <w:color w:val="7B7B7B" w:themeColor="accent3" w:themeShade="BF"/>
          <w:sz w:val="22"/>
          <w:szCs w:val="22"/>
          <w:lang w:val="en-GB"/>
        </w:rPr>
        <w:t>According to Article 2(10)</w:t>
      </w:r>
      <w:r w:rsidR="00DB5C5C">
        <w:rPr>
          <w:rFonts w:ascii="Avenir Next" w:hAnsi="Avenir Next" w:cs="Arial"/>
          <w:color w:val="7B7B7B" w:themeColor="accent3" w:themeShade="BF"/>
          <w:sz w:val="22"/>
          <w:szCs w:val="22"/>
          <w:lang w:val="en-GB"/>
        </w:rPr>
        <w:t xml:space="preserve">, </w:t>
      </w:r>
      <w:r w:rsidR="009E3535">
        <w:rPr>
          <w:rFonts w:ascii="Avenir Next" w:hAnsi="Avenir Next" w:cs="Arial"/>
          <w:color w:val="7B7B7B" w:themeColor="accent3" w:themeShade="BF"/>
          <w:sz w:val="22"/>
          <w:szCs w:val="22"/>
          <w:lang w:val="en-GB"/>
        </w:rPr>
        <w:t>the mea</w:t>
      </w:r>
      <w:r w:rsidR="002279DA">
        <w:rPr>
          <w:rFonts w:ascii="Avenir Next" w:hAnsi="Avenir Next" w:cs="Arial"/>
          <w:color w:val="7B7B7B" w:themeColor="accent3" w:themeShade="BF"/>
          <w:sz w:val="22"/>
          <w:szCs w:val="22"/>
          <w:lang w:val="en-GB"/>
        </w:rPr>
        <w:t>n</w:t>
      </w:r>
      <w:r w:rsidR="009E3535">
        <w:rPr>
          <w:rFonts w:ascii="Avenir Next" w:hAnsi="Avenir Next" w:cs="Arial"/>
          <w:color w:val="7B7B7B" w:themeColor="accent3" w:themeShade="BF"/>
          <w:sz w:val="22"/>
          <w:szCs w:val="22"/>
          <w:lang w:val="en-GB"/>
        </w:rPr>
        <w:t>ing of establishment encompasses</w:t>
      </w:r>
      <w:r w:rsidR="002279DA">
        <w:rPr>
          <w:rFonts w:ascii="Avenir Next" w:hAnsi="Avenir Next" w:cs="Arial"/>
          <w:color w:val="7B7B7B" w:themeColor="accent3" w:themeShade="BF"/>
          <w:sz w:val="22"/>
          <w:szCs w:val="22"/>
          <w:lang w:val="en-GB"/>
        </w:rPr>
        <w:t xml:space="preserve"> an operational place in which the debtor </w:t>
      </w:r>
      <w:r w:rsidR="00D61D2A">
        <w:rPr>
          <w:rFonts w:ascii="Avenir Next" w:hAnsi="Avenir Next" w:cs="Arial"/>
          <w:color w:val="7B7B7B" w:themeColor="accent3" w:themeShade="BF"/>
          <w:sz w:val="22"/>
          <w:szCs w:val="22"/>
          <w:lang w:val="en-GB"/>
        </w:rPr>
        <w:t xml:space="preserve">pursues or </w:t>
      </w:r>
      <w:r w:rsidR="002279DA">
        <w:rPr>
          <w:rFonts w:ascii="Avenir Next" w:hAnsi="Avenir Next" w:cs="Arial"/>
          <w:color w:val="7B7B7B" w:themeColor="accent3" w:themeShade="BF"/>
          <w:sz w:val="22"/>
          <w:szCs w:val="22"/>
          <w:lang w:val="en-GB"/>
        </w:rPr>
        <w:t>has pursued an activity, non-transitory and economic in nature, for the three months prior to the filing of the opening of insolvency proceedin</w:t>
      </w:r>
      <w:r w:rsidR="00335D62">
        <w:rPr>
          <w:rFonts w:ascii="Avenir Next" w:hAnsi="Avenir Next" w:cs="Arial"/>
          <w:color w:val="7B7B7B" w:themeColor="accent3" w:themeShade="BF"/>
          <w:sz w:val="22"/>
          <w:szCs w:val="22"/>
          <w:lang w:val="en-GB"/>
        </w:rPr>
        <w:t>g</w:t>
      </w:r>
      <w:r w:rsidR="00976264">
        <w:rPr>
          <w:rFonts w:ascii="Avenir Next" w:hAnsi="Avenir Next" w:cs="Arial"/>
          <w:color w:val="7B7B7B" w:themeColor="accent3" w:themeShade="BF"/>
          <w:sz w:val="22"/>
          <w:szCs w:val="22"/>
          <w:lang w:val="en-GB"/>
        </w:rPr>
        <w:t>s</w:t>
      </w:r>
      <w:r w:rsidR="00A24BF3">
        <w:rPr>
          <w:rFonts w:ascii="Avenir Next" w:hAnsi="Avenir Next" w:cs="Arial"/>
          <w:color w:val="7B7B7B" w:themeColor="accent3" w:themeShade="BF"/>
          <w:sz w:val="22"/>
          <w:szCs w:val="22"/>
          <w:lang w:val="en-GB"/>
        </w:rPr>
        <w:t xml:space="preserve">. This activity should be undertaken through human means and assets. </w:t>
      </w:r>
      <w:r w:rsidR="009A7098">
        <w:rPr>
          <w:rFonts w:ascii="Avenir Next" w:hAnsi="Avenir Next" w:cs="Arial"/>
          <w:color w:val="7B7B7B" w:themeColor="accent3" w:themeShade="BF"/>
          <w:sz w:val="22"/>
          <w:szCs w:val="22"/>
          <w:lang w:val="en-GB"/>
        </w:rPr>
        <w:t>In a</w:t>
      </w:r>
      <w:r w:rsidR="005C2962">
        <w:rPr>
          <w:rFonts w:ascii="Avenir Next" w:hAnsi="Avenir Next" w:cs="Arial"/>
          <w:color w:val="7B7B7B" w:themeColor="accent3" w:themeShade="BF"/>
          <w:sz w:val="22"/>
          <w:szCs w:val="22"/>
          <w:lang w:val="en-GB"/>
        </w:rPr>
        <w:t xml:space="preserve"> seminal CJEU decision, </w:t>
      </w:r>
      <w:r w:rsidR="005C2962" w:rsidRPr="005F6570">
        <w:rPr>
          <w:rFonts w:ascii="Avenir Next" w:hAnsi="Avenir Next" w:cs="Arial"/>
          <w:i/>
          <w:iCs/>
          <w:color w:val="7B7B7B" w:themeColor="accent3" w:themeShade="BF"/>
          <w:sz w:val="22"/>
          <w:szCs w:val="22"/>
          <w:lang w:val="en-GB"/>
        </w:rPr>
        <w:t>Interedil</w:t>
      </w:r>
      <w:r w:rsidR="005C2962">
        <w:rPr>
          <w:rFonts w:ascii="Avenir Next" w:hAnsi="Avenir Next" w:cs="Arial"/>
          <w:color w:val="7B7B7B" w:themeColor="accent3" w:themeShade="BF"/>
          <w:sz w:val="22"/>
          <w:szCs w:val="22"/>
          <w:lang w:val="en-GB"/>
        </w:rPr>
        <w:t xml:space="preserve"> (</w:t>
      </w:r>
      <w:r w:rsidR="00184D8B" w:rsidRPr="005F6570">
        <w:rPr>
          <w:rFonts w:ascii="Avenir Next" w:hAnsi="Avenir Next" w:cs="Arial"/>
          <w:i/>
          <w:iCs/>
          <w:color w:val="7B7B7B" w:themeColor="accent3" w:themeShade="BF"/>
          <w:sz w:val="22"/>
          <w:szCs w:val="22"/>
          <w:lang w:val="en-GB"/>
        </w:rPr>
        <w:t>Interedil Srl v Fallimento Interedil Srl</w:t>
      </w:r>
      <w:r w:rsidR="00184D8B">
        <w:rPr>
          <w:rFonts w:ascii="Avenir Next" w:hAnsi="Avenir Next" w:cs="Arial"/>
          <w:color w:val="7B7B7B" w:themeColor="accent3" w:themeShade="BF"/>
          <w:sz w:val="22"/>
          <w:szCs w:val="22"/>
          <w:lang w:val="en-GB"/>
        </w:rPr>
        <w:t>, case C-396/09, ECLI:EU:C:2011:671 (Oct. 20, 2011</w:t>
      </w:r>
      <w:r w:rsidR="005C2962">
        <w:rPr>
          <w:rFonts w:ascii="Avenir Next" w:hAnsi="Avenir Next" w:cs="Arial"/>
          <w:color w:val="7B7B7B" w:themeColor="accent3" w:themeShade="BF"/>
          <w:sz w:val="22"/>
          <w:szCs w:val="22"/>
          <w:lang w:val="en-GB"/>
        </w:rPr>
        <w:t>)</w:t>
      </w:r>
      <w:r w:rsidR="005F6570">
        <w:rPr>
          <w:rFonts w:ascii="Avenir Next" w:hAnsi="Avenir Next" w:cs="Arial"/>
          <w:color w:val="7B7B7B" w:themeColor="accent3" w:themeShade="BF"/>
          <w:sz w:val="22"/>
          <w:szCs w:val="22"/>
          <w:lang w:val="en-GB"/>
        </w:rPr>
        <w:t>)</w:t>
      </w:r>
      <w:r w:rsidR="005C2962">
        <w:rPr>
          <w:rFonts w:ascii="Avenir Next" w:hAnsi="Avenir Next" w:cs="Arial"/>
          <w:color w:val="7B7B7B" w:themeColor="accent3" w:themeShade="BF"/>
          <w:sz w:val="22"/>
          <w:szCs w:val="22"/>
          <w:lang w:val="en-GB"/>
        </w:rPr>
        <w:t xml:space="preserve">, the concept of establishment was </w:t>
      </w:r>
      <w:r w:rsidR="004F36E5">
        <w:rPr>
          <w:rFonts w:ascii="Avenir Next" w:hAnsi="Avenir Next" w:cs="Arial"/>
          <w:color w:val="7B7B7B" w:themeColor="accent3" w:themeShade="BF"/>
          <w:sz w:val="22"/>
          <w:szCs w:val="22"/>
          <w:lang w:val="en-GB"/>
        </w:rPr>
        <w:t xml:space="preserve">thoroughly </w:t>
      </w:r>
      <w:r w:rsidR="005C2962">
        <w:rPr>
          <w:rFonts w:ascii="Avenir Next" w:hAnsi="Avenir Next" w:cs="Arial"/>
          <w:color w:val="7B7B7B" w:themeColor="accent3" w:themeShade="BF"/>
          <w:sz w:val="22"/>
          <w:szCs w:val="22"/>
          <w:lang w:val="en-GB"/>
        </w:rPr>
        <w:t xml:space="preserve">observed and assessed by the </w:t>
      </w:r>
      <w:r w:rsidR="003C6597">
        <w:rPr>
          <w:rFonts w:ascii="Avenir Next" w:hAnsi="Avenir Next" w:cs="Arial"/>
          <w:color w:val="7B7B7B" w:themeColor="accent3" w:themeShade="BF"/>
          <w:sz w:val="22"/>
          <w:szCs w:val="22"/>
          <w:lang w:val="en-GB"/>
        </w:rPr>
        <w:t>court</w:t>
      </w:r>
      <w:r w:rsidR="009A7098">
        <w:rPr>
          <w:rFonts w:ascii="Avenir Next" w:hAnsi="Avenir Next" w:cs="Arial"/>
          <w:color w:val="7B7B7B" w:themeColor="accent3" w:themeShade="BF"/>
          <w:sz w:val="22"/>
          <w:szCs w:val="22"/>
          <w:lang w:val="en-GB"/>
        </w:rPr>
        <w:t xml:space="preserve">. The CJEU </w:t>
      </w:r>
      <w:r w:rsidR="005C2962">
        <w:rPr>
          <w:rFonts w:ascii="Avenir Next" w:hAnsi="Avenir Next" w:cs="Arial"/>
          <w:color w:val="7B7B7B" w:themeColor="accent3" w:themeShade="BF"/>
          <w:sz w:val="22"/>
          <w:szCs w:val="22"/>
          <w:lang w:val="en-GB"/>
        </w:rPr>
        <w:t>stated that this concept is linked to the existence of human resour</w:t>
      </w:r>
      <w:r w:rsidR="009A7098">
        <w:rPr>
          <w:rFonts w:ascii="Avenir Next" w:hAnsi="Avenir Next" w:cs="Arial"/>
          <w:color w:val="7B7B7B" w:themeColor="accent3" w:themeShade="BF"/>
          <w:sz w:val="22"/>
          <w:szCs w:val="22"/>
          <w:lang w:val="en-GB"/>
        </w:rPr>
        <w:t>ces</w:t>
      </w:r>
      <w:r w:rsidR="00AC2589">
        <w:rPr>
          <w:rFonts w:ascii="Avenir Next" w:hAnsi="Avenir Next" w:cs="Arial"/>
          <w:color w:val="7B7B7B" w:themeColor="accent3" w:themeShade="BF"/>
          <w:sz w:val="22"/>
          <w:szCs w:val="22"/>
          <w:lang w:val="en-GB"/>
        </w:rPr>
        <w:t xml:space="preserve"> and a certain level of organization and stability. Therefore, the mere existen</w:t>
      </w:r>
      <w:r w:rsidR="00184D8B">
        <w:rPr>
          <w:rFonts w:ascii="Avenir Next" w:hAnsi="Avenir Next" w:cs="Arial"/>
          <w:color w:val="7B7B7B" w:themeColor="accent3" w:themeShade="BF"/>
          <w:sz w:val="22"/>
          <w:szCs w:val="22"/>
          <w:lang w:val="en-GB"/>
        </w:rPr>
        <w:t>c</w:t>
      </w:r>
      <w:r w:rsidR="00AC2589">
        <w:rPr>
          <w:rFonts w:ascii="Avenir Next" w:hAnsi="Avenir Next" w:cs="Arial"/>
          <w:color w:val="7B7B7B" w:themeColor="accent3" w:themeShade="BF"/>
          <w:sz w:val="22"/>
          <w:szCs w:val="22"/>
          <w:lang w:val="en-GB"/>
        </w:rPr>
        <w:t xml:space="preserve">e of bank accounts or goods without </w:t>
      </w:r>
      <w:r w:rsidR="00184D8B">
        <w:rPr>
          <w:rFonts w:ascii="Avenir Next" w:hAnsi="Avenir Next" w:cs="Arial"/>
          <w:color w:val="7B7B7B" w:themeColor="accent3" w:themeShade="BF"/>
          <w:sz w:val="22"/>
          <w:szCs w:val="22"/>
          <w:lang w:val="en-GB"/>
        </w:rPr>
        <w:t>a</w:t>
      </w:r>
      <w:r w:rsidR="00AC2589">
        <w:rPr>
          <w:rFonts w:ascii="Avenir Next" w:hAnsi="Avenir Next" w:cs="Arial"/>
          <w:color w:val="7B7B7B" w:themeColor="accent3" w:themeShade="BF"/>
          <w:sz w:val="22"/>
          <w:szCs w:val="22"/>
          <w:lang w:val="en-GB"/>
        </w:rPr>
        <w:t>ny organizational or human element does not justify the determination of the proceeding as being opened in a location where the debtor has an establishmen</w:t>
      </w:r>
      <w:r w:rsidR="00782D76">
        <w:rPr>
          <w:rFonts w:ascii="Avenir Next" w:hAnsi="Avenir Next" w:cs="Arial"/>
          <w:color w:val="7B7B7B" w:themeColor="accent3" w:themeShade="BF"/>
          <w:sz w:val="22"/>
          <w:szCs w:val="22"/>
          <w:lang w:val="en-GB"/>
        </w:rPr>
        <w:t>t.</w:t>
      </w:r>
      <w:r w:rsidR="003A10BC">
        <w:rPr>
          <w:rFonts w:ascii="Avenir Next" w:hAnsi="Avenir Next" w:cs="Arial"/>
          <w:color w:val="7B7B7B" w:themeColor="accent3" w:themeShade="BF"/>
          <w:sz w:val="22"/>
          <w:szCs w:val="22"/>
          <w:lang w:val="en-GB"/>
        </w:rPr>
        <w:t xml:space="preserve"> </w:t>
      </w:r>
      <w:r w:rsidR="00D61C44">
        <w:rPr>
          <w:rFonts w:ascii="Avenir Next" w:hAnsi="Avenir Next" w:cs="Arial"/>
          <w:color w:val="7B7B7B" w:themeColor="accent3" w:themeShade="BF"/>
          <w:sz w:val="22"/>
          <w:szCs w:val="22"/>
          <w:lang w:val="en-GB"/>
        </w:rPr>
        <w:t xml:space="preserve">The ascertainability </w:t>
      </w:r>
      <w:r w:rsidR="007468A9">
        <w:rPr>
          <w:rFonts w:ascii="Avenir Next" w:hAnsi="Avenir Next" w:cs="Arial"/>
          <w:color w:val="7B7B7B" w:themeColor="accent3" w:themeShade="BF"/>
          <w:sz w:val="22"/>
          <w:szCs w:val="22"/>
          <w:lang w:val="en-GB"/>
        </w:rPr>
        <w:t>factor should</w:t>
      </w:r>
      <w:r w:rsidR="00D61C44">
        <w:rPr>
          <w:rFonts w:ascii="Avenir Next" w:hAnsi="Avenir Next" w:cs="Arial"/>
          <w:color w:val="7B7B7B" w:themeColor="accent3" w:themeShade="BF"/>
          <w:sz w:val="22"/>
          <w:szCs w:val="22"/>
          <w:lang w:val="en-GB"/>
        </w:rPr>
        <w:t xml:space="preserve"> be considered for the determination of the debtor’s “establishment”.</w:t>
      </w:r>
      <w:r w:rsidR="00AC2589">
        <w:rPr>
          <w:rFonts w:ascii="Avenir Next" w:hAnsi="Avenir Next" w:cs="Arial"/>
          <w:color w:val="7B7B7B" w:themeColor="accent3" w:themeShade="BF"/>
          <w:sz w:val="22"/>
          <w:szCs w:val="22"/>
          <w:lang w:val="en-GB"/>
        </w:rPr>
        <w:t xml:space="preserve"> </w:t>
      </w:r>
      <w:r w:rsidR="00A34AB9">
        <w:rPr>
          <w:rFonts w:ascii="Avenir Next" w:hAnsi="Avenir Next" w:cs="Arial"/>
          <w:color w:val="7B7B7B" w:themeColor="accent3" w:themeShade="BF"/>
          <w:sz w:val="22"/>
          <w:szCs w:val="22"/>
          <w:lang w:val="en-GB"/>
        </w:rPr>
        <w:t>Foreseeability and legal certainty are primary elements to be</w:t>
      </w:r>
      <w:r w:rsidR="00451260">
        <w:rPr>
          <w:rFonts w:ascii="Avenir Next" w:hAnsi="Avenir Next" w:cs="Arial"/>
          <w:color w:val="7B7B7B" w:themeColor="accent3" w:themeShade="BF"/>
          <w:sz w:val="22"/>
          <w:szCs w:val="22"/>
          <w:lang w:val="en-GB"/>
        </w:rPr>
        <w:t xml:space="preserve"> also</w:t>
      </w:r>
      <w:r w:rsidR="00A34AB9">
        <w:rPr>
          <w:rFonts w:ascii="Avenir Next" w:hAnsi="Avenir Next" w:cs="Arial"/>
          <w:color w:val="7B7B7B" w:themeColor="accent3" w:themeShade="BF"/>
          <w:sz w:val="22"/>
          <w:szCs w:val="22"/>
          <w:lang w:val="en-GB"/>
        </w:rPr>
        <w:t xml:space="preserve"> taken into consideration in this </w:t>
      </w:r>
      <w:r w:rsidR="00451260">
        <w:rPr>
          <w:rFonts w:ascii="Avenir Next" w:hAnsi="Avenir Next" w:cs="Arial"/>
          <w:color w:val="7B7B7B" w:themeColor="accent3" w:themeShade="BF"/>
          <w:sz w:val="22"/>
          <w:szCs w:val="22"/>
          <w:lang w:val="en-GB"/>
        </w:rPr>
        <w:t>regard</w:t>
      </w:r>
      <w:r w:rsidR="001A2360">
        <w:rPr>
          <w:rFonts w:ascii="Avenir Next" w:hAnsi="Avenir Next" w:cs="Arial"/>
          <w:color w:val="7B7B7B" w:themeColor="accent3" w:themeShade="BF"/>
          <w:sz w:val="22"/>
          <w:szCs w:val="22"/>
          <w:lang w:val="en-GB"/>
        </w:rPr>
        <w:t xml:space="preserve">. </w:t>
      </w:r>
      <w:r w:rsidR="00247C38">
        <w:rPr>
          <w:rFonts w:ascii="Avenir Next" w:hAnsi="Avenir Next" w:cs="Arial"/>
          <w:color w:val="7B7B7B" w:themeColor="accent3" w:themeShade="BF"/>
          <w:sz w:val="22"/>
          <w:szCs w:val="22"/>
          <w:lang w:val="en-GB"/>
        </w:rPr>
        <w:t xml:space="preserve">What’s more, </w:t>
      </w:r>
      <w:r w:rsidR="00C43875">
        <w:rPr>
          <w:rFonts w:ascii="Avenir Next" w:hAnsi="Avenir Next" w:cs="Arial"/>
          <w:color w:val="7B7B7B" w:themeColor="accent3" w:themeShade="BF"/>
          <w:sz w:val="22"/>
          <w:szCs w:val="22"/>
          <w:lang w:val="en-GB"/>
        </w:rPr>
        <w:t xml:space="preserve">within </w:t>
      </w:r>
      <w:r w:rsidR="00247C38">
        <w:rPr>
          <w:rFonts w:ascii="Avenir Next" w:hAnsi="Avenir Next" w:cs="Arial"/>
          <w:color w:val="7B7B7B" w:themeColor="accent3" w:themeShade="BF"/>
          <w:sz w:val="22"/>
          <w:szCs w:val="22"/>
          <w:lang w:val="en-GB"/>
        </w:rPr>
        <w:t xml:space="preserve">the EIR Recast </w:t>
      </w:r>
      <w:r w:rsidR="00C43875">
        <w:rPr>
          <w:rFonts w:ascii="Avenir Next" w:hAnsi="Avenir Next" w:cs="Arial"/>
          <w:color w:val="7B7B7B" w:themeColor="accent3" w:themeShade="BF"/>
          <w:sz w:val="22"/>
          <w:szCs w:val="22"/>
          <w:lang w:val="en-GB"/>
        </w:rPr>
        <w:t>there is no require</w:t>
      </w:r>
      <w:r w:rsidR="0014271D">
        <w:rPr>
          <w:rFonts w:ascii="Avenir Next" w:hAnsi="Avenir Next" w:cs="Arial"/>
          <w:color w:val="7B7B7B" w:themeColor="accent3" w:themeShade="BF"/>
          <w:sz w:val="22"/>
          <w:szCs w:val="22"/>
          <w:lang w:val="en-GB"/>
        </w:rPr>
        <w:t xml:space="preserve">ment for the establishment to comply with any corporate form. The perspectives </w:t>
      </w:r>
      <w:r w:rsidR="00CD358D">
        <w:rPr>
          <w:rFonts w:ascii="Avenir Next" w:hAnsi="Avenir Next" w:cs="Arial"/>
          <w:color w:val="7B7B7B" w:themeColor="accent3" w:themeShade="BF"/>
          <w:sz w:val="22"/>
          <w:szCs w:val="22"/>
          <w:lang w:val="en-GB"/>
        </w:rPr>
        <w:t xml:space="preserve">previously </w:t>
      </w:r>
      <w:r w:rsidR="0014271D">
        <w:rPr>
          <w:rFonts w:ascii="Avenir Next" w:hAnsi="Avenir Next" w:cs="Arial"/>
          <w:color w:val="7B7B7B" w:themeColor="accent3" w:themeShade="BF"/>
          <w:sz w:val="22"/>
          <w:szCs w:val="22"/>
          <w:lang w:val="en-GB"/>
        </w:rPr>
        <w:t>laid down suffice.</w:t>
      </w:r>
    </w:p>
    <w:p w14:paraId="0307C6BB" w14:textId="77777777" w:rsidR="007A466F" w:rsidRDefault="007A466F" w:rsidP="00454C3E">
      <w:pPr>
        <w:jc w:val="both"/>
        <w:rPr>
          <w:rFonts w:ascii="Avenir Next" w:hAnsi="Avenir Next" w:cs="Arial"/>
          <w:color w:val="7B7B7B" w:themeColor="accent3" w:themeShade="BF"/>
          <w:sz w:val="22"/>
          <w:szCs w:val="22"/>
          <w:lang w:val="en-GB"/>
        </w:rPr>
      </w:pPr>
    </w:p>
    <w:p w14:paraId="49B53810" w14:textId="57C034E2" w:rsidR="004C1152" w:rsidRDefault="007A466F" w:rsidP="00454C3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case at hand, a w</w:t>
      </w:r>
      <w:r w:rsidR="00454C3E">
        <w:rPr>
          <w:rFonts w:ascii="Avenir Next" w:hAnsi="Avenir Next" w:cs="Arial"/>
          <w:color w:val="7B7B7B" w:themeColor="accent3" w:themeShade="BF"/>
          <w:sz w:val="22"/>
          <w:szCs w:val="22"/>
          <w:lang w:val="en-GB"/>
        </w:rPr>
        <w:t xml:space="preserve">arehouse </w:t>
      </w:r>
      <w:r w:rsidR="005675EE">
        <w:rPr>
          <w:rFonts w:ascii="Avenir Next" w:hAnsi="Avenir Next" w:cs="Arial"/>
          <w:color w:val="7B7B7B" w:themeColor="accent3" w:themeShade="BF"/>
          <w:sz w:val="22"/>
          <w:szCs w:val="22"/>
          <w:lang w:val="en-GB"/>
        </w:rPr>
        <w:t xml:space="preserve">is </w:t>
      </w:r>
      <w:r>
        <w:rPr>
          <w:rFonts w:ascii="Avenir Next" w:hAnsi="Avenir Next" w:cs="Arial"/>
          <w:color w:val="7B7B7B" w:themeColor="accent3" w:themeShade="BF"/>
          <w:sz w:val="22"/>
          <w:szCs w:val="22"/>
          <w:lang w:val="en-GB"/>
        </w:rPr>
        <w:t xml:space="preserve">situated </w:t>
      </w:r>
      <w:r w:rsidR="00454C3E">
        <w:rPr>
          <w:rFonts w:ascii="Avenir Next" w:hAnsi="Avenir Next" w:cs="Arial"/>
          <w:color w:val="7B7B7B" w:themeColor="accent3" w:themeShade="BF"/>
          <w:sz w:val="22"/>
          <w:szCs w:val="22"/>
          <w:lang w:val="en-GB"/>
        </w:rPr>
        <w:t xml:space="preserve">in Italy </w:t>
      </w:r>
      <w:r w:rsidR="005675EE">
        <w:rPr>
          <w:rFonts w:ascii="Avenir Next" w:hAnsi="Avenir Next" w:cs="Arial"/>
          <w:color w:val="7B7B7B" w:themeColor="accent3" w:themeShade="BF"/>
          <w:sz w:val="22"/>
          <w:szCs w:val="22"/>
          <w:lang w:val="en-GB"/>
        </w:rPr>
        <w:t>and Bella SARL has employees</w:t>
      </w:r>
      <w:r w:rsidR="00CD358D">
        <w:rPr>
          <w:rFonts w:ascii="Avenir Next" w:hAnsi="Avenir Next" w:cs="Arial"/>
          <w:color w:val="7B7B7B" w:themeColor="accent3" w:themeShade="BF"/>
          <w:sz w:val="22"/>
          <w:szCs w:val="22"/>
          <w:lang w:val="en-GB"/>
        </w:rPr>
        <w:t xml:space="preserve"> and customers</w:t>
      </w:r>
      <w:r w:rsidR="005675EE">
        <w:rPr>
          <w:rFonts w:ascii="Avenir Next" w:hAnsi="Avenir Next" w:cs="Arial"/>
          <w:color w:val="7B7B7B" w:themeColor="accent3" w:themeShade="BF"/>
          <w:sz w:val="22"/>
          <w:szCs w:val="22"/>
          <w:lang w:val="en-GB"/>
        </w:rPr>
        <w:t xml:space="preserve"> in France, Germany, Ireland, Spain, Portugal as well as Ital</w:t>
      </w:r>
      <w:r w:rsidR="000D402A">
        <w:rPr>
          <w:rFonts w:ascii="Avenir Next" w:hAnsi="Avenir Next" w:cs="Arial"/>
          <w:color w:val="7B7B7B" w:themeColor="accent3" w:themeShade="BF"/>
          <w:sz w:val="22"/>
          <w:szCs w:val="22"/>
          <w:lang w:val="en-GB"/>
        </w:rPr>
        <w:t>y</w:t>
      </w:r>
      <w:r w:rsidR="00CD358D">
        <w:rPr>
          <w:rFonts w:ascii="Avenir Next" w:hAnsi="Avenir Next" w:cs="Arial"/>
          <w:color w:val="7B7B7B" w:themeColor="accent3" w:themeShade="BF"/>
          <w:sz w:val="22"/>
          <w:szCs w:val="22"/>
          <w:lang w:val="en-GB"/>
        </w:rPr>
        <w:t xml:space="preserve">. </w:t>
      </w:r>
      <w:r w:rsidR="00B153B0">
        <w:rPr>
          <w:rFonts w:ascii="Avenir Next" w:hAnsi="Avenir Next" w:cs="Arial"/>
          <w:color w:val="7B7B7B" w:themeColor="accent3" w:themeShade="BF"/>
          <w:sz w:val="22"/>
          <w:szCs w:val="22"/>
          <w:lang w:val="en-GB"/>
        </w:rPr>
        <w:t xml:space="preserve">Concerning </w:t>
      </w:r>
      <w:r w:rsidR="00AD519F">
        <w:rPr>
          <w:rFonts w:ascii="Avenir Next" w:hAnsi="Avenir Next" w:cs="Arial"/>
          <w:color w:val="7B7B7B" w:themeColor="accent3" w:themeShade="BF"/>
          <w:sz w:val="22"/>
          <w:szCs w:val="22"/>
          <w:lang w:val="en-GB"/>
        </w:rPr>
        <w:t>the main components of the concept of establishment, the requirements of an operational, non-transitory and economic activity are fulfilled. The facts of the case give the impression that the warehouses, including the one in Italy, have been opened around 2010</w:t>
      </w:r>
      <w:r w:rsidR="00B86FF7">
        <w:rPr>
          <w:rFonts w:ascii="Avenir Next" w:hAnsi="Avenir Next" w:cs="Arial"/>
          <w:color w:val="7B7B7B" w:themeColor="accent3" w:themeShade="BF"/>
          <w:sz w:val="22"/>
          <w:szCs w:val="22"/>
          <w:lang w:val="en-GB"/>
        </w:rPr>
        <w:t xml:space="preserve">, a consideration </w:t>
      </w:r>
      <w:r w:rsidR="00AD519F">
        <w:rPr>
          <w:rFonts w:ascii="Avenir Next" w:hAnsi="Avenir Next" w:cs="Arial"/>
          <w:color w:val="7B7B7B" w:themeColor="accent3" w:themeShade="BF"/>
          <w:sz w:val="22"/>
          <w:szCs w:val="22"/>
          <w:lang w:val="en-GB"/>
        </w:rPr>
        <w:t xml:space="preserve">that meets the requirement of the relevant time period included in </w:t>
      </w:r>
      <w:r w:rsidR="00B86FF7">
        <w:rPr>
          <w:rFonts w:ascii="Avenir Next" w:hAnsi="Avenir Next" w:cs="Arial"/>
          <w:color w:val="7B7B7B" w:themeColor="accent3" w:themeShade="BF"/>
          <w:sz w:val="22"/>
          <w:szCs w:val="22"/>
          <w:lang w:val="en-GB"/>
        </w:rPr>
        <w:t>Article 2(10).</w:t>
      </w:r>
      <w:r w:rsidR="00CB3B3A">
        <w:rPr>
          <w:rFonts w:ascii="Avenir Next" w:hAnsi="Avenir Next" w:cs="Arial"/>
          <w:color w:val="7B7B7B" w:themeColor="accent3" w:themeShade="BF"/>
          <w:sz w:val="22"/>
          <w:szCs w:val="22"/>
          <w:lang w:val="en-GB"/>
        </w:rPr>
        <w:t xml:space="preserve"> H</w:t>
      </w:r>
      <w:r w:rsidR="00EA3FF8">
        <w:rPr>
          <w:rFonts w:ascii="Avenir Next" w:hAnsi="Avenir Next" w:cs="Arial"/>
          <w:color w:val="7B7B7B" w:themeColor="accent3" w:themeShade="BF"/>
          <w:sz w:val="22"/>
          <w:szCs w:val="22"/>
          <w:lang w:val="en-GB"/>
        </w:rPr>
        <w:t xml:space="preserve">uman means and assets are also </w:t>
      </w:r>
      <w:r w:rsidR="00B153B0">
        <w:rPr>
          <w:rFonts w:ascii="Avenir Next" w:hAnsi="Avenir Next" w:cs="Arial"/>
          <w:color w:val="7B7B7B" w:themeColor="accent3" w:themeShade="BF"/>
          <w:sz w:val="22"/>
          <w:szCs w:val="22"/>
          <w:lang w:val="en-GB"/>
        </w:rPr>
        <w:t>present</w:t>
      </w:r>
      <w:r w:rsidR="00EA3FF8">
        <w:rPr>
          <w:rFonts w:ascii="Avenir Next" w:hAnsi="Avenir Next" w:cs="Arial"/>
          <w:color w:val="7B7B7B" w:themeColor="accent3" w:themeShade="BF"/>
          <w:sz w:val="22"/>
          <w:szCs w:val="22"/>
          <w:lang w:val="en-GB"/>
        </w:rPr>
        <w:t xml:space="preserve"> in the case at </w:t>
      </w:r>
      <w:r w:rsidR="00B153B0">
        <w:rPr>
          <w:rFonts w:ascii="Avenir Next" w:hAnsi="Avenir Next" w:cs="Arial"/>
          <w:color w:val="7B7B7B" w:themeColor="accent3" w:themeShade="BF"/>
          <w:sz w:val="22"/>
          <w:szCs w:val="22"/>
          <w:lang w:val="en-GB"/>
        </w:rPr>
        <w:t>issue</w:t>
      </w:r>
      <w:r w:rsidR="00EA3FF8">
        <w:rPr>
          <w:rFonts w:ascii="Avenir Next" w:hAnsi="Avenir Next" w:cs="Arial"/>
          <w:color w:val="7B7B7B" w:themeColor="accent3" w:themeShade="BF"/>
          <w:sz w:val="22"/>
          <w:szCs w:val="22"/>
          <w:lang w:val="en-GB"/>
        </w:rPr>
        <w:t xml:space="preserve"> because of the existence</w:t>
      </w:r>
      <w:r w:rsidR="0083216B">
        <w:rPr>
          <w:rFonts w:ascii="Avenir Next" w:hAnsi="Avenir Next" w:cs="Arial"/>
          <w:color w:val="7B7B7B" w:themeColor="accent3" w:themeShade="BF"/>
          <w:sz w:val="22"/>
          <w:szCs w:val="22"/>
          <w:lang w:val="en-GB"/>
        </w:rPr>
        <w:t xml:space="preserve"> of employees</w:t>
      </w:r>
      <w:r w:rsidR="00816BB5">
        <w:rPr>
          <w:rFonts w:ascii="Avenir Next" w:hAnsi="Avenir Next" w:cs="Arial"/>
          <w:color w:val="7B7B7B" w:themeColor="accent3" w:themeShade="BF"/>
          <w:sz w:val="22"/>
          <w:szCs w:val="22"/>
          <w:lang w:val="en-GB"/>
        </w:rPr>
        <w:t>, on the one hand,</w:t>
      </w:r>
      <w:r w:rsidR="0083216B">
        <w:rPr>
          <w:rFonts w:ascii="Avenir Next" w:hAnsi="Avenir Next" w:cs="Arial"/>
          <w:color w:val="7B7B7B" w:themeColor="accent3" w:themeShade="BF"/>
          <w:sz w:val="22"/>
          <w:szCs w:val="22"/>
          <w:lang w:val="en-GB"/>
        </w:rPr>
        <w:t xml:space="preserve"> and </w:t>
      </w:r>
      <w:r w:rsidR="00CB3B3A">
        <w:rPr>
          <w:rFonts w:ascii="Avenir Next" w:hAnsi="Avenir Next" w:cs="Arial"/>
          <w:color w:val="7B7B7B" w:themeColor="accent3" w:themeShade="BF"/>
          <w:sz w:val="22"/>
          <w:szCs w:val="22"/>
          <w:lang w:val="en-GB"/>
        </w:rPr>
        <w:t>because of</w:t>
      </w:r>
      <w:r w:rsidR="00816BB5">
        <w:rPr>
          <w:rFonts w:ascii="Avenir Next" w:hAnsi="Avenir Next" w:cs="Arial"/>
          <w:color w:val="7B7B7B" w:themeColor="accent3" w:themeShade="BF"/>
          <w:sz w:val="22"/>
          <w:szCs w:val="22"/>
          <w:lang w:val="en-GB"/>
        </w:rPr>
        <w:t xml:space="preserve"> the presence of a “warehouse” in Italy</w:t>
      </w:r>
      <w:r w:rsidR="007A4035">
        <w:rPr>
          <w:rFonts w:ascii="Avenir Next" w:hAnsi="Avenir Next" w:cs="Arial"/>
          <w:color w:val="7B7B7B" w:themeColor="accent3" w:themeShade="BF"/>
          <w:sz w:val="22"/>
          <w:szCs w:val="22"/>
          <w:lang w:val="en-GB"/>
        </w:rPr>
        <w:t>,</w:t>
      </w:r>
      <w:r w:rsidR="00816BB5">
        <w:rPr>
          <w:rFonts w:ascii="Avenir Next" w:hAnsi="Avenir Next" w:cs="Arial"/>
          <w:color w:val="7B7B7B" w:themeColor="accent3" w:themeShade="BF"/>
          <w:sz w:val="22"/>
          <w:szCs w:val="22"/>
          <w:lang w:val="en-GB"/>
        </w:rPr>
        <w:t xml:space="preserve"> </w:t>
      </w:r>
      <w:r w:rsidR="007A4035">
        <w:rPr>
          <w:rFonts w:ascii="Avenir Next" w:hAnsi="Avenir Next" w:cs="Arial"/>
          <w:color w:val="7B7B7B" w:themeColor="accent3" w:themeShade="BF"/>
          <w:sz w:val="22"/>
          <w:szCs w:val="22"/>
          <w:lang w:val="en-GB"/>
        </w:rPr>
        <w:t>on the other hand</w:t>
      </w:r>
      <w:r w:rsidR="007A4035">
        <w:rPr>
          <w:rFonts w:ascii="Avenir Next" w:hAnsi="Avenir Next" w:cs="Arial"/>
          <w:color w:val="7B7B7B" w:themeColor="accent3" w:themeShade="BF"/>
          <w:sz w:val="22"/>
          <w:szCs w:val="22"/>
          <w:lang w:val="en-GB"/>
        </w:rPr>
        <w:t xml:space="preserve">, </w:t>
      </w:r>
      <w:r w:rsidR="00816BB5">
        <w:rPr>
          <w:rFonts w:ascii="Avenir Next" w:hAnsi="Avenir Next" w:cs="Arial"/>
          <w:color w:val="7B7B7B" w:themeColor="accent3" w:themeShade="BF"/>
          <w:sz w:val="22"/>
          <w:szCs w:val="22"/>
          <w:lang w:val="en-GB"/>
        </w:rPr>
        <w:t xml:space="preserve">which is intended to store materials and goods. </w:t>
      </w:r>
      <w:r w:rsidR="00F12813">
        <w:rPr>
          <w:rFonts w:ascii="Avenir Next" w:hAnsi="Avenir Next" w:cs="Arial"/>
          <w:color w:val="7B7B7B" w:themeColor="accent3" w:themeShade="BF"/>
          <w:sz w:val="22"/>
          <w:szCs w:val="22"/>
          <w:lang w:val="en-GB"/>
        </w:rPr>
        <w:t xml:space="preserve">A certain degree of stability </w:t>
      </w:r>
      <w:r w:rsidR="00F12813">
        <w:rPr>
          <w:rFonts w:ascii="Avenir Next" w:hAnsi="Avenir Next" w:cs="Arial"/>
          <w:color w:val="7B7B7B" w:themeColor="accent3" w:themeShade="BF"/>
          <w:sz w:val="22"/>
          <w:szCs w:val="22"/>
          <w:lang w:val="en-GB"/>
        </w:rPr>
        <w:lastRenderedPageBreak/>
        <w:t xml:space="preserve">and organization can be identified from the presence of customers and employees linked to </w:t>
      </w:r>
      <w:r w:rsidR="00B153B0">
        <w:rPr>
          <w:rFonts w:ascii="Avenir Next" w:hAnsi="Avenir Next" w:cs="Arial"/>
          <w:color w:val="7B7B7B" w:themeColor="accent3" w:themeShade="BF"/>
          <w:sz w:val="22"/>
          <w:szCs w:val="22"/>
          <w:lang w:val="en-GB"/>
        </w:rPr>
        <w:t>that country</w:t>
      </w:r>
      <w:r w:rsidR="00F12813">
        <w:rPr>
          <w:rFonts w:ascii="Avenir Next" w:hAnsi="Avenir Next" w:cs="Arial"/>
          <w:color w:val="7B7B7B" w:themeColor="accent3" w:themeShade="BF"/>
          <w:sz w:val="22"/>
          <w:szCs w:val="22"/>
          <w:lang w:val="en-GB"/>
        </w:rPr>
        <w:t>.</w:t>
      </w:r>
      <w:r w:rsidR="001561D0">
        <w:rPr>
          <w:rFonts w:ascii="Avenir Next" w:hAnsi="Avenir Next" w:cs="Arial"/>
          <w:color w:val="7B7B7B" w:themeColor="accent3" w:themeShade="BF"/>
          <w:sz w:val="22"/>
          <w:szCs w:val="22"/>
          <w:lang w:val="en-GB"/>
        </w:rPr>
        <w:t xml:space="preserve"> How the activity is perceived by third parties, i.e. the concept of ascer</w:t>
      </w:r>
      <w:r w:rsidR="00161B31">
        <w:rPr>
          <w:rFonts w:ascii="Avenir Next" w:hAnsi="Avenir Next" w:cs="Arial"/>
          <w:color w:val="7B7B7B" w:themeColor="accent3" w:themeShade="BF"/>
          <w:sz w:val="22"/>
          <w:szCs w:val="22"/>
          <w:lang w:val="en-GB"/>
        </w:rPr>
        <w:t>t</w:t>
      </w:r>
      <w:r w:rsidR="001561D0">
        <w:rPr>
          <w:rFonts w:ascii="Avenir Next" w:hAnsi="Avenir Next" w:cs="Arial"/>
          <w:color w:val="7B7B7B" w:themeColor="accent3" w:themeShade="BF"/>
          <w:sz w:val="22"/>
          <w:szCs w:val="22"/>
          <w:lang w:val="en-GB"/>
        </w:rPr>
        <w:t xml:space="preserve">ainability, is also fulfilled in the present context </w:t>
      </w:r>
      <w:r w:rsidR="00533AB3">
        <w:rPr>
          <w:rFonts w:ascii="Avenir Next" w:hAnsi="Avenir Next" w:cs="Arial"/>
          <w:color w:val="7B7B7B" w:themeColor="accent3" w:themeShade="BF"/>
          <w:sz w:val="22"/>
          <w:szCs w:val="22"/>
          <w:lang w:val="en-GB"/>
        </w:rPr>
        <w:t>due to</w:t>
      </w:r>
      <w:r w:rsidR="001561D0">
        <w:rPr>
          <w:rFonts w:ascii="Avenir Next" w:hAnsi="Avenir Next" w:cs="Arial"/>
          <w:color w:val="7B7B7B" w:themeColor="accent3" w:themeShade="BF"/>
          <w:sz w:val="22"/>
          <w:szCs w:val="22"/>
          <w:lang w:val="en-GB"/>
        </w:rPr>
        <w:t xml:space="preserve"> the presence of customers in the location of th</w:t>
      </w:r>
      <w:r w:rsidR="007969FA">
        <w:rPr>
          <w:rFonts w:ascii="Avenir Next" w:hAnsi="Avenir Next" w:cs="Arial"/>
          <w:color w:val="7B7B7B" w:themeColor="accent3" w:themeShade="BF"/>
          <w:sz w:val="22"/>
          <w:szCs w:val="22"/>
          <w:lang w:val="en-GB"/>
        </w:rPr>
        <w:t>at</w:t>
      </w:r>
      <w:r w:rsidR="001561D0">
        <w:rPr>
          <w:rFonts w:ascii="Avenir Next" w:hAnsi="Avenir Next" w:cs="Arial"/>
          <w:color w:val="7B7B7B" w:themeColor="accent3" w:themeShade="BF"/>
          <w:sz w:val="22"/>
          <w:szCs w:val="22"/>
          <w:lang w:val="en-GB"/>
        </w:rPr>
        <w:t xml:space="preserve"> warehouse</w:t>
      </w:r>
      <w:r w:rsidR="00A40090">
        <w:rPr>
          <w:rFonts w:ascii="Avenir Next" w:hAnsi="Avenir Next" w:cs="Arial"/>
          <w:color w:val="7B7B7B" w:themeColor="accent3" w:themeShade="BF"/>
          <w:sz w:val="22"/>
          <w:szCs w:val="22"/>
          <w:lang w:val="en-GB"/>
        </w:rPr>
        <w:t>. Therefore</w:t>
      </w:r>
      <w:r w:rsidR="00A0480B">
        <w:rPr>
          <w:rFonts w:ascii="Avenir Next" w:hAnsi="Avenir Next" w:cs="Arial"/>
          <w:color w:val="7B7B7B" w:themeColor="accent3" w:themeShade="BF"/>
          <w:sz w:val="22"/>
          <w:szCs w:val="22"/>
          <w:lang w:val="en-GB"/>
        </w:rPr>
        <w:t>, t</w:t>
      </w:r>
      <w:r w:rsidR="005675EE">
        <w:rPr>
          <w:rFonts w:ascii="Avenir Next" w:hAnsi="Avenir Next" w:cs="Arial"/>
          <w:color w:val="7B7B7B" w:themeColor="accent3" w:themeShade="BF"/>
          <w:sz w:val="22"/>
          <w:szCs w:val="22"/>
          <w:lang w:val="en-GB"/>
        </w:rPr>
        <w:t xml:space="preserve">he warehouse located in Italy </w:t>
      </w:r>
      <w:r w:rsidR="00454C3E">
        <w:rPr>
          <w:rFonts w:ascii="Avenir Next" w:hAnsi="Avenir Next" w:cs="Arial"/>
          <w:color w:val="7B7B7B" w:themeColor="accent3" w:themeShade="BF"/>
          <w:sz w:val="22"/>
          <w:szCs w:val="22"/>
          <w:lang w:val="en-GB"/>
        </w:rPr>
        <w:t xml:space="preserve">can </w:t>
      </w:r>
      <w:r>
        <w:rPr>
          <w:rFonts w:ascii="Avenir Next" w:hAnsi="Avenir Next" w:cs="Arial"/>
          <w:color w:val="7B7B7B" w:themeColor="accent3" w:themeShade="BF"/>
          <w:sz w:val="22"/>
          <w:szCs w:val="22"/>
          <w:lang w:val="en-GB"/>
        </w:rPr>
        <w:t>be considered an establishment in the context of the EIR Recast and can</w:t>
      </w:r>
      <w:r w:rsidR="00B262A6">
        <w:rPr>
          <w:rFonts w:ascii="Avenir Next" w:hAnsi="Avenir Next" w:cs="Arial"/>
          <w:color w:val="7B7B7B" w:themeColor="accent3" w:themeShade="BF"/>
          <w:sz w:val="22"/>
          <w:szCs w:val="22"/>
          <w:lang w:val="en-GB"/>
        </w:rPr>
        <w:t xml:space="preserve"> thus</w:t>
      </w:r>
      <w:r>
        <w:rPr>
          <w:rFonts w:ascii="Avenir Next" w:hAnsi="Avenir Next" w:cs="Arial"/>
          <w:color w:val="7B7B7B" w:themeColor="accent3" w:themeShade="BF"/>
          <w:sz w:val="22"/>
          <w:szCs w:val="22"/>
          <w:lang w:val="en-GB"/>
        </w:rPr>
        <w:t xml:space="preserve"> </w:t>
      </w:r>
      <w:r w:rsidR="00454C3E">
        <w:rPr>
          <w:rFonts w:ascii="Avenir Next" w:hAnsi="Avenir Next" w:cs="Arial"/>
          <w:color w:val="7B7B7B" w:themeColor="accent3" w:themeShade="BF"/>
          <w:sz w:val="22"/>
          <w:szCs w:val="22"/>
          <w:lang w:val="en-GB"/>
        </w:rPr>
        <w:t>justify the opening of secondary proceedin</w:t>
      </w:r>
      <w:r w:rsidR="009749B8">
        <w:rPr>
          <w:rFonts w:ascii="Avenir Next" w:hAnsi="Avenir Next" w:cs="Arial"/>
          <w:color w:val="7B7B7B" w:themeColor="accent3" w:themeShade="BF"/>
          <w:sz w:val="22"/>
          <w:szCs w:val="22"/>
          <w:lang w:val="en-GB"/>
        </w:rPr>
        <w:t>gs</w:t>
      </w:r>
      <w:r w:rsidR="00A10505">
        <w:rPr>
          <w:rFonts w:ascii="Avenir Next" w:hAnsi="Avenir Next" w:cs="Arial"/>
          <w:color w:val="7B7B7B" w:themeColor="accent3" w:themeShade="BF"/>
          <w:sz w:val="22"/>
          <w:szCs w:val="22"/>
          <w:lang w:val="en-GB"/>
        </w:rPr>
        <w:t>.</w:t>
      </w:r>
    </w:p>
    <w:p w14:paraId="4E6CA282" w14:textId="77777777" w:rsidR="001A0C47" w:rsidRDefault="001A0C47" w:rsidP="00454C3E">
      <w:pPr>
        <w:jc w:val="both"/>
        <w:rPr>
          <w:rFonts w:ascii="Avenir Next" w:hAnsi="Avenir Next" w:cs="Arial"/>
          <w:color w:val="7B7B7B" w:themeColor="accent3" w:themeShade="BF"/>
          <w:sz w:val="22"/>
          <w:szCs w:val="22"/>
          <w:lang w:val="en-GB"/>
        </w:rPr>
      </w:pPr>
    </w:p>
    <w:p w14:paraId="35D8F287" w14:textId="77777777" w:rsidR="0077498C" w:rsidRPr="008E3C96" w:rsidRDefault="0077498C" w:rsidP="002A37BB">
      <w:pPr>
        <w:jc w:val="both"/>
        <w:rPr>
          <w:rFonts w:ascii="Avenir Next" w:hAnsi="Avenir Next"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33C2C" w14:textId="77777777" w:rsidR="00214ECC" w:rsidRDefault="00214ECC" w:rsidP="00241B44">
      <w:r>
        <w:separator/>
      </w:r>
    </w:p>
  </w:endnote>
  <w:endnote w:type="continuationSeparator" w:id="0">
    <w:p w14:paraId="314A54EE" w14:textId="77777777" w:rsidR="00214ECC" w:rsidRDefault="00214EC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Fonts w:ascii="Arial" w:hAnsi="Arial" w:cs="Arial"/>
        <w:b/>
      </w:rPr>
      <w:id w:val="-758512077"/>
      <w:docPartObj>
        <w:docPartGallery w:val="Page Numbers (Bottom of Page)"/>
        <w:docPartUnique/>
      </w:docPartObj>
    </w:sdtPr>
    <w:sdtEndPr>
      <w:rPr>
        <w:rStyle w:val="ab"/>
        <w:b w:val="0"/>
        <w:sz w:val="22"/>
        <w:szCs w:val="22"/>
      </w:rPr>
    </w:sdtEndPr>
    <w:sdtContent>
      <w:p w14:paraId="0AAD6B61" w14:textId="77777777" w:rsidR="00D509A5" w:rsidRPr="00FC7B47" w:rsidRDefault="00D509A5" w:rsidP="009B4976">
        <w:pPr>
          <w:pStyle w:val="aa"/>
          <w:framePr w:wrap="none" w:vAnchor="text" w:hAnchor="margin" w:xAlign="right" w:y="1"/>
          <w:rPr>
            <w:rStyle w:val="ab"/>
            <w:rFonts w:ascii="Arial" w:hAnsi="Arial" w:cs="Arial"/>
            <w:sz w:val="22"/>
            <w:szCs w:val="22"/>
          </w:rPr>
        </w:pPr>
        <w:r w:rsidRPr="00697EA1">
          <w:rPr>
            <w:rStyle w:val="ab"/>
            <w:rFonts w:ascii="Arial" w:hAnsi="Arial" w:cs="Arial"/>
            <w:b/>
          </w:rPr>
          <w:t xml:space="preserve">Page </w:t>
        </w:r>
        <w:r w:rsidRPr="00697EA1">
          <w:rPr>
            <w:rStyle w:val="ab"/>
            <w:rFonts w:ascii="Arial" w:hAnsi="Arial" w:cs="Arial"/>
            <w:b/>
            <w:sz w:val="22"/>
            <w:szCs w:val="22"/>
          </w:rPr>
          <w:fldChar w:fldCharType="begin"/>
        </w:r>
        <w:r w:rsidRPr="00697EA1">
          <w:rPr>
            <w:rStyle w:val="ab"/>
            <w:rFonts w:ascii="Arial" w:hAnsi="Arial" w:cs="Arial"/>
            <w:b/>
            <w:sz w:val="22"/>
            <w:szCs w:val="22"/>
          </w:rPr>
          <w:instrText xml:space="preserve"> PAGE </w:instrText>
        </w:r>
        <w:r w:rsidRPr="00697EA1">
          <w:rPr>
            <w:rStyle w:val="ab"/>
            <w:rFonts w:ascii="Arial" w:hAnsi="Arial" w:cs="Arial"/>
            <w:b/>
            <w:sz w:val="22"/>
            <w:szCs w:val="22"/>
          </w:rPr>
          <w:fldChar w:fldCharType="separate"/>
        </w:r>
        <w:r>
          <w:rPr>
            <w:rStyle w:val="ab"/>
            <w:rFonts w:ascii="Arial" w:hAnsi="Arial" w:cs="Arial"/>
            <w:b/>
            <w:noProof/>
            <w:sz w:val="22"/>
            <w:szCs w:val="22"/>
          </w:rPr>
          <w:t>10</w:t>
        </w:r>
        <w:r w:rsidRPr="00697EA1">
          <w:rPr>
            <w:rStyle w:val="ab"/>
            <w:rFonts w:ascii="Arial" w:hAnsi="Arial" w:cs="Arial"/>
            <w:b/>
            <w:sz w:val="22"/>
            <w:szCs w:val="22"/>
          </w:rPr>
          <w:fldChar w:fldCharType="end"/>
        </w:r>
      </w:p>
    </w:sdtContent>
  </w:sdt>
  <w:p w14:paraId="39FD1B0B" w14:textId="3A981440" w:rsidR="00D509A5" w:rsidRPr="00FC7B47" w:rsidRDefault="00D509A5" w:rsidP="00FC7B47">
    <w:pPr>
      <w:pStyle w:val="aa"/>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Fonts w:ascii="Avenir Next" w:hAnsi="Avenir Next" w:cs="Arial"/>
        <w:sz w:val="22"/>
        <w:szCs w:val="22"/>
      </w:rPr>
      <w:id w:val="-1409602822"/>
      <w:docPartObj>
        <w:docPartGallery w:val="Page Numbers (Bottom of Page)"/>
        <w:docPartUnique/>
      </w:docPartObj>
    </w:sdtPr>
    <w:sdtEndPr>
      <w:rPr>
        <w:rStyle w:val="ab"/>
        <w:rFonts w:ascii="Arial" w:hAnsi="Arial"/>
        <w:sz w:val="18"/>
        <w:szCs w:val="18"/>
      </w:rPr>
    </w:sdtEndPr>
    <w:sdtContent>
      <w:p w14:paraId="0A05F8FD" w14:textId="25250B7C" w:rsidR="00D509A5" w:rsidRPr="009B4976" w:rsidRDefault="00D509A5" w:rsidP="00D509A5">
        <w:pPr>
          <w:pStyle w:val="aa"/>
          <w:framePr w:wrap="none" w:vAnchor="text" w:hAnchor="margin" w:xAlign="right" w:y="1"/>
          <w:rPr>
            <w:rStyle w:val="ab"/>
            <w:rFonts w:ascii="Arial" w:hAnsi="Arial" w:cs="Arial"/>
            <w:sz w:val="18"/>
            <w:szCs w:val="18"/>
          </w:rPr>
        </w:pPr>
        <w:r w:rsidRPr="00E36039">
          <w:rPr>
            <w:rStyle w:val="ab"/>
            <w:rFonts w:ascii="Avenir Next" w:hAnsi="Avenir Next" w:cs="Arial"/>
            <w:sz w:val="22"/>
            <w:szCs w:val="22"/>
          </w:rPr>
          <w:t xml:space="preserve">Page </w:t>
        </w:r>
        <w:r w:rsidRPr="00E36039">
          <w:rPr>
            <w:rStyle w:val="ab"/>
            <w:rFonts w:ascii="Avenir Next" w:hAnsi="Avenir Next" w:cs="Arial"/>
            <w:sz w:val="22"/>
            <w:szCs w:val="22"/>
          </w:rPr>
          <w:fldChar w:fldCharType="begin"/>
        </w:r>
        <w:r w:rsidRPr="00E36039">
          <w:rPr>
            <w:rStyle w:val="ab"/>
            <w:rFonts w:ascii="Avenir Next" w:hAnsi="Avenir Next" w:cs="Arial"/>
            <w:sz w:val="22"/>
            <w:szCs w:val="22"/>
          </w:rPr>
          <w:instrText xml:space="preserve"> PAGE </w:instrText>
        </w:r>
        <w:r w:rsidRPr="00E36039">
          <w:rPr>
            <w:rStyle w:val="ab"/>
            <w:rFonts w:ascii="Avenir Next" w:hAnsi="Avenir Next" w:cs="Arial"/>
            <w:sz w:val="22"/>
            <w:szCs w:val="22"/>
          </w:rPr>
          <w:fldChar w:fldCharType="separate"/>
        </w:r>
        <w:r w:rsidR="00BA543A" w:rsidRPr="00E36039">
          <w:rPr>
            <w:rStyle w:val="ab"/>
            <w:rFonts w:ascii="Avenir Next" w:hAnsi="Avenir Next" w:cs="Arial"/>
            <w:noProof/>
            <w:sz w:val="22"/>
            <w:szCs w:val="22"/>
          </w:rPr>
          <w:t>9</w:t>
        </w:r>
        <w:r w:rsidRPr="00E36039">
          <w:rPr>
            <w:rStyle w:val="ab"/>
            <w:rFonts w:ascii="Avenir Next" w:hAnsi="Avenir Next" w:cs="Arial"/>
            <w:sz w:val="22"/>
            <w:szCs w:val="22"/>
          </w:rPr>
          <w:fldChar w:fldCharType="end"/>
        </w:r>
      </w:p>
    </w:sdtContent>
  </w:sdt>
  <w:p w14:paraId="30F05E79" w14:textId="74081681" w:rsidR="00D509A5" w:rsidRPr="00E36039" w:rsidRDefault="00E12FFE" w:rsidP="009B4976">
    <w:pPr>
      <w:pStyle w:val="aa"/>
      <w:ind w:right="360"/>
      <w:rPr>
        <w:rFonts w:ascii="Avenir Next" w:hAnsi="Avenir Next" w:cs="Arial"/>
        <w:sz w:val="22"/>
        <w:szCs w:val="22"/>
        <w:lang w:val="en-GB"/>
      </w:rPr>
    </w:pPr>
    <w:r>
      <w:rPr>
        <w:rFonts w:ascii="Avenir Next" w:hAnsi="Avenir Next" w:cs="Arial"/>
        <w:sz w:val="22"/>
        <w:szCs w:val="22"/>
        <w:lang w:val="en-GB"/>
      </w:rPr>
      <w:t>202223-936</w:t>
    </w:r>
    <w:r w:rsidR="00D509A5" w:rsidRPr="00E36039">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826BB" w14:textId="77777777" w:rsidR="00214ECC" w:rsidRDefault="00214ECC" w:rsidP="00241B44">
      <w:r>
        <w:separator/>
      </w:r>
    </w:p>
  </w:footnote>
  <w:footnote w:type="continuationSeparator" w:id="0">
    <w:p w14:paraId="1A8ECDC1" w14:textId="77777777" w:rsidR="00214ECC" w:rsidRDefault="00214EC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C2ADC"/>
    <w:multiLevelType w:val="hybridMultilevel"/>
    <w:tmpl w:val="50B0DED2"/>
    <w:lvl w:ilvl="0" w:tplc="0A54745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A52575C"/>
    <w:multiLevelType w:val="hybridMultilevel"/>
    <w:tmpl w:val="8752CCEA"/>
    <w:lvl w:ilvl="0" w:tplc="9BD02B68">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74622226">
    <w:abstractNumId w:val="13"/>
  </w:num>
  <w:num w:numId="2" w16cid:durableId="156002541">
    <w:abstractNumId w:val="22"/>
  </w:num>
  <w:num w:numId="3" w16cid:durableId="178279036">
    <w:abstractNumId w:val="16"/>
  </w:num>
  <w:num w:numId="4" w16cid:durableId="1561133105">
    <w:abstractNumId w:val="28"/>
  </w:num>
  <w:num w:numId="5" w16cid:durableId="394208669">
    <w:abstractNumId w:val="21"/>
  </w:num>
  <w:num w:numId="6" w16cid:durableId="231276634">
    <w:abstractNumId w:val="24"/>
  </w:num>
  <w:num w:numId="7" w16cid:durableId="3632477">
    <w:abstractNumId w:val="6"/>
  </w:num>
  <w:num w:numId="8" w16cid:durableId="1524200013">
    <w:abstractNumId w:val="19"/>
  </w:num>
  <w:num w:numId="9" w16cid:durableId="977997531">
    <w:abstractNumId w:val="18"/>
  </w:num>
  <w:num w:numId="10" w16cid:durableId="461071764">
    <w:abstractNumId w:val="14"/>
  </w:num>
  <w:num w:numId="11" w16cid:durableId="1699508622">
    <w:abstractNumId w:val="20"/>
  </w:num>
  <w:num w:numId="12" w16cid:durableId="208883525">
    <w:abstractNumId w:val="2"/>
  </w:num>
  <w:num w:numId="13" w16cid:durableId="1994218399">
    <w:abstractNumId w:val="11"/>
  </w:num>
  <w:num w:numId="14" w16cid:durableId="1860045616">
    <w:abstractNumId w:val="17"/>
  </w:num>
  <w:num w:numId="15" w16cid:durableId="1866090885">
    <w:abstractNumId w:val="15"/>
  </w:num>
  <w:num w:numId="16" w16cid:durableId="1928297743">
    <w:abstractNumId w:val="10"/>
  </w:num>
  <w:num w:numId="17" w16cid:durableId="1135947047">
    <w:abstractNumId w:val="13"/>
  </w:num>
  <w:num w:numId="18" w16cid:durableId="1021474868">
    <w:abstractNumId w:val="3"/>
  </w:num>
  <w:num w:numId="19" w16cid:durableId="574510760">
    <w:abstractNumId w:val="0"/>
  </w:num>
  <w:num w:numId="20" w16cid:durableId="533735059">
    <w:abstractNumId w:val="5"/>
  </w:num>
  <w:num w:numId="21" w16cid:durableId="883716969">
    <w:abstractNumId w:val="0"/>
  </w:num>
  <w:num w:numId="22" w16cid:durableId="948320528">
    <w:abstractNumId w:val="7"/>
  </w:num>
  <w:num w:numId="23" w16cid:durableId="404034716">
    <w:abstractNumId w:val="23"/>
  </w:num>
  <w:num w:numId="24" w16cid:durableId="847863535">
    <w:abstractNumId w:val="26"/>
  </w:num>
  <w:num w:numId="25" w16cid:durableId="1671177959">
    <w:abstractNumId w:val="4"/>
  </w:num>
  <w:num w:numId="26" w16cid:durableId="203521183">
    <w:abstractNumId w:val="29"/>
  </w:num>
  <w:num w:numId="27" w16cid:durableId="326439618">
    <w:abstractNumId w:val="9"/>
  </w:num>
  <w:num w:numId="28" w16cid:durableId="1485856374">
    <w:abstractNumId w:val="1"/>
  </w:num>
  <w:num w:numId="29" w16cid:durableId="1568614531">
    <w:abstractNumId w:val="12"/>
  </w:num>
  <w:num w:numId="30" w16cid:durableId="1285693457">
    <w:abstractNumId w:val="27"/>
  </w:num>
  <w:num w:numId="31" w16cid:durableId="2010282480">
    <w:abstractNumId w:val="25"/>
  </w:num>
  <w:num w:numId="32" w16cid:durableId="168494114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054"/>
    <w:rsid w:val="00007146"/>
    <w:rsid w:val="00010573"/>
    <w:rsid w:val="00010BA0"/>
    <w:rsid w:val="0001147F"/>
    <w:rsid w:val="00011E60"/>
    <w:rsid w:val="0001344B"/>
    <w:rsid w:val="00016162"/>
    <w:rsid w:val="00017548"/>
    <w:rsid w:val="00020557"/>
    <w:rsid w:val="00020AC1"/>
    <w:rsid w:val="000250C7"/>
    <w:rsid w:val="00026F16"/>
    <w:rsid w:val="00027B87"/>
    <w:rsid w:val="00034AA4"/>
    <w:rsid w:val="00036835"/>
    <w:rsid w:val="00037621"/>
    <w:rsid w:val="00040164"/>
    <w:rsid w:val="0004055C"/>
    <w:rsid w:val="00040D92"/>
    <w:rsid w:val="00041B32"/>
    <w:rsid w:val="000430D1"/>
    <w:rsid w:val="00043E26"/>
    <w:rsid w:val="00044D46"/>
    <w:rsid w:val="00045088"/>
    <w:rsid w:val="00045904"/>
    <w:rsid w:val="000461E1"/>
    <w:rsid w:val="00054E15"/>
    <w:rsid w:val="00056E9E"/>
    <w:rsid w:val="0006237F"/>
    <w:rsid w:val="00065166"/>
    <w:rsid w:val="000702BE"/>
    <w:rsid w:val="000709BA"/>
    <w:rsid w:val="00071540"/>
    <w:rsid w:val="00075327"/>
    <w:rsid w:val="00082609"/>
    <w:rsid w:val="0008446C"/>
    <w:rsid w:val="000851CC"/>
    <w:rsid w:val="00087CD6"/>
    <w:rsid w:val="00092A53"/>
    <w:rsid w:val="00093BE8"/>
    <w:rsid w:val="000A52F6"/>
    <w:rsid w:val="000A68ED"/>
    <w:rsid w:val="000A7791"/>
    <w:rsid w:val="000A7BF9"/>
    <w:rsid w:val="000A7F81"/>
    <w:rsid w:val="000B1744"/>
    <w:rsid w:val="000B22C0"/>
    <w:rsid w:val="000B4EDD"/>
    <w:rsid w:val="000B5FF1"/>
    <w:rsid w:val="000B609F"/>
    <w:rsid w:val="000C166E"/>
    <w:rsid w:val="000C19F1"/>
    <w:rsid w:val="000C2A08"/>
    <w:rsid w:val="000C4C64"/>
    <w:rsid w:val="000C64D7"/>
    <w:rsid w:val="000C6BB5"/>
    <w:rsid w:val="000D088B"/>
    <w:rsid w:val="000D19CF"/>
    <w:rsid w:val="000D25D9"/>
    <w:rsid w:val="000D2F20"/>
    <w:rsid w:val="000D402A"/>
    <w:rsid w:val="000D537B"/>
    <w:rsid w:val="000D55A8"/>
    <w:rsid w:val="000D62AE"/>
    <w:rsid w:val="000D6AEB"/>
    <w:rsid w:val="000D76A9"/>
    <w:rsid w:val="000E01CC"/>
    <w:rsid w:val="000E0388"/>
    <w:rsid w:val="000E28E2"/>
    <w:rsid w:val="000E2DE9"/>
    <w:rsid w:val="000E4841"/>
    <w:rsid w:val="000F1677"/>
    <w:rsid w:val="000F1A41"/>
    <w:rsid w:val="000F1E88"/>
    <w:rsid w:val="000F26CD"/>
    <w:rsid w:val="000F3D6C"/>
    <w:rsid w:val="000F4A14"/>
    <w:rsid w:val="000F4B84"/>
    <w:rsid w:val="00101707"/>
    <w:rsid w:val="00103F11"/>
    <w:rsid w:val="00104F2C"/>
    <w:rsid w:val="00107DED"/>
    <w:rsid w:val="00113E29"/>
    <w:rsid w:val="0011473D"/>
    <w:rsid w:val="0011548B"/>
    <w:rsid w:val="00115C85"/>
    <w:rsid w:val="001176B9"/>
    <w:rsid w:val="00123855"/>
    <w:rsid w:val="00126A4D"/>
    <w:rsid w:val="001307D9"/>
    <w:rsid w:val="00132CC0"/>
    <w:rsid w:val="001408F8"/>
    <w:rsid w:val="00140E81"/>
    <w:rsid w:val="0014171F"/>
    <w:rsid w:val="0014271D"/>
    <w:rsid w:val="00142BD5"/>
    <w:rsid w:val="0014622C"/>
    <w:rsid w:val="00150DBA"/>
    <w:rsid w:val="00152348"/>
    <w:rsid w:val="0015456D"/>
    <w:rsid w:val="00155FA2"/>
    <w:rsid w:val="001561D0"/>
    <w:rsid w:val="00161B31"/>
    <w:rsid w:val="00161F1B"/>
    <w:rsid w:val="00162829"/>
    <w:rsid w:val="001628FE"/>
    <w:rsid w:val="00162E52"/>
    <w:rsid w:val="00163214"/>
    <w:rsid w:val="00165BF5"/>
    <w:rsid w:val="00174360"/>
    <w:rsid w:val="00174DC4"/>
    <w:rsid w:val="0017510F"/>
    <w:rsid w:val="0017513B"/>
    <w:rsid w:val="00175A7D"/>
    <w:rsid w:val="00180548"/>
    <w:rsid w:val="00180AC4"/>
    <w:rsid w:val="00180CCE"/>
    <w:rsid w:val="0018267A"/>
    <w:rsid w:val="00182779"/>
    <w:rsid w:val="001830DF"/>
    <w:rsid w:val="001833F1"/>
    <w:rsid w:val="00183ED8"/>
    <w:rsid w:val="00184D8B"/>
    <w:rsid w:val="00184F06"/>
    <w:rsid w:val="00187A34"/>
    <w:rsid w:val="001901BA"/>
    <w:rsid w:val="00193DFA"/>
    <w:rsid w:val="001966D9"/>
    <w:rsid w:val="00197B3C"/>
    <w:rsid w:val="001A0C47"/>
    <w:rsid w:val="001A1D42"/>
    <w:rsid w:val="001A2360"/>
    <w:rsid w:val="001A4141"/>
    <w:rsid w:val="001A4FCD"/>
    <w:rsid w:val="001A68CC"/>
    <w:rsid w:val="001A7E9A"/>
    <w:rsid w:val="001B0F70"/>
    <w:rsid w:val="001B2CA0"/>
    <w:rsid w:val="001B3D4D"/>
    <w:rsid w:val="001B43D2"/>
    <w:rsid w:val="001B45CF"/>
    <w:rsid w:val="001B5016"/>
    <w:rsid w:val="001B6DDC"/>
    <w:rsid w:val="001C45FC"/>
    <w:rsid w:val="001C57F2"/>
    <w:rsid w:val="001C6AF3"/>
    <w:rsid w:val="001D0469"/>
    <w:rsid w:val="001D37A5"/>
    <w:rsid w:val="001D3BD5"/>
    <w:rsid w:val="001D4862"/>
    <w:rsid w:val="001D4C8E"/>
    <w:rsid w:val="001D6E1C"/>
    <w:rsid w:val="001D78CC"/>
    <w:rsid w:val="001E25B9"/>
    <w:rsid w:val="001E49E0"/>
    <w:rsid w:val="001E4B4F"/>
    <w:rsid w:val="001E5F8A"/>
    <w:rsid w:val="001E6398"/>
    <w:rsid w:val="001E695D"/>
    <w:rsid w:val="001E7B5A"/>
    <w:rsid w:val="001F4C9C"/>
    <w:rsid w:val="001F6602"/>
    <w:rsid w:val="001F7412"/>
    <w:rsid w:val="00200664"/>
    <w:rsid w:val="00200B5D"/>
    <w:rsid w:val="00202DFE"/>
    <w:rsid w:val="00203720"/>
    <w:rsid w:val="002059FD"/>
    <w:rsid w:val="0020725B"/>
    <w:rsid w:val="002110F1"/>
    <w:rsid w:val="00211201"/>
    <w:rsid w:val="00211A67"/>
    <w:rsid w:val="00212C08"/>
    <w:rsid w:val="00213F12"/>
    <w:rsid w:val="00214ECC"/>
    <w:rsid w:val="0021757C"/>
    <w:rsid w:val="00217670"/>
    <w:rsid w:val="002227C6"/>
    <w:rsid w:val="00222FB5"/>
    <w:rsid w:val="002279DA"/>
    <w:rsid w:val="002311C4"/>
    <w:rsid w:val="00231275"/>
    <w:rsid w:val="00236D0F"/>
    <w:rsid w:val="0024116D"/>
    <w:rsid w:val="00241B44"/>
    <w:rsid w:val="00241FA3"/>
    <w:rsid w:val="00243DD0"/>
    <w:rsid w:val="00244C44"/>
    <w:rsid w:val="00245EFB"/>
    <w:rsid w:val="00247C38"/>
    <w:rsid w:val="0025386E"/>
    <w:rsid w:val="00257749"/>
    <w:rsid w:val="00257C57"/>
    <w:rsid w:val="002638B0"/>
    <w:rsid w:val="00264C63"/>
    <w:rsid w:val="0026647A"/>
    <w:rsid w:val="002668D3"/>
    <w:rsid w:val="0027299F"/>
    <w:rsid w:val="002729AB"/>
    <w:rsid w:val="00272A1F"/>
    <w:rsid w:val="00274604"/>
    <w:rsid w:val="00275231"/>
    <w:rsid w:val="00275719"/>
    <w:rsid w:val="00276685"/>
    <w:rsid w:val="00277A0F"/>
    <w:rsid w:val="00281168"/>
    <w:rsid w:val="002813AC"/>
    <w:rsid w:val="00284EBE"/>
    <w:rsid w:val="00287B60"/>
    <w:rsid w:val="00291264"/>
    <w:rsid w:val="00291E06"/>
    <w:rsid w:val="00292AD2"/>
    <w:rsid w:val="0029433F"/>
    <w:rsid w:val="00294518"/>
    <w:rsid w:val="00294829"/>
    <w:rsid w:val="002968E3"/>
    <w:rsid w:val="0029690F"/>
    <w:rsid w:val="00297C8A"/>
    <w:rsid w:val="002A10A2"/>
    <w:rsid w:val="002A2A60"/>
    <w:rsid w:val="002A37BB"/>
    <w:rsid w:val="002A455D"/>
    <w:rsid w:val="002A56DC"/>
    <w:rsid w:val="002B1C45"/>
    <w:rsid w:val="002B4EA9"/>
    <w:rsid w:val="002B667E"/>
    <w:rsid w:val="002B7256"/>
    <w:rsid w:val="002C13C8"/>
    <w:rsid w:val="002C13F4"/>
    <w:rsid w:val="002C1CE8"/>
    <w:rsid w:val="002C200E"/>
    <w:rsid w:val="002C2324"/>
    <w:rsid w:val="002C31DB"/>
    <w:rsid w:val="002C3547"/>
    <w:rsid w:val="002C4199"/>
    <w:rsid w:val="002C532E"/>
    <w:rsid w:val="002C756F"/>
    <w:rsid w:val="002D0021"/>
    <w:rsid w:val="002D13BA"/>
    <w:rsid w:val="002D3473"/>
    <w:rsid w:val="002D49D3"/>
    <w:rsid w:val="002D4CBA"/>
    <w:rsid w:val="002D5018"/>
    <w:rsid w:val="002E02C6"/>
    <w:rsid w:val="002E0F92"/>
    <w:rsid w:val="002E32AA"/>
    <w:rsid w:val="002E3AD1"/>
    <w:rsid w:val="002E49DD"/>
    <w:rsid w:val="002E4CF1"/>
    <w:rsid w:val="002E5458"/>
    <w:rsid w:val="002E7FC5"/>
    <w:rsid w:val="002F1956"/>
    <w:rsid w:val="002F3440"/>
    <w:rsid w:val="002F3F0E"/>
    <w:rsid w:val="002F75A3"/>
    <w:rsid w:val="003001B7"/>
    <w:rsid w:val="00302D76"/>
    <w:rsid w:val="00303C2F"/>
    <w:rsid w:val="00306FA5"/>
    <w:rsid w:val="0031197B"/>
    <w:rsid w:val="00312914"/>
    <w:rsid w:val="003144EF"/>
    <w:rsid w:val="003174C2"/>
    <w:rsid w:val="003230E1"/>
    <w:rsid w:val="00324F98"/>
    <w:rsid w:val="003252C2"/>
    <w:rsid w:val="00326292"/>
    <w:rsid w:val="00326415"/>
    <w:rsid w:val="00327CBA"/>
    <w:rsid w:val="0033054A"/>
    <w:rsid w:val="00330937"/>
    <w:rsid w:val="00330F31"/>
    <w:rsid w:val="00331480"/>
    <w:rsid w:val="00334648"/>
    <w:rsid w:val="00335D62"/>
    <w:rsid w:val="003365B1"/>
    <w:rsid w:val="0033768C"/>
    <w:rsid w:val="00337938"/>
    <w:rsid w:val="00337EFB"/>
    <w:rsid w:val="00340769"/>
    <w:rsid w:val="00341AA6"/>
    <w:rsid w:val="003421C8"/>
    <w:rsid w:val="0034705B"/>
    <w:rsid w:val="00347529"/>
    <w:rsid w:val="00347A4D"/>
    <w:rsid w:val="003525B6"/>
    <w:rsid w:val="00352975"/>
    <w:rsid w:val="00353A37"/>
    <w:rsid w:val="00356A9C"/>
    <w:rsid w:val="00357839"/>
    <w:rsid w:val="00361A0A"/>
    <w:rsid w:val="003627DD"/>
    <w:rsid w:val="0036299D"/>
    <w:rsid w:val="00364836"/>
    <w:rsid w:val="003650E5"/>
    <w:rsid w:val="0036565C"/>
    <w:rsid w:val="0036625E"/>
    <w:rsid w:val="00366415"/>
    <w:rsid w:val="00367561"/>
    <w:rsid w:val="0037465A"/>
    <w:rsid w:val="0037560F"/>
    <w:rsid w:val="00375D11"/>
    <w:rsid w:val="003803B9"/>
    <w:rsid w:val="00381809"/>
    <w:rsid w:val="00382C98"/>
    <w:rsid w:val="0038533C"/>
    <w:rsid w:val="00385F1C"/>
    <w:rsid w:val="00386568"/>
    <w:rsid w:val="00386916"/>
    <w:rsid w:val="00390B57"/>
    <w:rsid w:val="00392984"/>
    <w:rsid w:val="00393E1F"/>
    <w:rsid w:val="003947CA"/>
    <w:rsid w:val="003948D5"/>
    <w:rsid w:val="00395528"/>
    <w:rsid w:val="00396500"/>
    <w:rsid w:val="00396821"/>
    <w:rsid w:val="00397D3A"/>
    <w:rsid w:val="003A051E"/>
    <w:rsid w:val="003A10BC"/>
    <w:rsid w:val="003A14DC"/>
    <w:rsid w:val="003A3058"/>
    <w:rsid w:val="003A6A28"/>
    <w:rsid w:val="003A7273"/>
    <w:rsid w:val="003B0A27"/>
    <w:rsid w:val="003B170F"/>
    <w:rsid w:val="003B3C5F"/>
    <w:rsid w:val="003C0BA5"/>
    <w:rsid w:val="003C4342"/>
    <w:rsid w:val="003C4471"/>
    <w:rsid w:val="003C4BCB"/>
    <w:rsid w:val="003C51B7"/>
    <w:rsid w:val="003C6597"/>
    <w:rsid w:val="003D0A6D"/>
    <w:rsid w:val="003D17A2"/>
    <w:rsid w:val="003D1974"/>
    <w:rsid w:val="003D4A79"/>
    <w:rsid w:val="003D604B"/>
    <w:rsid w:val="003E0B16"/>
    <w:rsid w:val="003E47C9"/>
    <w:rsid w:val="003E4DB0"/>
    <w:rsid w:val="003E5538"/>
    <w:rsid w:val="003E5970"/>
    <w:rsid w:val="003E67D1"/>
    <w:rsid w:val="003F0059"/>
    <w:rsid w:val="003F0AE3"/>
    <w:rsid w:val="003F1C7C"/>
    <w:rsid w:val="003F290D"/>
    <w:rsid w:val="003F56F7"/>
    <w:rsid w:val="00400AEA"/>
    <w:rsid w:val="00404329"/>
    <w:rsid w:val="004058FF"/>
    <w:rsid w:val="00405DC1"/>
    <w:rsid w:val="004062AE"/>
    <w:rsid w:val="00411AB4"/>
    <w:rsid w:val="00413887"/>
    <w:rsid w:val="00415F1F"/>
    <w:rsid w:val="00416668"/>
    <w:rsid w:val="004202D2"/>
    <w:rsid w:val="0042108F"/>
    <w:rsid w:val="00421471"/>
    <w:rsid w:val="0042630B"/>
    <w:rsid w:val="004276AA"/>
    <w:rsid w:val="004304C1"/>
    <w:rsid w:val="00430FED"/>
    <w:rsid w:val="004326C4"/>
    <w:rsid w:val="004341F6"/>
    <w:rsid w:val="00434A8C"/>
    <w:rsid w:val="00437297"/>
    <w:rsid w:val="00443514"/>
    <w:rsid w:val="00444284"/>
    <w:rsid w:val="00444456"/>
    <w:rsid w:val="0044574C"/>
    <w:rsid w:val="00445CE6"/>
    <w:rsid w:val="00446D13"/>
    <w:rsid w:val="00447065"/>
    <w:rsid w:val="004501DB"/>
    <w:rsid w:val="00451260"/>
    <w:rsid w:val="00451F85"/>
    <w:rsid w:val="004534C2"/>
    <w:rsid w:val="0045446F"/>
    <w:rsid w:val="00454C3E"/>
    <w:rsid w:val="0045683E"/>
    <w:rsid w:val="00457CA3"/>
    <w:rsid w:val="00461034"/>
    <w:rsid w:val="004637A2"/>
    <w:rsid w:val="00463A33"/>
    <w:rsid w:val="004647FD"/>
    <w:rsid w:val="00464A2C"/>
    <w:rsid w:val="00465BFF"/>
    <w:rsid w:val="00466204"/>
    <w:rsid w:val="00466356"/>
    <w:rsid w:val="00467122"/>
    <w:rsid w:val="00467531"/>
    <w:rsid w:val="00470681"/>
    <w:rsid w:val="00471A0A"/>
    <w:rsid w:val="004730AE"/>
    <w:rsid w:val="00476052"/>
    <w:rsid w:val="00477C72"/>
    <w:rsid w:val="00477D0B"/>
    <w:rsid w:val="00480410"/>
    <w:rsid w:val="00482403"/>
    <w:rsid w:val="004826DE"/>
    <w:rsid w:val="00482F5D"/>
    <w:rsid w:val="00491675"/>
    <w:rsid w:val="00492D25"/>
    <w:rsid w:val="00492E4F"/>
    <w:rsid w:val="00493855"/>
    <w:rsid w:val="004944C5"/>
    <w:rsid w:val="00495104"/>
    <w:rsid w:val="00495E79"/>
    <w:rsid w:val="0049649C"/>
    <w:rsid w:val="004A0692"/>
    <w:rsid w:val="004A096B"/>
    <w:rsid w:val="004A2284"/>
    <w:rsid w:val="004A2B1A"/>
    <w:rsid w:val="004A57DD"/>
    <w:rsid w:val="004A7B51"/>
    <w:rsid w:val="004A7D71"/>
    <w:rsid w:val="004A7EF3"/>
    <w:rsid w:val="004B062B"/>
    <w:rsid w:val="004B11FD"/>
    <w:rsid w:val="004B23A2"/>
    <w:rsid w:val="004B50BA"/>
    <w:rsid w:val="004B5576"/>
    <w:rsid w:val="004B7D5E"/>
    <w:rsid w:val="004C0D03"/>
    <w:rsid w:val="004C0D33"/>
    <w:rsid w:val="004C1152"/>
    <w:rsid w:val="004C7112"/>
    <w:rsid w:val="004C756D"/>
    <w:rsid w:val="004D11AE"/>
    <w:rsid w:val="004D1A5A"/>
    <w:rsid w:val="004D26FA"/>
    <w:rsid w:val="004D2FFF"/>
    <w:rsid w:val="004D3721"/>
    <w:rsid w:val="004D60D9"/>
    <w:rsid w:val="004D63B9"/>
    <w:rsid w:val="004D64F9"/>
    <w:rsid w:val="004D6B18"/>
    <w:rsid w:val="004D7F83"/>
    <w:rsid w:val="004E0DB9"/>
    <w:rsid w:val="004E313F"/>
    <w:rsid w:val="004E357B"/>
    <w:rsid w:val="004E3A6B"/>
    <w:rsid w:val="004E5DA6"/>
    <w:rsid w:val="004E622C"/>
    <w:rsid w:val="004E6A50"/>
    <w:rsid w:val="004E71EC"/>
    <w:rsid w:val="004F1182"/>
    <w:rsid w:val="004F3255"/>
    <w:rsid w:val="004F36E5"/>
    <w:rsid w:val="004F4245"/>
    <w:rsid w:val="004F4AF9"/>
    <w:rsid w:val="004F5FDF"/>
    <w:rsid w:val="004F7BCF"/>
    <w:rsid w:val="0050221E"/>
    <w:rsid w:val="00502C38"/>
    <w:rsid w:val="00502C6B"/>
    <w:rsid w:val="00503577"/>
    <w:rsid w:val="005111CA"/>
    <w:rsid w:val="00512551"/>
    <w:rsid w:val="005177FE"/>
    <w:rsid w:val="0052263B"/>
    <w:rsid w:val="00524728"/>
    <w:rsid w:val="005249C1"/>
    <w:rsid w:val="00526679"/>
    <w:rsid w:val="00532D55"/>
    <w:rsid w:val="005331CA"/>
    <w:rsid w:val="00533AB3"/>
    <w:rsid w:val="00537970"/>
    <w:rsid w:val="00540E3A"/>
    <w:rsid w:val="00542DF2"/>
    <w:rsid w:val="00544127"/>
    <w:rsid w:val="00544294"/>
    <w:rsid w:val="005447F9"/>
    <w:rsid w:val="00544F6E"/>
    <w:rsid w:val="005463A9"/>
    <w:rsid w:val="00546DBF"/>
    <w:rsid w:val="00547002"/>
    <w:rsid w:val="00547445"/>
    <w:rsid w:val="00553EB2"/>
    <w:rsid w:val="00554369"/>
    <w:rsid w:val="0055517D"/>
    <w:rsid w:val="00560534"/>
    <w:rsid w:val="0056155A"/>
    <w:rsid w:val="00563087"/>
    <w:rsid w:val="0056391B"/>
    <w:rsid w:val="005650E2"/>
    <w:rsid w:val="005675EE"/>
    <w:rsid w:val="00567AD7"/>
    <w:rsid w:val="0057131E"/>
    <w:rsid w:val="00572756"/>
    <w:rsid w:val="005733BA"/>
    <w:rsid w:val="00574095"/>
    <w:rsid w:val="0057425F"/>
    <w:rsid w:val="00575B2D"/>
    <w:rsid w:val="00582F8E"/>
    <w:rsid w:val="005833D0"/>
    <w:rsid w:val="005844CF"/>
    <w:rsid w:val="005846F3"/>
    <w:rsid w:val="00584C17"/>
    <w:rsid w:val="0058622F"/>
    <w:rsid w:val="00586A25"/>
    <w:rsid w:val="00591280"/>
    <w:rsid w:val="00591457"/>
    <w:rsid w:val="00592F82"/>
    <w:rsid w:val="00594CA1"/>
    <w:rsid w:val="00597530"/>
    <w:rsid w:val="005A0207"/>
    <w:rsid w:val="005A0960"/>
    <w:rsid w:val="005A0CCA"/>
    <w:rsid w:val="005A1C32"/>
    <w:rsid w:val="005A1D6F"/>
    <w:rsid w:val="005A5126"/>
    <w:rsid w:val="005A726D"/>
    <w:rsid w:val="005B07E2"/>
    <w:rsid w:val="005B2F5D"/>
    <w:rsid w:val="005B67AC"/>
    <w:rsid w:val="005B79F4"/>
    <w:rsid w:val="005B7C95"/>
    <w:rsid w:val="005C2962"/>
    <w:rsid w:val="005C310C"/>
    <w:rsid w:val="005C4528"/>
    <w:rsid w:val="005C49B2"/>
    <w:rsid w:val="005C5E17"/>
    <w:rsid w:val="005C73B1"/>
    <w:rsid w:val="005D05B3"/>
    <w:rsid w:val="005D0888"/>
    <w:rsid w:val="005D2CD6"/>
    <w:rsid w:val="005D305F"/>
    <w:rsid w:val="005D343B"/>
    <w:rsid w:val="005D43E0"/>
    <w:rsid w:val="005D4DFF"/>
    <w:rsid w:val="005D5361"/>
    <w:rsid w:val="005D58A3"/>
    <w:rsid w:val="005D6C0F"/>
    <w:rsid w:val="005D78EB"/>
    <w:rsid w:val="005E0650"/>
    <w:rsid w:val="005E06FB"/>
    <w:rsid w:val="005E1B79"/>
    <w:rsid w:val="005E55D4"/>
    <w:rsid w:val="005E5751"/>
    <w:rsid w:val="005E7008"/>
    <w:rsid w:val="005E7802"/>
    <w:rsid w:val="005E784A"/>
    <w:rsid w:val="005F026D"/>
    <w:rsid w:val="005F194C"/>
    <w:rsid w:val="005F19C3"/>
    <w:rsid w:val="005F1A9B"/>
    <w:rsid w:val="005F1BFF"/>
    <w:rsid w:val="005F1CFC"/>
    <w:rsid w:val="005F2AEA"/>
    <w:rsid w:val="005F2D0B"/>
    <w:rsid w:val="005F2D4B"/>
    <w:rsid w:val="005F4B31"/>
    <w:rsid w:val="005F6570"/>
    <w:rsid w:val="005F7307"/>
    <w:rsid w:val="005F7F76"/>
    <w:rsid w:val="00604655"/>
    <w:rsid w:val="006048C0"/>
    <w:rsid w:val="00607424"/>
    <w:rsid w:val="00610388"/>
    <w:rsid w:val="00611D98"/>
    <w:rsid w:val="00611DE6"/>
    <w:rsid w:val="00612634"/>
    <w:rsid w:val="00612CA5"/>
    <w:rsid w:val="00613DED"/>
    <w:rsid w:val="006153EC"/>
    <w:rsid w:val="00621A17"/>
    <w:rsid w:val="00622A59"/>
    <w:rsid w:val="00623D2E"/>
    <w:rsid w:val="006265A4"/>
    <w:rsid w:val="00627B35"/>
    <w:rsid w:val="00627CC9"/>
    <w:rsid w:val="00627DE9"/>
    <w:rsid w:val="00627E7B"/>
    <w:rsid w:val="00630542"/>
    <w:rsid w:val="0063165E"/>
    <w:rsid w:val="006316AF"/>
    <w:rsid w:val="0063292A"/>
    <w:rsid w:val="00632E44"/>
    <w:rsid w:val="00634622"/>
    <w:rsid w:val="00636808"/>
    <w:rsid w:val="00636C15"/>
    <w:rsid w:val="00641515"/>
    <w:rsid w:val="0064381D"/>
    <w:rsid w:val="00644AAD"/>
    <w:rsid w:val="00651D06"/>
    <w:rsid w:val="00652600"/>
    <w:rsid w:val="006526F6"/>
    <w:rsid w:val="00654200"/>
    <w:rsid w:val="00654B27"/>
    <w:rsid w:val="00654C2F"/>
    <w:rsid w:val="00655919"/>
    <w:rsid w:val="00655C29"/>
    <w:rsid w:val="00656DA7"/>
    <w:rsid w:val="00657087"/>
    <w:rsid w:val="006603F1"/>
    <w:rsid w:val="00660859"/>
    <w:rsid w:val="0066091D"/>
    <w:rsid w:val="0066362E"/>
    <w:rsid w:val="006639DB"/>
    <w:rsid w:val="00663DFA"/>
    <w:rsid w:val="00664A4C"/>
    <w:rsid w:val="00664AF5"/>
    <w:rsid w:val="006661EF"/>
    <w:rsid w:val="00666A97"/>
    <w:rsid w:val="006723E9"/>
    <w:rsid w:val="00673C6E"/>
    <w:rsid w:val="00675B11"/>
    <w:rsid w:val="00675FCF"/>
    <w:rsid w:val="00676061"/>
    <w:rsid w:val="00676EA1"/>
    <w:rsid w:val="00677AEB"/>
    <w:rsid w:val="00680EF2"/>
    <w:rsid w:val="00680F4C"/>
    <w:rsid w:val="00682411"/>
    <w:rsid w:val="00687A1D"/>
    <w:rsid w:val="006926E1"/>
    <w:rsid w:val="00692A41"/>
    <w:rsid w:val="00692AAF"/>
    <w:rsid w:val="00693FD7"/>
    <w:rsid w:val="00694C2E"/>
    <w:rsid w:val="00696991"/>
    <w:rsid w:val="00696B8A"/>
    <w:rsid w:val="00696ED8"/>
    <w:rsid w:val="00697EA1"/>
    <w:rsid w:val="006A04AD"/>
    <w:rsid w:val="006A0CE5"/>
    <w:rsid w:val="006A23E1"/>
    <w:rsid w:val="006A2646"/>
    <w:rsid w:val="006A4041"/>
    <w:rsid w:val="006A44DE"/>
    <w:rsid w:val="006A56B1"/>
    <w:rsid w:val="006A6530"/>
    <w:rsid w:val="006B328C"/>
    <w:rsid w:val="006B3C71"/>
    <w:rsid w:val="006B3E16"/>
    <w:rsid w:val="006B3E5B"/>
    <w:rsid w:val="006B435A"/>
    <w:rsid w:val="006B4C64"/>
    <w:rsid w:val="006B5534"/>
    <w:rsid w:val="006B598C"/>
    <w:rsid w:val="006C115D"/>
    <w:rsid w:val="006C417E"/>
    <w:rsid w:val="006C4FAA"/>
    <w:rsid w:val="006C6284"/>
    <w:rsid w:val="006D121D"/>
    <w:rsid w:val="006D177A"/>
    <w:rsid w:val="006D217A"/>
    <w:rsid w:val="006D6BD5"/>
    <w:rsid w:val="006E04D2"/>
    <w:rsid w:val="006E055E"/>
    <w:rsid w:val="006E286C"/>
    <w:rsid w:val="006E481A"/>
    <w:rsid w:val="006E5287"/>
    <w:rsid w:val="006E5298"/>
    <w:rsid w:val="006F0106"/>
    <w:rsid w:val="006F2B12"/>
    <w:rsid w:val="006F3078"/>
    <w:rsid w:val="006F31D8"/>
    <w:rsid w:val="006F4A78"/>
    <w:rsid w:val="006F734A"/>
    <w:rsid w:val="006F7AF4"/>
    <w:rsid w:val="007003A4"/>
    <w:rsid w:val="00700D83"/>
    <w:rsid w:val="007042D6"/>
    <w:rsid w:val="00704852"/>
    <w:rsid w:val="007074E9"/>
    <w:rsid w:val="00713DA4"/>
    <w:rsid w:val="00714BF1"/>
    <w:rsid w:val="007166A8"/>
    <w:rsid w:val="00717031"/>
    <w:rsid w:val="00721383"/>
    <w:rsid w:val="00724770"/>
    <w:rsid w:val="007260CA"/>
    <w:rsid w:val="0073158B"/>
    <w:rsid w:val="00732582"/>
    <w:rsid w:val="007333CC"/>
    <w:rsid w:val="0073399A"/>
    <w:rsid w:val="00742915"/>
    <w:rsid w:val="00745D6F"/>
    <w:rsid w:val="007468A9"/>
    <w:rsid w:val="00747D42"/>
    <w:rsid w:val="0075246C"/>
    <w:rsid w:val="00753E97"/>
    <w:rsid w:val="007603F5"/>
    <w:rsid w:val="00761E33"/>
    <w:rsid w:val="007623AA"/>
    <w:rsid w:val="00763E65"/>
    <w:rsid w:val="00764DB0"/>
    <w:rsid w:val="0076764D"/>
    <w:rsid w:val="00771018"/>
    <w:rsid w:val="00771A1E"/>
    <w:rsid w:val="0077498C"/>
    <w:rsid w:val="00776EFE"/>
    <w:rsid w:val="007772BD"/>
    <w:rsid w:val="007809BC"/>
    <w:rsid w:val="00781EDA"/>
    <w:rsid w:val="00782D76"/>
    <w:rsid w:val="00782DF0"/>
    <w:rsid w:val="00782EE1"/>
    <w:rsid w:val="00784128"/>
    <w:rsid w:val="007849DA"/>
    <w:rsid w:val="00787F3D"/>
    <w:rsid w:val="00793173"/>
    <w:rsid w:val="00794947"/>
    <w:rsid w:val="0079541E"/>
    <w:rsid w:val="007969FA"/>
    <w:rsid w:val="007A0DB5"/>
    <w:rsid w:val="007A107A"/>
    <w:rsid w:val="007A10FD"/>
    <w:rsid w:val="007A2790"/>
    <w:rsid w:val="007A2A33"/>
    <w:rsid w:val="007A4035"/>
    <w:rsid w:val="007A466F"/>
    <w:rsid w:val="007A6B8D"/>
    <w:rsid w:val="007A6D21"/>
    <w:rsid w:val="007A7B20"/>
    <w:rsid w:val="007B0774"/>
    <w:rsid w:val="007B0C5E"/>
    <w:rsid w:val="007B10F4"/>
    <w:rsid w:val="007B284F"/>
    <w:rsid w:val="007B3B4F"/>
    <w:rsid w:val="007B536E"/>
    <w:rsid w:val="007B54D5"/>
    <w:rsid w:val="007B7624"/>
    <w:rsid w:val="007C1FCC"/>
    <w:rsid w:val="007C4A83"/>
    <w:rsid w:val="007C50AA"/>
    <w:rsid w:val="007C5EAA"/>
    <w:rsid w:val="007C6201"/>
    <w:rsid w:val="007C6884"/>
    <w:rsid w:val="007D06EF"/>
    <w:rsid w:val="007D12C8"/>
    <w:rsid w:val="007D1E37"/>
    <w:rsid w:val="007D247D"/>
    <w:rsid w:val="007D3437"/>
    <w:rsid w:val="007D4F42"/>
    <w:rsid w:val="007D7C92"/>
    <w:rsid w:val="007E1154"/>
    <w:rsid w:val="007E15A4"/>
    <w:rsid w:val="007E264F"/>
    <w:rsid w:val="007E39B3"/>
    <w:rsid w:val="007E44C4"/>
    <w:rsid w:val="007E6BA4"/>
    <w:rsid w:val="007E6DB7"/>
    <w:rsid w:val="007F003A"/>
    <w:rsid w:val="007F0B09"/>
    <w:rsid w:val="007F1C54"/>
    <w:rsid w:val="007F205B"/>
    <w:rsid w:val="007F3336"/>
    <w:rsid w:val="007F41F8"/>
    <w:rsid w:val="007F49DD"/>
    <w:rsid w:val="007F5242"/>
    <w:rsid w:val="007F6349"/>
    <w:rsid w:val="007F6A57"/>
    <w:rsid w:val="00800B1B"/>
    <w:rsid w:val="00800B76"/>
    <w:rsid w:val="008017F0"/>
    <w:rsid w:val="0080302D"/>
    <w:rsid w:val="0080454E"/>
    <w:rsid w:val="00804C32"/>
    <w:rsid w:val="00804DA6"/>
    <w:rsid w:val="00806302"/>
    <w:rsid w:val="00806E0E"/>
    <w:rsid w:val="00807119"/>
    <w:rsid w:val="00807D6A"/>
    <w:rsid w:val="00814CE7"/>
    <w:rsid w:val="00816BB5"/>
    <w:rsid w:val="008201F3"/>
    <w:rsid w:val="00822C5A"/>
    <w:rsid w:val="0082424D"/>
    <w:rsid w:val="0082483F"/>
    <w:rsid w:val="00824F5E"/>
    <w:rsid w:val="008279C0"/>
    <w:rsid w:val="00830432"/>
    <w:rsid w:val="00830E71"/>
    <w:rsid w:val="0083216B"/>
    <w:rsid w:val="00832FC6"/>
    <w:rsid w:val="0083474A"/>
    <w:rsid w:val="00835422"/>
    <w:rsid w:val="008363B9"/>
    <w:rsid w:val="008364C5"/>
    <w:rsid w:val="00836798"/>
    <w:rsid w:val="00840CAE"/>
    <w:rsid w:val="00841051"/>
    <w:rsid w:val="008410D3"/>
    <w:rsid w:val="00842821"/>
    <w:rsid w:val="0084758C"/>
    <w:rsid w:val="008500BD"/>
    <w:rsid w:val="0085080C"/>
    <w:rsid w:val="008522B4"/>
    <w:rsid w:val="00853A76"/>
    <w:rsid w:val="00854AE5"/>
    <w:rsid w:val="00857862"/>
    <w:rsid w:val="00860723"/>
    <w:rsid w:val="00864593"/>
    <w:rsid w:val="0086548F"/>
    <w:rsid w:val="00871F3C"/>
    <w:rsid w:val="008723F3"/>
    <w:rsid w:val="008734FB"/>
    <w:rsid w:val="00873A3D"/>
    <w:rsid w:val="00874240"/>
    <w:rsid w:val="008765D0"/>
    <w:rsid w:val="00880724"/>
    <w:rsid w:val="00881DE6"/>
    <w:rsid w:val="008837A6"/>
    <w:rsid w:val="00887B4C"/>
    <w:rsid w:val="0089145D"/>
    <w:rsid w:val="0089362E"/>
    <w:rsid w:val="00894C1D"/>
    <w:rsid w:val="00897A78"/>
    <w:rsid w:val="008A127E"/>
    <w:rsid w:val="008A4DF2"/>
    <w:rsid w:val="008A50AA"/>
    <w:rsid w:val="008A53B4"/>
    <w:rsid w:val="008A6CFE"/>
    <w:rsid w:val="008A756F"/>
    <w:rsid w:val="008B5333"/>
    <w:rsid w:val="008B6188"/>
    <w:rsid w:val="008B6223"/>
    <w:rsid w:val="008C0F4A"/>
    <w:rsid w:val="008C2B26"/>
    <w:rsid w:val="008C34D9"/>
    <w:rsid w:val="008C385B"/>
    <w:rsid w:val="008C4AC6"/>
    <w:rsid w:val="008C4B5A"/>
    <w:rsid w:val="008C66E0"/>
    <w:rsid w:val="008C703E"/>
    <w:rsid w:val="008D06CD"/>
    <w:rsid w:val="008D2DDB"/>
    <w:rsid w:val="008D6048"/>
    <w:rsid w:val="008D62F7"/>
    <w:rsid w:val="008D70EB"/>
    <w:rsid w:val="008E0342"/>
    <w:rsid w:val="008E0912"/>
    <w:rsid w:val="008E0EC8"/>
    <w:rsid w:val="008E0F13"/>
    <w:rsid w:val="008E1C11"/>
    <w:rsid w:val="008E3339"/>
    <w:rsid w:val="008E3C96"/>
    <w:rsid w:val="008E41DB"/>
    <w:rsid w:val="008E45C6"/>
    <w:rsid w:val="008E644A"/>
    <w:rsid w:val="008E7371"/>
    <w:rsid w:val="008E79F0"/>
    <w:rsid w:val="008F06B6"/>
    <w:rsid w:val="008F0F9B"/>
    <w:rsid w:val="008F20FC"/>
    <w:rsid w:val="008F230E"/>
    <w:rsid w:val="008F5FFE"/>
    <w:rsid w:val="009039C0"/>
    <w:rsid w:val="00905A43"/>
    <w:rsid w:val="0091050F"/>
    <w:rsid w:val="00912A82"/>
    <w:rsid w:val="00912C79"/>
    <w:rsid w:val="00914A23"/>
    <w:rsid w:val="00921A65"/>
    <w:rsid w:val="009245D8"/>
    <w:rsid w:val="00926EF6"/>
    <w:rsid w:val="009275E2"/>
    <w:rsid w:val="00930C86"/>
    <w:rsid w:val="0093102C"/>
    <w:rsid w:val="009343A3"/>
    <w:rsid w:val="00935A21"/>
    <w:rsid w:val="00935FAC"/>
    <w:rsid w:val="009404F6"/>
    <w:rsid w:val="00942123"/>
    <w:rsid w:val="00942CFF"/>
    <w:rsid w:val="00943070"/>
    <w:rsid w:val="00945E42"/>
    <w:rsid w:val="00946EEF"/>
    <w:rsid w:val="009505B8"/>
    <w:rsid w:val="00951553"/>
    <w:rsid w:val="0095207B"/>
    <w:rsid w:val="00953AAB"/>
    <w:rsid w:val="00962045"/>
    <w:rsid w:val="00962298"/>
    <w:rsid w:val="009630B7"/>
    <w:rsid w:val="00967219"/>
    <w:rsid w:val="00971896"/>
    <w:rsid w:val="009719E4"/>
    <w:rsid w:val="009749B8"/>
    <w:rsid w:val="00974C30"/>
    <w:rsid w:val="00976264"/>
    <w:rsid w:val="00980E61"/>
    <w:rsid w:val="0098311B"/>
    <w:rsid w:val="009856F3"/>
    <w:rsid w:val="009876D6"/>
    <w:rsid w:val="00991428"/>
    <w:rsid w:val="00992676"/>
    <w:rsid w:val="009933C1"/>
    <w:rsid w:val="009954B2"/>
    <w:rsid w:val="00996691"/>
    <w:rsid w:val="00996A08"/>
    <w:rsid w:val="009A5400"/>
    <w:rsid w:val="009A7098"/>
    <w:rsid w:val="009B0723"/>
    <w:rsid w:val="009B07AD"/>
    <w:rsid w:val="009B0883"/>
    <w:rsid w:val="009B095D"/>
    <w:rsid w:val="009B15E2"/>
    <w:rsid w:val="009B2730"/>
    <w:rsid w:val="009B4976"/>
    <w:rsid w:val="009C0390"/>
    <w:rsid w:val="009C0941"/>
    <w:rsid w:val="009C0B8E"/>
    <w:rsid w:val="009C1651"/>
    <w:rsid w:val="009C1BC8"/>
    <w:rsid w:val="009C2442"/>
    <w:rsid w:val="009C5E52"/>
    <w:rsid w:val="009C7013"/>
    <w:rsid w:val="009C7CB4"/>
    <w:rsid w:val="009D0811"/>
    <w:rsid w:val="009D0EE1"/>
    <w:rsid w:val="009D24DB"/>
    <w:rsid w:val="009D75EA"/>
    <w:rsid w:val="009E05AE"/>
    <w:rsid w:val="009E29E2"/>
    <w:rsid w:val="009E2AEB"/>
    <w:rsid w:val="009E2E27"/>
    <w:rsid w:val="009E3535"/>
    <w:rsid w:val="009E39B2"/>
    <w:rsid w:val="009E40CB"/>
    <w:rsid w:val="009E48FA"/>
    <w:rsid w:val="009E4DE3"/>
    <w:rsid w:val="009E50BB"/>
    <w:rsid w:val="009E685E"/>
    <w:rsid w:val="009E787C"/>
    <w:rsid w:val="009F004B"/>
    <w:rsid w:val="009F275E"/>
    <w:rsid w:val="00A00742"/>
    <w:rsid w:val="00A047EE"/>
    <w:rsid w:val="00A0480B"/>
    <w:rsid w:val="00A048DE"/>
    <w:rsid w:val="00A05ABF"/>
    <w:rsid w:val="00A06D61"/>
    <w:rsid w:val="00A074E5"/>
    <w:rsid w:val="00A079B1"/>
    <w:rsid w:val="00A07E6F"/>
    <w:rsid w:val="00A10505"/>
    <w:rsid w:val="00A10828"/>
    <w:rsid w:val="00A10C41"/>
    <w:rsid w:val="00A11858"/>
    <w:rsid w:val="00A11E80"/>
    <w:rsid w:val="00A12A9E"/>
    <w:rsid w:val="00A13F11"/>
    <w:rsid w:val="00A154EB"/>
    <w:rsid w:val="00A16616"/>
    <w:rsid w:val="00A17858"/>
    <w:rsid w:val="00A17FE6"/>
    <w:rsid w:val="00A20951"/>
    <w:rsid w:val="00A223C5"/>
    <w:rsid w:val="00A2274A"/>
    <w:rsid w:val="00A235B7"/>
    <w:rsid w:val="00A23ECB"/>
    <w:rsid w:val="00A247D1"/>
    <w:rsid w:val="00A24BF3"/>
    <w:rsid w:val="00A265E1"/>
    <w:rsid w:val="00A26868"/>
    <w:rsid w:val="00A27A7A"/>
    <w:rsid w:val="00A33FA6"/>
    <w:rsid w:val="00A34AB9"/>
    <w:rsid w:val="00A35C34"/>
    <w:rsid w:val="00A40090"/>
    <w:rsid w:val="00A407EF"/>
    <w:rsid w:val="00A4099E"/>
    <w:rsid w:val="00A413B6"/>
    <w:rsid w:val="00A440C3"/>
    <w:rsid w:val="00A46B4C"/>
    <w:rsid w:val="00A47E33"/>
    <w:rsid w:val="00A50055"/>
    <w:rsid w:val="00A5117B"/>
    <w:rsid w:val="00A52005"/>
    <w:rsid w:val="00A54CB5"/>
    <w:rsid w:val="00A56BF6"/>
    <w:rsid w:val="00A57FE8"/>
    <w:rsid w:val="00A60074"/>
    <w:rsid w:val="00A604B8"/>
    <w:rsid w:val="00A60FCD"/>
    <w:rsid w:val="00A620A6"/>
    <w:rsid w:val="00A62FDA"/>
    <w:rsid w:val="00A6490F"/>
    <w:rsid w:val="00A64FE1"/>
    <w:rsid w:val="00A6627C"/>
    <w:rsid w:val="00A70CF4"/>
    <w:rsid w:val="00A71019"/>
    <w:rsid w:val="00A76D66"/>
    <w:rsid w:val="00A7758E"/>
    <w:rsid w:val="00A80A86"/>
    <w:rsid w:val="00A81029"/>
    <w:rsid w:val="00A81855"/>
    <w:rsid w:val="00A83335"/>
    <w:rsid w:val="00A83503"/>
    <w:rsid w:val="00A83E9F"/>
    <w:rsid w:val="00A871E6"/>
    <w:rsid w:val="00A921F0"/>
    <w:rsid w:val="00A9323F"/>
    <w:rsid w:val="00A950B4"/>
    <w:rsid w:val="00A96489"/>
    <w:rsid w:val="00A966EE"/>
    <w:rsid w:val="00A96AD7"/>
    <w:rsid w:val="00A979B6"/>
    <w:rsid w:val="00A97E32"/>
    <w:rsid w:val="00AA03F0"/>
    <w:rsid w:val="00AA51F6"/>
    <w:rsid w:val="00AA55B5"/>
    <w:rsid w:val="00AA562C"/>
    <w:rsid w:val="00AA6915"/>
    <w:rsid w:val="00AB14C3"/>
    <w:rsid w:val="00AB231A"/>
    <w:rsid w:val="00AB3CAF"/>
    <w:rsid w:val="00AB4A5D"/>
    <w:rsid w:val="00AB685C"/>
    <w:rsid w:val="00AB6C2D"/>
    <w:rsid w:val="00AB6CBE"/>
    <w:rsid w:val="00AC08F7"/>
    <w:rsid w:val="00AC0E16"/>
    <w:rsid w:val="00AC2589"/>
    <w:rsid w:val="00AC3839"/>
    <w:rsid w:val="00AC4C4F"/>
    <w:rsid w:val="00AC4DDD"/>
    <w:rsid w:val="00AC4E30"/>
    <w:rsid w:val="00AC7082"/>
    <w:rsid w:val="00AD2931"/>
    <w:rsid w:val="00AD513F"/>
    <w:rsid w:val="00AD519F"/>
    <w:rsid w:val="00AD60B2"/>
    <w:rsid w:val="00AD6870"/>
    <w:rsid w:val="00AE2316"/>
    <w:rsid w:val="00AE4DD3"/>
    <w:rsid w:val="00AE74BA"/>
    <w:rsid w:val="00AE792D"/>
    <w:rsid w:val="00AE7FC3"/>
    <w:rsid w:val="00AF228E"/>
    <w:rsid w:val="00AF397F"/>
    <w:rsid w:val="00AF45FF"/>
    <w:rsid w:val="00AF5DB3"/>
    <w:rsid w:val="00AF6EDA"/>
    <w:rsid w:val="00B016A8"/>
    <w:rsid w:val="00B01CC5"/>
    <w:rsid w:val="00B02090"/>
    <w:rsid w:val="00B035C4"/>
    <w:rsid w:val="00B070D2"/>
    <w:rsid w:val="00B07CCF"/>
    <w:rsid w:val="00B10548"/>
    <w:rsid w:val="00B12499"/>
    <w:rsid w:val="00B12EF7"/>
    <w:rsid w:val="00B14819"/>
    <w:rsid w:val="00B153B0"/>
    <w:rsid w:val="00B15E2F"/>
    <w:rsid w:val="00B1758B"/>
    <w:rsid w:val="00B17AA9"/>
    <w:rsid w:val="00B23425"/>
    <w:rsid w:val="00B248BB"/>
    <w:rsid w:val="00B262A6"/>
    <w:rsid w:val="00B30D9A"/>
    <w:rsid w:val="00B36FB1"/>
    <w:rsid w:val="00B400EF"/>
    <w:rsid w:val="00B43D7F"/>
    <w:rsid w:val="00B44713"/>
    <w:rsid w:val="00B46786"/>
    <w:rsid w:val="00B47474"/>
    <w:rsid w:val="00B50D97"/>
    <w:rsid w:val="00B52D3E"/>
    <w:rsid w:val="00B553EE"/>
    <w:rsid w:val="00B55B03"/>
    <w:rsid w:val="00B56103"/>
    <w:rsid w:val="00B57DDF"/>
    <w:rsid w:val="00B63905"/>
    <w:rsid w:val="00B639B4"/>
    <w:rsid w:val="00B63C26"/>
    <w:rsid w:val="00B643EB"/>
    <w:rsid w:val="00B64929"/>
    <w:rsid w:val="00B67032"/>
    <w:rsid w:val="00B67C1B"/>
    <w:rsid w:val="00B70CB2"/>
    <w:rsid w:val="00B71478"/>
    <w:rsid w:val="00B71F29"/>
    <w:rsid w:val="00B7251B"/>
    <w:rsid w:val="00B726D1"/>
    <w:rsid w:val="00B736DF"/>
    <w:rsid w:val="00B743D5"/>
    <w:rsid w:val="00B743D6"/>
    <w:rsid w:val="00B74FBD"/>
    <w:rsid w:val="00B77F46"/>
    <w:rsid w:val="00B80A80"/>
    <w:rsid w:val="00B82586"/>
    <w:rsid w:val="00B825ED"/>
    <w:rsid w:val="00B82848"/>
    <w:rsid w:val="00B829A3"/>
    <w:rsid w:val="00B83AC6"/>
    <w:rsid w:val="00B85658"/>
    <w:rsid w:val="00B85F64"/>
    <w:rsid w:val="00B86DB1"/>
    <w:rsid w:val="00B86FF7"/>
    <w:rsid w:val="00B87869"/>
    <w:rsid w:val="00B9119B"/>
    <w:rsid w:val="00B934AC"/>
    <w:rsid w:val="00B96CE3"/>
    <w:rsid w:val="00B97068"/>
    <w:rsid w:val="00B97791"/>
    <w:rsid w:val="00BA1C8C"/>
    <w:rsid w:val="00BA1FFA"/>
    <w:rsid w:val="00BA2A16"/>
    <w:rsid w:val="00BA543A"/>
    <w:rsid w:val="00BB0222"/>
    <w:rsid w:val="00BB0F2B"/>
    <w:rsid w:val="00BB17CC"/>
    <w:rsid w:val="00BB38D1"/>
    <w:rsid w:val="00BB3B47"/>
    <w:rsid w:val="00BB3F21"/>
    <w:rsid w:val="00BB4C81"/>
    <w:rsid w:val="00BC1B03"/>
    <w:rsid w:val="00BC2C54"/>
    <w:rsid w:val="00BC48C2"/>
    <w:rsid w:val="00BC5F16"/>
    <w:rsid w:val="00BC7439"/>
    <w:rsid w:val="00BD73DA"/>
    <w:rsid w:val="00BE4FF3"/>
    <w:rsid w:val="00BF0788"/>
    <w:rsid w:val="00BF23F8"/>
    <w:rsid w:val="00BF373B"/>
    <w:rsid w:val="00BF426C"/>
    <w:rsid w:val="00BF4379"/>
    <w:rsid w:val="00BF4753"/>
    <w:rsid w:val="00BF50F7"/>
    <w:rsid w:val="00BF53B3"/>
    <w:rsid w:val="00BF5F17"/>
    <w:rsid w:val="00BF661C"/>
    <w:rsid w:val="00BF764D"/>
    <w:rsid w:val="00C004AF"/>
    <w:rsid w:val="00C00B20"/>
    <w:rsid w:val="00C00E77"/>
    <w:rsid w:val="00C01BA9"/>
    <w:rsid w:val="00C01C02"/>
    <w:rsid w:val="00C02F29"/>
    <w:rsid w:val="00C1163F"/>
    <w:rsid w:val="00C145E0"/>
    <w:rsid w:val="00C15FA2"/>
    <w:rsid w:val="00C17897"/>
    <w:rsid w:val="00C20AFE"/>
    <w:rsid w:val="00C22A25"/>
    <w:rsid w:val="00C22CAD"/>
    <w:rsid w:val="00C234C2"/>
    <w:rsid w:val="00C263C1"/>
    <w:rsid w:val="00C31182"/>
    <w:rsid w:val="00C35671"/>
    <w:rsid w:val="00C35B77"/>
    <w:rsid w:val="00C35F52"/>
    <w:rsid w:val="00C376EB"/>
    <w:rsid w:val="00C37E11"/>
    <w:rsid w:val="00C40CF9"/>
    <w:rsid w:val="00C43875"/>
    <w:rsid w:val="00C44A6A"/>
    <w:rsid w:val="00C46A92"/>
    <w:rsid w:val="00C46DF7"/>
    <w:rsid w:val="00C46EC1"/>
    <w:rsid w:val="00C506BF"/>
    <w:rsid w:val="00C52796"/>
    <w:rsid w:val="00C53E2C"/>
    <w:rsid w:val="00C550C8"/>
    <w:rsid w:val="00C56B61"/>
    <w:rsid w:val="00C56E2A"/>
    <w:rsid w:val="00C60455"/>
    <w:rsid w:val="00C606C3"/>
    <w:rsid w:val="00C608E4"/>
    <w:rsid w:val="00C60B85"/>
    <w:rsid w:val="00C620F4"/>
    <w:rsid w:val="00C62B9E"/>
    <w:rsid w:val="00C63E03"/>
    <w:rsid w:val="00C670E9"/>
    <w:rsid w:val="00C7098D"/>
    <w:rsid w:val="00C71DE2"/>
    <w:rsid w:val="00C725C6"/>
    <w:rsid w:val="00C72848"/>
    <w:rsid w:val="00C730B7"/>
    <w:rsid w:val="00C73D8E"/>
    <w:rsid w:val="00C75675"/>
    <w:rsid w:val="00C75817"/>
    <w:rsid w:val="00C7729F"/>
    <w:rsid w:val="00C7736C"/>
    <w:rsid w:val="00C77524"/>
    <w:rsid w:val="00C77971"/>
    <w:rsid w:val="00C80C16"/>
    <w:rsid w:val="00C82D87"/>
    <w:rsid w:val="00C86EAB"/>
    <w:rsid w:val="00C8712A"/>
    <w:rsid w:val="00C963D3"/>
    <w:rsid w:val="00C96EC2"/>
    <w:rsid w:val="00C97F68"/>
    <w:rsid w:val="00CA35A4"/>
    <w:rsid w:val="00CA4B81"/>
    <w:rsid w:val="00CA7069"/>
    <w:rsid w:val="00CB1983"/>
    <w:rsid w:val="00CB2233"/>
    <w:rsid w:val="00CB2CBB"/>
    <w:rsid w:val="00CB3B3A"/>
    <w:rsid w:val="00CB4434"/>
    <w:rsid w:val="00CB5537"/>
    <w:rsid w:val="00CB7CAC"/>
    <w:rsid w:val="00CC0628"/>
    <w:rsid w:val="00CC1BD1"/>
    <w:rsid w:val="00CC26A0"/>
    <w:rsid w:val="00CC2C24"/>
    <w:rsid w:val="00CC5335"/>
    <w:rsid w:val="00CC5BA4"/>
    <w:rsid w:val="00CC7721"/>
    <w:rsid w:val="00CD1BA9"/>
    <w:rsid w:val="00CD358D"/>
    <w:rsid w:val="00CD4249"/>
    <w:rsid w:val="00CD4998"/>
    <w:rsid w:val="00CD52F5"/>
    <w:rsid w:val="00CD6E08"/>
    <w:rsid w:val="00CE0931"/>
    <w:rsid w:val="00CE1035"/>
    <w:rsid w:val="00CE4206"/>
    <w:rsid w:val="00CE6E50"/>
    <w:rsid w:val="00CF2819"/>
    <w:rsid w:val="00CF46B3"/>
    <w:rsid w:val="00CF4F9D"/>
    <w:rsid w:val="00CF6608"/>
    <w:rsid w:val="00CF70DC"/>
    <w:rsid w:val="00D00AF8"/>
    <w:rsid w:val="00D02901"/>
    <w:rsid w:val="00D1162D"/>
    <w:rsid w:val="00D148AC"/>
    <w:rsid w:val="00D148DC"/>
    <w:rsid w:val="00D14A86"/>
    <w:rsid w:val="00D16571"/>
    <w:rsid w:val="00D16D05"/>
    <w:rsid w:val="00D17C1A"/>
    <w:rsid w:val="00D17FDC"/>
    <w:rsid w:val="00D21F62"/>
    <w:rsid w:val="00D254D4"/>
    <w:rsid w:val="00D26E26"/>
    <w:rsid w:val="00D324AE"/>
    <w:rsid w:val="00D339AB"/>
    <w:rsid w:val="00D33B8C"/>
    <w:rsid w:val="00D34CCB"/>
    <w:rsid w:val="00D3649F"/>
    <w:rsid w:val="00D36A8E"/>
    <w:rsid w:val="00D37914"/>
    <w:rsid w:val="00D401FE"/>
    <w:rsid w:val="00D43B3A"/>
    <w:rsid w:val="00D43B98"/>
    <w:rsid w:val="00D43F9E"/>
    <w:rsid w:val="00D4535B"/>
    <w:rsid w:val="00D45567"/>
    <w:rsid w:val="00D46891"/>
    <w:rsid w:val="00D509A5"/>
    <w:rsid w:val="00D558A2"/>
    <w:rsid w:val="00D56B4E"/>
    <w:rsid w:val="00D57C6A"/>
    <w:rsid w:val="00D6047D"/>
    <w:rsid w:val="00D608A4"/>
    <w:rsid w:val="00D60E46"/>
    <w:rsid w:val="00D61C44"/>
    <w:rsid w:val="00D61D2A"/>
    <w:rsid w:val="00D625C9"/>
    <w:rsid w:val="00D63EFD"/>
    <w:rsid w:val="00D651FD"/>
    <w:rsid w:val="00D66721"/>
    <w:rsid w:val="00D66F96"/>
    <w:rsid w:val="00D7330C"/>
    <w:rsid w:val="00D75351"/>
    <w:rsid w:val="00D7641C"/>
    <w:rsid w:val="00D769AD"/>
    <w:rsid w:val="00D81DA9"/>
    <w:rsid w:val="00D84752"/>
    <w:rsid w:val="00D859BA"/>
    <w:rsid w:val="00D86B3B"/>
    <w:rsid w:val="00D8748A"/>
    <w:rsid w:val="00D90F95"/>
    <w:rsid w:val="00D9187D"/>
    <w:rsid w:val="00D924E8"/>
    <w:rsid w:val="00D93196"/>
    <w:rsid w:val="00D93778"/>
    <w:rsid w:val="00D95496"/>
    <w:rsid w:val="00D9638C"/>
    <w:rsid w:val="00DA0DC0"/>
    <w:rsid w:val="00DA259F"/>
    <w:rsid w:val="00DB0EFA"/>
    <w:rsid w:val="00DB0F62"/>
    <w:rsid w:val="00DB1163"/>
    <w:rsid w:val="00DB1D76"/>
    <w:rsid w:val="00DB243C"/>
    <w:rsid w:val="00DB2A77"/>
    <w:rsid w:val="00DB469C"/>
    <w:rsid w:val="00DB482A"/>
    <w:rsid w:val="00DB56F2"/>
    <w:rsid w:val="00DB5C5C"/>
    <w:rsid w:val="00DB64BF"/>
    <w:rsid w:val="00DB6EF5"/>
    <w:rsid w:val="00DC3089"/>
    <w:rsid w:val="00DC4420"/>
    <w:rsid w:val="00DD0802"/>
    <w:rsid w:val="00DD12B7"/>
    <w:rsid w:val="00DD2E11"/>
    <w:rsid w:val="00DD406C"/>
    <w:rsid w:val="00DD47EF"/>
    <w:rsid w:val="00DD4E8B"/>
    <w:rsid w:val="00DE03AF"/>
    <w:rsid w:val="00DE121C"/>
    <w:rsid w:val="00DE4430"/>
    <w:rsid w:val="00DE6633"/>
    <w:rsid w:val="00DF0864"/>
    <w:rsid w:val="00DF1788"/>
    <w:rsid w:val="00DF556C"/>
    <w:rsid w:val="00DF696C"/>
    <w:rsid w:val="00DF6F9E"/>
    <w:rsid w:val="00DF75F8"/>
    <w:rsid w:val="00DF7A3A"/>
    <w:rsid w:val="00E00C00"/>
    <w:rsid w:val="00E02F01"/>
    <w:rsid w:val="00E0314F"/>
    <w:rsid w:val="00E03AF0"/>
    <w:rsid w:val="00E03F30"/>
    <w:rsid w:val="00E07A24"/>
    <w:rsid w:val="00E07C5A"/>
    <w:rsid w:val="00E1022F"/>
    <w:rsid w:val="00E12FFE"/>
    <w:rsid w:val="00E14918"/>
    <w:rsid w:val="00E15430"/>
    <w:rsid w:val="00E15BA9"/>
    <w:rsid w:val="00E17295"/>
    <w:rsid w:val="00E219DC"/>
    <w:rsid w:val="00E23410"/>
    <w:rsid w:val="00E25F69"/>
    <w:rsid w:val="00E26E19"/>
    <w:rsid w:val="00E27FC9"/>
    <w:rsid w:val="00E30777"/>
    <w:rsid w:val="00E30C8A"/>
    <w:rsid w:val="00E31DF3"/>
    <w:rsid w:val="00E32BAD"/>
    <w:rsid w:val="00E3324C"/>
    <w:rsid w:val="00E3420E"/>
    <w:rsid w:val="00E347EE"/>
    <w:rsid w:val="00E34851"/>
    <w:rsid w:val="00E34E00"/>
    <w:rsid w:val="00E352AC"/>
    <w:rsid w:val="00E36039"/>
    <w:rsid w:val="00E36E52"/>
    <w:rsid w:val="00E378E8"/>
    <w:rsid w:val="00E40581"/>
    <w:rsid w:val="00E43E58"/>
    <w:rsid w:val="00E441C1"/>
    <w:rsid w:val="00E450A4"/>
    <w:rsid w:val="00E502FC"/>
    <w:rsid w:val="00E506BE"/>
    <w:rsid w:val="00E52BCA"/>
    <w:rsid w:val="00E53791"/>
    <w:rsid w:val="00E54D95"/>
    <w:rsid w:val="00E54DE5"/>
    <w:rsid w:val="00E55547"/>
    <w:rsid w:val="00E5610C"/>
    <w:rsid w:val="00E56BAF"/>
    <w:rsid w:val="00E56D33"/>
    <w:rsid w:val="00E604A1"/>
    <w:rsid w:val="00E6292D"/>
    <w:rsid w:val="00E6302B"/>
    <w:rsid w:val="00E6452F"/>
    <w:rsid w:val="00E64F45"/>
    <w:rsid w:val="00E663CA"/>
    <w:rsid w:val="00E6742D"/>
    <w:rsid w:val="00E67C5C"/>
    <w:rsid w:val="00E708F2"/>
    <w:rsid w:val="00E71CB0"/>
    <w:rsid w:val="00E76346"/>
    <w:rsid w:val="00E770DC"/>
    <w:rsid w:val="00E77C3D"/>
    <w:rsid w:val="00E81160"/>
    <w:rsid w:val="00E83CE8"/>
    <w:rsid w:val="00E84227"/>
    <w:rsid w:val="00E852BB"/>
    <w:rsid w:val="00E90991"/>
    <w:rsid w:val="00E909F0"/>
    <w:rsid w:val="00E90BC6"/>
    <w:rsid w:val="00E90D47"/>
    <w:rsid w:val="00E90F4B"/>
    <w:rsid w:val="00E928E0"/>
    <w:rsid w:val="00E93647"/>
    <w:rsid w:val="00E93993"/>
    <w:rsid w:val="00E9597C"/>
    <w:rsid w:val="00E9624B"/>
    <w:rsid w:val="00E96EF2"/>
    <w:rsid w:val="00EA0913"/>
    <w:rsid w:val="00EA3FF8"/>
    <w:rsid w:val="00EA51AA"/>
    <w:rsid w:val="00EA5B00"/>
    <w:rsid w:val="00EA793D"/>
    <w:rsid w:val="00EB0BFA"/>
    <w:rsid w:val="00EB146B"/>
    <w:rsid w:val="00EB2A10"/>
    <w:rsid w:val="00EB45AC"/>
    <w:rsid w:val="00EB56E2"/>
    <w:rsid w:val="00EB5CA4"/>
    <w:rsid w:val="00EB70C1"/>
    <w:rsid w:val="00EC00F9"/>
    <w:rsid w:val="00EC242E"/>
    <w:rsid w:val="00EC2BA1"/>
    <w:rsid w:val="00ED0BC4"/>
    <w:rsid w:val="00ED20E8"/>
    <w:rsid w:val="00ED472A"/>
    <w:rsid w:val="00ED4ED3"/>
    <w:rsid w:val="00ED54B6"/>
    <w:rsid w:val="00ED707B"/>
    <w:rsid w:val="00EE146A"/>
    <w:rsid w:val="00EE4971"/>
    <w:rsid w:val="00EE4D1F"/>
    <w:rsid w:val="00EF090E"/>
    <w:rsid w:val="00EF0EC5"/>
    <w:rsid w:val="00EF1222"/>
    <w:rsid w:val="00EF2966"/>
    <w:rsid w:val="00EF3534"/>
    <w:rsid w:val="00EF5711"/>
    <w:rsid w:val="00EF6925"/>
    <w:rsid w:val="00EF7782"/>
    <w:rsid w:val="00F033DA"/>
    <w:rsid w:val="00F10C26"/>
    <w:rsid w:val="00F10D50"/>
    <w:rsid w:val="00F12813"/>
    <w:rsid w:val="00F13FB1"/>
    <w:rsid w:val="00F161DB"/>
    <w:rsid w:val="00F239D7"/>
    <w:rsid w:val="00F27296"/>
    <w:rsid w:val="00F27B92"/>
    <w:rsid w:val="00F27CD8"/>
    <w:rsid w:val="00F30351"/>
    <w:rsid w:val="00F32FC4"/>
    <w:rsid w:val="00F3323E"/>
    <w:rsid w:val="00F341F4"/>
    <w:rsid w:val="00F34F9D"/>
    <w:rsid w:val="00F35CCE"/>
    <w:rsid w:val="00F4178E"/>
    <w:rsid w:val="00F45115"/>
    <w:rsid w:val="00F477CB"/>
    <w:rsid w:val="00F47B45"/>
    <w:rsid w:val="00F51660"/>
    <w:rsid w:val="00F51B25"/>
    <w:rsid w:val="00F51FA0"/>
    <w:rsid w:val="00F526C2"/>
    <w:rsid w:val="00F53693"/>
    <w:rsid w:val="00F54181"/>
    <w:rsid w:val="00F5524B"/>
    <w:rsid w:val="00F570BB"/>
    <w:rsid w:val="00F60538"/>
    <w:rsid w:val="00F6082C"/>
    <w:rsid w:val="00F61DD2"/>
    <w:rsid w:val="00F6328D"/>
    <w:rsid w:val="00F65155"/>
    <w:rsid w:val="00F66AFF"/>
    <w:rsid w:val="00F71433"/>
    <w:rsid w:val="00F746BB"/>
    <w:rsid w:val="00F76CD4"/>
    <w:rsid w:val="00F77D8F"/>
    <w:rsid w:val="00F814B4"/>
    <w:rsid w:val="00F83464"/>
    <w:rsid w:val="00F83606"/>
    <w:rsid w:val="00F91EC7"/>
    <w:rsid w:val="00F924FE"/>
    <w:rsid w:val="00F93BE7"/>
    <w:rsid w:val="00F97C5B"/>
    <w:rsid w:val="00FA084F"/>
    <w:rsid w:val="00FA3D50"/>
    <w:rsid w:val="00FB5CC6"/>
    <w:rsid w:val="00FB6122"/>
    <w:rsid w:val="00FB7FBD"/>
    <w:rsid w:val="00FC0741"/>
    <w:rsid w:val="00FC235E"/>
    <w:rsid w:val="00FC374A"/>
    <w:rsid w:val="00FC48D8"/>
    <w:rsid w:val="00FC5F0B"/>
    <w:rsid w:val="00FC7348"/>
    <w:rsid w:val="00FC7B47"/>
    <w:rsid w:val="00FD035C"/>
    <w:rsid w:val="00FD0E74"/>
    <w:rsid w:val="00FD1719"/>
    <w:rsid w:val="00FD1A35"/>
    <w:rsid w:val="00FD36C5"/>
    <w:rsid w:val="00FD5C30"/>
    <w:rsid w:val="00FD6310"/>
    <w:rsid w:val="00FD7C7B"/>
    <w:rsid w:val="00FE006B"/>
    <w:rsid w:val="00FE13B5"/>
    <w:rsid w:val="00FE1D12"/>
    <w:rsid w:val="00FE2122"/>
    <w:rsid w:val="00FE2668"/>
    <w:rsid w:val="00FE2A86"/>
    <w:rsid w:val="00FE2DE2"/>
    <w:rsid w:val="00FE3C85"/>
    <w:rsid w:val="00FE4745"/>
    <w:rsid w:val="00FF296F"/>
    <w:rsid w:val="00FF343F"/>
    <w:rsid w:val="00FF3B45"/>
    <w:rsid w:val="00FF5CEC"/>
    <w:rsid w:val="00FF5E23"/>
    <w:rsid w:val="00FF6F6B"/>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
    <w:basedOn w:val="a"/>
    <w:link w:val="Char"/>
    <w:uiPriority w:val="99"/>
    <w:unhideWhenUsed/>
    <w:rsid w:val="00241B44"/>
    <w:rPr>
      <w:szCs w:val="20"/>
    </w:rPr>
  </w:style>
  <w:style w:type="character" w:customStyle="1" w:styleId="Char">
    <w:name w:val="Κείμενο υποσημείωσης Char"/>
    <w:aliases w:val="fn Char,Fußnotentext Char Char Char Char Char,Fußnotentext Char Char Char Char Char Char Char,Fußnotentext Char Char Char Char Char Char Char Char Char,Fußnotentextf Char,footnotes Char,Footnote Text Char2 Char Char,ft Char"/>
    <w:basedOn w:val="a0"/>
    <w:link w:val="a4"/>
    <w:uiPriority w:val="99"/>
    <w:rsid w:val="00241B44"/>
    <w:rPr>
      <w:sz w:val="20"/>
      <w:szCs w:val="20"/>
    </w:rPr>
  </w:style>
  <w:style w:type="character" w:styleId="a5">
    <w:name w:val="footnote reference"/>
    <w:aliases w:val="fr,Footnote Refernece,BVI fnr,callout,16 Point,Superscript 6 Point,Footnote Reference Superscript,Ref,de nota al pie,-E Fußnotenzeichen,number,SUPERS,EN Footnote Reference,-E Fuﬂnotenzeichen,-E Fuûnotenzeichen,Footnote numbe"/>
    <w:basedOn w:val="a0"/>
    <w:uiPriority w:val="99"/>
    <w:unhideWhenUsed/>
    <w:qFormat/>
    <w:rsid w:val="00241B44"/>
    <w:rPr>
      <w:vertAlign w:val="superscript"/>
    </w:rPr>
  </w:style>
  <w:style w:type="character" w:styleId="-">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6">
    <w:name w:val="annotation reference"/>
    <w:basedOn w:val="a0"/>
    <w:uiPriority w:val="99"/>
    <w:semiHidden/>
    <w:unhideWhenUsed/>
    <w:rsid w:val="008B5333"/>
    <w:rPr>
      <w:sz w:val="16"/>
      <w:szCs w:val="16"/>
    </w:rPr>
  </w:style>
  <w:style w:type="paragraph" w:styleId="a7">
    <w:name w:val="annotation text"/>
    <w:basedOn w:val="a"/>
    <w:link w:val="Char0"/>
    <w:uiPriority w:val="99"/>
    <w:semiHidden/>
    <w:unhideWhenUsed/>
    <w:rsid w:val="008B5333"/>
    <w:rPr>
      <w:szCs w:val="20"/>
    </w:rPr>
  </w:style>
  <w:style w:type="character" w:customStyle="1" w:styleId="Char0">
    <w:name w:val="Κείμενο σχολίου Char"/>
    <w:basedOn w:val="a0"/>
    <w:link w:val="a7"/>
    <w:uiPriority w:val="99"/>
    <w:semiHidden/>
    <w:rsid w:val="008B5333"/>
    <w:rPr>
      <w:rFonts w:eastAsia="Times New Roman"/>
      <w:sz w:val="20"/>
      <w:szCs w:val="20"/>
    </w:rPr>
  </w:style>
  <w:style w:type="paragraph" w:styleId="a8">
    <w:name w:val="annotation subject"/>
    <w:basedOn w:val="a7"/>
    <w:next w:val="a7"/>
    <w:link w:val="Char1"/>
    <w:uiPriority w:val="99"/>
    <w:semiHidden/>
    <w:unhideWhenUsed/>
    <w:rsid w:val="008B5333"/>
    <w:rPr>
      <w:b/>
      <w:bCs/>
    </w:rPr>
  </w:style>
  <w:style w:type="character" w:customStyle="1" w:styleId="Char1">
    <w:name w:val="Θέμα σχολίου Char"/>
    <w:basedOn w:val="Char0"/>
    <w:link w:val="a8"/>
    <w:uiPriority w:val="99"/>
    <w:semiHidden/>
    <w:rsid w:val="008B5333"/>
    <w:rPr>
      <w:rFonts w:eastAsia="Times New Roman"/>
      <w:b/>
      <w:bCs/>
      <w:sz w:val="20"/>
      <w:szCs w:val="20"/>
    </w:rPr>
  </w:style>
  <w:style w:type="paragraph" w:styleId="a9">
    <w:name w:val="Balloon Text"/>
    <w:basedOn w:val="a"/>
    <w:link w:val="Char2"/>
    <w:uiPriority w:val="99"/>
    <w:semiHidden/>
    <w:unhideWhenUsed/>
    <w:rsid w:val="008B5333"/>
    <w:rPr>
      <w:rFonts w:ascii="Tahoma" w:hAnsi="Tahoma" w:cs="Tahoma"/>
      <w:sz w:val="16"/>
      <w:szCs w:val="16"/>
    </w:rPr>
  </w:style>
  <w:style w:type="character" w:customStyle="1" w:styleId="Char2">
    <w:name w:val="Κείμενο πλαισίου Char"/>
    <w:basedOn w:val="a0"/>
    <w:link w:val="a9"/>
    <w:uiPriority w:val="99"/>
    <w:semiHidden/>
    <w:rsid w:val="008B5333"/>
    <w:rPr>
      <w:rFonts w:ascii="Tahoma" w:eastAsia="Times New Roman" w:hAnsi="Tahoma" w:cs="Tahoma"/>
      <w:sz w:val="16"/>
      <w:szCs w:val="16"/>
    </w:rPr>
  </w:style>
  <w:style w:type="paragraph" w:styleId="aa">
    <w:name w:val="footer"/>
    <w:basedOn w:val="a"/>
    <w:link w:val="Char3"/>
    <w:uiPriority w:val="99"/>
    <w:unhideWhenUsed/>
    <w:rsid w:val="00FC7B47"/>
    <w:pPr>
      <w:tabs>
        <w:tab w:val="center" w:pos="4513"/>
        <w:tab w:val="right" w:pos="9026"/>
      </w:tabs>
    </w:pPr>
  </w:style>
  <w:style w:type="character" w:customStyle="1" w:styleId="Char3">
    <w:name w:val="Υποσέλιδο Char"/>
    <w:basedOn w:val="a0"/>
    <w:link w:val="aa"/>
    <w:uiPriority w:val="99"/>
    <w:rsid w:val="00FC7B47"/>
    <w:rPr>
      <w:rFonts w:eastAsia="Times New Roman"/>
      <w:sz w:val="20"/>
    </w:rPr>
  </w:style>
  <w:style w:type="character" w:styleId="ab">
    <w:name w:val="page number"/>
    <w:basedOn w:val="a0"/>
    <w:uiPriority w:val="99"/>
    <w:semiHidden/>
    <w:unhideWhenUsed/>
    <w:rsid w:val="00FC7B47"/>
  </w:style>
  <w:style w:type="paragraph" w:styleId="ac">
    <w:name w:val="header"/>
    <w:basedOn w:val="a"/>
    <w:link w:val="Char4"/>
    <w:uiPriority w:val="99"/>
    <w:unhideWhenUsed/>
    <w:rsid w:val="00FC7B47"/>
    <w:pPr>
      <w:tabs>
        <w:tab w:val="center" w:pos="4513"/>
        <w:tab w:val="right" w:pos="9026"/>
      </w:tabs>
    </w:pPr>
  </w:style>
  <w:style w:type="character" w:customStyle="1" w:styleId="Char4">
    <w:name w:val="Κεφαλίδα Char"/>
    <w:basedOn w:val="a0"/>
    <w:link w:val="ac"/>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0">
    <w:name w:val="FollowedHyperlink"/>
    <w:basedOn w:val="a0"/>
    <w:uiPriority w:val="99"/>
    <w:semiHidden/>
    <w:unhideWhenUsed/>
    <w:rsid w:val="00E6452F"/>
    <w:rPr>
      <w:color w:val="954F72" w:themeColor="followedHyperlink"/>
      <w:u w:val="single"/>
    </w:rPr>
  </w:style>
  <w:style w:type="character" w:styleId="ad">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250088533">
      <w:bodyDiv w:val="1"/>
      <w:marLeft w:val="0"/>
      <w:marRight w:val="0"/>
      <w:marTop w:val="0"/>
      <w:marBottom w:val="0"/>
      <w:divBdr>
        <w:top w:val="none" w:sz="0" w:space="0" w:color="auto"/>
        <w:left w:val="none" w:sz="0" w:space="0" w:color="auto"/>
        <w:bottom w:val="none" w:sz="0" w:space="0" w:color="auto"/>
        <w:right w:val="none" w:sz="0" w:space="0" w:color="auto"/>
      </w:divBdr>
    </w:div>
    <w:div w:id="445009581">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79170308">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351371411">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9684</Words>
  <Characters>52298</Characters>
  <Application>Microsoft Office Word</Application>
  <DocSecurity>0</DocSecurity>
  <Lines>435</Lines>
  <Paragraphs>123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Marion Giannakou</cp:lastModifiedBy>
  <cp:revision>899</cp:revision>
  <cp:lastPrinted>2023-04-30T14:17:00Z</cp:lastPrinted>
  <dcterms:created xsi:type="dcterms:W3CDTF">2022-06-13T14:47:00Z</dcterms:created>
  <dcterms:modified xsi:type="dcterms:W3CDTF">2023-05-07T18:12:00Z</dcterms:modified>
</cp:coreProperties>
</file>