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001D7A" w:rsidRDefault="00AE5B6F" w:rsidP="00B04033">
      <w:pPr>
        <w:pStyle w:val="Prrafodelista"/>
        <w:numPr>
          <w:ilvl w:val="0"/>
          <w:numId w:val="1"/>
        </w:numPr>
        <w:ind w:left="426"/>
        <w:jc w:val="both"/>
        <w:rPr>
          <w:rFonts w:ascii="Avenir Next" w:hAnsi="Avenir Next" w:cs="Arial"/>
          <w:sz w:val="22"/>
          <w:szCs w:val="22"/>
          <w:highlight w:val="yellow"/>
          <w:lang w:val="en-GB"/>
        </w:rPr>
      </w:pPr>
      <w:r w:rsidRPr="00001D7A">
        <w:rPr>
          <w:rFonts w:ascii="Avenir Next" w:hAnsi="Avenir Next" w:cs="Arial"/>
          <w:sz w:val="22"/>
          <w:szCs w:val="22"/>
          <w:highlight w:val="yellow"/>
          <w:lang w:val="en-GB"/>
        </w:rPr>
        <w:t>w</w:t>
      </w:r>
      <w:r w:rsidR="00C91062" w:rsidRPr="00001D7A">
        <w:rPr>
          <w:rFonts w:ascii="Avenir Next" w:hAnsi="Avenir Next" w:cs="Arial"/>
          <w:sz w:val="22"/>
          <w:szCs w:val="22"/>
          <w:highlight w:val="yellow"/>
          <w:lang w:val="en-GB"/>
        </w:rPr>
        <w:t>ithin 8 weeks of the commencement of the administration</w:t>
      </w:r>
      <w:r w:rsidR="00763348" w:rsidRPr="00001D7A">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Prrafode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Prrafode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Prrafodelista"/>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001D7A" w:rsidRDefault="00E443D7" w:rsidP="00B04033">
      <w:pPr>
        <w:pStyle w:val="Prrafodelista"/>
        <w:numPr>
          <w:ilvl w:val="0"/>
          <w:numId w:val="2"/>
        </w:numPr>
        <w:ind w:left="426"/>
        <w:jc w:val="both"/>
        <w:rPr>
          <w:rFonts w:ascii="Avenir Next" w:hAnsi="Avenir Next" w:cs="Arial"/>
          <w:sz w:val="22"/>
          <w:szCs w:val="22"/>
          <w:highlight w:val="yellow"/>
          <w:lang w:val="en-GB"/>
        </w:rPr>
      </w:pPr>
      <w:r w:rsidRPr="00001D7A">
        <w:rPr>
          <w:rFonts w:ascii="Avenir Next" w:hAnsi="Avenir Next" w:cs="Arial"/>
          <w:sz w:val="22"/>
          <w:szCs w:val="22"/>
          <w:highlight w:val="yellow"/>
          <w:lang w:val="en-GB"/>
        </w:rPr>
        <w:t>One year</w:t>
      </w:r>
      <w:r w:rsidR="00763348" w:rsidRPr="00001D7A">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Prrafode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Prrafode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Prrafodelista"/>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D46DBB" w:rsidRDefault="00AE5B6F" w:rsidP="00B04033">
      <w:pPr>
        <w:pStyle w:val="Prrafodelista"/>
        <w:numPr>
          <w:ilvl w:val="0"/>
          <w:numId w:val="3"/>
        </w:numPr>
        <w:ind w:left="426"/>
        <w:jc w:val="both"/>
        <w:rPr>
          <w:rFonts w:ascii="Avenir Next" w:hAnsi="Avenir Next" w:cs="Arial"/>
          <w:sz w:val="22"/>
          <w:szCs w:val="22"/>
          <w:highlight w:val="yellow"/>
          <w:lang w:val="en-GB"/>
        </w:rPr>
      </w:pPr>
      <w:r w:rsidRPr="00D46DBB">
        <w:rPr>
          <w:rFonts w:ascii="Avenir Next" w:hAnsi="Avenir Next" w:cs="Arial"/>
          <w:sz w:val="22"/>
          <w:szCs w:val="22"/>
          <w:highlight w:val="yellow"/>
          <w:lang w:val="en-GB"/>
        </w:rPr>
        <w:t>T</w:t>
      </w:r>
      <w:r w:rsidR="008D1616" w:rsidRPr="00D46DBB">
        <w:rPr>
          <w:rFonts w:ascii="Avenir Next" w:hAnsi="Avenir Next" w:cs="Arial"/>
          <w:sz w:val="22"/>
          <w:szCs w:val="22"/>
          <w:highlight w:val="yellow"/>
          <w:lang w:val="en-GB"/>
        </w:rPr>
        <w:t>he company is, or is likely to become, unable to pay their debts, as defined under s</w:t>
      </w:r>
      <w:r w:rsidR="00E833F4" w:rsidRPr="00D46DBB">
        <w:rPr>
          <w:rFonts w:ascii="Avenir Next" w:hAnsi="Avenir Next" w:cs="Arial"/>
          <w:sz w:val="22"/>
          <w:szCs w:val="22"/>
          <w:highlight w:val="yellow"/>
          <w:lang w:val="en-GB"/>
        </w:rPr>
        <w:t>ection</w:t>
      </w:r>
      <w:r w:rsidR="008D1616" w:rsidRPr="00D46DBB">
        <w:rPr>
          <w:rFonts w:ascii="Avenir Next" w:hAnsi="Avenir Next" w:cs="Arial"/>
          <w:sz w:val="22"/>
          <w:szCs w:val="22"/>
          <w:highlight w:val="yellow"/>
          <w:lang w:val="en-GB"/>
        </w:rPr>
        <w:t xml:space="preserve"> 123 of the Insolvency Act 1986</w:t>
      </w:r>
      <w:r w:rsidR="00763348" w:rsidRPr="00D46DBB">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D46DBB" w:rsidRDefault="00C91062" w:rsidP="00B04033">
      <w:pPr>
        <w:pStyle w:val="Prrafodelista"/>
        <w:numPr>
          <w:ilvl w:val="0"/>
          <w:numId w:val="4"/>
        </w:numPr>
        <w:ind w:left="426"/>
        <w:jc w:val="both"/>
        <w:rPr>
          <w:rFonts w:ascii="Avenir Next" w:hAnsi="Avenir Next" w:cs="Arial"/>
          <w:sz w:val="22"/>
          <w:szCs w:val="22"/>
          <w:highlight w:val="yellow"/>
          <w:lang w:val="en-GB"/>
        </w:rPr>
      </w:pPr>
      <w:r w:rsidRPr="00D46DBB">
        <w:rPr>
          <w:rFonts w:ascii="Avenir Next" w:hAnsi="Avenir Next" w:cs="Arial"/>
          <w:sz w:val="22"/>
          <w:szCs w:val="22"/>
          <w:highlight w:val="yellow"/>
          <w:lang w:val="en-GB"/>
        </w:rPr>
        <w:t>The administrator</w:t>
      </w:r>
      <w:r w:rsidR="00763348" w:rsidRPr="00D46DBB">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Prrafode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Prrafodelista"/>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Prrafodelista"/>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BD6A1F" w:rsidRDefault="00BA1CFD" w:rsidP="00B04033">
      <w:pPr>
        <w:pStyle w:val="Prrafodelista"/>
        <w:numPr>
          <w:ilvl w:val="0"/>
          <w:numId w:val="5"/>
        </w:numPr>
        <w:ind w:left="426"/>
        <w:jc w:val="both"/>
        <w:rPr>
          <w:rFonts w:ascii="Avenir Next" w:hAnsi="Avenir Next" w:cs="Arial"/>
          <w:sz w:val="22"/>
          <w:szCs w:val="22"/>
          <w:highlight w:val="yellow"/>
          <w:lang w:val="en-GB"/>
        </w:rPr>
      </w:pPr>
      <w:r w:rsidRPr="00BD6A1F">
        <w:rPr>
          <w:rFonts w:ascii="Avenir Next" w:hAnsi="Avenir Next" w:cs="Arial"/>
          <w:sz w:val="22"/>
          <w:szCs w:val="22"/>
          <w:highlight w:val="yellow"/>
          <w:lang w:val="en-GB"/>
        </w:rPr>
        <w:t>Administration</w:t>
      </w:r>
      <w:r w:rsidR="00763348" w:rsidRPr="00BD6A1F">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Prrafode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Prrafode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Prrafodelista"/>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Prrafode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Prrafode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BD6A1F" w:rsidRDefault="001F3C98" w:rsidP="00B04033">
      <w:pPr>
        <w:pStyle w:val="Prrafodelista"/>
        <w:numPr>
          <w:ilvl w:val="0"/>
          <w:numId w:val="6"/>
        </w:numPr>
        <w:ind w:left="426"/>
        <w:jc w:val="both"/>
        <w:rPr>
          <w:rFonts w:ascii="Avenir Next" w:hAnsi="Avenir Next" w:cs="Arial"/>
          <w:sz w:val="22"/>
          <w:szCs w:val="22"/>
          <w:highlight w:val="yellow"/>
          <w:lang w:val="en-GB"/>
        </w:rPr>
      </w:pPr>
      <w:r w:rsidRPr="00BD6A1F">
        <w:rPr>
          <w:rFonts w:ascii="Avenir Next" w:hAnsi="Avenir Next" w:cs="Arial"/>
          <w:sz w:val="22"/>
          <w:szCs w:val="22"/>
          <w:highlight w:val="yellow"/>
          <w:lang w:val="en-GB"/>
        </w:rPr>
        <w:t xml:space="preserve">GBP </w:t>
      </w:r>
      <w:r w:rsidR="00BA1CFD" w:rsidRPr="00BD6A1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Prrafodelista"/>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C34459" w:rsidRDefault="00BA1CFD" w:rsidP="00B04033">
      <w:pPr>
        <w:pStyle w:val="Prrafodelista"/>
        <w:numPr>
          <w:ilvl w:val="0"/>
          <w:numId w:val="7"/>
        </w:numPr>
        <w:ind w:left="426"/>
        <w:jc w:val="both"/>
        <w:rPr>
          <w:rFonts w:ascii="Avenir Next" w:hAnsi="Avenir Next" w:cs="Arial"/>
          <w:sz w:val="22"/>
          <w:szCs w:val="22"/>
          <w:highlight w:val="yellow"/>
          <w:lang w:val="en-GB"/>
        </w:rPr>
      </w:pPr>
      <w:r w:rsidRPr="00C34459">
        <w:rPr>
          <w:rFonts w:ascii="Avenir Next" w:hAnsi="Avenir Next" w:cs="Arial"/>
          <w:sz w:val="22"/>
          <w:szCs w:val="22"/>
          <w:highlight w:val="yellow"/>
          <w:lang w:val="en-GB"/>
        </w:rPr>
        <w:t>Wrongful trading</w:t>
      </w:r>
      <w:r w:rsidR="00763348" w:rsidRPr="00C34459">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Prrafodelista"/>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Prrafode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Prrafodelista"/>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Prrafode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Prrafode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F0B8D" w:rsidRDefault="00876F56" w:rsidP="00B04033">
      <w:pPr>
        <w:pStyle w:val="Prrafodelista"/>
        <w:numPr>
          <w:ilvl w:val="0"/>
          <w:numId w:val="8"/>
        </w:numPr>
        <w:ind w:left="426"/>
        <w:jc w:val="both"/>
        <w:rPr>
          <w:rFonts w:ascii="Avenir Next" w:hAnsi="Avenir Next" w:cs="Arial"/>
          <w:sz w:val="22"/>
          <w:szCs w:val="22"/>
          <w:highlight w:val="yellow"/>
          <w:lang w:val="en-GB"/>
        </w:rPr>
      </w:pPr>
      <w:r w:rsidRPr="007F0B8D">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Prrafodelista"/>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F0B8D" w:rsidRDefault="00E833F4" w:rsidP="00B04033">
      <w:pPr>
        <w:pStyle w:val="Prrafodelista"/>
        <w:numPr>
          <w:ilvl w:val="0"/>
          <w:numId w:val="9"/>
        </w:numPr>
        <w:ind w:left="426"/>
        <w:jc w:val="both"/>
        <w:rPr>
          <w:rFonts w:ascii="Avenir Next" w:hAnsi="Avenir Next" w:cs="Arial"/>
          <w:sz w:val="22"/>
          <w:szCs w:val="22"/>
          <w:highlight w:val="yellow"/>
          <w:lang w:val="en-GB"/>
        </w:rPr>
      </w:pPr>
      <w:r w:rsidRPr="007F0B8D">
        <w:rPr>
          <w:rFonts w:ascii="Avenir Next" w:hAnsi="Avenir Next" w:cs="Arial"/>
          <w:sz w:val="22"/>
          <w:szCs w:val="22"/>
          <w:highlight w:val="yellow"/>
          <w:lang w:val="en-GB"/>
        </w:rPr>
        <w:t>A</w:t>
      </w:r>
      <w:r w:rsidR="000D10C6" w:rsidRPr="007F0B8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Prrafodelista"/>
        <w:ind w:left="426"/>
        <w:jc w:val="both"/>
        <w:rPr>
          <w:rFonts w:ascii="Avenir Next" w:hAnsi="Avenir Next" w:cs="Arial"/>
          <w:sz w:val="22"/>
          <w:szCs w:val="22"/>
          <w:lang w:val="en-GB"/>
        </w:rPr>
      </w:pPr>
    </w:p>
    <w:p w14:paraId="564FBFE2" w14:textId="18CB27BC" w:rsidR="000D10C6" w:rsidRPr="006925C1" w:rsidRDefault="000D10C6" w:rsidP="00AE5B6F">
      <w:pPr>
        <w:pStyle w:val="Prrafode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Prrafode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Prrafodelista"/>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Prrafodelista"/>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Prrafode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Prrafodelista"/>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7F0B8D" w:rsidRDefault="0020204E" w:rsidP="00B04033">
      <w:pPr>
        <w:pStyle w:val="Prrafodelista"/>
        <w:numPr>
          <w:ilvl w:val="0"/>
          <w:numId w:val="10"/>
        </w:numPr>
        <w:ind w:left="426"/>
        <w:jc w:val="both"/>
        <w:rPr>
          <w:rFonts w:ascii="Avenir Next" w:hAnsi="Avenir Next" w:cs="Arial"/>
          <w:sz w:val="22"/>
          <w:szCs w:val="22"/>
          <w:highlight w:val="yellow"/>
          <w:lang w:val="en-GB"/>
        </w:rPr>
      </w:pPr>
      <w:r w:rsidRPr="007F0B8D">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0570D68C" w:rsidR="00AE5B6F" w:rsidRDefault="0079364D"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423 of the Insolvency Act 1986, the following parties may bring an action:</w:t>
      </w:r>
    </w:p>
    <w:p w14:paraId="54E36477" w14:textId="4E834A2C" w:rsidR="0079364D" w:rsidRDefault="0079364D" w:rsidP="0079364D">
      <w:pPr>
        <w:pStyle w:val="Prrafodelista"/>
        <w:numPr>
          <w:ilvl w:val="0"/>
          <w:numId w:val="18"/>
        </w:numPr>
        <w:jc w:val="both"/>
        <w:rPr>
          <w:rFonts w:ascii="Avenir Next" w:hAnsi="Avenir Next" w:cs="Arial"/>
          <w:color w:val="808080" w:themeColor="background1" w:themeShade="80"/>
          <w:sz w:val="22"/>
          <w:szCs w:val="22"/>
          <w:lang w:val="en-GB"/>
        </w:rPr>
      </w:pPr>
      <w:r w:rsidRPr="0079364D">
        <w:rPr>
          <w:rFonts w:ascii="Avenir Next" w:hAnsi="Avenir Next" w:cs="Arial"/>
          <w:color w:val="808080" w:themeColor="background1" w:themeShade="80"/>
          <w:sz w:val="22"/>
          <w:szCs w:val="22"/>
          <w:lang w:val="en-GB"/>
        </w:rPr>
        <w:t>where the company is being wound up or is in administration, the official receiver, the liquidator, the administrator</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any victim of the transaction with the leave of the court.</w:t>
      </w:r>
    </w:p>
    <w:p w14:paraId="1DC15087" w14:textId="435DEEC6" w:rsidR="0079364D" w:rsidRDefault="0079364D" w:rsidP="0079364D">
      <w:pPr>
        <w:pStyle w:val="Prrafodelista"/>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victim is bound by a company voluntary agreement (CVA), the supervisor of the CVA or any victim of the transaction. </w:t>
      </w:r>
    </w:p>
    <w:p w14:paraId="059DF6C1" w14:textId="77777777" w:rsidR="0079364D" w:rsidRDefault="0079364D" w:rsidP="0079364D">
      <w:pPr>
        <w:pStyle w:val="Prrafodelista"/>
        <w:jc w:val="both"/>
        <w:rPr>
          <w:rFonts w:ascii="Avenir Next" w:hAnsi="Avenir Next" w:cs="Arial"/>
          <w:color w:val="808080" w:themeColor="background1" w:themeShade="80"/>
          <w:sz w:val="22"/>
          <w:szCs w:val="22"/>
          <w:lang w:val="en-GB"/>
        </w:rPr>
      </w:pPr>
    </w:p>
    <w:p w14:paraId="32619535" w14:textId="6A434994" w:rsidR="0079364D" w:rsidRDefault="0079364D" w:rsidP="0079364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6 of the </w:t>
      </w:r>
      <w:r w:rsidRPr="0079364D">
        <w:rPr>
          <w:rFonts w:ascii="Avenir Next" w:hAnsi="Avenir Next" w:cs="Arial"/>
          <w:color w:val="808080" w:themeColor="background1" w:themeShade="80"/>
          <w:sz w:val="22"/>
          <w:szCs w:val="22"/>
          <w:lang w:val="en-GB"/>
        </w:rPr>
        <w:t>Company Directors Disqualification Act 1986</w:t>
      </w:r>
      <w:r>
        <w:rPr>
          <w:rFonts w:ascii="Avenir Next" w:hAnsi="Avenir Next" w:cs="Arial"/>
          <w:color w:val="808080" w:themeColor="background1" w:themeShade="80"/>
          <w:sz w:val="22"/>
          <w:szCs w:val="22"/>
          <w:lang w:val="en-GB"/>
        </w:rPr>
        <w:t xml:space="preserve">, the court is required to make a disqualification order where two requirements are satisfied: </w:t>
      </w:r>
      <w:r w:rsidRPr="0079364D">
        <w:rPr>
          <w:rFonts w:ascii="Avenir Next" w:hAnsi="Avenir Next" w:cs="Arial"/>
          <w:color w:val="808080" w:themeColor="background1" w:themeShade="80"/>
          <w:sz w:val="22"/>
          <w:szCs w:val="22"/>
          <w:lang w:val="en-GB"/>
        </w:rPr>
        <w:t>that the person is or has been a director of a company which has at any time become insolvent</w:t>
      </w:r>
      <w:r>
        <w:rPr>
          <w:rFonts w:ascii="Avenir Next" w:hAnsi="Avenir Next" w:cs="Arial"/>
          <w:color w:val="808080" w:themeColor="background1" w:themeShade="80"/>
          <w:sz w:val="22"/>
          <w:szCs w:val="22"/>
          <w:lang w:val="en-GB"/>
        </w:rPr>
        <w:t xml:space="preserve">, and </w:t>
      </w:r>
      <w:r w:rsidRPr="0079364D">
        <w:rPr>
          <w:rFonts w:ascii="Avenir Next" w:hAnsi="Avenir Next" w:cs="Arial"/>
          <w:color w:val="808080" w:themeColor="background1" w:themeShade="80"/>
          <w:sz w:val="22"/>
          <w:szCs w:val="22"/>
          <w:lang w:val="en-GB"/>
        </w:rPr>
        <w:t>that his conduct as a director of that company (either taken alone or taken together with his conduct as a director of one or more other companies or overseas companies) makes him unfit to be concerned in the management of a company.</w:t>
      </w:r>
    </w:p>
    <w:p w14:paraId="326AA901" w14:textId="40E256F7" w:rsidR="00E9519E" w:rsidRDefault="00E9519E" w:rsidP="0079364D">
      <w:pPr>
        <w:ind w:left="720" w:hanging="720"/>
        <w:jc w:val="both"/>
        <w:rPr>
          <w:rFonts w:ascii="Avenir Next" w:hAnsi="Avenir Next" w:cs="Arial"/>
          <w:color w:val="808080" w:themeColor="background1" w:themeShade="80"/>
          <w:sz w:val="22"/>
          <w:szCs w:val="22"/>
          <w:lang w:val="en-GB"/>
        </w:rPr>
      </w:pPr>
    </w:p>
    <w:p w14:paraId="462F2622" w14:textId="296DBDD1" w:rsidR="00E9519E" w:rsidRPr="0079364D" w:rsidRDefault="00E9519E" w:rsidP="0079364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E9519E">
        <w:rPr>
          <w:rFonts w:ascii="Avenir Next" w:hAnsi="Avenir Next" w:cs="Arial"/>
          <w:color w:val="808080" w:themeColor="background1" w:themeShade="80"/>
          <w:sz w:val="22"/>
          <w:szCs w:val="22"/>
          <w:lang w:val="en-GB"/>
        </w:rPr>
        <w:t>section 246ZB of the Insolvency Act 1986</w:t>
      </w:r>
      <w:r>
        <w:rPr>
          <w:rFonts w:ascii="Avenir Next" w:hAnsi="Avenir Next" w:cs="Arial"/>
          <w:color w:val="808080" w:themeColor="background1" w:themeShade="80"/>
          <w:sz w:val="22"/>
          <w:szCs w:val="22"/>
          <w:lang w:val="en-GB"/>
        </w:rPr>
        <w:t xml:space="preserve">, </w:t>
      </w:r>
      <w:r w:rsidR="008B0613">
        <w:rPr>
          <w:rFonts w:ascii="Avenir Next" w:hAnsi="Avenir Next" w:cs="Arial"/>
          <w:color w:val="808080" w:themeColor="background1" w:themeShade="80"/>
          <w:sz w:val="22"/>
          <w:szCs w:val="22"/>
          <w:lang w:val="en-GB"/>
        </w:rPr>
        <w:t xml:space="preserve">the liquidator or the administrator may bring proceedings under this section (historically, wrongful trading was only available in a liquidation, but a 2015 reform opened the actions to administration) </w:t>
      </w:r>
    </w:p>
    <w:p w14:paraId="22C610C9" w14:textId="5169BF4C" w:rsidR="00DE03AF" w:rsidRPr="0079364D" w:rsidRDefault="00DE03AF" w:rsidP="002A37BB">
      <w:pPr>
        <w:jc w:val="both"/>
        <w:rPr>
          <w:rFonts w:ascii="Avenir Next" w:hAnsi="Avenir Next" w:cs="Arial"/>
          <w:sz w:val="22"/>
          <w:szCs w:val="22"/>
          <w:lang w:val="en-GB"/>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0640B5E7" w:rsidR="00EA3B38" w:rsidRDefault="007864FE" w:rsidP="007864FE">
      <w:pPr>
        <w:pStyle w:val="Prrafodelista"/>
        <w:numPr>
          <w:ilvl w:val="0"/>
          <w:numId w:val="19"/>
        </w:numPr>
        <w:jc w:val="both"/>
        <w:rPr>
          <w:rFonts w:ascii="Avenir Next" w:hAnsi="Avenir Next" w:cs="Arial"/>
          <w:color w:val="808080" w:themeColor="background1" w:themeShade="80"/>
          <w:sz w:val="22"/>
          <w:szCs w:val="22"/>
        </w:rPr>
      </w:pPr>
      <w:r w:rsidRPr="007864FE">
        <w:rPr>
          <w:rFonts w:ascii="Avenir Next" w:hAnsi="Avenir Next" w:cs="Arial"/>
          <w:color w:val="808080" w:themeColor="background1" w:themeShade="80"/>
          <w:sz w:val="22"/>
          <w:szCs w:val="22"/>
        </w:rPr>
        <w:t>Wages and salary owed to employees for services provided during the Moratorium period.</w:t>
      </w:r>
    </w:p>
    <w:p w14:paraId="7B8F1AC8" w14:textId="05092F55" w:rsidR="007864FE" w:rsidRDefault="007864FE" w:rsidP="007864FE">
      <w:pPr>
        <w:pStyle w:val="Prrafodelista"/>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Debts for goods or services supplied during the Moratorium (for example, energy supply)</w:t>
      </w:r>
    </w:p>
    <w:p w14:paraId="4C697AF6" w14:textId="6AB2EAE1" w:rsidR="007864FE" w:rsidRDefault="007864FE" w:rsidP="007864FE">
      <w:pPr>
        <w:pStyle w:val="Prrafodelista"/>
        <w:numPr>
          <w:ilvl w:val="0"/>
          <w:numId w:val="19"/>
        </w:numPr>
        <w:jc w:val="both"/>
        <w:rPr>
          <w:rFonts w:ascii="Avenir Next" w:hAnsi="Avenir Next" w:cs="Arial"/>
          <w:color w:val="808080" w:themeColor="background1" w:themeShade="80"/>
          <w:sz w:val="22"/>
          <w:szCs w:val="22"/>
        </w:rPr>
      </w:pPr>
      <w:r w:rsidRPr="007864FE">
        <w:rPr>
          <w:rFonts w:ascii="Avenir Next" w:hAnsi="Avenir Next" w:cs="Arial"/>
          <w:color w:val="808080" w:themeColor="background1" w:themeShade="80"/>
          <w:sz w:val="22"/>
          <w:szCs w:val="22"/>
        </w:rPr>
        <w:t>Debts or other liabilities arising under a contract or other instrument involving financial services.</w:t>
      </w:r>
    </w:p>
    <w:p w14:paraId="6CE9A6C2" w14:textId="0B1F3DAF" w:rsidR="007864FE" w:rsidRDefault="007864FE" w:rsidP="007864FE">
      <w:pPr>
        <w:pStyle w:val="Prrafodelista"/>
        <w:numPr>
          <w:ilvl w:val="0"/>
          <w:numId w:val="19"/>
        </w:numPr>
        <w:jc w:val="both"/>
        <w:rPr>
          <w:rFonts w:ascii="Avenir Next" w:hAnsi="Avenir Next" w:cs="Arial"/>
          <w:color w:val="808080" w:themeColor="background1" w:themeShade="80"/>
          <w:sz w:val="22"/>
          <w:szCs w:val="22"/>
        </w:rPr>
      </w:pPr>
      <w:r w:rsidRPr="007864FE">
        <w:rPr>
          <w:rFonts w:ascii="Avenir Next" w:hAnsi="Avenir Next" w:cs="Arial"/>
          <w:color w:val="808080" w:themeColor="background1" w:themeShade="80"/>
          <w:sz w:val="22"/>
          <w:szCs w:val="22"/>
        </w:rPr>
        <w:t xml:space="preserve">Any liability incurred by the company </w:t>
      </w:r>
      <w:proofErr w:type="gramStart"/>
      <w:r w:rsidRPr="007864FE">
        <w:rPr>
          <w:rFonts w:ascii="Avenir Next" w:hAnsi="Avenir Next" w:cs="Arial"/>
          <w:color w:val="808080" w:themeColor="background1" w:themeShade="80"/>
          <w:sz w:val="22"/>
          <w:szCs w:val="22"/>
        </w:rPr>
        <w:t>as a result of</w:t>
      </w:r>
      <w:proofErr w:type="gramEnd"/>
      <w:r w:rsidRPr="007864FE">
        <w:rPr>
          <w:rFonts w:ascii="Avenir Next" w:hAnsi="Avenir Next" w:cs="Arial"/>
          <w:color w:val="808080" w:themeColor="background1" w:themeShade="80"/>
          <w:sz w:val="22"/>
          <w:szCs w:val="22"/>
        </w:rPr>
        <w:t xml:space="preserve"> fraud or fraudulent breach of trust.</w:t>
      </w:r>
    </w:p>
    <w:p w14:paraId="488E08CA" w14:textId="08FA2B89" w:rsidR="007864FE" w:rsidRPr="007864FE" w:rsidRDefault="007864FE" w:rsidP="007864FE">
      <w:pPr>
        <w:pStyle w:val="Prrafodelista"/>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Redundancy payments.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2612180B" w:rsidR="00EA3B38" w:rsidRDefault="002474A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because executory contracts don’t automatically terminate if a company </w:t>
      </w:r>
      <w:proofErr w:type="gramStart"/>
      <w:r>
        <w:rPr>
          <w:rFonts w:ascii="Avenir Next" w:hAnsi="Avenir Next" w:cs="Arial"/>
          <w:color w:val="808080" w:themeColor="background1" w:themeShade="80"/>
          <w:sz w:val="22"/>
          <w:szCs w:val="22"/>
        </w:rPr>
        <w:t>enters into</w:t>
      </w:r>
      <w:proofErr w:type="gramEnd"/>
      <w:r>
        <w:rPr>
          <w:rFonts w:ascii="Avenir Next" w:hAnsi="Avenir Next" w:cs="Arial"/>
          <w:color w:val="808080" w:themeColor="background1" w:themeShade="80"/>
          <w:sz w:val="22"/>
          <w:szCs w:val="22"/>
        </w:rPr>
        <w:t xml:space="preserve"> administration. T</w:t>
      </w:r>
      <w:r w:rsidRPr="002474A6">
        <w:rPr>
          <w:rFonts w:ascii="Avenir Next" w:hAnsi="Avenir Next" w:cs="Arial"/>
          <w:color w:val="808080" w:themeColor="background1" w:themeShade="80"/>
          <w:sz w:val="22"/>
          <w:szCs w:val="22"/>
        </w:rPr>
        <w:t xml:space="preserve">he administrator can require suppliers to continue to supply goods and services during the administration period if they are essential to the continuation of the business. However, suppliers are not permitted to require payment of outstanding debts </w:t>
      </w:r>
      <w:proofErr w:type="gramStart"/>
      <w:r w:rsidRPr="002474A6">
        <w:rPr>
          <w:rFonts w:ascii="Avenir Next" w:hAnsi="Avenir Next" w:cs="Arial"/>
          <w:color w:val="808080" w:themeColor="background1" w:themeShade="80"/>
          <w:sz w:val="22"/>
          <w:szCs w:val="22"/>
        </w:rPr>
        <w:t>in order to</w:t>
      </w:r>
      <w:proofErr w:type="gramEnd"/>
      <w:r w:rsidRPr="002474A6">
        <w:rPr>
          <w:rFonts w:ascii="Avenir Next" w:hAnsi="Avenir Next" w:cs="Arial"/>
          <w:color w:val="808080" w:themeColor="background1" w:themeShade="80"/>
          <w:sz w:val="22"/>
          <w:szCs w:val="22"/>
        </w:rPr>
        <w:t xml:space="preserve"> secure a new or continued supply to the company in administration. The administrator may also be required to personally guarantee payment of charges in respect of the supply.</w:t>
      </w:r>
    </w:p>
    <w:p w14:paraId="1F311C30" w14:textId="3A132E23" w:rsidR="00A20BAD" w:rsidRDefault="00A20BAD" w:rsidP="00EA3B38">
      <w:pPr>
        <w:jc w:val="both"/>
        <w:rPr>
          <w:rFonts w:ascii="Avenir Next" w:hAnsi="Avenir Next" w:cs="Arial"/>
          <w:color w:val="808080" w:themeColor="background1" w:themeShade="80"/>
          <w:sz w:val="22"/>
          <w:szCs w:val="22"/>
        </w:rPr>
      </w:pPr>
    </w:p>
    <w:p w14:paraId="0CDDC03F" w14:textId="2A1FB3BF" w:rsidR="00A20BAD" w:rsidRPr="00B84055" w:rsidRDefault="00A20BA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Also, there are various provisions in sections 233A to 233C that prohibits the termination of a contract because of insolvency.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6E30981" w14:textId="1A8BBE64" w:rsidR="00A20BAD" w:rsidRPr="00A20BAD" w:rsidRDefault="00A20BAD" w:rsidP="00A20BA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Pr="00A20BAD">
        <w:rPr>
          <w:rFonts w:ascii="Avenir Next" w:hAnsi="Avenir Next" w:cs="Arial"/>
          <w:color w:val="808080" w:themeColor="background1" w:themeShade="80"/>
          <w:sz w:val="22"/>
          <w:szCs w:val="22"/>
        </w:rPr>
        <w:t>he order of priority of payments in a liquidation is as follows:</w:t>
      </w:r>
    </w:p>
    <w:p w14:paraId="7EF08A1A" w14:textId="77777777" w:rsidR="00A20BAD" w:rsidRPr="00A20BAD" w:rsidRDefault="00A20BAD" w:rsidP="00A20BAD">
      <w:pPr>
        <w:jc w:val="both"/>
        <w:rPr>
          <w:rFonts w:ascii="Avenir Next" w:hAnsi="Avenir Next" w:cs="Arial"/>
          <w:color w:val="808080" w:themeColor="background1" w:themeShade="80"/>
          <w:sz w:val="22"/>
          <w:szCs w:val="22"/>
        </w:rPr>
      </w:pPr>
    </w:p>
    <w:p w14:paraId="6CEF0B8B" w14:textId="46A14D8E" w:rsidR="00A20BAD" w:rsidRPr="00A20BAD" w:rsidRDefault="00A20BAD" w:rsidP="00A20BAD">
      <w:pPr>
        <w:jc w:val="both"/>
        <w:rPr>
          <w:rFonts w:ascii="Avenir Next" w:hAnsi="Avenir Next" w:cs="Arial"/>
          <w:color w:val="808080" w:themeColor="background1" w:themeShade="80"/>
          <w:sz w:val="22"/>
          <w:szCs w:val="22"/>
        </w:rPr>
      </w:pPr>
      <w:r w:rsidRPr="00A20BAD">
        <w:rPr>
          <w:rFonts w:ascii="Avenir Next" w:hAnsi="Avenir Next" w:cs="Arial"/>
          <w:color w:val="808080" w:themeColor="background1" w:themeShade="80"/>
          <w:sz w:val="22"/>
          <w:szCs w:val="22"/>
        </w:rPr>
        <w:t>1. Fixed charge holders</w:t>
      </w:r>
      <w:r>
        <w:rPr>
          <w:rFonts w:ascii="Avenir Next" w:hAnsi="Avenir Next" w:cs="Arial"/>
          <w:color w:val="808080" w:themeColor="background1" w:themeShade="80"/>
          <w:sz w:val="22"/>
          <w:szCs w:val="22"/>
        </w:rPr>
        <w:t xml:space="preserve">: </w:t>
      </w:r>
      <w:r w:rsidRPr="00A20BAD">
        <w:rPr>
          <w:rFonts w:ascii="Avenir Next" w:hAnsi="Avenir Next" w:cs="Arial"/>
          <w:color w:val="808080" w:themeColor="background1" w:themeShade="80"/>
          <w:sz w:val="22"/>
          <w:szCs w:val="22"/>
        </w:rPr>
        <w:t>they have a first claim on the assets that are subject to their charge.</w:t>
      </w:r>
    </w:p>
    <w:p w14:paraId="299AB654" w14:textId="259D6940" w:rsidR="00A20BAD" w:rsidRPr="00A20BAD" w:rsidRDefault="00A20BAD" w:rsidP="00A20BAD">
      <w:pPr>
        <w:jc w:val="both"/>
        <w:rPr>
          <w:rFonts w:ascii="Avenir Next" w:hAnsi="Avenir Next" w:cs="Arial"/>
          <w:color w:val="808080" w:themeColor="background1" w:themeShade="80"/>
          <w:sz w:val="22"/>
          <w:szCs w:val="22"/>
        </w:rPr>
      </w:pPr>
      <w:r w:rsidRPr="00A20BAD">
        <w:rPr>
          <w:rFonts w:ascii="Avenir Next" w:hAnsi="Avenir Next" w:cs="Arial"/>
          <w:color w:val="808080" w:themeColor="background1" w:themeShade="80"/>
          <w:sz w:val="22"/>
          <w:szCs w:val="22"/>
        </w:rPr>
        <w:t>2. Expenses of the liquidation</w:t>
      </w:r>
      <w:r>
        <w:rPr>
          <w:rFonts w:ascii="Avenir Next" w:hAnsi="Avenir Next" w:cs="Arial"/>
          <w:color w:val="808080" w:themeColor="background1" w:themeShade="80"/>
          <w:sz w:val="22"/>
          <w:szCs w:val="22"/>
        </w:rPr>
        <w:t xml:space="preserve">: </w:t>
      </w:r>
      <w:r w:rsidRPr="00A20BAD">
        <w:rPr>
          <w:rFonts w:ascii="Avenir Next" w:hAnsi="Avenir Next" w:cs="Arial"/>
          <w:color w:val="808080" w:themeColor="background1" w:themeShade="80"/>
          <w:sz w:val="22"/>
          <w:szCs w:val="22"/>
        </w:rPr>
        <w:t xml:space="preserve">these include the costs of the </w:t>
      </w:r>
      <w:r>
        <w:rPr>
          <w:rFonts w:ascii="Avenir Next" w:hAnsi="Avenir Next" w:cs="Arial"/>
          <w:color w:val="808080" w:themeColor="background1" w:themeShade="80"/>
          <w:sz w:val="22"/>
          <w:szCs w:val="22"/>
        </w:rPr>
        <w:t>officeholder (liquidator)</w:t>
      </w:r>
      <w:r w:rsidRPr="00A20BAD">
        <w:rPr>
          <w:rFonts w:ascii="Avenir Next" w:hAnsi="Avenir Next" w:cs="Arial"/>
          <w:color w:val="808080" w:themeColor="background1" w:themeShade="80"/>
          <w:sz w:val="22"/>
          <w:szCs w:val="22"/>
        </w:rPr>
        <w:t>, legal fees, and other expenses incurred in realizing and distributing the assets.</w:t>
      </w:r>
    </w:p>
    <w:p w14:paraId="2F517E79" w14:textId="638B97C3" w:rsidR="00A20BAD" w:rsidRPr="00A20BAD" w:rsidRDefault="00A20BAD" w:rsidP="00A20BAD">
      <w:pPr>
        <w:jc w:val="both"/>
        <w:rPr>
          <w:rFonts w:ascii="Avenir Next" w:hAnsi="Avenir Next" w:cs="Arial"/>
          <w:color w:val="808080" w:themeColor="background1" w:themeShade="80"/>
          <w:sz w:val="22"/>
          <w:szCs w:val="22"/>
        </w:rPr>
      </w:pPr>
      <w:r w:rsidRPr="00A20BAD">
        <w:rPr>
          <w:rFonts w:ascii="Avenir Next" w:hAnsi="Avenir Next" w:cs="Arial"/>
          <w:color w:val="808080" w:themeColor="background1" w:themeShade="80"/>
          <w:sz w:val="22"/>
          <w:szCs w:val="22"/>
        </w:rPr>
        <w:t>3. Preferential creditor</w:t>
      </w:r>
      <w:r>
        <w:rPr>
          <w:rFonts w:ascii="Avenir Next" w:hAnsi="Avenir Next" w:cs="Arial"/>
          <w:color w:val="808080" w:themeColor="background1" w:themeShade="80"/>
          <w:sz w:val="22"/>
          <w:szCs w:val="22"/>
        </w:rPr>
        <w:t xml:space="preserve">s: </w:t>
      </w:r>
      <w:r w:rsidRPr="00A20BAD">
        <w:rPr>
          <w:rFonts w:ascii="Avenir Next" w:hAnsi="Avenir Next" w:cs="Arial"/>
          <w:color w:val="808080" w:themeColor="background1" w:themeShade="80"/>
          <w:sz w:val="22"/>
          <w:szCs w:val="22"/>
        </w:rPr>
        <w:t>these include employees' wages and salaries, holiday pay, pension contributions, and certain other debts owed to employees.</w:t>
      </w:r>
    </w:p>
    <w:p w14:paraId="646DA625" w14:textId="2B4F1B64" w:rsidR="00A20BAD" w:rsidRPr="00A20BAD" w:rsidRDefault="00A20BAD" w:rsidP="00A20BAD">
      <w:pPr>
        <w:jc w:val="both"/>
        <w:rPr>
          <w:rFonts w:ascii="Avenir Next" w:hAnsi="Avenir Next" w:cs="Arial"/>
          <w:color w:val="808080" w:themeColor="background1" w:themeShade="80"/>
          <w:sz w:val="22"/>
          <w:szCs w:val="22"/>
        </w:rPr>
      </w:pPr>
      <w:r w:rsidRPr="00A20BAD">
        <w:rPr>
          <w:rFonts w:ascii="Avenir Next" w:hAnsi="Avenir Next" w:cs="Arial"/>
          <w:color w:val="808080" w:themeColor="background1" w:themeShade="80"/>
          <w:sz w:val="22"/>
          <w:szCs w:val="22"/>
        </w:rPr>
        <w:t>4. Floating charge holders</w:t>
      </w:r>
      <w:r>
        <w:rPr>
          <w:rFonts w:ascii="Avenir Next" w:hAnsi="Avenir Next" w:cs="Arial"/>
          <w:color w:val="808080" w:themeColor="background1" w:themeShade="80"/>
          <w:sz w:val="22"/>
          <w:szCs w:val="22"/>
        </w:rPr>
        <w:t xml:space="preserve">: </w:t>
      </w:r>
      <w:r w:rsidRPr="00A20BAD">
        <w:rPr>
          <w:rFonts w:ascii="Avenir Next" w:hAnsi="Avenir Next" w:cs="Arial"/>
          <w:color w:val="808080" w:themeColor="background1" w:themeShade="80"/>
          <w:sz w:val="22"/>
          <w:szCs w:val="22"/>
        </w:rPr>
        <w:t>they have a claim on any remaining assets after fixed charge holders and expenses of the liquidation have been paid.</w:t>
      </w:r>
    </w:p>
    <w:p w14:paraId="5D8BD080" w14:textId="7E2814D8" w:rsidR="00A20BAD" w:rsidRPr="00A20BAD" w:rsidRDefault="00A20BAD" w:rsidP="00A20BAD">
      <w:pPr>
        <w:jc w:val="both"/>
        <w:rPr>
          <w:rFonts w:ascii="Avenir Next" w:hAnsi="Avenir Next" w:cs="Arial"/>
          <w:color w:val="808080" w:themeColor="background1" w:themeShade="80"/>
          <w:sz w:val="22"/>
          <w:szCs w:val="22"/>
        </w:rPr>
      </w:pPr>
      <w:r w:rsidRPr="00A20BAD">
        <w:rPr>
          <w:rFonts w:ascii="Avenir Next" w:hAnsi="Avenir Next" w:cs="Arial"/>
          <w:color w:val="808080" w:themeColor="background1" w:themeShade="80"/>
          <w:sz w:val="22"/>
          <w:szCs w:val="22"/>
        </w:rPr>
        <w:t>5. Unsecured creditors</w:t>
      </w:r>
      <w:r>
        <w:rPr>
          <w:rFonts w:ascii="Avenir Next" w:hAnsi="Avenir Next" w:cs="Arial"/>
          <w:color w:val="808080" w:themeColor="background1" w:themeShade="80"/>
          <w:sz w:val="22"/>
          <w:szCs w:val="22"/>
        </w:rPr>
        <w:t xml:space="preserve">: </w:t>
      </w:r>
      <w:r w:rsidRPr="00A20BAD">
        <w:rPr>
          <w:rFonts w:ascii="Avenir Next" w:hAnsi="Avenir Next" w:cs="Arial"/>
          <w:color w:val="808080" w:themeColor="background1" w:themeShade="80"/>
          <w:sz w:val="22"/>
          <w:szCs w:val="22"/>
        </w:rPr>
        <w:t>these include suppliers, customers, contractors, landlords, and other parties who are owed money by the company.</w:t>
      </w:r>
    </w:p>
    <w:p w14:paraId="57CAB064" w14:textId="77777777" w:rsidR="00A20BAD" w:rsidRPr="00A20BAD" w:rsidRDefault="00A20BAD" w:rsidP="00A20BAD">
      <w:pPr>
        <w:jc w:val="both"/>
        <w:rPr>
          <w:rFonts w:ascii="Avenir Next" w:hAnsi="Avenir Next" w:cs="Arial"/>
          <w:color w:val="808080" w:themeColor="background1" w:themeShade="80"/>
          <w:sz w:val="22"/>
          <w:szCs w:val="22"/>
        </w:rPr>
      </w:pPr>
    </w:p>
    <w:p w14:paraId="1F067633" w14:textId="4D3D05B2" w:rsidR="00EA3B38" w:rsidRPr="00B84055" w:rsidRDefault="00A20BAD" w:rsidP="00A20BAD">
      <w:pPr>
        <w:jc w:val="both"/>
        <w:rPr>
          <w:rFonts w:ascii="Avenir Next" w:hAnsi="Avenir Next" w:cs="Arial"/>
          <w:color w:val="808080" w:themeColor="background1" w:themeShade="80"/>
          <w:sz w:val="22"/>
          <w:szCs w:val="22"/>
        </w:rPr>
      </w:pPr>
      <w:r w:rsidRPr="00A20BAD">
        <w:rPr>
          <w:rFonts w:ascii="Avenir Next" w:hAnsi="Avenir Next" w:cs="Arial"/>
          <w:color w:val="808080" w:themeColor="background1" w:themeShade="80"/>
          <w:sz w:val="22"/>
          <w:szCs w:val="22"/>
        </w:rPr>
        <w:t xml:space="preserve">If a company had been subject to a Moratorium under Part A1 of the Insolvency Act 1986 during the </w:t>
      </w:r>
      <w:proofErr w:type="gramStart"/>
      <w:r w:rsidRPr="00A20BAD">
        <w:rPr>
          <w:rFonts w:ascii="Avenir Next" w:hAnsi="Avenir Next" w:cs="Arial"/>
          <w:color w:val="808080" w:themeColor="background1" w:themeShade="80"/>
          <w:sz w:val="22"/>
          <w:szCs w:val="22"/>
        </w:rPr>
        <w:t>12 week</w:t>
      </w:r>
      <w:proofErr w:type="gramEnd"/>
      <w:r w:rsidRPr="00A20BAD">
        <w:rPr>
          <w:rFonts w:ascii="Avenir Next" w:hAnsi="Avenir Next" w:cs="Arial"/>
          <w:color w:val="808080" w:themeColor="background1" w:themeShade="80"/>
          <w:sz w:val="22"/>
          <w:szCs w:val="22"/>
        </w:rPr>
        <w:t xml:space="preserve"> period prior to the commencement of liquidation, then certain unpaid pre-Moratorium or Moratorium debts (the debts which are not part of the payment holiday), such as debts owed to employees or "financial services" debts would be paid in priority to even the liquidator's fees and expenses in subsequent liquidation as per Section 174A. This means that certain unsecured debts would enjoy a form of "super priority" in subsequent liquidation.</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lastRenderedPageBreak/>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40A9EBEC" w14:textId="358706A5" w:rsidR="00E0643B" w:rsidRDefault="00E0643B" w:rsidP="00EA3B38">
      <w:pPr>
        <w:jc w:val="both"/>
        <w:rPr>
          <w:rFonts w:ascii="Avenir Next" w:hAnsi="Avenir Next" w:cs="Arial"/>
          <w:color w:val="808080" w:themeColor="background1" w:themeShade="80"/>
          <w:sz w:val="22"/>
          <w:szCs w:val="22"/>
        </w:rPr>
      </w:pPr>
      <w:r w:rsidRPr="00E0643B">
        <w:rPr>
          <w:rFonts w:ascii="Avenir Next" w:hAnsi="Avenir Next" w:cs="Arial"/>
          <w:color w:val="808080" w:themeColor="background1" w:themeShade="80"/>
          <w:sz w:val="22"/>
          <w:szCs w:val="22"/>
        </w:rPr>
        <w:t xml:space="preserve">The relevant issues in relation to the floating charge in </w:t>
      </w:r>
      <w:proofErr w:type="spellStart"/>
      <w:r w:rsidRPr="00E0643B">
        <w:rPr>
          <w:rFonts w:ascii="Avenir Next" w:hAnsi="Avenir Next" w:cs="Arial"/>
          <w:color w:val="808080" w:themeColor="background1" w:themeShade="80"/>
          <w:sz w:val="22"/>
          <w:szCs w:val="22"/>
        </w:rPr>
        <w:t>favour</w:t>
      </w:r>
      <w:proofErr w:type="spellEnd"/>
      <w:r w:rsidRPr="00E0643B">
        <w:rPr>
          <w:rFonts w:ascii="Avenir Next" w:hAnsi="Avenir Next" w:cs="Arial"/>
          <w:color w:val="808080" w:themeColor="background1" w:themeShade="80"/>
          <w:sz w:val="22"/>
          <w:szCs w:val="22"/>
        </w:rPr>
        <w:t xml:space="preserve"> of </w:t>
      </w:r>
      <w:proofErr w:type="spellStart"/>
      <w:r w:rsidRPr="00E0643B">
        <w:rPr>
          <w:rFonts w:ascii="Avenir Next" w:hAnsi="Avenir Next" w:cs="Arial"/>
          <w:color w:val="808080" w:themeColor="background1" w:themeShade="80"/>
          <w:sz w:val="22"/>
          <w:szCs w:val="22"/>
        </w:rPr>
        <w:t>Fretus</w:t>
      </w:r>
      <w:proofErr w:type="spellEnd"/>
      <w:r w:rsidRPr="00E0643B">
        <w:rPr>
          <w:rFonts w:ascii="Avenir Next" w:hAnsi="Avenir Next" w:cs="Arial"/>
          <w:color w:val="808080" w:themeColor="background1" w:themeShade="80"/>
          <w:sz w:val="22"/>
          <w:szCs w:val="22"/>
        </w:rPr>
        <w:t xml:space="preserve"> Bank</w:t>
      </w:r>
      <w:r w:rsidR="00826543">
        <w:rPr>
          <w:rFonts w:ascii="Avenir Next" w:hAnsi="Avenir Next" w:cs="Arial"/>
          <w:color w:val="808080" w:themeColor="background1" w:themeShade="80"/>
          <w:sz w:val="22"/>
          <w:szCs w:val="22"/>
        </w:rPr>
        <w:t xml:space="preserve"> </w:t>
      </w:r>
      <w:r w:rsidRPr="00E0643B">
        <w:rPr>
          <w:rFonts w:ascii="Avenir Next" w:hAnsi="Avenir Next" w:cs="Arial"/>
          <w:color w:val="808080" w:themeColor="background1" w:themeShade="80"/>
          <w:sz w:val="22"/>
          <w:szCs w:val="22"/>
        </w:rPr>
        <w:t>are whether it was granted at a time when the company was insolvent or with the intention of putting assets beyond the reach of creditors. If this is the case, then the debenture may be set aside under Section 127 of the Insolvency Act 1986.</w:t>
      </w:r>
    </w:p>
    <w:p w14:paraId="7329FD90" w14:textId="77777777" w:rsidR="00E0643B" w:rsidRDefault="00E0643B" w:rsidP="00EA3B38">
      <w:pPr>
        <w:jc w:val="both"/>
        <w:rPr>
          <w:rFonts w:ascii="Avenir Next" w:hAnsi="Avenir Next" w:cs="Arial"/>
          <w:color w:val="808080" w:themeColor="background1" w:themeShade="80"/>
          <w:sz w:val="22"/>
          <w:szCs w:val="22"/>
        </w:rPr>
      </w:pPr>
    </w:p>
    <w:p w14:paraId="5237771F" w14:textId="1E47B9A7" w:rsidR="00EA3B38" w:rsidRPr="00B84055" w:rsidRDefault="00762D61" w:rsidP="00EA3B38">
      <w:pPr>
        <w:jc w:val="both"/>
        <w:rPr>
          <w:rFonts w:ascii="Avenir Next" w:hAnsi="Avenir Next" w:cs="Arial"/>
          <w:color w:val="808080" w:themeColor="background1" w:themeShade="80"/>
          <w:sz w:val="22"/>
          <w:szCs w:val="22"/>
        </w:rPr>
      </w:pPr>
      <w:r w:rsidRPr="00762D61">
        <w:rPr>
          <w:rFonts w:ascii="Avenir Next" w:hAnsi="Avenir Next" w:cs="Arial"/>
          <w:color w:val="808080" w:themeColor="background1" w:themeShade="80"/>
          <w:sz w:val="22"/>
          <w:szCs w:val="22"/>
        </w:rPr>
        <w:t xml:space="preserve">The liquidator may </w:t>
      </w:r>
      <w:proofErr w:type="gramStart"/>
      <w:r w:rsidRPr="00762D61">
        <w:rPr>
          <w:rFonts w:ascii="Avenir Next" w:hAnsi="Avenir Next" w:cs="Arial"/>
          <w:color w:val="808080" w:themeColor="background1" w:themeShade="80"/>
          <w:sz w:val="22"/>
          <w:szCs w:val="22"/>
        </w:rPr>
        <w:t>take action</w:t>
      </w:r>
      <w:proofErr w:type="gramEnd"/>
      <w:r w:rsidRPr="00762D61">
        <w:rPr>
          <w:rFonts w:ascii="Avenir Next" w:hAnsi="Avenir Next" w:cs="Arial"/>
          <w:color w:val="808080" w:themeColor="background1" w:themeShade="80"/>
          <w:sz w:val="22"/>
          <w:szCs w:val="22"/>
        </w:rPr>
        <w:t xml:space="preserve"> in relation to this issue by investigating whether there is evidence to suggest that the floating charge was granted at a time when the company was insolvent or with an intention to put assets beyond the reach of creditors. If such evidence exists, then the liquidator may apply to court for an order setting aside the debenture under Section 127 of the Insolvency Act 1986.</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2CF17739"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46778D90" w14:textId="737EAE91" w:rsidR="00E0643B" w:rsidRDefault="00E0643B" w:rsidP="007E2919">
      <w:pPr>
        <w:rPr>
          <w:rFonts w:ascii="Avenir Next" w:hAnsi="Avenir Next" w:cs="Arial"/>
          <w:sz w:val="22"/>
          <w:szCs w:val="22"/>
        </w:rPr>
      </w:pPr>
    </w:p>
    <w:p w14:paraId="43CFC11D" w14:textId="77777777" w:rsidR="00E0643B" w:rsidRDefault="00E0643B" w:rsidP="00EA3B38">
      <w:pPr>
        <w:jc w:val="both"/>
        <w:rPr>
          <w:rFonts w:ascii="Avenir Next" w:hAnsi="Avenir Next" w:cs="Arial"/>
          <w:color w:val="808080" w:themeColor="background1" w:themeShade="80"/>
          <w:sz w:val="22"/>
          <w:szCs w:val="22"/>
        </w:rPr>
      </w:pPr>
      <w:r w:rsidRPr="00E0643B">
        <w:rPr>
          <w:rFonts w:ascii="Avenir Next" w:hAnsi="Avenir Next" w:cs="Arial"/>
          <w:color w:val="808080" w:themeColor="background1" w:themeShade="80"/>
          <w:sz w:val="22"/>
          <w:szCs w:val="22"/>
        </w:rPr>
        <w:t>The relevant issues in relation to the sale of the marble cutting machines are whether it was a transaction at an undervalue under Section 238 of the Insolvency Act 1986. The liquidator will need to investigate whether there was any intention on part of directors when they approved this sale and if so, it may be set aside by liquidator and full value may be recovered for distribution among creditors.</w:t>
      </w:r>
    </w:p>
    <w:p w14:paraId="1976892D" w14:textId="77777777" w:rsidR="00E0643B" w:rsidRDefault="00E0643B" w:rsidP="00EA3B38">
      <w:pPr>
        <w:jc w:val="both"/>
        <w:rPr>
          <w:rFonts w:ascii="Avenir Next" w:hAnsi="Avenir Next" w:cs="Arial"/>
          <w:color w:val="808080" w:themeColor="background1" w:themeShade="80"/>
          <w:sz w:val="22"/>
          <w:szCs w:val="22"/>
        </w:rPr>
      </w:pPr>
    </w:p>
    <w:p w14:paraId="07962D63" w14:textId="14303BE5" w:rsidR="00EA3B38" w:rsidRPr="00B84055" w:rsidRDefault="00762D61" w:rsidP="00EA3B38">
      <w:pPr>
        <w:jc w:val="both"/>
        <w:rPr>
          <w:rFonts w:ascii="Avenir Next" w:hAnsi="Avenir Next" w:cs="Arial"/>
          <w:color w:val="808080" w:themeColor="background1" w:themeShade="80"/>
          <w:sz w:val="22"/>
          <w:szCs w:val="22"/>
        </w:rPr>
      </w:pPr>
      <w:r w:rsidRPr="00762D61">
        <w:rPr>
          <w:rFonts w:ascii="Avenir Next" w:hAnsi="Avenir Next" w:cs="Arial"/>
          <w:color w:val="808080" w:themeColor="background1" w:themeShade="80"/>
          <w:sz w:val="22"/>
          <w:szCs w:val="22"/>
        </w:rPr>
        <w:t xml:space="preserve">The liquidator may </w:t>
      </w:r>
      <w:proofErr w:type="gramStart"/>
      <w:r w:rsidRPr="00762D61">
        <w:rPr>
          <w:rFonts w:ascii="Avenir Next" w:hAnsi="Avenir Next" w:cs="Arial"/>
          <w:color w:val="808080" w:themeColor="background1" w:themeShade="80"/>
          <w:sz w:val="22"/>
          <w:szCs w:val="22"/>
        </w:rPr>
        <w:t>take action</w:t>
      </w:r>
      <w:proofErr w:type="gramEnd"/>
      <w:r w:rsidRPr="00762D61">
        <w:rPr>
          <w:rFonts w:ascii="Avenir Next" w:hAnsi="Avenir Next" w:cs="Arial"/>
          <w:color w:val="808080" w:themeColor="background1" w:themeShade="80"/>
          <w:sz w:val="22"/>
          <w:szCs w:val="22"/>
        </w:rPr>
        <w:t xml:space="preserve"> in relation to this issue by investigating whether there is evidence to suggest that the sale of the marble cutting machines was a transaction at an undervalue. If such evidence exists, then the liquidator may apply to court for an order setting aside the transaction under Section 238 of the Insolvency Act 1986.</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lastRenderedPageBreak/>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44139B9" w14:textId="77777777" w:rsidR="00E0643B" w:rsidRDefault="00E0643B" w:rsidP="009452DF">
      <w:pPr>
        <w:jc w:val="both"/>
        <w:rPr>
          <w:rFonts w:ascii="Avenir Next" w:hAnsi="Avenir Next" w:cs="Arial"/>
          <w:color w:val="808080" w:themeColor="background1" w:themeShade="80"/>
          <w:sz w:val="22"/>
          <w:szCs w:val="22"/>
        </w:rPr>
      </w:pPr>
      <w:r w:rsidRPr="00E0643B">
        <w:rPr>
          <w:rFonts w:ascii="Avenir Next" w:hAnsi="Avenir Next" w:cs="Arial"/>
          <w:color w:val="808080" w:themeColor="background1" w:themeShade="80"/>
          <w:sz w:val="22"/>
          <w:szCs w:val="22"/>
        </w:rPr>
        <w:t>The relevant issues in relation to the payments to Hard and Fast Ltd are whether they were a preference under Section 239 of the Insolvency Act 1986. The liquidator will need to investigate whether this payment was made with an intention to give Hard and Fast Ltd an unfair advantage over other creditors. If so, then it may be set aside by liquidator and recovered for distribution among all creditors.</w:t>
      </w:r>
    </w:p>
    <w:p w14:paraId="7D62B12B" w14:textId="77777777" w:rsidR="00E0643B" w:rsidRDefault="00E0643B" w:rsidP="009452DF">
      <w:pPr>
        <w:jc w:val="both"/>
        <w:rPr>
          <w:rFonts w:ascii="Avenir Next" w:hAnsi="Avenir Next" w:cs="Arial"/>
          <w:color w:val="808080" w:themeColor="background1" w:themeShade="80"/>
          <w:sz w:val="22"/>
          <w:szCs w:val="22"/>
        </w:rPr>
      </w:pPr>
    </w:p>
    <w:p w14:paraId="6F38B806" w14:textId="55501C83" w:rsidR="009452DF" w:rsidRPr="00B84055" w:rsidRDefault="00E0643B" w:rsidP="009452DF">
      <w:pPr>
        <w:jc w:val="both"/>
        <w:rPr>
          <w:rFonts w:ascii="Avenir Next" w:hAnsi="Avenir Next" w:cs="Arial"/>
          <w:color w:val="808080" w:themeColor="background1" w:themeShade="80"/>
          <w:sz w:val="22"/>
          <w:szCs w:val="22"/>
        </w:rPr>
      </w:pPr>
      <w:r w:rsidRPr="00E0643B">
        <w:rPr>
          <w:rFonts w:ascii="Avenir Next" w:hAnsi="Avenir Next" w:cs="Arial"/>
          <w:color w:val="808080" w:themeColor="background1" w:themeShade="80"/>
          <w:sz w:val="22"/>
          <w:szCs w:val="22"/>
        </w:rPr>
        <w:t xml:space="preserve">The liquidator may </w:t>
      </w:r>
      <w:proofErr w:type="gramStart"/>
      <w:r w:rsidRPr="00E0643B">
        <w:rPr>
          <w:rFonts w:ascii="Avenir Next" w:hAnsi="Avenir Next" w:cs="Arial"/>
          <w:color w:val="808080" w:themeColor="background1" w:themeShade="80"/>
          <w:sz w:val="22"/>
          <w:szCs w:val="22"/>
        </w:rPr>
        <w:t>take action</w:t>
      </w:r>
      <w:proofErr w:type="gramEnd"/>
      <w:r w:rsidRPr="00E0643B">
        <w:rPr>
          <w:rFonts w:ascii="Avenir Next" w:hAnsi="Avenir Next" w:cs="Arial"/>
          <w:color w:val="808080" w:themeColor="background1" w:themeShade="80"/>
          <w:sz w:val="22"/>
          <w:szCs w:val="22"/>
        </w:rPr>
        <w:t xml:space="preserve"> in relation to this issue by investigating whether there is evidence to suggest that the payments to Hard and Fast Ltd were a preference. If such evidence exists, then the liquidator may apply to court for an order setting aside the payments under Section 239 of the Insolvency Act 1986.</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51184F54" w:rsidR="00241FA3" w:rsidRPr="00A84235" w:rsidRDefault="001A075F" w:rsidP="009B4976">
    <w:pPr>
      <w:pStyle w:val="Piedepgina"/>
      <w:ind w:right="360"/>
      <w:rPr>
        <w:rFonts w:ascii="Avenir Next" w:hAnsi="Avenir Next" w:cs="Arial"/>
        <w:sz w:val="22"/>
        <w:szCs w:val="22"/>
        <w:lang w:val="en-GB"/>
      </w:rPr>
    </w:pPr>
    <w:r w:rsidRPr="001A075F">
      <w:rPr>
        <w:rFonts w:ascii="Avenir Next" w:hAnsi="Avenir Next" w:cs="Arial"/>
        <w:sz w:val="22"/>
        <w:szCs w:val="22"/>
        <w:lang w:val="en-GB"/>
      </w:rPr>
      <w:t>202223-772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CBF4" w14:textId="77777777" w:rsidR="001A075F" w:rsidRDefault="001A07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026" w14:textId="77777777" w:rsidR="001A075F" w:rsidRDefault="001A07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98B6" w14:textId="77777777" w:rsidR="001A075F" w:rsidRDefault="001A07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97B9" w14:textId="77777777" w:rsidR="001A075F" w:rsidRDefault="001A0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3516893"/>
    <w:multiLevelType w:val="hybridMultilevel"/>
    <w:tmpl w:val="A8D436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01D31"/>
    <w:multiLevelType w:val="hybridMultilevel"/>
    <w:tmpl w:val="615443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21845839">
    <w:abstractNumId w:val="3"/>
  </w:num>
  <w:num w:numId="2" w16cid:durableId="1757818970">
    <w:abstractNumId w:val="1"/>
  </w:num>
  <w:num w:numId="3" w16cid:durableId="1652715515">
    <w:abstractNumId w:val="0"/>
  </w:num>
  <w:num w:numId="4" w16cid:durableId="768738662">
    <w:abstractNumId w:val="7"/>
  </w:num>
  <w:num w:numId="5" w16cid:durableId="1504517381">
    <w:abstractNumId w:val="10"/>
  </w:num>
  <w:num w:numId="6" w16cid:durableId="1334449590">
    <w:abstractNumId w:val="2"/>
  </w:num>
  <w:num w:numId="7" w16cid:durableId="773986915">
    <w:abstractNumId w:val="11"/>
  </w:num>
  <w:num w:numId="8" w16cid:durableId="1456876057">
    <w:abstractNumId w:val="16"/>
  </w:num>
  <w:num w:numId="9" w16cid:durableId="1467045771">
    <w:abstractNumId w:val="8"/>
  </w:num>
  <w:num w:numId="10" w16cid:durableId="1511414276">
    <w:abstractNumId w:val="17"/>
  </w:num>
  <w:num w:numId="11" w16cid:durableId="1028337837">
    <w:abstractNumId w:val="5"/>
  </w:num>
  <w:num w:numId="12" w16cid:durableId="1755544880">
    <w:abstractNumId w:val="14"/>
  </w:num>
  <w:num w:numId="13" w16cid:durableId="1733506432">
    <w:abstractNumId w:val="9"/>
  </w:num>
  <w:num w:numId="14" w16cid:durableId="50930989">
    <w:abstractNumId w:val="4"/>
  </w:num>
  <w:num w:numId="15" w16cid:durableId="1265461356">
    <w:abstractNumId w:val="12"/>
  </w:num>
  <w:num w:numId="16" w16cid:durableId="2000956249">
    <w:abstractNumId w:val="15"/>
  </w:num>
  <w:num w:numId="17" w16cid:durableId="1674185176">
    <w:abstractNumId w:val="6"/>
  </w:num>
  <w:num w:numId="18" w16cid:durableId="517542694">
    <w:abstractNumId w:val="13"/>
  </w:num>
  <w:num w:numId="19" w16cid:durableId="7792956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7A"/>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075F"/>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474A6"/>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2D61"/>
    <w:rsid w:val="00763348"/>
    <w:rsid w:val="00764DB0"/>
    <w:rsid w:val="00766D86"/>
    <w:rsid w:val="0076764D"/>
    <w:rsid w:val="0077498C"/>
    <w:rsid w:val="007809BC"/>
    <w:rsid w:val="00784128"/>
    <w:rsid w:val="007864FE"/>
    <w:rsid w:val="00787BCC"/>
    <w:rsid w:val="00793173"/>
    <w:rsid w:val="0079364D"/>
    <w:rsid w:val="007A2A33"/>
    <w:rsid w:val="007A5171"/>
    <w:rsid w:val="007B5C89"/>
    <w:rsid w:val="007C1FCC"/>
    <w:rsid w:val="007C6201"/>
    <w:rsid w:val="007D7C92"/>
    <w:rsid w:val="007E1154"/>
    <w:rsid w:val="007E2919"/>
    <w:rsid w:val="007E46A8"/>
    <w:rsid w:val="007E6BA4"/>
    <w:rsid w:val="007F0B8D"/>
    <w:rsid w:val="007F41F8"/>
    <w:rsid w:val="007F659B"/>
    <w:rsid w:val="0080441E"/>
    <w:rsid w:val="0080454E"/>
    <w:rsid w:val="00804C32"/>
    <w:rsid w:val="00806302"/>
    <w:rsid w:val="00807119"/>
    <w:rsid w:val="0082483F"/>
    <w:rsid w:val="00826543"/>
    <w:rsid w:val="008279C0"/>
    <w:rsid w:val="00867701"/>
    <w:rsid w:val="00871C74"/>
    <w:rsid w:val="008723F3"/>
    <w:rsid w:val="00876F56"/>
    <w:rsid w:val="00881DE6"/>
    <w:rsid w:val="008837A6"/>
    <w:rsid w:val="0089145D"/>
    <w:rsid w:val="00891690"/>
    <w:rsid w:val="008A4DF2"/>
    <w:rsid w:val="008A6CFE"/>
    <w:rsid w:val="008B0613"/>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0BAD"/>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D6A1F"/>
    <w:rsid w:val="00BE4FF3"/>
    <w:rsid w:val="00BF2C93"/>
    <w:rsid w:val="00BF50F7"/>
    <w:rsid w:val="00C02F29"/>
    <w:rsid w:val="00C17718"/>
    <w:rsid w:val="00C20AFE"/>
    <w:rsid w:val="00C22A25"/>
    <w:rsid w:val="00C305F5"/>
    <w:rsid w:val="00C34459"/>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46DBB"/>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643B"/>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19E"/>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2696</Words>
  <Characters>14830</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Morales</cp:lastModifiedBy>
  <cp:revision>10</cp:revision>
  <cp:lastPrinted>2019-08-27T05:42:00Z</cp:lastPrinted>
  <dcterms:created xsi:type="dcterms:W3CDTF">2022-07-04T17:01:00Z</dcterms:created>
  <dcterms:modified xsi:type="dcterms:W3CDTF">2023-04-29T16:16:00Z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