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77777777" w:rsidR="0011473D" w:rsidRPr="007E7432" w:rsidRDefault="00C56B61"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 xml:space="preserve">ASSESSMENT: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3CF8F6D"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 xml:space="preserve">of this course and </w:t>
      </w:r>
      <w:r w:rsidR="00E11C54" w:rsidRPr="00B2234F">
        <w:rPr>
          <w:rFonts w:ascii="Avenir Next" w:hAnsi="Avenir Next" w:cs="Arial"/>
          <w:bCs/>
          <w:color w:val="767171" w:themeColor="background2" w:themeShade="80"/>
          <w:sz w:val="22"/>
          <w:szCs w:val="22"/>
          <w:lang w:val="en-GB"/>
        </w:rPr>
        <w:t>must be submitted by all</w:t>
      </w:r>
      <w:r w:rsidRPr="00B2234F">
        <w:rPr>
          <w:rFonts w:ascii="Avenir Next" w:hAnsi="Avenir Next" w:cs="Arial"/>
          <w:bCs/>
          <w:color w:val="767171" w:themeColor="background2" w:themeShade="80"/>
          <w:sz w:val="22"/>
          <w:szCs w:val="22"/>
          <w:lang w:val="en-GB"/>
        </w:rPr>
        <w:t xml:space="preserve"> candidates who </w:t>
      </w:r>
      <w:r w:rsidRPr="00B2234F">
        <w:rPr>
          <w:rFonts w:ascii="Avenir Next Demi Bold" w:hAnsi="Avenir Next Demi Bold" w:cs="Arial"/>
          <w:b/>
          <w:bCs/>
          <w:color w:val="767171" w:themeColor="background2" w:themeShade="80"/>
          <w:sz w:val="22"/>
          <w:szCs w:val="22"/>
          <w:lang w:val="en-GB"/>
        </w:rPr>
        <w:t xml:space="preserve">selected this module as one of their </w:t>
      </w:r>
      <w:r w:rsidR="00E11C54" w:rsidRPr="00B2234F">
        <w:rPr>
          <w:rFonts w:ascii="Avenir Next Demi Bold" w:hAnsi="Avenir Next Demi Bold" w:cs="Arial"/>
          <w:b/>
          <w:bCs/>
          <w:color w:val="767171" w:themeColor="background2" w:themeShade="80"/>
          <w:sz w:val="22"/>
          <w:szCs w:val="22"/>
          <w:lang w:val="en-GB"/>
        </w:rPr>
        <w:t>elective</w:t>
      </w:r>
      <w:r w:rsidRPr="00B2234F">
        <w:rPr>
          <w:rFonts w:ascii="Avenir Next Demi Bold" w:hAnsi="Avenir Next Demi Bold" w:cs="Arial"/>
          <w:b/>
          <w:bCs/>
          <w:color w:val="767171" w:themeColor="background2" w:themeShade="80"/>
          <w:sz w:val="22"/>
          <w:szCs w:val="22"/>
          <w:lang w:val="en-GB"/>
        </w:rPr>
        <w:t xml:space="preserve"> modules</w:t>
      </w:r>
      <w:r w:rsidRPr="00B2234F">
        <w:rPr>
          <w:rFonts w:ascii="Avenir Next" w:hAnsi="Avenir Next" w:cs="Arial"/>
          <w:bCs/>
          <w:color w:val="767171" w:themeColor="background2" w:themeShade="80"/>
          <w:sz w:val="22"/>
          <w:szCs w:val="22"/>
          <w:lang w:val="en-GB"/>
        </w:rPr>
        <w:t>.</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1D4F0C4B" w14:textId="77777777" w:rsidR="00397D3A" w:rsidRPr="00B2234F" w:rsidRDefault="00397D3A" w:rsidP="007C6201">
      <w:pPr>
        <w:jc w:val="both"/>
        <w:rPr>
          <w:rFonts w:ascii="Avenir Next" w:hAnsi="Avenir Next" w:cs="Arial"/>
          <w:b/>
          <w:sz w:val="22"/>
          <w:szCs w:val="22"/>
          <w:lang w:val="en-GB"/>
        </w:rPr>
      </w:pPr>
    </w:p>
    <w:p w14:paraId="7C975B41" w14:textId="77777777"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a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will be returned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0DCBA310"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Please also include the filename as a footer to each page of the assessment</w:t>
      </w:r>
      <w:r w:rsidRPr="00B2234F">
        <w:rPr>
          <w:rFonts w:ascii="Avenir Next" w:hAnsi="Avenir Next" w:cs="Arial"/>
          <w:bCs/>
          <w:sz w:val="22"/>
          <w:szCs w:val="22"/>
          <w:lang w:val="en-GB"/>
        </w:rPr>
        <w:t xml:space="preserve"> (this has been pre-populated for you, merely replace the words “student</w:t>
      </w:r>
      <w:r w:rsidR="00265D2D" w:rsidRPr="00B2234F">
        <w:rPr>
          <w:rFonts w:ascii="Avenir Next" w:hAnsi="Avenir Next" w:cs="Arial"/>
          <w:bCs/>
          <w:sz w:val="22"/>
          <w:szCs w:val="22"/>
          <w:lang w:val="en-GB"/>
        </w:rPr>
        <w:t>ID</w:t>
      </w:r>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Assessments that do not comply with this instruction will be returned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63A6024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Pr>
          <w:rFonts w:ascii="Avenir Next" w:hAnsi="Avenir Next" w:cs="Arial"/>
          <w:sz w:val="22"/>
          <w:szCs w:val="22"/>
          <w:lang w:val="en-GB"/>
        </w:rPr>
        <w:t>ing</w:t>
      </w:r>
      <w:r w:rsidRPr="00B2234F">
        <w:rPr>
          <w:rFonts w:ascii="Avenir Next" w:hAnsi="Avenir Next" w:cs="Arial"/>
          <w:sz w:val="22"/>
          <w:szCs w:val="22"/>
          <w:lang w:val="en-GB"/>
        </w:rPr>
        <w:t xml:space="preserve"> with plagiarism and dishonesty in the submission of assessments.</w:t>
      </w:r>
      <w:r w:rsidR="00532230" w:rsidRPr="00B2234F">
        <w:rPr>
          <w:rFonts w:ascii="Avenir Next" w:hAnsi="Avenir Next" w:cs="Arial"/>
          <w:sz w:val="22"/>
          <w:szCs w:val="22"/>
          <w:lang w:val="en-GB"/>
        </w:rPr>
        <w:t xml:space="preserve"> </w:t>
      </w:r>
      <w:r w:rsidR="00532230" w:rsidRPr="00B2234F">
        <w:rPr>
          <w:rFonts w:ascii="Avenir Next Demi Bold" w:hAnsi="Avenir Next Demi Bold" w:cs="Arial"/>
          <w:b/>
          <w:bCs/>
          <w:sz w:val="22"/>
          <w:szCs w:val="22"/>
          <w:lang w:val="en-GB"/>
        </w:rPr>
        <w:t>Please note that plagiarism includes copying text from the guidance text and pasting it into your assessment as your answer</w:t>
      </w:r>
      <w:r w:rsidR="00532230" w:rsidRPr="00B2234F">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60A5FB73" w14:textId="4877213B"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6.</w:t>
      </w:r>
      <w:r w:rsidRPr="00B2234F">
        <w:rPr>
          <w:rFonts w:ascii="Avenir Next" w:hAnsi="Avenir Next" w:cs="Arial"/>
          <w:b/>
          <w:sz w:val="22"/>
          <w:szCs w:val="22"/>
          <w:lang w:val="en-GB"/>
        </w:rPr>
        <w:tab/>
      </w:r>
      <w:r w:rsidR="00E11C54" w:rsidRPr="00B2234F">
        <w:rPr>
          <w:rFonts w:ascii="Avenir Next" w:hAnsi="Avenir Next" w:cs="Arial"/>
          <w:bCs/>
          <w:sz w:val="22"/>
          <w:szCs w:val="22"/>
          <w:lang w:val="en-GB"/>
        </w:rPr>
        <w:t>T</w:t>
      </w:r>
      <w:r w:rsidRPr="00B2234F">
        <w:rPr>
          <w:rFonts w:ascii="Avenir Next" w:hAnsi="Avenir Next" w:cs="Arial"/>
          <w:bCs/>
          <w:sz w:val="22"/>
          <w:szCs w:val="22"/>
          <w:lang w:val="en-GB"/>
        </w:rPr>
        <w:t>he</w:t>
      </w:r>
      <w:r w:rsidRPr="00B2234F">
        <w:rPr>
          <w:rFonts w:ascii="Avenir Next" w:hAnsi="Avenir Next" w:cs="Arial"/>
          <w:sz w:val="22"/>
          <w:szCs w:val="22"/>
          <w:lang w:val="en-GB"/>
        </w:rPr>
        <w:t xml:space="preserve"> final time and date for the submission of this assessment is </w:t>
      </w:r>
      <w:r w:rsidRPr="00B2234F">
        <w:rPr>
          <w:rFonts w:ascii="Avenir Next Demi Bold" w:hAnsi="Avenir Next Demi Bold" w:cs="Arial"/>
          <w:b/>
          <w:bCs/>
          <w:sz w:val="22"/>
          <w:szCs w:val="22"/>
          <w:lang w:val="en-GB"/>
        </w:rPr>
        <w:t xml:space="preserve">23:00 (11 pm) </w:t>
      </w:r>
      <w:r w:rsidR="00E11C54" w:rsidRPr="00B2234F">
        <w:rPr>
          <w:rFonts w:ascii="Avenir Next Demi Bold" w:hAnsi="Avenir Next Demi Bold" w:cs="Arial"/>
          <w:b/>
          <w:bCs/>
          <w:sz w:val="22"/>
          <w:szCs w:val="22"/>
          <w:lang w:val="en-GB"/>
        </w:rPr>
        <w:t>BS</w:t>
      </w:r>
      <w:r w:rsidRPr="00B2234F">
        <w:rPr>
          <w:rFonts w:ascii="Avenir Next Demi Bold" w:hAnsi="Avenir Next Demi Bold" w:cs="Arial"/>
          <w:b/>
          <w:bCs/>
          <w:sz w:val="22"/>
          <w:szCs w:val="22"/>
          <w:lang w:val="en-GB"/>
        </w:rPr>
        <w:t xml:space="preserve">T </w:t>
      </w:r>
      <w:r w:rsidR="00265D2D" w:rsidRPr="00B2234F">
        <w:rPr>
          <w:rFonts w:ascii="Avenir Next Demi Bold" w:hAnsi="Avenir Next Demi Bold" w:cs="Arial"/>
          <w:b/>
          <w:bCs/>
          <w:sz w:val="22"/>
          <w:szCs w:val="22"/>
          <w:lang w:val="en-GB"/>
        </w:rPr>
        <w:t xml:space="preserve">(GMT +1) </w:t>
      </w:r>
      <w:r w:rsidRPr="00B2234F">
        <w:rPr>
          <w:rFonts w:ascii="Avenir Next Demi Bold" w:hAnsi="Avenir Next Demi Bold" w:cs="Arial"/>
          <w:b/>
          <w:bCs/>
          <w:sz w:val="22"/>
          <w:szCs w:val="22"/>
          <w:lang w:val="en-GB"/>
        </w:rPr>
        <w:t xml:space="preserve">on </w:t>
      </w:r>
      <w:r w:rsidR="00E11C54" w:rsidRPr="00B2234F">
        <w:rPr>
          <w:rFonts w:ascii="Avenir Next Demi Bold" w:hAnsi="Avenir Next Demi Bold" w:cs="Arial"/>
          <w:b/>
          <w:bCs/>
          <w:sz w:val="22"/>
          <w:szCs w:val="22"/>
          <w:lang w:val="en-GB"/>
        </w:rPr>
        <w:t>31 July</w:t>
      </w:r>
      <w:r w:rsidRPr="00B2234F">
        <w:rPr>
          <w:rFonts w:ascii="Avenir Next Demi Bold" w:hAnsi="Avenir Next Demi Bold" w:cs="Arial"/>
          <w:b/>
          <w:bCs/>
          <w:sz w:val="22"/>
          <w:szCs w:val="22"/>
          <w:lang w:val="en-GB"/>
        </w:rPr>
        <w:t xml:space="preserve"> 202</w:t>
      </w:r>
      <w:r w:rsidR="00B2234F">
        <w:rPr>
          <w:rFonts w:ascii="Avenir Next Demi Bold" w:hAnsi="Avenir Next Demi Bold" w:cs="Arial"/>
          <w:b/>
          <w:bCs/>
          <w:sz w:val="22"/>
          <w:szCs w:val="22"/>
          <w:lang w:val="en-GB"/>
        </w:rPr>
        <w:t>3</w:t>
      </w:r>
      <w:r w:rsidRPr="00B2234F">
        <w:rPr>
          <w:rFonts w:ascii="Avenir Next" w:hAnsi="Avenir Next" w:cs="Arial"/>
          <w:sz w:val="22"/>
          <w:szCs w:val="22"/>
          <w:lang w:val="en-GB"/>
        </w:rPr>
        <w:t xml:space="preserve">. The assessment submission portal will close at </w:t>
      </w:r>
      <w:r w:rsidRPr="00B2234F">
        <w:rPr>
          <w:rFonts w:ascii="Avenir Next" w:hAnsi="Avenir Next" w:cs="Arial"/>
          <w:bCs/>
          <w:sz w:val="22"/>
          <w:szCs w:val="22"/>
          <w:lang w:val="en-GB"/>
        </w:rPr>
        <w:t xml:space="preserve">23:00 (11 pm) </w:t>
      </w:r>
      <w:r w:rsidR="00E11C54" w:rsidRPr="00B2234F">
        <w:rPr>
          <w:rFonts w:ascii="Avenir Next" w:hAnsi="Avenir Next" w:cs="Arial"/>
          <w:bCs/>
          <w:sz w:val="22"/>
          <w:szCs w:val="22"/>
          <w:lang w:val="en-GB"/>
        </w:rPr>
        <w:t>B</w:t>
      </w:r>
      <w:r w:rsidR="00265D2D" w:rsidRPr="00B2234F">
        <w:rPr>
          <w:rFonts w:ascii="Avenir Next" w:hAnsi="Avenir Next" w:cs="Arial"/>
          <w:bCs/>
          <w:sz w:val="22"/>
          <w:szCs w:val="22"/>
          <w:lang w:val="en-GB"/>
        </w:rPr>
        <w:t>S</w:t>
      </w:r>
      <w:r w:rsidRPr="00B2234F">
        <w:rPr>
          <w:rFonts w:ascii="Avenir Next" w:hAnsi="Avenir Next" w:cs="Arial"/>
          <w:bCs/>
          <w:sz w:val="22"/>
          <w:szCs w:val="22"/>
          <w:lang w:val="en-GB"/>
        </w:rPr>
        <w:t xml:space="preserve">T </w:t>
      </w:r>
      <w:r w:rsidR="00265D2D" w:rsidRPr="00B2234F">
        <w:rPr>
          <w:rFonts w:ascii="Avenir Next" w:hAnsi="Avenir Next" w:cs="Arial"/>
          <w:bCs/>
          <w:sz w:val="22"/>
          <w:szCs w:val="22"/>
          <w:lang w:val="en-GB"/>
        </w:rPr>
        <w:t xml:space="preserve">(GMT +1) </w:t>
      </w:r>
      <w:r w:rsidRPr="00B2234F">
        <w:rPr>
          <w:rFonts w:ascii="Avenir Next" w:hAnsi="Avenir Next" w:cs="Arial"/>
          <w:bCs/>
          <w:sz w:val="22"/>
          <w:szCs w:val="22"/>
          <w:lang w:val="en-GB"/>
        </w:rPr>
        <w:t xml:space="preserve">on </w:t>
      </w:r>
      <w:r w:rsidR="00E11C54" w:rsidRPr="00B2234F">
        <w:rPr>
          <w:rFonts w:ascii="Avenir Next" w:hAnsi="Avenir Next" w:cs="Arial"/>
          <w:bCs/>
          <w:sz w:val="22"/>
          <w:szCs w:val="22"/>
          <w:lang w:val="en-GB"/>
        </w:rPr>
        <w:t>31 July</w:t>
      </w:r>
      <w:r w:rsidRPr="00B2234F">
        <w:rPr>
          <w:rFonts w:ascii="Avenir Next" w:hAnsi="Avenir Next" w:cs="Arial"/>
          <w:bCs/>
          <w:sz w:val="22"/>
          <w:szCs w:val="22"/>
          <w:lang w:val="en-GB"/>
        </w:rPr>
        <w:t xml:space="preserve"> 202</w:t>
      </w:r>
      <w:r w:rsidR="00B2234F">
        <w:rPr>
          <w:rFonts w:ascii="Avenir Next" w:hAnsi="Avenir Next" w:cs="Arial"/>
          <w:bCs/>
          <w:sz w:val="22"/>
          <w:szCs w:val="22"/>
          <w:lang w:val="en-GB"/>
        </w:rPr>
        <w:t>3</w:t>
      </w:r>
      <w:r w:rsidRPr="00B2234F">
        <w:rPr>
          <w:rFonts w:ascii="Avenir Next" w:hAnsi="Avenir Next" w:cs="Arial"/>
          <w:sz w:val="22"/>
          <w:szCs w:val="22"/>
          <w:lang w:val="en-GB"/>
        </w:rPr>
        <w:t>. No submissions can be made after the portal has closed and no further uploading of documents will be allowed, no matter the circumstances.</w:t>
      </w:r>
    </w:p>
    <w:p w14:paraId="5AAC5181" w14:textId="77777777" w:rsidR="004A2D83" w:rsidRPr="00B2234F" w:rsidRDefault="004A2D83" w:rsidP="004A2D83">
      <w:pPr>
        <w:ind w:left="720" w:hanging="720"/>
        <w:jc w:val="both"/>
        <w:rPr>
          <w:rFonts w:ascii="Avenir Next" w:hAnsi="Avenir Next" w:cs="Arial"/>
          <w:sz w:val="22"/>
          <w:szCs w:val="22"/>
          <w:lang w:val="en-GB"/>
        </w:rPr>
      </w:pPr>
    </w:p>
    <w:p w14:paraId="5EA5E58F" w14:textId="1AD2CDC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7.</w:t>
      </w:r>
      <w:r w:rsidRPr="00B2234F">
        <w:rPr>
          <w:rFonts w:ascii="Avenir Next" w:hAnsi="Avenir Next" w:cs="Arial"/>
          <w:sz w:val="22"/>
          <w:szCs w:val="22"/>
          <w:lang w:val="en-GB"/>
        </w:rPr>
        <w:tab/>
        <w:t xml:space="preserve">Prior to being populated with your answers, this assessment consists of </w:t>
      </w:r>
      <w:r w:rsidR="006E6760">
        <w:rPr>
          <w:rFonts w:ascii="Avenir Next Demi Bold" w:hAnsi="Avenir Next Demi Bold" w:cs="Arial"/>
          <w:b/>
          <w:bCs/>
          <w:sz w:val="22"/>
          <w:szCs w:val="22"/>
          <w:lang w:val="en-GB"/>
        </w:rPr>
        <w:t>9</w:t>
      </w:r>
      <w:r w:rsidRPr="00B2234F">
        <w:rPr>
          <w:rFonts w:ascii="Avenir Next Demi Bold" w:hAnsi="Avenir Next Demi Bold" w:cs="Arial"/>
          <w:b/>
          <w:bCs/>
          <w:sz w:val="22"/>
          <w:szCs w:val="22"/>
          <w:lang w:val="en-GB"/>
        </w:rPr>
        <w:t xml:space="preserve"> pages</w:t>
      </w:r>
      <w:r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D079CC" w:rsidRDefault="00F3323E"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u w:val="single"/>
          <w:lang w:val="en-GB"/>
        </w:rPr>
        <w:lastRenderedPageBreak/>
        <w:t>ANSWER ALL THE QUESTIONS</w:t>
      </w:r>
    </w:p>
    <w:p w14:paraId="7EC6BF23" w14:textId="77777777" w:rsidR="00F3323E" w:rsidRPr="00B2234F" w:rsidRDefault="00F3323E" w:rsidP="00B9639B">
      <w:pPr>
        <w:ind w:left="720" w:hanging="720"/>
        <w:jc w:val="both"/>
        <w:rPr>
          <w:rFonts w:ascii="Avenir Next" w:hAnsi="Avenir Next" w:cs="Arial"/>
          <w:sz w:val="22"/>
          <w:szCs w:val="22"/>
          <w:lang w:val="en-GB"/>
        </w:rPr>
      </w:pPr>
    </w:p>
    <w:p w14:paraId="299FA105" w14:textId="77777777" w:rsidR="005D43E0" w:rsidRPr="00D079CC" w:rsidRDefault="0029433F"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lang w:val="en-GB"/>
        </w:rPr>
        <w:t>QUESTION 1</w:t>
      </w:r>
      <w:r w:rsidR="005D43E0" w:rsidRPr="00D079CC">
        <w:rPr>
          <w:rFonts w:ascii="Avenir Next Demi Bold" w:hAnsi="Avenir Next Demi Bold" w:cs="Arial"/>
          <w:b/>
          <w:bCs/>
          <w:sz w:val="22"/>
          <w:szCs w:val="22"/>
          <w:lang w:val="en-GB"/>
        </w:rPr>
        <w:t xml:space="preserve"> (multiple-choice questions) [10 marks</w:t>
      </w:r>
      <w:r w:rsidR="00D17FDC" w:rsidRPr="00D079CC">
        <w:rPr>
          <w:rFonts w:ascii="Avenir Next Demi Bold" w:hAnsi="Avenir Next Demi Bold" w:cs="Arial"/>
          <w:b/>
          <w:bCs/>
          <w:sz w:val="22"/>
          <w:szCs w:val="22"/>
          <w:lang w:val="en-GB"/>
        </w:rPr>
        <w:t xml:space="preserve"> in total</w:t>
      </w:r>
      <w:r w:rsidR="005D43E0" w:rsidRPr="00D079CC">
        <w:rPr>
          <w:rFonts w:ascii="Avenir Next Demi Bold" w:hAnsi="Avenir Next Demi Bold" w:cs="Arial"/>
          <w:b/>
          <w:bCs/>
          <w:sz w:val="22"/>
          <w:szCs w:val="22"/>
          <w:lang w:val="en-GB"/>
        </w:rPr>
        <w:t>]</w:t>
      </w:r>
    </w:p>
    <w:p w14:paraId="6BF107AB" w14:textId="77777777" w:rsidR="00F3323E" w:rsidRPr="00B2234F" w:rsidRDefault="00F3323E" w:rsidP="00B9639B">
      <w:pPr>
        <w:ind w:left="720" w:hanging="720"/>
        <w:jc w:val="both"/>
        <w:rPr>
          <w:rFonts w:ascii="Avenir Next" w:hAnsi="Avenir Next" w:cs="Arial"/>
          <w:sz w:val="22"/>
          <w:szCs w:val="22"/>
          <w:lang w:val="en-GB"/>
        </w:rPr>
      </w:pPr>
    </w:p>
    <w:p w14:paraId="18C01692" w14:textId="77777777" w:rsidR="005D43E0" w:rsidRPr="00B2234F" w:rsidRDefault="005D43E0" w:rsidP="00B9639B">
      <w:pPr>
        <w:jc w:val="both"/>
        <w:rPr>
          <w:rFonts w:ascii="Avenir Next" w:hAnsi="Avenir Next" w:cs="Arial"/>
          <w:sz w:val="22"/>
          <w:szCs w:val="22"/>
          <w:lang w:val="en-GB"/>
        </w:rPr>
      </w:pPr>
      <w:r w:rsidRPr="00B2234F">
        <w:rPr>
          <w:rFonts w:ascii="Avenir Next" w:hAnsi="Avenir Next" w:cs="Arial"/>
          <w:sz w:val="22"/>
          <w:szCs w:val="22"/>
          <w:lang w:val="en-GB"/>
        </w:rPr>
        <w:t>Questions 1.1. – 1.10</w:t>
      </w:r>
      <w:r w:rsidR="00341AA6" w:rsidRPr="00B2234F">
        <w:rPr>
          <w:rFonts w:ascii="Avenir Next" w:hAnsi="Avenir Next" w:cs="Arial"/>
          <w:sz w:val="22"/>
          <w:szCs w:val="22"/>
          <w:lang w:val="en-GB"/>
        </w:rPr>
        <w:t>.</w:t>
      </w:r>
      <w:r w:rsidRPr="00B2234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2234F">
        <w:rPr>
          <w:rFonts w:ascii="Avenir Next" w:hAnsi="Avenir Next" w:cs="Arial"/>
          <w:sz w:val="22"/>
          <w:szCs w:val="22"/>
          <w:highlight w:val="yellow"/>
          <w:lang w:val="en-GB"/>
        </w:rPr>
        <w:t>mark your selection on the answer sheet</w:t>
      </w:r>
      <w:r w:rsidR="00397D3A" w:rsidRPr="00B2234F">
        <w:rPr>
          <w:rFonts w:ascii="Avenir Next" w:hAnsi="Avenir Next" w:cs="Arial"/>
          <w:sz w:val="22"/>
          <w:szCs w:val="22"/>
          <w:highlight w:val="yellow"/>
          <w:lang w:val="en-GB"/>
        </w:rPr>
        <w:t xml:space="preserve"> by highlighting the </w:t>
      </w:r>
      <w:r w:rsidR="0036565C" w:rsidRPr="00B2234F">
        <w:rPr>
          <w:rFonts w:ascii="Avenir Next" w:hAnsi="Avenir Next" w:cs="Arial"/>
          <w:sz w:val="22"/>
          <w:szCs w:val="22"/>
          <w:highlight w:val="yellow"/>
          <w:lang w:val="en-GB"/>
        </w:rPr>
        <w:t xml:space="preserve">relevant paragraph </w:t>
      </w:r>
      <w:r w:rsidR="0036565C" w:rsidRPr="00D079CC">
        <w:rPr>
          <w:rFonts w:ascii="Avenir Next Demi Bold" w:hAnsi="Avenir Next Demi Bold" w:cs="Arial"/>
          <w:b/>
          <w:bCs/>
          <w:sz w:val="22"/>
          <w:szCs w:val="22"/>
          <w:highlight w:val="yellow"/>
          <w:lang w:val="en-GB"/>
        </w:rPr>
        <w:t>in yellow</w:t>
      </w:r>
      <w:r w:rsidRPr="00B2234F">
        <w:rPr>
          <w:rFonts w:ascii="Avenir Next" w:hAnsi="Avenir Next" w:cs="Arial"/>
          <w:sz w:val="22"/>
          <w:szCs w:val="22"/>
          <w:lang w:val="en-GB"/>
        </w:rPr>
        <w:t>.</w:t>
      </w:r>
      <w:r w:rsidR="0036565C" w:rsidRPr="00B2234F">
        <w:rPr>
          <w:rFonts w:ascii="Avenir Next" w:hAnsi="Avenir Next" w:cs="Arial"/>
          <w:sz w:val="22"/>
          <w:szCs w:val="22"/>
          <w:lang w:val="en-GB"/>
        </w:rPr>
        <w:t xml:space="preserve"> Select only </w:t>
      </w:r>
      <w:r w:rsidR="0036565C" w:rsidRPr="00D079CC">
        <w:rPr>
          <w:rFonts w:ascii="Avenir Next Demi Bold" w:hAnsi="Avenir Next Demi Bold" w:cs="Arial"/>
          <w:b/>
          <w:bCs/>
          <w:sz w:val="22"/>
          <w:szCs w:val="22"/>
          <w:lang w:val="en-GB"/>
        </w:rPr>
        <w:t>ONE</w:t>
      </w:r>
      <w:r w:rsidR="0036565C" w:rsidRPr="00B2234F">
        <w:rPr>
          <w:rFonts w:ascii="Avenir Next" w:hAnsi="Avenir Next" w:cs="Arial"/>
          <w:sz w:val="22"/>
          <w:szCs w:val="22"/>
          <w:lang w:val="en-GB"/>
        </w:rPr>
        <w:t xml:space="preserve"> answer</w:t>
      </w:r>
      <w:r w:rsidR="00A60074" w:rsidRPr="00B2234F">
        <w:rPr>
          <w:rFonts w:ascii="Avenir Next" w:hAnsi="Avenir Next" w:cs="Arial"/>
          <w:sz w:val="22"/>
          <w:szCs w:val="22"/>
          <w:lang w:val="en-GB"/>
        </w:rPr>
        <w:t>. Candidates who select more than one answer will receive no mark for that specific question.</w:t>
      </w:r>
    </w:p>
    <w:p w14:paraId="1C2EA4CD" w14:textId="77777777" w:rsidR="00AF228E" w:rsidRPr="00B2234F" w:rsidRDefault="00AF228E" w:rsidP="00C55824">
      <w:pPr>
        <w:autoSpaceDE w:val="0"/>
        <w:autoSpaceDN w:val="0"/>
        <w:adjustRightInd w:val="0"/>
        <w:jc w:val="both"/>
        <w:rPr>
          <w:rFonts w:ascii="Avenir Next" w:hAnsi="Avenir Next" w:cs="Arial"/>
          <w:sz w:val="22"/>
          <w:szCs w:val="22"/>
        </w:rPr>
      </w:pPr>
    </w:p>
    <w:p w14:paraId="44750412"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 xml:space="preserve">Question 1.1 </w:t>
      </w:r>
    </w:p>
    <w:p w14:paraId="5829F7D6" w14:textId="77777777" w:rsidR="00E9597C" w:rsidRPr="00B2234F" w:rsidRDefault="00E9597C" w:rsidP="00C55824">
      <w:pPr>
        <w:jc w:val="both"/>
        <w:rPr>
          <w:rFonts w:ascii="Avenir Next Demi Bold" w:hAnsi="Avenir Next Demi Bold" w:cs="Arial"/>
          <w:b/>
          <w:bCs/>
          <w:sz w:val="22"/>
          <w:szCs w:val="22"/>
        </w:rPr>
      </w:pPr>
    </w:p>
    <w:p w14:paraId="7EC1F091" w14:textId="708657F8" w:rsidR="00E11C54" w:rsidRPr="00B2234F" w:rsidRDefault="00E11C54" w:rsidP="00AD12C7">
      <w:pPr>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Select the correct answer:</w:t>
      </w:r>
    </w:p>
    <w:p w14:paraId="610EC061" w14:textId="77777777" w:rsidR="00E11C54" w:rsidRPr="00B2234F" w:rsidRDefault="00E11C54" w:rsidP="00AD12C7">
      <w:pPr>
        <w:rPr>
          <w:rFonts w:ascii="Avenir Next" w:hAnsi="Avenir Next" w:cs="Arial"/>
          <w:sz w:val="22"/>
          <w:szCs w:val="22"/>
          <w:lang w:val="en-GB"/>
        </w:rPr>
      </w:pPr>
    </w:p>
    <w:p w14:paraId="5D15A9A7" w14:textId="7136DED0" w:rsidR="00AD12C7" w:rsidRPr="00B2234F" w:rsidRDefault="00AD12C7" w:rsidP="00AD12C7">
      <w:pPr>
        <w:rPr>
          <w:rFonts w:ascii="Avenir Next" w:hAnsi="Avenir Next" w:cs="Arial"/>
          <w:sz w:val="22"/>
          <w:szCs w:val="22"/>
          <w:lang w:val="en-GB"/>
        </w:rPr>
      </w:pPr>
      <w:r w:rsidRPr="00B2234F">
        <w:rPr>
          <w:rFonts w:ascii="Avenir Next" w:hAnsi="Avenir Next" w:cs="Arial"/>
          <w:sz w:val="22"/>
          <w:szCs w:val="22"/>
          <w:lang w:val="en-GB"/>
        </w:rPr>
        <w:t>If a creditor is dissatisfied with the bankruptcy trustee or liquidator’s decision in respect of its proof of debt, the creditor may:</w:t>
      </w:r>
    </w:p>
    <w:p w14:paraId="231A4E80" w14:textId="77777777" w:rsidR="00AD12C7" w:rsidRPr="00B2234F" w:rsidRDefault="00AD12C7" w:rsidP="00AD12C7">
      <w:pPr>
        <w:ind w:left="720" w:hanging="720"/>
        <w:jc w:val="both"/>
        <w:rPr>
          <w:rFonts w:ascii="Avenir Next" w:hAnsi="Avenir Next" w:cs="Arial"/>
          <w:sz w:val="22"/>
          <w:szCs w:val="22"/>
          <w:lang w:val="en-GB"/>
        </w:rPr>
      </w:pPr>
    </w:p>
    <w:p w14:paraId="43424E61" w14:textId="36BC6576"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AFSA or ASIC for the decision to be reversed or varied</w:t>
      </w:r>
      <w:r w:rsidR="00E11C54" w:rsidRPr="00B2234F">
        <w:rPr>
          <w:rFonts w:ascii="Avenir Next" w:hAnsi="Avenir Next" w:cs="Arial"/>
          <w:sz w:val="22"/>
          <w:szCs w:val="22"/>
          <w:lang w:val="en-GB"/>
        </w:rPr>
        <w:t>.</w:t>
      </w:r>
    </w:p>
    <w:p w14:paraId="748D20AD" w14:textId="77777777" w:rsidR="00265D2D" w:rsidRPr="00B2234F" w:rsidRDefault="00265D2D" w:rsidP="00265D2D">
      <w:pPr>
        <w:ind w:left="66"/>
        <w:jc w:val="both"/>
        <w:rPr>
          <w:rFonts w:ascii="Avenir Next" w:hAnsi="Avenir Next" w:cs="Arial"/>
          <w:sz w:val="22"/>
          <w:szCs w:val="22"/>
          <w:lang w:val="en-GB"/>
        </w:rPr>
      </w:pPr>
    </w:p>
    <w:p w14:paraId="61C5BCD2" w14:textId="652B919E"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the bankruptcy trustee or liquidator for the decision to be reversed or varied</w:t>
      </w:r>
      <w:r w:rsidR="00E11C54" w:rsidRPr="00B2234F">
        <w:rPr>
          <w:rFonts w:ascii="Avenir Next" w:hAnsi="Avenir Next" w:cs="Arial"/>
          <w:sz w:val="22"/>
          <w:szCs w:val="22"/>
          <w:lang w:val="en-GB"/>
        </w:rPr>
        <w:t>.</w:t>
      </w:r>
    </w:p>
    <w:p w14:paraId="537E5581" w14:textId="77777777" w:rsidR="00265D2D" w:rsidRPr="00B2234F" w:rsidRDefault="00265D2D" w:rsidP="00265D2D">
      <w:pPr>
        <w:ind w:left="66"/>
        <w:jc w:val="both"/>
        <w:rPr>
          <w:rFonts w:ascii="Avenir Next" w:hAnsi="Avenir Next" w:cs="Arial"/>
          <w:sz w:val="22"/>
          <w:szCs w:val="22"/>
          <w:lang w:val="en-GB"/>
        </w:rPr>
      </w:pPr>
    </w:p>
    <w:p w14:paraId="79E9BF78" w14:textId="30A3206A" w:rsidR="00AD12C7" w:rsidRPr="00B2234F" w:rsidRDefault="00AD12C7" w:rsidP="00265D2D">
      <w:pPr>
        <w:pStyle w:val="ListParagraph"/>
        <w:numPr>
          <w:ilvl w:val="0"/>
          <w:numId w:val="11"/>
        </w:numPr>
        <w:ind w:left="426"/>
        <w:jc w:val="both"/>
        <w:rPr>
          <w:rFonts w:ascii="Avenir Next" w:hAnsi="Avenir Next"/>
          <w:sz w:val="22"/>
          <w:szCs w:val="22"/>
          <w:lang w:val="en-GB"/>
        </w:rPr>
      </w:pPr>
      <w:r w:rsidRPr="00B2234F">
        <w:rPr>
          <w:rFonts w:ascii="Avenir Next" w:hAnsi="Avenir Next"/>
          <w:sz w:val="22"/>
          <w:szCs w:val="22"/>
          <w:lang w:val="en-GB"/>
        </w:rPr>
        <w:t>bring court proceedings for a money judgment in respect of the debt</w:t>
      </w:r>
      <w:r w:rsidR="005A2E18" w:rsidRPr="00B2234F">
        <w:rPr>
          <w:rFonts w:ascii="Avenir Next" w:hAnsi="Avenir Next"/>
          <w:sz w:val="22"/>
          <w:szCs w:val="22"/>
          <w:lang w:val="en-GB"/>
        </w:rPr>
        <w:t>.</w:t>
      </w:r>
    </w:p>
    <w:p w14:paraId="7D1F4138" w14:textId="77777777" w:rsidR="00265D2D" w:rsidRPr="00B2234F" w:rsidRDefault="00265D2D" w:rsidP="00265D2D">
      <w:pPr>
        <w:ind w:left="66"/>
        <w:jc w:val="both"/>
        <w:rPr>
          <w:rFonts w:ascii="Avenir Next" w:hAnsi="Avenir Next" w:cs="Arial"/>
          <w:sz w:val="22"/>
          <w:szCs w:val="22"/>
          <w:lang w:val="en-GB"/>
        </w:rPr>
      </w:pPr>
    </w:p>
    <w:p w14:paraId="1763501D" w14:textId="75E6BA71" w:rsidR="00AD12C7" w:rsidRPr="00BC3EA9" w:rsidRDefault="00AD12C7" w:rsidP="00265D2D">
      <w:pPr>
        <w:pStyle w:val="ListParagraph"/>
        <w:numPr>
          <w:ilvl w:val="0"/>
          <w:numId w:val="11"/>
        </w:numPr>
        <w:ind w:left="426"/>
        <w:jc w:val="both"/>
        <w:rPr>
          <w:rFonts w:ascii="Avenir Next" w:hAnsi="Avenir Next"/>
          <w:sz w:val="22"/>
          <w:szCs w:val="22"/>
          <w:highlight w:val="yellow"/>
          <w:lang w:val="en-GB"/>
        </w:rPr>
      </w:pPr>
      <w:r w:rsidRPr="00BC3EA9">
        <w:rPr>
          <w:rFonts w:ascii="Avenir Next" w:hAnsi="Avenir Next"/>
          <w:sz w:val="22"/>
          <w:szCs w:val="22"/>
          <w:highlight w:val="yellow"/>
          <w:lang w:val="en-GB"/>
        </w:rPr>
        <w:t>apply to the court for the decision to be reversed or varied</w:t>
      </w:r>
      <w:r w:rsidR="005A2E18" w:rsidRPr="00BC3EA9">
        <w:rPr>
          <w:rFonts w:ascii="Avenir Next" w:hAnsi="Avenir Next"/>
          <w:sz w:val="22"/>
          <w:szCs w:val="22"/>
          <w:highlight w:val="yellow"/>
          <w:lang w:val="en-GB"/>
        </w:rPr>
        <w:t>.</w:t>
      </w:r>
    </w:p>
    <w:p w14:paraId="58052334" w14:textId="77777777" w:rsidR="005B79F4" w:rsidRPr="00B2234F" w:rsidRDefault="005B79F4" w:rsidP="00C55824">
      <w:pPr>
        <w:jc w:val="both"/>
        <w:rPr>
          <w:rFonts w:ascii="Avenir Next" w:hAnsi="Avenir Next" w:cs="Arial"/>
          <w:sz w:val="22"/>
          <w:szCs w:val="22"/>
        </w:rPr>
      </w:pPr>
    </w:p>
    <w:p w14:paraId="58246458"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Question 1.2</w:t>
      </w:r>
    </w:p>
    <w:p w14:paraId="072A77BD" w14:textId="77777777" w:rsidR="00E9597C" w:rsidRPr="00B2234F" w:rsidRDefault="00E9597C" w:rsidP="00C55824">
      <w:pPr>
        <w:jc w:val="both"/>
        <w:rPr>
          <w:rFonts w:ascii="Avenir Next" w:hAnsi="Avenir Next" w:cs="Arial"/>
          <w:sz w:val="22"/>
          <w:szCs w:val="22"/>
        </w:rPr>
      </w:pPr>
    </w:p>
    <w:p w14:paraId="03403321" w14:textId="60D49BD3"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is</w:t>
      </w:r>
      <w:r w:rsidRPr="00B2234F">
        <w:rPr>
          <w:rFonts w:ascii="Avenir Next" w:hAnsi="Avenir Next"/>
          <w:sz w:val="22"/>
          <w:szCs w:val="22"/>
          <w:lang w:val="en-GB"/>
        </w:rPr>
        <w:t xml:space="preserve"> </w:t>
      </w:r>
      <w:r w:rsidRPr="00B2234F">
        <w:rPr>
          <w:rFonts w:ascii="Avenir Next" w:hAnsi="Avenir Next" w:cs="Arial"/>
          <w:sz w:val="22"/>
          <w:szCs w:val="22"/>
          <w:lang w:val="en-GB"/>
        </w:rPr>
        <w:t xml:space="preserve">a </w:t>
      </w:r>
      <w:r w:rsidR="00422295" w:rsidRPr="00B2234F">
        <w:rPr>
          <w:rFonts w:ascii="Avenir Next" w:hAnsi="Avenir Next" w:cs="Arial"/>
          <w:sz w:val="22"/>
          <w:szCs w:val="22"/>
          <w:lang w:val="en-GB"/>
        </w:rPr>
        <w:t>debtor-in-possession process</w:t>
      </w:r>
      <w:r w:rsidR="00B2234F" w:rsidRPr="00B2234F">
        <w:rPr>
          <w:rFonts w:ascii="Avenir Next" w:hAnsi="Avenir Next" w:cs="Arial"/>
          <w:sz w:val="22"/>
          <w:szCs w:val="22"/>
          <w:lang w:val="en-GB"/>
        </w:rPr>
        <w:t>?</w:t>
      </w:r>
    </w:p>
    <w:p w14:paraId="50F62592" w14:textId="77777777" w:rsidR="00AD12C7" w:rsidRPr="00B2234F" w:rsidRDefault="00AD12C7" w:rsidP="00AD12C7">
      <w:pPr>
        <w:ind w:left="720" w:hanging="720"/>
        <w:rPr>
          <w:rFonts w:ascii="Avenir Next" w:hAnsi="Avenir Next" w:cs="Arial"/>
          <w:sz w:val="22"/>
          <w:szCs w:val="22"/>
          <w:lang w:val="en-GB"/>
        </w:rPr>
      </w:pPr>
    </w:p>
    <w:p w14:paraId="0E0C2ECE" w14:textId="36D5BA0D" w:rsidR="00AD12C7" w:rsidRPr="00BC3EA9" w:rsidRDefault="00B2234F" w:rsidP="00265D2D">
      <w:pPr>
        <w:pStyle w:val="ListParagraph"/>
        <w:numPr>
          <w:ilvl w:val="0"/>
          <w:numId w:val="12"/>
        </w:numPr>
        <w:ind w:left="426"/>
        <w:rPr>
          <w:rFonts w:ascii="Avenir Next" w:hAnsi="Avenir Next" w:cs="Arial"/>
          <w:sz w:val="22"/>
          <w:szCs w:val="22"/>
          <w:highlight w:val="yellow"/>
          <w:lang w:val="en-GB"/>
        </w:rPr>
      </w:pPr>
      <w:r w:rsidRPr="00BC3EA9">
        <w:rPr>
          <w:rFonts w:ascii="Avenir Next" w:hAnsi="Avenir Next" w:cs="Arial"/>
          <w:sz w:val="22"/>
          <w:szCs w:val="22"/>
          <w:highlight w:val="yellow"/>
          <w:lang w:val="en-GB"/>
        </w:rPr>
        <w:t>S</w:t>
      </w:r>
      <w:r w:rsidR="00422295" w:rsidRPr="00BC3EA9">
        <w:rPr>
          <w:rFonts w:ascii="Avenir Next" w:hAnsi="Avenir Next" w:cs="Arial"/>
          <w:sz w:val="22"/>
          <w:szCs w:val="22"/>
          <w:highlight w:val="yellow"/>
          <w:lang w:val="en-GB"/>
        </w:rPr>
        <w:t>mall company restructuring</w:t>
      </w:r>
      <w:r w:rsidR="005A2E18" w:rsidRPr="00BC3EA9">
        <w:rPr>
          <w:rFonts w:ascii="Avenir Next" w:hAnsi="Avenir Next" w:cs="Arial"/>
          <w:sz w:val="22"/>
          <w:szCs w:val="22"/>
          <w:highlight w:val="yellow"/>
          <w:lang w:val="en-GB"/>
        </w:rPr>
        <w:t>.</w:t>
      </w:r>
    </w:p>
    <w:p w14:paraId="731B9BAF" w14:textId="77777777" w:rsidR="00265D2D" w:rsidRPr="00B2234F" w:rsidRDefault="00265D2D" w:rsidP="00265D2D">
      <w:pPr>
        <w:ind w:left="66"/>
        <w:rPr>
          <w:rFonts w:ascii="Avenir Next" w:hAnsi="Avenir Next" w:cs="Arial"/>
          <w:sz w:val="22"/>
          <w:szCs w:val="22"/>
          <w:lang w:val="en-GB"/>
        </w:rPr>
      </w:pPr>
    </w:p>
    <w:p w14:paraId="046C5A60" w14:textId="3C1A37F5"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B</w:t>
      </w:r>
      <w:r w:rsidR="00422295" w:rsidRPr="00B2234F">
        <w:rPr>
          <w:rFonts w:ascii="Avenir Next" w:hAnsi="Avenir Next" w:cs="Arial"/>
          <w:sz w:val="22"/>
          <w:szCs w:val="22"/>
          <w:lang w:val="en-GB"/>
        </w:rPr>
        <w:t>ankruptcy</w:t>
      </w:r>
      <w:r w:rsidR="005A2E18" w:rsidRPr="00B2234F">
        <w:rPr>
          <w:rFonts w:ascii="Avenir Next" w:hAnsi="Avenir Next" w:cs="Arial"/>
          <w:sz w:val="22"/>
          <w:szCs w:val="22"/>
          <w:lang w:val="en-GB"/>
        </w:rPr>
        <w:t>.</w:t>
      </w:r>
    </w:p>
    <w:p w14:paraId="30CE39B2" w14:textId="77777777" w:rsidR="00265D2D" w:rsidRPr="00B2234F" w:rsidRDefault="00265D2D" w:rsidP="00265D2D">
      <w:pPr>
        <w:ind w:left="66"/>
        <w:rPr>
          <w:rFonts w:ascii="Avenir Next" w:hAnsi="Avenir Next" w:cs="Arial"/>
          <w:sz w:val="22"/>
          <w:szCs w:val="22"/>
          <w:lang w:val="en-GB"/>
        </w:rPr>
      </w:pPr>
    </w:p>
    <w:p w14:paraId="4BD3B791" w14:textId="68F00F78"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D</w:t>
      </w:r>
      <w:r w:rsidR="00AD12C7" w:rsidRPr="00B2234F">
        <w:rPr>
          <w:rFonts w:ascii="Avenir Next" w:hAnsi="Avenir Next" w:cs="Arial"/>
          <w:sz w:val="22"/>
          <w:szCs w:val="22"/>
          <w:lang w:val="en-GB"/>
        </w:rPr>
        <w:t>eed of company arrangement</w:t>
      </w:r>
      <w:r w:rsidR="005A2E18" w:rsidRPr="00B2234F">
        <w:rPr>
          <w:rFonts w:ascii="Avenir Next" w:hAnsi="Avenir Next" w:cs="Arial"/>
          <w:sz w:val="22"/>
          <w:szCs w:val="22"/>
          <w:lang w:val="en-GB"/>
        </w:rPr>
        <w:t>.</w:t>
      </w:r>
    </w:p>
    <w:p w14:paraId="6D404DFA" w14:textId="77777777" w:rsidR="00265D2D" w:rsidRPr="00B2234F" w:rsidRDefault="00265D2D" w:rsidP="00265D2D">
      <w:pPr>
        <w:ind w:left="66"/>
        <w:rPr>
          <w:rFonts w:ascii="Avenir Next" w:hAnsi="Avenir Next" w:cs="Arial"/>
          <w:sz w:val="22"/>
          <w:szCs w:val="22"/>
          <w:lang w:val="en-GB"/>
        </w:rPr>
      </w:pPr>
    </w:p>
    <w:p w14:paraId="69D17E51" w14:textId="0F16CE89" w:rsidR="009B01E9" w:rsidRPr="00BC3EA9" w:rsidRDefault="00B2234F" w:rsidP="00BC3EA9">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V</w:t>
      </w:r>
      <w:r w:rsidR="00AD12C7" w:rsidRPr="00B2234F">
        <w:rPr>
          <w:rFonts w:ascii="Avenir Next" w:hAnsi="Avenir Next" w:cs="Arial"/>
          <w:sz w:val="22"/>
          <w:szCs w:val="22"/>
          <w:lang w:val="en-GB"/>
        </w:rPr>
        <w:t>oluntary administration</w:t>
      </w:r>
      <w:r w:rsidR="005A2E18" w:rsidRPr="00B2234F">
        <w:rPr>
          <w:rFonts w:ascii="Avenir Next" w:hAnsi="Avenir Next" w:cs="Arial"/>
          <w:sz w:val="22"/>
          <w:szCs w:val="22"/>
          <w:lang w:val="en-GB"/>
        </w:rPr>
        <w:t>.</w:t>
      </w:r>
    </w:p>
    <w:p w14:paraId="6B3D8DBC" w14:textId="77777777" w:rsidR="009B01E9" w:rsidRPr="00B2234F" w:rsidRDefault="009B01E9" w:rsidP="00C55824">
      <w:pPr>
        <w:ind w:left="66"/>
        <w:jc w:val="both"/>
        <w:rPr>
          <w:rFonts w:ascii="Avenir Next" w:hAnsi="Avenir Next" w:cs="Arial"/>
          <w:iCs/>
          <w:sz w:val="22"/>
          <w:szCs w:val="22"/>
          <w:lang w:val="en-GB"/>
        </w:rPr>
      </w:pPr>
    </w:p>
    <w:p w14:paraId="3D3E47F0"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Question 1.3</w:t>
      </w:r>
    </w:p>
    <w:p w14:paraId="195AA386" w14:textId="77777777" w:rsidR="00E9597C" w:rsidRPr="00B2234F" w:rsidRDefault="00E9597C" w:rsidP="00C55824">
      <w:pPr>
        <w:jc w:val="both"/>
        <w:rPr>
          <w:rFonts w:ascii="Avenir Next" w:hAnsi="Avenir Next" w:cs="Arial"/>
          <w:sz w:val="22"/>
          <w:szCs w:val="22"/>
        </w:rPr>
      </w:pPr>
    </w:p>
    <w:p w14:paraId="107606CF" w14:textId="68734D8A" w:rsidR="005A2E18" w:rsidRPr="009B01E9" w:rsidRDefault="005A2E18"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2A4B32D" w14:textId="77777777" w:rsidR="005A2E18" w:rsidRPr="00B2234F" w:rsidRDefault="005A2E18" w:rsidP="00AD12C7">
      <w:pPr>
        <w:ind w:left="720" w:hanging="720"/>
        <w:rPr>
          <w:rFonts w:ascii="Avenir Next" w:hAnsi="Avenir Next" w:cs="Arial"/>
          <w:sz w:val="22"/>
          <w:szCs w:val="22"/>
          <w:lang w:val="en-GB"/>
        </w:rPr>
      </w:pPr>
    </w:p>
    <w:p w14:paraId="24281394" w14:textId="5658D06E"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Which of the following insolvency procedures</w:t>
      </w:r>
      <w:r w:rsidRPr="00B2234F">
        <w:rPr>
          <w:rFonts w:ascii="Avenir Next" w:hAnsi="Avenir Next" w:cs="Arial"/>
          <w:b/>
          <w:bCs/>
          <w:sz w:val="22"/>
          <w:szCs w:val="22"/>
          <w:lang w:val="en-GB"/>
        </w:rPr>
        <w:t xml:space="preserve"> </w:t>
      </w:r>
      <w:r w:rsidRPr="009B01E9">
        <w:rPr>
          <w:rFonts w:ascii="Avenir Next Demi Bold" w:hAnsi="Avenir Next Demi Bold" w:cs="Arial"/>
          <w:b/>
          <w:bCs/>
          <w:sz w:val="22"/>
          <w:szCs w:val="22"/>
          <w:u w:val="single"/>
          <w:lang w:val="en-GB"/>
        </w:rPr>
        <w:t>requires</w:t>
      </w:r>
      <w:r w:rsidRPr="00B2234F">
        <w:rPr>
          <w:rFonts w:ascii="Avenir Next" w:hAnsi="Avenir Next" w:cs="Arial"/>
          <w:sz w:val="22"/>
          <w:szCs w:val="22"/>
          <w:lang w:val="en-GB"/>
        </w:rPr>
        <w:t xml:space="preserve"> court involvement</w:t>
      </w:r>
      <w:r w:rsidR="009B01E9">
        <w:rPr>
          <w:rFonts w:ascii="Avenir Next" w:hAnsi="Avenir Next" w:cs="Arial"/>
          <w:sz w:val="22"/>
          <w:szCs w:val="22"/>
          <w:lang w:val="en-GB"/>
        </w:rPr>
        <w:t>?</w:t>
      </w:r>
    </w:p>
    <w:p w14:paraId="3083D9ED" w14:textId="77777777" w:rsidR="0089536F" w:rsidRPr="00B2234F" w:rsidRDefault="0089536F" w:rsidP="0089536F">
      <w:pPr>
        <w:ind w:left="720" w:hanging="720"/>
        <w:rPr>
          <w:rFonts w:ascii="Avenir Next" w:hAnsi="Avenir Next" w:cs="Arial"/>
          <w:sz w:val="22"/>
          <w:szCs w:val="22"/>
          <w:lang w:val="en-GB"/>
        </w:rPr>
      </w:pPr>
    </w:p>
    <w:p w14:paraId="4D4C25AD" w14:textId="69215E40" w:rsidR="0089536F" w:rsidRPr="00BC3EA9" w:rsidRDefault="009B01E9" w:rsidP="00265D2D">
      <w:pPr>
        <w:pStyle w:val="ListParagraph"/>
        <w:numPr>
          <w:ilvl w:val="0"/>
          <w:numId w:val="13"/>
        </w:numPr>
        <w:ind w:left="426"/>
        <w:jc w:val="both"/>
        <w:rPr>
          <w:rFonts w:ascii="Avenir Next" w:hAnsi="Avenir Next" w:cs="Arial"/>
          <w:sz w:val="22"/>
          <w:szCs w:val="22"/>
          <w:highlight w:val="yellow"/>
          <w:lang w:val="en-GB"/>
        </w:rPr>
      </w:pPr>
      <w:r w:rsidRPr="00BC3EA9">
        <w:rPr>
          <w:rFonts w:ascii="Avenir Next" w:hAnsi="Avenir Next" w:cs="Arial"/>
          <w:sz w:val="22"/>
          <w:szCs w:val="22"/>
          <w:highlight w:val="yellow"/>
          <w:lang w:val="en-GB"/>
        </w:rPr>
        <w:t>C</w:t>
      </w:r>
      <w:r w:rsidR="0089536F" w:rsidRPr="00BC3EA9">
        <w:rPr>
          <w:rFonts w:ascii="Avenir Next" w:hAnsi="Avenir Next" w:cs="Arial"/>
          <w:sz w:val="22"/>
          <w:szCs w:val="22"/>
          <w:highlight w:val="yellow"/>
          <w:lang w:val="en-GB"/>
        </w:rPr>
        <w:t>reditors’ scheme of arrangement</w:t>
      </w:r>
      <w:r w:rsidR="00265D2D" w:rsidRPr="00BC3EA9">
        <w:rPr>
          <w:rFonts w:ascii="Avenir Next" w:hAnsi="Avenir Next" w:cs="Arial"/>
          <w:sz w:val="22"/>
          <w:szCs w:val="22"/>
          <w:highlight w:val="yellow"/>
          <w:lang w:val="en-GB"/>
        </w:rPr>
        <w:t>.</w:t>
      </w:r>
    </w:p>
    <w:p w14:paraId="14B7F949" w14:textId="77777777" w:rsidR="00265D2D" w:rsidRPr="00B2234F" w:rsidRDefault="00265D2D" w:rsidP="00265D2D">
      <w:pPr>
        <w:ind w:left="66"/>
        <w:jc w:val="both"/>
        <w:rPr>
          <w:rFonts w:ascii="Avenir Next" w:hAnsi="Avenir Next" w:cs="Arial"/>
          <w:sz w:val="22"/>
          <w:szCs w:val="22"/>
          <w:lang w:val="en-GB"/>
        </w:rPr>
      </w:pPr>
    </w:p>
    <w:p w14:paraId="7D4E29BF" w14:textId="19C39A6E"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D</w:t>
      </w:r>
      <w:r w:rsidR="0089536F" w:rsidRPr="00B2234F">
        <w:rPr>
          <w:rFonts w:ascii="Avenir Next" w:hAnsi="Avenir Next" w:cs="Arial"/>
          <w:sz w:val="22"/>
          <w:szCs w:val="22"/>
          <w:lang w:val="en-GB"/>
        </w:rPr>
        <w:t>eed of company arrangement</w:t>
      </w:r>
      <w:r w:rsidR="00265D2D" w:rsidRPr="00B2234F">
        <w:rPr>
          <w:rFonts w:ascii="Avenir Next" w:hAnsi="Avenir Next" w:cs="Arial"/>
          <w:sz w:val="22"/>
          <w:szCs w:val="22"/>
          <w:lang w:val="en-GB"/>
        </w:rPr>
        <w:t>.</w:t>
      </w:r>
    </w:p>
    <w:p w14:paraId="315D1445" w14:textId="77777777" w:rsidR="00265D2D" w:rsidRPr="00B2234F" w:rsidRDefault="00265D2D" w:rsidP="00265D2D">
      <w:pPr>
        <w:ind w:left="66"/>
        <w:jc w:val="both"/>
        <w:rPr>
          <w:rFonts w:ascii="Avenir Next" w:hAnsi="Avenir Next" w:cs="Arial"/>
          <w:sz w:val="22"/>
          <w:szCs w:val="22"/>
          <w:lang w:val="en-GB"/>
        </w:rPr>
      </w:pPr>
    </w:p>
    <w:p w14:paraId="3AA484AA" w14:textId="607FBD75"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voluntary liquidation</w:t>
      </w:r>
      <w:r w:rsidR="00265D2D" w:rsidRPr="00B2234F">
        <w:rPr>
          <w:rFonts w:ascii="Avenir Next" w:hAnsi="Avenir Next" w:cs="Arial"/>
          <w:sz w:val="22"/>
          <w:szCs w:val="22"/>
          <w:lang w:val="en-GB"/>
        </w:rPr>
        <w:t>.</w:t>
      </w:r>
    </w:p>
    <w:p w14:paraId="6A0BF659" w14:textId="77777777" w:rsidR="00265D2D" w:rsidRPr="00B2234F" w:rsidRDefault="00265D2D" w:rsidP="00265D2D">
      <w:pPr>
        <w:ind w:left="66"/>
        <w:jc w:val="both"/>
        <w:rPr>
          <w:rFonts w:ascii="Avenir Next" w:hAnsi="Avenir Next" w:cs="Arial"/>
          <w:sz w:val="22"/>
          <w:szCs w:val="22"/>
          <w:lang w:val="en-GB"/>
        </w:rPr>
      </w:pPr>
    </w:p>
    <w:p w14:paraId="54824666" w14:textId="0DDD1CA3"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lastRenderedPageBreak/>
        <w:t>V</w:t>
      </w:r>
      <w:r w:rsidR="0089536F" w:rsidRPr="00B2234F">
        <w:rPr>
          <w:rFonts w:ascii="Avenir Next" w:hAnsi="Avenir Next" w:cs="Arial"/>
          <w:sz w:val="22"/>
          <w:szCs w:val="22"/>
          <w:lang w:val="en-GB"/>
        </w:rPr>
        <w:t>oluntary administration</w:t>
      </w:r>
      <w:r w:rsidR="00265D2D" w:rsidRPr="00B2234F">
        <w:rPr>
          <w:rFonts w:ascii="Avenir Next" w:hAnsi="Avenir Next" w:cs="Arial"/>
          <w:sz w:val="22"/>
          <w:szCs w:val="22"/>
          <w:lang w:val="en-GB"/>
        </w:rPr>
        <w:t>.</w:t>
      </w:r>
    </w:p>
    <w:p w14:paraId="4FE09908" w14:textId="77777777" w:rsidR="00265D2D" w:rsidRPr="00B2234F" w:rsidRDefault="00265D2D" w:rsidP="00265D2D">
      <w:pPr>
        <w:ind w:left="66"/>
        <w:jc w:val="both"/>
        <w:rPr>
          <w:rFonts w:ascii="Avenir Next" w:hAnsi="Avenir Next" w:cs="Arial"/>
          <w:sz w:val="22"/>
          <w:szCs w:val="22"/>
          <w:lang w:val="en-GB"/>
        </w:rPr>
      </w:pPr>
    </w:p>
    <w:p w14:paraId="24D38C53" w14:textId="1D3C0E0F"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S</w:t>
      </w:r>
      <w:r w:rsidR="0089536F" w:rsidRPr="00B2234F">
        <w:rPr>
          <w:rFonts w:ascii="Avenir Next" w:hAnsi="Avenir Next" w:cs="Arial"/>
          <w:sz w:val="22"/>
          <w:szCs w:val="22"/>
          <w:lang w:val="en-GB"/>
        </w:rPr>
        <w:t>mall company restructuring</w:t>
      </w:r>
      <w:r w:rsidR="00265D2D" w:rsidRPr="00B2234F">
        <w:rPr>
          <w:rFonts w:ascii="Avenir Next" w:hAnsi="Avenir Next" w:cs="Arial"/>
          <w:sz w:val="22"/>
          <w:szCs w:val="22"/>
          <w:lang w:val="en-GB"/>
        </w:rPr>
        <w:t>.</w:t>
      </w:r>
    </w:p>
    <w:p w14:paraId="5924AF5D" w14:textId="77777777" w:rsidR="00AD12C7" w:rsidRPr="00B2234F" w:rsidRDefault="00AD12C7" w:rsidP="00C55824">
      <w:pPr>
        <w:jc w:val="both"/>
        <w:rPr>
          <w:rFonts w:ascii="Avenir Next" w:hAnsi="Avenir Next" w:cs="Arial"/>
          <w:sz w:val="22"/>
          <w:szCs w:val="22"/>
        </w:rPr>
      </w:pPr>
    </w:p>
    <w:p w14:paraId="5AF5BCF4"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1.4 </w:t>
      </w:r>
    </w:p>
    <w:p w14:paraId="205ED427" w14:textId="77777777" w:rsidR="00E9597C" w:rsidRPr="009B01E9" w:rsidRDefault="00E9597C" w:rsidP="00C55824">
      <w:pPr>
        <w:jc w:val="both"/>
        <w:rPr>
          <w:rFonts w:ascii="Avenir Next Demi Bold" w:hAnsi="Avenir Next Demi Bold" w:cs="Arial"/>
          <w:b/>
          <w:bCs/>
          <w:sz w:val="22"/>
          <w:szCs w:val="22"/>
        </w:rPr>
      </w:pPr>
    </w:p>
    <w:p w14:paraId="69A61058" w14:textId="733C0E9F" w:rsidR="007B3A5E" w:rsidRPr="009B01E9" w:rsidRDefault="007B3A5E" w:rsidP="00AD12C7">
      <w:pPr>
        <w:jc w:val="both"/>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511DA9DC" w14:textId="77777777" w:rsidR="007B3A5E" w:rsidRPr="00B2234F" w:rsidRDefault="007B3A5E" w:rsidP="00AD12C7">
      <w:pPr>
        <w:jc w:val="both"/>
        <w:rPr>
          <w:rFonts w:ascii="Avenir Next" w:hAnsi="Avenir Next" w:cs="Arial"/>
          <w:sz w:val="22"/>
          <w:szCs w:val="22"/>
          <w:lang w:val="en-GB"/>
        </w:rPr>
      </w:pPr>
    </w:p>
    <w:p w14:paraId="79018627" w14:textId="23F40F85" w:rsidR="00B37C3C" w:rsidRPr="00B2234F" w:rsidRDefault="00B37C3C" w:rsidP="00B37C3C">
      <w:pPr>
        <w:jc w:val="both"/>
        <w:rPr>
          <w:rFonts w:ascii="Avenir Next" w:hAnsi="Avenir Next" w:cs="Arial"/>
          <w:sz w:val="22"/>
          <w:szCs w:val="22"/>
          <w:lang w:val="en-GB"/>
        </w:rPr>
      </w:pPr>
      <w:r w:rsidRPr="00B2234F">
        <w:rPr>
          <w:rFonts w:ascii="Avenir Next" w:hAnsi="Avenir Next" w:cs="Arial"/>
          <w:sz w:val="22"/>
          <w:szCs w:val="22"/>
          <w:lang w:val="en-GB"/>
        </w:rPr>
        <w:t xml:space="preserve">Newco Pty Ltd has </w:t>
      </w:r>
      <w:r w:rsidR="00265D2D" w:rsidRPr="00B2234F">
        <w:rPr>
          <w:rFonts w:ascii="Avenir Next" w:hAnsi="Avenir Next" w:cs="Arial"/>
          <w:sz w:val="22"/>
          <w:szCs w:val="22"/>
          <w:lang w:val="en-GB"/>
        </w:rPr>
        <w:t>three (</w:t>
      </w:r>
      <w:r w:rsidRPr="00B2234F">
        <w:rPr>
          <w:rFonts w:ascii="Avenir Next" w:hAnsi="Avenir Next" w:cs="Arial"/>
          <w:sz w:val="22"/>
          <w:szCs w:val="22"/>
          <w:lang w:val="en-GB"/>
        </w:rPr>
        <w:t>3</w:t>
      </w:r>
      <w:r w:rsidR="00265D2D" w:rsidRPr="00B2234F">
        <w:rPr>
          <w:rFonts w:ascii="Avenir Next" w:hAnsi="Avenir Next" w:cs="Arial"/>
          <w:sz w:val="22"/>
          <w:szCs w:val="22"/>
          <w:lang w:val="en-GB"/>
        </w:rPr>
        <w:t>)</w:t>
      </w:r>
      <w:r w:rsidRPr="00B2234F">
        <w:rPr>
          <w:rFonts w:ascii="Avenir Next" w:hAnsi="Avenir Next" w:cs="Arial"/>
          <w:sz w:val="22"/>
          <w:szCs w:val="22"/>
          <w:lang w:val="en-GB"/>
        </w:rPr>
        <w:t xml:space="preserve"> employees and an annual turnover of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950,000. It currently owes </w:t>
      </w:r>
      <w:r w:rsidR="00265D2D" w:rsidRPr="00B2234F">
        <w:rPr>
          <w:rFonts w:ascii="Avenir Next" w:hAnsi="Avenir Next" w:cs="Arial"/>
          <w:sz w:val="22"/>
          <w:szCs w:val="22"/>
          <w:lang w:val="en-GB"/>
        </w:rPr>
        <w:t xml:space="preserve">AUD </w:t>
      </w:r>
      <w:r w:rsidR="00E131DE" w:rsidRPr="00B2234F">
        <w:rPr>
          <w:rFonts w:ascii="Avenir Next" w:hAnsi="Avenir Next" w:cs="Arial"/>
          <w:sz w:val="22"/>
          <w:szCs w:val="22"/>
          <w:lang w:val="en-GB"/>
        </w:rPr>
        <w:t>1</w:t>
      </w:r>
      <w:r w:rsidRPr="00B2234F">
        <w:rPr>
          <w:rFonts w:ascii="Avenir Next" w:hAnsi="Avenir Next" w:cs="Arial"/>
          <w:sz w:val="22"/>
          <w:szCs w:val="22"/>
          <w:lang w:val="en-GB"/>
        </w:rPr>
        <w:t xml:space="preserve">00,000 to its trade creditors and it has a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800,000 secured loan from its bank. Which of these restructuring processes is Newco </w:t>
      </w:r>
      <w:r w:rsidRPr="009B01E9">
        <w:rPr>
          <w:rFonts w:ascii="Avenir Next Demi Bold" w:hAnsi="Avenir Next Demi Bold" w:cs="Arial"/>
          <w:b/>
          <w:bCs/>
          <w:sz w:val="22"/>
          <w:szCs w:val="22"/>
          <w:u w:val="single"/>
          <w:lang w:val="en-GB"/>
        </w:rPr>
        <w:t>ineligible</w:t>
      </w:r>
      <w:r w:rsidRPr="00B2234F">
        <w:rPr>
          <w:rFonts w:ascii="Avenir Next" w:hAnsi="Avenir Next" w:cs="Arial"/>
          <w:i/>
          <w:iCs/>
          <w:sz w:val="22"/>
          <w:szCs w:val="22"/>
          <w:lang w:val="en-GB"/>
        </w:rPr>
        <w:t xml:space="preserve"> </w:t>
      </w:r>
      <w:r w:rsidRPr="00B2234F">
        <w:rPr>
          <w:rFonts w:ascii="Avenir Next" w:hAnsi="Avenir Next" w:cs="Arial"/>
          <w:sz w:val="22"/>
          <w:szCs w:val="22"/>
          <w:lang w:val="en-GB"/>
        </w:rPr>
        <w:t>for?</w:t>
      </w:r>
    </w:p>
    <w:p w14:paraId="70FDAB24" w14:textId="2BAF57B3" w:rsidR="00AD12C7" w:rsidRPr="00B2234F" w:rsidRDefault="00AD12C7" w:rsidP="00AD12C7">
      <w:pPr>
        <w:jc w:val="both"/>
        <w:rPr>
          <w:rFonts w:ascii="Avenir Next" w:hAnsi="Avenir Next" w:cs="Arial"/>
          <w:sz w:val="22"/>
          <w:szCs w:val="22"/>
          <w:lang w:val="en-GB"/>
        </w:rPr>
      </w:pPr>
    </w:p>
    <w:p w14:paraId="4C10623C" w14:textId="5181E114" w:rsidR="00AE20EB" w:rsidRPr="00BC3EA9" w:rsidRDefault="009B01E9" w:rsidP="00265D2D">
      <w:pPr>
        <w:pStyle w:val="ListParagraph"/>
        <w:numPr>
          <w:ilvl w:val="0"/>
          <w:numId w:val="14"/>
        </w:numPr>
        <w:ind w:left="426"/>
        <w:rPr>
          <w:rFonts w:ascii="Avenir Next" w:hAnsi="Avenir Next" w:cs="Arial"/>
          <w:sz w:val="22"/>
          <w:szCs w:val="22"/>
          <w:highlight w:val="yellow"/>
          <w:lang w:val="en-GB"/>
        </w:rPr>
      </w:pPr>
      <w:r w:rsidRPr="00BC3EA9">
        <w:rPr>
          <w:rFonts w:ascii="Avenir Next" w:hAnsi="Avenir Next" w:cs="Arial"/>
          <w:sz w:val="22"/>
          <w:szCs w:val="22"/>
          <w:highlight w:val="yellow"/>
          <w:lang w:val="en-GB"/>
        </w:rPr>
        <w:t>A</w:t>
      </w:r>
      <w:r w:rsidR="00AE20EB" w:rsidRPr="00BC3EA9">
        <w:rPr>
          <w:rFonts w:ascii="Avenir Next" w:hAnsi="Avenir Next" w:cs="Arial"/>
          <w:sz w:val="22"/>
          <w:szCs w:val="22"/>
          <w:highlight w:val="yellow"/>
          <w:lang w:val="en-GB"/>
        </w:rPr>
        <w:t xml:space="preserve"> debt agreement under Part IX</w:t>
      </w:r>
      <w:r w:rsidR="00E131DE" w:rsidRPr="00BC3EA9">
        <w:rPr>
          <w:rFonts w:ascii="Avenir Next" w:hAnsi="Avenir Next" w:cs="Arial"/>
          <w:sz w:val="22"/>
          <w:szCs w:val="22"/>
          <w:highlight w:val="yellow"/>
          <w:lang w:val="en-GB"/>
        </w:rPr>
        <w:t>.</w:t>
      </w:r>
    </w:p>
    <w:p w14:paraId="1E71D4AF" w14:textId="77777777" w:rsidR="00AE20EB" w:rsidRPr="00B2234F" w:rsidRDefault="00AE20EB" w:rsidP="00AE20EB">
      <w:pPr>
        <w:pStyle w:val="ListParagraph"/>
        <w:ind w:left="426"/>
        <w:rPr>
          <w:rFonts w:ascii="Avenir Next" w:hAnsi="Avenir Next" w:cs="Arial"/>
          <w:sz w:val="22"/>
          <w:szCs w:val="22"/>
          <w:lang w:val="en-GB"/>
        </w:rPr>
      </w:pPr>
    </w:p>
    <w:p w14:paraId="3C03F460" w14:textId="0F07AE7A"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321D73" w:rsidRPr="00B2234F">
        <w:rPr>
          <w:rFonts w:ascii="Avenir Next" w:hAnsi="Avenir Next" w:cs="Arial"/>
          <w:sz w:val="22"/>
          <w:szCs w:val="22"/>
          <w:lang w:val="en-GB"/>
        </w:rPr>
        <w:t xml:space="preserve"> voluntary administration followed by a deed of company arrangement</w:t>
      </w:r>
      <w:r w:rsidR="00265D2D" w:rsidRPr="00B2234F">
        <w:rPr>
          <w:rFonts w:ascii="Avenir Next" w:hAnsi="Avenir Next" w:cs="Arial"/>
          <w:sz w:val="22"/>
          <w:szCs w:val="22"/>
          <w:lang w:val="en-GB"/>
        </w:rPr>
        <w:t>.</w:t>
      </w:r>
    </w:p>
    <w:p w14:paraId="2F702B72" w14:textId="77777777" w:rsidR="00265D2D" w:rsidRPr="00B2234F" w:rsidRDefault="00265D2D" w:rsidP="00265D2D">
      <w:pPr>
        <w:ind w:left="66"/>
        <w:rPr>
          <w:rFonts w:ascii="Avenir Next" w:hAnsi="Avenir Next" w:cs="Arial"/>
          <w:sz w:val="22"/>
          <w:szCs w:val="22"/>
          <w:lang w:val="en-GB"/>
        </w:rPr>
      </w:pPr>
    </w:p>
    <w:p w14:paraId="7EC2CC1B" w14:textId="5CAD086E"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E131DE" w:rsidRPr="00B2234F">
        <w:rPr>
          <w:rFonts w:ascii="Avenir Next" w:hAnsi="Avenir Next" w:cs="Arial"/>
          <w:sz w:val="22"/>
          <w:szCs w:val="22"/>
          <w:lang w:val="en-GB"/>
        </w:rPr>
        <w:t xml:space="preserve"> small company restructuring</w:t>
      </w:r>
      <w:r w:rsidR="00265D2D" w:rsidRPr="00B2234F">
        <w:rPr>
          <w:rFonts w:ascii="Avenir Next" w:hAnsi="Avenir Next" w:cs="Arial"/>
          <w:sz w:val="22"/>
          <w:szCs w:val="22"/>
          <w:lang w:val="en-GB"/>
        </w:rPr>
        <w:t>.</w:t>
      </w:r>
    </w:p>
    <w:p w14:paraId="356CFD50" w14:textId="77777777" w:rsidR="00265D2D" w:rsidRPr="00B2234F" w:rsidRDefault="00265D2D" w:rsidP="00265D2D">
      <w:pPr>
        <w:ind w:left="66"/>
        <w:rPr>
          <w:rFonts w:ascii="Avenir Next" w:hAnsi="Avenir Next" w:cs="Arial"/>
          <w:sz w:val="22"/>
          <w:szCs w:val="22"/>
          <w:lang w:val="en-GB"/>
        </w:rPr>
      </w:pPr>
    </w:p>
    <w:p w14:paraId="02A357B4" w14:textId="4CEC53D9"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0D2487" w:rsidRPr="00B2234F">
        <w:rPr>
          <w:rFonts w:ascii="Avenir Next" w:hAnsi="Avenir Next" w:cs="Arial"/>
          <w:sz w:val="22"/>
          <w:szCs w:val="22"/>
          <w:lang w:val="en-GB"/>
        </w:rPr>
        <w:t xml:space="preserve"> deed of company arrangement</w:t>
      </w:r>
      <w:r w:rsidR="00265D2D" w:rsidRPr="00B2234F">
        <w:rPr>
          <w:rFonts w:ascii="Avenir Next" w:hAnsi="Avenir Next" w:cs="Arial"/>
          <w:sz w:val="22"/>
          <w:szCs w:val="22"/>
          <w:lang w:val="en-GB"/>
        </w:rPr>
        <w:t>.</w:t>
      </w:r>
    </w:p>
    <w:p w14:paraId="6FB67484" w14:textId="77777777" w:rsidR="00AD12C7" w:rsidRPr="00B2234F" w:rsidRDefault="00AD12C7" w:rsidP="00AD12C7">
      <w:pPr>
        <w:ind w:left="426" w:hanging="284"/>
        <w:rPr>
          <w:rFonts w:ascii="Avenir Next" w:hAnsi="Avenir Next" w:cs="Arial"/>
          <w:sz w:val="22"/>
          <w:szCs w:val="22"/>
        </w:rPr>
      </w:pPr>
    </w:p>
    <w:p w14:paraId="45A0EA5B" w14:textId="77777777" w:rsidR="00E9597C" w:rsidRPr="009B01E9" w:rsidRDefault="00E9597C" w:rsidP="0020090A">
      <w:pPr>
        <w:keepNext/>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1.5 </w:t>
      </w:r>
    </w:p>
    <w:p w14:paraId="494B8F62" w14:textId="77777777" w:rsidR="00E9597C" w:rsidRPr="009B01E9" w:rsidRDefault="00E9597C" w:rsidP="0020090A">
      <w:pPr>
        <w:keepNext/>
        <w:jc w:val="both"/>
        <w:rPr>
          <w:rFonts w:ascii="Avenir Next Demi Bold" w:hAnsi="Avenir Next Demi Bold" w:cs="Arial"/>
          <w:b/>
          <w:bCs/>
          <w:sz w:val="22"/>
          <w:szCs w:val="22"/>
        </w:rPr>
      </w:pPr>
    </w:p>
    <w:p w14:paraId="455E91FE" w14:textId="77F6BEC6" w:rsidR="007B3A5E" w:rsidRPr="009B01E9" w:rsidRDefault="007B3A5E"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006C2D4" w14:textId="77777777" w:rsidR="007B3A5E" w:rsidRPr="00B2234F" w:rsidRDefault="007B3A5E" w:rsidP="00AD12C7">
      <w:pPr>
        <w:ind w:left="720" w:hanging="720"/>
        <w:rPr>
          <w:rFonts w:ascii="Avenir Next" w:hAnsi="Avenir Next" w:cs="Arial"/>
          <w:sz w:val="22"/>
          <w:szCs w:val="22"/>
          <w:lang w:val="en-GB"/>
        </w:rPr>
      </w:pPr>
    </w:p>
    <w:p w14:paraId="72C872C6" w14:textId="2AD8C690"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 xml:space="preserve">is </w:t>
      </w:r>
      <w:r w:rsidR="00AC68D5" w:rsidRPr="009B01E9">
        <w:rPr>
          <w:rFonts w:ascii="Avenir Next Demi Bold" w:hAnsi="Avenir Next Demi Bold" w:cs="Arial"/>
          <w:b/>
          <w:bCs/>
          <w:sz w:val="22"/>
          <w:szCs w:val="22"/>
          <w:u w:val="single"/>
          <w:lang w:val="en-GB"/>
        </w:rPr>
        <w:t>not</w:t>
      </w:r>
      <w:r w:rsidR="00AC68D5" w:rsidRPr="009B01E9">
        <w:rPr>
          <w:rFonts w:ascii="Avenir Next Demi Bold" w:hAnsi="Avenir Next Demi Bold" w:cs="Arial"/>
          <w:b/>
          <w:bCs/>
          <w:sz w:val="22"/>
          <w:szCs w:val="22"/>
          <w:lang w:val="en-GB"/>
        </w:rPr>
        <w:t xml:space="preserve"> </w:t>
      </w:r>
      <w:r w:rsidR="007B3A5E" w:rsidRPr="00B2234F">
        <w:rPr>
          <w:rFonts w:ascii="Avenir Next" w:hAnsi="Avenir Next" w:cs="Arial"/>
          <w:sz w:val="22"/>
          <w:szCs w:val="22"/>
          <w:lang w:val="en-GB"/>
        </w:rPr>
        <w:t>“</w:t>
      </w:r>
      <w:r w:rsidRPr="00B2234F">
        <w:rPr>
          <w:rFonts w:ascii="Avenir Next" w:hAnsi="Avenir Next" w:cs="Arial"/>
          <w:sz w:val="22"/>
          <w:szCs w:val="22"/>
          <w:lang w:val="en-GB"/>
        </w:rPr>
        <w:t>divisible property</w:t>
      </w:r>
      <w:r w:rsidR="007B3A5E" w:rsidRPr="00B2234F">
        <w:rPr>
          <w:rFonts w:ascii="Avenir Next" w:hAnsi="Avenir Next" w:cs="Arial"/>
          <w:sz w:val="22"/>
          <w:szCs w:val="22"/>
          <w:lang w:val="en-GB"/>
        </w:rPr>
        <w:t>”</w:t>
      </w:r>
      <w:r w:rsidRPr="00B2234F">
        <w:rPr>
          <w:rFonts w:ascii="Avenir Next" w:hAnsi="Avenir Next" w:cs="Arial"/>
          <w:sz w:val="22"/>
          <w:szCs w:val="22"/>
          <w:lang w:val="en-GB"/>
        </w:rPr>
        <w:t xml:space="preserve"> in a bankruptcy?</w:t>
      </w:r>
    </w:p>
    <w:p w14:paraId="0EE7FD69" w14:textId="77777777" w:rsidR="00AD12C7" w:rsidRPr="00B2234F" w:rsidRDefault="00AD12C7" w:rsidP="00AD12C7">
      <w:pPr>
        <w:ind w:left="720" w:hanging="720"/>
        <w:rPr>
          <w:rFonts w:ascii="Avenir Next" w:hAnsi="Avenir Next" w:cs="Arial"/>
          <w:sz w:val="22"/>
          <w:szCs w:val="22"/>
          <w:lang w:val="en-GB"/>
        </w:rPr>
      </w:pPr>
    </w:p>
    <w:p w14:paraId="74F152C6" w14:textId="086CC0EC"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W</w:t>
      </w:r>
      <w:r w:rsidR="00FB4C6B" w:rsidRPr="00B2234F">
        <w:rPr>
          <w:rFonts w:ascii="Avenir Next" w:hAnsi="Avenir Next" w:cs="Arial"/>
          <w:sz w:val="22"/>
          <w:szCs w:val="22"/>
          <w:lang w:val="en-GB"/>
        </w:rPr>
        <w:t>ages earned by the bankrupt</w:t>
      </w:r>
      <w:r w:rsidR="007B3A5E" w:rsidRPr="00B2234F">
        <w:rPr>
          <w:rFonts w:ascii="Avenir Next" w:hAnsi="Avenir Next" w:cs="Arial"/>
          <w:sz w:val="22"/>
          <w:szCs w:val="22"/>
          <w:lang w:val="en-GB"/>
        </w:rPr>
        <w:t>.</w:t>
      </w:r>
    </w:p>
    <w:p w14:paraId="6D09EB14" w14:textId="77777777" w:rsidR="00265D2D" w:rsidRPr="00B2234F" w:rsidRDefault="00265D2D" w:rsidP="00265D2D">
      <w:pPr>
        <w:ind w:left="426"/>
        <w:rPr>
          <w:rFonts w:ascii="Avenir Next" w:hAnsi="Avenir Next" w:cs="Arial"/>
          <w:sz w:val="22"/>
          <w:szCs w:val="22"/>
          <w:lang w:val="en-GB"/>
        </w:rPr>
      </w:pPr>
    </w:p>
    <w:p w14:paraId="69016785" w14:textId="44847E2E"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F</w:t>
      </w:r>
      <w:r w:rsidR="00FB4C6B" w:rsidRPr="00B2234F">
        <w:rPr>
          <w:rFonts w:ascii="Avenir Next" w:hAnsi="Avenir Next" w:cs="Arial"/>
          <w:sz w:val="22"/>
          <w:szCs w:val="22"/>
          <w:lang w:val="en-GB"/>
        </w:rPr>
        <w:t>ine art</w:t>
      </w:r>
      <w:r w:rsidR="007B3A5E" w:rsidRPr="00B2234F">
        <w:rPr>
          <w:rFonts w:ascii="Avenir Next" w:hAnsi="Avenir Next" w:cs="Arial"/>
          <w:sz w:val="22"/>
          <w:szCs w:val="22"/>
          <w:lang w:val="en-GB"/>
        </w:rPr>
        <w:t>.</w:t>
      </w:r>
    </w:p>
    <w:p w14:paraId="102E6017" w14:textId="77777777" w:rsidR="00265D2D" w:rsidRPr="00B2234F" w:rsidRDefault="00265D2D" w:rsidP="00265D2D">
      <w:pPr>
        <w:ind w:left="426"/>
        <w:rPr>
          <w:rFonts w:ascii="Avenir Next" w:hAnsi="Avenir Next" w:cs="Arial"/>
          <w:sz w:val="22"/>
          <w:szCs w:val="22"/>
          <w:lang w:val="en-GB"/>
        </w:rPr>
      </w:pPr>
    </w:p>
    <w:p w14:paraId="7366A074" w14:textId="5DEF183D" w:rsidR="008465BE" w:rsidRPr="00BC3EA9" w:rsidRDefault="008465BE" w:rsidP="00BC3EA9">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C</w:t>
      </w:r>
      <w:r w:rsidR="00AD12C7" w:rsidRPr="00B2234F">
        <w:rPr>
          <w:rFonts w:ascii="Avenir Next" w:hAnsi="Avenir Next" w:cs="Arial"/>
          <w:sz w:val="22"/>
          <w:szCs w:val="22"/>
          <w:lang w:val="en-GB"/>
        </w:rPr>
        <w:t>hoses in action relating to the debtors’ assets</w:t>
      </w:r>
      <w:r w:rsidR="007B3A5E" w:rsidRPr="00B2234F">
        <w:rPr>
          <w:rFonts w:ascii="Avenir Next" w:hAnsi="Avenir Next" w:cs="Arial"/>
          <w:sz w:val="22"/>
          <w:szCs w:val="22"/>
          <w:lang w:val="en-GB"/>
        </w:rPr>
        <w:t>.</w:t>
      </w:r>
    </w:p>
    <w:p w14:paraId="37EA55B7" w14:textId="77777777" w:rsidR="008465BE" w:rsidRPr="00B2234F" w:rsidRDefault="008465BE" w:rsidP="00265D2D">
      <w:pPr>
        <w:ind w:left="426"/>
        <w:rPr>
          <w:rFonts w:ascii="Avenir Next" w:hAnsi="Avenir Next" w:cs="Arial"/>
          <w:sz w:val="22"/>
          <w:szCs w:val="22"/>
          <w:lang w:val="en-GB"/>
        </w:rPr>
      </w:pPr>
    </w:p>
    <w:p w14:paraId="29ECBEE4" w14:textId="6C745ADA"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T</w:t>
      </w:r>
      <w:r w:rsidR="00FB4C6B" w:rsidRPr="00B2234F">
        <w:rPr>
          <w:rFonts w:ascii="Avenir Next" w:hAnsi="Avenir Next" w:cs="Arial"/>
          <w:sz w:val="22"/>
          <w:szCs w:val="22"/>
          <w:lang w:val="en-GB"/>
        </w:rPr>
        <w:t>he bankrupt’s family home</w:t>
      </w:r>
      <w:r w:rsidR="007B3A5E" w:rsidRPr="00B2234F">
        <w:rPr>
          <w:rFonts w:ascii="Avenir Next" w:hAnsi="Avenir Next" w:cs="Arial"/>
          <w:sz w:val="22"/>
          <w:szCs w:val="22"/>
          <w:lang w:val="en-GB"/>
        </w:rPr>
        <w:t>.</w:t>
      </w:r>
    </w:p>
    <w:p w14:paraId="3EA9F3D7" w14:textId="77777777" w:rsidR="00265D2D" w:rsidRPr="00B2234F" w:rsidRDefault="00265D2D" w:rsidP="00265D2D">
      <w:pPr>
        <w:ind w:left="426"/>
        <w:rPr>
          <w:rFonts w:ascii="Avenir Next" w:hAnsi="Avenir Next" w:cs="Arial"/>
          <w:sz w:val="22"/>
          <w:szCs w:val="22"/>
          <w:lang w:val="en-GB"/>
        </w:rPr>
      </w:pPr>
    </w:p>
    <w:p w14:paraId="7A6402DF" w14:textId="179337D1" w:rsidR="005B79F4" w:rsidRPr="00BC3EA9" w:rsidRDefault="008465BE" w:rsidP="00265D2D">
      <w:pPr>
        <w:pStyle w:val="ListParagraph"/>
        <w:numPr>
          <w:ilvl w:val="0"/>
          <w:numId w:val="15"/>
        </w:numPr>
        <w:autoSpaceDE w:val="0"/>
        <w:autoSpaceDN w:val="0"/>
        <w:adjustRightInd w:val="0"/>
        <w:ind w:left="426"/>
        <w:jc w:val="both"/>
        <w:rPr>
          <w:rFonts w:ascii="Avenir Next" w:hAnsi="Avenir Next" w:cs="Arial"/>
          <w:sz w:val="22"/>
          <w:szCs w:val="22"/>
          <w:highlight w:val="yellow"/>
        </w:rPr>
      </w:pPr>
      <w:r w:rsidRPr="00BC3EA9">
        <w:rPr>
          <w:rFonts w:ascii="Avenir Next" w:hAnsi="Avenir Next" w:cs="Arial"/>
          <w:sz w:val="22"/>
          <w:szCs w:val="22"/>
          <w:highlight w:val="yellow"/>
          <w:lang w:val="en-GB"/>
        </w:rPr>
        <w:t>S</w:t>
      </w:r>
      <w:r w:rsidR="00AD12C7" w:rsidRPr="00BC3EA9">
        <w:rPr>
          <w:rFonts w:ascii="Avenir Next" w:hAnsi="Avenir Next" w:cs="Arial"/>
          <w:sz w:val="22"/>
          <w:szCs w:val="22"/>
          <w:highlight w:val="yellow"/>
          <w:lang w:val="en-GB"/>
        </w:rPr>
        <w:t>uperannuation funds</w:t>
      </w:r>
      <w:r w:rsidR="007B3A5E" w:rsidRPr="00BC3EA9">
        <w:rPr>
          <w:rFonts w:ascii="Avenir Next" w:hAnsi="Avenir Next" w:cs="Arial"/>
          <w:sz w:val="22"/>
          <w:szCs w:val="22"/>
          <w:highlight w:val="yellow"/>
          <w:lang w:val="en-GB"/>
        </w:rPr>
        <w:t>.</w:t>
      </w:r>
    </w:p>
    <w:p w14:paraId="69CF213E" w14:textId="77777777" w:rsidR="00AD12C7" w:rsidRPr="00B2234F" w:rsidRDefault="00AD12C7" w:rsidP="00C55824">
      <w:pPr>
        <w:autoSpaceDE w:val="0"/>
        <w:autoSpaceDN w:val="0"/>
        <w:adjustRightInd w:val="0"/>
        <w:jc w:val="both"/>
        <w:rPr>
          <w:rFonts w:ascii="Avenir Next" w:hAnsi="Avenir Next" w:cs="Arial"/>
          <w:sz w:val="22"/>
          <w:szCs w:val="22"/>
        </w:rPr>
      </w:pPr>
    </w:p>
    <w:p w14:paraId="4A3B27A8" w14:textId="77777777" w:rsidR="00E9597C" w:rsidRPr="008465BE" w:rsidRDefault="00E9597C" w:rsidP="00C55824">
      <w:pPr>
        <w:autoSpaceDE w:val="0"/>
        <w:autoSpaceDN w:val="0"/>
        <w:adjustRightInd w:val="0"/>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1.6 </w:t>
      </w:r>
    </w:p>
    <w:p w14:paraId="5A6D3398" w14:textId="77777777" w:rsidR="00E9597C" w:rsidRPr="00B2234F" w:rsidRDefault="00E9597C" w:rsidP="00C55824">
      <w:pPr>
        <w:autoSpaceDE w:val="0"/>
        <w:autoSpaceDN w:val="0"/>
        <w:adjustRightInd w:val="0"/>
        <w:jc w:val="both"/>
        <w:rPr>
          <w:rFonts w:ascii="Avenir Next" w:hAnsi="Avenir Next" w:cs="Arial"/>
          <w:sz w:val="22"/>
          <w:szCs w:val="22"/>
        </w:rPr>
      </w:pPr>
    </w:p>
    <w:p w14:paraId="2A6126B6" w14:textId="2F02881D" w:rsidR="00AD12C7" w:rsidRPr="00B2234F" w:rsidRDefault="00AD12C7" w:rsidP="00AD12C7">
      <w:pPr>
        <w:jc w:val="both"/>
        <w:rPr>
          <w:rFonts w:ascii="Avenir Next" w:hAnsi="Avenir Next" w:cs="Arial"/>
          <w:sz w:val="22"/>
          <w:szCs w:val="22"/>
          <w:lang w:val="en-GB"/>
        </w:rPr>
      </w:pPr>
      <w:r w:rsidRPr="00B2234F">
        <w:rPr>
          <w:rFonts w:ascii="Avenir Next" w:hAnsi="Avenir Next" w:cs="Arial"/>
          <w:sz w:val="22"/>
          <w:szCs w:val="22"/>
          <w:lang w:val="en-GB"/>
        </w:rPr>
        <w:t xml:space="preserve">Which </w:t>
      </w:r>
      <w:r w:rsidR="00AE20EB" w:rsidRPr="00B2234F">
        <w:rPr>
          <w:rFonts w:ascii="Avenir Next" w:hAnsi="Avenir Next" w:cs="Arial"/>
          <w:sz w:val="22"/>
          <w:szCs w:val="22"/>
          <w:lang w:val="en-GB"/>
        </w:rPr>
        <w:t xml:space="preserve">of the following claims </w:t>
      </w:r>
      <w:r w:rsidR="00AE20EB" w:rsidRPr="008465BE">
        <w:rPr>
          <w:rFonts w:ascii="Avenir Next Demi Bold" w:hAnsi="Avenir Next Demi Bold" w:cs="Arial"/>
          <w:b/>
          <w:bCs/>
          <w:sz w:val="22"/>
          <w:szCs w:val="22"/>
          <w:u w:val="single"/>
          <w:lang w:val="en-GB"/>
        </w:rPr>
        <w:t>are</w:t>
      </w:r>
      <w:r w:rsidR="00AE20EB" w:rsidRPr="008465BE">
        <w:rPr>
          <w:rFonts w:ascii="Avenir Next Demi Bold" w:hAnsi="Avenir Next Demi Bold"/>
          <w:b/>
          <w:bCs/>
          <w:sz w:val="22"/>
          <w:szCs w:val="22"/>
          <w:u w:val="single"/>
          <w:lang w:val="en-GB"/>
        </w:rPr>
        <w:t xml:space="preserve"> not</w:t>
      </w:r>
      <w:r w:rsidR="00AE20EB" w:rsidRPr="008465BE">
        <w:rPr>
          <w:rFonts w:ascii="Avenir Next Demi Bold" w:hAnsi="Avenir Next Demi Bold" w:cs="Arial"/>
          <w:b/>
          <w:bCs/>
          <w:sz w:val="22"/>
          <w:szCs w:val="22"/>
          <w:u w:val="single"/>
          <w:lang w:val="en-GB"/>
        </w:rPr>
        <w:t xml:space="preserve"> provable</w:t>
      </w:r>
      <w:r w:rsidR="00AE20EB" w:rsidRPr="00B2234F">
        <w:rPr>
          <w:rFonts w:ascii="Avenir Next" w:hAnsi="Avenir Next" w:cs="Arial"/>
          <w:sz w:val="22"/>
          <w:szCs w:val="22"/>
          <w:lang w:val="en-GB"/>
        </w:rPr>
        <w:t xml:space="preserve"> in a liquidation?</w:t>
      </w:r>
    </w:p>
    <w:p w14:paraId="6C16DB72" w14:textId="77777777" w:rsidR="00AD12C7" w:rsidRPr="00B2234F" w:rsidRDefault="00AD12C7" w:rsidP="00AD12C7">
      <w:pPr>
        <w:ind w:left="720" w:hanging="720"/>
        <w:rPr>
          <w:rFonts w:ascii="Avenir Next" w:hAnsi="Avenir Next" w:cs="Arial"/>
          <w:sz w:val="22"/>
          <w:szCs w:val="22"/>
          <w:lang w:val="en-GB"/>
        </w:rPr>
      </w:pPr>
    </w:p>
    <w:p w14:paraId="43EDA19F" w14:textId="375A0441" w:rsidR="00AD12C7"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F</w:t>
      </w:r>
      <w:r w:rsidR="00AE20EB" w:rsidRPr="00B2234F">
        <w:rPr>
          <w:rFonts w:ascii="Avenir Next" w:hAnsi="Avenir Next" w:cs="Arial"/>
          <w:sz w:val="22"/>
          <w:szCs w:val="22"/>
          <w:lang w:val="en-GB"/>
        </w:rPr>
        <w:t>uture debt</w:t>
      </w:r>
      <w:r w:rsidR="00BF0AFE" w:rsidRPr="00B2234F">
        <w:rPr>
          <w:rFonts w:ascii="Avenir Next" w:hAnsi="Avenir Next" w:cs="Arial"/>
          <w:sz w:val="22"/>
          <w:szCs w:val="22"/>
          <w:lang w:val="en-GB"/>
        </w:rPr>
        <w:t>s</w:t>
      </w:r>
    </w:p>
    <w:p w14:paraId="3077056E" w14:textId="77777777" w:rsidR="00265D2D" w:rsidRPr="00B2234F" w:rsidRDefault="00265D2D" w:rsidP="00265D2D">
      <w:pPr>
        <w:ind w:left="66"/>
        <w:jc w:val="both"/>
        <w:rPr>
          <w:rFonts w:ascii="Avenir Next" w:hAnsi="Avenir Next" w:cs="Arial"/>
          <w:sz w:val="22"/>
          <w:szCs w:val="22"/>
          <w:lang w:val="en-GB"/>
        </w:rPr>
      </w:pPr>
    </w:p>
    <w:p w14:paraId="550009BA" w14:textId="33C5AE28" w:rsidR="00BF0AFE"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C</w:t>
      </w:r>
      <w:r w:rsidR="00BF0AFE" w:rsidRPr="00B2234F">
        <w:rPr>
          <w:rFonts w:ascii="Avenir Next" w:hAnsi="Avenir Next" w:cs="Arial"/>
          <w:sz w:val="22"/>
          <w:szCs w:val="22"/>
          <w:lang w:val="en-GB"/>
        </w:rPr>
        <w:t>ontingent claims</w:t>
      </w:r>
    </w:p>
    <w:p w14:paraId="7D821735" w14:textId="77777777" w:rsidR="00BF0AFE" w:rsidRPr="00B2234F" w:rsidRDefault="00BF0AFE" w:rsidP="00BF0AFE">
      <w:pPr>
        <w:pStyle w:val="ListParagraph"/>
        <w:rPr>
          <w:rFonts w:ascii="Avenir Next" w:hAnsi="Avenir Next" w:cs="Arial"/>
          <w:sz w:val="22"/>
          <w:szCs w:val="22"/>
          <w:lang w:val="en-GB"/>
        </w:rPr>
      </w:pPr>
    </w:p>
    <w:p w14:paraId="1C6EC955" w14:textId="27615C2B" w:rsidR="00BF0AFE" w:rsidRPr="00BC3EA9" w:rsidRDefault="008465BE" w:rsidP="00265D2D">
      <w:pPr>
        <w:pStyle w:val="ListParagraph"/>
        <w:numPr>
          <w:ilvl w:val="0"/>
          <w:numId w:val="16"/>
        </w:numPr>
        <w:ind w:left="426"/>
        <w:jc w:val="both"/>
        <w:rPr>
          <w:rFonts w:ascii="Avenir Next" w:hAnsi="Avenir Next" w:cs="Arial"/>
          <w:sz w:val="22"/>
          <w:szCs w:val="22"/>
          <w:highlight w:val="yellow"/>
          <w:lang w:val="en-GB"/>
        </w:rPr>
      </w:pPr>
      <w:r w:rsidRPr="00BC3EA9">
        <w:rPr>
          <w:rFonts w:ascii="Avenir Next" w:hAnsi="Avenir Next" w:cs="Arial"/>
          <w:sz w:val="22"/>
          <w:szCs w:val="22"/>
          <w:highlight w:val="yellow"/>
          <w:lang w:val="en-GB"/>
        </w:rPr>
        <w:t>P</w:t>
      </w:r>
      <w:r w:rsidR="00BF0AFE" w:rsidRPr="00BC3EA9">
        <w:rPr>
          <w:rFonts w:ascii="Avenir Next" w:hAnsi="Avenir Next" w:cs="Arial"/>
          <w:sz w:val="22"/>
          <w:szCs w:val="22"/>
          <w:highlight w:val="yellow"/>
          <w:lang w:val="en-GB"/>
        </w:rPr>
        <w:t>enalties or fines imposed by a court in respect of an offence against a law</w:t>
      </w:r>
    </w:p>
    <w:p w14:paraId="612E8B15" w14:textId="77777777" w:rsidR="00BF0AFE" w:rsidRPr="00B2234F" w:rsidRDefault="00BF0AFE" w:rsidP="00BF0AFE">
      <w:pPr>
        <w:pStyle w:val="ListParagraph"/>
        <w:rPr>
          <w:rFonts w:ascii="Avenir Next" w:hAnsi="Avenir Next" w:cs="Arial"/>
          <w:sz w:val="22"/>
          <w:szCs w:val="22"/>
          <w:lang w:val="en-GB"/>
        </w:rPr>
      </w:pPr>
    </w:p>
    <w:p w14:paraId="7D4BC663" w14:textId="3AC32807" w:rsidR="005B79F4" w:rsidRPr="00B2234F" w:rsidRDefault="008465BE" w:rsidP="00BF0AFE">
      <w:pPr>
        <w:pStyle w:val="ListParagraph"/>
        <w:numPr>
          <w:ilvl w:val="0"/>
          <w:numId w:val="16"/>
        </w:numPr>
        <w:ind w:left="426"/>
        <w:jc w:val="both"/>
        <w:rPr>
          <w:rFonts w:ascii="Avenir Next" w:hAnsi="Avenir Next" w:cs="Arial"/>
          <w:sz w:val="22"/>
          <w:szCs w:val="22"/>
        </w:rPr>
      </w:pPr>
      <w:r>
        <w:rPr>
          <w:rFonts w:ascii="Avenir Next" w:hAnsi="Avenir Next" w:cs="Arial"/>
          <w:sz w:val="22"/>
          <w:szCs w:val="22"/>
          <w:lang w:val="en-GB"/>
        </w:rPr>
        <w:t>C</w:t>
      </w:r>
      <w:r w:rsidR="00BF0AFE" w:rsidRPr="00B2234F">
        <w:rPr>
          <w:rFonts w:ascii="Avenir Next" w:hAnsi="Avenir Next" w:cs="Arial"/>
          <w:sz w:val="22"/>
          <w:szCs w:val="22"/>
          <w:lang w:val="en-GB"/>
        </w:rPr>
        <w:t>laims for damages for personal injury</w:t>
      </w:r>
    </w:p>
    <w:p w14:paraId="74E62161" w14:textId="3B9B7129" w:rsidR="00265D2D" w:rsidRPr="00B2234F" w:rsidRDefault="00265D2D" w:rsidP="00C55824">
      <w:pPr>
        <w:jc w:val="both"/>
        <w:rPr>
          <w:rFonts w:ascii="Avenir Next" w:hAnsi="Avenir Next" w:cs="Arial"/>
          <w:sz w:val="22"/>
          <w:szCs w:val="22"/>
        </w:rPr>
      </w:pPr>
    </w:p>
    <w:p w14:paraId="5F06B867"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1.7 </w:t>
      </w:r>
    </w:p>
    <w:p w14:paraId="1FDD2BC0" w14:textId="77777777" w:rsidR="00E9597C" w:rsidRPr="008465BE" w:rsidRDefault="00E9597C" w:rsidP="00C55824">
      <w:pPr>
        <w:jc w:val="both"/>
        <w:rPr>
          <w:rFonts w:ascii="Avenir Next Demi Bold" w:hAnsi="Avenir Next Demi Bold" w:cs="Arial"/>
          <w:b/>
          <w:bCs/>
          <w:sz w:val="22"/>
          <w:szCs w:val="22"/>
        </w:rPr>
      </w:pPr>
    </w:p>
    <w:p w14:paraId="39FD348E" w14:textId="6C7DEB6F" w:rsidR="00023705" w:rsidRPr="008465BE" w:rsidRDefault="00023705" w:rsidP="00AD12C7">
      <w:pPr>
        <w:ind w:left="720" w:hanging="720"/>
        <w:rPr>
          <w:rFonts w:ascii="Avenir Next Demi Bold" w:hAnsi="Avenir Next Demi Bold" w:cs="Arial"/>
          <w:b/>
          <w:bCs/>
          <w:sz w:val="22"/>
          <w:szCs w:val="22"/>
          <w:lang w:val="en-GB"/>
        </w:rPr>
      </w:pPr>
      <w:r w:rsidRPr="008465BE">
        <w:rPr>
          <w:rFonts w:ascii="Avenir Next Demi Bold" w:hAnsi="Avenir Next Demi Bold" w:cs="Arial"/>
          <w:b/>
          <w:bCs/>
          <w:sz w:val="22"/>
          <w:szCs w:val="22"/>
          <w:lang w:val="en-GB"/>
        </w:rPr>
        <w:t>Select the correct answer:</w:t>
      </w:r>
    </w:p>
    <w:p w14:paraId="490B6A3F" w14:textId="77777777" w:rsidR="00023705" w:rsidRPr="00B2234F" w:rsidRDefault="00023705" w:rsidP="00AD12C7">
      <w:pPr>
        <w:ind w:left="720" w:hanging="720"/>
        <w:rPr>
          <w:rFonts w:ascii="Avenir Next" w:hAnsi="Avenir Next" w:cs="Arial"/>
          <w:sz w:val="22"/>
          <w:szCs w:val="22"/>
          <w:lang w:val="en-GB"/>
        </w:rPr>
      </w:pPr>
    </w:p>
    <w:p w14:paraId="1EAB537F" w14:textId="77777777"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A company can only be placed into voluntary administration if:</w:t>
      </w:r>
    </w:p>
    <w:p w14:paraId="2DAEE264" w14:textId="77777777" w:rsidR="0089536F" w:rsidRPr="00B2234F" w:rsidRDefault="0089536F" w:rsidP="0089536F">
      <w:pPr>
        <w:ind w:left="720" w:hanging="720"/>
        <w:rPr>
          <w:rFonts w:ascii="Avenir Next" w:hAnsi="Avenir Next" w:cs="Arial"/>
          <w:sz w:val="22"/>
          <w:szCs w:val="22"/>
          <w:lang w:val="en-GB"/>
        </w:rPr>
      </w:pPr>
    </w:p>
    <w:p w14:paraId="292FD319" w14:textId="660226FB"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directors declare that the company’s liabilities exceed its assets.</w:t>
      </w:r>
    </w:p>
    <w:p w14:paraId="7B9E561A" w14:textId="77777777" w:rsidR="00265D2D" w:rsidRPr="00B2234F" w:rsidRDefault="00265D2D" w:rsidP="00265D2D">
      <w:pPr>
        <w:rPr>
          <w:rFonts w:ascii="Avenir Next" w:hAnsi="Avenir Next" w:cs="Arial"/>
          <w:sz w:val="22"/>
          <w:szCs w:val="22"/>
          <w:lang w:val="en-GB"/>
        </w:rPr>
      </w:pPr>
    </w:p>
    <w:p w14:paraId="2AC22579" w14:textId="045A2B5F"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creditors resolve that the company is unable to pay its debts as and when they fall due.</w:t>
      </w:r>
    </w:p>
    <w:p w14:paraId="123E7BCF" w14:textId="77777777" w:rsidR="00265D2D" w:rsidRPr="00B2234F" w:rsidRDefault="00265D2D" w:rsidP="00265D2D">
      <w:pPr>
        <w:rPr>
          <w:rFonts w:ascii="Avenir Next" w:hAnsi="Avenir Next" w:cs="Arial"/>
          <w:sz w:val="22"/>
          <w:szCs w:val="22"/>
          <w:lang w:val="en-GB"/>
        </w:rPr>
      </w:pPr>
    </w:p>
    <w:p w14:paraId="7524600E" w14:textId="022072B2" w:rsidR="0089536F" w:rsidRPr="00BC3EA9" w:rsidRDefault="0089536F" w:rsidP="00265D2D">
      <w:pPr>
        <w:pStyle w:val="ListParagraph"/>
        <w:numPr>
          <w:ilvl w:val="0"/>
          <w:numId w:val="17"/>
        </w:numPr>
        <w:ind w:left="426"/>
        <w:rPr>
          <w:rFonts w:ascii="Avenir Next" w:hAnsi="Avenir Next" w:cs="Arial"/>
          <w:sz w:val="22"/>
          <w:szCs w:val="22"/>
          <w:highlight w:val="yellow"/>
          <w:lang w:val="en-GB"/>
        </w:rPr>
      </w:pPr>
      <w:r w:rsidRPr="00BC3EA9">
        <w:rPr>
          <w:rFonts w:ascii="Avenir Next" w:hAnsi="Avenir Next" w:cs="Arial"/>
          <w:sz w:val="22"/>
          <w:szCs w:val="22"/>
          <w:highlight w:val="yellow"/>
          <w:lang w:val="en-GB"/>
        </w:rPr>
        <w:t>a liquidator declares that the company is insolvent or likely to become insolvent.</w:t>
      </w:r>
    </w:p>
    <w:p w14:paraId="31DCB683" w14:textId="77777777" w:rsidR="00265D2D" w:rsidRPr="00B2234F" w:rsidRDefault="00265D2D" w:rsidP="00265D2D">
      <w:pPr>
        <w:rPr>
          <w:rFonts w:ascii="Avenir Next" w:hAnsi="Avenir Next" w:cs="Arial"/>
          <w:sz w:val="22"/>
          <w:szCs w:val="22"/>
          <w:lang w:val="en-GB"/>
        </w:rPr>
      </w:pPr>
    </w:p>
    <w:p w14:paraId="0F85F5C5" w14:textId="2AE08F6A"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directors resolve that the company is insolvent or likely to become insolvent.</w:t>
      </w:r>
    </w:p>
    <w:p w14:paraId="284D9BBE" w14:textId="77777777" w:rsidR="0089536F" w:rsidRPr="00B2234F" w:rsidRDefault="0089536F" w:rsidP="0089536F">
      <w:pPr>
        <w:jc w:val="both"/>
        <w:rPr>
          <w:rFonts w:ascii="Avenir Next" w:hAnsi="Avenir Next" w:cs="Arial"/>
          <w:b/>
          <w:bCs/>
          <w:sz w:val="22"/>
          <w:szCs w:val="22"/>
        </w:rPr>
      </w:pPr>
    </w:p>
    <w:p w14:paraId="24BA3EDF" w14:textId="2E164B25"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1.8 </w:t>
      </w:r>
    </w:p>
    <w:p w14:paraId="180AA517" w14:textId="77777777" w:rsidR="0089536F" w:rsidRPr="008465BE" w:rsidRDefault="0089536F" w:rsidP="0089536F">
      <w:pPr>
        <w:jc w:val="both"/>
        <w:rPr>
          <w:rFonts w:ascii="Avenir Next Demi Bold" w:eastAsiaTheme="minorHAnsi" w:hAnsi="Avenir Next Demi Bold" w:cs="Arial"/>
          <w:b/>
          <w:bCs/>
          <w:sz w:val="22"/>
          <w:szCs w:val="22"/>
          <w:lang w:val="en-GB"/>
        </w:rPr>
      </w:pPr>
    </w:p>
    <w:p w14:paraId="6B6C200C" w14:textId="445C7E92"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799E9F1" w14:textId="77777777" w:rsidR="00265D2D" w:rsidRPr="00B2234F" w:rsidRDefault="00265D2D" w:rsidP="00AD12C7">
      <w:pPr>
        <w:ind w:left="720" w:hanging="720"/>
        <w:rPr>
          <w:rFonts w:ascii="Avenir Next" w:hAnsi="Avenir Next" w:cs="Arial"/>
          <w:sz w:val="22"/>
          <w:szCs w:val="22"/>
          <w:lang w:val="en-GB"/>
        </w:rPr>
      </w:pPr>
    </w:p>
    <w:p w14:paraId="02E4208C" w14:textId="0926911E"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A receiver:</w:t>
      </w:r>
    </w:p>
    <w:p w14:paraId="04C14C64" w14:textId="77777777" w:rsidR="00AD12C7" w:rsidRPr="00B2234F" w:rsidRDefault="00AD12C7" w:rsidP="00AD12C7">
      <w:pPr>
        <w:ind w:left="720" w:hanging="720"/>
        <w:rPr>
          <w:rFonts w:ascii="Avenir Next" w:hAnsi="Avenir Next" w:cs="Arial"/>
          <w:sz w:val="22"/>
          <w:szCs w:val="22"/>
          <w:lang w:val="en-GB"/>
        </w:rPr>
      </w:pPr>
    </w:p>
    <w:p w14:paraId="069C4E48" w14:textId="2CEF0209"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secured creditor that appointed the receiver.</w:t>
      </w:r>
    </w:p>
    <w:p w14:paraId="682DEAC9" w14:textId="77777777" w:rsidR="00265D2D" w:rsidRPr="00B2234F" w:rsidRDefault="00265D2D" w:rsidP="00265D2D">
      <w:pPr>
        <w:ind w:left="66"/>
        <w:jc w:val="both"/>
        <w:rPr>
          <w:rFonts w:ascii="Avenir Next" w:hAnsi="Avenir Next" w:cs="Arial"/>
          <w:sz w:val="22"/>
          <w:szCs w:val="22"/>
          <w:lang w:val="en-GB"/>
        </w:rPr>
      </w:pPr>
    </w:p>
    <w:p w14:paraId="3573E23C" w14:textId="449500DA"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owes a duty of care to unsecured creditors.</w:t>
      </w:r>
    </w:p>
    <w:p w14:paraId="234E9140" w14:textId="77777777" w:rsidR="00265D2D" w:rsidRPr="00B2234F" w:rsidRDefault="00265D2D" w:rsidP="00265D2D">
      <w:pPr>
        <w:ind w:left="66"/>
        <w:jc w:val="both"/>
        <w:rPr>
          <w:rFonts w:ascii="Avenir Next" w:hAnsi="Avenir Next" w:cs="Arial"/>
          <w:sz w:val="22"/>
          <w:szCs w:val="22"/>
          <w:lang w:val="en-GB"/>
        </w:rPr>
      </w:pPr>
    </w:p>
    <w:p w14:paraId="0EB83B28" w14:textId="09351B31" w:rsidR="008465BE" w:rsidRPr="002B4441" w:rsidRDefault="00AD12C7" w:rsidP="002B4441">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company and not of the secured creditor that appointed the receiver.</w:t>
      </w:r>
    </w:p>
    <w:p w14:paraId="4FAF8D6E" w14:textId="77777777" w:rsidR="008465BE" w:rsidRPr="00B2234F" w:rsidRDefault="008465BE" w:rsidP="00265D2D">
      <w:pPr>
        <w:ind w:left="66"/>
        <w:jc w:val="both"/>
        <w:rPr>
          <w:rFonts w:ascii="Avenir Next" w:hAnsi="Avenir Next" w:cs="Arial"/>
          <w:sz w:val="22"/>
          <w:szCs w:val="22"/>
          <w:lang w:val="en-GB"/>
        </w:rPr>
      </w:pPr>
    </w:p>
    <w:p w14:paraId="556D0871" w14:textId="7905C91D" w:rsidR="00023705" w:rsidRPr="00BC3EA9" w:rsidRDefault="00AD12C7" w:rsidP="00265D2D">
      <w:pPr>
        <w:pStyle w:val="ListParagraph"/>
        <w:numPr>
          <w:ilvl w:val="0"/>
          <w:numId w:val="19"/>
        </w:numPr>
        <w:ind w:left="426"/>
        <w:jc w:val="both"/>
        <w:rPr>
          <w:rFonts w:ascii="Avenir Next" w:hAnsi="Avenir Next" w:cs="Arial"/>
          <w:sz w:val="22"/>
          <w:szCs w:val="22"/>
          <w:highlight w:val="yellow"/>
          <w:lang w:val="en-GB"/>
        </w:rPr>
      </w:pPr>
      <w:r w:rsidRPr="00BC3EA9">
        <w:rPr>
          <w:rFonts w:ascii="Avenir Next" w:hAnsi="Avenir Next" w:cs="Arial"/>
          <w:sz w:val="22"/>
          <w:szCs w:val="22"/>
          <w:highlight w:val="yellow"/>
          <w:lang w:val="en-GB"/>
        </w:rPr>
        <w:t>is an agent of the company</w:t>
      </w:r>
      <w:r w:rsidR="00796B95" w:rsidRPr="00BC3EA9">
        <w:rPr>
          <w:rFonts w:ascii="Avenir Next" w:hAnsi="Avenir Next" w:cs="Arial"/>
          <w:sz w:val="22"/>
          <w:szCs w:val="22"/>
          <w:highlight w:val="yellow"/>
          <w:lang w:val="en-GB"/>
        </w:rPr>
        <w:t>,</w:t>
      </w:r>
      <w:r w:rsidRPr="00BC3EA9">
        <w:rPr>
          <w:rFonts w:ascii="Avenir Next" w:hAnsi="Avenir Next" w:cs="Arial"/>
          <w:sz w:val="22"/>
          <w:szCs w:val="22"/>
          <w:highlight w:val="yellow"/>
          <w:lang w:val="en-GB"/>
        </w:rPr>
        <w:t xml:space="preserve"> until the appointment of a liquidator to </w:t>
      </w:r>
      <w:r w:rsidR="00023705" w:rsidRPr="00BC3EA9">
        <w:rPr>
          <w:rFonts w:ascii="Avenir Next" w:hAnsi="Avenir Next" w:cs="Arial"/>
          <w:sz w:val="22"/>
          <w:szCs w:val="22"/>
          <w:highlight w:val="yellow"/>
          <w:lang w:val="en-GB"/>
        </w:rPr>
        <w:t xml:space="preserve">the </w:t>
      </w:r>
      <w:r w:rsidRPr="00BC3EA9">
        <w:rPr>
          <w:rFonts w:ascii="Avenir Next" w:hAnsi="Avenir Next" w:cs="Arial"/>
          <w:sz w:val="22"/>
          <w:szCs w:val="22"/>
          <w:highlight w:val="yellow"/>
          <w:lang w:val="en-GB"/>
        </w:rPr>
        <w:t>company.</w:t>
      </w:r>
    </w:p>
    <w:p w14:paraId="40FEAB31" w14:textId="77777777" w:rsidR="00265D2D" w:rsidRPr="00B2234F" w:rsidRDefault="00265D2D" w:rsidP="00265D2D">
      <w:pPr>
        <w:ind w:left="66"/>
        <w:jc w:val="both"/>
        <w:rPr>
          <w:rFonts w:ascii="Avenir Next" w:hAnsi="Avenir Next" w:cs="Arial"/>
          <w:sz w:val="22"/>
          <w:szCs w:val="22"/>
          <w:lang w:val="en-GB"/>
        </w:rPr>
      </w:pPr>
    </w:p>
    <w:p w14:paraId="1804D744" w14:textId="77AEAB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required to meet the priority claims of employees out of assets subject to a non-circulating security interest.</w:t>
      </w:r>
    </w:p>
    <w:p w14:paraId="4BD87DFB" w14:textId="77777777" w:rsidR="00AD12C7" w:rsidRPr="00B2234F" w:rsidRDefault="00AD12C7" w:rsidP="00C55824">
      <w:pPr>
        <w:jc w:val="both"/>
        <w:rPr>
          <w:rFonts w:ascii="Avenir Next" w:eastAsiaTheme="minorHAnsi" w:hAnsi="Avenir Next" w:cs="Arial"/>
          <w:sz w:val="22"/>
          <w:szCs w:val="22"/>
          <w:lang w:val="en-GB"/>
        </w:rPr>
      </w:pPr>
    </w:p>
    <w:p w14:paraId="4B65E591"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1.9 </w:t>
      </w:r>
    </w:p>
    <w:p w14:paraId="1F24CE49" w14:textId="481595E0" w:rsidR="00E9597C" w:rsidRPr="008465BE" w:rsidRDefault="00E9597C" w:rsidP="00C55824">
      <w:pPr>
        <w:jc w:val="both"/>
        <w:rPr>
          <w:rFonts w:ascii="Avenir Next Demi Bold" w:hAnsi="Avenir Next Demi Bold" w:cs="Arial"/>
          <w:b/>
          <w:bCs/>
          <w:sz w:val="22"/>
          <w:szCs w:val="22"/>
        </w:rPr>
      </w:pPr>
    </w:p>
    <w:p w14:paraId="7F238F5C" w14:textId="50494B58" w:rsidR="00416D2B" w:rsidRPr="008465BE" w:rsidRDefault="00416D2B"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ED89E77" w14:textId="77777777" w:rsidR="00416D2B" w:rsidRPr="00B2234F" w:rsidRDefault="00416D2B" w:rsidP="00C55824">
      <w:pPr>
        <w:jc w:val="both"/>
        <w:rPr>
          <w:rFonts w:ascii="Avenir Next" w:hAnsi="Avenir Next" w:cs="Arial"/>
          <w:sz w:val="22"/>
          <w:szCs w:val="22"/>
        </w:rPr>
      </w:pPr>
    </w:p>
    <w:p w14:paraId="620A7B7E" w14:textId="77777777" w:rsidR="002476AF" w:rsidRPr="00B2234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Australia has excluded from the definition of “laws relating to insolvency” for the purposes of Article 1 of the Model Law the following parts of the </w:t>
      </w:r>
      <w:r w:rsidRPr="00B2234F">
        <w:rPr>
          <w:rFonts w:ascii="Avenir Next" w:hAnsi="Avenir Next" w:cs="Arial"/>
          <w:iCs/>
          <w:sz w:val="22"/>
          <w:szCs w:val="22"/>
          <w:lang w:val="en-GB"/>
        </w:rPr>
        <w:t>Corporations Act:</w:t>
      </w:r>
      <w:r w:rsidRPr="00B2234F">
        <w:rPr>
          <w:rFonts w:ascii="Avenir Next" w:hAnsi="Avenir Next" w:cs="Arial"/>
          <w:sz w:val="22"/>
          <w:szCs w:val="22"/>
          <w:lang w:val="en-GB"/>
        </w:rPr>
        <w:t xml:space="preserve"> </w:t>
      </w:r>
    </w:p>
    <w:p w14:paraId="47307AB9" w14:textId="77777777" w:rsidR="002476AF" w:rsidRPr="00B2234F" w:rsidRDefault="002476AF" w:rsidP="002476AF">
      <w:pPr>
        <w:ind w:left="720" w:hanging="720"/>
        <w:jc w:val="both"/>
        <w:rPr>
          <w:rFonts w:ascii="Avenir Next" w:hAnsi="Avenir Next" w:cs="Arial"/>
          <w:sz w:val="22"/>
          <w:szCs w:val="22"/>
          <w:lang w:val="en-GB"/>
        </w:rPr>
      </w:pPr>
    </w:p>
    <w:p w14:paraId="29E0DEE7" w14:textId="3099468A"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schemes of arrangement</w:t>
      </w:r>
      <w:r w:rsidR="00416D2B" w:rsidRPr="00B2234F">
        <w:rPr>
          <w:rFonts w:ascii="Avenir Next" w:hAnsi="Avenir Next" w:cs="Arial"/>
          <w:sz w:val="22"/>
          <w:szCs w:val="22"/>
          <w:lang w:val="en-GB"/>
        </w:rPr>
        <w:t>.</w:t>
      </w:r>
    </w:p>
    <w:p w14:paraId="5F0DF97E" w14:textId="77777777" w:rsidR="00265D2D" w:rsidRPr="00B2234F" w:rsidRDefault="00265D2D" w:rsidP="00265D2D">
      <w:pPr>
        <w:ind w:left="66"/>
        <w:jc w:val="both"/>
        <w:rPr>
          <w:rFonts w:ascii="Avenir Next" w:hAnsi="Avenir Next" w:cs="Arial"/>
          <w:sz w:val="22"/>
          <w:szCs w:val="22"/>
          <w:lang w:val="en-GB"/>
        </w:rPr>
      </w:pPr>
    </w:p>
    <w:p w14:paraId="32D419A3" w14:textId="79D235C0"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windings up of companies by the court on grounds of insolvency</w:t>
      </w:r>
      <w:r w:rsidR="00416D2B" w:rsidRPr="00B2234F">
        <w:rPr>
          <w:rFonts w:ascii="Avenir Next" w:hAnsi="Avenir Next" w:cs="Arial"/>
          <w:sz w:val="22"/>
          <w:szCs w:val="22"/>
          <w:lang w:val="en-GB"/>
        </w:rPr>
        <w:t>.</w:t>
      </w:r>
    </w:p>
    <w:p w14:paraId="66433CCF" w14:textId="77777777" w:rsidR="00265D2D" w:rsidRPr="00B2234F" w:rsidRDefault="00265D2D" w:rsidP="00265D2D">
      <w:pPr>
        <w:ind w:left="66"/>
        <w:jc w:val="both"/>
        <w:rPr>
          <w:rFonts w:ascii="Avenir Next" w:hAnsi="Avenir Next" w:cs="Arial"/>
          <w:sz w:val="22"/>
          <w:szCs w:val="22"/>
          <w:lang w:val="en-GB"/>
        </w:rPr>
      </w:pPr>
    </w:p>
    <w:p w14:paraId="0DE85444" w14:textId="0BA98B46"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taxes and penalties payable to foreign revenue creditors</w:t>
      </w:r>
      <w:r w:rsidR="00416D2B" w:rsidRPr="00B2234F">
        <w:rPr>
          <w:rFonts w:ascii="Avenir Next" w:hAnsi="Avenir Next" w:cs="Arial"/>
          <w:sz w:val="22"/>
          <w:szCs w:val="22"/>
          <w:lang w:val="en-GB"/>
        </w:rPr>
        <w:t>.</w:t>
      </w:r>
    </w:p>
    <w:p w14:paraId="2FC9A953" w14:textId="77777777" w:rsidR="00265D2D" w:rsidRPr="00B2234F" w:rsidRDefault="00265D2D" w:rsidP="00265D2D">
      <w:pPr>
        <w:ind w:left="66"/>
        <w:jc w:val="both"/>
        <w:rPr>
          <w:rFonts w:ascii="Avenir Next" w:hAnsi="Avenir Next" w:cs="Arial"/>
          <w:sz w:val="22"/>
          <w:szCs w:val="22"/>
          <w:lang w:val="en-GB"/>
        </w:rPr>
      </w:pPr>
    </w:p>
    <w:p w14:paraId="24F56436" w14:textId="6A42E26E"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the supervision of voluntary administrators</w:t>
      </w:r>
      <w:r w:rsidR="00416D2B" w:rsidRPr="00B2234F">
        <w:rPr>
          <w:rFonts w:ascii="Avenir Next" w:hAnsi="Avenir Next" w:cs="Arial"/>
          <w:sz w:val="22"/>
          <w:szCs w:val="22"/>
          <w:lang w:val="en-GB"/>
        </w:rPr>
        <w:t>.</w:t>
      </w:r>
    </w:p>
    <w:p w14:paraId="2DA74DBF" w14:textId="77777777" w:rsidR="00265D2D" w:rsidRPr="00B2234F" w:rsidRDefault="00265D2D" w:rsidP="00265D2D">
      <w:pPr>
        <w:ind w:left="66"/>
        <w:jc w:val="both"/>
        <w:rPr>
          <w:rFonts w:ascii="Avenir Next" w:hAnsi="Avenir Next" w:cs="Arial"/>
          <w:sz w:val="22"/>
          <w:szCs w:val="22"/>
          <w:lang w:val="en-GB"/>
        </w:rPr>
      </w:pPr>
    </w:p>
    <w:p w14:paraId="7512253C" w14:textId="3DAC4A31" w:rsidR="002476AF" w:rsidRPr="00BC3EA9" w:rsidRDefault="00E131DE" w:rsidP="00265D2D">
      <w:pPr>
        <w:pStyle w:val="ListParagraph"/>
        <w:numPr>
          <w:ilvl w:val="0"/>
          <w:numId w:val="20"/>
        </w:numPr>
        <w:ind w:left="426"/>
        <w:jc w:val="both"/>
        <w:rPr>
          <w:rFonts w:ascii="Avenir Next" w:hAnsi="Avenir Next" w:cs="Arial"/>
          <w:sz w:val="22"/>
          <w:szCs w:val="22"/>
          <w:highlight w:val="yellow"/>
          <w:lang w:val="en-GB"/>
        </w:rPr>
      </w:pPr>
      <w:r w:rsidRPr="00BC3EA9">
        <w:rPr>
          <w:rFonts w:ascii="Avenir Next" w:hAnsi="Avenir Next" w:cs="Arial"/>
          <w:sz w:val="22"/>
          <w:szCs w:val="22"/>
          <w:highlight w:val="yellow"/>
          <w:lang w:val="en-GB"/>
        </w:rPr>
        <w:t>t</w:t>
      </w:r>
      <w:r w:rsidR="002476AF" w:rsidRPr="00BC3EA9">
        <w:rPr>
          <w:rFonts w:ascii="Avenir Next" w:hAnsi="Avenir Next" w:cs="Arial"/>
          <w:sz w:val="22"/>
          <w:szCs w:val="22"/>
          <w:highlight w:val="yellow"/>
          <w:lang w:val="en-GB"/>
        </w:rPr>
        <w:t xml:space="preserve">he part dealing with receivers, and other controllers, of property of </w:t>
      </w:r>
      <w:r w:rsidR="00416D2B" w:rsidRPr="00BC3EA9">
        <w:rPr>
          <w:rFonts w:ascii="Avenir Next" w:hAnsi="Avenir Next" w:cs="Arial"/>
          <w:sz w:val="22"/>
          <w:szCs w:val="22"/>
          <w:highlight w:val="yellow"/>
          <w:lang w:val="en-GB"/>
        </w:rPr>
        <w:t xml:space="preserve">the </w:t>
      </w:r>
      <w:r w:rsidR="002476AF" w:rsidRPr="00BC3EA9">
        <w:rPr>
          <w:rFonts w:ascii="Avenir Next" w:hAnsi="Avenir Next" w:cs="Arial"/>
          <w:sz w:val="22"/>
          <w:szCs w:val="22"/>
          <w:highlight w:val="yellow"/>
          <w:lang w:val="en-GB"/>
        </w:rPr>
        <w:t>corporation</w:t>
      </w:r>
      <w:r w:rsidR="00416D2B" w:rsidRPr="00BC3EA9">
        <w:rPr>
          <w:rFonts w:ascii="Avenir Next" w:hAnsi="Avenir Next" w:cs="Arial"/>
          <w:sz w:val="22"/>
          <w:szCs w:val="22"/>
          <w:highlight w:val="yellow"/>
          <w:lang w:val="en-GB"/>
        </w:rPr>
        <w:t>.</w:t>
      </w:r>
    </w:p>
    <w:p w14:paraId="542B62C9" w14:textId="2C8DC786" w:rsidR="00876F56" w:rsidRPr="00B2234F" w:rsidRDefault="00876F56" w:rsidP="00C55824">
      <w:pPr>
        <w:jc w:val="both"/>
        <w:rPr>
          <w:rFonts w:ascii="Avenir Next" w:hAnsi="Avenir Next" w:cs="Arial"/>
          <w:sz w:val="22"/>
          <w:szCs w:val="22"/>
        </w:rPr>
      </w:pPr>
    </w:p>
    <w:p w14:paraId="1F7999C1" w14:textId="77777777" w:rsidR="00E9597C" w:rsidRPr="008465BE" w:rsidRDefault="00E9597C" w:rsidP="0020090A">
      <w:pPr>
        <w:keepNext/>
        <w:jc w:val="both"/>
        <w:rPr>
          <w:rFonts w:ascii="Avenir Next Demi Bold" w:hAnsi="Avenir Next Demi Bold" w:cs="Arial"/>
          <w:b/>
          <w:bCs/>
          <w:sz w:val="22"/>
          <w:szCs w:val="22"/>
        </w:rPr>
      </w:pPr>
      <w:r w:rsidRPr="008465BE">
        <w:rPr>
          <w:rFonts w:ascii="Avenir Next Demi Bold" w:hAnsi="Avenir Next Demi Bold" w:cs="Arial"/>
          <w:b/>
          <w:bCs/>
          <w:sz w:val="22"/>
          <w:szCs w:val="22"/>
        </w:rPr>
        <w:t>Question 1.10</w:t>
      </w:r>
      <w:r w:rsidR="006F4A78" w:rsidRPr="008465BE">
        <w:rPr>
          <w:rFonts w:ascii="Avenir Next Demi Bold" w:hAnsi="Avenir Next Demi Bold" w:cs="Arial"/>
          <w:b/>
          <w:bCs/>
          <w:sz w:val="22"/>
          <w:szCs w:val="22"/>
        </w:rPr>
        <w:t xml:space="preserve"> </w:t>
      </w:r>
    </w:p>
    <w:p w14:paraId="170C47B3" w14:textId="77777777" w:rsidR="00E9597C" w:rsidRPr="008465BE" w:rsidRDefault="00E9597C" w:rsidP="0020090A">
      <w:pPr>
        <w:keepNext/>
        <w:jc w:val="both"/>
        <w:rPr>
          <w:rFonts w:ascii="Avenir Next Demi Bold" w:hAnsi="Avenir Next Demi Bold" w:cs="Arial"/>
          <w:b/>
          <w:bCs/>
          <w:sz w:val="22"/>
          <w:szCs w:val="22"/>
        </w:rPr>
      </w:pPr>
    </w:p>
    <w:p w14:paraId="67D98D7B" w14:textId="77777777" w:rsidR="00BA4008" w:rsidRPr="008465BE" w:rsidRDefault="00BA4008" w:rsidP="00BA4008">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4CD022F2" w14:textId="77777777" w:rsidR="00BA4008" w:rsidRPr="00B2234F" w:rsidRDefault="00BA4008" w:rsidP="002476AF">
      <w:pPr>
        <w:ind w:left="720" w:hanging="720"/>
        <w:rPr>
          <w:rFonts w:ascii="Avenir Next" w:hAnsi="Avenir Next" w:cs="Arial"/>
          <w:sz w:val="22"/>
          <w:szCs w:val="22"/>
          <w:lang w:val="en-GB"/>
        </w:rPr>
      </w:pPr>
    </w:p>
    <w:p w14:paraId="4D27558C" w14:textId="5D103AAE" w:rsidR="002476AF" w:rsidRPr="00B2234F" w:rsidRDefault="008235B7" w:rsidP="002476AF">
      <w:pPr>
        <w:ind w:left="720" w:hanging="720"/>
        <w:rPr>
          <w:rFonts w:ascii="Avenir Next" w:hAnsi="Avenir Next" w:cs="Arial"/>
          <w:sz w:val="22"/>
          <w:szCs w:val="22"/>
          <w:lang w:val="en-GB"/>
        </w:rPr>
      </w:pPr>
      <w:r w:rsidRPr="00B2234F">
        <w:rPr>
          <w:rFonts w:ascii="Avenir Next" w:hAnsi="Avenir Next" w:cs="Arial"/>
          <w:sz w:val="22"/>
          <w:szCs w:val="22"/>
          <w:lang w:val="en-GB"/>
        </w:rPr>
        <w:t>Laws regarding the following came into effect on 1 January 2021</w:t>
      </w:r>
      <w:r w:rsidR="002476AF" w:rsidRPr="00B2234F">
        <w:rPr>
          <w:rFonts w:ascii="Avenir Next" w:hAnsi="Avenir Next" w:cs="Arial"/>
          <w:sz w:val="22"/>
          <w:szCs w:val="22"/>
          <w:lang w:val="en-GB"/>
        </w:rPr>
        <w:t>:</w:t>
      </w:r>
    </w:p>
    <w:p w14:paraId="7909CC8C" w14:textId="77777777" w:rsidR="002476AF" w:rsidRPr="00B2234F" w:rsidRDefault="002476AF" w:rsidP="002476AF">
      <w:pPr>
        <w:ind w:left="720" w:hanging="720"/>
        <w:jc w:val="both"/>
        <w:rPr>
          <w:rFonts w:ascii="Avenir Next" w:hAnsi="Avenir Next" w:cs="Arial"/>
          <w:sz w:val="22"/>
          <w:szCs w:val="22"/>
          <w:lang w:val="en-GB"/>
        </w:rPr>
      </w:pPr>
    </w:p>
    <w:p w14:paraId="07F91E42" w14:textId="59D25B1B"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lastRenderedPageBreak/>
        <w:t>A</w:t>
      </w:r>
      <w:r w:rsidR="002476AF" w:rsidRPr="00B2234F">
        <w:rPr>
          <w:rFonts w:ascii="Avenir Next" w:hAnsi="Avenir Next" w:cs="Arial"/>
          <w:sz w:val="22"/>
          <w:szCs w:val="22"/>
          <w:lang w:val="en-GB"/>
        </w:rPr>
        <w:t xml:space="preserve">n </w:t>
      </w:r>
      <w:r w:rsidR="002476AF" w:rsidRPr="00B2234F">
        <w:rPr>
          <w:rFonts w:ascii="Avenir Next" w:hAnsi="Avenir Next" w:cs="Arial"/>
          <w:i/>
          <w:sz w:val="22"/>
          <w:szCs w:val="22"/>
          <w:lang w:val="en-GB"/>
        </w:rPr>
        <w:t>ipso facto</w:t>
      </w:r>
      <w:r w:rsidR="002476AF" w:rsidRPr="00B2234F">
        <w:rPr>
          <w:rFonts w:ascii="Avenir Next" w:hAnsi="Avenir Next" w:cs="Arial"/>
          <w:sz w:val="22"/>
          <w:szCs w:val="22"/>
          <w:lang w:val="en-GB"/>
        </w:rPr>
        <w:t xml:space="preserve"> moratorium in voluntary administrations and liquidations.</w:t>
      </w:r>
    </w:p>
    <w:p w14:paraId="555AB975" w14:textId="77777777" w:rsidR="00265D2D" w:rsidRPr="00B2234F" w:rsidRDefault="00265D2D" w:rsidP="00265D2D">
      <w:pPr>
        <w:ind w:left="66"/>
        <w:jc w:val="both"/>
        <w:rPr>
          <w:rFonts w:ascii="Avenir Next" w:hAnsi="Avenir Next" w:cs="Arial"/>
          <w:sz w:val="22"/>
          <w:szCs w:val="22"/>
          <w:lang w:val="en-GB"/>
        </w:rPr>
      </w:pPr>
    </w:p>
    <w:p w14:paraId="7B0A8624" w14:textId="2DCFB140" w:rsidR="002476AF" w:rsidRPr="00BC3EA9" w:rsidRDefault="008465BE" w:rsidP="00265D2D">
      <w:pPr>
        <w:pStyle w:val="ListParagraph"/>
        <w:numPr>
          <w:ilvl w:val="0"/>
          <w:numId w:val="21"/>
        </w:numPr>
        <w:ind w:left="426"/>
        <w:jc w:val="both"/>
        <w:rPr>
          <w:rFonts w:ascii="Avenir Next" w:hAnsi="Avenir Next" w:cs="Arial"/>
          <w:sz w:val="22"/>
          <w:szCs w:val="22"/>
          <w:highlight w:val="yellow"/>
          <w:lang w:val="en-GB"/>
        </w:rPr>
      </w:pPr>
      <w:r w:rsidRPr="00BC3EA9">
        <w:rPr>
          <w:rFonts w:ascii="Avenir Next" w:hAnsi="Avenir Next" w:cs="Arial"/>
          <w:sz w:val="22"/>
          <w:szCs w:val="22"/>
          <w:highlight w:val="yellow"/>
          <w:lang w:val="en-GB"/>
        </w:rPr>
        <w:t>S</w:t>
      </w:r>
      <w:r w:rsidR="002476AF" w:rsidRPr="00BC3EA9">
        <w:rPr>
          <w:rFonts w:ascii="Avenir Next" w:hAnsi="Avenir Next" w:cs="Arial"/>
          <w:sz w:val="22"/>
          <w:szCs w:val="22"/>
          <w:highlight w:val="yellow"/>
          <w:lang w:val="en-GB"/>
        </w:rPr>
        <w:t xml:space="preserve">implified </w:t>
      </w:r>
      <w:r w:rsidR="008235B7" w:rsidRPr="00BC3EA9">
        <w:rPr>
          <w:rFonts w:ascii="Avenir Next" w:hAnsi="Avenir Next" w:cs="Arial"/>
          <w:sz w:val="22"/>
          <w:szCs w:val="22"/>
          <w:highlight w:val="yellow"/>
          <w:lang w:val="en-GB"/>
        </w:rPr>
        <w:t>restructuring and liquidation regimes for small companies</w:t>
      </w:r>
      <w:r w:rsidR="002476AF" w:rsidRPr="00BC3EA9">
        <w:rPr>
          <w:rFonts w:ascii="Avenir Next" w:hAnsi="Avenir Next" w:cs="Arial"/>
          <w:sz w:val="22"/>
          <w:szCs w:val="22"/>
          <w:highlight w:val="yellow"/>
          <w:lang w:val="en-GB"/>
        </w:rPr>
        <w:t>.</w:t>
      </w:r>
    </w:p>
    <w:p w14:paraId="7F1AEA25" w14:textId="77777777" w:rsidR="00265D2D" w:rsidRPr="00B2234F" w:rsidRDefault="00265D2D" w:rsidP="00265D2D">
      <w:pPr>
        <w:ind w:left="66"/>
        <w:jc w:val="both"/>
        <w:rPr>
          <w:rFonts w:ascii="Avenir Next" w:hAnsi="Avenir Next" w:cs="Arial"/>
          <w:sz w:val="22"/>
          <w:szCs w:val="22"/>
          <w:lang w:val="en-GB"/>
        </w:rPr>
      </w:pPr>
    </w:p>
    <w:p w14:paraId="5DC90DCF" w14:textId="20C56C2C"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R</w:t>
      </w:r>
      <w:r w:rsidR="002476AF" w:rsidRPr="00B2234F">
        <w:rPr>
          <w:rFonts w:ascii="Avenir Next" w:hAnsi="Avenir Next" w:cs="Arial"/>
          <w:sz w:val="22"/>
          <w:szCs w:val="22"/>
          <w:lang w:val="en-GB"/>
        </w:rPr>
        <w:t>educ</w:t>
      </w:r>
      <w:r w:rsidR="008235B7" w:rsidRPr="00B2234F">
        <w:rPr>
          <w:rFonts w:ascii="Avenir Next" w:hAnsi="Avenir Next" w:cs="Arial"/>
          <w:sz w:val="22"/>
          <w:szCs w:val="22"/>
          <w:lang w:val="en-GB"/>
        </w:rPr>
        <w:t>ing</w:t>
      </w:r>
      <w:r w:rsidR="002476AF" w:rsidRPr="00B2234F">
        <w:rPr>
          <w:rFonts w:ascii="Avenir Next" w:hAnsi="Avenir Next" w:cs="Arial"/>
          <w:sz w:val="22"/>
          <w:szCs w:val="22"/>
          <w:lang w:val="en-GB"/>
        </w:rPr>
        <w:t xml:space="preserve"> the default bankruptcy period from three years to one year.</w:t>
      </w:r>
    </w:p>
    <w:p w14:paraId="7042BD50" w14:textId="77777777" w:rsidR="00265D2D" w:rsidRPr="00B2234F" w:rsidRDefault="00265D2D" w:rsidP="00265D2D">
      <w:pPr>
        <w:ind w:left="66"/>
        <w:jc w:val="both"/>
        <w:rPr>
          <w:rFonts w:ascii="Avenir Next" w:hAnsi="Avenir Next" w:cs="Arial"/>
          <w:sz w:val="22"/>
          <w:szCs w:val="22"/>
          <w:lang w:val="en-GB"/>
        </w:rPr>
      </w:pPr>
    </w:p>
    <w:p w14:paraId="0523AC6C" w14:textId="44F07047" w:rsidR="002476AF" w:rsidRPr="00B2234F" w:rsidRDefault="00E43938"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F32C2B" w:rsidRPr="00B2234F">
        <w:rPr>
          <w:rFonts w:ascii="Avenir Next" w:hAnsi="Avenir Next" w:cs="Arial"/>
          <w:sz w:val="22"/>
          <w:szCs w:val="22"/>
          <w:lang w:val="en-GB"/>
        </w:rPr>
        <w:t xml:space="preserve"> safe harbour from insolvent trading liability</w:t>
      </w:r>
      <w:r w:rsidR="002476AF" w:rsidRPr="00B2234F">
        <w:rPr>
          <w:rFonts w:ascii="Avenir Next" w:hAnsi="Avenir Next" w:cs="Arial"/>
          <w:i/>
          <w:sz w:val="22"/>
          <w:szCs w:val="22"/>
          <w:lang w:val="en-GB"/>
        </w:rPr>
        <w:t>.</w:t>
      </w:r>
    </w:p>
    <w:p w14:paraId="449A6621" w14:textId="5EDCE7E6" w:rsidR="00C55824" w:rsidRPr="00B2234F" w:rsidRDefault="00C55824" w:rsidP="002A37BB">
      <w:pPr>
        <w:jc w:val="both"/>
        <w:rPr>
          <w:rFonts w:ascii="Avenir Next" w:hAnsi="Avenir Next" w:cs="Arial"/>
          <w:bCs/>
          <w:sz w:val="22"/>
          <w:szCs w:val="22"/>
          <w:lang w:val="en-GB"/>
        </w:rPr>
      </w:pPr>
    </w:p>
    <w:p w14:paraId="5BB957E4" w14:textId="473743BA" w:rsidR="00416D2B" w:rsidRPr="00B2234F" w:rsidRDefault="00416D2B" w:rsidP="002A37BB">
      <w:pPr>
        <w:jc w:val="both"/>
        <w:rPr>
          <w:rFonts w:ascii="Avenir Next" w:hAnsi="Avenir Next" w:cs="Arial"/>
          <w:bCs/>
          <w:sz w:val="22"/>
          <w:szCs w:val="22"/>
          <w:lang w:val="en-GB"/>
        </w:rPr>
      </w:pPr>
    </w:p>
    <w:p w14:paraId="724CD0FC" w14:textId="77777777" w:rsidR="00962045" w:rsidRPr="00E43938" w:rsidRDefault="00DF75F8" w:rsidP="002A37BB">
      <w:pPr>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QUESTION 2</w:t>
      </w:r>
      <w:r w:rsidR="00962045" w:rsidRPr="00E43938">
        <w:rPr>
          <w:rFonts w:ascii="Avenir Next Demi Bold" w:hAnsi="Avenir Next Demi Bold" w:cs="Arial"/>
          <w:b/>
          <w:bCs/>
          <w:sz w:val="22"/>
          <w:szCs w:val="22"/>
          <w:lang w:val="en-GB"/>
        </w:rPr>
        <w:t xml:space="preserve"> (direct questions) [10 marks] </w:t>
      </w:r>
    </w:p>
    <w:p w14:paraId="07FA3AF4" w14:textId="77777777" w:rsidR="00962045" w:rsidRPr="00E43938" w:rsidRDefault="00962045" w:rsidP="002A37BB">
      <w:pPr>
        <w:ind w:left="720" w:hanging="720"/>
        <w:jc w:val="both"/>
        <w:rPr>
          <w:rFonts w:ascii="Avenir Next Demi Bold" w:hAnsi="Avenir Next Demi Bold" w:cs="Arial"/>
          <w:b/>
          <w:bCs/>
          <w:sz w:val="22"/>
          <w:szCs w:val="22"/>
          <w:lang w:val="en-GB"/>
        </w:rPr>
      </w:pPr>
    </w:p>
    <w:p w14:paraId="25B4493B" w14:textId="196F2D5F" w:rsidR="002C13C8" w:rsidRPr="00E43938" w:rsidRDefault="002C13C8" w:rsidP="002A37BB">
      <w:pPr>
        <w:ind w:left="720" w:hanging="720"/>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 xml:space="preserve">Question </w:t>
      </w:r>
      <w:r w:rsidR="00962045" w:rsidRPr="00E43938">
        <w:rPr>
          <w:rFonts w:ascii="Avenir Next Demi Bold" w:hAnsi="Avenir Next Demi Bold" w:cs="Arial"/>
          <w:b/>
          <w:bCs/>
          <w:sz w:val="22"/>
          <w:szCs w:val="22"/>
          <w:lang w:val="en-GB"/>
        </w:rPr>
        <w:t>2.1</w:t>
      </w:r>
      <w:r w:rsidR="00962045" w:rsidRPr="00E43938">
        <w:rPr>
          <w:rFonts w:ascii="Avenir Next Demi Bold" w:hAnsi="Avenir Next Demi Bold" w:cs="Arial"/>
          <w:b/>
          <w:bCs/>
          <w:sz w:val="22"/>
          <w:szCs w:val="22"/>
          <w:lang w:val="en-GB"/>
        </w:rPr>
        <w:tab/>
      </w:r>
      <w:r w:rsidR="00DE03AF" w:rsidRPr="00E43938">
        <w:rPr>
          <w:rFonts w:ascii="Avenir Next Demi Bold" w:hAnsi="Avenir Next Demi Bold" w:cs="Arial"/>
          <w:b/>
          <w:bCs/>
          <w:sz w:val="22"/>
          <w:szCs w:val="22"/>
          <w:lang w:val="en-GB"/>
        </w:rPr>
        <w:t>[</w:t>
      </w:r>
      <w:r w:rsidR="00D17FDC" w:rsidRPr="00E43938">
        <w:rPr>
          <w:rFonts w:ascii="Avenir Next Demi Bold" w:hAnsi="Avenir Next Demi Bold" w:cs="Arial"/>
          <w:b/>
          <w:bCs/>
          <w:sz w:val="22"/>
          <w:szCs w:val="22"/>
          <w:lang w:val="en-GB"/>
        </w:rPr>
        <w:t>m</w:t>
      </w:r>
      <w:r w:rsidR="00DE03AF" w:rsidRPr="00E43938">
        <w:rPr>
          <w:rFonts w:ascii="Avenir Next Demi Bold" w:hAnsi="Avenir Next Demi Bold" w:cs="Arial"/>
          <w:b/>
          <w:bCs/>
          <w:sz w:val="22"/>
          <w:szCs w:val="22"/>
          <w:lang w:val="en-GB"/>
        </w:rPr>
        <w:t xml:space="preserve">aximum </w:t>
      </w:r>
      <w:r w:rsidR="00823B29" w:rsidRPr="00E43938">
        <w:rPr>
          <w:rFonts w:ascii="Avenir Next Demi Bold" w:hAnsi="Avenir Next Demi Bold" w:cs="Arial"/>
          <w:b/>
          <w:bCs/>
          <w:sz w:val="22"/>
          <w:szCs w:val="22"/>
          <w:lang w:val="en-GB"/>
        </w:rPr>
        <w:t xml:space="preserve">3 </w:t>
      </w:r>
      <w:r w:rsidR="00DE03AF" w:rsidRPr="00E43938">
        <w:rPr>
          <w:rFonts w:ascii="Avenir Next Demi Bold" w:hAnsi="Avenir Next Demi Bold" w:cs="Arial"/>
          <w:b/>
          <w:bCs/>
          <w:sz w:val="22"/>
          <w:szCs w:val="22"/>
          <w:lang w:val="en-GB"/>
        </w:rPr>
        <w:t xml:space="preserve">marks] </w:t>
      </w:r>
    </w:p>
    <w:p w14:paraId="106A24D1" w14:textId="77777777" w:rsidR="002C13C8" w:rsidRPr="00B2234F" w:rsidRDefault="002C13C8" w:rsidP="002A37BB">
      <w:pPr>
        <w:ind w:left="720" w:hanging="720"/>
        <w:jc w:val="both"/>
        <w:rPr>
          <w:rFonts w:ascii="Avenir Next" w:hAnsi="Avenir Next" w:cs="Arial"/>
          <w:sz w:val="22"/>
          <w:szCs w:val="22"/>
          <w:lang w:val="en-GB"/>
        </w:rPr>
      </w:pPr>
    </w:p>
    <w:p w14:paraId="53132B3C" w14:textId="57655F10" w:rsidR="0020090A"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Name the </w:t>
      </w:r>
      <w:r w:rsidR="00796B95" w:rsidRPr="00B2234F">
        <w:rPr>
          <w:rFonts w:ascii="Avenir Next" w:hAnsi="Avenir Next" w:cs="Arial"/>
          <w:sz w:val="22"/>
          <w:szCs w:val="22"/>
          <w:lang w:val="en-GB"/>
        </w:rPr>
        <w:t xml:space="preserve">five </w:t>
      </w:r>
      <w:r w:rsidRPr="00B2234F">
        <w:rPr>
          <w:rFonts w:ascii="Avenir Next" w:hAnsi="Avenir Next" w:cs="Arial"/>
          <w:sz w:val="22"/>
          <w:szCs w:val="22"/>
          <w:lang w:val="en-GB"/>
        </w:rPr>
        <w:t xml:space="preserve">types of voidable transactions </w:t>
      </w:r>
      <w:r w:rsidR="00416D2B" w:rsidRPr="00B2234F">
        <w:rPr>
          <w:rFonts w:ascii="Avenir Next" w:hAnsi="Avenir Next" w:cs="Arial"/>
          <w:sz w:val="22"/>
          <w:szCs w:val="22"/>
          <w:lang w:val="en-GB"/>
        </w:rPr>
        <w:t>that</w:t>
      </w:r>
      <w:r w:rsidRPr="00B2234F">
        <w:rPr>
          <w:rFonts w:ascii="Avenir Next" w:hAnsi="Avenir Next" w:cs="Arial"/>
          <w:sz w:val="22"/>
          <w:szCs w:val="22"/>
          <w:lang w:val="en-GB"/>
        </w:rPr>
        <w:t xml:space="preserve"> can be </w:t>
      </w:r>
      <w:r w:rsidR="00796B95" w:rsidRPr="00B2234F">
        <w:rPr>
          <w:rFonts w:ascii="Avenir Next" w:hAnsi="Avenir Next" w:cs="Arial"/>
          <w:sz w:val="22"/>
          <w:szCs w:val="22"/>
          <w:lang w:val="en-GB"/>
        </w:rPr>
        <w:t>reversed by a liquidator on application to the court,</w:t>
      </w:r>
      <w:r w:rsidR="00823B29" w:rsidRPr="00B2234F">
        <w:rPr>
          <w:rFonts w:ascii="Avenir Next" w:hAnsi="Avenir Next" w:cs="Arial"/>
          <w:sz w:val="22"/>
          <w:szCs w:val="22"/>
          <w:lang w:val="en-GB"/>
        </w:rPr>
        <w:t xml:space="preserve"> and </w:t>
      </w:r>
      <w:r w:rsidR="0035372F" w:rsidRPr="00B2234F">
        <w:rPr>
          <w:rFonts w:ascii="Avenir Next" w:hAnsi="Avenir Next" w:cs="Arial"/>
          <w:sz w:val="22"/>
          <w:szCs w:val="22"/>
          <w:lang w:val="en-GB"/>
        </w:rPr>
        <w:t xml:space="preserve">explain whether it is a complete defence to each of these types of voidable transactions if the defendant proves that they </w:t>
      </w:r>
      <w:r w:rsidR="00526091">
        <w:rPr>
          <w:rFonts w:ascii="Avenir Next" w:hAnsi="Avenir Next" w:cs="Arial"/>
          <w:sz w:val="22"/>
          <w:szCs w:val="22"/>
          <w:lang w:val="en-GB"/>
        </w:rPr>
        <w:t xml:space="preserve">were </w:t>
      </w:r>
      <w:r w:rsidR="0035372F" w:rsidRPr="00B2234F">
        <w:rPr>
          <w:rFonts w:ascii="Avenir Next" w:hAnsi="Avenir Next" w:cs="Arial"/>
          <w:sz w:val="22"/>
          <w:szCs w:val="22"/>
          <w:lang w:val="en-GB"/>
        </w:rPr>
        <w:t>not aware that the company was insolvent at the time they entered into the transactions.</w:t>
      </w:r>
    </w:p>
    <w:p w14:paraId="66FCBB75" w14:textId="7DC57CEE" w:rsidR="00526091" w:rsidRPr="00B04780" w:rsidRDefault="00526091" w:rsidP="002476AF">
      <w:pPr>
        <w:jc w:val="both"/>
        <w:rPr>
          <w:rFonts w:ascii="Avenir Next" w:hAnsi="Avenir Next" w:cs="Arial"/>
          <w:color w:val="808080" w:themeColor="background1" w:themeShade="80"/>
          <w:sz w:val="22"/>
          <w:szCs w:val="22"/>
          <w:lang w:val="en-GB"/>
        </w:rPr>
      </w:pPr>
    </w:p>
    <w:p w14:paraId="76947DAF" w14:textId="77777777" w:rsidR="002B4441" w:rsidRPr="00395617" w:rsidRDefault="002B4441" w:rsidP="002B4441">
      <w:pPr>
        <w:rPr>
          <w:rFonts w:ascii="Arial" w:hAnsi="Arial" w:cs="Arial"/>
          <w:sz w:val="22"/>
          <w:szCs w:val="22"/>
        </w:rPr>
      </w:pPr>
      <w:r w:rsidRPr="00395617">
        <w:rPr>
          <w:rFonts w:ascii="Arial" w:hAnsi="Arial" w:cs="Arial"/>
          <w:sz w:val="22"/>
          <w:szCs w:val="22"/>
        </w:rPr>
        <w:t xml:space="preserve">The five types of voidable transactions that can be reversed by a liquidator under part 5.7B of the Corporations Act 2001 (Cth) (the </w:t>
      </w:r>
      <w:r w:rsidRPr="00395617">
        <w:rPr>
          <w:rFonts w:ascii="Arial" w:hAnsi="Arial" w:cs="Arial"/>
          <w:b/>
          <w:bCs/>
          <w:sz w:val="22"/>
          <w:szCs w:val="22"/>
        </w:rPr>
        <w:t>Act</w:t>
      </w:r>
      <w:r w:rsidRPr="00395617">
        <w:rPr>
          <w:rFonts w:ascii="Arial" w:hAnsi="Arial" w:cs="Arial"/>
          <w:sz w:val="22"/>
          <w:szCs w:val="22"/>
        </w:rPr>
        <w:t>) on application to the court are:</w:t>
      </w:r>
      <w:r w:rsidRPr="00395617">
        <w:rPr>
          <w:rStyle w:val="FootnoteReference"/>
          <w:rFonts w:ascii="Arial" w:hAnsi="Arial" w:cs="Arial"/>
          <w:sz w:val="22"/>
          <w:szCs w:val="22"/>
        </w:rPr>
        <w:footnoteReference w:id="2"/>
      </w:r>
    </w:p>
    <w:p w14:paraId="39A69AC3" w14:textId="77777777" w:rsidR="002B4441" w:rsidRPr="00395617" w:rsidRDefault="002B4441" w:rsidP="002B4441">
      <w:pPr>
        <w:pStyle w:val="ListParagraph"/>
        <w:numPr>
          <w:ilvl w:val="0"/>
          <w:numId w:val="28"/>
        </w:numPr>
        <w:spacing w:before="120" w:after="120"/>
        <w:contextualSpacing w:val="0"/>
        <w:rPr>
          <w:rFonts w:ascii="Arial" w:hAnsi="Arial" w:cs="Arial"/>
          <w:sz w:val="22"/>
          <w:szCs w:val="22"/>
        </w:rPr>
      </w:pPr>
      <w:r w:rsidRPr="00395617">
        <w:rPr>
          <w:rFonts w:ascii="Arial" w:hAnsi="Arial" w:cs="Arial"/>
          <w:sz w:val="22"/>
          <w:szCs w:val="22"/>
        </w:rPr>
        <w:t>Unfair preferences;</w:t>
      </w:r>
    </w:p>
    <w:p w14:paraId="478BEBCD" w14:textId="77777777" w:rsidR="002B4441" w:rsidRPr="00395617" w:rsidRDefault="002B4441" w:rsidP="002B4441">
      <w:pPr>
        <w:pStyle w:val="ListParagraph"/>
        <w:numPr>
          <w:ilvl w:val="0"/>
          <w:numId w:val="28"/>
        </w:numPr>
        <w:spacing w:before="120" w:after="120"/>
        <w:contextualSpacing w:val="0"/>
        <w:rPr>
          <w:rFonts w:ascii="Arial" w:hAnsi="Arial" w:cs="Arial"/>
          <w:sz w:val="22"/>
          <w:szCs w:val="22"/>
        </w:rPr>
      </w:pPr>
      <w:r w:rsidRPr="00395617">
        <w:rPr>
          <w:rFonts w:ascii="Arial" w:hAnsi="Arial" w:cs="Arial"/>
          <w:sz w:val="22"/>
          <w:szCs w:val="22"/>
        </w:rPr>
        <w:t>Uncommercial transactions;</w:t>
      </w:r>
    </w:p>
    <w:p w14:paraId="5DE203D1" w14:textId="77777777" w:rsidR="002B4441" w:rsidRPr="00395617" w:rsidRDefault="002B4441" w:rsidP="002B4441">
      <w:pPr>
        <w:pStyle w:val="ListParagraph"/>
        <w:numPr>
          <w:ilvl w:val="0"/>
          <w:numId w:val="28"/>
        </w:numPr>
        <w:spacing w:before="120" w:after="120"/>
        <w:contextualSpacing w:val="0"/>
        <w:rPr>
          <w:rFonts w:ascii="Arial" w:hAnsi="Arial" w:cs="Arial"/>
          <w:sz w:val="22"/>
          <w:szCs w:val="22"/>
        </w:rPr>
      </w:pPr>
      <w:r w:rsidRPr="00395617">
        <w:rPr>
          <w:rFonts w:ascii="Arial" w:hAnsi="Arial" w:cs="Arial"/>
          <w:sz w:val="22"/>
          <w:szCs w:val="22"/>
        </w:rPr>
        <w:t>Unreasonable director-related transactions;</w:t>
      </w:r>
    </w:p>
    <w:p w14:paraId="42B95BCA" w14:textId="77777777" w:rsidR="002B4441" w:rsidRPr="00395617" w:rsidRDefault="002B4441" w:rsidP="002B4441">
      <w:pPr>
        <w:pStyle w:val="ListParagraph"/>
        <w:numPr>
          <w:ilvl w:val="0"/>
          <w:numId w:val="28"/>
        </w:numPr>
        <w:spacing w:before="120" w:after="120"/>
        <w:contextualSpacing w:val="0"/>
        <w:rPr>
          <w:rFonts w:ascii="Arial" w:hAnsi="Arial" w:cs="Arial"/>
          <w:sz w:val="22"/>
          <w:szCs w:val="22"/>
        </w:rPr>
      </w:pPr>
      <w:r w:rsidRPr="00395617">
        <w:rPr>
          <w:rFonts w:ascii="Arial" w:hAnsi="Arial" w:cs="Arial"/>
          <w:sz w:val="22"/>
          <w:szCs w:val="22"/>
        </w:rPr>
        <w:t>Unfair loans; and</w:t>
      </w:r>
    </w:p>
    <w:p w14:paraId="5C033FAE" w14:textId="77777777" w:rsidR="002B4441" w:rsidRPr="00395617" w:rsidRDefault="002B4441" w:rsidP="002B4441">
      <w:pPr>
        <w:pStyle w:val="ListParagraph"/>
        <w:numPr>
          <w:ilvl w:val="0"/>
          <w:numId w:val="28"/>
        </w:numPr>
        <w:spacing w:before="120" w:after="120"/>
        <w:contextualSpacing w:val="0"/>
        <w:rPr>
          <w:rFonts w:ascii="Arial" w:hAnsi="Arial" w:cs="Arial"/>
          <w:sz w:val="22"/>
          <w:szCs w:val="22"/>
        </w:rPr>
      </w:pPr>
      <w:r w:rsidRPr="00395617">
        <w:rPr>
          <w:rFonts w:ascii="Arial" w:hAnsi="Arial" w:cs="Arial"/>
          <w:sz w:val="22"/>
          <w:szCs w:val="22"/>
        </w:rPr>
        <w:t>In limited circumstances, circulating security interests.</w:t>
      </w:r>
    </w:p>
    <w:p w14:paraId="03AED440" w14:textId="77777777" w:rsidR="002B4441" w:rsidRPr="00395617" w:rsidRDefault="002B4441" w:rsidP="002B4441">
      <w:pPr>
        <w:rPr>
          <w:rFonts w:ascii="Arial" w:hAnsi="Arial" w:cs="Arial"/>
          <w:sz w:val="22"/>
          <w:szCs w:val="22"/>
        </w:rPr>
      </w:pPr>
      <w:r w:rsidRPr="00395617">
        <w:rPr>
          <w:rFonts w:ascii="Arial" w:hAnsi="Arial" w:cs="Arial"/>
          <w:sz w:val="22"/>
          <w:szCs w:val="22"/>
        </w:rPr>
        <w:t>With respect to unfair preferences and uncommercial transactions, the Act contains a limited defence, which if made out, means that the court cannot make an order permitting recovery of the property in question.</w:t>
      </w:r>
      <w:r w:rsidRPr="00395617">
        <w:rPr>
          <w:rStyle w:val="FootnoteReference"/>
          <w:rFonts w:ascii="Arial" w:hAnsi="Arial" w:cs="Arial"/>
          <w:sz w:val="22"/>
          <w:szCs w:val="22"/>
        </w:rPr>
        <w:footnoteReference w:id="3"/>
      </w:r>
    </w:p>
    <w:p w14:paraId="65114D26" w14:textId="77777777" w:rsidR="002B4441" w:rsidRPr="00395617" w:rsidRDefault="002B4441" w:rsidP="002B4441">
      <w:pPr>
        <w:rPr>
          <w:rFonts w:ascii="Arial" w:hAnsi="Arial" w:cs="Arial"/>
          <w:sz w:val="22"/>
          <w:szCs w:val="22"/>
        </w:rPr>
      </w:pPr>
      <w:r w:rsidRPr="00395617">
        <w:rPr>
          <w:rFonts w:ascii="Arial" w:hAnsi="Arial" w:cs="Arial"/>
          <w:sz w:val="22"/>
          <w:szCs w:val="22"/>
        </w:rPr>
        <w:t>The defence will be available if:</w:t>
      </w:r>
      <w:r w:rsidRPr="00395617">
        <w:rPr>
          <w:rStyle w:val="FootnoteReference"/>
          <w:rFonts w:ascii="Arial" w:hAnsi="Arial" w:cs="Arial"/>
          <w:sz w:val="22"/>
          <w:szCs w:val="22"/>
        </w:rPr>
        <w:footnoteReference w:id="4"/>
      </w:r>
    </w:p>
    <w:p w14:paraId="63C9A9F5" w14:textId="77777777" w:rsidR="002B4441" w:rsidRPr="00395617" w:rsidRDefault="002B4441" w:rsidP="002B4441">
      <w:pPr>
        <w:pStyle w:val="ListParagraph"/>
        <w:numPr>
          <w:ilvl w:val="0"/>
          <w:numId w:val="29"/>
        </w:numPr>
        <w:spacing w:before="120" w:after="120"/>
        <w:contextualSpacing w:val="0"/>
        <w:rPr>
          <w:rFonts w:ascii="Arial" w:hAnsi="Arial" w:cs="Arial"/>
          <w:sz w:val="22"/>
          <w:szCs w:val="22"/>
        </w:rPr>
      </w:pPr>
      <w:r w:rsidRPr="00395617">
        <w:rPr>
          <w:rFonts w:ascii="Arial" w:hAnsi="Arial" w:cs="Arial"/>
          <w:sz w:val="22"/>
          <w:szCs w:val="22"/>
        </w:rPr>
        <w:t xml:space="preserve">Recovery of the property in question would materially prejudice a right or interest of a party to the transaction; </w:t>
      </w:r>
    </w:p>
    <w:p w14:paraId="4A89FF35" w14:textId="77777777" w:rsidR="002B4441" w:rsidRPr="00395617" w:rsidRDefault="002B4441" w:rsidP="002B4441">
      <w:pPr>
        <w:pStyle w:val="ListParagraph"/>
        <w:numPr>
          <w:ilvl w:val="0"/>
          <w:numId w:val="29"/>
        </w:numPr>
        <w:spacing w:before="120" w:after="120"/>
        <w:contextualSpacing w:val="0"/>
        <w:rPr>
          <w:rFonts w:ascii="Arial" w:hAnsi="Arial" w:cs="Arial"/>
          <w:sz w:val="22"/>
          <w:szCs w:val="22"/>
        </w:rPr>
      </w:pPr>
      <w:r w:rsidRPr="00395617">
        <w:rPr>
          <w:rFonts w:ascii="Arial" w:hAnsi="Arial" w:cs="Arial"/>
          <w:sz w:val="22"/>
          <w:szCs w:val="22"/>
        </w:rPr>
        <w:t>That party acted in good faith;</w:t>
      </w:r>
    </w:p>
    <w:p w14:paraId="2B1080FA" w14:textId="77777777" w:rsidR="002B4441" w:rsidRPr="00395617" w:rsidRDefault="002B4441" w:rsidP="002B4441">
      <w:pPr>
        <w:pStyle w:val="ListParagraph"/>
        <w:numPr>
          <w:ilvl w:val="0"/>
          <w:numId w:val="29"/>
        </w:numPr>
        <w:spacing w:before="120" w:after="120"/>
        <w:contextualSpacing w:val="0"/>
        <w:rPr>
          <w:rFonts w:ascii="Arial" w:hAnsi="Arial" w:cs="Arial"/>
          <w:sz w:val="22"/>
          <w:szCs w:val="22"/>
        </w:rPr>
      </w:pPr>
      <w:r w:rsidRPr="00395617">
        <w:rPr>
          <w:rFonts w:ascii="Arial" w:hAnsi="Arial" w:cs="Arial"/>
          <w:sz w:val="22"/>
          <w:szCs w:val="22"/>
        </w:rPr>
        <w:t>That party was not aware nor could have reasonably been aware nor suspected that the company was insolvent at the time of the transaction, or would become insolvent as a result of entering into the transaction; and</w:t>
      </w:r>
    </w:p>
    <w:p w14:paraId="3330BFCD" w14:textId="77777777" w:rsidR="002B4441" w:rsidRPr="00395617" w:rsidRDefault="002B4441" w:rsidP="002B4441">
      <w:pPr>
        <w:pStyle w:val="ListParagraph"/>
        <w:numPr>
          <w:ilvl w:val="0"/>
          <w:numId w:val="29"/>
        </w:numPr>
        <w:spacing w:before="120" w:after="120"/>
        <w:contextualSpacing w:val="0"/>
        <w:rPr>
          <w:rFonts w:ascii="Arial" w:hAnsi="Arial" w:cs="Arial"/>
          <w:sz w:val="22"/>
          <w:szCs w:val="22"/>
        </w:rPr>
      </w:pPr>
      <w:r w:rsidRPr="00395617">
        <w:rPr>
          <w:rFonts w:ascii="Arial" w:hAnsi="Arial" w:cs="Arial"/>
          <w:sz w:val="22"/>
          <w:szCs w:val="22"/>
        </w:rPr>
        <w:t xml:space="preserve">That party provided valuable consideration or changed its position in reliance on the transaction. </w:t>
      </w:r>
    </w:p>
    <w:p w14:paraId="703AF229" w14:textId="173892E3" w:rsidR="002B4441" w:rsidRPr="00395617" w:rsidRDefault="002B4441" w:rsidP="002B4441">
      <w:pPr>
        <w:rPr>
          <w:rFonts w:ascii="Arial" w:hAnsi="Arial" w:cs="Arial"/>
          <w:sz w:val="22"/>
          <w:szCs w:val="22"/>
        </w:rPr>
      </w:pPr>
      <w:r w:rsidRPr="00395617">
        <w:rPr>
          <w:rFonts w:ascii="Arial" w:hAnsi="Arial" w:cs="Arial"/>
          <w:sz w:val="22"/>
          <w:szCs w:val="22"/>
        </w:rPr>
        <w:t>However, the Act does not provide such defence with respect to unreasonable director-related transactions or unfair loans.</w:t>
      </w:r>
      <w:r w:rsidRPr="00395617">
        <w:rPr>
          <w:rStyle w:val="FootnoteReference"/>
          <w:rFonts w:ascii="Arial" w:hAnsi="Arial" w:cs="Arial"/>
          <w:sz w:val="22"/>
          <w:szCs w:val="22"/>
        </w:rPr>
        <w:footnoteReference w:id="5"/>
      </w:r>
    </w:p>
    <w:p w14:paraId="7067C60F" w14:textId="77777777" w:rsidR="002B4441" w:rsidRPr="00395617" w:rsidRDefault="002B4441" w:rsidP="002B4441">
      <w:pPr>
        <w:rPr>
          <w:rFonts w:ascii="Arial" w:hAnsi="Arial" w:cs="Arial"/>
          <w:sz w:val="22"/>
          <w:szCs w:val="22"/>
        </w:rPr>
      </w:pPr>
    </w:p>
    <w:p w14:paraId="7B005E35" w14:textId="5826251C" w:rsidR="00B04780" w:rsidRPr="002B4441" w:rsidRDefault="002B4441" w:rsidP="002B4441">
      <w:r w:rsidRPr="00395617">
        <w:rPr>
          <w:rFonts w:ascii="Arial" w:hAnsi="Arial" w:cs="Arial"/>
          <w:sz w:val="22"/>
          <w:szCs w:val="22"/>
        </w:rPr>
        <w:t xml:space="preserve">The defence of not being aware of a company's insolvency also does not apply to the voidability of circulating security interests. This is because under the Act, a circulating </w:t>
      </w:r>
      <w:r w:rsidRPr="00395617">
        <w:rPr>
          <w:rFonts w:ascii="Arial" w:hAnsi="Arial" w:cs="Arial"/>
          <w:sz w:val="22"/>
          <w:szCs w:val="22"/>
        </w:rPr>
        <w:lastRenderedPageBreak/>
        <w:t>security interest created within 6 months before the commencement of the liquidation and securing past indebtedness will be void, unless the company was solvent immediately after the granting of the security.</w:t>
      </w:r>
      <w:r w:rsidRPr="00395617">
        <w:rPr>
          <w:rStyle w:val="FootnoteReference"/>
          <w:rFonts w:ascii="Arial" w:hAnsi="Arial" w:cs="Arial"/>
          <w:sz w:val="22"/>
          <w:szCs w:val="22"/>
        </w:rPr>
        <w:footnoteReference w:id="6"/>
      </w:r>
      <w:r w:rsidRPr="00395617">
        <w:rPr>
          <w:rFonts w:ascii="Arial" w:hAnsi="Arial" w:cs="Arial"/>
          <w:sz w:val="22"/>
          <w:szCs w:val="22"/>
        </w:rPr>
        <w:t xml:space="preserve"> As such, the only available defence is not the lack of</w:t>
      </w:r>
      <w:r>
        <w:t xml:space="preserve"> </w:t>
      </w:r>
      <w:r w:rsidRPr="00395617">
        <w:rPr>
          <w:rFonts w:ascii="Arial" w:hAnsi="Arial" w:cs="Arial"/>
          <w:sz w:val="22"/>
          <w:szCs w:val="22"/>
        </w:rPr>
        <w:t xml:space="preserve">knowledge of solvency, but the fact that the company was solvent immediately after the granting of the security. </w:t>
      </w:r>
    </w:p>
    <w:p w14:paraId="216E7750" w14:textId="4C1FDA49" w:rsidR="00007BF3" w:rsidRPr="00B2234F" w:rsidRDefault="00007BF3" w:rsidP="002A37BB">
      <w:pPr>
        <w:ind w:left="720" w:hanging="720"/>
        <w:jc w:val="both"/>
        <w:rPr>
          <w:rFonts w:ascii="Avenir Next" w:hAnsi="Avenir Next" w:cs="Arial"/>
          <w:sz w:val="22"/>
          <w:szCs w:val="22"/>
          <w:lang w:val="en-GB"/>
        </w:rPr>
      </w:pPr>
    </w:p>
    <w:p w14:paraId="540CB69C" w14:textId="77777777" w:rsidR="00C72848" w:rsidRPr="00B04780" w:rsidRDefault="002C13C8" w:rsidP="002A37BB">
      <w:pPr>
        <w:ind w:left="720" w:hanging="720"/>
        <w:jc w:val="both"/>
        <w:rPr>
          <w:rFonts w:ascii="Avenir Next Demi Bold" w:hAnsi="Avenir Next Demi Bold" w:cs="Arial"/>
          <w:b/>
          <w:bCs/>
          <w:sz w:val="22"/>
          <w:szCs w:val="22"/>
        </w:rPr>
      </w:pPr>
      <w:r w:rsidRPr="00B04780">
        <w:rPr>
          <w:rFonts w:ascii="Avenir Next Demi Bold" w:hAnsi="Avenir Next Demi Bold" w:cs="Arial"/>
          <w:b/>
          <w:bCs/>
          <w:sz w:val="22"/>
          <w:szCs w:val="22"/>
        </w:rPr>
        <w:t xml:space="preserve">Question </w:t>
      </w:r>
      <w:r w:rsidR="00DE03AF" w:rsidRPr="00B04780">
        <w:rPr>
          <w:rFonts w:ascii="Avenir Next Demi Bold" w:hAnsi="Avenir Next Demi Bold" w:cs="Arial"/>
          <w:b/>
          <w:bCs/>
          <w:sz w:val="22"/>
          <w:szCs w:val="22"/>
        </w:rPr>
        <w:t>2.2</w:t>
      </w:r>
      <w:r w:rsidR="00DE03AF" w:rsidRPr="00B04780">
        <w:rPr>
          <w:rFonts w:ascii="Avenir Next Demi Bold" w:hAnsi="Avenir Next Demi Bold" w:cs="Arial"/>
          <w:b/>
          <w:bCs/>
          <w:sz w:val="22"/>
          <w:szCs w:val="22"/>
        </w:rPr>
        <w:tab/>
        <w:t>[</w:t>
      </w:r>
      <w:r w:rsidR="00D17FDC" w:rsidRPr="00B04780">
        <w:rPr>
          <w:rFonts w:ascii="Avenir Next Demi Bold" w:hAnsi="Avenir Next Demi Bold" w:cs="Arial"/>
          <w:b/>
          <w:bCs/>
          <w:sz w:val="22"/>
          <w:szCs w:val="22"/>
        </w:rPr>
        <w:t>m</w:t>
      </w:r>
      <w:r w:rsidR="00DE03AF" w:rsidRPr="00B04780">
        <w:rPr>
          <w:rFonts w:ascii="Avenir Next Demi Bold" w:hAnsi="Avenir Next Demi Bold" w:cs="Arial"/>
          <w:b/>
          <w:bCs/>
          <w:sz w:val="22"/>
          <w:szCs w:val="22"/>
        </w:rPr>
        <w:t xml:space="preserve">aximum </w:t>
      </w:r>
      <w:r w:rsidR="002476AF" w:rsidRPr="00B04780">
        <w:rPr>
          <w:rFonts w:ascii="Avenir Next Demi Bold" w:hAnsi="Avenir Next Demi Bold" w:cs="Arial"/>
          <w:b/>
          <w:bCs/>
          <w:sz w:val="22"/>
          <w:szCs w:val="22"/>
        </w:rPr>
        <w:t>3</w:t>
      </w:r>
      <w:r w:rsidR="00DE03AF" w:rsidRPr="00B04780">
        <w:rPr>
          <w:rFonts w:ascii="Avenir Next Demi Bold" w:hAnsi="Avenir Next Demi Bold" w:cs="Arial"/>
          <w:b/>
          <w:bCs/>
          <w:sz w:val="22"/>
          <w:szCs w:val="22"/>
        </w:rPr>
        <w:t xml:space="preserve"> marks] </w:t>
      </w:r>
    </w:p>
    <w:p w14:paraId="06C65119" w14:textId="77777777" w:rsidR="00C72848" w:rsidRPr="00B2234F" w:rsidRDefault="00C72848" w:rsidP="002A37BB">
      <w:pPr>
        <w:ind w:left="720" w:hanging="720"/>
        <w:jc w:val="both"/>
        <w:rPr>
          <w:rFonts w:ascii="Avenir Next" w:hAnsi="Avenir Next" w:cs="Arial"/>
          <w:sz w:val="22"/>
          <w:szCs w:val="22"/>
        </w:rPr>
      </w:pPr>
    </w:p>
    <w:p w14:paraId="0121D812" w14:textId="3D2C37D8" w:rsidR="009B07AD"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How does a court determine the scope of the stay in relation to a corporate debtor under Australia’s implementation of Article 20 of the Model Law?</w:t>
      </w:r>
    </w:p>
    <w:p w14:paraId="64671BEE" w14:textId="62A757B8" w:rsidR="00B04780" w:rsidRDefault="00B04780" w:rsidP="002476AF">
      <w:pPr>
        <w:jc w:val="both"/>
        <w:rPr>
          <w:rFonts w:ascii="Avenir Next" w:hAnsi="Avenir Next" w:cs="Arial"/>
          <w:sz w:val="22"/>
          <w:szCs w:val="22"/>
          <w:lang w:val="en-GB"/>
        </w:rPr>
      </w:pPr>
    </w:p>
    <w:p w14:paraId="164FAB49" w14:textId="77777777" w:rsidR="002B4441" w:rsidRPr="00395617" w:rsidRDefault="002B4441" w:rsidP="002B4441">
      <w:pPr>
        <w:rPr>
          <w:rFonts w:ascii="Arial" w:hAnsi="Arial" w:cs="Arial"/>
          <w:sz w:val="22"/>
          <w:szCs w:val="22"/>
        </w:rPr>
      </w:pPr>
      <w:r w:rsidRPr="00395617">
        <w:rPr>
          <w:rFonts w:ascii="Arial" w:hAnsi="Arial" w:cs="Arial"/>
          <w:sz w:val="22"/>
          <w:szCs w:val="22"/>
        </w:rPr>
        <w:t>Australia's Cross-Border Insolvency Act 2008 (Cth) (</w:t>
      </w:r>
      <w:r w:rsidRPr="00395617">
        <w:rPr>
          <w:rFonts w:ascii="Arial" w:hAnsi="Arial" w:cs="Arial"/>
          <w:b/>
          <w:bCs/>
          <w:sz w:val="22"/>
          <w:szCs w:val="22"/>
        </w:rPr>
        <w:t>CBIA</w:t>
      </w:r>
      <w:r w:rsidRPr="00395617">
        <w:rPr>
          <w:rFonts w:ascii="Arial" w:hAnsi="Arial" w:cs="Arial"/>
          <w:sz w:val="22"/>
          <w:szCs w:val="22"/>
        </w:rPr>
        <w:t>) adopts the UNCITRAL Model Law on Cross-Border Insolvency (</w:t>
      </w:r>
      <w:r w:rsidRPr="00395617">
        <w:rPr>
          <w:rFonts w:ascii="Arial" w:hAnsi="Arial" w:cs="Arial"/>
          <w:b/>
          <w:bCs/>
          <w:sz w:val="22"/>
          <w:szCs w:val="22"/>
        </w:rPr>
        <w:t>Model Law</w:t>
      </w:r>
      <w:r w:rsidRPr="00395617">
        <w:rPr>
          <w:rFonts w:ascii="Arial" w:hAnsi="Arial" w:cs="Arial"/>
          <w:sz w:val="22"/>
          <w:szCs w:val="22"/>
        </w:rPr>
        <w:t>) as a Schedule.</w:t>
      </w:r>
      <w:r w:rsidRPr="00395617">
        <w:rPr>
          <w:rStyle w:val="FootnoteReference"/>
          <w:rFonts w:ascii="Arial" w:hAnsi="Arial" w:cs="Arial"/>
          <w:sz w:val="22"/>
          <w:szCs w:val="22"/>
        </w:rPr>
        <w:footnoteReference w:id="7"/>
      </w:r>
    </w:p>
    <w:p w14:paraId="096ACF36" w14:textId="77777777" w:rsidR="002B4441" w:rsidRPr="00395617" w:rsidRDefault="002B4441" w:rsidP="002B4441">
      <w:pPr>
        <w:rPr>
          <w:rFonts w:ascii="Arial" w:hAnsi="Arial" w:cs="Arial"/>
          <w:sz w:val="22"/>
          <w:szCs w:val="22"/>
        </w:rPr>
      </w:pPr>
      <w:r w:rsidRPr="00395617">
        <w:rPr>
          <w:rFonts w:ascii="Arial" w:hAnsi="Arial" w:cs="Arial"/>
          <w:sz w:val="22"/>
          <w:szCs w:val="22"/>
        </w:rPr>
        <w:t>In particular, article 20 of the Model Law, which deals with the effects of recognition of a foreign main proceeding,</w:t>
      </w:r>
      <w:r w:rsidRPr="00395617">
        <w:rPr>
          <w:rStyle w:val="FootnoteReference"/>
          <w:rFonts w:ascii="Arial" w:hAnsi="Arial" w:cs="Arial"/>
          <w:sz w:val="22"/>
          <w:szCs w:val="22"/>
        </w:rPr>
        <w:footnoteReference w:id="8"/>
      </w:r>
      <w:r w:rsidRPr="00395617">
        <w:rPr>
          <w:rFonts w:ascii="Arial" w:hAnsi="Arial" w:cs="Arial"/>
          <w:sz w:val="22"/>
          <w:szCs w:val="22"/>
        </w:rPr>
        <w:t xml:space="preserve"> is dealt with in section 16 of CBIA.</w:t>
      </w:r>
      <w:r w:rsidRPr="00395617">
        <w:rPr>
          <w:rStyle w:val="FootnoteReference"/>
          <w:rFonts w:ascii="Arial" w:hAnsi="Arial" w:cs="Arial"/>
          <w:sz w:val="22"/>
          <w:szCs w:val="22"/>
        </w:rPr>
        <w:footnoteReference w:id="9"/>
      </w:r>
    </w:p>
    <w:p w14:paraId="619C0D3A" w14:textId="77777777" w:rsidR="002B4441" w:rsidRPr="00395617" w:rsidRDefault="002B4441" w:rsidP="002B4441">
      <w:pPr>
        <w:rPr>
          <w:rFonts w:ascii="Arial" w:hAnsi="Arial" w:cs="Arial"/>
          <w:sz w:val="22"/>
          <w:szCs w:val="22"/>
        </w:rPr>
      </w:pPr>
      <w:r w:rsidRPr="00395617">
        <w:rPr>
          <w:rFonts w:ascii="Arial" w:hAnsi="Arial" w:cs="Arial"/>
          <w:sz w:val="22"/>
          <w:szCs w:val="22"/>
        </w:rPr>
        <w:t>In particular, section 16 of CBIA specifies the scope of the stay under article 20 as the same that applies as if the stay or suspension arose under either:</w:t>
      </w:r>
      <w:r w:rsidRPr="00395617">
        <w:rPr>
          <w:rStyle w:val="FootnoteReference"/>
          <w:rFonts w:ascii="Arial" w:hAnsi="Arial" w:cs="Arial"/>
          <w:sz w:val="22"/>
          <w:szCs w:val="22"/>
        </w:rPr>
        <w:footnoteReference w:id="10"/>
      </w:r>
    </w:p>
    <w:p w14:paraId="3AB45644" w14:textId="77777777" w:rsidR="002B4441" w:rsidRPr="00395617" w:rsidRDefault="002B4441" w:rsidP="002B4441">
      <w:pPr>
        <w:pStyle w:val="ListParagraph"/>
        <w:numPr>
          <w:ilvl w:val="0"/>
          <w:numId w:val="30"/>
        </w:numPr>
        <w:spacing w:before="120" w:after="120"/>
        <w:contextualSpacing w:val="0"/>
        <w:rPr>
          <w:rFonts w:ascii="Arial" w:hAnsi="Arial" w:cs="Arial"/>
          <w:sz w:val="22"/>
          <w:szCs w:val="22"/>
        </w:rPr>
      </w:pPr>
      <w:r w:rsidRPr="00395617">
        <w:rPr>
          <w:rFonts w:ascii="Arial" w:hAnsi="Arial" w:cs="Arial"/>
          <w:sz w:val="22"/>
          <w:szCs w:val="22"/>
        </w:rPr>
        <w:t>The Bankruptcy Act 1966 (Cth); or</w:t>
      </w:r>
    </w:p>
    <w:p w14:paraId="335E53A2" w14:textId="77777777" w:rsidR="002B4441" w:rsidRPr="00395617" w:rsidRDefault="002B4441" w:rsidP="002B4441">
      <w:pPr>
        <w:pStyle w:val="ListParagraph"/>
        <w:numPr>
          <w:ilvl w:val="0"/>
          <w:numId w:val="30"/>
        </w:numPr>
        <w:spacing w:before="120" w:after="120"/>
        <w:contextualSpacing w:val="0"/>
        <w:rPr>
          <w:rFonts w:ascii="Arial" w:hAnsi="Arial" w:cs="Arial"/>
          <w:sz w:val="22"/>
          <w:szCs w:val="22"/>
        </w:rPr>
      </w:pPr>
      <w:r w:rsidRPr="00395617">
        <w:rPr>
          <w:rFonts w:ascii="Arial" w:hAnsi="Arial" w:cs="Arial"/>
          <w:sz w:val="22"/>
          <w:szCs w:val="22"/>
        </w:rPr>
        <w:t xml:space="preserve">Chapter 5 (other than Parts 5.2 and 5.4A) of the Corporations Act 2001 (Cth), </w:t>
      </w:r>
    </w:p>
    <w:p w14:paraId="44BB3B07" w14:textId="65699A7F" w:rsidR="002B4441" w:rsidRPr="00395617" w:rsidRDefault="002B4441" w:rsidP="002B4441">
      <w:pPr>
        <w:rPr>
          <w:rFonts w:ascii="Arial" w:hAnsi="Arial" w:cs="Arial"/>
          <w:sz w:val="22"/>
          <w:szCs w:val="22"/>
        </w:rPr>
      </w:pPr>
      <w:r w:rsidRPr="00395617">
        <w:rPr>
          <w:rFonts w:ascii="Arial" w:hAnsi="Arial" w:cs="Arial"/>
          <w:sz w:val="22"/>
          <w:szCs w:val="22"/>
        </w:rPr>
        <w:t xml:space="preserve">as the case requires. </w:t>
      </w:r>
    </w:p>
    <w:p w14:paraId="1F58EB95" w14:textId="77777777" w:rsidR="002B4441" w:rsidRPr="00395617" w:rsidRDefault="002B4441" w:rsidP="002B4441">
      <w:pPr>
        <w:rPr>
          <w:rFonts w:ascii="Arial" w:hAnsi="Arial" w:cs="Arial"/>
          <w:sz w:val="22"/>
          <w:szCs w:val="22"/>
        </w:rPr>
      </w:pPr>
    </w:p>
    <w:p w14:paraId="5DD458D4" w14:textId="56795F5A" w:rsidR="002B4441" w:rsidRPr="00395617" w:rsidRDefault="002B4441" w:rsidP="002B4441">
      <w:pPr>
        <w:rPr>
          <w:rFonts w:ascii="Arial" w:hAnsi="Arial" w:cs="Arial"/>
          <w:sz w:val="22"/>
          <w:szCs w:val="22"/>
        </w:rPr>
      </w:pPr>
      <w:r w:rsidRPr="00395617">
        <w:rPr>
          <w:rFonts w:ascii="Arial" w:hAnsi="Arial" w:cs="Arial"/>
          <w:sz w:val="22"/>
          <w:szCs w:val="22"/>
        </w:rPr>
        <w:t>'As the case requires' in this scenario effectively means that when considering a recognition application relating to a corporate debtor, the court must consider whether the case requires the type of stay that would apply in a voluntary administration (which is relatively broad as it affects secured creditors), or the type of stay that would apply in a standard liquidation (which is less broad as it only affects unsecured creditors).</w:t>
      </w:r>
      <w:r w:rsidRPr="00395617">
        <w:rPr>
          <w:rStyle w:val="FootnoteReference"/>
          <w:rFonts w:ascii="Arial" w:hAnsi="Arial" w:cs="Arial"/>
          <w:sz w:val="22"/>
          <w:szCs w:val="22"/>
        </w:rPr>
        <w:footnoteReference w:id="11"/>
      </w:r>
      <w:r w:rsidRPr="00395617">
        <w:rPr>
          <w:rFonts w:ascii="Arial" w:hAnsi="Arial" w:cs="Arial"/>
          <w:sz w:val="22"/>
          <w:szCs w:val="22"/>
        </w:rPr>
        <w:t xml:space="preserve"> </w:t>
      </w:r>
    </w:p>
    <w:p w14:paraId="094BF509" w14:textId="77777777" w:rsidR="002B4441" w:rsidRPr="00395617" w:rsidRDefault="002B4441" w:rsidP="002B4441">
      <w:pPr>
        <w:rPr>
          <w:rFonts w:ascii="Arial" w:hAnsi="Arial" w:cs="Arial"/>
          <w:sz w:val="22"/>
          <w:szCs w:val="22"/>
        </w:rPr>
      </w:pPr>
    </w:p>
    <w:p w14:paraId="36609C53" w14:textId="315266C1" w:rsidR="002B4441" w:rsidRPr="00395617" w:rsidRDefault="002B4441" w:rsidP="002B4441">
      <w:pPr>
        <w:rPr>
          <w:rFonts w:ascii="Arial" w:hAnsi="Arial" w:cs="Arial"/>
          <w:sz w:val="22"/>
          <w:szCs w:val="22"/>
        </w:rPr>
      </w:pPr>
      <w:r w:rsidRPr="00395617">
        <w:rPr>
          <w:rFonts w:ascii="Arial" w:hAnsi="Arial" w:cs="Arial"/>
          <w:sz w:val="22"/>
          <w:szCs w:val="22"/>
        </w:rPr>
        <w:t>Previous case law has found that this consideration is not a matter of the court's discretion, but rather a consideration of which stay ought to apply in light of the nature of the proceeding.</w:t>
      </w:r>
      <w:r w:rsidRPr="00395617">
        <w:rPr>
          <w:rStyle w:val="FootnoteReference"/>
          <w:rFonts w:ascii="Arial" w:hAnsi="Arial" w:cs="Arial"/>
          <w:sz w:val="22"/>
          <w:szCs w:val="22"/>
        </w:rPr>
        <w:footnoteReference w:id="12"/>
      </w:r>
      <w:r w:rsidRPr="00395617">
        <w:rPr>
          <w:rFonts w:ascii="Arial" w:hAnsi="Arial" w:cs="Arial"/>
          <w:sz w:val="22"/>
          <w:szCs w:val="22"/>
        </w:rPr>
        <w:t xml:space="preserve"> The matter was also considered in the </w:t>
      </w:r>
      <w:r w:rsidRPr="00395617">
        <w:rPr>
          <w:rFonts w:ascii="Arial" w:hAnsi="Arial" w:cs="Arial"/>
          <w:i/>
          <w:iCs/>
          <w:sz w:val="22"/>
          <w:szCs w:val="22"/>
        </w:rPr>
        <w:t xml:space="preserve">Rizzo-Bottiglieri-de Carlini Armatori </w:t>
      </w:r>
      <w:r w:rsidRPr="00395617">
        <w:rPr>
          <w:rFonts w:ascii="Arial" w:hAnsi="Arial" w:cs="Arial"/>
          <w:sz w:val="22"/>
          <w:szCs w:val="22"/>
        </w:rPr>
        <w:t xml:space="preserve">decisions, in which the court held that the Italian </w:t>
      </w:r>
      <w:r w:rsidRPr="00395617">
        <w:rPr>
          <w:rFonts w:ascii="Arial" w:hAnsi="Arial" w:cs="Arial"/>
          <w:i/>
          <w:iCs/>
          <w:sz w:val="22"/>
          <w:szCs w:val="22"/>
        </w:rPr>
        <w:t xml:space="preserve">fallimento </w:t>
      </w:r>
      <w:r w:rsidRPr="00395617">
        <w:rPr>
          <w:rFonts w:ascii="Arial" w:hAnsi="Arial" w:cs="Arial"/>
          <w:sz w:val="22"/>
          <w:szCs w:val="22"/>
        </w:rPr>
        <w:t>proceeding was analogous to a liquidation, and therefore the liquidation moratorium ought to apply.</w:t>
      </w:r>
      <w:r w:rsidRPr="00395617">
        <w:rPr>
          <w:rStyle w:val="FootnoteReference"/>
          <w:rFonts w:ascii="Arial" w:hAnsi="Arial" w:cs="Arial"/>
          <w:sz w:val="22"/>
          <w:szCs w:val="22"/>
        </w:rPr>
        <w:footnoteReference w:id="13"/>
      </w:r>
      <w:r w:rsidRPr="00395617">
        <w:rPr>
          <w:rFonts w:ascii="Arial" w:hAnsi="Arial" w:cs="Arial"/>
          <w:sz w:val="22"/>
          <w:szCs w:val="22"/>
        </w:rPr>
        <w:t xml:space="preserve"> </w:t>
      </w:r>
    </w:p>
    <w:p w14:paraId="413CD9B9" w14:textId="77777777" w:rsidR="002B4441" w:rsidRPr="00395617" w:rsidRDefault="002B4441" w:rsidP="002B4441">
      <w:pPr>
        <w:rPr>
          <w:rFonts w:ascii="Arial" w:hAnsi="Arial" w:cs="Arial"/>
          <w:sz w:val="22"/>
          <w:szCs w:val="22"/>
        </w:rPr>
      </w:pPr>
    </w:p>
    <w:p w14:paraId="3359F7CA" w14:textId="77777777" w:rsidR="002B4441" w:rsidRPr="00395617" w:rsidRDefault="002B4441" w:rsidP="002B4441">
      <w:pPr>
        <w:rPr>
          <w:rFonts w:ascii="Arial" w:hAnsi="Arial" w:cs="Arial"/>
          <w:sz w:val="22"/>
          <w:szCs w:val="22"/>
        </w:rPr>
      </w:pPr>
      <w:r w:rsidRPr="00395617">
        <w:rPr>
          <w:rFonts w:ascii="Arial" w:hAnsi="Arial" w:cs="Arial"/>
          <w:sz w:val="22"/>
          <w:szCs w:val="22"/>
        </w:rPr>
        <w:t>In general, the broader voluntary administration stay will be more suitable where the foreign proceeding is a business rescue procedure, while the liquidation stay will be more appropriate for foreign proceedings that are similar to liquidations.</w:t>
      </w:r>
      <w:r w:rsidRPr="00395617">
        <w:rPr>
          <w:rStyle w:val="FootnoteReference"/>
          <w:rFonts w:ascii="Arial" w:hAnsi="Arial" w:cs="Arial"/>
          <w:sz w:val="22"/>
          <w:szCs w:val="22"/>
        </w:rPr>
        <w:footnoteReference w:id="14"/>
      </w:r>
    </w:p>
    <w:p w14:paraId="0A6ACF8F" w14:textId="152C8198" w:rsidR="00007BF3" w:rsidRPr="00B2234F" w:rsidRDefault="00007BF3" w:rsidP="002A37BB">
      <w:pPr>
        <w:ind w:left="720" w:hanging="720"/>
        <w:jc w:val="both"/>
        <w:rPr>
          <w:rFonts w:ascii="Avenir Next" w:hAnsi="Avenir Next" w:cs="Arial"/>
          <w:sz w:val="22"/>
          <w:szCs w:val="22"/>
        </w:rPr>
      </w:pPr>
    </w:p>
    <w:p w14:paraId="2AFF9470" w14:textId="1A704438" w:rsidR="00C72848" w:rsidRPr="00B04780" w:rsidRDefault="00C72848" w:rsidP="002A37BB">
      <w:pPr>
        <w:ind w:left="720" w:hanging="720"/>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w:t>
      </w:r>
      <w:r w:rsidR="00E6452F" w:rsidRPr="00B04780">
        <w:rPr>
          <w:rFonts w:ascii="Avenir Next Demi Bold" w:hAnsi="Avenir Next Demi Bold" w:cs="Arial"/>
          <w:b/>
          <w:bCs/>
          <w:sz w:val="22"/>
          <w:szCs w:val="22"/>
          <w:lang w:val="en-GB"/>
        </w:rPr>
        <w:t>2.3</w:t>
      </w:r>
      <w:r w:rsidR="00E6452F" w:rsidRPr="00B04780">
        <w:rPr>
          <w:rFonts w:ascii="Avenir Next Demi Bold" w:hAnsi="Avenir Next Demi Bold" w:cs="Arial"/>
          <w:b/>
          <w:bCs/>
          <w:sz w:val="22"/>
          <w:szCs w:val="22"/>
          <w:lang w:val="en-GB"/>
        </w:rPr>
        <w:tab/>
        <w:t>[</w:t>
      </w:r>
      <w:r w:rsidR="00D17FDC" w:rsidRPr="00B04780">
        <w:rPr>
          <w:rFonts w:ascii="Avenir Next Demi Bold" w:hAnsi="Avenir Next Demi Bold" w:cs="Arial"/>
          <w:b/>
          <w:bCs/>
          <w:sz w:val="22"/>
          <w:szCs w:val="22"/>
          <w:lang w:val="en-GB"/>
        </w:rPr>
        <w:t>m</w:t>
      </w:r>
      <w:r w:rsidR="00E6452F" w:rsidRPr="00B04780">
        <w:rPr>
          <w:rFonts w:ascii="Avenir Next Demi Bold" w:hAnsi="Avenir Next Demi Bold" w:cs="Arial"/>
          <w:b/>
          <w:bCs/>
          <w:sz w:val="22"/>
          <w:szCs w:val="22"/>
          <w:lang w:val="en-GB"/>
        </w:rPr>
        <w:t xml:space="preserve">aximum </w:t>
      </w:r>
      <w:r w:rsidR="00823B29" w:rsidRPr="00B04780">
        <w:rPr>
          <w:rFonts w:ascii="Avenir Next Demi Bold" w:hAnsi="Avenir Next Demi Bold" w:cs="Arial"/>
          <w:b/>
          <w:bCs/>
          <w:sz w:val="22"/>
          <w:szCs w:val="22"/>
          <w:lang w:val="en-GB"/>
        </w:rPr>
        <w:t xml:space="preserve">4 </w:t>
      </w:r>
      <w:r w:rsidR="00E6452F" w:rsidRPr="00B04780">
        <w:rPr>
          <w:rFonts w:ascii="Avenir Next Demi Bold" w:hAnsi="Avenir Next Demi Bold" w:cs="Arial"/>
          <w:b/>
          <w:bCs/>
          <w:sz w:val="22"/>
          <w:szCs w:val="22"/>
          <w:lang w:val="en-GB"/>
        </w:rPr>
        <w:t>marks]</w:t>
      </w:r>
    </w:p>
    <w:p w14:paraId="29EE4AF4" w14:textId="77777777" w:rsidR="002476AF" w:rsidRPr="00B2234F" w:rsidRDefault="002476AF" w:rsidP="002476AF">
      <w:pPr>
        <w:rPr>
          <w:rFonts w:ascii="Avenir Next" w:hAnsi="Avenir Next" w:cs="Arial"/>
          <w:sz w:val="22"/>
          <w:szCs w:val="22"/>
          <w:lang w:val="en-GB"/>
        </w:rPr>
      </w:pPr>
    </w:p>
    <w:p w14:paraId="35BE4A4F" w14:textId="51AC5BC8" w:rsidR="00962045" w:rsidRDefault="00BA5FCB"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What are the differences between </w:t>
      </w:r>
      <w:r w:rsidR="00823B29" w:rsidRPr="00B2234F">
        <w:rPr>
          <w:rFonts w:ascii="Avenir Next" w:hAnsi="Avenir Next" w:cs="Arial"/>
          <w:sz w:val="22"/>
          <w:szCs w:val="22"/>
          <w:lang w:val="en-GB"/>
        </w:rPr>
        <w:t>liquidations</w:t>
      </w:r>
      <w:r w:rsidRPr="00B2234F">
        <w:rPr>
          <w:rFonts w:ascii="Avenir Next" w:hAnsi="Avenir Next" w:cs="Arial"/>
          <w:sz w:val="22"/>
          <w:szCs w:val="22"/>
          <w:lang w:val="en-GB"/>
        </w:rPr>
        <w:t xml:space="preserve"> and small company liquidations</w:t>
      </w:r>
      <w:r w:rsidR="002476AF" w:rsidRPr="00B2234F">
        <w:rPr>
          <w:rFonts w:ascii="Avenir Next" w:hAnsi="Avenir Next" w:cs="Arial"/>
          <w:sz w:val="22"/>
          <w:szCs w:val="22"/>
          <w:lang w:val="en-GB"/>
        </w:rPr>
        <w:t>?</w:t>
      </w:r>
    </w:p>
    <w:p w14:paraId="5C49DEF2" w14:textId="18FADB35" w:rsidR="008420F8" w:rsidRDefault="008420F8" w:rsidP="002476AF">
      <w:pPr>
        <w:jc w:val="both"/>
        <w:rPr>
          <w:rFonts w:ascii="Avenir Next" w:hAnsi="Avenir Next" w:cs="Arial"/>
          <w:sz w:val="22"/>
          <w:szCs w:val="22"/>
          <w:lang w:val="en-GB"/>
        </w:rPr>
      </w:pPr>
    </w:p>
    <w:p w14:paraId="395B912E" w14:textId="73A9D235" w:rsidR="002B4441" w:rsidRPr="00395617" w:rsidRDefault="002B4441" w:rsidP="002B4441">
      <w:pPr>
        <w:rPr>
          <w:rFonts w:ascii="Arial" w:hAnsi="Arial" w:cs="Arial"/>
          <w:sz w:val="22"/>
          <w:szCs w:val="22"/>
        </w:rPr>
      </w:pPr>
      <w:r w:rsidRPr="00395617">
        <w:rPr>
          <w:rFonts w:ascii="Arial" w:hAnsi="Arial" w:cs="Arial"/>
          <w:sz w:val="22"/>
          <w:szCs w:val="22"/>
        </w:rPr>
        <w:t xml:space="preserve">The different types of corporate liquidation procedures available in Australia (members' voluntary liquidation, creditors' voluntary liquidation and compulsory liquidation) are long-established features under the Corporations Act 2001 (Cth) (the </w:t>
      </w:r>
      <w:r w:rsidRPr="00395617">
        <w:rPr>
          <w:rFonts w:ascii="Arial" w:hAnsi="Arial" w:cs="Arial"/>
          <w:b/>
          <w:bCs/>
          <w:sz w:val="22"/>
          <w:szCs w:val="22"/>
        </w:rPr>
        <w:t>Act</w:t>
      </w:r>
      <w:r w:rsidRPr="00395617">
        <w:rPr>
          <w:rFonts w:ascii="Arial" w:hAnsi="Arial" w:cs="Arial"/>
          <w:sz w:val="22"/>
          <w:szCs w:val="22"/>
        </w:rPr>
        <w:t xml:space="preserve">). </w:t>
      </w:r>
    </w:p>
    <w:p w14:paraId="54F2243A" w14:textId="77777777" w:rsidR="002B4441" w:rsidRPr="00395617" w:rsidRDefault="002B4441" w:rsidP="002B4441">
      <w:pPr>
        <w:rPr>
          <w:rFonts w:ascii="Arial" w:hAnsi="Arial" w:cs="Arial"/>
          <w:sz w:val="22"/>
          <w:szCs w:val="22"/>
        </w:rPr>
      </w:pPr>
    </w:p>
    <w:p w14:paraId="08DD5DFE" w14:textId="77777777" w:rsidR="002B4441" w:rsidRPr="00395617" w:rsidRDefault="002B4441" w:rsidP="002B4441">
      <w:pPr>
        <w:rPr>
          <w:rFonts w:ascii="Arial" w:hAnsi="Arial" w:cs="Arial"/>
          <w:sz w:val="22"/>
          <w:szCs w:val="22"/>
        </w:rPr>
      </w:pPr>
      <w:r w:rsidRPr="00395617">
        <w:rPr>
          <w:rFonts w:ascii="Arial" w:hAnsi="Arial" w:cs="Arial"/>
          <w:sz w:val="22"/>
          <w:szCs w:val="22"/>
        </w:rPr>
        <w:t>In late 2020, Australia introduced an alternative to the 'normal' creditors' voluntary liquidation for smaller companies, with the intention of making the process less complex, less costly and quicker in order to allow for a greater return for both creditors and employees.</w:t>
      </w:r>
      <w:r w:rsidRPr="00395617">
        <w:rPr>
          <w:rStyle w:val="FootnoteReference"/>
          <w:rFonts w:ascii="Arial" w:hAnsi="Arial" w:cs="Arial"/>
          <w:sz w:val="22"/>
          <w:szCs w:val="22"/>
        </w:rPr>
        <w:footnoteReference w:id="15"/>
      </w:r>
      <w:r w:rsidRPr="00395617">
        <w:rPr>
          <w:rFonts w:ascii="Arial" w:hAnsi="Arial" w:cs="Arial"/>
          <w:sz w:val="22"/>
          <w:szCs w:val="22"/>
        </w:rPr>
        <w:t xml:space="preserve"> The simplified version is applicable from 1 January 2021, and is available only where:</w:t>
      </w:r>
    </w:p>
    <w:p w14:paraId="2F6B894E" w14:textId="77777777" w:rsidR="002B4441" w:rsidRPr="00395617" w:rsidRDefault="002B4441" w:rsidP="002B4441">
      <w:pPr>
        <w:pStyle w:val="ListParagraph"/>
        <w:numPr>
          <w:ilvl w:val="0"/>
          <w:numId w:val="31"/>
        </w:numPr>
        <w:spacing w:before="120" w:after="120"/>
        <w:contextualSpacing w:val="0"/>
        <w:rPr>
          <w:rFonts w:ascii="Arial" w:hAnsi="Arial" w:cs="Arial"/>
          <w:sz w:val="22"/>
          <w:szCs w:val="22"/>
        </w:rPr>
      </w:pPr>
      <w:r w:rsidRPr="00395617">
        <w:rPr>
          <w:rFonts w:ascii="Arial" w:hAnsi="Arial" w:cs="Arial"/>
          <w:sz w:val="22"/>
          <w:szCs w:val="22"/>
        </w:rPr>
        <w:t>The business's total liabilities do not exceed AUD 1 million;</w:t>
      </w:r>
      <w:r w:rsidRPr="00395617">
        <w:rPr>
          <w:rStyle w:val="FootnoteReference"/>
          <w:rFonts w:ascii="Arial" w:hAnsi="Arial" w:cs="Arial"/>
          <w:sz w:val="22"/>
          <w:szCs w:val="22"/>
        </w:rPr>
        <w:footnoteReference w:id="16"/>
      </w:r>
      <w:r w:rsidRPr="00395617">
        <w:rPr>
          <w:rFonts w:ascii="Arial" w:hAnsi="Arial" w:cs="Arial"/>
          <w:sz w:val="22"/>
          <w:szCs w:val="22"/>
        </w:rPr>
        <w:t xml:space="preserve"> and</w:t>
      </w:r>
    </w:p>
    <w:p w14:paraId="4B7F395F" w14:textId="77777777" w:rsidR="002B4441" w:rsidRPr="00395617" w:rsidRDefault="002B4441" w:rsidP="002B4441">
      <w:pPr>
        <w:pStyle w:val="ListParagraph"/>
        <w:numPr>
          <w:ilvl w:val="0"/>
          <w:numId w:val="31"/>
        </w:numPr>
        <w:spacing w:before="120" w:after="120"/>
        <w:contextualSpacing w:val="0"/>
        <w:rPr>
          <w:rFonts w:ascii="Arial" w:hAnsi="Arial" w:cs="Arial"/>
          <w:sz w:val="22"/>
          <w:szCs w:val="22"/>
        </w:rPr>
      </w:pPr>
      <w:r w:rsidRPr="00395617">
        <w:rPr>
          <w:rFonts w:ascii="Arial" w:hAnsi="Arial" w:cs="Arial"/>
          <w:sz w:val="22"/>
          <w:szCs w:val="22"/>
        </w:rPr>
        <w:t>No current director of the company (as well as no former director in the last 12 months) has been a director of a company which has undergone restructuring or been subject to a simplified liquidation process within the last seven years.</w:t>
      </w:r>
      <w:r w:rsidRPr="00395617">
        <w:rPr>
          <w:rStyle w:val="FootnoteReference"/>
          <w:rFonts w:ascii="Arial" w:hAnsi="Arial" w:cs="Arial"/>
          <w:sz w:val="22"/>
          <w:szCs w:val="22"/>
        </w:rPr>
        <w:footnoteReference w:id="17"/>
      </w:r>
    </w:p>
    <w:p w14:paraId="6AC8C8A7" w14:textId="77777777" w:rsidR="002B4441" w:rsidRPr="00395617" w:rsidRDefault="002B4441" w:rsidP="002B4441">
      <w:pPr>
        <w:rPr>
          <w:rFonts w:ascii="Arial" w:hAnsi="Arial" w:cs="Arial"/>
          <w:sz w:val="22"/>
          <w:szCs w:val="22"/>
        </w:rPr>
      </w:pPr>
      <w:r w:rsidRPr="00395617">
        <w:rPr>
          <w:rFonts w:ascii="Arial" w:hAnsi="Arial" w:cs="Arial"/>
          <w:sz w:val="22"/>
          <w:szCs w:val="22"/>
        </w:rPr>
        <w:t>In addition, a liquidator must not adopt the simplified liquidation process:</w:t>
      </w:r>
    </w:p>
    <w:p w14:paraId="33C69206" w14:textId="77777777" w:rsidR="002B4441" w:rsidRPr="00395617" w:rsidRDefault="002B4441" w:rsidP="002B4441">
      <w:pPr>
        <w:pStyle w:val="ListParagraph"/>
        <w:numPr>
          <w:ilvl w:val="0"/>
          <w:numId w:val="32"/>
        </w:numPr>
        <w:spacing w:before="120" w:after="120"/>
        <w:contextualSpacing w:val="0"/>
        <w:rPr>
          <w:rFonts w:ascii="Arial" w:hAnsi="Arial" w:cs="Arial"/>
          <w:sz w:val="22"/>
          <w:szCs w:val="22"/>
        </w:rPr>
      </w:pPr>
      <w:r w:rsidRPr="00395617">
        <w:rPr>
          <w:rFonts w:ascii="Arial" w:hAnsi="Arial" w:cs="Arial"/>
          <w:sz w:val="22"/>
          <w:szCs w:val="22"/>
        </w:rPr>
        <w:t>Unless he or she believes on reasonable grounds that the company meets the above eligibility criteria;</w:t>
      </w:r>
      <w:r w:rsidRPr="00395617">
        <w:rPr>
          <w:rStyle w:val="FootnoteReference"/>
          <w:rFonts w:ascii="Arial" w:hAnsi="Arial" w:cs="Arial"/>
          <w:sz w:val="22"/>
          <w:szCs w:val="22"/>
        </w:rPr>
        <w:footnoteReference w:id="18"/>
      </w:r>
      <w:r w:rsidRPr="00395617">
        <w:rPr>
          <w:rFonts w:ascii="Arial" w:hAnsi="Arial" w:cs="Arial"/>
          <w:sz w:val="22"/>
          <w:szCs w:val="22"/>
        </w:rPr>
        <w:t xml:space="preserve"> or</w:t>
      </w:r>
    </w:p>
    <w:p w14:paraId="63DCC49F" w14:textId="77777777" w:rsidR="002B4441" w:rsidRPr="00395617" w:rsidRDefault="002B4441" w:rsidP="002B4441">
      <w:pPr>
        <w:pStyle w:val="ListParagraph"/>
        <w:numPr>
          <w:ilvl w:val="0"/>
          <w:numId w:val="32"/>
        </w:numPr>
        <w:spacing w:before="120" w:after="120"/>
        <w:contextualSpacing w:val="0"/>
        <w:rPr>
          <w:rFonts w:ascii="Arial" w:hAnsi="Arial" w:cs="Arial"/>
          <w:sz w:val="22"/>
          <w:szCs w:val="22"/>
        </w:rPr>
      </w:pPr>
      <w:r w:rsidRPr="00395617">
        <w:rPr>
          <w:rFonts w:ascii="Arial" w:hAnsi="Arial" w:cs="Arial"/>
          <w:sz w:val="22"/>
          <w:szCs w:val="22"/>
        </w:rPr>
        <w:t>If at least 25% of the value of the creditors have requested that the liquidator do not adopt the simplified liquidation process.</w:t>
      </w:r>
      <w:r w:rsidRPr="00395617">
        <w:rPr>
          <w:rStyle w:val="FootnoteReference"/>
          <w:rFonts w:ascii="Arial" w:hAnsi="Arial" w:cs="Arial"/>
          <w:sz w:val="22"/>
          <w:szCs w:val="22"/>
        </w:rPr>
        <w:footnoteReference w:id="19"/>
      </w:r>
    </w:p>
    <w:p w14:paraId="276FFCCD" w14:textId="77777777" w:rsidR="002B4441" w:rsidRPr="00395617" w:rsidRDefault="002B4441" w:rsidP="002B4441">
      <w:pPr>
        <w:rPr>
          <w:rFonts w:ascii="Arial" w:hAnsi="Arial" w:cs="Arial"/>
          <w:sz w:val="22"/>
          <w:szCs w:val="22"/>
        </w:rPr>
      </w:pPr>
      <w:r w:rsidRPr="00395617">
        <w:rPr>
          <w:rFonts w:ascii="Arial" w:hAnsi="Arial" w:cs="Arial"/>
          <w:sz w:val="22"/>
          <w:szCs w:val="22"/>
        </w:rPr>
        <w:t>By contrast, a normal creditors' voluntary liquidation process can be used so long as:</w:t>
      </w:r>
      <w:r w:rsidRPr="00395617">
        <w:rPr>
          <w:rStyle w:val="FootnoteReference"/>
          <w:rFonts w:ascii="Arial" w:hAnsi="Arial" w:cs="Arial"/>
          <w:sz w:val="22"/>
          <w:szCs w:val="22"/>
        </w:rPr>
        <w:footnoteReference w:id="20"/>
      </w:r>
    </w:p>
    <w:p w14:paraId="0E4213AD" w14:textId="77777777" w:rsidR="002B4441" w:rsidRPr="00395617" w:rsidRDefault="002B4441" w:rsidP="002B4441">
      <w:pPr>
        <w:pStyle w:val="ListParagraph"/>
        <w:numPr>
          <w:ilvl w:val="0"/>
          <w:numId w:val="33"/>
        </w:numPr>
        <w:spacing w:before="120" w:after="120"/>
        <w:contextualSpacing w:val="0"/>
        <w:rPr>
          <w:rFonts w:ascii="Arial" w:hAnsi="Arial" w:cs="Arial"/>
          <w:sz w:val="22"/>
          <w:szCs w:val="22"/>
        </w:rPr>
      </w:pPr>
      <w:r w:rsidRPr="00395617">
        <w:rPr>
          <w:rFonts w:ascii="Arial" w:hAnsi="Arial" w:cs="Arial"/>
          <w:sz w:val="22"/>
          <w:szCs w:val="22"/>
        </w:rPr>
        <w:t>A liquidator is appointed by special resolution of shareholders if the directors believe the company is insolvent; or</w:t>
      </w:r>
    </w:p>
    <w:p w14:paraId="17F9871A" w14:textId="77777777" w:rsidR="002B4441" w:rsidRPr="00395617" w:rsidRDefault="002B4441" w:rsidP="002B4441">
      <w:pPr>
        <w:pStyle w:val="ListParagraph"/>
        <w:numPr>
          <w:ilvl w:val="0"/>
          <w:numId w:val="33"/>
        </w:numPr>
        <w:spacing w:before="120" w:after="120"/>
        <w:contextualSpacing w:val="0"/>
        <w:rPr>
          <w:rFonts w:ascii="Arial" w:hAnsi="Arial" w:cs="Arial"/>
          <w:sz w:val="22"/>
          <w:szCs w:val="22"/>
        </w:rPr>
      </w:pPr>
      <w:r w:rsidRPr="00395617">
        <w:rPr>
          <w:rFonts w:ascii="Arial" w:hAnsi="Arial" w:cs="Arial"/>
          <w:sz w:val="22"/>
          <w:szCs w:val="22"/>
        </w:rPr>
        <w:t xml:space="preserve">If the creditors resolve to appoint a liquidator at the second meeting of creditors held during voluntary administration. </w:t>
      </w:r>
    </w:p>
    <w:p w14:paraId="5AC0AD36" w14:textId="77777777" w:rsidR="002B4441" w:rsidRPr="00395617" w:rsidRDefault="002B4441" w:rsidP="002B4441">
      <w:pPr>
        <w:rPr>
          <w:rFonts w:ascii="Arial" w:hAnsi="Arial" w:cs="Arial"/>
          <w:sz w:val="22"/>
          <w:szCs w:val="22"/>
        </w:rPr>
      </w:pPr>
      <w:r w:rsidRPr="00395617">
        <w:rPr>
          <w:rFonts w:ascii="Arial" w:hAnsi="Arial" w:cs="Arial"/>
          <w:sz w:val="22"/>
          <w:szCs w:val="22"/>
        </w:rPr>
        <w:t>With respect to the differences in process, the simplified liquidation process applies most of the features of a regular liquidation.</w:t>
      </w:r>
      <w:r w:rsidRPr="00395617">
        <w:rPr>
          <w:rStyle w:val="FootnoteReference"/>
          <w:rFonts w:ascii="Arial" w:hAnsi="Arial" w:cs="Arial"/>
          <w:sz w:val="22"/>
          <w:szCs w:val="22"/>
        </w:rPr>
        <w:footnoteReference w:id="21"/>
      </w:r>
      <w:r w:rsidRPr="00395617">
        <w:rPr>
          <w:rFonts w:ascii="Arial" w:hAnsi="Arial" w:cs="Arial"/>
          <w:sz w:val="22"/>
          <w:szCs w:val="22"/>
        </w:rPr>
        <w:t xml:space="preserve"> However, the following key differences exist:</w:t>
      </w:r>
      <w:r w:rsidRPr="00395617">
        <w:rPr>
          <w:rStyle w:val="FootnoteReference"/>
          <w:rFonts w:ascii="Arial" w:hAnsi="Arial" w:cs="Arial"/>
          <w:sz w:val="22"/>
          <w:szCs w:val="22"/>
        </w:rPr>
        <w:footnoteReference w:id="22"/>
      </w:r>
    </w:p>
    <w:p w14:paraId="2CC1D65F" w14:textId="77777777" w:rsidR="002B4441" w:rsidRPr="00395617" w:rsidRDefault="002B4441" w:rsidP="002B4441">
      <w:pPr>
        <w:pStyle w:val="ListParagraph"/>
        <w:numPr>
          <w:ilvl w:val="0"/>
          <w:numId w:val="34"/>
        </w:numPr>
        <w:spacing w:before="120" w:after="120"/>
        <w:contextualSpacing w:val="0"/>
        <w:rPr>
          <w:rFonts w:ascii="Arial" w:hAnsi="Arial" w:cs="Arial"/>
          <w:sz w:val="22"/>
          <w:szCs w:val="22"/>
        </w:rPr>
      </w:pPr>
      <w:r w:rsidRPr="00395617">
        <w:rPr>
          <w:rFonts w:ascii="Arial" w:hAnsi="Arial" w:cs="Arial"/>
          <w:sz w:val="22"/>
          <w:szCs w:val="22"/>
        </w:rPr>
        <w:t>The ability to clawback voidable transactions will only apply to unfair preferences over AUD 30,000 which were paid to related parties of the company in the three months prior to the commencement of liquidation;</w:t>
      </w:r>
    </w:p>
    <w:p w14:paraId="2349C79D" w14:textId="77777777" w:rsidR="002B4441" w:rsidRPr="00395617" w:rsidRDefault="002B4441" w:rsidP="002B4441">
      <w:pPr>
        <w:pStyle w:val="ListParagraph"/>
        <w:numPr>
          <w:ilvl w:val="0"/>
          <w:numId w:val="34"/>
        </w:numPr>
        <w:spacing w:before="120" w:after="120"/>
        <w:contextualSpacing w:val="0"/>
        <w:rPr>
          <w:rFonts w:ascii="Arial" w:hAnsi="Arial" w:cs="Arial"/>
          <w:sz w:val="22"/>
          <w:szCs w:val="22"/>
        </w:rPr>
      </w:pPr>
      <w:r w:rsidRPr="00395617">
        <w:rPr>
          <w:rFonts w:ascii="Arial" w:hAnsi="Arial" w:cs="Arial"/>
          <w:sz w:val="22"/>
          <w:szCs w:val="22"/>
        </w:rPr>
        <w:t>Reporting to ASIC on potential misconduct is only required of liquidators where there are reasonable grounds to believe that misconduct has occurred. This eliminates the significant time and costs otherwise incurred in having to investigate all conduct prior to reporting to ASIC;</w:t>
      </w:r>
    </w:p>
    <w:p w14:paraId="607BA85A" w14:textId="77777777" w:rsidR="002B4441" w:rsidRPr="00395617" w:rsidRDefault="002B4441" w:rsidP="002B4441">
      <w:pPr>
        <w:pStyle w:val="ListParagraph"/>
        <w:numPr>
          <w:ilvl w:val="0"/>
          <w:numId w:val="34"/>
        </w:numPr>
        <w:spacing w:before="120" w:after="120"/>
        <w:contextualSpacing w:val="0"/>
        <w:rPr>
          <w:rFonts w:ascii="Arial" w:hAnsi="Arial" w:cs="Arial"/>
          <w:sz w:val="22"/>
          <w:szCs w:val="22"/>
        </w:rPr>
      </w:pPr>
      <w:r w:rsidRPr="00395617">
        <w:rPr>
          <w:rFonts w:ascii="Arial" w:hAnsi="Arial" w:cs="Arial"/>
          <w:sz w:val="22"/>
          <w:szCs w:val="22"/>
        </w:rPr>
        <w:t>There is no requirement to hold creditor meetings;</w:t>
      </w:r>
    </w:p>
    <w:p w14:paraId="02F66821" w14:textId="77777777" w:rsidR="002B4441" w:rsidRPr="00395617" w:rsidRDefault="002B4441" w:rsidP="002B4441">
      <w:pPr>
        <w:pStyle w:val="ListParagraph"/>
        <w:numPr>
          <w:ilvl w:val="0"/>
          <w:numId w:val="34"/>
        </w:numPr>
        <w:spacing w:before="120" w:after="120"/>
        <w:contextualSpacing w:val="0"/>
        <w:rPr>
          <w:rFonts w:ascii="Arial" w:hAnsi="Arial" w:cs="Arial"/>
          <w:sz w:val="22"/>
          <w:szCs w:val="22"/>
        </w:rPr>
      </w:pPr>
      <w:r w:rsidRPr="00395617">
        <w:rPr>
          <w:rFonts w:ascii="Arial" w:hAnsi="Arial" w:cs="Arial"/>
          <w:sz w:val="22"/>
          <w:szCs w:val="22"/>
        </w:rPr>
        <w:t>Committees of inspection are removed;</w:t>
      </w:r>
    </w:p>
    <w:p w14:paraId="42056EE3" w14:textId="77777777" w:rsidR="002B4441" w:rsidRPr="00395617" w:rsidRDefault="002B4441" w:rsidP="002B4441">
      <w:pPr>
        <w:pStyle w:val="ListParagraph"/>
        <w:numPr>
          <w:ilvl w:val="0"/>
          <w:numId w:val="34"/>
        </w:numPr>
        <w:spacing w:before="120" w:after="120"/>
        <w:contextualSpacing w:val="0"/>
        <w:rPr>
          <w:rFonts w:ascii="Arial" w:hAnsi="Arial" w:cs="Arial"/>
          <w:sz w:val="22"/>
          <w:szCs w:val="22"/>
        </w:rPr>
      </w:pPr>
      <w:r w:rsidRPr="00395617">
        <w:rPr>
          <w:rFonts w:ascii="Arial" w:hAnsi="Arial" w:cs="Arial"/>
          <w:sz w:val="22"/>
          <w:szCs w:val="22"/>
        </w:rPr>
        <w:lastRenderedPageBreak/>
        <w:t>The proof of debt and dividend processes are simplified; and</w:t>
      </w:r>
    </w:p>
    <w:p w14:paraId="657BDD72" w14:textId="77777777" w:rsidR="002B4441" w:rsidRPr="00395617" w:rsidRDefault="002B4441" w:rsidP="002B4441">
      <w:pPr>
        <w:pStyle w:val="ListParagraph"/>
        <w:numPr>
          <w:ilvl w:val="0"/>
          <w:numId w:val="34"/>
        </w:numPr>
        <w:spacing w:before="120" w:after="120"/>
        <w:contextualSpacing w:val="0"/>
        <w:rPr>
          <w:rFonts w:ascii="Arial" w:hAnsi="Arial" w:cs="Arial"/>
          <w:sz w:val="22"/>
          <w:szCs w:val="22"/>
        </w:rPr>
      </w:pPr>
      <w:r w:rsidRPr="00395617">
        <w:rPr>
          <w:rFonts w:ascii="Arial" w:hAnsi="Arial" w:cs="Arial"/>
          <w:sz w:val="22"/>
          <w:szCs w:val="22"/>
        </w:rPr>
        <w:t xml:space="preserve">There are provisions for electronic communications and voting. </w:t>
      </w:r>
    </w:p>
    <w:p w14:paraId="5BEB4D3B" w14:textId="77777777" w:rsidR="002B4441" w:rsidRPr="00395617" w:rsidRDefault="002B4441" w:rsidP="002B4441">
      <w:pPr>
        <w:rPr>
          <w:rFonts w:ascii="Arial" w:hAnsi="Arial" w:cs="Arial"/>
          <w:sz w:val="22"/>
          <w:szCs w:val="22"/>
        </w:rPr>
      </w:pPr>
      <w:r w:rsidRPr="00395617">
        <w:rPr>
          <w:rFonts w:ascii="Arial" w:hAnsi="Arial" w:cs="Arial"/>
          <w:sz w:val="22"/>
          <w:szCs w:val="22"/>
        </w:rPr>
        <w:t>In addition, a liquidator must stop the simplified liquidation process if the liquidator on reasonable grounds believes that the company or a director has engaged in fraudulent or dishonest conduct, which has or is likely to have, a material adverse effect on the interests of creditors as a whole, or a class of creditors as a whole.</w:t>
      </w:r>
      <w:r w:rsidRPr="00395617">
        <w:rPr>
          <w:rStyle w:val="FootnoteReference"/>
          <w:rFonts w:ascii="Arial" w:hAnsi="Arial" w:cs="Arial"/>
          <w:sz w:val="22"/>
          <w:szCs w:val="22"/>
        </w:rPr>
        <w:footnoteReference w:id="23"/>
      </w:r>
      <w:r w:rsidRPr="00395617">
        <w:rPr>
          <w:rFonts w:ascii="Arial" w:hAnsi="Arial" w:cs="Arial"/>
          <w:sz w:val="22"/>
          <w:szCs w:val="22"/>
        </w:rPr>
        <w:t xml:space="preserve"> </w:t>
      </w:r>
    </w:p>
    <w:p w14:paraId="6035801B" w14:textId="201AD05F" w:rsidR="002476AF" w:rsidRPr="00B2234F" w:rsidRDefault="002476AF" w:rsidP="002476AF">
      <w:pPr>
        <w:jc w:val="both"/>
        <w:rPr>
          <w:rFonts w:ascii="Avenir Next" w:hAnsi="Avenir Next" w:cs="Arial"/>
          <w:sz w:val="22"/>
          <w:szCs w:val="22"/>
          <w:lang w:val="en-GB"/>
        </w:rPr>
      </w:pPr>
    </w:p>
    <w:p w14:paraId="261DD67E" w14:textId="77777777" w:rsidR="00962045" w:rsidRPr="00B04780" w:rsidRDefault="00DF75F8" w:rsidP="002A37BB">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w:t>
      </w:r>
      <w:r w:rsidR="00962045" w:rsidRPr="00B04780">
        <w:rPr>
          <w:rFonts w:ascii="Avenir Next Demi Bold" w:hAnsi="Avenir Next Demi Bold" w:cs="Arial"/>
          <w:b/>
          <w:bCs/>
          <w:sz w:val="22"/>
          <w:szCs w:val="22"/>
          <w:lang w:val="en-GB"/>
        </w:rPr>
        <w:t xml:space="preserve"> 3 (essay-type questions) [15 marks</w:t>
      </w:r>
      <w:r w:rsidR="006A2646" w:rsidRPr="00B04780">
        <w:rPr>
          <w:rFonts w:ascii="Avenir Next Demi Bold" w:hAnsi="Avenir Next Demi Bold" w:cs="Arial"/>
          <w:b/>
          <w:bCs/>
          <w:sz w:val="22"/>
          <w:szCs w:val="22"/>
          <w:lang w:val="en-GB"/>
        </w:rPr>
        <w:t xml:space="preserve"> in total</w:t>
      </w:r>
      <w:r w:rsidR="00962045" w:rsidRPr="00B04780">
        <w:rPr>
          <w:rFonts w:ascii="Avenir Next Demi Bold" w:hAnsi="Avenir Next Demi Bold" w:cs="Arial"/>
          <w:b/>
          <w:bCs/>
          <w:sz w:val="22"/>
          <w:szCs w:val="22"/>
          <w:lang w:val="en-GB"/>
        </w:rPr>
        <w:t xml:space="preserve">] </w:t>
      </w:r>
    </w:p>
    <w:p w14:paraId="61BA6288" w14:textId="77777777" w:rsidR="00962045" w:rsidRPr="00B2234F" w:rsidRDefault="00962045" w:rsidP="002A37BB">
      <w:pPr>
        <w:jc w:val="both"/>
        <w:rPr>
          <w:rFonts w:ascii="Avenir Next" w:hAnsi="Avenir Next" w:cs="Arial"/>
          <w:sz w:val="22"/>
          <w:szCs w:val="22"/>
          <w:lang w:val="en-GB"/>
        </w:rPr>
      </w:pPr>
    </w:p>
    <w:p w14:paraId="5D728BD1" w14:textId="3F9EC9AB" w:rsidR="002476AF" w:rsidRPr="00B2234F" w:rsidRDefault="00FA18CF" w:rsidP="00B659B9">
      <w:pPr>
        <w:jc w:val="both"/>
        <w:rPr>
          <w:rFonts w:ascii="Avenir Next" w:hAnsi="Avenir Next" w:cs="Arial"/>
          <w:sz w:val="22"/>
          <w:szCs w:val="22"/>
          <w:lang w:val="en-GB"/>
        </w:rPr>
      </w:pPr>
      <w:r w:rsidRPr="00B2234F">
        <w:rPr>
          <w:rFonts w:ascii="Avenir Next" w:hAnsi="Avenir Next" w:cs="Arial"/>
          <w:sz w:val="22"/>
          <w:szCs w:val="22"/>
          <w:lang w:val="en-GB"/>
        </w:rPr>
        <w:t>“</w:t>
      </w:r>
      <w:r w:rsidR="0089536F" w:rsidRPr="00B2234F">
        <w:rPr>
          <w:rFonts w:ascii="Avenir Next" w:hAnsi="Avenir Next" w:cs="Arial"/>
          <w:sz w:val="22"/>
          <w:szCs w:val="22"/>
          <w:lang w:val="en-GB"/>
        </w:rPr>
        <w:t xml:space="preserve">Australia’s insolvency and restructuring options have </w:t>
      </w:r>
      <w:r w:rsidR="004D468D" w:rsidRPr="00B2234F">
        <w:rPr>
          <w:rFonts w:ascii="Avenir Next" w:hAnsi="Avenir Next" w:cs="Arial"/>
          <w:sz w:val="22"/>
          <w:szCs w:val="22"/>
          <w:lang w:val="en-GB"/>
        </w:rPr>
        <w:t xml:space="preserve">in the past been very </w:t>
      </w:r>
      <w:r w:rsidR="0089536F" w:rsidRPr="00B2234F">
        <w:rPr>
          <w:rFonts w:ascii="Avenir Next" w:hAnsi="Avenir Next" w:cs="Arial"/>
          <w:sz w:val="22"/>
          <w:szCs w:val="22"/>
          <w:lang w:val="en-GB"/>
        </w:rPr>
        <w:t xml:space="preserve">creditor-friendly. However, recent reforms have made Australia </w:t>
      </w:r>
      <w:r w:rsidR="004D468D" w:rsidRPr="00B2234F">
        <w:rPr>
          <w:rFonts w:ascii="Avenir Next" w:hAnsi="Avenir Next" w:cs="Arial"/>
          <w:sz w:val="22"/>
          <w:szCs w:val="22"/>
          <w:lang w:val="en-GB"/>
        </w:rPr>
        <w:t xml:space="preserve">more of </w:t>
      </w:r>
      <w:r w:rsidR="0089536F" w:rsidRPr="00B2234F">
        <w:rPr>
          <w:rFonts w:ascii="Avenir Next" w:hAnsi="Avenir Next" w:cs="Arial"/>
          <w:sz w:val="22"/>
          <w:szCs w:val="22"/>
          <w:lang w:val="en-GB"/>
        </w:rPr>
        <w:t>a debtor-friendly jurisdiction.“</w:t>
      </w:r>
    </w:p>
    <w:p w14:paraId="3551A64F" w14:textId="77777777" w:rsidR="00265D2D" w:rsidRPr="00B2234F" w:rsidRDefault="00265D2D" w:rsidP="002476AF">
      <w:pPr>
        <w:jc w:val="both"/>
        <w:rPr>
          <w:rFonts w:ascii="Avenir Next" w:hAnsi="Avenir Next" w:cs="Arial"/>
          <w:sz w:val="22"/>
          <w:szCs w:val="22"/>
          <w:lang w:val="en-GB"/>
        </w:rPr>
      </w:pPr>
    </w:p>
    <w:p w14:paraId="0E6AC538" w14:textId="2862E5D6" w:rsidR="002476A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Critically discuss this statement and indicate whether you agree or disagree with it, providing reasons for your answer.</w:t>
      </w:r>
    </w:p>
    <w:p w14:paraId="751818C2" w14:textId="387AB866" w:rsidR="008420F8" w:rsidRDefault="008420F8" w:rsidP="002476AF">
      <w:pPr>
        <w:jc w:val="both"/>
        <w:rPr>
          <w:rFonts w:ascii="Avenir Next" w:hAnsi="Avenir Next" w:cs="Arial"/>
          <w:sz w:val="22"/>
          <w:szCs w:val="22"/>
          <w:lang w:val="en-GB"/>
        </w:rPr>
      </w:pPr>
    </w:p>
    <w:p w14:paraId="78B8D903" w14:textId="1A2713F2" w:rsidR="00395617" w:rsidRPr="00395617" w:rsidRDefault="00395617" w:rsidP="00395617">
      <w:pPr>
        <w:rPr>
          <w:rFonts w:ascii="Arial" w:hAnsi="Arial" w:cs="Arial"/>
          <w:sz w:val="22"/>
          <w:szCs w:val="22"/>
        </w:rPr>
      </w:pPr>
      <w:r w:rsidRPr="00395617">
        <w:rPr>
          <w:rFonts w:ascii="Arial" w:hAnsi="Arial" w:cs="Arial"/>
          <w:sz w:val="22"/>
          <w:szCs w:val="22"/>
        </w:rPr>
        <w:t>Generally speaking, I agree with the above statement.</w:t>
      </w:r>
    </w:p>
    <w:p w14:paraId="6834F28B" w14:textId="77777777" w:rsidR="00395617" w:rsidRPr="00395617" w:rsidRDefault="00395617" w:rsidP="00395617">
      <w:pPr>
        <w:rPr>
          <w:rFonts w:ascii="Arial" w:hAnsi="Arial" w:cs="Arial"/>
          <w:sz w:val="22"/>
          <w:szCs w:val="22"/>
        </w:rPr>
      </w:pPr>
    </w:p>
    <w:p w14:paraId="666A38C8" w14:textId="5249B136" w:rsidR="00395617" w:rsidRPr="00395617" w:rsidRDefault="00395617" w:rsidP="00395617">
      <w:pPr>
        <w:rPr>
          <w:rFonts w:ascii="Arial" w:hAnsi="Arial" w:cs="Arial"/>
          <w:sz w:val="22"/>
          <w:szCs w:val="22"/>
        </w:rPr>
      </w:pPr>
      <w:r w:rsidRPr="00395617">
        <w:rPr>
          <w:rFonts w:ascii="Arial" w:hAnsi="Arial" w:cs="Arial"/>
          <w:sz w:val="22"/>
          <w:szCs w:val="22"/>
        </w:rPr>
        <w:t>Australia has in the past, and continues to be, considered as creditor-friendly in its insolvency processes.</w:t>
      </w:r>
      <w:r w:rsidRPr="00395617">
        <w:rPr>
          <w:rStyle w:val="FootnoteReference"/>
          <w:rFonts w:ascii="Arial" w:hAnsi="Arial" w:cs="Arial"/>
          <w:sz w:val="22"/>
          <w:szCs w:val="22"/>
        </w:rPr>
        <w:footnoteReference w:id="24"/>
      </w:r>
      <w:r w:rsidRPr="00395617">
        <w:rPr>
          <w:rFonts w:ascii="Arial" w:hAnsi="Arial" w:cs="Arial"/>
          <w:sz w:val="22"/>
          <w:szCs w:val="22"/>
        </w:rPr>
        <w:t xml:space="preserve"> The primary focus is on the protection of creditors' rights to the exclusion of management and shareholders.</w:t>
      </w:r>
      <w:r w:rsidRPr="00395617">
        <w:rPr>
          <w:rStyle w:val="FootnoteReference"/>
          <w:rFonts w:ascii="Arial" w:hAnsi="Arial" w:cs="Arial"/>
          <w:sz w:val="22"/>
          <w:szCs w:val="22"/>
        </w:rPr>
        <w:footnoteReference w:id="25"/>
      </w:r>
      <w:r w:rsidRPr="00395617">
        <w:rPr>
          <w:rFonts w:ascii="Arial" w:hAnsi="Arial" w:cs="Arial"/>
          <w:sz w:val="22"/>
          <w:szCs w:val="22"/>
        </w:rPr>
        <w:t xml:space="preserve"> This is so notwithstanding the consequent adverse impact on corporate and business rescue, which may ultimately be in the interests of employees, small suppliers and other corporate stakeholders.</w:t>
      </w:r>
      <w:r w:rsidRPr="00395617">
        <w:rPr>
          <w:rStyle w:val="FootnoteReference"/>
          <w:rFonts w:ascii="Arial" w:hAnsi="Arial" w:cs="Arial"/>
          <w:sz w:val="22"/>
          <w:szCs w:val="22"/>
        </w:rPr>
        <w:footnoteReference w:id="26"/>
      </w:r>
      <w:r w:rsidRPr="00395617">
        <w:rPr>
          <w:rFonts w:ascii="Arial" w:hAnsi="Arial" w:cs="Arial"/>
          <w:sz w:val="22"/>
          <w:szCs w:val="22"/>
        </w:rPr>
        <w:t xml:space="preserve"> The following below examples demonstrate Australia's strong anti-collectivist creditor culture.</w:t>
      </w:r>
    </w:p>
    <w:p w14:paraId="702041FA" w14:textId="77777777" w:rsidR="00395617" w:rsidRPr="00395617" w:rsidRDefault="00395617" w:rsidP="00395617">
      <w:pPr>
        <w:rPr>
          <w:rFonts w:ascii="Arial" w:hAnsi="Arial" w:cs="Arial"/>
          <w:sz w:val="22"/>
          <w:szCs w:val="22"/>
        </w:rPr>
      </w:pPr>
    </w:p>
    <w:p w14:paraId="141131B1" w14:textId="208FFA1A" w:rsidR="00395617" w:rsidRPr="00395617" w:rsidRDefault="00395617" w:rsidP="00395617">
      <w:pPr>
        <w:rPr>
          <w:rFonts w:ascii="Arial" w:hAnsi="Arial" w:cs="Arial"/>
          <w:sz w:val="22"/>
          <w:szCs w:val="22"/>
        </w:rPr>
      </w:pPr>
      <w:r w:rsidRPr="00395617">
        <w:rPr>
          <w:rFonts w:ascii="Arial" w:hAnsi="Arial" w:cs="Arial"/>
          <w:sz w:val="22"/>
          <w:szCs w:val="22"/>
        </w:rPr>
        <w:t>Almost all of Australia's bankruptcy and insolvency processes involve the appointment of an external administrator. The only debtor in possession processes are schemes of arrangements and small business restructurings (although even for this, a qualified insolvency practitioner must be appointed as an advisor).</w:t>
      </w:r>
      <w:r w:rsidRPr="00395617">
        <w:rPr>
          <w:rStyle w:val="FootnoteReference"/>
          <w:rFonts w:ascii="Arial" w:hAnsi="Arial" w:cs="Arial"/>
          <w:sz w:val="22"/>
          <w:szCs w:val="22"/>
        </w:rPr>
        <w:footnoteReference w:id="27"/>
      </w:r>
      <w:r w:rsidRPr="00395617">
        <w:rPr>
          <w:rFonts w:ascii="Arial" w:hAnsi="Arial" w:cs="Arial"/>
          <w:sz w:val="22"/>
          <w:szCs w:val="22"/>
        </w:rPr>
        <w:t xml:space="preserve"> </w:t>
      </w:r>
    </w:p>
    <w:p w14:paraId="4E7A68AC" w14:textId="77777777" w:rsidR="00395617" w:rsidRPr="00395617" w:rsidRDefault="00395617" w:rsidP="00395617">
      <w:pPr>
        <w:rPr>
          <w:rFonts w:ascii="Arial" w:hAnsi="Arial" w:cs="Arial"/>
          <w:sz w:val="22"/>
          <w:szCs w:val="22"/>
        </w:rPr>
      </w:pPr>
    </w:p>
    <w:p w14:paraId="72AC0F64" w14:textId="490E7549" w:rsidR="00395617" w:rsidRPr="00395617" w:rsidRDefault="00395617" w:rsidP="00395617">
      <w:pPr>
        <w:rPr>
          <w:rFonts w:ascii="Arial" w:hAnsi="Arial" w:cs="Arial"/>
          <w:sz w:val="22"/>
          <w:szCs w:val="22"/>
        </w:rPr>
      </w:pPr>
      <w:r w:rsidRPr="00395617">
        <w:rPr>
          <w:rFonts w:ascii="Arial" w:hAnsi="Arial" w:cs="Arial"/>
          <w:sz w:val="22"/>
          <w:szCs w:val="22"/>
        </w:rPr>
        <w:t>In particular, secured creditors are entitled to enforce their rights during the bankruptcy process for an insolvent individual notwithstanding the intention that a moratorium on claims be in place during processes like this. Generally speaking, creditors are prevented from enforcing any remedy or commence any new legal proceeding or take a fresh step in an existing proceeding against the property of the debtor if the debtor is bankrupt.</w:t>
      </w:r>
      <w:r w:rsidRPr="00395617">
        <w:rPr>
          <w:rStyle w:val="FootnoteReference"/>
          <w:rFonts w:ascii="Arial" w:hAnsi="Arial" w:cs="Arial"/>
          <w:sz w:val="22"/>
          <w:szCs w:val="22"/>
        </w:rPr>
        <w:footnoteReference w:id="28"/>
      </w:r>
      <w:r w:rsidRPr="00395617">
        <w:rPr>
          <w:rFonts w:ascii="Arial" w:hAnsi="Arial" w:cs="Arial"/>
          <w:sz w:val="22"/>
          <w:szCs w:val="22"/>
        </w:rPr>
        <w:t xml:space="preserve"> However, this moratorium does not apply to secured creditors, meaning they are entitled to enforce their rights.</w:t>
      </w:r>
      <w:r w:rsidRPr="00395617">
        <w:rPr>
          <w:rStyle w:val="FootnoteReference"/>
          <w:rFonts w:ascii="Arial" w:hAnsi="Arial" w:cs="Arial"/>
          <w:sz w:val="22"/>
          <w:szCs w:val="22"/>
        </w:rPr>
        <w:footnoteReference w:id="29"/>
      </w:r>
    </w:p>
    <w:p w14:paraId="4AB65373" w14:textId="77777777" w:rsidR="00395617" w:rsidRPr="00395617" w:rsidRDefault="00395617" w:rsidP="00395617">
      <w:pPr>
        <w:rPr>
          <w:rFonts w:ascii="Arial" w:hAnsi="Arial" w:cs="Arial"/>
          <w:sz w:val="22"/>
          <w:szCs w:val="22"/>
        </w:rPr>
      </w:pPr>
    </w:p>
    <w:p w14:paraId="4DD76318" w14:textId="4FAC4C20" w:rsidR="00395617" w:rsidRPr="00395617" w:rsidRDefault="00395617" w:rsidP="00395617">
      <w:pPr>
        <w:rPr>
          <w:rFonts w:ascii="Arial" w:hAnsi="Arial" w:cs="Arial"/>
          <w:sz w:val="22"/>
          <w:szCs w:val="22"/>
        </w:rPr>
      </w:pPr>
      <w:r w:rsidRPr="00395617">
        <w:rPr>
          <w:rFonts w:ascii="Arial" w:hAnsi="Arial" w:cs="Arial"/>
          <w:sz w:val="22"/>
          <w:szCs w:val="22"/>
        </w:rPr>
        <w:t>A similar moratorium on enforcement action against the assets of a company as well as proceedings against a company is in place for companies in liquidation.</w:t>
      </w:r>
      <w:r w:rsidRPr="00395617">
        <w:rPr>
          <w:rStyle w:val="FootnoteReference"/>
          <w:rFonts w:ascii="Arial" w:hAnsi="Arial" w:cs="Arial"/>
          <w:sz w:val="22"/>
          <w:szCs w:val="22"/>
        </w:rPr>
        <w:footnoteReference w:id="30"/>
      </w:r>
      <w:r w:rsidRPr="00395617">
        <w:rPr>
          <w:rFonts w:ascii="Arial" w:hAnsi="Arial" w:cs="Arial"/>
          <w:sz w:val="22"/>
          <w:szCs w:val="22"/>
        </w:rPr>
        <w:t xml:space="preserve"> However, the moratorium does not apply to secured creditors, leaving secured creditors to enforce any rights under a valid security interest.</w:t>
      </w:r>
      <w:r w:rsidRPr="00395617">
        <w:rPr>
          <w:rStyle w:val="FootnoteReference"/>
          <w:rFonts w:ascii="Arial" w:hAnsi="Arial" w:cs="Arial"/>
          <w:sz w:val="22"/>
          <w:szCs w:val="22"/>
        </w:rPr>
        <w:footnoteReference w:id="31"/>
      </w:r>
    </w:p>
    <w:p w14:paraId="1FF1504D" w14:textId="77777777" w:rsidR="00395617" w:rsidRPr="00395617" w:rsidRDefault="00395617" w:rsidP="00395617">
      <w:pPr>
        <w:rPr>
          <w:rFonts w:ascii="Arial" w:hAnsi="Arial" w:cs="Arial"/>
          <w:sz w:val="22"/>
          <w:szCs w:val="22"/>
        </w:rPr>
      </w:pPr>
    </w:p>
    <w:p w14:paraId="5B015B9F" w14:textId="77777777" w:rsidR="00395617" w:rsidRPr="00395617" w:rsidRDefault="00395617" w:rsidP="00395617">
      <w:pPr>
        <w:rPr>
          <w:rFonts w:ascii="Arial" w:hAnsi="Arial" w:cs="Arial"/>
          <w:sz w:val="22"/>
          <w:szCs w:val="22"/>
        </w:rPr>
      </w:pPr>
      <w:r w:rsidRPr="00395617">
        <w:rPr>
          <w:rFonts w:ascii="Arial" w:hAnsi="Arial" w:cs="Arial"/>
          <w:sz w:val="22"/>
          <w:szCs w:val="22"/>
        </w:rPr>
        <w:t>Whilst one of the aims of voluntary administration as Australia's primary formal corporate rescue process is to maximise the chance of an insolvent company to continue in existence per the terms of a deed of company arrangement, an alternative aim is to enable a maximum return to be achieved for distribution to creditors.</w:t>
      </w:r>
      <w:r w:rsidRPr="00395617">
        <w:rPr>
          <w:rStyle w:val="FootnoteReference"/>
          <w:rFonts w:ascii="Arial" w:hAnsi="Arial" w:cs="Arial"/>
          <w:sz w:val="22"/>
          <w:szCs w:val="22"/>
        </w:rPr>
        <w:footnoteReference w:id="32"/>
      </w:r>
    </w:p>
    <w:p w14:paraId="7CD4B4A8" w14:textId="77777777" w:rsidR="00395617" w:rsidRPr="00395617" w:rsidRDefault="00395617" w:rsidP="00395617">
      <w:pPr>
        <w:rPr>
          <w:rFonts w:ascii="Arial" w:hAnsi="Arial" w:cs="Arial"/>
          <w:sz w:val="22"/>
          <w:szCs w:val="22"/>
        </w:rPr>
      </w:pPr>
    </w:p>
    <w:p w14:paraId="5E24BCAD" w14:textId="07A26A4D" w:rsidR="00395617" w:rsidRPr="00395617" w:rsidRDefault="00395617" w:rsidP="00395617">
      <w:pPr>
        <w:rPr>
          <w:rFonts w:ascii="Arial" w:hAnsi="Arial" w:cs="Arial"/>
          <w:sz w:val="22"/>
          <w:szCs w:val="22"/>
        </w:rPr>
      </w:pPr>
      <w:r w:rsidRPr="00395617">
        <w:rPr>
          <w:rFonts w:ascii="Arial" w:hAnsi="Arial" w:cs="Arial"/>
          <w:sz w:val="22"/>
          <w:szCs w:val="22"/>
        </w:rPr>
        <w:t>Although neither secured nor unsecured creditors are able to enforce their rights during a voluntary administration unless the voluntary administrator consents or the court grants leave,</w:t>
      </w:r>
      <w:r w:rsidRPr="00395617">
        <w:rPr>
          <w:rStyle w:val="FootnoteReference"/>
          <w:rFonts w:ascii="Arial" w:hAnsi="Arial" w:cs="Arial"/>
          <w:sz w:val="22"/>
          <w:szCs w:val="22"/>
        </w:rPr>
        <w:footnoteReference w:id="33"/>
      </w:r>
      <w:r w:rsidRPr="00395617">
        <w:rPr>
          <w:rFonts w:ascii="Arial" w:hAnsi="Arial" w:cs="Arial"/>
          <w:sz w:val="22"/>
          <w:szCs w:val="22"/>
        </w:rPr>
        <w:t xml:space="preserve"> there are again exceptions to this statutory moratorium. In particular, where a creditor has security over the whole or</w:t>
      </w:r>
      <w:r>
        <w:t xml:space="preserve"> </w:t>
      </w:r>
      <w:r w:rsidRPr="00395617">
        <w:rPr>
          <w:rFonts w:ascii="Arial" w:hAnsi="Arial" w:cs="Arial"/>
          <w:sz w:val="22"/>
          <w:szCs w:val="22"/>
        </w:rPr>
        <w:t>substantially the whole of a company's property, that creditor is entitled to appoint a receiver notwithstanding a voluntary administrator is already in place (subject to compliance with certain time restrictions).</w:t>
      </w:r>
      <w:r w:rsidRPr="00395617">
        <w:rPr>
          <w:rStyle w:val="FootnoteReference"/>
          <w:rFonts w:ascii="Arial" w:hAnsi="Arial" w:cs="Arial"/>
          <w:sz w:val="22"/>
          <w:szCs w:val="22"/>
        </w:rPr>
        <w:footnoteReference w:id="34"/>
      </w:r>
      <w:r w:rsidRPr="00395617">
        <w:rPr>
          <w:rFonts w:ascii="Arial" w:hAnsi="Arial" w:cs="Arial"/>
          <w:sz w:val="22"/>
          <w:szCs w:val="22"/>
        </w:rPr>
        <w:t xml:space="preserve"> Secured creditors as well as owners and lessors with enforcement rights are able to continue enforcement action during a voluntary administration if:</w:t>
      </w:r>
      <w:r w:rsidRPr="00395617">
        <w:rPr>
          <w:rStyle w:val="FootnoteReference"/>
          <w:rFonts w:ascii="Arial" w:hAnsi="Arial" w:cs="Arial"/>
          <w:sz w:val="22"/>
          <w:szCs w:val="22"/>
        </w:rPr>
        <w:footnoteReference w:id="35"/>
      </w:r>
    </w:p>
    <w:p w14:paraId="4267117D" w14:textId="77777777" w:rsidR="00395617" w:rsidRPr="00395617" w:rsidRDefault="00395617" w:rsidP="00395617">
      <w:pPr>
        <w:pStyle w:val="ListParagraph"/>
        <w:numPr>
          <w:ilvl w:val="0"/>
          <w:numId w:val="35"/>
        </w:numPr>
        <w:spacing w:before="120" w:after="120"/>
        <w:contextualSpacing w:val="0"/>
        <w:rPr>
          <w:rFonts w:ascii="Arial" w:hAnsi="Arial" w:cs="Arial"/>
          <w:sz w:val="22"/>
          <w:szCs w:val="22"/>
        </w:rPr>
      </w:pPr>
      <w:r w:rsidRPr="00395617">
        <w:rPr>
          <w:rFonts w:ascii="Arial" w:hAnsi="Arial" w:cs="Arial"/>
          <w:sz w:val="22"/>
          <w:szCs w:val="22"/>
        </w:rPr>
        <w:t xml:space="preserve">The enforcement action was commenced prior to the appointment of a voluntary administrator, or </w:t>
      </w:r>
    </w:p>
    <w:p w14:paraId="0716BDAF" w14:textId="77777777" w:rsidR="00395617" w:rsidRPr="00395617" w:rsidRDefault="00395617" w:rsidP="00395617">
      <w:pPr>
        <w:pStyle w:val="ListParagraph"/>
        <w:numPr>
          <w:ilvl w:val="0"/>
          <w:numId w:val="35"/>
        </w:numPr>
        <w:spacing w:before="120" w:after="120"/>
        <w:contextualSpacing w:val="0"/>
        <w:rPr>
          <w:rFonts w:ascii="Arial" w:hAnsi="Arial" w:cs="Arial"/>
          <w:sz w:val="22"/>
          <w:szCs w:val="22"/>
        </w:rPr>
      </w:pPr>
      <w:r w:rsidRPr="00395617">
        <w:rPr>
          <w:rFonts w:ascii="Arial" w:hAnsi="Arial" w:cs="Arial"/>
          <w:sz w:val="22"/>
          <w:szCs w:val="22"/>
        </w:rPr>
        <w:t>the enforcement action relates to perishable property; or</w:t>
      </w:r>
    </w:p>
    <w:p w14:paraId="0E778AD0" w14:textId="77777777" w:rsidR="00395617" w:rsidRPr="00395617" w:rsidRDefault="00395617" w:rsidP="00395617">
      <w:pPr>
        <w:pStyle w:val="ListParagraph"/>
        <w:numPr>
          <w:ilvl w:val="0"/>
          <w:numId w:val="35"/>
        </w:numPr>
        <w:spacing w:before="120" w:after="120"/>
        <w:contextualSpacing w:val="0"/>
        <w:rPr>
          <w:rFonts w:ascii="Arial" w:hAnsi="Arial" w:cs="Arial"/>
          <w:sz w:val="22"/>
          <w:szCs w:val="22"/>
        </w:rPr>
      </w:pPr>
      <w:r w:rsidRPr="00395617">
        <w:rPr>
          <w:rFonts w:ascii="Arial" w:hAnsi="Arial" w:cs="Arial"/>
          <w:sz w:val="22"/>
          <w:szCs w:val="22"/>
        </w:rPr>
        <w:t>the court gives its consent.</w:t>
      </w:r>
    </w:p>
    <w:p w14:paraId="1B1515CC" w14:textId="07238313" w:rsidR="00395617" w:rsidRPr="00395617" w:rsidRDefault="00395617" w:rsidP="00395617">
      <w:pPr>
        <w:rPr>
          <w:rFonts w:ascii="Arial" w:hAnsi="Arial" w:cs="Arial"/>
          <w:sz w:val="22"/>
          <w:szCs w:val="22"/>
        </w:rPr>
      </w:pPr>
      <w:r w:rsidRPr="00395617">
        <w:rPr>
          <w:rFonts w:ascii="Arial" w:hAnsi="Arial" w:cs="Arial"/>
          <w:sz w:val="22"/>
          <w:szCs w:val="22"/>
        </w:rPr>
        <w:t>In addition, a liquidator has broad rights to recover substantial sums from directors where a director has allowed a company to incur debts while insolvent.</w:t>
      </w:r>
      <w:r w:rsidRPr="00395617">
        <w:rPr>
          <w:rStyle w:val="FootnoteReference"/>
          <w:rFonts w:ascii="Arial" w:hAnsi="Arial" w:cs="Arial"/>
          <w:sz w:val="22"/>
          <w:szCs w:val="22"/>
        </w:rPr>
        <w:footnoteReference w:id="36"/>
      </w:r>
      <w:r w:rsidRPr="00395617">
        <w:rPr>
          <w:rFonts w:ascii="Arial" w:hAnsi="Arial" w:cs="Arial"/>
          <w:sz w:val="22"/>
          <w:szCs w:val="22"/>
        </w:rPr>
        <w:t xml:space="preserve"> </w:t>
      </w:r>
    </w:p>
    <w:p w14:paraId="7868350F" w14:textId="77777777" w:rsidR="00395617" w:rsidRPr="00395617" w:rsidRDefault="00395617" w:rsidP="00395617">
      <w:pPr>
        <w:rPr>
          <w:rFonts w:ascii="Arial" w:hAnsi="Arial" w:cs="Arial"/>
          <w:sz w:val="22"/>
          <w:szCs w:val="22"/>
        </w:rPr>
      </w:pPr>
    </w:p>
    <w:p w14:paraId="12F1EA7C" w14:textId="50C87363" w:rsidR="00395617" w:rsidRPr="00395617" w:rsidRDefault="00395617" w:rsidP="00395617">
      <w:pPr>
        <w:rPr>
          <w:rFonts w:ascii="Arial" w:hAnsi="Arial" w:cs="Arial"/>
          <w:sz w:val="22"/>
          <w:szCs w:val="22"/>
        </w:rPr>
      </w:pPr>
      <w:r w:rsidRPr="00395617">
        <w:rPr>
          <w:rFonts w:ascii="Arial" w:hAnsi="Arial" w:cs="Arial"/>
          <w:sz w:val="22"/>
          <w:szCs w:val="22"/>
        </w:rPr>
        <w:t>Transactions are also able to be clawed back for the benefit of creditors over a substantial period of time as a result of Australia's voidable transaction regime. There is no requirement to prove improper conduct such as an intention to defeat creditors.</w:t>
      </w:r>
      <w:r w:rsidRPr="00395617">
        <w:rPr>
          <w:rStyle w:val="FootnoteReference"/>
          <w:rFonts w:ascii="Arial" w:hAnsi="Arial" w:cs="Arial"/>
          <w:sz w:val="22"/>
          <w:szCs w:val="22"/>
        </w:rPr>
        <w:footnoteReference w:id="37"/>
      </w:r>
      <w:r w:rsidRPr="00395617">
        <w:rPr>
          <w:rFonts w:ascii="Arial" w:hAnsi="Arial" w:cs="Arial"/>
          <w:sz w:val="22"/>
          <w:szCs w:val="22"/>
        </w:rPr>
        <w:t xml:space="preserve"> </w:t>
      </w:r>
    </w:p>
    <w:p w14:paraId="34FF8F62" w14:textId="77777777" w:rsidR="00395617" w:rsidRPr="00395617" w:rsidRDefault="00395617" w:rsidP="00395617">
      <w:pPr>
        <w:rPr>
          <w:rFonts w:ascii="Arial" w:hAnsi="Arial" w:cs="Arial"/>
          <w:sz w:val="22"/>
          <w:szCs w:val="22"/>
        </w:rPr>
      </w:pPr>
    </w:p>
    <w:p w14:paraId="65BD5370" w14:textId="4B2C6417" w:rsidR="00395617" w:rsidRPr="00395617" w:rsidRDefault="00395617" w:rsidP="00395617">
      <w:pPr>
        <w:rPr>
          <w:rFonts w:ascii="Arial" w:hAnsi="Arial" w:cs="Arial"/>
          <w:sz w:val="22"/>
          <w:szCs w:val="22"/>
        </w:rPr>
      </w:pPr>
      <w:r w:rsidRPr="00395617">
        <w:rPr>
          <w:rFonts w:ascii="Arial" w:hAnsi="Arial" w:cs="Arial"/>
          <w:sz w:val="22"/>
          <w:szCs w:val="22"/>
        </w:rPr>
        <w:t>Furthermore, on World Bank measures, which measures the protection of rights of secured creditors on a scale of 0-12, Australia was scored an 11.</w:t>
      </w:r>
      <w:r w:rsidRPr="00395617">
        <w:rPr>
          <w:rStyle w:val="FootnoteReference"/>
          <w:rFonts w:ascii="Arial" w:hAnsi="Arial" w:cs="Arial"/>
          <w:sz w:val="22"/>
          <w:szCs w:val="22"/>
        </w:rPr>
        <w:footnoteReference w:id="38"/>
      </w:r>
    </w:p>
    <w:p w14:paraId="010896C2" w14:textId="77777777" w:rsidR="00395617" w:rsidRPr="00395617" w:rsidRDefault="00395617" w:rsidP="00395617">
      <w:pPr>
        <w:rPr>
          <w:rFonts w:ascii="Arial" w:hAnsi="Arial" w:cs="Arial"/>
          <w:sz w:val="22"/>
          <w:szCs w:val="22"/>
        </w:rPr>
      </w:pPr>
    </w:p>
    <w:p w14:paraId="2B36D8F7" w14:textId="77777777" w:rsidR="00395617" w:rsidRPr="00395617" w:rsidRDefault="00395617" w:rsidP="00395617">
      <w:pPr>
        <w:rPr>
          <w:rFonts w:ascii="Arial" w:hAnsi="Arial" w:cs="Arial"/>
          <w:sz w:val="22"/>
          <w:szCs w:val="22"/>
        </w:rPr>
      </w:pPr>
      <w:r w:rsidRPr="00395617">
        <w:rPr>
          <w:rFonts w:ascii="Arial" w:hAnsi="Arial" w:cs="Arial"/>
          <w:sz w:val="22"/>
          <w:szCs w:val="22"/>
        </w:rPr>
        <w:t>Furthermore, it is not just secured creditors who are more than adequately protected in Australia. Unsecured creditors also have adequate rights under Australian laws. For example, unsecured creditors are able to bring court proceedings to enforce debts.</w:t>
      </w:r>
      <w:r w:rsidRPr="00395617">
        <w:rPr>
          <w:rStyle w:val="FootnoteReference"/>
          <w:rFonts w:ascii="Arial" w:hAnsi="Arial" w:cs="Arial"/>
          <w:sz w:val="22"/>
          <w:szCs w:val="22"/>
        </w:rPr>
        <w:footnoteReference w:id="39"/>
      </w:r>
      <w:r w:rsidRPr="00395617">
        <w:rPr>
          <w:rFonts w:ascii="Arial" w:hAnsi="Arial" w:cs="Arial"/>
          <w:sz w:val="22"/>
          <w:szCs w:val="22"/>
        </w:rPr>
        <w:t xml:space="preserve"> They can also issue a specific notice as set out in the Bankruptcy Act 1966 (Cth) (</w:t>
      </w:r>
      <w:r w:rsidRPr="00395617">
        <w:rPr>
          <w:rFonts w:ascii="Arial" w:hAnsi="Arial" w:cs="Arial"/>
          <w:b/>
          <w:bCs/>
          <w:sz w:val="22"/>
          <w:szCs w:val="22"/>
        </w:rPr>
        <w:t>Bankruptcy Act</w:t>
      </w:r>
      <w:r w:rsidRPr="00395617">
        <w:rPr>
          <w:rFonts w:ascii="Arial" w:hAnsi="Arial" w:cs="Arial"/>
          <w:sz w:val="22"/>
          <w:szCs w:val="22"/>
        </w:rPr>
        <w:t>) and the Corporations Act 2001 (Cth) (</w:t>
      </w:r>
      <w:r w:rsidRPr="00395617">
        <w:rPr>
          <w:rFonts w:ascii="Arial" w:hAnsi="Arial" w:cs="Arial"/>
          <w:b/>
          <w:bCs/>
          <w:sz w:val="22"/>
          <w:szCs w:val="22"/>
        </w:rPr>
        <w:t>Corporations Act</w:t>
      </w:r>
      <w:r w:rsidRPr="00395617">
        <w:rPr>
          <w:rFonts w:ascii="Arial" w:hAnsi="Arial" w:cs="Arial"/>
          <w:sz w:val="22"/>
          <w:szCs w:val="22"/>
        </w:rPr>
        <w:t>), which requires an individual or company to pay the alleged debt. If the debt is consequently not paid within 21 days of the notice having been issued, the unsecured creditor is able to either:</w:t>
      </w:r>
      <w:r w:rsidRPr="00395617">
        <w:rPr>
          <w:rStyle w:val="FootnoteReference"/>
          <w:rFonts w:ascii="Arial" w:hAnsi="Arial" w:cs="Arial"/>
          <w:sz w:val="22"/>
          <w:szCs w:val="22"/>
        </w:rPr>
        <w:footnoteReference w:id="40"/>
      </w:r>
    </w:p>
    <w:p w14:paraId="722E3712" w14:textId="77777777" w:rsidR="00395617" w:rsidRPr="00395617" w:rsidRDefault="00395617" w:rsidP="00395617">
      <w:pPr>
        <w:pStyle w:val="ListParagraph"/>
        <w:numPr>
          <w:ilvl w:val="0"/>
          <w:numId w:val="36"/>
        </w:numPr>
        <w:spacing w:before="120" w:after="120"/>
        <w:contextualSpacing w:val="0"/>
        <w:rPr>
          <w:rFonts w:ascii="Arial" w:hAnsi="Arial" w:cs="Arial"/>
          <w:sz w:val="22"/>
          <w:szCs w:val="22"/>
        </w:rPr>
      </w:pPr>
      <w:r w:rsidRPr="00395617">
        <w:rPr>
          <w:rFonts w:ascii="Arial" w:hAnsi="Arial" w:cs="Arial"/>
          <w:sz w:val="22"/>
          <w:szCs w:val="22"/>
        </w:rPr>
        <w:t>apply to bankrupt the individual as failure to pay is an act of bankruptcy; or</w:t>
      </w:r>
    </w:p>
    <w:p w14:paraId="7203A858" w14:textId="77777777" w:rsidR="00395617" w:rsidRPr="00395617" w:rsidRDefault="00395617" w:rsidP="00395617">
      <w:pPr>
        <w:pStyle w:val="ListParagraph"/>
        <w:numPr>
          <w:ilvl w:val="0"/>
          <w:numId w:val="36"/>
        </w:numPr>
        <w:spacing w:before="120" w:after="120"/>
        <w:contextualSpacing w:val="0"/>
        <w:rPr>
          <w:rFonts w:ascii="Arial" w:hAnsi="Arial" w:cs="Arial"/>
          <w:sz w:val="22"/>
          <w:szCs w:val="22"/>
        </w:rPr>
      </w:pPr>
      <w:r w:rsidRPr="00395617">
        <w:rPr>
          <w:rFonts w:ascii="Arial" w:hAnsi="Arial" w:cs="Arial"/>
          <w:sz w:val="22"/>
          <w:szCs w:val="22"/>
        </w:rPr>
        <w:t xml:space="preserve">in the case of company, apply to have the company wound up for insolvency as failure to pay creates the presumption of insolvency. </w:t>
      </w:r>
    </w:p>
    <w:p w14:paraId="115E2D16" w14:textId="418C4022" w:rsidR="00395617" w:rsidRPr="00395617" w:rsidRDefault="00395617" w:rsidP="00395617">
      <w:pPr>
        <w:rPr>
          <w:rFonts w:ascii="Arial" w:hAnsi="Arial" w:cs="Arial"/>
          <w:sz w:val="22"/>
          <w:szCs w:val="22"/>
        </w:rPr>
      </w:pPr>
      <w:r w:rsidRPr="00395617">
        <w:rPr>
          <w:rFonts w:ascii="Arial" w:hAnsi="Arial" w:cs="Arial"/>
          <w:sz w:val="22"/>
          <w:szCs w:val="22"/>
        </w:rPr>
        <w:t xml:space="preserve">That is not to say that there are not aspects of the regime that attempt to encourage a stronger corporate and business rescue culture. </w:t>
      </w:r>
    </w:p>
    <w:p w14:paraId="3C851FE9" w14:textId="77777777" w:rsidR="00395617" w:rsidRPr="00395617" w:rsidRDefault="00395617" w:rsidP="00395617">
      <w:pPr>
        <w:rPr>
          <w:rFonts w:ascii="Arial" w:hAnsi="Arial" w:cs="Arial"/>
          <w:sz w:val="22"/>
          <w:szCs w:val="22"/>
        </w:rPr>
      </w:pPr>
    </w:p>
    <w:p w14:paraId="64F454DF" w14:textId="5A25FE7E" w:rsidR="00395617" w:rsidRPr="00395617" w:rsidRDefault="00395617" w:rsidP="00395617">
      <w:pPr>
        <w:rPr>
          <w:rFonts w:ascii="Arial" w:hAnsi="Arial" w:cs="Arial"/>
          <w:sz w:val="22"/>
          <w:szCs w:val="22"/>
        </w:rPr>
      </w:pPr>
      <w:r w:rsidRPr="00395617">
        <w:rPr>
          <w:rFonts w:ascii="Arial" w:hAnsi="Arial" w:cs="Arial"/>
          <w:sz w:val="22"/>
          <w:szCs w:val="22"/>
        </w:rPr>
        <w:t>As noted above, the primary goal of the voluntary administration regime is to maximise the chance of an insolvent company to continue in existence under the terms of a deed of company arrangement.</w:t>
      </w:r>
      <w:r w:rsidRPr="00395617">
        <w:rPr>
          <w:rStyle w:val="FootnoteReference"/>
          <w:rFonts w:ascii="Arial" w:hAnsi="Arial" w:cs="Arial"/>
          <w:sz w:val="22"/>
          <w:szCs w:val="22"/>
        </w:rPr>
        <w:footnoteReference w:id="41"/>
      </w:r>
      <w:r w:rsidRPr="00395617">
        <w:rPr>
          <w:rFonts w:ascii="Arial" w:hAnsi="Arial" w:cs="Arial"/>
          <w:sz w:val="22"/>
          <w:szCs w:val="22"/>
        </w:rPr>
        <w:t xml:space="preserve"> </w:t>
      </w:r>
    </w:p>
    <w:p w14:paraId="7EA1013C" w14:textId="77777777" w:rsidR="00395617" w:rsidRPr="00395617" w:rsidRDefault="00395617" w:rsidP="00395617">
      <w:pPr>
        <w:rPr>
          <w:rFonts w:ascii="Arial" w:hAnsi="Arial" w:cs="Arial"/>
          <w:sz w:val="22"/>
          <w:szCs w:val="22"/>
        </w:rPr>
      </w:pPr>
    </w:p>
    <w:p w14:paraId="0C68CB7A" w14:textId="01B9565C" w:rsidR="00395617" w:rsidRPr="00395617" w:rsidRDefault="00395617" w:rsidP="00395617">
      <w:pPr>
        <w:rPr>
          <w:rFonts w:ascii="Arial" w:hAnsi="Arial" w:cs="Arial"/>
          <w:sz w:val="22"/>
          <w:szCs w:val="22"/>
        </w:rPr>
      </w:pPr>
      <w:r w:rsidRPr="00395617">
        <w:rPr>
          <w:rFonts w:ascii="Arial" w:hAnsi="Arial" w:cs="Arial"/>
          <w:sz w:val="22"/>
          <w:szCs w:val="22"/>
        </w:rPr>
        <w:t xml:space="preserve">In addition, as noted in the statement, some fairly recent reforms and amendments have been introduced with the aim of promoting a move away from the existing dominance of creditor rights. </w:t>
      </w:r>
    </w:p>
    <w:p w14:paraId="3E32A8C4" w14:textId="77777777" w:rsidR="00395617" w:rsidRDefault="00395617" w:rsidP="00395617"/>
    <w:p w14:paraId="2B52C058" w14:textId="38813A87" w:rsidR="00395617" w:rsidRPr="00395617" w:rsidRDefault="00395617" w:rsidP="00395617">
      <w:pPr>
        <w:rPr>
          <w:rFonts w:ascii="Arial" w:hAnsi="Arial" w:cs="Arial"/>
          <w:sz w:val="22"/>
          <w:szCs w:val="22"/>
        </w:rPr>
      </w:pPr>
      <w:r w:rsidRPr="00395617">
        <w:rPr>
          <w:rFonts w:ascii="Arial" w:hAnsi="Arial" w:cs="Arial"/>
          <w:sz w:val="22"/>
          <w:szCs w:val="22"/>
        </w:rPr>
        <w:t>In particular, as of 1 July 2018, creditors are prevented from enforcing ipso facto contractual rights that are contingent on a company's insolvency or entry into an external administration.</w:t>
      </w:r>
      <w:r w:rsidRPr="00395617">
        <w:rPr>
          <w:rStyle w:val="FootnoteReference"/>
          <w:rFonts w:ascii="Arial" w:hAnsi="Arial" w:cs="Arial"/>
          <w:sz w:val="22"/>
          <w:szCs w:val="22"/>
        </w:rPr>
        <w:footnoteReference w:id="42"/>
      </w:r>
      <w:r w:rsidRPr="00395617">
        <w:rPr>
          <w:rFonts w:ascii="Arial" w:hAnsi="Arial" w:cs="Arial"/>
          <w:sz w:val="22"/>
          <w:szCs w:val="22"/>
        </w:rPr>
        <w:t xml:space="preserve"> </w:t>
      </w:r>
    </w:p>
    <w:p w14:paraId="50AF16EC" w14:textId="77777777" w:rsidR="00395617" w:rsidRPr="00395617" w:rsidRDefault="00395617" w:rsidP="00395617">
      <w:pPr>
        <w:rPr>
          <w:rFonts w:ascii="Arial" w:hAnsi="Arial" w:cs="Arial"/>
          <w:sz w:val="22"/>
          <w:szCs w:val="22"/>
        </w:rPr>
      </w:pPr>
    </w:p>
    <w:p w14:paraId="20A9AC37" w14:textId="3FAB937E" w:rsidR="00395617" w:rsidRPr="00395617" w:rsidRDefault="00395617" w:rsidP="00395617">
      <w:pPr>
        <w:rPr>
          <w:rFonts w:ascii="Arial" w:hAnsi="Arial" w:cs="Arial"/>
          <w:sz w:val="22"/>
          <w:szCs w:val="22"/>
        </w:rPr>
      </w:pPr>
      <w:r w:rsidRPr="00395617">
        <w:rPr>
          <w:rFonts w:ascii="Arial" w:hAnsi="Arial" w:cs="Arial"/>
          <w:sz w:val="22"/>
          <w:szCs w:val="22"/>
        </w:rPr>
        <w:t xml:space="preserve">Furthermore, under the Bankruptcy Act, a bankruptcy trustee has the benefit of a statutory ipso facto prohibition, under which any provision in </w:t>
      </w:r>
      <w:r w:rsidRPr="00395617">
        <w:rPr>
          <w:rFonts w:ascii="Arial" w:hAnsi="Arial" w:cs="Arial"/>
          <w:sz w:val="22"/>
          <w:szCs w:val="22"/>
        </w:rPr>
        <w:t>a contract</w:t>
      </w:r>
      <w:r w:rsidRPr="00395617">
        <w:rPr>
          <w:rFonts w:ascii="Arial" w:hAnsi="Arial" w:cs="Arial"/>
          <w:sz w:val="22"/>
          <w:szCs w:val="22"/>
        </w:rPr>
        <w:t xml:space="preserve"> that purports to provide a right to terminate or repossess property upon a debtor's bankruptcy is deemed void.</w:t>
      </w:r>
      <w:r w:rsidRPr="00395617">
        <w:rPr>
          <w:rStyle w:val="FootnoteReference"/>
          <w:rFonts w:ascii="Arial" w:hAnsi="Arial" w:cs="Arial"/>
          <w:sz w:val="22"/>
          <w:szCs w:val="22"/>
        </w:rPr>
        <w:footnoteReference w:id="43"/>
      </w:r>
      <w:r w:rsidRPr="00395617">
        <w:rPr>
          <w:rFonts w:ascii="Arial" w:hAnsi="Arial" w:cs="Arial"/>
          <w:sz w:val="22"/>
          <w:szCs w:val="22"/>
        </w:rPr>
        <w:t xml:space="preserve"> </w:t>
      </w:r>
    </w:p>
    <w:p w14:paraId="2B16D39C" w14:textId="77777777" w:rsidR="00395617" w:rsidRPr="00395617" w:rsidRDefault="00395617" w:rsidP="00395617">
      <w:pPr>
        <w:rPr>
          <w:rFonts w:ascii="Arial" w:hAnsi="Arial" w:cs="Arial"/>
          <w:sz w:val="22"/>
          <w:szCs w:val="22"/>
        </w:rPr>
      </w:pPr>
    </w:p>
    <w:p w14:paraId="28406EF5" w14:textId="25C0D2D4" w:rsidR="00395617" w:rsidRPr="00395617" w:rsidRDefault="00395617" w:rsidP="00395617">
      <w:pPr>
        <w:rPr>
          <w:rFonts w:ascii="Arial" w:hAnsi="Arial" w:cs="Arial"/>
          <w:sz w:val="22"/>
          <w:szCs w:val="22"/>
        </w:rPr>
      </w:pPr>
      <w:r w:rsidRPr="00395617">
        <w:rPr>
          <w:rFonts w:ascii="Arial" w:hAnsi="Arial" w:cs="Arial"/>
          <w:sz w:val="22"/>
          <w:szCs w:val="22"/>
        </w:rPr>
        <w:t>As of September 2017, company directors are also able to take advantage of a 'safe harbour' from insolvent trading liability, which allows director to continue to allow a company to incur debts so long as an informal restructuring attempt under the supervision of an appointed restructuring expert  will be implemented.</w:t>
      </w:r>
      <w:r w:rsidRPr="00395617">
        <w:rPr>
          <w:rStyle w:val="FootnoteReference"/>
          <w:rFonts w:ascii="Arial" w:hAnsi="Arial" w:cs="Arial"/>
          <w:sz w:val="22"/>
          <w:szCs w:val="22"/>
        </w:rPr>
        <w:footnoteReference w:id="44"/>
      </w:r>
      <w:r w:rsidRPr="00395617">
        <w:rPr>
          <w:rFonts w:ascii="Arial" w:hAnsi="Arial" w:cs="Arial"/>
          <w:sz w:val="22"/>
          <w:szCs w:val="22"/>
        </w:rPr>
        <w:t xml:space="preserve"> By providing directors with immunity from insolvent trading liability where the relevant conditions of the Corporations Act are met, the safe harbour provides a key incentive for directors to attempt informal rescue instead of voluntary administration in an effort to invoke a defence to the insolvent trading provisions.</w:t>
      </w:r>
      <w:r w:rsidRPr="00395617">
        <w:rPr>
          <w:rStyle w:val="FootnoteReference"/>
          <w:rFonts w:ascii="Arial" w:hAnsi="Arial" w:cs="Arial"/>
          <w:sz w:val="22"/>
          <w:szCs w:val="22"/>
        </w:rPr>
        <w:footnoteReference w:id="45"/>
      </w:r>
      <w:r w:rsidRPr="00395617">
        <w:rPr>
          <w:rFonts w:ascii="Arial" w:hAnsi="Arial" w:cs="Arial"/>
          <w:sz w:val="22"/>
          <w:szCs w:val="22"/>
        </w:rPr>
        <w:t xml:space="preserve"> </w:t>
      </w:r>
    </w:p>
    <w:p w14:paraId="7164C99B" w14:textId="77777777" w:rsidR="00395617" w:rsidRPr="00395617" w:rsidRDefault="00395617" w:rsidP="00395617">
      <w:pPr>
        <w:rPr>
          <w:rFonts w:ascii="Arial" w:hAnsi="Arial" w:cs="Arial"/>
          <w:sz w:val="22"/>
          <w:szCs w:val="22"/>
        </w:rPr>
      </w:pPr>
    </w:p>
    <w:p w14:paraId="4AED7097" w14:textId="34461B32" w:rsidR="00395617" w:rsidRPr="00395617" w:rsidRDefault="00395617" w:rsidP="00395617">
      <w:pPr>
        <w:rPr>
          <w:rFonts w:ascii="Arial" w:hAnsi="Arial" w:cs="Arial"/>
          <w:sz w:val="22"/>
          <w:szCs w:val="22"/>
        </w:rPr>
      </w:pPr>
      <w:r w:rsidRPr="00395617">
        <w:rPr>
          <w:rFonts w:ascii="Arial" w:hAnsi="Arial" w:cs="Arial"/>
          <w:sz w:val="22"/>
          <w:szCs w:val="22"/>
        </w:rPr>
        <w:t>Whilst the ipso facto moratorium will likely enhance the prospect of a company being resuscitated, or the business being preserved, a creditor with a security interest over the whole or substantially the whole of the company's property is not by virtue of the moratorium prevented from appointing a receiver notwithstanding a voluntary administrator is already in place.</w:t>
      </w:r>
      <w:r w:rsidRPr="00395617">
        <w:rPr>
          <w:rStyle w:val="FootnoteReference"/>
          <w:rFonts w:ascii="Arial" w:hAnsi="Arial" w:cs="Arial"/>
          <w:sz w:val="22"/>
          <w:szCs w:val="22"/>
        </w:rPr>
        <w:footnoteReference w:id="46"/>
      </w:r>
      <w:r w:rsidRPr="00395617">
        <w:rPr>
          <w:rFonts w:ascii="Arial" w:hAnsi="Arial" w:cs="Arial"/>
          <w:sz w:val="22"/>
          <w:szCs w:val="22"/>
        </w:rPr>
        <w:t xml:space="preserve"> </w:t>
      </w:r>
    </w:p>
    <w:p w14:paraId="008E1F84" w14:textId="77777777" w:rsidR="00395617" w:rsidRPr="00395617" w:rsidRDefault="00395617" w:rsidP="00395617">
      <w:pPr>
        <w:rPr>
          <w:rFonts w:ascii="Arial" w:hAnsi="Arial" w:cs="Arial"/>
          <w:sz w:val="22"/>
          <w:szCs w:val="22"/>
        </w:rPr>
      </w:pPr>
    </w:p>
    <w:p w14:paraId="1205248E" w14:textId="37583909" w:rsidR="00395617" w:rsidRPr="00395617" w:rsidRDefault="00395617" w:rsidP="00395617">
      <w:pPr>
        <w:rPr>
          <w:rFonts w:ascii="Arial" w:hAnsi="Arial" w:cs="Arial"/>
          <w:sz w:val="22"/>
          <w:szCs w:val="22"/>
        </w:rPr>
      </w:pPr>
      <w:r w:rsidRPr="00395617">
        <w:rPr>
          <w:rFonts w:ascii="Arial" w:hAnsi="Arial" w:cs="Arial"/>
          <w:sz w:val="22"/>
          <w:szCs w:val="22"/>
        </w:rPr>
        <w:t xml:space="preserve">As such, the practical achievement of company rescue remains heavily </w:t>
      </w:r>
      <w:r w:rsidR="00ED048E" w:rsidRPr="00395617">
        <w:rPr>
          <w:rFonts w:ascii="Arial" w:hAnsi="Arial" w:cs="Arial"/>
          <w:sz w:val="22"/>
          <w:szCs w:val="22"/>
        </w:rPr>
        <w:t>dependent</w:t>
      </w:r>
      <w:r w:rsidRPr="00395617">
        <w:rPr>
          <w:rFonts w:ascii="Arial" w:hAnsi="Arial" w:cs="Arial"/>
          <w:sz w:val="22"/>
          <w:szCs w:val="22"/>
        </w:rPr>
        <w:t xml:space="preserve"> on the support of such major creditors, irrespective of the ipso facto moratorium. </w:t>
      </w:r>
    </w:p>
    <w:p w14:paraId="437A8C98" w14:textId="77777777" w:rsidR="00395617" w:rsidRPr="00395617" w:rsidRDefault="00395617" w:rsidP="00395617">
      <w:pPr>
        <w:rPr>
          <w:rFonts w:ascii="Arial" w:hAnsi="Arial" w:cs="Arial"/>
          <w:sz w:val="22"/>
          <w:szCs w:val="22"/>
        </w:rPr>
      </w:pPr>
    </w:p>
    <w:p w14:paraId="6A580AF0" w14:textId="248A955C" w:rsidR="00395617" w:rsidRPr="00395617" w:rsidRDefault="00395617" w:rsidP="00395617">
      <w:pPr>
        <w:rPr>
          <w:rFonts w:ascii="Arial" w:hAnsi="Arial" w:cs="Arial"/>
          <w:sz w:val="22"/>
          <w:szCs w:val="22"/>
        </w:rPr>
      </w:pPr>
      <w:r w:rsidRPr="00395617">
        <w:rPr>
          <w:rFonts w:ascii="Arial" w:hAnsi="Arial" w:cs="Arial"/>
          <w:sz w:val="22"/>
          <w:szCs w:val="22"/>
        </w:rPr>
        <w:t xml:space="preserve">In addition, while the safe harbour provisions are likely to encourage directors to pursue informal restructuring attempts in order to trade out of the company's financial difficulties, such attempts will largely be reliant to the support of key creditors given the ipso facto moratorium does not apply to such informal </w:t>
      </w:r>
      <w:r w:rsidR="00ED048E" w:rsidRPr="00395617">
        <w:rPr>
          <w:rFonts w:ascii="Arial" w:hAnsi="Arial" w:cs="Arial"/>
          <w:sz w:val="22"/>
          <w:szCs w:val="22"/>
        </w:rPr>
        <w:t>restructuring attempts</w:t>
      </w:r>
      <w:r w:rsidRPr="00395617">
        <w:rPr>
          <w:rFonts w:ascii="Arial" w:hAnsi="Arial" w:cs="Arial"/>
          <w:sz w:val="22"/>
          <w:szCs w:val="22"/>
        </w:rPr>
        <w:t xml:space="preserve">. </w:t>
      </w:r>
    </w:p>
    <w:p w14:paraId="299738D4" w14:textId="77777777" w:rsidR="00395617" w:rsidRPr="00395617" w:rsidRDefault="00395617" w:rsidP="00395617">
      <w:pPr>
        <w:rPr>
          <w:rFonts w:ascii="Arial" w:hAnsi="Arial" w:cs="Arial"/>
          <w:sz w:val="22"/>
          <w:szCs w:val="22"/>
        </w:rPr>
      </w:pPr>
    </w:p>
    <w:p w14:paraId="5700E683" w14:textId="296BF38F" w:rsidR="008420F8" w:rsidRPr="00395617" w:rsidRDefault="00395617" w:rsidP="00395617">
      <w:pPr>
        <w:rPr>
          <w:rFonts w:ascii="Arial" w:hAnsi="Arial" w:cs="Arial"/>
          <w:sz w:val="22"/>
          <w:szCs w:val="22"/>
        </w:rPr>
      </w:pPr>
      <w:r w:rsidRPr="00395617">
        <w:rPr>
          <w:rFonts w:ascii="Arial" w:hAnsi="Arial" w:cs="Arial"/>
          <w:sz w:val="22"/>
          <w:szCs w:val="22"/>
        </w:rPr>
        <w:t xml:space="preserve">Ultimately, while the recent reforms have indeed made Australia a more debtor-friendly jurisdiction, a true shift away from Australia's creditor friendly regime has not fully been achieved. A further and more significant change in the underlying anti-collectivist creditor enforcement culture remains necessary. </w:t>
      </w:r>
    </w:p>
    <w:p w14:paraId="311CA539" w14:textId="7C1DE4B3" w:rsidR="00DF75F8" w:rsidRPr="00B2234F" w:rsidRDefault="00DF75F8" w:rsidP="002A37BB">
      <w:pPr>
        <w:jc w:val="both"/>
        <w:rPr>
          <w:rFonts w:ascii="Avenir Next" w:hAnsi="Avenir Next" w:cs="Arial"/>
          <w:sz w:val="22"/>
          <w:szCs w:val="22"/>
        </w:rPr>
      </w:pPr>
    </w:p>
    <w:p w14:paraId="0E678DF9" w14:textId="77777777" w:rsidR="009B0723" w:rsidRPr="00B04780" w:rsidRDefault="00DF75F8"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 4</w:t>
      </w:r>
      <w:r w:rsidR="009B0723" w:rsidRPr="00B04780">
        <w:rPr>
          <w:rFonts w:ascii="Avenir Next Demi Bold" w:hAnsi="Avenir Next Demi Bold" w:cs="Arial"/>
          <w:b/>
          <w:bCs/>
          <w:sz w:val="22"/>
          <w:szCs w:val="22"/>
          <w:lang w:val="en-GB"/>
        </w:rPr>
        <w:t xml:space="preserve"> (fact-based application-type question) [15 marks</w:t>
      </w:r>
      <w:r w:rsidR="006A2646" w:rsidRPr="00B04780">
        <w:rPr>
          <w:rFonts w:ascii="Avenir Next Demi Bold" w:hAnsi="Avenir Next Demi Bold" w:cs="Arial"/>
          <w:b/>
          <w:bCs/>
          <w:sz w:val="22"/>
          <w:szCs w:val="22"/>
          <w:lang w:val="en-GB"/>
        </w:rPr>
        <w:t xml:space="preserve"> in total</w:t>
      </w:r>
      <w:r w:rsidR="009B0723" w:rsidRPr="00B04780">
        <w:rPr>
          <w:rFonts w:ascii="Avenir Next Demi Bold" w:hAnsi="Avenir Next Demi Bold" w:cs="Arial"/>
          <w:b/>
          <w:bCs/>
          <w:sz w:val="22"/>
          <w:szCs w:val="22"/>
          <w:lang w:val="en-GB"/>
        </w:rPr>
        <w:t>]</w:t>
      </w:r>
    </w:p>
    <w:p w14:paraId="35BE3E6F" w14:textId="77777777" w:rsidR="009B0723" w:rsidRPr="00B2234F" w:rsidRDefault="009B0723" w:rsidP="00087F21">
      <w:pPr>
        <w:jc w:val="both"/>
        <w:rPr>
          <w:rFonts w:ascii="Avenir Next" w:hAnsi="Avenir Next" w:cs="Arial"/>
          <w:sz w:val="22"/>
          <w:szCs w:val="22"/>
          <w:lang w:val="en-GB"/>
        </w:rPr>
      </w:pPr>
    </w:p>
    <w:p w14:paraId="5E6DEBE8" w14:textId="2C97A4F7" w:rsidR="002F75A3" w:rsidRPr="00B04780" w:rsidRDefault="009B0723" w:rsidP="00087F21">
      <w:pPr>
        <w:jc w:val="both"/>
        <w:rPr>
          <w:rFonts w:ascii="Avenir Next Demi Bold" w:hAnsi="Avenir Next Demi Bold" w:cs="Arial"/>
          <w:b/>
          <w:bCs/>
          <w:sz w:val="22"/>
          <w:szCs w:val="22"/>
          <w:lang w:val="en-GB"/>
        </w:rPr>
      </w:pPr>
      <w:bookmarkStart w:id="0" w:name="_Hlk17745211"/>
      <w:r w:rsidRPr="00B04780">
        <w:rPr>
          <w:rFonts w:ascii="Avenir Next Demi Bold" w:hAnsi="Avenir Next Demi Bold" w:cs="Arial"/>
          <w:b/>
          <w:bCs/>
          <w:sz w:val="22"/>
          <w:szCs w:val="22"/>
          <w:lang w:val="en-GB"/>
        </w:rPr>
        <w:t>Question 4.</w:t>
      </w:r>
      <w:r w:rsidR="002476AF" w:rsidRPr="00B04780">
        <w:rPr>
          <w:rFonts w:ascii="Avenir Next Demi Bold" w:hAnsi="Avenir Next Demi Bold" w:cs="Arial"/>
          <w:b/>
          <w:bCs/>
          <w:sz w:val="22"/>
          <w:szCs w:val="22"/>
          <w:lang w:val="en-GB"/>
        </w:rPr>
        <w:t xml:space="preserve">1 [maximum </w:t>
      </w:r>
      <w:r w:rsidR="00AE21A8" w:rsidRPr="00B04780">
        <w:rPr>
          <w:rFonts w:ascii="Avenir Next Demi Bold" w:hAnsi="Avenir Next Demi Bold" w:cs="Arial"/>
          <w:b/>
          <w:bCs/>
          <w:sz w:val="22"/>
          <w:szCs w:val="22"/>
          <w:lang w:val="en-GB"/>
        </w:rPr>
        <w:t>8</w:t>
      </w:r>
      <w:r w:rsidR="00087F21" w:rsidRPr="00B04780">
        <w:rPr>
          <w:rFonts w:ascii="Avenir Next Demi Bold" w:hAnsi="Avenir Next Demi Bold" w:cs="Arial"/>
          <w:b/>
          <w:bCs/>
          <w:sz w:val="22"/>
          <w:szCs w:val="22"/>
          <w:lang w:val="en-GB"/>
        </w:rPr>
        <w:t xml:space="preserve"> marks]</w:t>
      </w:r>
    </w:p>
    <w:p w14:paraId="3A001D57" w14:textId="77777777" w:rsidR="002F75A3" w:rsidRPr="00B2234F" w:rsidRDefault="002F75A3" w:rsidP="00087F21">
      <w:pPr>
        <w:jc w:val="both"/>
        <w:rPr>
          <w:rFonts w:ascii="Avenir Next" w:hAnsi="Avenir Next" w:cs="Arial"/>
          <w:b/>
          <w:bCs/>
          <w:sz w:val="22"/>
          <w:szCs w:val="22"/>
          <w:lang w:val="en-GB"/>
        </w:rPr>
      </w:pPr>
    </w:p>
    <w:p w14:paraId="27DF5501" w14:textId="3D3E0AFC"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Pty Ltd (</w:t>
      </w:r>
      <w:r w:rsidRPr="00B2234F">
        <w:rPr>
          <w:rFonts w:ascii="Avenir Next" w:hAnsi="Avenir Next" w:cs="Arial"/>
          <w:bCs/>
          <w:sz w:val="22"/>
          <w:szCs w:val="22"/>
          <w:lang w:val="en-GB"/>
        </w:rPr>
        <w:t>Aussiebee</w:t>
      </w:r>
      <w:r w:rsidRPr="00B2234F">
        <w:rPr>
          <w:rFonts w:ascii="Avenir Next" w:hAnsi="Avenir Next" w:cs="Arial"/>
          <w:sz w:val="22"/>
          <w:szCs w:val="22"/>
          <w:lang w:val="en-GB"/>
        </w:rPr>
        <w:t xml:space="preserve">), a company incorporated in the fictional country of Lyonesse, sells chocolates flavoured with Australian native plants. The chocolates are manufactured in Australia by NewYums Pty Ltd (NewYums), an Australian-incorporated wholly-owned subsidiary of Aussiebee. </w:t>
      </w:r>
    </w:p>
    <w:p w14:paraId="3DCCC8B4" w14:textId="77777777" w:rsidR="00E14FED" w:rsidRPr="00B2234F" w:rsidRDefault="00E14FED" w:rsidP="00E14FED">
      <w:pPr>
        <w:jc w:val="both"/>
        <w:rPr>
          <w:rFonts w:ascii="Avenir Next" w:hAnsi="Avenir Next" w:cs="Arial"/>
          <w:sz w:val="22"/>
          <w:szCs w:val="22"/>
          <w:lang w:val="en-GB"/>
        </w:rPr>
      </w:pPr>
    </w:p>
    <w:p w14:paraId="743C63D9" w14:textId="42844776"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 xml:space="preserve">Aussiebee has offices in both Sydney and in Lyonesse. </w:t>
      </w:r>
      <w:r w:rsidR="00F477C9" w:rsidRPr="00B2234F">
        <w:rPr>
          <w:rFonts w:ascii="Avenir Next" w:hAnsi="Avenir Next" w:cs="Arial"/>
          <w:sz w:val="22"/>
          <w:szCs w:val="22"/>
          <w:lang w:val="en-GB"/>
        </w:rPr>
        <w:t xml:space="preserve">Its warehouses are only in Sydney. </w:t>
      </w:r>
      <w:r w:rsidRPr="00B2234F">
        <w:rPr>
          <w:rFonts w:ascii="Avenir Next" w:hAnsi="Avenir Next" w:cs="Arial"/>
          <w:sz w:val="22"/>
          <w:szCs w:val="22"/>
          <w:lang w:val="en-GB"/>
        </w:rPr>
        <w:t>Aussiebee regularly s</w:t>
      </w:r>
      <w:r w:rsidR="00A55389" w:rsidRPr="00B2234F">
        <w:rPr>
          <w:rFonts w:ascii="Avenir Next" w:hAnsi="Avenir Next" w:cs="Arial"/>
          <w:sz w:val="22"/>
          <w:szCs w:val="22"/>
          <w:lang w:val="en-GB"/>
        </w:rPr>
        <w:t>ells</w:t>
      </w:r>
      <w:r w:rsidRPr="00B2234F">
        <w:rPr>
          <w:rFonts w:ascii="Avenir Next" w:hAnsi="Avenir Next" w:cs="Arial"/>
          <w:sz w:val="22"/>
          <w:szCs w:val="22"/>
          <w:lang w:val="en-GB"/>
        </w:rPr>
        <w:t xml:space="preserve"> its chocolates all over the world</w:t>
      </w:r>
      <w:r w:rsidR="00F477C9" w:rsidRPr="00B2234F">
        <w:rPr>
          <w:rFonts w:ascii="Avenir Next" w:hAnsi="Avenir Next" w:cs="Arial"/>
          <w:sz w:val="22"/>
          <w:szCs w:val="22"/>
          <w:lang w:val="en-GB"/>
        </w:rPr>
        <w:t xml:space="preserve">, with orders received in Lyonesse and shipped </w:t>
      </w:r>
      <w:r w:rsidRPr="00B2234F">
        <w:rPr>
          <w:rFonts w:ascii="Avenir Next" w:hAnsi="Avenir Next" w:cs="Arial"/>
          <w:sz w:val="22"/>
          <w:szCs w:val="22"/>
          <w:lang w:val="en-GB"/>
        </w:rPr>
        <w:t xml:space="preserve">from </w:t>
      </w:r>
      <w:r w:rsidR="00F477C9" w:rsidRPr="00B2234F">
        <w:rPr>
          <w:rFonts w:ascii="Avenir Next" w:hAnsi="Avenir Next" w:cs="Arial"/>
          <w:sz w:val="22"/>
          <w:szCs w:val="22"/>
          <w:lang w:val="en-GB"/>
        </w:rPr>
        <w:t>the</w:t>
      </w:r>
      <w:r w:rsidRPr="00B2234F">
        <w:rPr>
          <w:rFonts w:ascii="Avenir Next" w:hAnsi="Avenir Next" w:cs="Arial"/>
          <w:sz w:val="22"/>
          <w:szCs w:val="22"/>
          <w:lang w:val="en-GB"/>
        </w:rPr>
        <w:t xml:space="preserve"> Sydney warehouse</w:t>
      </w:r>
      <w:r w:rsidR="00F477C9" w:rsidRPr="00B2234F">
        <w:rPr>
          <w:rFonts w:ascii="Avenir Next" w:hAnsi="Avenir Next" w:cs="Arial"/>
          <w:sz w:val="22"/>
          <w:szCs w:val="22"/>
          <w:lang w:val="en-GB"/>
        </w:rPr>
        <w:t>s</w:t>
      </w:r>
      <w:r w:rsidRPr="00B2234F">
        <w:rPr>
          <w:rFonts w:ascii="Avenir Next" w:hAnsi="Avenir Next" w:cs="Arial"/>
          <w:sz w:val="22"/>
          <w:szCs w:val="22"/>
          <w:lang w:val="en-GB"/>
        </w:rPr>
        <w:t>. Aussie</w:t>
      </w:r>
      <w:r w:rsidR="0089536F" w:rsidRPr="00B2234F">
        <w:rPr>
          <w:rFonts w:ascii="Avenir Next" w:hAnsi="Avenir Next" w:cs="Arial"/>
          <w:sz w:val="22"/>
          <w:szCs w:val="22"/>
          <w:lang w:val="en-GB"/>
        </w:rPr>
        <w:t>b</w:t>
      </w:r>
      <w:r w:rsidRPr="00B2234F">
        <w:rPr>
          <w:rFonts w:ascii="Avenir Next" w:hAnsi="Avenir Next" w:cs="Arial"/>
          <w:sz w:val="22"/>
          <w:szCs w:val="22"/>
          <w:lang w:val="en-GB"/>
        </w:rPr>
        <w:t>ee and NewYums share a board of directors, made up of six Australians and one Lyonessian. Aussi</w:t>
      </w:r>
      <w:r w:rsidR="0089536F" w:rsidRPr="00B2234F">
        <w:rPr>
          <w:rFonts w:ascii="Avenir Next" w:hAnsi="Avenir Next" w:cs="Arial"/>
          <w:sz w:val="22"/>
          <w:szCs w:val="22"/>
          <w:lang w:val="en-GB"/>
        </w:rPr>
        <w:t>e</w:t>
      </w:r>
      <w:r w:rsidRPr="00B2234F">
        <w:rPr>
          <w:rFonts w:ascii="Avenir Next" w:hAnsi="Avenir Next" w:cs="Arial"/>
          <w:sz w:val="22"/>
          <w:szCs w:val="22"/>
          <w:lang w:val="en-GB"/>
        </w:rPr>
        <w:t>bee employed 40 staff</w:t>
      </w:r>
      <w:r w:rsidR="00A55389" w:rsidRPr="00B2234F">
        <w:rPr>
          <w:rFonts w:ascii="Avenir Next" w:hAnsi="Avenir Next" w:cs="Arial"/>
          <w:sz w:val="22"/>
          <w:szCs w:val="22"/>
          <w:lang w:val="en-GB"/>
        </w:rPr>
        <w:t xml:space="preserve">: </w:t>
      </w:r>
      <w:r w:rsidRPr="00B2234F">
        <w:rPr>
          <w:rFonts w:ascii="Avenir Next" w:hAnsi="Avenir Next" w:cs="Arial"/>
          <w:sz w:val="22"/>
          <w:szCs w:val="22"/>
          <w:lang w:val="en-GB"/>
        </w:rPr>
        <w:t>20 in Sydney and 20 in Lyonesse. Aussiebee’s CEO is an Australian, but resident in Lyonesse. Aussiebee’s CFO is an Australian, resident in Australia.</w:t>
      </w:r>
    </w:p>
    <w:p w14:paraId="4BCF8074" w14:textId="77777777" w:rsidR="00E14FED" w:rsidRPr="00B2234F" w:rsidRDefault="00E14FED" w:rsidP="00E14FED">
      <w:pPr>
        <w:jc w:val="both"/>
        <w:rPr>
          <w:rFonts w:ascii="Avenir Next" w:hAnsi="Avenir Next" w:cs="Arial"/>
          <w:sz w:val="22"/>
          <w:szCs w:val="22"/>
          <w:lang w:val="en-GB"/>
        </w:rPr>
      </w:pPr>
    </w:p>
    <w:p w14:paraId="727FCF75" w14:textId="77777777"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is insolvent. NewYums, however, remains solvent.</w:t>
      </w:r>
    </w:p>
    <w:p w14:paraId="2C46BC3B" w14:textId="77777777" w:rsidR="00E14FED" w:rsidRPr="00B2234F" w:rsidRDefault="00E14FED" w:rsidP="00E14FED">
      <w:pPr>
        <w:jc w:val="both"/>
        <w:rPr>
          <w:rFonts w:ascii="Avenir Next" w:hAnsi="Avenir Next" w:cs="Arial"/>
          <w:sz w:val="22"/>
          <w:szCs w:val="22"/>
          <w:lang w:val="en-GB"/>
        </w:rPr>
      </w:pPr>
    </w:p>
    <w:p w14:paraId="30AFFFAC" w14:textId="259C3A60"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 liquidator has been appointed to Aussiebee in Lyonesse. She applies to the Federal Court of Australia for recognition of the Lyonessian liquidation as a foreign main proceeding</w:t>
      </w:r>
      <w:r w:rsidR="00B108A5" w:rsidRPr="00B2234F">
        <w:rPr>
          <w:rFonts w:ascii="Avenir Next" w:hAnsi="Avenir Next" w:cs="Arial"/>
          <w:sz w:val="22"/>
          <w:szCs w:val="22"/>
          <w:lang w:val="en-GB"/>
        </w:rPr>
        <w:t xml:space="preserve"> under the </w:t>
      </w:r>
      <w:r w:rsidR="00B108A5" w:rsidRPr="00B2234F">
        <w:rPr>
          <w:rFonts w:ascii="Avenir Next" w:hAnsi="Avenir Next" w:cs="Arial"/>
          <w:i/>
          <w:iCs/>
          <w:sz w:val="22"/>
          <w:szCs w:val="22"/>
          <w:lang w:val="en-GB"/>
        </w:rPr>
        <w:t>Cross-Border Insolvency Act 2008</w:t>
      </w:r>
      <w:r w:rsidRPr="00B2234F">
        <w:rPr>
          <w:rFonts w:ascii="Avenir Next" w:hAnsi="Avenir Next" w:cs="Arial"/>
          <w:sz w:val="22"/>
          <w:szCs w:val="22"/>
          <w:lang w:val="en-GB"/>
        </w:rPr>
        <w:t>, and for orders entrusting Aussiebee’s assets (including Aussiebee’s shares in NewYums which are worth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20 million) to her, so that she can realise them for the benefit of creditors in the Lyonessian liquidation.</w:t>
      </w:r>
    </w:p>
    <w:p w14:paraId="6AF033F6" w14:textId="77777777" w:rsidR="00E14FED" w:rsidRPr="00B2234F" w:rsidRDefault="00E14FED" w:rsidP="00E14FED">
      <w:pPr>
        <w:jc w:val="both"/>
        <w:rPr>
          <w:rFonts w:ascii="Avenir Next" w:hAnsi="Avenir Next" w:cs="Arial"/>
          <w:sz w:val="22"/>
          <w:szCs w:val="22"/>
          <w:lang w:val="en-GB"/>
        </w:rPr>
      </w:pPr>
    </w:p>
    <w:p w14:paraId="1C065357" w14:textId="24CF7869"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owes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Pr="00B2234F" w:rsidRDefault="00E14FED" w:rsidP="00E14FED">
      <w:pPr>
        <w:jc w:val="both"/>
        <w:rPr>
          <w:rFonts w:ascii="Avenir Next" w:hAnsi="Avenir Next" w:cs="Arial"/>
          <w:sz w:val="22"/>
          <w:szCs w:val="22"/>
          <w:lang w:val="en-GB"/>
        </w:rPr>
      </w:pPr>
    </w:p>
    <w:p w14:paraId="5EC70A86" w14:textId="5DDF196A" w:rsidR="00E14FED"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You are advising the ATO. What should the ATO do to protect or improve its position?</w:t>
      </w:r>
    </w:p>
    <w:p w14:paraId="52DED2EB" w14:textId="494E724A" w:rsidR="008420F8" w:rsidRDefault="008420F8" w:rsidP="00E14FED">
      <w:pPr>
        <w:jc w:val="both"/>
        <w:rPr>
          <w:rFonts w:ascii="Avenir Next" w:hAnsi="Avenir Next" w:cs="Arial"/>
          <w:sz w:val="22"/>
          <w:szCs w:val="22"/>
          <w:lang w:val="en-GB"/>
        </w:rPr>
      </w:pPr>
    </w:p>
    <w:p w14:paraId="27762E84" w14:textId="7BE34DF9" w:rsidR="00395617" w:rsidRPr="00395617" w:rsidRDefault="00395617" w:rsidP="00395617">
      <w:pPr>
        <w:rPr>
          <w:rFonts w:ascii="Arial" w:hAnsi="Arial" w:cs="Arial"/>
          <w:sz w:val="22"/>
          <w:szCs w:val="22"/>
        </w:rPr>
      </w:pPr>
      <w:r w:rsidRPr="00395617">
        <w:rPr>
          <w:rFonts w:ascii="Arial" w:hAnsi="Arial" w:cs="Arial"/>
          <w:sz w:val="22"/>
          <w:szCs w:val="22"/>
        </w:rPr>
        <w:t>The ATO should firstly oppose the recognition of the Lyonessian liquidation in Australia under the Cross-Border Insolvency Act 2008 (</w:t>
      </w:r>
      <w:r w:rsidRPr="00395617">
        <w:rPr>
          <w:rFonts w:ascii="Arial" w:hAnsi="Arial" w:cs="Arial"/>
          <w:b/>
          <w:bCs/>
          <w:sz w:val="22"/>
          <w:szCs w:val="22"/>
        </w:rPr>
        <w:t>CBIA</w:t>
      </w:r>
      <w:r w:rsidRPr="00395617">
        <w:rPr>
          <w:rFonts w:ascii="Arial" w:hAnsi="Arial" w:cs="Arial"/>
          <w:sz w:val="22"/>
          <w:szCs w:val="22"/>
        </w:rPr>
        <w:t xml:space="preserve">) in order to prevent orders being granted in relation to Aussiebee's assets. </w:t>
      </w:r>
    </w:p>
    <w:p w14:paraId="5A33495C" w14:textId="77777777" w:rsidR="00395617" w:rsidRPr="00395617" w:rsidRDefault="00395617" w:rsidP="00395617">
      <w:pPr>
        <w:rPr>
          <w:rFonts w:ascii="Arial" w:hAnsi="Arial" w:cs="Arial"/>
          <w:sz w:val="22"/>
          <w:szCs w:val="22"/>
        </w:rPr>
      </w:pPr>
    </w:p>
    <w:p w14:paraId="1F32E662" w14:textId="7C922AA8" w:rsidR="00395617" w:rsidRPr="00395617" w:rsidRDefault="00395617" w:rsidP="00395617">
      <w:pPr>
        <w:rPr>
          <w:rFonts w:ascii="Arial" w:hAnsi="Arial" w:cs="Arial"/>
          <w:sz w:val="22"/>
          <w:szCs w:val="22"/>
        </w:rPr>
      </w:pPr>
      <w:r w:rsidRPr="00395617">
        <w:rPr>
          <w:rFonts w:ascii="Arial" w:hAnsi="Arial" w:cs="Arial"/>
          <w:sz w:val="22"/>
          <w:szCs w:val="22"/>
        </w:rPr>
        <w:t>Australia's CBIA has adopted the UNCITRAL Model Law on Cross-Border Insolvency (</w:t>
      </w:r>
      <w:r w:rsidRPr="00395617">
        <w:rPr>
          <w:rFonts w:ascii="Arial" w:hAnsi="Arial" w:cs="Arial"/>
          <w:b/>
          <w:bCs/>
          <w:sz w:val="22"/>
          <w:szCs w:val="22"/>
        </w:rPr>
        <w:t>Model Law</w:t>
      </w:r>
      <w:r w:rsidRPr="00395617">
        <w:rPr>
          <w:rFonts w:ascii="Arial" w:hAnsi="Arial" w:cs="Arial"/>
          <w:sz w:val="22"/>
          <w:szCs w:val="22"/>
        </w:rPr>
        <w:t>) by way of Schedule to CBIA.</w:t>
      </w:r>
      <w:r w:rsidRPr="00395617">
        <w:rPr>
          <w:rStyle w:val="FootnoteReference"/>
          <w:rFonts w:ascii="Arial" w:hAnsi="Arial" w:cs="Arial"/>
          <w:sz w:val="22"/>
          <w:szCs w:val="22"/>
        </w:rPr>
        <w:footnoteReference w:id="47"/>
      </w:r>
      <w:r w:rsidRPr="00395617">
        <w:rPr>
          <w:rFonts w:ascii="Arial" w:hAnsi="Arial" w:cs="Arial"/>
          <w:sz w:val="22"/>
          <w:szCs w:val="22"/>
        </w:rPr>
        <w:t xml:space="preserve"> As such, the Model Law is applicable in Australia.</w:t>
      </w:r>
    </w:p>
    <w:p w14:paraId="0E7B5FE0" w14:textId="77777777" w:rsidR="00395617" w:rsidRPr="00395617" w:rsidRDefault="00395617" w:rsidP="00395617">
      <w:pPr>
        <w:rPr>
          <w:rFonts w:ascii="Arial" w:hAnsi="Arial" w:cs="Arial"/>
          <w:sz w:val="22"/>
          <w:szCs w:val="22"/>
        </w:rPr>
      </w:pPr>
    </w:p>
    <w:p w14:paraId="7EBD06A7" w14:textId="2E19DD22" w:rsidR="00395617" w:rsidRPr="00395617" w:rsidRDefault="00395617" w:rsidP="00395617">
      <w:pPr>
        <w:rPr>
          <w:rFonts w:ascii="Arial" w:hAnsi="Arial" w:cs="Arial"/>
          <w:sz w:val="22"/>
          <w:szCs w:val="22"/>
        </w:rPr>
      </w:pPr>
      <w:r w:rsidRPr="00395617">
        <w:rPr>
          <w:rFonts w:ascii="Arial" w:hAnsi="Arial" w:cs="Arial"/>
          <w:sz w:val="22"/>
          <w:szCs w:val="22"/>
        </w:rPr>
        <w:t>Recognition is dealt with in article 17(2) of the Model Law, which states that the foreign proceeding shall be recognised as a foreign main proceeding if it is taking place in the State where the debtor has the centre of its main interest (</w:t>
      </w:r>
      <w:r w:rsidRPr="00395617">
        <w:rPr>
          <w:rFonts w:ascii="Arial" w:hAnsi="Arial" w:cs="Arial"/>
          <w:b/>
          <w:bCs/>
          <w:sz w:val="22"/>
          <w:szCs w:val="22"/>
        </w:rPr>
        <w:t>COMI</w:t>
      </w:r>
      <w:r w:rsidRPr="00395617">
        <w:rPr>
          <w:rFonts w:ascii="Arial" w:hAnsi="Arial" w:cs="Arial"/>
          <w:sz w:val="22"/>
          <w:szCs w:val="22"/>
        </w:rPr>
        <w:t>).</w:t>
      </w:r>
      <w:r w:rsidRPr="00395617">
        <w:rPr>
          <w:rStyle w:val="FootnoteReference"/>
          <w:rFonts w:ascii="Arial" w:hAnsi="Arial" w:cs="Arial"/>
          <w:sz w:val="22"/>
          <w:szCs w:val="22"/>
        </w:rPr>
        <w:footnoteReference w:id="48"/>
      </w:r>
    </w:p>
    <w:p w14:paraId="31452324" w14:textId="77777777" w:rsidR="00395617" w:rsidRPr="00395617" w:rsidRDefault="00395617" w:rsidP="00395617">
      <w:pPr>
        <w:rPr>
          <w:rFonts w:ascii="Arial" w:hAnsi="Arial" w:cs="Arial"/>
          <w:sz w:val="22"/>
          <w:szCs w:val="22"/>
        </w:rPr>
      </w:pPr>
    </w:p>
    <w:p w14:paraId="34B538B1" w14:textId="4461E1FC" w:rsidR="00395617" w:rsidRPr="00395617" w:rsidRDefault="00395617" w:rsidP="00395617">
      <w:pPr>
        <w:rPr>
          <w:rFonts w:ascii="Arial" w:hAnsi="Arial" w:cs="Arial"/>
          <w:sz w:val="22"/>
          <w:szCs w:val="22"/>
        </w:rPr>
      </w:pPr>
      <w:r w:rsidRPr="00395617">
        <w:rPr>
          <w:rFonts w:ascii="Arial" w:hAnsi="Arial" w:cs="Arial"/>
          <w:sz w:val="22"/>
          <w:szCs w:val="22"/>
        </w:rPr>
        <w:t xml:space="preserve">As such, recognition in Australia will depend on whether or not the liquidator can establish that Aussiebee's COMI is in Lyonesse. </w:t>
      </w:r>
    </w:p>
    <w:p w14:paraId="7A276C71" w14:textId="77777777" w:rsidR="00395617" w:rsidRPr="00395617" w:rsidRDefault="00395617" w:rsidP="00395617">
      <w:pPr>
        <w:rPr>
          <w:rFonts w:ascii="Arial" w:hAnsi="Arial" w:cs="Arial"/>
          <w:sz w:val="22"/>
          <w:szCs w:val="22"/>
        </w:rPr>
      </w:pPr>
    </w:p>
    <w:p w14:paraId="274CBA3D" w14:textId="55781A78" w:rsidR="00395617" w:rsidRPr="00395617" w:rsidRDefault="00395617" w:rsidP="00395617">
      <w:pPr>
        <w:rPr>
          <w:rFonts w:ascii="Arial" w:hAnsi="Arial" w:cs="Arial"/>
          <w:sz w:val="22"/>
          <w:szCs w:val="22"/>
        </w:rPr>
      </w:pPr>
      <w:r w:rsidRPr="00395617">
        <w:rPr>
          <w:rFonts w:ascii="Arial" w:hAnsi="Arial" w:cs="Arial"/>
          <w:sz w:val="22"/>
          <w:szCs w:val="22"/>
        </w:rPr>
        <w:t xml:space="preserve">The case of </w:t>
      </w:r>
      <w:r w:rsidRPr="00395617">
        <w:rPr>
          <w:rFonts w:ascii="Arial" w:hAnsi="Arial" w:cs="Arial"/>
          <w:i/>
          <w:iCs/>
          <w:sz w:val="22"/>
          <w:szCs w:val="22"/>
        </w:rPr>
        <w:t>Ackers v Saad Investments</w:t>
      </w:r>
      <w:r w:rsidRPr="00395617">
        <w:rPr>
          <w:rStyle w:val="FootnoteReference"/>
          <w:rFonts w:ascii="Arial" w:hAnsi="Arial" w:cs="Arial"/>
          <w:sz w:val="22"/>
          <w:szCs w:val="22"/>
        </w:rPr>
        <w:footnoteReference w:id="49"/>
      </w:r>
      <w:r w:rsidRPr="00395617">
        <w:rPr>
          <w:rFonts w:ascii="Arial" w:hAnsi="Arial" w:cs="Arial"/>
          <w:sz w:val="22"/>
          <w:szCs w:val="22"/>
        </w:rPr>
        <w:t xml:space="preserve"> is useful as it expressly adopted the principles in </w:t>
      </w:r>
      <w:r w:rsidRPr="00395617">
        <w:rPr>
          <w:rFonts w:ascii="Arial" w:hAnsi="Arial" w:cs="Arial"/>
          <w:i/>
          <w:iCs/>
          <w:sz w:val="22"/>
          <w:szCs w:val="22"/>
        </w:rPr>
        <w:t>Re Eurofoods IFSC Ltd</w:t>
      </w:r>
      <w:r w:rsidRPr="00395617">
        <w:rPr>
          <w:rFonts w:ascii="Arial" w:hAnsi="Arial" w:cs="Arial"/>
          <w:sz w:val="22"/>
          <w:szCs w:val="22"/>
        </w:rPr>
        <w:t xml:space="preserve"> which held that COMI is to be determined having regard to the objectively ascertainable factors of the debtor.</w:t>
      </w:r>
      <w:r w:rsidRPr="00395617">
        <w:rPr>
          <w:rStyle w:val="FootnoteReference"/>
          <w:rFonts w:ascii="Arial" w:hAnsi="Arial" w:cs="Arial"/>
          <w:sz w:val="22"/>
          <w:szCs w:val="22"/>
        </w:rPr>
        <w:footnoteReference w:id="50"/>
      </w:r>
    </w:p>
    <w:p w14:paraId="7B9C4B53" w14:textId="77777777" w:rsidR="00395617" w:rsidRPr="00395617" w:rsidRDefault="00395617" w:rsidP="00395617">
      <w:pPr>
        <w:rPr>
          <w:rFonts w:ascii="Arial" w:hAnsi="Arial" w:cs="Arial"/>
          <w:sz w:val="22"/>
          <w:szCs w:val="22"/>
        </w:rPr>
      </w:pPr>
    </w:p>
    <w:p w14:paraId="45918B21" w14:textId="3602B846" w:rsidR="00395617" w:rsidRPr="00395617" w:rsidRDefault="00395617" w:rsidP="00395617">
      <w:pPr>
        <w:rPr>
          <w:rFonts w:ascii="Arial" w:hAnsi="Arial" w:cs="Arial"/>
          <w:sz w:val="22"/>
          <w:szCs w:val="22"/>
        </w:rPr>
      </w:pPr>
      <w:r w:rsidRPr="00395617">
        <w:rPr>
          <w:rFonts w:ascii="Arial" w:hAnsi="Arial" w:cs="Arial"/>
          <w:sz w:val="22"/>
          <w:szCs w:val="22"/>
        </w:rPr>
        <w:lastRenderedPageBreak/>
        <w:t xml:space="preserve">Here, the ATO could oppose recognition of the Lyonessian liquidation as a foreign main proceeding on the basis that Lyonesse is not Aussiebee's COMI. Although Aussiebee is incorporated in Lyonesse, and has an office and staff in Lyonesse, objectively, the factors support a finding that Lyonesse is not Aussiebee's COMI. In support of this argument, the ATO could refer to the fact that six of Aussiebee's seven directors are based in Australia, it has an office and half of its staff in Sydney, the manufacturing of its goods as well as the shipping is done in and from Australia and its CEO and CFO are both based in Australia. </w:t>
      </w:r>
    </w:p>
    <w:p w14:paraId="2164187E" w14:textId="77777777" w:rsidR="00395617" w:rsidRPr="00395617" w:rsidRDefault="00395617" w:rsidP="00395617">
      <w:pPr>
        <w:rPr>
          <w:rFonts w:ascii="Arial" w:hAnsi="Arial" w:cs="Arial"/>
          <w:sz w:val="22"/>
          <w:szCs w:val="22"/>
        </w:rPr>
      </w:pPr>
    </w:p>
    <w:p w14:paraId="7B934A13" w14:textId="180C630E" w:rsidR="00395617" w:rsidRPr="00395617" w:rsidRDefault="00395617" w:rsidP="00395617">
      <w:pPr>
        <w:rPr>
          <w:rFonts w:ascii="Arial" w:hAnsi="Arial" w:cs="Arial"/>
          <w:sz w:val="22"/>
          <w:szCs w:val="22"/>
        </w:rPr>
      </w:pPr>
      <w:r w:rsidRPr="00395617">
        <w:rPr>
          <w:rFonts w:ascii="Arial" w:hAnsi="Arial" w:cs="Arial"/>
          <w:sz w:val="22"/>
          <w:szCs w:val="22"/>
        </w:rPr>
        <w:t>Even if the Lyonessian liquidation was granted recognition as a foreign main proceeding under the Model Law, the ATO could nonetheless oppose enforcement of the judgment.</w:t>
      </w:r>
    </w:p>
    <w:p w14:paraId="2E40DC4A" w14:textId="77777777" w:rsidR="00395617" w:rsidRPr="00395617" w:rsidRDefault="00395617" w:rsidP="00395617">
      <w:pPr>
        <w:rPr>
          <w:rFonts w:ascii="Arial" w:hAnsi="Arial" w:cs="Arial"/>
          <w:sz w:val="22"/>
          <w:szCs w:val="22"/>
        </w:rPr>
      </w:pPr>
    </w:p>
    <w:p w14:paraId="5C8DB9FB" w14:textId="094FD24F" w:rsidR="00395617" w:rsidRPr="00395617" w:rsidRDefault="00395617" w:rsidP="00395617">
      <w:pPr>
        <w:rPr>
          <w:rFonts w:ascii="Arial" w:hAnsi="Arial" w:cs="Arial"/>
          <w:sz w:val="22"/>
          <w:szCs w:val="22"/>
        </w:rPr>
      </w:pPr>
      <w:r w:rsidRPr="00395617">
        <w:rPr>
          <w:rFonts w:ascii="Arial" w:hAnsi="Arial" w:cs="Arial"/>
          <w:sz w:val="22"/>
          <w:szCs w:val="22"/>
        </w:rPr>
        <w:t xml:space="preserve">The first avenue for enforcement that the ATO should consider is article 25 of the Model Law. </w:t>
      </w:r>
    </w:p>
    <w:p w14:paraId="5643E8DB" w14:textId="77777777" w:rsidR="00395617" w:rsidRPr="00395617" w:rsidRDefault="00395617" w:rsidP="00395617">
      <w:pPr>
        <w:rPr>
          <w:rFonts w:ascii="Arial" w:hAnsi="Arial" w:cs="Arial"/>
          <w:sz w:val="22"/>
          <w:szCs w:val="22"/>
        </w:rPr>
      </w:pPr>
    </w:p>
    <w:p w14:paraId="4424AE6C" w14:textId="0648F054" w:rsidR="00395617" w:rsidRPr="00395617" w:rsidRDefault="00395617" w:rsidP="00395617">
      <w:pPr>
        <w:rPr>
          <w:rFonts w:ascii="Arial" w:hAnsi="Arial" w:cs="Arial"/>
          <w:sz w:val="22"/>
          <w:szCs w:val="22"/>
        </w:rPr>
      </w:pPr>
      <w:r w:rsidRPr="00395617">
        <w:rPr>
          <w:rFonts w:ascii="Arial" w:hAnsi="Arial" w:cs="Arial"/>
          <w:sz w:val="22"/>
          <w:szCs w:val="22"/>
        </w:rPr>
        <w:t>Article 25 of the Model Law deals with the cooperation and direct communication between a court and foreign courts or foreign representatives.</w:t>
      </w:r>
      <w:r w:rsidRPr="00395617">
        <w:rPr>
          <w:rStyle w:val="FootnoteReference"/>
          <w:rFonts w:ascii="Arial" w:hAnsi="Arial" w:cs="Arial"/>
          <w:sz w:val="22"/>
          <w:szCs w:val="22"/>
        </w:rPr>
        <w:footnoteReference w:id="51"/>
      </w:r>
      <w:r w:rsidRPr="00395617">
        <w:rPr>
          <w:rFonts w:ascii="Arial" w:hAnsi="Arial" w:cs="Arial"/>
          <w:sz w:val="22"/>
          <w:szCs w:val="22"/>
        </w:rPr>
        <w:t xml:space="preserve"> </w:t>
      </w:r>
    </w:p>
    <w:p w14:paraId="37388708" w14:textId="77777777" w:rsidR="00395617" w:rsidRPr="00395617" w:rsidRDefault="00395617" w:rsidP="00395617">
      <w:pPr>
        <w:rPr>
          <w:rFonts w:ascii="Arial" w:hAnsi="Arial" w:cs="Arial"/>
          <w:sz w:val="22"/>
          <w:szCs w:val="22"/>
        </w:rPr>
      </w:pPr>
    </w:p>
    <w:p w14:paraId="4E442FB6" w14:textId="0EA10072" w:rsidR="00395617" w:rsidRPr="00395617" w:rsidRDefault="00395617" w:rsidP="00395617">
      <w:pPr>
        <w:rPr>
          <w:rFonts w:ascii="Arial" w:hAnsi="Arial" w:cs="Arial"/>
          <w:sz w:val="22"/>
          <w:szCs w:val="22"/>
        </w:rPr>
      </w:pPr>
      <w:r w:rsidRPr="00395617">
        <w:rPr>
          <w:rFonts w:ascii="Arial" w:hAnsi="Arial" w:cs="Arial"/>
          <w:sz w:val="22"/>
          <w:szCs w:val="22"/>
        </w:rPr>
        <w:t>Whilst the Australian courts are yet to make a definite finding on whether Article 25 can be relied on in supporting the recognition, and consequently, the enforcement of foreign judgments, the general consensus appears to be that article 25 is unlikely to support the recognition and enforcement of foreign judgments.</w:t>
      </w:r>
      <w:r w:rsidRPr="00395617">
        <w:rPr>
          <w:rStyle w:val="FootnoteReference"/>
          <w:rFonts w:ascii="Arial" w:hAnsi="Arial" w:cs="Arial"/>
          <w:sz w:val="22"/>
          <w:szCs w:val="22"/>
        </w:rPr>
        <w:footnoteReference w:id="52"/>
      </w:r>
      <w:r w:rsidRPr="00395617">
        <w:rPr>
          <w:rFonts w:ascii="Arial" w:hAnsi="Arial" w:cs="Arial"/>
          <w:sz w:val="22"/>
          <w:szCs w:val="22"/>
        </w:rPr>
        <w:t xml:space="preserve"> In particular, the UK Supreme Court in </w:t>
      </w:r>
      <w:r w:rsidRPr="00395617">
        <w:rPr>
          <w:rFonts w:ascii="Arial" w:hAnsi="Arial" w:cs="Arial"/>
          <w:i/>
          <w:iCs/>
          <w:sz w:val="22"/>
          <w:szCs w:val="22"/>
        </w:rPr>
        <w:t>Rubin v Eurofinance SA</w:t>
      </w:r>
      <w:r w:rsidRPr="00395617">
        <w:rPr>
          <w:rFonts w:ascii="Arial" w:hAnsi="Arial" w:cs="Arial"/>
          <w:sz w:val="22"/>
          <w:szCs w:val="22"/>
        </w:rPr>
        <w:t xml:space="preserve"> has previously found that article 25 does not extend to the enforcement of foreign judgments.</w:t>
      </w:r>
      <w:r w:rsidRPr="00395617">
        <w:rPr>
          <w:rStyle w:val="FootnoteReference"/>
          <w:rFonts w:ascii="Arial" w:hAnsi="Arial" w:cs="Arial"/>
          <w:sz w:val="22"/>
          <w:szCs w:val="22"/>
        </w:rPr>
        <w:footnoteReference w:id="53"/>
      </w:r>
      <w:r w:rsidRPr="00395617">
        <w:rPr>
          <w:rFonts w:ascii="Arial" w:hAnsi="Arial" w:cs="Arial"/>
          <w:sz w:val="22"/>
          <w:szCs w:val="22"/>
        </w:rPr>
        <w:t xml:space="preserve"> The ATO  could refer to the </w:t>
      </w:r>
      <w:r w:rsidRPr="00395617">
        <w:rPr>
          <w:rFonts w:ascii="Arial" w:hAnsi="Arial" w:cs="Arial"/>
          <w:i/>
          <w:iCs/>
          <w:sz w:val="22"/>
          <w:szCs w:val="22"/>
        </w:rPr>
        <w:t>Rubin</w:t>
      </w:r>
      <w:r w:rsidRPr="00395617">
        <w:rPr>
          <w:rFonts w:ascii="Arial" w:hAnsi="Arial" w:cs="Arial"/>
          <w:sz w:val="22"/>
          <w:szCs w:val="22"/>
        </w:rPr>
        <w:t xml:space="preserve"> decision in support of its opposition to article 25 of the Model Law being used for enforcement of the liquidation judgment. </w:t>
      </w:r>
    </w:p>
    <w:p w14:paraId="519AD447" w14:textId="77777777" w:rsidR="00395617" w:rsidRPr="00395617" w:rsidRDefault="00395617" w:rsidP="00395617">
      <w:pPr>
        <w:rPr>
          <w:rFonts w:ascii="Arial" w:hAnsi="Arial" w:cs="Arial"/>
          <w:sz w:val="22"/>
          <w:szCs w:val="22"/>
        </w:rPr>
      </w:pPr>
    </w:p>
    <w:p w14:paraId="28E74816" w14:textId="3BCE90D8" w:rsidR="00395617" w:rsidRPr="00395617" w:rsidRDefault="00395617" w:rsidP="00395617">
      <w:pPr>
        <w:rPr>
          <w:rFonts w:ascii="Arial" w:hAnsi="Arial" w:cs="Arial"/>
          <w:sz w:val="22"/>
          <w:szCs w:val="22"/>
        </w:rPr>
      </w:pPr>
      <w:r w:rsidRPr="00395617">
        <w:rPr>
          <w:rFonts w:ascii="Arial" w:hAnsi="Arial" w:cs="Arial"/>
          <w:sz w:val="22"/>
          <w:szCs w:val="22"/>
        </w:rPr>
        <w:t xml:space="preserve">The second avenue for enforcement that the ATO should consider opposing under is articles 21 and 22 of the Model Law. </w:t>
      </w:r>
    </w:p>
    <w:p w14:paraId="7E977B44" w14:textId="77777777" w:rsidR="00395617" w:rsidRPr="00395617" w:rsidRDefault="00395617" w:rsidP="00395617">
      <w:pPr>
        <w:rPr>
          <w:rFonts w:ascii="Arial" w:hAnsi="Arial" w:cs="Arial"/>
          <w:sz w:val="22"/>
          <w:szCs w:val="22"/>
        </w:rPr>
      </w:pPr>
    </w:p>
    <w:p w14:paraId="4BC54E35" w14:textId="1460E6E0" w:rsidR="00395617" w:rsidRPr="00395617" w:rsidRDefault="00395617" w:rsidP="00395617">
      <w:pPr>
        <w:rPr>
          <w:rFonts w:ascii="Arial" w:hAnsi="Arial" w:cs="Arial"/>
          <w:sz w:val="22"/>
          <w:szCs w:val="22"/>
        </w:rPr>
      </w:pPr>
      <w:r w:rsidRPr="00395617">
        <w:rPr>
          <w:rFonts w:ascii="Arial" w:hAnsi="Arial" w:cs="Arial"/>
          <w:sz w:val="22"/>
          <w:szCs w:val="22"/>
        </w:rPr>
        <w:t>Article 21 of the Model Law deals with the relief that may be granted upon recognition of a foreign proceeding. In particular, Art 21(2) deals with entrusting the distribution of the debtor's asserts so long as the court is satisfied that the interests of creditors are adequately protected.</w:t>
      </w:r>
      <w:r w:rsidRPr="00395617">
        <w:rPr>
          <w:rStyle w:val="FootnoteReference"/>
          <w:rFonts w:ascii="Arial" w:hAnsi="Arial" w:cs="Arial"/>
          <w:sz w:val="22"/>
          <w:szCs w:val="22"/>
        </w:rPr>
        <w:footnoteReference w:id="54"/>
      </w:r>
    </w:p>
    <w:p w14:paraId="6485ECED" w14:textId="77777777" w:rsidR="00395617" w:rsidRPr="00395617" w:rsidRDefault="00395617" w:rsidP="00395617">
      <w:pPr>
        <w:rPr>
          <w:rFonts w:ascii="Arial" w:hAnsi="Arial" w:cs="Arial"/>
          <w:sz w:val="22"/>
          <w:szCs w:val="22"/>
        </w:rPr>
      </w:pPr>
    </w:p>
    <w:p w14:paraId="6B561567" w14:textId="00DF19DE" w:rsidR="00395617" w:rsidRPr="00395617" w:rsidRDefault="00395617" w:rsidP="00395617">
      <w:pPr>
        <w:rPr>
          <w:rFonts w:ascii="Arial" w:hAnsi="Arial" w:cs="Arial"/>
          <w:sz w:val="22"/>
          <w:szCs w:val="22"/>
        </w:rPr>
      </w:pPr>
      <w:r w:rsidRPr="00395617">
        <w:rPr>
          <w:rFonts w:ascii="Arial" w:hAnsi="Arial" w:cs="Arial"/>
          <w:sz w:val="22"/>
          <w:szCs w:val="22"/>
        </w:rPr>
        <w:t>Article 22 of the Model Law deals with the protection of creditors and other interested persons. In particular, article 22(1) states that in granting or denying relief under article 19 or 21, the court must be satisfied that the interests of the creditors and other interested persons, including the debtor, are adequately protected.</w:t>
      </w:r>
      <w:r w:rsidRPr="00395617">
        <w:rPr>
          <w:rStyle w:val="FootnoteReference"/>
          <w:rFonts w:ascii="Arial" w:hAnsi="Arial" w:cs="Arial"/>
          <w:sz w:val="22"/>
          <w:szCs w:val="22"/>
        </w:rPr>
        <w:footnoteReference w:id="55"/>
      </w:r>
      <w:r w:rsidRPr="00395617">
        <w:rPr>
          <w:rFonts w:ascii="Arial" w:hAnsi="Arial" w:cs="Arial"/>
          <w:sz w:val="22"/>
          <w:szCs w:val="22"/>
        </w:rPr>
        <w:t xml:space="preserve"> Furthermore, per article 22(2), the court may grant any relief under article 19 and 21 that it considers appropriate.</w:t>
      </w:r>
      <w:r w:rsidRPr="00395617">
        <w:rPr>
          <w:rStyle w:val="FootnoteReference"/>
          <w:rFonts w:ascii="Arial" w:hAnsi="Arial" w:cs="Arial"/>
          <w:sz w:val="22"/>
          <w:szCs w:val="22"/>
        </w:rPr>
        <w:footnoteReference w:id="56"/>
      </w:r>
    </w:p>
    <w:p w14:paraId="09EFFDFE" w14:textId="77777777" w:rsidR="00395617" w:rsidRPr="00395617" w:rsidRDefault="00395617" w:rsidP="00395617">
      <w:pPr>
        <w:rPr>
          <w:rFonts w:ascii="Arial" w:hAnsi="Arial" w:cs="Arial"/>
          <w:sz w:val="22"/>
          <w:szCs w:val="22"/>
        </w:rPr>
      </w:pPr>
    </w:p>
    <w:p w14:paraId="607FFB90" w14:textId="56EFB06C" w:rsidR="00395617" w:rsidRPr="00395617" w:rsidRDefault="00395617" w:rsidP="00395617">
      <w:pPr>
        <w:rPr>
          <w:rFonts w:ascii="Arial" w:hAnsi="Arial" w:cs="Arial"/>
          <w:sz w:val="22"/>
          <w:szCs w:val="22"/>
        </w:rPr>
      </w:pPr>
      <w:r w:rsidRPr="00395617">
        <w:rPr>
          <w:rFonts w:ascii="Arial" w:hAnsi="Arial" w:cs="Arial"/>
          <w:sz w:val="22"/>
          <w:szCs w:val="22"/>
        </w:rPr>
        <w:lastRenderedPageBreak/>
        <w:t xml:space="preserve">Once again, the Australian position with respect to enforcement under articles 21 and 22 is unclear. However, the UK Supreme Court in </w:t>
      </w:r>
      <w:r w:rsidRPr="00395617">
        <w:rPr>
          <w:rFonts w:ascii="Arial" w:hAnsi="Arial" w:cs="Arial"/>
          <w:i/>
          <w:iCs/>
          <w:sz w:val="22"/>
          <w:szCs w:val="22"/>
        </w:rPr>
        <w:t xml:space="preserve">Rubin </w:t>
      </w:r>
      <w:r w:rsidRPr="00395617">
        <w:rPr>
          <w:rFonts w:ascii="Arial" w:hAnsi="Arial" w:cs="Arial"/>
          <w:sz w:val="22"/>
          <w:szCs w:val="22"/>
        </w:rPr>
        <w:t>previously also held that article 21 does not allow recognition and subsequent enforcement.</w:t>
      </w:r>
      <w:r w:rsidRPr="00395617">
        <w:rPr>
          <w:rStyle w:val="FootnoteReference"/>
          <w:rFonts w:ascii="Arial" w:hAnsi="Arial" w:cs="Arial"/>
          <w:sz w:val="22"/>
          <w:szCs w:val="22"/>
        </w:rPr>
        <w:footnoteReference w:id="57"/>
      </w:r>
      <w:r w:rsidRPr="00395617">
        <w:rPr>
          <w:rFonts w:ascii="Arial" w:hAnsi="Arial" w:cs="Arial"/>
          <w:sz w:val="22"/>
          <w:szCs w:val="22"/>
        </w:rPr>
        <w:t xml:space="preserve"> On the other hand, US courts have interpreted the equivalent provisions of the US Bankruptcy Code as permitting the enforcement of foreign restructuring plans.</w:t>
      </w:r>
      <w:r w:rsidRPr="00395617">
        <w:rPr>
          <w:rStyle w:val="FootnoteReference"/>
          <w:rFonts w:ascii="Arial" w:hAnsi="Arial" w:cs="Arial"/>
          <w:sz w:val="22"/>
          <w:szCs w:val="22"/>
        </w:rPr>
        <w:footnoteReference w:id="58"/>
      </w:r>
      <w:r w:rsidRPr="00395617">
        <w:rPr>
          <w:rFonts w:ascii="Arial" w:hAnsi="Arial" w:cs="Arial"/>
          <w:sz w:val="22"/>
          <w:szCs w:val="22"/>
        </w:rPr>
        <w:t xml:space="preserve"> The ATO can attempt to rely on the</w:t>
      </w:r>
      <w:r>
        <w:t xml:space="preserve"> </w:t>
      </w:r>
      <w:r w:rsidRPr="00395617">
        <w:rPr>
          <w:rFonts w:ascii="Arial" w:hAnsi="Arial" w:cs="Arial"/>
          <w:sz w:val="22"/>
          <w:szCs w:val="22"/>
        </w:rPr>
        <w:t xml:space="preserve">application of </w:t>
      </w:r>
      <w:r w:rsidRPr="00395617">
        <w:rPr>
          <w:rFonts w:ascii="Arial" w:hAnsi="Arial" w:cs="Arial"/>
          <w:i/>
          <w:iCs/>
          <w:sz w:val="22"/>
          <w:szCs w:val="22"/>
        </w:rPr>
        <w:t>Rubin</w:t>
      </w:r>
      <w:r w:rsidRPr="00395617">
        <w:rPr>
          <w:rFonts w:ascii="Arial" w:hAnsi="Arial" w:cs="Arial"/>
          <w:sz w:val="22"/>
          <w:szCs w:val="22"/>
        </w:rPr>
        <w:t xml:space="preserve"> in support of its opposition to enforcement (and the sought order entrusting Aussiebee's assets to the liquidator). </w:t>
      </w:r>
    </w:p>
    <w:p w14:paraId="444FF896" w14:textId="77777777" w:rsidR="00395617" w:rsidRPr="00395617" w:rsidRDefault="00395617" w:rsidP="00395617">
      <w:pPr>
        <w:rPr>
          <w:rFonts w:ascii="Arial" w:hAnsi="Arial" w:cs="Arial"/>
          <w:sz w:val="22"/>
          <w:szCs w:val="22"/>
        </w:rPr>
      </w:pPr>
    </w:p>
    <w:p w14:paraId="28E2B9ED" w14:textId="77777777" w:rsidR="00395617" w:rsidRPr="00395617" w:rsidRDefault="00395617" w:rsidP="00395617">
      <w:pPr>
        <w:rPr>
          <w:rFonts w:ascii="Arial" w:hAnsi="Arial" w:cs="Arial"/>
          <w:i/>
          <w:iCs/>
          <w:sz w:val="22"/>
          <w:szCs w:val="22"/>
        </w:rPr>
      </w:pPr>
      <w:r w:rsidRPr="00395617">
        <w:rPr>
          <w:rFonts w:ascii="Arial" w:hAnsi="Arial" w:cs="Arial"/>
          <w:sz w:val="22"/>
          <w:szCs w:val="22"/>
        </w:rPr>
        <w:t xml:space="preserve">Lastly, in the event recognition and enforcement orders are granted, the ATO should considers filing an application to the Federal Court for the modification of any granted recognition orders in reliance on </w:t>
      </w:r>
      <w:r w:rsidRPr="00395617">
        <w:rPr>
          <w:rFonts w:ascii="Arial" w:hAnsi="Arial" w:cs="Arial"/>
          <w:i/>
          <w:iCs/>
          <w:sz w:val="22"/>
          <w:szCs w:val="22"/>
        </w:rPr>
        <w:t>Ackers v Deputy Commissioner of Taxation</w:t>
      </w:r>
      <w:r w:rsidRPr="00395617">
        <w:rPr>
          <w:rFonts w:ascii="Arial" w:hAnsi="Arial" w:cs="Arial"/>
          <w:sz w:val="22"/>
          <w:szCs w:val="22"/>
        </w:rPr>
        <w:t>,</w:t>
      </w:r>
      <w:r w:rsidRPr="00395617">
        <w:rPr>
          <w:rStyle w:val="FootnoteReference"/>
          <w:rFonts w:ascii="Arial" w:hAnsi="Arial" w:cs="Arial"/>
          <w:sz w:val="22"/>
          <w:szCs w:val="22"/>
        </w:rPr>
        <w:footnoteReference w:id="59"/>
      </w:r>
      <w:r w:rsidRPr="00395617">
        <w:rPr>
          <w:rFonts w:ascii="Arial" w:hAnsi="Arial" w:cs="Arial"/>
          <w:sz w:val="22"/>
          <w:szCs w:val="22"/>
        </w:rPr>
        <w:t xml:space="preserve"> in which the court considered whether the interests of creditors were adequately protected when granting relief under article 19 of the Model Law. In this case, the foreign representative wished to remit a significant sum of money from Australia to the Cayman Islands for distribution there.</w:t>
      </w:r>
      <w:r w:rsidRPr="00395617">
        <w:rPr>
          <w:rStyle w:val="FootnoteReference"/>
          <w:rFonts w:ascii="Arial" w:hAnsi="Arial" w:cs="Arial"/>
          <w:sz w:val="22"/>
          <w:szCs w:val="22"/>
        </w:rPr>
        <w:footnoteReference w:id="60"/>
      </w:r>
      <w:r w:rsidRPr="00395617">
        <w:rPr>
          <w:rFonts w:ascii="Arial" w:hAnsi="Arial" w:cs="Arial"/>
          <w:sz w:val="22"/>
          <w:szCs w:val="22"/>
        </w:rPr>
        <w:t xml:space="preserve"> Given the foreign company owed over AUD 83 million in tax and penalties in Australia, the Deputy Commissioner of Taxation (</w:t>
      </w:r>
      <w:r w:rsidRPr="00395617">
        <w:rPr>
          <w:rFonts w:ascii="Arial" w:hAnsi="Arial" w:cs="Arial"/>
          <w:b/>
          <w:bCs/>
          <w:sz w:val="22"/>
          <w:szCs w:val="22"/>
        </w:rPr>
        <w:t>DCT</w:t>
      </w:r>
      <w:r w:rsidRPr="00395617">
        <w:rPr>
          <w:rFonts w:ascii="Arial" w:hAnsi="Arial" w:cs="Arial"/>
          <w:sz w:val="22"/>
          <w:szCs w:val="22"/>
        </w:rPr>
        <w:t xml:space="preserve">) applied for modification of the recognition orders. The Federal Court accordingly gave leave to DCT to take steps to enforce its claim in Australia for the purpose of recovering an amount up to the pari passu amount the ATO would have received if it was entitled to prove for the tax debt in the foreign main proceeding. Given Aussiebee owed AUD 12 million in taxes in Australia, the ATO as a last resort could apply to have the recognition orders modified to allow it to recover an amount up to the pari passu amount as in </w:t>
      </w:r>
      <w:r w:rsidRPr="00395617">
        <w:rPr>
          <w:rFonts w:ascii="Arial" w:hAnsi="Arial" w:cs="Arial"/>
          <w:i/>
          <w:iCs/>
          <w:sz w:val="22"/>
          <w:szCs w:val="22"/>
        </w:rPr>
        <w:t>Ackers.</w:t>
      </w:r>
    </w:p>
    <w:p w14:paraId="65F5F5B0" w14:textId="1894AE21" w:rsidR="00E14FED" w:rsidRPr="00B2234F" w:rsidRDefault="00E14FED" w:rsidP="002476AF">
      <w:pPr>
        <w:jc w:val="both"/>
        <w:rPr>
          <w:rFonts w:ascii="Avenir Next" w:hAnsi="Avenir Next" w:cs="Arial"/>
          <w:sz w:val="22"/>
          <w:szCs w:val="22"/>
          <w:lang w:val="en-GB"/>
        </w:rPr>
      </w:pPr>
    </w:p>
    <w:p w14:paraId="35E0F6E2" w14:textId="7BC50DB9" w:rsidR="007F659B" w:rsidRPr="00B04780" w:rsidRDefault="00102CC9"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4.2 [maximum </w:t>
      </w:r>
      <w:r w:rsidR="00AE21A8" w:rsidRPr="00B04780">
        <w:rPr>
          <w:rFonts w:ascii="Avenir Next Demi Bold" w:hAnsi="Avenir Next Demi Bold" w:cs="Arial"/>
          <w:b/>
          <w:bCs/>
          <w:sz w:val="22"/>
          <w:szCs w:val="22"/>
          <w:lang w:val="en-GB"/>
        </w:rPr>
        <w:t>7</w:t>
      </w:r>
      <w:r w:rsidRPr="00B04780">
        <w:rPr>
          <w:rFonts w:ascii="Avenir Next Demi Bold" w:hAnsi="Avenir Next Demi Bold" w:cs="Arial"/>
          <w:b/>
          <w:bCs/>
          <w:sz w:val="22"/>
          <w:szCs w:val="22"/>
          <w:lang w:val="en-GB"/>
        </w:rPr>
        <w:t xml:space="preserve"> marks</w:t>
      </w:r>
      <w:r w:rsidR="00087F21" w:rsidRPr="00B04780">
        <w:rPr>
          <w:rFonts w:ascii="Avenir Next Demi Bold" w:hAnsi="Avenir Next Demi Bold" w:cs="Arial"/>
          <w:b/>
          <w:bCs/>
          <w:sz w:val="22"/>
          <w:szCs w:val="22"/>
          <w:lang w:val="en-GB"/>
        </w:rPr>
        <w:t>]</w:t>
      </w:r>
    </w:p>
    <w:p w14:paraId="126C19FD" w14:textId="77777777" w:rsidR="00102CC9" w:rsidRPr="00B2234F" w:rsidRDefault="00102CC9" w:rsidP="00087F21">
      <w:pPr>
        <w:jc w:val="both"/>
        <w:rPr>
          <w:rFonts w:ascii="Avenir Next" w:hAnsi="Avenir Next" w:cs="Arial"/>
          <w:sz w:val="22"/>
          <w:szCs w:val="22"/>
          <w:lang w:val="en-GB"/>
        </w:rPr>
      </w:pPr>
    </w:p>
    <w:p w14:paraId="177379B6" w14:textId="4F09A614" w:rsidR="00533704" w:rsidRPr="00B2234F" w:rsidRDefault="004D468D" w:rsidP="002476AF">
      <w:pPr>
        <w:jc w:val="both"/>
        <w:rPr>
          <w:rFonts w:ascii="Avenir Next" w:hAnsi="Avenir Next" w:cs="Arial"/>
          <w:sz w:val="22"/>
          <w:szCs w:val="22"/>
          <w:lang w:val="en-GB"/>
        </w:rPr>
      </w:pPr>
      <w:bookmarkStart w:id="1" w:name="_Hlk60755414"/>
      <w:r w:rsidRPr="00B2234F">
        <w:rPr>
          <w:rFonts w:ascii="Avenir Next" w:hAnsi="Avenir Next" w:cs="Arial"/>
          <w:sz w:val="22"/>
          <w:szCs w:val="22"/>
          <w:lang w:val="en-GB"/>
        </w:rPr>
        <w:t>Hy</w:t>
      </w:r>
      <w:r w:rsidR="00E409FC" w:rsidRPr="00B2234F">
        <w:rPr>
          <w:rFonts w:ascii="Avenir Next" w:hAnsi="Avenir Next" w:cs="Arial"/>
          <w:sz w:val="22"/>
          <w:szCs w:val="22"/>
          <w:lang w:val="en-GB"/>
        </w:rPr>
        <w:t xml:space="preserve">rofine </w:t>
      </w:r>
      <w:r w:rsidRPr="00B2234F">
        <w:rPr>
          <w:rFonts w:ascii="Avenir Next" w:hAnsi="Avenir Next" w:cs="Arial"/>
          <w:sz w:val="22"/>
          <w:szCs w:val="22"/>
          <w:lang w:val="en-GB"/>
        </w:rPr>
        <w:t xml:space="preserve">Australia Pty Ltd (HA) is a company incorporated in Australia. </w:t>
      </w:r>
      <w:r w:rsidR="0031579E" w:rsidRPr="00B2234F">
        <w:rPr>
          <w:rFonts w:ascii="Avenir Next" w:hAnsi="Avenir Next" w:cs="Arial"/>
          <w:sz w:val="22"/>
          <w:szCs w:val="22"/>
          <w:lang w:val="en-GB"/>
        </w:rPr>
        <w:t xml:space="preserve">It is in the business of re-refining waste oil from electric substations in Australia and selling the re-refined oil. </w:t>
      </w:r>
      <w:r w:rsidR="00533704" w:rsidRPr="00B2234F">
        <w:rPr>
          <w:rFonts w:ascii="Avenir Next" w:hAnsi="Avenir Next" w:cs="Arial"/>
          <w:sz w:val="22"/>
          <w:szCs w:val="22"/>
          <w:lang w:val="en-GB"/>
        </w:rPr>
        <w:t xml:space="preserve">All of the shares in HA are owned by HA’s parent company, Hyrofine Group </w:t>
      </w:r>
      <w:r w:rsidR="00BC5A60" w:rsidRPr="00B2234F">
        <w:rPr>
          <w:rFonts w:ascii="Avenir Next" w:hAnsi="Avenir Next" w:cs="Arial"/>
          <w:sz w:val="22"/>
          <w:szCs w:val="22"/>
          <w:lang w:val="en-GB"/>
        </w:rPr>
        <w:t>Ltd</w:t>
      </w:r>
      <w:r w:rsidR="00533704" w:rsidRPr="00B2234F">
        <w:rPr>
          <w:rFonts w:ascii="Avenir Next" w:hAnsi="Avenir Next" w:cs="Arial"/>
          <w:sz w:val="22"/>
          <w:szCs w:val="22"/>
          <w:lang w:val="en-GB"/>
        </w:rPr>
        <w:t xml:space="preserve"> (</w:t>
      </w:r>
      <w:r w:rsidR="00BC5A60" w:rsidRPr="00B2234F">
        <w:rPr>
          <w:rFonts w:ascii="Avenir Next" w:hAnsi="Avenir Next" w:cs="Arial"/>
          <w:sz w:val="22"/>
          <w:szCs w:val="22"/>
          <w:lang w:val="en-GB"/>
        </w:rPr>
        <w:t>HGL</w:t>
      </w:r>
      <w:r w:rsidR="00533704" w:rsidRPr="00B2234F">
        <w:rPr>
          <w:rFonts w:ascii="Avenir Next" w:hAnsi="Avenir Next" w:cs="Arial"/>
          <w:sz w:val="22"/>
          <w:szCs w:val="22"/>
          <w:lang w:val="en-GB"/>
        </w:rPr>
        <w:t>)</w:t>
      </w:r>
      <w:r w:rsidR="00BC5A60" w:rsidRPr="00B2234F">
        <w:rPr>
          <w:rFonts w:ascii="Avenir Next" w:hAnsi="Avenir Next" w:cs="Arial"/>
          <w:sz w:val="22"/>
          <w:szCs w:val="22"/>
          <w:lang w:val="en-GB"/>
        </w:rPr>
        <w:t>, also incorporated in Australia</w:t>
      </w:r>
      <w:r w:rsidR="00533704" w:rsidRPr="00B2234F">
        <w:rPr>
          <w:rFonts w:ascii="Avenir Next" w:hAnsi="Avenir Next" w:cs="Arial"/>
          <w:sz w:val="22"/>
          <w:szCs w:val="22"/>
          <w:lang w:val="en-GB"/>
        </w:rPr>
        <w:t>.</w:t>
      </w:r>
      <w:r w:rsidR="00C41993" w:rsidRPr="00B2234F">
        <w:rPr>
          <w:rFonts w:ascii="Avenir Next" w:hAnsi="Avenir Next" w:cs="Arial"/>
          <w:sz w:val="22"/>
          <w:szCs w:val="22"/>
          <w:lang w:val="en-GB"/>
        </w:rPr>
        <w:t xml:space="preserve"> The </w:t>
      </w:r>
      <w:r w:rsidR="00176286" w:rsidRPr="00B2234F">
        <w:rPr>
          <w:rFonts w:ascii="Avenir Next" w:hAnsi="Avenir Next" w:cs="Arial"/>
          <w:sz w:val="22"/>
          <w:szCs w:val="22"/>
          <w:lang w:val="en-GB"/>
        </w:rPr>
        <w:t xml:space="preserve">same </w:t>
      </w:r>
      <w:r w:rsidR="00BC5A60" w:rsidRPr="00B2234F">
        <w:rPr>
          <w:rFonts w:ascii="Avenir Next" w:hAnsi="Avenir Next" w:cs="Arial"/>
          <w:sz w:val="22"/>
          <w:szCs w:val="22"/>
          <w:lang w:val="en-GB"/>
        </w:rPr>
        <w:t>B</w:t>
      </w:r>
      <w:r w:rsidR="00176286" w:rsidRPr="00B2234F">
        <w:rPr>
          <w:rFonts w:ascii="Avenir Next" w:hAnsi="Avenir Next" w:cs="Arial"/>
          <w:sz w:val="22"/>
          <w:szCs w:val="22"/>
          <w:lang w:val="en-GB"/>
        </w:rPr>
        <w:t xml:space="preserve">oard of directors controls both </w:t>
      </w:r>
      <w:r w:rsidR="00BC5A60" w:rsidRPr="00B2234F">
        <w:rPr>
          <w:rFonts w:ascii="Avenir Next" w:hAnsi="Avenir Next" w:cs="Arial"/>
          <w:sz w:val="22"/>
          <w:szCs w:val="22"/>
          <w:lang w:val="en-GB"/>
        </w:rPr>
        <w:t>HGL</w:t>
      </w:r>
      <w:r w:rsidR="00176286" w:rsidRPr="00B2234F">
        <w:rPr>
          <w:rFonts w:ascii="Avenir Next" w:hAnsi="Avenir Next" w:cs="Arial"/>
          <w:sz w:val="22"/>
          <w:szCs w:val="22"/>
          <w:lang w:val="en-GB"/>
        </w:rPr>
        <w:t xml:space="preserve"> and HA.</w:t>
      </w:r>
    </w:p>
    <w:p w14:paraId="5C3025C3" w14:textId="77777777" w:rsidR="00533704" w:rsidRPr="00B2234F" w:rsidRDefault="00533704" w:rsidP="002476AF">
      <w:pPr>
        <w:jc w:val="both"/>
        <w:rPr>
          <w:rFonts w:ascii="Avenir Next" w:hAnsi="Avenir Next" w:cs="Arial"/>
          <w:sz w:val="22"/>
          <w:szCs w:val="22"/>
          <w:lang w:val="en-GB"/>
        </w:rPr>
      </w:pPr>
    </w:p>
    <w:p w14:paraId="0BAB5AF2" w14:textId="716C1FD2" w:rsidR="00FA0CE9" w:rsidRPr="00B2234F" w:rsidRDefault="009512E1"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HA </w:t>
      </w:r>
      <w:r w:rsidR="004D468D" w:rsidRPr="00B2234F">
        <w:rPr>
          <w:rFonts w:ascii="Avenir Next" w:hAnsi="Avenir Next" w:cs="Arial"/>
          <w:sz w:val="22"/>
          <w:szCs w:val="22"/>
          <w:lang w:val="en-GB"/>
        </w:rPr>
        <w:t xml:space="preserve">operated an oil </w:t>
      </w:r>
      <w:r w:rsidR="00EB080B" w:rsidRPr="00B2234F">
        <w:rPr>
          <w:rFonts w:ascii="Avenir Next" w:hAnsi="Avenir Next" w:cs="Arial"/>
          <w:sz w:val="22"/>
          <w:szCs w:val="22"/>
          <w:lang w:val="en-GB"/>
        </w:rPr>
        <w:t>re-</w:t>
      </w:r>
      <w:r w:rsidR="004D468D" w:rsidRPr="00B2234F">
        <w:rPr>
          <w:rFonts w:ascii="Avenir Next" w:hAnsi="Avenir Next" w:cs="Arial"/>
          <w:sz w:val="22"/>
          <w:szCs w:val="22"/>
          <w:lang w:val="en-GB"/>
        </w:rPr>
        <w:t xml:space="preserve">refining plant near Sydney, Australia </w:t>
      </w:r>
      <w:r w:rsidR="00C15EA3" w:rsidRPr="00B2234F">
        <w:rPr>
          <w:rFonts w:ascii="Avenir Next" w:hAnsi="Avenir Next" w:cs="Arial"/>
          <w:sz w:val="22"/>
          <w:szCs w:val="22"/>
          <w:lang w:val="en-GB"/>
        </w:rPr>
        <w:t>as</w:t>
      </w:r>
      <w:r w:rsidR="004D468D" w:rsidRPr="00B2234F">
        <w:rPr>
          <w:rFonts w:ascii="Avenir Next" w:hAnsi="Avenir Next" w:cs="Arial"/>
          <w:sz w:val="22"/>
          <w:szCs w:val="22"/>
          <w:lang w:val="en-GB"/>
        </w:rPr>
        <w:t xml:space="preserve"> a joint venture with </w:t>
      </w:r>
      <w:r w:rsidR="0031579E" w:rsidRPr="00B2234F">
        <w:rPr>
          <w:rFonts w:ascii="Avenir Next" w:hAnsi="Avenir Next" w:cs="Arial"/>
          <w:sz w:val="22"/>
          <w:szCs w:val="22"/>
          <w:lang w:val="en-GB"/>
        </w:rPr>
        <w:t>Best</w:t>
      </w:r>
      <w:r w:rsidR="004D468D" w:rsidRPr="00B2234F">
        <w:rPr>
          <w:rFonts w:ascii="Avenir Next" w:hAnsi="Avenir Next" w:cs="Arial"/>
          <w:sz w:val="22"/>
          <w:szCs w:val="22"/>
          <w:lang w:val="en-GB"/>
        </w:rPr>
        <w:t xml:space="preserve"> Oil Refining Pty Ltd (</w:t>
      </w:r>
      <w:r w:rsidR="0031579E" w:rsidRPr="00B2234F">
        <w:rPr>
          <w:rFonts w:ascii="Avenir Next" w:hAnsi="Avenir Next" w:cs="Arial"/>
          <w:sz w:val="22"/>
          <w:szCs w:val="22"/>
          <w:lang w:val="en-GB"/>
        </w:rPr>
        <w:t>B</w:t>
      </w:r>
      <w:r w:rsidR="004D468D" w:rsidRPr="00B2234F">
        <w:rPr>
          <w:rFonts w:ascii="Avenir Next" w:hAnsi="Avenir Next" w:cs="Arial"/>
          <w:sz w:val="22"/>
          <w:szCs w:val="22"/>
          <w:lang w:val="en-GB"/>
        </w:rPr>
        <w:t xml:space="preserve">OR). </w:t>
      </w:r>
      <w:r w:rsidR="00FC7249" w:rsidRPr="00B2234F">
        <w:rPr>
          <w:rFonts w:ascii="Avenir Next" w:hAnsi="Avenir Next" w:cs="Arial"/>
          <w:sz w:val="22"/>
          <w:szCs w:val="22"/>
          <w:lang w:val="en-GB"/>
        </w:rPr>
        <w:t>T</w:t>
      </w:r>
      <w:r w:rsidR="004D468D" w:rsidRPr="00B2234F">
        <w:rPr>
          <w:rFonts w:ascii="Avenir Next" w:hAnsi="Avenir Next" w:cs="Arial"/>
          <w:sz w:val="22"/>
          <w:szCs w:val="22"/>
          <w:lang w:val="en-GB"/>
        </w:rPr>
        <w:t xml:space="preserve">he joint venture </w:t>
      </w:r>
      <w:r w:rsidR="00C57CC1" w:rsidRPr="00B2234F">
        <w:rPr>
          <w:rFonts w:ascii="Avenir Next" w:hAnsi="Avenir Next" w:cs="Arial"/>
          <w:sz w:val="22"/>
          <w:szCs w:val="22"/>
          <w:lang w:val="en-GB"/>
        </w:rPr>
        <w:t xml:space="preserve">proved to be </w:t>
      </w:r>
      <w:r w:rsidR="00FC7249" w:rsidRPr="00B2234F">
        <w:rPr>
          <w:rFonts w:ascii="Avenir Next" w:hAnsi="Avenir Next" w:cs="Arial"/>
          <w:sz w:val="22"/>
          <w:szCs w:val="22"/>
          <w:lang w:val="en-GB"/>
        </w:rPr>
        <w:t>unprofitable</w:t>
      </w:r>
      <w:r w:rsidR="00C15EA3" w:rsidRPr="00B2234F">
        <w:rPr>
          <w:rFonts w:ascii="Avenir Next" w:hAnsi="Avenir Next" w:cs="Arial"/>
          <w:sz w:val="22"/>
          <w:szCs w:val="22"/>
          <w:lang w:val="en-GB"/>
        </w:rPr>
        <w:t xml:space="preserve"> and the plant ceased operations in </w:t>
      </w:r>
      <w:r w:rsidR="004D468D" w:rsidRPr="00B2234F">
        <w:rPr>
          <w:rFonts w:ascii="Avenir Next" w:hAnsi="Avenir Next" w:cs="Arial"/>
          <w:sz w:val="22"/>
          <w:szCs w:val="22"/>
          <w:lang w:val="en-GB"/>
        </w:rPr>
        <w:t>mid-2020.</w:t>
      </w:r>
    </w:p>
    <w:p w14:paraId="0F82EA69" w14:textId="77777777" w:rsidR="00FA0CE9" w:rsidRPr="00B2234F" w:rsidRDefault="00FA0CE9" w:rsidP="002476AF">
      <w:pPr>
        <w:jc w:val="both"/>
        <w:rPr>
          <w:rFonts w:ascii="Avenir Next" w:hAnsi="Avenir Next" w:cs="Arial"/>
          <w:sz w:val="22"/>
          <w:szCs w:val="22"/>
          <w:lang w:val="en-GB"/>
        </w:rPr>
      </w:pPr>
    </w:p>
    <w:p w14:paraId="67BD7C09" w14:textId="5D78160E" w:rsidR="00023284" w:rsidRPr="00B2234F" w:rsidRDefault="00023284" w:rsidP="002476AF">
      <w:pPr>
        <w:jc w:val="both"/>
        <w:rPr>
          <w:rFonts w:ascii="Avenir Next" w:hAnsi="Avenir Next" w:cs="Arial"/>
          <w:sz w:val="22"/>
          <w:szCs w:val="22"/>
          <w:lang w:val="en-GB"/>
        </w:rPr>
      </w:pPr>
      <w:r w:rsidRPr="00B2234F">
        <w:rPr>
          <w:rFonts w:ascii="Avenir Next" w:hAnsi="Avenir Next" w:cs="Arial"/>
          <w:sz w:val="22"/>
          <w:szCs w:val="22"/>
          <w:lang w:val="en-GB"/>
        </w:rPr>
        <w:t>HA</w:t>
      </w:r>
      <w:r w:rsidR="00FA0CE9" w:rsidRPr="00B2234F">
        <w:rPr>
          <w:rFonts w:ascii="Avenir Next" w:hAnsi="Avenir Next" w:cs="Arial"/>
          <w:sz w:val="22"/>
          <w:szCs w:val="22"/>
          <w:lang w:val="en-GB"/>
        </w:rPr>
        <w:t xml:space="preserve">’s major </w:t>
      </w:r>
      <w:r w:rsidR="00800BA5" w:rsidRPr="00B2234F">
        <w:rPr>
          <w:rFonts w:ascii="Avenir Next" w:hAnsi="Avenir Next" w:cs="Arial"/>
          <w:sz w:val="22"/>
          <w:szCs w:val="22"/>
          <w:lang w:val="en-GB"/>
        </w:rPr>
        <w:t xml:space="preserve">remaining </w:t>
      </w:r>
      <w:r w:rsidR="00FA0CE9" w:rsidRPr="00B2234F">
        <w:rPr>
          <w:rFonts w:ascii="Avenir Next" w:hAnsi="Avenir Next" w:cs="Arial"/>
          <w:sz w:val="22"/>
          <w:szCs w:val="22"/>
          <w:lang w:val="en-GB"/>
        </w:rPr>
        <w:t xml:space="preserve">asset is a second </w:t>
      </w:r>
      <w:r w:rsidR="00ED14CB" w:rsidRPr="00B2234F">
        <w:rPr>
          <w:rFonts w:ascii="Avenir Next" w:hAnsi="Avenir Next" w:cs="Arial"/>
          <w:sz w:val="22"/>
          <w:szCs w:val="22"/>
          <w:lang w:val="en-GB"/>
        </w:rPr>
        <w:t>re-</w:t>
      </w:r>
      <w:r w:rsidR="00FA0CE9" w:rsidRPr="00B2234F">
        <w:rPr>
          <w:rFonts w:ascii="Avenir Next" w:hAnsi="Avenir Next" w:cs="Arial"/>
          <w:sz w:val="22"/>
          <w:szCs w:val="22"/>
          <w:lang w:val="en-GB"/>
        </w:rPr>
        <w:t>refining plant that it operates near Perth</w:t>
      </w:r>
      <w:r w:rsidR="00ED14CB" w:rsidRPr="00B2234F">
        <w:rPr>
          <w:rFonts w:ascii="Avenir Next" w:hAnsi="Avenir Next" w:cs="Arial"/>
          <w:sz w:val="22"/>
          <w:szCs w:val="22"/>
          <w:lang w:val="en-GB"/>
        </w:rPr>
        <w:t>, Western Australia</w:t>
      </w:r>
      <w:r w:rsidR="00FA0CE9" w:rsidRPr="00B2234F">
        <w:rPr>
          <w:rFonts w:ascii="Avenir Next" w:hAnsi="Avenir Next" w:cs="Arial"/>
          <w:sz w:val="22"/>
          <w:szCs w:val="22"/>
          <w:lang w:val="en-GB"/>
        </w:rPr>
        <w:t>. This plant has only been in operation for one year. The funding for th</w:t>
      </w:r>
      <w:r w:rsidR="00ED14CB" w:rsidRPr="00B2234F">
        <w:rPr>
          <w:rFonts w:ascii="Avenir Next" w:hAnsi="Avenir Next" w:cs="Arial"/>
          <w:sz w:val="22"/>
          <w:szCs w:val="22"/>
          <w:lang w:val="en-GB"/>
        </w:rPr>
        <w:t>e Perth</w:t>
      </w:r>
      <w:r w:rsidR="00FA0CE9" w:rsidRPr="00B2234F">
        <w:rPr>
          <w:rFonts w:ascii="Avenir Next" w:hAnsi="Avenir Next" w:cs="Arial"/>
          <w:sz w:val="22"/>
          <w:szCs w:val="22"/>
          <w:lang w:val="en-GB"/>
        </w:rPr>
        <w:t xml:space="preserve"> plant has been provided by a </w:t>
      </w:r>
      <w:r w:rsidR="002A2C11" w:rsidRPr="00B2234F">
        <w:rPr>
          <w:rFonts w:ascii="Avenir Next" w:hAnsi="Avenir Next" w:cs="Arial"/>
          <w:sz w:val="22"/>
          <w:szCs w:val="22"/>
          <w:lang w:val="en-GB"/>
        </w:rPr>
        <w:t xml:space="preserve">major shareholder of </w:t>
      </w:r>
      <w:r w:rsidR="00BC5A60" w:rsidRPr="00B2234F">
        <w:rPr>
          <w:rFonts w:ascii="Avenir Next" w:hAnsi="Avenir Next" w:cs="Arial"/>
          <w:sz w:val="22"/>
          <w:szCs w:val="22"/>
          <w:lang w:val="en-GB"/>
        </w:rPr>
        <w:t>HGL</w:t>
      </w:r>
      <w:r w:rsidR="00FA0CE9" w:rsidRPr="00B2234F">
        <w:rPr>
          <w:rFonts w:ascii="Avenir Next" w:hAnsi="Avenir Next" w:cs="Arial"/>
          <w:sz w:val="22"/>
          <w:szCs w:val="22"/>
          <w:lang w:val="en-GB"/>
        </w:rPr>
        <w:t xml:space="preserve"> as an unsecured loan for </w:t>
      </w:r>
      <w:r w:rsidR="001316B3" w:rsidRPr="00B2234F">
        <w:rPr>
          <w:rFonts w:ascii="Avenir Next" w:hAnsi="Avenir Next" w:cs="Arial"/>
          <w:sz w:val="22"/>
          <w:szCs w:val="22"/>
          <w:lang w:val="en-GB"/>
        </w:rPr>
        <w:t xml:space="preserve">AUD </w:t>
      </w:r>
      <w:r w:rsidR="00FA0CE9" w:rsidRPr="00B2234F">
        <w:rPr>
          <w:rFonts w:ascii="Avenir Next" w:hAnsi="Avenir Next" w:cs="Arial"/>
          <w:sz w:val="22"/>
          <w:szCs w:val="22"/>
          <w:lang w:val="en-GB"/>
        </w:rPr>
        <w:t>30</w:t>
      </w:r>
      <w:r w:rsidR="00867C22" w:rsidRPr="00B2234F">
        <w:rPr>
          <w:rFonts w:ascii="Avenir Next" w:hAnsi="Avenir Next" w:cs="Arial"/>
          <w:sz w:val="22"/>
          <w:szCs w:val="22"/>
          <w:lang w:val="en-GB"/>
        </w:rPr>
        <w:t> </w:t>
      </w:r>
      <w:r w:rsidR="00FA0CE9" w:rsidRPr="00B2234F">
        <w:rPr>
          <w:rFonts w:ascii="Avenir Next" w:hAnsi="Avenir Next" w:cs="Arial"/>
          <w:sz w:val="22"/>
          <w:szCs w:val="22"/>
          <w:lang w:val="en-GB"/>
        </w:rPr>
        <w:t>million. The loan agreement provides that the loan is repayable by month</w:t>
      </w:r>
      <w:r w:rsidR="00FC7249" w:rsidRPr="00B2234F">
        <w:rPr>
          <w:rFonts w:ascii="Avenir Next" w:hAnsi="Avenir Next" w:cs="Arial"/>
          <w:sz w:val="22"/>
          <w:szCs w:val="22"/>
          <w:lang w:val="en-GB"/>
        </w:rPr>
        <w:t>ly</w:t>
      </w:r>
      <w:r w:rsidR="00FA0CE9" w:rsidRPr="00B2234F">
        <w:rPr>
          <w:rFonts w:ascii="Avenir Next" w:hAnsi="Avenir Next" w:cs="Arial"/>
          <w:sz w:val="22"/>
          <w:szCs w:val="22"/>
          <w:lang w:val="en-GB"/>
        </w:rPr>
        <w:t xml:space="preserve"> instalments over </w:t>
      </w:r>
      <w:r w:rsidR="00FC7249" w:rsidRPr="00B2234F">
        <w:rPr>
          <w:rFonts w:ascii="Avenir Next" w:hAnsi="Avenir Next" w:cs="Arial"/>
          <w:sz w:val="22"/>
          <w:szCs w:val="22"/>
          <w:lang w:val="en-GB"/>
        </w:rPr>
        <w:t>a term of 5</w:t>
      </w:r>
      <w:r w:rsidR="00DA078F" w:rsidRPr="00B2234F">
        <w:rPr>
          <w:rFonts w:ascii="Avenir Next" w:hAnsi="Avenir Next" w:cs="Arial"/>
          <w:sz w:val="22"/>
          <w:szCs w:val="22"/>
          <w:lang w:val="en-GB"/>
        </w:rPr>
        <w:t> </w:t>
      </w:r>
      <w:r w:rsidR="00FA0CE9" w:rsidRPr="00B2234F">
        <w:rPr>
          <w:rFonts w:ascii="Avenir Next" w:hAnsi="Avenir Next" w:cs="Arial"/>
          <w:sz w:val="22"/>
          <w:szCs w:val="22"/>
          <w:lang w:val="en-GB"/>
        </w:rPr>
        <w:t>years with the first payment due at the end of 202</w:t>
      </w:r>
      <w:r w:rsidR="00FC7249" w:rsidRPr="00B2234F">
        <w:rPr>
          <w:rFonts w:ascii="Avenir Next" w:hAnsi="Avenir Next" w:cs="Arial"/>
          <w:sz w:val="22"/>
          <w:szCs w:val="22"/>
          <w:lang w:val="en-GB"/>
        </w:rPr>
        <w:t>1. The loan agreement also provides that t</w:t>
      </w:r>
      <w:r w:rsidR="00FA0CE9" w:rsidRPr="00B2234F">
        <w:rPr>
          <w:rFonts w:ascii="Avenir Next" w:hAnsi="Avenir Next" w:cs="Arial"/>
          <w:sz w:val="22"/>
          <w:szCs w:val="22"/>
          <w:lang w:val="en-GB"/>
        </w:rPr>
        <w:t>he loan becomes automatically due and payable in full if HA</w:t>
      </w:r>
      <w:r w:rsidR="00FC7249" w:rsidRPr="00B2234F">
        <w:rPr>
          <w:rFonts w:ascii="Avenir Next" w:hAnsi="Avenir Next" w:cs="Arial"/>
          <w:sz w:val="22"/>
          <w:szCs w:val="22"/>
          <w:lang w:val="en-GB"/>
        </w:rPr>
        <w:t xml:space="preserve"> </w:t>
      </w:r>
      <w:r w:rsidR="00FA0CE9" w:rsidRPr="00B2234F">
        <w:rPr>
          <w:rFonts w:ascii="Avenir Next" w:hAnsi="Avenir Next" w:cs="Arial"/>
          <w:sz w:val="22"/>
          <w:szCs w:val="22"/>
          <w:lang w:val="en-GB"/>
        </w:rPr>
        <w:t>enters into any formal insolvency or restructuring process</w:t>
      </w:r>
      <w:r w:rsidR="002A2C11" w:rsidRPr="00B2234F">
        <w:rPr>
          <w:rFonts w:ascii="Avenir Next" w:hAnsi="Avenir Next" w:cs="Arial"/>
          <w:sz w:val="22"/>
          <w:szCs w:val="22"/>
          <w:lang w:val="en-GB"/>
        </w:rPr>
        <w:t xml:space="preserve"> in Australia</w:t>
      </w:r>
      <w:r w:rsidR="00FA0CE9" w:rsidRPr="00B2234F">
        <w:rPr>
          <w:rFonts w:ascii="Avenir Next" w:hAnsi="Avenir Next" w:cs="Arial"/>
          <w:sz w:val="22"/>
          <w:szCs w:val="22"/>
          <w:lang w:val="en-GB"/>
        </w:rPr>
        <w:t>.</w:t>
      </w:r>
    </w:p>
    <w:p w14:paraId="62F2F738" w14:textId="1E02FAE9" w:rsidR="006A4280" w:rsidRPr="00B2234F" w:rsidRDefault="006A4280" w:rsidP="002476AF">
      <w:pPr>
        <w:jc w:val="both"/>
        <w:rPr>
          <w:rFonts w:ascii="Avenir Next" w:hAnsi="Avenir Next" w:cs="Arial"/>
          <w:sz w:val="22"/>
          <w:szCs w:val="22"/>
          <w:lang w:val="en-GB"/>
        </w:rPr>
      </w:pPr>
    </w:p>
    <w:p w14:paraId="7FD851BF" w14:textId="02BAFD68" w:rsidR="00EB080B" w:rsidRPr="00B2234F" w:rsidRDefault="00EB080B"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HA also owns three large trucks </w:t>
      </w:r>
      <w:r w:rsidR="001316B3" w:rsidRPr="00B2234F">
        <w:rPr>
          <w:rFonts w:ascii="Avenir Next" w:hAnsi="Avenir Next" w:cs="Arial"/>
          <w:sz w:val="22"/>
          <w:szCs w:val="22"/>
          <w:lang w:val="en-GB"/>
        </w:rPr>
        <w:t>that</w:t>
      </w:r>
      <w:r w:rsidRPr="00B2234F">
        <w:rPr>
          <w:rFonts w:ascii="Avenir Next" w:hAnsi="Avenir Next" w:cs="Arial"/>
          <w:sz w:val="22"/>
          <w:szCs w:val="22"/>
          <w:lang w:val="en-GB"/>
        </w:rPr>
        <w:t xml:space="preserve"> transport waste oil to the Perth re-refining plant and transport re-refined oil to HA’s customers. Those trucks were purchased with a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3 million loan from the Commonwealth Bank of Australia</w:t>
      </w:r>
      <w:r w:rsidR="002A2C11" w:rsidRPr="00B2234F">
        <w:rPr>
          <w:rFonts w:ascii="Avenir Next" w:hAnsi="Avenir Next" w:cs="Arial"/>
          <w:sz w:val="22"/>
          <w:szCs w:val="22"/>
          <w:lang w:val="en-GB"/>
        </w:rPr>
        <w:t xml:space="preserve"> (CBA)</w:t>
      </w:r>
      <w:r w:rsidRPr="00B2234F">
        <w:rPr>
          <w:rFonts w:ascii="Avenir Next" w:hAnsi="Avenir Next" w:cs="Arial"/>
          <w:sz w:val="22"/>
          <w:szCs w:val="22"/>
          <w:lang w:val="en-GB"/>
        </w:rPr>
        <w:t>. That loan is secured by mortgages over the three trucks. The mortgages are not registered on the Personal Property Securities Register.</w:t>
      </w:r>
    </w:p>
    <w:p w14:paraId="692E4CF5" w14:textId="77777777" w:rsidR="00EB080B" w:rsidRPr="00B2234F" w:rsidRDefault="00EB080B" w:rsidP="00FC7249">
      <w:pPr>
        <w:jc w:val="both"/>
        <w:rPr>
          <w:rFonts w:ascii="Avenir Next" w:hAnsi="Avenir Next" w:cs="Arial"/>
          <w:sz w:val="22"/>
          <w:szCs w:val="22"/>
          <w:lang w:val="en-GB"/>
        </w:rPr>
      </w:pPr>
    </w:p>
    <w:p w14:paraId="20AAE1A2" w14:textId="6754E085" w:rsidR="00FC7249" w:rsidRPr="00B2234F" w:rsidRDefault="00FC7249"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In July 2020, </w:t>
      </w:r>
      <w:r w:rsidR="0031579E" w:rsidRPr="00B2234F">
        <w:rPr>
          <w:rFonts w:ascii="Avenir Next" w:hAnsi="Avenir Next" w:cs="Arial"/>
          <w:sz w:val="22"/>
          <w:szCs w:val="22"/>
          <w:lang w:val="en-GB"/>
        </w:rPr>
        <w:t>B</w:t>
      </w:r>
      <w:r w:rsidRPr="00B2234F">
        <w:rPr>
          <w:rFonts w:ascii="Avenir Next" w:hAnsi="Avenir Next" w:cs="Arial"/>
          <w:sz w:val="22"/>
          <w:szCs w:val="22"/>
          <w:lang w:val="en-GB"/>
        </w:rPr>
        <w:t>OR commenced proceedings against HA</w:t>
      </w:r>
      <w:r w:rsidR="005522C4"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in the Supreme Court of New South Wales for damages in respect of the failed joint venture. </w:t>
      </w:r>
      <w:r w:rsidR="00785534" w:rsidRPr="00B2234F">
        <w:rPr>
          <w:rFonts w:ascii="Avenir Next" w:hAnsi="Avenir Next" w:cs="Arial"/>
          <w:sz w:val="22"/>
          <w:szCs w:val="22"/>
          <w:lang w:val="en-GB"/>
        </w:rPr>
        <w:t>On 1 </w:t>
      </w:r>
      <w:r w:rsidRPr="00B2234F">
        <w:rPr>
          <w:rFonts w:ascii="Avenir Next" w:hAnsi="Avenir Next" w:cs="Arial"/>
          <w:sz w:val="22"/>
          <w:szCs w:val="22"/>
          <w:lang w:val="en-GB"/>
        </w:rPr>
        <w:t>October 202</w:t>
      </w:r>
      <w:r w:rsidR="00E05C07" w:rsidRPr="00B2234F">
        <w:rPr>
          <w:rFonts w:ascii="Avenir Next" w:hAnsi="Avenir Next" w:cs="Arial"/>
          <w:sz w:val="22"/>
          <w:szCs w:val="22"/>
          <w:lang w:val="en-GB"/>
        </w:rPr>
        <w:t>0</w:t>
      </w:r>
      <w:r w:rsidRPr="00B2234F">
        <w:rPr>
          <w:rFonts w:ascii="Avenir Next" w:hAnsi="Avenir Next" w:cs="Arial"/>
          <w:sz w:val="22"/>
          <w:szCs w:val="22"/>
          <w:lang w:val="en-GB"/>
        </w:rPr>
        <w:t xml:space="preserve">, the Supreme Court found in favour of </w:t>
      </w:r>
      <w:r w:rsidR="0031579E" w:rsidRPr="00B2234F">
        <w:rPr>
          <w:rFonts w:ascii="Avenir Next" w:hAnsi="Avenir Next" w:cs="Arial"/>
          <w:sz w:val="22"/>
          <w:szCs w:val="22"/>
          <w:lang w:val="en-GB"/>
        </w:rPr>
        <w:t>B</w:t>
      </w:r>
      <w:r w:rsidRPr="00B2234F">
        <w:rPr>
          <w:rFonts w:ascii="Avenir Next" w:hAnsi="Avenir Next" w:cs="Arial"/>
          <w:sz w:val="22"/>
          <w:szCs w:val="22"/>
          <w:lang w:val="en-GB"/>
        </w:rPr>
        <w:t xml:space="preserve">OR, ordering that HA pay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4.6 million in damages to </w:t>
      </w:r>
      <w:r w:rsidR="0031579E" w:rsidRPr="00B2234F">
        <w:rPr>
          <w:rFonts w:ascii="Avenir Next" w:hAnsi="Avenir Next" w:cs="Arial"/>
          <w:sz w:val="22"/>
          <w:szCs w:val="22"/>
          <w:lang w:val="en-GB"/>
        </w:rPr>
        <w:t>B</w:t>
      </w:r>
      <w:r w:rsidRPr="00B2234F">
        <w:rPr>
          <w:rFonts w:ascii="Avenir Next" w:hAnsi="Avenir Next" w:cs="Arial"/>
          <w:sz w:val="22"/>
          <w:szCs w:val="22"/>
          <w:lang w:val="en-GB"/>
        </w:rPr>
        <w:t>OR.</w:t>
      </w:r>
    </w:p>
    <w:p w14:paraId="5E7DFD1E" w14:textId="22643E85" w:rsidR="00FC7249" w:rsidRPr="00B2234F" w:rsidRDefault="00FC7249" w:rsidP="00FC7249">
      <w:pPr>
        <w:jc w:val="both"/>
        <w:rPr>
          <w:rFonts w:ascii="Avenir Next" w:hAnsi="Avenir Next" w:cs="Arial"/>
          <w:sz w:val="22"/>
          <w:szCs w:val="22"/>
          <w:lang w:val="en-GB"/>
        </w:rPr>
      </w:pPr>
    </w:p>
    <w:p w14:paraId="06B852F6" w14:textId="348CF0A6" w:rsidR="00EB080B" w:rsidRPr="00B2234F" w:rsidRDefault="00A15DC7" w:rsidP="00FC7249">
      <w:pPr>
        <w:jc w:val="both"/>
        <w:rPr>
          <w:rFonts w:ascii="Avenir Next" w:hAnsi="Avenir Next" w:cs="Arial"/>
          <w:sz w:val="22"/>
          <w:szCs w:val="22"/>
          <w:lang w:val="en-GB"/>
        </w:rPr>
      </w:pPr>
      <w:r w:rsidRPr="00B2234F">
        <w:rPr>
          <w:rFonts w:ascii="Avenir Next" w:hAnsi="Avenir Next" w:cs="Arial"/>
          <w:sz w:val="22"/>
          <w:szCs w:val="22"/>
          <w:lang w:val="en-GB"/>
        </w:rPr>
        <w:t>Between October 2020 and October 2021, HA continued to trade</w:t>
      </w:r>
      <w:r w:rsidR="00EB080B" w:rsidRPr="00B2234F">
        <w:rPr>
          <w:rFonts w:ascii="Avenir Next" w:hAnsi="Avenir Next" w:cs="Arial"/>
          <w:sz w:val="22"/>
          <w:szCs w:val="22"/>
          <w:lang w:val="en-GB"/>
        </w:rPr>
        <w:t xml:space="preserve">, incurring debts to trade creditors as well as borrowing </w:t>
      </w:r>
      <w:r w:rsidR="001316B3" w:rsidRPr="00B2234F">
        <w:rPr>
          <w:rFonts w:ascii="Avenir Next" w:hAnsi="Avenir Next" w:cs="Arial"/>
          <w:sz w:val="22"/>
          <w:szCs w:val="22"/>
          <w:lang w:val="en-GB"/>
        </w:rPr>
        <w:t xml:space="preserve">AUD </w:t>
      </w:r>
      <w:r w:rsidR="00785534" w:rsidRPr="00B2234F">
        <w:rPr>
          <w:rFonts w:ascii="Avenir Next" w:hAnsi="Avenir Next" w:cs="Arial"/>
          <w:sz w:val="22"/>
          <w:szCs w:val="22"/>
          <w:lang w:val="en-GB"/>
        </w:rPr>
        <w:t xml:space="preserve">5 million from its parent company </w:t>
      </w:r>
      <w:r w:rsidR="00BC5A60" w:rsidRPr="00B2234F">
        <w:rPr>
          <w:rFonts w:ascii="Avenir Next" w:hAnsi="Avenir Next" w:cs="Arial"/>
          <w:sz w:val="22"/>
          <w:szCs w:val="22"/>
          <w:lang w:val="en-GB"/>
        </w:rPr>
        <w:t>HGL</w:t>
      </w:r>
      <w:r w:rsidR="00785534" w:rsidRPr="00B2234F">
        <w:rPr>
          <w:rFonts w:ascii="Avenir Next" w:hAnsi="Avenir Next" w:cs="Arial"/>
          <w:sz w:val="22"/>
          <w:szCs w:val="22"/>
          <w:lang w:val="en-GB"/>
        </w:rPr>
        <w:t xml:space="preserve">. </w:t>
      </w:r>
      <w:r w:rsidR="00EB080B" w:rsidRPr="00B2234F">
        <w:rPr>
          <w:rFonts w:ascii="Avenir Next" w:hAnsi="Avenir Next" w:cs="Arial"/>
          <w:sz w:val="22"/>
          <w:szCs w:val="22"/>
          <w:lang w:val="en-GB"/>
        </w:rPr>
        <w:t xml:space="preserve">It made </w:t>
      </w:r>
      <w:r w:rsidR="002A2C11" w:rsidRPr="00B2234F">
        <w:rPr>
          <w:rFonts w:ascii="Avenir Next" w:hAnsi="Avenir Next" w:cs="Arial"/>
          <w:sz w:val="22"/>
          <w:szCs w:val="22"/>
          <w:lang w:val="en-GB"/>
        </w:rPr>
        <w:t xml:space="preserve">only a small </w:t>
      </w:r>
      <w:r w:rsidR="00EB080B" w:rsidRPr="00B2234F">
        <w:rPr>
          <w:rFonts w:ascii="Avenir Next" w:hAnsi="Avenir Next" w:cs="Arial"/>
          <w:sz w:val="22"/>
          <w:szCs w:val="22"/>
          <w:lang w:val="en-GB"/>
        </w:rPr>
        <w:t xml:space="preserve">profit from its Perth </w:t>
      </w:r>
      <w:r w:rsidR="002A2C11" w:rsidRPr="00B2234F">
        <w:rPr>
          <w:rFonts w:ascii="Avenir Next" w:hAnsi="Avenir Next" w:cs="Arial"/>
          <w:sz w:val="22"/>
          <w:szCs w:val="22"/>
          <w:lang w:val="en-GB"/>
        </w:rPr>
        <w:t>re-</w:t>
      </w:r>
      <w:r w:rsidR="00EB080B" w:rsidRPr="00B2234F">
        <w:rPr>
          <w:rFonts w:ascii="Avenir Next" w:hAnsi="Avenir Next" w:cs="Arial"/>
          <w:sz w:val="22"/>
          <w:szCs w:val="22"/>
          <w:lang w:val="en-GB"/>
        </w:rPr>
        <w:t>refining plant</w:t>
      </w:r>
      <w:r w:rsidR="002A2C11" w:rsidRPr="00B2234F">
        <w:rPr>
          <w:rFonts w:ascii="Avenir Next" w:hAnsi="Avenir Next" w:cs="Arial"/>
          <w:sz w:val="22"/>
          <w:szCs w:val="22"/>
          <w:lang w:val="en-GB"/>
        </w:rPr>
        <w:t>.</w:t>
      </w:r>
    </w:p>
    <w:p w14:paraId="1DF8EDF8" w14:textId="71CDF884" w:rsidR="00B665F2" w:rsidRPr="00B2234F" w:rsidRDefault="00B665F2" w:rsidP="00FC7249">
      <w:pPr>
        <w:jc w:val="both"/>
        <w:rPr>
          <w:rFonts w:ascii="Avenir Next" w:hAnsi="Avenir Next" w:cs="Arial"/>
          <w:sz w:val="22"/>
          <w:szCs w:val="22"/>
          <w:lang w:val="en-GB"/>
        </w:rPr>
      </w:pPr>
    </w:p>
    <w:p w14:paraId="43A9B0AA" w14:textId="0ABD8557" w:rsidR="00B665F2" w:rsidRPr="00B2234F" w:rsidRDefault="00B665F2" w:rsidP="00B665F2">
      <w:pPr>
        <w:jc w:val="both"/>
        <w:rPr>
          <w:rFonts w:ascii="Avenir Next" w:hAnsi="Avenir Next" w:cs="Arial"/>
          <w:sz w:val="22"/>
          <w:szCs w:val="22"/>
          <w:lang w:val="en-GB"/>
        </w:rPr>
      </w:pPr>
      <w:r w:rsidRPr="00B2234F">
        <w:rPr>
          <w:rFonts w:ascii="Avenir Next" w:hAnsi="Avenir Next" w:cs="Arial"/>
          <w:sz w:val="22"/>
          <w:szCs w:val="22"/>
          <w:lang w:val="en-GB"/>
        </w:rPr>
        <w:t>A competitor has recently approached HA with an attractive offer to purchase the Perth re-refining plant</w:t>
      </w:r>
      <w:r w:rsidR="00B108A5" w:rsidRPr="00B2234F">
        <w:rPr>
          <w:rFonts w:ascii="Avenir Next" w:hAnsi="Avenir Next" w:cs="Arial"/>
          <w:sz w:val="22"/>
          <w:szCs w:val="22"/>
          <w:lang w:val="en-GB"/>
        </w:rPr>
        <w:t>.</w:t>
      </w:r>
    </w:p>
    <w:p w14:paraId="5FEB41B9" w14:textId="77777777" w:rsidR="00B665F2" w:rsidRPr="00B2234F" w:rsidRDefault="00B665F2">
      <w:pPr>
        <w:jc w:val="both"/>
        <w:rPr>
          <w:rFonts w:ascii="Avenir Next" w:hAnsi="Avenir Next" w:cs="Arial"/>
          <w:sz w:val="22"/>
          <w:szCs w:val="22"/>
          <w:lang w:val="en-GB"/>
        </w:rPr>
      </w:pPr>
    </w:p>
    <w:p w14:paraId="4D8A2A43" w14:textId="47F6451B" w:rsidR="003A540E" w:rsidRPr="00B2234F" w:rsidRDefault="00FC7249" w:rsidP="003A540E">
      <w:pPr>
        <w:jc w:val="both"/>
        <w:rPr>
          <w:rFonts w:ascii="Avenir Next" w:hAnsi="Avenir Next" w:cs="Arial"/>
          <w:sz w:val="22"/>
          <w:szCs w:val="22"/>
          <w:lang w:val="en-GB"/>
        </w:rPr>
      </w:pPr>
      <w:r w:rsidRPr="00B2234F">
        <w:rPr>
          <w:rFonts w:ascii="Avenir Next" w:hAnsi="Avenir Next" w:cs="Arial"/>
          <w:sz w:val="22"/>
          <w:szCs w:val="22"/>
          <w:lang w:val="en-GB"/>
        </w:rPr>
        <w:t xml:space="preserve">In </w:t>
      </w:r>
      <w:r w:rsidR="00E05C07" w:rsidRPr="00B2234F">
        <w:rPr>
          <w:rFonts w:ascii="Avenir Next" w:hAnsi="Avenir Next" w:cs="Arial"/>
          <w:sz w:val="22"/>
          <w:szCs w:val="22"/>
          <w:lang w:val="en-GB"/>
        </w:rPr>
        <w:t>October 2021</w:t>
      </w:r>
      <w:r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you are called in to advise 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 xml:space="preserve">oard of directors of </w:t>
      </w:r>
      <w:r w:rsidR="00BC5A60" w:rsidRPr="00B2234F">
        <w:rPr>
          <w:rFonts w:ascii="Avenir Next" w:hAnsi="Avenir Next" w:cs="Arial"/>
          <w:sz w:val="22"/>
          <w:szCs w:val="22"/>
          <w:lang w:val="en-GB"/>
        </w:rPr>
        <w:t>HGL</w:t>
      </w:r>
      <w:r w:rsidR="003A540E" w:rsidRPr="00B2234F">
        <w:rPr>
          <w:rFonts w:ascii="Avenir Next" w:hAnsi="Avenir Next" w:cs="Arial"/>
          <w:sz w:val="22"/>
          <w:szCs w:val="22"/>
          <w:lang w:val="en-GB"/>
        </w:rPr>
        <w:t xml:space="preserve"> and HA about</w:t>
      </w:r>
      <w:r w:rsidR="00775C59" w:rsidRPr="00B2234F">
        <w:rPr>
          <w:rFonts w:ascii="Avenir Next" w:hAnsi="Avenir Next" w:cs="Arial"/>
          <w:sz w:val="22"/>
          <w:szCs w:val="22"/>
          <w:lang w:val="en-GB"/>
        </w:rPr>
        <w:t xml:space="preserve"> the financial predicament of HA</w:t>
      </w:r>
      <w:r w:rsidR="003A540E" w:rsidRPr="00B2234F">
        <w:rPr>
          <w:rFonts w:ascii="Avenir Next" w:hAnsi="Avenir Next" w:cs="Arial"/>
          <w:sz w:val="22"/>
          <w:szCs w:val="22"/>
          <w:lang w:val="en-GB"/>
        </w:rPr>
        <w:t>.</w:t>
      </w:r>
      <w:r w:rsidR="00775C59"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sidRPr="00B2234F">
        <w:rPr>
          <w:rFonts w:ascii="Avenir Next" w:hAnsi="Avenir Next" w:cs="Arial"/>
          <w:sz w:val="22"/>
          <w:szCs w:val="22"/>
          <w:lang w:val="en-GB"/>
        </w:rPr>
        <w:t xml:space="preserve"> The Board </w:t>
      </w:r>
      <w:r w:rsidR="004A09EE" w:rsidRPr="00B2234F">
        <w:rPr>
          <w:rFonts w:ascii="Avenir Next" w:hAnsi="Avenir Next" w:cs="Arial"/>
          <w:sz w:val="22"/>
          <w:szCs w:val="22"/>
          <w:lang w:val="en-GB"/>
        </w:rPr>
        <w:t xml:space="preserve">also tells you </w:t>
      </w:r>
      <w:r w:rsidR="00627A10" w:rsidRPr="00B2234F">
        <w:rPr>
          <w:rFonts w:ascii="Avenir Next" w:hAnsi="Avenir Next" w:cs="Arial"/>
          <w:sz w:val="22"/>
          <w:szCs w:val="22"/>
          <w:lang w:val="en-GB"/>
        </w:rPr>
        <w:t xml:space="preserve">that there is no more funding available for HA’s operations, and </w:t>
      </w:r>
      <w:r w:rsidR="004A09EE" w:rsidRPr="00B2234F">
        <w:rPr>
          <w:rFonts w:ascii="Avenir Next" w:hAnsi="Avenir Next" w:cs="Arial"/>
          <w:sz w:val="22"/>
          <w:szCs w:val="22"/>
          <w:lang w:val="en-GB"/>
        </w:rPr>
        <w:t xml:space="preserve">that </w:t>
      </w:r>
      <w:r w:rsidR="00627A10" w:rsidRPr="00B2234F">
        <w:rPr>
          <w:rFonts w:ascii="Avenir Next" w:hAnsi="Avenir Next" w:cs="Arial"/>
          <w:sz w:val="22"/>
          <w:szCs w:val="22"/>
          <w:lang w:val="en-GB"/>
        </w:rPr>
        <w:t xml:space="preserve">they have </w:t>
      </w:r>
      <w:r w:rsidR="00775C59" w:rsidRPr="00B2234F">
        <w:rPr>
          <w:rFonts w:ascii="Avenir Next" w:hAnsi="Avenir Next" w:cs="Arial"/>
          <w:sz w:val="22"/>
          <w:szCs w:val="22"/>
          <w:lang w:val="en-GB"/>
        </w:rPr>
        <w:t xml:space="preserve">exhausted all possibilities </w:t>
      </w:r>
      <w:r w:rsidR="008A3075" w:rsidRPr="00B2234F">
        <w:rPr>
          <w:rFonts w:ascii="Avenir Next" w:hAnsi="Avenir Next" w:cs="Arial"/>
          <w:sz w:val="22"/>
          <w:szCs w:val="22"/>
          <w:lang w:val="en-GB"/>
        </w:rPr>
        <w:t xml:space="preserve">for </w:t>
      </w:r>
      <w:r w:rsidR="00775C59" w:rsidRPr="00B2234F">
        <w:rPr>
          <w:rFonts w:ascii="Avenir Next" w:hAnsi="Avenir Next" w:cs="Arial"/>
          <w:sz w:val="22"/>
          <w:szCs w:val="22"/>
          <w:lang w:val="en-GB"/>
        </w:rPr>
        <w:t>refinancing HA’s debts.</w:t>
      </w:r>
    </w:p>
    <w:p w14:paraId="170E3D8F" w14:textId="77777777" w:rsidR="003A540E" w:rsidRPr="00B2234F" w:rsidRDefault="003A540E" w:rsidP="00FC7249">
      <w:pPr>
        <w:jc w:val="both"/>
        <w:rPr>
          <w:rFonts w:ascii="Avenir Next" w:hAnsi="Avenir Next" w:cs="Arial"/>
          <w:sz w:val="22"/>
          <w:szCs w:val="22"/>
          <w:lang w:val="en-GB"/>
        </w:rPr>
      </w:pPr>
    </w:p>
    <w:p w14:paraId="4C525AE9" w14:textId="2949B21C" w:rsidR="00FC7249" w:rsidRDefault="003A540E"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What do you advise the Board to do about HA? </w:t>
      </w:r>
      <w:r w:rsidR="00FC7249" w:rsidRPr="00B2234F">
        <w:rPr>
          <w:rFonts w:ascii="Avenir Next" w:hAnsi="Avenir Next" w:cs="Arial"/>
          <w:sz w:val="22"/>
          <w:szCs w:val="22"/>
          <w:lang w:val="en-GB"/>
        </w:rPr>
        <w:t>What are the main issues that</w:t>
      </w:r>
      <w:r w:rsidRPr="00B2234F">
        <w:rPr>
          <w:rFonts w:ascii="Avenir Next" w:hAnsi="Avenir Next" w:cs="Arial"/>
          <w:sz w:val="22"/>
          <w:szCs w:val="22"/>
          <w:lang w:val="en-GB"/>
        </w:rPr>
        <w:t xml:space="preserve"> the board of </w:t>
      </w:r>
      <w:r w:rsidR="00BC5A60" w:rsidRPr="00B2234F">
        <w:rPr>
          <w:rFonts w:ascii="Avenir Next" w:hAnsi="Avenir Next" w:cs="Arial"/>
          <w:sz w:val="22"/>
          <w:szCs w:val="22"/>
          <w:lang w:val="en-GB"/>
        </w:rPr>
        <w:t>HGL</w:t>
      </w:r>
      <w:r w:rsidRPr="00B2234F">
        <w:rPr>
          <w:rFonts w:ascii="Avenir Next" w:hAnsi="Avenir Next" w:cs="Arial"/>
          <w:sz w:val="22"/>
          <w:szCs w:val="22"/>
          <w:lang w:val="en-GB"/>
        </w:rPr>
        <w:t xml:space="preserve"> and HA should be aware of in </w:t>
      </w:r>
      <w:r w:rsidR="00FC7249" w:rsidRPr="00B2234F">
        <w:rPr>
          <w:rFonts w:ascii="Avenir Next" w:hAnsi="Avenir Next" w:cs="Arial"/>
          <w:sz w:val="22"/>
          <w:szCs w:val="22"/>
          <w:lang w:val="en-GB"/>
        </w:rPr>
        <w:t>light of the facts set out above?</w:t>
      </w:r>
    </w:p>
    <w:p w14:paraId="0B429D70" w14:textId="159E8D2F" w:rsidR="008420F8" w:rsidRDefault="008420F8" w:rsidP="00FC7249">
      <w:pPr>
        <w:jc w:val="both"/>
        <w:rPr>
          <w:rFonts w:ascii="Avenir Next" w:hAnsi="Avenir Next" w:cs="Arial"/>
          <w:sz w:val="22"/>
          <w:szCs w:val="22"/>
          <w:lang w:val="en-GB"/>
        </w:rPr>
      </w:pPr>
    </w:p>
    <w:p w14:paraId="2D5839BD" w14:textId="355A317B" w:rsidR="00395617" w:rsidRPr="00395617" w:rsidRDefault="00395617" w:rsidP="00395617">
      <w:pPr>
        <w:rPr>
          <w:rFonts w:ascii="Arial" w:hAnsi="Arial" w:cs="Arial"/>
          <w:sz w:val="22"/>
          <w:szCs w:val="22"/>
        </w:rPr>
      </w:pPr>
      <w:r w:rsidRPr="00395617">
        <w:rPr>
          <w:rFonts w:ascii="Arial" w:hAnsi="Arial" w:cs="Arial"/>
          <w:sz w:val="22"/>
          <w:szCs w:val="22"/>
        </w:rPr>
        <w:t>In light of HA's situation, the board ought to consider the implications if HA was put into compulsory liquidation on the application of any of its unpaid creditors.</w:t>
      </w:r>
    </w:p>
    <w:p w14:paraId="6029063C" w14:textId="77777777" w:rsidR="00395617" w:rsidRPr="00395617" w:rsidRDefault="00395617" w:rsidP="00395617">
      <w:pPr>
        <w:rPr>
          <w:rFonts w:ascii="Arial" w:hAnsi="Arial" w:cs="Arial"/>
          <w:sz w:val="22"/>
          <w:szCs w:val="22"/>
        </w:rPr>
      </w:pPr>
    </w:p>
    <w:p w14:paraId="2CABE5D9" w14:textId="10BB1310" w:rsidR="00395617" w:rsidRPr="00395617" w:rsidRDefault="00395617" w:rsidP="00395617">
      <w:pPr>
        <w:rPr>
          <w:rFonts w:ascii="Arial" w:hAnsi="Arial" w:cs="Arial"/>
          <w:sz w:val="22"/>
          <w:szCs w:val="22"/>
        </w:rPr>
      </w:pPr>
      <w:r w:rsidRPr="00395617">
        <w:rPr>
          <w:rFonts w:ascii="Arial" w:hAnsi="Arial" w:cs="Arial"/>
          <w:sz w:val="22"/>
          <w:szCs w:val="22"/>
        </w:rPr>
        <w:t xml:space="preserve">For instance, either the creditor of the AUD 30 million loan to finance the Perth plant, or CBA as lender of the AUD 3 million loan for the purchase of the trucks, or BOR as creditor with respect to the judgment debt may apply for liquidation if a statutory demand issued by either of these creditors remains </w:t>
      </w:r>
      <w:r w:rsidR="00ED048E" w:rsidRPr="00395617">
        <w:rPr>
          <w:rFonts w:ascii="Arial" w:hAnsi="Arial" w:cs="Arial"/>
          <w:sz w:val="22"/>
          <w:szCs w:val="22"/>
        </w:rPr>
        <w:t>unpaid within</w:t>
      </w:r>
      <w:r w:rsidRPr="00395617">
        <w:rPr>
          <w:rFonts w:ascii="Arial" w:hAnsi="Arial" w:cs="Arial"/>
          <w:sz w:val="22"/>
          <w:szCs w:val="22"/>
        </w:rPr>
        <w:t xml:space="preserve"> 21 days of issuance, as this would demonstrate a presumption of insolvency. </w:t>
      </w:r>
    </w:p>
    <w:p w14:paraId="77D7FF63" w14:textId="77777777" w:rsidR="00395617" w:rsidRPr="00395617" w:rsidRDefault="00395617" w:rsidP="00395617">
      <w:pPr>
        <w:rPr>
          <w:rFonts w:ascii="Arial" w:hAnsi="Arial" w:cs="Arial"/>
          <w:sz w:val="22"/>
          <w:szCs w:val="22"/>
        </w:rPr>
      </w:pPr>
    </w:p>
    <w:p w14:paraId="599D75AB" w14:textId="77777777" w:rsidR="00395617" w:rsidRPr="00395617" w:rsidRDefault="00395617" w:rsidP="00395617">
      <w:pPr>
        <w:rPr>
          <w:rFonts w:ascii="Arial" w:hAnsi="Arial" w:cs="Arial"/>
          <w:sz w:val="22"/>
          <w:szCs w:val="22"/>
        </w:rPr>
      </w:pPr>
      <w:r w:rsidRPr="00395617">
        <w:rPr>
          <w:rFonts w:ascii="Arial" w:hAnsi="Arial" w:cs="Arial"/>
          <w:sz w:val="22"/>
          <w:szCs w:val="22"/>
        </w:rPr>
        <w:t>An associated risk with this is that the directors of HA may be held liable for insolvent trading. Generally speaking, a director will be liable for insolvent trading where:</w:t>
      </w:r>
      <w:r w:rsidRPr="00395617">
        <w:rPr>
          <w:rStyle w:val="FootnoteReference"/>
          <w:rFonts w:ascii="Arial" w:hAnsi="Arial" w:cs="Arial"/>
          <w:sz w:val="22"/>
          <w:szCs w:val="22"/>
        </w:rPr>
        <w:footnoteReference w:id="61"/>
      </w:r>
    </w:p>
    <w:p w14:paraId="08B81809" w14:textId="77777777" w:rsidR="00395617" w:rsidRPr="00395617" w:rsidRDefault="00395617" w:rsidP="00395617">
      <w:pPr>
        <w:pStyle w:val="ListParagraph"/>
        <w:numPr>
          <w:ilvl w:val="0"/>
          <w:numId w:val="37"/>
        </w:numPr>
        <w:spacing w:before="120" w:after="120"/>
        <w:contextualSpacing w:val="0"/>
        <w:rPr>
          <w:rFonts w:ascii="Arial" w:hAnsi="Arial" w:cs="Arial"/>
          <w:sz w:val="22"/>
          <w:szCs w:val="22"/>
        </w:rPr>
      </w:pPr>
      <w:r w:rsidRPr="00395617">
        <w:rPr>
          <w:rFonts w:ascii="Arial" w:hAnsi="Arial" w:cs="Arial"/>
          <w:sz w:val="22"/>
          <w:szCs w:val="22"/>
        </w:rPr>
        <w:t>that director was a director at the time the debt was incurred;</w:t>
      </w:r>
    </w:p>
    <w:p w14:paraId="197ECEDD" w14:textId="77777777" w:rsidR="00395617" w:rsidRPr="00395617" w:rsidRDefault="00395617" w:rsidP="00395617">
      <w:pPr>
        <w:pStyle w:val="ListParagraph"/>
        <w:numPr>
          <w:ilvl w:val="0"/>
          <w:numId w:val="37"/>
        </w:numPr>
        <w:spacing w:before="120" w:after="120"/>
        <w:contextualSpacing w:val="0"/>
        <w:rPr>
          <w:rFonts w:ascii="Arial" w:hAnsi="Arial" w:cs="Arial"/>
          <w:sz w:val="22"/>
          <w:szCs w:val="22"/>
        </w:rPr>
      </w:pPr>
      <w:r w:rsidRPr="00395617">
        <w:rPr>
          <w:rFonts w:ascii="Arial" w:hAnsi="Arial" w:cs="Arial"/>
          <w:sz w:val="22"/>
          <w:szCs w:val="22"/>
        </w:rPr>
        <w:t>the company was insolvent when the debt was incurred, or became insolvent as a result;</w:t>
      </w:r>
    </w:p>
    <w:p w14:paraId="30D2B39A" w14:textId="77777777" w:rsidR="00395617" w:rsidRPr="00395617" w:rsidRDefault="00395617" w:rsidP="00395617">
      <w:pPr>
        <w:pStyle w:val="ListParagraph"/>
        <w:numPr>
          <w:ilvl w:val="0"/>
          <w:numId w:val="37"/>
        </w:numPr>
        <w:spacing w:before="120" w:after="120"/>
        <w:contextualSpacing w:val="0"/>
        <w:rPr>
          <w:rFonts w:ascii="Arial" w:hAnsi="Arial" w:cs="Arial"/>
          <w:sz w:val="22"/>
          <w:szCs w:val="22"/>
        </w:rPr>
      </w:pPr>
      <w:r w:rsidRPr="00395617">
        <w:rPr>
          <w:rFonts w:ascii="Arial" w:hAnsi="Arial" w:cs="Arial"/>
          <w:sz w:val="22"/>
          <w:szCs w:val="22"/>
        </w:rPr>
        <w:t>there were reasonable grounds for suspecting that the company was or would become insolvent as a result of the debt;</w:t>
      </w:r>
    </w:p>
    <w:p w14:paraId="1E40E115" w14:textId="77777777" w:rsidR="00395617" w:rsidRPr="00395617" w:rsidRDefault="00395617" w:rsidP="00395617">
      <w:pPr>
        <w:pStyle w:val="ListParagraph"/>
        <w:numPr>
          <w:ilvl w:val="0"/>
          <w:numId w:val="37"/>
        </w:numPr>
        <w:spacing w:before="120" w:after="120"/>
        <w:contextualSpacing w:val="0"/>
        <w:rPr>
          <w:rFonts w:ascii="Arial" w:hAnsi="Arial" w:cs="Arial"/>
          <w:sz w:val="22"/>
          <w:szCs w:val="22"/>
        </w:rPr>
      </w:pPr>
      <w:r w:rsidRPr="00395617">
        <w:rPr>
          <w:rFonts w:ascii="Arial" w:hAnsi="Arial" w:cs="Arial"/>
          <w:sz w:val="22"/>
          <w:szCs w:val="22"/>
        </w:rPr>
        <w:t>the director failed to prevent the company from incurring the debt; and</w:t>
      </w:r>
    </w:p>
    <w:p w14:paraId="3A0796B4" w14:textId="77777777" w:rsidR="00395617" w:rsidRPr="00395617" w:rsidRDefault="00395617" w:rsidP="00395617">
      <w:pPr>
        <w:pStyle w:val="ListParagraph"/>
        <w:numPr>
          <w:ilvl w:val="0"/>
          <w:numId w:val="37"/>
        </w:numPr>
        <w:spacing w:before="120" w:after="120"/>
        <w:contextualSpacing w:val="0"/>
        <w:rPr>
          <w:rFonts w:ascii="Arial" w:hAnsi="Arial" w:cs="Arial"/>
          <w:sz w:val="22"/>
          <w:szCs w:val="22"/>
        </w:rPr>
      </w:pPr>
      <w:r w:rsidRPr="00395617">
        <w:rPr>
          <w:rFonts w:ascii="Arial" w:hAnsi="Arial" w:cs="Arial"/>
          <w:sz w:val="22"/>
          <w:szCs w:val="22"/>
        </w:rPr>
        <w:t>the director was aware that there were reasonable grounds for suspecting that the company was insolvent when it incurred the debt.</w:t>
      </w:r>
    </w:p>
    <w:p w14:paraId="502D5A72" w14:textId="346D6DDB" w:rsidR="00395617" w:rsidRPr="00395617" w:rsidRDefault="00395617" w:rsidP="00395617">
      <w:pPr>
        <w:rPr>
          <w:rFonts w:ascii="Arial" w:hAnsi="Arial" w:cs="Arial"/>
          <w:sz w:val="22"/>
          <w:szCs w:val="22"/>
        </w:rPr>
      </w:pPr>
      <w:r w:rsidRPr="00395617">
        <w:rPr>
          <w:rFonts w:ascii="Arial" w:hAnsi="Arial" w:cs="Arial"/>
          <w:sz w:val="22"/>
          <w:szCs w:val="22"/>
        </w:rPr>
        <w:t xml:space="preserve">Given HA continued to trade and incurred debts following the judgment debt being awarded on 1 October 2020, and the board knew that HA has been insolvent since then, the above elements are likely made out. </w:t>
      </w:r>
    </w:p>
    <w:p w14:paraId="651C2BD2" w14:textId="77777777" w:rsidR="00395617" w:rsidRPr="00395617" w:rsidRDefault="00395617" w:rsidP="00395617">
      <w:pPr>
        <w:rPr>
          <w:rFonts w:ascii="Arial" w:hAnsi="Arial" w:cs="Arial"/>
          <w:sz w:val="22"/>
          <w:szCs w:val="22"/>
        </w:rPr>
      </w:pPr>
    </w:p>
    <w:p w14:paraId="76F3A632" w14:textId="04C9F926" w:rsidR="00395617" w:rsidRPr="00395617" w:rsidRDefault="00395617" w:rsidP="00395617">
      <w:pPr>
        <w:rPr>
          <w:rFonts w:ascii="Arial" w:hAnsi="Arial" w:cs="Arial"/>
          <w:sz w:val="22"/>
          <w:szCs w:val="22"/>
        </w:rPr>
      </w:pPr>
      <w:r w:rsidRPr="00395617">
        <w:rPr>
          <w:rFonts w:ascii="Arial" w:hAnsi="Arial" w:cs="Arial"/>
          <w:sz w:val="22"/>
          <w:szCs w:val="22"/>
        </w:rPr>
        <w:t>As a result, there is a risk that the appointed liquidator may apply for a compensation order to be made against the directors.</w:t>
      </w:r>
      <w:r w:rsidRPr="00395617">
        <w:rPr>
          <w:rStyle w:val="FootnoteReference"/>
          <w:rFonts w:ascii="Arial" w:hAnsi="Arial" w:cs="Arial"/>
          <w:sz w:val="22"/>
          <w:szCs w:val="22"/>
        </w:rPr>
        <w:footnoteReference w:id="62"/>
      </w:r>
      <w:r w:rsidRPr="00395617">
        <w:rPr>
          <w:rFonts w:ascii="Arial" w:hAnsi="Arial" w:cs="Arial"/>
          <w:sz w:val="22"/>
          <w:szCs w:val="22"/>
        </w:rPr>
        <w:t xml:space="preserve"> Additionally, the court may also impose a civil fine on the </w:t>
      </w:r>
      <w:r w:rsidRPr="00395617">
        <w:rPr>
          <w:rFonts w:ascii="Arial" w:hAnsi="Arial" w:cs="Arial"/>
          <w:sz w:val="22"/>
          <w:szCs w:val="22"/>
        </w:rPr>
        <w:lastRenderedPageBreak/>
        <w:t>directors,</w:t>
      </w:r>
      <w:r w:rsidRPr="00395617">
        <w:rPr>
          <w:rStyle w:val="FootnoteReference"/>
          <w:rFonts w:ascii="Arial" w:hAnsi="Arial" w:cs="Arial"/>
          <w:sz w:val="22"/>
          <w:szCs w:val="22"/>
        </w:rPr>
        <w:footnoteReference w:id="63"/>
      </w:r>
      <w:r w:rsidRPr="00395617">
        <w:rPr>
          <w:rFonts w:ascii="Arial" w:hAnsi="Arial" w:cs="Arial"/>
          <w:sz w:val="22"/>
          <w:szCs w:val="22"/>
        </w:rPr>
        <w:t xml:space="preserve"> a disqualification order, or in the event of dishonest behaviour, a criminal penalty.</w:t>
      </w:r>
      <w:r w:rsidRPr="00395617">
        <w:rPr>
          <w:rStyle w:val="FootnoteReference"/>
          <w:rFonts w:ascii="Arial" w:hAnsi="Arial" w:cs="Arial"/>
          <w:sz w:val="22"/>
          <w:szCs w:val="22"/>
        </w:rPr>
        <w:footnoteReference w:id="64"/>
      </w:r>
    </w:p>
    <w:p w14:paraId="5367E2D2" w14:textId="77777777" w:rsidR="00395617" w:rsidRPr="00395617" w:rsidRDefault="00395617" w:rsidP="00395617">
      <w:pPr>
        <w:rPr>
          <w:rFonts w:ascii="Arial" w:hAnsi="Arial" w:cs="Arial"/>
          <w:sz w:val="22"/>
          <w:szCs w:val="22"/>
        </w:rPr>
      </w:pPr>
    </w:p>
    <w:p w14:paraId="7C3BC3BF" w14:textId="53757F16" w:rsidR="00395617" w:rsidRPr="00395617" w:rsidRDefault="00395617" w:rsidP="00395617">
      <w:pPr>
        <w:rPr>
          <w:rFonts w:ascii="Arial" w:hAnsi="Arial" w:cs="Arial"/>
          <w:sz w:val="22"/>
          <w:szCs w:val="22"/>
        </w:rPr>
      </w:pPr>
      <w:r w:rsidRPr="00395617">
        <w:rPr>
          <w:rFonts w:ascii="Arial" w:hAnsi="Arial" w:cs="Arial"/>
          <w:sz w:val="22"/>
          <w:szCs w:val="22"/>
        </w:rPr>
        <w:t xml:space="preserve">This also poses a risk for the board of HGL as HA's holding company given the Corporations Act also imposes liability for insolvent trading on a holding company for the debt of the insolvent subsidiary in similar circumstances as those applying to directors as set out above. It is unlikely that any of the defences to insolvent trading as set out in section 588H of the Corporations Act, nor the 'safe harbour' provisions would here be applicable. </w:t>
      </w:r>
    </w:p>
    <w:p w14:paraId="5D993EF0" w14:textId="77777777" w:rsidR="00395617" w:rsidRPr="00395617" w:rsidRDefault="00395617" w:rsidP="00395617">
      <w:pPr>
        <w:rPr>
          <w:rFonts w:ascii="Arial" w:hAnsi="Arial" w:cs="Arial"/>
          <w:sz w:val="22"/>
          <w:szCs w:val="22"/>
        </w:rPr>
      </w:pPr>
    </w:p>
    <w:p w14:paraId="1BD172B2" w14:textId="5B10761F" w:rsidR="00395617" w:rsidRPr="00395617" w:rsidRDefault="00395617" w:rsidP="00395617">
      <w:pPr>
        <w:rPr>
          <w:rFonts w:ascii="Arial" w:hAnsi="Arial" w:cs="Arial"/>
          <w:sz w:val="22"/>
          <w:szCs w:val="22"/>
        </w:rPr>
      </w:pPr>
      <w:r w:rsidRPr="00395617">
        <w:rPr>
          <w:rFonts w:ascii="Arial" w:hAnsi="Arial" w:cs="Arial"/>
          <w:sz w:val="22"/>
          <w:szCs w:val="22"/>
        </w:rPr>
        <w:t xml:space="preserve">As such, it would be preferable for the board to consider a corporate rescue mechanism instead. </w:t>
      </w:r>
    </w:p>
    <w:p w14:paraId="2190638C" w14:textId="77777777" w:rsidR="00395617" w:rsidRPr="00395617" w:rsidRDefault="00395617" w:rsidP="00395617">
      <w:pPr>
        <w:rPr>
          <w:rFonts w:ascii="Arial" w:hAnsi="Arial" w:cs="Arial"/>
          <w:sz w:val="22"/>
          <w:szCs w:val="22"/>
        </w:rPr>
      </w:pPr>
    </w:p>
    <w:p w14:paraId="4D29D754" w14:textId="3B47B4FF" w:rsidR="00395617" w:rsidRPr="00395617" w:rsidRDefault="00395617" w:rsidP="00395617">
      <w:pPr>
        <w:rPr>
          <w:rFonts w:ascii="Arial" w:hAnsi="Arial" w:cs="Arial"/>
          <w:sz w:val="22"/>
          <w:szCs w:val="22"/>
        </w:rPr>
      </w:pPr>
      <w:r w:rsidRPr="00395617">
        <w:rPr>
          <w:rFonts w:ascii="Arial" w:hAnsi="Arial" w:cs="Arial"/>
          <w:sz w:val="22"/>
          <w:szCs w:val="22"/>
        </w:rPr>
        <w:t>For instance, a voluntary administration may be suitable here. This could be done by a majority of directors appointing an administrator on the basis that HA is insolvent.</w:t>
      </w:r>
      <w:r w:rsidRPr="00395617">
        <w:rPr>
          <w:rStyle w:val="FootnoteReference"/>
          <w:rFonts w:ascii="Arial" w:hAnsi="Arial" w:cs="Arial"/>
          <w:sz w:val="22"/>
          <w:szCs w:val="22"/>
        </w:rPr>
        <w:footnoteReference w:id="65"/>
      </w:r>
    </w:p>
    <w:p w14:paraId="48F76AE2" w14:textId="77777777" w:rsidR="00395617" w:rsidRPr="00395617" w:rsidRDefault="00395617" w:rsidP="00395617">
      <w:pPr>
        <w:rPr>
          <w:rFonts w:ascii="Arial" w:hAnsi="Arial" w:cs="Arial"/>
          <w:sz w:val="22"/>
          <w:szCs w:val="22"/>
        </w:rPr>
      </w:pPr>
    </w:p>
    <w:p w14:paraId="593681FD" w14:textId="56CC4E8B" w:rsidR="00395617" w:rsidRPr="00395617" w:rsidRDefault="00395617" w:rsidP="00395617">
      <w:pPr>
        <w:rPr>
          <w:rFonts w:ascii="Arial" w:hAnsi="Arial" w:cs="Arial"/>
          <w:sz w:val="22"/>
          <w:szCs w:val="22"/>
        </w:rPr>
      </w:pPr>
      <w:r w:rsidRPr="00395617">
        <w:rPr>
          <w:rFonts w:ascii="Arial" w:hAnsi="Arial" w:cs="Arial"/>
          <w:sz w:val="22"/>
          <w:szCs w:val="22"/>
        </w:rPr>
        <w:t>Upon assuming office, the voluntary administrator would then take full control of HA's business, property and affairs, following which a recommendation to creditors can be issued as to how they should vote on the company's future.</w:t>
      </w:r>
      <w:r w:rsidRPr="00395617">
        <w:rPr>
          <w:rStyle w:val="FootnoteReference"/>
          <w:rFonts w:ascii="Arial" w:hAnsi="Arial" w:cs="Arial"/>
          <w:sz w:val="22"/>
          <w:szCs w:val="22"/>
        </w:rPr>
        <w:footnoteReference w:id="66"/>
      </w:r>
    </w:p>
    <w:p w14:paraId="76EE20A8" w14:textId="77777777" w:rsidR="00395617" w:rsidRPr="00395617" w:rsidRDefault="00395617" w:rsidP="00395617">
      <w:pPr>
        <w:rPr>
          <w:rFonts w:ascii="Arial" w:hAnsi="Arial" w:cs="Arial"/>
          <w:sz w:val="22"/>
          <w:szCs w:val="22"/>
        </w:rPr>
      </w:pPr>
    </w:p>
    <w:p w14:paraId="1B25A3E6" w14:textId="2867B808" w:rsidR="00395617" w:rsidRPr="00395617" w:rsidRDefault="00395617" w:rsidP="00395617">
      <w:pPr>
        <w:rPr>
          <w:rFonts w:ascii="Arial" w:hAnsi="Arial" w:cs="Arial"/>
          <w:sz w:val="22"/>
          <w:szCs w:val="22"/>
        </w:rPr>
      </w:pPr>
      <w:r w:rsidRPr="00395617">
        <w:rPr>
          <w:rFonts w:ascii="Arial" w:hAnsi="Arial" w:cs="Arial"/>
          <w:sz w:val="22"/>
          <w:szCs w:val="22"/>
        </w:rPr>
        <w:t>This has several advantages. For example, the administrator may be able to dispose of the trucks that are subject to CBA's security interest under section 442C of the Corporations Act so long as CBA's consent is obtained.</w:t>
      </w:r>
    </w:p>
    <w:p w14:paraId="2E0BCD12" w14:textId="77777777" w:rsidR="00395617" w:rsidRPr="00395617" w:rsidRDefault="00395617" w:rsidP="00395617">
      <w:pPr>
        <w:rPr>
          <w:rFonts w:ascii="Arial" w:hAnsi="Arial" w:cs="Arial"/>
          <w:sz w:val="22"/>
          <w:szCs w:val="22"/>
        </w:rPr>
      </w:pPr>
    </w:p>
    <w:p w14:paraId="0E0D71FE" w14:textId="15C6EDEE" w:rsidR="00395617" w:rsidRPr="00395617" w:rsidRDefault="00395617" w:rsidP="00395617">
      <w:pPr>
        <w:rPr>
          <w:rFonts w:ascii="Arial" w:hAnsi="Arial" w:cs="Arial"/>
          <w:sz w:val="22"/>
          <w:szCs w:val="22"/>
        </w:rPr>
      </w:pPr>
      <w:r w:rsidRPr="00395617">
        <w:rPr>
          <w:rFonts w:ascii="Arial" w:hAnsi="Arial" w:cs="Arial"/>
          <w:sz w:val="22"/>
          <w:szCs w:val="22"/>
        </w:rPr>
        <w:t>Furthermore, neither secured nor unsecured creditors can enforce their rights during voluntary administration.</w:t>
      </w:r>
      <w:r w:rsidRPr="00395617">
        <w:rPr>
          <w:rStyle w:val="FootnoteReference"/>
          <w:rFonts w:ascii="Arial" w:hAnsi="Arial" w:cs="Arial"/>
          <w:sz w:val="22"/>
          <w:szCs w:val="22"/>
        </w:rPr>
        <w:footnoteReference w:id="67"/>
      </w:r>
      <w:r w:rsidRPr="00395617">
        <w:rPr>
          <w:rFonts w:ascii="Arial" w:hAnsi="Arial" w:cs="Arial"/>
          <w:sz w:val="22"/>
          <w:szCs w:val="22"/>
        </w:rPr>
        <w:t xml:space="preserve"> This means neither the creditor of the unsecured AUD 30 million loan for the Perth plant, nor BOR would be able to enforce their rights, nor CBA would be able to enforce their rights. </w:t>
      </w:r>
    </w:p>
    <w:p w14:paraId="0BA27465" w14:textId="77777777" w:rsidR="00395617" w:rsidRPr="00395617" w:rsidRDefault="00395617" w:rsidP="00395617">
      <w:pPr>
        <w:rPr>
          <w:rFonts w:ascii="Arial" w:hAnsi="Arial" w:cs="Arial"/>
          <w:sz w:val="22"/>
          <w:szCs w:val="22"/>
        </w:rPr>
      </w:pPr>
    </w:p>
    <w:p w14:paraId="34DAE308" w14:textId="7257EB41" w:rsidR="00395617" w:rsidRPr="00395617" w:rsidRDefault="00395617" w:rsidP="00395617">
      <w:pPr>
        <w:rPr>
          <w:rFonts w:ascii="Arial" w:hAnsi="Arial" w:cs="Arial"/>
          <w:sz w:val="22"/>
          <w:szCs w:val="22"/>
        </w:rPr>
      </w:pPr>
      <w:r w:rsidRPr="00395617">
        <w:rPr>
          <w:rFonts w:ascii="Arial" w:hAnsi="Arial" w:cs="Arial"/>
          <w:sz w:val="22"/>
          <w:szCs w:val="22"/>
        </w:rPr>
        <w:t>This will allow the administrator to consider whether it would be in the creditors' interests for a DOCA to be executed.</w:t>
      </w:r>
      <w:r w:rsidRPr="00395617">
        <w:rPr>
          <w:rStyle w:val="FootnoteReference"/>
          <w:rFonts w:ascii="Arial" w:hAnsi="Arial" w:cs="Arial"/>
          <w:sz w:val="22"/>
          <w:szCs w:val="22"/>
        </w:rPr>
        <w:footnoteReference w:id="68"/>
      </w:r>
      <w:r w:rsidRPr="00395617">
        <w:rPr>
          <w:rFonts w:ascii="Arial" w:hAnsi="Arial" w:cs="Arial"/>
          <w:sz w:val="22"/>
          <w:szCs w:val="22"/>
        </w:rPr>
        <w:t xml:space="preserve"> That DOCA, if approved by the creditors, would then stipulate, amongst other matters, the extent to which HA will be released from any of its debts, and the order in which proceeds will be realised. </w:t>
      </w:r>
    </w:p>
    <w:p w14:paraId="31E90F08" w14:textId="77777777" w:rsidR="00395617" w:rsidRPr="00395617" w:rsidRDefault="00395617" w:rsidP="00395617">
      <w:pPr>
        <w:rPr>
          <w:rFonts w:ascii="Arial" w:hAnsi="Arial" w:cs="Arial"/>
          <w:sz w:val="22"/>
          <w:szCs w:val="22"/>
        </w:rPr>
      </w:pPr>
    </w:p>
    <w:p w14:paraId="4C4487DE" w14:textId="77777777" w:rsidR="00395617" w:rsidRPr="00395617" w:rsidRDefault="00395617" w:rsidP="00395617">
      <w:pPr>
        <w:rPr>
          <w:rFonts w:ascii="Arial" w:hAnsi="Arial" w:cs="Arial"/>
          <w:sz w:val="22"/>
          <w:szCs w:val="22"/>
        </w:rPr>
      </w:pPr>
      <w:r w:rsidRPr="00395617">
        <w:rPr>
          <w:rFonts w:ascii="Arial" w:hAnsi="Arial" w:cs="Arial"/>
          <w:sz w:val="22"/>
          <w:szCs w:val="22"/>
        </w:rPr>
        <w:t xml:space="preserve">Lastly, HA could consider informal restructuring. The benefit of this option is that it is not a formal process and therefore ought not to trigger the repayment obligations of the full AUD 30 million loan to the creditor of the Perth plant loan. </w:t>
      </w:r>
    </w:p>
    <w:p w14:paraId="7C1D20F1" w14:textId="77777777" w:rsidR="00395617" w:rsidRPr="00395617" w:rsidRDefault="00395617" w:rsidP="00395617">
      <w:pPr>
        <w:rPr>
          <w:rFonts w:ascii="Arial" w:hAnsi="Arial" w:cs="Arial"/>
          <w:sz w:val="22"/>
          <w:szCs w:val="22"/>
        </w:rPr>
      </w:pPr>
      <w:r w:rsidRPr="00395617">
        <w:rPr>
          <w:rFonts w:ascii="Arial" w:hAnsi="Arial" w:cs="Arial"/>
          <w:sz w:val="22"/>
          <w:szCs w:val="22"/>
        </w:rPr>
        <w:t xml:space="preserve"> </w:t>
      </w:r>
    </w:p>
    <w:p w14:paraId="7E9B0017" w14:textId="77777777" w:rsidR="008420F8" w:rsidRPr="00B2234F" w:rsidRDefault="008420F8" w:rsidP="00FC7249">
      <w:pPr>
        <w:jc w:val="both"/>
        <w:rPr>
          <w:rFonts w:ascii="Avenir Next" w:hAnsi="Avenir Next" w:cs="Arial"/>
          <w:sz w:val="22"/>
          <w:szCs w:val="22"/>
          <w:lang w:val="en-GB"/>
        </w:rPr>
      </w:pPr>
    </w:p>
    <w:p w14:paraId="63D462BA" w14:textId="77777777" w:rsidR="00FC7249" w:rsidRPr="00B2234F" w:rsidRDefault="00FC7249" w:rsidP="00FC7249">
      <w:pPr>
        <w:jc w:val="both"/>
        <w:rPr>
          <w:rFonts w:ascii="Avenir Next" w:hAnsi="Avenir Next" w:cs="Arial"/>
          <w:sz w:val="22"/>
          <w:szCs w:val="22"/>
          <w:lang w:val="en-GB"/>
        </w:rPr>
      </w:pPr>
    </w:p>
    <w:bookmarkEnd w:id="0"/>
    <w:bookmarkEnd w:id="1"/>
    <w:p w14:paraId="68CCCFE5" w14:textId="0AB0D753" w:rsidR="00B77F46" w:rsidRPr="00B04780" w:rsidRDefault="00C606C3" w:rsidP="00B240F9">
      <w:pPr>
        <w:jc w:val="center"/>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w:t>
      </w:r>
      <w:r w:rsidR="001E25B9" w:rsidRPr="00B04780">
        <w:rPr>
          <w:rFonts w:ascii="Avenir Next Demi Bold" w:hAnsi="Avenir Next Demi Bold" w:cs="Arial"/>
          <w:b/>
          <w:bCs/>
          <w:sz w:val="22"/>
          <w:szCs w:val="22"/>
          <w:lang w:val="en-GB"/>
        </w:rPr>
        <w:t xml:space="preserve"> </w:t>
      </w:r>
      <w:r w:rsidR="0077498C" w:rsidRPr="00B04780">
        <w:rPr>
          <w:rFonts w:ascii="Avenir Next Demi Bold" w:hAnsi="Avenir Next Demi Bold" w:cs="Arial"/>
          <w:b/>
          <w:bCs/>
          <w:sz w:val="22"/>
          <w:szCs w:val="22"/>
          <w:lang w:val="en-GB"/>
        </w:rPr>
        <w:t>End of Assessment</w:t>
      </w:r>
      <w:r w:rsidR="001E25B9" w:rsidRPr="00B04780">
        <w:rPr>
          <w:rFonts w:ascii="Avenir Next Demi Bold" w:hAnsi="Avenir Next Demi Bold" w:cs="Arial"/>
          <w:b/>
          <w:bCs/>
          <w:sz w:val="22"/>
          <w:szCs w:val="22"/>
          <w:lang w:val="en-GB"/>
        </w:rPr>
        <w:t xml:space="preserve"> </w:t>
      </w:r>
      <w:r w:rsidR="00B240F9" w:rsidRPr="00B04780">
        <w:rPr>
          <w:rFonts w:ascii="Avenir Next Demi Bold" w:hAnsi="Avenir Next Demi Bold" w:cs="Arial"/>
          <w:b/>
          <w:bCs/>
          <w:sz w:val="22"/>
          <w:szCs w:val="22"/>
          <w:lang w:val="en-GB"/>
        </w:rPr>
        <w:t>*</w:t>
      </w:r>
    </w:p>
    <w:p w14:paraId="3D413D5B" w14:textId="0ADB9A5D" w:rsidR="00B240F9" w:rsidRPr="00B2234F" w:rsidRDefault="00B240F9" w:rsidP="00B240F9">
      <w:pPr>
        <w:jc w:val="center"/>
        <w:rPr>
          <w:rFonts w:ascii="Avenir Next" w:hAnsi="Avenir Next" w:cs="Arial"/>
          <w:sz w:val="22"/>
          <w:szCs w:val="22"/>
          <w:lang w:val="en-GB"/>
        </w:rPr>
      </w:pPr>
    </w:p>
    <w:p w14:paraId="25BD8E25" w14:textId="77777777" w:rsidR="00B240F9" w:rsidRPr="00B2234F" w:rsidRDefault="00B240F9" w:rsidP="00B240F9">
      <w:pPr>
        <w:jc w:val="center"/>
        <w:rPr>
          <w:rFonts w:ascii="Avenir Next" w:hAnsi="Avenir Next" w:cs="Arial"/>
          <w:sz w:val="22"/>
          <w:szCs w:val="22"/>
          <w:lang w:val="en-GB"/>
        </w:rPr>
      </w:pPr>
    </w:p>
    <w:p w14:paraId="59A90FCB" w14:textId="77777777" w:rsidR="00B2234F" w:rsidRPr="00B2234F" w:rsidRDefault="00B2234F">
      <w:pPr>
        <w:jc w:val="center"/>
        <w:rPr>
          <w:rFonts w:ascii="Avenir Next" w:hAnsi="Avenir Next" w:cs="Arial"/>
          <w:sz w:val="22"/>
          <w:szCs w:val="22"/>
          <w:lang w:val="en-GB"/>
        </w:rPr>
      </w:pPr>
    </w:p>
    <w:sectPr w:rsidR="00B2234F" w:rsidRPr="00B2234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30E8" w14:textId="77777777" w:rsidR="002664C6" w:rsidRDefault="002664C6" w:rsidP="00241B44">
      <w:r>
        <w:separator/>
      </w:r>
    </w:p>
  </w:endnote>
  <w:endnote w:type="continuationSeparator" w:id="0">
    <w:p w14:paraId="014BCB2F" w14:textId="77777777" w:rsidR="002664C6" w:rsidRDefault="002664C6" w:rsidP="00241B44">
      <w:r>
        <w:continuationSeparator/>
      </w:r>
    </w:p>
  </w:endnote>
  <w:endnote w:type="continuationNotice" w:id="1">
    <w:p w14:paraId="4D9B7F21" w14:textId="77777777" w:rsidR="002664C6" w:rsidRDefault="00266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3D667350" w:rsidR="00542A3A" w:rsidRPr="009B4976" w:rsidRDefault="00ED048E" w:rsidP="009B4976">
    <w:pPr>
      <w:pStyle w:val="Footer"/>
      <w:ind w:right="360"/>
      <w:rPr>
        <w:rFonts w:ascii="Arial" w:hAnsi="Arial" w:cs="Arial"/>
        <w:sz w:val="18"/>
        <w:szCs w:val="18"/>
        <w:lang w:val="en-GB"/>
      </w:rPr>
    </w:pPr>
    <w:r>
      <w:rPr>
        <w:rFonts w:ascii="Avenir Next" w:hAnsi="Avenir Next" w:cs="Arial"/>
        <w:sz w:val="22"/>
        <w:szCs w:val="22"/>
        <w:lang w:val="en-GB"/>
      </w:rPr>
      <w:t>202223-916</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21F3" w14:textId="77777777" w:rsidR="002664C6" w:rsidRDefault="002664C6" w:rsidP="00241B44">
      <w:r>
        <w:separator/>
      </w:r>
    </w:p>
  </w:footnote>
  <w:footnote w:type="continuationSeparator" w:id="0">
    <w:p w14:paraId="4A5FF4DE" w14:textId="77777777" w:rsidR="002664C6" w:rsidRDefault="002664C6" w:rsidP="00241B44">
      <w:r>
        <w:continuationSeparator/>
      </w:r>
    </w:p>
  </w:footnote>
  <w:footnote w:type="continuationNotice" w:id="1">
    <w:p w14:paraId="1E83C7EB" w14:textId="77777777" w:rsidR="002664C6" w:rsidRDefault="002664C6"/>
  </w:footnote>
  <w:footnote w:id="2">
    <w:p w14:paraId="7A5DD946"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Emma L Beechey, </w:t>
      </w:r>
      <w:r w:rsidRPr="00395617">
        <w:rPr>
          <w:rFonts w:ascii="Arial" w:hAnsi="Arial" w:cs="Arial"/>
          <w:i/>
          <w:iCs/>
          <w:sz w:val="22"/>
          <w:szCs w:val="22"/>
        </w:rPr>
        <w:t>Module 8A Guidance Text – Australia</w:t>
      </w:r>
      <w:r w:rsidRPr="00395617">
        <w:rPr>
          <w:rFonts w:ascii="Arial" w:hAnsi="Arial" w:cs="Arial"/>
          <w:sz w:val="22"/>
          <w:szCs w:val="22"/>
        </w:rPr>
        <w:t>, September 2022, p 35.</w:t>
      </w:r>
    </w:p>
  </w:footnote>
  <w:footnote w:id="3">
    <w:p w14:paraId="7D655DA5"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37.</w:t>
      </w:r>
    </w:p>
  </w:footnote>
  <w:footnote w:id="4">
    <w:p w14:paraId="34C66FAA"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Ibid,</w:t>
      </w:r>
      <w:r w:rsidRPr="00395617">
        <w:rPr>
          <w:rFonts w:ascii="Arial" w:hAnsi="Arial" w:cs="Arial"/>
          <w:sz w:val="22"/>
          <w:szCs w:val="22"/>
        </w:rPr>
        <w:t xml:space="preserve"> citing s 588FG(2) of the Corporations Act 2001 (Cth) (</w:t>
      </w:r>
      <w:r w:rsidRPr="00395617">
        <w:rPr>
          <w:rFonts w:ascii="Arial" w:hAnsi="Arial" w:cs="Arial"/>
          <w:b/>
          <w:bCs/>
          <w:sz w:val="22"/>
          <w:szCs w:val="22"/>
        </w:rPr>
        <w:t>Corporations Act</w:t>
      </w:r>
      <w:r w:rsidRPr="00395617">
        <w:rPr>
          <w:rFonts w:ascii="Arial" w:hAnsi="Arial" w:cs="Arial"/>
          <w:sz w:val="22"/>
          <w:szCs w:val="22"/>
        </w:rPr>
        <w:t xml:space="preserve">). </w:t>
      </w:r>
    </w:p>
  </w:footnote>
  <w:footnote w:id="5">
    <w:p w14:paraId="3BB695D0" w14:textId="77777777" w:rsidR="002B4441" w:rsidRDefault="002B4441" w:rsidP="002B4441">
      <w:pPr>
        <w:pStyle w:val="FootnoteText"/>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Ibid.</w:t>
      </w:r>
    </w:p>
  </w:footnote>
  <w:footnote w:id="6">
    <w:p w14:paraId="669E2A39"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38, citing s 588J of the Corporations Act. </w:t>
      </w:r>
    </w:p>
  </w:footnote>
  <w:footnote w:id="7">
    <w:p w14:paraId="1D83DFD8"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68.</w:t>
      </w:r>
    </w:p>
  </w:footnote>
  <w:footnote w:id="8">
    <w:p w14:paraId="672F24AD"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&lt;&lt;</w:t>
      </w:r>
      <w:hyperlink r:id="rId1" w:history="1">
        <w:r w:rsidRPr="00395617">
          <w:rPr>
            <w:rStyle w:val="Hyperlink"/>
            <w:rFonts w:ascii="Arial" w:hAnsi="Arial" w:cs="Arial"/>
            <w:color w:val="auto"/>
            <w:sz w:val="22"/>
            <w:szCs w:val="22"/>
            <w:u w:val="none"/>
          </w:rPr>
          <w:t>https://uncitral.un.org/sites/uncitral.un.org/files/media-documents/uncitral/en/insolvency-e.pdf</w:t>
        </w:r>
      </w:hyperlink>
      <w:r w:rsidRPr="00395617">
        <w:rPr>
          <w:rFonts w:ascii="Arial" w:hAnsi="Arial" w:cs="Arial"/>
          <w:sz w:val="22"/>
          <w:szCs w:val="22"/>
        </w:rPr>
        <w:t xml:space="preserve">&gt;&gt;, accessed 25 April 2023. </w:t>
      </w:r>
    </w:p>
  </w:footnote>
  <w:footnote w:id="9">
    <w:p w14:paraId="169EFE6E"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Beechey, </w:t>
      </w:r>
      <w:r w:rsidRPr="00395617">
        <w:rPr>
          <w:rFonts w:ascii="Arial" w:hAnsi="Arial" w:cs="Arial"/>
          <w:i/>
          <w:iCs/>
          <w:sz w:val="22"/>
          <w:szCs w:val="22"/>
        </w:rPr>
        <w:t>supra</w:t>
      </w:r>
      <w:r w:rsidRPr="00395617">
        <w:rPr>
          <w:rFonts w:ascii="Arial" w:hAnsi="Arial" w:cs="Arial"/>
          <w:sz w:val="22"/>
          <w:szCs w:val="22"/>
        </w:rPr>
        <w:t xml:space="preserve"> note 1, p 71.</w:t>
      </w:r>
    </w:p>
  </w:footnote>
  <w:footnote w:id="10">
    <w:p w14:paraId="6C9385EB"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Ibid.</w:t>
      </w:r>
    </w:p>
  </w:footnote>
  <w:footnote w:id="11">
    <w:p w14:paraId="72857EE8"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Ibid.</w:t>
      </w:r>
    </w:p>
  </w:footnote>
  <w:footnote w:id="12">
    <w:p w14:paraId="066271E9"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Ibid, Tai-Soo Suk v Hanjin Shipping Co Ltd</w:t>
      </w:r>
      <w:r w:rsidRPr="00395617">
        <w:rPr>
          <w:rFonts w:ascii="Arial" w:hAnsi="Arial" w:cs="Arial"/>
          <w:sz w:val="22"/>
          <w:szCs w:val="22"/>
        </w:rPr>
        <w:t xml:space="preserve"> [2016] FCA 1404 at [24].</w:t>
      </w:r>
    </w:p>
  </w:footnote>
  <w:footnote w:id="13">
    <w:p w14:paraId="09B8B337"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73, citing </w:t>
      </w:r>
      <w:r w:rsidRPr="00395617">
        <w:rPr>
          <w:rFonts w:ascii="Arial" w:hAnsi="Arial" w:cs="Arial"/>
          <w:i/>
          <w:iCs/>
          <w:sz w:val="22"/>
          <w:szCs w:val="22"/>
        </w:rPr>
        <w:t>Alari v Rizzo-Bottiglieri-de Carlini Armatori SpA</w:t>
      </w:r>
      <w:r w:rsidRPr="00395617">
        <w:rPr>
          <w:rFonts w:ascii="Arial" w:hAnsi="Arial" w:cs="Arial"/>
          <w:sz w:val="22"/>
          <w:szCs w:val="22"/>
        </w:rPr>
        <w:t xml:space="preserve"> [2018] FCA 1067 at [16]-[18].</w:t>
      </w:r>
    </w:p>
  </w:footnote>
  <w:footnote w:id="14">
    <w:p w14:paraId="0DC007F8" w14:textId="77777777" w:rsidR="002B4441" w:rsidRDefault="002B4441" w:rsidP="002B4441">
      <w:pPr>
        <w:pStyle w:val="FootnoteText"/>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71.</w:t>
      </w:r>
    </w:p>
  </w:footnote>
  <w:footnote w:id="15">
    <w:p w14:paraId="6CFEC312"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41, citing the Explanatory Memorandum to the Corporations Amendment (Corporate Insolvency Reforms) Act 2020 at [3.3] and [3.14].</w:t>
      </w:r>
    </w:p>
  </w:footnote>
  <w:footnote w:id="16">
    <w:p w14:paraId="048E864C"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 xml:space="preserve">Ibid, </w:t>
      </w:r>
      <w:r w:rsidRPr="00395617">
        <w:rPr>
          <w:rFonts w:ascii="Arial" w:hAnsi="Arial" w:cs="Arial"/>
          <w:sz w:val="22"/>
          <w:szCs w:val="22"/>
        </w:rPr>
        <w:t>Corporations Amendment (Corporate Insolvency Reforms) Regulations 2020, reg 5.5.03(1).</w:t>
      </w:r>
    </w:p>
  </w:footnote>
  <w:footnote w:id="17">
    <w:p w14:paraId="6AC2D5B8"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 xml:space="preserve">Ibid, </w:t>
      </w:r>
      <w:r w:rsidRPr="00395617">
        <w:rPr>
          <w:rFonts w:ascii="Arial" w:hAnsi="Arial" w:cs="Arial"/>
          <w:sz w:val="22"/>
          <w:szCs w:val="22"/>
        </w:rPr>
        <w:t>Corporations Amendment (Corporate Insolvency Reforms) Regulations 2020, reg 5.5.03(2).</w:t>
      </w:r>
    </w:p>
  </w:footnote>
  <w:footnote w:id="18">
    <w:p w14:paraId="4F8DD1F4"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 xml:space="preserve">Ibid, </w:t>
      </w:r>
      <w:r w:rsidRPr="00395617">
        <w:rPr>
          <w:rFonts w:ascii="Arial" w:hAnsi="Arial" w:cs="Arial"/>
          <w:sz w:val="22"/>
          <w:szCs w:val="22"/>
        </w:rPr>
        <w:t>Corporations Amendment (Corporate Insolvency Reforms) Act 2020, cl 500A(1).</w:t>
      </w:r>
    </w:p>
  </w:footnote>
  <w:footnote w:id="19">
    <w:p w14:paraId="0EBC5CE1"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 xml:space="preserve">Ibid, </w:t>
      </w:r>
      <w:r w:rsidRPr="00395617">
        <w:rPr>
          <w:rFonts w:ascii="Arial" w:hAnsi="Arial" w:cs="Arial"/>
          <w:sz w:val="22"/>
          <w:szCs w:val="22"/>
        </w:rPr>
        <w:t>Corporations Amendment (Corporate Insolvency Reforms) Act 2020, cll 500A(2), 500AB, 500AD.</w:t>
      </w:r>
    </w:p>
  </w:footnote>
  <w:footnote w:id="20">
    <w:p w14:paraId="6B43D20B"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27, citing ss 497 and 439C(c) of the Corporations Act.</w:t>
      </w:r>
    </w:p>
  </w:footnote>
  <w:footnote w:id="21">
    <w:p w14:paraId="23DDD394"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42.</w:t>
      </w:r>
    </w:p>
  </w:footnote>
  <w:footnote w:id="22">
    <w:p w14:paraId="100A97AE" w14:textId="77777777" w:rsidR="002B4441" w:rsidRDefault="002B4441" w:rsidP="002B4441">
      <w:pPr>
        <w:pStyle w:val="FootnoteText"/>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Ibid.</w:t>
      </w:r>
    </w:p>
  </w:footnote>
  <w:footnote w:id="23">
    <w:p w14:paraId="0169A98F" w14:textId="77777777" w:rsidR="002B4441" w:rsidRPr="00395617" w:rsidRDefault="002B4441" w:rsidP="002B4441">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 xml:space="preserve">Ibid, </w:t>
      </w:r>
      <w:r w:rsidRPr="00395617">
        <w:rPr>
          <w:rFonts w:ascii="Arial" w:hAnsi="Arial" w:cs="Arial"/>
          <w:sz w:val="22"/>
          <w:szCs w:val="22"/>
        </w:rPr>
        <w:t>Corporations Amendment (Corporate Insolvency Reforms) Regulations 2020, reg 5.5.07(1).</w:t>
      </w:r>
    </w:p>
  </w:footnote>
  <w:footnote w:id="24">
    <w:p w14:paraId="33E67073"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6.</w:t>
      </w:r>
    </w:p>
  </w:footnote>
  <w:footnote w:id="25">
    <w:p w14:paraId="2A74CBC3"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Ibid.</w:t>
      </w:r>
    </w:p>
  </w:footnote>
  <w:footnote w:id="26">
    <w:p w14:paraId="5DB9C577"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Ibid.</w:t>
      </w:r>
    </w:p>
  </w:footnote>
  <w:footnote w:id="27">
    <w:p w14:paraId="3AD946F7"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14.</w:t>
      </w:r>
    </w:p>
  </w:footnote>
  <w:footnote w:id="28">
    <w:p w14:paraId="3C843850" w14:textId="1AC861D5"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18, citing s 58(3) of the Bankruptcy Act 1966 (Cth) (</w:t>
      </w:r>
      <w:r w:rsidRPr="00395617">
        <w:rPr>
          <w:rFonts w:ascii="Arial" w:hAnsi="Arial" w:cs="Arial"/>
          <w:b/>
          <w:bCs/>
          <w:sz w:val="22"/>
          <w:szCs w:val="22"/>
        </w:rPr>
        <w:t>Bankruptcy Act</w:t>
      </w:r>
      <w:r w:rsidR="00ED048E" w:rsidRPr="00395617">
        <w:rPr>
          <w:rFonts w:ascii="Arial" w:hAnsi="Arial" w:cs="Arial"/>
          <w:sz w:val="22"/>
          <w:szCs w:val="22"/>
        </w:rPr>
        <w:t>).</w:t>
      </w:r>
    </w:p>
  </w:footnote>
  <w:footnote w:id="29">
    <w:p w14:paraId="377132F3"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19, citing s 58(5) of the Bankruptcy Act.</w:t>
      </w:r>
    </w:p>
  </w:footnote>
  <w:footnote w:id="30">
    <w:p w14:paraId="0CBC5E9C"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30, citing ss 471B and 500(2) of the Corporations Act. </w:t>
      </w:r>
    </w:p>
  </w:footnote>
  <w:footnote w:id="31">
    <w:p w14:paraId="31864158" w14:textId="77777777" w:rsidR="00395617" w:rsidRDefault="00395617" w:rsidP="00395617">
      <w:pPr>
        <w:pStyle w:val="FootnoteText"/>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30.</w:t>
      </w:r>
    </w:p>
  </w:footnote>
  <w:footnote w:id="32">
    <w:p w14:paraId="06858911"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46, citing s 435A of the Corporations Act.</w:t>
      </w:r>
    </w:p>
  </w:footnote>
  <w:footnote w:id="33">
    <w:p w14:paraId="4BE7F837"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50, citing ss 440B and 440F of the Corporations Act. </w:t>
      </w:r>
    </w:p>
  </w:footnote>
  <w:footnote w:id="34">
    <w:p w14:paraId="1D2A21CF"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51, citing ss 9 and 441A of the Corporations Act. </w:t>
      </w:r>
    </w:p>
  </w:footnote>
  <w:footnote w:id="35">
    <w:p w14:paraId="745FD524"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Ibid</w:t>
      </w:r>
      <w:r w:rsidRPr="00395617">
        <w:rPr>
          <w:rFonts w:ascii="Arial" w:hAnsi="Arial" w:cs="Arial"/>
          <w:sz w:val="22"/>
          <w:szCs w:val="22"/>
        </w:rPr>
        <w:t xml:space="preserve">, citing ss 441D, 441H, 441B, 441F, 441C and 441G of the Corporations Act.  </w:t>
      </w:r>
    </w:p>
  </w:footnote>
  <w:footnote w:id="36">
    <w:p w14:paraId="1B80C935"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7.</w:t>
      </w:r>
    </w:p>
  </w:footnote>
  <w:footnote w:id="37">
    <w:p w14:paraId="36B3A4EF"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Ibid.</w:t>
      </w:r>
    </w:p>
  </w:footnote>
  <w:footnote w:id="38">
    <w:p w14:paraId="24CB44E2"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6.</w:t>
      </w:r>
    </w:p>
  </w:footnote>
  <w:footnote w:id="39">
    <w:p w14:paraId="251E66B3"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Ibid.</w:t>
      </w:r>
    </w:p>
  </w:footnote>
  <w:footnote w:id="40">
    <w:p w14:paraId="1A569747" w14:textId="77777777" w:rsidR="00395617" w:rsidRDefault="00395617" w:rsidP="00395617">
      <w:pPr>
        <w:pStyle w:val="FootnoteText"/>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Ibid.</w:t>
      </w:r>
    </w:p>
  </w:footnote>
  <w:footnote w:id="41">
    <w:p w14:paraId="06F645C1"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7, citing s 435A(a) of Corporations Act. </w:t>
      </w:r>
    </w:p>
  </w:footnote>
  <w:footnote w:id="42">
    <w:p w14:paraId="30DEB11D"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52, citing s 451E of Corporations Act. </w:t>
      </w:r>
    </w:p>
  </w:footnote>
  <w:footnote w:id="43">
    <w:p w14:paraId="6A3D819F"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20, citing s 301 of Bankruptcy Act. </w:t>
      </w:r>
    </w:p>
  </w:footnote>
  <w:footnote w:id="44">
    <w:p w14:paraId="54A293AB"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40.</w:t>
      </w:r>
    </w:p>
  </w:footnote>
  <w:footnote w:id="45">
    <w:p w14:paraId="7C07D7F7"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67.</w:t>
      </w:r>
    </w:p>
  </w:footnote>
  <w:footnote w:id="46">
    <w:p w14:paraId="53F51E8F" w14:textId="77777777" w:rsidR="00395617" w:rsidRDefault="00395617" w:rsidP="00395617">
      <w:pPr>
        <w:pStyle w:val="FootnoteText"/>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Ibid.</w:t>
      </w:r>
    </w:p>
  </w:footnote>
  <w:footnote w:id="47">
    <w:p w14:paraId="1D03812E"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68.</w:t>
      </w:r>
    </w:p>
  </w:footnote>
  <w:footnote w:id="48">
    <w:p w14:paraId="2A7F9183"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&lt;&lt;</w:t>
      </w:r>
      <w:hyperlink r:id="rId2" w:history="1">
        <w:r w:rsidRPr="00395617">
          <w:rPr>
            <w:rStyle w:val="Hyperlink"/>
            <w:rFonts w:ascii="Arial" w:hAnsi="Arial" w:cs="Arial"/>
            <w:color w:val="auto"/>
            <w:sz w:val="22"/>
            <w:szCs w:val="22"/>
            <w:u w:val="none"/>
          </w:rPr>
          <w:t>https://uncitral.un.org/sites/uncitral.un.org/files/media-documents/uncitral/en/insolvency-e.pdf</w:t>
        </w:r>
      </w:hyperlink>
      <w:r w:rsidRPr="00395617">
        <w:rPr>
          <w:rStyle w:val="Hyperlink"/>
          <w:rFonts w:ascii="Arial" w:hAnsi="Arial" w:cs="Arial"/>
          <w:color w:val="auto"/>
          <w:sz w:val="22"/>
          <w:szCs w:val="22"/>
          <w:u w:val="none"/>
        </w:rPr>
        <w:t>&gt;&gt;</w:t>
      </w:r>
      <w:r w:rsidRPr="00395617">
        <w:rPr>
          <w:rFonts w:ascii="Arial" w:hAnsi="Arial" w:cs="Arial"/>
          <w:sz w:val="22"/>
          <w:szCs w:val="22"/>
        </w:rPr>
        <w:t xml:space="preserve">, accessed 26 April 2023. </w:t>
      </w:r>
    </w:p>
  </w:footnote>
  <w:footnote w:id="49">
    <w:p w14:paraId="7AFE1339"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Beechey, </w:t>
      </w:r>
      <w:r w:rsidRPr="00395617">
        <w:rPr>
          <w:rFonts w:ascii="Arial" w:hAnsi="Arial" w:cs="Arial"/>
          <w:i/>
          <w:iCs/>
          <w:sz w:val="22"/>
          <w:szCs w:val="22"/>
        </w:rPr>
        <w:t>supra</w:t>
      </w:r>
      <w:r w:rsidRPr="00395617">
        <w:rPr>
          <w:rFonts w:ascii="Arial" w:hAnsi="Arial" w:cs="Arial"/>
          <w:sz w:val="22"/>
          <w:szCs w:val="22"/>
        </w:rPr>
        <w:t xml:space="preserve"> note 1, p 72, citing </w:t>
      </w:r>
      <w:r w:rsidRPr="00395617">
        <w:rPr>
          <w:rFonts w:ascii="Arial" w:hAnsi="Arial" w:cs="Arial"/>
          <w:i/>
          <w:iCs/>
          <w:sz w:val="22"/>
          <w:szCs w:val="22"/>
        </w:rPr>
        <w:t>Ackers v Saad Investments Co Limited (in official liq)</w:t>
      </w:r>
      <w:r w:rsidRPr="00395617">
        <w:rPr>
          <w:rFonts w:ascii="Arial" w:hAnsi="Arial" w:cs="Arial"/>
          <w:sz w:val="22"/>
          <w:szCs w:val="22"/>
        </w:rPr>
        <w:t xml:space="preserve"> (2010) 190 FCR 285; [2010] FCA 112. </w:t>
      </w:r>
    </w:p>
  </w:footnote>
  <w:footnote w:id="50">
    <w:p w14:paraId="00345A3C" w14:textId="77777777" w:rsidR="00395617" w:rsidRDefault="00395617" w:rsidP="00395617">
      <w:pPr>
        <w:pStyle w:val="FootnoteText"/>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 xml:space="preserve">Ibid, </w:t>
      </w:r>
      <w:r w:rsidRPr="00395617">
        <w:rPr>
          <w:rFonts w:ascii="Arial" w:hAnsi="Arial" w:cs="Arial"/>
          <w:sz w:val="22"/>
          <w:szCs w:val="22"/>
        </w:rPr>
        <w:t>citing</w:t>
      </w:r>
      <w:r w:rsidRPr="00395617">
        <w:rPr>
          <w:rFonts w:ascii="Arial" w:hAnsi="Arial" w:cs="Arial"/>
          <w:i/>
          <w:iCs/>
          <w:sz w:val="22"/>
          <w:szCs w:val="22"/>
        </w:rPr>
        <w:t xml:space="preserve"> Re Eurofoods IFSC Ltd</w:t>
      </w:r>
      <w:r w:rsidRPr="00395617">
        <w:rPr>
          <w:rFonts w:ascii="Arial" w:hAnsi="Arial" w:cs="Arial"/>
          <w:sz w:val="22"/>
          <w:szCs w:val="22"/>
        </w:rPr>
        <w:t xml:space="preserve"> [2006] Ch 508. </w:t>
      </w:r>
    </w:p>
  </w:footnote>
  <w:footnote w:id="51">
    <w:p w14:paraId="73767241"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&lt;&lt;</w:t>
      </w:r>
      <w:hyperlink r:id="rId3" w:history="1">
        <w:r w:rsidRPr="00395617">
          <w:rPr>
            <w:rStyle w:val="Hyperlink"/>
            <w:rFonts w:ascii="Arial" w:hAnsi="Arial" w:cs="Arial"/>
            <w:color w:val="auto"/>
            <w:sz w:val="22"/>
            <w:szCs w:val="22"/>
            <w:u w:val="none"/>
          </w:rPr>
          <w:t>https://uncitral.un.org/sites/uncitral.un.org/files/media-documents/uncitral/en/insolvency-e.pdf</w:t>
        </w:r>
      </w:hyperlink>
      <w:r w:rsidRPr="00395617">
        <w:rPr>
          <w:rFonts w:ascii="Arial" w:hAnsi="Arial" w:cs="Arial"/>
          <w:sz w:val="22"/>
          <w:szCs w:val="22"/>
        </w:rPr>
        <w:t xml:space="preserve">&gt;&gt;, accessed 26 April 2023. </w:t>
      </w:r>
    </w:p>
  </w:footnote>
  <w:footnote w:id="52">
    <w:p w14:paraId="220A2C3D"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Beechey, </w:t>
      </w:r>
      <w:r w:rsidRPr="00395617">
        <w:rPr>
          <w:rFonts w:ascii="Arial" w:hAnsi="Arial" w:cs="Arial"/>
          <w:i/>
          <w:iCs/>
          <w:sz w:val="22"/>
          <w:szCs w:val="22"/>
        </w:rPr>
        <w:t>supra</w:t>
      </w:r>
      <w:r w:rsidRPr="00395617">
        <w:rPr>
          <w:rFonts w:ascii="Arial" w:hAnsi="Arial" w:cs="Arial"/>
          <w:sz w:val="22"/>
          <w:szCs w:val="22"/>
        </w:rPr>
        <w:t xml:space="preserve"> note 1, p 80.</w:t>
      </w:r>
    </w:p>
  </w:footnote>
  <w:footnote w:id="53">
    <w:p w14:paraId="7B4FF55A"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i/>
          <w:iCs/>
          <w:sz w:val="22"/>
          <w:szCs w:val="22"/>
        </w:rPr>
        <w:t xml:space="preserve"> Rubin v Eurofinance SA</w:t>
      </w:r>
      <w:r w:rsidRPr="00395617">
        <w:rPr>
          <w:rFonts w:ascii="Arial" w:hAnsi="Arial" w:cs="Arial"/>
          <w:sz w:val="22"/>
          <w:szCs w:val="22"/>
        </w:rPr>
        <w:t xml:space="preserve"> [2012] 1 AC 236, as cited by Nye Perram in "Issues in recognition and enforcement of foreign insolvency judgments – An Australian perspective", &lt;&lt;</w:t>
      </w:r>
      <w:hyperlink r:id="rId4" w:history="1">
        <w:r w:rsidRPr="00395617">
          <w:rPr>
            <w:rStyle w:val="Hyperlink"/>
            <w:rFonts w:ascii="Arial" w:hAnsi="Arial" w:cs="Arial"/>
            <w:color w:val="auto"/>
            <w:sz w:val="22"/>
            <w:szCs w:val="22"/>
            <w:u w:val="none"/>
          </w:rPr>
          <w:t>http://classic.austlii.edu.au/au/journals/FedJSchol/2016/13.html</w:t>
        </w:r>
      </w:hyperlink>
      <w:r w:rsidRPr="00395617">
        <w:rPr>
          <w:rFonts w:ascii="Arial" w:hAnsi="Arial" w:cs="Arial"/>
          <w:sz w:val="22"/>
          <w:szCs w:val="22"/>
        </w:rPr>
        <w:t>&gt;&gt;, accessed 26 April 2023.</w:t>
      </w:r>
    </w:p>
  </w:footnote>
  <w:footnote w:id="54">
    <w:p w14:paraId="45846BB1"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&lt;&lt;</w:t>
      </w:r>
      <w:hyperlink r:id="rId5" w:history="1">
        <w:r w:rsidRPr="00395617">
          <w:rPr>
            <w:rStyle w:val="Hyperlink"/>
            <w:rFonts w:ascii="Arial" w:hAnsi="Arial" w:cs="Arial"/>
            <w:color w:val="auto"/>
            <w:sz w:val="22"/>
            <w:szCs w:val="22"/>
            <w:u w:val="none"/>
          </w:rPr>
          <w:t>https://uncitral.un.org/sites/uncitral.un.org/files/media-documents/uncitral/en/insolvency-e.pdf</w:t>
        </w:r>
      </w:hyperlink>
      <w:r w:rsidRPr="00395617">
        <w:rPr>
          <w:rFonts w:ascii="Arial" w:hAnsi="Arial" w:cs="Arial"/>
          <w:sz w:val="22"/>
          <w:szCs w:val="22"/>
        </w:rPr>
        <w:t>&gt;&gt;, accessed 26 April 2023.</w:t>
      </w:r>
    </w:p>
  </w:footnote>
  <w:footnote w:id="55">
    <w:p w14:paraId="042431A8"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&lt;&lt;</w:t>
      </w:r>
      <w:hyperlink r:id="rId6" w:history="1">
        <w:r w:rsidRPr="00395617">
          <w:rPr>
            <w:rStyle w:val="Hyperlink"/>
            <w:rFonts w:ascii="Arial" w:hAnsi="Arial" w:cs="Arial"/>
            <w:color w:val="auto"/>
            <w:sz w:val="22"/>
            <w:szCs w:val="22"/>
            <w:u w:val="none"/>
          </w:rPr>
          <w:t>https://uncitral.un.org/sites/uncitral.un.org/files/media-documents/uncitral/en/insolvency-e.pdf</w:t>
        </w:r>
      </w:hyperlink>
      <w:r w:rsidRPr="00395617">
        <w:rPr>
          <w:rStyle w:val="Hyperlink"/>
          <w:rFonts w:ascii="Arial" w:hAnsi="Arial" w:cs="Arial"/>
          <w:color w:val="auto"/>
          <w:sz w:val="22"/>
          <w:szCs w:val="22"/>
          <w:u w:val="none"/>
        </w:rPr>
        <w:t>&gt;&gt;</w:t>
      </w:r>
      <w:r w:rsidRPr="00395617">
        <w:rPr>
          <w:rFonts w:ascii="Arial" w:hAnsi="Arial" w:cs="Arial"/>
          <w:sz w:val="22"/>
          <w:szCs w:val="22"/>
        </w:rPr>
        <w:t>, accessed 26 April 2023.</w:t>
      </w:r>
    </w:p>
  </w:footnote>
  <w:footnote w:id="56">
    <w:p w14:paraId="7B91B106" w14:textId="77777777" w:rsidR="00395617" w:rsidRDefault="00395617" w:rsidP="00395617">
      <w:pPr>
        <w:pStyle w:val="FootnoteText"/>
      </w:pPr>
      <w:r w:rsidRPr="00395617">
        <w:rPr>
          <w:rStyle w:val="FootnoteReference"/>
          <w:rFonts w:ascii="Arial" w:hAnsi="Arial" w:cs="Arial"/>
          <w:sz w:val="22"/>
          <w:szCs w:val="22"/>
        </w:rPr>
        <w:footnoteRef/>
      </w:r>
      <w:r w:rsidRPr="00395617">
        <w:rPr>
          <w:rFonts w:ascii="Arial" w:hAnsi="Arial" w:cs="Arial"/>
          <w:sz w:val="22"/>
          <w:szCs w:val="22"/>
        </w:rPr>
        <w:t xml:space="preserve"> &lt;&lt;</w:t>
      </w:r>
      <w:hyperlink r:id="rId7" w:history="1">
        <w:r w:rsidRPr="00395617">
          <w:rPr>
            <w:rStyle w:val="Hyperlink"/>
            <w:rFonts w:ascii="Arial" w:hAnsi="Arial" w:cs="Arial"/>
            <w:color w:val="auto"/>
            <w:sz w:val="22"/>
            <w:szCs w:val="22"/>
            <w:u w:val="none"/>
          </w:rPr>
          <w:t>https://uncitral.un.org/sites/uncitral.un.org/files/media-documents/uncitral/en/insolvency-e.pdf</w:t>
        </w:r>
      </w:hyperlink>
      <w:r w:rsidRPr="00395617">
        <w:rPr>
          <w:rFonts w:ascii="Arial" w:hAnsi="Arial" w:cs="Arial"/>
          <w:sz w:val="22"/>
          <w:szCs w:val="22"/>
        </w:rPr>
        <w:t>&gt;&gt;, accessed 26 April 2023.</w:t>
      </w:r>
    </w:p>
  </w:footnote>
  <w:footnote w:id="57">
    <w:p w14:paraId="1F413FD3"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Beechey, </w:t>
      </w:r>
      <w:r w:rsidRPr="00395617">
        <w:rPr>
          <w:rFonts w:ascii="Arial" w:hAnsi="Arial" w:cs="Arial"/>
          <w:i/>
          <w:iCs/>
          <w:sz w:val="22"/>
          <w:szCs w:val="22"/>
        </w:rPr>
        <w:t>supra</w:t>
      </w:r>
      <w:r w:rsidRPr="00395617">
        <w:rPr>
          <w:rFonts w:ascii="Arial" w:hAnsi="Arial" w:cs="Arial"/>
          <w:sz w:val="22"/>
          <w:szCs w:val="22"/>
        </w:rPr>
        <w:t xml:space="preserve"> note 1, p 81.</w:t>
      </w:r>
    </w:p>
  </w:footnote>
  <w:footnote w:id="58">
    <w:p w14:paraId="253A32E2"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Ibid.</w:t>
      </w:r>
    </w:p>
  </w:footnote>
  <w:footnote w:id="59">
    <w:p w14:paraId="44BEC88A"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72, citing </w:t>
      </w:r>
      <w:r w:rsidRPr="00395617">
        <w:rPr>
          <w:rFonts w:ascii="Arial" w:hAnsi="Arial" w:cs="Arial"/>
          <w:i/>
          <w:iCs/>
          <w:sz w:val="22"/>
          <w:szCs w:val="22"/>
        </w:rPr>
        <w:t>Ackers v Deputy Commissioner of Taxation</w:t>
      </w:r>
      <w:r w:rsidRPr="00395617">
        <w:rPr>
          <w:rFonts w:ascii="Arial" w:hAnsi="Arial" w:cs="Arial"/>
          <w:sz w:val="22"/>
          <w:szCs w:val="22"/>
        </w:rPr>
        <w:t xml:space="preserve"> (2014) 223 FCR 8; [2014] FCAFC 57.</w:t>
      </w:r>
    </w:p>
  </w:footnote>
  <w:footnote w:id="60">
    <w:p w14:paraId="66203810" w14:textId="77777777" w:rsidR="00395617" w:rsidRDefault="00395617" w:rsidP="00395617">
      <w:pPr>
        <w:pStyle w:val="FootnoteText"/>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Ibid.</w:t>
      </w:r>
    </w:p>
  </w:footnote>
  <w:footnote w:id="61">
    <w:p w14:paraId="0485C0D4"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39, citing s 588G of Corporations Act. </w:t>
      </w:r>
    </w:p>
  </w:footnote>
  <w:footnote w:id="62">
    <w:p w14:paraId="1A43417C" w14:textId="77777777" w:rsidR="00395617" w:rsidRDefault="00395617" w:rsidP="00395617">
      <w:pPr>
        <w:pStyle w:val="FootnoteText"/>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 xml:space="preserve">Ibid, </w:t>
      </w:r>
      <w:r w:rsidRPr="00395617">
        <w:rPr>
          <w:rFonts w:ascii="Arial" w:hAnsi="Arial" w:cs="Arial"/>
          <w:sz w:val="22"/>
          <w:szCs w:val="22"/>
        </w:rPr>
        <w:t>citing s 588M of Corporations Act.</w:t>
      </w:r>
    </w:p>
  </w:footnote>
  <w:footnote w:id="63">
    <w:p w14:paraId="2133FBEE"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 xml:space="preserve">Ibid, </w:t>
      </w:r>
      <w:r w:rsidRPr="00395617">
        <w:rPr>
          <w:rFonts w:ascii="Arial" w:hAnsi="Arial" w:cs="Arial"/>
          <w:sz w:val="22"/>
          <w:szCs w:val="22"/>
        </w:rPr>
        <w:t xml:space="preserve">citing s 588V of Corporations Act. </w:t>
      </w:r>
    </w:p>
  </w:footnote>
  <w:footnote w:id="64">
    <w:p w14:paraId="625490AE"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 xml:space="preserve">Ibid, </w:t>
      </w:r>
      <w:r w:rsidRPr="00395617">
        <w:rPr>
          <w:rFonts w:ascii="Arial" w:hAnsi="Arial" w:cs="Arial"/>
          <w:sz w:val="22"/>
          <w:szCs w:val="22"/>
        </w:rPr>
        <w:t xml:space="preserve">citing ss 1317G, 206C and 588G(3) of Corporations Act. </w:t>
      </w:r>
    </w:p>
  </w:footnote>
  <w:footnote w:id="65">
    <w:p w14:paraId="613F5E64"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48, citing s 436A of Corporations Act. </w:t>
      </w:r>
    </w:p>
  </w:footnote>
  <w:footnote w:id="66">
    <w:p w14:paraId="571513D8"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Ibid.</w:t>
      </w:r>
    </w:p>
  </w:footnote>
  <w:footnote w:id="67">
    <w:p w14:paraId="5EA7266D" w14:textId="77777777" w:rsidR="00395617" w:rsidRPr="00395617" w:rsidRDefault="00395617" w:rsidP="00395617">
      <w:pPr>
        <w:pStyle w:val="FootnoteText"/>
        <w:rPr>
          <w:rFonts w:ascii="Arial" w:hAnsi="Arial" w:cs="Arial"/>
          <w:sz w:val="22"/>
          <w:szCs w:val="22"/>
        </w:rPr>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50, citing ss 440B and 440F of Corporations Act. </w:t>
      </w:r>
    </w:p>
  </w:footnote>
  <w:footnote w:id="68">
    <w:p w14:paraId="4D79FF16" w14:textId="77777777" w:rsidR="00395617" w:rsidRDefault="00395617" w:rsidP="00395617">
      <w:pPr>
        <w:pStyle w:val="FootnoteText"/>
      </w:pPr>
      <w:r w:rsidRPr="00395617">
        <w:rPr>
          <w:rStyle w:val="FootnoteReference"/>
          <w:rFonts w:ascii="Arial" w:hAnsi="Arial" w:cs="Arial"/>
          <w:sz w:val="22"/>
          <w:szCs w:val="22"/>
        </w:rPr>
        <w:footnoteRef/>
      </w:r>
      <w:r w:rsidRPr="00395617">
        <w:rPr>
          <w:rFonts w:ascii="Arial" w:hAnsi="Arial" w:cs="Arial"/>
          <w:sz w:val="22"/>
          <w:szCs w:val="22"/>
        </w:rPr>
        <w:t xml:space="preserve"> </w:t>
      </w:r>
      <w:r w:rsidRPr="00395617">
        <w:rPr>
          <w:rFonts w:ascii="Arial" w:hAnsi="Arial" w:cs="Arial"/>
          <w:i/>
          <w:iCs/>
          <w:sz w:val="22"/>
          <w:szCs w:val="22"/>
        </w:rPr>
        <w:t>Idem,</w:t>
      </w:r>
      <w:r w:rsidRPr="00395617">
        <w:rPr>
          <w:rFonts w:ascii="Arial" w:hAnsi="Arial" w:cs="Arial"/>
          <w:sz w:val="22"/>
          <w:szCs w:val="22"/>
        </w:rPr>
        <w:t xml:space="preserve"> p 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73F1D1C"/>
    <w:multiLevelType w:val="hybridMultilevel"/>
    <w:tmpl w:val="F82AE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B6F4538"/>
    <w:multiLevelType w:val="hybridMultilevel"/>
    <w:tmpl w:val="4CA233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4467130"/>
    <w:multiLevelType w:val="hybridMultilevel"/>
    <w:tmpl w:val="24180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20604C"/>
    <w:multiLevelType w:val="hybridMultilevel"/>
    <w:tmpl w:val="06E624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4A01832"/>
    <w:multiLevelType w:val="hybridMultilevel"/>
    <w:tmpl w:val="F5DA5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31E2996"/>
    <w:multiLevelType w:val="hybridMultilevel"/>
    <w:tmpl w:val="52480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367413"/>
    <w:multiLevelType w:val="hybridMultilevel"/>
    <w:tmpl w:val="C01EC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9AC589B"/>
    <w:multiLevelType w:val="hybridMultilevel"/>
    <w:tmpl w:val="DE4A6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9B65188"/>
    <w:multiLevelType w:val="hybridMultilevel"/>
    <w:tmpl w:val="4FFA9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C764A8E"/>
    <w:multiLevelType w:val="hybridMultilevel"/>
    <w:tmpl w:val="F14EE1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12"/>
  </w:num>
  <w:num w:numId="4">
    <w:abstractNumId w:val="29"/>
  </w:num>
  <w:num w:numId="5">
    <w:abstractNumId w:val="13"/>
  </w:num>
  <w:num w:numId="6">
    <w:abstractNumId w:val="20"/>
  </w:num>
  <w:num w:numId="7">
    <w:abstractNumId w:val="31"/>
  </w:num>
  <w:num w:numId="8">
    <w:abstractNumId w:val="27"/>
  </w:num>
  <w:num w:numId="9">
    <w:abstractNumId w:val="11"/>
  </w:num>
  <w:num w:numId="10">
    <w:abstractNumId w:val="9"/>
  </w:num>
  <w:num w:numId="11">
    <w:abstractNumId w:val="0"/>
  </w:num>
  <w:num w:numId="12">
    <w:abstractNumId w:val="28"/>
  </w:num>
  <w:num w:numId="13">
    <w:abstractNumId w:val="34"/>
  </w:num>
  <w:num w:numId="14">
    <w:abstractNumId w:val="10"/>
  </w:num>
  <w:num w:numId="15">
    <w:abstractNumId w:val="5"/>
  </w:num>
  <w:num w:numId="16">
    <w:abstractNumId w:val="2"/>
  </w:num>
  <w:num w:numId="17">
    <w:abstractNumId w:val="35"/>
  </w:num>
  <w:num w:numId="18">
    <w:abstractNumId w:val="7"/>
  </w:num>
  <w:num w:numId="19">
    <w:abstractNumId w:val="23"/>
  </w:num>
  <w:num w:numId="20">
    <w:abstractNumId w:val="4"/>
  </w:num>
  <w:num w:numId="21">
    <w:abstractNumId w:val="21"/>
  </w:num>
  <w:num w:numId="22">
    <w:abstractNumId w:val="36"/>
  </w:num>
  <w:num w:numId="23">
    <w:abstractNumId w:val="15"/>
  </w:num>
  <w:num w:numId="24">
    <w:abstractNumId w:val="22"/>
  </w:num>
  <w:num w:numId="25">
    <w:abstractNumId w:val="26"/>
  </w:num>
  <w:num w:numId="26">
    <w:abstractNumId w:val="30"/>
  </w:num>
  <w:num w:numId="27">
    <w:abstractNumId w:val="8"/>
  </w:num>
  <w:num w:numId="28">
    <w:abstractNumId w:val="3"/>
  </w:num>
  <w:num w:numId="29">
    <w:abstractNumId w:val="16"/>
  </w:num>
  <w:num w:numId="30">
    <w:abstractNumId w:val="25"/>
  </w:num>
  <w:num w:numId="31">
    <w:abstractNumId w:val="19"/>
  </w:num>
  <w:num w:numId="32">
    <w:abstractNumId w:val="18"/>
  </w:num>
  <w:num w:numId="33">
    <w:abstractNumId w:val="17"/>
  </w:num>
  <w:num w:numId="34">
    <w:abstractNumId w:val="24"/>
  </w:num>
  <w:num w:numId="35">
    <w:abstractNumId w:val="1"/>
  </w:num>
  <w:num w:numId="36">
    <w:abstractNumId w:val="6"/>
  </w:num>
  <w:num w:numId="37">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316B3"/>
    <w:rsid w:val="0013356C"/>
    <w:rsid w:val="0014171F"/>
    <w:rsid w:val="0014622C"/>
    <w:rsid w:val="00152348"/>
    <w:rsid w:val="0015456D"/>
    <w:rsid w:val="00155FA2"/>
    <w:rsid w:val="00161F1B"/>
    <w:rsid w:val="00162829"/>
    <w:rsid w:val="00176286"/>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653B"/>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4C6"/>
    <w:rsid w:val="002668D3"/>
    <w:rsid w:val="0027299F"/>
    <w:rsid w:val="00277678"/>
    <w:rsid w:val="0028219C"/>
    <w:rsid w:val="00284EBE"/>
    <w:rsid w:val="002903A7"/>
    <w:rsid w:val="0029433F"/>
    <w:rsid w:val="00294829"/>
    <w:rsid w:val="002956E6"/>
    <w:rsid w:val="0029690F"/>
    <w:rsid w:val="00297C8A"/>
    <w:rsid w:val="002A2A60"/>
    <w:rsid w:val="002A2C11"/>
    <w:rsid w:val="002A37BB"/>
    <w:rsid w:val="002A4B95"/>
    <w:rsid w:val="002B1C45"/>
    <w:rsid w:val="002B4441"/>
    <w:rsid w:val="002C13C8"/>
    <w:rsid w:val="002C3547"/>
    <w:rsid w:val="002D0021"/>
    <w:rsid w:val="002D299D"/>
    <w:rsid w:val="002D3473"/>
    <w:rsid w:val="002F1956"/>
    <w:rsid w:val="002F3440"/>
    <w:rsid w:val="002F75A3"/>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5372F"/>
    <w:rsid w:val="00361A0A"/>
    <w:rsid w:val="00364836"/>
    <w:rsid w:val="0036565C"/>
    <w:rsid w:val="0036625E"/>
    <w:rsid w:val="0037465A"/>
    <w:rsid w:val="00382C98"/>
    <w:rsid w:val="0038533C"/>
    <w:rsid w:val="00386568"/>
    <w:rsid w:val="00390B57"/>
    <w:rsid w:val="003948D5"/>
    <w:rsid w:val="00395617"/>
    <w:rsid w:val="00396821"/>
    <w:rsid w:val="00397D3A"/>
    <w:rsid w:val="003A051E"/>
    <w:rsid w:val="003A540E"/>
    <w:rsid w:val="003B170F"/>
    <w:rsid w:val="003B3C5F"/>
    <w:rsid w:val="003C4471"/>
    <w:rsid w:val="003D0A6D"/>
    <w:rsid w:val="003E0B16"/>
    <w:rsid w:val="003E67D1"/>
    <w:rsid w:val="00404329"/>
    <w:rsid w:val="00405DC1"/>
    <w:rsid w:val="00415F1F"/>
    <w:rsid w:val="00416D2B"/>
    <w:rsid w:val="0042108F"/>
    <w:rsid w:val="00422295"/>
    <w:rsid w:val="00430FED"/>
    <w:rsid w:val="00433844"/>
    <w:rsid w:val="00434A8C"/>
    <w:rsid w:val="00437297"/>
    <w:rsid w:val="00444284"/>
    <w:rsid w:val="00445CE6"/>
    <w:rsid w:val="004534C2"/>
    <w:rsid w:val="0045446F"/>
    <w:rsid w:val="0045683E"/>
    <w:rsid w:val="00477C72"/>
    <w:rsid w:val="00491675"/>
    <w:rsid w:val="00493855"/>
    <w:rsid w:val="00495E79"/>
    <w:rsid w:val="004A09EE"/>
    <w:rsid w:val="004A2D83"/>
    <w:rsid w:val="004A57DD"/>
    <w:rsid w:val="004A7B51"/>
    <w:rsid w:val="004A7D71"/>
    <w:rsid w:val="004A7EF3"/>
    <w:rsid w:val="004B11FD"/>
    <w:rsid w:val="004B23A2"/>
    <w:rsid w:val="004C15FB"/>
    <w:rsid w:val="004D05ED"/>
    <w:rsid w:val="004D1A5A"/>
    <w:rsid w:val="004D2FFF"/>
    <w:rsid w:val="004D3721"/>
    <w:rsid w:val="004D468D"/>
    <w:rsid w:val="004D64F9"/>
    <w:rsid w:val="004E3A6B"/>
    <w:rsid w:val="004E622C"/>
    <w:rsid w:val="004F5FDF"/>
    <w:rsid w:val="005177FE"/>
    <w:rsid w:val="0052263B"/>
    <w:rsid w:val="00524728"/>
    <w:rsid w:val="00526091"/>
    <w:rsid w:val="00532230"/>
    <w:rsid w:val="005331CA"/>
    <w:rsid w:val="00533704"/>
    <w:rsid w:val="00537970"/>
    <w:rsid w:val="00540E3A"/>
    <w:rsid w:val="00542A3A"/>
    <w:rsid w:val="00544127"/>
    <w:rsid w:val="00544FF6"/>
    <w:rsid w:val="005463A9"/>
    <w:rsid w:val="00551038"/>
    <w:rsid w:val="005522C4"/>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7A1D"/>
    <w:rsid w:val="00690AFA"/>
    <w:rsid w:val="00697EA1"/>
    <w:rsid w:val="006A2646"/>
    <w:rsid w:val="006A4280"/>
    <w:rsid w:val="006A5375"/>
    <w:rsid w:val="006A6530"/>
    <w:rsid w:val="006B435A"/>
    <w:rsid w:val="006B4C64"/>
    <w:rsid w:val="006B7879"/>
    <w:rsid w:val="006D6BD5"/>
    <w:rsid w:val="006E481A"/>
    <w:rsid w:val="006E5298"/>
    <w:rsid w:val="006E6760"/>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522E8"/>
    <w:rsid w:val="007603F5"/>
    <w:rsid w:val="00764DB0"/>
    <w:rsid w:val="0076764D"/>
    <w:rsid w:val="0077498C"/>
    <w:rsid w:val="00775C59"/>
    <w:rsid w:val="007809BC"/>
    <w:rsid w:val="00784128"/>
    <w:rsid w:val="00785534"/>
    <w:rsid w:val="00787BCC"/>
    <w:rsid w:val="00793173"/>
    <w:rsid w:val="00796B95"/>
    <w:rsid w:val="007A2A33"/>
    <w:rsid w:val="007B22CF"/>
    <w:rsid w:val="007B3A5E"/>
    <w:rsid w:val="007B5C89"/>
    <w:rsid w:val="007C1FCC"/>
    <w:rsid w:val="007C6201"/>
    <w:rsid w:val="007D7C92"/>
    <w:rsid w:val="007E1154"/>
    <w:rsid w:val="007E6BA4"/>
    <w:rsid w:val="007E7432"/>
    <w:rsid w:val="007F41F8"/>
    <w:rsid w:val="007F659B"/>
    <w:rsid w:val="00800BA5"/>
    <w:rsid w:val="0080454E"/>
    <w:rsid w:val="00804C32"/>
    <w:rsid w:val="00806302"/>
    <w:rsid w:val="00807119"/>
    <w:rsid w:val="008235B7"/>
    <w:rsid w:val="00823B29"/>
    <w:rsid w:val="0082483F"/>
    <w:rsid w:val="008279C0"/>
    <w:rsid w:val="008420F8"/>
    <w:rsid w:val="008465BE"/>
    <w:rsid w:val="00867701"/>
    <w:rsid w:val="00867C22"/>
    <w:rsid w:val="008723F3"/>
    <w:rsid w:val="0087682F"/>
    <w:rsid w:val="00876F56"/>
    <w:rsid w:val="00881DE6"/>
    <w:rsid w:val="008837A6"/>
    <w:rsid w:val="0089145D"/>
    <w:rsid w:val="0089536F"/>
    <w:rsid w:val="008A3075"/>
    <w:rsid w:val="008A4DF2"/>
    <w:rsid w:val="008A6CFE"/>
    <w:rsid w:val="008A7666"/>
    <w:rsid w:val="008B5333"/>
    <w:rsid w:val="008B6223"/>
    <w:rsid w:val="008C3FB9"/>
    <w:rsid w:val="008C66E0"/>
    <w:rsid w:val="008D4D4A"/>
    <w:rsid w:val="008E3339"/>
    <w:rsid w:val="008F20FC"/>
    <w:rsid w:val="008F240F"/>
    <w:rsid w:val="008F2C4E"/>
    <w:rsid w:val="008F5FFE"/>
    <w:rsid w:val="00905A43"/>
    <w:rsid w:val="00912C79"/>
    <w:rsid w:val="00921B8C"/>
    <w:rsid w:val="00942123"/>
    <w:rsid w:val="009512E1"/>
    <w:rsid w:val="0095207B"/>
    <w:rsid w:val="00962045"/>
    <w:rsid w:val="00980E61"/>
    <w:rsid w:val="00991428"/>
    <w:rsid w:val="0099169D"/>
    <w:rsid w:val="00992676"/>
    <w:rsid w:val="009954B2"/>
    <w:rsid w:val="00996691"/>
    <w:rsid w:val="009A3AB7"/>
    <w:rsid w:val="009B01E9"/>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E51"/>
    <w:rsid w:val="00A047EE"/>
    <w:rsid w:val="00A15DC7"/>
    <w:rsid w:val="00A21FA5"/>
    <w:rsid w:val="00A2274A"/>
    <w:rsid w:val="00A235B7"/>
    <w:rsid w:val="00A27A7A"/>
    <w:rsid w:val="00A27DC9"/>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D12C7"/>
    <w:rsid w:val="00AD4BE8"/>
    <w:rsid w:val="00AE20EB"/>
    <w:rsid w:val="00AE21A8"/>
    <w:rsid w:val="00AF228E"/>
    <w:rsid w:val="00B016A8"/>
    <w:rsid w:val="00B04780"/>
    <w:rsid w:val="00B108A5"/>
    <w:rsid w:val="00B14819"/>
    <w:rsid w:val="00B15E2F"/>
    <w:rsid w:val="00B17AA9"/>
    <w:rsid w:val="00B2234F"/>
    <w:rsid w:val="00B240F9"/>
    <w:rsid w:val="00B37C3C"/>
    <w:rsid w:val="00B44713"/>
    <w:rsid w:val="00B51B95"/>
    <w:rsid w:val="00B53FBE"/>
    <w:rsid w:val="00B56103"/>
    <w:rsid w:val="00B64929"/>
    <w:rsid w:val="00B659B9"/>
    <w:rsid w:val="00B665F2"/>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A5FCB"/>
    <w:rsid w:val="00BA7B65"/>
    <w:rsid w:val="00BB0F2B"/>
    <w:rsid w:val="00BC3EA9"/>
    <w:rsid w:val="00BC5A60"/>
    <w:rsid w:val="00BE4FF3"/>
    <w:rsid w:val="00BF0AFE"/>
    <w:rsid w:val="00BF50F7"/>
    <w:rsid w:val="00C02F29"/>
    <w:rsid w:val="00C06B6D"/>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63D3"/>
    <w:rsid w:val="00CB1983"/>
    <w:rsid w:val="00CB2CBB"/>
    <w:rsid w:val="00CB5057"/>
    <w:rsid w:val="00CB7CAC"/>
    <w:rsid w:val="00CC5335"/>
    <w:rsid w:val="00CC5BA4"/>
    <w:rsid w:val="00CC6748"/>
    <w:rsid w:val="00CD4998"/>
    <w:rsid w:val="00CE1035"/>
    <w:rsid w:val="00CE6E50"/>
    <w:rsid w:val="00CF128D"/>
    <w:rsid w:val="00CF2819"/>
    <w:rsid w:val="00CF4F9D"/>
    <w:rsid w:val="00CF70DC"/>
    <w:rsid w:val="00D079CC"/>
    <w:rsid w:val="00D148DC"/>
    <w:rsid w:val="00D17FDC"/>
    <w:rsid w:val="00D21D8C"/>
    <w:rsid w:val="00D45B4F"/>
    <w:rsid w:val="00D53719"/>
    <w:rsid w:val="00D6188D"/>
    <w:rsid w:val="00D63EFD"/>
    <w:rsid w:val="00D801B5"/>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5C07"/>
    <w:rsid w:val="00E07C5A"/>
    <w:rsid w:val="00E11C54"/>
    <w:rsid w:val="00E131DE"/>
    <w:rsid w:val="00E14FED"/>
    <w:rsid w:val="00E15BA9"/>
    <w:rsid w:val="00E26E19"/>
    <w:rsid w:val="00E27C4D"/>
    <w:rsid w:val="00E31DF3"/>
    <w:rsid w:val="00E409FC"/>
    <w:rsid w:val="00E43938"/>
    <w:rsid w:val="00E450A4"/>
    <w:rsid w:val="00E47E46"/>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080B"/>
    <w:rsid w:val="00EB146B"/>
    <w:rsid w:val="00EB45AC"/>
    <w:rsid w:val="00EC441F"/>
    <w:rsid w:val="00EC4755"/>
    <w:rsid w:val="00ED048E"/>
    <w:rsid w:val="00ED0BC4"/>
    <w:rsid w:val="00ED14CB"/>
    <w:rsid w:val="00ED447D"/>
    <w:rsid w:val="00ED5BDC"/>
    <w:rsid w:val="00ED6316"/>
    <w:rsid w:val="00EE4971"/>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477C9"/>
    <w:rsid w:val="00F5165C"/>
    <w:rsid w:val="00F5524B"/>
    <w:rsid w:val="00F60531"/>
    <w:rsid w:val="00F60538"/>
    <w:rsid w:val="00F61DD2"/>
    <w:rsid w:val="00F66AFF"/>
    <w:rsid w:val="00F71433"/>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ncitral.un.org/sites/uncitral.un.org/files/media-documents/uncitral/en/insolvency-e.pdf" TargetMode="External"/><Relationship Id="rId7" Type="http://schemas.openxmlformats.org/officeDocument/2006/relationships/hyperlink" Target="https://uncitral.un.org/sites/uncitral.un.org/files/media-documents/uncitral/en/insolvency-e.pdf" TargetMode="External"/><Relationship Id="rId2" Type="http://schemas.openxmlformats.org/officeDocument/2006/relationships/hyperlink" Target="https://uncitral.un.org/sites/uncitral.un.org/files/media-documents/uncitral/en/insolvency-e.pdf" TargetMode="External"/><Relationship Id="rId1" Type="http://schemas.openxmlformats.org/officeDocument/2006/relationships/hyperlink" Target="https://uncitral.un.org/sites/uncitral.un.org/files/media-documents/uncitral/en/insolvency-e.pdf" TargetMode="External"/><Relationship Id="rId6" Type="http://schemas.openxmlformats.org/officeDocument/2006/relationships/hyperlink" Target="https://uncitral.un.org/sites/uncitral.un.org/files/media-documents/uncitral/en/insolvency-e.pdf" TargetMode="External"/><Relationship Id="rId5" Type="http://schemas.openxmlformats.org/officeDocument/2006/relationships/hyperlink" Target="https://uncitral.un.org/sites/uncitral.un.org/files/media-documents/uncitral/en/insolvency-e.pdf" TargetMode="External"/><Relationship Id="rId4" Type="http://schemas.openxmlformats.org/officeDocument/2006/relationships/hyperlink" Target="http://classic.austlii.edu.au/au/journals/FedJSchol/2016/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5983</Words>
  <Characters>29498</Characters>
  <Application>Microsoft Office Word</Application>
  <DocSecurity>0</DocSecurity>
  <Lines>686</Lines>
  <Paragraphs>262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Anthony Harper</cp:lastModifiedBy>
  <cp:revision>2</cp:revision>
  <cp:lastPrinted>2019-08-27T05:42:00Z</cp:lastPrinted>
  <dcterms:created xsi:type="dcterms:W3CDTF">2023-04-26T22:57:00Z</dcterms:created>
  <dcterms:modified xsi:type="dcterms:W3CDTF">2023-04-26T22:57:00Z</dcterms:modified>
</cp:coreProperties>
</file>