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0A56" w14:textId="5A8160EB" w:rsidR="00E80334" w:rsidRPr="00454CA5" w:rsidRDefault="00E80334" w:rsidP="00776876">
      <w:pPr>
        <w:spacing w:line="240" w:lineRule="auto"/>
        <w:jc w:val="center"/>
        <w:rPr>
          <w:rFonts w:ascii="Arial" w:hAnsi="Arial" w:cs="Arial"/>
          <w:b/>
          <w:bCs/>
          <w:lang w:val="en-US"/>
        </w:rPr>
      </w:pPr>
      <w:r w:rsidRPr="00454CA5">
        <w:rPr>
          <w:rFonts w:ascii="Arial" w:hAnsi="Arial" w:cs="Arial"/>
          <w:b/>
          <w:bCs/>
          <w:lang w:val="en-US"/>
        </w:rPr>
        <w:t>GLOBAL INSOLVENCY</w:t>
      </w:r>
      <w:r w:rsidR="00BB6868" w:rsidRPr="00454CA5">
        <w:rPr>
          <w:rFonts w:ascii="Arial" w:hAnsi="Arial" w:cs="Arial"/>
          <w:b/>
          <w:bCs/>
          <w:lang w:val="en-US"/>
        </w:rPr>
        <w:t xml:space="preserve"> </w:t>
      </w:r>
      <w:r w:rsidRPr="00454CA5">
        <w:rPr>
          <w:rFonts w:ascii="Arial" w:hAnsi="Arial" w:cs="Arial"/>
          <w:b/>
          <w:bCs/>
          <w:lang w:val="en-US"/>
        </w:rPr>
        <w:t>PRACTICE COURSE</w:t>
      </w:r>
      <w:r w:rsidR="00631500" w:rsidRPr="00454CA5">
        <w:rPr>
          <w:rFonts w:ascii="Arial" w:hAnsi="Arial" w:cs="Arial"/>
          <w:b/>
          <w:bCs/>
          <w:lang w:val="en-US"/>
        </w:rPr>
        <w:t xml:space="preserve"> </w:t>
      </w:r>
      <w:r w:rsidRPr="00454CA5">
        <w:rPr>
          <w:rFonts w:ascii="Arial" w:hAnsi="Arial" w:cs="Arial"/>
          <w:b/>
          <w:bCs/>
          <w:lang w:val="en-US"/>
        </w:rPr>
        <w:t>2022 / 2023</w:t>
      </w:r>
    </w:p>
    <w:p w14:paraId="082D811D" w14:textId="4A4F5F4C" w:rsidR="00E80334" w:rsidRPr="00454CA5" w:rsidRDefault="00AB223C" w:rsidP="00AB223C">
      <w:pPr>
        <w:tabs>
          <w:tab w:val="left" w:pos="2091"/>
          <w:tab w:val="center" w:pos="4513"/>
        </w:tabs>
        <w:spacing w:line="240" w:lineRule="auto"/>
        <w:rPr>
          <w:rFonts w:ascii="Arial" w:hAnsi="Arial" w:cs="Arial"/>
          <w:b/>
          <w:bCs/>
          <w:lang w:val="en-US"/>
        </w:rPr>
      </w:pPr>
      <w:r w:rsidRPr="00454CA5">
        <w:rPr>
          <w:rFonts w:ascii="Arial" w:hAnsi="Arial" w:cs="Arial"/>
          <w:b/>
          <w:bCs/>
          <w:lang w:val="en-US"/>
        </w:rPr>
        <w:tab/>
      </w:r>
      <w:r w:rsidRPr="00454CA5">
        <w:rPr>
          <w:rFonts w:ascii="Arial" w:hAnsi="Arial" w:cs="Arial"/>
          <w:b/>
          <w:bCs/>
          <w:lang w:val="en-US"/>
        </w:rPr>
        <w:tab/>
      </w:r>
      <w:r w:rsidR="00E80334" w:rsidRPr="00454CA5">
        <w:rPr>
          <w:rFonts w:ascii="Arial" w:hAnsi="Arial" w:cs="Arial"/>
          <w:b/>
          <w:bCs/>
          <w:lang w:val="en-US"/>
        </w:rPr>
        <w:t>Case Study I</w:t>
      </w:r>
    </w:p>
    <w:p w14:paraId="118F3A3D" w14:textId="159D3328" w:rsidR="003C50E2" w:rsidRPr="00454CA5" w:rsidRDefault="003C50E2" w:rsidP="00A22748">
      <w:pPr>
        <w:pStyle w:val="ListParagraph"/>
        <w:spacing w:line="240" w:lineRule="auto"/>
        <w:ind w:left="567"/>
        <w:contextualSpacing w:val="0"/>
        <w:jc w:val="both"/>
        <w:rPr>
          <w:rFonts w:ascii="Arial" w:hAnsi="Arial" w:cs="Arial"/>
          <w:b/>
          <w:bCs/>
          <w:lang w:val="en-US"/>
        </w:rPr>
      </w:pPr>
      <w:r w:rsidRPr="00454CA5">
        <w:rPr>
          <w:rFonts w:ascii="Arial" w:hAnsi="Arial" w:cs="Arial"/>
          <w:b/>
          <w:bCs/>
          <w:lang w:val="en-US"/>
        </w:rPr>
        <w:t xml:space="preserve">Queries and </w:t>
      </w:r>
      <w:r w:rsidR="00AB223C" w:rsidRPr="00454CA5">
        <w:rPr>
          <w:rFonts w:ascii="Arial" w:hAnsi="Arial" w:cs="Arial"/>
          <w:b/>
          <w:bCs/>
          <w:lang w:val="en-US"/>
        </w:rPr>
        <w:t>Response</w:t>
      </w:r>
      <w:r w:rsidRPr="00454CA5">
        <w:rPr>
          <w:rFonts w:ascii="Arial" w:hAnsi="Arial" w:cs="Arial"/>
          <w:b/>
          <w:bCs/>
          <w:lang w:val="en-US"/>
        </w:rPr>
        <w:t xml:space="preserve">: </w:t>
      </w:r>
    </w:p>
    <w:p w14:paraId="068A1C21" w14:textId="0E1E9B96" w:rsidR="008C652F" w:rsidRPr="00454CA5" w:rsidRDefault="008C652F" w:rsidP="004D6CCD">
      <w:pPr>
        <w:pStyle w:val="ListParagraph"/>
        <w:numPr>
          <w:ilvl w:val="0"/>
          <w:numId w:val="1"/>
        </w:numPr>
        <w:spacing w:line="240" w:lineRule="auto"/>
        <w:ind w:left="567" w:hanging="567"/>
        <w:contextualSpacing w:val="0"/>
        <w:jc w:val="both"/>
        <w:rPr>
          <w:rFonts w:ascii="Arial" w:hAnsi="Arial" w:cs="Arial"/>
          <w:b/>
          <w:bCs/>
          <w:i/>
          <w:iCs/>
          <w:lang w:val="en-US"/>
        </w:rPr>
      </w:pPr>
      <w:r w:rsidRPr="00454CA5">
        <w:rPr>
          <w:rFonts w:ascii="Arial" w:hAnsi="Arial" w:cs="Arial"/>
          <w:b/>
          <w:bCs/>
          <w:i/>
          <w:iCs/>
          <w:lang w:val="en-US"/>
        </w:rPr>
        <w:t xml:space="preserve">What were in your opinion the causes of financial distress at Flow Management (see </w:t>
      </w:r>
      <w:r w:rsidR="00B2281D" w:rsidRPr="00454CA5">
        <w:rPr>
          <w:rFonts w:ascii="Arial" w:hAnsi="Arial" w:cs="Arial"/>
          <w:b/>
          <w:bCs/>
          <w:i/>
          <w:iCs/>
          <w:lang w:val="en-US"/>
        </w:rPr>
        <w:t>e.g.,</w:t>
      </w:r>
      <w:r w:rsidRPr="00454CA5">
        <w:rPr>
          <w:rFonts w:ascii="Arial" w:hAnsi="Arial" w:cs="Arial"/>
          <w:b/>
          <w:bCs/>
          <w:i/>
          <w:iCs/>
          <w:lang w:val="en-US"/>
        </w:rPr>
        <w:t xml:space="preserve"> </w:t>
      </w:r>
      <w:r w:rsidRPr="00454CA5">
        <w:rPr>
          <w:rFonts w:ascii="Arial" w:hAnsi="Arial" w:cs="Arial"/>
          <w:b/>
          <w:bCs/>
          <w:i/>
          <w:iCs/>
          <w:lang w:val="en-US"/>
        </w:rPr>
        <w:t>Mellahi &amp; Wilkinson, 2004)? Could the financial distress have been prevented? If yes,</w:t>
      </w:r>
      <w:r w:rsidRPr="00454CA5">
        <w:rPr>
          <w:rFonts w:ascii="Arial" w:hAnsi="Arial" w:cs="Arial"/>
          <w:b/>
          <w:bCs/>
          <w:i/>
          <w:iCs/>
          <w:lang w:val="en-US"/>
        </w:rPr>
        <w:t xml:space="preserve"> </w:t>
      </w:r>
      <w:r w:rsidRPr="00454CA5">
        <w:rPr>
          <w:rFonts w:ascii="Arial" w:hAnsi="Arial" w:cs="Arial"/>
          <w:b/>
          <w:bCs/>
          <w:i/>
          <w:iCs/>
          <w:lang w:val="en-US"/>
        </w:rPr>
        <w:t>explain how. If no, why not?</w:t>
      </w:r>
    </w:p>
    <w:p w14:paraId="1D25D132" w14:textId="03ACCE2C" w:rsidR="00E53A63" w:rsidRPr="00454CA5" w:rsidRDefault="00AD7999" w:rsidP="004D6CCD">
      <w:pPr>
        <w:pStyle w:val="ListParagraph"/>
        <w:numPr>
          <w:ilvl w:val="1"/>
          <w:numId w:val="1"/>
        </w:numPr>
        <w:spacing w:line="240" w:lineRule="auto"/>
        <w:ind w:left="567" w:hanging="567"/>
        <w:contextualSpacing w:val="0"/>
        <w:jc w:val="both"/>
        <w:rPr>
          <w:rFonts w:ascii="Arial" w:hAnsi="Arial" w:cs="Arial"/>
          <w:b/>
          <w:bCs/>
          <w:i/>
          <w:iCs/>
          <w:lang w:val="en-US"/>
        </w:rPr>
      </w:pPr>
      <w:r w:rsidRPr="00454CA5">
        <w:rPr>
          <w:rFonts w:ascii="Arial" w:hAnsi="Arial" w:cs="Arial"/>
          <w:lang w:val="en-US"/>
        </w:rPr>
        <w:t xml:space="preserve">The </w:t>
      </w:r>
      <w:r w:rsidR="000A7CE3" w:rsidRPr="00454CA5">
        <w:rPr>
          <w:rFonts w:ascii="Arial" w:hAnsi="Arial" w:cs="Arial"/>
          <w:lang w:val="en-US"/>
        </w:rPr>
        <w:t>organizational</w:t>
      </w:r>
      <w:r w:rsidRPr="00454CA5">
        <w:rPr>
          <w:rFonts w:ascii="Arial" w:hAnsi="Arial" w:cs="Arial"/>
          <w:lang w:val="en-US"/>
        </w:rPr>
        <w:t xml:space="preserve"> failure and financial distress of </w:t>
      </w:r>
      <w:r w:rsidR="00C14047" w:rsidRPr="00454CA5">
        <w:rPr>
          <w:rFonts w:ascii="Arial" w:hAnsi="Arial" w:cs="Arial"/>
          <w:lang w:val="en-US"/>
        </w:rPr>
        <w:t>Flow Management Holding BV (</w:t>
      </w:r>
      <w:r w:rsidR="00C14047" w:rsidRPr="00454CA5">
        <w:rPr>
          <w:rFonts w:ascii="Arial" w:hAnsi="Arial" w:cs="Arial"/>
          <w:b/>
          <w:bCs/>
          <w:lang w:val="en-US"/>
        </w:rPr>
        <w:t>FMHB</w:t>
      </w:r>
      <w:r w:rsidR="00C14047" w:rsidRPr="00454CA5">
        <w:rPr>
          <w:rFonts w:ascii="Arial" w:hAnsi="Arial" w:cs="Arial"/>
          <w:lang w:val="en-US"/>
        </w:rPr>
        <w:t>)</w:t>
      </w:r>
      <w:r w:rsidR="00BB596D" w:rsidRPr="00454CA5">
        <w:rPr>
          <w:rFonts w:ascii="Arial" w:hAnsi="Arial" w:cs="Arial"/>
          <w:lang w:val="en-US"/>
        </w:rPr>
        <w:t xml:space="preserve"> </w:t>
      </w:r>
      <w:r w:rsidR="00666D9B" w:rsidRPr="00454CA5">
        <w:rPr>
          <w:rFonts w:ascii="Arial" w:hAnsi="Arial" w:cs="Arial"/>
          <w:lang w:val="en-US"/>
        </w:rPr>
        <w:t xml:space="preserve">can be viewed more from </w:t>
      </w:r>
      <w:r w:rsidR="004D61EB" w:rsidRPr="00454CA5">
        <w:rPr>
          <w:rFonts w:ascii="Arial" w:hAnsi="Arial" w:cs="Arial"/>
          <w:lang w:val="en-US"/>
        </w:rPr>
        <w:t xml:space="preserve">a </w:t>
      </w:r>
      <w:r w:rsidR="00666D9B" w:rsidRPr="00454CA5">
        <w:rPr>
          <w:rFonts w:ascii="Arial" w:hAnsi="Arial" w:cs="Arial"/>
          <w:i/>
          <w:iCs/>
          <w:lang w:val="en-US"/>
        </w:rPr>
        <w:t>voluntaristic perspective</w:t>
      </w:r>
      <w:r w:rsidR="003C1552" w:rsidRPr="00454CA5">
        <w:rPr>
          <w:rStyle w:val="FootnoteReference"/>
          <w:rFonts w:ascii="Arial" w:hAnsi="Arial" w:cs="Arial"/>
          <w:lang w:val="en-US"/>
        </w:rPr>
        <w:footnoteReference w:id="1"/>
      </w:r>
      <w:r w:rsidR="00666D9B" w:rsidRPr="00454CA5">
        <w:rPr>
          <w:rFonts w:ascii="Arial" w:hAnsi="Arial" w:cs="Arial"/>
          <w:lang w:val="en-US"/>
        </w:rPr>
        <w:t xml:space="preserve"> </w:t>
      </w:r>
      <w:r w:rsidR="00D8799E" w:rsidRPr="00454CA5">
        <w:rPr>
          <w:rFonts w:ascii="Arial" w:hAnsi="Arial" w:cs="Arial"/>
          <w:lang w:val="en-US"/>
        </w:rPr>
        <w:t>that cause</w:t>
      </w:r>
      <w:r w:rsidR="00EF38E6" w:rsidRPr="00454CA5">
        <w:rPr>
          <w:rFonts w:ascii="Arial" w:hAnsi="Arial" w:cs="Arial"/>
          <w:lang w:val="en-US"/>
        </w:rPr>
        <w:t xml:space="preserve">d </w:t>
      </w:r>
      <w:r w:rsidR="0077149F" w:rsidRPr="00454CA5">
        <w:rPr>
          <w:rFonts w:ascii="Arial" w:hAnsi="Arial" w:cs="Arial"/>
          <w:lang w:val="en-US"/>
        </w:rPr>
        <w:t xml:space="preserve">gradual </w:t>
      </w:r>
      <w:r w:rsidR="0077149F" w:rsidRPr="00454CA5">
        <w:rPr>
          <w:rFonts w:ascii="Arial" w:hAnsi="Arial" w:cs="Arial"/>
          <w:lang w:val="en-US"/>
        </w:rPr>
        <w:t>deterioration in the financial health of FMHB</w:t>
      </w:r>
      <w:r w:rsidR="006F046D" w:rsidRPr="00454CA5">
        <w:rPr>
          <w:rFonts w:ascii="Arial" w:hAnsi="Arial" w:cs="Arial"/>
          <w:lang w:val="en-US"/>
        </w:rPr>
        <w:t>, a</w:t>
      </w:r>
      <w:r w:rsidR="00F6706C" w:rsidRPr="00454CA5">
        <w:rPr>
          <w:rFonts w:ascii="Arial" w:hAnsi="Arial" w:cs="Arial"/>
          <w:lang w:val="en-US"/>
        </w:rPr>
        <w:t>s</w:t>
      </w:r>
      <w:r w:rsidR="006F046D" w:rsidRPr="00454CA5">
        <w:rPr>
          <w:rFonts w:ascii="Arial" w:hAnsi="Arial" w:cs="Arial"/>
          <w:lang w:val="en-US"/>
        </w:rPr>
        <w:t xml:space="preserve"> detailed below</w:t>
      </w:r>
      <w:r w:rsidR="007E1325" w:rsidRPr="00454CA5">
        <w:rPr>
          <w:rFonts w:ascii="Arial" w:hAnsi="Arial" w:cs="Arial"/>
          <w:lang w:val="en-US"/>
        </w:rPr>
        <w:t xml:space="preserve">: </w:t>
      </w:r>
    </w:p>
    <w:p w14:paraId="3A4D945E" w14:textId="163103B7" w:rsidR="002E7E3E" w:rsidRPr="00454CA5" w:rsidRDefault="00E318F4" w:rsidP="004D6CCD">
      <w:pPr>
        <w:pStyle w:val="ListParagraph"/>
        <w:numPr>
          <w:ilvl w:val="0"/>
          <w:numId w:val="2"/>
        </w:numPr>
        <w:ind w:left="1134" w:hanging="567"/>
        <w:contextualSpacing w:val="0"/>
        <w:jc w:val="both"/>
        <w:rPr>
          <w:rFonts w:ascii="Arial" w:hAnsi="Arial" w:cs="Arial"/>
          <w:b/>
          <w:bCs/>
          <w:i/>
          <w:iCs/>
          <w:lang w:val="en-US"/>
        </w:rPr>
      </w:pPr>
      <w:r w:rsidRPr="00454CA5">
        <w:rPr>
          <w:rFonts w:ascii="Arial" w:hAnsi="Arial" w:cs="Arial"/>
          <w:lang w:val="en-US"/>
        </w:rPr>
        <w:t>O</w:t>
      </w:r>
      <w:r w:rsidR="00AB45EE" w:rsidRPr="00454CA5">
        <w:rPr>
          <w:rFonts w:ascii="Arial" w:hAnsi="Arial" w:cs="Arial"/>
          <w:lang w:val="en-US"/>
        </w:rPr>
        <w:t xml:space="preserve">ne of the primary </w:t>
      </w:r>
      <w:r w:rsidR="008A5C81" w:rsidRPr="00454CA5">
        <w:rPr>
          <w:rFonts w:ascii="Arial" w:hAnsi="Arial" w:cs="Arial"/>
          <w:lang w:val="en-US"/>
        </w:rPr>
        <w:t>causes</w:t>
      </w:r>
      <w:r w:rsidR="00AB45EE" w:rsidRPr="00454CA5">
        <w:rPr>
          <w:rFonts w:ascii="Arial" w:hAnsi="Arial" w:cs="Arial"/>
          <w:lang w:val="en-US"/>
        </w:rPr>
        <w:t xml:space="preserve"> of </w:t>
      </w:r>
      <w:r w:rsidR="002E7E3E" w:rsidRPr="00454CA5">
        <w:rPr>
          <w:rFonts w:ascii="Arial" w:hAnsi="Arial" w:cs="Arial"/>
          <w:lang w:val="en-US"/>
        </w:rPr>
        <w:t xml:space="preserve">the </w:t>
      </w:r>
      <w:r w:rsidR="004659CA" w:rsidRPr="00454CA5">
        <w:rPr>
          <w:rFonts w:ascii="Arial" w:hAnsi="Arial" w:cs="Arial"/>
          <w:lang w:val="en-US"/>
        </w:rPr>
        <w:t xml:space="preserve">financial distress was </w:t>
      </w:r>
      <w:r w:rsidR="00DB2061" w:rsidRPr="00454CA5">
        <w:rPr>
          <w:rFonts w:ascii="Arial" w:hAnsi="Arial" w:cs="Arial"/>
          <w:lang w:val="en-US"/>
        </w:rPr>
        <w:t>oversight</w:t>
      </w:r>
      <w:r w:rsidR="00A53633" w:rsidRPr="00454CA5">
        <w:rPr>
          <w:rFonts w:ascii="Arial" w:hAnsi="Arial" w:cs="Arial"/>
          <w:lang w:val="en-US"/>
        </w:rPr>
        <w:t xml:space="preserve"> </w:t>
      </w:r>
      <w:r w:rsidR="006056A9" w:rsidRPr="00454CA5">
        <w:rPr>
          <w:rFonts w:ascii="Arial" w:hAnsi="Arial" w:cs="Arial"/>
          <w:lang w:val="en-US"/>
        </w:rPr>
        <w:t>and</w:t>
      </w:r>
      <w:r w:rsidR="004151D0" w:rsidRPr="00454CA5">
        <w:rPr>
          <w:rFonts w:ascii="Arial" w:hAnsi="Arial" w:cs="Arial"/>
          <w:lang w:val="en-US"/>
        </w:rPr>
        <w:t xml:space="preserve"> </w:t>
      </w:r>
      <w:r w:rsidR="00E127A7" w:rsidRPr="00454CA5">
        <w:rPr>
          <w:rFonts w:ascii="Arial" w:hAnsi="Arial" w:cs="Arial"/>
          <w:lang w:val="en-US"/>
        </w:rPr>
        <w:t xml:space="preserve">inaction by the </w:t>
      </w:r>
      <w:r w:rsidR="00D50B03" w:rsidRPr="00454CA5">
        <w:rPr>
          <w:rFonts w:ascii="Arial" w:hAnsi="Arial" w:cs="Arial"/>
          <w:lang w:val="en-US"/>
        </w:rPr>
        <w:t xml:space="preserve">management </w:t>
      </w:r>
      <w:r w:rsidR="00C95300" w:rsidRPr="00454CA5">
        <w:rPr>
          <w:rFonts w:ascii="Arial" w:hAnsi="Arial" w:cs="Arial"/>
          <w:lang w:val="en-US"/>
        </w:rPr>
        <w:t xml:space="preserve">of </w:t>
      </w:r>
      <w:r w:rsidR="00641C42" w:rsidRPr="00454CA5">
        <w:rPr>
          <w:rFonts w:ascii="Arial" w:hAnsi="Arial" w:cs="Arial"/>
          <w:lang w:val="en-US"/>
        </w:rPr>
        <w:t>FMHB</w:t>
      </w:r>
      <w:r w:rsidR="000841A1" w:rsidRPr="00454CA5">
        <w:rPr>
          <w:rFonts w:ascii="Arial" w:hAnsi="Arial" w:cs="Arial"/>
          <w:lang w:val="en-US"/>
        </w:rPr>
        <w:t>.</w:t>
      </w:r>
      <w:r w:rsidR="00AF709A" w:rsidRPr="00454CA5">
        <w:rPr>
          <w:rFonts w:ascii="Arial" w:hAnsi="Arial" w:cs="Arial"/>
          <w:lang w:val="en-US"/>
        </w:rPr>
        <w:t xml:space="preserve"> For instance: (a) it was only in November 2013, </w:t>
      </w:r>
      <w:r w:rsidR="00C36673" w:rsidRPr="00454CA5">
        <w:rPr>
          <w:rFonts w:ascii="Arial" w:hAnsi="Arial" w:cs="Arial"/>
          <w:lang w:val="en-US"/>
        </w:rPr>
        <w:t xml:space="preserve">that the </w:t>
      </w:r>
      <w:r w:rsidR="007462A6" w:rsidRPr="00454CA5">
        <w:rPr>
          <w:rFonts w:ascii="Arial" w:hAnsi="Arial" w:cs="Arial"/>
          <w:lang w:val="en-US"/>
        </w:rPr>
        <w:t xml:space="preserve">errors </w:t>
      </w:r>
      <w:r w:rsidR="007462A6" w:rsidRPr="00454CA5">
        <w:rPr>
          <w:rFonts w:ascii="Arial" w:hAnsi="Arial" w:cs="Arial"/>
          <w:lang w:val="en-US"/>
        </w:rPr>
        <w:t>in the Annual Accounts of 2012</w:t>
      </w:r>
      <w:r w:rsidR="005B0F0D" w:rsidRPr="00454CA5">
        <w:rPr>
          <w:rFonts w:ascii="Arial" w:hAnsi="Arial" w:cs="Arial"/>
          <w:lang w:val="en-US"/>
        </w:rPr>
        <w:t xml:space="preserve"> were unearthed</w:t>
      </w:r>
      <w:r w:rsidR="00C96C54" w:rsidRPr="00454CA5">
        <w:rPr>
          <w:rFonts w:ascii="Arial" w:hAnsi="Arial" w:cs="Arial"/>
          <w:lang w:val="en-US"/>
        </w:rPr>
        <w:t xml:space="preserve"> (which amongst others included huge management bonuses)</w:t>
      </w:r>
      <w:r w:rsidR="006667A4">
        <w:rPr>
          <w:rFonts w:ascii="Arial" w:hAnsi="Arial" w:cs="Arial"/>
          <w:lang w:val="en-US"/>
        </w:rPr>
        <w:t xml:space="preserve">. </w:t>
      </w:r>
      <w:r w:rsidR="006667A4">
        <w:rPr>
          <w:rFonts w:ascii="Arial" w:hAnsi="Arial" w:cs="Arial"/>
        </w:rPr>
        <w:t xml:space="preserve">It appears that there was inadequate management information system </w:t>
      </w:r>
      <w:r w:rsidR="00B474EF">
        <w:rPr>
          <w:rFonts w:ascii="Arial" w:hAnsi="Arial" w:cs="Arial"/>
        </w:rPr>
        <w:t xml:space="preserve">in the organization, </w:t>
      </w:r>
      <w:r w:rsidR="006667A4">
        <w:rPr>
          <w:rFonts w:ascii="Arial" w:hAnsi="Arial" w:cs="Arial"/>
        </w:rPr>
        <w:t>owing to which early warning signals of imminent decline were</w:t>
      </w:r>
      <w:r w:rsidR="009F14B8">
        <w:rPr>
          <w:rFonts w:ascii="Arial" w:hAnsi="Arial" w:cs="Arial"/>
        </w:rPr>
        <w:t xml:space="preserve"> </w:t>
      </w:r>
      <w:r w:rsidR="00DE2E45">
        <w:rPr>
          <w:rFonts w:ascii="Arial" w:hAnsi="Arial" w:cs="Arial"/>
        </w:rPr>
        <w:t>not detected</w:t>
      </w:r>
      <w:r w:rsidR="009F14B8">
        <w:rPr>
          <w:rFonts w:ascii="Arial" w:hAnsi="Arial" w:cs="Arial"/>
        </w:rPr>
        <w:t xml:space="preserve"> or missed</w:t>
      </w:r>
      <w:r w:rsidR="0072620F" w:rsidRPr="00454CA5">
        <w:rPr>
          <w:rFonts w:ascii="Arial" w:hAnsi="Arial" w:cs="Arial"/>
          <w:lang w:val="en-US"/>
        </w:rPr>
        <w:t xml:space="preserve">; (b) </w:t>
      </w:r>
      <w:r w:rsidR="00BE3850" w:rsidRPr="00454CA5">
        <w:rPr>
          <w:rFonts w:ascii="Arial" w:hAnsi="Arial" w:cs="Arial"/>
          <w:lang w:val="en-US"/>
        </w:rPr>
        <w:t>although</w:t>
      </w:r>
      <w:r w:rsidR="0072620F" w:rsidRPr="00454CA5">
        <w:rPr>
          <w:rFonts w:ascii="Arial" w:hAnsi="Arial" w:cs="Arial"/>
          <w:lang w:val="en-US"/>
        </w:rPr>
        <w:t xml:space="preserve"> repeated assurances were provided by FMHB and </w:t>
      </w:r>
      <w:r w:rsidR="00D1700A" w:rsidRPr="00454CA5">
        <w:rPr>
          <w:rFonts w:ascii="Arial" w:hAnsi="Arial" w:cs="Arial"/>
        </w:rPr>
        <w:t>Lease Group Holding United Kingdom Ltd. (</w:t>
      </w:r>
      <w:r w:rsidR="00D1700A" w:rsidRPr="00454CA5">
        <w:rPr>
          <w:rFonts w:ascii="Arial" w:hAnsi="Arial" w:cs="Arial"/>
          <w:b/>
          <w:bCs/>
        </w:rPr>
        <w:t>Shareholder Company</w:t>
      </w:r>
      <w:r w:rsidR="00D1700A" w:rsidRPr="00454CA5">
        <w:rPr>
          <w:rFonts w:ascii="Arial" w:hAnsi="Arial" w:cs="Arial"/>
        </w:rPr>
        <w:t>)</w:t>
      </w:r>
      <w:r w:rsidR="00FE16BF" w:rsidRPr="00454CA5">
        <w:rPr>
          <w:rFonts w:ascii="Arial" w:hAnsi="Arial" w:cs="Arial"/>
        </w:rPr>
        <w:t xml:space="preserve"> to banks </w:t>
      </w:r>
      <w:r w:rsidR="004965AA" w:rsidRPr="00454CA5">
        <w:rPr>
          <w:rFonts w:ascii="Arial" w:hAnsi="Arial" w:cs="Arial"/>
        </w:rPr>
        <w:t>A, B, C and D (</w:t>
      </w:r>
      <w:r w:rsidR="004965AA" w:rsidRPr="00454CA5">
        <w:rPr>
          <w:rFonts w:ascii="Arial" w:hAnsi="Arial" w:cs="Arial"/>
          <w:b/>
          <w:bCs/>
        </w:rPr>
        <w:t>Specified Banks</w:t>
      </w:r>
      <w:r w:rsidR="004965AA" w:rsidRPr="00454CA5">
        <w:rPr>
          <w:rFonts w:ascii="Arial" w:hAnsi="Arial" w:cs="Arial"/>
        </w:rPr>
        <w:t>)</w:t>
      </w:r>
      <w:r w:rsidR="00287F31" w:rsidRPr="00454CA5">
        <w:rPr>
          <w:rFonts w:ascii="Arial" w:hAnsi="Arial" w:cs="Arial"/>
        </w:rPr>
        <w:t xml:space="preserve">, </w:t>
      </w:r>
      <w:r w:rsidR="00120D74" w:rsidRPr="00454CA5">
        <w:rPr>
          <w:rFonts w:ascii="Arial" w:hAnsi="Arial" w:cs="Arial"/>
        </w:rPr>
        <w:t xml:space="preserve">additional irregularities were unearthed from time </w:t>
      </w:r>
      <w:r w:rsidR="006218C4" w:rsidRPr="00454CA5">
        <w:rPr>
          <w:rFonts w:ascii="Arial" w:hAnsi="Arial" w:cs="Arial"/>
        </w:rPr>
        <w:t>to</w:t>
      </w:r>
      <w:r w:rsidR="00120D74" w:rsidRPr="00454CA5">
        <w:rPr>
          <w:rFonts w:ascii="Arial" w:hAnsi="Arial" w:cs="Arial"/>
        </w:rPr>
        <w:t xml:space="preserve"> time. Further</w:t>
      </w:r>
      <w:r w:rsidR="00C60656" w:rsidRPr="00454CA5">
        <w:rPr>
          <w:rFonts w:ascii="Arial" w:hAnsi="Arial" w:cs="Arial"/>
        </w:rPr>
        <w:t xml:space="preserve">, </w:t>
      </w:r>
      <w:r w:rsidR="00287F31" w:rsidRPr="00454CA5">
        <w:rPr>
          <w:rFonts w:ascii="Arial" w:hAnsi="Arial" w:cs="Arial"/>
        </w:rPr>
        <w:t>there w</w:t>
      </w:r>
      <w:r w:rsidR="00BA7FF8" w:rsidRPr="00454CA5">
        <w:rPr>
          <w:rFonts w:ascii="Arial" w:hAnsi="Arial" w:cs="Arial"/>
        </w:rPr>
        <w:t xml:space="preserve">as significant </w:t>
      </w:r>
      <w:r w:rsidR="00287F31" w:rsidRPr="00454CA5">
        <w:rPr>
          <w:rFonts w:ascii="Arial" w:hAnsi="Arial" w:cs="Arial"/>
        </w:rPr>
        <w:t xml:space="preserve">variance in the </w:t>
      </w:r>
      <w:r w:rsidR="003666E5" w:rsidRPr="00454CA5">
        <w:rPr>
          <w:rFonts w:ascii="Arial" w:hAnsi="Arial" w:cs="Arial"/>
        </w:rPr>
        <w:t xml:space="preserve">estimates and the </w:t>
      </w:r>
      <w:r w:rsidR="005224AA" w:rsidRPr="00454CA5">
        <w:rPr>
          <w:rFonts w:ascii="Arial" w:hAnsi="Arial" w:cs="Arial"/>
        </w:rPr>
        <w:t xml:space="preserve">actual </w:t>
      </w:r>
      <w:r w:rsidR="001B0F77" w:rsidRPr="00454CA5">
        <w:rPr>
          <w:rFonts w:ascii="Arial" w:hAnsi="Arial" w:cs="Arial"/>
        </w:rPr>
        <w:t>performance indicators</w:t>
      </w:r>
      <w:r w:rsidR="003D6ED7" w:rsidRPr="00454CA5">
        <w:rPr>
          <w:rFonts w:ascii="Arial" w:hAnsi="Arial" w:cs="Arial"/>
        </w:rPr>
        <w:t>, which raises serious concerns</w:t>
      </w:r>
      <w:r w:rsidR="0072298C" w:rsidRPr="00454CA5">
        <w:rPr>
          <w:rFonts w:ascii="Arial" w:hAnsi="Arial" w:cs="Arial"/>
        </w:rPr>
        <w:t xml:space="preserve"> </w:t>
      </w:r>
      <w:r w:rsidR="00337791" w:rsidRPr="00454CA5">
        <w:rPr>
          <w:rFonts w:ascii="Arial" w:hAnsi="Arial" w:cs="Arial"/>
        </w:rPr>
        <w:t>in respect of</w:t>
      </w:r>
      <w:r w:rsidR="0072298C" w:rsidRPr="00454CA5">
        <w:rPr>
          <w:rFonts w:ascii="Arial" w:hAnsi="Arial" w:cs="Arial"/>
        </w:rPr>
        <w:t xml:space="preserve"> the</w:t>
      </w:r>
      <w:r w:rsidR="00B374BA" w:rsidRPr="00454CA5">
        <w:rPr>
          <w:rFonts w:ascii="Arial" w:hAnsi="Arial" w:cs="Arial"/>
        </w:rPr>
        <w:t xml:space="preserve"> decision-making and potential concealment of </w:t>
      </w:r>
      <w:r w:rsidR="00A65122" w:rsidRPr="00454CA5">
        <w:rPr>
          <w:rFonts w:ascii="Arial" w:hAnsi="Arial" w:cs="Arial"/>
        </w:rPr>
        <w:t xml:space="preserve">true and correct </w:t>
      </w:r>
      <w:r w:rsidR="00830F44" w:rsidRPr="00454CA5">
        <w:rPr>
          <w:rFonts w:ascii="Arial" w:hAnsi="Arial" w:cs="Arial"/>
        </w:rPr>
        <w:t>facts</w:t>
      </w:r>
      <w:r w:rsidR="00897988" w:rsidRPr="00454CA5">
        <w:rPr>
          <w:rFonts w:ascii="Arial" w:hAnsi="Arial" w:cs="Arial"/>
        </w:rPr>
        <w:t>;</w:t>
      </w:r>
    </w:p>
    <w:p w14:paraId="5477E758" w14:textId="1B244FA5" w:rsidR="00D44713" w:rsidRPr="00454CA5" w:rsidRDefault="00E318F4" w:rsidP="004D6CCD">
      <w:pPr>
        <w:pStyle w:val="ListParagraph"/>
        <w:numPr>
          <w:ilvl w:val="0"/>
          <w:numId w:val="2"/>
        </w:numPr>
        <w:ind w:left="1134" w:hanging="567"/>
        <w:contextualSpacing w:val="0"/>
        <w:jc w:val="both"/>
        <w:rPr>
          <w:rFonts w:ascii="Arial" w:hAnsi="Arial" w:cs="Arial"/>
          <w:b/>
          <w:bCs/>
          <w:i/>
          <w:iCs/>
          <w:lang w:val="en-US"/>
        </w:rPr>
      </w:pPr>
      <w:r w:rsidRPr="00454CA5">
        <w:rPr>
          <w:rFonts w:ascii="Arial" w:hAnsi="Arial" w:cs="Arial"/>
        </w:rPr>
        <w:t>T</w:t>
      </w:r>
      <w:r w:rsidR="00D44713" w:rsidRPr="00454CA5">
        <w:rPr>
          <w:rFonts w:ascii="Arial" w:hAnsi="Arial" w:cs="Arial"/>
        </w:rPr>
        <w:t>he Specified Banks had repeatedly requested the Shareholder Company to infuse the equity capital so that the solvency rate</w:t>
      </w:r>
      <w:r w:rsidR="000D1256" w:rsidRPr="00454CA5">
        <w:rPr>
          <w:rFonts w:ascii="Arial" w:hAnsi="Arial" w:cs="Arial"/>
        </w:rPr>
        <w:t xml:space="preserve"> is improved</w:t>
      </w:r>
      <w:r w:rsidR="00D44713" w:rsidRPr="00454CA5">
        <w:rPr>
          <w:rFonts w:ascii="Arial" w:hAnsi="Arial" w:cs="Arial"/>
        </w:rPr>
        <w:t>, however the necessary steps were delayed</w:t>
      </w:r>
      <w:r w:rsidR="00712F09" w:rsidRPr="00454CA5">
        <w:rPr>
          <w:rFonts w:ascii="Arial" w:hAnsi="Arial" w:cs="Arial"/>
        </w:rPr>
        <w:t xml:space="preserve"> by</w:t>
      </w:r>
      <w:r w:rsidR="00D44713" w:rsidRPr="00454CA5">
        <w:rPr>
          <w:rFonts w:ascii="Arial" w:hAnsi="Arial" w:cs="Arial"/>
        </w:rPr>
        <w:t xml:space="preserve"> or were undertaken on a piecemeal basis, which ultimately resulted in loss of trust by the Bank C and D and caused consequential delays in relation to the reorganisation plan. Prompt corrective action at an early stage </w:t>
      </w:r>
      <w:r w:rsidR="00AA30B2" w:rsidRPr="00454CA5">
        <w:rPr>
          <w:rFonts w:ascii="Arial" w:hAnsi="Arial" w:cs="Arial"/>
        </w:rPr>
        <w:t>could</w:t>
      </w:r>
      <w:r w:rsidR="00D44713" w:rsidRPr="00454CA5">
        <w:rPr>
          <w:rFonts w:ascii="Arial" w:hAnsi="Arial" w:cs="Arial"/>
        </w:rPr>
        <w:t xml:space="preserve"> have </w:t>
      </w:r>
      <w:r w:rsidR="00487037" w:rsidRPr="00454CA5">
        <w:rPr>
          <w:rFonts w:ascii="Arial" w:hAnsi="Arial" w:cs="Arial"/>
        </w:rPr>
        <w:t xml:space="preserve">avoided </w:t>
      </w:r>
      <w:r w:rsidR="00F2476F" w:rsidRPr="00454CA5">
        <w:rPr>
          <w:rFonts w:ascii="Arial" w:hAnsi="Arial" w:cs="Arial"/>
        </w:rPr>
        <w:t xml:space="preserve">any </w:t>
      </w:r>
      <w:r w:rsidR="00DB3910" w:rsidRPr="00454CA5">
        <w:rPr>
          <w:rFonts w:ascii="Arial" w:hAnsi="Arial" w:cs="Arial"/>
        </w:rPr>
        <w:t xml:space="preserve">deterioration and </w:t>
      </w:r>
      <w:r w:rsidR="00540021" w:rsidRPr="00454CA5">
        <w:rPr>
          <w:rFonts w:ascii="Arial" w:hAnsi="Arial" w:cs="Arial"/>
        </w:rPr>
        <w:t xml:space="preserve">consequential organisational </w:t>
      </w:r>
      <w:r w:rsidR="00830F44" w:rsidRPr="00454CA5">
        <w:rPr>
          <w:rFonts w:ascii="Arial" w:hAnsi="Arial" w:cs="Arial"/>
        </w:rPr>
        <w:t>failure</w:t>
      </w:r>
      <w:r w:rsidR="00684DF2" w:rsidRPr="00454CA5">
        <w:rPr>
          <w:rFonts w:ascii="Arial" w:hAnsi="Arial" w:cs="Arial"/>
        </w:rPr>
        <w:t xml:space="preserve">. </w:t>
      </w:r>
      <w:r w:rsidR="00684DF2" w:rsidRPr="00454CA5">
        <w:rPr>
          <w:rFonts w:ascii="Arial" w:hAnsi="Arial" w:cs="Arial"/>
          <w:lang w:val="en-US"/>
        </w:rPr>
        <w:t xml:space="preserve">The approach of the Shareholder Company was callous and was not coordinated with the overall interest of the organisation, i.e., to ensure </w:t>
      </w:r>
      <w:r w:rsidR="00A52772" w:rsidRPr="00454CA5">
        <w:rPr>
          <w:rFonts w:ascii="Arial" w:hAnsi="Arial" w:cs="Arial"/>
          <w:lang w:val="en-US"/>
        </w:rPr>
        <w:t>expeditious</w:t>
      </w:r>
      <w:r w:rsidR="00684DF2" w:rsidRPr="00454CA5">
        <w:rPr>
          <w:rFonts w:ascii="Arial" w:hAnsi="Arial" w:cs="Arial"/>
          <w:lang w:val="en-US"/>
        </w:rPr>
        <w:t xml:space="preserve"> resolution</w:t>
      </w:r>
      <w:r w:rsidR="001877F6" w:rsidRPr="00454CA5">
        <w:rPr>
          <w:rFonts w:ascii="Arial" w:hAnsi="Arial" w:cs="Arial"/>
        </w:rPr>
        <w:t>;</w:t>
      </w:r>
    </w:p>
    <w:p w14:paraId="57D7B9B7" w14:textId="3912B92B" w:rsidR="0038610E" w:rsidRPr="00454CA5" w:rsidRDefault="00E318F4" w:rsidP="004D6CCD">
      <w:pPr>
        <w:pStyle w:val="ListParagraph"/>
        <w:numPr>
          <w:ilvl w:val="0"/>
          <w:numId w:val="2"/>
        </w:numPr>
        <w:ind w:left="1134" w:hanging="567"/>
        <w:contextualSpacing w:val="0"/>
        <w:jc w:val="both"/>
        <w:rPr>
          <w:rFonts w:ascii="Arial" w:hAnsi="Arial" w:cs="Arial"/>
          <w:b/>
          <w:bCs/>
          <w:i/>
          <w:iCs/>
          <w:lang w:val="en-US"/>
        </w:rPr>
      </w:pPr>
      <w:r w:rsidRPr="00454CA5">
        <w:rPr>
          <w:rFonts w:ascii="Arial" w:hAnsi="Arial" w:cs="Arial"/>
          <w:lang w:val="en-US"/>
        </w:rPr>
        <w:t xml:space="preserve">While in most of the cases, it is arguable that the organizational failure </w:t>
      </w:r>
      <w:r w:rsidR="00466A59" w:rsidRPr="00454CA5">
        <w:rPr>
          <w:rFonts w:ascii="Arial" w:hAnsi="Arial" w:cs="Arial"/>
          <w:lang w:val="en-US"/>
        </w:rPr>
        <w:t>is</w:t>
      </w:r>
      <w:r w:rsidRPr="00454CA5">
        <w:rPr>
          <w:rFonts w:ascii="Arial" w:hAnsi="Arial" w:cs="Arial"/>
          <w:lang w:val="en-US"/>
        </w:rPr>
        <w:t xml:space="preserve"> a combination of internal and external factors, </w:t>
      </w:r>
      <w:r w:rsidR="0038610E" w:rsidRPr="00454CA5">
        <w:rPr>
          <w:rFonts w:ascii="Arial" w:hAnsi="Arial" w:cs="Arial"/>
          <w:lang w:val="en-US"/>
        </w:rPr>
        <w:t xml:space="preserve">in the present instance, the </w:t>
      </w:r>
      <w:r w:rsidR="006059C1" w:rsidRPr="00454CA5">
        <w:rPr>
          <w:rFonts w:ascii="Arial" w:hAnsi="Arial" w:cs="Arial"/>
          <w:lang w:val="en-US"/>
        </w:rPr>
        <w:t xml:space="preserve">external </w:t>
      </w:r>
      <w:r w:rsidR="0038610E" w:rsidRPr="00454CA5">
        <w:rPr>
          <w:rFonts w:ascii="Arial" w:hAnsi="Arial" w:cs="Arial"/>
          <w:lang w:val="en-US"/>
        </w:rPr>
        <w:t>market factors</w:t>
      </w:r>
      <w:r w:rsidR="00134B9B" w:rsidRPr="00454CA5">
        <w:rPr>
          <w:rFonts w:ascii="Arial" w:hAnsi="Arial" w:cs="Arial"/>
          <w:lang w:val="en-US"/>
        </w:rPr>
        <w:t xml:space="preserve"> have been mostly </w:t>
      </w:r>
      <w:r w:rsidR="00830F44" w:rsidRPr="00454CA5">
        <w:rPr>
          <w:rFonts w:ascii="Arial" w:hAnsi="Arial" w:cs="Arial"/>
          <w:lang w:val="en-US"/>
        </w:rPr>
        <w:t>favorable</w:t>
      </w:r>
      <w:r w:rsidR="00134B9B" w:rsidRPr="00454CA5">
        <w:rPr>
          <w:rFonts w:ascii="Arial" w:hAnsi="Arial" w:cs="Arial"/>
          <w:lang w:val="en-US"/>
        </w:rPr>
        <w:t>. For instance, most of the clients agreed to co-operate to price increase,</w:t>
      </w:r>
      <w:r w:rsidR="00274059" w:rsidRPr="00454CA5">
        <w:rPr>
          <w:rFonts w:ascii="Arial" w:hAnsi="Arial" w:cs="Arial"/>
          <w:lang w:val="en-US"/>
        </w:rPr>
        <w:t xml:space="preserve"> market demand for the services </w:t>
      </w:r>
      <w:r w:rsidR="00393D2E" w:rsidRPr="00454CA5">
        <w:rPr>
          <w:rFonts w:ascii="Arial" w:hAnsi="Arial" w:cs="Arial"/>
          <w:lang w:val="en-US"/>
        </w:rPr>
        <w:t xml:space="preserve">was </w:t>
      </w:r>
      <w:r w:rsidR="00BC1FBC" w:rsidRPr="00454CA5">
        <w:rPr>
          <w:rFonts w:ascii="Arial" w:hAnsi="Arial" w:cs="Arial"/>
          <w:lang w:val="en-US"/>
        </w:rPr>
        <w:t>present</w:t>
      </w:r>
      <w:r w:rsidR="00393D2E" w:rsidRPr="00454CA5">
        <w:rPr>
          <w:rFonts w:ascii="Arial" w:hAnsi="Arial" w:cs="Arial"/>
          <w:lang w:val="en-US"/>
        </w:rPr>
        <w:t>,</w:t>
      </w:r>
      <w:r w:rsidR="00D44713" w:rsidRPr="00454CA5">
        <w:rPr>
          <w:rFonts w:ascii="Arial" w:hAnsi="Arial" w:cs="Arial"/>
          <w:lang w:val="en-US"/>
        </w:rPr>
        <w:t xml:space="preserve"> </w:t>
      </w:r>
      <w:r w:rsidR="00E77AF3" w:rsidRPr="00454CA5">
        <w:rPr>
          <w:rFonts w:ascii="Arial" w:hAnsi="Arial" w:cs="Arial"/>
          <w:lang w:val="en-US"/>
        </w:rPr>
        <w:t>Specified Banks</w:t>
      </w:r>
      <w:r w:rsidR="00D44713" w:rsidRPr="00454CA5">
        <w:rPr>
          <w:rFonts w:ascii="Arial" w:hAnsi="Arial" w:cs="Arial"/>
          <w:lang w:val="en-US"/>
        </w:rPr>
        <w:t xml:space="preserve"> co-operated for the longest time and attempted to not initiate </w:t>
      </w:r>
      <w:r w:rsidR="00F2476F" w:rsidRPr="00454CA5">
        <w:rPr>
          <w:rFonts w:ascii="Arial" w:hAnsi="Arial" w:cs="Arial"/>
          <w:lang w:val="en-US"/>
        </w:rPr>
        <w:t>legal</w:t>
      </w:r>
      <w:r w:rsidR="00D44713" w:rsidRPr="00454CA5">
        <w:rPr>
          <w:rFonts w:ascii="Arial" w:hAnsi="Arial" w:cs="Arial"/>
          <w:lang w:val="en-US"/>
        </w:rPr>
        <w:t xml:space="preserve"> proceedings.</w:t>
      </w:r>
      <w:r w:rsidR="00082F99" w:rsidRPr="00454CA5">
        <w:rPr>
          <w:rFonts w:ascii="Arial" w:hAnsi="Arial" w:cs="Arial"/>
          <w:lang w:val="en-US"/>
        </w:rPr>
        <w:t xml:space="preserve"> However, it was conduct of the management (be it their lack o</w:t>
      </w:r>
      <w:r w:rsidR="00070AB9" w:rsidRPr="00454CA5">
        <w:rPr>
          <w:rFonts w:ascii="Arial" w:hAnsi="Arial" w:cs="Arial"/>
          <w:lang w:val="en-US"/>
        </w:rPr>
        <w:t>f</w:t>
      </w:r>
      <w:r w:rsidR="00082F99" w:rsidRPr="00454CA5">
        <w:rPr>
          <w:rFonts w:ascii="Arial" w:hAnsi="Arial" w:cs="Arial"/>
          <w:lang w:val="en-US"/>
        </w:rPr>
        <w:t xml:space="preserve"> decision making</w:t>
      </w:r>
      <w:r w:rsidR="00526025" w:rsidRPr="00454CA5">
        <w:rPr>
          <w:rFonts w:ascii="Arial" w:hAnsi="Arial" w:cs="Arial"/>
          <w:lang w:val="en-US"/>
        </w:rPr>
        <w:t xml:space="preserve">, </w:t>
      </w:r>
      <w:r w:rsidR="00082F99" w:rsidRPr="00454CA5">
        <w:rPr>
          <w:rFonts w:ascii="Arial" w:hAnsi="Arial" w:cs="Arial"/>
          <w:lang w:val="en-US"/>
        </w:rPr>
        <w:t>lack of supervision</w:t>
      </w:r>
      <w:r w:rsidR="00526025" w:rsidRPr="00454CA5">
        <w:rPr>
          <w:rFonts w:ascii="Arial" w:hAnsi="Arial" w:cs="Arial"/>
          <w:lang w:val="en-US"/>
        </w:rPr>
        <w:t xml:space="preserve"> or providing inaccurate information to the creditors</w:t>
      </w:r>
      <w:r w:rsidR="00082F99" w:rsidRPr="00454CA5">
        <w:rPr>
          <w:rFonts w:ascii="Arial" w:hAnsi="Arial" w:cs="Arial"/>
          <w:lang w:val="en-US"/>
        </w:rPr>
        <w:t xml:space="preserve">) </w:t>
      </w:r>
      <w:r w:rsidR="00157175" w:rsidRPr="00454CA5">
        <w:rPr>
          <w:rFonts w:ascii="Arial" w:hAnsi="Arial" w:cs="Arial"/>
          <w:lang w:val="en-US"/>
        </w:rPr>
        <w:t xml:space="preserve">that seems to have caused the decline. It was only after the appointment of the Chief Restructuring Officer that there was some transparency </w:t>
      </w:r>
      <w:r w:rsidR="00732799" w:rsidRPr="00454CA5">
        <w:rPr>
          <w:rFonts w:ascii="Arial" w:hAnsi="Arial" w:cs="Arial"/>
          <w:lang w:val="en-US"/>
        </w:rPr>
        <w:t xml:space="preserve">in the </w:t>
      </w:r>
      <w:r w:rsidR="00A71339" w:rsidRPr="00454CA5">
        <w:rPr>
          <w:rFonts w:ascii="Arial" w:hAnsi="Arial" w:cs="Arial"/>
          <w:lang w:val="en-US"/>
        </w:rPr>
        <w:t>operations</w:t>
      </w:r>
      <w:r w:rsidR="0018578E" w:rsidRPr="00454CA5">
        <w:rPr>
          <w:rFonts w:ascii="Arial" w:hAnsi="Arial" w:cs="Arial"/>
          <w:lang w:val="en-US"/>
        </w:rPr>
        <w:t>, which did aid to the growth in the long run;</w:t>
      </w:r>
    </w:p>
    <w:p w14:paraId="0A1933D1" w14:textId="6A145760" w:rsidR="00A477C9" w:rsidRPr="00454CA5" w:rsidRDefault="00A477C9" w:rsidP="004D6CCD">
      <w:pPr>
        <w:pStyle w:val="ListParagraph"/>
        <w:numPr>
          <w:ilvl w:val="0"/>
          <w:numId w:val="2"/>
        </w:numPr>
        <w:ind w:left="1134" w:hanging="567"/>
        <w:contextualSpacing w:val="0"/>
        <w:jc w:val="both"/>
        <w:rPr>
          <w:rFonts w:ascii="Arial" w:hAnsi="Arial" w:cs="Arial"/>
          <w:b/>
          <w:bCs/>
          <w:i/>
          <w:iCs/>
          <w:lang w:val="en-US"/>
        </w:rPr>
      </w:pPr>
      <w:r w:rsidRPr="00454CA5">
        <w:rPr>
          <w:rFonts w:ascii="Arial" w:hAnsi="Arial" w:cs="Arial"/>
          <w:lang w:val="en-US"/>
        </w:rPr>
        <w:t xml:space="preserve">During the entire process, the focus of key stakeholders (i.e., the Shareholder Company and the </w:t>
      </w:r>
      <w:r w:rsidR="007B76E5" w:rsidRPr="00454CA5">
        <w:rPr>
          <w:rFonts w:ascii="Arial" w:hAnsi="Arial" w:cs="Arial"/>
          <w:lang w:val="en-US"/>
        </w:rPr>
        <w:t>Specified Banks</w:t>
      </w:r>
      <w:r w:rsidRPr="00454CA5">
        <w:rPr>
          <w:rFonts w:ascii="Arial" w:hAnsi="Arial" w:cs="Arial"/>
          <w:lang w:val="en-US"/>
        </w:rPr>
        <w:t xml:space="preserve">) was towards </w:t>
      </w:r>
      <w:r w:rsidR="0004537E" w:rsidRPr="00454CA5">
        <w:rPr>
          <w:rFonts w:ascii="Arial" w:hAnsi="Arial" w:cs="Arial"/>
          <w:lang w:val="en-US"/>
        </w:rPr>
        <w:t xml:space="preserve">retrenchment </w:t>
      </w:r>
      <w:r w:rsidR="008B2B24" w:rsidRPr="00454CA5">
        <w:rPr>
          <w:rFonts w:ascii="Arial" w:hAnsi="Arial" w:cs="Arial"/>
          <w:lang w:val="en-US"/>
        </w:rPr>
        <w:t>measures</w:t>
      </w:r>
      <w:r w:rsidR="00826201" w:rsidRPr="00454CA5">
        <w:rPr>
          <w:rFonts w:ascii="Arial" w:hAnsi="Arial" w:cs="Arial"/>
          <w:lang w:val="en-US"/>
        </w:rPr>
        <w:t xml:space="preserve"> (for instance layoffs, cost reduction, etc.) instead of recovery measures</w:t>
      </w:r>
      <w:r w:rsidRPr="00454CA5">
        <w:rPr>
          <w:rFonts w:ascii="Arial" w:hAnsi="Arial" w:cs="Arial"/>
          <w:lang w:val="en-US"/>
        </w:rPr>
        <w:t xml:space="preserve">. Given that market conditions were </w:t>
      </w:r>
      <w:r w:rsidR="00830F44" w:rsidRPr="00454CA5">
        <w:rPr>
          <w:rFonts w:ascii="Arial" w:hAnsi="Arial" w:cs="Arial"/>
          <w:lang w:val="en-US"/>
        </w:rPr>
        <w:t>favorable</w:t>
      </w:r>
      <w:r w:rsidRPr="00454CA5">
        <w:rPr>
          <w:rFonts w:ascii="Arial" w:hAnsi="Arial" w:cs="Arial"/>
          <w:lang w:val="en-US"/>
        </w:rPr>
        <w:t xml:space="preserve">, </w:t>
      </w:r>
      <w:r w:rsidR="00465385" w:rsidRPr="00454CA5">
        <w:rPr>
          <w:rFonts w:ascii="Arial" w:hAnsi="Arial" w:cs="Arial"/>
          <w:lang w:val="en-US"/>
        </w:rPr>
        <w:t>exploring</w:t>
      </w:r>
      <w:r w:rsidRPr="00454CA5">
        <w:rPr>
          <w:rFonts w:ascii="Arial" w:hAnsi="Arial" w:cs="Arial"/>
          <w:lang w:val="en-US"/>
        </w:rPr>
        <w:t xml:space="preserve"> </w:t>
      </w:r>
      <w:r w:rsidR="003F2763" w:rsidRPr="00454CA5">
        <w:rPr>
          <w:rFonts w:ascii="Arial" w:hAnsi="Arial" w:cs="Arial"/>
          <w:lang w:val="en-US"/>
        </w:rPr>
        <w:t>recovery</w:t>
      </w:r>
      <w:r w:rsidR="00741589" w:rsidRPr="00454CA5">
        <w:rPr>
          <w:rFonts w:ascii="Arial" w:hAnsi="Arial" w:cs="Arial"/>
          <w:lang w:val="en-US"/>
        </w:rPr>
        <w:t xml:space="preserve"> </w:t>
      </w:r>
      <w:r w:rsidRPr="00454CA5">
        <w:rPr>
          <w:rFonts w:ascii="Arial" w:hAnsi="Arial" w:cs="Arial"/>
          <w:lang w:val="en-US"/>
        </w:rPr>
        <w:t xml:space="preserve">measures as well (for </w:t>
      </w:r>
      <w:r w:rsidRPr="00454CA5">
        <w:rPr>
          <w:rFonts w:ascii="Arial" w:hAnsi="Arial" w:cs="Arial"/>
          <w:lang w:val="en-US"/>
        </w:rPr>
        <w:lastRenderedPageBreak/>
        <w:t>instance, adopting new marketing strategies</w:t>
      </w:r>
      <w:r w:rsidR="00F11FAC" w:rsidRPr="00454CA5">
        <w:rPr>
          <w:rFonts w:ascii="Arial" w:hAnsi="Arial" w:cs="Arial"/>
          <w:lang w:val="en-US"/>
        </w:rPr>
        <w:t>, tapping new markets, etc.</w:t>
      </w:r>
      <w:r w:rsidRPr="00454CA5">
        <w:rPr>
          <w:rFonts w:ascii="Arial" w:hAnsi="Arial" w:cs="Arial"/>
          <w:lang w:val="en-US"/>
        </w:rPr>
        <w:t xml:space="preserve">) would have helped achieve </w:t>
      </w:r>
      <w:r w:rsidR="00364EC6" w:rsidRPr="00454CA5">
        <w:rPr>
          <w:rFonts w:ascii="Arial" w:hAnsi="Arial" w:cs="Arial"/>
          <w:lang w:val="en-US"/>
        </w:rPr>
        <w:t xml:space="preserve">efficiency </w:t>
      </w:r>
      <w:r w:rsidR="00191234" w:rsidRPr="00454CA5">
        <w:rPr>
          <w:rFonts w:ascii="Arial" w:hAnsi="Arial" w:cs="Arial"/>
          <w:lang w:val="en-US"/>
        </w:rPr>
        <w:t>turnaround</w:t>
      </w:r>
      <w:r w:rsidRPr="00454CA5">
        <w:rPr>
          <w:rFonts w:ascii="Arial" w:hAnsi="Arial" w:cs="Arial"/>
          <w:lang w:val="en-US"/>
        </w:rPr>
        <w:t xml:space="preserve"> </w:t>
      </w:r>
      <w:r w:rsidR="00A40530" w:rsidRPr="00454CA5">
        <w:rPr>
          <w:rFonts w:ascii="Arial" w:hAnsi="Arial" w:cs="Arial"/>
          <w:lang w:val="en-US"/>
        </w:rPr>
        <w:t xml:space="preserve">and </w:t>
      </w:r>
      <w:r w:rsidRPr="00454CA5">
        <w:rPr>
          <w:rFonts w:ascii="Arial" w:hAnsi="Arial" w:cs="Arial"/>
          <w:lang w:val="en-US"/>
        </w:rPr>
        <w:t>growth of FMHB</w:t>
      </w:r>
      <w:r w:rsidR="00D642A0" w:rsidRPr="00454CA5">
        <w:rPr>
          <w:rFonts w:ascii="Arial" w:hAnsi="Arial" w:cs="Arial"/>
          <w:lang w:val="en-US"/>
        </w:rPr>
        <w:t>;</w:t>
      </w:r>
      <w:r w:rsidRPr="00454CA5">
        <w:rPr>
          <w:rFonts w:ascii="Arial" w:hAnsi="Arial" w:cs="Arial"/>
          <w:lang w:val="en-US"/>
        </w:rPr>
        <w:t xml:space="preserve"> </w:t>
      </w:r>
    </w:p>
    <w:p w14:paraId="0D9257CD" w14:textId="5384D8D0" w:rsidR="00AF709A" w:rsidRPr="00454CA5" w:rsidRDefault="00D10A90" w:rsidP="004D6CCD">
      <w:pPr>
        <w:pStyle w:val="ListParagraph"/>
        <w:numPr>
          <w:ilvl w:val="0"/>
          <w:numId w:val="2"/>
        </w:numPr>
        <w:tabs>
          <w:tab w:val="left" w:pos="567"/>
        </w:tabs>
        <w:spacing w:line="240" w:lineRule="auto"/>
        <w:ind w:left="1134" w:hanging="567"/>
        <w:contextualSpacing w:val="0"/>
        <w:jc w:val="both"/>
        <w:rPr>
          <w:rFonts w:ascii="Arial" w:hAnsi="Arial" w:cs="Arial"/>
          <w:b/>
          <w:bCs/>
          <w:i/>
          <w:iCs/>
          <w:lang w:val="en-US"/>
        </w:rPr>
      </w:pPr>
      <w:r w:rsidRPr="00454CA5">
        <w:rPr>
          <w:rFonts w:ascii="Arial" w:hAnsi="Arial" w:cs="Arial"/>
          <w:lang w:val="en-US"/>
        </w:rPr>
        <w:t>reference may also be drawn to the</w:t>
      </w:r>
      <w:r w:rsidR="006E533D" w:rsidRPr="00454CA5">
        <w:rPr>
          <w:rFonts w:ascii="Arial" w:hAnsi="Arial" w:cs="Arial"/>
          <w:lang w:val="en-US"/>
        </w:rPr>
        <w:t xml:space="preserve"> </w:t>
      </w:r>
      <w:r w:rsidR="004055E4" w:rsidRPr="00454CA5">
        <w:rPr>
          <w:rFonts w:ascii="Arial" w:hAnsi="Arial" w:cs="Arial"/>
          <w:i/>
          <w:iCs/>
          <w:lang w:val="en-US"/>
        </w:rPr>
        <w:t>threat rigidity</w:t>
      </w:r>
      <w:r w:rsidR="00155BE7" w:rsidRPr="00454CA5">
        <w:rPr>
          <w:rFonts w:ascii="Arial" w:hAnsi="Arial" w:cs="Arial"/>
          <w:i/>
          <w:iCs/>
          <w:lang w:val="en-US"/>
        </w:rPr>
        <w:t xml:space="preserve"> effect</w:t>
      </w:r>
      <w:r w:rsidR="006E533D" w:rsidRPr="00454CA5">
        <w:rPr>
          <w:rFonts w:ascii="Arial" w:hAnsi="Arial" w:cs="Arial"/>
          <w:i/>
          <w:iCs/>
          <w:lang w:val="en-US"/>
        </w:rPr>
        <w:t xml:space="preserve"> theory</w:t>
      </w:r>
      <w:r w:rsidR="00A12285" w:rsidRPr="00454CA5">
        <w:rPr>
          <w:rStyle w:val="FootnoteReference"/>
          <w:rFonts w:ascii="Arial" w:hAnsi="Arial" w:cs="Arial"/>
          <w:lang w:val="en-US"/>
        </w:rPr>
        <w:footnoteReference w:id="2"/>
      </w:r>
      <w:r w:rsidR="006E533D" w:rsidRPr="00454CA5">
        <w:rPr>
          <w:rFonts w:ascii="Arial" w:hAnsi="Arial" w:cs="Arial"/>
          <w:lang w:val="en-US"/>
        </w:rPr>
        <w:t xml:space="preserve"> in the present instance</w:t>
      </w:r>
      <w:r w:rsidR="00FD6429" w:rsidRPr="00454CA5">
        <w:rPr>
          <w:rFonts w:ascii="Arial" w:hAnsi="Arial" w:cs="Arial"/>
          <w:lang w:val="en-US"/>
        </w:rPr>
        <w:t xml:space="preserve">, to </w:t>
      </w:r>
      <w:r w:rsidR="00C27C4A" w:rsidRPr="00454CA5">
        <w:rPr>
          <w:rFonts w:ascii="Arial" w:hAnsi="Arial" w:cs="Arial"/>
          <w:lang w:val="en-US"/>
        </w:rPr>
        <w:t>substantia</w:t>
      </w:r>
      <w:r w:rsidR="000D331B" w:rsidRPr="00454CA5">
        <w:rPr>
          <w:rFonts w:ascii="Arial" w:hAnsi="Arial" w:cs="Arial"/>
          <w:lang w:val="en-US"/>
        </w:rPr>
        <w:t xml:space="preserve">te that </w:t>
      </w:r>
      <w:r w:rsidR="00671E8A" w:rsidRPr="00454CA5">
        <w:rPr>
          <w:rFonts w:ascii="Arial" w:hAnsi="Arial" w:cs="Arial"/>
          <w:lang w:val="en-US"/>
        </w:rPr>
        <w:t>the management</w:t>
      </w:r>
      <w:r w:rsidR="00684111" w:rsidRPr="00454CA5">
        <w:rPr>
          <w:rFonts w:ascii="Arial" w:hAnsi="Arial" w:cs="Arial"/>
          <w:lang w:val="en-US"/>
        </w:rPr>
        <w:t xml:space="preserve"> and Shareholder Company were</w:t>
      </w:r>
      <w:r w:rsidR="00671E8A" w:rsidRPr="00454CA5">
        <w:rPr>
          <w:rFonts w:ascii="Arial" w:hAnsi="Arial" w:cs="Arial"/>
          <w:lang w:val="en-US"/>
        </w:rPr>
        <w:t xml:space="preserve"> unwilling to acknowledge </w:t>
      </w:r>
      <w:r w:rsidR="009D741C" w:rsidRPr="00454CA5">
        <w:rPr>
          <w:rFonts w:ascii="Arial" w:hAnsi="Arial" w:cs="Arial"/>
          <w:lang w:val="en-US"/>
        </w:rPr>
        <w:t xml:space="preserve">the crisis </w:t>
      </w:r>
      <w:r w:rsidR="009F18A6" w:rsidRPr="00454CA5">
        <w:rPr>
          <w:rFonts w:ascii="Arial" w:hAnsi="Arial" w:cs="Arial"/>
          <w:lang w:val="en-US"/>
        </w:rPr>
        <w:t>or</w:t>
      </w:r>
      <w:r w:rsidR="00671E8A" w:rsidRPr="00454CA5">
        <w:rPr>
          <w:rFonts w:ascii="Arial" w:hAnsi="Arial" w:cs="Arial"/>
          <w:lang w:val="en-US"/>
        </w:rPr>
        <w:t xml:space="preserve"> </w:t>
      </w:r>
      <w:r w:rsidR="00F41A4D" w:rsidRPr="00454CA5">
        <w:rPr>
          <w:rFonts w:ascii="Arial" w:hAnsi="Arial" w:cs="Arial"/>
          <w:lang w:val="en-US"/>
        </w:rPr>
        <w:t>alter</w:t>
      </w:r>
      <w:r w:rsidR="00671E8A" w:rsidRPr="00454CA5">
        <w:rPr>
          <w:rFonts w:ascii="Arial" w:hAnsi="Arial" w:cs="Arial"/>
          <w:lang w:val="en-US"/>
        </w:rPr>
        <w:t xml:space="preserve"> the status quo for the longest time</w:t>
      </w:r>
      <w:r w:rsidR="00B97D52" w:rsidRPr="00454CA5">
        <w:rPr>
          <w:rFonts w:ascii="Arial" w:hAnsi="Arial" w:cs="Arial"/>
          <w:lang w:val="en-US"/>
        </w:rPr>
        <w:t xml:space="preserve"> and </w:t>
      </w:r>
      <w:r w:rsidR="00044127" w:rsidRPr="00454CA5">
        <w:rPr>
          <w:rFonts w:ascii="Arial" w:hAnsi="Arial" w:cs="Arial"/>
          <w:lang w:val="en-US"/>
        </w:rPr>
        <w:t>were</w:t>
      </w:r>
      <w:r w:rsidR="00B97D52" w:rsidRPr="00454CA5">
        <w:rPr>
          <w:rFonts w:ascii="Arial" w:hAnsi="Arial" w:cs="Arial"/>
          <w:lang w:val="en-US"/>
        </w:rPr>
        <w:t xml:space="preserve"> rather relying on false promises, which ultimately caused losses for FMHB in the long run. </w:t>
      </w:r>
    </w:p>
    <w:p w14:paraId="5CAF12EC" w14:textId="36D6F60C" w:rsidR="00F57B11" w:rsidRPr="00454CA5" w:rsidRDefault="00AC2D5B" w:rsidP="004D6CCD">
      <w:pPr>
        <w:pStyle w:val="ListParagraph"/>
        <w:numPr>
          <w:ilvl w:val="1"/>
          <w:numId w:val="1"/>
        </w:numPr>
        <w:ind w:left="567" w:hanging="567"/>
        <w:contextualSpacing w:val="0"/>
        <w:jc w:val="both"/>
        <w:rPr>
          <w:rFonts w:ascii="Arial" w:hAnsi="Arial" w:cs="Arial"/>
          <w:b/>
          <w:bCs/>
          <w:i/>
          <w:iCs/>
          <w:lang w:val="en-US"/>
        </w:rPr>
      </w:pPr>
      <w:r w:rsidRPr="00454CA5">
        <w:rPr>
          <w:rFonts w:ascii="Arial" w:hAnsi="Arial" w:cs="Arial"/>
          <w:lang w:val="en-US"/>
        </w:rPr>
        <w:t>The financial distress could have been prevented</w:t>
      </w:r>
      <w:r w:rsidR="00926FDC" w:rsidRPr="00454CA5">
        <w:rPr>
          <w:rFonts w:ascii="Arial" w:hAnsi="Arial" w:cs="Arial"/>
          <w:lang w:val="en-US"/>
        </w:rPr>
        <w:t xml:space="preserve"> by undertaking </w:t>
      </w:r>
      <w:r w:rsidR="00E57574" w:rsidRPr="00454CA5">
        <w:rPr>
          <w:rFonts w:ascii="Arial" w:hAnsi="Arial" w:cs="Arial"/>
          <w:lang w:val="en-US"/>
        </w:rPr>
        <w:t>certain pre-emptive measure</w:t>
      </w:r>
      <w:r w:rsidR="00A95CDD" w:rsidRPr="00454CA5">
        <w:rPr>
          <w:rFonts w:ascii="Arial" w:hAnsi="Arial" w:cs="Arial"/>
          <w:lang w:val="en-US"/>
        </w:rPr>
        <w:t xml:space="preserve">, some of which are set-out below: </w:t>
      </w:r>
    </w:p>
    <w:p w14:paraId="6F4494FC" w14:textId="51A86E64" w:rsidR="003B7A4B" w:rsidRPr="00454CA5" w:rsidRDefault="003B7A4B" w:rsidP="004D6CCD">
      <w:pPr>
        <w:pStyle w:val="ListParagraph"/>
        <w:numPr>
          <w:ilvl w:val="0"/>
          <w:numId w:val="5"/>
        </w:numPr>
        <w:ind w:left="1134" w:hanging="567"/>
        <w:contextualSpacing w:val="0"/>
        <w:jc w:val="both"/>
        <w:rPr>
          <w:rFonts w:ascii="Arial" w:hAnsi="Arial" w:cs="Arial"/>
          <w:b/>
          <w:bCs/>
          <w:i/>
          <w:iCs/>
          <w:lang w:val="en-US"/>
        </w:rPr>
      </w:pPr>
      <w:r w:rsidRPr="00454CA5">
        <w:rPr>
          <w:rFonts w:ascii="Arial" w:hAnsi="Arial" w:cs="Arial"/>
          <w:lang w:val="en-US"/>
        </w:rPr>
        <w:t xml:space="preserve">early detection </w:t>
      </w:r>
      <w:r w:rsidR="008F6253" w:rsidRPr="00454CA5">
        <w:rPr>
          <w:rFonts w:ascii="Arial" w:hAnsi="Arial" w:cs="Arial"/>
          <w:lang w:val="en-US"/>
        </w:rPr>
        <w:t xml:space="preserve">and recognition of the </w:t>
      </w:r>
      <w:r w:rsidR="00C2288A" w:rsidRPr="00454CA5">
        <w:rPr>
          <w:rFonts w:ascii="Arial" w:hAnsi="Arial" w:cs="Arial"/>
          <w:lang w:val="en-US"/>
        </w:rPr>
        <w:t xml:space="preserve">stress (instead of delay of more than a year) could have </w:t>
      </w:r>
      <w:r w:rsidR="00CA79C0" w:rsidRPr="00454CA5">
        <w:rPr>
          <w:rFonts w:ascii="Arial" w:hAnsi="Arial" w:cs="Arial"/>
          <w:lang w:val="en-US"/>
        </w:rPr>
        <w:t xml:space="preserve">helped </w:t>
      </w:r>
      <w:r w:rsidR="005F7D32" w:rsidRPr="00454CA5">
        <w:rPr>
          <w:rFonts w:ascii="Arial" w:hAnsi="Arial" w:cs="Arial"/>
          <w:lang w:val="en-US"/>
        </w:rPr>
        <w:t xml:space="preserve">resolution of the </w:t>
      </w:r>
      <w:r w:rsidR="00FB12AB" w:rsidRPr="00454CA5">
        <w:rPr>
          <w:rFonts w:ascii="Arial" w:hAnsi="Arial" w:cs="Arial"/>
          <w:lang w:val="en-US"/>
        </w:rPr>
        <w:t>stress in the company</w:t>
      </w:r>
      <w:r w:rsidR="0016512F" w:rsidRPr="00454CA5">
        <w:rPr>
          <w:rFonts w:ascii="Arial" w:hAnsi="Arial" w:cs="Arial"/>
          <w:lang w:val="en-US"/>
        </w:rPr>
        <w:t xml:space="preserve">. At the same time, </w:t>
      </w:r>
      <w:r w:rsidR="00806966" w:rsidRPr="00454CA5">
        <w:rPr>
          <w:rFonts w:ascii="Arial" w:hAnsi="Arial" w:cs="Arial"/>
          <w:lang w:val="en-US"/>
        </w:rPr>
        <w:t>after becoming aware (in 2013), the creditors should have been more involved in the process</w:t>
      </w:r>
      <w:r w:rsidR="000B3A9E" w:rsidRPr="00454CA5">
        <w:rPr>
          <w:rFonts w:ascii="Arial" w:hAnsi="Arial" w:cs="Arial"/>
          <w:lang w:val="en-US"/>
        </w:rPr>
        <w:t xml:space="preserve"> </w:t>
      </w:r>
      <w:r w:rsidR="00806966" w:rsidRPr="00454CA5">
        <w:rPr>
          <w:rFonts w:ascii="Arial" w:hAnsi="Arial" w:cs="Arial"/>
          <w:lang w:val="en-US"/>
        </w:rPr>
        <w:t>instead of relying solely on the information provided by FMHB</w:t>
      </w:r>
      <w:r w:rsidR="00FB12AB" w:rsidRPr="00454CA5">
        <w:rPr>
          <w:rFonts w:ascii="Arial" w:hAnsi="Arial" w:cs="Arial"/>
          <w:lang w:val="en-US"/>
        </w:rPr>
        <w:t>;</w:t>
      </w:r>
    </w:p>
    <w:p w14:paraId="0E3E02E0" w14:textId="347D496C" w:rsidR="0016512F" w:rsidRPr="00454CA5" w:rsidRDefault="009E2C8A" w:rsidP="004D6CCD">
      <w:pPr>
        <w:pStyle w:val="ListParagraph"/>
        <w:numPr>
          <w:ilvl w:val="0"/>
          <w:numId w:val="5"/>
        </w:numPr>
        <w:ind w:left="1134" w:hanging="567"/>
        <w:contextualSpacing w:val="0"/>
        <w:jc w:val="both"/>
        <w:rPr>
          <w:rFonts w:ascii="Arial" w:hAnsi="Arial" w:cs="Arial"/>
          <w:b/>
          <w:bCs/>
          <w:i/>
          <w:iCs/>
          <w:lang w:val="en-US"/>
        </w:rPr>
      </w:pPr>
      <w:r w:rsidRPr="00454CA5">
        <w:rPr>
          <w:rFonts w:ascii="Arial" w:hAnsi="Arial" w:cs="Arial"/>
          <w:lang w:val="en-US"/>
        </w:rPr>
        <w:t xml:space="preserve">FMHB and the Shareholder Company should have been transparent with the </w:t>
      </w:r>
      <w:r w:rsidR="002A56F8" w:rsidRPr="00454CA5">
        <w:rPr>
          <w:rFonts w:ascii="Arial" w:hAnsi="Arial" w:cs="Arial"/>
          <w:lang w:val="en-US"/>
        </w:rPr>
        <w:t xml:space="preserve">Specified Banks </w:t>
      </w:r>
      <w:r w:rsidRPr="00454CA5">
        <w:rPr>
          <w:rFonts w:ascii="Arial" w:hAnsi="Arial" w:cs="Arial"/>
          <w:lang w:val="en-US"/>
        </w:rPr>
        <w:t xml:space="preserve">from the inception, more so because </w:t>
      </w:r>
      <w:r w:rsidR="00B75837" w:rsidRPr="00454CA5">
        <w:rPr>
          <w:rFonts w:ascii="Arial" w:hAnsi="Arial" w:cs="Arial"/>
          <w:lang w:val="en-US"/>
        </w:rPr>
        <w:t>they</w:t>
      </w:r>
      <w:r w:rsidRPr="00454CA5">
        <w:rPr>
          <w:rFonts w:ascii="Arial" w:hAnsi="Arial" w:cs="Arial"/>
          <w:lang w:val="en-US"/>
        </w:rPr>
        <w:t xml:space="preserve"> were willing to co-operate (such that they even avoided legal proceedings). A </w:t>
      </w:r>
      <w:r w:rsidR="00830F44" w:rsidRPr="00454CA5">
        <w:rPr>
          <w:rFonts w:ascii="Arial" w:hAnsi="Arial" w:cs="Arial"/>
          <w:lang w:val="en-US"/>
        </w:rPr>
        <w:t>coordinated</w:t>
      </w:r>
      <w:r w:rsidRPr="00454CA5">
        <w:rPr>
          <w:rFonts w:ascii="Arial" w:hAnsi="Arial" w:cs="Arial"/>
          <w:lang w:val="en-US"/>
        </w:rPr>
        <w:t xml:space="preserve"> approach could have resolved the crisis sooner than anticipated</w:t>
      </w:r>
      <w:r w:rsidR="0016512F" w:rsidRPr="00454CA5">
        <w:rPr>
          <w:rFonts w:ascii="Arial" w:hAnsi="Arial" w:cs="Arial"/>
          <w:lang w:val="en-US"/>
        </w:rPr>
        <w:t>;</w:t>
      </w:r>
    </w:p>
    <w:p w14:paraId="14803ADE" w14:textId="6B08D563" w:rsidR="00550590" w:rsidRPr="00303538" w:rsidRDefault="00550590" w:rsidP="004D6CCD">
      <w:pPr>
        <w:pStyle w:val="ListParagraph"/>
        <w:numPr>
          <w:ilvl w:val="0"/>
          <w:numId w:val="5"/>
        </w:numPr>
        <w:ind w:left="1134" w:hanging="567"/>
        <w:contextualSpacing w:val="0"/>
        <w:jc w:val="both"/>
        <w:rPr>
          <w:rFonts w:ascii="Arial" w:hAnsi="Arial" w:cs="Arial"/>
          <w:b/>
          <w:bCs/>
          <w:i/>
          <w:iCs/>
          <w:lang w:val="en-US"/>
        </w:rPr>
      </w:pPr>
      <w:r w:rsidRPr="00454CA5">
        <w:rPr>
          <w:rFonts w:ascii="Arial" w:hAnsi="Arial" w:cs="Arial"/>
          <w:lang w:val="en-US"/>
        </w:rPr>
        <w:t xml:space="preserve">While the professional advisors were appointed (such as the investigating agency and turnaround agency), there role in the process was very limited. The Specified Banks were relying </w:t>
      </w:r>
      <w:r w:rsidR="002F3E9D" w:rsidRPr="00454CA5">
        <w:rPr>
          <w:rFonts w:ascii="Arial" w:hAnsi="Arial" w:cs="Arial"/>
          <w:lang w:val="en-US"/>
        </w:rPr>
        <w:t>on the information fed by the company. An enhanced role</w:t>
      </w:r>
      <w:r w:rsidR="00007BF7" w:rsidRPr="00454CA5">
        <w:rPr>
          <w:rFonts w:ascii="Arial" w:hAnsi="Arial" w:cs="Arial"/>
          <w:lang w:val="en-US"/>
        </w:rPr>
        <w:t xml:space="preserve"> of the professional advisors</w:t>
      </w:r>
      <w:r w:rsidR="002F3E9D" w:rsidRPr="00454CA5">
        <w:rPr>
          <w:rFonts w:ascii="Arial" w:hAnsi="Arial" w:cs="Arial"/>
          <w:lang w:val="en-US"/>
        </w:rPr>
        <w:t xml:space="preserve"> with direct interactions with the </w:t>
      </w:r>
      <w:r w:rsidR="00C75642" w:rsidRPr="00454CA5">
        <w:rPr>
          <w:rFonts w:ascii="Arial" w:hAnsi="Arial" w:cs="Arial"/>
          <w:lang w:val="en-US"/>
        </w:rPr>
        <w:t xml:space="preserve">Specified Banks would have helped the process; </w:t>
      </w:r>
      <w:r w:rsidR="002F3E9D" w:rsidRPr="00454CA5">
        <w:rPr>
          <w:rFonts w:ascii="Arial" w:hAnsi="Arial" w:cs="Arial"/>
          <w:lang w:val="en-US"/>
        </w:rPr>
        <w:t xml:space="preserve"> </w:t>
      </w:r>
    </w:p>
    <w:p w14:paraId="4CEF2F73" w14:textId="2A352640" w:rsidR="00303538" w:rsidRPr="00454CA5" w:rsidRDefault="00303538" w:rsidP="004D6CCD">
      <w:pPr>
        <w:pStyle w:val="ListParagraph"/>
        <w:numPr>
          <w:ilvl w:val="0"/>
          <w:numId w:val="5"/>
        </w:numPr>
        <w:ind w:left="1134" w:hanging="567"/>
        <w:contextualSpacing w:val="0"/>
        <w:jc w:val="both"/>
        <w:rPr>
          <w:rFonts w:ascii="Arial" w:hAnsi="Arial" w:cs="Arial"/>
          <w:b/>
          <w:bCs/>
          <w:i/>
          <w:iCs/>
          <w:lang w:val="en-US"/>
        </w:rPr>
      </w:pPr>
      <w:r>
        <w:rPr>
          <w:rFonts w:ascii="Arial" w:hAnsi="Arial" w:cs="Arial"/>
          <w:lang w:val="en-US"/>
        </w:rPr>
        <w:t xml:space="preserve">infusion of growth capital by the Shareholder Company at the early stages, could have gone a long way to resolve the tussle between the Specified Banks and the Shareholder Company and FMHB, which would have in turn significantly benefitted the turnaround steps and early execution of standstill agreement; </w:t>
      </w:r>
    </w:p>
    <w:p w14:paraId="6079B5B1" w14:textId="16411085" w:rsidR="00DB724C" w:rsidRPr="00454CA5" w:rsidRDefault="002F42B4" w:rsidP="004D6CCD">
      <w:pPr>
        <w:pStyle w:val="ListParagraph"/>
        <w:numPr>
          <w:ilvl w:val="0"/>
          <w:numId w:val="5"/>
        </w:numPr>
        <w:ind w:left="1134" w:hanging="567"/>
        <w:contextualSpacing w:val="0"/>
        <w:jc w:val="both"/>
        <w:rPr>
          <w:rFonts w:ascii="Arial" w:hAnsi="Arial" w:cs="Arial"/>
          <w:b/>
          <w:bCs/>
          <w:i/>
          <w:iCs/>
          <w:lang w:val="en-US"/>
        </w:rPr>
      </w:pPr>
      <w:r w:rsidRPr="00454CA5">
        <w:rPr>
          <w:rFonts w:ascii="Arial" w:hAnsi="Arial" w:cs="Arial"/>
          <w:lang w:val="en-US"/>
        </w:rPr>
        <w:t>At the time when the standstill agreement related discussion reached an impasse, Bank A and B had considered buy-out of</w:t>
      </w:r>
      <w:r w:rsidR="008C031E" w:rsidRPr="00454CA5">
        <w:rPr>
          <w:rFonts w:ascii="Arial" w:hAnsi="Arial" w:cs="Arial"/>
          <w:lang w:val="en-US"/>
        </w:rPr>
        <w:t xml:space="preserve"> exposure of</w:t>
      </w:r>
      <w:r w:rsidRPr="00454CA5">
        <w:rPr>
          <w:rFonts w:ascii="Arial" w:hAnsi="Arial" w:cs="Arial"/>
          <w:lang w:val="en-US"/>
        </w:rPr>
        <w:t xml:space="preserve"> Bank C and D. Subject to commercial considerations, if the proposal </w:t>
      </w:r>
      <w:r w:rsidR="00625345" w:rsidRPr="00454CA5">
        <w:rPr>
          <w:rFonts w:ascii="Arial" w:hAnsi="Arial" w:cs="Arial"/>
          <w:lang w:val="en-US"/>
        </w:rPr>
        <w:t xml:space="preserve">would have fructified, it would have expedited the process and made it more efficient; </w:t>
      </w:r>
    </w:p>
    <w:p w14:paraId="5EF0F081" w14:textId="7C46879E" w:rsidR="00BE3E58" w:rsidRPr="00454CA5" w:rsidRDefault="00BE3E58" w:rsidP="00BE3E58">
      <w:pPr>
        <w:pStyle w:val="ListParagraph"/>
        <w:numPr>
          <w:ilvl w:val="0"/>
          <w:numId w:val="5"/>
        </w:numPr>
        <w:ind w:left="1134" w:hanging="567"/>
        <w:contextualSpacing w:val="0"/>
        <w:jc w:val="both"/>
        <w:rPr>
          <w:rFonts w:ascii="Arial" w:hAnsi="Arial" w:cs="Arial"/>
          <w:b/>
          <w:bCs/>
          <w:i/>
          <w:iCs/>
          <w:lang w:val="en-US"/>
        </w:rPr>
      </w:pPr>
      <w:r w:rsidRPr="00454CA5">
        <w:rPr>
          <w:rFonts w:ascii="Arial" w:hAnsi="Arial" w:cs="Arial"/>
          <w:lang w:val="en-US"/>
        </w:rPr>
        <w:t>During the entire process, the focus of key stakeholders (i.e., the Shareholder Company and the Specified Banks) was towards retrenchment measures (for instance layoffs, cost reduction, etc.) instead of recovery measures. Given that market conditions were favorable, exploring recovery measures as well (for instance, adopting new marketing strategies, tapping new markets, etc.) would have helped achieve efficiency turnaround and growth of FMHB</w:t>
      </w:r>
      <w:r w:rsidR="00D8045F">
        <w:rPr>
          <w:rFonts w:ascii="Arial" w:hAnsi="Arial" w:cs="Arial"/>
          <w:lang w:val="en-US"/>
        </w:rPr>
        <w:t>.</w:t>
      </w:r>
      <w:r w:rsidRPr="00454CA5">
        <w:rPr>
          <w:rFonts w:ascii="Arial" w:hAnsi="Arial" w:cs="Arial"/>
          <w:lang w:val="en-US"/>
        </w:rPr>
        <w:t xml:space="preserve"> </w:t>
      </w:r>
    </w:p>
    <w:p w14:paraId="315264FF" w14:textId="385A2778" w:rsidR="00B84D87" w:rsidRPr="00454CA5" w:rsidRDefault="00B84D87" w:rsidP="00776876">
      <w:pPr>
        <w:pStyle w:val="ListParagraph"/>
        <w:spacing w:line="240" w:lineRule="auto"/>
        <w:ind w:left="567"/>
        <w:contextualSpacing w:val="0"/>
        <w:jc w:val="both"/>
        <w:rPr>
          <w:rFonts w:ascii="Arial" w:hAnsi="Arial" w:cs="Arial"/>
          <w:lang w:val="en-US"/>
        </w:rPr>
      </w:pPr>
      <w:r w:rsidRPr="00454CA5">
        <w:rPr>
          <w:rFonts w:ascii="Arial" w:hAnsi="Arial" w:cs="Arial"/>
          <w:lang w:val="en-US"/>
        </w:rPr>
        <w:br w:type="page"/>
      </w:r>
    </w:p>
    <w:p w14:paraId="1A8F05D8" w14:textId="62D5523F" w:rsidR="008C652F" w:rsidRPr="00454CA5" w:rsidRDefault="008C652F" w:rsidP="004D6CCD">
      <w:pPr>
        <w:pStyle w:val="ListParagraph"/>
        <w:numPr>
          <w:ilvl w:val="0"/>
          <w:numId w:val="1"/>
        </w:numPr>
        <w:spacing w:line="240" w:lineRule="auto"/>
        <w:ind w:left="567" w:hanging="567"/>
        <w:contextualSpacing w:val="0"/>
        <w:jc w:val="both"/>
        <w:rPr>
          <w:rFonts w:ascii="Arial" w:hAnsi="Arial" w:cs="Arial"/>
          <w:b/>
          <w:bCs/>
          <w:i/>
          <w:iCs/>
          <w:lang w:val="en-US"/>
        </w:rPr>
      </w:pPr>
      <w:r w:rsidRPr="00454CA5">
        <w:rPr>
          <w:rFonts w:ascii="Arial" w:hAnsi="Arial" w:cs="Arial"/>
          <w:b/>
          <w:bCs/>
          <w:i/>
          <w:iCs/>
          <w:lang w:val="en-US"/>
        </w:rPr>
        <w:lastRenderedPageBreak/>
        <w:t>What are in general advantages and disadvantages of an out-of-court restructuring</w:t>
      </w:r>
      <w:r w:rsidRPr="00454CA5">
        <w:rPr>
          <w:rFonts w:ascii="Arial" w:hAnsi="Arial" w:cs="Arial"/>
          <w:b/>
          <w:bCs/>
          <w:i/>
          <w:iCs/>
          <w:lang w:val="en-US"/>
        </w:rPr>
        <w:t xml:space="preserve"> </w:t>
      </w:r>
      <w:r w:rsidRPr="00454CA5">
        <w:rPr>
          <w:rFonts w:ascii="Arial" w:hAnsi="Arial" w:cs="Arial"/>
          <w:b/>
          <w:bCs/>
          <w:i/>
          <w:iCs/>
          <w:lang w:val="en-US"/>
        </w:rPr>
        <w:t>(workout) as compared to a formal bankruptcy procedure? More specific, what are the</w:t>
      </w:r>
      <w:r w:rsidRPr="00454CA5">
        <w:rPr>
          <w:rFonts w:ascii="Arial" w:hAnsi="Arial" w:cs="Arial"/>
          <w:b/>
          <w:bCs/>
          <w:i/>
          <w:iCs/>
          <w:lang w:val="en-US"/>
        </w:rPr>
        <w:t xml:space="preserve"> </w:t>
      </w:r>
      <w:r w:rsidRPr="00454CA5">
        <w:rPr>
          <w:rFonts w:ascii="Arial" w:hAnsi="Arial" w:cs="Arial"/>
          <w:b/>
          <w:bCs/>
          <w:i/>
          <w:iCs/>
          <w:lang w:val="en-US"/>
        </w:rPr>
        <w:t>advantages versus disadvantages in your country?</w:t>
      </w:r>
    </w:p>
    <w:p w14:paraId="657B12F1" w14:textId="3ABAA2D7" w:rsidR="00B97E69" w:rsidRPr="00454CA5" w:rsidRDefault="003D54B4"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At the outset, it is relevant to note that a</w:t>
      </w:r>
      <w:r w:rsidR="00154429" w:rsidRPr="00454CA5">
        <w:rPr>
          <w:rFonts w:ascii="Arial" w:hAnsi="Arial" w:cs="Arial"/>
          <w:lang w:val="en-US"/>
        </w:rPr>
        <w:t>n out-of</w:t>
      </w:r>
      <w:r w:rsidR="005A192D" w:rsidRPr="00454CA5">
        <w:rPr>
          <w:rFonts w:ascii="Arial" w:hAnsi="Arial" w:cs="Arial"/>
          <w:lang w:val="en-US"/>
        </w:rPr>
        <w:t>-</w:t>
      </w:r>
      <w:r w:rsidR="00154429" w:rsidRPr="00454CA5">
        <w:rPr>
          <w:rFonts w:ascii="Arial" w:hAnsi="Arial" w:cs="Arial"/>
          <w:lang w:val="en-US"/>
        </w:rPr>
        <w:t>court restructuring</w:t>
      </w:r>
      <w:r w:rsidR="00A37154" w:rsidRPr="00454CA5">
        <w:rPr>
          <w:rFonts w:ascii="Arial" w:hAnsi="Arial" w:cs="Arial"/>
          <w:lang w:val="en-US"/>
        </w:rPr>
        <w:t xml:space="preserve"> </w:t>
      </w:r>
      <w:r w:rsidR="00154429" w:rsidRPr="00454CA5">
        <w:rPr>
          <w:rFonts w:ascii="Arial" w:hAnsi="Arial" w:cs="Arial"/>
          <w:lang w:val="en-US"/>
        </w:rPr>
        <w:t>/</w:t>
      </w:r>
      <w:r w:rsidRPr="00454CA5">
        <w:rPr>
          <w:rFonts w:ascii="Arial" w:hAnsi="Arial" w:cs="Arial"/>
          <w:lang w:val="en-US"/>
        </w:rPr>
        <w:t xml:space="preserve"> </w:t>
      </w:r>
      <w:r w:rsidR="00154429" w:rsidRPr="00454CA5">
        <w:rPr>
          <w:rFonts w:ascii="Arial" w:hAnsi="Arial" w:cs="Arial"/>
          <w:lang w:val="en-US"/>
        </w:rPr>
        <w:t xml:space="preserve">informal </w:t>
      </w:r>
      <w:r w:rsidR="005348AE" w:rsidRPr="00454CA5">
        <w:rPr>
          <w:rFonts w:ascii="Arial" w:hAnsi="Arial" w:cs="Arial"/>
          <w:lang w:val="en-US"/>
        </w:rPr>
        <w:t>reorganization</w:t>
      </w:r>
      <w:r w:rsidR="00402829" w:rsidRPr="00454CA5">
        <w:rPr>
          <w:rFonts w:ascii="Arial" w:hAnsi="Arial" w:cs="Arial"/>
          <w:lang w:val="en-US"/>
        </w:rPr>
        <w:t xml:space="preserve"> postulates </w:t>
      </w:r>
      <w:r w:rsidR="00D35633" w:rsidRPr="00454CA5">
        <w:rPr>
          <w:rFonts w:ascii="Arial" w:hAnsi="Arial" w:cs="Arial"/>
          <w:lang w:val="en-US"/>
        </w:rPr>
        <w:t xml:space="preserve">reorganization </w:t>
      </w:r>
      <w:r w:rsidR="00D35633" w:rsidRPr="00454CA5">
        <w:rPr>
          <w:rFonts w:ascii="Arial" w:hAnsi="Arial" w:cs="Arial"/>
          <w:i/>
          <w:iCs/>
          <w:lang w:val="en-US"/>
        </w:rPr>
        <w:t>outside the statutory framework</w:t>
      </w:r>
      <w:r w:rsidR="003539BA" w:rsidRPr="00454CA5">
        <w:rPr>
          <w:rStyle w:val="FootnoteReference"/>
          <w:rFonts w:ascii="Arial" w:hAnsi="Arial" w:cs="Arial"/>
          <w:lang w:val="en-US"/>
        </w:rPr>
        <w:footnoteReference w:id="3"/>
      </w:r>
      <w:r w:rsidR="0050768E" w:rsidRPr="00454CA5">
        <w:rPr>
          <w:rFonts w:ascii="Arial" w:hAnsi="Arial" w:cs="Arial"/>
          <w:i/>
          <w:iCs/>
          <w:lang w:val="en-US"/>
        </w:rPr>
        <w:t>,</w:t>
      </w:r>
      <w:r w:rsidR="00D35633" w:rsidRPr="00454CA5">
        <w:rPr>
          <w:rFonts w:ascii="Arial" w:hAnsi="Arial" w:cs="Arial"/>
          <w:lang w:val="en-US"/>
        </w:rPr>
        <w:t xml:space="preserve"> without intervention of courts</w:t>
      </w:r>
      <w:r w:rsidR="00B643B4" w:rsidRPr="00454CA5">
        <w:rPr>
          <w:rFonts w:ascii="Arial" w:hAnsi="Arial" w:cs="Arial"/>
          <w:lang w:val="en-US"/>
        </w:rPr>
        <w:t xml:space="preserve">- </w:t>
      </w:r>
      <w:r w:rsidR="005E2AEE" w:rsidRPr="00454CA5">
        <w:rPr>
          <w:rFonts w:ascii="Arial" w:hAnsi="Arial" w:cs="Arial"/>
          <w:lang w:val="en-US"/>
        </w:rPr>
        <w:t>albeit with measures stipulated under the legal framework</w:t>
      </w:r>
      <w:r w:rsidR="00D35633" w:rsidRPr="00454CA5">
        <w:rPr>
          <w:rFonts w:ascii="Arial" w:hAnsi="Arial" w:cs="Arial"/>
          <w:lang w:val="en-US"/>
        </w:rPr>
        <w:t>.</w:t>
      </w:r>
      <w:r w:rsidR="00891135" w:rsidRPr="00454CA5">
        <w:rPr>
          <w:rFonts w:ascii="Arial" w:hAnsi="Arial" w:cs="Arial"/>
          <w:lang w:val="en-US"/>
        </w:rPr>
        <w:t xml:space="preserve"> </w:t>
      </w:r>
      <w:r w:rsidR="00141A72" w:rsidRPr="00454CA5">
        <w:rPr>
          <w:rFonts w:ascii="Arial" w:hAnsi="Arial" w:cs="Arial"/>
          <w:lang w:val="en-US"/>
        </w:rPr>
        <w:t>In this response, I have used the terms out-of-court restructuring and informal restructuring interchangeabl</w:t>
      </w:r>
      <w:r w:rsidR="005C25F4" w:rsidRPr="00454CA5">
        <w:rPr>
          <w:rFonts w:ascii="Arial" w:hAnsi="Arial" w:cs="Arial"/>
          <w:lang w:val="en-US"/>
        </w:rPr>
        <w:t xml:space="preserve">y. </w:t>
      </w:r>
    </w:p>
    <w:p w14:paraId="2CC13519" w14:textId="5909BBEB" w:rsidR="00AD7AAC" w:rsidRPr="00454CA5" w:rsidRDefault="00A065AC" w:rsidP="004D6CCD">
      <w:pPr>
        <w:pStyle w:val="ListParagraph"/>
        <w:numPr>
          <w:ilvl w:val="1"/>
          <w:numId w:val="1"/>
        </w:numPr>
        <w:spacing w:line="240" w:lineRule="auto"/>
        <w:ind w:left="567" w:hanging="567"/>
        <w:contextualSpacing w:val="0"/>
        <w:jc w:val="both"/>
        <w:rPr>
          <w:rFonts w:ascii="Arial" w:hAnsi="Arial" w:cs="Arial"/>
          <w:lang w:val="en-US"/>
        </w:rPr>
      </w:pPr>
      <w:r w:rsidRPr="00454CA5">
        <w:rPr>
          <w:rFonts w:ascii="Arial" w:hAnsi="Arial" w:cs="Arial"/>
          <w:lang w:val="en-US"/>
        </w:rPr>
        <w:t>Set</w:t>
      </w:r>
      <w:r w:rsidR="00BD1804" w:rsidRPr="00454CA5">
        <w:rPr>
          <w:rFonts w:ascii="Arial" w:hAnsi="Arial" w:cs="Arial"/>
          <w:lang w:val="en-US"/>
        </w:rPr>
        <w:t>-</w:t>
      </w:r>
      <w:r w:rsidRPr="00454CA5">
        <w:rPr>
          <w:rFonts w:ascii="Arial" w:hAnsi="Arial" w:cs="Arial"/>
          <w:lang w:val="en-US"/>
        </w:rPr>
        <w:t xml:space="preserve">out </w:t>
      </w:r>
      <w:r w:rsidR="005E2AEE" w:rsidRPr="00454CA5">
        <w:rPr>
          <w:rFonts w:ascii="Arial" w:hAnsi="Arial" w:cs="Arial"/>
          <w:lang w:val="en-US"/>
        </w:rPr>
        <w:t xml:space="preserve">below are certain advantages </w:t>
      </w:r>
      <w:r w:rsidR="00341AD6" w:rsidRPr="00454CA5">
        <w:rPr>
          <w:rFonts w:ascii="Arial" w:hAnsi="Arial" w:cs="Arial"/>
          <w:lang w:val="en-US"/>
        </w:rPr>
        <w:t>and disadvantages of out-of-court restructuring as compared to a formal bankruptcy:</w:t>
      </w:r>
    </w:p>
    <w:p w14:paraId="5B0BC4CA" w14:textId="75DEF327" w:rsidR="00844A98" w:rsidRPr="00454CA5" w:rsidRDefault="00B31E35" w:rsidP="004D6CCD">
      <w:pPr>
        <w:pStyle w:val="ListParagraph"/>
        <w:numPr>
          <w:ilvl w:val="2"/>
          <w:numId w:val="1"/>
        </w:numPr>
        <w:spacing w:line="240" w:lineRule="auto"/>
        <w:ind w:left="567" w:hanging="709"/>
        <w:contextualSpacing w:val="0"/>
        <w:jc w:val="both"/>
        <w:rPr>
          <w:rFonts w:ascii="Arial" w:hAnsi="Arial" w:cs="Arial"/>
          <w:lang w:val="en-US"/>
        </w:rPr>
      </w:pPr>
      <w:r w:rsidRPr="00454CA5">
        <w:rPr>
          <w:rFonts w:ascii="Arial" w:hAnsi="Arial" w:cs="Arial"/>
          <w:i/>
          <w:iCs/>
          <w:u w:val="single"/>
          <w:lang w:val="en-US"/>
        </w:rPr>
        <w:t>Advantages</w:t>
      </w:r>
      <w:r w:rsidRPr="00454CA5">
        <w:rPr>
          <w:rFonts w:ascii="Arial" w:hAnsi="Arial" w:cs="Arial"/>
          <w:i/>
          <w:iCs/>
          <w:lang w:val="en-US"/>
        </w:rPr>
        <w:t>:</w:t>
      </w:r>
    </w:p>
    <w:p w14:paraId="1873B59B" w14:textId="1B25F556" w:rsidR="00341AD6" w:rsidRPr="00454CA5" w:rsidRDefault="00B2343E" w:rsidP="004D6CCD">
      <w:pPr>
        <w:pStyle w:val="ListParagraph"/>
        <w:numPr>
          <w:ilvl w:val="0"/>
          <w:numId w:val="3"/>
        </w:numPr>
        <w:spacing w:line="240" w:lineRule="auto"/>
        <w:ind w:left="1134" w:hanging="567"/>
        <w:contextualSpacing w:val="0"/>
        <w:jc w:val="both"/>
        <w:rPr>
          <w:rFonts w:ascii="Arial" w:hAnsi="Arial" w:cs="Arial"/>
          <w:lang w:val="en-US"/>
        </w:rPr>
      </w:pPr>
      <w:r w:rsidRPr="00454CA5">
        <w:rPr>
          <w:rFonts w:ascii="Arial" w:hAnsi="Arial" w:cs="Arial"/>
          <w:i/>
          <w:iCs/>
          <w:lang w:val="en-US"/>
        </w:rPr>
        <w:t>Time-bound</w:t>
      </w:r>
      <w:r w:rsidR="00844A98" w:rsidRPr="00454CA5">
        <w:rPr>
          <w:rFonts w:ascii="Arial" w:hAnsi="Arial" w:cs="Arial"/>
          <w:i/>
          <w:iCs/>
          <w:lang w:val="en-US"/>
        </w:rPr>
        <w:t xml:space="preserve"> resolution </w:t>
      </w:r>
      <w:r w:rsidR="00B31E35" w:rsidRPr="00454CA5">
        <w:rPr>
          <w:rFonts w:ascii="Arial" w:hAnsi="Arial" w:cs="Arial"/>
          <w:i/>
          <w:iCs/>
          <w:lang w:val="en-US"/>
        </w:rPr>
        <w:t xml:space="preserve"> </w:t>
      </w:r>
    </w:p>
    <w:p w14:paraId="7646589A" w14:textId="710A0E45" w:rsidR="00557141" w:rsidRPr="00454CA5" w:rsidRDefault="009868B2" w:rsidP="00776876">
      <w:pPr>
        <w:pStyle w:val="ListParagraph"/>
        <w:spacing w:line="240" w:lineRule="auto"/>
        <w:ind w:left="1134"/>
        <w:contextualSpacing w:val="0"/>
        <w:jc w:val="both"/>
        <w:rPr>
          <w:rFonts w:ascii="Arial" w:hAnsi="Arial" w:cs="Arial"/>
          <w:lang w:val="en-US"/>
        </w:rPr>
      </w:pPr>
      <w:r w:rsidRPr="00454CA5">
        <w:rPr>
          <w:rFonts w:ascii="Arial" w:hAnsi="Arial" w:cs="Arial"/>
          <w:lang w:val="en-US"/>
        </w:rPr>
        <w:t xml:space="preserve">Insofar as </w:t>
      </w:r>
      <w:r w:rsidR="00DF2796" w:rsidRPr="00454CA5">
        <w:rPr>
          <w:rFonts w:ascii="Arial" w:hAnsi="Arial" w:cs="Arial"/>
          <w:lang w:val="en-US"/>
        </w:rPr>
        <w:t>business and financial restructurings are concerned, time is the key to implementation to avoid deterioration in the value of the assets/organization.</w:t>
      </w:r>
      <w:r w:rsidR="00AF3BDB" w:rsidRPr="00454CA5">
        <w:rPr>
          <w:rFonts w:ascii="Arial" w:hAnsi="Arial" w:cs="Arial"/>
          <w:lang w:val="en-US"/>
        </w:rPr>
        <w:t xml:space="preserve"> The legal framework </w:t>
      </w:r>
      <w:r w:rsidR="00F550BA" w:rsidRPr="00454CA5">
        <w:rPr>
          <w:rFonts w:ascii="Arial" w:hAnsi="Arial" w:cs="Arial"/>
          <w:lang w:val="en-US"/>
        </w:rPr>
        <w:t>governing formal bankruptcy may in certain instances delay th</w:t>
      </w:r>
      <w:r w:rsidR="00AC4C5D" w:rsidRPr="00454CA5">
        <w:rPr>
          <w:rFonts w:ascii="Arial" w:hAnsi="Arial" w:cs="Arial"/>
          <w:lang w:val="en-US"/>
        </w:rPr>
        <w:t>e process</w:t>
      </w:r>
      <w:r w:rsidR="00407B31" w:rsidRPr="00454CA5">
        <w:rPr>
          <w:rFonts w:ascii="Arial" w:hAnsi="Arial" w:cs="Arial"/>
          <w:lang w:val="en-US"/>
        </w:rPr>
        <w:t xml:space="preserve"> whereas if the </w:t>
      </w:r>
      <w:r w:rsidR="00B8494F" w:rsidRPr="00454CA5">
        <w:rPr>
          <w:rFonts w:ascii="Arial" w:hAnsi="Arial" w:cs="Arial"/>
          <w:lang w:val="en-US"/>
        </w:rPr>
        <w:t>requisite</w:t>
      </w:r>
      <w:r w:rsidR="00407B31" w:rsidRPr="00454CA5">
        <w:rPr>
          <w:rFonts w:ascii="Arial" w:hAnsi="Arial" w:cs="Arial"/>
          <w:lang w:val="en-US"/>
        </w:rPr>
        <w:t xml:space="preserve"> stakeholders operate in coordinate</w:t>
      </w:r>
      <w:r w:rsidR="00694FF9" w:rsidRPr="00454CA5">
        <w:rPr>
          <w:rFonts w:ascii="Arial" w:hAnsi="Arial" w:cs="Arial"/>
          <w:lang w:val="en-US"/>
        </w:rPr>
        <w:t xml:space="preserve">d manner, out-of-court restructurings can be key to resolving the stress </w:t>
      </w:r>
      <w:r w:rsidR="00483F1A" w:rsidRPr="00454CA5">
        <w:rPr>
          <w:rFonts w:ascii="Arial" w:hAnsi="Arial" w:cs="Arial"/>
          <w:lang w:val="en-US"/>
        </w:rPr>
        <w:t xml:space="preserve">in a time-bound manner. </w:t>
      </w:r>
    </w:p>
    <w:p w14:paraId="48C50C7E" w14:textId="3744A9A7" w:rsidR="0050690F" w:rsidRPr="00454CA5" w:rsidRDefault="00E44185" w:rsidP="00942B82">
      <w:pPr>
        <w:pStyle w:val="ListParagraph"/>
        <w:ind w:left="1134"/>
        <w:contextualSpacing w:val="0"/>
        <w:jc w:val="both"/>
        <w:rPr>
          <w:rFonts w:ascii="Arial" w:hAnsi="Arial" w:cs="Arial"/>
        </w:rPr>
      </w:pPr>
      <w:r w:rsidRPr="00454CA5">
        <w:rPr>
          <w:rFonts w:ascii="Arial" w:hAnsi="Arial" w:cs="Arial"/>
          <w:lang w:val="en-US"/>
        </w:rPr>
        <w:t xml:space="preserve">In India, out-of-court restructuring by banks and non-banking finance companies is </w:t>
      </w:r>
      <w:r w:rsidR="00C42F1E" w:rsidRPr="00454CA5">
        <w:rPr>
          <w:rFonts w:ascii="Arial" w:hAnsi="Arial" w:cs="Arial"/>
          <w:lang w:val="en-US"/>
        </w:rPr>
        <w:t xml:space="preserve">undertaken under the aegis of the Reserve Bank of India (i.e., the </w:t>
      </w:r>
      <w:r w:rsidR="00500EFA" w:rsidRPr="00454CA5">
        <w:rPr>
          <w:rFonts w:ascii="Arial" w:hAnsi="Arial" w:cs="Arial"/>
          <w:lang w:val="en-US"/>
        </w:rPr>
        <w:t>c</w:t>
      </w:r>
      <w:r w:rsidR="00C42F1E" w:rsidRPr="00454CA5">
        <w:rPr>
          <w:rFonts w:ascii="Arial" w:hAnsi="Arial" w:cs="Arial"/>
          <w:lang w:val="en-US"/>
        </w:rPr>
        <w:t xml:space="preserve">entral </w:t>
      </w:r>
      <w:r w:rsidR="00026410" w:rsidRPr="00454CA5">
        <w:rPr>
          <w:rFonts w:ascii="Arial" w:hAnsi="Arial" w:cs="Arial"/>
          <w:lang w:val="en-US"/>
        </w:rPr>
        <w:t>b</w:t>
      </w:r>
      <w:r w:rsidR="00C42F1E" w:rsidRPr="00454CA5">
        <w:rPr>
          <w:rFonts w:ascii="Arial" w:hAnsi="Arial" w:cs="Arial"/>
          <w:lang w:val="en-US"/>
        </w:rPr>
        <w:t>ank of India)</w:t>
      </w:r>
      <w:r w:rsidR="003B7B8D" w:rsidRPr="00454CA5">
        <w:rPr>
          <w:rFonts w:ascii="Arial" w:hAnsi="Arial" w:cs="Arial"/>
          <w:lang w:val="en-US"/>
        </w:rPr>
        <w:t xml:space="preserve"> (</w:t>
      </w:r>
      <w:r w:rsidR="003B7B8D" w:rsidRPr="00454CA5">
        <w:rPr>
          <w:rFonts w:ascii="Arial" w:hAnsi="Arial" w:cs="Arial"/>
          <w:b/>
          <w:bCs/>
          <w:lang w:val="en-US"/>
        </w:rPr>
        <w:t>RBI</w:t>
      </w:r>
      <w:r w:rsidR="003B7B8D" w:rsidRPr="00454CA5">
        <w:rPr>
          <w:rFonts w:ascii="Arial" w:hAnsi="Arial" w:cs="Arial"/>
          <w:lang w:val="en-US"/>
        </w:rPr>
        <w:t xml:space="preserve">). </w:t>
      </w:r>
      <w:r w:rsidR="00531DCF" w:rsidRPr="00454CA5">
        <w:rPr>
          <w:rFonts w:ascii="Arial" w:hAnsi="Arial" w:cs="Arial"/>
          <w:lang w:val="en-US"/>
        </w:rPr>
        <w:t>T</w:t>
      </w:r>
      <w:r w:rsidR="003B7B8D" w:rsidRPr="00454CA5">
        <w:rPr>
          <w:rFonts w:ascii="Arial" w:hAnsi="Arial" w:cs="Arial"/>
          <w:lang w:val="en-US"/>
        </w:rPr>
        <w:t>he</w:t>
      </w:r>
      <w:r w:rsidR="00AA4992" w:rsidRPr="00454CA5">
        <w:rPr>
          <w:rFonts w:ascii="Arial" w:hAnsi="Arial" w:cs="Arial"/>
          <w:lang w:val="en-US"/>
        </w:rPr>
        <w:t xml:space="preserve"> RBI has released</w:t>
      </w:r>
      <w:r w:rsidR="00C42F1E" w:rsidRPr="00454CA5">
        <w:rPr>
          <w:rFonts w:ascii="Arial" w:hAnsi="Arial" w:cs="Arial"/>
          <w:lang w:val="en-US"/>
        </w:rPr>
        <w:t xml:space="preserve"> </w:t>
      </w:r>
      <w:r w:rsidR="00090C0F" w:rsidRPr="00454CA5">
        <w:rPr>
          <w:rFonts w:ascii="Arial" w:hAnsi="Arial" w:cs="Arial"/>
          <w:lang w:val="en-US"/>
        </w:rPr>
        <w:t>Reserve Bank of India (Prudential Framework for Resolution of Stressed Assets) Directions, 2019 (</w:t>
      </w:r>
      <w:r w:rsidR="00090C0F" w:rsidRPr="00454CA5">
        <w:rPr>
          <w:rFonts w:ascii="Arial" w:hAnsi="Arial" w:cs="Arial"/>
          <w:b/>
          <w:lang w:val="en-US"/>
        </w:rPr>
        <w:t>Stressed Asset Directions</w:t>
      </w:r>
      <w:r w:rsidR="00090C0F" w:rsidRPr="00454CA5">
        <w:rPr>
          <w:rFonts w:ascii="Arial" w:hAnsi="Arial" w:cs="Arial"/>
          <w:lang w:val="en-US"/>
        </w:rPr>
        <w:t>)</w:t>
      </w:r>
      <w:r w:rsidR="00DF1365" w:rsidRPr="00454CA5">
        <w:rPr>
          <w:rStyle w:val="FootnoteReference"/>
          <w:rFonts w:ascii="Arial" w:hAnsi="Arial" w:cs="Arial"/>
          <w:lang w:val="en-US"/>
        </w:rPr>
        <w:footnoteReference w:id="4"/>
      </w:r>
      <w:r w:rsidR="00BA6434" w:rsidRPr="00454CA5">
        <w:rPr>
          <w:rFonts w:ascii="Arial" w:hAnsi="Arial" w:cs="Arial"/>
          <w:lang w:val="en-US"/>
        </w:rPr>
        <w:t xml:space="preserve"> which</w:t>
      </w:r>
      <w:r w:rsidR="00CC49E9" w:rsidRPr="00454CA5">
        <w:rPr>
          <w:rFonts w:ascii="Arial" w:hAnsi="Arial" w:cs="Arial"/>
          <w:lang w:val="en-US"/>
        </w:rPr>
        <w:t xml:space="preserve"> primarily</w:t>
      </w:r>
      <w:r w:rsidR="00BA6434" w:rsidRPr="00454CA5">
        <w:rPr>
          <w:rFonts w:ascii="Arial" w:hAnsi="Arial" w:cs="Arial"/>
          <w:lang w:val="en-US"/>
        </w:rPr>
        <w:t xml:space="preserve"> lays down the governing framework/principles for out-of-court restructurings in India</w:t>
      </w:r>
      <w:r w:rsidR="002A1B7B" w:rsidRPr="00454CA5">
        <w:rPr>
          <w:rFonts w:ascii="Arial" w:hAnsi="Arial" w:cs="Arial"/>
          <w:lang w:val="en-US"/>
        </w:rPr>
        <w:t xml:space="preserve">. </w:t>
      </w:r>
      <w:r w:rsidR="00716CA6" w:rsidRPr="00454CA5">
        <w:rPr>
          <w:rFonts w:ascii="Arial" w:hAnsi="Arial" w:cs="Arial"/>
        </w:rPr>
        <w:t xml:space="preserve">As per the Stressed Asset Directions, in the event of a default in an account of any lender (being the entities to whom the directions apply), all lenders are required to, within a period of 30 days of such default, undertake a </w:t>
      </w:r>
      <w:r w:rsidR="00716CA6" w:rsidRPr="00454CA5">
        <w:rPr>
          <w:rFonts w:ascii="Arial" w:hAnsi="Arial" w:cs="Arial"/>
          <w:i/>
        </w:rPr>
        <w:t>prima facie</w:t>
      </w:r>
      <w:r w:rsidR="00716CA6" w:rsidRPr="00454CA5">
        <w:rPr>
          <w:rFonts w:ascii="Arial" w:hAnsi="Arial" w:cs="Arial"/>
        </w:rPr>
        <w:t xml:space="preserve"> review of the account and decide on the resolution strategy.</w:t>
      </w:r>
      <w:r w:rsidR="00716CA6" w:rsidRPr="00454CA5">
        <w:rPr>
          <w:rFonts w:ascii="Arial" w:hAnsi="Arial" w:cs="Arial"/>
          <w:vertAlign w:val="superscript"/>
        </w:rPr>
        <w:footnoteReference w:id="5"/>
      </w:r>
      <w:r w:rsidR="00416791" w:rsidRPr="00454CA5">
        <w:rPr>
          <w:rFonts w:ascii="Arial" w:hAnsi="Arial" w:cs="Arial"/>
        </w:rPr>
        <w:t xml:space="preserve"> </w:t>
      </w:r>
      <w:r w:rsidR="0050690F" w:rsidRPr="00454CA5">
        <w:rPr>
          <w:rFonts w:ascii="Arial" w:hAnsi="Arial" w:cs="Arial"/>
          <w:bCs/>
        </w:rPr>
        <w:t>This framework also contemplates execution of inter creditor agreements (</w:t>
      </w:r>
      <w:r w:rsidR="0050690F" w:rsidRPr="00454CA5">
        <w:rPr>
          <w:rFonts w:ascii="Arial" w:hAnsi="Arial" w:cs="Arial"/>
          <w:b/>
        </w:rPr>
        <w:t>ICA</w:t>
      </w:r>
      <w:r w:rsidR="0050690F" w:rsidRPr="00454CA5">
        <w:rPr>
          <w:rFonts w:ascii="Arial" w:hAnsi="Arial" w:cs="Arial"/>
          <w:bCs/>
        </w:rPr>
        <w:t>), setting out broad decision making contours, which will be binding on all lenders. Foreign creditors can also become a party to the ICA and participate in the resolution process.</w:t>
      </w:r>
    </w:p>
    <w:p w14:paraId="566A2E11" w14:textId="7BE5E922" w:rsidR="00282ECB" w:rsidRPr="00454CA5" w:rsidRDefault="007D257A" w:rsidP="00942B82">
      <w:pPr>
        <w:pStyle w:val="ListParagraph"/>
        <w:ind w:left="1134"/>
        <w:contextualSpacing w:val="0"/>
        <w:jc w:val="both"/>
        <w:rPr>
          <w:rFonts w:ascii="Arial" w:eastAsia="Yu Gothic" w:hAnsi="Arial" w:cs="Arial"/>
        </w:rPr>
      </w:pPr>
      <w:r w:rsidRPr="00454CA5">
        <w:rPr>
          <w:rFonts w:ascii="Arial" w:hAnsi="Arial" w:cs="Arial"/>
        </w:rPr>
        <w:t>On the other hand</w:t>
      </w:r>
      <w:r w:rsidR="00360255" w:rsidRPr="00454CA5">
        <w:rPr>
          <w:rFonts w:ascii="Arial" w:hAnsi="Arial" w:cs="Arial"/>
        </w:rPr>
        <w:t xml:space="preserve">, </w:t>
      </w:r>
      <w:r w:rsidRPr="00454CA5">
        <w:rPr>
          <w:rFonts w:ascii="Arial" w:hAnsi="Arial" w:cs="Arial"/>
        </w:rPr>
        <w:t>t</w:t>
      </w:r>
      <w:r w:rsidR="0026173C" w:rsidRPr="00454CA5">
        <w:rPr>
          <w:rFonts w:ascii="Arial" w:hAnsi="Arial" w:cs="Arial"/>
          <w:lang w:val="en-US"/>
        </w:rPr>
        <w:t>he insolvency framework in India was overhauled 2016 with the introduction of the</w:t>
      </w:r>
      <w:r w:rsidR="00712EC9" w:rsidRPr="00454CA5">
        <w:rPr>
          <w:rFonts w:ascii="Arial" w:hAnsi="Arial" w:cs="Arial"/>
          <w:lang w:val="en-US"/>
        </w:rPr>
        <w:t xml:space="preserve"> (Indian)</w:t>
      </w:r>
      <w:r w:rsidR="0026173C" w:rsidRPr="00454CA5">
        <w:rPr>
          <w:rFonts w:ascii="Arial" w:hAnsi="Arial" w:cs="Arial"/>
          <w:lang w:val="en-US"/>
        </w:rPr>
        <w:t xml:space="preserve"> Insolvency and Bankruptcy Code, 2016 (</w:t>
      </w:r>
      <w:r w:rsidR="0026173C" w:rsidRPr="00454CA5">
        <w:rPr>
          <w:rFonts w:ascii="Arial" w:hAnsi="Arial" w:cs="Arial"/>
          <w:b/>
          <w:bCs/>
          <w:lang w:val="en-US"/>
        </w:rPr>
        <w:t>Insolvency Code</w:t>
      </w:r>
      <w:r w:rsidR="0026173C" w:rsidRPr="00454CA5">
        <w:rPr>
          <w:rFonts w:ascii="Arial" w:hAnsi="Arial" w:cs="Arial"/>
          <w:lang w:val="en-US"/>
        </w:rPr>
        <w:t>)</w:t>
      </w:r>
      <w:r w:rsidR="00F007DD" w:rsidRPr="00454CA5">
        <w:rPr>
          <w:rFonts w:ascii="Arial" w:hAnsi="Arial" w:cs="Arial"/>
          <w:lang w:val="en-US"/>
        </w:rPr>
        <w:t xml:space="preserve"> which provides for framework for resolution of a corporate entity on a going concern basis. While </w:t>
      </w:r>
      <w:r w:rsidR="00B56CBD" w:rsidRPr="00454CA5">
        <w:rPr>
          <w:rFonts w:ascii="Arial" w:hAnsi="Arial" w:cs="Arial"/>
          <w:lang w:val="en-US"/>
        </w:rPr>
        <w:t>resolution under</w:t>
      </w:r>
      <w:r w:rsidR="00973AE7" w:rsidRPr="00454CA5">
        <w:rPr>
          <w:rFonts w:ascii="Arial" w:hAnsi="Arial" w:cs="Arial"/>
          <w:lang w:val="en-US"/>
        </w:rPr>
        <w:t xml:space="preserve"> Insolvency Code </w:t>
      </w:r>
      <w:r w:rsidR="00942B82" w:rsidRPr="00454CA5">
        <w:rPr>
          <w:rFonts w:ascii="Arial" w:hAnsi="Arial" w:cs="Arial"/>
          <w:lang w:val="en-US"/>
        </w:rPr>
        <w:t xml:space="preserve">has been </w:t>
      </w:r>
      <w:r w:rsidR="001519B4" w:rsidRPr="00454CA5">
        <w:rPr>
          <w:rFonts w:ascii="Arial" w:hAnsi="Arial" w:cs="Arial"/>
          <w:lang w:val="en-US"/>
        </w:rPr>
        <w:t xml:space="preserve">a </w:t>
      </w:r>
      <w:r w:rsidR="00F653B9" w:rsidRPr="00454CA5">
        <w:rPr>
          <w:rFonts w:ascii="Arial" w:hAnsi="Arial" w:cs="Arial"/>
          <w:lang w:val="en-US"/>
        </w:rPr>
        <w:t xml:space="preserve">tremendous </w:t>
      </w:r>
      <w:r w:rsidR="001519B4" w:rsidRPr="00454CA5">
        <w:rPr>
          <w:rFonts w:ascii="Arial" w:hAnsi="Arial" w:cs="Arial"/>
          <w:lang w:val="en-US"/>
        </w:rPr>
        <w:t xml:space="preserve">success </w:t>
      </w:r>
      <w:r w:rsidR="00F653B9" w:rsidRPr="00454CA5">
        <w:rPr>
          <w:rFonts w:ascii="Arial" w:hAnsi="Arial" w:cs="Arial"/>
          <w:lang w:val="en-US"/>
        </w:rPr>
        <w:t>(</w:t>
      </w:r>
      <w:r w:rsidR="00942B82" w:rsidRPr="00454CA5">
        <w:rPr>
          <w:rFonts w:ascii="Arial" w:hAnsi="Arial" w:cs="Arial"/>
          <w:i/>
          <w:iCs/>
          <w:lang w:val="en-US"/>
        </w:rPr>
        <w:t xml:space="preserve">such that </w:t>
      </w:r>
      <w:r w:rsidR="00282ECB" w:rsidRPr="00454CA5">
        <w:rPr>
          <w:rFonts w:ascii="Arial" w:eastAsia="Yu Gothic" w:hAnsi="Arial" w:cs="Arial"/>
          <w:i/>
          <w:iCs/>
        </w:rPr>
        <w:t xml:space="preserve">net non-performing assets ratio </w:t>
      </w:r>
      <w:r w:rsidR="003D5915" w:rsidRPr="00454CA5">
        <w:rPr>
          <w:rFonts w:ascii="Arial" w:eastAsia="Yu Gothic" w:hAnsi="Arial" w:cs="Arial"/>
          <w:i/>
          <w:iCs/>
        </w:rPr>
        <w:t xml:space="preserve">for banks </w:t>
      </w:r>
      <w:r w:rsidR="00282ECB" w:rsidRPr="00454CA5">
        <w:rPr>
          <w:rFonts w:ascii="Arial" w:eastAsia="Yu Gothic" w:hAnsi="Arial" w:cs="Arial"/>
          <w:i/>
          <w:iCs/>
        </w:rPr>
        <w:t>has dropped to a ten-year low of 1.3 per cent of total assets, paving the way for a well-capitalised banking secto</w:t>
      </w:r>
      <w:r w:rsidR="00282ECB" w:rsidRPr="00454CA5">
        <w:rPr>
          <w:rFonts w:ascii="Arial" w:eastAsia="Yu Gothic" w:hAnsi="Arial" w:cs="Arial"/>
        </w:rPr>
        <w:t>r</w:t>
      </w:r>
      <w:r w:rsidR="00282ECB" w:rsidRPr="00454CA5">
        <w:rPr>
          <w:rStyle w:val="FootnoteReference"/>
          <w:rFonts w:ascii="Arial" w:eastAsia="Yu Gothic" w:hAnsi="Arial" w:cs="Arial"/>
        </w:rPr>
        <w:footnoteReference w:id="6"/>
      </w:r>
      <w:r w:rsidR="00F653B9" w:rsidRPr="00454CA5">
        <w:rPr>
          <w:rFonts w:ascii="Arial" w:eastAsia="Yu Gothic" w:hAnsi="Arial" w:cs="Arial"/>
        </w:rPr>
        <w:t xml:space="preserve">), there is a growing inclination </w:t>
      </w:r>
      <w:r w:rsidR="0035052F" w:rsidRPr="00454CA5">
        <w:rPr>
          <w:rFonts w:ascii="Arial" w:eastAsia="Yu Gothic" w:hAnsi="Arial" w:cs="Arial"/>
        </w:rPr>
        <w:t xml:space="preserve">amongst the </w:t>
      </w:r>
      <w:r w:rsidR="00F9258C" w:rsidRPr="00454CA5">
        <w:rPr>
          <w:rFonts w:ascii="Arial" w:eastAsia="Yu Gothic" w:hAnsi="Arial" w:cs="Arial"/>
        </w:rPr>
        <w:t xml:space="preserve">creditors </w:t>
      </w:r>
      <w:r w:rsidR="00BB44F4" w:rsidRPr="00454CA5">
        <w:rPr>
          <w:rFonts w:ascii="Arial" w:eastAsia="Yu Gothic" w:hAnsi="Arial" w:cs="Arial"/>
        </w:rPr>
        <w:t>towards informal restructuring</w:t>
      </w:r>
      <w:r w:rsidR="009C6292" w:rsidRPr="00454CA5">
        <w:rPr>
          <w:rFonts w:ascii="Arial" w:eastAsia="Yu Gothic" w:hAnsi="Arial" w:cs="Arial"/>
        </w:rPr>
        <w:t xml:space="preserve">, </w:t>
      </w:r>
      <w:r w:rsidR="00BB44F4" w:rsidRPr="00454CA5">
        <w:rPr>
          <w:rFonts w:ascii="Arial" w:eastAsia="Yu Gothic" w:hAnsi="Arial" w:cs="Arial"/>
        </w:rPr>
        <w:t>owing to judicial delays and backlogs</w:t>
      </w:r>
      <w:r w:rsidR="00CF463B" w:rsidRPr="00454CA5">
        <w:rPr>
          <w:rFonts w:ascii="Arial" w:eastAsia="Yu Gothic" w:hAnsi="Arial" w:cs="Arial"/>
        </w:rPr>
        <w:t xml:space="preserve">. </w:t>
      </w:r>
    </w:p>
    <w:p w14:paraId="2CCAF8D9" w14:textId="733CF78B" w:rsidR="00A3314D" w:rsidRPr="00454CA5" w:rsidRDefault="00F8214E" w:rsidP="004D6CCD">
      <w:pPr>
        <w:pStyle w:val="ListParagraph"/>
        <w:numPr>
          <w:ilvl w:val="0"/>
          <w:numId w:val="3"/>
        </w:numPr>
        <w:spacing w:line="240" w:lineRule="auto"/>
        <w:ind w:left="1134" w:hanging="567"/>
        <w:contextualSpacing w:val="0"/>
        <w:jc w:val="both"/>
        <w:rPr>
          <w:rFonts w:ascii="Arial" w:hAnsi="Arial" w:cs="Arial"/>
          <w:i/>
          <w:iCs/>
          <w:lang w:val="en-US"/>
        </w:rPr>
      </w:pPr>
      <w:r w:rsidRPr="00454CA5">
        <w:rPr>
          <w:rFonts w:ascii="Arial" w:hAnsi="Arial" w:cs="Arial"/>
          <w:i/>
          <w:iCs/>
          <w:lang w:val="en-US"/>
        </w:rPr>
        <w:t>Customized</w:t>
      </w:r>
      <w:r w:rsidR="000A7188" w:rsidRPr="00454CA5">
        <w:rPr>
          <w:rFonts w:ascii="Arial" w:hAnsi="Arial" w:cs="Arial"/>
          <w:i/>
          <w:iCs/>
          <w:lang w:val="en-US"/>
        </w:rPr>
        <w:t xml:space="preserve"> resolution</w:t>
      </w:r>
    </w:p>
    <w:p w14:paraId="04F18536" w14:textId="71F01A42" w:rsidR="00FE78B1" w:rsidRPr="00454CA5" w:rsidRDefault="003A36D3" w:rsidP="00776876">
      <w:pPr>
        <w:pStyle w:val="ListParagraph"/>
        <w:spacing w:line="240" w:lineRule="auto"/>
        <w:ind w:left="1134"/>
        <w:contextualSpacing w:val="0"/>
        <w:jc w:val="both"/>
        <w:rPr>
          <w:rFonts w:ascii="Arial" w:hAnsi="Arial" w:cs="Arial"/>
          <w:lang w:val="en-US"/>
        </w:rPr>
      </w:pPr>
      <w:r w:rsidRPr="00454CA5">
        <w:rPr>
          <w:rFonts w:ascii="Arial" w:hAnsi="Arial" w:cs="Arial"/>
          <w:lang w:val="en-US"/>
        </w:rPr>
        <w:t xml:space="preserve">One of </w:t>
      </w:r>
      <w:r w:rsidR="00594F41" w:rsidRPr="00454CA5">
        <w:rPr>
          <w:rFonts w:ascii="Arial" w:hAnsi="Arial" w:cs="Arial"/>
          <w:lang w:val="en-US"/>
        </w:rPr>
        <w:t xml:space="preserve">the </w:t>
      </w:r>
      <w:r w:rsidRPr="00454CA5">
        <w:rPr>
          <w:rFonts w:ascii="Arial" w:hAnsi="Arial" w:cs="Arial"/>
          <w:lang w:val="en-US"/>
        </w:rPr>
        <w:t>key aspect</w:t>
      </w:r>
      <w:r w:rsidR="00F50DCF" w:rsidRPr="00454CA5">
        <w:rPr>
          <w:rFonts w:ascii="Arial" w:hAnsi="Arial" w:cs="Arial"/>
          <w:lang w:val="en-US"/>
        </w:rPr>
        <w:t>s</w:t>
      </w:r>
      <w:r w:rsidRPr="00454CA5">
        <w:rPr>
          <w:rFonts w:ascii="Arial" w:hAnsi="Arial" w:cs="Arial"/>
          <w:lang w:val="en-US"/>
        </w:rPr>
        <w:t xml:space="preserve"> of restructuring in general (be it formal or informal) </w:t>
      </w:r>
      <w:r w:rsidR="003D7C77" w:rsidRPr="00454CA5">
        <w:rPr>
          <w:rFonts w:ascii="Arial" w:hAnsi="Arial" w:cs="Arial"/>
          <w:lang w:val="en-US"/>
        </w:rPr>
        <w:t xml:space="preserve">is that there </w:t>
      </w:r>
      <w:r w:rsidR="000F0D86" w:rsidRPr="00454CA5">
        <w:rPr>
          <w:rFonts w:ascii="Arial" w:hAnsi="Arial" w:cs="Arial"/>
          <w:lang w:val="en-US"/>
        </w:rPr>
        <w:t>can be</w:t>
      </w:r>
      <w:r w:rsidR="003D7C77" w:rsidRPr="00454CA5">
        <w:rPr>
          <w:rFonts w:ascii="Arial" w:hAnsi="Arial" w:cs="Arial"/>
          <w:lang w:val="en-US"/>
        </w:rPr>
        <w:t xml:space="preserve"> no </w:t>
      </w:r>
      <w:r w:rsidR="003D7C77" w:rsidRPr="00454CA5">
        <w:rPr>
          <w:rFonts w:ascii="Arial" w:hAnsi="Arial" w:cs="Arial"/>
          <w:i/>
          <w:iCs/>
          <w:lang w:val="en-US"/>
        </w:rPr>
        <w:t>‘on size fits all</w:t>
      </w:r>
      <w:r w:rsidR="003D7C77" w:rsidRPr="00454CA5">
        <w:rPr>
          <w:rFonts w:ascii="Arial" w:hAnsi="Arial" w:cs="Arial"/>
          <w:lang w:val="en-US"/>
        </w:rPr>
        <w:t>’ approach</w:t>
      </w:r>
      <w:r w:rsidR="002C2A81" w:rsidRPr="00454CA5">
        <w:rPr>
          <w:rFonts w:ascii="Arial" w:hAnsi="Arial" w:cs="Arial"/>
          <w:lang w:val="en-US"/>
        </w:rPr>
        <w:t xml:space="preserve"> and the </w:t>
      </w:r>
      <w:r w:rsidR="00FA56B4" w:rsidRPr="00454CA5">
        <w:rPr>
          <w:rFonts w:ascii="Arial" w:hAnsi="Arial" w:cs="Arial"/>
          <w:lang w:val="en-US"/>
        </w:rPr>
        <w:t>necessar</w:t>
      </w:r>
      <w:r w:rsidR="00885C16" w:rsidRPr="00454CA5">
        <w:rPr>
          <w:rFonts w:ascii="Arial" w:hAnsi="Arial" w:cs="Arial"/>
          <w:lang w:val="en-US"/>
        </w:rPr>
        <w:t xml:space="preserve">y </w:t>
      </w:r>
      <w:r w:rsidR="002C2A81" w:rsidRPr="00454CA5">
        <w:rPr>
          <w:rFonts w:ascii="Arial" w:hAnsi="Arial" w:cs="Arial"/>
          <w:lang w:val="en-US"/>
        </w:rPr>
        <w:t xml:space="preserve">steps </w:t>
      </w:r>
      <w:r w:rsidR="00B72F47" w:rsidRPr="00454CA5">
        <w:rPr>
          <w:rFonts w:ascii="Arial" w:hAnsi="Arial" w:cs="Arial"/>
          <w:lang w:val="en-US"/>
        </w:rPr>
        <w:t>ought</w:t>
      </w:r>
      <w:r w:rsidR="002C2A81" w:rsidRPr="00454CA5">
        <w:rPr>
          <w:rFonts w:ascii="Arial" w:hAnsi="Arial" w:cs="Arial"/>
          <w:lang w:val="en-US"/>
        </w:rPr>
        <w:t xml:space="preserve"> to be </w:t>
      </w:r>
      <w:r w:rsidR="002C2A81" w:rsidRPr="00454CA5">
        <w:rPr>
          <w:rFonts w:ascii="Arial" w:hAnsi="Arial" w:cs="Arial"/>
          <w:lang w:val="en-US"/>
        </w:rPr>
        <w:lastRenderedPageBreak/>
        <w:t xml:space="preserve">undertaken on a case-by-case basis. </w:t>
      </w:r>
      <w:r w:rsidR="00017608" w:rsidRPr="00454CA5">
        <w:rPr>
          <w:rFonts w:ascii="Arial" w:hAnsi="Arial" w:cs="Arial"/>
          <w:lang w:val="en-US"/>
        </w:rPr>
        <w:t xml:space="preserve">An out-of-court restructuring </w:t>
      </w:r>
      <w:r w:rsidR="00311B1B" w:rsidRPr="00454CA5">
        <w:rPr>
          <w:rFonts w:ascii="Arial" w:hAnsi="Arial" w:cs="Arial"/>
          <w:lang w:val="en-US"/>
        </w:rPr>
        <w:t>gives</w:t>
      </w:r>
      <w:r w:rsidR="00017608" w:rsidRPr="00454CA5">
        <w:rPr>
          <w:rFonts w:ascii="Arial" w:hAnsi="Arial" w:cs="Arial"/>
          <w:lang w:val="en-US"/>
        </w:rPr>
        <w:t xml:space="preserve"> adequate flexibility</w:t>
      </w:r>
      <w:r w:rsidR="007673FA" w:rsidRPr="00454CA5">
        <w:rPr>
          <w:rFonts w:ascii="Arial" w:hAnsi="Arial" w:cs="Arial"/>
          <w:lang w:val="en-US"/>
        </w:rPr>
        <w:t xml:space="preserve"> to the </w:t>
      </w:r>
      <w:r w:rsidR="00C87FCD" w:rsidRPr="00454CA5">
        <w:rPr>
          <w:rFonts w:ascii="Arial" w:hAnsi="Arial" w:cs="Arial"/>
          <w:lang w:val="en-US"/>
        </w:rPr>
        <w:t xml:space="preserve">relevant </w:t>
      </w:r>
      <w:r w:rsidR="007673FA" w:rsidRPr="00454CA5">
        <w:rPr>
          <w:rFonts w:ascii="Arial" w:hAnsi="Arial" w:cs="Arial"/>
          <w:lang w:val="en-US"/>
        </w:rPr>
        <w:t>stakeholders to</w:t>
      </w:r>
      <w:r w:rsidR="009E5A82" w:rsidRPr="00454CA5">
        <w:rPr>
          <w:rFonts w:ascii="Arial" w:hAnsi="Arial" w:cs="Arial"/>
          <w:lang w:val="en-US"/>
        </w:rPr>
        <w:t xml:space="preserve"> commercially</w:t>
      </w:r>
      <w:r w:rsidR="007673FA" w:rsidRPr="00454CA5">
        <w:rPr>
          <w:rFonts w:ascii="Arial" w:hAnsi="Arial" w:cs="Arial"/>
          <w:lang w:val="en-US"/>
        </w:rPr>
        <w:t xml:space="preserve"> negotiate and </w:t>
      </w:r>
      <w:r w:rsidR="00CE7F90" w:rsidRPr="00454CA5">
        <w:rPr>
          <w:rFonts w:ascii="Arial" w:hAnsi="Arial" w:cs="Arial"/>
          <w:lang w:val="en-US"/>
        </w:rPr>
        <w:t xml:space="preserve">mutually </w:t>
      </w:r>
      <w:r w:rsidR="007673FA" w:rsidRPr="00454CA5">
        <w:rPr>
          <w:rFonts w:ascii="Arial" w:hAnsi="Arial" w:cs="Arial"/>
          <w:lang w:val="en-US"/>
        </w:rPr>
        <w:t xml:space="preserve">agree </w:t>
      </w:r>
      <w:r w:rsidR="00F50DCF" w:rsidRPr="00454CA5">
        <w:rPr>
          <w:rFonts w:ascii="Arial" w:hAnsi="Arial" w:cs="Arial"/>
          <w:lang w:val="en-US"/>
        </w:rPr>
        <w:t xml:space="preserve">on a customized </w:t>
      </w:r>
      <w:r w:rsidR="00F83D3E" w:rsidRPr="00454CA5">
        <w:rPr>
          <w:rFonts w:ascii="Arial" w:hAnsi="Arial" w:cs="Arial"/>
          <w:lang w:val="en-US"/>
        </w:rPr>
        <w:t>solut</w:t>
      </w:r>
      <w:r w:rsidR="004560B6" w:rsidRPr="00454CA5">
        <w:rPr>
          <w:rFonts w:ascii="Arial" w:hAnsi="Arial" w:cs="Arial"/>
          <w:lang w:val="en-US"/>
        </w:rPr>
        <w:t xml:space="preserve">ion. </w:t>
      </w:r>
      <w:r w:rsidR="00920894" w:rsidRPr="00454CA5">
        <w:rPr>
          <w:rFonts w:ascii="Arial" w:hAnsi="Arial" w:cs="Arial"/>
          <w:lang w:val="en-US"/>
        </w:rPr>
        <w:t xml:space="preserve"> </w:t>
      </w:r>
    </w:p>
    <w:p w14:paraId="760D8D2E" w14:textId="18E5BFE7" w:rsidR="00920894" w:rsidRPr="00454CA5" w:rsidRDefault="00920894" w:rsidP="00776876">
      <w:pPr>
        <w:pStyle w:val="ListParagraph"/>
        <w:ind w:left="1134"/>
        <w:contextualSpacing w:val="0"/>
        <w:jc w:val="both"/>
        <w:rPr>
          <w:rFonts w:ascii="Arial" w:hAnsi="Arial" w:cs="Arial"/>
          <w:lang w:val="en-US"/>
        </w:rPr>
      </w:pPr>
      <w:r w:rsidRPr="00454CA5">
        <w:rPr>
          <w:rFonts w:ascii="Arial" w:hAnsi="Arial" w:cs="Arial"/>
          <w:lang w:val="en-US"/>
        </w:rPr>
        <w:t xml:space="preserve">It may also be a plausible </w:t>
      </w:r>
      <w:r w:rsidR="004560B6" w:rsidRPr="00454CA5">
        <w:rPr>
          <w:rFonts w:ascii="Arial" w:hAnsi="Arial" w:cs="Arial"/>
          <w:lang w:val="en-US"/>
        </w:rPr>
        <w:t>s</w:t>
      </w:r>
      <w:r w:rsidRPr="00454CA5">
        <w:rPr>
          <w:rFonts w:ascii="Arial" w:hAnsi="Arial" w:cs="Arial"/>
          <w:lang w:val="en-US"/>
        </w:rPr>
        <w:t xml:space="preserve">olution, where the legal framework provides for </w:t>
      </w:r>
      <w:r w:rsidR="00111888" w:rsidRPr="00454CA5">
        <w:rPr>
          <w:rFonts w:ascii="Arial" w:hAnsi="Arial" w:cs="Arial"/>
          <w:lang w:val="en-US"/>
        </w:rPr>
        <w:t xml:space="preserve">none or </w:t>
      </w:r>
      <w:r w:rsidRPr="00454CA5">
        <w:rPr>
          <w:rFonts w:ascii="Arial" w:hAnsi="Arial" w:cs="Arial"/>
          <w:lang w:val="en-US"/>
        </w:rPr>
        <w:t xml:space="preserve">limited measures for resolution and contemplates liquidation leading to </w:t>
      </w:r>
      <w:r w:rsidRPr="00454CA5">
        <w:rPr>
          <w:rFonts w:ascii="Arial" w:hAnsi="Arial" w:cs="Arial"/>
          <w:i/>
          <w:iCs/>
          <w:lang w:val="en-US"/>
        </w:rPr>
        <w:t>corporate death</w:t>
      </w:r>
      <w:r w:rsidRPr="00454CA5">
        <w:rPr>
          <w:rFonts w:ascii="Arial" w:hAnsi="Arial" w:cs="Arial"/>
          <w:lang w:val="en-US"/>
        </w:rPr>
        <w:t xml:space="preserve"> </w:t>
      </w:r>
      <w:r w:rsidR="008F5190" w:rsidRPr="00454CA5">
        <w:rPr>
          <w:rFonts w:ascii="Arial" w:hAnsi="Arial" w:cs="Arial"/>
          <w:lang w:val="en-US"/>
        </w:rPr>
        <w:t>of the organization</w:t>
      </w:r>
      <w:r w:rsidR="002368EF" w:rsidRPr="00454CA5">
        <w:rPr>
          <w:rFonts w:ascii="Arial" w:hAnsi="Arial" w:cs="Arial"/>
          <w:lang w:val="en-US"/>
        </w:rPr>
        <w:t xml:space="preserve"> and piece-meal</w:t>
      </w:r>
      <w:r w:rsidR="003D3616" w:rsidRPr="00454CA5">
        <w:rPr>
          <w:rFonts w:ascii="Arial" w:hAnsi="Arial" w:cs="Arial"/>
          <w:lang w:val="en-US"/>
        </w:rPr>
        <w:t xml:space="preserve"> sale of the assets. For instance, in India prior to the introduction of the Insolvency Code, the </w:t>
      </w:r>
      <w:r w:rsidR="00EE425C" w:rsidRPr="00454CA5">
        <w:rPr>
          <w:rFonts w:ascii="Arial" w:hAnsi="Arial" w:cs="Arial"/>
          <w:lang w:val="en-US"/>
        </w:rPr>
        <w:t>legal framework only</w:t>
      </w:r>
      <w:r w:rsidR="003D3616" w:rsidRPr="00454CA5">
        <w:rPr>
          <w:rFonts w:ascii="Arial" w:hAnsi="Arial" w:cs="Arial"/>
          <w:lang w:val="en-US"/>
        </w:rPr>
        <w:t xml:space="preserve"> provided for winding-up and liquidation of the </w:t>
      </w:r>
      <w:r w:rsidR="00C36A61" w:rsidRPr="00454CA5">
        <w:rPr>
          <w:rFonts w:ascii="Arial" w:hAnsi="Arial" w:cs="Arial"/>
          <w:lang w:val="en-US"/>
        </w:rPr>
        <w:t>corporate entities</w:t>
      </w:r>
      <w:r w:rsidR="00271A96" w:rsidRPr="00454CA5">
        <w:rPr>
          <w:rFonts w:ascii="Arial" w:hAnsi="Arial" w:cs="Arial"/>
          <w:lang w:val="en-US"/>
        </w:rPr>
        <w:t xml:space="preserve"> under the Companies Act, 1956/2013.</w:t>
      </w:r>
      <w:r w:rsidR="00AE1236" w:rsidRPr="00454CA5">
        <w:rPr>
          <w:rFonts w:ascii="Arial" w:hAnsi="Arial" w:cs="Arial"/>
          <w:lang w:val="en-US"/>
        </w:rPr>
        <w:t xml:space="preserve"> Liquidation in most of the cases may not be a desirable outcome when there are still chances for resolution of the underlying asset and such a scenario, informal restructuring </w:t>
      </w:r>
      <w:r w:rsidR="009F3AB2" w:rsidRPr="00454CA5">
        <w:rPr>
          <w:rFonts w:ascii="Arial" w:hAnsi="Arial" w:cs="Arial"/>
          <w:lang w:val="en-US"/>
        </w:rPr>
        <w:t xml:space="preserve">may prove to be an important tool. </w:t>
      </w:r>
    </w:p>
    <w:p w14:paraId="4230F72E" w14:textId="1EBEBE69" w:rsidR="0087398C" w:rsidRPr="00454CA5" w:rsidRDefault="0087398C" w:rsidP="0087398C">
      <w:pPr>
        <w:pStyle w:val="ListParagraph"/>
        <w:ind w:left="1134"/>
        <w:contextualSpacing w:val="0"/>
        <w:jc w:val="both"/>
        <w:rPr>
          <w:rFonts w:ascii="Arial" w:hAnsi="Arial" w:cs="Arial"/>
          <w:lang w:val="en-US"/>
        </w:rPr>
      </w:pPr>
      <w:r w:rsidRPr="00454CA5">
        <w:rPr>
          <w:rFonts w:ascii="Arial" w:eastAsia="Yu Gothic" w:hAnsi="Arial" w:cs="Arial"/>
        </w:rPr>
        <w:t>In respect of the extant case as well, the lenders in the Netherlands attempted to avoid liquidation owing to</w:t>
      </w:r>
      <w:r w:rsidR="0075379B" w:rsidRPr="00454CA5">
        <w:rPr>
          <w:rFonts w:ascii="Arial" w:eastAsia="Yu Gothic" w:hAnsi="Arial" w:cs="Arial"/>
        </w:rPr>
        <w:t xml:space="preserve">, amongst others, </w:t>
      </w:r>
      <w:r w:rsidRPr="00454CA5">
        <w:rPr>
          <w:rFonts w:ascii="Arial" w:eastAsia="Yu Gothic" w:hAnsi="Arial" w:cs="Arial"/>
        </w:rPr>
        <w:t>the fact that liquidation will yield low proceeds (a maximum of 55% of the total in outstanding debts)</w:t>
      </w:r>
      <w:r w:rsidR="001A0130" w:rsidRPr="00454CA5">
        <w:rPr>
          <w:rFonts w:ascii="Arial" w:eastAsia="Yu Gothic" w:hAnsi="Arial" w:cs="Arial"/>
        </w:rPr>
        <w:t xml:space="preserve">. It was therefore </w:t>
      </w:r>
      <w:r w:rsidR="00FC7D71" w:rsidRPr="00454CA5">
        <w:rPr>
          <w:rFonts w:ascii="Arial" w:eastAsia="Yu Gothic" w:hAnsi="Arial" w:cs="Arial"/>
        </w:rPr>
        <w:t>a</w:t>
      </w:r>
      <w:r w:rsidR="001A0130" w:rsidRPr="00454CA5">
        <w:rPr>
          <w:rFonts w:ascii="Arial" w:eastAsia="Yu Gothic" w:hAnsi="Arial" w:cs="Arial"/>
        </w:rPr>
        <w:t xml:space="preserve"> </w:t>
      </w:r>
      <w:r w:rsidR="00923CE1" w:rsidRPr="00454CA5">
        <w:rPr>
          <w:rFonts w:ascii="Arial" w:eastAsia="Yu Gothic" w:hAnsi="Arial" w:cs="Arial"/>
        </w:rPr>
        <w:t xml:space="preserve">preferred route </w:t>
      </w:r>
      <w:r w:rsidR="001A0130" w:rsidRPr="00454CA5">
        <w:rPr>
          <w:rFonts w:ascii="Arial" w:eastAsia="Yu Gothic" w:hAnsi="Arial" w:cs="Arial"/>
        </w:rPr>
        <w:t>to engage in discussions for out of court restructuring</w:t>
      </w:r>
      <w:r w:rsidR="00536EF6" w:rsidRPr="00454CA5">
        <w:rPr>
          <w:rFonts w:ascii="Arial" w:eastAsia="Yu Gothic" w:hAnsi="Arial" w:cs="Arial"/>
        </w:rPr>
        <w:t xml:space="preserve"> instead of </w:t>
      </w:r>
      <w:r w:rsidR="00C82714" w:rsidRPr="00454CA5">
        <w:rPr>
          <w:rFonts w:ascii="Arial" w:eastAsia="Yu Gothic" w:hAnsi="Arial" w:cs="Arial"/>
        </w:rPr>
        <w:t>opting for liquidation</w:t>
      </w:r>
      <w:r w:rsidR="001A0130" w:rsidRPr="00454CA5">
        <w:rPr>
          <w:rFonts w:ascii="Arial" w:eastAsia="Yu Gothic" w:hAnsi="Arial" w:cs="Arial"/>
        </w:rPr>
        <w:t xml:space="preserve">. </w:t>
      </w:r>
    </w:p>
    <w:p w14:paraId="2ED3571B" w14:textId="4DE6AC74" w:rsidR="006D4E3C" w:rsidRPr="00454CA5" w:rsidRDefault="006D4E3C" w:rsidP="004D6CCD">
      <w:pPr>
        <w:pStyle w:val="ListParagraph"/>
        <w:numPr>
          <w:ilvl w:val="0"/>
          <w:numId w:val="3"/>
        </w:numPr>
        <w:ind w:left="1134" w:hanging="567"/>
        <w:contextualSpacing w:val="0"/>
        <w:jc w:val="both"/>
        <w:rPr>
          <w:rFonts w:ascii="Arial" w:hAnsi="Arial" w:cs="Arial"/>
          <w:i/>
          <w:iCs/>
          <w:lang w:val="en-US"/>
        </w:rPr>
      </w:pPr>
      <w:r w:rsidRPr="00454CA5">
        <w:rPr>
          <w:rFonts w:ascii="Arial" w:hAnsi="Arial" w:cs="Arial"/>
          <w:i/>
          <w:iCs/>
          <w:lang w:val="en-US"/>
        </w:rPr>
        <w:t xml:space="preserve">Debtor-in-control </w:t>
      </w:r>
    </w:p>
    <w:p w14:paraId="2572B13D" w14:textId="7082FC03" w:rsidR="006D4E3C" w:rsidRPr="00454CA5" w:rsidRDefault="006D4E3C" w:rsidP="006D4E3C">
      <w:pPr>
        <w:pStyle w:val="ListParagraph"/>
        <w:ind w:left="1134"/>
        <w:contextualSpacing w:val="0"/>
        <w:jc w:val="both"/>
        <w:rPr>
          <w:rFonts w:ascii="Arial" w:hAnsi="Arial" w:cs="Arial"/>
          <w:lang w:val="en-US"/>
        </w:rPr>
      </w:pPr>
      <w:r w:rsidRPr="00454CA5">
        <w:rPr>
          <w:rFonts w:ascii="Arial" w:hAnsi="Arial" w:cs="Arial"/>
          <w:lang w:val="en-US"/>
        </w:rPr>
        <w:t>The Indian Insolvency Code is a creditor-in-control regime. Upon admission</w:t>
      </w:r>
      <w:r w:rsidR="000D13D8" w:rsidRPr="00454CA5">
        <w:rPr>
          <w:rFonts w:ascii="Arial" w:hAnsi="Arial" w:cs="Arial"/>
          <w:lang w:val="en-US"/>
        </w:rPr>
        <w:t xml:space="preserve"> by the adjudicating authority</w:t>
      </w:r>
      <w:r w:rsidRPr="00454CA5">
        <w:rPr>
          <w:rFonts w:ascii="Arial" w:hAnsi="Arial" w:cs="Arial"/>
          <w:lang w:val="en-US"/>
        </w:rPr>
        <w:t xml:space="preserve">, </w:t>
      </w:r>
      <w:r w:rsidR="005A34DD" w:rsidRPr="00454CA5">
        <w:rPr>
          <w:rFonts w:ascii="Arial" w:hAnsi="Arial" w:cs="Arial"/>
          <w:lang w:val="en-US"/>
        </w:rPr>
        <w:t>t</w:t>
      </w:r>
      <w:r w:rsidR="00AF4AC8" w:rsidRPr="00454CA5">
        <w:rPr>
          <w:rFonts w:ascii="Arial" w:hAnsi="Arial" w:cs="Arial"/>
          <w:lang w:val="en-US"/>
        </w:rPr>
        <w:t xml:space="preserve">he powers of the board of directors </w:t>
      </w:r>
      <w:r w:rsidR="00CC25A8" w:rsidRPr="00454CA5">
        <w:rPr>
          <w:rFonts w:ascii="Arial" w:hAnsi="Arial" w:cs="Arial"/>
          <w:lang w:val="en-US"/>
        </w:rPr>
        <w:t>are</w:t>
      </w:r>
      <w:r w:rsidR="00AF4AC8" w:rsidRPr="00454CA5">
        <w:rPr>
          <w:rFonts w:ascii="Arial" w:hAnsi="Arial" w:cs="Arial"/>
          <w:lang w:val="en-US"/>
        </w:rPr>
        <w:t xml:space="preserve"> suspended and are exercised by </w:t>
      </w:r>
      <w:r w:rsidR="00B154C9" w:rsidRPr="00454CA5">
        <w:rPr>
          <w:rFonts w:ascii="Arial" w:hAnsi="Arial" w:cs="Arial"/>
          <w:lang w:val="en-US"/>
        </w:rPr>
        <w:t>a court-appointed insolvency professional</w:t>
      </w:r>
      <w:r w:rsidR="00FF2F1F" w:rsidRPr="00454CA5">
        <w:rPr>
          <w:rFonts w:ascii="Arial" w:hAnsi="Arial" w:cs="Arial"/>
          <w:lang w:val="en-US"/>
        </w:rPr>
        <w:t xml:space="preserve">, </w:t>
      </w:r>
      <w:r w:rsidR="00B154C9" w:rsidRPr="00454CA5">
        <w:rPr>
          <w:rFonts w:ascii="Arial" w:hAnsi="Arial" w:cs="Arial"/>
          <w:lang w:val="en-US"/>
        </w:rPr>
        <w:t>until the conclusion of the corporate insolvency resolution process or liquidation (as the case may be).</w:t>
      </w:r>
      <w:r w:rsidR="00EA6AD7" w:rsidRPr="00454CA5">
        <w:rPr>
          <w:rFonts w:ascii="Arial" w:hAnsi="Arial" w:cs="Arial"/>
          <w:lang w:val="en-US"/>
        </w:rPr>
        <w:t xml:space="preserve"> </w:t>
      </w:r>
      <w:r w:rsidR="00D704FE" w:rsidRPr="00454CA5">
        <w:rPr>
          <w:rFonts w:ascii="Arial" w:hAnsi="Arial" w:cs="Arial"/>
          <w:lang w:val="en-US"/>
        </w:rPr>
        <w:t>Amongst other, t</w:t>
      </w:r>
      <w:r w:rsidR="00EA6AD7" w:rsidRPr="00454CA5">
        <w:rPr>
          <w:rFonts w:ascii="Arial" w:hAnsi="Arial" w:cs="Arial"/>
          <w:lang w:val="en-US"/>
        </w:rPr>
        <w:t xml:space="preserve">he insolvency professional constitutes a committee of creditors comprising of the (unrelated) financial creditors, which is the key-decision making body. </w:t>
      </w:r>
      <w:r w:rsidR="006434B6" w:rsidRPr="00454CA5">
        <w:rPr>
          <w:rFonts w:ascii="Arial" w:hAnsi="Arial" w:cs="Arial"/>
          <w:lang w:val="en-US"/>
        </w:rPr>
        <w:t>T</w:t>
      </w:r>
      <w:r w:rsidR="00BF5044" w:rsidRPr="00454CA5">
        <w:rPr>
          <w:rFonts w:ascii="Arial" w:hAnsi="Arial" w:cs="Arial"/>
          <w:lang w:val="en-US"/>
        </w:rPr>
        <w:t xml:space="preserve">he Insolvency Code </w:t>
      </w:r>
      <w:r w:rsidR="006434B6" w:rsidRPr="00454CA5">
        <w:rPr>
          <w:rFonts w:ascii="Arial" w:hAnsi="Arial" w:cs="Arial"/>
          <w:lang w:val="en-US"/>
        </w:rPr>
        <w:t xml:space="preserve">also </w:t>
      </w:r>
      <w:r w:rsidR="00BF5044" w:rsidRPr="00454CA5">
        <w:rPr>
          <w:rFonts w:ascii="Arial" w:hAnsi="Arial" w:cs="Arial"/>
          <w:lang w:val="en-US"/>
        </w:rPr>
        <w:t>lays down</w:t>
      </w:r>
      <w:r w:rsidR="003E5470" w:rsidRPr="00454CA5">
        <w:rPr>
          <w:rFonts w:ascii="Arial" w:hAnsi="Arial" w:cs="Arial"/>
          <w:lang w:val="en-US"/>
        </w:rPr>
        <w:t xml:space="preserve"> eligibility criteria for the applicants who can submit their bid for participation</w:t>
      </w:r>
      <w:r w:rsidR="00B85C53" w:rsidRPr="00454CA5">
        <w:rPr>
          <w:rFonts w:ascii="Arial" w:hAnsi="Arial" w:cs="Arial"/>
          <w:lang w:val="en-US"/>
        </w:rPr>
        <w:t xml:space="preserve"> in resolution process to buy the corporate entity on a going concern basis. Amongst others, </w:t>
      </w:r>
      <w:r w:rsidR="00360160" w:rsidRPr="00454CA5">
        <w:rPr>
          <w:rFonts w:ascii="Arial" w:hAnsi="Arial" w:cs="Arial"/>
          <w:lang w:val="en-US"/>
        </w:rPr>
        <w:t>certain</w:t>
      </w:r>
      <w:r w:rsidR="00B85C53" w:rsidRPr="00454CA5">
        <w:rPr>
          <w:rFonts w:ascii="Arial" w:hAnsi="Arial" w:cs="Arial"/>
          <w:lang w:val="en-US"/>
        </w:rPr>
        <w:t xml:space="preserve"> recalcitrant promoters are prohibited from submitting </w:t>
      </w:r>
      <w:r w:rsidR="008D5D2A" w:rsidRPr="00454CA5">
        <w:rPr>
          <w:rFonts w:ascii="Arial" w:hAnsi="Arial" w:cs="Arial"/>
          <w:lang w:val="en-US"/>
        </w:rPr>
        <w:t>the bid</w:t>
      </w:r>
      <w:r w:rsidR="00CC0473" w:rsidRPr="00454CA5">
        <w:rPr>
          <w:rFonts w:ascii="Arial" w:hAnsi="Arial" w:cs="Arial"/>
          <w:lang w:val="en-US"/>
        </w:rPr>
        <w:t>.</w:t>
      </w:r>
    </w:p>
    <w:p w14:paraId="67AB5CD2" w14:textId="6C7639EC" w:rsidR="00FE4A5E" w:rsidRPr="00454CA5" w:rsidRDefault="00B154C9" w:rsidP="006D4E3C">
      <w:pPr>
        <w:pStyle w:val="ListParagraph"/>
        <w:ind w:left="1134"/>
        <w:contextualSpacing w:val="0"/>
        <w:jc w:val="both"/>
        <w:rPr>
          <w:rFonts w:ascii="Arial" w:hAnsi="Arial" w:cs="Arial"/>
          <w:lang w:val="en-US"/>
        </w:rPr>
      </w:pPr>
      <w:r w:rsidRPr="00454CA5">
        <w:rPr>
          <w:rFonts w:ascii="Arial" w:hAnsi="Arial" w:cs="Arial"/>
          <w:lang w:val="en-US"/>
        </w:rPr>
        <w:t xml:space="preserve">In most of the cases, where the insolvency is on account </w:t>
      </w:r>
      <w:r w:rsidR="00B95D6E" w:rsidRPr="00454CA5">
        <w:rPr>
          <w:rFonts w:ascii="Arial" w:hAnsi="Arial" w:cs="Arial"/>
          <w:lang w:val="en-US"/>
        </w:rPr>
        <w:t xml:space="preserve">on external factors (such as </w:t>
      </w:r>
      <w:r w:rsidR="0016012E" w:rsidRPr="00454CA5">
        <w:rPr>
          <w:rFonts w:ascii="Arial" w:hAnsi="Arial" w:cs="Arial"/>
          <w:lang w:val="en-US"/>
        </w:rPr>
        <w:t xml:space="preserve">impact of </w:t>
      </w:r>
      <w:r w:rsidR="00B95D6E" w:rsidRPr="00454CA5">
        <w:rPr>
          <w:rFonts w:ascii="Arial" w:hAnsi="Arial" w:cs="Arial"/>
          <w:lang w:val="en-US"/>
        </w:rPr>
        <w:t>Covid-19 pandemic)</w:t>
      </w:r>
      <w:r w:rsidR="003F6CEB" w:rsidRPr="00454CA5">
        <w:rPr>
          <w:rFonts w:ascii="Arial" w:hAnsi="Arial" w:cs="Arial"/>
          <w:lang w:val="en-US"/>
        </w:rPr>
        <w:t xml:space="preserve">, the creditors may not necessarily want to oust the </w:t>
      </w:r>
      <w:r w:rsidR="002F612D" w:rsidRPr="00454CA5">
        <w:rPr>
          <w:rFonts w:ascii="Arial" w:hAnsi="Arial" w:cs="Arial"/>
          <w:lang w:val="en-US"/>
        </w:rPr>
        <w:t>management of the debtor who had</w:t>
      </w:r>
      <w:r w:rsidR="00450F1F" w:rsidRPr="00454CA5">
        <w:rPr>
          <w:rFonts w:ascii="Arial" w:hAnsi="Arial" w:cs="Arial"/>
          <w:lang w:val="en-US"/>
        </w:rPr>
        <w:t xml:space="preserve"> taken reasonable measures and the insolvency was on account of reasons beyond control of the organization. In such a scenario, </w:t>
      </w:r>
      <w:r w:rsidR="001F0AC2" w:rsidRPr="00454CA5">
        <w:rPr>
          <w:rFonts w:ascii="Arial" w:hAnsi="Arial" w:cs="Arial"/>
          <w:lang w:val="en-US"/>
        </w:rPr>
        <w:t>it would be more rational to let the</w:t>
      </w:r>
      <w:r w:rsidR="00745E9D" w:rsidRPr="00454CA5">
        <w:rPr>
          <w:rFonts w:ascii="Arial" w:hAnsi="Arial" w:cs="Arial"/>
          <w:lang w:val="en-US"/>
        </w:rPr>
        <w:t xml:space="preserve"> (co-operating)</w:t>
      </w:r>
      <w:r w:rsidR="001F0AC2" w:rsidRPr="00454CA5">
        <w:rPr>
          <w:rFonts w:ascii="Arial" w:hAnsi="Arial" w:cs="Arial"/>
          <w:lang w:val="en-US"/>
        </w:rPr>
        <w:t xml:space="preserve"> </w:t>
      </w:r>
      <w:r w:rsidR="00683EB8" w:rsidRPr="00454CA5">
        <w:rPr>
          <w:rFonts w:ascii="Arial" w:hAnsi="Arial" w:cs="Arial"/>
          <w:lang w:val="en-US"/>
        </w:rPr>
        <w:t xml:space="preserve">management continue </w:t>
      </w:r>
      <w:r w:rsidR="00FF7248" w:rsidRPr="00454CA5">
        <w:rPr>
          <w:rFonts w:ascii="Arial" w:hAnsi="Arial" w:cs="Arial"/>
          <w:lang w:val="en-US"/>
        </w:rPr>
        <w:t xml:space="preserve">while </w:t>
      </w:r>
      <w:r w:rsidR="00BA3A98" w:rsidRPr="00454CA5">
        <w:rPr>
          <w:rFonts w:ascii="Arial" w:hAnsi="Arial" w:cs="Arial"/>
          <w:lang w:val="en-US"/>
        </w:rPr>
        <w:t>various</w:t>
      </w:r>
      <w:r w:rsidR="00FF7248" w:rsidRPr="00454CA5">
        <w:rPr>
          <w:rFonts w:ascii="Arial" w:hAnsi="Arial" w:cs="Arial"/>
          <w:lang w:val="en-US"/>
        </w:rPr>
        <w:t xml:space="preserve"> measures </w:t>
      </w:r>
      <w:r w:rsidR="00BA3A98" w:rsidRPr="00454CA5">
        <w:rPr>
          <w:rFonts w:ascii="Arial" w:hAnsi="Arial" w:cs="Arial"/>
          <w:lang w:val="en-US"/>
        </w:rPr>
        <w:t xml:space="preserve">for resolution are </w:t>
      </w:r>
      <w:r w:rsidR="00FF7248" w:rsidRPr="00454CA5">
        <w:rPr>
          <w:rFonts w:ascii="Arial" w:hAnsi="Arial" w:cs="Arial"/>
          <w:lang w:val="en-US"/>
        </w:rPr>
        <w:t>implemented</w:t>
      </w:r>
      <w:r w:rsidR="00400D02" w:rsidRPr="00454CA5">
        <w:rPr>
          <w:rFonts w:ascii="Arial" w:hAnsi="Arial" w:cs="Arial"/>
          <w:lang w:val="en-US"/>
        </w:rPr>
        <w:t xml:space="preserve">. Recently, </w:t>
      </w:r>
      <w:r w:rsidR="00D21C0C" w:rsidRPr="00454CA5">
        <w:rPr>
          <w:rFonts w:ascii="Arial" w:hAnsi="Arial" w:cs="Arial"/>
          <w:lang w:val="en-US"/>
        </w:rPr>
        <w:t xml:space="preserve">in 2022, </w:t>
      </w:r>
      <w:r w:rsidR="00546F39" w:rsidRPr="00454CA5">
        <w:rPr>
          <w:rFonts w:ascii="Arial" w:hAnsi="Arial" w:cs="Arial"/>
          <w:lang w:val="en-US"/>
        </w:rPr>
        <w:t>Hindustan Construction Company Limited (aggregate debt of INR 10,000 crore approximately</w:t>
      </w:r>
      <w:r w:rsidR="009735FB" w:rsidRPr="00454CA5">
        <w:rPr>
          <w:rFonts w:ascii="Arial" w:hAnsi="Arial" w:cs="Arial"/>
          <w:lang w:val="en-US"/>
        </w:rPr>
        <w:t>)</w:t>
      </w:r>
      <w:r w:rsidR="00546F39" w:rsidRPr="00454CA5">
        <w:rPr>
          <w:rFonts w:ascii="Arial" w:hAnsi="Arial" w:cs="Arial"/>
          <w:lang w:val="en-US"/>
        </w:rPr>
        <w:t xml:space="preserve"> </w:t>
      </w:r>
      <w:r w:rsidR="003E18ED" w:rsidRPr="00454CA5">
        <w:rPr>
          <w:rFonts w:ascii="Arial" w:hAnsi="Arial" w:cs="Arial"/>
          <w:lang w:val="en-US"/>
        </w:rPr>
        <w:t xml:space="preserve">successfully completed </w:t>
      </w:r>
      <w:r w:rsidR="00546F39" w:rsidRPr="00454CA5">
        <w:rPr>
          <w:rFonts w:ascii="Arial" w:hAnsi="Arial" w:cs="Arial"/>
          <w:lang w:val="en-US"/>
        </w:rPr>
        <w:t>restructuring under Stressed Asset Directions</w:t>
      </w:r>
      <w:r w:rsidR="005E5DC6" w:rsidRPr="00454CA5">
        <w:rPr>
          <w:rFonts w:ascii="Arial" w:hAnsi="Arial" w:cs="Arial"/>
          <w:lang w:val="en-US"/>
        </w:rPr>
        <w:t xml:space="preserve"> </w:t>
      </w:r>
      <w:r w:rsidR="00815D9D" w:rsidRPr="00454CA5">
        <w:rPr>
          <w:rFonts w:ascii="Arial" w:hAnsi="Arial" w:cs="Arial"/>
          <w:lang w:val="en-US"/>
        </w:rPr>
        <w:t>without</w:t>
      </w:r>
      <w:r w:rsidR="005E5DC6" w:rsidRPr="00454CA5">
        <w:rPr>
          <w:rFonts w:ascii="Arial" w:hAnsi="Arial" w:cs="Arial"/>
          <w:lang w:val="en-US"/>
        </w:rPr>
        <w:t xml:space="preserve"> any </w:t>
      </w:r>
      <w:r w:rsidR="00BF6380" w:rsidRPr="00454CA5">
        <w:rPr>
          <w:rFonts w:ascii="Arial" w:hAnsi="Arial" w:cs="Arial"/>
          <w:lang w:val="en-US"/>
        </w:rPr>
        <w:t xml:space="preserve">critical </w:t>
      </w:r>
      <w:r w:rsidR="005E5DC6" w:rsidRPr="00454CA5">
        <w:rPr>
          <w:rFonts w:ascii="Arial" w:hAnsi="Arial" w:cs="Arial"/>
          <w:lang w:val="en-US"/>
        </w:rPr>
        <w:t>change in</w:t>
      </w:r>
      <w:r w:rsidR="001269EF" w:rsidRPr="00454CA5">
        <w:rPr>
          <w:rFonts w:ascii="Arial" w:hAnsi="Arial" w:cs="Arial"/>
          <w:lang w:val="en-US"/>
        </w:rPr>
        <w:t xml:space="preserve"> management</w:t>
      </w:r>
      <w:r w:rsidR="007D4A59" w:rsidRPr="00454CA5">
        <w:rPr>
          <w:rFonts w:ascii="Arial" w:hAnsi="Arial" w:cs="Arial"/>
          <w:lang w:val="en-US"/>
        </w:rPr>
        <w:t xml:space="preserve"> or control</w:t>
      </w:r>
      <w:r w:rsidR="00F63A73" w:rsidRPr="00454CA5">
        <w:rPr>
          <w:rStyle w:val="FootnoteReference"/>
          <w:rFonts w:ascii="Arial" w:hAnsi="Arial" w:cs="Arial"/>
          <w:vertAlign w:val="baseline"/>
          <w:lang w:val="en-US"/>
        </w:rPr>
        <w:t>.</w:t>
      </w:r>
      <w:r w:rsidR="00400D02" w:rsidRPr="00454CA5">
        <w:rPr>
          <w:rStyle w:val="FootnoteReference"/>
          <w:rFonts w:ascii="Arial" w:hAnsi="Arial" w:cs="Arial"/>
          <w:lang w:val="en-US"/>
        </w:rPr>
        <w:footnoteReference w:id="7"/>
      </w:r>
      <w:r w:rsidR="00FE4A5E" w:rsidRPr="00454CA5">
        <w:rPr>
          <w:rFonts w:ascii="Arial" w:hAnsi="Arial" w:cs="Arial"/>
          <w:lang w:val="en-US"/>
        </w:rPr>
        <w:t xml:space="preserve"> </w:t>
      </w:r>
    </w:p>
    <w:p w14:paraId="598F31EB" w14:textId="229C63B3" w:rsidR="00B154C9" w:rsidRPr="00454CA5" w:rsidRDefault="00FE4A5E" w:rsidP="006D4E3C">
      <w:pPr>
        <w:pStyle w:val="ListParagraph"/>
        <w:ind w:left="1134"/>
        <w:contextualSpacing w:val="0"/>
        <w:jc w:val="both"/>
        <w:rPr>
          <w:rFonts w:ascii="Arial" w:hAnsi="Arial" w:cs="Arial"/>
          <w:lang w:val="en-US"/>
        </w:rPr>
      </w:pPr>
      <w:r w:rsidRPr="00454CA5">
        <w:rPr>
          <w:rFonts w:ascii="Arial" w:hAnsi="Arial" w:cs="Arial"/>
          <w:lang w:val="en-US"/>
        </w:rPr>
        <w:t xml:space="preserve">Accordingly, in situations wherein the change in control or management </w:t>
      </w:r>
      <w:r w:rsidR="00D836D8" w:rsidRPr="00454CA5">
        <w:rPr>
          <w:rFonts w:ascii="Arial" w:hAnsi="Arial" w:cs="Arial"/>
          <w:lang w:val="en-US"/>
        </w:rPr>
        <w:t xml:space="preserve">is not a </w:t>
      </w:r>
      <w:r w:rsidR="00354EB2" w:rsidRPr="00454CA5">
        <w:rPr>
          <w:rFonts w:ascii="Arial" w:hAnsi="Arial" w:cs="Arial"/>
          <w:lang w:val="en-US"/>
        </w:rPr>
        <w:t>preferred</w:t>
      </w:r>
      <w:r w:rsidR="00D836D8" w:rsidRPr="00454CA5">
        <w:rPr>
          <w:rFonts w:ascii="Arial" w:hAnsi="Arial" w:cs="Arial"/>
          <w:lang w:val="en-US"/>
        </w:rPr>
        <w:t xml:space="preserve"> option</w:t>
      </w:r>
      <w:r w:rsidRPr="00454CA5">
        <w:rPr>
          <w:rFonts w:ascii="Arial" w:hAnsi="Arial" w:cs="Arial"/>
          <w:lang w:val="en-US"/>
        </w:rPr>
        <w:t xml:space="preserve">, restructuring would be advantageous.  </w:t>
      </w:r>
    </w:p>
    <w:p w14:paraId="4C63A5C3" w14:textId="77777777" w:rsidR="000D2834" w:rsidRPr="00454CA5" w:rsidRDefault="000D2834" w:rsidP="004D6CCD">
      <w:pPr>
        <w:pStyle w:val="ListParagraph"/>
        <w:numPr>
          <w:ilvl w:val="0"/>
          <w:numId w:val="3"/>
        </w:numPr>
        <w:ind w:left="1134" w:hanging="567"/>
        <w:contextualSpacing w:val="0"/>
        <w:jc w:val="both"/>
        <w:rPr>
          <w:rFonts w:ascii="Arial" w:hAnsi="Arial" w:cs="Arial"/>
          <w:i/>
          <w:iCs/>
          <w:lang w:val="en-US"/>
        </w:rPr>
      </w:pPr>
      <w:r w:rsidRPr="00454CA5">
        <w:rPr>
          <w:rFonts w:ascii="Arial" w:hAnsi="Arial" w:cs="Arial"/>
          <w:i/>
          <w:iCs/>
          <w:lang w:val="en-US"/>
        </w:rPr>
        <w:t>Limited public disclosure</w:t>
      </w:r>
    </w:p>
    <w:p w14:paraId="25DB1510" w14:textId="2D4D1F08" w:rsidR="000D2834" w:rsidRPr="00454CA5" w:rsidRDefault="000D2834" w:rsidP="000D2834">
      <w:pPr>
        <w:pStyle w:val="ListParagraph"/>
        <w:ind w:left="1134"/>
        <w:contextualSpacing w:val="0"/>
        <w:jc w:val="both"/>
        <w:rPr>
          <w:rFonts w:ascii="Arial" w:hAnsi="Arial" w:cs="Arial"/>
          <w:lang w:val="en-US"/>
        </w:rPr>
      </w:pPr>
      <w:r w:rsidRPr="00454CA5">
        <w:rPr>
          <w:rFonts w:ascii="Arial" w:hAnsi="Arial" w:cs="Arial"/>
          <w:lang w:val="en-US"/>
        </w:rPr>
        <w:t xml:space="preserve">Unlike in case of formal restructuring, out-of-court restructuring is primarily between the critical stakeholders (such as the bank and financial institution) </w:t>
      </w:r>
      <w:r w:rsidR="00326E9A" w:rsidRPr="00454CA5">
        <w:rPr>
          <w:rFonts w:ascii="Arial" w:hAnsi="Arial" w:cs="Arial"/>
          <w:lang w:val="en-US"/>
        </w:rPr>
        <w:t xml:space="preserve">and the debtor. The same </w:t>
      </w:r>
      <w:r w:rsidR="00A900AB" w:rsidRPr="00454CA5">
        <w:rPr>
          <w:rFonts w:ascii="Arial" w:hAnsi="Arial" w:cs="Arial"/>
          <w:lang w:val="en-US"/>
        </w:rPr>
        <w:t>may not</w:t>
      </w:r>
      <w:r w:rsidR="00326E9A" w:rsidRPr="00454CA5">
        <w:rPr>
          <w:rFonts w:ascii="Arial" w:hAnsi="Arial" w:cs="Arial"/>
          <w:lang w:val="en-US"/>
        </w:rPr>
        <w:t xml:space="preserve"> entail </w:t>
      </w:r>
      <w:r w:rsidR="00DE6D60" w:rsidRPr="00454CA5">
        <w:rPr>
          <w:rFonts w:ascii="Arial" w:hAnsi="Arial" w:cs="Arial"/>
          <w:lang w:val="en-US"/>
        </w:rPr>
        <w:t>public announcements</w:t>
      </w:r>
      <w:r w:rsidR="00916CF1" w:rsidRPr="00454CA5">
        <w:rPr>
          <w:rFonts w:ascii="Arial" w:hAnsi="Arial" w:cs="Arial"/>
          <w:lang w:val="en-US"/>
        </w:rPr>
        <w:t xml:space="preserve"> and </w:t>
      </w:r>
      <w:r w:rsidR="00192287" w:rsidRPr="00454CA5">
        <w:rPr>
          <w:rFonts w:ascii="Arial" w:hAnsi="Arial" w:cs="Arial"/>
          <w:lang w:val="en-US"/>
        </w:rPr>
        <w:t xml:space="preserve">public disclosure </w:t>
      </w:r>
      <w:r w:rsidR="00192287" w:rsidRPr="00454CA5">
        <w:rPr>
          <w:rFonts w:ascii="Arial" w:hAnsi="Arial" w:cs="Arial"/>
          <w:lang w:val="en-US"/>
        </w:rPr>
        <w:lastRenderedPageBreak/>
        <w:t xml:space="preserve">in relation to the process, which is not the case with the </w:t>
      </w:r>
      <w:r w:rsidR="000A51B1" w:rsidRPr="00454CA5">
        <w:rPr>
          <w:rFonts w:ascii="Arial" w:hAnsi="Arial" w:cs="Arial"/>
          <w:lang w:val="en-US"/>
        </w:rPr>
        <w:t>insolvency proceedings</w:t>
      </w:r>
      <w:r w:rsidR="00430DB1" w:rsidRPr="00454CA5">
        <w:rPr>
          <w:rFonts w:ascii="Arial" w:hAnsi="Arial" w:cs="Arial"/>
          <w:lang w:val="en-US"/>
        </w:rPr>
        <w:t>.</w:t>
      </w:r>
      <w:r w:rsidR="009C5282" w:rsidRPr="00454CA5">
        <w:rPr>
          <w:rFonts w:ascii="Arial" w:hAnsi="Arial" w:cs="Arial"/>
          <w:lang w:val="en-US"/>
        </w:rPr>
        <w:t xml:space="preserve"> </w:t>
      </w:r>
      <w:r w:rsidR="00823D6A" w:rsidRPr="00454CA5">
        <w:rPr>
          <w:rFonts w:ascii="Arial" w:hAnsi="Arial" w:cs="Arial"/>
          <w:lang w:val="en-US"/>
        </w:rPr>
        <w:t>The organization may also miss out on the opportunity cost</w:t>
      </w:r>
      <w:r w:rsidR="00CB6C0F" w:rsidRPr="00454CA5">
        <w:rPr>
          <w:rStyle w:val="FootnoteReference"/>
          <w:rFonts w:ascii="Arial" w:hAnsi="Arial" w:cs="Arial"/>
          <w:lang w:val="en-US"/>
        </w:rPr>
        <w:footnoteReference w:id="8"/>
      </w:r>
      <w:r w:rsidR="00823D6A" w:rsidRPr="00454CA5">
        <w:rPr>
          <w:rFonts w:ascii="Arial" w:hAnsi="Arial" w:cs="Arial"/>
          <w:lang w:val="en-US"/>
        </w:rPr>
        <w:t xml:space="preserve">, </w:t>
      </w:r>
      <w:r w:rsidR="000D09ED" w:rsidRPr="00454CA5">
        <w:rPr>
          <w:rFonts w:ascii="Arial" w:hAnsi="Arial" w:cs="Arial"/>
          <w:lang w:val="en-US"/>
        </w:rPr>
        <w:t xml:space="preserve">including in relation to the </w:t>
      </w:r>
      <w:r w:rsidR="003B25EE" w:rsidRPr="00454CA5">
        <w:rPr>
          <w:rFonts w:ascii="Arial" w:hAnsi="Arial" w:cs="Arial"/>
          <w:lang w:val="en-US"/>
        </w:rPr>
        <w:t xml:space="preserve">market tapping, </w:t>
      </w:r>
      <w:r w:rsidR="00823D6A" w:rsidRPr="00454CA5">
        <w:rPr>
          <w:rFonts w:ascii="Arial" w:hAnsi="Arial" w:cs="Arial"/>
          <w:lang w:val="en-US"/>
        </w:rPr>
        <w:t xml:space="preserve">that would otherwise be beneficial for the </w:t>
      </w:r>
      <w:r w:rsidR="00830F44" w:rsidRPr="00454CA5">
        <w:rPr>
          <w:rFonts w:ascii="Arial" w:hAnsi="Arial" w:cs="Arial"/>
          <w:lang w:val="en-US"/>
        </w:rPr>
        <w:t>long-term</w:t>
      </w:r>
      <w:r w:rsidR="00823D6A" w:rsidRPr="00454CA5">
        <w:rPr>
          <w:rFonts w:ascii="Arial" w:hAnsi="Arial" w:cs="Arial"/>
          <w:lang w:val="en-US"/>
        </w:rPr>
        <w:t xml:space="preserve"> growth and prospects</w:t>
      </w:r>
      <w:r w:rsidR="007F6C84" w:rsidRPr="00454CA5">
        <w:rPr>
          <w:rFonts w:ascii="Arial" w:hAnsi="Arial" w:cs="Arial"/>
          <w:lang w:val="en-US"/>
        </w:rPr>
        <w:t xml:space="preserve"> of the organization. </w:t>
      </w:r>
      <w:r w:rsidR="00B05C22" w:rsidRPr="00454CA5">
        <w:rPr>
          <w:rFonts w:ascii="Arial" w:hAnsi="Arial" w:cs="Arial"/>
          <w:lang w:val="en-US"/>
        </w:rPr>
        <w:t xml:space="preserve">Limited public knowledge in case of </w:t>
      </w:r>
      <w:r w:rsidR="00830F44" w:rsidRPr="00454CA5">
        <w:rPr>
          <w:rFonts w:ascii="Arial" w:hAnsi="Arial" w:cs="Arial"/>
          <w:lang w:val="en-US"/>
        </w:rPr>
        <w:t>out of</w:t>
      </w:r>
      <w:r w:rsidR="00B05C22" w:rsidRPr="00454CA5">
        <w:rPr>
          <w:rFonts w:ascii="Arial" w:hAnsi="Arial" w:cs="Arial"/>
          <w:lang w:val="en-US"/>
        </w:rPr>
        <w:t xml:space="preserve"> court restructuring </w:t>
      </w:r>
      <w:r w:rsidR="00160FC1" w:rsidRPr="00454CA5">
        <w:rPr>
          <w:rFonts w:ascii="Arial" w:hAnsi="Arial" w:cs="Arial"/>
          <w:lang w:val="en-US"/>
        </w:rPr>
        <w:t>is beneficial to that extent.</w:t>
      </w:r>
    </w:p>
    <w:p w14:paraId="5BA0CC5E" w14:textId="7265EB77" w:rsidR="00B31E35" w:rsidRPr="00454CA5" w:rsidRDefault="00844A98" w:rsidP="004D6CCD">
      <w:pPr>
        <w:pStyle w:val="ListParagraph"/>
        <w:numPr>
          <w:ilvl w:val="2"/>
          <w:numId w:val="1"/>
        </w:numPr>
        <w:spacing w:line="240" w:lineRule="auto"/>
        <w:ind w:left="567" w:hanging="709"/>
        <w:contextualSpacing w:val="0"/>
        <w:jc w:val="both"/>
        <w:rPr>
          <w:rFonts w:ascii="Arial" w:hAnsi="Arial" w:cs="Arial"/>
          <w:lang w:val="en-US"/>
        </w:rPr>
      </w:pPr>
      <w:r w:rsidRPr="00454CA5">
        <w:rPr>
          <w:rFonts w:ascii="Arial" w:hAnsi="Arial" w:cs="Arial"/>
          <w:i/>
          <w:iCs/>
          <w:u w:val="single"/>
          <w:lang w:val="en-US"/>
        </w:rPr>
        <w:t>Disadvantages</w:t>
      </w:r>
      <w:r w:rsidRPr="00454CA5">
        <w:rPr>
          <w:rFonts w:ascii="Arial" w:hAnsi="Arial" w:cs="Arial"/>
          <w:i/>
          <w:iCs/>
          <w:lang w:val="en-US"/>
        </w:rPr>
        <w:t>:</w:t>
      </w:r>
    </w:p>
    <w:p w14:paraId="5D9BECD4" w14:textId="4C02504A" w:rsidR="000F372A" w:rsidRPr="00454CA5" w:rsidRDefault="009E39BF" w:rsidP="004D6CCD">
      <w:pPr>
        <w:pStyle w:val="ListParagraph"/>
        <w:numPr>
          <w:ilvl w:val="0"/>
          <w:numId w:val="4"/>
        </w:numPr>
        <w:ind w:left="1134" w:hanging="567"/>
        <w:contextualSpacing w:val="0"/>
        <w:jc w:val="both"/>
        <w:rPr>
          <w:rFonts w:ascii="Arial" w:hAnsi="Arial" w:cs="Arial"/>
          <w:lang w:val="en-US"/>
        </w:rPr>
      </w:pPr>
      <w:r w:rsidRPr="00454CA5">
        <w:rPr>
          <w:rFonts w:ascii="Arial" w:hAnsi="Arial" w:cs="Arial"/>
          <w:i/>
          <w:iCs/>
          <w:lang w:val="en-US"/>
        </w:rPr>
        <w:t>Lack of statutory binding effect on</w:t>
      </w:r>
      <w:r w:rsidR="000F372A" w:rsidRPr="00454CA5">
        <w:rPr>
          <w:rFonts w:ascii="Arial" w:hAnsi="Arial" w:cs="Arial"/>
          <w:i/>
          <w:iCs/>
          <w:lang w:val="en-US"/>
        </w:rPr>
        <w:t xml:space="preserve"> all stakeholders</w:t>
      </w:r>
    </w:p>
    <w:p w14:paraId="403703D7" w14:textId="33207F9A" w:rsidR="008420E7" w:rsidRPr="00454CA5" w:rsidRDefault="008420E7" w:rsidP="008420E7">
      <w:pPr>
        <w:pStyle w:val="ListParagraph"/>
        <w:spacing w:line="240" w:lineRule="auto"/>
        <w:ind w:left="1134"/>
        <w:contextualSpacing w:val="0"/>
        <w:jc w:val="both"/>
        <w:rPr>
          <w:rFonts w:ascii="Arial" w:hAnsi="Arial" w:cs="Arial"/>
          <w:lang w:val="en-US"/>
        </w:rPr>
      </w:pPr>
      <w:r w:rsidRPr="00454CA5">
        <w:rPr>
          <w:rFonts w:ascii="Arial" w:hAnsi="Arial" w:cs="Arial"/>
          <w:lang w:val="en-US"/>
        </w:rPr>
        <w:t>Under the Insolvency Code</w:t>
      </w:r>
      <w:r w:rsidR="00595652" w:rsidRPr="00454CA5">
        <w:rPr>
          <w:rFonts w:ascii="Arial" w:hAnsi="Arial" w:cs="Arial"/>
          <w:lang w:val="en-US"/>
        </w:rPr>
        <w:t xml:space="preserve">, once a resolution plan is approved by the </w:t>
      </w:r>
      <w:r w:rsidR="00CC76D9" w:rsidRPr="00454CA5">
        <w:rPr>
          <w:rFonts w:ascii="Arial" w:hAnsi="Arial" w:cs="Arial"/>
          <w:lang w:val="en-US"/>
        </w:rPr>
        <w:t>committee of creditors</w:t>
      </w:r>
      <w:r w:rsidR="000E425E" w:rsidRPr="00454CA5">
        <w:rPr>
          <w:rFonts w:ascii="Arial" w:hAnsi="Arial" w:cs="Arial"/>
          <w:lang w:val="en-US"/>
        </w:rPr>
        <w:t xml:space="preserve"> (with the requisite majority of 66%</w:t>
      </w:r>
      <w:r w:rsidR="00916BD1" w:rsidRPr="00454CA5">
        <w:rPr>
          <w:rFonts w:ascii="Arial" w:hAnsi="Arial" w:cs="Arial"/>
          <w:lang w:val="en-US"/>
        </w:rPr>
        <w:t xml:space="preserve"> of the voting share</w:t>
      </w:r>
      <w:r w:rsidR="000E425E" w:rsidRPr="00454CA5">
        <w:rPr>
          <w:rFonts w:ascii="Arial" w:hAnsi="Arial" w:cs="Arial"/>
          <w:lang w:val="en-US"/>
        </w:rPr>
        <w:t>)</w:t>
      </w:r>
      <w:r w:rsidR="00CC76D9" w:rsidRPr="00454CA5">
        <w:rPr>
          <w:rFonts w:ascii="Arial" w:hAnsi="Arial" w:cs="Arial"/>
          <w:lang w:val="en-US"/>
        </w:rPr>
        <w:t xml:space="preserve"> and the adjudicating </w:t>
      </w:r>
      <w:r w:rsidR="00E44C32" w:rsidRPr="00454CA5">
        <w:rPr>
          <w:rFonts w:ascii="Arial" w:hAnsi="Arial" w:cs="Arial"/>
          <w:lang w:val="en-US"/>
        </w:rPr>
        <w:t>authority</w:t>
      </w:r>
      <w:r w:rsidR="00595652" w:rsidRPr="00454CA5">
        <w:rPr>
          <w:rFonts w:ascii="Arial" w:hAnsi="Arial" w:cs="Arial"/>
          <w:lang w:val="en-US"/>
        </w:rPr>
        <w:t xml:space="preserve">, it has a statutory binding </w:t>
      </w:r>
      <w:r w:rsidR="004545BE" w:rsidRPr="00454CA5">
        <w:rPr>
          <w:rFonts w:ascii="Arial" w:hAnsi="Arial" w:cs="Arial"/>
          <w:lang w:val="en-US"/>
        </w:rPr>
        <w:t xml:space="preserve">effect on </w:t>
      </w:r>
      <w:r w:rsidR="004545BE" w:rsidRPr="00454CA5">
        <w:rPr>
          <w:rFonts w:ascii="Arial" w:hAnsi="Arial" w:cs="Arial"/>
          <w:u w:val="single"/>
          <w:lang w:val="en-US"/>
        </w:rPr>
        <w:t>all stakeholders</w:t>
      </w:r>
      <w:r w:rsidR="004545BE" w:rsidRPr="00454CA5">
        <w:rPr>
          <w:rFonts w:ascii="Arial" w:hAnsi="Arial" w:cs="Arial"/>
          <w:lang w:val="en-US"/>
        </w:rPr>
        <w:t xml:space="preserve">. </w:t>
      </w:r>
      <w:r w:rsidR="00AB3749" w:rsidRPr="00454CA5">
        <w:rPr>
          <w:rFonts w:ascii="Arial" w:hAnsi="Arial" w:cs="Arial"/>
          <w:lang w:val="en-US"/>
        </w:rPr>
        <w:t>In other word</w:t>
      </w:r>
      <w:r w:rsidR="00CC76D9" w:rsidRPr="00454CA5">
        <w:rPr>
          <w:rFonts w:ascii="Arial" w:hAnsi="Arial" w:cs="Arial"/>
          <w:lang w:val="en-US"/>
        </w:rPr>
        <w:t>s</w:t>
      </w:r>
      <w:r w:rsidR="00AB3749" w:rsidRPr="00454CA5">
        <w:rPr>
          <w:rFonts w:ascii="Arial" w:hAnsi="Arial" w:cs="Arial"/>
          <w:lang w:val="en-US"/>
        </w:rPr>
        <w:t xml:space="preserve">, even though </w:t>
      </w:r>
      <w:r w:rsidR="00CC76D9" w:rsidRPr="00454CA5">
        <w:rPr>
          <w:rFonts w:ascii="Arial" w:hAnsi="Arial" w:cs="Arial"/>
          <w:lang w:val="en-US"/>
        </w:rPr>
        <w:t xml:space="preserve">the </w:t>
      </w:r>
      <w:r w:rsidR="00752E38" w:rsidRPr="00454CA5">
        <w:rPr>
          <w:rFonts w:ascii="Arial" w:hAnsi="Arial" w:cs="Arial"/>
          <w:lang w:val="en-US"/>
        </w:rPr>
        <w:t xml:space="preserve">process does not contemplate participation or approval from stakeholders like operational creditors, Government and statutory authorities (unless they exceed a </w:t>
      </w:r>
      <w:r w:rsidR="00600F1A" w:rsidRPr="00454CA5">
        <w:rPr>
          <w:rFonts w:ascii="Arial" w:hAnsi="Arial" w:cs="Arial"/>
          <w:lang w:val="en-US"/>
        </w:rPr>
        <w:t xml:space="preserve">certain threshold), the plan will be binding on all them and all other stakeholders. However, the same </w:t>
      </w:r>
      <w:r w:rsidR="00BE3014" w:rsidRPr="00454CA5">
        <w:rPr>
          <w:rFonts w:ascii="Arial" w:hAnsi="Arial" w:cs="Arial"/>
          <w:lang w:val="en-US"/>
        </w:rPr>
        <w:t xml:space="preserve">is not the case in relation to the </w:t>
      </w:r>
      <w:r w:rsidR="008D102D" w:rsidRPr="00454CA5">
        <w:rPr>
          <w:rFonts w:ascii="Arial" w:hAnsi="Arial" w:cs="Arial"/>
          <w:lang w:val="en-US"/>
        </w:rPr>
        <w:t>out-of-court restructuring</w:t>
      </w:r>
      <w:r w:rsidR="00002DC4" w:rsidRPr="00454CA5">
        <w:rPr>
          <w:rFonts w:ascii="Arial" w:hAnsi="Arial" w:cs="Arial"/>
          <w:lang w:val="en-US"/>
        </w:rPr>
        <w:t xml:space="preserve"> and</w:t>
      </w:r>
      <w:r w:rsidR="006410A3" w:rsidRPr="00454CA5">
        <w:rPr>
          <w:rFonts w:ascii="Arial" w:hAnsi="Arial" w:cs="Arial"/>
          <w:lang w:val="en-US"/>
        </w:rPr>
        <w:t xml:space="preserve"> without taking strategic and financial measures to onboard the other key stakeholders, the likelihood </w:t>
      </w:r>
      <w:r w:rsidR="002576DD" w:rsidRPr="00454CA5">
        <w:rPr>
          <w:rFonts w:ascii="Arial" w:hAnsi="Arial" w:cs="Arial"/>
          <w:lang w:val="en-US"/>
        </w:rPr>
        <w:t xml:space="preserve">of </w:t>
      </w:r>
      <w:r w:rsidR="00621989" w:rsidRPr="00454CA5">
        <w:rPr>
          <w:rFonts w:ascii="Arial" w:hAnsi="Arial" w:cs="Arial"/>
          <w:lang w:val="en-US"/>
        </w:rPr>
        <w:t>expecting cooperation from the other stakeholders, other than the lenders who execute the ICA</w:t>
      </w:r>
      <w:r w:rsidR="009B0880" w:rsidRPr="00454CA5">
        <w:rPr>
          <w:rFonts w:ascii="Arial" w:hAnsi="Arial" w:cs="Arial"/>
          <w:lang w:val="en-US"/>
        </w:rPr>
        <w:t xml:space="preserve"> is reduced to a large extent. </w:t>
      </w:r>
    </w:p>
    <w:p w14:paraId="60E05125" w14:textId="422963B9" w:rsidR="006379B9" w:rsidRPr="00454CA5" w:rsidRDefault="006379B9" w:rsidP="004D6CCD">
      <w:pPr>
        <w:pStyle w:val="ListParagraph"/>
        <w:numPr>
          <w:ilvl w:val="0"/>
          <w:numId w:val="4"/>
        </w:numPr>
        <w:spacing w:line="240" w:lineRule="auto"/>
        <w:ind w:left="1134" w:hanging="567"/>
        <w:contextualSpacing w:val="0"/>
        <w:jc w:val="both"/>
        <w:rPr>
          <w:rFonts w:ascii="Arial" w:hAnsi="Arial" w:cs="Arial"/>
          <w:lang w:val="en-US"/>
        </w:rPr>
      </w:pPr>
      <w:r w:rsidRPr="00454CA5">
        <w:rPr>
          <w:rFonts w:ascii="Arial" w:hAnsi="Arial" w:cs="Arial"/>
          <w:i/>
          <w:iCs/>
          <w:lang w:val="en-US"/>
        </w:rPr>
        <w:t>Looming risk of initiation of formal bankruptcy by the relevant stakeholders</w:t>
      </w:r>
    </w:p>
    <w:p w14:paraId="48E395CF" w14:textId="251250B2" w:rsidR="0087108E" w:rsidRPr="00454CA5" w:rsidRDefault="0087108E" w:rsidP="00776876">
      <w:pPr>
        <w:pStyle w:val="ListParagraph"/>
        <w:ind w:left="1134"/>
        <w:contextualSpacing w:val="0"/>
        <w:jc w:val="both"/>
        <w:rPr>
          <w:rFonts w:ascii="Arial" w:hAnsi="Arial" w:cs="Arial"/>
          <w:lang w:val="en-US"/>
        </w:rPr>
      </w:pPr>
      <w:r w:rsidRPr="00454CA5">
        <w:rPr>
          <w:rFonts w:ascii="Arial" w:hAnsi="Arial" w:cs="Arial"/>
          <w:lang w:val="en-US"/>
        </w:rPr>
        <w:t>In India under the Insolvency Code, the insolvency proceedings can be initiated by a financial creditor</w:t>
      </w:r>
      <w:r w:rsidR="00316B76" w:rsidRPr="00454CA5">
        <w:rPr>
          <w:rFonts w:ascii="Arial" w:hAnsi="Arial" w:cs="Arial"/>
          <w:lang w:val="en-US"/>
        </w:rPr>
        <w:t xml:space="preserve"> (such a bank or financial institution), </w:t>
      </w:r>
      <w:r w:rsidRPr="00454CA5">
        <w:rPr>
          <w:rFonts w:ascii="Arial" w:hAnsi="Arial" w:cs="Arial"/>
          <w:lang w:val="en-US"/>
        </w:rPr>
        <w:t xml:space="preserve">an operational creditor (for instance, vendors) </w:t>
      </w:r>
      <w:r w:rsidR="00316B76" w:rsidRPr="00454CA5">
        <w:rPr>
          <w:rFonts w:ascii="Arial" w:hAnsi="Arial" w:cs="Arial"/>
          <w:lang w:val="en-US"/>
        </w:rPr>
        <w:t xml:space="preserve">or the corporate entity itself, </w:t>
      </w:r>
      <w:r w:rsidRPr="00454CA5">
        <w:rPr>
          <w:rFonts w:ascii="Arial" w:hAnsi="Arial" w:cs="Arial"/>
          <w:lang w:val="en-US"/>
        </w:rPr>
        <w:t>if the amount in default exceeds INR 1,00,00,000 (</w:t>
      </w:r>
      <w:r w:rsidR="00053219" w:rsidRPr="00454CA5">
        <w:rPr>
          <w:rFonts w:ascii="Arial" w:hAnsi="Arial" w:cs="Arial"/>
          <w:lang w:val="en-US"/>
        </w:rPr>
        <w:t xml:space="preserve">approx. € </w:t>
      </w:r>
      <w:r w:rsidR="00053219" w:rsidRPr="00454CA5">
        <w:rPr>
          <w:rFonts w:ascii="Arial" w:hAnsi="Arial" w:cs="Arial"/>
          <w:lang w:val="en-US"/>
        </w:rPr>
        <w:t>9</w:t>
      </w:r>
      <w:r w:rsidR="00053219" w:rsidRPr="00454CA5">
        <w:rPr>
          <w:rFonts w:ascii="Arial" w:hAnsi="Arial" w:cs="Arial"/>
          <w:lang w:val="en-US"/>
        </w:rPr>
        <w:t xml:space="preserve">8000). Given that </w:t>
      </w:r>
      <w:r w:rsidR="008E4967" w:rsidRPr="00454CA5">
        <w:rPr>
          <w:rFonts w:ascii="Arial" w:hAnsi="Arial" w:cs="Arial"/>
          <w:lang w:val="en-US"/>
        </w:rPr>
        <w:t>the Stressed Asset Directions are only applicable to the identified set of lenders,</w:t>
      </w:r>
      <w:r w:rsidR="006022C6" w:rsidRPr="00454CA5">
        <w:rPr>
          <w:rFonts w:ascii="Arial" w:hAnsi="Arial" w:cs="Arial"/>
          <w:lang w:val="en-US"/>
        </w:rPr>
        <w:t xml:space="preserve"> it is likely that other creditor (such as </w:t>
      </w:r>
      <w:r w:rsidR="00AF3BA7" w:rsidRPr="00454CA5">
        <w:rPr>
          <w:rFonts w:ascii="Arial" w:hAnsi="Arial" w:cs="Arial"/>
          <w:lang w:val="en-US"/>
        </w:rPr>
        <w:t xml:space="preserve">operational creditor) may initiate insolvency proceedings </w:t>
      </w:r>
      <w:r w:rsidR="00843C18" w:rsidRPr="00454CA5">
        <w:rPr>
          <w:rFonts w:ascii="Arial" w:hAnsi="Arial" w:cs="Arial"/>
          <w:lang w:val="en-US"/>
        </w:rPr>
        <w:t xml:space="preserve">against the corporate entity. If so, </w:t>
      </w:r>
      <w:r w:rsidR="00094AFF" w:rsidRPr="00454CA5">
        <w:rPr>
          <w:rFonts w:ascii="Arial" w:hAnsi="Arial" w:cs="Arial"/>
          <w:lang w:val="en-US"/>
        </w:rPr>
        <w:t xml:space="preserve">upon the date of admission </w:t>
      </w:r>
      <w:r w:rsidR="00843C18" w:rsidRPr="00454CA5">
        <w:rPr>
          <w:rFonts w:ascii="Arial" w:hAnsi="Arial" w:cs="Arial"/>
          <w:lang w:val="en-US"/>
        </w:rPr>
        <w:t>a moratorium will be in force</w:t>
      </w:r>
      <w:r w:rsidR="0094498D" w:rsidRPr="00454CA5">
        <w:rPr>
          <w:rFonts w:ascii="Arial" w:hAnsi="Arial" w:cs="Arial"/>
          <w:lang w:val="en-US"/>
        </w:rPr>
        <w:t xml:space="preserve"> which will inter alia restrict enforcement of security interest, transfer of assets by the corporate debtor, etc.</w:t>
      </w:r>
      <w:r w:rsidR="00843C18" w:rsidRPr="00454CA5">
        <w:rPr>
          <w:rFonts w:ascii="Arial" w:hAnsi="Arial" w:cs="Arial"/>
          <w:lang w:val="en-US"/>
        </w:rPr>
        <w:t xml:space="preserve"> </w:t>
      </w:r>
      <w:r w:rsidR="00FD09E7" w:rsidRPr="00454CA5">
        <w:rPr>
          <w:rFonts w:ascii="Arial" w:hAnsi="Arial" w:cs="Arial"/>
          <w:lang w:val="en-US"/>
        </w:rPr>
        <w:t>This will effectively stall the attemp</w:t>
      </w:r>
      <w:r w:rsidR="00590541" w:rsidRPr="00454CA5">
        <w:rPr>
          <w:rFonts w:ascii="Arial" w:hAnsi="Arial" w:cs="Arial"/>
          <w:lang w:val="en-US"/>
        </w:rPr>
        <w:t>ts of out</w:t>
      </w:r>
      <w:r w:rsidR="005D3ECA" w:rsidRPr="00454CA5">
        <w:rPr>
          <w:rFonts w:ascii="Arial" w:hAnsi="Arial" w:cs="Arial"/>
          <w:lang w:val="en-US"/>
        </w:rPr>
        <w:t>-</w:t>
      </w:r>
      <w:r w:rsidR="00590541" w:rsidRPr="00454CA5">
        <w:rPr>
          <w:rFonts w:ascii="Arial" w:hAnsi="Arial" w:cs="Arial"/>
          <w:lang w:val="en-US"/>
        </w:rPr>
        <w:t>of</w:t>
      </w:r>
      <w:r w:rsidR="005D3ECA" w:rsidRPr="00454CA5">
        <w:rPr>
          <w:rFonts w:ascii="Arial" w:hAnsi="Arial" w:cs="Arial"/>
          <w:lang w:val="en-US"/>
        </w:rPr>
        <w:t>-</w:t>
      </w:r>
      <w:r w:rsidR="00590541" w:rsidRPr="00454CA5">
        <w:rPr>
          <w:rFonts w:ascii="Arial" w:hAnsi="Arial" w:cs="Arial"/>
          <w:lang w:val="en-US"/>
        </w:rPr>
        <w:t xml:space="preserve">court restructuring. </w:t>
      </w:r>
      <w:r w:rsidR="00E474FA" w:rsidRPr="00454CA5">
        <w:rPr>
          <w:rFonts w:ascii="Arial" w:hAnsi="Arial" w:cs="Arial"/>
          <w:lang w:val="en-US"/>
        </w:rPr>
        <w:t xml:space="preserve">Absent co-operation from the relevant stakeholders, the </w:t>
      </w:r>
      <w:r w:rsidR="00EC07A4" w:rsidRPr="00454CA5">
        <w:rPr>
          <w:rFonts w:ascii="Arial" w:hAnsi="Arial" w:cs="Arial"/>
          <w:lang w:val="en-US"/>
        </w:rPr>
        <w:t>risk of initiation of the corporate insolvency resolution process remains</w:t>
      </w:r>
      <w:r w:rsidR="00EC4CBE" w:rsidRPr="00454CA5">
        <w:rPr>
          <w:rFonts w:ascii="Arial" w:hAnsi="Arial" w:cs="Arial"/>
          <w:lang w:val="en-US"/>
        </w:rPr>
        <w:t xml:space="preserve">, to the disadvantage of successful out-of-court restructuring. </w:t>
      </w:r>
    </w:p>
    <w:p w14:paraId="19BE1745" w14:textId="4367C805" w:rsidR="006379B9" w:rsidRPr="00454CA5" w:rsidRDefault="006379B9" w:rsidP="004D6CCD">
      <w:pPr>
        <w:pStyle w:val="ListParagraph"/>
        <w:numPr>
          <w:ilvl w:val="0"/>
          <w:numId w:val="4"/>
        </w:numPr>
        <w:ind w:left="1134" w:hanging="567"/>
        <w:contextualSpacing w:val="0"/>
        <w:jc w:val="both"/>
        <w:rPr>
          <w:rFonts w:ascii="Arial" w:hAnsi="Arial" w:cs="Arial"/>
          <w:lang w:val="en-US"/>
        </w:rPr>
      </w:pPr>
      <w:r w:rsidRPr="00454CA5">
        <w:rPr>
          <w:rFonts w:ascii="Arial" w:hAnsi="Arial" w:cs="Arial"/>
          <w:i/>
          <w:iCs/>
          <w:lang w:val="en-US"/>
        </w:rPr>
        <w:t xml:space="preserve">fresh slate start </w:t>
      </w:r>
    </w:p>
    <w:p w14:paraId="1BB15EFF" w14:textId="77C180A1" w:rsidR="00387710" w:rsidRPr="007E3AFA" w:rsidRDefault="00615E05" w:rsidP="007E3AFA">
      <w:pPr>
        <w:pStyle w:val="ListParagraph"/>
        <w:ind w:left="1134"/>
        <w:contextualSpacing w:val="0"/>
        <w:jc w:val="both"/>
        <w:rPr>
          <w:rFonts w:ascii="Arial" w:hAnsi="Arial" w:cs="Arial"/>
          <w:lang w:val="en-US"/>
        </w:rPr>
      </w:pPr>
      <w:r w:rsidRPr="00454CA5">
        <w:rPr>
          <w:rFonts w:ascii="Arial" w:hAnsi="Arial" w:cs="Arial"/>
          <w:lang w:val="en-US"/>
        </w:rPr>
        <w:t xml:space="preserve">Under the Insolvency Code, once a resolution plan is implemented, </w:t>
      </w:r>
      <w:r w:rsidR="00C35061" w:rsidRPr="00454CA5">
        <w:rPr>
          <w:rFonts w:ascii="Arial" w:hAnsi="Arial" w:cs="Arial"/>
          <w:lang w:val="en-US"/>
        </w:rPr>
        <w:t xml:space="preserve">the </w:t>
      </w:r>
      <w:r w:rsidR="00EB3CF5" w:rsidRPr="00454CA5">
        <w:rPr>
          <w:rFonts w:ascii="Arial" w:hAnsi="Arial" w:cs="Arial"/>
          <w:lang w:val="en-US"/>
        </w:rPr>
        <w:t xml:space="preserve">resolution applicant (i.e., the investor) will take over the corporate debtor on </w:t>
      </w:r>
      <w:r w:rsidR="00EB3CF5" w:rsidRPr="00454CA5">
        <w:rPr>
          <w:rFonts w:ascii="Arial" w:hAnsi="Arial" w:cs="Arial"/>
          <w:i/>
          <w:iCs/>
          <w:lang w:val="en-US"/>
        </w:rPr>
        <w:t xml:space="preserve">clean slate </w:t>
      </w:r>
      <w:r w:rsidR="00EB3CF5" w:rsidRPr="00454CA5">
        <w:rPr>
          <w:rFonts w:ascii="Arial" w:hAnsi="Arial" w:cs="Arial"/>
          <w:lang w:val="en-US"/>
        </w:rPr>
        <w:t>basis</w:t>
      </w:r>
      <w:r w:rsidR="00CB0B8D" w:rsidRPr="00454CA5">
        <w:rPr>
          <w:rFonts w:ascii="Arial" w:hAnsi="Arial" w:cs="Arial"/>
          <w:lang w:val="en-US"/>
        </w:rPr>
        <w:t>.</w:t>
      </w:r>
      <w:r w:rsidR="00386786" w:rsidRPr="00454CA5">
        <w:rPr>
          <w:rStyle w:val="FootnoteReference"/>
          <w:rFonts w:ascii="Arial" w:hAnsi="Arial" w:cs="Arial"/>
          <w:lang w:val="en-US"/>
        </w:rPr>
        <w:footnoteReference w:id="9"/>
      </w:r>
      <w:r w:rsidR="00CB0B8D" w:rsidRPr="00454CA5">
        <w:rPr>
          <w:rFonts w:ascii="Arial" w:hAnsi="Arial" w:cs="Arial"/>
          <w:lang w:val="en-US"/>
        </w:rPr>
        <w:t xml:space="preserve"> Effectively,</w:t>
      </w:r>
      <w:r w:rsidR="007D0766" w:rsidRPr="00454CA5">
        <w:rPr>
          <w:rFonts w:ascii="Arial" w:hAnsi="Arial" w:cs="Arial"/>
          <w:lang w:val="en-US"/>
        </w:rPr>
        <w:t xml:space="preserve"> after making the payments in accordance with the terms of the approved resolution plan,</w:t>
      </w:r>
      <w:r w:rsidR="00CB0B8D" w:rsidRPr="00454CA5">
        <w:rPr>
          <w:rFonts w:ascii="Arial" w:hAnsi="Arial" w:cs="Arial"/>
          <w:lang w:val="en-US"/>
        </w:rPr>
        <w:t xml:space="preserve"> the past liabilities</w:t>
      </w:r>
      <w:r w:rsidR="007D0766" w:rsidRPr="00454CA5">
        <w:rPr>
          <w:rFonts w:ascii="Arial" w:hAnsi="Arial" w:cs="Arial"/>
          <w:lang w:val="en-US"/>
        </w:rPr>
        <w:t xml:space="preserve"> of the organization are whitewashed and it is given a fresh slate start. </w:t>
      </w:r>
      <w:r w:rsidR="00A21D00" w:rsidRPr="00454CA5">
        <w:rPr>
          <w:rFonts w:ascii="Arial" w:hAnsi="Arial" w:cs="Arial"/>
          <w:lang w:val="en-US"/>
        </w:rPr>
        <w:t xml:space="preserve">However, in the absence of the </w:t>
      </w:r>
      <w:r w:rsidR="00BB4ECA" w:rsidRPr="00454CA5">
        <w:rPr>
          <w:rFonts w:ascii="Arial" w:hAnsi="Arial" w:cs="Arial"/>
          <w:lang w:val="en-US"/>
        </w:rPr>
        <w:t xml:space="preserve">statutory intervention or binding effect of the restructuring plan, similar effect cannot be given. </w:t>
      </w:r>
      <w:r w:rsidR="00D35F97" w:rsidRPr="00454CA5">
        <w:rPr>
          <w:rFonts w:ascii="Arial" w:hAnsi="Arial" w:cs="Arial"/>
          <w:lang w:val="en-US"/>
        </w:rPr>
        <w:t>This can be a cause of concern for the organization dealing with huge tax liability</w:t>
      </w:r>
      <w:r w:rsidR="00E159FE" w:rsidRPr="00454CA5">
        <w:rPr>
          <w:rFonts w:ascii="Arial" w:hAnsi="Arial" w:cs="Arial"/>
          <w:lang w:val="en-US"/>
        </w:rPr>
        <w:t xml:space="preserve"> or other statutory liability</w:t>
      </w:r>
      <w:r w:rsidR="00D35F97" w:rsidRPr="00454CA5">
        <w:rPr>
          <w:rFonts w:ascii="Arial" w:hAnsi="Arial" w:cs="Arial"/>
          <w:lang w:val="en-US"/>
        </w:rPr>
        <w:t>, wherei</w:t>
      </w:r>
      <w:r w:rsidR="00E159FE" w:rsidRPr="00454CA5">
        <w:rPr>
          <w:rFonts w:ascii="Arial" w:hAnsi="Arial" w:cs="Arial"/>
          <w:lang w:val="en-US"/>
        </w:rPr>
        <w:t xml:space="preserve">n the </w:t>
      </w:r>
      <w:r w:rsidR="00A92F3F" w:rsidRPr="00454CA5">
        <w:rPr>
          <w:rFonts w:ascii="Arial" w:hAnsi="Arial" w:cs="Arial"/>
          <w:lang w:val="en-US"/>
        </w:rPr>
        <w:t xml:space="preserve">relevant authority may not have powers to or otherwise (absent any statutory provision) be willing to waive any past liability. </w:t>
      </w:r>
      <w:r w:rsidR="00387710" w:rsidRPr="007E3AFA">
        <w:rPr>
          <w:rFonts w:ascii="Arial" w:hAnsi="Arial" w:cs="Arial"/>
          <w:lang w:val="en-US"/>
        </w:rPr>
        <w:br w:type="page"/>
      </w:r>
    </w:p>
    <w:p w14:paraId="69089E58" w14:textId="7B5E25FA" w:rsidR="008C652F" w:rsidRPr="00454CA5" w:rsidRDefault="008C652F"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Were the turnaround/reorganization approaches as presented in the reading material (see</w:t>
      </w:r>
      <w:r w:rsidR="003E4033" w:rsidRPr="00454CA5">
        <w:rPr>
          <w:rFonts w:ascii="Arial" w:hAnsi="Arial" w:cs="Arial"/>
          <w:b/>
          <w:bCs/>
          <w:i/>
          <w:iCs/>
          <w:lang w:val="en-US"/>
        </w:rPr>
        <w:t xml:space="preserve"> </w:t>
      </w:r>
      <w:r w:rsidRPr="00454CA5">
        <w:rPr>
          <w:rFonts w:ascii="Arial" w:hAnsi="Arial" w:cs="Arial"/>
          <w:b/>
          <w:bCs/>
          <w:i/>
          <w:iCs/>
          <w:lang w:val="en-US"/>
        </w:rPr>
        <w:t xml:space="preserve">e.g., </w:t>
      </w:r>
      <w:r w:rsidRPr="00FC1549">
        <w:rPr>
          <w:rFonts w:ascii="Arial" w:hAnsi="Arial" w:cs="Arial"/>
          <w:b/>
          <w:bCs/>
          <w:i/>
          <w:iCs/>
          <w:lang w:val="en-US"/>
        </w:rPr>
        <w:t>Adriaanse &amp; Kuijl, 2006,</w:t>
      </w:r>
      <w:r w:rsidRPr="00454CA5">
        <w:rPr>
          <w:rFonts w:ascii="Arial" w:hAnsi="Arial" w:cs="Arial"/>
          <w:b/>
          <w:bCs/>
          <w:i/>
          <w:iCs/>
          <w:lang w:val="en-US"/>
        </w:rPr>
        <w:t xml:space="preserve"> Pajunen, 2006, Sudarsanam, S, Lai, J., 2001, Schmitt, A.,</w:t>
      </w:r>
      <w:r w:rsidR="003E4033" w:rsidRPr="00454CA5">
        <w:rPr>
          <w:rFonts w:ascii="Arial" w:hAnsi="Arial" w:cs="Arial"/>
          <w:b/>
          <w:bCs/>
          <w:i/>
          <w:iCs/>
          <w:lang w:val="en-US"/>
        </w:rPr>
        <w:t xml:space="preserve"> </w:t>
      </w:r>
      <w:r w:rsidRPr="00454CA5">
        <w:rPr>
          <w:rFonts w:ascii="Arial" w:hAnsi="Arial" w:cs="Arial"/>
          <w:b/>
          <w:bCs/>
          <w:i/>
          <w:iCs/>
          <w:lang w:val="en-US"/>
        </w:rPr>
        <w:t>Raisch, S., 2013) applied in this case? If yes, explain in what way. If no, detail what in</w:t>
      </w:r>
      <w:r w:rsidR="003E4033" w:rsidRPr="00454CA5">
        <w:rPr>
          <w:rFonts w:ascii="Arial" w:hAnsi="Arial" w:cs="Arial"/>
          <w:b/>
          <w:bCs/>
          <w:i/>
          <w:iCs/>
          <w:lang w:val="en-US"/>
        </w:rPr>
        <w:t xml:space="preserve"> </w:t>
      </w:r>
      <w:r w:rsidRPr="00454CA5">
        <w:rPr>
          <w:rFonts w:ascii="Arial" w:hAnsi="Arial" w:cs="Arial"/>
          <w:b/>
          <w:bCs/>
          <w:i/>
          <w:iCs/>
          <w:lang w:val="en-US"/>
        </w:rPr>
        <w:t>your opinion should have been done differently.</w:t>
      </w:r>
    </w:p>
    <w:p w14:paraId="65E3E65F" w14:textId="217E58D4" w:rsidR="00452158" w:rsidRPr="00712149" w:rsidRDefault="000136D2" w:rsidP="00FC7BA6">
      <w:pPr>
        <w:pStyle w:val="ListParagraph"/>
        <w:ind w:left="567"/>
        <w:contextualSpacing w:val="0"/>
        <w:jc w:val="both"/>
        <w:rPr>
          <w:rFonts w:ascii="Arial" w:hAnsi="Arial" w:cs="Arial"/>
          <w:b/>
          <w:bCs/>
          <w:i/>
          <w:iCs/>
          <w:lang w:val="en-US"/>
        </w:rPr>
      </w:pPr>
      <w:r>
        <w:rPr>
          <w:rFonts w:ascii="Arial" w:hAnsi="Arial" w:cs="Arial"/>
          <w:lang w:val="en-US"/>
        </w:rPr>
        <w:t xml:space="preserve">While not completely, some of the turnaround/reorganization approaches presented in the reading material was applied in the extant case, as set out below: </w:t>
      </w:r>
    </w:p>
    <w:p w14:paraId="3FAEF8B5" w14:textId="6D314E6C" w:rsidR="0094262A" w:rsidRPr="0094262A" w:rsidRDefault="00B850E5" w:rsidP="004D6CCD">
      <w:pPr>
        <w:pStyle w:val="ListParagraph"/>
        <w:numPr>
          <w:ilvl w:val="1"/>
          <w:numId w:val="1"/>
        </w:numPr>
        <w:ind w:left="567" w:hanging="567"/>
        <w:contextualSpacing w:val="0"/>
        <w:jc w:val="both"/>
        <w:rPr>
          <w:rFonts w:ascii="Arial" w:hAnsi="Arial" w:cs="Arial"/>
          <w:b/>
          <w:bCs/>
          <w:i/>
          <w:iCs/>
          <w:lang w:val="en-US"/>
        </w:rPr>
      </w:pPr>
      <w:r>
        <w:rPr>
          <w:rFonts w:ascii="Arial" w:hAnsi="Arial" w:cs="Arial"/>
          <w:lang w:val="en-US"/>
        </w:rPr>
        <w:t xml:space="preserve">One of crucial aspect of rescue </w:t>
      </w:r>
      <w:r w:rsidR="005851AF">
        <w:rPr>
          <w:rFonts w:ascii="Arial" w:hAnsi="Arial" w:cs="Arial"/>
          <w:lang w:val="en-US"/>
        </w:rPr>
        <w:t xml:space="preserve">that has been identified for rescue/reorganization is involvement of </w:t>
      </w:r>
      <w:r w:rsidR="005851AF" w:rsidRPr="007E1501">
        <w:rPr>
          <w:rFonts w:ascii="Arial" w:hAnsi="Arial" w:cs="Arial"/>
          <w:i/>
          <w:iCs/>
          <w:lang w:val="en-US"/>
        </w:rPr>
        <w:t>directly affected parties</w:t>
      </w:r>
      <w:r w:rsidR="005851AF">
        <w:rPr>
          <w:rFonts w:ascii="Arial" w:hAnsi="Arial" w:cs="Arial"/>
          <w:lang w:val="en-US"/>
        </w:rPr>
        <w:t xml:space="preserve"> in the reorganization </w:t>
      </w:r>
      <w:r w:rsidR="001340E0">
        <w:rPr>
          <w:rFonts w:ascii="Arial" w:hAnsi="Arial" w:cs="Arial"/>
          <w:lang w:val="en-US"/>
        </w:rPr>
        <w:t>(</w:t>
      </w:r>
      <w:r w:rsidR="0011550D" w:rsidRPr="0011550D">
        <w:rPr>
          <w:rFonts w:ascii="Arial" w:hAnsi="Arial" w:cs="Arial"/>
          <w:lang w:val="en-US"/>
        </w:rPr>
        <w:t>Adriaanse &amp; Kuijl</w:t>
      </w:r>
      <w:r w:rsidR="0011550D">
        <w:rPr>
          <w:rFonts w:ascii="Arial" w:hAnsi="Arial" w:cs="Arial"/>
          <w:lang w:val="en-US"/>
        </w:rPr>
        <w:t xml:space="preserve"> (</w:t>
      </w:r>
      <w:r w:rsidR="0011550D" w:rsidRPr="0011550D">
        <w:rPr>
          <w:rFonts w:ascii="Arial" w:hAnsi="Arial" w:cs="Arial"/>
          <w:lang w:val="en-US"/>
        </w:rPr>
        <w:t>2006</w:t>
      </w:r>
      <w:r w:rsidR="0011550D">
        <w:rPr>
          <w:rFonts w:ascii="Arial" w:hAnsi="Arial" w:cs="Arial"/>
          <w:lang w:val="en-US"/>
        </w:rPr>
        <w:t>)</w:t>
      </w:r>
      <w:r w:rsidR="001340E0">
        <w:rPr>
          <w:rFonts w:ascii="Arial" w:hAnsi="Arial" w:cs="Arial"/>
          <w:lang w:val="en-US"/>
        </w:rPr>
        <w:t>)</w:t>
      </w:r>
      <w:r w:rsidR="00B43A59">
        <w:rPr>
          <w:rFonts w:ascii="Arial" w:hAnsi="Arial" w:cs="Arial"/>
          <w:lang w:val="en-US"/>
        </w:rPr>
        <w:t>.</w:t>
      </w:r>
      <w:r w:rsidR="0011550D">
        <w:rPr>
          <w:rStyle w:val="FootnoteReference"/>
          <w:rFonts w:ascii="Arial" w:hAnsi="Arial" w:cs="Arial"/>
          <w:lang w:val="en-US"/>
        </w:rPr>
        <w:footnoteReference w:id="10"/>
      </w:r>
      <w:r w:rsidR="00B43A59">
        <w:rPr>
          <w:rFonts w:ascii="Arial" w:hAnsi="Arial" w:cs="Arial"/>
          <w:lang w:val="en-US"/>
        </w:rPr>
        <w:t xml:space="preserve"> In the present instance, the Banks A, B, C and D</w:t>
      </w:r>
      <w:r w:rsidR="00B71548">
        <w:rPr>
          <w:rFonts w:ascii="Arial" w:hAnsi="Arial" w:cs="Arial"/>
          <w:lang w:val="en-US"/>
        </w:rPr>
        <w:t xml:space="preserve"> (</w:t>
      </w:r>
      <w:r w:rsidR="00B71548">
        <w:rPr>
          <w:rFonts w:ascii="Arial" w:hAnsi="Arial" w:cs="Arial"/>
          <w:b/>
          <w:bCs/>
          <w:lang w:val="en-US"/>
        </w:rPr>
        <w:t>Specified Banks</w:t>
      </w:r>
      <w:r w:rsidR="00B71548">
        <w:rPr>
          <w:rFonts w:ascii="Arial" w:hAnsi="Arial" w:cs="Arial"/>
          <w:lang w:val="en-US"/>
        </w:rPr>
        <w:t>)</w:t>
      </w:r>
      <w:r w:rsidR="00B43A59">
        <w:rPr>
          <w:rFonts w:ascii="Arial" w:hAnsi="Arial" w:cs="Arial"/>
          <w:lang w:val="en-US"/>
        </w:rPr>
        <w:t xml:space="preserve"> were </w:t>
      </w:r>
      <w:r w:rsidR="001F16A1">
        <w:rPr>
          <w:rFonts w:ascii="Arial" w:hAnsi="Arial" w:cs="Arial"/>
          <w:lang w:val="en-US"/>
        </w:rPr>
        <w:t>involved</w:t>
      </w:r>
      <w:r w:rsidR="00B43A59">
        <w:rPr>
          <w:rFonts w:ascii="Arial" w:hAnsi="Arial" w:cs="Arial"/>
          <w:lang w:val="en-US"/>
        </w:rPr>
        <w:t xml:space="preserve"> in the whole process. Apart from</w:t>
      </w:r>
      <w:r w:rsidR="001F16A1">
        <w:rPr>
          <w:rFonts w:ascii="Arial" w:hAnsi="Arial" w:cs="Arial"/>
          <w:lang w:val="en-US"/>
        </w:rPr>
        <w:t xml:space="preserve"> brief period of </w:t>
      </w:r>
      <w:r w:rsidR="001F16A1">
        <w:rPr>
          <w:rFonts w:ascii="Arial" w:hAnsi="Arial" w:cs="Arial"/>
          <w:i/>
          <w:iCs/>
          <w:lang w:val="en-US"/>
        </w:rPr>
        <w:t xml:space="preserve">inter se </w:t>
      </w:r>
      <w:r w:rsidR="001F16A1">
        <w:rPr>
          <w:rFonts w:ascii="Arial" w:hAnsi="Arial" w:cs="Arial"/>
          <w:lang w:val="en-US"/>
        </w:rPr>
        <w:t xml:space="preserve">disputes, they </w:t>
      </w:r>
      <w:r w:rsidR="00585E75">
        <w:rPr>
          <w:rFonts w:ascii="Arial" w:hAnsi="Arial" w:cs="Arial"/>
          <w:lang w:val="en-US"/>
        </w:rPr>
        <w:t>were patient and showed confidence in the viability of the business</w:t>
      </w:r>
      <w:r w:rsidR="0020400C">
        <w:rPr>
          <w:rFonts w:ascii="Arial" w:hAnsi="Arial" w:cs="Arial"/>
          <w:lang w:val="en-US"/>
        </w:rPr>
        <w:t xml:space="preserve">. </w:t>
      </w:r>
      <w:r w:rsidR="0094262A">
        <w:rPr>
          <w:rFonts w:ascii="Arial" w:hAnsi="Arial" w:cs="Arial"/>
          <w:lang w:val="en-US"/>
        </w:rPr>
        <w:t xml:space="preserve">The lenders also restrained themselves from initiating legal proceedings and even rescheduled (implicitly) </w:t>
      </w:r>
      <w:r w:rsidR="001353C3">
        <w:rPr>
          <w:rFonts w:ascii="Arial" w:hAnsi="Arial" w:cs="Arial"/>
          <w:lang w:val="en-US"/>
        </w:rPr>
        <w:t xml:space="preserve">the amounts due in December 2013. </w:t>
      </w:r>
      <w:r w:rsidR="0094262A">
        <w:rPr>
          <w:rFonts w:ascii="Arial" w:hAnsi="Arial" w:cs="Arial"/>
          <w:lang w:val="en-US"/>
        </w:rPr>
        <w:t xml:space="preserve"> </w:t>
      </w:r>
    </w:p>
    <w:p w14:paraId="444076DD" w14:textId="77777777" w:rsidR="005F0E10" w:rsidRDefault="0020400C" w:rsidP="003F5DC5">
      <w:pPr>
        <w:pStyle w:val="ListParagraph"/>
        <w:ind w:left="567"/>
        <w:jc w:val="both"/>
        <w:rPr>
          <w:rFonts w:ascii="Arial" w:hAnsi="Arial" w:cs="Arial"/>
          <w:lang w:val="en-US"/>
        </w:rPr>
      </w:pPr>
      <w:r>
        <w:rPr>
          <w:rFonts w:ascii="Arial" w:hAnsi="Arial" w:cs="Arial"/>
          <w:lang w:val="en-US"/>
        </w:rPr>
        <w:t xml:space="preserve">Having said that, other </w:t>
      </w:r>
      <w:r w:rsidR="001E7846">
        <w:rPr>
          <w:rFonts w:ascii="Arial" w:hAnsi="Arial" w:cs="Arial"/>
          <w:lang w:val="en-US"/>
        </w:rPr>
        <w:t xml:space="preserve">important aspect in relation to </w:t>
      </w:r>
      <w:r w:rsidR="001E7846">
        <w:rPr>
          <w:rFonts w:ascii="Arial" w:hAnsi="Arial" w:cs="Arial"/>
          <w:i/>
          <w:iCs/>
          <w:lang w:val="en-US"/>
        </w:rPr>
        <w:t xml:space="preserve">prompt action </w:t>
      </w:r>
      <w:r w:rsidR="00E40F33">
        <w:rPr>
          <w:rFonts w:ascii="Arial" w:hAnsi="Arial" w:cs="Arial"/>
          <w:i/>
          <w:iCs/>
          <w:lang w:val="en-US"/>
        </w:rPr>
        <w:t xml:space="preserve">by the management </w:t>
      </w:r>
      <w:r w:rsidR="001F1F11">
        <w:rPr>
          <w:rFonts w:ascii="Arial" w:hAnsi="Arial" w:cs="Arial"/>
          <w:lang w:val="en-US"/>
        </w:rPr>
        <w:t xml:space="preserve">of </w:t>
      </w:r>
      <w:r w:rsidR="001F1F11" w:rsidRPr="00454CA5">
        <w:rPr>
          <w:rFonts w:ascii="Arial" w:hAnsi="Arial" w:cs="Arial"/>
          <w:lang w:val="en-US"/>
        </w:rPr>
        <w:t>Flow Management Holding BV (</w:t>
      </w:r>
      <w:r w:rsidR="001F1F11" w:rsidRPr="00454CA5">
        <w:rPr>
          <w:rFonts w:ascii="Arial" w:hAnsi="Arial" w:cs="Arial"/>
          <w:b/>
          <w:bCs/>
          <w:lang w:val="en-US"/>
        </w:rPr>
        <w:t>FMHB</w:t>
      </w:r>
      <w:r w:rsidR="001F1F11" w:rsidRPr="00454CA5">
        <w:rPr>
          <w:rFonts w:ascii="Arial" w:hAnsi="Arial" w:cs="Arial"/>
          <w:lang w:val="en-US"/>
        </w:rPr>
        <w:t xml:space="preserve">) </w:t>
      </w:r>
      <w:r w:rsidR="001F1F11" w:rsidRPr="00E76A73">
        <w:rPr>
          <w:rFonts w:ascii="Arial" w:hAnsi="Arial" w:cs="Arial"/>
          <w:lang w:val="en-US"/>
        </w:rPr>
        <w:t xml:space="preserve">and </w:t>
      </w:r>
      <w:r w:rsidR="001F1F11" w:rsidRPr="00E76A73">
        <w:rPr>
          <w:rFonts w:ascii="Arial" w:hAnsi="Arial" w:cs="Arial"/>
        </w:rPr>
        <w:t>Lease Group Holding United Kingdom Ltd. (</w:t>
      </w:r>
      <w:r w:rsidR="001F1F11" w:rsidRPr="00E76A73">
        <w:rPr>
          <w:rFonts w:ascii="Arial" w:hAnsi="Arial" w:cs="Arial"/>
          <w:b/>
          <w:bCs/>
        </w:rPr>
        <w:t>Shareholder Company</w:t>
      </w:r>
      <w:r w:rsidR="001F1F11" w:rsidRPr="00E76A73">
        <w:rPr>
          <w:rFonts w:ascii="Arial" w:hAnsi="Arial" w:cs="Arial"/>
        </w:rPr>
        <w:t>)</w:t>
      </w:r>
      <w:r w:rsidR="003C2164">
        <w:rPr>
          <w:rFonts w:ascii="Arial" w:hAnsi="Arial" w:cs="Arial"/>
        </w:rPr>
        <w:t xml:space="preserve"> </w:t>
      </w:r>
      <w:r w:rsidR="00E40F33">
        <w:rPr>
          <w:rFonts w:ascii="Arial" w:hAnsi="Arial" w:cs="Arial"/>
          <w:lang w:val="en-US"/>
        </w:rPr>
        <w:t xml:space="preserve">was lacking during the whole tenure </w:t>
      </w:r>
      <w:r w:rsidR="00B757B5">
        <w:rPr>
          <w:rFonts w:ascii="Arial" w:hAnsi="Arial" w:cs="Arial"/>
          <w:lang w:val="en-US"/>
        </w:rPr>
        <w:t xml:space="preserve">of turnaround process. It was only after a lot of </w:t>
      </w:r>
      <w:r w:rsidR="007241FE">
        <w:rPr>
          <w:rFonts w:ascii="Arial" w:hAnsi="Arial" w:cs="Arial"/>
          <w:lang w:val="en-US"/>
        </w:rPr>
        <w:t>nudges</w:t>
      </w:r>
      <w:r w:rsidR="007438A6">
        <w:rPr>
          <w:rFonts w:ascii="Arial" w:hAnsi="Arial" w:cs="Arial"/>
          <w:lang w:val="en-US"/>
        </w:rPr>
        <w:t xml:space="preserve"> by the creditors,</w:t>
      </w:r>
      <w:r w:rsidR="00B757B5">
        <w:rPr>
          <w:rFonts w:ascii="Arial" w:hAnsi="Arial" w:cs="Arial"/>
          <w:lang w:val="en-US"/>
        </w:rPr>
        <w:t xml:space="preserve"> that the management and the </w:t>
      </w:r>
      <w:r w:rsidR="00134A0D">
        <w:rPr>
          <w:rFonts w:ascii="Arial" w:hAnsi="Arial" w:cs="Arial"/>
          <w:lang w:val="en-US"/>
        </w:rPr>
        <w:t>S</w:t>
      </w:r>
      <w:r w:rsidR="00B757B5">
        <w:rPr>
          <w:rFonts w:ascii="Arial" w:hAnsi="Arial" w:cs="Arial"/>
          <w:lang w:val="en-US"/>
        </w:rPr>
        <w:t xml:space="preserve">hareholder </w:t>
      </w:r>
      <w:r w:rsidR="00134A0D">
        <w:rPr>
          <w:rFonts w:ascii="Arial" w:hAnsi="Arial" w:cs="Arial"/>
          <w:lang w:val="en-US"/>
        </w:rPr>
        <w:t>C</w:t>
      </w:r>
      <w:r w:rsidR="00B757B5">
        <w:rPr>
          <w:rFonts w:ascii="Arial" w:hAnsi="Arial" w:cs="Arial"/>
          <w:lang w:val="en-US"/>
        </w:rPr>
        <w:t xml:space="preserve">ompany agreed to undertake the necessary corrective actions and hold their end of the bargain (by providing much needed risk capital), which in turn did help in improving the </w:t>
      </w:r>
      <w:r w:rsidR="00F9134B">
        <w:rPr>
          <w:rFonts w:ascii="Arial" w:hAnsi="Arial" w:cs="Arial"/>
          <w:lang w:val="en-US"/>
        </w:rPr>
        <w:t xml:space="preserve">solvency of the company. In my humble opinion, </w:t>
      </w:r>
      <w:r w:rsidR="00A46720">
        <w:rPr>
          <w:rFonts w:ascii="Arial" w:hAnsi="Arial" w:cs="Arial"/>
          <w:lang w:val="en-US"/>
        </w:rPr>
        <w:t>more proactive and willing role by the management in the very beginning could have helped in early revival of the company</w:t>
      </w:r>
      <w:r w:rsidR="004D6394">
        <w:rPr>
          <w:rFonts w:ascii="Arial" w:hAnsi="Arial" w:cs="Arial"/>
          <w:lang w:val="en-US"/>
        </w:rPr>
        <w:t xml:space="preserve">. </w:t>
      </w:r>
      <w:r w:rsidR="00286C1B">
        <w:rPr>
          <w:rFonts w:ascii="Arial" w:hAnsi="Arial" w:cs="Arial"/>
          <w:lang w:val="en-US"/>
        </w:rPr>
        <w:t>Further, disclosure</w:t>
      </w:r>
      <w:r w:rsidR="004E66BB">
        <w:rPr>
          <w:rFonts w:ascii="Arial" w:hAnsi="Arial" w:cs="Arial"/>
          <w:lang w:val="en-US"/>
        </w:rPr>
        <w:t xml:space="preserve">/transmission </w:t>
      </w:r>
      <w:r w:rsidR="00286C1B">
        <w:rPr>
          <w:rFonts w:ascii="Arial" w:hAnsi="Arial" w:cs="Arial"/>
          <w:lang w:val="en-US"/>
        </w:rPr>
        <w:t>of complete and accurate information</w:t>
      </w:r>
      <w:r w:rsidR="0000602C">
        <w:rPr>
          <w:rFonts w:ascii="Arial" w:hAnsi="Arial" w:cs="Arial"/>
          <w:lang w:val="en-US"/>
        </w:rPr>
        <w:t xml:space="preserve"> in a transparent manner</w:t>
      </w:r>
      <w:r w:rsidR="00286C1B">
        <w:rPr>
          <w:rFonts w:ascii="Arial" w:hAnsi="Arial" w:cs="Arial"/>
          <w:lang w:val="en-US"/>
        </w:rPr>
        <w:t xml:space="preserve"> by</w:t>
      </w:r>
      <w:r w:rsidR="00D468A0">
        <w:rPr>
          <w:rFonts w:ascii="Arial" w:hAnsi="Arial" w:cs="Arial"/>
          <w:lang w:val="en-US"/>
        </w:rPr>
        <w:t xml:space="preserve"> the management would have also helped in </w:t>
      </w:r>
      <w:r w:rsidR="001A2FDC">
        <w:rPr>
          <w:rFonts w:ascii="Arial" w:hAnsi="Arial" w:cs="Arial"/>
          <w:lang w:val="en-US"/>
        </w:rPr>
        <w:t xml:space="preserve">avoiding </w:t>
      </w:r>
      <w:r w:rsidR="00D468A0">
        <w:rPr>
          <w:rFonts w:ascii="Arial" w:hAnsi="Arial" w:cs="Arial"/>
          <w:lang w:val="en-US"/>
        </w:rPr>
        <w:t xml:space="preserve">unnecessary delays caused on that </w:t>
      </w:r>
      <w:r w:rsidR="00BC2F90">
        <w:rPr>
          <w:rFonts w:ascii="Arial" w:hAnsi="Arial" w:cs="Arial"/>
          <w:lang w:val="en-US"/>
        </w:rPr>
        <w:t>account and</w:t>
      </w:r>
      <w:r w:rsidR="00286C1B">
        <w:rPr>
          <w:rFonts w:ascii="Arial" w:hAnsi="Arial" w:cs="Arial"/>
          <w:lang w:val="en-US"/>
        </w:rPr>
        <w:t xml:space="preserve"> </w:t>
      </w:r>
      <w:r w:rsidR="001A2FDC">
        <w:rPr>
          <w:rFonts w:ascii="Arial" w:hAnsi="Arial" w:cs="Arial"/>
          <w:lang w:val="en-US"/>
        </w:rPr>
        <w:t xml:space="preserve">at the same time </w:t>
      </w:r>
      <w:r w:rsidR="008E4F30">
        <w:rPr>
          <w:rFonts w:ascii="Arial" w:hAnsi="Arial" w:cs="Arial"/>
          <w:lang w:val="en-US"/>
        </w:rPr>
        <w:t xml:space="preserve">loss of confidence by the lenders could have been minimized. </w:t>
      </w:r>
      <w:r w:rsidR="004D6394">
        <w:rPr>
          <w:rFonts w:ascii="Arial" w:hAnsi="Arial" w:cs="Arial"/>
          <w:lang w:val="en-US"/>
        </w:rPr>
        <w:t xml:space="preserve">In this regard, </w:t>
      </w:r>
      <w:r w:rsidR="00E231A0">
        <w:rPr>
          <w:rFonts w:ascii="Arial" w:hAnsi="Arial" w:cs="Arial"/>
          <w:lang w:val="en-US"/>
        </w:rPr>
        <w:t xml:space="preserve">the </w:t>
      </w:r>
      <w:r w:rsidR="00B35441">
        <w:rPr>
          <w:rFonts w:ascii="Arial" w:hAnsi="Arial" w:cs="Arial"/>
          <w:lang w:val="en-US"/>
        </w:rPr>
        <w:t xml:space="preserve">fifth principle of </w:t>
      </w:r>
      <w:r w:rsidR="00E231A0">
        <w:rPr>
          <w:rFonts w:ascii="Arial" w:hAnsi="Arial" w:cs="Arial"/>
          <w:lang w:val="en-US"/>
        </w:rPr>
        <w:t xml:space="preserve">Statement of Principles of INSOL International </w:t>
      </w:r>
      <w:r w:rsidR="003F5DC5">
        <w:rPr>
          <w:rFonts w:ascii="Arial" w:hAnsi="Arial" w:cs="Arial"/>
          <w:lang w:val="en-US"/>
        </w:rPr>
        <w:t xml:space="preserve">(i.e., </w:t>
      </w:r>
      <w:r w:rsidR="003F5DC5" w:rsidRPr="00CC333F">
        <w:rPr>
          <w:rFonts w:ascii="Arial" w:hAnsi="Arial" w:cs="Arial"/>
          <w:i/>
          <w:iCs/>
          <w:lang w:val="en-US"/>
        </w:rPr>
        <w:t>debtor should provide, and</w:t>
      </w:r>
      <w:r w:rsidR="003F5DC5" w:rsidRPr="00CC333F">
        <w:rPr>
          <w:rFonts w:ascii="Arial" w:hAnsi="Arial" w:cs="Arial"/>
          <w:i/>
          <w:iCs/>
          <w:lang w:val="en-US"/>
        </w:rPr>
        <w:t xml:space="preserve"> </w:t>
      </w:r>
      <w:r w:rsidR="003F5DC5" w:rsidRPr="00CC333F">
        <w:rPr>
          <w:rFonts w:ascii="Arial" w:hAnsi="Arial" w:cs="Arial"/>
          <w:i/>
          <w:iCs/>
          <w:lang w:val="en-US"/>
        </w:rPr>
        <w:t>allow relevant creditors and/or their professional advisers reasonable and timely</w:t>
      </w:r>
      <w:r w:rsidR="003F5DC5" w:rsidRPr="00CC333F">
        <w:rPr>
          <w:rFonts w:ascii="Arial" w:hAnsi="Arial" w:cs="Arial"/>
          <w:i/>
          <w:iCs/>
          <w:lang w:val="en-US"/>
        </w:rPr>
        <w:t xml:space="preserve"> </w:t>
      </w:r>
      <w:r w:rsidR="003F5DC5" w:rsidRPr="00CC333F">
        <w:rPr>
          <w:rFonts w:ascii="Arial" w:hAnsi="Arial" w:cs="Arial"/>
          <w:i/>
          <w:iCs/>
          <w:lang w:val="en-US"/>
        </w:rPr>
        <w:t>access to, all relevant information relating to its assets, liabilities, business and</w:t>
      </w:r>
      <w:r w:rsidR="004F3D02" w:rsidRPr="00CC333F">
        <w:rPr>
          <w:rFonts w:ascii="Arial" w:hAnsi="Arial" w:cs="Arial"/>
          <w:i/>
          <w:iCs/>
          <w:lang w:val="en-US"/>
        </w:rPr>
        <w:t xml:space="preserve"> </w:t>
      </w:r>
      <w:r w:rsidR="003F5DC5" w:rsidRPr="00CC333F">
        <w:rPr>
          <w:rFonts w:ascii="Arial" w:hAnsi="Arial" w:cs="Arial"/>
          <w:i/>
          <w:iCs/>
          <w:lang w:val="en-US"/>
        </w:rPr>
        <w:t>prospects, in order to enable proper evaluation to be made of its financial</w:t>
      </w:r>
      <w:r w:rsidR="008D5273" w:rsidRPr="00CC333F">
        <w:rPr>
          <w:rFonts w:ascii="Arial" w:hAnsi="Arial" w:cs="Arial"/>
          <w:i/>
          <w:iCs/>
          <w:lang w:val="en-US"/>
        </w:rPr>
        <w:t xml:space="preserve"> </w:t>
      </w:r>
      <w:r w:rsidR="003F5DC5" w:rsidRPr="00CC333F">
        <w:rPr>
          <w:rFonts w:ascii="Arial" w:hAnsi="Arial" w:cs="Arial"/>
          <w:i/>
          <w:iCs/>
          <w:lang w:val="en-US"/>
        </w:rPr>
        <w:t>position and any proposals to be made to relevant creditors</w:t>
      </w:r>
      <w:r w:rsidR="003F5DC5">
        <w:rPr>
          <w:rFonts w:ascii="Arial" w:hAnsi="Arial" w:cs="Arial"/>
          <w:lang w:val="en-US"/>
        </w:rPr>
        <w:t xml:space="preserve">) </w:t>
      </w:r>
      <w:r w:rsidR="00F062AB">
        <w:rPr>
          <w:rFonts w:ascii="Arial" w:hAnsi="Arial" w:cs="Arial"/>
          <w:lang w:val="en-US"/>
        </w:rPr>
        <w:t xml:space="preserve">should have been adhered to by </w:t>
      </w:r>
      <w:r w:rsidR="005F0E10">
        <w:rPr>
          <w:rFonts w:ascii="Arial" w:hAnsi="Arial" w:cs="Arial"/>
          <w:lang w:val="en-US"/>
        </w:rPr>
        <w:t>FMHB and the Shareholder Company</w:t>
      </w:r>
      <w:r w:rsidR="00231A15">
        <w:rPr>
          <w:rFonts w:ascii="Arial" w:hAnsi="Arial" w:cs="Arial"/>
          <w:lang w:val="en-US"/>
        </w:rPr>
        <w:t>.</w:t>
      </w:r>
    </w:p>
    <w:p w14:paraId="072289F9" w14:textId="103B0BCD" w:rsidR="00712149" w:rsidRPr="00454CA5" w:rsidRDefault="00231A15" w:rsidP="003F5DC5">
      <w:pPr>
        <w:pStyle w:val="ListParagraph"/>
        <w:spacing w:line="240" w:lineRule="auto"/>
        <w:ind w:left="567"/>
        <w:jc w:val="both"/>
        <w:rPr>
          <w:rFonts w:ascii="Arial" w:hAnsi="Arial" w:cs="Arial"/>
          <w:b/>
          <w:bCs/>
          <w:i/>
          <w:iCs/>
          <w:lang w:val="en-US"/>
        </w:rPr>
      </w:pPr>
      <w:r>
        <w:rPr>
          <w:rFonts w:ascii="Arial" w:hAnsi="Arial" w:cs="Arial"/>
          <w:lang w:val="en-US"/>
        </w:rPr>
        <w:t xml:space="preserve"> </w:t>
      </w:r>
    </w:p>
    <w:p w14:paraId="54D9E26C" w14:textId="77777777" w:rsidR="0023147C" w:rsidRDefault="00111F05" w:rsidP="008E5A17">
      <w:pPr>
        <w:pStyle w:val="ListParagraph"/>
        <w:numPr>
          <w:ilvl w:val="1"/>
          <w:numId w:val="1"/>
        </w:numPr>
        <w:ind w:left="567" w:hanging="567"/>
        <w:contextualSpacing w:val="0"/>
        <w:jc w:val="both"/>
        <w:rPr>
          <w:rFonts w:ascii="Arial" w:hAnsi="Arial" w:cs="Arial"/>
          <w:lang w:val="en-US"/>
        </w:rPr>
      </w:pPr>
      <w:r>
        <w:rPr>
          <w:rFonts w:ascii="Arial" w:hAnsi="Arial" w:cs="Arial"/>
          <w:lang w:val="en-US"/>
        </w:rPr>
        <w:t xml:space="preserve">For the purpose of assessing the effectiveness of </w:t>
      </w:r>
      <w:r w:rsidR="00EB095A">
        <w:rPr>
          <w:rFonts w:ascii="Arial" w:hAnsi="Arial" w:cs="Arial"/>
          <w:lang w:val="en-US"/>
        </w:rPr>
        <w:t xml:space="preserve">turnaround </w:t>
      </w:r>
      <w:r>
        <w:rPr>
          <w:rFonts w:ascii="Arial" w:hAnsi="Arial" w:cs="Arial"/>
          <w:lang w:val="en-US"/>
        </w:rPr>
        <w:t xml:space="preserve">strategies, </w:t>
      </w:r>
      <w:r w:rsidR="00C20365">
        <w:rPr>
          <w:rFonts w:ascii="Arial" w:hAnsi="Arial" w:cs="Arial"/>
          <w:lang w:val="en-US"/>
        </w:rPr>
        <w:t xml:space="preserve">some of the </w:t>
      </w:r>
      <w:r w:rsidR="004A6BCE">
        <w:rPr>
          <w:rFonts w:ascii="Arial" w:hAnsi="Arial" w:cs="Arial"/>
          <w:lang w:val="en-US"/>
        </w:rPr>
        <w:t>scholars</w:t>
      </w:r>
      <w:r w:rsidR="00C20365">
        <w:rPr>
          <w:rFonts w:ascii="Arial" w:hAnsi="Arial" w:cs="Arial"/>
          <w:lang w:val="en-US"/>
        </w:rPr>
        <w:t xml:space="preserve"> have placed</w:t>
      </w:r>
      <w:r w:rsidR="006C22FE">
        <w:rPr>
          <w:rFonts w:ascii="Arial" w:hAnsi="Arial" w:cs="Arial"/>
          <w:lang w:val="en-US"/>
        </w:rPr>
        <w:t xml:space="preserve"> e</w:t>
      </w:r>
      <w:r>
        <w:rPr>
          <w:rFonts w:ascii="Arial" w:hAnsi="Arial" w:cs="Arial"/>
          <w:lang w:val="en-US"/>
        </w:rPr>
        <w:t>m</w:t>
      </w:r>
      <w:r w:rsidR="00AB5B3E">
        <w:rPr>
          <w:rFonts w:ascii="Arial" w:hAnsi="Arial" w:cs="Arial"/>
          <w:lang w:val="en-US"/>
        </w:rPr>
        <w:t>phasis on</w:t>
      </w:r>
      <w:r w:rsidR="005F3DFF">
        <w:rPr>
          <w:rFonts w:ascii="Arial" w:hAnsi="Arial" w:cs="Arial"/>
          <w:lang w:val="en-US"/>
        </w:rPr>
        <w:t xml:space="preserve"> </w:t>
      </w:r>
      <w:r w:rsidR="00384C04" w:rsidRPr="002B20CE">
        <w:rPr>
          <w:rFonts w:ascii="Arial" w:hAnsi="Arial" w:cs="Arial"/>
          <w:lang w:val="en-US"/>
        </w:rPr>
        <w:t xml:space="preserve">the </w:t>
      </w:r>
      <w:r w:rsidR="00384C04" w:rsidRPr="00E1542E">
        <w:rPr>
          <w:rFonts w:ascii="Arial" w:hAnsi="Arial" w:cs="Arial"/>
          <w:i/>
          <w:iCs/>
          <w:lang w:val="en-US"/>
        </w:rPr>
        <w:t>impact of timing, intensity and implementation of strategies on corporate recovery</w:t>
      </w:r>
      <w:r w:rsidR="0005426B">
        <w:rPr>
          <w:rFonts w:ascii="Arial" w:hAnsi="Arial" w:cs="Arial"/>
          <w:i/>
          <w:iCs/>
          <w:lang w:val="en-US"/>
        </w:rPr>
        <w:softHyphen/>
      </w:r>
      <w:r w:rsidR="00F87729">
        <w:rPr>
          <w:rFonts w:ascii="Arial" w:hAnsi="Arial" w:cs="Arial"/>
          <w:lang w:val="en-US"/>
        </w:rPr>
        <w:t xml:space="preserve">, while evaluating the strategies adopted by the recovery and non-recovery firms </w:t>
      </w:r>
      <w:r w:rsidR="00EA186D">
        <w:rPr>
          <w:rFonts w:ascii="Arial" w:hAnsi="Arial" w:cs="Arial"/>
          <w:lang w:val="en-US"/>
        </w:rPr>
        <w:t>(</w:t>
      </w:r>
      <w:r w:rsidR="00EA186D" w:rsidRPr="002279FC">
        <w:rPr>
          <w:rFonts w:ascii="Arial" w:hAnsi="Arial" w:cs="Arial"/>
          <w:lang w:val="en-US"/>
        </w:rPr>
        <w:t>Sudarsanam, S, Lai, J.</w:t>
      </w:r>
      <w:r w:rsidR="00EA186D">
        <w:rPr>
          <w:rFonts w:ascii="Arial" w:hAnsi="Arial" w:cs="Arial"/>
          <w:lang w:val="en-US"/>
        </w:rPr>
        <w:t xml:space="preserve"> (</w:t>
      </w:r>
      <w:r w:rsidR="00EA186D" w:rsidRPr="002279FC">
        <w:rPr>
          <w:rFonts w:ascii="Arial" w:hAnsi="Arial" w:cs="Arial"/>
          <w:lang w:val="en-US"/>
        </w:rPr>
        <w:t>200</w:t>
      </w:r>
      <w:r w:rsidR="00EA186D">
        <w:rPr>
          <w:rFonts w:ascii="Arial" w:hAnsi="Arial" w:cs="Arial"/>
          <w:lang w:val="en-US"/>
        </w:rPr>
        <w:t>1)</w:t>
      </w:r>
      <w:r w:rsidR="00EA186D">
        <w:rPr>
          <w:rFonts w:ascii="Arial" w:hAnsi="Arial" w:cs="Arial"/>
          <w:lang w:val="en-US"/>
        </w:rPr>
        <w:t>)</w:t>
      </w:r>
      <w:r w:rsidR="005C7315">
        <w:rPr>
          <w:rFonts w:ascii="Arial" w:hAnsi="Arial" w:cs="Arial"/>
          <w:lang w:val="en-US"/>
        </w:rPr>
        <w:t>.</w:t>
      </w:r>
      <w:r w:rsidR="0028639A">
        <w:rPr>
          <w:rStyle w:val="FootnoteReference"/>
          <w:rFonts w:ascii="Arial" w:hAnsi="Arial" w:cs="Arial"/>
          <w:lang w:val="en-US"/>
        </w:rPr>
        <w:footnoteReference w:id="11"/>
      </w:r>
      <w:r w:rsidR="005C7315">
        <w:rPr>
          <w:rFonts w:ascii="Arial" w:hAnsi="Arial" w:cs="Arial"/>
          <w:lang w:val="en-US"/>
        </w:rPr>
        <w:t xml:space="preserve"> </w:t>
      </w:r>
    </w:p>
    <w:p w14:paraId="25F2B81C" w14:textId="1D0C151E" w:rsidR="00B17E56" w:rsidRDefault="005C7315" w:rsidP="0023147C">
      <w:pPr>
        <w:pStyle w:val="ListParagraph"/>
        <w:ind w:left="567"/>
        <w:contextualSpacing w:val="0"/>
        <w:jc w:val="both"/>
        <w:rPr>
          <w:rFonts w:ascii="Arial" w:hAnsi="Arial" w:cs="Arial"/>
          <w:lang w:val="en-US"/>
        </w:rPr>
      </w:pPr>
      <w:r>
        <w:rPr>
          <w:rFonts w:ascii="Arial" w:hAnsi="Arial" w:cs="Arial"/>
          <w:lang w:val="en-US"/>
        </w:rPr>
        <w:t xml:space="preserve">In the present </w:t>
      </w:r>
      <w:r w:rsidR="00D95E4B">
        <w:rPr>
          <w:rFonts w:ascii="Arial" w:hAnsi="Arial" w:cs="Arial"/>
          <w:lang w:val="en-US"/>
        </w:rPr>
        <w:t>case</w:t>
      </w:r>
      <w:r>
        <w:rPr>
          <w:rFonts w:ascii="Arial" w:hAnsi="Arial" w:cs="Arial"/>
          <w:lang w:val="en-US"/>
        </w:rPr>
        <w:t xml:space="preserve">, </w:t>
      </w:r>
      <w:r w:rsidR="003C5891">
        <w:rPr>
          <w:rFonts w:ascii="Arial" w:hAnsi="Arial" w:cs="Arial"/>
          <w:lang w:val="en-US"/>
        </w:rPr>
        <w:t xml:space="preserve">the first response </w:t>
      </w:r>
      <w:r w:rsidR="00794A04">
        <w:rPr>
          <w:rFonts w:ascii="Arial" w:hAnsi="Arial" w:cs="Arial"/>
          <w:lang w:val="en-US"/>
        </w:rPr>
        <w:t>of</w:t>
      </w:r>
      <w:r w:rsidR="00C97728">
        <w:rPr>
          <w:rFonts w:ascii="Arial" w:hAnsi="Arial" w:cs="Arial"/>
          <w:lang w:val="en-US"/>
        </w:rPr>
        <w:t xml:space="preserve"> the management was to</w:t>
      </w:r>
      <w:r w:rsidR="004B25E6">
        <w:rPr>
          <w:rFonts w:ascii="Arial" w:hAnsi="Arial" w:cs="Arial"/>
          <w:lang w:val="en-US"/>
        </w:rPr>
        <w:t xml:space="preserve"> opt for</w:t>
      </w:r>
      <w:r>
        <w:rPr>
          <w:rFonts w:ascii="Arial" w:hAnsi="Arial" w:cs="Arial"/>
          <w:lang w:val="en-US"/>
        </w:rPr>
        <w:t xml:space="preserve"> operational restructuring</w:t>
      </w:r>
      <w:r w:rsidR="0039512C">
        <w:rPr>
          <w:rFonts w:ascii="Arial" w:hAnsi="Arial" w:cs="Arial"/>
          <w:lang w:val="en-US"/>
        </w:rPr>
        <w:t xml:space="preserve">, i.e., </w:t>
      </w:r>
      <w:r>
        <w:rPr>
          <w:rFonts w:ascii="Arial" w:hAnsi="Arial" w:cs="Arial"/>
          <w:lang w:val="en-US"/>
        </w:rPr>
        <w:t xml:space="preserve">by way of price increase and </w:t>
      </w:r>
      <w:r w:rsidR="00085600">
        <w:rPr>
          <w:rFonts w:ascii="Arial" w:hAnsi="Arial" w:cs="Arial"/>
          <w:lang w:val="en-US"/>
        </w:rPr>
        <w:t>layoffs</w:t>
      </w:r>
      <w:r w:rsidR="00E60F35">
        <w:rPr>
          <w:rFonts w:ascii="Arial" w:hAnsi="Arial" w:cs="Arial"/>
          <w:lang w:val="en-US"/>
        </w:rPr>
        <w:t xml:space="preserve"> in order to stabilize the performance and to restore the profitability. However, they did not focus on revenue generating strategies, which would have helped in the longer run in increasing the profitability. </w:t>
      </w:r>
      <w:r w:rsidR="00B54D91">
        <w:rPr>
          <w:rFonts w:ascii="Arial" w:hAnsi="Arial" w:cs="Arial"/>
          <w:lang w:val="en-US"/>
        </w:rPr>
        <w:t xml:space="preserve">FMHB also opted for </w:t>
      </w:r>
      <w:r w:rsidR="00085600">
        <w:rPr>
          <w:rFonts w:ascii="Arial" w:hAnsi="Arial" w:cs="Arial"/>
          <w:lang w:val="en-US"/>
        </w:rPr>
        <w:t>asset restructuring</w:t>
      </w:r>
      <w:r w:rsidR="00E927B3">
        <w:rPr>
          <w:rFonts w:ascii="Arial" w:hAnsi="Arial" w:cs="Arial"/>
          <w:lang w:val="en-US"/>
        </w:rPr>
        <w:t xml:space="preserve">, i.e., </w:t>
      </w:r>
      <w:r w:rsidR="00291ECE">
        <w:rPr>
          <w:rFonts w:ascii="Arial" w:hAnsi="Arial" w:cs="Arial"/>
          <w:lang w:val="en-US"/>
        </w:rPr>
        <w:t>divestment of subsidiaries-</w:t>
      </w:r>
      <w:r w:rsidR="00085600">
        <w:rPr>
          <w:rFonts w:ascii="Arial" w:hAnsi="Arial" w:cs="Arial"/>
          <w:lang w:val="en-US"/>
        </w:rPr>
        <w:t>albeit towards the end</w:t>
      </w:r>
      <w:r w:rsidR="00D354C0">
        <w:rPr>
          <w:rFonts w:ascii="Arial" w:hAnsi="Arial" w:cs="Arial"/>
          <w:lang w:val="en-US"/>
        </w:rPr>
        <w:t xml:space="preserve"> </w:t>
      </w:r>
      <w:r w:rsidR="00085600">
        <w:rPr>
          <w:rFonts w:ascii="Arial" w:hAnsi="Arial" w:cs="Arial"/>
          <w:lang w:val="en-US"/>
        </w:rPr>
        <w:t xml:space="preserve">and managerial restructuring </w:t>
      </w:r>
      <w:r w:rsidR="00EC6556">
        <w:rPr>
          <w:rFonts w:ascii="Arial" w:hAnsi="Arial" w:cs="Arial"/>
          <w:lang w:val="en-US"/>
        </w:rPr>
        <w:t xml:space="preserve">by way of </w:t>
      </w:r>
      <w:r w:rsidR="00085600">
        <w:rPr>
          <w:rFonts w:ascii="Arial" w:hAnsi="Arial" w:cs="Arial"/>
          <w:lang w:val="en-US"/>
        </w:rPr>
        <w:t>removal of CFO</w:t>
      </w:r>
      <w:r w:rsidR="008E00E5">
        <w:rPr>
          <w:rFonts w:ascii="Arial" w:hAnsi="Arial" w:cs="Arial"/>
          <w:lang w:val="en-US"/>
        </w:rPr>
        <w:t xml:space="preserve">. </w:t>
      </w:r>
      <w:r w:rsidR="008A5908">
        <w:rPr>
          <w:rFonts w:ascii="Arial" w:hAnsi="Arial" w:cs="Arial"/>
          <w:lang w:val="en-US"/>
        </w:rPr>
        <w:t>In addition, financial restructuring was used as a tool for debt restructuring qua the Specified Banks</w:t>
      </w:r>
      <w:r w:rsidR="00B84897">
        <w:rPr>
          <w:rFonts w:ascii="Arial" w:hAnsi="Arial" w:cs="Arial"/>
          <w:lang w:val="en-US"/>
        </w:rPr>
        <w:t xml:space="preserve"> which entailed issuance of equity to the said Specified Banks and </w:t>
      </w:r>
      <w:r w:rsidR="00B84897">
        <w:rPr>
          <w:rFonts w:ascii="Arial" w:hAnsi="Arial" w:cs="Arial"/>
          <w:lang w:val="en-US"/>
        </w:rPr>
        <w:lastRenderedPageBreak/>
        <w:t>waiver of the financial debt</w:t>
      </w:r>
      <w:r w:rsidR="008A5908">
        <w:rPr>
          <w:rFonts w:ascii="Arial" w:hAnsi="Arial" w:cs="Arial"/>
          <w:lang w:val="en-US"/>
        </w:rPr>
        <w:t>.</w:t>
      </w:r>
      <w:r w:rsidR="00C77B4E">
        <w:rPr>
          <w:rFonts w:ascii="Arial" w:hAnsi="Arial" w:cs="Arial"/>
          <w:lang w:val="en-US"/>
        </w:rPr>
        <w:t xml:space="preserve"> Overall, there was a gradual departure from a non-recovery to recovery firm as </w:t>
      </w:r>
      <w:r w:rsidR="00BA71F0">
        <w:rPr>
          <w:rFonts w:ascii="Arial" w:hAnsi="Arial" w:cs="Arial"/>
          <w:lang w:val="en-US"/>
        </w:rPr>
        <w:t>in the beginning the</w:t>
      </w:r>
      <w:r w:rsidR="00C77B4E">
        <w:rPr>
          <w:rFonts w:ascii="Arial" w:hAnsi="Arial" w:cs="Arial"/>
          <w:lang w:val="en-US"/>
        </w:rPr>
        <w:t xml:space="preserve"> actions were </w:t>
      </w:r>
      <w:r w:rsidR="00583183">
        <w:rPr>
          <w:rFonts w:ascii="Arial" w:hAnsi="Arial" w:cs="Arial"/>
          <w:lang w:val="en-US"/>
        </w:rPr>
        <w:t>not prompt</w:t>
      </w:r>
      <w:r w:rsidR="00C77B4E">
        <w:rPr>
          <w:rFonts w:ascii="Arial" w:hAnsi="Arial" w:cs="Arial"/>
          <w:lang w:val="en-US"/>
        </w:rPr>
        <w:t>, not forward looking but more of a fire</w:t>
      </w:r>
      <w:r w:rsidR="00DE441E">
        <w:rPr>
          <w:rFonts w:ascii="Arial" w:hAnsi="Arial" w:cs="Arial"/>
          <w:lang w:val="en-US"/>
        </w:rPr>
        <w:t>-</w:t>
      </w:r>
      <w:r w:rsidR="00C77B4E">
        <w:rPr>
          <w:rFonts w:ascii="Arial" w:hAnsi="Arial" w:cs="Arial"/>
          <w:lang w:val="en-US"/>
        </w:rPr>
        <w:t>fighting approach</w:t>
      </w:r>
      <w:r w:rsidR="00DE441E">
        <w:rPr>
          <w:rFonts w:ascii="Arial" w:hAnsi="Arial" w:cs="Arial"/>
          <w:lang w:val="en-US"/>
        </w:rPr>
        <w:t xml:space="preserve">, </w:t>
      </w:r>
      <w:r w:rsidR="00B17E56">
        <w:rPr>
          <w:rFonts w:ascii="Arial" w:hAnsi="Arial" w:cs="Arial"/>
          <w:lang w:val="en-US"/>
        </w:rPr>
        <w:t xml:space="preserve">less engaging and more delayed. However, after appointment of the CRO, the performance indicators changed and the emphasis shifted to prompt response and necessary actions were undertaken (including by way of execution of the restructuring agreement). </w:t>
      </w:r>
    </w:p>
    <w:p w14:paraId="50EEAB5A" w14:textId="2095AC7D" w:rsidR="007056CD" w:rsidRPr="00454CA5" w:rsidRDefault="007704B6" w:rsidP="002E690D">
      <w:pPr>
        <w:pStyle w:val="ListParagraph"/>
        <w:numPr>
          <w:ilvl w:val="1"/>
          <w:numId w:val="1"/>
        </w:numPr>
        <w:ind w:left="567" w:hanging="567"/>
        <w:contextualSpacing w:val="0"/>
        <w:jc w:val="both"/>
        <w:rPr>
          <w:rFonts w:ascii="Arial" w:hAnsi="Arial" w:cs="Arial"/>
          <w:b/>
          <w:bCs/>
          <w:i/>
          <w:iCs/>
          <w:lang w:val="en-US"/>
        </w:rPr>
      </w:pPr>
      <w:r>
        <w:rPr>
          <w:rFonts w:ascii="Arial" w:hAnsi="Arial" w:cs="Arial"/>
          <w:lang w:val="en-US"/>
        </w:rPr>
        <w:t xml:space="preserve">The primary turnaround methodology </w:t>
      </w:r>
      <w:r w:rsidR="007056CD" w:rsidRPr="00454CA5">
        <w:rPr>
          <w:rFonts w:ascii="Arial" w:hAnsi="Arial" w:cs="Arial"/>
          <w:lang w:val="en-US"/>
        </w:rPr>
        <w:t xml:space="preserve">was </w:t>
      </w:r>
      <w:r w:rsidR="00852466">
        <w:rPr>
          <w:rFonts w:ascii="Arial" w:hAnsi="Arial" w:cs="Arial"/>
          <w:lang w:val="en-US"/>
        </w:rPr>
        <w:t>inclined towards</w:t>
      </w:r>
      <w:r w:rsidR="007056CD" w:rsidRPr="00454CA5">
        <w:rPr>
          <w:rFonts w:ascii="Arial" w:hAnsi="Arial" w:cs="Arial"/>
          <w:lang w:val="en-US"/>
        </w:rPr>
        <w:t xml:space="preserve"> retrenchment measures (for instance layoffs, cost reduction, etc.) instead of recovery measures. Given that market conditions were favorable, </w:t>
      </w:r>
      <w:r>
        <w:rPr>
          <w:rFonts w:ascii="Arial" w:hAnsi="Arial" w:cs="Arial"/>
          <w:lang w:val="en-US"/>
        </w:rPr>
        <w:t xml:space="preserve">adopting a </w:t>
      </w:r>
      <w:r>
        <w:rPr>
          <w:rFonts w:ascii="Arial" w:hAnsi="Arial" w:cs="Arial"/>
          <w:i/>
          <w:iCs/>
          <w:lang w:val="en-US"/>
        </w:rPr>
        <w:t>duality</w:t>
      </w:r>
      <w:r w:rsidR="001D1BCA">
        <w:rPr>
          <w:rFonts w:ascii="Arial" w:hAnsi="Arial" w:cs="Arial"/>
          <w:i/>
          <w:iCs/>
          <w:lang w:val="en-US"/>
        </w:rPr>
        <w:t xml:space="preserve"> perspective</w:t>
      </w:r>
      <w:r w:rsidR="00FB5BCD">
        <w:rPr>
          <w:rStyle w:val="FootnoteReference"/>
          <w:rFonts w:ascii="Arial" w:hAnsi="Arial" w:cs="Arial"/>
          <w:i/>
          <w:iCs/>
          <w:lang w:val="en-US"/>
        </w:rPr>
        <w:footnoteReference w:id="12"/>
      </w:r>
      <w:r w:rsidR="001D1BCA">
        <w:rPr>
          <w:rFonts w:ascii="Arial" w:hAnsi="Arial" w:cs="Arial"/>
          <w:i/>
          <w:iCs/>
          <w:lang w:val="en-US"/>
        </w:rPr>
        <w:t xml:space="preserve"> </w:t>
      </w:r>
      <w:r w:rsidR="001D1BCA">
        <w:rPr>
          <w:rFonts w:ascii="Arial" w:hAnsi="Arial" w:cs="Arial"/>
          <w:lang w:val="en-US"/>
        </w:rPr>
        <w:t>through</w:t>
      </w:r>
      <w:r w:rsidR="007056CD" w:rsidRPr="00454CA5">
        <w:rPr>
          <w:rFonts w:ascii="Arial" w:hAnsi="Arial" w:cs="Arial"/>
          <w:lang w:val="en-US"/>
        </w:rPr>
        <w:t xml:space="preserve"> recovery measures as well (for instance, adopting new marketing strategies, tapping new markets, etc.) would have helped achieve efficiency turnaround and growth of FMHB</w:t>
      </w:r>
      <w:r w:rsidR="00855B7D">
        <w:rPr>
          <w:rFonts w:ascii="Arial" w:hAnsi="Arial" w:cs="Arial"/>
          <w:lang w:val="en-US"/>
        </w:rPr>
        <w:t xml:space="preserve">. </w:t>
      </w:r>
    </w:p>
    <w:p w14:paraId="1440A176" w14:textId="0921F9F7" w:rsidR="00634492" w:rsidRDefault="00B73431" w:rsidP="00D63C5F">
      <w:pPr>
        <w:pStyle w:val="ListParagraph"/>
        <w:numPr>
          <w:ilvl w:val="1"/>
          <w:numId w:val="1"/>
        </w:numPr>
        <w:ind w:left="567" w:hanging="567"/>
        <w:contextualSpacing w:val="0"/>
        <w:jc w:val="both"/>
        <w:rPr>
          <w:rFonts w:ascii="Arial" w:hAnsi="Arial" w:cs="Arial"/>
          <w:lang w:val="en-US"/>
        </w:rPr>
      </w:pPr>
      <w:r>
        <w:rPr>
          <w:rFonts w:ascii="Arial" w:hAnsi="Arial" w:cs="Arial"/>
          <w:lang w:val="en-US"/>
        </w:rPr>
        <w:t xml:space="preserve">Set out below is the assessment of the </w:t>
      </w:r>
      <w:r w:rsidR="00041983">
        <w:rPr>
          <w:rFonts w:ascii="Arial" w:hAnsi="Arial" w:cs="Arial"/>
          <w:lang w:val="en-US"/>
        </w:rPr>
        <w:t xml:space="preserve">certain </w:t>
      </w:r>
      <w:r>
        <w:rPr>
          <w:rFonts w:ascii="Arial" w:hAnsi="Arial" w:cs="Arial"/>
          <w:lang w:val="en-US"/>
        </w:rPr>
        <w:t>propositions put forward by</w:t>
      </w:r>
      <w:r w:rsidR="00072F6F" w:rsidRPr="00072F6F">
        <w:t xml:space="preserve"> </w:t>
      </w:r>
      <w:r w:rsidR="00072F6F" w:rsidRPr="00072F6F">
        <w:rPr>
          <w:rFonts w:ascii="Arial" w:hAnsi="Arial" w:cs="Arial"/>
          <w:lang w:val="en-US"/>
        </w:rPr>
        <w:t>Pajunen, K. (2006)</w:t>
      </w:r>
      <w:r w:rsidR="001704C5">
        <w:rPr>
          <w:rStyle w:val="FootnoteReference"/>
          <w:rFonts w:ascii="Arial" w:hAnsi="Arial" w:cs="Arial"/>
          <w:lang w:val="en-US"/>
        </w:rPr>
        <w:footnoteReference w:id="13"/>
      </w:r>
      <w:r w:rsidR="00072F6F">
        <w:rPr>
          <w:rFonts w:ascii="Arial" w:hAnsi="Arial" w:cs="Arial"/>
          <w:lang w:val="en-US"/>
        </w:rPr>
        <w:t xml:space="preserve"> </w:t>
      </w:r>
      <w:r w:rsidR="00CC4586">
        <w:rPr>
          <w:rFonts w:ascii="Arial" w:hAnsi="Arial" w:cs="Arial"/>
          <w:lang w:val="en-US"/>
        </w:rPr>
        <w:t>in the facts of the case</w:t>
      </w:r>
      <w:r w:rsidR="0001550C">
        <w:rPr>
          <w:rFonts w:ascii="Arial" w:hAnsi="Arial" w:cs="Arial"/>
          <w:lang w:val="en-US"/>
        </w:rPr>
        <w:t xml:space="preserve"> which effectively did help in the survival of the organisation in the longer run</w:t>
      </w:r>
      <w:r w:rsidR="00634492">
        <w:rPr>
          <w:rFonts w:ascii="Arial" w:hAnsi="Arial" w:cs="Arial"/>
          <w:lang w:val="en-US"/>
        </w:rPr>
        <w:t xml:space="preserve">: </w:t>
      </w:r>
    </w:p>
    <w:p w14:paraId="3A703943" w14:textId="169FBA25" w:rsidR="00C956C2" w:rsidRDefault="00F824E1" w:rsidP="000553F0">
      <w:pPr>
        <w:pStyle w:val="ListParagraph"/>
        <w:numPr>
          <w:ilvl w:val="0"/>
          <w:numId w:val="14"/>
        </w:numPr>
        <w:ind w:left="1134" w:hanging="567"/>
        <w:contextualSpacing w:val="0"/>
        <w:jc w:val="both"/>
        <w:rPr>
          <w:rFonts w:ascii="Arial" w:hAnsi="Arial" w:cs="Arial"/>
          <w:lang w:val="en-US"/>
        </w:rPr>
      </w:pPr>
      <w:r>
        <w:rPr>
          <w:rFonts w:ascii="Arial" w:hAnsi="Arial" w:cs="Arial"/>
          <w:lang w:val="en-US"/>
        </w:rPr>
        <w:t xml:space="preserve">During </w:t>
      </w:r>
      <w:r w:rsidR="009B1F88">
        <w:rPr>
          <w:rFonts w:ascii="Arial" w:hAnsi="Arial" w:cs="Arial"/>
          <w:lang w:val="en-US"/>
        </w:rPr>
        <w:t xml:space="preserve">the process the </w:t>
      </w:r>
      <w:r w:rsidR="00D63C5F" w:rsidRPr="00D63C5F">
        <w:rPr>
          <w:rFonts w:ascii="Arial" w:hAnsi="Arial" w:cs="Arial"/>
          <w:lang w:val="en-US"/>
        </w:rPr>
        <w:t>governing stakeholders</w:t>
      </w:r>
      <w:r w:rsidR="00183D8C">
        <w:rPr>
          <w:rFonts w:ascii="Arial" w:hAnsi="Arial" w:cs="Arial"/>
          <w:lang w:val="en-US"/>
        </w:rPr>
        <w:t xml:space="preserve"> (i.e., the Specified Banks)</w:t>
      </w:r>
      <w:r w:rsidR="00D63C5F" w:rsidRPr="00D63C5F">
        <w:rPr>
          <w:rFonts w:ascii="Arial" w:hAnsi="Arial" w:cs="Arial"/>
          <w:lang w:val="en-US"/>
        </w:rPr>
        <w:t xml:space="preserve"> </w:t>
      </w:r>
      <w:r w:rsidR="00E10CAB">
        <w:rPr>
          <w:rFonts w:ascii="Arial" w:hAnsi="Arial" w:cs="Arial"/>
          <w:lang w:val="en-US"/>
        </w:rPr>
        <w:t xml:space="preserve">continued to provide their support (except for a brief period) </w:t>
      </w:r>
      <w:r w:rsidR="00D63C5F" w:rsidRPr="00D63C5F">
        <w:rPr>
          <w:rFonts w:ascii="Arial" w:hAnsi="Arial" w:cs="Arial"/>
          <w:lang w:val="en-US"/>
        </w:rPr>
        <w:t>in an</w:t>
      </w:r>
      <w:r w:rsidR="00D63C5F">
        <w:rPr>
          <w:rFonts w:ascii="Arial" w:hAnsi="Arial" w:cs="Arial"/>
          <w:lang w:val="en-US"/>
        </w:rPr>
        <w:t xml:space="preserve"> </w:t>
      </w:r>
      <w:r w:rsidR="00D63C5F" w:rsidRPr="00D63C5F">
        <w:rPr>
          <w:rFonts w:ascii="Arial" w:hAnsi="Arial" w:cs="Arial"/>
          <w:lang w:val="en-US"/>
        </w:rPr>
        <w:t>existence-threatening crisis</w:t>
      </w:r>
      <w:r w:rsidR="00C956C2">
        <w:rPr>
          <w:rFonts w:ascii="Arial" w:hAnsi="Arial" w:cs="Arial"/>
          <w:lang w:val="en-US"/>
        </w:rPr>
        <w:t xml:space="preserve">, which ultimately helped in the </w:t>
      </w:r>
      <w:r w:rsidR="004C7F14">
        <w:rPr>
          <w:rFonts w:ascii="Arial" w:hAnsi="Arial" w:cs="Arial"/>
          <w:lang w:val="en-US"/>
        </w:rPr>
        <w:t>organizational survival</w:t>
      </w:r>
      <w:r w:rsidR="00B55A3F">
        <w:rPr>
          <w:rFonts w:ascii="Arial" w:hAnsi="Arial" w:cs="Arial"/>
          <w:lang w:val="en-US"/>
        </w:rPr>
        <w:t xml:space="preserve">. Having said that, </w:t>
      </w:r>
      <w:r w:rsidR="00DC4F67">
        <w:rPr>
          <w:rFonts w:ascii="Arial" w:hAnsi="Arial" w:cs="Arial"/>
          <w:lang w:val="en-US"/>
        </w:rPr>
        <w:t>I</w:t>
      </w:r>
      <w:r w:rsidR="00B55A3F">
        <w:rPr>
          <w:rFonts w:ascii="Arial" w:hAnsi="Arial" w:cs="Arial"/>
          <w:lang w:val="en-US"/>
        </w:rPr>
        <w:t xml:space="preserve"> have taken into account the assumption that</w:t>
      </w:r>
      <w:r w:rsidR="00574789">
        <w:rPr>
          <w:rFonts w:ascii="Arial" w:hAnsi="Arial" w:cs="Arial"/>
          <w:lang w:val="en-US"/>
        </w:rPr>
        <w:t xml:space="preserve"> since the company was a going concern, the other key stakeholders (such as government and statutory authorities, vendors, etc.) were duly paid and the expenses were duly met</w:t>
      </w:r>
      <w:r w:rsidR="00C956C2">
        <w:rPr>
          <w:rFonts w:ascii="Arial" w:hAnsi="Arial" w:cs="Arial"/>
          <w:lang w:val="en-US"/>
        </w:rPr>
        <w:t>;</w:t>
      </w:r>
    </w:p>
    <w:p w14:paraId="0242B29D" w14:textId="385804FC" w:rsidR="008103F1" w:rsidRPr="00150C93" w:rsidRDefault="00383DEB" w:rsidP="00150C93">
      <w:pPr>
        <w:pStyle w:val="ListParagraph"/>
        <w:numPr>
          <w:ilvl w:val="0"/>
          <w:numId w:val="14"/>
        </w:numPr>
        <w:ind w:left="1134" w:hanging="567"/>
        <w:contextualSpacing w:val="0"/>
        <w:jc w:val="both"/>
        <w:rPr>
          <w:rFonts w:ascii="Arial" w:hAnsi="Arial" w:cs="Arial"/>
          <w:lang w:val="en-US"/>
        </w:rPr>
      </w:pPr>
      <w:r>
        <w:rPr>
          <w:rFonts w:ascii="Arial" w:hAnsi="Arial" w:cs="Arial"/>
          <w:lang w:val="en-US"/>
        </w:rPr>
        <w:t>While there w</w:t>
      </w:r>
      <w:r w:rsidR="00982009">
        <w:rPr>
          <w:rFonts w:ascii="Arial" w:hAnsi="Arial" w:cs="Arial"/>
          <w:lang w:val="en-US"/>
        </w:rPr>
        <w:t>a</w:t>
      </w:r>
      <w:r>
        <w:rPr>
          <w:rFonts w:ascii="Arial" w:hAnsi="Arial" w:cs="Arial"/>
          <w:lang w:val="en-US"/>
        </w:rPr>
        <w:t>s</w:t>
      </w:r>
      <w:r w:rsidR="00982009">
        <w:rPr>
          <w:rFonts w:ascii="Arial" w:hAnsi="Arial" w:cs="Arial"/>
          <w:lang w:val="en-US"/>
        </w:rPr>
        <w:t xml:space="preserve"> </w:t>
      </w:r>
      <w:r w:rsidR="00DD6A8A" w:rsidRPr="00DD6A8A">
        <w:rPr>
          <w:rFonts w:ascii="Arial" w:hAnsi="Arial" w:cs="Arial"/>
          <w:lang w:val="en-US"/>
        </w:rPr>
        <w:t>frequent communication</w:t>
      </w:r>
      <w:r w:rsidR="005D4D8C">
        <w:rPr>
          <w:rFonts w:ascii="Arial" w:hAnsi="Arial" w:cs="Arial"/>
          <w:lang w:val="en-US"/>
        </w:rPr>
        <w:t xml:space="preserve"> </w:t>
      </w:r>
      <w:r w:rsidR="00DD6A8A" w:rsidRPr="005D4D8C">
        <w:rPr>
          <w:rFonts w:ascii="Arial" w:hAnsi="Arial" w:cs="Arial"/>
          <w:lang w:val="en-US"/>
        </w:rPr>
        <w:t xml:space="preserve">between </w:t>
      </w:r>
      <w:r w:rsidR="00090857">
        <w:rPr>
          <w:rFonts w:ascii="Arial" w:hAnsi="Arial" w:cs="Arial"/>
          <w:lang w:val="en-US"/>
        </w:rPr>
        <w:t>management</w:t>
      </w:r>
      <w:r w:rsidR="00DD6A8A" w:rsidRPr="005D4D8C">
        <w:rPr>
          <w:rFonts w:ascii="Arial" w:hAnsi="Arial" w:cs="Arial"/>
          <w:lang w:val="en-US"/>
        </w:rPr>
        <w:t xml:space="preserve"> and </w:t>
      </w:r>
      <w:r w:rsidR="00CA3FE9">
        <w:rPr>
          <w:rFonts w:ascii="Arial" w:hAnsi="Arial" w:cs="Arial"/>
          <w:lang w:val="en-US"/>
        </w:rPr>
        <w:t xml:space="preserve">the </w:t>
      </w:r>
      <w:r w:rsidR="00CA3FE9" w:rsidRPr="00D63C5F">
        <w:rPr>
          <w:rFonts w:ascii="Arial" w:hAnsi="Arial" w:cs="Arial"/>
          <w:lang w:val="en-US"/>
        </w:rPr>
        <w:t>governing stakeholders</w:t>
      </w:r>
      <w:r w:rsidR="00CA3FE9">
        <w:rPr>
          <w:rFonts w:ascii="Arial" w:hAnsi="Arial" w:cs="Arial"/>
          <w:lang w:val="en-US"/>
        </w:rPr>
        <w:t xml:space="preserve"> (i.e., the Specified Banks)</w:t>
      </w:r>
      <w:r w:rsidR="00401F95">
        <w:rPr>
          <w:rFonts w:ascii="Arial" w:hAnsi="Arial" w:cs="Arial"/>
          <w:lang w:val="en-US"/>
        </w:rPr>
        <w:t>, there was lack of transparency to some extent, which to some extent prejudiced their support during the process</w:t>
      </w:r>
      <w:r w:rsidR="00150C93">
        <w:rPr>
          <w:rFonts w:ascii="Arial" w:hAnsi="Arial" w:cs="Arial"/>
          <w:lang w:val="en-US"/>
        </w:rPr>
        <w:t xml:space="preserve">. Similarly, the facts to some extent indicate that there was </w:t>
      </w:r>
      <w:r w:rsidR="00227567">
        <w:rPr>
          <w:rFonts w:ascii="Arial" w:hAnsi="Arial" w:cs="Arial"/>
          <w:lang w:val="en-US"/>
        </w:rPr>
        <w:t>growing distrust and impact on</w:t>
      </w:r>
      <w:r w:rsidR="00A208DF" w:rsidRPr="00150C93">
        <w:rPr>
          <w:rFonts w:ascii="Arial" w:hAnsi="Arial" w:cs="Arial"/>
          <w:lang w:val="en-US"/>
        </w:rPr>
        <w:t xml:space="preserve"> </w:t>
      </w:r>
      <w:r w:rsidR="00A74F88" w:rsidRPr="00150C93">
        <w:rPr>
          <w:rFonts w:ascii="Arial" w:hAnsi="Arial" w:cs="Arial"/>
          <w:lang w:val="en-US"/>
        </w:rPr>
        <w:t xml:space="preserve">personal relationships between </w:t>
      </w:r>
      <w:r w:rsidR="00D13DF7">
        <w:rPr>
          <w:rFonts w:ascii="Arial" w:hAnsi="Arial" w:cs="Arial"/>
          <w:lang w:val="en-US"/>
        </w:rPr>
        <w:t>the management</w:t>
      </w:r>
      <w:r w:rsidR="00A74F88" w:rsidRPr="00150C93">
        <w:rPr>
          <w:rFonts w:ascii="Arial" w:hAnsi="Arial" w:cs="Arial"/>
          <w:lang w:val="en-US"/>
        </w:rPr>
        <w:t xml:space="preserve"> </w:t>
      </w:r>
      <w:r w:rsidR="00A74F88" w:rsidRPr="00150C93">
        <w:rPr>
          <w:rFonts w:ascii="Arial" w:hAnsi="Arial" w:cs="Arial"/>
          <w:lang w:val="en-US"/>
        </w:rPr>
        <w:t xml:space="preserve">and </w:t>
      </w:r>
      <w:r w:rsidR="00227567">
        <w:rPr>
          <w:rFonts w:ascii="Arial" w:hAnsi="Arial" w:cs="Arial"/>
          <w:lang w:val="en-US"/>
        </w:rPr>
        <w:t xml:space="preserve">the </w:t>
      </w:r>
      <w:r w:rsidR="00227567">
        <w:rPr>
          <w:rFonts w:ascii="Arial" w:hAnsi="Arial" w:cs="Arial"/>
          <w:lang w:val="en-US"/>
        </w:rPr>
        <w:t>Specified Banks</w:t>
      </w:r>
      <w:r w:rsidR="00134DCF">
        <w:rPr>
          <w:rFonts w:ascii="Arial" w:hAnsi="Arial" w:cs="Arial"/>
          <w:lang w:val="en-US"/>
        </w:rPr>
        <w:t>, which to some extent was an impediment for</w:t>
      </w:r>
      <w:r w:rsidR="00A74F88" w:rsidRPr="00150C93">
        <w:rPr>
          <w:rFonts w:ascii="Arial" w:hAnsi="Arial" w:cs="Arial"/>
          <w:lang w:val="en-US"/>
        </w:rPr>
        <w:t xml:space="preserve"> organizational survival</w:t>
      </w:r>
      <w:r w:rsidR="0026645B">
        <w:rPr>
          <w:rFonts w:ascii="Arial" w:hAnsi="Arial" w:cs="Arial"/>
          <w:lang w:val="en-US"/>
        </w:rPr>
        <w:t>;</w:t>
      </w:r>
      <w:r w:rsidR="00A74F88" w:rsidRPr="00150C93">
        <w:rPr>
          <w:rFonts w:ascii="Arial" w:hAnsi="Arial" w:cs="Arial"/>
          <w:lang w:val="en-US"/>
        </w:rPr>
        <w:t xml:space="preserve">  </w:t>
      </w:r>
    </w:p>
    <w:p w14:paraId="6F01AE2E" w14:textId="2A314FE2" w:rsidR="00771CC7" w:rsidRPr="009248DF" w:rsidRDefault="00040D75" w:rsidP="0043756C">
      <w:pPr>
        <w:pStyle w:val="ListParagraph"/>
        <w:numPr>
          <w:ilvl w:val="0"/>
          <w:numId w:val="14"/>
        </w:numPr>
        <w:ind w:left="1134" w:hanging="567"/>
        <w:contextualSpacing w:val="0"/>
        <w:jc w:val="both"/>
        <w:rPr>
          <w:rFonts w:ascii="Arial" w:hAnsi="Arial" w:cs="Arial"/>
          <w:lang w:val="en-US"/>
        </w:rPr>
      </w:pPr>
      <w:r>
        <w:rPr>
          <w:rFonts w:ascii="Arial" w:hAnsi="Arial" w:cs="Arial"/>
          <w:lang w:val="en-US"/>
        </w:rPr>
        <w:t xml:space="preserve">The case proposition shows that there was </w:t>
      </w:r>
      <w:r w:rsidR="00F829B6">
        <w:rPr>
          <w:rFonts w:ascii="Arial" w:hAnsi="Arial" w:cs="Arial"/>
          <w:lang w:val="en-US"/>
        </w:rPr>
        <w:t xml:space="preserve">a </w:t>
      </w:r>
      <w:r w:rsidR="00771CC7" w:rsidRPr="009248DF">
        <w:rPr>
          <w:rFonts w:ascii="Arial" w:hAnsi="Arial" w:cs="Arial"/>
          <w:lang w:val="en-US"/>
        </w:rPr>
        <w:t>consensus on long-term goals among</w:t>
      </w:r>
      <w:r w:rsidR="009248DF" w:rsidRPr="009248DF">
        <w:rPr>
          <w:rFonts w:ascii="Arial" w:hAnsi="Arial" w:cs="Arial"/>
          <w:lang w:val="en-US"/>
        </w:rPr>
        <w:t xml:space="preserve"> </w:t>
      </w:r>
      <w:r w:rsidR="00006595">
        <w:rPr>
          <w:rFonts w:ascii="Arial" w:hAnsi="Arial" w:cs="Arial"/>
          <w:lang w:val="en-US"/>
        </w:rPr>
        <w:t>Specified Banks</w:t>
      </w:r>
      <w:r w:rsidR="00FA55B4">
        <w:rPr>
          <w:rFonts w:ascii="Arial" w:hAnsi="Arial" w:cs="Arial"/>
          <w:lang w:val="en-US"/>
        </w:rPr>
        <w:t xml:space="preserve"> (other than a brief period when Bank C and D were disgruntled on account of various factors)</w:t>
      </w:r>
      <w:r w:rsidR="00284CE8">
        <w:rPr>
          <w:rFonts w:ascii="Arial" w:hAnsi="Arial" w:cs="Arial"/>
          <w:lang w:val="en-US"/>
        </w:rPr>
        <w:t xml:space="preserve">, which did </w:t>
      </w:r>
      <w:r w:rsidR="00771CC7" w:rsidRPr="009248DF">
        <w:rPr>
          <w:rFonts w:ascii="Arial" w:hAnsi="Arial" w:cs="Arial"/>
          <w:lang w:val="en-US"/>
        </w:rPr>
        <w:t>enhance (rather than undermine) the continuing</w:t>
      </w:r>
      <w:r w:rsidR="009248DF" w:rsidRPr="009248DF">
        <w:rPr>
          <w:rFonts w:ascii="Arial" w:hAnsi="Arial" w:cs="Arial"/>
          <w:lang w:val="en-US"/>
        </w:rPr>
        <w:t xml:space="preserve"> </w:t>
      </w:r>
      <w:r w:rsidR="00771CC7" w:rsidRPr="009248DF">
        <w:rPr>
          <w:rFonts w:ascii="Arial" w:hAnsi="Arial" w:cs="Arial"/>
          <w:lang w:val="en-US"/>
        </w:rPr>
        <w:t>support of those stakeholders and increase</w:t>
      </w:r>
      <w:r w:rsidR="00891C55">
        <w:rPr>
          <w:rFonts w:ascii="Arial" w:hAnsi="Arial" w:cs="Arial"/>
          <w:lang w:val="en-US"/>
        </w:rPr>
        <w:t>d</w:t>
      </w:r>
      <w:r w:rsidR="00771CC7" w:rsidRPr="009248DF">
        <w:rPr>
          <w:rFonts w:ascii="Arial" w:hAnsi="Arial" w:cs="Arial"/>
          <w:lang w:val="en-US"/>
        </w:rPr>
        <w:t xml:space="preserve"> the probability of</w:t>
      </w:r>
      <w:r w:rsidR="009248DF" w:rsidRPr="009248DF">
        <w:rPr>
          <w:rFonts w:ascii="Arial" w:hAnsi="Arial" w:cs="Arial"/>
          <w:lang w:val="en-US"/>
        </w:rPr>
        <w:t xml:space="preserve"> </w:t>
      </w:r>
      <w:r w:rsidR="00771CC7" w:rsidRPr="009248DF">
        <w:rPr>
          <w:rFonts w:ascii="Arial" w:hAnsi="Arial" w:cs="Arial"/>
          <w:lang w:val="en-US"/>
        </w:rPr>
        <w:t>organizational survival</w:t>
      </w:r>
      <w:r w:rsidR="0002155B">
        <w:rPr>
          <w:rFonts w:ascii="Arial" w:hAnsi="Arial" w:cs="Arial"/>
          <w:lang w:val="en-US"/>
        </w:rPr>
        <w:t xml:space="preserve">. </w:t>
      </w:r>
    </w:p>
    <w:p w14:paraId="192ED352" w14:textId="6FC77967" w:rsidR="007C6CE9" w:rsidRDefault="007C6CE9" w:rsidP="007C6CE9">
      <w:pPr>
        <w:pStyle w:val="ListParagraph"/>
        <w:ind w:left="927"/>
        <w:contextualSpacing w:val="0"/>
        <w:jc w:val="both"/>
        <w:rPr>
          <w:rFonts w:ascii="Arial" w:hAnsi="Arial" w:cs="Arial"/>
          <w:lang w:val="en-US"/>
        </w:rPr>
      </w:pPr>
      <w:r>
        <w:rPr>
          <w:rFonts w:ascii="Arial" w:hAnsi="Arial" w:cs="Arial"/>
          <w:lang w:val="en-US"/>
        </w:rPr>
        <w:br w:type="page"/>
      </w:r>
    </w:p>
    <w:p w14:paraId="7A132958" w14:textId="15F938C0" w:rsidR="008C652F" w:rsidRPr="00454CA5" w:rsidRDefault="008C652F"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Banks C and D seem to frustrate the process at a certain point. What could have been the</w:t>
      </w:r>
      <w:r w:rsidR="00B702F3" w:rsidRPr="00454CA5">
        <w:rPr>
          <w:rFonts w:ascii="Arial" w:hAnsi="Arial" w:cs="Arial"/>
          <w:b/>
          <w:bCs/>
          <w:i/>
          <w:iCs/>
          <w:lang w:val="en-US"/>
        </w:rPr>
        <w:t xml:space="preserve"> </w:t>
      </w:r>
      <w:r w:rsidRPr="00454CA5">
        <w:rPr>
          <w:rFonts w:ascii="Arial" w:hAnsi="Arial" w:cs="Arial"/>
          <w:b/>
          <w:bCs/>
          <w:i/>
          <w:iCs/>
          <w:lang w:val="en-US"/>
        </w:rPr>
        <w:t>(rational and/or opportunistic) reason(s) for them to behave like that? What would you</w:t>
      </w:r>
      <w:r w:rsidR="00B702F3" w:rsidRPr="00454CA5">
        <w:rPr>
          <w:rFonts w:ascii="Arial" w:hAnsi="Arial" w:cs="Arial"/>
          <w:b/>
          <w:bCs/>
          <w:i/>
          <w:iCs/>
          <w:lang w:val="en-US"/>
        </w:rPr>
        <w:t xml:space="preserve"> </w:t>
      </w:r>
      <w:r w:rsidRPr="00454CA5">
        <w:rPr>
          <w:rFonts w:ascii="Arial" w:hAnsi="Arial" w:cs="Arial"/>
          <w:b/>
          <w:bCs/>
          <w:i/>
          <w:iCs/>
          <w:lang w:val="en-US"/>
        </w:rPr>
        <w:t>have done in that situation in your role as advisor of the other two banks?</w:t>
      </w:r>
    </w:p>
    <w:p w14:paraId="4D6CAB0F" w14:textId="5DBFB483" w:rsidR="009371EF" w:rsidRPr="00454CA5" w:rsidRDefault="00F56087"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Basis the fact available, </w:t>
      </w:r>
      <w:r w:rsidR="00D671E0" w:rsidRPr="00454CA5">
        <w:rPr>
          <w:rFonts w:ascii="Arial" w:hAnsi="Arial" w:cs="Arial"/>
          <w:lang w:val="en-US"/>
        </w:rPr>
        <w:t>Bank C and D</w:t>
      </w:r>
      <w:r w:rsidRPr="00454CA5">
        <w:rPr>
          <w:rFonts w:ascii="Arial" w:hAnsi="Arial" w:cs="Arial"/>
          <w:lang w:val="en-US"/>
        </w:rPr>
        <w:t>’s</w:t>
      </w:r>
      <w:r w:rsidR="00D671E0" w:rsidRPr="00454CA5">
        <w:rPr>
          <w:rFonts w:ascii="Arial" w:hAnsi="Arial" w:cs="Arial"/>
          <w:lang w:val="en-US"/>
        </w:rPr>
        <w:t xml:space="preserve"> concerns were</w:t>
      </w:r>
      <w:r w:rsidR="00E73BF7" w:rsidRPr="00454CA5">
        <w:rPr>
          <w:rFonts w:ascii="Arial" w:hAnsi="Arial" w:cs="Arial"/>
          <w:lang w:val="en-US"/>
        </w:rPr>
        <w:t xml:space="preserve"> </w:t>
      </w:r>
      <w:r w:rsidR="0065397E" w:rsidRPr="00454CA5">
        <w:rPr>
          <w:rFonts w:ascii="Arial" w:hAnsi="Arial" w:cs="Arial"/>
          <w:lang w:val="en-US"/>
        </w:rPr>
        <w:t xml:space="preserve">on account of </w:t>
      </w:r>
      <w:r w:rsidR="009371EF" w:rsidRPr="00454CA5">
        <w:rPr>
          <w:rFonts w:ascii="Arial" w:hAnsi="Arial" w:cs="Arial"/>
          <w:lang w:val="en-US"/>
        </w:rPr>
        <w:t xml:space="preserve">lack of confidence in </w:t>
      </w:r>
      <w:r w:rsidR="000C5A65" w:rsidRPr="00454CA5">
        <w:rPr>
          <w:rFonts w:ascii="Arial" w:hAnsi="Arial" w:cs="Arial"/>
          <w:lang w:val="en-US"/>
        </w:rPr>
        <w:t>Flow Management Holding BV (</w:t>
      </w:r>
      <w:r w:rsidR="000C5A65" w:rsidRPr="00454CA5">
        <w:rPr>
          <w:rFonts w:ascii="Arial" w:hAnsi="Arial" w:cs="Arial"/>
          <w:b/>
          <w:bCs/>
          <w:lang w:val="en-US"/>
        </w:rPr>
        <w:t>FMHB</w:t>
      </w:r>
      <w:r w:rsidR="000C5A65" w:rsidRPr="00454CA5">
        <w:rPr>
          <w:rFonts w:ascii="Arial" w:hAnsi="Arial" w:cs="Arial"/>
          <w:lang w:val="en-US"/>
        </w:rPr>
        <w:t xml:space="preserve">) </w:t>
      </w:r>
      <w:r w:rsidR="000C5A65" w:rsidRPr="00E76A73">
        <w:rPr>
          <w:rFonts w:ascii="Arial" w:hAnsi="Arial" w:cs="Arial"/>
          <w:lang w:val="en-US"/>
        </w:rPr>
        <w:t xml:space="preserve">and </w:t>
      </w:r>
      <w:r w:rsidR="000C5A65" w:rsidRPr="00E76A73">
        <w:rPr>
          <w:rFonts w:ascii="Arial" w:hAnsi="Arial" w:cs="Arial"/>
        </w:rPr>
        <w:t>Lease Group Holding United Kingdom Ltd. (</w:t>
      </w:r>
      <w:r w:rsidR="000C5A65" w:rsidRPr="00E76A73">
        <w:rPr>
          <w:rFonts w:ascii="Arial" w:hAnsi="Arial" w:cs="Arial"/>
          <w:b/>
          <w:bCs/>
        </w:rPr>
        <w:t>Shareholder Company</w:t>
      </w:r>
      <w:r w:rsidR="000C5A65" w:rsidRPr="00E76A73">
        <w:rPr>
          <w:rFonts w:ascii="Arial" w:hAnsi="Arial" w:cs="Arial"/>
        </w:rPr>
        <w:t>)</w:t>
      </w:r>
      <w:r w:rsidR="00AA050B" w:rsidRPr="00454CA5">
        <w:rPr>
          <w:rFonts w:ascii="Arial" w:hAnsi="Arial" w:cs="Arial"/>
          <w:lang w:val="en-US"/>
        </w:rPr>
        <w:t>, which to my understand</w:t>
      </w:r>
      <w:r w:rsidR="00C147E4" w:rsidRPr="00454CA5">
        <w:rPr>
          <w:rFonts w:ascii="Arial" w:hAnsi="Arial" w:cs="Arial"/>
          <w:lang w:val="en-US"/>
        </w:rPr>
        <w:t>ing</w:t>
      </w:r>
      <w:r w:rsidR="00AA050B" w:rsidRPr="00454CA5">
        <w:rPr>
          <w:rFonts w:ascii="Arial" w:hAnsi="Arial" w:cs="Arial"/>
          <w:lang w:val="en-US"/>
        </w:rPr>
        <w:t xml:space="preserve"> was a rational decision in view of </w:t>
      </w:r>
      <w:r w:rsidR="00F93775" w:rsidRPr="00454CA5">
        <w:rPr>
          <w:rFonts w:ascii="Arial" w:hAnsi="Arial" w:cs="Arial"/>
          <w:lang w:val="en-US"/>
        </w:rPr>
        <w:t xml:space="preserve">their conduct </w:t>
      </w:r>
      <w:r w:rsidR="00AA050B" w:rsidRPr="00454CA5">
        <w:rPr>
          <w:rFonts w:ascii="Arial" w:hAnsi="Arial" w:cs="Arial"/>
          <w:lang w:val="en-US"/>
        </w:rPr>
        <w:t xml:space="preserve">in the preceding 6 (six) months. </w:t>
      </w:r>
    </w:p>
    <w:p w14:paraId="200447B6" w14:textId="77777777" w:rsidR="00801402" w:rsidRPr="00454CA5" w:rsidRDefault="00924956"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T</w:t>
      </w:r>
      <w:r w:rsidR="00B073D8" w:rsidRPr="00454CA5">
        <w:rPr>
          <w:rFonts w:ascii="Arial" w:hAnsi="Arial" w:cs="Arial"/>
          <w:lang w:val="en-US"/>
        </w:rPr>
        <w:t>o elaborate</w:t>
      </w:r>
      <w:r w:rsidR="00801402" w:rsidRPr="00454CA5">
        <w:rPr>
          <w:rFonts w:ascii="Arial" w:hAnsi="Arial" w:cs="Arial"/>
          <w:lang w:val="en-US"/>
        </w:rPr>
        <w:t>:</w:t>
      </w:r>
    </w:p>
    <w:p w14:paraId="4F493165" w14:textId="1D2170E3" w:rsidR="00431BD9" w:rsidRPr="00454CA5" w:rsidRDefault="00AE75FC" w:rsidP="004D6CCD">
      <w:pPr>
        <w:pStyle w:val="ListParagraph"/>
        <w:numPr>
          <w:ilvl w:val="0"/>
          <w:numId w:val="6"/>
        </w:numPr>
        <w:ind w:left="1276" w:hanging="709"/>
        <w:contextualSpacing w:val="0"/>
        <w:jc w:val="both"/>
        <w:rPr>
          <w:rFonts w:ascii="Arial" w:hAnsi="Arial" w:cs="Arial"/>
          <w:lang w:val="en-US"/>
        </w:rPr>
      </w:pPr>
      <w:r w:rsidRPr="00454CA5">
        <w:rPr>
          <w:rFonts w:ascii="Arial" w:hAnsi="Arial" w:cs="Arial"/>
          <w:lang w:val="en-US"/>
        </w:rPr>
        <w:t xml:space="preserve">while Bank C and D were onboard with the </w:t>
      </w:r>
      <w:r w:rsidR="008F2B31" w:rsidRPr="00454CA5">
        <w:rPr>
          <w:rFonts w:ascii="Arial" w:hAnsi="Arial" w:cs="Arial"/>
          <w:lang w:val="en-US"/>
        </w:rPr>
        <w:t xml:space="preserve">proposals put forward in the beginning (i.e., until </w:t>
      </w:r>
      <w:r w:rsidR="00056C6A" w:rsidRPr="00454CA5">
        <w:rPr>
          <w:rFonts w:ascii="Arial" w:hAnsi="Arial" w:cs="Arial"/>
          <w:lang w:val="en-US"/>
        </w:rPr>
        <w:t xml:space="preserve"> December 2013</w:t>
      </w:r>
      <w:r w:rsidR="008F2B31" w:rsidRPr="00454CA5">
        <w:rPr>
          <w:rFonts w:ascii="Arial" w:hAnsi="Arial" w:cs="Arial"/>
          <w:lang w:val="en-US"/>
        </w:rPr>
        <w:t>)</w:t>
      </w:r>
      <w:r w:rsidRPr="00454CA5">
        <w:rPr>
          <w:rFonts w:ascii="Arial" w:hAnsi="Arial" w:cs="Arial"/>
          <w:lang w:val="en-US"/>
        </w:rPr>
        <w:t>, they</w:t>
      </w:r>
      <w:r w:rsidR="00F24A4F" w:rsidRPr="00454CA5">
        <w:rPr>
          <w:rFonts w:ascii="Arial" w:hAnsi="Arial" w:cs="Arial"/>
          <w:lang w:val="en-US"/>
        </w:rPr>
        <w:t xml:space="preserve"> came across various factual inconsistencies as regards the performance of FMHB</w:t>
      </w:r>
      <w:r w:rsidR="00C404F3" w:rsidRPr="00454CA5">
        <w:rPr>
          <w:rFonts w:ascii="Arial" w:hAnsi="Arial" w:cs="Arial"/>
          <w:lang w:val="en-US"/>
        </w:rPr>
        <w:t xml:space="preserve">, </w:t>
      </w:r>
      <w:r w:rsidR="00F24A4F" w:rsidRPr="00454CA5">
        <w:rPr>
          <w:rFonts w:ascii="Arial" w:hAnsi="Arial" w:cs="Arial"/>
          <w:lang w:val="en-US"/>
        </w:rPr>
        <w:t>including the accounting losses</w:t>
      </w:r>
      <w:r w:rsidR="00B57B84" w:rsidRPr="00454CA5">
        <w:rPr>
          <w:rFonts w:ascii="Arial" w:hAnsi="Arial" w:cs="Arial"/>
          <w:lang w:val="en-US"/>
        </w:rPr>
        <w:t xml:space="preserve"> at subsidiary level</w:t>
      </w:r>
      <w:r w:rsidR="00730F74" w:rsidRPr="00454CA5">
        <w:rPr>
          <w:rFonts w:ascii="Arial" w:hAnsi="Arial" w:cs="Arial"/>
          <w:lang w:val="en-US"/>
        </w:rPr>
        <w:t xml:space="preserve"> and reduced solvency of 0.1% which was practically zero</w:t>
      </w:r>
      <w:r w:rsidR="00D54085" w:rsidRPr="00454CA5">
        <w:rPr>
          <w:rFonts w:ascii="Arial" w:hAnsi="Arial" w:cs="Arial"/>
          <w:lang w:val="en-US"/>
        </w:rPr>
        <w:t xml:space="preserve">- even without taking into account the payments due to the financial creditors. </w:t>
      </w:r>
    </w:p>
    <w:p w14:paraId="0AC3ACAB" w14:textId="6A164B66" w:rsidR="00801402" w:rsidRPr="00454CA5" w:rsidRDefault="00D54085" w:rsidP="004D6CCD">
      <w:pPr>
        <w:pStyle w:val="ListParagraph"/>
        <w:numPr>
          <w:ilvl w:val="0"/>
          <w:numId w:val="6"/>
        </w:numPr>
        <w:ind w:left="1276" w:hanging="709"/>
        <w:contextualSpacing w:val="0"/>
        <w:jc w:val="both"/>
        <w:rPr>
          <w:rFonts w:ascii="Arial" w:hAnsi="Arial" w:cs="Arial"/>
          <w:lang w:val="en-US"/>
        </w:rPr>
      </w:pPr>
      <w:r w:rsidRPr="00454CA5">
        <w:rPr>
          <w:rFonts w:ascii="Arial" w:hAnsi="Arial" w:cs="Arial"/>
          <w:lang w:val="en-US"/>
        </w:rPr>
        <w:t>Further, while the creditors were holding on to their end of the bargain</w:t>
      </w:r>
      <w:r w:rsidR="00831A15" w:rsidRPr="00454CA5">
        <w:rPr>
          <w:rFonts w:ascii="Arial" w:hAnsi="Arial" w:cs="Arial"/>
          <w:lang w:val="en-US"/>
        </w:rPr>
        <w:t xml:space="preserve"> (by not initiating legal proceedings</w:t>
      </w:r>
      <w:r w:rsidR="00461F42" w:rsidRPr="00454CA5">
        <w:rPr>
          <w:rFonts w:ascii="Arial" w:hAnsi="Arial" w:cs="Arial"/>
          <w:lang w:val="en-US"/>
        </w:rPr>
        <w:t xml:space="preserve"> or terminating the credit arrangement</w:t>
      </w:r>
      <w:r w:rsidR="00831A15" w:rsidRPr="00454CA5">
        <w:rPr>
          <w:rFonts w:ascii="Arial" w:hAnsi="Arial" w:cs="Arial"/>
          <w:lang w:val="en-US"/>
        </w:rPr>
        <w:t>)</w:t>
      </w:r>
      <w:r w:rsidRPr="00454CA5">
        <w:rPr>
          <w:rFonts w:ascii="Arial" w:hAnsi="Arial" w:cs="Arial"/>
          <w:lang w:val="en-US"/>
        </w:rPr>
        <w:t xml:space="preserve">, the </w:t>
      </w:r>
      <w:r w:rsidR="0010756E" w:rsidRPr="00454CA5">
        <w:rPr>
          <w:rFonts w:ascii="Arial" w:hAnsi="Arial" w:cs="Arial"/>
          <w:lang w:val="en-US"/>
        </w:rPr>
        <w:t>Shareholder</w:t>
      </w:r>
      <w:r w:rsidR="00CE63A3" w:rsidRPr="00454CA5">
        <w:rPr>
          <w:rFonts w:ascii="Arial" w:hAnsi="Arial" w:cs="Arial"/>
          <w:lang w:val="en-US"/>
        </w:rPr>
        <w:t xml:space="preserve"> Company was unwilling to</w:t>
      </w:r>
      <w:r w:rsidR="00C17DD5" w:rsidRPr="00454CA5">
        <w:rPr>
          <w:rFonts w:ascii="Arial" w:hAnsi="Arial" w:cs="Arial"/>
          <w:lang w:val="en-US"/>
        </w:rPr>
        <w:t xml:space="preserve">  co-operate or</w:t>
      </w:r>
      <w:r w:rsidR="00CE63A3" w:rsidRPr="00454CA5">
        <w:rPr>
          <w:rFonts w:ascii="Arial" w:hAnsi="Arial" w:cs="Arial"/>
          <w:lang w:val="en-US"/>
        </w:rPr>
        <w:t xml:space="preserve"> put in requisite funds to improve </w:t>
      </w:r>
      <w:r w:rsidR="00632C51" w:rsidRPr="00454CA5">
        <w:rPr>
          <w:rFonts w:ascii="Arial" w:hAnsi="Arial" w:cs="Arial"/>
          <w:lang w:val="en-US"/>
        </w:rPr>
        <w:t>the solvency of FMHB</w:t>
      </w:r>
      <w:r w:rsidR="00534A47" w:rsidRPr="00454CA5">
        <w:rPr>
          <w:rFonts w:ascii="Arial" w:hAnsi="Arial" w:cs="Arial"/>
          <w:lang w:val="en-US"/>
        </w:rPr>
        <w:t>,</w:t>
      </w:r>
      <w:r w:rsidR="00632C51" w:rsidRPr="00454CA5">
        <w:rPr>
          <w:rFonts w:ascii="Arial" w:hAnsi="Arial" w:cs="Arial"/>
          <w:lang w:val="en-US"/>
        </w:rPr>
        <w:t xml:space="preserve"> which </w:t>
      </w:r>
      <w:r w:rsidR="00151F89" w:rsidRPr="00454CA5">
        <w:rPr>
          <w:rFonts w:ascii="Arial" w:hAnsi="Arial" w:cs="Arial"/>
          <w:lang w:val="en-US"/>
        </w:rPr>
        <w:t>is</w:t>
      </w:r>
      <w:r w:rsidR="00632C51" w:rsidRPr="00454CA5">
        <w:rPr>
          <w:rFonts w:ascii="Arial" w:hAnsi="Arial" w:cs="Arial"/>
          <w:lang w:val="en-US"/>
        </w:rPr>
        <w:t xml:space="preserve"> a genuine cause of concern on the viability of the business as the cash available on December 20, </w:t>
      </w:r>
      <w:r w:rsidR="00830F44" w:rsidRPr="00454CA5">
        <w:rPr>
          <w:rFonts w:ascii="Arial" w:hAnsi="Arial" w:cs="Arial"/>
          <w:lang w:val="en-US"/>
        </w:rPr>
        <w:t>201</w:t>
      </w:r>
      <w:r w:rsidR="006D23F4" w:rsidRPr="00454CA5">
        <w:rPr>
          <w:rFonts w:ascii="Arial" w:hAnsi="Arial" w:cs="Arial"/>
          <w:lang w:val="en-US"/>
        </w:rPr>
        <w:t>3</w:t>
      </w:r>
      <w:r w:rsidR="00830F44" w:rsidRPr="00454CA5">
        <w:rPr>
          <w:rFonts w:ascii="Arial" w:hAnsi="Arial" w:cs="Arial"/>
          <w:lang w:val="en-US"/>
        </w:rPr>
        <w:t>,</w:t>
      </w:r>
      <w:r w:rsidR="00632C51" w:rsidRPr="00454CA5">
        <w:rPr>
          <w:rFonts w:ascii="Arial" w:hAnsi="Arial" w:cs="Arial"/>
          <w:lang w:val="en-US"/>
        </w:rPr>
        <w:t xml:space="preserve"> was only adequate to meet obligations until April 2014. </w:t>
      </w:r>
    </w:p>
    <w:p w14:paraId="237BA70A" w14:textId="22C26395" w:rsidR="00801402" w:rsidRPr="00454CA5" w:rsidRDefault="00EE1D11" w:rsidP="004D6CCD">
      <w:pPr>
        <w:pStyle w:val="ListParagraph"/>
        <w:numPr>
          <w:ilvl w:val="0"/>
          <w:numId w:val="6"/>
        </w:numPr>
        <w:ind w:left="1276" w:hanging="709"/>
        <w:contextualSpacing w:val="0"/>
        <w:jc w:val="both"/>
        <w:rPr>
          <w:rFonts w:ascii="Arial" w:hAnsi="Arial" w:cs="Arial"/>
          <w:lang w:val="en-US"/>
        </w:rPr>
      </w:pPr>
      <w:r w:rsidRPr="00454CA5">
        <w:rPr>
          <w:rFonts w:ascii="Arial" w:hAnsi="Arial" w:cs="Arial"/>
          <w:lang w:val="en-US"/>
        </w:rPr>
        <w:t>a</w:t>
      </w:r>
      <w:r w:rsidR="00F01237" w:rsidRPr="00454CA5">
        <w:rPr>
          <w:rFonts w:ascii="Arial" w:hAnsi="Arial" w:cs="Arial"/>
          <w:lang w:val="en-US"/>
        </w:rPr>
        <w:t>mongst other measures</w:t>
      </w:r>
      <w:r w:rsidR="00801402" w:rsidRPr="00454CA5">
        <w:rPr>
          <w:rFonts w:ascii="Arial" w:hAnsi="Arial" w:cs="Arial"/>
          <w:lang w:val="en-US"/>
        </w:rPr>
        <w:t>,</w:t>
      </w:r>
      <w:r w:rsidR="009C63F6" w:rsidRPr="00454CA5">
        <w:rPr>
          <w:rFonts w:ascii="Arial" w:hAnsi="Arial" w:cs="Arial"/>
          <w:lang w:val="en-US"/>
        </w:rPr>
        <w:t xml:space="preserve"> owing to the concer</w:t>
      </w:r>
      <w:r w:rsidR="00A8685D" w:rsidRPr="00454CA5">
        <w:rPr>
          <w:rFonts w:ascii="Arial" w:hAnsi="Arial" w:cs="Arial"/>
          <w:lang w:val="en-US"/>
        </w:rPr>
        <w:t>n</w:t>
      </w:r>
      <w:r w:rsidR="009C63F6" w:rsidRPr="00454CA5">
        <w:rPr>
          <w:rFonts w:ascii="Arial" w:hAnsi="Arial" w:cs="Arial"/>
          <w:lang w:val="en-US"/>
        </w:rPr>
        <w:t>s around the management of FMHB</w:t>
      </w:r>
      <w:r w:rsidR="000626CD" w:rsidRPr="00454CA5">
        <w:rPr>
          <w:rFonts w:ascii="Arial" w:hAnsi="Arial" w:cs="Arial"/>
          <w:lang w:val="en-US"/>
        </w:rPr>
        <w:t xml:space="preserve">, </w:t>
      </w:r>
      <w:r w:rsidR="00801402" w:rsidRPr="00454CA5">
        <w:rPr>
          <w:rFonts w:ascii="Arial" w:hAnsi="Arial" w:cs="Arial"/>
          <w:lang w:val="en-US"/>
        </w:rPr>
        <w:t>the Banks trusted the company to appoint a new CF</w:t>
      </w:r>
      <w:r w:rsidR="001C3CF1" w:rsidRPr="00454CA5">
        <w:rPr>
          <w:rFonts w:ascii="Arial" w:hAnsi="Arial" w:cs="Arial"/>
          <w:lang w:val="en-US"/>
        </w:rPr>
        <w:t>O</w:t>
      </w:r>
      <w:r w:rsidR="00CC7E2D" w:rsidRPr="00454CA5">
        <w:rPr>
          <w:rFonts w:ascii="Arial" w:hAnsi="Arial" w:cs="Arial"/>
          <w:lang w:val="en-US"/>
        </w:rPr>
        <w:t>-</w:t>
      </w:r>
      <w:r w:rsidR="00C256A1" w:rsidRPr="00454CA5">
        <w:rPr>
          <w:rFonts w:ascii="Arial" w:hAnsi="Arial" w:cs="Arial"/>
          <w:lang w:val="en-US"/>
        </w:rPr>
        <w:t xml:space="preserve"> which </w:t>
      </w:r>
      <w:r w:rsidR="00444C06" w:rsidRPr="00454CA5">
        <w:rPr>
          <w:rFonts w:ascii="Arial" w:hAnsi="Arial" w:cs="Arial"/>
          <w:lang w:val="en-US"/>
        </w:rPr>
        <w:t>proposal</w:t>
      </w:r>
      <w:r w:rsidR="00C256A1" w:rsidRPr="00454CA5">
        <w:rPr>
          <w:rFonts w:ascii="Arial" w:hAnsi="Arial" w:cs="Arial"/>
          <w:lang w:val="en-US"/>
        </w:rPr>
        <w:t xml:space="preserve"> </w:t>
      </w:r>
      <w:r w:rsidR="00A51D30" w:rsidRPr="00454CA5">
        <w:rPr>
          <w:rFonts w:ascii="Arial" w:hAnsi="Arial" w:cs="Arial"/>
          <w:lang w:val="en-US"/>
        </w:rPr>
        <w:t xml:space="preserve">to </w:t>
      </w:r>
      <w:r w:rsidR="00C256A1" w:rsidRPr="00454CA5">
        <w:rPr>
          <w:rFonts w:ascii="Arial" w:hAnsi="Arial" w:cs="Arial"/>
          <w:lang w:val="en-US"/>
        </w:rPr>
        <w:t xml:space="preserve">my understanding was based on fears that were not completely unfounded </w:t>
      </w:r>
      <w:r w:rsidR="009C4DBE" w:rsidRPr="00454CA5">
        <w:rPr>
          <w:rFonts w:ascii="Arial" w:hAnsi="Arial" w:cs="Arial"/>
          <w:lang w:val="en-US"/>
        </w:rPr>
        <w:t xml:space="preserve">in view of the series of event which shows inadequate performance </w:t>
      </w:r>
      <w:r w:rsidR="00D55C98" w:rsidRPr="00454CA5">
        <w:rPr>
          <w:rFonts w:ascii="Arial" w:hAnsi="Arial" w:cs="Arial"/>
          <w:lang w:val="en-US"/>
        </w:rPr>
        <w:t xml:space="preserve">by the management </w:t>
      </w:r>
      <w:r w:rsidR="00640D35" w:rsidRPr="00454CA5">
        <w:rPr>
          <w:rFonts w:ascii="Arial" w:hAnsi="Arial" w:cs="Arial"/>
          <w:lang w:val="en-US"/>
        </w:rPr>
        <w:t>and the</w:t>
      </w:r>
      <w:r w:rsidR="00D55C98" w:rsidRPr="00454CA5">
        <w:rPr>
          <w:rFonts w:ascii="Arial" w:hAnsi="Arial" w:cs="Arial"/>
          <w:lang w:val="en-US"/>
        </w:rPr>
        <w:t xml:space="preserve"> financial performance </w:t>
      </w:r>
      <w:r w:rsidR="007D4E5E" w:rsidRPr="00454CA5">
        <w:rPr>
          <w:rFonts w:ascii="Arial" w:hAnsi="Arial" w:cs="Arial"/>
          <w:lang w:val="en-US"/>
        </w:rPr>
        <w:t xml:space="preserve">of FMHB. </w:t>
      </w:r>
    </w:p>
    <w:p w14:paraId="0751AD79" w14:textId="68E4D319" w:rsidR="00E33575" w:rsidRPr="00454CA5" w:rsidRDefault="001B40E1" w:rsidP="00E33575">
      <w:pPr>
        <w:ind w:left="567"/>
        <w:jc w:val="both"/>
        <w:rPr>
          <w:rFonts w:ascii="Arial" w:hAnsi="Arial" w:cs="Arial"/>
          <w:lang w:val="en-US"/>
        </w:rPr>
      </w:pPr>
      <w:r w:rsidRPr="00454CA5">
        <w:rPr>
          <w:rFonts w:ascii="Arial" w:hAnsi="Arial" w:cs="Arial"/>
          <w:lang w:val="en-US"/>
        </w:rPr>
        <w:t>It is important to note that, o</w:t>
      </w:r>
      <w:r w:rsidR="00E33575" w:rsidRPr="00454CA5">
        <w:rPr>
          <w:rFonts w:ascii="Arial" w:hAnsi="Arial" w:cs="Arial"/>
          <w:lang w:val="en-US"/>
        </w:rPr>
        <w:t>nce the aforesaid issues are appropriately tackled</w:t>
      </w:r>
      <w:r w:rsidR="003622DA" w:rsidRPr="00454CA5">
        <w:rPr>
          <w:rFonts w:ascii="Arial" w:hAnsi="Arial" w:cs="Arial"/>
          <w:lang w:val="en-US"/>
        </w:rPr>
        <w:t xml:space="preserve">, including by way of </w:t>
      </w:r>
      <w:r w:rsidR="006021AB" w:rsidRPr="00454CA5">
        <w:rPr>
          <w:rFonts w:ascii="Arial" w:hAnsi="Arial" w:cs="Arial"/>
          <w:lang w:val="en-US"/>
        </w:rPr>
        <w:t xml:space="preserve">equity capital infusion by the Shareholder Company, appointment of </w:t>
      </w:r>
      <w:r w:rsidR="00B16268" w:rsidRPr="00454CA5">
        <w:rPr>
          <w:rFonts w:ascii="Arial" w:hAnsi="Arial" w:cs="Arial"/>
          <w:lang w:val="en-US"/>
        </w:rPr>
        <w:t>the</w:t>
      </w:r>
      <w:r w:rsidR="006021AB" w:rsidRPr="00454CA5">
        <w:rPr>
          <w:rFonts w:ascii="Arial" w:hAnsi="Arial" w:cs="Arial"/>
          <w:lang w:val="en-US"/>
        </w:rPr>
        <w:t xml:space="preserve"> CRO and </w:t>
      </w:r>
      <w:r w:rsidR="00457DAE" w:rsidRPr="00454CA5">
        <w:rPr>
          <w:rFonts w:ascii="Arial" w:hAnsi="Arial" w:cs="Arial"/>
          <w:lang w:val="en-US"/>
        </w:rPr>
        <w:t>channelization of true and correct information</w:t>
      </w:r>
      <w:r w:rsidR="00661740" w:rsidRPr="00454CA5">
        <w:rPr>
          <w:rFonts w:ascii="Arial" w:hAnsi="Arial" w:cs="Arial"/>
          <w:lang w:val="en-US"/>
        </w:rPr>
        <w:t xml:space="preserve"> by the CRO</w:t>
      </w:r>
      <w:r w:rsidR="003622DA" w:rsidRPr="00454CA5">
        <w:rPr>
          <w:rFonts w:ascii="Arial" w:hAnsi="Arial" w:cs="Arial"/>
          <w:lang w:val="en-US"/>
        </w:rPr>
        <w:t xml:space="preserve">, Bank C and D were again onboard </w:t>
      </w:r>
      <w:r w:rsidR="00037D07" w:rsidRPr="00454CA5">
        <w:rPr>
          <w:rFonts w:ascii="Arial" w:hAnsi="Arial" w:cs="Arial"/>
          <w:lang w:val="en-US"/>
        </w:rPr>
        <w:t xml:space="preserve">with the turnaround </w:t>
      </w:r>
      <w:r w:rsidR="0068184F" w:rsidRPr="00454CA5">
        <w:rPr>
          <w:rFonts w:ascii="Arial" w:hAnsi="Arial" w:cs="Arial"/>
          <w:lang w:val="en-US"/>
        </w:rPr>
        <w:t xml:space="preserve">process and executed </w:t>
      </w:r>
      <w:r w:rsidR="00CC597C" w:rsidRPr="00454CA5">
        <w:rPr>
          <w:rFonts w:ascii="Arial" w:hAnsi="Arial" w:cs="Arial"/>
          <w:lang w:val="en-US"/>
        </w:rPr>
        <w:t>the standstill agreement</w:t>
      </w:r>
      <w:r w:rsidR="00C756C8" w:rsidRPr="00454CA5">
        <w:rPr>
          <w:rFonts w:ascii="Arial" w:hAnsi="Arial" w:cs="Arial"/>
          <w:lang w:val="en-US"/>
        </w:rPr>
        <w:t xml:space="preserve"> in </w:t>
      </w:r>
      <w:r w:rsidR="00C756C8" w:rsidRPr="00454CA5">
        <w:rPr>
          <w:rFonts w:ascii="Arial" w:hAnsi="Arial" w:cs="Arial"/>
          <w:lang w:val="en-US"/>
        </w:rPr>
        <w:t>August 2014</w:t>
      </w:r>
      <w:r w:rsidR="00CC597C" w:rsidRPr="00454CA5">
        <w:rPr>
          <w:rFonts w:ascii="Arial" w:hAnsi="Arial" w:cs="Arial"/>
          <w:lang w:val="en-US"/>
        </w:rPr>
        <w:t xml:space="preserve">. Accordingly, in my view, the conduct of Bank C and D was based on rational reasons, as elaborated above. </w:t>
      </w:r>
    </w:p>
    <w:p w14:paraId="5409F646" w14:textId="4977B190" w:rsidR="006F2C6E" w:rsidRPr="00454CA5" w:rsidRDefault="00096DFA" w:rsidP="004D6CCD">
      <w:pPr>
        <w:pStyle w:val="ListParagraph"/>
        <w:numPr>
          <w:ilvl w:val="1"/>
          <w:numId w:val="1"/>
        </w:numPr>
        <w:ind w:left="567" w:hanging="567"/>
        <w:contextualSpacing w:val="0"/>
        <w:jc w:val="both"/>
        <w:rPr>
          <w:rFonts w:ascii="Arial" w:hAnsi="Arial" w:cs="Arial"/>
          <w:b/>
          <w:bCs/>
          <w:i/>
          <w:iCs/>
          <w:lang w:val="en-US"/>
        </w:rPr>
      </w:pPr>
      <w:r w:rsidRPr="00454CA5">
        <w:rPr>
          <w:rFonts w:ascii="Arial" w:hAnsi="Arial" w:cs="Arial"/>
          <w:lang w:val="en-US"/>
        </w:rPr>
        <w:t xml:space="preserve">As an advisor to the Bank A and B, I would have recommended them to consider their proposal </w:t>
      </w:r>
      <w:r w:rsidR="00C72D88" w:rsidRPr="00454CA5">
        <w:rPr>
          <w:rFonts w:ascii="Arial" w:hAnsi="Arial" w:cs="Arial"/>
          <w:lang w:val="en-US"/>
        </w:rPr>
        <w:t xml:space="preserve">to buy-out the </w:t>
      </w:r>
      <w:r w:rsidR="009B3357" w:rsidRPr="00454CA5">
        <w:rPr>
          <w:rFonts w:ascii="Arial" w:hAnsi="Arial" w:cs="Arial"/>
          <w:lang w:val="en-US"/>
        </w:rPr>
        <w:t>Bank C and D with a 15-20%</w:t>
      </w:r>
      <w:r w:rsidR="006B4967" w:rsidRPr="00454CA5">
        <w:rPr>
          <w:rFonts w:ascii="Arial" w:hAnsi="Arial" w:cs="Arial"/>
          <w:lang w:val="en-US"/>
        </w:rPr>
        <w:t xml:space="preserve"> or more</w:t>
      </w:r>
      <w:r w:rsidR="009B3357" w:rsidRPr="00454CA5">
        <w:rPr>
          <w:rFonts w:ascii="Arial" w:hAnsi="Arial" w:cs="Arial"/>
          <w:lang w:val="en-US"/>
        </w:rPr>
        <w:t xml:space="preserve"> discount, assuming that based on the </w:t>
      </w:r>
      <w:r w:rsidR="00830F44" w:rsidRPr="00454CA5">
        <w:rPr>
          <w:rFonts w:ascii="Arial" w:hAnsi="Arial" w:cs="Arial"/>
          <w:lang w:val="en-US"/>
        </w:rPr>
        <w:t>advice</w:t>
      </w:r>
      <w:r w:rsidR="009B3357" w:rsidRPr="00454CA5">
        <w:rPr>
          <w:rFonts w:ascii="Arial" w:hAnsi="Arial" w:cs="Arial"/>
          <w:lang w:val="en-US"/>
        </w:rPr>
        <w:t xml:space="preserve"> from the </w:t>
      </w:r>
      <w:r w:rsidR="002678E3" w:rsidRPr="00454CA5">
        <w:rPr>
          <w:rFonts w:ascii="Arial" w:hAnsi="Arial" w:cs="Arial"/>
          <w:lang w:val="en-US"/>
        </w:rPr>
        <w:t xml:space="preserve">turnaround agency the business is viable. </w:t>
      </w:r>
      <w:r w:rsidR="00DD20DF" w:rsidRPr="00454CA5">
        <w:rPr>
          <w:rFonts w:ascii="Arial" w:hAnsi="Arial" w:cs="Arial"/>
          <w:lang w:val="en-US"/>
        </w:rPr>
        <w:t xml:space="preserve">In doing the same, the lenders would have saved </w:t>
      </w:r>
      <w:r w:rsidR="00916EF7" w:rsidRPr="00454CA5">
        <w:rPr>
          <w:rFonts w:ascii="Arial" w:hAnsi="Arial" w:cs="Arial"/>
          <w:lang w:val="en-US"/>
        </w:rPr>
        <w:t>7 months of time- which was wasted becau</w:t>
      </w:r>
      <w:r w:rsidR="00860F3A" w:rsidRPr="00454CA5">
        <w:rPr>
          <w:rFonts w:ascii="Arial" w:hAnsi="Arial" w:cs="Arial"/>
          <w:lang w:val="en-US"/>
        </w:rPr>
        <w:t>se all the stakeholders were not onboard. Further, this transaction could have been used as a leverage</w:t>
      </w:r>
      <w:r w:rsidR="00B87899" w:rsidRPr="00454CA5">
        <w:rPr>
          <w:rFonts w:ascii="Arial" w:hAnsi="Arial" w:cs="Arial"/>
          <w:lang w:val="en-US"/>
        </w:rPr>
        <w:t>/pre-condition</w:t>
      </w:r>
      <w:r w:rsidR="00860F3A" w:rsidRPr="00454CA5">
        <w:rPr>
          <w:rFonts w:ascii="Arial" w:hAnsi="Arial" w:cs="Arial"/>
          <w:lang w:val="en-US"/>
        </w:rPr>
        <w:t xml:space="preserve"> for</w:t>
      </w:r>
      <w:r w:rsidR="004908C9" w:rsidRPr="00454CA5">
        <w:rPr>
          <w:rFonts w:ascii="Arial" w:hAnsi="Arial" w:cs="Arial"/>
          <w:lang w:val="en-US"/>
        </w:rPr>
        <w:t xml:space="preserve"> FMHB </w:t>
      </w:r>
      <w:r w:rsidR="00283DE4" w:rsidRPr="00454CA5">
        <w:rPr>
          <w:rFonts w:ascii="Arial" w:hAnsi="Arial" w:cs="Arial"/>
          <w:lang w:val="en-US"/>
        </w:rPr>
        <w:t>to infuse equity capital</w:t>
      </w:r>
      <w:r w:rsidR="00133F1D" w:rsidRPr="00454CA5">
        <w:rPr>
          <w:rFonts w:ascii="Arial" w:hAnsi="Arial" w:cs="Arial"/>
          <w:lang w:val="en-US"/>
        </w:rPr>
        <w:t xml:space="preserve">, </w:t>
      </w:r>
      <w:r w:rsidR="0032385F" w:rsidRPr="00454CA5">
        <w:rPr>
          <w:rFonts w:ascii="Arial" w:hAnsi="Arial" w:cs="Arial"/>
          <w:lang w:val="en-US"/>
        </w:rPr>
        <w:t xml:space="preserve">replace the </w:t>
      </w:r>
      <w:r w:rsidR="00EF6531" w:rsidRPr="00454CA5">
        <w:rPr>
          <w:rFonts w:ascii="Arial" w:hAnsi="Arial" w:cs="Arial"/>
          <w:lang w:val="en-US"/>
        </w:rPr>
        <w:t>CFO</w:t>
      </w:r>
      <w:r w:rsidR="0032385F" w:rsidRPr="00454CA5">
        <w:rPr>
          <w:rFonts w:ascii="Arial" w:hAnsi="Arial" w:cs="Arial"/>
          <w:lang w:val="en-US"/>
        </w:rPr>
        <w:t xml:space="preserve"> </w:t>
      </w:r>
      <w:r w:rsidR="00B4523F" w:rsidRPr="00454CA5">
        <w:rPr>
          <w:rFonts w:ascii="Arial" w:hAnsi="Arial" w:cs="Arial"/>
          <w:lang w:val="en-US"/>
        </w:rPr>
        <w:t xml:space="preserve">and </w:t>
      </w:r>
      <w:r w:rsidR="008540E7" w:rsidRPr="00454CA5">
        <w:rPr>
          <w:rFonts w:ascii="Arial" w:hAnsi="Arial" w:cs="Arial"/>
          <w:lang w:val="en-US"/>
        </w:rPr>
        <w:t xml:space="preserve">to enter into amendment </w:t>
      </w:r>
      <w:r w:rsidR="003F2D76" w:rsidRPr="00454CA5">
        <w:rPr>
          <w:rFonts w:ascii="Arial" w:hAnsi="Arial" w:cs="Arial"/>
          <w:lang w:val="en-US"/>
        </w:rPr>
        <w:t>to</w:t>
      </w:r>
      <w:r w:rsidR="00F23B4A" w:rsidRPr="00454CA5">
        <w:rPr>
          <w:rFonts w:ascii="Arial" w:hAnsi="Arial" w:cs="Arial"/>
          <w:lang w:val="en-US"/>
        </w:rPr>
        <w:t xml:space="preserve"> perfect the</w:t>
      </w:r>
      <w:r w:rsidR="008540E7" w:rsidRPr="00454CA5">
        <w:rPr>
          <w:rFonts w:ascii="Arial" w:hAnsi="Arial" w:cs="Arial"/>
          <w:lang w:val="en-US"/>
        </w:rPr>
        <w:t xml:space="preserve"> security document</w:t>
      </w:r>
      <w:r w:rsidR="00C740CD" w:rsidRPr="00454CA5">
        <w:rPr>
          <w:rFonts w:ascii="Arial" w:hAnsi="Arial" w:cs="Arial"/>
          <w:lang w:val="en-US"/>
        </w:rPr>
        <w:t>s</w:t>
      </w:r>
      <w:r w:rsidR="005A01EF" w:rsidRPr="00454CA5">
        <w:rPr>
          <w:rFonts w:ascii="Arial" w:hAnsi="Arial" w:cs="Arial"/>
          <w:lang w:val="en-US"/>
        </w:rPr>
        <w:t xml:space="preserve"> simultaneously with the assignment</w:t>
      </w:r>
      <w:r w:rsidR="00C740CD" w:rsidRPr="00454CA5">
        <w:rPr>
          <w:rFonts w:ascii="Arial" w:hAnsi="Arial" w:cs="Arial"/>
          <w:lang w:val="en-US"/>
        </w:rPr>
        <w:t xml:space="preserve">- </w:t>
      </w:r>
      <w:r w:rsidR="00C740CD" w:rsidRPr="00454CA5">
        <w:rPr>
          <w:rFonts w:ascii="Arial" w:hAnsi="Arial" w:cs="Arial"/>
          <w:i/>
          <w:iCs/>
          <w:lang w:val="en-US"/>
        </w:rPr>
        <w:t>presumably without any claw back risks</w:t>
      </w:r>
      <w:r w:rsidR="00C740CD" w:rsidRPr="00454CA5">
        <w:rPr>
          <w:rFonts w:ascii="Arial" w:hAnsi="Arial" w:cs="Arial"/>
          <w:lang w:val="en-US"/>
        </w:rPr>
        <w:t xml:space="preserve">. </w:t>
      </w:r>
    </w:p>
    <w:p w14:paraId="33FE5B28" w14:textId="2023A20C" w:rsidR="004E6BF5" w:rsidRPr="00454CA5" w:rsidRDefault="004E6BF5" w:rsidP="004E6BF5">
      <w:pPr>
        <w:pStyle w:val="ListParagraph"/>
        <w:spacing w:line="240" w:lineRule="auto"/>
        <w:ind w:left="567"/>
        <w:contextualSpacing w:val="0"/>
        <w:jc w:val="both"/>
        <w:rPr>
          <w:rFonts w:ascii="Arial" w:hAnsi="Arial" w:cs="Arial"/>
          <w:b/>
          <w:bCs/>
          <w:i/>
          <w:iCs/>
          <w:lang w:val="en-US"/>
        </w:rPr>
      </w:pPr>
      <w:r w:rsidRPr="00454CA5">
        <w:rPr>
          <w:rFonts w:ascii="Arial" w:hAnsi="Arial" w:cs="Arial"/>
          <w:lang w:val="en-US"/>
        </w:rPr>
        <w:t xml:space="preserve">With the </w:t>
      </w:r>
      <w:r w:rsidR="00E05EC2" w:rsidRPr="00454CA5">
        <w:rPr>
          <w:rFonts w:ascii="Arial" w:hAnsi="Arial" w:cs="Arial"/>
          <w:lang w:val="en-US"/>
        </w:rPr>
        <w:t>decision being entrusted with only one set of lenders</w:t>
      </w:r>
      <w:r w:rsidR="000A0E9D" w:rsidRPr="00454CA5">
        <w:rPr>
          <w:rFonts w:ascii="Arial" w:hAnsi="Arial" w:cs="Arial"/>
          <w:lang w:val="en-US"/>
        </w:rPr>
        <w:t xml:space="preserve"> who operates with </w:t>
      </w:r>
      <w:r w:rsidR="00830F44" w:rsidRPr="00454CA5">
        <w:rPr>
          <w:rFonts w:ascii="Arial" w:hAnsi="Arial" w:cs="Arial"/>
          <w:lang w:val="en-US"/>
        </w:rPr>
        <w:t>coordinated</w:t>
      </w:r>
      <w:r w:rsidR="000A0E9D" w:rsidRPr="00454CA5">
        <w:rPr>
          <w:rFonts w:ascii="Arial" w:hAnsi="Arial" w:cs="Arial"/>
          <w:lang w:val="en-US"/>
        </w:rPr>
        <w:t xml:space="preserve"> approach</w:t>
      </w:r>
      <w:r w:rsidR="00D462D7" w:rsidRPr="00454CA5">
        <w:rPr>
          <w:rFonts w:ascii="Arial" w:hAnsi="Arial" w:cs="Arial"/>
          <w:lang w:val="en-US"/>
        </w:rPr>
        <w:t xml:space="preserve">, the likelihood of </w:t>
      </w:r>
      <w:r w:rsidR="00E72B98" w:rsidRPr="00454CA5">
        <w:rPr>
          <w:rFonts w:ascii="Arial" w:hAnsi="Arial" w:cs="Arial"/>
          <w:lang w:val="en-US"/>
        </w:rPr>
        <w:t>successfully running the turnaround process</w:t>
      </w:r>
      <w:r w:rsidR="006166BC" w:rsidRPr="00454CA5">
        <w:rPr>
          <w:rFonts w:ascii="Arial" w:hAnsi="Arial" w:cs="Arial"/>
          <w:lang w:val="en-US"/>
        </w:rPr>
        <w:t xml:space="preserve"> </w:t>
      </w:r>
      <w:r w:rsidR="00E72B98" w:rsidRPr="00454CA5">
        <w:rPr>
          <w:rFonts w:ascii="Arial" w:hAnsi="Arial" w:cs="Arial"/>
          <w:lang w:val="en-US"/>
        </w:rPr>
        <w:t xml:space="preserve">(in a time bound manner) </w:t>
      </w:r>
      <w:r w:rsidR="006166BC" w:rsidRPr="00454CA5">
        <w:rPr>
          <w:rFonts w:ascii="Arial" w:hAnsi="Arial" w:cs="Arial"/>
          <w:lang w:val="en-US"/>
        </w:rPr>
        <w:t xml:space="preserve">would have </w:t>
      </w:r>
      <w:r w:rsidR="00E72B98" w:rsidRPr="00454CA5">
        <w:rPr>
          <w:rFonts w:ascii="Arial" w:hAnsi="Arial" w:cs="Arial"/>
          <w:lang w:val="en-US"/>
        </w:rPr>
        <w:t xml:space="preserve">significantly </w:t>
      </w:r>
      <w:r w:rsidR="00B12D4D" w:rsidRPr="00454CA5">
        <w:rPr>
          <w:rFonts w:ascii="Arial" w:hAnsi="Arial" w:cs="Arial"/>
          <w:lang w:val="en-US"/>
        </w:rPr>
        <w:t xml:space="preserve">increased. </w:t>
      </w:r>
    </w:p>
    <w:p w14:paraId="6B3409A8" w14:textId="6EE327D2" w:rsidR="00A53DB1" w:rsidRPr="00454CA5" w:rsidRDefault="00A53DB1" w:rsidP="00776876">
      <w:pPr>
        <w:pStyle w:val="ListParagraph"/>
        <w:spacing w:line="240" w:lineRule="auto"/>
        <w:ind w:left="567"/>
        <w:contextualSpacing w:val="0"/>
        <w:jc w:val="both"/>
        <w:rPr>
          <w:rFonts w:ascii="Arial" w:hAnsi="Arial" w:cs="Arial"/>
          <w:b/>
          <w:bCs/>
          <w:i/>
          <w:iCs/>
          <w:lang w:val="en-US"/>
        </w:rPr>
      </w:pPr>
      <w:r w:rsidRPr="00454CA5">
        <w:rPr>
          <w:rFonts w:ascii="Arial" w:hAnsi="Arial" w:cs="Arial"/>
          <w:b/>
          <w:bCs/>
          <w:i/>
          <w:iCs/>
          <w:lang w:val="en-US"/>
        </w:rPr>
        <w:br w:type="page"/>
      </w:r>
    </w:p>
    <w:p w14:paraId="5D75FB0F" w14:textId="7F012D77" w:rsidR="008C652F" w:rsidRPr="00454CA5" w:rsidRDefault="008C652F"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Which of the eight principles of the ‘Statement of Principles for a Global Approach to</w:t>
      </w:r>
      <w:r w:rsidR="00B702F3" w:rsidRPr="00454CA5">
        <w:rPr>
          <w:rFonts w:ascii="Arial" w:hAnsi="Arial" w:cs="Arial"/>
          <w:b/>
          <w:bCs/>
          <w:i/>
          <w:iCs/>
          <w:lang w:val="en-US"/>
        </w:rPr>
        <w:t xml:space="preserve"> </w:t>
      </w:r>
      <w:r w:rsidRPr="00454CA5">
        <w:rPr>
          <w:rFonts w:ascii="Arial" w:hAnsi="Arial" w:cs="Arial"/>
          <w:b/>
          <w:bCs/>
          <w:i/>
          <w:iCs/>
          <w:lang w:val="en-US"/>
        </w:rPr>
        <w:t>Multi-Creditor Workouts II’ can be found in the workout process of Flow Management</w:t>
      </w:r>
      <w:r w:rsidR="00B702F3" w:rsidRPr="00454CA5">
        <w:rPr>
          <w:rFonts w:ascii="Arial" w:hAnsi="Arial" w:cs="Arial"/>
          <w:b/>
          <w:bCs/>
          <w:i/>
          <w:iCs/>
          <w:lang w:val="en-US"/>
        </w:rPr>
        <w:t xml:space="preserve"> </w:t>
      </w:r>
      <w:r w:rsidRPr="00454CA5">
        <w:rPr>
          <w:rFonts w:ascii="Arial" w:hAnsi="Arial" w:cs="Arial"/>
          <w:b/>
          <w:bCs/>
          <w:i/>
          <w:iCs/>
          <w:lang w:val="en-US"/>
        </w:rPr>
        <w:t>(explicit or implicit)?</w:t>
      </w:r>
    </w:p>
    <w:p w14:paraId="6B3A1C99" w14:textId="587CF1B0" w:rsidR="004C1064" w:rsidRPr="00454CA5" w:rsidRDefault="005E3420"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The following principles of </w:t>
      </w:r>
      <w:r w:rsidR="002D4AF8" w:rsidRPr="00454CA5">
        <w:rPr>
          <w:rFonts w:ascii="Arial" w:hAnsi="Arial" w:cs="Arial"/>
          <w:lang w:val="en-US"/>
        </w:rPr>
        <w:t>Statement of Principles for a Global Approach to Multi-Creditor Workouts II</w:t>
      </w:r>
      <w:r w:rsidR="002D4AF8" w:rsidRPr="00454CA5">
        <w:rPr>
          <w:rFonts w:ascii="Arial" w:hAnsi="Arial" w:cs="Arial"/>
          <w:lang w:val="en-US"/>
        </w:rPr>
        <w:t xml:space="preserve"> </w:t>
      </w:r>
      <w:r w:rsidRPr="00454CA5">
        <w:rPr>
          <w:rFonts w:ascii="Arial" w:hAnsi="Arial" w:cs="Arial"/>
          <w:lang w:val="en-US"/>
        </w:rPr>
        <w:t xml:space="preserve">(the </w:t>
      </w:r>
      <w:r w:rsidRPr="00454CA5">
        <w:rPr>
          <w:rFonts w:ascii="Arial" w:hAnsi="Arial" w:cs="Arial"/>
          <w:b/>
          <w:bCs/>
          <w:lang w:val="en-US"/>
        </w:rPr>
        <w:t>Principles</w:t>
      </w:r>
      <w:r w:rsidRPr="00454CA5">
        <w:rPr>
          <w:rFonts w:ascii="Arial" w:hAnsi="Arial" w:cs="Arial"/>
          <w:lang w:val="en-US"/>
        </w:rPr>
        <w:t xml:space="preserve">) </w:t>
      </w:r>
      <w:r w:rsidR="009F7BB0" w:rsidRPr="00454CA5">
        <w:rPr>
          <w:rFonts w:ascii="Arial" w:hAnsi="Arial" w:cs="Arial"/>
          <w:lang w:val="en-US"/>
        </w:rPr>
        <w:t xml:space="preserve">can be found </w:t>
      </w:r>
      <w:r w:rsidR="00D21E2B" w:rsidRPr="00454CA5">
        <w:rPr>
          <w:rFonts w:ascii="Arial" w:hAnsi="Arial" w:cs="Arial"/>
          <w:lang w:val="en-US"/>
        </w:rPr>
        <w:t xml:space="preserve">at play </w:t>
      </w:r>
      <w:r w:rsidR="009F7BB0" w:rsidRPr="00454CA5">
        <w:rPr>
          <w:rFonts w:ascii="Arial" w:hAnsi="Arial" w:cs="Arial"/>
          <w:lang w:val="en-US"/>
        </w:rPr>
        <w:t xml:space="preserve">in the work out process of </w:t>
      </w:r>
      <w:r w:rsidR="00416F92" w:rsidRPr="00454CA5">
        <w:rPr>
          <w:rFonts w:ascii="Arial" w:hAnsi="Arial" w:cs="Arial"/>
          <w:lang w:val="en-US"/>
        </w:rPr>
        <w:t>Flow Management Holding BV (</w:t>
      </w:r>
      <w:r w:rsidR="00416F92" w:rsidRPr="00454CA5">
        <w:rPr>
          <w:rFonts w:ascii="Arial" w:hAnsi="Arial" w:cs="Arial"/>
          <w:b/>
          <w:bCs/>
          <w:lang w:val="en-US"/>
        </w:rPr>
        <w:t>FMHB</w:t>
      </w:r>
      <w:r w:rsidR="00416F92" w:rsidRPr="00454CA5">
        <w:rPr>
          <w:rFonts w:ascii="Arial" w:hAnsi="Arial" w:cs="Arial"/>
          <w:lang w:val="en-US"/>
        </w:rPr>
        <w:t>)</w:t>
      </w:r>
      <w:r w:rsidR="00416F92" w:rsidRPr="00454CA5">
        <w:rPr>
          <w:rFonts w:ascii="Arial" w:hAnsi="Arial" w:cs="Arial"/>
          <w:lang w:val="en-US"/>
        </w:rPr>
        <w:t xml:space="preserve">: </w:t>
      </w:r>
    </w:p>
    <w:p w14:paraId="64C1CC2E" w14:textId="1937DFB1" w:rsidR="0082536A" w:rsidRPr="00454CA5" w:rsidRDefault="003233F8" w:rsidP="004D6CCD">
      <w:pPr>
        <w:pStyle w:val="ListParagraph"/>
        <w:numPr>
          <w:ilvl w:val="0"/>
          <w:numId w:val="7"/>
        </w:numPr>
        <w:ind w:left="1418" w:hanging="851"/>
        <w:contextualSpacing w:val="0"/>
        <w:jc w:val="both"/>
        <w:rPr>
          <w:rFonts w:ascii="Arial" w:hAnsi="Arial" w:cs="Arial"/>
          <w:lang w:val="en-US"/>
        </w:rPr>
      </w:pPr>
      <w:r w:rsidRPr="00454CA5">
        <w:rPr>
          <w:rFonts w:ascii="Arial" w:hAnsi="Arial" w:cs="Arial"/>
          <w:lang w:val="en-US"/>
        </w:rPr>
        <w:t xml:space="preserve">The First Principle </w:t>
      </w:r>
      <w:r w:rsidR="00D07C67" w:rsidRPr="00454CA5">
        <w:rPr>
          <w:rFonts w:ascii="Arial" w:hAnsi="Arial" w:cs="Arial"/>
          <w:lang w:val="en-US"/>
        </w:rPr>
        <w:t>was applied mostly during the process</w:t>
      </w:r>
      <w:r w:rsidR="005F52E5" w:rsidRPr="00454CA5">
        <w:rPr>
          <w:rFonts w:ascii="Arial" w:hAnsi="Arial" w:cs="Arial"/>
          <w:lang w:val="en-US"/>
        </w:rPr>
        <w:t xml:space="preserve"> (except for a brief period when the Bank C and D were unwilling)</w:t>
      </w:r>
      <w:r w:rsidR="00D07C67" w:rsidRPr="00454CA5">
        <w:rPr>
          <w:rFonts w:ascii="Arial" w:hAnsi="Arial" w:cs="Arial"/>
          <w:lang w:val="en-US"/>
        </w:rPr>
        <w:t xml:space="preserve"> </w:t>
      </w:r>
      <w:r w:rsidR="00244B6E" w:rsidRPr="00454CA5">
        <w:rPr>
          <w:rFonts w:ascii="Arial" w:hAnsi="Arial" w:cs="Arial"/>
          <w:lang w:val="en-US"/>
        </w:rPr>
        <w:t>wherein the Bank A, B, C and D</w:t>
      </w:r>
      <w:r w:rsidR="00283DB5" w:rsidRPr="00454CA5">
        <w:rPr>
          <w:rFonts w:ascii="Arial" w:hAnsi="Arial" w:cs="Arial"/>
          <w:lang w:val="en-US"/>
        </w:rPr>
        <w:t xml:space="preserve"> (</w:t>
      </w:r>
      <w:r w:rsidR="00283DB5" w:rsidRPr="00454CA5">
        <w:rPr>
          <w:rFonts w:ascii="Arial" w:hAnsi="Arial" w:cs="Arial"/>
          <w:b/>
          <w:bCs/>
          <w:lang w:val="en-US"/>
        </w:rPr>
        <w:t>Specified Banks</w:t>
      </w:r>
      <w:r w:rsidR="00283DB5" w:rsidRPr="00454CA5">
        <w:rPr>
          <w:rFonts w:ascii="Arial" w:hAnsi="Arial" w:cs="Arial"/>
          <w:lang w:val="en-US"/>
        </w:rPr>
        <w:t>)</w:t>
      </w:r>
      <w:r w:rsidR="00244B6E" w:rsidRPr="00454CA5">
        <w:rPr>
          <w:rFonts w:ascii="Arial" w:hAnsi="Arial" w:cs="Arial"/>
          <w:lang w:val="en-US"/>
        </w:rPr>
        <w:t xml:space="preserve"> co-operated with each</w:t>
      </w:r>
      <w:r w:rsidR="0080539B" w:rsidRPr="00454CA5">
        <w:rPr>
          <w:rFonts w:ascii="Arial" w:hAnsi="Arial" w:cs="Arial"/>
          <w:lang w:val="en-US"/>
        </w:rPr>
        <w:t xml:space="preserve"> other </w:t>
      </w:r>
      <w:r w:rsidR="00CB70F6" w:rsidRPr="00454CA5">
        <w:rPr>
          <w:rFonts w:ascii="Arial" w:hAnsi="Arial" w:cs="Arial"/>
          <w:lang w:val="en-US"/>
        </w:rPr>
        <w:t xml:space="preserve">and attempted </w:t>
      </w:r>
      <w:r w:rsidR="003F213F" w:rsidRPr="00454CA5">
        <w:rPr>
          <w:rFonts w:ascii="Arial" w:hAnsi="Arial" w:cs="Arial"/>
          <w:lang w:val="en-US"/>
        </w:rPr>
        <w:t xml:space="preserve">to rescue FMHB. Even in the absence of a standstill agreement, the Specified Banks provided their implicit support and </w:t>
      </w:r>
      <w:r w:rsidR="0082536A" w:rsidRPr="00454CA5">
        <w:rPr>
          <w:rFonts w:ascii="Arial" w:hAnsi="Arial" w:cs="Arial"/>
          <w:lang w:val="en-US"/>
        </w:rPr>
        <w:t xml:space="preserve">did not press for </w:t>
      </w:r>
      <w:r w:rsidR="0082536A" w:rsidRPr="00454CA5">
        <w:rPr>
          <w:rFonts w:ascii="Arial" w:hAnsi="Arial" w:cs="Arial"/>
          <w:lang w:val="en-US"/>
        </w:rPr>
        <w:t>scheduled repayment of € 35 million on 31</w:t>
      </w:r>
      <w:r w:rsidR="00CE7958" w:rsidRPr="00454CA5">
        <w:rPr>
          <w:rFonts w:ascii="Arial" w:hAnsi="Arial" w:cs="Arial"/>
          <w:lang w:val="en-US"/>
        </w:rPr>
        <w:t xml:space="preserve"> </w:t>
      </w:r>
      <w:r w:rsidR="0082536A" w:rsidRPr="00454CA5">
        <w:rPr>
          <w:rFonts w:ascii="Arial" w:hAnsi="Arial" w:cs="Arial"/>
          <w:lang w:val="en-US"/>
        </w:rPr>
        <w:t>December 2014</w:t>
      </w:r>
      <w:r w:rsidR="00F644AD" w:rsidRPr="00454CA5">
        <w:rPr>
          <w:rFonts w:ascii="Arial" w:hAnsi="Arial" w:cs="Arial"/>
          <w:lang w:val="en-US"/>
        </w:rPr>
        <w:t xml:space="preserve">, which was </w:t>
      </w:r>
      <w:r w:rsidR="002865D0" w:rsidRPr="00454CA5">
        <w:rPr>
          <w:rFonts w:ascii="Arial" w:hAnsi="Arial" w:cs="Arial"/>
          <w:lang w:val="en-US"/>
        </w:rPr>
        <w:t xml:space="preserve">a significant aid in the </w:t>
      </w:r>
      <w:r w:rsidR="00D67BED" w:rsidRPr="00454CA5">
        <w:rPr>
          <w:rFonts w:ascii="Arial" w:hAnsi="Arial" w:cs="Arial"/>
          <w:lang w:val="en-US"/>
        </w:rPr>
        <w:t>rescue</w:t>
      </w:r>
      <w:r w:rsidR="00D60439" w:rsidRPr="00454CA5">
        <w:rPr>
          <w:rFonts w:ascii="Arial" w:hAnsi="Arial" w:cs="Arial"/>
          <w:lang w:val="en-US"/>
        </w:rPr>
        <w:t xml:space="preserve"> process</w:t>
      </w:r>
      <w:r w:rsidR="00C154DC" w:rsidRPr="00454CA5">
        <w:rPr>
          <w:rFonts w:ascii="Arial" w:hAnsi="Arial" w:cs="Arial"/>
          <w:lang w:val="en-US"/>
        </w:rPr>
        <w:t xml:space="preserve">. Further, taking into account the viability of the process, the </w:t>
      </w:r>
      <w:r w:rsidR="00D93AFF" w:rsidRPr="00454CA5">
        <w:rPr>
          <w:rFonts w:ascii="Arial" w:hAnsi="Arial" w:cs="Arial"/>
          <w:lang w:val="en-US"/>
        </w:rPr>
        <w:t xml:space="preserve">Specified Banks were also actively involved in the process </w:t>
      </w:r>
      <w:r w:rsidR="0011104D" w:rsidRPr="00454CA5">
        <w:rPr>
          <w:rFonts w:ascii="Arial" w:hAnsi="Arial" w:cs="Arial"/>
          <w:lang w:val="en-US"/>
        </w:rPr>
        <w:t>and evaluated the various proposal for</w:t>
      </w:r>
      <w:r w:rsidR="00BF2BB6" w:rsidRPr="00454CA5">
        <w:rPr>
          <w:rFonts w:ascii="Arial" w:hAnsi="Arial" w:cs="Arial"/>
          <w:lang w:val="en-US"/>
        </w:rPr>
        <w:t xml:space="preserve"> resolving the financial difficulties. </w:t>
      </w:r>
      <w:r w:rsidR="00D60439" w:rsidRPr="00454CA5">
        <w:rPr>
          <w:rFonts w:ascii="Arial" w:hAnsi="Arial" w:cs="Arial"/>
          <w:lang w:val="en-US"/>
        </w:rPr>
        <w:t xml:space="preserve"> </w:t>
      </w:r>
    </w:p>
    <w:p w14:paraId="0FA0FACB" w14:textId="259B9346" w:rsidR="003E2EBF" w:rsidRPr="00454CA5" w:rsidRDefault="00F2685D" w:rsidP="004D6CCD">
      <w:pPr>
        <w:pStyle w:val="ListParagraph"/>
        <w:numPr>
          <w:ilvl w:val="0"/>
          <w:numId w:val="7"/>
        </w:numPr>
        <w:ind w:left="1418" w:hanging="851"/>
        <w:contextualSpacing w:val="0"/>
        <w:jc w:val="both"/>
        <w:rPr>
          <w:rFonts w:ascii="Arial" w:hAnsi="Arial" w:cs="Arial"/>
          <w:lang w:val="en-US"/>
        </w:rPr>
      </w:pPr>
      <w:r w:rsidRPr="00454CA5">
        <w:rPr>
          <w:rFonts w:ascii="Arial" w:hAnsi="Arial" w:cs="Arial"/>
          <w:lang w:val="en-US"/>
        </w:rPr>
        <w:t xml:space="preserve">The Second Principle was also applicable </w:t>
      </w:r>
      <w:r w:rsidR="00667E8D" w:rsidRPr="00454CA5">
        <w:rPr>
          <w:rFonts w:ascii="Arial" w:hAnsi="Arial" w:cs="Arial"/>
          <w:lang w:val="en-US"/>
        </w:rPr>
        <w:t xml:space="preserve">(although </w:t>
      </w:r>
      <w:r w:rsidR="000C4001" w:rsidRPr="00454CA5">
        <w:rPr>
          <w:rFonts w:ascii="Arial" w:hAnsi="Arial" w:cs="Arial"/>
          <w:lang w:val="en-US"/>
        </w:rPr>
        <w:t>purely</w:t>
      </w:r>
      <w:r w:rsidR="00667E8D" w:rsidRPr="00454CA5">
        <w:rPr>
          <w:rFonts w:ascii="Arial" w:hAnsi="Arial" w:cs="Arial"/>
          <w:lang w:val="en-US"/>
        </w:rPr>
        <w:t xml:space="preserve"> for </w:t>
      </w:r>
      <w:r w:rsidR="00F24C6B" w:rsidRPr="00454CA5">
        <w:rPr>
          <w:rFonts w:ascii="Arial" w:hAnsi="Arial" w:cs="Arial"/>
          <w:lang w:val="en-US"/>
        </w:rPr>
        <w:t>commercial reasons</w:t>
      </w:r>
      <w:r w:rsidR="00936B0E" w:rsidRPr="00454CA5">
        <w:rPr>
          <w:rFonts w:ascii="Arial" w:hAnsi="Arial" w:cs="Arial"/>
          <w:lang w:val="en-US"/>
        </w:rPr>
        <w:t>), wherein the Specified Banks refrained from initiating</w:t>
      </w:r>
      <w:r w:rsidR="002B75B2" w:rsidRPr="00454CA5">
        <w:rPr>
          <w:rFonts w:ascii="Arial" w:hAnsi="Arial" w:cs="Arial"/>
          <w:lang w:val="en-US"/>
        </w:rPr>
        <w:t xml:space="preserve"> enforcement or</w:t>
      </w:r>
      <w:r w:rsidR="00936B0E" w:rsidRPr="00454CA5">
        <w:rPr>
          <w:rFonts w:ascii="Arial" w:hAnsi="Arial" w:cs="Arial"/>
          <w:lang w:val="en-US"/>
        </w:rPr>
        <w:t xml:space="preserve"> liquidation proceedings </w:t>
      </w:r>
      <w:r w:rsidR="00D606A7" w:rsidRPr="00454CA5">
        <w:rPr>
          <w:rFonts w:ascii="Arial" w:hAnsi="Arial" w:cs="Arial"/>
          <w:lang w:val="en-US"/>
        </w:rPr>
        <w:t>or terminating credit arrangements</w:t>
      </w:r>
      <w:r w:rsidR="005B2D56" w:rsidRPr="00454CA5">
        <w:rPr>
          <w:rFonts w:ascii="Arial" w:hAnsi="Arial" w:cs="Arial"/>
          <w:lang w:val="en-US"/>
        </w:rPr>
        <w:t xml:space="preserve">. </w:t>
      </w:r>
      <w:r w:rsidR="00475207" w:rsidRPr="00454CA5">
        <w:rPr>
          <w:rFonts w:ascii="Arial" w:hAnsi="Arial" w:cs="Arial"/>
          <w:lang w:val="en-US"/>
        </w:rPr>
        <w:t>This was also useful as th</w:t>
      </w:r>
      <w:r w:rsidR="00AD03DC" w:rsidRPr="00454CA5">
        <w:rPr>
          <w:rFonts w:ascii="Arial" w:hAnsi="Arial" w:cs="Arial"/>
          <w:lang w:val="en-US"/>
        </w:rPr>
        <w:t xml:space="preserve">e business was as such viable and with the </w:t>
      </w:r>
      <w:r w:rsidR="00830F44" w:rsidRPr="00454CA5">
        <w:rPr>
          <w:rFonts w:ascii="Arial" w:hAnsi="Arial" w:cs="Arial"/>
          <w:lang w:val="en-US"/>
        </w:rPr>
        <w:t>favorable</w:t>
      </w:r>
      <w:r w:rsidR="00AD03DC" w:rsidRPr="00454CA5">
        <w:rPr>
          <w:rFonts w:ascii="Arial" w:hAnsi="Arial" w:cs="Arial"/>
          <w:lang w:val="en-US"/>
        </w:rPr>
        <w:t xml:space="preserve"> market conditions the prospects of FMHB improved. </w:t>
      </w:r>
    </w:p>
    <w:p w14:paraId="69943A97" w14:textId="11E26212" w:rsidR="00416F92" w:rsidRPr="00454CA5" w:rsidRDefault="00E84B52" w:rsidP="004D6CCD">
      <w:pPr>
        <w:pStyle w:val="ListParagraph"/>
        <w:numPr>
          <w:ilvl w:val="0"/>
          <w:numId w:val="7"/>
        </w:numPr>
        <w:ind w:left="1418" w:hanging="851"/>
        <w:contextualSpacing w:val="0"/>
        <w:jc w:val="both"/>
        <w:rPr>
          <w:rFonts w:ascii="Arial" w:hAnsi="Arial" w:cs="Arial"/>
          <w:lang w:val="en-US"/>
        </w:rPr>
      </w:pPr>
      <w:r w:rsidRPr="00454CA5">
        <w:rPr>
          <w:rFonts w:ascii="Arial" w:hAnsi="Arial" w:cs="Arial"/>
          <w:lang w:val="en-US"/>
        </w:rPr>
        <w:t xml:space="preserve">The Fourth Principle </w:t>
      </w:r>
      <w:r w:rsidR="004650C6" w:rsidRPr="00454CA5">
        <w:rPr>
          <w:rFonts w:ascii="Arial" w:hAnsi="Arial" w:cs="Arial"/>
          <w:lang w:val="en-US"/>
        </w:rPr>
        <w:t xml:space="preserve">can also be found as </w:t>
      </w:r>
      <w:r w:rsidR="00A015FB" w:rsidRPr="00454CA5">
        <w:rPr>
          <w:rFonts w:ascii="Arial" w:hAnsi="Arial" w:cs="Arial"/>
          <w:lang w:val="en-US"/>
        </w:rPr>
        <w:t xml:space="preserve">Specified Bank acted in a </w:t>
      </w:r>
      <w:r w:rsidR="00830F44" w:rsidRPr="00454CA5">
        <w:rPr>
          <w:rFonts w:ascii="Arial" w:hAnsi="Arial" w:cs="Arial"/>
          <w:lang w:val="en-US"/>
        </w:rPr>
        <w:t>coordinated</w:t>
      </w:r>
      <w:r w:rsidR="00A015FB" w:rsidRPr="00454CA5">
        <w:rPr>
          <w:rFonts w:ascii="Arial" w:hAnsi="Arial" w:cs="Arial"/>
          <w:lang w:val="en-US"/>
        </w:rPr>
        <w:t xml:space="preserve"> manner (except for a brief period of impasse between Bank A and B and C and D)</w:t>
      </w:r>
      <w:r w:rsidR="00FA1F5A" w:rsidRPr="00454CA5">
        <w:rPr>
          <w:rFonts w:ascii="Arial" w:hAnsi="Arial" w:cs="Arial"/>
          <w:lang w:val="en-US"/>
        </w:rPr>
        <w:t xml:space="preserve">. </w:t>
      </w:r>
      <w:r w:rsidR="009D79C4" w:rsidRPr="00454CA5">
        <w:rPr>
          <w:rFonts w:ascii="Arial" w:hAnsi="Arial" w:cs="Arial"/>
          <w:lang w:val="en-US"/>
        </w:rPr>
        <w:t>As such the Specified Bank</w:t>
      </w:r>
      <w:r w:rsidR="00E71230" w:rsidRPr="00454CA5">
        <w:rPr>
          <w:rFonts w:ascii="Arial" w:hAnsi="Arial" w:cs="Arial"/>
          <w:lang w:val="en-US"/>
        </w:rPr>
        <w:t xml:space="preserve"> facilitated and</w:t>
      </w:r>
      <w:r w:rsidR="009D79C4" w:rsidRPr="00454CA5">
        <w:rPr>
          <w:rFonts w:ascii="Arial" w:hAnsi="Arial" w:cs="Arial"/>
          <w:lang w:val="en-US"/>
        </w:rPr>
        <w:t xml:space="preserve"> participated in the whole process and </w:t>
      </w:r>
      <w:r w:rsidR="00016F5D" w:rsidRPr="00454CA5">
        <w:rPr>
          <w:rFonts w:ascii="Arial" w:hAnsi="Arial" w:cs="Arial"/>
          <w:lang w:val="en-US"/>
        </w:rPr>
        <w:t>considered t</w:t>
      </w:r>
      <w:r w:rsidR="00BF0751" w:rsidRPr="00454CA5">
        <w:rPr>
          <w:rFonts w:ascii="Arial" w:hAnsi="Arial" w:cs="Arial"/>
          <w:lang w:val="en-US"/>
        </w:rPr>
        <w:t xml:space="preserve">he various proposals that </w:t>
      </w:r>
      <w:r w:rsidR="00016F5D" w:rsidRPr="00454CA5">
        <w:rPr>
          <w:rFonts w:ascii="Arial" w:hAnsi="Arial" w:cs="Arial"/>
          <w:lang w:val="en-US"/>
        </w:rPr>
        <w:t>were put forward by FMHB and the Shareholder Company</w:t>
      </w:r>
      <w:r w:rsidR="00FA1F5A" w:rsidRPr="00454CA5">
        <w:rPr>
          <w:rFonts w:ascii="Arial" w:hAnsi="Arial" w:cs="Arial"/>
          <w:lang w:val="en-US"/>
        </w:rPr>
        <w:t>.</w:t>
      </w:r>
      <w:r w:rsidR="008A7A35" w:rsidRPr="00454CA5">
        <w:rPr>
          <w:rFonts w:ascii="Arial" w:hAnsi="Arial" w:cs="Arial"/>
          <w:lang w:val="en-US"/>
        </w:rPr>
        <w:t xml:space="preserve"> </w:t>
      </w:r>
      <w:r w:rsidR="0047501A" w:rsidRPr="00454CA5">
        <w:rPr>
          <w:rFonts w:ascii="Arial" w:hAnsi="Arial" w:cs="Arial"/>
          <w:lang w:val="en-US"/>
        </w:rPr>
        <w:t xml:space="preserve">Having said that, the </w:t>
      </w:r>
      <w:r w:rsidR="001E1F7E" w:rsidRPr="00454CA5">
        <w:rPr>
          <w:rFonts w:ascii="Arial" w:hAnsi="Arial" w:cs="Arial"/>
          <w:lang w:val="en-US"/>
        </w:rPr>
        <w:t>applicability</w:t>
      </w:r>
      <w:r w:rsidR="0047501A" w:rsidRPr="00454CA5">
        <w:rPr>
          <w:rFonts w:ascii="Arial" w:hAnsi="Arial" w:cs="Arial"/>
          <w:lang w:val="en-US"/>
        </w:rPr>
        <w:t xml:space="preserve"> of this principle  would have been more </w:t>
      </w:r>
      <w:r w:rsidR="00B41ACF" w:rsidRPr="00454CA5">
        <w:rPr>
          <w:rFonts w:ascii="Arial" w:hAnsi="Arial" w:cs="Arial"/>
          <w:lang w:val="en-US"/>
        </w:rPr>
        <w:t>effective</w:t>
      </w:r>
      <w:r w:rsidR="0047501A" w:rsidRPr="00454CA5">
        <w:rPr>
          <w:rFonts w:ascii="Arial" w:hAnsi="Arial" w:cs="Arial"/>
          <w:lang w:val="en-US"/>
        </w:rPr>
        <w:t xml:space="preserve"> </w:t>
      </w:r>
      <w:r w:rsidR="00303871" w:rsidRPr="00454CA5">
        <w:rPr>
          <w:rFonts w:ascii="Arial" w:hAnsi="Arial" w:cs="Arial"/>
          <w:lang w:val="en-US"/>
        </w:rPr>
        <w:t xml:space="preserve">if the professional advisory appointed (i.e., the turnaround agency and the investigating agency) had a more role to play </w:t>
      </w:r>
      <w:r w:rsidR="004D1358" w:rsidRPr="00454CA5">
        <w:rPr>
          <w:rFonts w:ascii="Arial" w:hAnsi="Arial" w:cs="Arial"/>
          <w:lang w:val="en-US"/>
        </w:rPr>
        <w:t xml:space="preserve">in </w:t>
      </w:r>
      <w:r w:rsidR="006D764E" w:rsidRPr="00454CA5">
        <w:rPr>
          <w:rFonts w:ascii="Arial" w:hAnsi="Arial" w:cs="Arial"/>
          <w:lang w:val="en-US"/>
        </w:rPr>
        <w:t>dealing</w:t>
      </w:r>
      <w:r w:rsidR="004D1358" w:rsidRPr="00454CA5">
        <w:rPr>
          <w:rFonts w:ascii="Arial" w:hAnsi="Arial" w:cs="Arial"/>
          <w:lang w:val="en-US"/>
        </w:rPr>
        <w:t xml:space="preserve"> with the Specified Bank</w:t>
      </w:r>
      <w:r w:rsidR="00F15867" w:rsidRPr="00454CA5">
        <w:rPr>
          <w:rFonts w:ascii="Arial" w:hAnsi="Arial" w:cs="Arial"/>
          <w:lang w:val="en-US"/>
        </w:rPr>
        <w:t>s</w:t>
      </w:r>
      <w:r w:rsidR="00B7232E" w:rsidRPr="00454CA5">
        <w:rPr>
          <w:rFonts w:ascii="Arial" w:hAnsi="Arial" w:cs="Arial"/>
          <w:lang w:val="en-US"/>
        </w:rPr>
        <w:t xml:space="preserve"> instead of only in the beginning</w:t>
      </w:r>
      <w:r w:rsidR="004D1358" w:rsidRPr="00454CA5">
        <w:rPr>
          <w:rFonts w:ascii="Arial" w:hAnsi="Arial" w:cs="Arial"/>
          <w:lang w:val="en-US"/>
        </w:rPr>
        <w:t xml:space="preserve">. </w:t>
      </w:r>
    </w:p>
    <w:p w14:paraId="711165BB" w14:textId="05F48F79" w:rsidR="00F331CC" w:rsidRPr="00454CA5" w:rsidRDefault="00F331CC" w:rsidP="00917788">
      <w:pPr>
        <w:pStyle w:val="ListParagraph"/>
        <w:ind w:left="567"/>
        <w:contextualSpacing w:val="0"/>
        <w:jc w:val="both"/>
        <w:rPr>
          <w:rFonts w:ascii="Arial" w:hAnsi="Arial" w:cs="Arial"/>
          <w:lang w:val="en-US"/>
        </w:rPr>
      </w:pPr>
      <w:r w:rsidRPr="00454CA5">
        <w:rPr>
          <w:rFonts w:ascii="Arial" w:hAnsi="Arial" w:cs="Arial"/>
          <w:lang w:val="en-US"/>
        </w:rPr>
        <w:br w:type="page"/>
      </w:r>
    </w:p>
    <w:p w14:paraId="27CC2DD3" w14:textId="67630B9B" w:rsidR="008C652F" w:rsidRPr="00454CA5" w:rsidRDefault="008C652F"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Suppose it is not possible to convince other creditors to adopt the Statement of Principles</w:t>
      </w:r>
      <w:r w:rsidR="007E65C4" w:rsidRPr="00454CA5">
        <w:rPr>
          <w:rFonts w:ascii="Arial" w:hAnsi="Arial" w:cs="Arial"/>
          <w:b/>
          <w:bCs/>
          <w:i/>
          <w:iCs/>
          <w:lang w:val="en-US"/>
        </w:rPr>
        <w:t xml:space="preserve"> </w:t>
      </w:r>
      <w:r w:rsidRPr="00454CA5">
        <w:rPr>
          <w:rFonts w:ascii="Arial" w:hAnsi="Arial" w:cs="Arial"/>
          <w:b/>
          <w:bCs/>
          <w:i/>
          <w:iCs/>
          <w:lang w:val="en-US"/>
        </w:rPr>
        <w:t>in a given situation, are there any other possibilities for “soft law” to use (perhaps</w:t>
      </w:r>
      <w:r w:rsidR="007E65C4" w:rsidRPr="00454CA5">
        <w:rPr>
          <w:rFonts w:ascii="Arial" w:hAnsi="Arial" w:cs="Arial"/>
          <w:b/>
          <w:bCs/>
          <w:i/>
          <w:iCs/>
          <w:lang w:val="en-US"/>
        </w:rPr>
        <w:t xml:space="preserve"> </w:t>
      </w:r>
      <w:r w:rsidRPr="00454CA5">
        <w:rPr>
          <w:rFonts w:ascii="Arial" w:hAnsi="Arial" w:cs="Arial"/>
          <w:b/>
          <w:bCs/>
          <w:i/>
          <w:iCs/>
          <w:lang w:val="en-US"/>
        </w:rPr>
        <w:t>specifically in your country/region)? If yes, explain in what way. If not, do you see any</w:t>
      </w:r>
      <w:r w:rsidR="007E65C4" w:rsidRPr="00454CA5">
        <w:rPr>
          <w:rFonts w:ascii="Arial" w:hAnsi="Arial" w:cs="Arial"/>
          <w:b/>
          <w:bCs/>
          <w:i/>
          <w:iCs/>
          <w:lang w:val="en-US"/>
        </w:rPr>
        <w:t xml:space="preserve"> </w:t>
      </w:r>
      <w:r w:rsidRPr="00454CA5">
        <w:rPr>
          <w:rFonts w:ascii="Arial" w:hAnsi="Arial" w:cs="Arial"/>
          <w:b/>
          <w:bCs/>
          <w:i/>
          <w:iCs/>
          <w:lang w:val="en-US"/>
        </w:rPr>
        <w:t>alternative (informal) possibilities?</w:t>
      </w:r>
    </w:p>
    <w:p w14:paraId="5DC1340A" w14:textId="682FECCA" w:rsidR="0029067F" w:rsidRPr="00454CA5" w:rsidRDefault="00AE0AD1" w:rsidP="0029067F">
      <w:pPr>
        <w:pStyle w:val="ListParagraph"/>
        <w:ind w:left="567"/>
        <w:contextualSpacing w:val="0"/>
        <w:jc w:val="both"/>
        <w:rPr>
          <w:rFonts w:ascii="Arial" w:hAnsi="Arial" w:cs="Arial"/>
          <w:lang w:val="en-US"/>
        </w:rPr>
      </w:pPr>
      <w:r w:rsidRPr="00454CA5">
        <w:rPr>
          <w:rFonts w:ascii="Arial" w:hAnsi="Arial" w:cs="Arial"/>
          <w:lang w:val="en-US"/>
        </w:rPr>
        <w:t xml:space="preserve">Form an Indian law perspective, </w:t>
      </w:r>
      <w:r w:rsidR="00A81A07" w:rsidRPr="00454CA5">
        <w:rPr>
          <w:rFonts w:ascii="Arial" w:hAnsi="Arial" w:cs="Arial"/>
          <w:lang w:val="en-US"/>
        </w:rPr>
        <w:t xml:space="preserve">there are no </w:t>
      </w:r>
      <w:r w:rsidR="00A81A07" w:rsidRPr="00454CA5">
        <w:rPr>
          <w:rFonts w:ascii="Arial" w:hAnsi="Arial" w:cs="Arial"/>
          <w:i/>
          <w:iCs/>
          <w:lang w:val="en-US"/>
        </w:rPr>
        <w:t xml:space="preserve">soft law </w:t>
      </w:r>
      <w:r w:rsidR="00A81A07" w:rsidRPr="00454CA5">
        <w:rPr>
          <w:rFonts w:ascii="Arial" w:hAnsi="Arial" w:cs="Arial"/>
          <w:lang w:val="en-US"/>
        </w:rPr>
        <w:t xml:space="preserve">principles that can be used for convincing the non-cooperating creditors. </w:t>
      </w:r>
      <w:r w:rsidR="00383231" w:rsidRPr="00454CA5">
        <w:rPr>
          <w:rFonts w:ascii="Arial" w:hAnsi="Arial" w:cs="Arial"/>
          <w:lang w:val="en-US"/>
        </w:rPr>
        <w:t>Having said that, f</w:t>
      </w:r>
      <w:r w:rsidR="00AA6BAB" w:rsidRPr="00454CA5">
        <w:rPr>
          <w:rFonts w:ascii="Arial" w:hAnsi="Arial" w:cs="Arial"/>
          <w:lang w:val="en-US"/>
        </w:rPr>
        <w:t xml:space="preserve">ollowing are the potential </w:t>
      </w:r>
      <w:r w:rsidR="00383231" w:rsidRPr="00454CA5">
        <w:rPr>
          <w:rFonts w:ascii="Arial" w:hAnsi="Arial" w:cs="Arial"/>
          <w:lang w:val="en-US"/>
        </w:rPr>
        <w:t xml:space="preserve">informal </w:t>
      </w:r>
      <w:r w:rsidR="00AA6BAB" w:rsidRPr="00454CA5">
        <w:rPr>
          <w:rFonts w:ascii="Arial" w:hAnsi="Arial" w:cs="Arial"/>
          <w:lang w:val="en-US"/>
        </w:rPr>
        <w:t xml:space="preserve">solutions that can be considered: </w:t>
      </w:r>
    </w:p>
    <w:p w14:paraId="24AB9A92" w14:textId="4AB5B1A9" w:rsidR="000B4A72" w:rsidRPr="00454CA5" w:rsidRDefault="000B4A72" w:rsidP="004D6CCD">
      <w:pPr>
        <w:pStyle w:val="ListParagraph"/>
        <w:numPr>
          <w:ilvl w:val="1"/>
          <w:numId w:val="1"/>
        </w:numPr>
        <w:ind w:left="567" w:hanging="567"/>
        <w:contextualSpacing w:val="0"/>
        <w:jc w:val="both"/>
        <w:rPr>
          <w:rFonts w:ascii="Arial" w:eastAsia="Yu Gothic" w:hAnsi="Arial" w:cs="Arial"/>
          <w:i/>
          <w:iCs/>
        </w:rPr>
      </w:pPr>
      <w:r w:rsidRPr="00454CA5">
        <w:rPr>
          <w:rFonts w:ascii="Arial" w:eastAsia="Yu Gothic" w:hAnsi="Arial" w:cs="Arial"/>
          <w:i/>
          <w:iCs/>
        </w:rPr>
        <w:t>Restructuring under the Stressed Asset Directions</w:t>
      </w:r>
    </w:p>
    <w:p w14:paraId="4F2D316A" w14:textId="1CE6E8AB" w:rsidR="00566589" w:rsidRPr="00454CA5" w:rsidRDefault="0081100E" w:rsidP="000B4A72">
      <w:pPr>
        <w:pStyle w:val="ListParagraph"/>
        <w:ind w:left="567"/>
        <w:contextualSpacing w:val="0"/>
        <w:jc w:val="both"/>
        <w:rPr>
          <w:rFonts w:ascii="Arial" w:hAnsi="Arial" w:cs="Arial"/>
        </w:rPr>
      </w:pPr>
      <w:r w:rsidRPr="00454CA5">
        <w:rPr>
          <w:rFonts w:ascii="Arial" w:hAnsi="Arial" w:cs="Arial"/>
          <w:lang w:val="en-US"/>
        </w:rPr>
        <w:t xml:space="preserve">As mentioned in the response in 2 above, </w:t>
      </w:r>
      <w:r w:rsidR="003826D9" w:rsidRPr="00454CA5">
        <w:rPr>
          <w:rFonts w:ascii="Arial" w:hAnsi="Arial" w:cs="Arial"/>
          <w:lang w:val="en-US"/>
        </w:rPr>
        <w:t>i</w:t>
      </w:r>
      <w:r w:rsidR="004D420F" w:rsidRPr="00454CA5">
        <w:rPr>
          <w:rFonts w:ascii="Arial" w:hAnsi="Arial" w:cs="Arial"/>
          <w:lang w:val="en-US"/>
        </w:rPr>
        <w:t>n India, out-of-court restructuring by banks and non-banking finance companies is undertaken under Reserve Bank of India (Prudential Framework for Resolution of Stressed Assets) Directions, 2019 (</w:t>
      </w:r>
      <w:r w:rsidR="004D420F" w:rsidRPr="00454CA5">
        <w:rPr>
          <w:rFonts w:ascii="Arial" w:hAnsi="Arial" w:cs="Arial"/>
          <w:b/>
          <w:lang w:val="en-US"/>
        </w:rPr>
        <w:t>Stressed Asset Directions</w:t>
      </w:r>
      <w:r w:rsidR="004D420F" w:rsidRPr="00454CA5">
        <w:rPr>
          <w:rFonts w:ascii="Arial" w:hAnsi="Arial" w:cs="Arial"/>
          <w:lang w:val="en-US"/>
        </w:rPr>
        <w:t>)</w:t>
      </w:r>
      <w:r w:rsidR="004D420F" w:rsidRPr="00454CA5">
        <w:rPr>
          <w:rStyle w:val="FootnoteReference"/>
          <w:rFonts w:ascii="Arial" w:hAnsi="Arial" w:cs="Arial"/>
          <w:lang w:val="en-US"/>
        </w:rPr>
        <w:footnoteReference w:id="14"/>
      </w:r>
      <w:r w:rsidR="004D420F" w:rsidRPr="00454CA5">
        <w:rPr>
          <w:rFonts w:ascii="Arial" w:hAnsi="Arial" w:cs="Arial"/>
          <w:lang w:val="en-US"/>
        </w:rPr>
        <w:t xml:space="preserve">. </w:t>
      </w:r>
      <w:r w:rsidR="004D420F" w:rsidRPr="00454CA5">
        <w:rPr>
          <w:rFonts w:ascii="Arial" w:hAnsi="Arial" w:cs="Arial"/>
        </w:rPr>
        <w:t>As per the Stressed Asset Directions, in the event of a default in an account of any lender (being the entities to whom the directions apply), all lenders are required to, within a period of 30 days of such default</w:t>
      </w:r>
      <w:r w:rsidR="00C95A7B" w:rsidRPr="00454CA5">
        <w:rPr>
          <w:rFonts w:ascii="Arial" w:hAnsi="Arial" w:cs="Arial"/>
        </w:rPr>
        <w:t xml:space="preserve"> (</w:t>
      </w:r>
      <w:r w:rsidR="00C95A7B" w:rsidRPr="00454CA5">
        <w:rPr>
          <w:rFonts w:ascii="Arial" w:hAnsi="Arial" w:cs="Arial"/>
          <w:b/>
          <w:bCs/>
        </w:rPr>
        <w:t>Review Period</w:t>
      </w:r>
      <w:r w:rsidR="00C95A7B" w:rsidRPr="00454CA5">
        <w:rPr>
          <w:rFonts w:ascii="Arial" w:hAnsi="Arial" w:cs="Arial"/>
        </w:rPr>
        <w:t>)</w:t>
      </w:r>
      <w:r w:rsidR="004D420F" w:rsidRPr="00454CA5">
        <w:rPr>
          <w:rFonts w:ascii="Arial" w:hAnsi="Arial" w:cs="Arial"/>
        </w:rPr>
        <w:t xml:space="preserve">, undertake a </w:t>
      </w:r>
      <w:r w:rsidR="004D420F" w:rsidRPr="00454CA5">
        <w:rPr>
          <w:rFonts w:ascii="Arial" w:hAnsi="Arial" w:cs="Arial"/>
          <w:i/>
        </w:rPr>
        <w:t>prima facie</w:t>
      </w:r>
      <w:r w:rsidR="004D420F" w:rsidRPr="00454CA5">
        <w:rPr>
          <w:rFonts w:ascii="Arial" w:hAnsi="Arial" w:cs="Arial"/>
        </w:rPr>
        <w:t xml:space="preserve"> review of the account and decide on the resolution strategy.</w:t>
      </w:r>
      <w:r w:rsidR="004D420F" w:rsidRPr="00454CA5">
        <w:rPr>
          <w:rFonts w:ascii="Arial" w:hAnsi="Arial" w:cs="Arial"/>
          <w:vertAlign w:val="superscript"/>
        </w:rPr>
        <w:footnoteReference w:id="15"/>
      </w:r>
      <w:r w:rsidR="004D420F" w:rsidRPr="00454CA5">
        <w:rPr>
          <w:rFonts w:ascii="Arial" w:hAnsi="Arial" w:cs="Arial"/>
        </w:rPr>
        <w:t xml:space="preserve"> </w:t>
      </w:r>
      <w:r w:rsidR="008133F6" w:rsidRPr="00454CA5">
        <w:rPr>
          <w:rFonts w:ascii="Arial" w:hAnsi="Arial" w:cs="Arial"/>
        </w:rPr>
        <w:t xml:space="preserve">During </w:t>
      </w:r>
      <w:r w:rsidR="00645147" w:rsidRPr="00454CA5">
        <w:rPr>
          <w:rFonts w:ascii="Arial" w:hAnsi="Arial" w:cs="Arial"/>
        </w:rPr>
        <w:t>the</w:t>
      </w:r>
      <w:r w:rsidR="008133F6" w:rsidRPr="00454CA5">
        <w:rPr>
          <w:rFonts w:ascii="Arial" w:hAnsi="Arial" w:cs="Arial"/>
        </w:rPr>
        <w:t xml:space="preserve"> Review Period </w:t>
      </w:r>
      <w:r w:rsidR="00BD1615" w:rsidRPr="00454CA5">
        <w:rPr>
          <w:rFonts w:ascii="Arial" w:hAnsi="Arial" w:cs="Arial"/>
        </w:rPr>
        <w:t xml:space="preserve">while the deciding on the resolution strategy, </w:t>
      </w:r>
      <w:r w:rsidR="00A64273" w:rsidRPr="00454CA5">
        <w:rPr>
          <w:rFonts w:ascii="Arial" w:hAnsi="Arial" w:cs="Arial"/>
        </w:rPr>
        <w:t xml:space="preserve">the lenders can decide the nature of the resolution plan and the </w:t>
      </w:r>
      <w:r w:rsidR="008133F6" w:rsidRPr="00454CA5">
        <w:rPr>
          <w:rFonts w:ascii="Arial" w:hAnsi="Arial" w:cs="Arial"/>
        </w:rPr>
        <w:t>approach for implementation</w:t>
      </w:r>
      <w:r w:rsidR="000F4D59" w:rsidRPr="00454CA5">
        <w:rPr>
          <w:rFonts w:ascii="Arial" w:hAnsi="Arial" w:cs="Arial"/>
        </w:rPr>
        <w:t xml:space="preserve"> thereof</w:t>
      </w:r>
      <w:r w:rsidR="008133F6" w:rsidRPr="00454CA5">
        <w:rPr>
          <w:rFonts w:ascii="Arial" w:hAnsi="Arial" w:cs="Arial"/>
        </w:rPr>
        <w:t xml:space="preserve">. The lenders </w:t>
      </w:r>
      <w:r w:rsidR="002B2405" w:rsidRPr="00454CA5">
        <w:rPr>
          <w:rFonts w:ascii="Arial" w:hAnsi="Arial" w:cs="Arial"/>
        </w:rPr>
        <w:t>can also opt for</w:t>
      </w:r>
      <w:r w:rsidR="008133F6" w:rsidRPr="00454CA5">
        <w:rPr>
          <w:rFonts w:ascii="Arial" w:hAnsi="Arial" w:cs="Arial"/>
        </w:rPr>
        <w:t xml:space="preserve"> initiat</w:t>
      </w:r>
      <w:r w:rsidR="002B2405" w:rsidRPr="00454CA5">
        <w:rPr>
          <w:rFonts w:ascii="Arial" w:hAnsi="Arial" w:cs="Arial"/>
        </w:rPr>
        <w:t>ion of</w:t>
      </w:r>
      <w:r w:rsidR="008133F6" w:rsidRPr="00454CA5">
        <w:rPr>
          <w:rFonts w:ascii="Arial" w:hAnsi="Arial" w:cs="Arial"/>
        </w:rPr>
        <w:t xml:space="preserve"> legal proceedings for insolvency or recovery.</w:t>
      </w:r>
    </w:p>
    <w:p w14:paraId="2C76D9FB" w14:textId="77777777" w:rsidR="00C533CA" w:rsidRPr="00454CA5" w:rsidRDefault="001B086F" w:rsidP="000B4A72">
      <w:pPr>
        <w:pStyle w:val="ListParagraph"/>
        <w:ind w:left="567"/>
        <w:contextualSpacing w:val="0"/>
        <w:jc w:val="both"/>
        <w:rPr>
          <w:rFonts w:ascii="Arial" w:hAnsi="Arial" w:cs="Arial"/>
          <w:bCs/>
        </w:rPr>
      </w:pPr>
      <w:r w:rsidRPr="00454CA5">
        <w:rPr>
          <w:rFonts w:ascii="Arial" w:hAnsi="Arial" w:cs="Arial"/>
          <w:bCs/>
        </w:rPr>
        <w:t>In case the lenders opt for resolution</w:t>
      </w:r>
      <w:r w:rsidR="003777E4" w:rsidRPr="00454CA5">
        <w:rPr>
          <w:rFonts w:ascii="Arial" w:hAnsi="Arial" w:cs="Arial"/>
          <w:bCs/>
        </w:rPr>
        <w:t xml:space="preserve"> plan</w:t>
      </w:r>
      <w:r w:rsidRPr="00454CA5">
        <w:rPr>
          <w:rFonts w:ascii="Arial" w:hAnsi="Arial" w:cs="Arial"/>
          <w:bCs/>
        </w:rPr>
        <w:t xml:space="preserve"> under the </w:t>
      </w:r>
      <w:r w:rsidR="00006FC9" w:rsidRPr="00454CA5">
        <w:rPr>
          <w:rFonts w:ascii="Arial" w:hAnsi="Arial" w:cs="Arial"/>
          <w:bCs/>
        </w:rPr>
        <w:t>Stressed Asset Directions</w:t>
      </w:r>
      <w:r w:rsidR="003777E4" w:rsidRPr="00454CA5">
        <w:rPr>
          <w:rFonts w:ascii="Arial" w:hAnsi="Arial" w:cs="Arial"/>
          <w:bCs/>
        </w:rPr>
        <w:t xml:space="preserve">, the framework </w:t>
      </w:r>
      <w:r w:rsidR="004D420F" w:rsidRPr="00454CA5">
        <w:rPr>
          <w:rFonts w:ascii="Arial" w:hAnsi="Arial" w:cs="Arial"/>
          <w:bCs/>
        </w:rPr>
        <w:t xml:space="preserve">contemplates </w:t>
      </w:r>
      <w:r w:rsidR="003777E4" w:rsidRPr="00454CA5">
        <w:rPr>
          <w:rFonts w:ascii="Arial" w:hAnsi="Arial" w:cs="Arial"/>
          <w:bCs/>
        </w:rPr>
        <w:t xml:space="preserve">mandatory </w:t>
      </w:r>
      <w:r w:rsidR="004D420F" w:rsidRPr="00454CA5">
        <w:rPr>
          <w:rFonts w:ascii="Arial" w:hAnsi="Arial" w:cs="Arial"/>
          <w:bCs/>
        </w:rPr>
        <w:t>execution of inter creditor agreements (</w:t>
      </w:r>
      <w:r w:rsidR="004D420F" w:rsidRPr="00454CA5">
        <w:rPr>
          <w:rFonts w:ascii="Arial" w:hAnsi="Arial" w:cs="Arial"/>
          <w:b/>
        </w:rPr>
        <w:t>ICA</w:t>
      </w:r>
      <w:r w:rsidR="004D420F" w:rsidRPr="00454CA5">
        <w:rPr>
          <w:rFonts w:ascii="Arial" w:hAnsi="Arial" w:cs="Arial"/>
          <w:bCs/>
        </w:rPr>
        <w:t>), setting out broad decision making contours.</w:t>
      </w:r>
      <w:r w:rsidR="00FB7FA9" w:rsidRPr="00454CA5">
        <w:rPr>
          <w:rFonts w:ascii="Arial" w:hAnsi="Arial" w:cs="Arial"/>
          <w:bCs/>
        </w:rPr>
        <w:t xml:space="preserve"> Amongst others, the ICA </w:t>
      </w:r>
      <w:r w:rsidR="00B9721B" w:rsidRPr="00454CA5">
        <w:rPr>
          <w:rFonts w:ascii="Arial" w:hAnsi="Arial" w:cs="Arial"/>
          <w:bCs/>
        </w:rPr>
        <w:t>is mandatorily required to</w:t>
      </w:r>
      <w:r w:rsidR="00D77637" w:rsidRPr="00454CA5">
        <w:rPr>
          <w:rFonts w:ascii="Arial" w:hAnsi="Arial" w:cs="Arial"/>
          <w:bCs/>
        </w:rPr>
        <w:t xml:space="preserve"> provide that </w:t>
      </w:r>
      <w:r w:rsidR="005C1294" w:rsidRPr="00454CA5">
        <w:rPr>
          <w:rFonts w:ascii="Arial" w:hAnsi="Arial" w:cs="Arial"/>
          <w:bCs/>
        </w:rPr>
        <w:t>any decision undertaken by the</w:t>
      </w:r>
      <w:r w:rsidR="00D77637" w:rsidRPr="00454CA5">
        <w:rPr>
          <w:rFonts w:ascii="Arial" w:hAnsi="Arial" w:cs="Arial"/>
          <w:bCs/>
        </w:rPr>
        <w:t xml:space="preserve"> lenders representing 75 </w:t>
      </w:r>
      <w:r w:rsidR="00841274" w:rsidRPr="00454CA5">
        <w:rPr>
          <w:rFonts w:ascii="Arial" w:hAnsi="Arial" w:cs="Arial"/>
          <w:bCs/>
        </w:rPr>
        <w:t>%</w:t>
      </w:r>
      <w:r w:rsidR="00D77637" w:rsidRPr="00454CA5">
        <w:rPr>
          <w:rFonts w:ascii="Arial" w:hAnsi="Arial" w:cs="Arial"/>
          <w:bCs/>
        </w:rPr>
        <w:t xml:space="preserve"> by value of total outstanding credit facilities and 60 </w:t>
      </w:r>
      <w:r w:rsidR="00F903FC" w:rsidRPr="00454CA5">
        <w:rPr>
          <w:rFonts w:ascii="Arial" w:hAnsi="Arial" w:cs="Arial"/>
          <w:bCs/>
        </w:rPr>
        <w:t>%</w:t>
      </w:r>
      <w:r w:rsidR="00D77637" w:rsidRPr="00454CA5">
        <w:rPr>
          <w:rFonts w:ascii="Arial" w:hAnsi="Arial" w:cs="Arial"/>
          <w:bCs/>
        </w:rPr>
        <w:t xml:space="preserve"> of lenders by number </w:t>
      </w:r>
      <w:r w:rsidR="00412BC9" w:rsidRPr="00454CA5">
        <w:rPr>
          <w:rFonts w:ascii="Arial" w:hAnsi="Arial" w:cs="Arial"/>
          <w:bCs/>
        </w:rPr>
        <w:t>will</w:t>
      </w:r>
      <w:r w:rsidR="00D77637" w:rsidRPr="00454CA5">
        <w:rPr>
          <w:rFonts w:ascii="Arial" w:hAnsi="Arial" w:cs="Arial"/>
          <w:bCs/>
        </w:rPr>
        <w:t xml:space="preserve"> be binding upon all the lenders</w:t>
      </w:r>
      <w:r w:rsidR="00C00DA7" w:rsidRPr="00454CA5">
        <w:rPr>
          <w:rFonts w:ascii="Arial" w:hAnsi="Arial" w:cs="Arial"/>
          <w:bCs/>
        </w:rPr>
        <w:t>.</w:t>
      </w:r>
      <w:r w:rsidR="00C00DA7" w:rsidRPr="00454CA5">
        <w:rPr>
          <w:rFonts w:ascii="Arial" w:hAnsi="Arial" w:cs="Arial"/>
          <w:vertAlign w:val="superscript"/>
        </w:rPr>
        <w:footnoteReference w:id="16"/>
      </w:r>
      <w:r w:rsidR="00C533CA" w:rsidRPr="00454CA5">
        <w:rPr>
          <w:rFonts w:ascii="Arial" w:hAnsi="Arial" w:cs="Arial"/>
          <w:bCs/>
        </w:rPr>
        <w:t xml:space="preserve"> </w:t>
      </w:r>
    </w:p>
    <w:p w14:paraId="25A74815" w14:textId="1DA30088" w:rsidR="00002366" w:rsidRPr="00454CA5" w:rsidRDefault="00AE787C" w:rsidP="00894AC8">
      <w:pPr>
        <w:pStyle w:val="ListParagraph"/>
        <w:ind w:left="567"/>
        <w:contextualSpacing w:val="0"/>
        <w:jc w:val="both"/>
        <w:rPr>
          <w:rFonts w:ascii="Arial" w:hAnsi="Arial" w:cs="Arial"/>
          <w:bCs/>
        </w:rPr>
      </w:pPr>
      <w:r w:rsidRPr="00454CA5">
        <w:rPr>
          <w:rFonts w:ascii="Arial" w:hAnsi="Arial" w:cs="Arial"/>
          <w:bCs/>
        </w:rPr>
        <w:t xml:space="preserve">As per the Stressed Asset Directions, in the event a resolution plan is not implemented within 180 days of the reference date, then the lenders </w:t>
      </w:r>
      <w:r w:rsidR="00FF0F85" w:rsidRPr="00454CA5">
        <w:rPr>
          <w:rFonts w:ascii="Arial" w:hAnsi="Arial" w:cs="Arial"/>
          <w:bCs/>
        </w:rPr>
        <w:t>are mandated</w:t>
      </w:r>
      <w:r w:rsidRPr="00454CA5">
        <w:rPr>
          <w:rFonts w:ascii="Arial" w:hAnsi="Arial" w:cs="Arial"/>
          <w:bCs/>
        </w:rPr>
        <w:t xml:space="preserve"> to make an additional 20% provisioning </w:t>
      </w:r>
      <w:r w:rsidR="009D1A5B" w:rsidRPr="00454CA5">
        <w:rPr>
          <w:rFonts w:ascii="Arial" w:hAnsi="Arial" w:cs="Arial"/>
          <w:bCs/>
        </w:rPr>
        <w:t>and, in the event,</w:t>
      </w:r>
      <w:r w:rsidRPr="00454CA5">
        <w:rPr>
          <w:rFonts w:ascii="Arial" w:hAnsi="Arial" w:cs="Arial"/>
          <w:bCs/>
        </w:rPr>
        <w:t xml:space="preserve"> the resolution plan is not implemented within 365 days of the reference date, then the lenders </w:t>
      </w:r>
      <w:r w:rsidR="005A10BC" w:rsidRPr="00454CA5">
        <w:rPr>
          <w:rFonts w:ascii="Arial" w:hAnsi="Arial" w:cs="Arial"/>
          <w:bCs/>
        </w:rPr>
        <w:t>are required</w:t>
      </w:r>
      <w:r w:rsidRPr="00454CA5">
        <w:rPr>
          <w:rFonts w:ascii="Arial" w:hAnsi="Arial" w:cs="Arial"/>
          <w:bCs/>
        </w:rPr>
        <w:t xml:space="preserve"> to </w:t>
      </w:r>
      <w:r w:rsidR="004568DE" w:rsidRPr="00454CA5">
        <w:rPr>
          <w:rFonts w:ascii="Arial" w:hAnsi="Arial" w:cs="Arial"/>
          <w:bCs/>
        </w:rPr>
        <w:t>provision</w:t>
      </w:r>
      <w:r w:rsidRPr="00454CA5">
        <w:rPr>
          <w:rFonts w:ascii="Arial" w:hAnsi="Arial" w:cs="Arial"/>
          <w:bCs/>
        </w:rPr>
        <w:t xml:space="preserve"> for </w:t>
      </w:r>
      <w:proofErr w:type="spellStart"/>
      <w:r w:rsidRPr="00454CA5">
        <w:rPr>
          <w:rFonts w:ascii="Arial" w:hAnsi="Arial" w:cs="Arial"/>
          <w:bCs/>
        </w:rPr>
        <w:t>a</w:t>
      </w:r>
      <w:proofErr w:type="spellEnd"/>
      <w:r w:rsidRPr="00454CA5">
        <w:rPr>
          <w:rFonts w:ascii="Arial" w:hAnsi="Arial" w:cs="Arial"/>
          <w:bCs/>
        </w:rPr>
        <w:t xml:space="preserve"> </w:t>
      </w:r>
      <w:r w:rsidR="009C2DEF" w:rsidRPr="00454CA5">
        <w:rPr>
          <w:rFonts w:ascii="Arial" w:hAnsi="Arial" w:cs="Arial"/>
          <w:bCs/>
        </w:rPr>
        <w:t>additional</w:t>
      </w:r>
      <w:r w:rsidRPr="00454CA5">
        <w:rPr>
          <w:rFonts w:ascii="Arial" w:hAnsi="Arial" w:cs="Arial"/>
          <w:bCs/>
        </w:rPr>
        <w:t xml:space="preserve"> 15%.</w:t>
      </w:r>
      <w:r w:rsidR="004513E2" w:rsidRPr="00454CA5">
        <w:rPr>
          <w:rFonts w:ascii="Arial" w:hAnsi="Arial" w:cs="Arial"/>
          <w:bCs/>
        </w:rPr>
        <w:t xml:space="preserve"> The provisioning can only be reversed in certain circumstances. </w:t>
      </w:r>
      <w:r w:rsidR="00214897" w:rsidRPr="00454CA5">
        <w:rPr>
          <w:rFonts w:ascii="Arial" w:hAnsi="Arial" w:cs="Arial"/>
          <w:bCs/>
        </w:rPr>
        <w:t>This looming provisioning threat will have an impact o</w:t>
      </w:r>
      <w:r w:rsidR="00837C9A" w:rsidRPr="00454CA5">
        <w:rPr>
          <w:rFonts w:ascii="Arial" w:hAnsi="Arial" w:cs="Arial"/>
          <w:bCs/>
        </w:rPr>
        <w:t xml:space="preserve">n the </w:t>
      </w:r>
      <w:r w:rsidR="007F289E" w:rsidRPr="00454CA5">
        <w:rPr>
          <w:rFonts w:ascii="Arial" w:hAnsi="Arial" w:cs="Arial"/>
          <w:bCs/>
        </w:rPr>
        <w:t xml:space="preserve">balance sheet of the lenders and in order to avoid the same, an expeditious </w:t>
      </w:r>
      <w:r w:rsidR="00AA3638" w:rsidRPr="00454CA5">
        <w:rPr>
          <w:rFonts w:ascii="Arial" w:hAnsi="Arial" w:cs="Arial"/>
          <w:bCs/>
        </w:rPr>
        <w:t>decision</w:t>
      </w:r>
      <w:r w:rsidR="00683DA4" w:rsidRPr="00454CA5">
        <w:rPr>
          <w:rFonts w:ascii="Arial" w:hAnsi="Arial" w:cs="Arial"/>
          <w:bCs/>
        </w:rPr>
        <w:t xml:space="preserve"> of either </w:t>
      </w:r>
      <w:r w:rsidR="000D3383" w:rsidRPr="00454CA5">
        <w:rPr>
          <w:rFonts w:ascii="Arial" w:hAnsi="Arial" w:cs="Arial"/>
          <w:bCs/>
        </w:rPr>
        <w:t xml:space="preserve">to opt for </w:t>
      </w:r>
      <w:r w:rsidR="00683DA4" w:rsidRPr="00454CA5">
        <w:rPr>
          <w:rFonts w:ascii="Arial" w:hAnsi="Arial" w:cs="Arial"/>
          <w:bCs/>
        </w:rPr>
        <w:t xml:space="preserve">resolution process under the Stressed Asset Directions </w:t>
      </w:r>
      <w:r w:rsidR="00F57FA0" w:rsidRPr="00454CA5">
        <w:rPr>
          <w:rFonts w:ascii="Arial" w:hAnsi="Arial" w:cs="Arial"/>
          <w:bCs/>
        </w:rPr>
        <w:t>or to initiate legal proceedings</w:t>
      </w:r>
      <w:r w:rsidR="00391FAC" w:rsidRPr="00454CA5">
        <w:rPr>
          <w:rFonts w:ascii="Arial" w:hAnsi="Arial" w:cs="Arial"/>
          <w:bCs/>
        </w:rPr>
        <w:t xml:space="preserve"> will have to be </w:t>
      </w:r>
      <w:r w:rsidR="00425262" w:rsidRPr="00454CA5">
        <w:rPr>
          <w:rFonts w:ascii="Arial" w:hAnsi="Arial" w:cs="Arial"/>
          <w:bCs/>
        </w:rPr>
        <w:t>taken</w:t>
      </w:r>
      <w:r w:rsidR="00F57FA0" w:rsidRPr="00454CA5">
        <w:rPr>
          <w:rFonts w:ascii="Arial" w:hAnsi="Arial" w:cs="Arial"/>
          <w:bCs/>
        </w:rPr>
        <w:t xml:space="preserve">. </w:t>
      </w:r>
      <w:r w:rsidR="00B03E93" w:rsidRPr="00454CA5">
        <w:rPr>
          <w:rFonts w:ascii="Arial" w:hAnsi="Arial" w:cs="Arial"/>
          <w:bCs/>
        </w:rPr>
        <w:t xml:space="preserve">If the legal proceedings are initiated </w:t>
      </w:r>
      <w:r w:rsidR="00427123" w:rsidRPr="00454CA5">
        <w:rPr>
          <w:rFonts w:ascii="Arial" w:hAnsi="Arial" w:cs="Arial"/>
          <w:bCs/>
        </w:rPr>
        <w:t>then</w:t>
      </w:r>
      <w:r w:rsidR="00B03E93" w:rsidRPr="00454CA5">
        <w:rPr>
          <w:rFonts w:ascii="Arial" w:hAnsi="Arial" w:cs="Arial"/>
          <w:bCs/>
        </w:rPr>
        <w:t xml:space="preserve"> the provision can be reversed only after the court approved plan is implemented.</w:t>
      </w:r>
      <w:r w:rsidR="003C66C8" w:rsidRPr="00454CA5">
        <w:rPr>
          <w:rStyle w:val="FootnoteReference"/>
          <w:rFonts w:ascii="Arial" w:hAnsi="Arial" w:cs="Arial"/>
          <w:bCs/>
        </w:rPr>
        <w:footnoteReference w:id="17"/>
      </w:r>
      <w:r w:rsidR="00B03E93" w:rsidRPr="00454CA5">
        <w:rPr>
          <w:rFonts w:ascii="Arial" w:hAnsi="Arial" w:cs="Arial"/>
          <w:bCs/>
        </w:rPr>
        <w:t xml:space="preserve"> </w:t>
      </w:r>
    </w:p>
    <w:p w14:paraId="41A664D4" w14:textId="19508F57" w:rsidR="002272E1" w:rsidRPr="00454CA5" w:rsidRDefault="00423A39" w:rsidP="00894AC8">
      <w:pPr>
        <w:pStyle w:val="ListParagraph"/>
        <w:ind w:left="567"/>
        <w:contextualSpacing w:val="0"/>
        <w:jc w:val="both"/>
        <w:rPr>
          <w:rFonts w:ascii="Arial" w:eastAsia="Yu Gothic" w:hAnsi="Arial" w:cs="Arial"/>
          <w:i/>
          <w:iCs/>
        </w:rPr>
      </w:pPr>
      <w:r w:rsidRPr="00454CA5">
        <w:rPr>
          <w:rFonts w:ascii="Arial" w:hAnsi="Arial" w:cs="Arial"/>
          <w:bCs/>
        </w:rPr>
        <w:t>In view of the</w:t>
      </w:r>
      <w:r w:rsidR="002272E1" w:rsidRPr="00454CA5">
        <w:rPr>
          <w:rFonts w:ascii="Arial" w:hAnsi="Arial" w:cs="Arial"/>
          <w:bCs/>
        </w:rPr>
        <w:t xml:space="preserve"> aforesaid framework</w:t>
      </w:r>
      <w:r w:rsidRPr="00454CA5">
        <w:rPr>
          <w:rFonts w:ascii="Arial" w:hAnsi="Arial" w:cs="Arial"/>
          <w:bCs/>
        </w:rPr>
        <w:t xml:space="preserve">, the lenders are prompted to take a co-ordinated approach </w:t>
      </w:r>
      <w:r w:rsidR="003E1F2D" w:rsidRPr="00454CA5">
        <w:rPr>
          <w:rFonts w:ascii="Arial" w:hAnsi="Arial" w:cs="Arial"/>
          <w:bCs/>
        </w:rPr>
        <w:t>to resolve the default accounts</w:t>
      </w:r>
      <w:r w:rsidR="00B03E93" w:rsidRPr="00454CA5">
        <w:rPr>
          <w:rFonts w:ascii="Arial" w:hAnsi="Arial" w:cs="Arial"/>
          <w:bCs/>
        </w:rPr>
        <w:t xml:space="preserve">. </w:t>
      </w:r>
    </w:p>
    <w:p w14:paraId="7FDF03C2" w14:textId="648155AC" w:rsidR="008670D7" w:rsidRPr="00454CA5" w:rsidRDefault="005572B1" w:rsidP="004D6CCD">
      <w:pPr>
        <w:pStyle w:val="ListParagraph"/>
        <w:numPr>
          <w:ilvl w:val="1"/>
          <w:numId w:val="1"/>
        </w:numPr>
        <w:ind w:left="567" w:hanging="567"/>
        <w:contextualSpacing w:val="0"/>
        <w:jc w:val="both"/>
        <w:rPr>
          <w:rFonts w:ascii="Arial" w:eastAsia="Yu Gothic" w:hAnsi="Arial" w:cs="Arial"/>
          <w:i/>
          <w:iCs/>
        </w:rPr>
      </w:pPr>
      <w:r w:rsidRPr="00454CA5">
        <w:rPr>
          <w:rFonts w:ascii="Arial" w:eastAsia="Yu Gothic" w:hAnsi="Arial" w:cs="Arial"/>
          <w:i/>
          <w:iCs/>
        </w:rPr>
        <w:t>Transfer of stressed assets</w:t>
      </w:r>
    </w:p>
    <w:p w14:paraId="000CDC74" w14:textId="56D3F29B" w:rsidR="005255D2" w:rsidRPr="00454CA5" w:rsidRDefault="005255D2" w:rsidP="008670D7">
      <w:pPr>
        <w:pStyle w:val="ListParagraph"/>
        <w:ind w:left="567"/>
        <w:contextualSpacing w:val="0"/>
        <w:jc w:val="both"/>
        <w:rPr>
          <w:rFonts w:ascii="Arial" w:eastAsia="Yu Gothic" w:hAnsi="Arial" w:cs="Arial"/>
        </w:rPr>
      </w:pPr>
      <w:r w:rsidRPr="00454CA5">
        <w:rPr>
          <w:rFonts w:ascii="Arial" w:eastAsia="Yu Gothic" w:hAnsi="Arial" w:cs="Arial"/>
        </w:rPr>
        <w:t>In September 2021, the RBI revamped the regime for sale/ assignment of loans and loan participation by Indian lenders by issuance of the Master Directions-Reserve Bank of India (Transfer of Loan Exposures) Directions, 2021 (</w:t>
      </w:r>
      <w:r w:rsidRPr="00454CA5">
        <w:rPr>
          <w:rFonts w:ascii="Arial" w:eastAsia="Yu Gothic" w:hAnsi="Arial" w:cs="Arial"/>
          <w:b/>
          <w:bCs/>
        </w:rPr>
        <w:t>RBI Transfer Directions</w:t>
      </w:r>
      <w:r w:rsidRPr="00454CA5">
        <w:rPr>
          <w:rFonts w:ascii="Arial" w:eastAsia="Yu Gothic" w:hAnsi="Arial" w:cs="Arial"/>
        </w:rPr>
        <w:t xml:space="preserve">). The RBI Transfer Directions contain guidelines that are </w:t>
      </w:r>
      <w:r w:rsidRPr="00454CA5">
        <w:rPr>
          <w:rFonts w:ascii="Arial" w:eastAsia="Yu Gothic" w:hAnsi="Arial" w:cs="Arial"/>
          <w:i/>
          <w:iCs/>
        </w:rPr>
        <w:t>inter alia</w:t>
      </w:r>
      <w:r w:rsidRPr="00454CA5">
        <w:rPr>
          <w:rFonts w:ascii="Arial" w:eastAsia="Yu Gothic" w:hAnsi="Arial" w:cs="Arial"/>
        </w:rPr>
        <w:t xml:space="preserve"> applicable</w:t>
      </w:r>
      <w:r w:rsidR="00B63DC4" w:rsidRPr="00454CA5">
        <w:rPr>
          <w:rFonts w:ascii="Arial" w:eastAsia="Yu Gothic" w:hAnsi="Arial" w:cs="Arial"/>
        </w:rPr>
        <w:t xml:space="preserve"> to banks and non-banking finance companies</w:t>
      </w:r>
      <w:r w:rsidRPr="00454CA5">
        <w:rPr>
          <w:rFonts w:ascii="Arial" w:eastAsia="Yu Gothic" w:hAnsi="Arial" w:cs="Arial"/>
        </w:rPr>
        <w:t>, permitting them to transfer</w:t>
      </w:r>
      <w:r w:rsidRPr="00454CA5">
        <w:rPr>
          <w:rFonts w:ascii="Arial" w:hAnsi="Arial" w:cs="Arial"/>
          <w:bCs/>
        </w:rPr>
        <w:t xml:space="preserve"> “stressed assets”, which </w:t>
      </w:r>
      <w:r w:rsidRPr="00454CA5">
        <w:rPr>
          <w:rFonts w:ascii="Arial" w:hAnsi="Arial" w:cs="Arial"/>
          <w:bCs/>
        </w:rPr>
        <w:lastRenderedPageBreak/>
        <w:t>are defined under the Master Direction as loan exposures that are classified as non-performing assets or as “special mention accounts”</w:t>
      </w:r>
      <w:r w:rsidRPr="00454CA5">
        <w:rPr>
          <w:rStyle w:val="FootnoteReference"/>
          <w:rFonts w:ascii="Arial" w:hAnsi="Arial" w:cs="Arial"/>
          <w:bCs/>
        </w:rPr>
        <w:footnoteReference w:id="18"/>
      </w:r>
      <w:r w:rsidRPr="00454CA5">
        <w:rPr>
          <w:rFonts w:ascii="Arial" w:eastAsia="Yu Gothic" w:hAnsi="Arial" w:cs="Arial"/>
        </w:rPr>
        <w:t xml:space="preserve">. Transfer of stressed assets as part of a resolution plan (approved by lenders – 75% by value and 60% by number) under the Stressed Asset Directions, resulting in an exit of all lenders, has been permitted across class of entities, including </w:t>
      </w:r>
      <w:r w:rsidR="00C7144F" w:rsidRPr="00454CA5">
        <w:rPr>
          <w:rFonts w:ascii="Arial" w:eastAsia="Yu Gothic" w:hAnsi="Arial" w:cs="Arial"/>
        </w:rPr>
        <w:t xml:space="preserve">asset reconstruction companies, </w:t>
      </w:r>
      <w:r w:rsidRPr="00454CA5">
        <w:rPr>
          <w:rFonts w:ascii="Arial" w:eastAsia="Yu Gothic" w:hAnsi="Arial" w:cs="Arial"/>
        </w:rPr>
        <w:t xml:space="preserve">a corporate entity, which is statutorily permitted to acquire stressed assets. </w:t>
      </w:r>
    </w:p>
    <w:p w14:paraId="3D782B27" w14:textId="2EF18DF8" w:rsidR="006622EE" w:rsidRPr="00454CA5" w:rsidRDefault="000A6377" w:rsidP="008670D7">
      <w:pPr>
        <w:pStyle w:val="ListParagraph"/>
        <w:ind w:left="567"/>
        <w:contextualSpacing w:val="0"/>
        <w:jc w:val="both"/>
        <w:rPr>
          <w:rFonts w:ascii="Arial" w:eastAsia="Yu Gothic" w:hAnsi="Arial" w:cs="Arial"/>
          <w:i/>
          <w:iCs/>
        </w:rPr>
      </w:pPr>
      <w:r w:rsidRPr="00454CA5">
        <w:rPr>
          <w:rFonts w:ascii="Arial" w:eastAsia="Yu Gothic" w:hAnsi="Arial" w:cs="Arial"/>
        </w:rPr>
        <w:t xml:space="preserve">In the present case, since the Bank C and D were not inclined to continue, Bank A and B could </w:t>
      </w:r>
      <w:r w:rsidR="00522C1E" w:rsidRPr="00454CA5">
        <w:rPr>
          <w:rFonts w:ascii="Arial" w:eastAsia="Yu Gothic" w:hAnsi="Arial" w:cs="Arial"/>
        </w:rPr>
        <w:t xml:space="preserve">have considered </w:t>
      </w:r>
      <w:r w:rsidR="00E305D8" w:rsidRPr="00454CA5">
        <w:rPr>
          <w:rFonts w:ascii="Arial" w:eastAsia="Yu Gothic" w:hAnsi="Arial" w:cs="Arial"/>
        </w:rPr>
        <w:t xml:space="preserve">transfer of loan to itself or to a friendly </w:t>
      </w:r>
      <w:r w:rsidR="00E305D8" w:rsidRPr="00454CA5">
        <w:rPr>
          <w:rFonts w:ascii="Arial" w:eastAsia="Yu Gothic" w:hAnsi="Arial" w:cs="Arial"/>
        </w:rPr>
        <w:t>asset reconstruction compan</w:t>
      </w:r>
      <w:r w:rsidR="00E305D8" w:rsidRPr="00454CA5">
        <w:rPr>
          <w:rFonts w:ascii="Arial" w:eastAsia="Yu Gothic" w:hAnsi="Arial" w:cs="Arial"/>
        </w:rPr>
        <w:t xml:space="preserve">y or </w:t>
      </w:r>
      <w:r w:rsidR="00E305D8" w:rsidRPr="00454CA5">
        <w:rPr>
          <w:rFonts w:ascii="Arial" w:eastAsia="Yu Gothic" w:hAnsi="Arial" w:cs="Arial"/>
        </w:rPr>
        <w:t>a corporate entity</w:t>
      </w:r>
      <w:r w:rsidR="001A5214" w:rsidRPr="00454CA5">
        <w:rPr>
          <w:rFonts w:ascii="Arial" w:eastAsia="Yu Gothic" w:hAnsi="Arial" w:cs="Arial"/>
        </w:rPr>
        <w:t xml:space="preserve"> or any other identified class of </w:t>
      </w:r>
      <w:r w:rsidR="00DB66FC" w:rsidRPr="00454CA5">
        <w:rPr>
          <w:rFonts w:ascii="Arial" w:eastAsia="Yu Gothic" w:hAnsi="Arial" w:cs="Arial"/>
        </w:rPr>
        <w:t xml:space="preserve">entities. Consolidation of the </w:t>
      </w:r>
      <w:r w:rsidR="00D553F5" w:rsidRPr="00454CA5">
        <w:rPr>
          <w:rFonts w:ascii="Arial" w:eastAsia="Yu Gothic" w:hAnsi="Arial" w:cs="Arial"/>
        </w:rPr>
        <w:t>loan account in a viable business would have benefitted the stakeholders and the informal reorganization as a whole</w:t>
      </w:r>
      <w:r w:rsidR="00E56FE5" w:rsidRPr="00454CA5">
        <w:rPr>
          <w:rFonts w:ascii="Arial" w:eastAsia="Yu Gothic" w:hAnsi="Arial" w:cs="Arial"/>
        </w:rPr>
        <w:t xml:space="preserve">. </w:t>
      </w:r>
      <w:r w:rsidR="004D71CD" w:rsidRPr="00454CA5">
        <w:rPr>
          <w:rFonts w:ascii="Arial" w:eastAsia="Yu Gothic" w:hAnsi="Arial" w:cs="Arial"/>
        </w:rPr>
        <w:t xml:space="preserve">It would have also helped in avoiding any potential initiation of insolvency proceedings by an operational creditor. </w:t>
      </w:r>
    </w:p>
    <w:p w14:paraId="08DEE08F" w14:textId="77777777" w:rsidR="00F45506" w:rsidRPr="00454CA5" w:rsidRDefault="00B84B4D" w:rsidP="004D6CCD">
      <w:pPr>
        <w:pStyle w:val="ListParagraph"/>
        <w:numPr>
          <w:ilvl w:val="1"/>
          <w:numId w:val="1"/>
        </w:numPr>
        <w:ind w:left="567" w:hanging="567"/>
        <w:contextualSpacing w:val="0"/>
        <w:jc w:val="both"/>
        <w:rPr>
          <w:rFonts w:ascii="Arial" w:eastAsia="Yu Gothic" w:hAnsi="Arial" w:cs="Arial"/>
          <w:i/>
          <w:iCs/>
        </w:rPr>
      </w:pPr>
      <w:r w:rsidRPr="00454CA5">
        <w:rPr>
          <w:rFonts w:ascii="Arial" w:eastAsia="Yu Gothic" w:hAnsi="Arial" w:cs="Arial"/>
          <w:i/>
          <w:iCs/>
        </w:rPr>
        <w:t>Special Situation Funds</w:t>
      </w:r>
    </w:p>
    <w:p w14:paraId="6479A087" w14:textId="7AA73C4A" w:rsidR="00B84B4D" w:rsidRPr="00454CA5" w:rsidRDefault="00B84B4D" w:rsidP="00F45506">
      <w:pPr>
        <w:pStyle w:val="ListParagraph"/>
        <w:ind w:left="567"/>
        <w:contextualSpacing w:val="0"/>
        <w:jc w:val="both"/>
        <w:rPr>
          <w:rFonts w:ascii="Arial" w:eastAsia="Yu Gothic" w:hAnsi="Arial" w:cs="Arial"/>
          <w:i/>
          <w:iCs/>
        </w:rPr>
      </w:pPr>
      <w:r w:rsidRPr="00454CA5">
        <w:rPr>
          <w:rFonts w:ascii="Arial" w:hAnsi="Arial" w:cs="Arial"/>
        </w:rPr>
        <w:t xml:space="preserve">In January 2022, the </w:t>
      </w:r>
      <w:r w:rsidR="00484660" w:rsidRPr="00454CA5">
        <w:rPr>
          <w:rFonts w:ascii="Arial" w:hAnsi="Arial" w:cs="Arial"/>
        </w:rPr>
        <w:t>capital markets regulator in India, the Securities and Exchange Board of India (</w:t>
      </w:r>
      <w:r w:rsidRPr="00454CA5">
        <w:rPr>
          <w:rFonts w:ascii="Arial" w:hAnsi="Arial" w:cs="Arial"/>
          <w:b/>
          <w:bCs/>
        </w:rPr>
        <w:t>SEBI</w:t>
      </w:r>
      <w:r w:rsidR="00484660" w:rsidRPr="00454CA5">
        <w:rPr>
          <w:rFonts w:ascii="Arial" w:hAnsi="Arial" w:cs="Arial"/>
        </w:rPr>
        <w:t xml:space="preserve">) </w:t>
      </w:r>
      <w:r w:rsidRPr="00454CA5">
        <w:rPr>
          <w:rFonts w:ascii="Arial" w:hAnsi="Arial" w:cs="Arial"/>
        </w:rPr>
        <w:t>introduced a new sub-category of the Category I Alternative Investment Funds (</w:t>
      </w:r>
      <w:r w:rsidRPr="00454CA5">
        <w:rPr>
          <w:rFonts w:ascii="Arial" w:hAnsi="Arial" w:cs="Arial"/>
          <w:b/>
          <w:bCs/>
        </w:rPr>
        <w:t>AIF</w:t>
      </w:r>
      <w:r w:rsidRPr="00454CA5">
        <w:rPr>
          <w:rFonts w:ascii="Arial" w:hAnsi="Arial" w:cs="Arial"/>
        </w:rPr>
        <w:t>), referred to as the Special Situations Fund (</w:t>
      </w:r>
      <w:r w:rsidRPr="00454CA5">
        <w:rPr>
          <w:rFonts w:ascii="Arial" w:hAnsi="Arial" w:cs="Arial"/>
          <w:b/>
          <w:bCs/>
        </w:rPr>
        <w:t>SSFs</w:t>
      </w:r>
      <w:r w:rsidRPr="00454CA5">
        <w:rPr>
          <w:rFonts w:ascii="Arial" w:hAnsi="Arial" w:cs="Arial"/>
        </w:rPr>
        <w:t>), by way of amendment to the Securities and Exchange Board of India (Alternative Investment Funds) Regulations, 2012 (</w:t>
      </w:r>
      <w:r w:rsidRPr="00454CA5">
        <w:rPr>
          <w:rFonts w:ascii="Arial" w:hAnsi="Arial" w:cs="Arial"/>
          <w:b/>
          <w:bCs/>
        </w:rPr>
        <w:t>AIF Regulations</w:t>
      </w:r>
      <w:r w:rsidRPr="00454CA5">
        <w:rPr>
          <w:rFonts w:ascii="Arial" w:hAnsi="Arial" w:cs="Arial"/>
        </w:rPr>
        <w:t xml:space="preserve">). The SSFs (subject to them meeting the minimum corpus and capital requirements) are permitted to (a) invest only in </w:t>
      </w:r>
      <w:r w:rsidRPr="00454CA5">
        <w:rPr>
          <w:rFonts w:ascii="Arial" w:hAnsi="Arial" w:cs="Arial"/>
          <w:i/>
          <w:iCs/>
        </w:rPr>
        <w:t>special situations assets</w:t>
      </w:r>
      <w:r w:rsidRPr="00454CA5">
        <w:rPr>
          <w:rFonts w:ascii="Arial" w:hAnsi="Arial" w:cs="Arial"/>
        </w:rPr>
        <w:t xml:space="preserve">; and (b) act as a resolution applicant under the </w:t>
      </w:r>
      <w:r w:rsidR="00B75D2D" w:rsidRPr="00454CA5">
        <w:rPr>
          <w:rFonts w:ascii="Arial" w:hAnsi="Arial" w:cs="Arial"/>
        </w:rPr>
        <w:t>Indian Insolvency Code</w:t>
      </w:r>
      <w:r w:rsidRPr="00454CA5">
        <w:rPr>
          <w:rFonts w:ascii="Arial" w:hAnsi="Arial" w:cs="Arial"/>
        </w:rPr>
        <w:t>.</w:t>
      </w:r>
      <w:r w:rsidRPr="00454CA5">
        <w:rPr>
          <w:rStyle w:val="FootnoteReference"/>
          <w:rFonts w:ascii="Arial" w:hAnsi="Arial" w:cs="Arial"/>
        </w:rPr>
        <w:footnoteReference w:id="19"/>
      </w:r>
      <w:r w:rsidRPr="00454CA5">
        <w:rPr>
          <w:rFonts w:ascii="Arial" w:hAnsi="Arial" w:cs="Arial"/>
        </w:rPr>
        <w:t xml:space="preserve"> </w:t>
      </w:r>
    </w:p>
    <w:p w14:paraId="1A845800" w14:textId="77777777" w:rsidR="00EA2A98" w:rsidRPr="00454CA5" w:rsidRDefault="00B84B4D" w:rsidP="00D3248D">
      <w:pPr>
        <w:pStyle w:val="ListParagraph"/>
        <w:ind w:left="567"/>
        <w:contextualSpacing w:val="0"/>
        <w:jc w:val="both"/>
        <w:rPr>
          <w:rFonts w:ascii="Arial" w:hAnsi="Arial" w:cs="Arial"/>
        </w:rPr>
      </w:pPr>
      <w:r w:rsidRPr="00454CA5">
        <w:rPr>
          <w:rFonts w:ascii="Arial" w:hAnsi="Arial" w:cs="Arial"/>
        </w:rPr>
        <w:t xml:space="preserve">The term </w:t>
      </w:r>
      <w:r w:rsidRPr="00454CA5">
        <w:rPr>
          <w:rFonts w:ascii="Arial" w:hAnsi="Arial" w:cs="Arial"/>
          <w:i/>
          <w:iCs/>
        </w:rPr>
        <w:t>special situation assets</w:t>
      </w:r>
      <w:r w:rsidRPr="00454CA5">
        <w:rPr>
          <w:rFonts w:ascii="Arial" w:hAnsi="Arial" w:cs="Arial"/>
        </w:rPr>
        <w:t xml:space="preserve"> covers a wide gamut of stressed assets, i.e., (a) stressed loans available for acquisition in terms of the RBI Transfer Directions</w:t>
      </w:r>
      <w:r w:rsidRPr="00454CA5">
        <w:rPr>
          <w:rStyle w:val="FootnoteReference"/>
          <w:rFonts w:ascii="Arial" w:hAnsi="Arial" w:cs="Arial"/>
        </w:rPr>
        <w:footnoteReference w:id="20"/>
      </w:r>
      <w:r w:rsidRPr="00454CA5">
        <w:rPr>
          <w:rFonts w:ascii="Arial" w:hAnsi="Arial" w:cs="Arial"/>
        </w:rPr>
        <w:t xml:space="preserve">, or as part of a resolution plan approved under the </w:t>
      </w:r>
      <w:r w:rsidR="000F6432" w:rsidRPr="00454CA5">
        <w:rPr>
          <w:rFonts w:ascii="Arial" w:hAnsi="Arial" w:cs="Arial"/>
        </w:rPr>
        <w:t>Insolvency Code</w:t>
      </w:r>
      <w:r w:rsidRPr="00454CA5">
        <w:rPr>
          <w:rFonts w:ascii="Arial" w:hAnsi="Arial" w:cs="Arial"/>
        </w:rPr>
        <w:t xml:space="preserve"> or in terms of any other policy of the RBI or the Government of India issued in this regard (</w:t>
      </w:r>
      <w:r w:rsidRPr="00454CA5">
        <w:rPr>
          <w:rFonts w:ascii="Arial" w:hAnsi="Arial" w:cs="Arial"/>
          <w:b/>
          <w:bCs/>
        </w:rPr>
        <w:t>Eligible Stressed Loans</w:t>
      </w:r>
      <w:r w:rsidRPr="00454CA5">
        <w:rPr>
          <w:rFonts w:ascii="Arial" w:hAnsi="Arial" w:cs="Arial"/>
        </w:rPr>
        <w:t xml:space="preserve">); (b) </w:t>
      </w:r>
      <w:r w:rsidR="003051D3" w:rsidRPr="00454CA5">
        <w:rPr>
          <w:rFonts w:ascii="Arial" w:hAnsi="Arial" w:cs="Arial"/>
        </w:rPr>
        <w:t>s</w:t>
      </w:r>
      <w:r w:rsidR="006D07F0" w:rsidRPr="00454CA5">
        <w:rPr>
          <w:rFonts w:ascii="Arial" w:hAnsi="Arial" w:cs="Arial"/>
        </w:rPr>
        <w:t>ecurity receipts</w:t>
      </w:r>
      <w:r w:rsidRPr="00454CA5">
        <w:rPr>
          <w:rFonts w:ascii="Arial" w:hAnsi="Arial" w:cs="Arial"/>
        </w:rPr>
        <w:t>; (c) securities of specified investee companies, subject to certain requirements; (d) any other asset as may be specified by SEBI from time to time.</w:t>
      </w:r>
      <w:r w:rsidRPr="00454CA5">
        <w:rPr>
          <w:rStyle w:val="FootnoteReference"/>
          <w:rFonts w:ascii="Arial" w:hAnsi="Arial" w:cs="Arial"/>
        </w:rPr>
        <w:footnoteReference w:id="21"/>
      </w:r>
      <w:r w:rsidR="00D3248D" w:rsidRPr="00454CA5">
        <w:rPr>
          <w:rFonts w:ascii="Arial" w:hAnsi="Arial" w:cs="Arial"/>
        </w:rPr>
        <w:t xml:space="preserve"> </w:t>
      </w:r>
      <w:r w:rsidRPr="00454CA5">
        <w:rPr>
          <w:rFonts w:ascii="Arial" w:hAnsi="Arial" w:cs="Arial"/>
        </w:rPr>
        <w:t xml:space="preserve">SSFs </w:t>
      </w:r>
      <w:r w:rsidR="00255D56" w:rsidRPr="00454CA5">
        <w:rPr>
          <w:rFonts w:ascii="Arial" w:hAnsi="Arial" w:cs="Arial"/>
        </w:rPr>
        <w:t>are</w:t>
      </w:r>
      <w:r w:rsidRPr="00454CA5">
        <w:rPr>
          <w:rFonts w:ascii="Arial" w:hAnsi="Arial" w:cs="Arial"/>
        </w:rPr>
        <w:t xml:space="preserve"> able to invest up to 100% of their investable funds in a single special situations asset and may set up specific schemes targeting specific special situations asset, thereby providing much needed funding to corporate entities in distress and enable successful turnaround for the benefit of all stakeholders. </w:t>
      </w:r>
    </w:p>
    <w:p w14:paraId="701C9900" w14:textId="4E547E76" w:rsidR="00B84B4D" w:rsidRPr="00454CA5" w:rsidRDefault="005D47DD" w:rsidP="00D3248D">
      <w:pPr>
        <w:pStyle w:val="ListParagraph"/>
        <w:ind w:left="567"/>
        <w:contextualSpacing w:val="0"/>
        <w:jc w:val="both"/>
        <w:rPr>
          <w:rFonts w:ascii="Arial" w:hAnsi="Arial" w:cs="Arial"/>
        </w:rPr>
      </w:pPr>
      <w:r w:rsidRPr="00454CA5">
        <w:rPr>
          <w:rFonts w:ascii="Arial" w:hAnsi="Arial" w:cs="Arial"/>
        </w:rPr>
        <w:t xml:space="preserve">SSFs can also give </w:t>
      </w:r>
      <w:r w:rsidR="00830F44" w:rsidRPr="00454CA5">
        <w:rPr>
          <w:rFonts w:ascii="Arial" w:hAnsi="Arial" w:cs="Arial"/>
        </w:rPr>
        <w:t>a</w:t>
      </w:r>
      <w:r w:rsidRPr="00454CA5">
        <w:rPr>
          <w:rFonts w:ascii="Arial" w:hAnsi="Arial" w:cs="Arial"/>
        </w:rPr>
        <w:t xml:space="preserve"> </w:t>
      </w:r>
      <w:r w:rsidR="000D6534" w:rsidRPr="00454CA5">
        <w:rPr>
          <w:rFonts w:ascii="Arial" w:hAnsi="Arial" w:cs="Arial"/>
        </w:rPr>
        <w:t>beneficial</w:t>
      </w:r>
      <w:r w:rsidRPr="00454CA5">
        <w:rPr>
          <w:rFonts w:ascii="Arial" w:hAnsi="Arial" w:cs="Arial"/>
        </w:rPr>
        <w:t xml:space="preserve"> </w:t>
      </w:r>
      <w:r w:rsidR="00AF0B1C" w:rsidRPr="00454CA5">
        <w:rPr>
          <w:rFonts w:ascii="Arial" w:hAnsi="Arial" w:cs="Arial"/>
        </w:rPr>
        <w:t xml:space="preserve">exit </w:t>
      </w:r>
      <w:r w:rsidRPr="00454CA5">
        <w:rPr>
          <w:rFonts w:ascii="Arial" w:hAnsi="Arial" w:cs="Arial"/>
        </w:rPr>
        <w:t xml:space="preserve">to the </w:t>
      </w:r>
      <w:r w:rsidR="00BC3CF4" w:rsidRPr="00454CA5">
        <w:rPr>
          <w:rFonts w:ascii="Arial" w:hAnsi="Arial" w:cs="Arial"/>
        </w:rPr>
        <w:t xml:space="preserve">non-cooperating </w:t>
      </w:r>
      <w:r w:rsidR="00830F44" w:rsidRPr="00454CA5">
        <w:rPr>
          <w:rFonts w:ascii="Arial" w:hAnsi="Arial" w:cs="Arial"/>
        </w:rPr>
        <w:t>lenders and</w:t>
      </w:r>
      <w:r w:rsidR="002B6D52" w:rsidRPr="00454CA5">
        <w:rPr>
          <w:rFonts w:ascii="Arial" w:hAnsi="Arial" w:cs="Arial"/>
        </w:rPr>
        <w:t xml:space="preserve"> can thereafter</w:t>
      </w:r>
      <w:r w:rsidR="00893AC6" w:rsidRPr="00454CA5">
        <w:rPr>
          <w:rFonts w:ascii="Arial" w:hAnsi="Arial" w:cs="Arial"/>
        </w:rPr>
        <w:t xml:space="preserve"> effectively contribute to the</w:t>
      </w:r>
      <w:r w:rsidR="002B6D52" w:rsidRPr="00454CA5">
        <w:rPr>
          <w:rFonts w:ascii="Arial" w:hAnsi="Arial" w:cs="Arial"/>
        </w:rPr>
        <w:t xml:space="preserve"> successful</w:t>
      </w:r>
      <w:r w:rsidR="00893AC6" w:rsidRPr="00454CA5">
        <w:rPr>
          <w:rFonts w:ascii="Arial" w:hAnsi="Arial" w:cs="Arial"/>
        </w:rPr>
        <w:t xml:space="preserve"> turnaround of the </w:t>
      </w:r>
      <w:r w:rsidR="002B6D52" w:rsidRPr="00454CA5">
        <w:rPr>
          <w:rFonts w:ascii="Arial" w:hAnsi="Arial" w:cs="Arial"/>
        </w:rPr>
        <w:t xml:space="preserve">organization. </w:t>
      </w:r>
    </w:p>
    <w:p w14:paraId="3CA189C5" w14:textId="77777777" w:rsidR="003E5318" w:rsidRPr="00454CA5" w:rsidRDefault="00B84B4D" w:rsidP="004D6CCD">
      <w:pPr>
        <w:pStyle w:val="ListParagraph"/>
        <w:numPr>
          <w:ilvl w:val="1"/>
          <w:numId w:val="1"/>
        </w:numPr>
        <w:ind w:left="567" w:hanging="567"/>
        <w:contextualSpacing w:val="0"/>
        <w:jc w:val="both"/>
        <w:rPr>
          <w:rFonts w:ascii="Arial" w:eastAsia="Yu Gothic" w:hAnsi="Arial" w:cs="Arial"/>
          <w:i/>
          <w:iCs/>
        </w:rPr>
      </w:pPr>
      <w:r w:rsidRPr="00454CA5">
        <w:rPr>
          <w:rFonts w:ascii="Arial" w:eastAsia="Yu Gothic" w:hAnsi="Arial" w:cs="Arial"/>
          <w:i/>
          <w:iCs/>
        </w:rPr>
        <w:t xml:space="preserve">Pre-pack insolvency resolution process </w:t>
      </w:r>
    </w:p>
    <w:p w14:paraId="5720F430" w14:textId="6A25E458" w:rsidR="00436D42" w:rsidRPr="00454CA5" w:rsidRDefault="00B84B4D" w:rsidP="002F63DC">
      <w:pPr>
        <w:pStyle w:val="ListParagraph"/>
        <w:ind w:left="567"/>
        <w:contextualSpacing w:val="0"/>
        <w:jc w:val="both"/>
        <w:rPr>
          <w:rFonts w:ascii="Arial" w:eastAsia="Yu Gothic" w:hAnsi="Arial" w:cs="Arial"/>
        </w:rPr>
      </w:pPr>
      <w:r w:rsidRPr="00454CA5">
        <w:rPr>
          <w:rFonts w:ascii="Arial" w:eastAsia="Yu Gothic" w:hAnsi="Arial" w:cs="Arial"/>
        </w:rPr>
        <w:t xml:space="preserve">In the aftermath of the financial concerns posed by the Covid-19 pandemic, India </w:t>
      </w:r>
      <w:r w:rsidR="002B6D52" w:rsidRPr="00454CA5">
        <w:rPr>
          <w:rFonts w:ascii="Arial" w:eastAsia="Yu Gothic" w:hAnsi="Arial" w:cs="Arial"/>
        </w:rPr>
        <w:t>introduced</w:t>
      </w:r>
      <w:r w:rsidR="005D47DD" w:rsidRPr="00454CA5">
        <w:rPr>
          <w:rFonts w:ascii="Arial" w:eastAsia="Yu Gothic" w:hAnsi="Arial" w:cs="Arial"/>
        </w:rPr>
        <w:t xml:space="preserve"> pre</w:t>
      </w:r>
      <w:r w:rsidRPr="00454CA5">
        <w:rPr>
          <w:rFonts w:ascii="Arial" w:eastAsia="Yu Gothic" w:hAnsi="Arial" w:cs="Arial"/>
        </w:rPr>
        <w:t>-packaged insolvency resolution process framework (</w:t>
      </w:r>
      <w:r w:rsidRPr="00454CA5">
        <w:rPr>
          <w:rFonts w:ascii="Arial" w:eastAsia="Yu Gothic" w:hAnsi="Arial" w:cs="Arial"/>
          <w:b/>
          <w:bCs/>
        </w:rPr>
        <w:t>Pre-pack</w:t>
      </w:r>
      <w:r w:rsidRPr="00454CA5">
        <w:rPr>
          <w:rFonts w:ascii="Arial" w:eastAsia="Yu Gothic" w:hAnsi="Arial" w:cs="Arial"/>
        </w:rPr>
        <w:t>) for micro, small and medium enterprises (</w:t>
      </w:r>
      <w:r w:rsidRPr="00454CA5">
        <w:rPr>
          <w:rFonts w:ascii="Arial" w:eastAsia="Yu Gothic" w:hAnsi="Arial" w:cs="Arial"/>
          <w:b/>
          <w:bCs/>
        </w:rPr>
        <w:t>MSME</w:t>
      </w:r>
      <w:r w:rsidRPr="00454CA5">
        <w:rPr>
          <w:rFonts w:ascii="Arial" w:eastAsia="Yu Gothic" w:hAnsi="Arial" w:cs="Arial"/>
        </w:rPr>
        <w:t>)</w:t>
      </w:r>
      <w:r w:rsidR="007D45B8" w:rsidRPr="00454CA5">
        <w:rPr>
          <w:rFonts w:ascii="Arial" w:eastAsia="Yu Gothic" w:hAnsi="Arial" w:cs="Arial"/>
        </w:rPr>
        <w:t xml:space="preserve"> under </w:t>
      </w:r>
      <w:r w:rsidR="00192082" w:rsidRPr="00454CA5">
        <w:rPr>
          <w:rFonts w:ascii="Arial" w:eastAsia="Yu Gothic" w:hAnsi="Arial" w:cs="Arial"/>
        </w:rPr>
        <w:t xml:space="preserve">the </w:t>
      </w:r>
      <w:r w:rsidR="007D45B8" w:rsidRPr="00454CA5">
        <w:rPr>
          <w:rFonts w:ascii="Arial" w:hAnsi="Arial" w:cs="Arial"/>
          <w:lang w:val="en-US"/>
        </w:rPr>
        <w:t>(Indian) Insolvency and Bankruptcy Code, 2016 (</w:t>
      </w:r>
      <w:r w:rsidR="007D45B8" w:rsidRPr="00454CA5">
        <w:rPr>
          <w:rFonts w:ascii="Arial" w:hAnsi="Arial" w:cs="Arial"/>
          <w:b/>
          <w:bCs/>
          <w:lang w:val="en-US"/>
        </w:rPr>
        <w:t>Insolvency Code</w:t>
      </w:r>
      <w:r w:rsidR="007D45B8" w:rsidRPr="00454CA5">
        <w:rPr>
          <w:rFonts w:ascii="Arial" w:hAnsi="Arial" w:cs="Arial"/>
          <w:lang w:val="en-US"/>
        </w:rPr>
        <w:t>)</w:t>
      </w:r>
      <w:r w:rsidRPr="00454CA5">
        <w:rPr>
          <w:rFonts w:ascii="Arial" w:eastAsia="Yu Gothic" w:hAnsi="Arial" w:cs="Arial"/>
        </w:rPr>
        <w:t xml:space="preserve">. </w:t>
      </w:r>
      <w:r w:rsidR="00436D42" w:rsidRPr="00454CA5">
        <w:rPr>
          <w:rFonts w:ascii="Arial" w:eastAsia="Yu Gothic" w:hAnsi="Arial" w:cs="Arial"/>
        </w:rPr>
        <w:t>This is also proposed to be extended to other larger organization</w:t>
      </w:r>
      <w:r w:rsidR="0035299F" w:rsidRPr="00454CA5">
        <w:rPr>
          <w:rFonts w:ascii="Arial" w:eastAsia="Yu Gothic" w:hAnsi="Arial" w:cs="Arial"/>
        </w:rPr>
        <w:t>s</w:t>
      </w:r>
      <w:r w:rsidR="00436D42" w:rsidRPr="00454CA5">
        <w:rPr>
          <w:rFonts w:ascii="Arial" w:eastAsia="Yu Gothic" w:hAnsi="Arial" w:cs="Arial"/>
        </w:rPr>
        <w:t xml:space="preserve">. </w:t>
      </w:r>
    </w:p>
    <w:p w14:paraId="006340E6" w14:textId="211D9C2D" w:rsidR="00A32351" w:rsidRPr="00454CA5" w:rsidRDefault="00B84B4D" w:rsidP="002F63DC">
      <w:pPr>
        <w:pStyle w:val="ListParagraph"/>
        <w:ind w:left="567"/>
        <w:contextualSpacing w:val="0"/>
        <w:jc w:val="both"/>
        <w:rPr>
          <w:rFonts w:ascii="Arial" w:eastAsia="Yu Gothic" w:hAnsi="Arial" w:cs="Arial"/>
        </w:rPr>
      </w:pPr>
      <w:r w:rsidRPr="00454CA5">
        <w:rPr>
          <w:rFonts w:ascii="Arial" w:eastAsia="Yu Gothic" w:hAnsi="Arial" w:cs="Arial"/>
          <w:lang w:val="en-US"/>
        </w:rPr>
        <w:lastRenderedPageBreak/>
        <w:t>Pre-pack</w:t>
      </w:r>
      <w:r w:rsidRPr="00454CA5">
        <w:rPr>
          <w:rFonts w:ascii="Arial" w:eastAsia="Yu Gothic" w:hAnsi="Arial" w:cs="Arial"/>
        </w:rPr>
        <w:t xml:space="preserve"> is </w:t>
      </w:r>
      <w:r w:rsidRPr="00454CA5">
        <w:rPr>
          <w:rFonts w:ascii="Arial" w:eastAsia="Yu Gothic" w:hAnsi="Arial" w:cs="Arial"/>
          <w:lang w:val="en-US"/>
        </w:rPr>
        <w:t xml:space="preserve">a </w:t>
      </w:r>
      <w:r w:rsidRPr="00454CA5">
        <w:rPr>
          <w:rFonts w:ascii="Arial" w:eastAsia="Yu Gothic" w:hAnsi="Arial" w:cs="Arial"/>
          <w:i/>
          <w:iCs/>
          <w:lang w:val="en-US"/>
        </w:rPr>
        <w:t>debtor-in-possession</w:t>
      </w:r>
      <w:r w:rsidRPr="00454CA5">
        <w:rPr>
          <w:rFonts w:ascii="Arial" w:eastAsia="Yu Gothic" w:hAnsi="Arial" w:cs="Arial"/>
          <w:lang w:val="en-US"/>
        </w:rPr>
        <w:t xml:space="preserve"> as opposed to the </w:t>
      </w:r>
      <w:r w:rsidRPr="00454CA5">
        <w:rPr>
          <w:rFonts w:ascii="Arial" w:eastAsia="Yu Gothic" w:hAnsi="Arial" w:cs="Arial"/>
          <w:i/>
          <w:iCs/>
          <w:lang w:val="en-US"/>
        </w:rPr>
        <w:t>creditor-in-control</w:t>
      </w:r>
      <w:r w:rsidRPr="00454CA5">
        <w:rPr>
          <w:rFonts w:ascii="Arial" w:eastAsia="Yu Gothic" w:hAnsi="Arial" w:cs="Arial"/>
          <w:lang w:val="en-US"/>
        </w:rPr>
        <w:t xml:space="preserve"> model. </w:t>
      </w:r>
      <w:r w:rsidR="00BC62E4" w:rsidRPr="00454CA5">
        <w:rPr>
          <w:rFonts w:ascii="Arial" w:eastAsia="Yu Gothic" w:hAnsi="Arial" w:cs="Arial"/>
          <w:lang w:val="en-US"/>
        </w:rPr>
        <w:t xml:space="preserve">Although the framework contemplates </w:t>
      </w:r>
      <w:r w:rsidR="006B2218" w:rsidRPr="00454CA5">
        <w:rPr>
          <w:rFonts w:ascii="Arial" w:eastAsia="Yu Gothic" w:hAnsi="Arial" w:cs="Arial"/>
          <w:lang w:val="en-US"/>
        </w:rPr>
        <w:t xml:space="preserve">role of the adjudicating authorities, the role is very </w:t>
      </w:r>
      <w:r w:rsidR="006B2218" w:rsidRPr="00454CA5">
        <w:rPr>
          <w:rFonts w:ascii="Arial" w:eastAsia="Yu Gothic" w:hAnsi="Arial" w:cs="Arial"/>
          <w:i/>
          <w:iCs/>
          <w:lang w:val="en-US"/>
        </w:rPr>
        <w:t>limited</w:t>
      </w:r>
      <w:r w:rsidR="006B2218" w:rsidRPr="00454CA5">
        <w:rPr>
          <w:rFonts w:ascii="Arial" w:eastAsia="Yu Gothic" w:hAnsi="Arial" w:cs="Arial"/>
          <w:lang w:val="en-US"/>
        </w:rPr>
        <w:t xml:space="preserve"> and is effectively towards approving the resolution plan, which will be binding on all stakeholders. Another distinguishing factor is that such plan will have to be approved by a majority of 66% voting share of the financial creditors. </w:t>
      </w:r>
      <w:r w:rsidR="008B0510" w:rsidRPr="00454CA5">
        <w:rPr>
          <w:rFonts w:ascii="Arial" w:eastAsia="Yu Gothic" w:hAnsi="Arial" w:cs="Arial"/>
        </w:rPr>
        <w:t>The pre-pack process is also a time bound process which can help avoid deterioration in the value of assets of the enterprise. T</w:t>
      </w:r>
      <w:r w:rsidR="008B0510" w:rsidRPr="00454CA5">
        <w:rPr>
          <w:rFonts w:ascii="Arial" w:eastAsia="Yu Gothic" w:hAnsi="Arial" w:cs="Arial"/>
        </w:rPr>
        <w:t xml:space="preserve">he outer timeline for completion of the Pre-Pack is 120 days from the date of the admission order. However, the insolvency professional is required to submit the approved resolution plan within 90 days from the date of the admission order, failing which the process would be terminated. </w:t>
      </w:r>
    </w:p>
    <w:p w14:paraId="34493DEF" w14:textId="77777777" w:rsidR="00514C90" w:rsidRPr="00454CA5" w:rsidRDefault="00B84B4D" w:rsidP="002F63DC">
      <w:pPr>
        <w:pStyle w:val="ListParagraph"/>
        <w:ind w:left="567"/>
        <w:contextualSpacing w:val="0"/>
        <w:jc w:val="both"/>
        <w:rPr>
          <w:rFonts w:ascii="Arial" w:eastAsia="Yu Gothic" w:hAnsi="Arial" w:cs="Arial"/>
        </w:rPr>
      </w:pPr>
      <w:r w:rsidRPr="00454CA5">
        <w:rPr>
          <w:rFonts w:ascii="Arial" w:eastAsia="Yu Gothic" w:hAnsi="Arial" w:cs="Arial"/>
        </w:rPr>
        <w:t>The process contemplates filing</w:t>
      </w:r>
      <w:r w:rsidR="00A908EF" w:rsidRPr="00454CA5">
        <w:rPr>
          <w:rFonts w:ascii="Arial" w:eastAsia="Yu Gothic" w:hAnsi="Arial" w:cs="Arial"/>
        </w:rPr>
        <w:t xml:space="preserve"> of an application</w:t>
      </w:r>
      <w:r w:rsidRPr="00454CA5">
        <w:rPr>
          <w:rFonts w:ascii="Arial" w:eastAsia="Yu Gothic" w:hAnsi="Arial" w:cs="Arial"/>
        </w:rPr>
        <w:t>, post approval (with specified majority) from the shareholders and unrelated financial creditors</w:t>
      </w:r>
      <w:r w:rsidR="00717FA7" w:rsidRPr="00454CA5">
        <w:rPr>
          <w:rFonts w:ascii="Arial" w:eastAsia="Yu Gothic" w:hAnsi="Arial" w:cs="Arial"/>
        </w:rPr>
        <w:t xml:space="preserve"> (66%)</w:t>
      </w:r>
      <w:r w:rsidRPr="00454CA5">
        <w:rPr>
          <w:rFonts w:ascii="Arial" w:eastAsia="Yu Gothic" w:hAnsi="Arial" w:cs="Arial"/>
        </w:rPr>
        <w:t xml:space="preserve">. While seeking approval from financial creditors, the MSME is required to provide such creditors with a declaration of the filing being bona fide and special resolution of the shareholders (as mentioned above) and a base resolution plan for the MSME, </w:t>
      </w:r>
      <w:r w:rsidR="00484386" w:rsidRPr="00454CA5">
        <w:rPr>
          <w:rFonts w:ascii="Arial" w:eastAsia="Yu Gothic" w:hAnsi="Arial" w:cs="Arial"/>
        </w:rPr>
        <w:t xml:space="preserve">which confirms to certain regulatory requirements under the Insolvency Code </w:t>
      </w:r>
      <w:r w:rsidRPr="00454CA5">
        <w:rPr>
          <w:rFonts w:ascii="Arial" w:eastAsia="Yu Gothic" w:hAnsi="Arial" w:cs="Arial"/>
        </w:rPr>
        <w:t>(</w:t>
      </w:r>
      <w:r w:rsidRPr="00454CA5">
        <w:rPr>
          <w:rFonts w:ascii="Arial" w:eastAsia="Yu Gothic" w:hAnsi="Arial" w:cs="Arial"/>
          <w:b/>
          <w:bCs/>
        </w:rPr>
        <w:t>Base Resolution Plan</w:t>
      </w:r>
      <w:r w:rsidRPr="00454CA5">
        <w:rPr>
          <w:rFonts w:ascii="Arial" w:eastAsia="Yu Gothic" w:hAnsi="Arial" w:cs="Arial"/>
        </w:rPr>
        <w:t xml:space="preserve">). A Pre-pack also has moratorium protection similar to CIRP, rather more as it would be applicable from the date of filing till the conclusion of the process. Unlike normal CIRP, the role of insolvency professional is diluted (other than in exceptional circumstances), with directors running the process. </w:t>
      </w:r>
    </w:p>
    <w:p w14:paraId="1294CDE9" w14:textId="7F799040" w:rsidR="002F63DC" w:rsidRPr="00454CA5" w:rsidRDefault="00B84B4D" w:rsidP="002F63DC">
      <w:pPr>
        <w:pStyle w:val="ListParagraph"/>
        <w:ind w:left="567"/>
        <w:contextualSpacing w:val="0"/>
        <w:jc w:val="both"/>
        <w:rPr>
          <w:rFonts w:ascii="Arial" w:eastAsia="Yu Gothic" w:hAnsi="Arial" w:cs="Arial"/>
        </w:rPr>
      </w:pPr>
      <w:r w:rsidRPr="00454CA5">
        <w:rPr>
          <w:rFonts w:ascii="Arial" w:eastAsia="Yu Gothic" w:hAnsi="Arial" w:cs="Arial"/>
        </w:rPr>
        <w:t xml:space="preserve">The Base Resolution Plan is evaluated by the committee of creditors, comprising unrelated financial creditors, and may be approved by or be further subjected to a </w:t>
      </w:r>
      <w:r w:rsidR="00830F44" w:rsidRPr="00454CA5">
        <w:rPr>
          <w:rFonts w:ascii="Arial" w:eastAsia="Yu Gothic" w:hAnsi="Arial" w:cs="Arial"/>
        </w:rPr>
        <w:t>Swiss</w:t>
      </w:r>
      <w:r w:rsidRPr="00454CA5">
        <w:rPr>
          <w:rFonts w:ascii="Arial" w:eastAsia="Yu Gothic" w:hAnsi="Arial" w:cs="Arial"/>
        </w:rPr>
        <w:t xml:space="preserve"> challenge process. </w:t>
      </w:r>
      <w:r w:rsidR="00EB16E0" w:rsidRPr="00454CA5">
        <w:rPr>
          <w:rFonts w:ascii="Arial" w:eastAsia="Yu Gothic" w:hAnsi="Arial" w:cs="Arial"/>
        </w:rPr>
        <w:t>As stated above,</w:t>
      </w:r>
      <w:r w:rsidRPr="00454CA5">
        <w:rPr>
          <w:rFonts w:ascii="Arial" w:eastAsia="Yu Gothic" w:hAnsi="Arial" w:cs="Arial"/>
        </w:rPr>
        <w:t xml:space="preserve"> resolution plan must be approved by a majority of 66% by voting share. </w:t>
      </w:r>
      <w:r w:rsidR="00C517C4" w:rsidRPr="00454CA5">
        <w:rPr>
          <w:rFonts w:ascii="Arial" w:eastAsia="Yu Gothic" w:hAnsi="Arial" w:cs="Arial"/>
          <w:lang w:val="en-US"/>
        </w:rPr>
        <w:t>Accordingly, if Bank A and B can jointly garner 66% voting share and the plan receives blessings of the court, it would bind Bank C and D as well.</w:t>
      </w:r>
    </w:p>
    <w:p w14:paraId="7B4A8796" w14:textId="77777777" w:rsidR="00E15932" w:rsidRPr="00454CA5" w:rsidRDefault="00E15932" w:rsidP="00297568">
      <w:pPr>
        <w:pStyle w:val="ListParagraph"/>
        <w:spacing w:line="240" w:lineRule="auto"/>
        <w:ind w:left="567"/>
        <w:contextualSpacing w:val="0"/>
        <w:jc w:val="both"/>
        <w:rPr>
          <w:rFonts w:ascii="Arial" w:hAnsi="Arial" w:cs="Arial"/>
          <w:b/>
          <w:bCs/>
          <w:i/>
          <w:iCs/>
          <w:lang w:val="en-US"/>
        </w:rPr>
      </w:pPr>
    </w:p>
    <w:p w14:paraId="657891AA" w14:textId="093D9B0C" w:rsidR="00AD7439" w:rsidRPr="00454CA5" w:rsidRDefault="00AD7439" w:rsidP="004D6CCD">
      <w:pPr>
        <w:pStyle w:val="ListParagraph"/>
        <w:numPr>
          <w:ilvl w:val="1"/>
          <w:numId w:val="1"/>
        </w:numPr>
        <w:spacing w:line="240" w:lineRule="auto"/>
        <w:contextualSpacing w:val="0"/>
        <w:jc w:val="both"/>
        <w:rPr>
          <w:rFonts w:ascii="Arial" w:hAnsi="Arial" w:cs="Arial"/>
          <w:b/>
          <w:bCs/>
          <w:i/>
          <w:iCs/>
          <w:lang w:val="en-US"/>
        </w:rPr>
      </w:pPr>
      <w:r w:rsidRPr="00454CA5">
        <w:rPr>
          <w:rFonts w:ascii="Arial" w:hAnsi="Arial" w:cs="Arial"/>
          <w:b/>
          <w:bCs/>
          <w:i/>
          <w:iCs/>
          <w:lang w:val="en-US"/>
        </w:rPr>
        <w:br w:type="page"/>
      </w:r>
    </w:p>
    <w:p w14:paraId="1E8F3AC6" w14:textId="2EF5283F" w:rsidR="008C652F" w:rsidRPr="00454CA5" w:rsidRDefault="008C652F"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 xml:space="preserve">Explain in detail the essence and result of the restructuring agreement as signed on the </w:t>
      </w:r>
      <w:r w:rsidR="0008661C" w:rsidRPr="00454CA5">
        <w:rPr>
          <w:rFonts w:ascii="Arial" w:hAnsi="Arial" w:cs="Arial"/>
          <w:b/>
          <w:bCs/>
          <w:i/>
          <w:iCs/>
          <w:lang w:val="en-US"/>
        </w:rPr>
        <w:t xml:space="preserve">4th  </w:t>
      </w:r>
      <w:r w:rsidRPr="00454CA5">
        <w:rPr>
          <w:rFonts w:ascii="Arial" w:hAnsi="Arial" w:cs="Arial"/>
          <w:b/>
          <w:bCs/>
          <w:i/>
          <w:iCs/>
          <w:lang w:val="en-US"/>
        </w:rPr>
        <w:t>of July 2015.</w:t>
      </w:r>
    </w:p>
    <w:p w14:paraId="071D1962" w14:textId="6E8FF41F" w:rsidR="00B202B4" w:rsidRPr="00454CA5" w:rsidRDefault="00B202B4"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At the outset, set out below are the key </w:t>
      </w:r>
      <w:r w:rsidR="0016737F" w:rsidRPr="00454CA5">
        <w:rPr>
          <w:rFonts w:ascii="Arial" w:hAnsi="Arial" w:cs="Arial"/>
          <w:lang w:val="en-US"/>
        </w:rPr>
        <w:t xml:space="preserve">commercials in relation to the </w:t>
      </w:r>
      <w:r w:rsidR="004119B7" w:rsidRPr="00454CA5">
        <w:rPr>
          <w:rFonts w:ascii="Arial" w:hAnsi="Arial" w:cs="Arial"/>
          <w:lang w:val="en-US"/>
        </w:rPr>
        <w:t xml:space="preserve">restructuring agreement as signed on the July </w:t>
      </w:r>
      <w:r w:rsidR="00793BB2" w:rsidRPr="00454CA5">
        <w:rPr>
          <w:rFonts w:ascii="Arial" w:hAnsi="Arial" w:cs="Arial"/>
          <w:lang w:val="en-US"/>
        </w:rPr>
        <w:t xml:space="preserve">4, </w:t>
      </w:r>
      <w:r w:rsidR="004119B7" w:rsidRPr="00454CA5">
        <w:rPr>
          <w:rFonts w:ascii="Arial" w:hAnsi="Arial" w:cs="Arial"/>
          <w:lang w:val="en-US"/>
        </w:rPr>
        <w:t>2015</w:t>
      </w:r>
      <w:r w:rsidR="004119B7" w:rsidRPr="00454CA5">
        <w:rPr>
          <w:rFonts w:ascii="Arial" w:hAnsi="Arial" w:cs="Arial"/>
          <w:lang w:val="en-US"/>
        </w:rPr>
        <w:t xml:space="preserve"> (</w:t>
      </w:r>
      <w:r w:rsidR="004119B7" w:rsidRPr="00454CA5">
        <w:rPr>
          <w:rFonts w:ascii="Arial" w:hAnsi="Arial" w:cs="Arial"/>
          <w:b/>
          <w:bCs/>
          <w:lang w:val="en-US"/>
        </w:rPr>
        <w:t>Restructuring Agreement</w:t>
      </w:r>
      <w:r w:rsidR="004119B7" w:rsidRPr="00454CA5">
        <w:rPr>
          <w:rFonts w:ascii="Arial" w:hAnsi="Arial" w:cs="Arial"/>
          <w:lang w:val="en-US"/>
        </w:rPr>
        <w:t>):</w:t>
      </w:r>
    </w:p>
    <w:p w14:paraId="2938BC35" w14:textId="58400240" w:rsidR="00183AA2" w:rsidRPr="00454CA5" w:rsidRDefault="00183AA2"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all operating companies of </w:t>
      </w:r>
      <w:r w:rsidR="00002A95" w:rsidRPr="00454CA5">
        <w:rPr>
          <w:rFonts w:ascii="Arial" w:hAnsi="Arial" w:cs="Arial"/>
          <w:lang w:val="en-US"/>
        </w:rPr>
        <w:t>Flow Management Holding BV (</w:t>
      </w:r>
      <w:r w:rsidR="00002A95" w:rsidRPr="00454CA5">
        <w:rPr>
          <w:rFonts w:ascii="Arial" w:hAnsi="Arial" w:cs="Arial"/>
          <w:b/>
          <w:bCs/>
          <w:lang w:val="en-US"/>
        </w:rPr>
        <w:t>FMHB</w:t>
      </w:r>
      <w:r w:rsidR="00002A95" w:rsidRPr="00454CA5">
        <w:rPr>
          <w:rFonts w:ascii="Arial" w:hAnsi="Arial" w:cs="Arial"/>
          <w:lang w:val="en-US"/>
        </w:rPr>
        <w:t xml:space="preserve">) </w:t>
      </w:r>
      <w:r w:rsidR="005E69EC" w:rsidRPr="00454CA5">
        <w:rPr>
          <w:rFonts w:ascii="Arial" w:hAnsi="Arial" w:cs="Arial"/>
          <w:lang w:val="en-US"/>
        </w:rPr>
        <w:t>(</w:t>
      </w:r>
      <w:r w:rsidR="007D2AE6" w:rsidRPr="00454CA5">
        <w:rPr>
          <w:rFonts w:ascii="Arial" w:hAnsi="Arial" w:cs="Arial"/>
          <w:lang w:val="en-US"/>
        </w:rPr>
        <w:t>i.e.</w:t>
      </w:r>
      <w:r w:rsidR="005E69EC" w:rsidRPr="00454CA5">
        <w:rPr>
          <w:rFonts w:ascii="Arial" w:hAnsi="Arial" w:cs="Arial"/>
          <w:lang w:val="en-US"/>
        </w:rPr>
        <w:t xml:space="preserve">, subsidiaries located in the Netherlands, Spain, France, Australia, South Africa and the United States of America) </w:t>
      </w:r>
      <w:r w:rsidRPr="00454CA5">
        <w:rPr>
          <w:rFonts w:ascii="Arial" w:hAnsi="Arial" w:cs="Arial"/>
          <w:lang w:val="en-US"/>
        </w:rPr>
        <w:t>are to be accommodated in a shell subsidiary, called Flow Management II BV</w:t>
      </w:r>
      <w:r w:rsidR="00FF6268" w:rsidRPr="00454CA5">
        <w:rPr>
          <w:rFonts w:ascii="Arial" w:hAnsi="Arial" w:cs="Arial"/>
          <w:lang w:val="en-US"/>
        </w:rPr>
        <w:t xml:space="preserve"> (</w:t>
      </w:r>
      <w:r w:rsidR="00FF6268" w:rsidRPr="00454CA5">
        <w:rPr>
          <w:rFonts w:ascii="Arial" w:hAnsi="Arial" w:cs="Arial"/>
          <w:b/>
          <w:bCs/>
          <w:lang w:val="en-US"/>
        </w:rPr>
        <w:t>Shell Subsidiary</w:t>
      </w:r>
      <w:r w:rsidR="00FF6268" w:rsidRPr="00454CA5">
        <w:rPr>
          <w:rFonts w:ascii="Arial" w:hAnsi="Arial" w:cs="Arial"/>
          <w:lang w:val="en-US"/>
        </w:rPr>
        <w:t>)</w:t>
      </w:r>
      <w:r w:rsidR="00406968" w:rsidRPr="00454CA5">
        <w:rPr>
          <w:rFonts w:ascii="Arial" w:hAnsi="Arial" w:cs="Arial"/>
          <w:lang w:val="en-US"/>
        </w:rPr>
        <w:t xml:space="preserve"> [</w:t>
      </w:r>
      <w:r w:rsidR="00406968" w:rsidRPr="00454CA5">
        <w:rPr>
          <w:rFonts w:ascii="Arial" w:hAnsi="Arial" w:cs="Arial"/>
          <w:b/>
          <w:bCs/>
          <w:i/>
          <w:iCs/>
          <w:lang w:val="en-US"/>
        </w:rPr>
        <w:t>Note</w:t>
      </w:r>
      <w:r w:rsidR="00406968" w:rsidRPr="00454CA5">
        <w:rPr>
          <w:rFonts w:ascii="Arial" w:hAnsi="Arial" w:cs="Arial"/>
          <w:i/>
          <w:iCs/>
          <w:lang w:val="en-US"/>
        </w:rPr>
        <w:t>: From the facts it is not clear if the shares of operating subsidiaries are to be transferred or the assets. For the purpose of this analysis, I have assumed that the shares have been transferred.</w:t>
      </w:r>
      <w:r w:rsidR="00406968" w:rsidRPr="00454CA5">
        <w:rPr>
          <w:rFonts w:ascii="Arial" w:hAnsi="Arial" w:cs="Arial"/>
          <w:lang w:val="en-US"/>
        </w:rPr>
        <w:t>]</w:t>
      </w:r>
      <w:r w:rsidRPr="00454CA5">
        <w:rPr>
          <w:rFonts w:ascii="Arial" w:hAnsi="Arial" w:cs="Arial"/>
          <w:lang w:val="en-US"/>
        </w:rPr>
        <w:t>;</w:t>
      </w:r>
    </w:p>
    <w:p w14:paraId="299A7010" w14:textId="77777777" w:rsidR="00E43EC9" w:rsidRPr="00454CA5" w:rsidRDefault="00183AA2"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the shares in </w:t>
      </w:r>
      <w:r w:rsidR="008A1580" w:rsidRPr="00454CA5">
        <w:rPr>
          <w:rFonts w:ascii="Arial" w:hAnsi="Arial" w:cs="Arial"/>
          <w:lang w:val="en-US"/>
        </w:rPr>
        <w:t>the Shell Subsidiary</w:t>
      </w:r>
      <w:r w:rsidRPr="00454CA5">
        <w:rPr>
          <w:rFonts w:ascii="Arial" w:hAnsi="Arial" w:cs="Arial"/>
          <w:lang w:val="en-US"/>
        </w:rPr>
        <w:t xml:space="preserve"> are transferred to</w:t>
      </w:r>
      <w:r w:rsidR="007F4B92" w:rsidRPr="00454CA5">
        <w:rPr>
          <w:rFonts w:ascii="Arial" w:hAnsi="Arial" w:cs="Arial"/>
          <w:lang w:val="en-US"/>
        </w:rPr>
        <w:t xml:space="preserve">: </w:t>
      </w:r>
    </w:p>
    <w:p w14:paraId="0A262E78" w14:textId="75D1612C" w:rsidR="00E43EC9" w:rsidRPr="00454CA5" w:rsidRDefault="00251856" w:rsidP="004D6CCD">
      <w:pPr>
        <w:pStyle w:val="ListParagraph"/>
        <w:numPr>
          <w:ilvl w:val="0"/>
          <w:numId w:val="9"/>
        </w:numPr>
        <w:contextualSpacing w:val="0"/>
        <w:jc w:val="both"/>
        <w:rPr>
          <w:rFonts w:ascii="Arial" w:hAnsi="Arial" w:cs="Arial"/>
          <w:lang w:val="en-US"/>
        </w:rPr>
      </w:pPr>
      <w:r w:rsidRPr="00454CA5">
        <w:rPr>
          <w:rFonts w:ascii="Arial" w:hAnsi="Arial" w:cs="Arial"/>
          <w:lang w:val="en-US"/>
        </w:rPr>
        <w:t>Bank A, B, C and D (</w:t>
      </w:r>
      <w:r w:rsidRPr="00454CA5">
        <w:rPr>
          <w:rFonts w:ascii="Arial" w:hAnsi="Arial" w:cs="Arial"/>
          <w:b/>
          <w:bCs/>
          <w:lang w:val="en-US"/>
        </w:rPr>
        <w:t>Specified Banks</w:t>
      </w:r>
      <w:r w:rsidRPr="00454CA5">
        <w:rPr>
          <w:rFonts w:ascii="Arial" w:hAnsi="Arial" w:cs="Arial"/>
          <w:lang w:val="en-US"/>
        </w:rPr>
        <w:t xml:space="preserve">) </w:t>
      </w:r>
      <w:r w:rsidR="00183AA2" w:rsidRPr="00454CA5">
        <w:rPr>
          <w:rFonts w:ascii="Arial" w:hAnsi="Arial" w:cs="Arial"/>
          <w:lang w:val="en-US"/>
        </w:rPr>
        <w:t>which has financed the original working capital of FMW</w:t>
      </w:r>
      <w:r w:rsidR="00E43EC9" w:rsidRPr="00454CA5">
        <w:rPr>
          <w:rFonts w:ascii="Arial" w:hAnsi="Arial" w:cs="Arial"/>
          <w:lang w:val="en-US"/>
        </w:rPr>
        <w:t xml:space="preserve">; and </w:t>
      </w:r>
    </w:p>
    <w:p w14:paraId="0099087C" w14:textId="7C803FF2" w:rsidR="00183AA2" w:rsidRPr="00454CA5" w:rsidRDefault="00183AA2" w:rsidP="004D6CCD">
      <w:pPr>
        <w:pStyle w:val="ListParagraph"/>
        <w:numPr>
          <w:ilvl w:val="0"/>
          <w:numId w:val="9"/>
        </w:numPr>
        <w:contextualSpacing w:val="0"/>
        <w:jc w:val="both"/>
        <w:rPr>
          <w:rFonts w:ascii="Arial" w:hAnsi="Arial" w:cs="Arial"/>
          <w:lang w:val="en-US"/>
        </w:rPr>
      </w:pPr>
      <w:r w:rsidRPr="00454CA5">
        <w:rPr>
          <w:rFonts w:ascii="Arial" w:hAnsi="Arial" w:cs="Arial"/>
          <w:lang w:val="en-US"/>
        </w:rPr>
        <w:t>number of board members (including the CRO);</w:t>
      </w:r>
    </w:p>
    <w:p w14:paraId="09E73E9D" w14:textId="12096D18" w:rsidR="00183AA2" w:rsidRPr="00454CA5" w:rsidRDefault="00183AA2"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FMHB to be liquidated in an </w:t>
      </w:r>
      <w:r w:rsidRPr="00454CA5">
        <w:rPr>
          <w:rFonts w:ascii="Arial" w:hAnsi="Arial" w:cs="Arial"/>
          <w:i/>
          <w:iCs/>
          <w:lang w:val="en-US"/>
        </w:rPr>
        <w:t>undisclosed manner.</w:t>
      </w:r>
      <w:r w:rsidRPr="00454CA5">
        <w:rPr>
          <w:rFonts w:ascii="Arial" w:hAnsi="Arial" w:cs="Arial"/>
          <w:lang w:val="en-US"/>
        </w:rPr>
        <w:t xml:space="preserve"> All claims against FMHB </w:t>
      </w:r>
      <w:r w:rsidR="00E94599" w:rsidRPr="00454CA5">
        <w:rPr>
          <w:rFonts w:ascii="Arial" w:hAnsi="Arial" w:cs="Arial"/>
          <w:lang w:val="en-US"/>
        </w:rPr>
        <w:t>to</w:t>
      </w:r>
      <w:r w:rsidRPr="00454CA5">
        <w:rPr>
          <w:rFonts w:ascii="Arial" w:hAnsi="Arial" w:cs="Arial"/>
          <w:lang w:val="en-US"/>
        </w:rPr>
        <w:t xml:space="preserve"> be cancelled by the </w:t>
      </w:r>
      <w:r w:rsidR="00690B61" w:rsidRPr="00454CA5">
        <w:rPr>
          <w:rFonts w:ascii="Arial" w:hAnsi="Arial" w:cs="Arial"/>
          <w:lang w:val="en-US"/>
        </w:rPr>
        <w:t>Specified Banks</w:t>
      </w:r>
      <w:r w:rsidRPr="00454CA5">
        <w:rPr>
          <w:rFonts w:ascii="Arial" w:hAnsi="Arial" w:cs="Arial"/>
          <w:lang w:val="en-US"/>
        </w:rPr>
        <w:t xml:space="preserve"> and the</w:t>
      </w:r>
      <w:r w:rsidR="00830EF3" w:rsidRPr="00454CA5">
        <w:rPr>
          <w:rFonts w:ascii="Arial" w:hAnsi="Arial" w:cs="Arial"/>
          <w:lang w:val="en-US"/>
        </w:rPr>
        <w:t xml:space="preserve"> </w:t>
      </w:r>
      <w:r w:rsidR="00830EF3" w:rsidRPr="00454CA5">
        <w:rPr>
          <w:rFonts w:ascii="Arial" w:hAnsi="Arial" w:cs="Arial"/>
        </w:rPr>
        <w:t>Lease Group Holding United Kingdom Ltd. (</w:t>
      </w:r>
      <w:r w:rsidR="00830EF3" w:rsidRPr="00454CA5">
        <w:rPr>
          <w:rFonts w:ascii="Arial" w:hAnsi="Arial" w:cs="Arial"/>
          <w:b/>
          <w:bCs/>
        </w:rPr>
        <w:t>Shareholder Company</w:t>
      </w:r>
      <w:r w:rsidR="00830EF3" w:rsidRPr="00454CA5">
        <w:rPr>
          <w:rFonts w:ascii="Arial" w:hAnsi="Arial" w:cs="Arial"/>
        </w:rPr>
        <w:t>)</w:t>
      </w:r>
      <w:r w:rsidRPr="00454CA5">
        <w:rPr>
          <w:rFonts w:ascii="Arial" w:hAnsi="Arial" w:cs="Arial"/>
          <w:lang w:val="en-US"/>
        </w:rPr>
        <w:t>;</w:t>
      </w:r>
    </w:p>
    <w:p w14:paraId="0759BE0B" w14:textId="057362AD" w:rsidR="00183AA2" w:rsidRPr="00454CA5" w:rsidRDefault="00183AA2"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FMHB and </w:t>
      </w:r>
      <w:r w:rsidR="002C01DF" w:rsidRPr="00454CA5">
        <w:rPr>
          <w:rFonts w:ascii="Arial" w:hAnsi="Arial" w:cs="Arial"/>
          <w:lang w:val="en-US"/>
        </w:rPr>
        <w:t>Shareholder Company</w:t>
      </w:r>
      <w:r w:rsidRPr="00454CA5">
        <w:rPr>
          <w:rFonts w:ascii="Arial" w:hAnsi="Arial" w:cs="Arial"/>
          <w:lang w:val="en-US"/>
        </w:rPr>
        <w:t xml:space="preserve"> to cancel all claims against </w:t>
      </w:r>
      <w:r w:rsidR="004236FD" w:rsidRPr="00454CA5">
        <w:rPr>
          <w:rFonts w:ascii="Arial" w:hAnsi="Arial" w:cs="Arial"/>
          <w:lang w:val="en-US"/>
        </w:rPr>
        <w:t>the Shell Subsidiary</w:t>
      </w:r>
      <w:r w:rsidRPr="00454CA5">
        <w:rPr>
          <w:rFonts w:ascii="Arial" w:hAnsi="Arial" w:cs="Arial"/>
          <w:lang w:val="en-US"/>
        </w:rPr>
        <w:t xml:space="preserve"> and its subsidiaries;</w:t>
      </w:r>
    </w:p>
    <w:p w14:paraId="18DC6309" w14:textId="4D5E0D58" w:rsidR="00183AA2" w:rsidRPr="00454CA5" w:rsidRDefault="00B1180B"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out of the Specified Banks, </w:t>
      </w:r>
      <w:r w:rsidR="00183AA2" w:rsidRPr="00454CA5">
        <w:rPr>
          <w:rFonts w:ascii="Arial" w:hAnsi="Arial" w:cs="Arial"/>
          <w:lang w:val="en-US"/>
        </w:rPr>
        <w:t>bank C and D</w:t>
      </w:r>
      <w:r w:rsidR="00802EEF" w:rsidRPr="00454CA5">
        <w:rPr>
          <w:rFonts w:ascii="Arial" w:hAnsi="Arial" w:cs="Arial"/>
          <w:lang w:val="en-US"/>
        </w:rPr>
        <w:t xml:space="preserve">, </w:t>
      </w:r>
      <w:r w:rsidR="00802EEF" w:rsidRPr="00454CA5">
        <w:rPr>
          <w:rFonts w:ascii="Arial" w:hAnsi="Arial" w:cs="Arial"/>
          <w:lang w:val="en-US"/>
        </w:rPr>
        <w:t>which in the past</w:t>
      </w:r>
      <w:r w:rsidR="00802EEF" w:rsidRPr="00454CA5">
        <w:rPr>
          <w:rFonts w:ascii="Arial" w:hAnsi="Arial" w:cs="Arial"/>
          <w:lang w:val="en-US"/>
        </w:rPr>
        <w:t xml:space="preserve"> provided</w:t>
      </w:r>
      <w:r w:rsidR="00802EEF" w:rsidRPr="00454CA5">
        <w:rPr>
          <w:rFonts w:ascii="Arial" w:hAnsi="Arial" w:cs="Arial"/>
          <w:lang w:val="en-US"/>
        </w:rPr>
        <w:t xml:space="preserve"> </w:t>
      </w:r>
      <w:r w:rsidR="007A2BFA" w:rsidRPr="00454CA5">
        <w:rPr>
          <w:rFonts w:ascii="Arial" w:hAnsi="Arial" w:cs="Arial"/>
          <w:lang w:val="en-US"/>
        </w:rPr>
        <w:t>Flow Management Work BV (i.e., subsidiary of FMHB) (</w:t>
      </w:r>
      <w:r w:rsidR="007A2BFA" w:rsidRPr="00454CA5">
        <w:rPr>
          <w:rFonts w:ascii="Arial" w:hAnsi="Arial" w:cs="Arial"/>
          <w:b/>
          <w:bCs/>
          <w:lang w:val="en-US"/>
        </w:rPr>
        <w:t>FMW</w:t>
      </w:r>
      <w:r w:rsidR="007A2BFA" w:rsidRPr="00454CA5">
        <w:rPr>
          <w:rFonts w:ascii="Arial" w:hAnsi="Arial" w:cs="Arial"/>
          <w:lang w:val="en-US"/>
        </w:rPr>
        <w:t xml:space="preserve">) </w:t>
      </w:r>
      <w:r w:rsidR="00802EEF" w:rsidRPr="00454CA5">
        <w:rPr>
          <w:rFonts w:ascii="Arial" w:hAnsi="Arial" w:cs="Arial"/>
          <w:lang w:val="en-US"/>
        </w:rPr>
        <w:t>with additional working capital will waive an amount of € 32.5 million. In fact, the entire debt is written off</w:t>
      </w:r>
      <w:r w:rsidR="00183AA2" w:rsidRPr="00454CA5">
        <w:rPr>
          <w:rFonts w:ascii="Arial" w:hAnsi="Arial" w:cs="Arial"/>
          <w:lang w:val="en-US"/>
        </w:rPr>
        <w:t>;</w:t>
      </w:r>
      <w:r w:rsidR="00376358" w:rsidRPr="00454CA5">
        <w:rPr>
          <w:rFonts w:ascii="Arial" w:hAnsi="Arial" w:cs="Arial"/>
          <w:lang w:val="en-US"/>
        </w:rPr>
        <w:t xml:space="preserve"> </w:t>
      </w:r>
    </w:p>
    <w:p w14:paraId="59D0007C" w14:textId="5B53ECD0" w:rsidR="00183AA2" w:rsidRPr="00454CA5" w:rsidRDefault="00183AA2"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the consortium who in the past provided </w:t>
      </w:r>
      <w:r w:rsidR="00E608E6" w:rsidRPr="00454CA5">
        <w:rPr>
          <w:rFonts w:ascii="Arial" w:hAnsi="Arial" w:cs="Arial"/>
          <w:lang w:val="en-US"/>
        </w:rPr>
        <w:t xml:space="preserve">FMW </w:t>
      </w:r>
      <w:r w:rsidRPr="00454CA5">
        <w:rPr>
          <w:rFonts w:ascii="Arial" w:hAnsi="Arial" w:cs="Arial"/>
          <w:lang w:val="en-US"/>
        </w:rPr>
        <w:t>with working capital will waive an amount of € 97.5 million. A € 240 million claim against FMW remains;</w:t>
      </w:r>
    </w:p>
    <w:p w14:paraId="03E2A449" w14:textId="0A50B750" w:rsidR="00CC6AF3" w:rsidRPr="00454CA5" w:rsidRDefault="00183AA2"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the € 55 million loan in FMW is cancelled in full</w:t>
      </w:r>
      <w:r w:rsidR="002524B8" w:rsidRPr="00454CA5">
        <w:rPr>
          <w:rFonts w:ascii="Arial" w:hAnsi="Arial" w:cs="Arial"/>
          <w:lang w:val="en-US"/>
        </w:rPr>
        <w:t>;</w:t>
      </w:r>
    </w:p>
    <w:p w14:paraId="55953F3E" w14:textId="25CAFD24" w:rsidR="002524B8" w:rsidRPr="00454CA5" w:rsidRDefault="002524B8" w:rsidP="004D6CCD">
      <w:pPr>
        <w:pStyle w:val="ListParagraph"/>
        <w:numPr>
          <w:ilvl w:val="0"/>
          <w:numId w:val="8"/>
        </w:numPr>
        <w:ind w:left="1134" w:hanging="567"/>
        <w:contextualSpacing w:val="0"/>
        <w:jc w:val="both"/>
        <w:rPr>
          <w:rFonts w:ascii="Arial" w:hAnsi="Arial" w:cs="Arial"/>
          <w:lang w:val="en-US"/>
        </w:rPr>
      </w:pPr>
      <w:r w:rsidRPr="00454CA5">
        <w:rPr>
          <w:rFonts w:ascii="Arial" w:hAnsi="Arial" w:cs="Arial"/>
          <w:lang w:val="en-US"/>
        </w:rPr>
        <w:t xml:space="preserve">Shell Subsidiary will be </w:t>
      </w:r>
      <w:r w:rsidR="00C512CE" w:rsidRPr="00454CA5">
        <w:rPr>
          <w:rFonts w:ascii="Arial" w:hAnsi="Arial" w:cs="Arial"/>
          <w:lang w:val="en-US"/>
        </w:rPr>
        <w:t xml:space="preserve">eventually </w:t>
      </w:r>
      <w:r w:rsidRPr="00454CA5">
        <w:rPr>
          <w:rFonts w:ascii="Arial" w:hAnsi="Arial" w:cs="Arial"/>
          <w:lang w:val="en-US"/>
        </w:rPr>
        <w:t xml:space="preserve">sold on a going concern basis. </w:t>
      </w:r>
    </w:p>
    <w:p w14:paraId="215122C8" w14:textId="32083DA7" w:rsidR="002C1B92" w:rsidRPr="00454CA5" w:rsidRDefault="00CC6AF3"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From the aforesaid facts, </w:t>
      </w:r>
      <w:r w:rsidR="00DC5898" w:rsidRPr="00454CA5">
        <w:rPr>
          <w:rFonts w:ascii="Arial" w:hAnsi="Arial" w:cs="Arial"/>
          <w:lang w:val="en-US"/>
        </w:rPr>
        <w:t>essentially</w:t>
      </w:r>
      <w:r w:rsidR="002C1B92" w:rsidRPr="00454CA5">
        <w:rPr>
          <w:rFonts w:ascii="Arial" w:hAnsi="Arial" w:cs="Arial"/>
          <w:lang w:val="en-US"/>
        </w:rPr>
        <w:t xml:space="preserve"> the following </w:t>
      </w:r>
      <w:r w:rsidR="00AE1B0A" w:rsidRPr="00454CA5">
        <w:rPr>
          <w:rFonts w:ascii="Arial" w:hAnsi="Arial" w:cs="Arial"/>
          <w:lang w:val="en-US"/>
        </w:rPr>
        <w:t>is the essence and effect of the Restructuring Agreement</w:t>
      </w:r>
      <w:r w:rsidR="002C1B92" w:rsidRPr="00454CA5">
        <w:rPr>
          <w:rFonts w:ascii="Arial" w:hAnsi="Arial" w:cs="Arial"/>
          <w:lang w:val="en-US"/>
        </w:rPr>
        <w:t xml:space="preserve">: </w:t>
      </w:r>
    </w:p>
    <w:p w14:paraId="57850255" w14:textId="01A22F4E" w:rsidR="00BA79A6" w:rsidRPr="00454CA5" w:rsidRDefault="00E16E3B"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a</w:t>
      </w:r>
      <w:r w:rsidR="00B837F2" w:rsidRPr="00454CA5">
        <w:rPr>
          <w:rFonts w:ascii="Arial" w:hAnsi="Arial" w:cs="Arial"/>
          <w:lang w:val="en-US"/>
        </w:rPr>
        <w:t xml:space="preserve">t the </w:t>
      </w:r>
      <w:r w:rsidR="003C1891" w:rsidRPr="00454CA5">
        <w:rPr>
          <w:rFonts w:ascii="Arial" w:hAnsi="Arial" w:cs="Arial"/>
          <w:lang w:val="en-US"/>
        </w:rPr>
        <w:t>FMW</w:t>
      </w:r>
      <w:r w:rsidR="00B837F2" w:rsidRPr="00454CA5">
        <w:rPr>
          <w:rFonts w:ascii="Arial" w:hAnsi="Arial" w:cs="Arial"/>
          <w:lang w:val="en-US"/>
        </w:rPr>
        <w:t xml:space="preserve"> level</w:t>
      </w:r>
      <w:r w:rsidR="003C1891" w:rsidRPr="00454CA5">
        <w:rPr>
          <w:rFonts w:ascii="Arial" w:hAnsi="Arial" w:cs="Arial"/>
          <w:lang w:val="en-US"/>
        </w:rPr>
        <w:t xml:space="preserve">, </w:t>
      </w:r>
      <w:r w:rsidR="00CA357F" w:rsidRPr="00454CA5">
        <w:rPr>
          <w:rFonts w:ascii="Arial" w:hAnsi="Arial" w:cs="Arial"/>
          <w:lang w:val="en-US"/>
        </w:rPr>
        <w:t>an</w:t>
      </w:r>
      <w:r w:rsidR="003C1891" w:rsidRPr="00454CA5">
        <w:rPr>
          <w:rFonts w:ascii="Arial" w:hAnsi="Arial" w:cs="Arial"/>
          <w:lang w:val="en-US"/>
        </w:rPr>
        <w:t xml:space="preserve"> </w:t>
      </w:r>
      <w:r w:rsidR="0000401D" w:rsidRPr="00454CA5">
        <w:rPr>
          <w:rFonts w:ascii="Arial" w:hAnsi="Arial" w:cs="Arial"/>
          <w:lang w:val="en-US"/>
        </w:rPr>
        <w:t xml:space="preserve">aggregate of </w:t>
      </w:r>
      <w:r w:rsidR="00F05610" w:rsidRPr="00454CA5">
        <w:rPr>
          <w:rFonts w:ascii="Arial" w:hAnsi="Arial" w:cs="Arial"/>
          <w:lang w:val="en-US"/>
        </w:rPr>
        <w:t>€ 240 million</w:t>
      </w:r>
      <w:r w:rsidR="00F05610" w:rsidRPr="00454CA5">
        <w:rPr>
          <w:rFonts w:ascii="Arial" w:hAnsi="Arial" w:cs="Arial"/>
          <w:lang w:val="en-US"/>
        </w:rPr>
        <w:t xml:space="preserve"> of debt </w:t>
      </w:r>
      <w:r w:rsidR="0045028F" w:rsidRPr="00454CA5">
        <w:rPr>
          <w:rFonts w:ascii="Arial" w:hAnsi="Arial" w:cs="Arial"/>
          <w:lang w:val="en-US"/>
        </w:rPr>
        <w:t xml:space="preserve">remains. The balance debt of </w:t>
      </w:r>
      <w:r w:rsidR="0080212B" w:rsidRPr="00454CA5">
        <w:rPr>
          <w:rFonts w:ascii="Arial" w:hAnsi="Arial" w:cs="Arial"/>
          <w:lang w:val="en-US"/>
        </w:rPr>
        <w:t>€</w:t>
      </w:r>
      <w:r w:rsidR="0080212B" w:rsidRPr="00454CA5">
        <w:rPr>
          <w:rFonts w:ascii="Arial" w:hAnsi="Arial" w:cs="Arial"/>
          <w:lang w:val="en-US"/>
        </w:rPr>
        <w:t xml:space="preserve">185 </w:t>
      </w:r>
      <w:r w:rsidR="0080212B" w:rsidRPr="00454CA5">
        <w:rPr>
          <w:rFonts w:ascii="Arial" w:hAnsi="Arial" w:cs="Arial"/>
          <w:lang w:val="en-US"/>
        </w:rPr>
        <w:t>million</w:t>
      </w:r>
      <w:r w:rsidR="0080212B" w:rsidRPr="00454CA5">
        <w:rPr>
          <w:rFonts w:ascii="Arial" w:hAnsi="Arial" w:cs="Arial"/>
          <w:lang w:val="en-US"/>
        </w:rPr>
        <w:t xml:space="preserve"> is waived/extinguished, resulting into a total haircut of approximately </w:t>
      </w:r>
      <w:r w:rsidR="00003271" w:rsidRPr="00454CA5">
        <w:rPr>
          <w:rFonts w:ascii="Arial" w:hAnsi="Arial" w:cs="Arial"/>
          <w:lang w:val="en-US"/>
        </w:rPr>
        <w:t>43.5% on aggregate basis for the lenders at FMW level;</w:t>
      </w:r>
    </w:p>
    <w:p w14:paraId="1251274E" w14:textId="48E0B10D" w:rsidR="00003271" w:rsidRPr="00454CA5" w:rsidRDefault="00520E89"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i</w:t>
      </w:r>
      <w:r w:rsidR="00F31B70" w:rsidRPr="00454CA5">
        <w:rPr>
          <w:rFonts w:ascii="Arial" w:hAnsi="Arial" w:cs="Arial"/>
          <w:lang w:val="en-US"/>
        </w:rPr>
        <w:t xml:space="preserve">n consideration of waiver/extinguishment of </w:t>
      </w:r>
      <w:r w:rsidR="00956AA8" w:rsidRPr="00454CA5">
        <w:rPr>
          <w:rFonts w:ascii="Arial" w:hAnsi="Arial" w:cs="Arial"/>
          <w:lang w:val="en-US"/>
        </w:rPr>
        <w:t>unsustainable portion of debt</w:t>
      </w:r>
      <w:r w:rsidR="00AA713C" w:rsidRPr="00454CA5">
        <w:rPr>
          <w:rFonts w:ascii="Arial" w:hAnsi="Arial" w:cs="Arial"/>
          <w:lang w:val="en-US"/>
        </w:rPr>
        <w:t>, the Specified Bank</w:t>
      </w:r>
      <w:r w:rsidR="00956AA8" w:rsidRPr="00454CA5">
        <w:rPr>
          <w:rFonts w:ascii="Arial" w:hAnsi="Arial" w:cs="Arial"/>
          <w:lang w:val="en-US"/>
        </w:rPr>
        <w:t>s</w:t>
      </w:r>
      <w:r w:rsidR="00AA713C" w:rsidRPr="00454CA5">
        <w:rPr>
          <w:rFonts w:ascii="Arial" w:hAnsi="Arial" w:cs="Arial"/>
          <w:lang w:val="en-US"/>
        </w:rPr>
        <w:t xml:space="preserve"> will </w:t>
      </w:r>
      <w:r w:rsidR="009E4604" w:rsidRPr="00454CA5">
        <w:rPr>
          <w:rFonts w:ascii="Arial" w:hAnsi="Arial" w:cs="Arial"/>
          <w:lang w:val="en-US"/>
        </w:rPr>
        <w:t xml:space="preserve">be </w:t>
      </w:r>
      <w:r w:rsidR="007A189F" w:rsidRPr="00454CA5">
        <w:rPr>
          <w:rFonts w:ascii="Arial" w:hAnsi="Arial" w:cs="Arial"/>
          <w:lang w:val="en-US"/>
        </w:rPr>
        <w:t xml:space="preserve">provided </w:t>
      </w:r>
      <w:r w:rsidR="00002E2E" w:rsidRPr="00454CA5">
        <w:rPr>
          <w:rFonts w:ascii="Arial" w:hAnsi="Arial" w:cs="Arial"/>
          <w:lang w:val="en-US"/>
        </w:rPr>
        <w:t xml:space="preserve">with </w:t>
      </w:r>
      <w:r w:rsidR="00CF5DB6" w:rsidRPr="00454CA5">
        <w:rPr>
          <w:rFonts w:ascii="Arial" w:hAnsi="Arial" w:cs="Arial"/>
          <w:lang w:val="en-US"/>
        </w:rPr>
        <w:t>certain</w:t>
      </w:r>
      <w:r w:rsidR="00581776" w:rsidRPr="00454CA5">
        <w:rPr>
          <w:rFonts w:ascii="Arial" w:hAnsi="Arial" w:cs="Arial"/>
          <w:lang w:val="en-US"/>
        </w:rPr>
        <w:t xml:space="preserve"> % of</w:t>
      </w:r>
      <w:r w:rsidR="00CF5DB6" w:rsidRPr="00454CA5">
        <w:rPr>
          <w:rFonts w:ascii="Arial" w:hAnsi="Arial" w:cs="Arial"/>
          <w:lang w:val="en-US"/>
        </w:rPr>
        <w:t xml:space="preserve"> equity in the operating subsidiaries- which </w:t>
      </w:r>
      <w:r w:rsidR="00C460AF" w:rsidRPr="00454CA5">
        <w:rPr>
          <w:rFonts w:ascii="Arial" w:hAnsi="Arial" w:cs="Arial"/>
          <w:lang w:val="en-US"/>
        </w:rPr>
        <w:t xml:space="preserve">are effectively </w:t>
      </w:r>
      <w:r w:rsidR="00FF37A2" w:rsidRPr="00454CA5">
        <w:rPr>
          <w:rFonts w:ascii="Arial" w:hAnsi="Arial" w:cs="Arial"/>
          <w:lang w:val="en-US"/>
        </w:rPr>
        <w:t>revenue generating companies and can</w:t>
      </w:r>
      <w:r w:rsidR="00FC0E84" w:rsidRPr="00454CA5">
        <w:rPr>
          <w:rFonts w:ascii="Arial" w:hAnsi="Arial" w:cs="Arial"/>
          <w:lang w:val="en-US"/>
        </w:rPr>
        <w:t xml:space="preserve"> yield results for the Specified Banks in </w:t>
      </w:r>
      <w:r w:rsidR="002524B8" w:rsidRPr="00454CA5">
        <w:rPr>
          <w:rFonts w:ascii="Arial" w:hAnsi="Arial" w:cs="Arial"/>
          <w:lang w:val="en-US"/>
        </w:rPr>
        <w:t>long run</w:t>
      </w:r>
      <w:r w:rsidR="00FC0E84" w:rsidRPr="00454CA5">
        <w:rPr>
          <w:rFonts w:ascii="Arial" w:hAnsi="Arial" w:cs="Arial"/>
          <w:lang w:val="en-US"/>
        </w:rPr>
        <w:t xml:space="preserve">; </w:t>
      </w:r>
      <w:r w:rsidR="00FF37A2" w:rsidRPr="00454CA5">
        <w:rPr>
          <w:rFonts w:ascii="Arial" w:hAnsi="Arial" w:cs="Arial"/>
          <w:lang w:val="en-US"/>
        </w:rPr>
        <w:t xml:space="preserve"> </w:t>
      </w:r>
    </w:p>
    <w:p w14:paraId="6EF5088D" w14:textId="3E15B6A5" w:rsidR="00A82FA7" w:rsidRPr="00454CA5" w:rsidRDefault="00A82FA7"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 xml:space="preserve">the presence of the CRO </w:t>
      </w:r>
      <w:r w:rsidR="00392FF1" w:rsidRPr="00454CA5">
        <w:rPr>
          <w:rFonts w:ascii="Arial" w:hAnsi="Arial" w:cs="Arial"/>
          <w:lang w:val="en-US"/>
        </w:rPr>
        <w:t xml:space="preserve">in the management and now as a shareholder in the Shell Subsidiary will ensure continuity and </w:t>
      </w:r>
      <w:r w:rsidR="003208D9" w:rsidRPr="00454CA5">
        <w:rPr>
          <w:rFonts w:ascii="Arial" w:hAnsi="Arial" w:cs="Arial"/>
          <w:lang w:val="en-US"/>
        </w:rPr>
        <w:t>(</w:t>
      </w:r>
      <w:r w:rsidR="00392FF1" w:rsidRPr="00454CA5">
        <w:rPr>
          <w:rFonts w:ascii="Arial" w:hAnsi="Arial" w:cs="Arial"/>
          <w:lang w:val="en-US"/>
        </w:rPr>
        <w:t>with more skin in the game) will also aid the turnaround process;</w:t>
      </w:r>
    </w:p>
    <w:p w14:paraId="620CA63D" w14:textId="79EB4BC4" w:rsidR="00B35AC7" w:rsidRPr="00454CA5" w:rsidRDefault="00B35AC7"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liquidation of FMHB in an undisclosed manner</w:t>
      </w:r>
      <w:r w:rsidR="001B0EDD" w:rsidRPr="00454CA5">
        <w:rPr>
          <w:rFonts w:ascii="Arial" w:hAnsi="Arial" w:cs="Arial"/>
          <w:lang w:val="en-US"/>
        </w:rPr>
        <w:t xml:space="preserve"> (subject to compliance with the applicable law)</w:t>
      </w:r>
      <w:r w:rsidRPr="00454CA5">
        <w:rPr>
          <w:rFonts w:ascii="Arial" w:hAnsi="Arial" w:cs="Arial"/>
          <w:lang w:val="en-US"/>
        </w:rPr>
        <w:t xml:space="preserve"> </w:t>
      </w:r>
      <w:r w:rsidR="00B07280" w:rsidRPr="00454CA5">
        <w:rPr>
          <w:rFonts w:ascii="Arial" w:hAnsi="Arial" w:cs="Arial"/>
          <w:lang w:val="en-US"/>
        </w:rPr>
        <w:t xml:space="preserve">is likely not to cause negative publicity for the group as a whole, </w:t>
      </w:r>
      <w:r w:rsidR="00B07280" w:rsidRPr="00454CA5">
        <w:rPr>
          <w:rFonts w:ascii="Arial" w:hAnsi="Arial" w:cs="Arial"/>
          <w:lang w:val="en-US"/>
        </w:rPr>
        <w:lastRenderedPageBreak/>
        <w:t xml:space="preserve">which could have impacted business operations and customer </w:t>
      </w:r>
      <w:r w:rsidR="004D747E" w:rsidRPr="00454CA5">
        <w:rPr>
          <w:rFonts w:ascii="Arial" w:hAnsi="Arial" w:cs="Arial"/>
          <w:lang w:val="en-US"/>
        </w:rPr>
        <w:t xml:space="preserve">base </w:t>
      </w:r>
      <w:r w:rsidR="00B07280" w:rsidRPr="00454CA5">
        <w:rPr>
          <w:rFonts w:ascii="Arial" w:hAnsi="Arial" w:cs="Arial"/>
          <w:lang w:val="en-US"/>
        </w:rPr>
        <w:t xml:space="preserve">at the larger </w:t>
      </w:r>
      <w:r w:rsidR="004D747E" w:rsidRPr="00454CA5">
        <w:rPr>
          <w:rFonts w:ascii="Arial" w:hAnsi="Arial" w:cs="Arial"/>
          <w:lang w:val="en-US"/>
        </w:rPr>
        <w:t>level;</w:t>
      </w:r>
    </w:p>
    <w:p w14:paraId="52C69D6E" w14:textId="5002FAB1" w:rsidR="00344F25" w:rsidRPr="00454CA5" w:rsidRDefault="00344F25"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 xml:space="preserve">waivers and extinguishment of liability by the Specified Banks </w:t>
      </w:r>
      <w:r w:rsidR="006B1B14" w:rsidRPr="00454CA5">
        <w:rPr>
          <w:rFonts w:ascii="Arial" w:hAnsi="Arial" w:cs="Arial"/>
          <w:lang w:val="en-US"/>
        </w:rPr>
        <w:t>will al</w:t>
      </w:r>
      <w:r w:rsidR="009307BA" w:rsidRPr="00454CA5">
        <w:rPr>
          <w:rFonts w:ascii="Arial" w:hAnsi="Arial" w:cs="Arial"/>
          <w:lang w:val="en-US"/>
        </w:rPr>
        <w:t xml:space="preserve">low FMW (a major subsidiary) </w:t>
      </w:r>
      <w:r w:rsidR="002747BB" w:rsidRPr="00454CA5">
        <w:rPr>
          <w:rFonts w:ascii="Arial" w:hAnsi="Arial" w:cs="Arial"/>
          <w:lang w:val="en-US"/>
        </w:rPr>
        <w:t>to focus on revenue generation and strengthen its balance sheet, which in turn will improve the solvency ratio</w:t>
      </w:r>
      <w:r w:rsidR="008121BA" w:rsidRPr="00454CA5">
        <w:rPr>
          <w:rFonts w:ascii="Arial" w:hAnsi="Arial" w:cs="Arial"/>
          <w:lang w:val="en-US"/>
        </w:rPr>
        <w:t xml:space="preserve">. The fact sheet also states that </w:t>
      </w:r>
      <w:r w:rsidR="008121BA" w:rsidRPr="00454CA5">
        <w:rPr>
          <w:rFonts w:ascii="Arial" w:hAnsi="Arial" w:cs="Arial"/>
          <w:lang w:val="en-US"/>
        </w:rPr>
        <w:t>as a result of the debt</w:t>
      </w:r>
      <w:r w:rsidR="0040509A" w:rsidRPr="00454CA5">
        <w:rPr>
          <w:rFonts w:ascii="Arial" w:hAnsi="Arial" w:cs="Arial"/>
          <w:lang w:val="en-US"/>
        </w:rPr>
        <w:t xml:space="preserve"> </w:t>
      </w:r>
      <w:r w:rsidR="008121BA" w:rsidRPr="00454CA5">
        <w:rPr>
          <w:rFonts w:ascii="Arial" w:hAnsi="Arial" w:cs="Arial"/>
          <w:lang w:val="en-US"/>
        </w:rPr>
        <w:t>reduction, the net profit is positive and the equity capital is strengthened (solvency is higher than</w:t>
      </w:r>
      <w:r w:rsidR="0040509A" w:rsidRPr="00454CA5">
        <w:rPr>
          <w:rFonts w:ascii="Arial" w:hAnsi="Arial" w:cs="Arial"/>
          <w:lang w:val="en-US"/>
        </w:rPr>
        <w:t xml:space="preserve"> </w:t>
      </w:r>
      <w:r w:rsidR="008121BA" w:rsidRPr="00454CA5">
        <w:rPr>
          <w:rFonts w:ascii="Arial" w:hAnsi="Arial" w:cs="Arial"/>
          <w:lang w:val="en-US"/>
        </w:rPr>
        <w:t>5%).</w:t>
      </w:r>
      <w:r w:rsidR="002747BB" w:rsidRPr="00454CA5">
        <w:rPr>
          <w:rFonts w:ascii="Arial" w:hAnsi="Arial" w:cs="Arial"/>
          <w:lang w:val="en-US"/>
        </w:rPr>
        <w:t>;</w:t>
      </w:r>
    </w:p>
    <w:p w14:paraId="60F22522" w14:textId="77777777" w:rsidR="009F190D" w:rsidRPr="00454CA5" w:rsidRDefault="00BF27C1"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 xml:space="preserve">sale of Shell Subsidiary to a </w:t>
      </w:r>
      <w:r w:rsidR="001721E8" w:rsidRPr="00454CA5">
        <w:rPr>
          <w:rFonts w:ascii="Arial" w:hAnsi="Arial" w:cs="Arial"/>
          <w:lang w:val="en-US"/>
        </w:rPr>
        <w:t xml:space="preserve">qualified and strong </w:t>
      </w:r>
      <w:r w:rsidR="00AB46E6" w:rsidRPr="00454CA5">
        <w:rPr>
          <w:rFonts w:ascii="Arial" w:hAnsi="Arial" w:cs="Arial"/>
          <w:lang w:val="en-US"/>
        </w:rPr>
        <w:t xml:space="preserve">buyer will not only improve the viability of the business of the </w:t>
      </w:r>
      <w:r w:rsidR="005B7CEB" w:rsidRPr="00454CA5">
        <w:rPr>
          <w:rFonts w:ascii="Arial" w:hAnsi="Arial" w:cs="Arial"/>
          <w:lang w:val="en-US"/>
        </w:rPr>
        <w:t xml:space="preserve">operating </w:t>
      </w:r>
      <w:r w:rsidR="00BB1381" w:rsidRPr="00454CA5">
        <w:rPr>
          <w:rFonts w:ascii="Arial" w:hAnsi="Arial" w:cs="Arial"/>
          <w:lang w:val="en-US"/>
        </w:rPr>
        <w:t>companies but</w:t>
      </w:r>
      <w:r w:rsidR="005B7CEB" w:rsidRPr="00454CA5">
        <w:rPr>
          <w:rFonts w:ascii="Arial" w:hAnsi="Arial" w:cs="Arial"/>
          <w:lang w:val="en-US"/>
        </w:rPr>
        <w:t xml:space="preserve"> will also </w:t>
      </w:r>
      <w:r w:rsidR="00270B56" w:rsidRPr="00454CA5">
        <w:rPr>
          <w:rFonts w:ascii="Arial" w:hAnsi="Arial" w:cs="Arial"/>
          <w:lang w:val="en-US"/>
        </w:rPr>
        <w:t xml:space="preserve">enhance the return for the Specified Banks in future. </w:t>
      </w:r>
      <w:r w:rsidR="009B7EEF" w:rsidRPr="00454CA5">
        <w:rPr>
          <w:rFonts w:ascii="Arial" w:hAnsi="Arial" w:cs="Arial"/>
          <w:lang w:val="en-US"/>
        </w:rPr>
        <w:t>In addition, the secured Specified Banks will be able to reali</w:t>
      </w:r>
      <w:r w:rsidR="009A5584" w:rsidRPr="00454CA5">
        <w:rPr>
          <w:rFonts w:ascii="Arial" w:hAnsi="Arial" w:cs="Arial"/>
          <w:lang w:val="en-US"/>
        </w:rPr>
        <w:t>ze certain proceeds in the liquidation of FMHB</w:t>
      </w:r>
      <w:r w:rsidR="001B206D" w:rsidRPr="00454CA5">
        <w:rPr>
          <w:rFonts w:ascii="Arial" w:hAnsi="Arial" w:cs="Arial"/>
          <w:lang w:val="en-US"/>
        </w:rPr>
        <w:t>, which in the overall framework is a win-win for the Specified Banks</w:t>
      </w:r>
      <w:r w:rsidR="009F190D" w:rsidRPr="00454CA5">
        <w:rPr>
          <w:rFonts w:ascii="Arial" w:hAnsi="Arial" w:cs="Arial"/>
          <w:lang w:val="en-US"/>
        </w:rPr>
        <w:t>;</w:t>
      </w:r>
    </w:p>
    <w:p w14:paraId="00E7E0C7" w14:textId="5C19D4DF" w:rsidR="00F55756" w:rsidRPr="00454CA5" w:rsidRDefault="009F190D" w:rsidP="004D6CCD">
      <w:pPr>
        <w:pStyle w:val="ListParagraph"/>
        <w:numPr>
          <w:ilvl w:val="0"/>
          <w:numId w:val="10"/>
        </w:numPr>
        <w:ind w:left="1134" w:hanging="567"/>
        <w:contextualSpacing w:val="0"/>
        <w:jc w:val="both"/>
        <w:rPr>
          <w:rFonts w:ascii="Arial" w:hAnsi="Arial" w:cs="Arial"/>
          <w:lang w:val="en-US"/>
        </w:rPr>
      </w:pPr>
      <w:r w:rsidRPr="00454CA5">
        <w:rPr>
          <w:rFonts w:ascii="Arial" w:hAnsi="Arial" w:cs="Arial"/>
          <w:lang w:val="en-US"/>
        </w:rPr>
        <w:t xml:space="preserve">above all, the Restructuring Agreement is able to save a viable business on a going concern basis which will be economically advantageous. </w:t>
      </w:r>
      <w:r w:rsidR="001B206D" w:rsidRPr="00454CA5">
        <w:rPr>
          <w:rFonts w:ascii="Arial" w:hAnsi="Arial" w:cs="Arial"/>
          <w:lang w:val="en-US"/>
        </w:rPr>
        <w:t xml:space="preserve"> </w:t>
      </w:r>
    </w:p>
    <w:p w14:paraId="7DA5FFB4" w14:textId="165B444E" w:rsidR="00485E63" w:rsidRPr="00454CA5" w:rsidRDefault="00485E63" w:rsidP="005726A7">
      <w:pPr>
        <w:pStyle w:val="ListParagraph"/>
        <w:ind w:left="567"/>
        <w:contextualSpacing w:val="0"/>
        <w:jc w:val="both"/>
        <w:rPr>
          <w:rFonts w:ascii="Arial" w:hAnsi="Arial" w:cs="Arial"/>
          <w:lang w:val="en-US"/>
        </w:rPr>
      </w:pPr>
      <w:r w:rsidRPr="00454CA5">
        <w:rPr>
          <w:rFonts w:ascii="Arial" w:hAnsi="Arial" w:cs="Arial"/>
          <w:lang w:val="en-US"/>
        </w:rPr>
        <w:br w:type="page"/>
      </w:r>
    </w:p>
    <w:p w14:paraId="4862779D" w14:textId="40D47578" w:rsidR="008C652F" w:rsidRDefault="008C652F"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Which (potential) legal and/or non-legal cross-border issues – if any – do you recognize</w:t>
      </w:r>
      <w:r w:rsidR="00377B06" w:rsidRPr="00454CA5">
        <w:rPr>
          <w:rFonts w:ascii="Arial" w:hAnsi="Arial" w:cs="Arial"/>
          <w:b/>
          <w:bCs/>
          <w:i/>
          <w:iCs/>
          <w:lang w:val="en-US"/>
        </w:rPr>
        <w:t xml:space="preserve"> </w:t>
      </w:r>
      <w:r w:rsidRPr="00454CA5">
        <w:rPr>
          <w:rFonts w:ascii="Arial" w:hAnsi="Arial" w:cs="Arial"/>
          <w:b/>
          <w:bCs/>
          <w:i/>
          <w:iCs/>
          <w:lang w:val="en-US"/>
        </w:rPr>
        <w:t>in the Flow Management restructuring process?</w:t>
      </w:r>
    </w:p>
    <w:p w14:paraId="7F1CBFDA" w14:textId="2A5DE47A" w:rsidR="00F368B9" w:rsidRPr="00F368B9" w:rsidRDefault="00A06A7C" w:rsidP="00F368B9">
      <w:pPr>
        <w:pStyle w:val="ListParagraph"/>
        <w:numPr>
          <w:ilvl w:val="1"/>
          <w:numId w:val="1"/>
        </w:numPr>
        <w:ind w:left="567" w:hanging="567"/>
        <w:contextualSpacing w:val="0"/>
        <w:jc w:val="both"/>
        <w:rPr>
          <w:rFonts w:ascii="Arial" w:hAnsi="Arial" w:cs="Arial"/>
          <w:b/>
          <w:bCs/>
          <w:i/>
          <w:iCs/>
          <w:lang w:val="en-US"/>
        </w:rPr>
      </w:pPr>
      <w:r>
        <w:rPr>
          <w:rFonts w:ascii="Arial" w:hAnsi="Arial" w:cs="Arial"/>
          <w:lang w:val="en-US"/>
        </w:rPr>
        <w:t xml:space="preserve">In the facts of the case, </w:t>
      </w:r>
      <w:r w:rsidR="009A0086">
        <w:rPr>
          <w:rFonts w:ascii="Arial" w:hAnsi="Arial" w:cs="Arial"/>
          <w:lang w:val="en-US"/>
        </w:rPr>
        <w:t xml:space="preserve">we have approached with certain variable factors, i.e., the management of </w:t>
      </w:r>
      <w:r w:rsidR="009A0086" w:rsidRPr="00454CA5">
        <w:rPr>
          <w:rFonts w:ascii="Arial" w:hAnsi="Arial" w:cs="Arial"/>
          <w:lang w:val="en-US"/>
        </w:rPr>
        <w:t>Flow Management Holding BV (</w:t>
      </w:r>
      <w:r w:rsidR="009A0086" w:rsidRPr="00454CA5">
        <w:rPr>
          <w:rFonts w:ascii="Arial" w:hAnsi="Arial" w:cs="Arial"/>
          <w:b/>
          <w:bCs/>
          <w:lang w:val="en-US"/>
        </w:rPr>
        <w:t>FMHB</w:t>
      </w:r>
      <w:r w:rsidR="009A0086" w:rsidRPr="00454CA5">
        <w:rPr>
          <w:rFonts w:ascii="Arial" w:hAnsi="Arial" w:cs="Arial"/>
          <w:lang w:val="en-US"/>
        </w:rPr>
        <w:t xml:space="preserve">) </w:t>
      </w:r>
      <w:r w:rsidR="009A0086" w:rsidRPr="00E76A73">
        <w:rPr>
          <w:rFonts w:ascii="Arial" w:hAnsi="Arial" w:cs="Arial"/>
          <w:lang w:val="en-US"/>
        </w:rPr>
        <w:t xml:space="preserve">and </w:t>
      </w:r>
      <w:r w:rsidR="009A0086" w:rsidRPr="00E76A73">
        <w:rPr>
          <w:rFonts w:ascii="Arial" w:hAnsi="Arial" w:cs="Arial"/>
        </w:rPr>
        <w:t>Lease Group Holding United Kingdom Ltd. (</w:t>
      </w:r>
      <w:r w:rsidR="009A0086" w:rsidRPr="00E76A73">
        <w:rPr>
          <w:rFonts w:ascii="Arial" w:hAnsi="Arial" w:cs="Arial"/>
          <w:b/>
          <w:bCs/>
        </w:rPr>
        <w:t>Shareholder Company</w:t>
      </w:r>
      <w:r w:rsidR="009A0086" w:rsidRPr="00E76A73">
        <w:rPr>
          <w:rFonts w:ascii="Arial" w:hAnsi="Arial" w:cs="Arial"/>
        </w:rPr>
        <w:t>)</w:t>
      </w:r>
      <w:r w:rsidR="0024654E">
        <w:rPr>
          <w:rFonts w:ascii="Arial" w:hAnsi="Arial" w:cs="Arial"/>
        </w:rPr>
        <w:t xml:space="preserve"> and the Banks A, B, C and D (</w:t>
      </w:r>
      <w:r w:rsidR="0024654E">
        <w:rPr>
          <w:rFonts w:ascii="Arial" w:hAnsi="Arial" w:cs="Arial"/>
          <w:b/>
          <w:bCs/>
        </w:rPr>
        <w:t>Specified Banks</w:t>
      </w:r>
      <w:r w:rsidR="0024654E">
        <w:rPr>
          <w:rFonts w:ascii="Arial" w:hAnsi="Arial" w:cs="Arial"/>
        </w:rPr>
        <w:t>). The remaining stakeholders have been rather kept constant</w:t>
      </w:r>
      <w:r w:rsidR="00846B05">
        <w:rPr>
          <w:rFonts w:ascii="Arial" w:hAnsi="Arial" w:cs="Arial"/>
        </w:rPr>
        <w:t>, including for example the Government and statutory authorities, the operational vendors</w:t>
      </w:r>
      <w:r w:rsidR="0038327F">
        <w:rPr>
          <w:rFonts w:ascii="Arial" w:hAnsi="Arial" w:cs="Arial"/>
        </w:rPr>
        <w:t xml:space="preserve">, </w:t>
      </w:r>
      <w:r w:rsidR="00846B05">
        <w:rPr>
          <w:rFonts w:ascii="Arial" w:hAnsi="Arial" w:cs="Arial"/>
        </w:rPr>
        <w:t>workmen and employees</w:t>
      </w:r>
      <w:r w:rsidR="00550514">
        <w:rPr>
          <w:rFonts w:ascii="Arial" w:hAnsi="Arial" w:cs="Arial"/>
        </w:rPr>
        <w:t xml:space="preserve"> and cross-border stakeholders</w:t>
      </w:r>
      <w:r w:rsidR="00846B05">
        <w:rPr>
          <w:rFonts w:ascii="Arial" w:hAnsi="Arial" w:cs="Arial"/>
        </w:rPr>
        <w:t xml:space="preserve">. </w:t>
      </w:r>
      <w:r w:rsidR="009940D7">
        <w:rPr>
          <w:rFonts w:ascii="Arial" w:hAnsi="Arial" w:cs="Arial"/>
        </w:rPr>
        <w:t xml:space="preserve">In a real life scenario, all these </w:t>
      </w:r>
      <w:r w:rsidR="00330734">
        <w:rPr>
          <w:rFonts w:ascii="Arial" w:hAnsi="Arial" w:cs="Arial"/>
        </w:rPr>
        <w:t>factors will be significantly important in</w:t>
      </w:r>
      <w:r w:rsidR="007839B7">
        <w:rPr>
          <w:rFonts w:ascii="Arial" w:hAnsi="Arial" w:cs="Arial"/>
        </w:rPr>
        <w:t xml:space="preserve"> implementing</w:t>
      </w:r>
      <w:r w:rsidR="007D6759">
        <w:rPr>
          <w:rFonts w:ascii="Arial" w:hAnsi="Arial" w:cs="Arial"/>
        </w:rPr>
        <w:t xml:space="preserve"> resolution/reorganization</w:t>
      </w:r>
      <w:r w:rsidR="007839B7">
        <w:rPr>
          <w:rFonts w:ascii="Arial" w:hAnsi="Arial" w:cs="Arial"/>
        </w:rPr>
        <w:t xml:space="preserve"> plan</w:t>
      </w:r>
      <w:r w:rsidR="007D6759">
        <w:rPr>
          <w:rFonts w:ascii="Arial" w:hAnsi="Arial" w:cs="Arial"/>
        </w:rPr>
        <w:t xml:space="preserve">. </w:t>
      </w:r>
      <w:r w:rsidR="00F368B9">
        <w:rPr>
          <w:rFonts w:ascii="Arial" w:hAnsi="Arial" w:cs="Arial"/>
        </w:rPr>
        <w:t xml:space="preserve">Set out below are certain factors: </w:t>
      </w:r>
    </w:p>
    <w:p w14:paraId="1C4DC631" w14:textId="388E3E1A" w:rsidR="00F368B9" w:rsidRDefault="00AC5168" w:rsidP="00F161F0">
      <w:pPr>
        <w:pStyle w:val="ListParagraph"/>
        <w:numPr>
          <w:ilvl w:val="0"/>
          <w:numId w:val="17"/>
        </w:numPr>
        <w:ind w:left="1418" w:hanging="851"/>
        <w:contextualSpacing w:val="0"/>
        <w:jc w:val="both"/>
        <w:rPr>
          <w:rFonts w:ascii="Arial" w:hAnsi="Arial" w:cs="Arial"/>
          <w:lang w:val="en-US"/>
        </w:rPr>
      </w:pPr>
      <w:r>
        <w:rPr>
          <w:rFonts w:ascii="Arial" w:hAnsi="Arial" w:cs="Arial"/>
          <w:lang w:val="en-US"/>
        </w:rPr>
        <w:t xml:space="preserve">The </w:t>
      </w:r>
      <w:r w:rsidR="0052538E" w:rsidRPr="00454CA5">
        <w:rPr>
          <w:rFonts w:ascii="Arial" w:hAnsi="Arial" w:cs="Arial"/>
          <w:lang w:val="en-US"/>
        </w:rPr>
        <w:t>restructuring agreement as signed on the July 4, 2015 (</w:t>
      </w:r>
      <w:r w:rsidR="0052538E" w:rsidRPr="00454CA5">
        <w:rPr>
          <w:rFonts w:ascii="Arial" w:hAnsi="Arial" w:cs="Arial"/>
          <w:b/>
          <w:bCs/>
          <w:lang w:val="en-US"/>
        </w:rPr>
        <w:t>Restructuring Agreement</w:t>
      </w:r>
      <w:r w:rsidR="0052538E" w:rsidRPr="00454CA5">
        <w:rPr>
          <w:rFonts w:ascii="Arial" w:hAnsi="Arial" w:cs="Arial"/>
          <w:lang w:val="en-US"/>
        </w:rPr>
        <w:t>)</w:t>
      </w:r>
      <w:r w:rsidR="00504A3A">
        <w:rPr>
          <w:rFonts w:ascii="Arial" w:hAnsi="Arial" w:cs="Arial"/>
          <w:lang w:val="en-US"/>
        </w:rPr>
        <w:t xml:space="preserve"> provided for </w:t>
      </w:r>
      <w:r w:rsidR="00E20466">
        <w:rPr>
          <w:rFonts w:ascii="Arial" w:hAnsi="Arial" w:cs="Arial"/>
          <w:lang w:val="en-US"/>
        </w:rPr>
        <w:t xml:space="preserve">transfer of </w:t>
      </w:r>
      <w:r w:rsidR="009606F0" w:rsidRPr="00454CA5">
        <w:rPr>
          <w:rFonts w:ascii="Arial" w:hAnsi="Arial" w:cs="Arial"/>
          <w:lang w:val="en-US"/>
        </w:rPr>
        <w:t>subsidiaries located in the Netherlands, Spain, France, Australia, South Africa and the United States of America</w:t>
      </w:r>
      <w:r w:rsidR="00D16709">
        <w:rPr>
          <w:rFonts w:ascii="Arial" w:hAnsi="Arial" w:cs="Arial"/>
          <w:lang w:val="en-US"/>
        </w:rPr>
        <w:t xml:space="preserve"> </w:t>
      </w:r>
      <w:r w:rsidR="001C25D2">
        <w:rPr>
          <w:rFonts w:ascii="Arial" w:hAnsi="Arial" w:cs="Arial"/>
          <w:lang w:val="en-US"/>
        </w:rPr>
        <w:t>(</w:t>
      </w:r>
      <w:r w:rsidR="001C25D2">
        <w:rPr>
          <w:rFonts w:ascii="Arial" w:hAnsi="Arial" w:cs="Arial"/>
          <w:b/>
          <w:bCs/>
          <w:lang w:val="en-US"/>
        </w:rPr>
        <w:t>Operating Subsidiaries</w:t>
      </w:r>
      <w:r w:rsidR="001C25D2">
        <w:rPr>
          <w:rFonts w:ascii="Arial" w:hAnsi="Arial" w:cs="Arial"/>
          <w:lang w:val="en-US"/>
        </w:rPr>
        <w:t xml:space="preserve">) </w:t>
      </w:r>
      <w:r w:rsidR="00D16709">
        <w:rPr>
          <w:rFonts w:ascii="Arial" w:hAnsi="Arial" w:cs="Arial"/>
          <w:lang w:val="en-US"/>
        </w:rPr>
        <w:t xml:space="preserve">to a </w:t>
      </w:r>
      <w:r w:rsidR="00D16709" w:rsidRPr="00454CA5">
        <w:rPr>
          <w:rFonts w:ascii="Arial" w:hAnsi="Arial" w:cs="Arial"/>
          <w:lang w:val="en-US"/>
        </w:rPr>
        <w:t>shell subsidiary, called Flow Management II BV</w:t>
      </w:r>
      <w:r w:rsidR="00714F96">
        <w:rPr>
          <w:rFonts w:ascii="Arial" w:hAnsi="Arial" w:cs="Arial"/>
          <w:lang w:val="en-US"/>
        </w:rPr>
        <w:t xml:space="preserve">. At the outset, any transfer of share or assets would have entailed requisite compliance with the governing laws of the subsidiary companies and necessary approvals, if any, would have to be obtained. Any time lapse in compliance with the </w:t>
      </w:r>
      <w:r w:rsidR="00825EA6">
        <w:rPr>
          <w:rFonts w:ascii="Arial" w:hAnsi="Arial" w:cs="Arial"/>
          <w:lang w:val="en-US"/>
        </w:rPr>
        <w:t xml:space="preserve">applicable laws ought to have been factored in for implementation the restructuring; </w:t>
      </w:r>
    </w:p>
    <w:p w14:paraId="5EC98773" w14:textId="09CF8B75" w:rsidR="00C2097C" w:rsidRDefault="00637AB6" w:rsidP="00C2097C">
      <w:pPr>
        <w:pStyle w:val="ListParagraph"/>
        <w:numPr>
          <w:ilvl w:val="0"/>
          <w:numId w:val="17"/>
        </w:numPr>
        <w:ind w:left="1418" w:hanging="851"/>
        <w:contextualSpacing w:val="0"/>
        <w:jc w:val="both"/>
        <w:rPr>
          <w:rFonts w:ascii="Arial" w:hAnsi="Arial" w:cs="Arial"/>
          <w:lang w:val="en-US"/>
        </w:rPr>
      </w:pPr>
      <w:r>
        <w:rPr>
          <w:rFonts w:ascii="Arial" w:hAnsi="Arial" w:cs="Arial"/>
          <w:lang w:val="en-US"/>
        </w:rPr>
        <w:t xml:space="preserve">Similarly, the eligibility of the shareholders and composition and ownership of the </w:t>
      </w:r>
      <w:r w:rsidR="00A65E27">
        <w:rPr>
          <w:rFonts w:ascii="Arial" w:hAnsi="Arial" w:cs="Arial"/>
          <w:lang w:val="en-US"/>
        </w:rPr>
        <w:t>shareholding</w:t>
      </w:r>
      <w:r w:rsidR="00E339B6">
        <w:rPr>
          <w:rFonts w:ascii="Arial" w:hAnsi="Arial" w:cs="Arial"/>
          <w:lang w:val="en-US"/>
        </w:rPr>
        <w:t xml:space="preserve"> </w:t>
      </w:r>
      <w:r w:rsidR="00C2097C">
        <w:rPr>
          <w:rFonts w:ascii="Arial" w:hAnsi="Arial" w:cs="Arial"/>
          <w:lang w:val="en-US"/>
        </w:rPr>
        <w:t>will be subject to the local laws of the Operating Subsidiaries;</w:t>
      </w:r>
    </w:p>
    <w:p w14:paraId="0FFF318E" w14:textId="2908B19F" w:rsidR="00C2097C" w:rsidRPr="00C2097C" w:rsidRDefault="00C2097C" w:rsidP="00C2097C">
      <w:pPr>
        <w:pStyle w:val="ListParagraph"/>
        <w:numPr>
          <w:ilvl w:val="0"/>
          <w:numId w:val="17"/>
        </w:numPr>
        <w:ind w:left="1418" w:hanging="851"/>
        <w:jc w:val="both"/>
        <w:rPr>
          <w:rFonts w:ascii="Arial" w:hAnsi="Arial" w:cs="Arial"/>
          <w:lang w:val="en-US"/>
        </w:rPr>
      </w:pPr>
      <w:r>
        <w:rPr>
          <w:rFonts w:ascii="Arial" w:hAnsi="Arial" w:cs="Arial"/>
          <w:lang w:val="en-US"/>
        </w:rPr>
        <w:t>Giv</w:t>
      </w:r>
      <w:r w:rsidR="00927BEA">
        <w:rPr>
          <w:rFonts w:ascii="Arial" w:hAnsi="Arial" w:cs="Arial"/>
          <w:lang w:val="en-US"/>
        </w:rPr>
        <w:t xml:space="preserve">en that the entire group </w:t>
      </w:r>
      <w:r w:rsidR="00FB7AF2">
        <w:rPr>
          <w:rFonts w:ascii="Arial" w:hAnsi="Arial" w:cs="Arial"/>
          <w:lang w:val="en-US"/>
        </w:rPr>
        <w:t xml:space="preserve">(which had presence in six jurisdiction) </w:t>
      </w:r>
      <w:r w:rsidR="00927BEA">
        <w:rPr>
          <w:rFonts w:ascii="Arial" w:hAnsi="Arial" w:cs="Arial"/>
          <w:lang w:val="en-US"/>
        </w:rPr>
        <w:t xml:space="preserve">was under stress, </w:t>
      </w:r>
      <w:r w:rsidR="00C546E5">
        <w:rPr>
          <w:rFonts w:ascii="Arial" w:hAnsi="Arial" w:cs="Arial"/>
          <w:lang w:val="en-US"/>
        </w:rPr>
        <w:t>any</w:t>
      </w:r>
      <w:r w:rsidR="00E66192">
        <w:rPr>
          <w:rFonts w:ascii="Arial" w:hAnsi="Arial" w:cs="Arial"/>
          <w:lang w:val="en-US"/>
        </w:rPr>
        <w:t xml:space="preserve"> potential initiation of the insolvency proceedings in </w:t>
      </w:r>
      <w:r w:rsidR="00442B4D">
        <w:rPr>
          <w:rFonts w:ascii="Arial" w:hAnsi="Arial" w:cs="Arial"/>
          <w:lang w:val="en-US"/>
        </w:rPr>
        <w:t xml:space="preserve">one jurisdiction would have raised </w:t>
      </w:r>
      <w:r w:rsidR="0041418F">
        <w:rPr>
          <w:rFonts w:ascii="Arial" w:hAnsi="Arial" w:cs="Arial"/>
          <w:lang w:val="en-US"/>
        </w:rPr>
        <w:t xml:space="preserve">issues </w:t>
      </w:r>
      <w:r w:rsidR="00A13910">
        <w:rPr>
          <w:rFonts w:ascii="Arial" w:hAnsi="Arial" w:cs="Arial"/>
          <w:lang w:val="en-US"/>
        </w:rPr>
        <w:t xml:space="preserve">in relation to cross-border insolvency. While the fact sheet is clear that the </w:t>
      </w:r>
      <w:r w:rsidR="00ED4FD0">
        <w:rPr>
          <w:rFonts w:ascii="Arial" w:hAnsi="Arial" w:cs="Arial"/>
          <w:lang w:val="en-US"/>
        </w:rPr>
        <w:t>center</w:t>
      </w:r>
      <w:r w:rsidR="00D52E68">
        <w:rPr>
          <w:rFonts w:ascii="Arial" w:hAnsi="Arial" w:cs="Arial"/>
          <w:lang w:val="en-US"/>
        </w:rPr>
        <w:t xml:space="preserve"> of main interest </w:t>
      </w:r>
      <w:r w:rsidR="00BA6ADE">
        <w:rPr>
          <w:rFonts w:ascii="Arial" w:hAnsi="Arial" w:cs="Arial"/>
          <w:lang w:val="en-US"/>
        </w:rPr>
        <w:t xml:space="preserve">is Netherlands, other jurisdiction, such as South Africa have not </w:t>
      </w:r>
      <w:r w:rsidR="002F2B8C">
        <w:rPr>
          <w:rFonts w:ascii="Arial" w:hAnsi="Arial" w:cs="Arial"/>
          <w:lang w:val="en-US"/>
        </w:rPr>
        <w:t>implemented</w:t>
      </w:r>
      <w:r w:rsidR="00BA6ADE">
        <w:rPr>
          <w:rFonts w:ascii="Arial" w:hAnsi="Arial" w:cs="Arial"/>
          <w:lang w:val="en-US"/>
        </w:rPr>
        <w:t xml:space="preserve"> the UNCITRAL Model Law on Cross-Border Insolvency.</w:t>
      </w:r>
      <w:r w:rsidR="0027554A">
        <w:rPr>
          <w:rStyle w:val="FootnoteReference"/>
          <w:rFonts w:ascii="Arial" w:hAnsi="Arial" w:cs="Arial"/>
          <w:lang w:val="en-US"/>
        </w:rPr>
        <w:footnoteReference w:id="22"/>
      </w:r>
      <w:r w:rsidR="00313F3A">
        <w:rPr>
          <w:rFonts w:ascii="Arial" w:hAnsi="Arial" w:cs="Arial"/>
          <w:lang w:val="en-US"/>
        </w:rPr>
        <w:t xml:space="preserve"> This would raise issues around the </w:t>
      </w:r>
      <w:r w:rsidR="004215AB">
        <w:rPr>
          <w:rFonts w:ascii="Arial" w:hAnsi="Arial" w:cs="Arial"/>
          <w:lang w:val="en-US"/>
        </w:rPr>
        <w:t xml:space="preserve">ring-fencing </w:t>
      </w:r>
      <w:r w:rsidR="00275EB2">
        <w:rPr>
          <w:rFonts w:ascii="Arial" w:hAnsi="Arial" w:cs="Arial"/>
          <w:lang w:val="en-US"/>
        </w:rPr>
        <w:t xml:space="preserve">of assets, </w:t>
      </w:r>
      <w:r w:rsidR="00856D20">
        <w:rPr>
          <w:rFonts w:ascii="Arial" w:hAnsi="Arial" w:cs="Arial"/>
          <w:lang w:val="en-US"/>
        </w:rPr>
        <w:t xml:space="preserve">conduct of insolvency proceedings, etc. </w:t>
      </w:r>
    </w:p>
    <w:p w14:paraId="2FE8F7D0" w14:textId="1F68AC9E" w:rsidR="0038327F" w:rsidRPr="00454CA5" w:rsidRDefault="0038327F" w:rsidP="0038327F">
      <w:pPr>
        <w:pStyle w:val="ListParagraph"/>
        <w:spacing w:line="240" w:lineRule="auto"/>
        <w:ind w:left="567"/>
        <w:contextualSpacing w:val="0"/>
        <w:jc w:val="both"/>
        <w:rPr>
          <w:rFonts w:ascii="Arial" w:hAnsi="Arial" w:cs="Arial"/>
          <w:b/>
          <w:bCs/>
          <w:i/>
          <w:iCs/>
          <w:lang w:val="en-US"/>
        </w:rPr>
      </w:pPr>
    </w:p>
    <w:p w14:paraId="4468E6B7" w14:textId="4FD5F9FB" w:rsidR="00032BF2" w:rsidRPr="00454CA5" w:rsidRDefault="00032BF2" w:rsidP="0078788F">
      <w:pPr>
        <w:jc w:val="both"/>
        <w:rPr>
          <w:rFonts w:ascii="Arial" w:hAnsi="Arial" w:cs="Arial"/>
          <w:b/>
          <w:bCs/>
          <w:i/>
          <w:iCs/>
          <w:lang w:val="en-US"/>
        </w:rPr>
      </w:pPr>
      <w:r w:rsidRPr="00454CA5">
        <w:rPr>
          <w:rFonts w:ascii="Arial" w:hAnsi="Arial" w:cs="Arial"/>
          <w:b/>
          <w:bCs/>
          <w:i/>
          <w:iCs/>
          <w:lang w:val="en-US"/>
        </w:rPr>
        <w:br w:type="page"/>
      </w:r>
    </w:p>
    <w:p w14:paraId="71DB5A0F" w14:textId="77777777" w:rsidR="00032BF2" w:rsidRPr="00454CA5" w:rsidRDefault="00032BF2" w:rsidP="004D6CCD">
      <w:pPr>
        <w:pStyle w:val="ListParagraph"/>
        <w:numPr>
          <w:ilvl w:val="0"/>
          <w:numId w:val="1"/>
        </w:numPr>
        <w:ind w:left="567" w:hanging="567"/>
        <w:contextualSpacing w:val="0"/>
        <w:jc w:val="both"/>
        <w:rPr>
          <w:rFonts w:ascii="Arial" w:hAnsi="Arial" w:cs="Arial"/>
          <w:b/>
          <w:bCs/>
          <w:i/>
          <w:iCs/>
          <w:lang w:val="en-US"/>
        </w:rPr>
      </w:pPr>
      <w:r w:rsidRPr="00454CA5">
        <w:rPr>
          <w:rFonts w:ascii="Arial" w:hAnsi="Arial" w:cs="Arial"/>
          <w:b/>
          <w:bCs/>
          <w:i/>
          <w:iCs/>
          <w:lang w:val="en-US"/>
        </w:rPr>
        <w:lastRenderedPageBreak/>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071AEAC3" w14:textId="77777777" w:rsidR="00032BF2" w:rsidRPr="00454CA5" w:rsidRDefault="00032BF2"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As mentioned in the fact sheet, in October 2014, one of the scenarios for lenders was moratorium (i.e., formal suspension of payments procedure) or restart following liquidation, with the company being sold in a ‘controlled’ manner. One of the key aspects was for the lenders to provide a bridging loan. </w:t>
      </w:r>
    </w:p>
    <w:p w14:paraId="6B396D7E" w14:textId="77777777" w:rsidR="00A274E7" w:rsidRDefault="00032BF2"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In my opinion, from an Indian insolvency law perspective, such a scenario may have yielded the most optimal outcome as compared to other options (assuming that there were willing buyers). While there was complete loss of trust in the management, the business was still viable and the market demand was not much impacted, which in the eventuality of insolvency resolution with a strong buyer could have helped resolution on a going concern basis and at the same time could have </w:t>
      </w:r>
      <w:r w:rsidRPr="00BB07CE">
        <w:rPr>
          <w:rFonts w:ascii="Arial" w:hAnsi="Arial" w:cs="Arial"/>
          <w:b/>
          <w:bCs/>
          <w:i/>
          <w:iCs/>
          <w:lang w:val="en-US"/>
        </w:rPr>
        <w:t>avoided liquidation</w:t>
      </w:r>
      <w:r w:rsidRPr="00454CA5">
        <w:rPr>
          <w:rFonts w:ascii="Arial" w:hAnsi="Arial" w:cs="Arial"/>
          <w:lang w:val="en-US"/>
        </w:rPr>
        <w:t xml:space="preserve">. </w:t>
      </w:r>
    </w:p>
    <w:p w14:paraId="2EACF150" w14:textId="126FEF3B" w:rsidR="00032BF2" w:rsidRPr="00454CA5" w:rsidRDefault="00032BF2" w:rsidP="004D6CCD">
      <w:pPr>
        <w:pStyle w:val="ListParagraph"/>
        <w:numPr>
          <w:ilvl w:val="1"/>
          <w:numId w:val="1"/>
        </w:numPr>
        <w:ind w:left="567" w:hanging="567"/>
        <w:contextualSpacing w:val="0"/>
        <w:jc w:val="both"/>
        <w:rPr>
          <w:rFonts w:ascii="Arial" w:hAnsi="Arial" w:cs="Arial"/>
          <w:lang w:val="en-US"/>
        </w:rPr>
      </w:pPr>
      <w:r w:rsidRPr="00454CA5">
        <w:rPr>
          <w:rFonts w:ascii="Arial" w:hAnsi="Arial" w:cs="Arial"/>
          <w:lang w:val="en-US"/>
        </w:rPr>
        <w:t xml:space="preserve">Set out in detail below are the reasons associated with the same: </w:t>
      </w:r>
    </w:p>
    <w:p w14:paraId="60CC82DF" w14:textId="725925FF" w:rsidR="00D9264F" w:rsidRPr="00454CA5" w:rsidRDefault="00DB279C" w:rsidP="004D6CCD">
      <w:pPr>
        <w:pStyle w:val="ListParagraph"/>
        <w:numPr>
          <w:ilvl w:val="0"/>
          <w:numId w:val="11"/>
        </w:numPr>
        <w:ind w:left="1418" w:hanging="851"/>
        <w:contextualSpacing w:val="0"/>
        <w:jc w:val="both"/>
        <w:rPr>
          <w:rFonts w:ascii="Arial" w:hAnsi="Arial" w:cs="Arial"/>
          <w:lang w:val="en-US"/>
        </w:rPr>
      </w:pPr>
      <w:r w:rsidRPr="00454CA5">
        <w:rPr>
          <w:rFonts w:ascii="Arial" w:hAnsi="Arial" w:cs="Arial"/>
          <w:b/>
          <w:bCs/>
          <w:i/>
          <w:iCs/>
          <w:lang w:val="en-US"/>
        </w:rPr>
        <w:t>Suspension of the management/board of directors and d</w:t>
      </w:r>
      <w:r w:rsidR="00D9264F" w:rsidRPr="00454CA5">
        <w:rPr>
          <w:rFonts w:ascii="Arial" w:hAnsi="Arial" w:cs="Arial"/>
          <w:b/>
          <w:bCs/>
          <w:i/>
          <w:iCs/>
          <w:lang w:val="en-US"/>
        </w:rPr>
        <w:t xml:space="preserve">ecision-making by the </w:t>
      </w:r>
      <w:r w:rsidR="00E43C1C" w:rsidRPr="00454CA5">
        <w:rPr>
          <w:rFonts w:ascii="Arial" w:hAnsi="Arial" w:cs="Arial"/>
          <w:b/>
          <w:bCs/>
          <w:i/>
          <w:iCs/>
          <w:lang w:val="en-US"/>
        </w:rPr>
        <w:t>Creditors Committee</w:t>
      </w:r>
      <w:r w:rsidR="00D9264F" w:rsidRPr="00454CA5">
        <w:rPr>
          <w:rFonts w:ascii="Arial" w:hAnsi="Arial" w:cs="Arial"/>
          <w:b/>
          <w:bCs/>
          <w:i/>
          <w:iCs/>
          <w:lang w:val="en-US"/>
        </w:rPr>
        <w:t xml:space="preserve">: </w:t>
      </w:r>
    </w:p>
    <w:p w14:paraId="3BB265ED" w14:textId="577FE6F7" w:rsidR="00032BF2" w:rsidRPr="00454CA5" w:rsidRDefault="00032BF2" w:rsidP="00D9264F">
      <w:pPr>
        <w:pStyle w:val="ListParagraph"/>
        <w:ind w:left="1418"/>
        <w:contextualSpacing w:val="0"/>
        <w:jc w:val="both"/>
        <w:rPr>
          <w:rFonts w:ascii="Arial" w:hAnsi="Arial" w:cs="Arial"/>
          <w:lang w:val="en-US"/>
        </w:rPr>
      </w:pPr>
      <w:r w:rsidRPr="00454CA5">
        <w:rPr>
          <w:rFonts w:ascii="Arial" w:hAnsi="Arial" w:cs="Arial"/>
          <w:lang w:val="en-US"/>
        </w:rPr>
        <w:t>the (Indian) Insolvency and Bankruptcy Code, 2016 (</w:t>
      </w:r>
      <w:r w:rsidRPr="00454CA5">
        <w:rPr>
          <w:rFonts w:ascii="Arial" w:hAnsi="Arial" w:cs="Arial"/>
          <w:b/>
          <w:bCs/>
          <w:lang w:val="en-US"/>
        </w:rPr>
        <w:t>Insolvency Code</w:t>
      </w:r>
      <w:r w:rsidRPr="00454CA5">
        <w:rPr>
          <w:rFonts w:ascii="Arial" w:hAnsi="Arial" w:cs="Arial"/>
          <w:lang w:val="en-US"/>
        </w:rPr>
        <w:t>) provides a framework for corporate insolvency resolution process (</w:t>
      </w:r>
      <w:r w:rsidRPr="00454CA5">
        <w:rPr>
          <w:rFonts w:ascii="Arial" w:hAnsi="Arial" w:cs="Arial"/>
          <w:b/>
          <w:bCs/>
          <w:lang w:val="en-US"/>
        </w:rPr>
        <w:t>CIRP</w:t>
      </w:r>
      <w:r w:rsidRPr="00454CA5">
        <w:rPr>
          <w:rFonts w:ascii="Arial" w:hAnsi="Arial" w:cs="Arial"/>
          <w:lang w:val="en-US"/>
        </w:rPr>
        <w:t>) on a going concern basis in a time bound manner within a period of 180 days (which can be extended by 90 days, with a maximum limit of 330 days). The</w:t>
      </w:r>
      <w:r w:rsidRPr="00454CA5">
        <w:rPr>
          <w:rFonts w:ascii="Arial" w:hAnsi="Arial" w:cs="Arial"/>
          <w:iCs/>
          <w:lang w:val="en-US"/>
        </w:rPr>
        <w:t xml:space="preserve"> </w:t>
      </w:r>
      <w:r w:rsidRPr="00454CA5" w:rsidDel="00EE66C3">
        <w:rPr>
          <w:rFonts w:ascii="Arial" w:hAnsi="Arial" w:cs="Arial"/>
          <w:iCs/>
          <w:lang w:val="en-US"/>
        </w:rPr>
        <w:t xml:space="preserve">CIRP </w:t>
      </w:r>
      <w:r w:rsidRPr="00454CA5">
        <w:rPr>
          <w:rFonts w:ascii="Arial" w:hAnsi="Arial" w:cs="Arial"/>
          <w:iCs/>
          <w:lang w:val="en-US"/>
        </w:rPr>
        <w:t xml:space="preserve">of a corporate debtor </w:t>
      </w:r>
      <w:r w:rsidRPr="00454CA5" w:rsidDel="00EE66C3">
        <w:rPr>
          <w:rFonts w:ascii="Arial" w:hAnsi="Arial" w:cs="Arial"/>
          <w:iCs/>
          <w:lang w:val="en-US"/>
        </w:rPr>
        <w:t>commence</w:t>
      </w:r>
      <w:r w:rsidRPr="00454CA5">
        <w:rPr>
          <w:rFonts w:ascii="Arial" w:hAnsi="Arial" w:cs="Arial"/>
          <w:iCs/>
          <w:lang w:val="en-US"/>
        </w:rPr>
        <w:t>s</w:t>
      </w:r>
      <w:r w:rsidRPr="00454CA5" w:rsidDel="00EE66C3">
        <w:rPr>
          <w:rFonts w:ascii="Arial" w:hAnsi="Arial" w:cs="Arial"/>
          <w:iCs/>
          <w:lang w:val="en-US"/>
        </w:rPr>
        <w:t xml:space="preserve"> from the date an application</w:t>
      </w:r>
      <w:r w:rsidRPr="00454CA5">
        <w:rPr>
          <w:rFonts w:ascii="Arial" w:hAnsi="Arial" w:cs="Arial"/>
          <w:iCs/>
          <w:lang w:val="en-US"/>
        </w:rPr>
        <w:t xml:space="preserve"> </w:t>
      </w:r>
      <w:r w:rsidRPr="00454CA5" w:rsidDel="00EE66C3">
        <w:rPr>
          <w:rFonts w:ascii="Arial" w:hAnsi="Arial" w:cs="Arial"/>
          <w:iCs/>
          <w:lang w:val="en-US"/>
        </w:rPr>
        <w:t xml:space="preserve">is admitted by the </w:t>
      </w:r>
      <w:r w:rsidRPr="00454CA5">
        <w:rPr>
          <w:rFonts w:ascii="Arial" w:hAnsi="Arial" w:cs="Arial"/>
          <w:iCs/>
          <w:lang w:val="en-US"/>
        </w:rPr>
        <w:t xml:space="preserve">adjudicating authority (such date, referred to as the </w:t>
      </w:r>
      <w:r w:rsidRPr="00454CA5">
        <w:rPr>
          <w:rFonts w:ascii="Arial" w:hAnsi="Arial" w:cs="Arial"/>
          <w:b/>
          <w:bCs/>
          <w:iCs/>
          <w:lang w:val="en-US"/>
        </w:rPr>
        <w:t>insolvency commencement date</w:t>
      </w:r>
      <w:r w:rsidRPr="00454CA5">
        <w:rPr>
          <w:rFonts w:ascii="Arial" w:hAnsi="Arial" w:cs="Arial"/>
          <w:iCs/>
          <w:lang w:val="en-US"/>
        </w:rPr>
        <w:t>)</w:t>
      </w:r>
      <w:r w:rsidRPr="00454CA5" w:rsidDel="00EE66C3">
        <w:rPr>
          <w:rFonts w:ascii="Arial" w:hAnsi="Arial" w:cs="Arial"/>
          <w:iCs/>
          <w:lang w:val="en-US"/>
        </w:rPr>
        <w:t>.</w:t>
      </w:r>
      <w:r w:rsidRPr="00454CA5">
        <w:rPr>
          <w:rFonts w:ascii="Arial" w:hAnsi="Arial" w:cs="Arial"/>
          <w:iCs/>
          <w:lang w:val="en-US"/>
        </w:rPr>
        <w:t xml:space="preserve"> Along with admission of such an application, the NCLT also passes an order, inter alia, (</w:t>
      </w:r>
      <w:proofErr w:type="spellStart"/>
      <w:r w:rsidRPr="00454CA5">
        <w:rPr>
          <w:rFonts w:ascii="Arial" w:hAnsi="Arial" w:cs="Arial"/>
          <w:iCs/>
          <w:lang w:val="en-US"/>
        </w:rPr>
        <w:t>i</w:t>
      </w:r>
      <w:proofErr w:type="spellEnd"/>
      <w:r w:rsidRPr="00454CA5">
        <w:rPr>
          <w:rFonts w:ascii="Arial" w:hAnsi="Arial" w:cs="Arial"/>
          <w:iCs/>
          <w:lang w:val="en-US"/>
        </w:rPr>
        <w:t>) declaring a moratorium</w:t>
      </w:r>
      <w:r w:rsidR="003D2A3F" w:rsidRPr="00454CA5">
        <w:rPr>
          <w:rFonts w:ascii="Arial" w:hAnsi="Arial" w:cs="Arial"/>
          <w:iCs/>
          <w:lang w:val="en-US"/>
        </w:rPr>
        <w:t xml:space="preserve"> (</w:t>
      </w:r>
      <w:r w:rsidR="0069689F" w:rsidRPr="00454CA5">
        <w:rPr>
          <w:rFonts w:ascii="Arial" w:hAnsi="Arial" w:cs="Arial"/>
          <w:i/>
          <w:lang w:val="en-US"/>
        </w:rPr>
        <w:t xml:space="preserve">which amongst others, prohibits </w:t>
      </w:r>
      <w:r w:rsidR="0069689F" w:rsidRPr="00454CA5">
        <w:rPr>
          <w:rFonts w:ascii="Arial" w:hAnsi="Arial" w:cs="Arial"/>
          <w:i/>
          <w:lang w:val="en-US"/>
        </w:rPr>
        <w:t>institution of suits or continuation of pending suits or proceedings against the corporate debtor</w:t>
      </w:r>
      <w:r w:rsidR="0069689F" w:rsidRPr="00454CA5">
        <w:rPr>
          <w:rFonts w:ascii="Arial" w:hAnsi="Arial" w:cs="Arial"/>
          <w:i/>
          <w:lang w:val="en-US"/>
        </w:rPr>
        <w:t xml:space="preserve">, </w:t>
      </w:r>
      <w:r w:rsidR="0069689F" w:rsidRPr="00454CA5">
        <w:rPr>
          <w:rFonts w:ascii="Arial" w:hAnsi="Arial" w:cs="Arial"/>
          <w:i/>
          <w:lang w:val="en-US"/>
        </w:rPr>
        <w:t>transferring, encumbering, alienating or disposing off by the corporate debtor of any of its assets or any legal right or beneficial interest therein</w:t>
      </w:r>
      <w:r w:rsidR="0069689F" w:rsidRPr="00454CA5">
        <w:rPr>
          <w:rFonts w:ascii="Arial" w:hAnsi="Arial" w:cs="Arial"/>
          <w:i/>
          <w:lang w:val="en-US"/>
        </w:rPr>
        <w:t>, any enforcement and recovery actions</w:t>
      </w:r>
      <w:r w:rsidR="003D2A3F" w:rsidRPr="00454CA5">
        <w:rPr>
          <w:rFonts w:ascii="Arial" w:hAnsi="Arial" w:cs="Arial"/>
          <w:iCs/>
          <w:lang w:val="en-US"/>
        </w:rPr>
        <w:t>)</w:t>
      </w:r>
      <w:r w:rsidRPr="00454CA5">
        <w:rPr>
          <w:rFonts w:ascii="Arial" w:hAnsi="Arial" w:cs="Arial"/>
          <w:iCs/>
          <w:lang w:val="en-US"/>
        </w:rPr>
        <w:t>; (ii) causing a public announcement of the commencement of CIRP of the corporate debtor and calling for submission of claims from the creditors of the corporate debtor; and (iii) appointing an insolvency professional as the ‘interim resolution professional’</w:t>
      </w:r>
      <w:r w:rsidR="00140D53" w:rsidRPr="00454CA5">
        <w:rPr>
          <w:rFonts w:ascii="Arial" w:hAnsi="Arial" w:cs="Arial"/>
          <w:iCs/>
          <w:lang w:val="en-US"/>
        </w:rPr>
        <w:t xml:space="preserve"> (</w:t>
      </w:r>
      <w:r w:rsidR="00140D53" w:rsidRPr="00454CA5">
        <w:rPr>
          <w:rFonts w:ascii="Arial" w:hAnsi="Arial" w:cs="Arial"/>
          <w:b/>
          <w:bCs/>
          <w:iCs/>
          <w:lang w:val="en-US"/>
        </w:rPr>
        <w:t>IRP</w:t>
      </w:r>
      <w:r w:rsidR="00140D53" w:rsidRPr="00454CA5">
        <w:rPr>
          <w:rFonts w:ascii="Arial" w:hAnsi="Arial" w:cs="Arial"/>
          <w:iCs/>
          <w:lang w:val="en-US"/>
        </w:rPr>
        <w:t xml:space="preserve">) </w:t>
      </w:r>
      <w:r w:rsidRPr="00454CA5">
        <w:rPr>
          <w:rFonts w:ascii="Arial" w:hAnsi="Arial" w:cs="Arial"/>
          <w:iCs/>
          <w:lang w:val="en-US"/>
        </w:rPr>
        <w:t>(who is replaced by a resolution professional (</w:t>
      </w:r>
      <w:r w:rsidRPr="00454CA5">
        <w:rPr>
          <w:rFonts w:ascii="Arial" w:hAnsi="Arial" w:cs="Arial"/>
          <w:b/>
          <w:bCs/>
          <w:iCs/>
          <w:lang w:val="en-US"/>
        </w:rPr>
        <w:t>RP</w:t>
      </w:r>
      <w:r w:rsidR="00791021" w:rsidRPr="00454CA5">
        <w:rPr>
          <w:rFonts w:ascii="Arial" w:hAnsi="Arial" w:cs="Arial"/>
          <w:iCs/>
          <w:lang w:val="en-US"/>
        </w:rPr>
        <w:t xml:space="preserve">, together with IRP referred to as the </w:t>
      </w:r>
      <w:r w:rsidR="00791021" w:rsidRPr="00454CA5">
        <w:rPr>
          <w:rFonts w:ascii="Arial" w:hAnsi="Arial" w:cs="Arial"/>
          <w:b/>
          <w:bCs/>
          <w:iCs/>
          <w:lang w:val="en-US"/>
        </w:rPr>
        <w:t>Insolvency Pr</w:t>
      </w:r>
      <w:r w:rsidR="004821EB" w:rsidRPr="00454CA5">
        <w:rPr>
          <w:rFonts w:ascii="Arial" w:hAnsi="Arial" w:cs="Arial"/>
          <w:b/>
          <w:bCs/>
          <w:iCs/>
          <w:lang w:val="en-US"/>
        </w:rPr>
        <w:t>o</w:t>
      </w:r>
      <w:r w:rsidR="00791021" w:rsidRPr="00454CA5">
        <w:rPr>
          <w:rFonts w:ascii="Arial" w:hAnsi="Arial" w:cs="Arial"/>
          <w:b/>
          <w:bCs/>
          <w:iCs/>
          <w:lang w:val="en-US"/>
        </w:rPr>
        <w:t>fessional</w:t>
      </w:r>
      <w:r w:rsidRPr="00454CA5">
        <w:rPr>
          <w:rFonts w:ascii="Arial" w:hAnsi="Arial" w:cs="Arial"/>
          <w:iCs/>
          <w:lang w:val="en-US"/>
        </w:rPr>
        <w:t xml:space="preserve">) by the </w:t>
      </w:r>
      <w:r w:rsidR="00A93432" w:rsidRPr="00454CA5">
        <w:rPr>
          <w:rFonts w:ascii="Arial" w:hAnsi="Arial" w:cs="Arial"/>
          <w:iCs/>
          <w:lang w:val="en-US"/>
        </w:rPr>
        <w:t>C</w:t>
      </w:r>
      <w:r w:rsidRPr="00454CA5">
        <w:rPr>
          <w:rFonts w:ascii="Arial" w:hAnsi="Arial" w:cs="Arial"/>
          <w:iCs/>
          <w:lang w:val="en-US"/>
        </w:rPr>
        <w:t xml:space="preserve">reditors </w:t>
      </w:r>
      <w:r w:rsidR="00A93432" w:rsidRPr="00454CA5">
        <w:rPr>
          <w:rFonts w:ascii="Arial" w:hAnsi="Arial" w:cs="Arial"/>
          <w:iCs/>
          <w:lang w:val="en-US"/>
        </w:rPr>
        <w:t>C</w:t>
      </w:r>
      <w:r w:rsidRPr="00454CA5">
        <w:rPr>
          <w:rFonts w:ascii="Arial" w:hAnsi="Arial" w:cs="Arial"/>
          <w:iCs/>
          <w:lang w:val="en-US"/>
        </w:rPr>
        <w:t>ommittee</w:t>
      </w:r>
      <w:r w:rsidR="00140D53" w:rsidRPr="00454CA5">
        <w:rPr>
          <w:rFonts w:ascii="Arial" w:hAnsi="Arial" w:cs="Arial"/>
          <w:iCs/>
          <w:lang w:val="en-US"/>
        </w:rPr>
        <w:t xml:space="preserve"> (</w:t>
      </w:r>
      <w:r w:rsidR="00140D53" w:rsidRPr="00454CA5">
        <w:rPr>
          <w:rFonts w:ascii="Arial" w:hAnsi="Arial" w:cs="Arial"/>
          <w:i/>
          <w:lang w:val="en-US"/>
        </w:rPr>
        <w:t>defined below</w:t>
      </w:r>
      <w:r w:rsidR="00140D53" w:rsidRPr="00454CA5">
        <w:rPr>
          <w:rFonts w:ascii="Arial" w:hAnsi="Arial" w:cs="Arial"/>
          <w:iCs/>
          <w:lang w:val="en-US"/>
        </w:rPr>
        <w:t>)</w:t>
      </w:r>
      <w:r w:rsidRPr="00454CA5">
        <w:rPr>
          <w:rFonts w:ascii="Arial" w:hAnsi="Arial" w:cs="Arial"/>
          <w:iCs/>
          <w:lang w:val="en-US"/>
        </w:rPr>
        <w:t xml:space="preserve">) in respect of the corporate debtor, who will take over the management and functions of the corporate debtor. </w:t>
      </w:r>
    </w:p>
    <w:p w14:paraId="46EE0F8F" w14:textId="3CCDEA16" w:rsidR="00D90407" w:rsidRPr="00454CA5" w:rsidRDefault="00F375D1" w:rsidP="00D90407">
      <w:pPr>
        <w:pStyle w:val="ListParagraph"/>
        <w:ind w:left="1418"/>
        <w:contextualSpacing w:val="0"/>
        <w:jc w:val="both"/>
        <w:rPr>
          <w:rFonts w:ascii="Arial" w:hAnsi="Arial" w:cs="Arial"/>
          <w:iCs/>
          <w:lang w:val="en-US"/>
        </w:rPr>
      </w:pPr>
      <w:r w:rsidRPr="00454CA5">
        <w:rPr>
          <w:rFonts w:ascii="Arial" w:hAnsi="Arial" w:cs="Arial"/>
          <w:iCs/>
          <w:lang w:val="en-US"/>
        </w:rPr>
        <w:t xml:space="preserve">Accordingly, during the </w:t>
      </w:r>
      <w:r w:rsidR="006C1D05" w:rsidRPr="00454CA5">
        <w:rPr>
          <w:rFonts w:ascii="Arial" w:hAnsi="Arial" w:cs="Arial"/>
          <w:iCs/>
          <w:lang w:val="en-US"/>
        </w:rPr>
        <w:t>CIRP</w:t>
      </w:r>
      <w:r w:rsidRPr="00454CA5">
        <w:rPr>
          <w:rFonts w:ascii="Arial" w:hAnsi="Arial" w:cs="Arial"/>
          <w:iCs/>
          <w:lang w:val="en-US"/>
        </w:rPr>
        <w:t>, the powers of the board are suspended and are exercised by the Insolvency Professional. The Insolvency Professional’s role in Indian scenario is of a facilitator or administrator who works under the overall supervision of a committee of creditors comprising of unrelated financial creditors (</w:t>
      </w:r>
      <w:r w:rsidRPr="00454CA5">
        <w:rPr>
          <w:rFonts w:ascii="Arial" w:hAnsi="Arial" w:cs="Arial"/>
          <w:b/>
          <w:bCs/>
          <w:iCs/>
          <w:lang w:val="en-US"/>
        </w:rPr>
        <w:t>Creditors Committee</w:t>
      </w:r>
      <w:r w:rsidRPr="00454CA5">
        <w:rPr>
          <w:rFonts w:ascii="Arial" w:hAnsi="Arial" w:cs="Arial"/>
          <w:iCs/>
          <w:lang w:val="en-US"/>
        </w:rPr>
        <w:t>)</w:t>
      </w:r>
      <w:r w:rsidRPr="00454CA5">
        <w:rPr>
          <w:rStyle w:val="FootnoteReference"/>
          <w:rFonts w:ascii="Arial" w:hAnsi="Arial" w:cs="Arial"/>
          <w:iCs/>
          <w:lang w:val="en-US"/>
        </w:rPr>
        <w:footnoteReference w:id="23"/>
      </w:r>
      <w:r w:rsidRPr="00454CA5">
        <w:rPr>
          <w:rFonts w:ascii="Arial" w:hAnsi="Arial" w:cs="Arial"/>
          <w:iCs/>
          <w:lang w:val="en-US"/>
        </w:rPr>
        <w:t xml:space="preserve">. </w:t>
      </w:r>
      <w:r w:rsidR="006B5821" w:rsidRPr="00454CA5">
        <w:rPr>
          <w:rFonts w:ascii="Arial" w:hAnsi="Arial" w:cs="Arial"/>
          <w:iCs/>
          <w:lang w:val="en-US"/>
        </w:rPr>
        <w:t xml:space="preserve">Further, </w:t>
      </w:r>
      <w:r w:rsidR="00351C02" w:rsidRPr="00454CA5">
        <w:rPr>
          <w:rFonts w:ascii="Arial" w:hAnsi="Arial" w:cs="Arial"/>
          <w:iCs/>
          <w:lang w:val="en-US"/>
        </w:rPr>
        <w:t xml:space="preserve">the requirement for approval of shareholders (or in terms of any inter-se shareholding agreements) are dispensed with for the purposes of approval and implementation of a resolution plan. </w:t>
      </w:r>
    </w:p>
    <w:p w14:paraId="429A31DF" w14:textId="6B3E329C" w:rsidR="00A90DF9" w:rsidRPr="00454CA5" w:rsidRDefault="00A90DF9" w:rsidP="00D90407">
      <w:pPr>
        <w:pStyle w:val="ListParagraph"/>
        <w:ind w:left="1418"/>
        <w:contextualSpacing w:val="0"/>
        <w:jc w:val="both"/>
        <w:rPr>
          <w:rFonts w:ascii="Arial" w:hAnsi="Arial" w:cs="Arial"/>
          <w:iCs/>
          <w:lang w:val="en-US"/>
        </w:rPr>
      </w:pPr>
      <w:r w:rsidRPr="00454CA5">
        <w:rPr>
          <w:rFonts w:ascii="Arial" w:hAnsi="Arial" w:cs="Arial"/>
          <w:iCs/>
          <w:lang w:val="en-US"/>
        </w:rPr>
        <w:lastRenderedPageBreak/>
        <w:t xml:space="preserve">In the present instance, </w:t>
      </w:r>
      <w:r w:rsidR="00B3185D" w:rsidRPr="00454CA5">
        <w:rPr>
          <w:rFonts w:ascii="Arial" w:hAnsi="Arial" w:cs="Arial"/>
          <w:iCs/>
          <w:lang w:val="en-US"/>
        </w:rPr>
        <w:t>key</w:t>
      </w:r>
      <w:r w:rsidRPr="00454CA5">
        <w:rPr>
          <w:rFonts w:ascii="Arial" w:hAnsi="Arial" w:cs="Arial"/>
          <w:iCs/>
          <w:lang w:val="en-US"/>
        </w:rPr>
        <w:t xml:space="preserve"> </w:t>
      </w:r>
      <w:r w:rsidR="00B3185D" w:rsidRPr="00454CA5">
        <w:rPr>
          <w:rFonts w:ascii="Arial" w:hAnsi="Arial" w:cs="Arial"/>
          <w:iCs/>
          <w:lang w:val="en-US"/>
        </w:rPr>
        <w:t>decision-making powers would have been vested with Bank A, B, C and D (</w:t>
      </w:r>
      <w:r w:rsidR="00B3185D" w:rsidRPr="00454CA5">
        <w:rPr>
          <w:rFonts w:ascii="Arial" w:hAnsi="Arial" w:cs="Arial"/>
          <w:b/>
          <w:bCs/>
          <w:iCs/>
          <w:lang w:val="en-US"/>
        </w:rPr>
        <w:t>Specified Banks</w:t>
      </w:r>
      <w:r w:rsidR="00B3185D" w:rsidRPr="00454CA5">
        <w:rPr>
          <w:rFonts w:ascii="Arial" w:hAnsi="Arial" w:cs="Arial"/>
          <w:iCs/>
          <w:lang w:val="en-US"/>
        </w:rPr>
        <w:t>).</w:t>
      </w:r>
      <w:r w:rsidR="00717631" w:rsidRPr="00454CA5">
        <w:rPr>
          <w:rFonts w:ascii="Arial" w:hAnsi="Arial" w:cs="Arial"/>
          <w:iCs/>
          <w:lang w:val="en-US"/>
        </w:rPr>
        <w:t xml:space="preserve"> In addition, </w:t>
      </w:r>
      <w:r w:rsidR="009241EA" w:rsidRPr="00454CA5">
        <w:rPr>
          <w:rFonts w:ascii="Arial" w:hAnsi="Arial" w:cs="Arial"/>
          <w:iCs/>
          <w:lang w:val="en-US"/>
        </w:rPr>
        <w:t xml:space="preserve">suspension of management and appointment of </w:t>
      </w:r>
      <w:r w:rsidR="00717631" w:rsidRPr="00454CA5">
        <w:rPr>
          <w:rFonts w:ascii="Arial" w:hAnsi="Arial" w:cs="Arial"/>
          <w:iCs/>
          <w:lang w:val="en-US"/>
        </w:rPr>
        <w:t xml:space="preserve">the Insolvency Professional </w:t>
      </w:r>
      <w:r w:rsidR="009241EA" w:rsidRPr="00454CA5">
        <w:rPr>
          <w:rFonts w:ascii="Arial" w:hAnsi="Arial" w:cs="Arial"/>
          <w:iCs/>
          <w:lang w:val="en-US"/>
        </w:rPr>
        <w:t>(</w:t>
      </w:r>
      <w:r w:rsidR="00717631" w:rsidRPr="00454CA5">
        <w:rPr>
          <w:rFonts w:ascii="Arial" w:hAnsi="Arial" w:cs="Arial"/>
          <w:iCs/>
          <w:lang w:val="en-US"/>
        </w:rPr>
        <w:t>confirmed as the RP</w:t>
      </w:r>
      <w:r w:rsidR="009241EA" w:rsidRPr="00454CA5">
        <w:rPr>
          <w:rFonts w:ascii="Arial" w:hAnsi="Arial" w:cs="Arial"/>
          <w:iCs/>
          <w:lang w:val="en-US"/>
        </w:rPr>
        <w:t>)</w:t>
      </w:r>
      <w:r w:rsidR="00717631" w:rsidRPr="00454CA5">
        <w:rPr>
          <w:rFonts w:ascii="Arial" w:hAnsi="Arial" w:cs="Arial"/>
          <w:iCs/>
          <w:lang w:val="en-US"/>
        </w:rPr>
        <w:t xml:space="preserve"> </w:t>
      </w:r>
      <w:r w:rsidR="009241EA" w:rsidRPr="00454CA5">
        <w:rPr>
          <w:rFonts w:ascii="Arial" w:hAnsi="Arial" w:cs="Arial"/>
          <w:iCs/>
          <w:lang w:val="en-US"/>
        </w:rPr>
        <w:t xml:space="preserve">would have given </w:t>
      </w:r>
      <w:r w:rsidR="00B21B99" w:rsidRPr="00454CA5">
        <w:rPr>
          <w:rFonts w:ascii="Arial" w:hAnsi="Arial" w:cs="Arial"/>
          <w:iCs/>
          <w:lang w:val="en-US"/>
        </w:rPr>
        <w:t xml:space="preserve">more </w:t>
      </w:r>
      <w:r w:rsidR="003843AB" w:rsidRPr="00454CA5">
        <w:rPr>
          <w:rFonts w:ascii="Arial" w:hAnsi="Arial" w:cs="Arial"/>
          <w:iCs/>
          <w:lang w:val="en-US"/>
        </w:rPr>
        <w:t xml:space="preserve">control to the Specified Banks to run and oversee the turnaround. </w:t>
      </w:r>
    </w:p>
    <w:p w14:paraId="171E75AD" w14:textId="66E1747F" w:rsidR="003F5F24" w:rsidRPr="00454CA5" w:rsidRDefault="003F5F24" w:rsidP="004D6CCD">
      <w:pPr>
        <w:pStyle w:val="ListParagraph"/>
        <w:numPr>
          <w:ilvl w:val="0"/>
          <w:numId w:val="11"/>
        </w:numPr>
        <w:ind w:left="1418" w:hanging="851"/>
        <w:contextualSpacing w:val="0"/>
        <w:jc w:val="both"/>
        <w:rPr>
          <w:rFonts w:ascii="Arial" w:hAnsi="Arial" w:cs="Arial"/>
          <w:i/>
        </w:rPr>
      </w:pPr>
      <w:r w:rsidRPr="00454CA5">
        <w:rPr>
          <w:rFonts w:ascii="Arial" w:hAnsi="Arial" w:cs="Arial"/>
          <w:b/>
          <w:bCs/>
          <w:i/>
          <w:iCs/>
        </w:rPr>
        <w:t>No involv</w:t>
      </w:r>
      <w:r w:rsidR="003E035E" w:rsidRPr="00454CA5">
        <w:rPr>
          <w:rFonts w:ascii="Arial" w:hAnsi="Arial" w:cs="Arial"/>
          <w:b/>
          <w:bCs/>
          <w:i/>
          <w:iCs/>
        </w:rPr>
        <w:t>e</w:t>
      </w:r>
      <w:r w:rsidRPr="00454CA5">
        <w:rPr>
          <w:rFonts w:ascii="Arial" w:hAnsi="Arial" w:cs="Arial"/>
          <w:b/>
          <w:bCs/>
          <w:i/>
          <w:iCs/>
        </w:rPr>
        <w:t xml:space="preserve">ment of the shareholder company </w:t>
      </w:r>
      <w:r w:rsidR="00A105A5" w:rsidRPr="00454CA5">
        <w:rPr>
          <w:rFonts w:ascii="Arial" w:hAnsi="Arial" w:cs="Arial"/>
          <w:b/>
          <w:bCs/>
          <w:i/>
          <w:iCs/>
        </w:rPr>
        <w:t xml:space="preserve">in the resolution process </w:t>
      </w:r>
      <w:r w:rsidR="00A72955" w:rsidRPr="00454CA5">
        <w:rPr>
          <w:rFonts w:ascii="Arial" w:hAnsi="Arial" w:cs="Arial"/>
          <w:b/>
          <w:bCs/>
          <w:i/>
          <w:iCs/>
        </w:rPr>
        <w:t>and binding effect of the requisite majority</w:t>
      </w:r>
      <w:r w:rsidR="004F5847" w:rsidRPr="00454CA5">
        <w:rPr>
          <w:rFonts w:ascii="Arial" w:hAnsi="Arial" w:cs="Arial"/>
          <w:b/>
          <w:bCs/>
          <w:i/>
          <w:iCs/>
        </w:rPr>
        <w:t xml:space="preserve"> of Creditors Committee</w:t>
      </w:r>
    </w:p>
    <w:p w14:paraId="1C26EBD5" w14:textId="70E187AA" w:rsidR="00406896" w:rsidRPr="00454CA5" w:rsidRDefault="00406896" w:rsidP="003F5F24">
      <w:pPr>
        <w:pStyle w:val="ListParagraph"/>
        <w:ind w:left="1418"/>
        <w:contextualSpacing w:val="0"/>
        <w:jc w:val="both"/>
        <w:rPr>
          <w:rFonts w:ascii="Arial" w:hAnsi="Arial" w:cs="Arial"/>
          <w:i/>
        </w:rPr>
      </w:pPr>
      <w:r w:rsidRPr="00454CA5">
        <w:rPr>
          <w:rFonts w:ascii="Arial" w:hAnsi="Arial" w:cs="Arial"/>
        </w:rPr>
        <w:t>As stated above, the Creditors Committee</w:t>
      </w:r>
      <w:r w:rsidRPr="00454CA5">
        <w:rPr>
          <w:rFonts w:ascii="Arial" w:hAnsi="Arial" w:cs="Arial"/>
        </w:rPr>
        <w:t xml:space="preserve"> plays a vital and key role in the CIRP of a corporate debtor and is required to vote </w:t>
      </w:r>
      <w:r w:rsidR="00944AC3" w:rsidRPr="00454CA5">
        <w:rPr>
          <w:rFonts w:ascii="Arial" w:hAnsi="Arial" w:cs="Arial"/>
        </w:rPr>
        <w:t>on and</w:t>
      </w:r>
      <w:r w:rsidRPr="00454CA5">
        <w:rPr>
          <w:rFonts w:ascii="Arial" w:hAnsi="Arial" w:cs="Arial"/>
        </w:rPr>
        <w:t xml:space="preserve"> take several decisions during the CIRP. The decision of the Creditors Committee is taken by the voting share</w:t>
      </w:r>
      <w:r w:rsidRPr="00454CA5">
        <w:rPr>
          <w:rFonts w:ascii="Arial" w:hAnsi="Arial" w:cs="Arial"/>
          <w:vertAlign w:val="superscript"/>
        </w:rPr>
        <w:t xml:space="preserve"> </w:t>
      </w:r>
      <w:r w:rsidRPr="00454CA5">
        <w:rPr>
          <w:rFonts w:ascii="Arial" w:hAnsi="Arial" w:cs="Arial"/>
        </w:rPr>
        <w:t xml:space="preserve">of the total financial debt admitted by the </w:t>
      </w:r>
      <w:r w:rsidRPr="00454CA5">
        <w:rPr>
          <w:rFonts w:ascii="Arial" w:hAnsi="Arial" w:cs="Arial"/>
        </w:rPr>
        <w:t>Insolvency Professional</w:t>
      </w:r>
      <w:r w:rsidRPr="00454CA5">
        <w:rPr>
          <w:rFonts w:ascii="Arial" w:hAnsi="Arial" w:cs="Arial"/>
        </w:rPr>
        <w:t>. The voting share of a member of the Creditors Committee is the debt represented by that financial creditor compared to the entire financial debt of the corporate debtor, as admitted by the I</w:t>
      </w:r>
      <w:r w:rsidRPr="00454CA5">
        <w:rPr>
          <w:rFonts w:ascii="Arial" w:hAnsi="Arial" w:cs="Arial"/>
        </w:rPr>
        <w:t>nsolvency Professional</w:t>
      </w:r>
      <w:r w:rsidRPr="00454CA5">
        <w:rPr>
          <w:rFonts w:ascii="Arial" w:hAnsi="Arial" w:cs="Arial"/>
        </w:rPr>
        <w:t xml:space="preserve">.  It is worth noting that for the purpose of participation in the </w:t>
      </w:r>
      <w:r w:rsidR="00EA388A" w:rsidRPr="00454CA5">
        <w:rPr>
          <w:rFonts w:ascii="Arial" w:hAnsi="Arial" w:cs="Arial"/>
        </w:rPr>
        <w:t xml:space="preserve">Creditors Committee </w:t>
      </w:r>
      <w:r w:rsidRPr="00454CA5">
        <w:rPr>
          <w:rFonts w:ascii="Arial" w:hAnsi="Arial" w:cs="Arial"/>
        </w:rPr>
        <w:t xml:space="preserve">meetings and computing voting share, </w:t>
      </w:r>
      <w:r w:rsidRPr="00454CA5">
        <w:rPr>
          <w:rFonts w:ascii="Arial" w:hAnsi="Arial" w:cs="Arial"/>
        </w:rPr>
        <w:t xml:space="preserve">the Insolvency Code </w:t>
      </w:r>
      <w:r w:rsidRPr="00454CA5">
        <w:rPr>
          <w:rFonts w:ascii="Arial" w:hAnsi="Arial" w:cs="Arial"/>
        </w:rPr>
        <w:t>does not distinguish between secured and unsecured financial creditors.</w:t>
      </w:r>
    </w:p>
    <w:p w14:paraId="45FD0319" w14:textId="6ECF747E" w:rsidR="00032BF2" w:rsidRPr="00454CA5" w:rsidRDefault="00217E2A" w:rsidP="003C0088">
      <w:pPr>
        <w:pStyle w:val="ListParagraph"/>
        <w:ind w:left="1418"/>
        <w:contextualSpacing w:val="0"/>
        <w:jc w:val="both"/>
        <w:rPr>
          <w:rFonts w:ascii="Arial" w:hAnsi="Arial" w:cs="Arial"/>
          <w:lang w:val="en-US"/>
        </w:rPr>
      </w:pPr>
      <w:r w:rsidRPr="00454CA5">
        <w:rPr>
          <w:rFonts w:ascii="Arial" w:hAnsi="Arial" w:cs="Arial"/>
          <w:lang w:val="en-US"/>
        </w:rPr>
        <w:t>The voting threshold:</w:t>
      </w:r>
      <w:r w:rsidR="00B17788" w:rsidRPr="00454CA5">
        <w:rPr>
          <w:rFonts w:ascii="Arial" w:hAnsi="Arial" w:cs="Arial"/>
          <w:lang w:val="en-US"/>
        </w:rPr>
        <w:t xml:space="preserve"> </w:t>
      </w:r>
      <w:r w:rsidRPr="00454CA5">
        <w:rPr>
          <w:rFonts w:ascii="Arial" w:hAnsi="Arial" w:cs="Arial"/>
          <w:lang w:val="en-US"/>
        </w:rPr>
        <w:t>(A)</w:t>
      </w:r>
      <w:r w:rsidR="00B17788" w:rsidRPr="00454CA5">
        <w:rPr>
          <w:rFonts w:ascii="Arial" w:hAnsi="Arial" w:cs="Arial"/>
          <w:lang w:val="en-US"/>
        </w:rPr>
        <w:t xml:space="preserve"> </w:t>
      </w:r>
      <w:r w:rsidRPr="00454CA5">
        <w:rPr>
          <w:rFonts w:ascii="Arial" w:hAnsi="Arial" w:cs="Arial"/>
          <w:lang w:val="en-US"/>
        </w:rPr>
        <w:t xml:space="preserve">for approval of the resolution plan and certain other critical </w:t>
      </w:r>
      <w:r w:rsidR="009924EB" w:rsidRPr="00454CA5">
        <w:rPr>
          <w:rFonts w:ascii="Arial" w:hAnsi="Arial" w:cs="Arial"/>
          <w:lang w:val="en-US"/>
        </w:rPr>
        <w:t xml:space="preserve">specified </w:t>
      </w:r>
      <w:r w:rsidRPr="00454CA5">
        <w:rPr>
          <w:rFonts w:ascii="Arial" w:hAnsi="Arial" w:cs="Arial"/>
          <w:lang w:val="en-US"/>
        </w:rPr>
        <w:t xml:space="preserve">decisions (for instance, creation of any security interest over the assets of the corporate debtor, raising of interim finance in excess of specified thresholds, effecting a change in the capital structure or ownership interest in </w:t>
      </w:r>
      <w:r w:rsidRPr="00454CA5">
        <w:rPr>
          <w:rFonts w:ascii="Arial" w:hAnsi="Arial" w:cs="Arial"/>
        </w:rPr>
        <w:t>the</w:t>
      </w:r>
      <w:r w:rsidRPr="00454CA5">
        <w:rPr>
          <w:rFonts w:ascii="Arial" w:hAnsi="Arial" w:cs="Arial"/>
          <w:lang w:val="en-US"/>
        </w:rPr>
        <w:t xml:space="preserve"> corporate debtor, undertaking related party transactions, amending constitutional documents of the corporate debtor, transferring rights or debts under material contracts outside of the ordinary course of business and delegation of authority etc.) is </w:t>
      </w:r>
      <w:r w:rsidRPr="00454CA5">
        <w:rPr>
          <w:rFonts w:ascii="Arial" w:hAnsi="Arial" w:cs="Arial"/>
          <w:u w:val="single"/>
          <w:lang w:val="en-US"/>
        </w:rPr>
        <w:t>66% of the voting share</w:t>
      </w:r>
      <w:r w:rsidRPr="00454CA5">
        <w:rPr>
          <w:rFonts w:ascii="Arial" w:hAnsi="Arial" w:cs="Arial"/>
          <w:lang w:val="en-US"/>
        </w:rPr>
        <w:t xml:space="preserve">; </w:t>
      </w:r>
      <w:r w:rsidR="00171F07" w:rsidRPr="00454CA5">
        <w:rPr>
          <w:rFonts w:ascii="Arial" w:hAnsi="Arial" w:cs="Arial"/>
          <w:lang w:val="en-US"/>
        </w:rPr>
        <w:t xml:space="preserve"> </w:t>
      </w:r>
      <w:r w:rsidRPr="00454CA5">
        <w:rPr>
          <w:rFonts w:ascii="Arial" w:hAnsi="Arial" w:cs="Arial"/>
          <w:lang w:val="en-US"/>
        </w:rPr>
        <w:t>(B)</w:t>
      </w:r>
      <w:r w:rsidR="00171F07" w:rsidRPr="00454CA5">
        <w:rPr>
          <w:rFonts w:ascii="Arial" w:hAnsi="Arial" w:cs="Arial"/>
          <w:lang w:val="en-US"/>
        </w:rPr>
        <w:t xml:space="preserve"> </w:t>
      </w:r>
      <w:r w:rsidRPr="00454CA5">
        <w:rPr>
          <w:rFonts w:ascii="Arial" w:hAnsi="Arial" w:cs="Arial"/>
          <w:lang w:val="en-US"/>
        </w:rPr>
        <w:t>for withdrawal of a CIRP proceeding (once admitted) is 90% of the voting share; and (C)</w:t>
      </w:r>
      <w:r w:rsidRPr="00454CA5">
        <w:rPr>
          <w:rFonts w:ascii="Arial" w:hAnsi="Arial" w:cs="Arial"/>
          <w:lang w:val="en-US"/>
        </w:rPr>
        <w:tab/>
        <w:t xml:space="preserve">other matters requiring  approval of the </w:t>
      </w:r>
      <w:r w:rsidR="009746D4" w:rsidRPr="00454CA5">
        <w:rPr>
          <w:rFonts w:ascii="Arial" w:hAnsi="Arial" w:cs="Arial"/>
          <w:lang w:val="en-US"/>
        </w:rPr>
        <w:t>Creditors Committee</w:t>
      </w:r>
      <w:r w:rsidRPr="00454CA5">
        <w:rPr>
          <w:rFonts w:ascii="Arial" w:hAnsi="Arial" w:cs="Arial"/>
          <w:lang w:val="en-US"/>
        </w:rPr>
        <w:t xml:space="preserve"> is </w:t>
      </w:r>
      <w:r w:rsidRPr="00454CA5">
        <w:rPr>
          <w:rFonts w:ascii="Arial" w:hAnsi="Arial" w:cs="Arial"/>
          <w:u w:val="single"/>
          <w:lang w:val="en-US"/>
        </w:rPr>
        <w:t>51% of the voting share</w:t>
      </w:r>
      <w:r w:rsidRPr="00454CA5">
        <w:rPr>
          <w:rFonts w:ascii="Arial" w:hAnsi="Arial" w:cs="Arial"/>
          <w:lang w:val="en-US"/>
        </w:rPr>
        <w:t>.</w:t>
      </w:r>
      <w:r w:rsidR="00E02F44" w:rsidRPr="00454CA5">
        <w:rPr>
          <w:rFonts w:ascii="Arial" w:hAnsi="Arial" w:cs="Arial"/>
          <w:lang w:val="en-US"/>
        </w:rPr>
        <w:t xml:space="preserve"> </w:t>
      </w:r>
    </w:p>
    <w:p w14:paraId="6FD19721" w14:textId="024FDEA2" w:rsidR="00E02F44" w:rsidRPr="00454CA5" w:rsidRDefault="00E02F44" w:rsidP="0065610A">
      <w:pPr>
        <w:pStyle w:val="ListParagraph"/>
        <w:ind w:left="1418"/>
        <w:contextualSpacing w:val="0"/>
        <w:jc w:val="both"/>
        <w:rPr>
          <w:rFonts w:ascii="Arial" w:hAnsi="Arial" w:cs="Arial"/>
          <w:lang w:val="en-US"/>
        </w:rPr>
      </w:pPr>
      <w:r w:rsidRPr="00454CA5">
        <w:rPr>
          <w:rFonts w:ascii="Arial" w:hAnsi="Arial" w:cs="Arial"/>
          <w:lang w:val="en-US"/>
        </w:rPr>
        <w:t xml:space="preserve">In </w:t>
      </w:r>
      <w:r w:rsidR="003C0088" w:rsidRPr="00454CA5">
        <w:rPr>
          <w:rFonts w:ascii="Arial" w:hAnsi="Arial" w:cs="Arial"/>
          <w:lang w:val="en-US"/>
        </w:rPr>
        <w:t xml:space="preserve">the present instance, </w:t>
      </w:r>
      <w:r w:rsidR="008F5365" w:rsidRPr="00454CA5">
        <w:rPr>
          <w:rFonts w:ascii="Arial" w:hAnsi="Arial" w:cs="Arial"/>
          <w:lang w:val="en-US"/>
        </w:rPr>
        <w:t xml:space="preserve">assuming that the </w:t>
      </w:r>
      <w:r w:rsidR="00266774" w:rsidRPr="00454CA5">
        <w:rPr>
          <w:rFonts w:ascii="Arial" w:hAnsi="Arial" w:cs="Arial"/>
          <w:lang w:val="en-US"/>
        </w:rPr>
        <w:t>Bank A and B collectively held 66% voting share</w:t>
      </w:r>
      <w:r w:rsidR="00E04FEF" w:rsidRPr="00454CA5">
        <w:rPr>
          <w:rFonts w:ascii="Arial" w:hAnsi="Arial" w:cs="Arial"/>
          <w:lang w:val="en-US"/>
        </w:rPr>
        <w:t>,</w:t>
      </w:r>
      <w:r w:rsidR="00266774" w:rsidRPr="00454CA5">
        <w:rPr>
          <w:rFonts w:ascii="Arial" w:hAnsi="Arial" w:cs="Arial"/>
          <w:lang w:val="en-US"/>
        </w:rPr>
        <w:t xml:space="preserve"> </w:t>
      </w:r>
      <w:r w:rsidR="00E04FEF" w:rsidRPr="00454CA5">
        <w:rPr>
          <w:rFonts w:ascii="Arial" w:hAnsi="Arial" w:cs="Arial"/>
          <w:lang w:val="en-US"/>
        </w:rPr>
        <w:t>the critical decision would have been undertaken, which would have been binding on Bank C and D</w:t>
      </w:r>
      <w:r w:rsidR="00C35018" w:rsidRPr="00454CA5">
        <w:rPr>
          <w:rFonts w:ascii="Arial" w:hAnsi="Arial" w:cs="Arial"/>
          <w:lang w:val="en-US"/>
        </w:rPr>
        <w:t xml:space="preserve"> (if they decided to continue to not co-operate). </w:t>
      </w:r>
      <w:r w:rsidR="000461CC" w:rsidRPr="00454CA5">
        <w:rPr>
          <w:rFonts w:ascii="Arial" w:hAnsi="Arial" w:cs="Arial"/>
          <w:lang w:val="en-US"/>
        </w:rPr>
        <w:t>The decision making wouldn’t have stalled the process and given that the</w:t>
      </w:r>
      <w:r w:rsidR="00186F75" w:rsidRPr="00454CA5">
        <w:rPr>
          <w:rFonts w:ascii="Arial" w:hAnsi="Arial" w:cs="Arial"/>
          <w:lang w:val="en-US"/>
        </w:rPr>
        <w:t xml:space="preserve"> </w:t>
      </w:r>
      <w:r w:rsidR="003B70B5" w:rsidRPr="00454CA5">
        <w:rPr>
          <w:rFonts w:ascii="Arial" w:hAnsi="Arial" w:cs="Arial"/>
          <w:lang w:val="en-US"/>
        </w:rPr>
        <w:t xml:space="preserve">CIRP is a time-bound resolution, quicker decision could have been undertaken with the requisite majority. </w:t>
      </w:r>
      <w:r w:rsidR="001B0E72" w:rsidRPr="00454CA5">
        <w:rPr>
          <w:rFonts w:ascii="Arial" w:hAnsi="Arial" w:cs="Arial"/>
          <w:lang w:val="en-US"/>
        </w:rPr>
        <w:t xml:space="preserve">Further, the involvement or approval of the </w:t>
      </w:r>
      <w:r w:rsidR="005A6095" w:rsidRPr="00454CA5">
        <w:rPr>
          <w:rFonts w:ascii="Arial" w:hAnsi="Arial" w:cs="Arial"/>
          <w:lang w:val="en-US"/>
        </w:rPr>
        <w:t>shareholder company</w:t>
      </w:r>
      <w:r w:rsidR="001B0E72" w:rsidRPr="00454CA5">
        <w:rPr>
          <w:rFonts w:ascii="Arial" w:hAnsi="Arial" w:cs="Arial"/>
          <w:lang w:val="en-US"/>
        </w:rPr>
        <w:t xml:space="preserve"> would not have been require</w:t>
      </w:r>
      <w:r w:rsidR="00227CFF" w:rsidRPr="00454CA5">
        <w:rPr>
          <w:rFonts w:ascii="Arial" w:hAnsi="Arial" w:cs="Arial"/>
          <w:lang w:val="en-US"/>
        </w:rPr>
        <w:t xml:space="preserve">d for any of the steps. </w:t>
      </w:r>
    </w:p>
    <w:p w14:paraId="39C15ECF" w14:textId="77777777" w:rsidR="009C5952" w:rsidRPr="00454CA5" w:rsidRDefault="009C5952" w:rsidP="004D6CCD">
      <w:pPr>
        <w:pStyle w:val="ListParagraph"/>
        <w:numPr>
          <w:ilvl w:val="0"/>
          <w:numId w:val="11"/>
        </w:numPr>
        <w:ind w:left="1418" w:hanging="851"/>
        <w:contextualSpacing w:val="0"/>
        <w:jc w:val="both"/>
        <w:rPr>
          <w:rFonts w:ascii="Arial" w:hAnsi="Arial" w:cs="Arial"/>
        </w:rPr>
      </w:pPr>
      <w:r w:rsidRPr="00454CA5">
        <w:rPr>
          <w:rFonts w:ascii="Arial" w:hAnsi="Arial" w:cs="Arial"/>
          <w:b/>
          <w:bCs/>
          <w:i/>
          <w:iCs/>
        </w:rPr>
        <w:t>Statutory priority to Interim Finance</w:t>
      </w:r>
    </w:p>
    <w:p w14:paraId="166CB34C" w14:textId="609B1D56" w:rsidR="00032BF2" w:rsidRPr="00454CA5" w:rsidRDefault="00C33B5A" w:rsidP="009C5952">
      <w:pPr>
        <w:pStyle w:val="ListParagraph"/>
        <w:ind w:left="1418"/>
        <w:contextualSpacing w:val="0"/>
        <w:jc w:val="both"/>
        <w:rPr>
          <w:rFonts w:ascii="Arial" w:hAnsi="Arial" w:cs="Arial"/>
        </w:rPr>
      </w:pPr>
      <w:r w:rsidRPr="00454CA5">
        <w:rPr>
          <w:rFonts w:ascii="Arial" w:hAnsi="Arial" w:cs="Arial"/>
        </w:rPr>
        <w:t>Under the Insolvency Code, i</w:t>
      </w:r>
      <w:r w:rsidR="0070576A" w:rsidRPr="00454CA5">
        <w:rPr>
          <w:rFonts w:ascii="Arial" w:hAnsi="Arial" w:cs="Arial"/>
        </w:rPr>
        <w:t>nterim finance</w:t>
      </w:r>
      <w:r w:rsidR="009720AD" w:rsidRPr="00454CA5">
        <w:rPr>
          <w:rFonts w:ascii="Arial" w:hAnsi="Arial" w:cs="Arial"/>
        </w:rPr>
        <w:t xml:space="preserve"> provided after the insolvency commencement date is considered as insolvency resolution process cost (</w:t>
      </w:r>
      <w:r w:rsidR="009720AD" w:rsidRPr="00454CA5">
        <w:rPr>
          <w:rFonts w:ascii="Arial" w:hAnsi="Arial" w:cs="Arial"/>
          <w:b/>
          <w:bCs/>
        </w:rPr>
        <w:t>CIRP Cost</w:t>
      </w:r>
      <w:r w:rsidR="009720AD" w:rsidRPr="00454CA5">
        <w:rPr>
          <w:rFonts w:ascii="Arial" w:hAnsi="Arial" w:cs="Arial"/>
        </w:rPr>
        <w:t>). As CIRP Cost, such interim finance</w:t>
      </w:r>
      <w:r w:rsidRPr="00454CA5">
        <w:rPr>
          <w:rFonts w:ascii="Arial" w:hAnsi="Arial" w:cs="Arial"/>
        </w:rPr>
        <w:t xml:space="preserve"> is given statutory primacy </w:t>
      </w:r>
      <w:r w:rsidR="00D71CF1" w:rsidRPr="00454CA5">
        <w:rPr>
          <w:rFonts w:ascii="Arial" w:hAnsi="Arial" w:cs="Arial"/>
        </w:rPr>
        <w:t xml:space="preserve">it will have to be paid in priority to any other payment during the CIRP or under liquidation (as the case may be). Accordingly, providing the required </w:t>
      </w:r>
      <w:r w:rsidR="00371C33" w:rsidRPr="00454CA5">
        <w:rPr>
          <w:rFonts w:ascii="Arial" w:hAnsi="Arial" w:cs="Arial"/>
        </w:rPr>
        <w:t xml:space="preserve">interim finance would have </w:t>
      </w:r>
      <w:r w:rsidR="004F1277" w:rsidRPr="00454CA5">
        <w:rPr>
          <w:rFonts w:ascii="Arial" w:hAnsi="Arial" w:cs="Arial"/>
        </w:rPr>
        <w:t xml:space="preserve">provided the much needed </w:t>
      </w:r>
      <w:r w:rsidR="000A754F" w:rsidRPr="00454CA5">
        <w:rPr>
          <w:rFonts w:ascii="Arial" w:hAnsi="Arial" w:cs="Arial"/>
        </w:rPr>
        <w:t xml:space="preserve">liquidity to the company for running the operations, which would have helped in generating the revenues. Given that moratorium would have been in place, there would have been no concern in respect of initiation of legal proceedings and the </w:t>
      </w:r>
      <w:r w:rsidR="00132FEA" w:rsidRPr="00454CA5">
        <w:rPr>
          <w:rFonts w:ascii="Arial" w:hAnsi="Arial" w:cs="Arial"/>
        </w:rPr>
        <w:t xml:space="preserve">company could have entirely focused on revenue generation. </w:t>
      </w:r>
    </w:p>
    <w:p w14:paraId="5350F605" w14:textId="79264D4B" w:rsidR="00E449E6" w:rsidRPr="00454CA5" w:rsidRDefault="00E449E6" w:rsidP="004D6CCD">
      <w:pPr>
        <w:pStyle w:val="ListParagraph"/>
        <w:numPr>
          <w:ilvl w:val="0"/>
          <w:numId w:val="11"/>
        </w:numPr>
        <w:ind w:left="1418" w:hanging="851"/>
        <w:contextualSpacing w:val="0"/>
        <w:jc w:val="both"/>
        <w:rPr>
          <w:rFonts w:ascii="Arial" w:hAnsi="Arial" w:cs="Arial"/>
          <w:b/>
          <w:bCs/>
        </w:rPr>
      </w:pPr>
      <w:r w:rsidRPr="00454CA5">
        <w:rPr>
          <w:rFonts w:ascii="Arial" w:hAnsi="Arial" w:cs="Arial"/>
          <w:b/>
          <w:bCs/>
          <w:i/>
          <w:iCs/>
        </w:rPr>
        <w:lastRenderedPageBreak/>
        <w:t>Primacy to the comm</w:t>
      </w:r>
      <w:r w:rsidR="00A61D72" w:rsidRPr="00454CA5">
        <w:rPr>
          <w:rFonts w:ascii="Arial" w:hAnsi="Arial" w:cs="Arial"/>
          <w:b/>
          <w:bCs/>
          <w:i/>
          <w:iCs/>
        </w:rPr>
        <w:t>er</w:t>
      </w:r>
      <w:r w:rsidRPr="00454CA5">
        <w:rPr>
          <w:rFonts w:ascii="Arial" w:hAnsi="Arial" w:cs="Arial"/>
          <w:b/>
          <w:bCs/>
          <w:i/>
          <w:iCs/>
        </w:rPr>
        <w:t>cial wisdom of the Creditors Committee and bind</w:t>
      </w:r>
      <w:r w:rsidR="000D3D25" w:rsidRPr="00454CA5">
        <w:rPr>
          <w:rFonts w:ascii="Arial" w:hAnsi="Arial" w:cs="Arial"/>
          <w:b/>
          <w:bCs/>
          <w:i/>
          <w:iCs/>
        </w:rPr>
        <w:t>i</w:t>
      </w:r>
      <w:r w:rsidRPr="00454CA5">
        <w:rPr>
          <w:rFonts w:ascii="Arial" w:hAnsi="Arial" w:cs="Arial"/>
          <w:b/>
          <w:bCs/>
          <w:i/>
          <w:iCs/>
        </w:rPr>
        <w:t>ng effect of the resolution plan</w:t>
      </w:r>
    </w:p>
    <w:p w14:paraId="5893C2F1" w14:textId="23094CB8" w:rsidR="00E457A0" w:rsidRPr="00454CA5" w:rsidRDefault="00E457A0" w:rsidP="00A61D72">
      <w:pPr>
        <w:pStyle w:val="ListParagraph"/>
        <w:ind w:left="1418"/>
        <w:contextualSpacing w:val="0"/>
        <w:jc w:val="both"/>
        <w:rPr>
          <w:rFonts w:ascii="Arial" w:hAnsi="Arial" w:cs="Arial"/>
        </w:rPr>
      </w:pPr>
      <w:r w:rsidRPr="00454CA5">
        <w:rPr>
          <w:rFonts w:ascii="Arial" w:hAnsi="Arial" w:cs="Arial"/>
        </w:rPr>
        <w:t xml:space="preserve">The scheme of the </w:t>
      </w:r>
      <w:r w:rsidR="009F0AE0" w:rsidRPr="00454CA5">
        <w:rPr>
          <w:rFonts w:ascii="Arial" w:hAnsi="Arial" w:cs="Arial"/>
        </w:rPr>
        <w:t>Insolvency</w:t>
      </w:r>
      <w:r w:rsidR="00374EA4" w:rsidRPr="00454CA5">
        <w:rPr>
          <w:rFonts w:ascii="Arial" w:hAnsi="Arial" w:cs="Arial"/>
        </w:rPr>
        <w:t xml:space="preserve"> Code</w:t>
      </w:r>
      <w:r w:rsidRPr="00454CA5">
        <w:rPr>
          <w:rFonts w:ascii="Arial" w:hAnsi="Arial" w:cs="Arial"/>
        </w:rPr>
        <w:t xml:space="preserve"> (and related regulations) is such that, the resolution of a corporate debtor is done through bidding process, in terms of which the </w:t>
      </w:r>
      <w:r w:rsidR="00FA7B9C" w:rsidRPr="00454CA5">
        <w:rPr>
          <w:rFonts w:ascii="Arial" w:hAnsi="Arial" w:cs="Arial"/>
        </w:rPr>
        <w:t>Insolvency Professional</w:t>
      </w:r>
      <w:r w:rsidRPr="00454CA5">
        <w:rPr>
          <w:rFonts w:ascii="Arial" w:hAnsi="Arial" w:cs="Arial"/>
        </w:rPr>
        <w:t xml:space="preserve"> invite</w:t>
      </w:r>
      <w:r w:rsidR="00AB2A84" w:rsidRPr="00454CA5">
        <w:rPr>
          <w:rFonts w:ascii="Arial" w:hAnsi="Arial" w:cs="Arial"/>
        </w:rPr>
        <w:t xml:space="preserve">s </w:t>
      </w:r>
      <w:r w:rsidR="00CF3912" w:rsidRPr="00454CA5">
        <w:rPr>
          <w:rFonts w:ascii="Arial" w:hAnsi="Arial" w:cs="Arial"/>
          <w:i/>
          <w:iCs/>
        </w:rPr>
        <w:t>resolution</w:t>
      </w:r>
      <w:r w:rsidR="00AB2A84" w:rsidRPr="00454CA5">
        <w:rPr>
          <w:rFonts w:ascii="Arial" w:hAnsi="Arial" w:cs="Arial"/>
          <w:i/>
          <w:iCs/>
        </w:rPr>
        <w:t xml:space="preserve"> </w:t>
      </w:r>
      <w:r w:rsidRPr="00454CA5">
        <w:rPr>
          <w:rFonts w:ascii="Arial" w:hAnsi="Arial" w:cs="Arial"/>
          <w:i/>
          <w:iCs/>
        </w:rPr>
        <w:t>plans</w:t>
      </w:r>
      <w:r w:rsidRPr="00454CA5">
        <w:rPr>
          <w:rFonts w:ascii="Arial" w:hAnsi="Arial" w:cs="Arial"/>
        </w:rPr>
        <w:t xml:space="preserve"> from interested, eligible </w:t>
      </w:r>
      <w:r w:rsidRPr="00454CA5">
        <w:rPr>
          <w:rFonts w:ascii="Arial" w:hAnsi="Arial" w:cs="Arial"/>
          <w:i/>
          <w:iCs/>
        </w:rPr>
        <w:t xml:space="preserve">resolution </w:t>
      </w:r>
      <w:r w:rsidR="006665C8" w:rsidRPr="00454CA5">
        <w:rPr>
          <w:rFonts w:ascii="Arial" w:hAnsi="Arial" w:cs="Arial"/>
          <w:i/>
          <w:iCs/>
        </w:rPr>
        <w:t>applicants</w:t>
      </w:r>
      <w:r w:rsidRPr="00454CA5">
        <w:rPr>
          <w:rFonts w:ascii="Arial" w:hAnsi="Arial" w:cs="Arial"/>
        </w:rPr>
        <w:t xml:space="preserve">.  A </w:t>
      </w:r>
      <w:r w:rsidR="0073345C" w:rsidRPr="00454CA5">
        <w:rPr>
          <w:rFonts w:ascii="Arial" w:hAnsi="Arial" w:cs="Arial"/>
          <w:i/>
          <w:iCs/>
        </w:rPr>
        <w:t>resolution</w:t>
      </w:r>
      <w:r w:rsidRPr="00454CA5">
        <w:rPr>
          <w:rFonts w:ascii="Arial" w:hAnsi="Arial" w:cs="Arial"/>
          <w:i/>
          <w:iCs/>
        </w:rPr>
        <w:t xml:space="preserve"> plan</w:t>
      </w:r>
      <w:r w:rsidRPr="00454CA5">
        <w:rPr>
          <w:rFonts w:ascii="Arial" w:hAnsi="Arial" w:cs="Arial"/>
        </w:rPr>
        <w:t xml:space="preserve"> is defined under the </w:t>
      </w:r>
      <w:r w:rsidR="00325503" w:rsidRPr="00454CA5">
        <w:rPr>
          <w:rFonts w:ascii="Arial" w:hAnsi="Arial" w:cs="Arial"/>
        </w:rPr>
        <w:t>Insolvency Code</w:t>
      </w:r>
      <w:r w:rsidRPr="00454CA5">
        <w:rPr>
          <w:rFonts w:ascii="Arial" w:hAnsi="Arial" w:cs="Arial"/>
        </w:rPr>
        <w:t xml:space="preserve"> as a ‘</w:t>
      </w:r>
      <w:r w:rsidRPr="00454CA5">
        <w:rPr>
          <w:rFonts w:ascii="Arial" w:hAnsi="Arial" w:cs="Arial"/>
          <w:i/>
          <w:iCs/>
        </w:rPr>
        <w:t>plan submitted by a resolution applicant for resolution of the corporate debtor as a going concern in accordance with Part II</w:t>
      </w:r>
      <w:r w:rsidRPr="00454CA5">
        <w:rPr>
          <w:rFonts w:ascii="Arial" w:hAnsi="Arial" w:cs="Arial"/>
        </w:rPr>
        <w:t>’.  The statute does not limit or restrict the kind of resolution plan that may be submitted other than the fact that it must contemplate the resolution of the corporate debtor as a ‘going concern’.  The intention of the statute is that for a resolution process of the corporate debtor to be approved and successfully implemented, the corporate debtor as an entity must survive post the implementation and to this effect, a resolution plan may contemplate a variety of measures</w:t>
      </w:r>
      <w:r w:rsidRPr="00454CA5">
        <w:rPr>
          <w:rStyle w:val="FootnoteReference"/>
          <w:rFonts w:ascii="Arial" w:hAnsi="Arial" w:cs="Arial"/>
        </w:rPr>
        <w:footnoteReference w:id="24"/>
      </w:r>
      <w:r w:rsidRPr="00454CA5">
        <w:rPr>
          <w:rFonts w:ascii="Arial" w:hAnsi="Arial" w:cs="Arial"/>
        </w:rPr>
        <w:t xml:space="preserve">. </w:t>
      </w:r>
      <w:r w:rsidR="00F66D59" w:rsidRPr="00454CA5">
        <w:rPr>
          <w:rFonts w:ascii="Arial" w:hAnsi="Arial" w:cs="Arial"/>
        </w:rPr>
        <w:t xml:space="preserve">Recently, </w:t>
      </w:r>
      <w:r w:rsidR="001225FE" w:rsidRPr="00454CA5">
        <w:rPr>
          <w:rFonts w:ascii="Arial" w:hAnsi="Arial" w:cs="Arial"/>
        </w:rPr>
        <w:t xml:space="preserve">the regulations have also been amended such that </w:t>
      </w:r>
      <w:r w:rsidR="00762106" w:rsidRPr="00454CA5">
        <w:rPr>
          <w:rFonts w:ascii="Arial" w:hAnsi="Arial" w:cs="Arial"/>
        </w:rPr>
        <w:t xml:space="preserve">plans are not received for the company as a whole, the Insolvency Professional (with the approval of the Creditors Committee) can issued </w:t>
      </w:r>
      <w:r w:rsidR="001225FE" w:rsidRPr="00454CA5">
        <w:rPr>
          <w:rFonts w:ascii="Arial" w:hAnsi="Arial" w:cs="Arial"/>
        </w:rPr>
        <w:t>request for resolution plan for sale of one or more of assets of the corporate debtor</w:t>
      </w:r>
      <w:r w:rsidR="00313677" w:rsidRPr="00454CA5">
        <w:rPr>
          <w:rFonts w:ascii="Arial" w:hAnsi="Arial" w:cs="Arial"/>
        </w:rPr>
        <w:t xml:space="preserve">. </w:t>
      </w:r>
    </w:p>
    <w:p w14:paraId="22C92D35" w14:textId="067AE652" w:rsidR="0094099F" w:rsidRPr="00454CA5" w:rsidRDefault="007628BE" w:rsidP="00CE3422">
      <w:pPr>
        <w:pStyle w:val="ListParagraph"/>
        <w:ind w:left="1418"/>
        <w:contextualSpacing w:val="0"/>
        <w:jc w:val="both"/>
        <w:rPr>
          <w:rFonts w:ascii="Arial" w:hAnsi="Arial" w:cs="Arial"/>
        </w:rPr>
      </w:pPr>
      <w:r w:rsidRPr="00454CA5">
        <w:rPr>
          <w:rFonts w:ascii="Arial" w:hAnsi="Arial" w:cs="Arial"/>
        </w:rPr>
        <w:t xml:space="preserve">The resolution plans are required to </w:t>
      </w:r>
      <w:r w:rsidR="00C07E51" w:rsidRPr="00454CA5">
        <w:rPr>
          <w:rFonts w:ascii="Arial" w:hAnsi="Arial" w:cs="Arial"/>
        </w:rPr>
        <w:t xml:space="preserve">meet certain mandatory criteria (for instance, provide for priority payment of CIRP Cost, minimum payment to operational creditors and dissenting financial creditors, etc.). If the resolution plan </w:t>
      </w:r>
      <w:r w:rsidR="0088022E" w:rsidRPr="00454CA5">
        <w:rPr>
          <w:rFonts w:ascii="Arial" w:hAnsi="Arial" w:cs="Arial"/>
        </w:rPr>
        <w:t>meets</w:t>
      </w:r>
      <w:r w:rsidR="00C07E51" w:rsidRPr="00454CA5">
        <w:rPr>
          <w:rFonts w:ascii="Arial" w:hAnsi="Arial" w:cs="Arial"/>
        </w:rPr>
        <w:t xml:space="preserve"> the requirement, it is ultimately the Creditors Committee which will have to approve </w:t>
      </w:r>
      <w:r w:rsidRPr="00454CA5">
        <w:rPr>
          <w:rFonts w:ascii="Arial" w:hAnsi="Arial" w:cs="Arial"/>
        </w:rPr>
        <w:t xml:space="preserve">the </w:t>
      </w:r>
      <w:r w:rsidR="00B319A7" w:rsidRPr="00454CA5">
        <w:rPr>
          <w:rFonts w:ascii="Arial" w:hAnsi="Arial" w:cs="Arial"/>
        </w:rPr>
        <w:t xml:space="preserve">plan after taking into account its feasibility and viability. </w:t>
      </w:r>
      <w:r w:rsidR="0094099F" w:rsidRPr="00454CA5">
        <w:rPr>
          <w:rFonts w:ascii="Arial" w:hAnsi="Arial" w:cs="Arial"/>
        </w:rPr>
        <w:t xml:space="preserve">Under the scheme of the </w:t>
      </w:r>
      <w:r w:rsidR="009746D4" w:rsidRPr="00454CA5">
        <w:rPr>
          <w:rFonts w:ascii="Arial" w:hAnsi="Arial" w:cs="Arial"/>
        </w:rPr>
        <w:t>Insolvency Code</w:t>
      </w:r>
      <w:r w:rsidR="0094099F" w:rsidRPr="00454CA5">
        <w:rPr>
          <w:rFonts w:ascii="Arial" w:hAnsi="Arial" w:cs="Arial"/>
        </w:rPr>
        <w:t xml:space="preserve">, as far as negotiating the terms of the resolution plan and determining the manner of distribution of the payout under the resolution plan, the collectively commercial wisdom (as evidenced by votes of the requisite voting share) has been recognized as being supreme. The Supreme Court in </w:t>
      </w:r>
      <w:r w:rsidR="0094099F" w:rsidRPr="00454CA5">
        <w:rPr>
          <w:rFonts w:ascii="Arial" w:hAnsi="Arial" w:cs="Arial"/>
          <w:i/>
          <w:iCs/>
        </w:rPr>
        <w:t xml:space="preserve">Committee of Creditors of Essar Steel India Limited </w:t>
      </w:r>
      <w:r w:rsidR="0094099F" w:rsidRPr="00454CA5">
        <w:rPr>
          <w:rFonts w:ascii="Arial" w:hAnsi="Arial" w:cs="Arial"/>
        </w:rPr>
        <w:t>v.</w:t>
      </w:r>
      <w:r w:rsidR="0094099F" w:rsidRPr="00454CA5">
        <w:rPr>
          <w:rFonts w:ascii="Arial" w:hAnsi="Arial" w:cs="Arial"/>
          <w:i/>
          <w:iCs/>
        </w:rPr>
        <w:t xml:space="preserve"> Satish Kumar Gupta &amp; </w:t>
      </w:r>
      <w:proofErr w:type="spellStart"/>
      <w:r w:rsidR="0094099F" w:rsidRPr="00454CA5">
        <w:rPr>
          <w:rFonts w:ascii="Arial" w:hAnsi="Arial" w:cs="Arial"/>
          <w:i/>
          <w:iCs/>
        </w:rPr>
        <w:t>Ors</w:t>
      </w:r>
      <w:proofErr w:type="spellEnd"/>
      <w:r w:rsidR="001B200F" w:rsidRPr="00454CA5">
        <w:rPr>
          <w:rFonts w:ascii="Arial" w:hAnsi="Arial" w:cs="Arial"/>
          <w:i/>
          <w:iCs/>
        </w:rPr>
        <w:t>.</w:t>
      </w:r>
      <w:r w:rsidR="0094099F" w:rsidRPr="00454CA5">
        <w:rPr>
          <w:rStyle w:val="FootnoteReference"/>
          <w:rFonts w:ascii="Arial" w:hAnsi="Arial" w:cs="Arial"/>
        </w:rPr>
        <w:footnoteReference w:id="25"/>
      </w:r>
      <w:r w:rsidR="0094099F" w:rsidRPr="00454CA5">
        <w:rPr>
          <w:rFonts w:ascii="Arial" w:hAnsi="Arial" w:cs="Arial"/>
        </w:rPr>
        <w:t xml:space="preserve"> upheld the primacy of the commercial decision making by the </w:t>
      </w:r>
      <w:r w:rsidR="00260E6B" w:rsidRPr="00454CA5">
        <w:rPr>
          <w:rFonts w:ascii="Arial" w:hAnsi="Arial" w:cs="Arial"/>
          <w:lang w:val="en-US"/>
        </w:rPr>
        <w:t>Creditors Committee</w:t>
      </w:r>
      <w:r w:rsidR="0094099F" w:rsidRPr="00454CA5">
        <w:rPr>
          <w:rFonts w:ascii="Arial" w:hAnsi="Arial" w:cs="Arial"/>
        </w:rPr>
        <w:t xml:space="preserve"> and </w:t>
      </w:r>
      <w:r w:rsidR="0094099F" w:rsidRPr="00454CA5">
        <w:rPr>
          <w:rFonts w:ascii="Arial" w:hAnsi="Arial" w:cs="Arial"/>
          <w:i/>
        </w:rPr>
        <w:t xml:space="preserve">inter alia </w:t>
      </w:r>
      <w:r w:rsidR="0094099F" w:rsidRPr="00454CA5">
        <w:rPr>
          <w:rFonts w:ascii="Arial" w:hAnsi="Arial" w:cs="Arial"/>
        </w:rPr>
        <w:t>held as follows:</w:t>
      </w:r>
    </w:p>
    <w:p w14:paraId="1AD80766" w14:textId="27889C70" w:rsidR="0094099F" w:rsidRPr="00454CA5" w:rsidRDefault="0094099F" w:rsidP="004D6CCD">
      <w:pPr>
        <w:pStyle w:val="Heading6"/>
        <w:numPr>
          <w:ilvl w:val="0"/>
          <w:numId w:val="13"/>
        </w:numPr>
        <w:tabs>
          <w:tab w:val="num" w:pos="360"/>
        </w:tabs>
        <w:ind w:left="2268" w:hanging="839"/>
        <w:rPr>
          <w:rFonts w:ascii="Arial" w:hAnsi="Arial" w:cs="Arial"/>
          <w:sz w:val="22"/>
        </w:rPr>
      </w:pPr>
      <w:r w:rsidRPr="00454CA5">
        <w:rPr>
          <w:rFonts w:ascii="Arial" w:hAnsi="Arial" w:cs="Arial"/>
          <w:sz w:val="22"/>
        </w:rPr>
        <w:t xml:space="preserve">the financial creditors have been given complete discretion to determine the feasibility and viability of resolution plans, which includes the manner of distribution of debts that is contained in them, subject to ensuring compliance with the provisions of the </w:t>
      </w:r>
      <w:r w:rsidR="009746D4" w:rsidRPr="00454CA5">
        <w:rPr>
          <w:rFonts w:ascii="Arial" w:hAnsi="Arial" w:cs="Arial"/>
          <w:sz w:val="22"/>
        </w:rPr>
        <w:t xml:space="preserve">Insolvency Code </w:t>
      </w:r>
      <w:r w:rsidRPr="00454CA5">
        <w:rPr>
          <w:rFonts w:ascii="Arial" w:hAnsi="Arial" w:cs="Arial"/>
          <w:sz w:val="22"/>
        </w:rPr>
        <w:t>relating, inter alia, to dealing with the interests of all stakeholders (including operational creditors);</w:t>
      </w:r>
    </w:p>
    <w:p w14:paraId="6CA08FEC" w14:textId="05649EBF" w:rsidR="0094099F" w:rsidRPr="00454CA5" w:rsidRDefault="0094099F" w:rsidP="004D6CCD">
      <w:pPr>
        <w:pStyle w:val="Heading6"/>
        <w:numPr>
          <w:ilvl w:val="0"/>
          <w:numId w:val="13"/>
        </w:numPr>
        <w:tabs>
          <w:tab w:val="num" w:pos="360"/>
        </w:tabs>
        <w:ind w:left="2268" w:hanging="839"/>
        <w:rPr>
          <w:rFonts w:ascii="Arial" w:hAnsi="Arial" w:cs="Arial"/>
          <w:color w:val="000000" w:themeColor="text1"/>
          <w:sz w:val="22"/>
        </w:rPr>
      </w:pPr>
      <w:r w:rsidRPr="00454CA5">
        <w:rPr>
          <w:rFonts w:ascii="Arial" w:hAnsi="Arial" w:cs="Arial"/>
          <w:color w:val="000000" w:themeColor="text1"/>
          <w:sz w:val="22"/>
        </w:rPr>
        <w:t xml:space="preserve">so long as the provisions of </w:t>
      </w:r>
      <w:r w:rsidR="009746D4" w:rsidRPr="00454CA5">
        <w:rPr>
          <w:rFonts w:ascii="Arial" w:hAnsi="Arial" w:cs="Arial"/>
          <w:sz w:val="22"/>
        </w:rPr>
        <w:t>Insolvency Code</w:t>
      </w:r>
      <w:r w:rsidRPr="00454CA5">
        <w:rPr>
          <w:rFonts w:ascii="Arial" w:hAnsi="Arial" w:cs="Arial"/>
          <w:color w:val="000000" w:themeColor="text1"/>
          <w:sz w:val="22"/>
        </w:rPr>
        <w:t xml:space="preserve"> and the </w:t>
      </w:r>
      <w:r w:rsidR="00F86C4F" w:rsidRPr="00454CA5">
        <w:rPr>
          <w:rFonts w:ascii="Arial" w:hAnsi="Arial" w:cs="Arial"/>
          <w:color w:val="000000" w:themeColor="text1"/>
          <w:sz w:val="22"/>
        </w:rPr>
        <w:t>r</w:t>
      </w:r>
      <w:r w:rsidRPr="00454CA5">
        <w:rPr>
          <w:rFonts w:ascii="Arial" w:hAnsi="Arial" w:cs="Arial"/>
          <w:color w:val="000000" w:themeColor="text1"/>
          <w:sz w:val="22"/>
        </w:rPr>
        <w:t xml:space="preserve">egulations are complied with, it is the commercial wisdom of the requisite majority of the </w:t>
      </w:r>
      <w:r w:rsidR="00260E6B" w:rsidRPr="00454CA5">
        <w:rPr>
          <w:rFonts w:ascii="Arial" w:hAnsi="Arial" w:cs="Arial"/>
          <w:sz w:val="22"/>
        </w:rPr>
        <w:t>Creditors Committee</w:t>
      </w:r>
      <w:r w:rsidRPr="00454CA5">
        <w:rPr>
          <w:rFonts w:ascii="Arial" w:hAnsi="Arial" w:cs="Arial"/>
          <w:color w:val="000000" w:themeColor="text1"/>
          <w:sz w:val="22"/>
        </w:rPr>
        <w:t xml:space="preserve"> (</w:t>
      </w:r>
      <w:r w:rsidR="002B6CB4" w:rsidRPr="00454CA5">
        <w:rPr>
          <w:rFonts w:ascii="Arial" w:hAnsi="Arial" w:cs="Arial"/>
          <w:color w:val="000000" w:themeColor="text1"/>
          <w:sz w:val="22"/>
        </w:rPr>
        <w:t>i.e.,</w:t>
      </w:r>
      <w:r w:rsidRPr="00454CA5">
        <w:rPr>
          <w:rFonts w:ascii="Arial" w:hAnsi="Arial" w:cs="Arial"/>
          <w:color w:val="000000" w:themeColor="text1"/>
          <w:sz w:val="22"/>
        </w:rPr>
        <w:t xml:space="preserve"> 66% by voting share) which is to negotiate and accept a resolution plan that must prevail on the facts of any given case. It may also involve differences in distribution of amounts between different classes of creditors;</w:t>
      </w:r>
    </w:p>
    <w:p w14:paraId="66BE2F97" w14:textId="64D3D595" w:rsidR="0094099F" w:rsidRPr="00454CA5" w:rsidRDefault="0094099F" w:rsidP="004D6CCD">
      <w:pPr>
        <w:pStyle w:val="Heading6"/>
        <w:numPr>
          <w:ilvl w:val="0"/>
          <w:numId w:val="13"/>
        </w:numPr>
        <w:tabs>
          <w:tab w:val="num" w:pos="360"/>
        </w:tabs>
        <w:ind w:left="2268" w:hanging="839"/>
        <w:rPr>
          <w:rFonts w:ascii="Arial" w:hAnsi="Arial" w:cs="Arial"/>
          <w:sz w:val="22"/>
        </w:rPr>
      </w:pPr>
      <w:r w:rsidRPr="00454CA5">
        <w:rPr>
          <w:rFonts w:ascii="Arial" w:hAnsi="Arial" w:cs="Arial"/>
          <w:color w:val="000000" w:themeColor="text1"/>
          <w:sz w:val="22"/>
        </w:rPr>
        <w:lastRenderedPageBreak/>
        <w:t xml:space="preserve">the </w:t>
      </w:r>
      <w:r w:rsidR="00260E6B" w:rsidRPr="00454CA5">
        <w:rPr>
          <w:rFonts w:ascii="Arial" w:hAnsi="Arial" w:cs="Arial"/>
          <w:sz w:val="22"/>
        </w:rPr>
        <w:t>Creditors Committee</w:t>
      </w:r>
      <w:r w:rsidRPr="00454CA5">
        <w:rPr>
          <w:rFonts w:ascii="Arial" w:hAnsi="Arial" w:cs="Arial"/>
          <w:color w:val="000000" w:themeColor="text1"/>
          <w:sz w:val="22"/>
        </w:rPr>
        <w:t xml:space="preserve"> has the discretion to so classify creditors and to pay secured creditors amounts which can be based upon the priority and value of their security</w:t>
      </w:r>
      <w:r w:rsidRPr="00454CA5">
        <w:rPr>
          <w:rFonts w:ascii="Arial" w:hAnsi="Arial" w:cs="Arial"/>
          <w:sz w:val="22"/>
          <w:vertAlign w:val="superscript"/>
        </w:rPr>
        <w:footnoteReference w:id="26"/>
      </w:r>
      <w:r w:rsidRPr="00454CA5">
        <w:rPr>
          <w:rFonts w:ascii="Arial" w:hAnsi="Arial" w:cs="Arial"/>
          <w:color w:val="000000" w:themeColor="text1"/>
          <w:sz w:val="22"/>
        </w:rPr>
        <w:t xml:space="preserve">. </w:t>
      </w:r>
    </w:p>
    <w:p w14:paraId="2934B290" w14:textId="5699D206" w:rsidR="0094099F" w:rsidRPr="00454CA5" w:rsidRDefault="0094099F" w:rsidP="00A015E6">
      <w:pPr>
        <w:pStyle w:val="Heading5"/>
        <w:numPr>
          <w:ilvl w:val="0"/>
          <w:numId w:val="0"/>
        </w:numPr>
        <w:ind w:left="1418"/>
        <w:rPr>
          <w:rFonts w:ascii="Arial" w:hAnsi="Arial" w:cs="Arial"/>
          <w:sz w:val="22"/>
        </w:rPr>
      </w:pPr>
      <w:r w:rsidRPr="00454CA5">
        <w:rPr>
          <w:rFonts w:ascii="Arial" w:hAnsi="Arial" w:cs="Arial"/>
          <w:sz w:val="22"/>
        </w:rPr>
        <w:t xml:space="preserve">Accordingly, it is settled law that subject to the payment of the mandatory amounts as prescribed under the </w:t>
      </w:r>
      <w:r w:rsidR="009746D4" w:rsidRPr="00454CA5">
        <w:rPr>
          <w:rFonts w:ascii="Arial" w:hAnsi="Arial" w:cs="Arial"/>
          <w:sz w:val="22"/>
        </w:rPr>
        <w:t>Insolvency Code</w:t>
      </w:r>
      <w:r w:rsidRPr="00454CA5">
        <w:rPr>
          <w:rFonts w:ascii="Arial" w:hAnsi="Arial" w:cs="Arial"/>
          <w:sz w:val="22"/>
        </w:rPr>
        <w:t xml:space="preserve"> (and related regulations) as described above, the manner of distribution of the remaining proceeds under the resolution plan is the sole remit of the </w:t>
      </w:r>
      <w:r w:rsidR="00260E6B" w:rsidRPr="00454CA5">
        <w:rPr>
          <w:rFonts w:ascii="Arial" w:hAnsi="Arial" w:cs="Arial"/>
          <w:sz w:val="22"/>
        </w:rPr>
        <w:t>Creditors Committee</w:t>
      </w:r>
      <w:r w:rsidRPr="00454CA5">
        <w:rPr>
          <w:rFonts w:ascii="Arial" w:hAnsi="Arial" w:cs="Arial"/>
          <w:sz w:val="22"/>
        </w:rPr>
        <w:t xml:space="preserve"> and a proposal in this regard which receives the requisite majority approval (of at least 66% of the voting share) will be binding on all stakeholders. </w:t>
      </w:r>
    </w:p>
    <w:p w14:paraId="5C2B3CA2" w14:textId="1D5BABEE" w:rsidR="00964122" w:rsidRPr="00454CA5" w:rsidRDefault="004D6CCD" w:rsidP="004D6CCD">
      <w:pPr>
        <w:pStyle w:val="Heading5"/>
        <w:numPr>
          <w:ilvl w:val="0"/>
          <w:numId w:val="0"/>
        </w:numPr>
        <w:ind w:left="1418"/>
        <w:rPr>
          <w:sz w:val="22"/>
        </w:rPr>
      </w:pPr>
      <w:r w:rsidRPr="00454CA5">
        <w:rPr>
          <w:rFonts w:ascii="Arial" w:hAnsi="Arial" w:cs="Arial"/>
          <w:sz w:val="22"/>
        </w:rPr>
        <w:t xml:space="preserve">In the present Case Study as well, </w:t>
      </w:r>
      <w:r w:rsidR="0088022E" w:rsidRPr="00454CA5">
        <w:rPr>
          <w:rFonts w:ascii="Arial" w:hAnsi="Arial" w:cs="Arial"/>
          <w:sz w:val="22"/>
        </w:rPr>
        <w:t>the Specified Banks could have taken the decision, which would have bound all the stakeholders, including the shareholder company, government and statutory authority, etc. In my experience, I have seen that generally the resolution applicants provide for extinguishment of complete liability towards shareholders</w:t>
      </w:r>
      <w:r w:rsidR="007712ED" w:rsidRPr="00454CA5">
        <w:rPr>
          <w:rFonts w:ascii="Arial" w:hAnsi="Arial" w:cs="Arial"/>
          <w:sz w:val="22"/>
        </w:rPr>
        <w:t xml:space="preserve"> (as the liquidation value in most cases to shareholders is NIL)</w:t>
      </w:r>
      <w:r w:rsidR="0088022E" w:rsidRPr="00454CA5">
        <w:rPr>
          <w:rFonts w:ascii="Arial" w:hAnsi="Arial" w:cs="Arial"/>
          <w:sz w:val="22"/>
        </w:rPr>
        <w:t>, capital reduction and simultaneous capital infusion for 100% control</w:t>
      </w:r>
      <w:r w:rsidR="007712ED" w:rsidRPr="00454CA5">
        <w:rPr>
          <w:rFonts w:ascii="Arial" w:hAnsi="Arial" w:cs="Arial"/>
          <w:sz w:val="22"/>
        </w:rPr>
        <w:t xml:space="preserve">. Such provisions are binding on the shareholders. Given that in the present instance, the </w:t>
      </w:r>
      <w:r w:rsidR="002069AF" w:rsidRPr="00454CA5">
        <w:rPr>
          <w:rFonts w:ascii="Arial" w:hAnsi="Arial" w:cs="Arial"/>
          <w:sz w:val="22"/>
        </w:rPr>
        <w:t xml:space="preserve">shareholder </w:t>
      </w:r>
      <w:r w:rsidR="00BD5E67" w:rsidRPr="00454CA5">
        <w:rPr>
          <w:rFonts w:ascii="Arial" w:hAnsi="Arial" w:cs="Arial"/>
          <w:sz w:val="22"/>
        </w:rPr>
        <w:t xml:space="preserve">company was creating the most nuisance, getting in a new shareholder company would have benefitted all the stakeholders. </w:t>
      </w:r>
    </w:p>
    <w:p w14:paraId="0B773086" w14:textId="08E56FB6" w:rsidR="00CB70E3" w:rsidRPr="00454CA5" w:rsidRDefault="005C3A63" w:rsidP="00CB70E3">
      <w:pPr>
        <w:pStyle w:val="ListParagraph"/>
        <w:numPr>
          <w:ilvl w:val="0"/>
          <w:numId w:val="11"/>
        </w:numPr>
        <w:ind w:left="1418" w:hanging="851"/>
        <w:contextualSpacing w:val="0"/>
        <w:jc w:val="both"/>
        <w:rPr>
          <w:rFonts w:ascii="Arial" w:hAnsi="Arial" w:cs="Arial"/>
          <w:b/>
          <w:bCs/>
          <w:i/>
          <w:iCs/>
        </w:rPr>
      </w:pPr>
      <w:r w:rsidRPr="00454CA5">
        <w:rPr>
          <w:rFonts w:ascii="Arial" w:hAnsi="Arial" w:cs="Arial"/>
          <w:b/>
          <w:bCs/>
          <w:i/>
          <w:iCs/>
        </w:rPr>
        <w:t>Fresh slate</w:t>
      </w:r>
      <w:r w:rsidR="004A59A5" w:rsidRPr="00454CA5">
        <w:rPr>
          <w:rFonts w:ascii="Arial" w:hAnsi="Arial" w:cs="Arial"/>
          <w:b/>
          <w:bCs/>
          <w:i/>
          <w:iCs/>
        </w:rPr>
        <w:t xml:space="preserve"> start </w:t>
      </w:r>
    </w:p>
    <w:p w14:paraId="6A0434CA" w14:textId="77777777" w:rsidR="003A294B" w:rsidRPr="00454CA5" w:rsidRDefault="005C3A63" w:rsidP="00CB70E3">
      <w:pPr>
        <w:pStyle w:val="ListParagraph"/>
        <w:ind w:left="1418"/>
        <w:contextualSpacing w:val="0"/>
        <w:jc w:val="both"/>
        <w:rPr>
          <w:rFonts w:ascii="Arial" w:hAnsi="Arial" w:cs="Arial"/>
          <w:lang w:val="en-US"/>
        </w:rPr>
      </w:pPr>
      <w:r w:rsidRPr="00454CA5">
        <w:rPr>
          <w:rFonts w:ascii="Arial" w:hAnsi="Arial" w:cs="Arial"/>
          <w:lang w:val="en-US"/>
        </w:rPr>
        <w:t xml:space="preserve">Under the Insolvency Code, once a resolution plan is implemented, the resolution applicant (i.e., the investor) will take over the corporate debtor on </w:t>
      </w:r>
      <w:r w:rsidRPr="00454CA5">
        <w:rPr>
          <w:rFonts w:ascii="Arial" w:hAnsi="Arial" w:cs="Arial"/>
          <w:i/>
          <w:iCs/>
          <w:lang w:val="en-US"/>
        </w:rPr>
        <w:t xml:space="preserve">clean slate </w:t>
      </w:r>
      <w:r w:rsidRPr="00454CA5">
        <w:rPr>
          <w:rFonts w:ascii="Arial" w:hAnsi="Arial" w:cs="Arial"/>
          <w:lang w:val="en-US"/>
        </w:rPr>
        <w:t>basis.</w:t>
      </w:r>
      <w:r w:rsidRPr="00454CA5">
        <w:rPr>
          <w:rStyle w:val="FootnoteReference"/>
          <w:rFonts w:ascii="Arial" w:hAnsi="Arial" w:cs="Arial"/>
          <w:lang w:val="en-US"/>
        </w:rPr>
        <w:footnoteReference w:id="27"/>
      </w:r>
      <w:r w:rsidRPr="00454CA5">
        <w:rPr>
          <w:rFonts w:ascii="Arial" w:hAnsi="Arial" w:cs="Arial"/>
          <w:lang w:val="en-US"/>
        </w:rPr>
        <w:t xml:space="preserve"> Effectively, after making the payments in accordance with the terms of the approved resolution plan, the past liabilities of the organization are whitewashed and it is given a fresh slate start. </w:t>
      </w:r>
    </w:p>
    <w:p w14:paraId="14CFB686" w14:textId="199DB883" w:rsidR="005C3A63" w:rsidRPr="00454CA5" w:rsidRDefault="003A294B" w:rsidP="00CB70E3">
      <w:pPr>
        <w:pStyle w:val="ListParagraph"/>
        <w:ind w:left="1418"/>
        <w:contextualSpacing w:val="0"/>
        <w:jc w:val="both"/>
        <w:rPr>
          <w:rFonts w:ascii="Arial" w:hAnsi="Arial" w:cs="Arial"/>
        </w:rPr>
      </w:pPr>
      <w:r w:rsidRPr="00454CA5">
        <w:rPr>
          <w:rFonts w:ascii="Arial" w:hAnsi="Arial" w:cs="Arial"/>
          <w:lang w:val="en-US"/>
        </w:rPr>
        <w:t>Accordingly, in the present instance, the incoming resolution applicant, after making payment in terms of the resolution plan would have taken over the control of the company on a clean sl</w:t>
      </w:r>
      <w:r w:rsidR="00454CA5" w:rsidRPr="00454CA5">
        <w:rPr>
          <w:rFonts w:ascii="Arial" w:hAnsi="Arial" w:cs="Arial"/>
          <w:lang w:val="en-US"/>
        </w:rPr>
        <w:t xml:space="preserve">ate basis, which is a beneficial bargain for the stakeholders involved. </w:t>
      </w:r>
    </w:p>
    <w:p w14:paraId="5B33EB6B" w14:textId="77777777" w:rsidR="00032BF2" w:rsidRPr="00454CA5" w:rsidRDefault="00032BF2" w:rsidP="0078788F">
      <w:pPr>
        <w:spacing w:line="240" w:lineRule="auto"/>
        <w:jc w:val="both"/>
        <w:rPr>
          <w:rFonts w:ascii="Arial" w:hAnsi="Arial" w:cs="Arial"/>
          <w:b/>
          <w:bCs/>
          <w:i/>
          <w:iCs/>
          <w:lang w:val="en-US"/>
        </w:rPr>
      </w:pPr>
    </w:p>
    <w:sectPr w:rsidR="00032BF2" w:rsidRPr="00454C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5761" w14:textId="77777777" w:rsidR="00882B4D" w:rsidRDefault="00882B4D" w:rsidP="00882B4D">
      <w:pPr>
        <w:spacing w:after="0" w:line="240" w:lineRule="auto"/>
      </w:pPr>
      <w:r>
        <w:separator/>
      </w:r>
    </w:p>
  </w:endnote>
  <w:endnote w:type="continuationSeparator" w:id="0">
    <w:p w14:paraId="69D41888" w14:textId="77777777" w:rsidR="00882B4D" w:rsidRDefault="00882B4D" w:rsidP="0088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3472069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AE15C67" w14:textId="2838C275" w:rsidR="00882B4D" w:rsidRPr="003D198F" w:rsidRDefault="00882B4D">
            <w:pPr>
              <w:pStyle w:val="Footer"/>
              <w:jc w:val="right"/>
              <w:rPr>
                <w:rFonts w:ascii="Arial" w:hAnsi="Arial" w:cs="Arial"/>
                <w:sz w:val="20"/>
                <w:szCs w:val="20"/>
              </w:rPr>
            </w:pPr>
            <w:r w:rsidRPr="003D198F">
              <w:rPr>
                <w:rFonts w:ascii="Arial" w:hAnsi="Arial" w:cs="Arial"/>
                <w:sz w:val="20"/>
                <w:szCs w:val="20"/>
              </w:rPr>
              <w:t xml:space="preserve">Page </w:t>
            </w:r>
            <w:r w:rsidRPr="003D198F">
              <w:rPr>
                <w:rFonts w:ascii="Arial" w:hAnsi="Arial" w:cs="Arial"/>
                <w:b/>
                <w:bCs/>
                <w:sz w:val="20"/>
                <w:szCs w:val="20"/>
              </w:rPr>
              <w:fldChar w:fldCharType="begin"/>
            </w:r>
            <w:r w:rsidRPr="003D198F">
              <w:rPr>
                <w:rFonts w:ascii="Arial" w:hAnsi="Arial" w:cs="Arial"/>
                <w:b/>
                <w:bCs/>
                <w:sz w:val="20"/>
                <w:szCs w:val="20"/>
              </w:rPr>
              <w:instrText xml:space="preserve"> PAGE </w:instrText>
            </w:r>
            <w:r w:rsidRPr="003D198F">
              <w:rPr>
                <w:rFonts w:ascii="Arial" w:hAnsi="Arial" w:cs="Arial"/>
                <w:b/>
                <w:bCs/>
                <w:sz w:val="20"/>
                <w:szCs w:val="20"/>
              </w:rPr>
              <w:fldChar w:fldCharType="separate"/>
            </w:r>
            <w:r w:rsidRPr="003D198F">
              <w:rPr>
                <w:rFonts w:ascii="Arial" w:hAnsi="Arial" w:cs="Arial"/>
                <w:b/>
                <w:bCs/>
                <w:noProof/>
                <w:sz w:val="20"/>
                <w:szCs w:val="20"/>
              </w:rPr>
              <w:t>2</w:t>
            </w:r>
            <w:r w:rsidRPr="003D198F">
              <w:rPr>
                <w:rFonts w:ascii="Arial" w:hAnsi="Arial" w:cs="Arial"/>
                <w:b/>
                <w:bCs/>
                <w:sz w:val="20"/>
                <w:szCs w:val="20"/>
              </w:rPr>
              <w:fldChar w:fldCharType="end"/>
            </w:r>
            <w:r w:rsidRPr="003D198F">
              <w:rPr>
                <w:rFonts w:ascii="Arial" w:hAnsi="Arial" w:cs="Arial"/>
                <w:sz w:val="20"/>
                <w:szCs w:val="20"/>
              </w:rPr>
              <w:t xml:space="preserve"> of </w:t>
            </w:r>
            <w:r w:rsidRPr="003D198F">
              <w:rPr>
                <w:rFonts w:ascii="Arial" w:hAnsi="Arial" w:cs="Arial"/>
                <w:b/>
                <w:bCs/>
                <w:sz w:val="20"/>
                <w:szCs w:val="20"/>
              </w:rPr>
              <w:fldChar w:fldCharType="begin"/>
            </w:r>
            <w:r w:rsidRPr="003D198F">
              <w:rPr>
                <w:rFonts w:ascii="Arial" w:hAnsi="Arial" w:cs="Arial"/>
                <w:b/>
                <w:bCs/>
                <w:sz w:val="20"/>
                <w:szCs w:val="20"/>
              </w:rPr>
              <w:instrText xml:space="preserve"> NUMPAGES  </w:instrText>
            </w:r>
            <w:r w:rsidRPr="003D198F">
              <w:rPr>
                <w:rFonts w:ascii="Arial" w:hAnsi="Arial" w:cs="Arial"/>
                <w:b/>
                <w:bCs/>
                <w:sz w:val="20"/>
                <w:szCs w:val="20"/>
              </w:rPr>
              <w:fldChar w:fldCharType="separate"/>
            </w:r>
            <w:r w:rsidRPr="003D198F">
              <w:rPr>
                <w:rFonts w:ascii="Arial" w:hAnsi="Arial" w:cs="Arial"/>
                <w:b/>
                <w:bCs/>
                <w:noProof/>
                <w:sz w:val="20"/>
                <w:szCs w:val="20"/>
              </w:rPr>
              <w:t>2</w:t>
            </w:r>
            <w:r w:rsidRPr="003D198F">
              <w:rPr>
                <w:rFonts w:ascii="Arial" w:hAnsi="Arial" w:cs="Arial"/>
                <w:b/>
                <w:bCs/>
                <w:sz w:val="20"/>
                <w:szCs w:val="20"/>
              </w:rPr>
              <w:fldChar w:fldCharType="end"/>
            </w:r>
          </w:p>
        </w:sdtContent>
      </w:sdt>
    </w:sdtContent>
  </w:sdt>
  <w:p w14:paraId="4039FEE1" w14:textId="77777777" w:rsidR="00882B4D" w:rsidRPr="003D198F" w:rsidRDefault="00882B4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8ACF" w14:textId="77777777" w:rsidR="00882B4D" w:rsidRDefault="00882B4D" w:rsidP="00882B4D">
      <w:pPr>
        <w:spacing w:after="0" w:line="240" w:lineRule="auto"/>
      </w:pPr>
      <w:r>
        <w:separator/>
      </w:r>
    </w:p>
  </w:footnote>
  <w:footnote w:type="continuationSeparator" w:id="0">
    <w:p w14:paraId="641EA84C" w14:textId="77777777" w:rsidR="00882B4D" w:rsidRDefault="00882B4D" w:rsidP="00882B4D">
      <w:pPr>
        <w:spacing w:after="0" w:line="240" w:lineRule="auto"/>
      </w:pPr>
      <w:r>
        <w:continuationSeparator/>
      </w:r>
    </w:p>
  </w:footnote>
  <w:footnote w:id="1">
    <w:p w14:paraId="221F4518" w14:textId="012B453F" w:rsidR="003C1552" w:rsidRPr="006D4552" w:rsidRDefault="003C1552" w:rsidP="00401DBC">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F75208" w:rsidRPr="006D4552">
        <w:rPr>
          <w:rFonts w:ascii="Arial" w:hAnsi="Arial" w:cs="Arial"/>
          <w:sz w:val="16"/>
          <w:szCs w:val="16"/>
        </w:rPr>
        <w:tab/>
      </w:r>
      <w:r w:rsidR="00523688" w:rsidRPr="006D4552">
        <w:rPr>
          <w:rFonts w:ascii="Arial" w:hAnsi="Arial" w:cs="Arial"/>
          <w:sz w:val="16"/>
          <w:szCs w:val="16"/>
        </w:rPr>
        <w:t>Kamel Mellahi and Adrian Wilkinso</w:t>
      </w:r>
      <w:r w:rsidR="00523688" w:rsidRPr="006D4552">
        <w:rPr>
          <w:rFonts w:ascii="Arial" w:hAnsi="Arial" w:cs="Arial"/>
          <w:sz w:val="16"/>
          <w:szCs w:val="16"/>
        </w:rPr>
        <w:t xml:space="preserve">n, </w:t>
      </w:r>
      <w:r w:rsidR="00401DBC" w:rsidRPr="006D4552">
        <w:rPr>
          <w:rFonts w:ascii="Arial" w:hAnsi="Arial" w:cs="Arial"/>
          <w:i/>
          <w:iCs/>
          <w:sz w:val="16"/>
          <w:szCs w:val="16"/>
        </w:rPr>
        <w:t>Organizational failure:</w:t>
      </w:r>
      <w:r w:rsidR="00615B6A" w:rsidRPr="006D4552">
        <w:rPr>
          <w:rFonts w:ascii="Arial" w:hAnsi="Arial" w:cs="Arial"/>
          <w:i/>
          <w:iCs/>
          <w:sz w:val="16"/>
          <w:szCs w:val="16"/>
        </w:rPr>
        <w:t xml:space="preserve"> </w:t>
      </w:r>
      <w:r w:rsidR="00401DBC" w:rsidRPr="006D4552">
        <w:rPr>
          <w:rFonts w:ascii="Arial" w:hAnsi="Arial" w:cs="Arial"/>
          <w:i/>
          <w:iCs/>
          <w:sz w:val="16"/>
          <w:szCs w:val="16"/>
        </w:rPr>
        <w:t>a critique of recent</w:t>
      </w:r>
      <w:r w:rsidR="00615B6A" w:rsidRPr="006D4552">
        <w:rPr>
          <w:rFonts w:ascii="Arial" w:hAnsi="Arial" w:cs="Arial"/>
          <w:i/>
          <w:iCs/>
          <w:sz w:val="16"/>
          <w:szCs w:val="16"/>
        </w:rPr>
        <w:t xml:space="preserve"> </w:t>
      </w:r>
      <w:r w:rsidR="00401DBC" w:rsidRPr="006D4552">
        <w:rPr>
          <w:rFonts w:ascii="Arial" w:hAnsi="Arial" w:cs="Arial"/>
          <w:i/>
          <w:iCs/>
          <w:sz w:val="16"/>
          <w:szCs w:val="16"/>
        </w:rPr>
        <w:t>research and a proposed</w:t>
      </w:r>
      <w:r w:rsidR="00615B6A" w:rsidRPr="006D4552">
        <w:rPr>
          <w:rFonts w:ascii="Arial" w:hAnsi="Arial" w:cs="Arial"/>
          <w:i/>
          <w:iCs/>
          <w:sz w:val="16"/>
          <w:szCs w:val="16"/>
        </w:rPr>
        <w:t xml:space="preserve"> </w:t>
      </w:r>
      <w:r w:rsidR="00401DBC" w:rsidRPr="006D4552">
        <w:rPr>
          <w:rFonts w:ascii="Arial" w:hAnsi="Arial" w:cs="Arial"/>
          <w:i/>
          <w:iCs/>
          <w:sz w:val="16"/>
          <w:szCs w:val="16"/>
        </w:rPr>
        <w:t xml:space="preserve">integrative </w:t>
      </w:r>
      <w:r w:rsidR="00401DBC" w:rsidRPr="006D4552">
        <w:rPr>
          <w:rFonts w:ascii="Arial" w:hAnsi="Arial" w:cs="Arial"/>
          <w:i/>
          <w:iCs/>
          <w:sz w:val="16"/>
          <w:szCs w:val="16"/>
        </w:rPr>
        <w:t>framework</w:t>
      </w:r>
      <w:r w:rsidR="0037632F" w:rsidRPr="006D4552">
        <w:rPr>
          <w:rFonts w:ascii="Arial" w:hAnsi="Arial" w:cs="Arial"/>
          <w:i/>
          <w:iCs/>
          <w:sz w:val="16"/>
          <w:szCs w:val="16"/>
        </w:rPr>
        <w:t>,</w:t>
      </w:r>
      <w:r w:rsidR="00401DBC" w:rsidRPr="006D4552">
        <w:rPr>
          <w:rFonts w:ascii="Arial" w:hAnsi="Arial" w:cs="Arial"/>
          <w:sz w:val="16"/>
          <w:szCs w:val="16"/>
        </w:rPr>
        <w:t xml:space="preserve"> </w:t>
      </w:r>
      <w:r w:rsidR="000D3806" w:rsidRPr="006D4552">
        <w:rPr>
          <w:rFonts w:ascii="Arial" w:hAnsi="Arial" w:cs="Arial"/>
          <w:sz w:val="16"/>
          <w:szCs w:val="16"/>
        </w:rPr>
        <w:t>International Journal of Management Reviews</w:t>
      </w:r>
      <w:r w:rsidR="00CC7B8C" w:rsidRPr="006D4552">
        <w:rPr>
          <w:rFonts w:ascii="Arial" w:hAnsi="Arial" w:cs="Arial"/>
          <w:sz w:val="16"/>
          <w:szCs w:val="16"/>
        </w:rPr>
        <w:t>,</w:t>
      </w:r>
      <w:r w:rsidR="000D3806" w:rsidRPr="006D4552">
        <w:rPr>
          <w:rFonts w:ascii="Arial" w:hAnsi="Arial" w:cs="Arial"/>
          <w:sz w:val="16"/>
          <w:szCs w:val="16"/>
        </w:rPr>
        <w:t xml:space="preserve"> Volume 5</w:t>
      </w:r>
      <w:r w:rsidR="00700B41" w:rsidRPr="006D4552">
        <w:rPr>
          <w:rFonts w:ascii="Arial" w:hAnsi="Arial" w:cs="Arial"/>
          <w:sz w:val="16"/>
          <w:szCs w:val="16"/>
        </w:rPr>
        <w:t>-</w:t>
      </w:r>
      <w:r w:rsidR="000D3806" w:rsidRPr="006D4552">
        <w:rPr>
          <w:rFonts w:ascii="Arial" w:hAnsi="Arial" w:cs="Arial"/>
          <w:sz w:val="16"/>
          <w:szCs w:val="16"/>
        </w:rPr>
        <w:t>6 Issue 1</w:t>
      </w:r>
      <w:r w:rsidR="00700B41" w:rsidRPr="006D4552">
        <w:rPr>
          <w:rFonts w:ascii="Arial" w:hAnsi="Arial" w:cs="Arial"/>
          <w:sz w:val="16"/>
          <w:szCs w:val="16"/>
        </w:rPr>
        <w:t>,</w:t>
      </w:r>
      <w:r w:rsidR="000D3806" w:rsidRPr="006D4552">
        <w:rPr>
          <w:rFonts w:ascii="Arial" w:hAnsi="Arial" w:cs="Arial"/>
          <w:sz w:val="16"/>
          <w:szCs w:val="16"/>
        </w:rPr>
        <w:t xml:space="preserve"> </w:t>
      </w:r>
      <w:r w:rsidR="00700B41" w:rsidRPr="006D4552">
        <w:rPr>
          <w:rFonts w:ascii="Arial" w:hAnsi="Arial" w:cs="Arial"/>
          <w:sz w:val="16"/>
          <w:szCs w:val="16"/>
        </w:rPr>
        <w:t xml:space="preserve">pages </w:t>
      </w:r>
      <w:r w:rsidR="000D3806" w:rsidRPr="006D4552">
        <w:rPr>
          <w:rFonts w:ascii="Arial" w:hAnsi="Arial" w:cs="Arial"/>
          <w:sz w:val="16"/>
          <w:szCs w:val="16"/>
        </w:rPr>
        <w:t>21–41</w:t>
      </w:r>
      <w:r w:rsidR="00700B41" w:rsidRPr="006D4552">
        <w:rPr>
          <w:rFonts w:ascii="Arial" w:hAnsi="Arial" w:cs="Arial"/>
          <w:sz w:val="16"/>
          <w:szCs w:val="16"/>
        </w:rPr>
        <w:t xml:space="preserve"> at page </w:t>
      </w:r>
      <w:r w:rsidR="007F6A50" w:rsidRPr="006D4552">
        <w:rPr>
          <w:rFonts w:ascii="Arial" w:hAnsi="Arial" w:cs="Arial"/>
          <w:sz w:val="16"/>
          <w:szCs w:val="16"/>
        </w:rPr>
        <w:t>27-28</w:t>
      </w:r>
      <w:r w:rsidR="00FE427A" w:rsidRPr="006D4552">
        <w:rPr>
          <w:rFonts w:ascii="Arial" w:hAnsi="Arial" w:cs="Arial"/>
          <w:sz w:val="16"/>
          <w:szCs w:val="16"/>
        </w:rPr>
        <w:t>.</w:t>
      </w:r>
    </w:p>
  </w:footnote>
  <w:footnote w:id="2">
    <w:p w14:paraId="443BA5EC" w14:textId="4FA1AA8D" w:rsidR="00A12285" w:rsidRPr="006D4552" w:rsidRDefault="00A12285" w:rsidP="00B474DB">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B474DB" w:rsidRPr="006D4552">
        <w:rPr>
          <w:rFonts w:ascii="Arial" w:hAnsi="Arial" w:cs="Arial"/>
          <w:sz w:val="16"/>
          <w:szCs w:val="16"/>
        </w:rPr>
        <w:tab/>
      </w:r>
      <w:r w:rsidR="00621330" w:rsidRPr="006D4552">
        <w:rPr>
          <w:rFonts w:ascii="Arial" w:hAnsi="Arial" w:cs="Arial"/>
          <w:sz w:val="16"/>
          <w:szCs w:val="16"/>
        </w:rPr>
        <w:t>Staw, B., Sandelands, L. and Dutton, J.E. (1981)</w:t>
      </w:r>
      <w:r w:rsidR="00DC136E" w:rsidRPr="006D4552">
        <w:rPr>
          <w:rFonts w:ascii="Arial" w:hAnsi="Arial" w:cs="Arial"/>
          <w:sz w:val="16"/>
          <w:szCs w:val="16"/>
        </w:rPr>
        <w:t>,</w:t>
      </w:r>
      <w:r w:rsidR="008365FA" w:rsidRPr="006D4552">
        <w:rPr>
          <w:rFonts w:ascii="Arial" w:hAnsi="Arial" w:cs="Arial"/>
          <w:sz w:val="16"/>
          <w:szCs w:val="16"/>
        </w:rPr>
        <w:t xml:space="preserve"> </w:t>
      </w:r>
      <w:r w:rsidR="00621330" w:rsidRPr="006D4552">
        <w:rPr>
          <w:rFonts w:ascii="Arial" w:hAnsi="Arial" w:cs="Arial"/>
          <w:i/>
          <w:iCs/>
          <w:sz w:val="16"/>
          <w:szCs w:val="16"/>
        </w:rPr>
        <w:t>Threat–rigidity cycles in organizational behavior: a</w:t>
      </w:r>
      <w:r w:rsidR="008365FA" w:rsidRPr="006D4552">
        <w:rPr>
          <w:rFonts w:ascii="Arial" w:hAnsi="Arial" w:cs="Arial"/>
          <w:i/>
          <w:iCs/>
          <w:sz w:val="16"/>
          <w:szCs w:val="16"/>
        </w:rPr>
        <w:t xml:space="preserve"> </w:t>
      </w:r>
      <w:r w:rsidR="00621330" w:rsidRPr="006D4552">
        <w:rPr>
          <w:rFonts w:ascii="Arial" w:hAnsi="Arial" w:cs="Arial"/>
          <w:i/>
          <w:iCs/>
          <w:sz w:val="16"/>
          <w:szCs w:val="16"/>
        </w:rPr>
        <w:t>multi-level analysis</w:t>
      </w:r>
      <w:r w:rsidR="00BF3854" w:rsidRPr="006D4552">
        <w:rPr>
          <w:rFonts w:ascii="Arial" w:hAnsi="Arial" w:cs="Arial"/>
          <w:sz w:val="16"/>
          <w:szCs w:val="16"/>
        </w:rPr>
        <w:t>,</w:t>
      </w:r>
      <w:r w:rsidR="00621330" w:rsidRPr="006D4552">
        <w:rPr>
          <w:rFonts w:ascii="Arial" w:hAnsi="Arial" w:cs="Arial"/>
          <w:sz w:val="16"/>
          <w:szCs w:val="16"/>
        </w:rPr>
        <w:t xml:space="preserve"> Administrative Science Quarterly,</w:t>
      </w:r>
      <w:r w:rsidR="008365FA" w:rsidRPr="006D4552">
        <w:rPr>
          <w:rFonts w:ascii="Arial" w:hAnsi="Arial" w:cs="Arial"/>
          <w:sz w:val="16"/>
          <w:szCs w:val="16"/>
        </w:rPr>
        <w:t xml:space="preserve"> </w:t>
      </w:r>
      <w:r w:rsidR="00621330" w:rsidRPr="006D4552">
        <w:rPr>
          <w:rFonts w:ascii="Arial" w:hAnsi="Arial" w:cs="Arial"/>
          <w:sz w:val="16"/>
          <w:szCs w:val="16"/>
        </w:rPr>
        <w:t xml:space="preserve">26, </w:t>
      </w:r>
      <w:r w:rsidR="0073575C" w:rsidRPr="006D4552">
        <w:rPr>
          <w:rFonts w:ascii="Arial" w:hAnsi="Arial" w:cs="Arial"/>
          <w:sz w:val="16"/>
          <w:szCs w:val="16"/>
        </w:rPr>
        <w:t xml:space="preserve">pages </w:t>
      </w:r>
      <w:r w:rsidR="00621330" w:rsidRPr="006D4552">
        <w:rPr>
          <w:rFonts w:ascii="Arial" w:hAnsi="Arial" w:cs="Arial"/>
          <w:sz w:val="16"/>
          <w:szCs w:val="16"/>
        </w:rPr>
        <w:t>501–524.</w:t>
      </w:r>
    </w:p>
  </w:footnote>
  <w:footnote w:id="3">
    <w:p w14:paraId="46A3EC93" w14:textId="774351B9" w:rsidR="003539BA" w:rsidRPr="006D4552" w:rsidRDefault="003539BA" w:rsidP="00531220">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BC15C2" w:rsidRPr="006D4552">
        <w:rPr>
          <w:rFonts w:ascii="Arial" w:hAnsi="Arial" w:cs="Arial"/>
          <w:sz w:val="16"/>
          <w:szCs w:val="16"/>
        </w:rPr>
        <w:tab/>
        <w:t xml:space="preserve">Ian Adriaanse and Hans Kuijl, </w:t>
      </w:r>
      <w:r w:rsidR="00BC15C2" w:rsidRPr="006D4552">
        <w:rPr>
          <w:rFonts w:ascii="Arial" w:hAnsi="Arial" w:cs="Arial"/>
          <w:i/>
          <w:iCs/>
          <w:sz w:val="16"/>
          <w:szCs w:val="16"/>
        </w:rPr>
        <w:t>Resolving Financial Distress: Informal Reorganizati</w:t>
      </w:r>
      <w:r w:rsidR="00DB05F7" w:rsidRPr="006D4552">
        <w:rPr>
          <w:rFonts w:ascii="Arial" w:hAnsi="Arial" w:cs="Arial"/>
          <w:i/>
          <w:iCs/>
          <w:sz w:val="16"/>
          <w:szCs w:val="16"/>
        </w:rPr>
        <w:t xml:space="preserve">on in the Netherlands as a Beacon for Policy Makers in the CIS an CEE/SEE Regions?, </w:t>
      </w:r>
      <w:r w:rsidR="00DB05F7" w:rsidRPr="006D4552">
        <w:rPr>
          <w:rFonts w:ascii="Arial" w:hAnsi="Arial" w:cs="Arial"/>
          <w:sz w:val="16"/>
          <w:szCs w:val="16"/>
        </w:rPr>
        <w:t>Review o</w:t>
      </w:r>
      <w:r w:rsidR="00C66B8C" w:rsidRPr="006D4552">
        <w:rPr>
          <w:rFonts w:ascii="Arial" w:hAnsi="Arial" w:cs="Arial"/>
          <w:sz w:val="16"/>
          <w:szCs w:val="16"/>
        </w:rPr>
        <w:t>f</w:t>
      </w:r>
      <w:r w:rsidR="00DB05F7" w:rsidRPr="006D4552">
        <w:rPr>
          <w:rFonts w:ascii="Arial" w:hAnsi="Arial" w:cs="Arial"/>
          <w:sz w:val="16"/>
          <w:szCs w:val="16"/>
        </w:rPr>
        <w:t xml:space="preserve"> Central and </w:t>
      </w:r>
      <w:r w:rsidR="00C66B8C" w:rsidRPr="006D4552">
        <w:rPr>
          <w:rFonts w:ascii="Arial" w:hAnsi="Arial" w:cs="Arial"/>
          <w:sz w:val="16"/>
          <w:szCs w:val="16"/>
        </w:rPr>
        <w:t>East European Law</w:t>
      </w:r>
      <w:r w:rsidR="00F56838" w:rsidRPr="006D4552">
        <w:rPr>
          <w:rFonts w:ascii="Arial" w:hAnsi="Arial" w:cs="Arial"/>
          <w:sz w:val="16"/>
          <w:szCs w:val="16"/>
        </w:rPr>
        <w:t>, 31 (2006)</w:t>
      </w:r>
      <w:r w:rsidR="003A1A95" w:rsidRPr="006D4552">
        <w:rPr>
          <w:rFonts w:ascii="Arial" w:hAnsi="Arial" w:cs="Arial"/>
          <w:sz w:val="16"/>
          <w:szCs w:val="16"/>
        </w:rPr>
        <w:t xml:space="preserve"> 135-154.</w:t>
      </w:r>
      <w:r w:rsidR="00C66B8C" w:rsidRPr="006D4552">
        <w:rPr>
          <w:rFonts w:ascii="Arial" w:hAnsi="Arial" w:cs="Arial"/>
          <w:i/>
          <w:iCs/>
          <w:sz w:val="16"/>
          <w:szCs w:val="16"/>
        </w:rPr>
        <w:t xml:space="preserve"> </w:t>
      </w:r>
      <w:r w:rsidR="00BC15C2" w:rsidRPr="006D4552">
        <w:rPr>
          <w:rFonts w:ascii="Arial" w:hAnsi="Arial" w:cs="Arial"/>
          <w:sz w:val="16"/>
          <w:szCs w:val="16"/>
        </w:rPr>
        <w:t xml:space="preserve"> </w:t>
      </w:r>
    </w:p>
  </w:footnote>
  <w:footnote w:id="4">
    <w:p w14:paraId="62D1B065" w14:textId="76A3D708" w:rsidR="00DF1365" w:rsidRPr="006D4552" w:rsidRDefault="00DF1365" w:rsidP="00531220">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00450EB1" w:rsidRPr="006D4552">
        <w:rPr>
          <w:rFonts w:ascii="Arial" w:hAnsi="Arial" w:cs="Arial"/>
          <w:sz w:val="16"/>
          <w:szCs w:val="16"/>
        </w:rPr>
        <w:t xml:space="preserve"> </w:t>
      </w:r>
      <w:r w:rsidR="00ED6967" w:rsidRPr="006D4552">
        <w:rPr>
          <w:rFonts w:ascii="Arial" w:hAnsi="Arial" w:cs="Arial"/>
          <w:sz w:val="16"/>
          <w:szCs w:val="16"/>
        </w:rPr>
        <w:tab/>
      </w:r>
      <w:r w:rsidR="00450EB1" w:rsidRPr="006D4552">
        <w:rPr>
          <w:rFonts w:ascii="Arial" w:hAnsi="Arial" w:cs="Arial"/>
          <w:sz w:val="16"/>
          <w:szCs w:val="16"/>
        </w:rPr>
        <w:t xml:space="preserve">Circular dated June 7, 2019 &lt;available at: </w:t>
      </w:r>
      <w:hyperlink r:id="rId1" w:history="1">
        <w:r w:rsidR="00355BD7" w:rsidRPr="006D4552">
          <w:rPr>
            <w:rStyle w:val="Hyperlink"/>
            <w:rFonts w:ascii="Arial" w:hAnsi="Arial" w:cs="Arial"/>
            <w:i/>
            <w:iCs/>
            <w:color w:val="auto"/>
            <w:sz w:val="16"/>
            <w:szCs w:val="16"/>
          </w:rPr>
          <w:t>https</w:t>
        </w:r>
        <w:r w:rsidR="00355BD7" w:rsidRPr="006D4552">
          <w:rPr>
            <w:rStyle w:val="Hyperlink"/>
            <w:rFonts w:ascii="Arial" w:hAnsi="Arial" w:cs="Arial"/>
            <w:color w:val="auto"/>
            <w:sz w:val="16"/>
            <w:szCs w:val="16"/>
          </w:rPr>
          <w:t>://www.rbi.org.in/Scripts/NotificationUser.aspx?Id=11580&amp;Mode=0</w:t>
        </w:r>
      </w:hyperlink>
      <w:r w:rsidR="00450EB1" w:rsidRPr="006D4552">
        <w:rPr>
          <w:rFonts w:ascii="Arial" w:hAnsi="Arial" w:cs="Arial"/>
          <w:sz w:val="16"/>
          <w:szCs w:val="16"/>
        </w:rPr>
        <w:t>&gt;</w:t>
      </w:r>
      <w:r w:rsidR="00355BD7" w:rsidRPr="006D4552">
        <w:rPr>
          <w:rFonts w:ascii="Arial" w:hAnsi="Arial" w:cs="Arial"/>
          <w:sz w:val="16"/>
          <w:szCs w:val="16"/>
        </w:rPr>
        <w:t xml:space="preserve"> &lt;last visited: April 17, 2023&gt;</w:t>
      </w:r>
      <w:r w:rsidR="008362BA" w:rsidRPr="006D4552">
        <w:rPr>
          <w:rFonts w:ascii="Arial" w:hAnsi="Arial" w:cs="Arial"/>
          <w:sz w:val="16"/>
          <w:szCs w:val="16"/>
        </w:rPr>
        <w:t>.</w:t>
      </w:r>
    </w:p>
  </w:footnote>
  <w:footnote w:id="5">
    <w:p w14:paraId="6C6EFA0D" w14:textId="77777777" w:rsidR="00716CA6" w:rsidRPr="006D4552" w:rsidRDefault="00716CA6" w:rsidP="00531220">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Paragraph 9 of the Stressed Asset Directions. </w:t>
      </w:r>
    </w:p>
  </w:footnote>
  <w:footnote w:id="6">
    <w:p w14:paraId="5795904C" w14:textId="611FB365" w:rsidR="00282ECB" w:rsidRPr="006D4552" w:rsidRDefault="00282ECB" w:rsidP="00531220">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lang w:val="en-US"/>
        </w:rPr>
        <w:tab/>
        <w:t>The Economic Survey Report (2022-23), Government of India, Ministry of Finance, Department of Economic Affairs</w:t>
      </w:r>
      <w:r w:rsidR="00734E41" w:rsidRPr="006D4552">
        <w:rPr>
          <w:rFonts w:ascii="Arial" w:hAnsi="Arial" w:cs="Arial"/>
          <w:sz w:val="16"/>
          <w:szCs w:val="16"/>
          <w:lang w:val="en-US"/>
        </w:rPr>
        <w:t xml:space="preserve"> </w:t>
      </w:r>
      <w:r w:rsidRPr="006D4552">
        <w:rPr>
          <w:rFonts w:ascii="Arial" w:hAnsi="Arial" w:cs="Arial"/>
          <w:sz w:val="16"/>
          <w:szCs w:val="16"/>
          <w:lang w:val="en-US"/>
        </w:rPr>
        <w:t>Economic Division.</w:t>
      </w:r>
    </w:p>
  </w:footnote>
  <w:footnote w:id="7">
    <w:p w14:paraId="1F56C889" w14:textId="098C86AF" w:rsidR="00461D45" w:rsidRPr="006D4552" w:rsidRDefault="00400D02" w:rsidP="00531220">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423004" w:rsidRPr="006D4552">
        <w:rPr>
          <w:rFonts w:ascii="Arial" w:hAnsi="Arial" w:cs="Arial"/>
          <w:sz w:val="16"/>
          <w:szCs w:val="16"/>
        </w:rPr>
        <w:tab/>
      </w:r>
      <w:r w:rsidR="00A34E0F" w:rsidRPr="006D4552">
        <w:rPr>
          <w:rFonts w:ascii="Arial" w:hAnsi="Arial" w:cs="Arial"/>
          <w:i/>
          <w:iCs/>
          <w:sz w:val="16"/>
          <w:szCs w:val="16"/>
        </w:rPr>
        <w:t>Hindustan Construction completes debt resolution plan</w:t>
      </w:r>
      <w:r w:rsidR="00603D1E" w:rsidRPr="006D4552">
        <w:rPr>
          <w:rFonts w:ascii="Arial" w:hAnsi="Arial" w:cs="Arial"/>
          <w:i/>
          <w:iCs/>
          <w:sz w:val="16"/>
          <w:szCs w:val="16"/>
        </w:rPr>
        <w:t xml:space="preserve">, </w:t>
      </w:r>
      <w:r w:rsidR="00603D1E" w:rsidRPr="006D4552">
        <w:rPr>
          <w:rFonts w:ascii="Arial" w:hAnsi="Arial" w:cs="Arial"/>
          <w:sz w:val="16"/>
          <w:szCs w:val="16"/>
        </w:rPr>
        <w:t>Business Line</w:t>
      </w:r>
      <w:r w:rsidR="00E743F7" w:rsidRPr="006D4552">
        <w:rPr>
          <w:rFonts w:ascii="Arial" w:hAnsi="Arial" w:cs="Arial"/>
          <w:sz w:val="16"/>
          <w:szCs w:val="16"/>
        </w:rPr>
        <w:t xml:space="preserve"> (September 27, 2022)</w:t>
      </w:r>
    </w:p>
    <w:p w14:paraId="769C28BC" w14:textId="3EAE2295" w:rsidR="00400D02" w:rsidRPr="006D4552" w:rsidRDefault="00400D02" w:rsidP="00461D45">
      <w:pPr>
        <w:pStyle w:val="FootnoteText"/>
        <w:ind w:left="567"/>
        <w:jc w:val="both"/>
        <w:rPr>
          <w:rFonts w:ascii="Arial" w:hAnsi="Arial" w:cs="Arial"/>
          <w:sz w:val="16"/>
          <w:szCs w:val="16"/>
          <w:lang w:val="en-US"/>
        </w:rPr>
      </w:pPr>
      <w:r w:rsidRPr="006D4552">
        <w:rPr>
          <w:rFonts w:ascii="Arial" w:hAnsi="Arial" w:cs="Arial"/>
          <w:sz w:val="16"/>
          <w:szCs w:val="16"/>
        </w:rPr>
        <w:t xml:space="preserve">&lt;available at: </w:t>
      </w:r>
      <w:hyperlink r:id="rId2" w:history="1">
        <w:r w:rsidR="007F5951" w:rsidRPr="006D4552">
          <w:rPr>
            <w:rStyle w:val="Hyperlink"/>
            <w:rFonts w:ascii="Arial" w:hAnsi="Arial" w:cs="Arial"/>
            <w:color w:val="auto"/>
            <w:sz w:val="16"/>
            <w:szCs w:val="16"/>
          </w:rPr>
          <w:t>https://www.thehindubusinessline.com/companies/hindustan-construction-completes-debt-resolution-plan/article65938996.ece</w:t>
        </w:r>
      </w:hyperlink>
      <w:r w:rsidR="007F5951" w:rsidRPr="006D4552">
        <w:rPr>
          <w:rFonts w:ascii="Arial" w:hAnsi="Arial" w:cs="Arial"/>
          <w:sz w:val="16"/>
          <w:szCs w:val="16"/>
        </w:rPr>
        <w:t>&gt; &lt;Last visited</w:t>
      </w:r>
      <w:r w:rsidR="00165B2B" w:rsidRPr="006D4552">
        <w:rPr>
          <w:rFonts w:ascii="Arial" w:hAnsi="Arial" w:cs="Arial"/>
          <w:sz w:val="16"/>
          <w:szCs w:val="16"/>
        </w:rPr>
        <w:t xml:space="preserve"> on April 17, 2023</w:t>
      </w:r>
      <w:r w:rsidR="007F5951" w:rsidRPr="006D4552">
        <w:rPr>
          <w:rFonts w:ascii="Arial" w:hAnsi="Arial" w:cs="Arial"/>
          <w:sz w:val="16"/>
          <w:szCs w:val="16"/>
        </w:rPr>
        <w:t>&gt;</w:t>
      </w:r>
      <w:r w:rsidR="00B05A8C" w:rsidRPr="006D4552">
        <w:rPr>
          <w:rFonts w:ascii="Arial" w:hAnsi="Arial" w:cs="Arial"/>
          <w:sz w:val="16"/>
          <w:szCs w:val="16"/>
        </w:rPr>
        <w:t>.</w:t>
      </w:r>
    </w:p>
  </w:footnote>
  <w:footnote w:id="8">
    <w:p w14:paraId="544B393F" w14:textId="77777777" w:rsidR="00CB6C0F" w:rsidRPr="006D4552" w:rsidRDefault="00CB6C0F" w:rsidP="00CB6C0F">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r>
      <w:r w:rsidRPr="006D4552">
        <w:rPr>
          <w:rFonts w:ascii="Arial" w:hAnsi="Arial" w:cs="Arial"/>
          <w:i/>
          <w:iCs/>
          <w:sz w:val="16"/>
          <w:szCs w:val="16"/>
        </w:rPr>
        <w:t>See</w:t>
      </w:r>
      <w:r w:rsidRPr="006D4552">
        <w:rPr>
          <w:rFonts w:ascii="Arial" w:hAnsi="Arial" w:cs="Arial"/>
          <w:i/>
          <w:iCs/>
          <w:sz w:val="16"/>
          <w:szCs w:val="16"/>
          <w:lang w:val="en-US"/>
        </w:rPr>
        <w:t xml:space="preserve"> </w:t>
      </w:r>
      <w:r w:rsidRPr="006D4552">
        <w:rPr>
          <w:rFonts w:ascii="Arial" w:hAnsi="Arial" w:cs="Arial"/>
          <w:sz w:val="16"/>
          <w:szCs w:val="16"/>
          <w:lang w:val="en-US"/>
        </w:rPr>
        <w:t xml:space="preserve">Robert A. Haugen and Lemma W. Senbet, </w:t>
      </w:r>
      <w:r w:rsidRPr="006D4552">
        <w:rPr>
          <w:rFonts w:ascii="Arial" w:hAnsi="Arial" w:cs="Arial"/>
          <w:i/>
          <w:iCs/>
          <w:sz w:val="16"/>
          <w:szCs w:val="16"/>
          <w:lang w:val="en-US"/>
        </w:rPr>
        <w:t xml:space="preserve">The Insignificance of Bankruptcy Costs to the Theory of Optimal Capital Structure, </w:t>
      </w:r>
      <w:r w:rsidRPr="006D4552">
        <w:rPr>
          <w:rFonts w:ascii="Arial" w:hAnsi="Arial" w:cs="Arial"/>
          <w:sz w:val="16"/>
          <w:szCs w:val="16"/>
          <w:lang w:val="en-US"/>
        </w:rPr>
        <w:t>33(2), The Journal of Finance (1973), 383-393.</w:t>
      </w:r>
    </w:p>
  </w:footnote>
  <w:footnote w:id="9">
    <w:p w14:paraId="722AA53F" w14:textId="5FF24884" w:rsidR="00386786" w:rsidRPr="006D4552" w:rsidRDefault="00386786" w:rsidP="00386786">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r>
      <w:r w:rsidRPr="006D4552">
        <w:rPr>
          <w:rFonts w:ascii="Arial" w:hAnsi="Arial" w:cs="Arial"/>
          <w:i/>
          <w:iCs/>
          <w:sz w:val="16"/>
          <w:szCs w:val="16"/>
        </w:rPr>
        <w:t xml:space="preserve">Committee of Creditors of Essar Steel India Limited </w:t>
      </w:r>
      <w:r w:rsidRPr="006D4552">
        <w:rPr>
          <w:rFonts w:ascii="Arial" w:hAnsi="Arial" w:cs="Arial"/>
          <w:sz w:val="16"/>
          <w:szCs w:val="16"/>
        </w:rPr>
        <w:t>v.</w:t>
      </w:r>
      <w:r w:rsidRPr="006D4552">
        <w:rPr>
          <w:rFonts w:ascii="Arial" w:hAnsi="Arial" w:cs="Arial"/>
          <w:i/>
          <w:iCs/>
          <w:sz w:val="16"/>
          <w:szCs w:val="16"/>
        </w:rPr>
        <w:t xml:space="preserve"> Satish Kumar Gupta&amp; Ors</w:t>
      </w:r>
      <w:r w:rsidRPr="006D4552">
        <w:rPr>
          <w:rFonts w:ascii="Arial" w:hAnsi="Arial" w:cs="Arial"/>
          <w:sz w:val="16"/>
          <w:szCs w:val="16"/>
        </w:rPr>
        <w:t>. 2019 SCC OnLine SC 1478</w:t>
      </w:r>
    </w:p>
  </w:footnote>
  <w:footnote w:id="10">
    <w:p w14:paraId="20792DE5" w14:textId="20B90AE4" w:rsidR="0011550D" w:rsidRPr="006D4552" w:rsidRDefault="0011550D" w:rsidP="00410864">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CC3E0E" w:rsidRPr="006D4552">
        <w:rPr>
          <w:rFonts w:ascii="Arial" w:hAnsi="Arial" w:cs="Arial"/>
          <w:sz w:val="16"/>
          <w:szCs w:val="16"/>
        </w:rPr>
        <w:tab/>
      </w:r>
      <w:r w:rsidR="00E17D37" w:rsidRPr="006D4552">
        <w:rPr>
          <w:rFonts w:ascii="Arial" w:hAnsi="Arial" w:cs="Arial"/>
          <w:sz w:val="16"/>
          <w:szCs w:val="16"/>
          <w:lang w:val="en-US"/>
        </w:rPr>
        <w:t>Adriaanse</w:t>
      </w:r>
      <w:r w:rsidR="00E17D37" w:rsidRPr="006D4552">
        <w:rPr>
          <w:rFonts w:ascii="Arial" w:hAnsi="Arial" w:cs="Arial"/>
          <w:sz w:val="16"/>
          <w:szCs w:val="16"/>
        </w:rPr>
        <w:t xml:space="preserve">, J.A.A., &amp; Kuijl, J.G. (2006). </w:t>
      </w:r>
      <w:r w:rsidR="00E17D37" w:rsidRPr="006D4552">
        <w:rPr>
          <w:rFonts w:ascii="Arial" w:hAnsi="Arial" w:cs="Arial"/>
          <w:i/>
          <w:iCs/>
          <w:sz w:val="16"/>
          <w:szCs w:val="16"/>
        </w:rPr>
        <w:t>Resolving Financial Distress: Informal Reorganization in</w:t>
      </w:r>
      <w:r w:rsidR="00CC3E0E" w:rsidRPr="006D4552">
        <w:rPr>
          <w:rFonts w:ascii="Arial" w:hAnsi="Arial" w:cs="Arial"/>
          <w:i/>
          <w:iCs/>
          <w:sz w:val="16"/>
          <w:szCs w:val="16"/>
        </w:rPr>
        <w:t xml:space="preserve"> </w:t>
      </w:r>
      <w:r w:rsidR="00E17D37" w:rsidRPr="006D4552">
        <w:rPr>
          <w:rFonts w:ascii="Arial" w:hAnsi="Arial" w:cs="Arial"/>
          <w:i/>
          <w:iCs/>
          <w:sz w:val="16"/>
          <w:szCs w:val="16"/>
        </w:rPr>
        <w:t>The Netherlands as a Beacon for Policy Makers in the CIS and CEE/SEE Regions?</w:t>
      </w:r>
      <w:r w:rsidR="00E17D37" w:rsidRPr="006D4552">
        <w:rPr>
          <w:rFonts w:ascii="Arial" w:hAnsi="Arial" w:cs="Arial"/>
          <w:sz w:val="16"/>
          <w:szCs w:val="16"/>
        </w:rPr>
        <w:t>, Review of</w:t>
      </w:r>
      <w:r w:rsidR="00410864" w:rsidRPr="006D4552">
        <w:rPr>
          <w:rFonts w:ascii="Arial" w:hAnsi="Arial" w:cs="Arial"/>
          <w:sz w:val="16"/>
          <w:szCs w:val="16"/>
        </w:rPr>
        <w:t xml:space="preserve"> </w:t>
      </w:r>
      <w:r w:rsidR="00E17D37" w:rsidRPr="006D4552">
        <w:rPr>
          <w:rFonts w:ascii="Arial" w:hAnsi="Arial" w:cs="Arial"/>
          <w:sz w:val="16"/>
          <w:szCs w:val="16"/>
        </w:rPr>
        <w:t xml:space="preserve">Central and East European Law, 31(2), </w:t>
      </w:r>
      <w:r w:rsidR="000C0AA0" w:rsidRPr="006D4552">
        <w:rPr>
          <w:rFonts w:ascii="Arial" w:hAnsi="Arial" w:cs="Arial"/>
          <w:sz w:val="16"/>
          <w:szCs w:val="16"/>
        </w:rPr>
        <w:t xml:space="preserve">page </w:t>
      </w:r>
      <w:r w:rsidR="00E17D37" w:rsidRPr="006D4552">
        <w:rPr>
          <w:rFonts w:ascii="Arial" w:hAnsi="Arial" w:cs="Arial"/>
          <w:sz w:val="16"/>
          <w:szCs w:val="16"/>
        </w:rPr>
        <w:t>135-154.</w:t>
      </w:r>
    </w:p>
  </w:footnote>
  <w:footnote w:id="11">
    <w:p w14:paraId="3BB96E17" w14:textId="1E69C04C" w:rsidR="0028639A" w:rsidRPr="006D4552" w:rsidRDefault="0028639A" w:rsidP="0028639A">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r>
      <w:r w:rsidRPr="006D4552">
        <w:rPr>
          <w:rFonts w:ascii="Arial" w:hAnsi="Arial" w:cs="Arial"/>
          <w:sz w:val="16"/>
          <w:szCs w:val="16"/>
          <w:lang w:val="en-US"/>
        </w:rPr>
        <w:t>Sudarsanam</w:t>
      </w:r>
      <w:r w:rsidRPr="006D4552">
        <w:rPr>
          <w:rFonts w:ascii="Arial" w:hAnsi="Arial" w:cs="Arial"/>
          <w:sz w:val="16"/>
          <w:szCs w:val="16"/>
        </w:rPr>
        <w:t>, S, Lai, J., (2001), ‘</w:t>
      </w:r>
      <w:r w:rsidRPr="006D4552">
        <w:rPr>
          <w:rFonts w:ascii="Arial" w:hAnsi="Arial" w:cs="Arial"/>
          <w:i/>
          <w:iCs/>
          <w:sz w:val="16"/>
          <w:szCs w:val="16"/>
        </w:rPr>
        <w:t>Corporate Financial Distress and Turnaround Strategies: An</w:t>
      </w:r>
      <w:r w:rsidRPr="006D4552">
        <w:rPr>
          <w:rFonts w:ascii="Arial" w:hAnsi="Arial" w:cs="Arial"/>
          <w:i/>
          <w:iCs/>
          <w:sz w:val="16"/>
          <w:szCs w:val="16"/>
        </w:rPr>
        <w:t xml:space="preserve"> </w:t>
      </w:r>
      <w:r w:rsidRPr="006D4552">
        <w:rPr>
          <w:rFonts w:ascii="Arial" w:hAnsi="Arial" w:cs="Arial"/>
          <w:i/>
          <w:iCs/>
          <w:sz w:val="16"/>
          <w:szCs w:val="16"/>
        </w:rPr>
        <w:t>Empirical Analysis</w:t>
      </w:r>
      <w:r w:rsidRPr="006D4552">
        <w:rPr>
          <w:rFonts w:ascii="Arial" w:hAnsi="Arial" w:cs="Arial"/>
          <w:sz w:val="16"/>
          <w:szCs w:val="16"/>
        </w:rPr>
        <w:t xml:space="preserve">’, British Journal of Management, Vol. 12, </w:t>
      </w:r>
      <w:r w:rsidR="00EF7ECE" w:rsidRPr="006D4552">
        <w:rPr>
          <w:rFonts w:ascii="Arial" w:hAnsi="Arial" w:cs="Arial"/>
          <w:sz w:val="16"/>
          <w:szCs w:val="16"/>
        </w:rPr>
        <w:t xml:space="preserve">page </w:t>
      </w:r>
      <w:r w:rsidRPr="006D4552">
        <w:rPr>
          <w:rFonts w:ascii="Arial" w:hAnsi="Arial" w:cs="Arial"/>
          <w:sz w:val="16"/>
          <w:szCs w:val="16"/>
        </w:rPr>
        <w:t>183-199</w:t>
      </w:r>
    </w:p>
  </w:footnote>
  <w:footnote w:id="12">
    <w:p w14:paraId="2906EFFC" w14:textId="403D8E90" w:rsidR="00FB5BCD" w:rsidRPr="006D4552" w:rsidRDefault="00FB5BCD" w:rsidP="00C916A7">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C916A7" w:rsidRPr="006D4552">
        <w:rPr>
          <w:rFonts w:ascii="Arial" w:hAnsi="Arial" w:cs="Arial"/>
          <w:sz w:val="16"/>
          <w:szCs w:val="16"/>
        </w:rPr>
        <w:tab/>
      </w:r>
      <w:r w:rsidR="00C916A7" w:rsidRPr="006D4552">
        <w:rPr>
          <w:rFonts w:ascii="Arial" w:hAnsi="Arial" w:cs="Arial"/>
          <w:sz w:val="16"/>
          <w:szCs w:val="16"/>
        </w:rPr>
        <w:t>Schmitt, A., Raisch, S. (2013)</w:t>
      </w:r>
      <w:r w:rsidR="00D0510B" w:rsidRPr="006D4552">
        <w:rPr>
          <w:rFonts w:ascii="Arial" w:hAnsi="Arial" w:cs="Arial"/>
          <w:sz w:val="16"/>
          <w:szCs w:val="16"/>
        </w:rPr>
        <w:t xml:space="preserve">, </w:t>
      </w:r>
      <w:r w:rsidR="00C916A7" w:rsidRPr="006D4552">
        <w:rPr>
          <w:rFonts w:ascii="Arial" w:hAnsi="Arial" w:cs="Arial"/>
          <w:sz w:val="16"/>
          <w:szCs w:val="16"/>
        </w:rPr>
        <w:t>‘</w:t>
      </w:r>
      <w:r w:rsidR="00C916A7" w:rsidRPr="006D4552">
        <w:rPr>
          <w:rFonts w:ascii="Arial" w:hAnsi="Arial" w:cs="Arial"/>
          <w:i/>
          <w:iCs/>
          <w:sz w:val="16"/>
          <w:szCs w:val="16"/>
        </w:rPr>
        <w:t>Corporate Turnarounds: The Duality of Retrenchment and</w:t>
      </w:r>
      <w:r w:rsidR="00C916A7" w:rsidRPr="006D4552">
        <w:rPr>
          <w:rFonts w:ascii="Arial" w:hAnsi="Arial" w:cs="Arial"/>
          <w:i/>
          <w:iCs/>
          <w:sz w:val="16"/>
          <w:szCs w:val="16"/>
        </w:rPr>
        <w:t xml:space="preserve"> </w:t>
      </w:r>
      <w:r w:rsidR="00C916A7" w:rsidRPr="006D4552">
        <w:rPr>
          <w:rFonts w:ascii="Arial" w:hAnsi="Arial" w:cs="Arial"/>
          <w:i/>
          <w:iCs/>
          <w:sz w:val="16"/>
          <w:szCs w:val="16"/>
        </w:rPr>
        <w:t>Recovery’</w:t>
      </w:r>
      <w:r w:rsidR="00C916A7" w:rsidRPr="006D4552">
        <w:rPr>
          <w:rFonts w:ascii="Arial" w:hAnsi="Arial" w:cs="Arial"/>
          <w:sz w:val="16"/>
          <w:szCs w:val="16"/>
        </w:rPr>
        <w:t>, Journal of Management Studies, 50(7) p. p. 216-1244.</w:t>
      </w:r>
    </w:p>
  </w:footnote>
  <w:footnote w:id="13">
    <w:p w14:paraId="423458BB" w14:textId="77777777" w:rsidR="001704C5" w:rsidRPr="006D4552" w:rsidRDefault="001704C5" w:rsidP="001704C5">
      <w:pPr>
        <w:pStyle w:val="FootnoteText"/>
        <w:ind w:left="567" w:hanging="567"/>
        <w:jc w:val="both"/>
        <w:rPr>
          <w:rFonts w:ascii="Arial" w:hAnsi="Arial" w:cs="Arial"/>
          <w:i/>
          <w:iCs/>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Pajunen, K. (2006), Stakeholder Influences in Organizational Survival. </w:t>
      </w:r>
      <w:r w:rsidRPr="006D4552">
        <w:rPr>
          <w:rFonts w:ascii="Arial" w:hAnsi="Arial" w:cs="Arial"/>
          <w:i/>
          <w:iCs/>
          <w:sz w:val="16"/>
          <w:szCs w:val="16"/>
        </w:rPr>
        <w:t>Journal of Management Studies</w:t>
      </w:r>
      <w:r w:rsidRPr="006D4552">
        <w:rPr>
          <w:rFonts w:ascii="Arial" w:hAnsi="Arial" w:cs="Arial"/>
          <w:sz w:val="16"/>
          <w:szCs w:val="16"/>
        </w:rPr>
        <w:t>, 43(6), 1261-1288.</w:t>
      </w:r>
    </w:p>
  </w:footnote>
  <w:footnote w:id="14">
    <w:p w14:paraId="2FDAC345" w14:textId="35B83B52" w:rsidR="004D420F" w:rsidRPr="006D4552" w:rsidRDefault="004D420F" w:rsidP="004D420F">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Circular dated June 7, </w:t>
      </w:r>
      <w:r w:rsidR="00830F44" w:rsidRPr="006D4552">
        <w:rPr>
          <w:rFonts w:ascii="Arial" w:hAnsi="Arial" w:cs="Arial"/>
          <w:sz w:val="16"/>
          <w:szCs w:val="16"/>
        </w:rPr>
        <w:t>2019,</w:t>
      </w:r>
      <w:r w:rsidRPr="006D4552">
        <w:rPr>
          <w:rFonts w:ascii="Arial" w:hAnsi="Arial" w:cs="Arial"/>
          <w:sz w:val="16"/>
          <w:szCs w:val="16"/>
        </w:rPr>
        <w:t xml:space="preserve"> &lt;available at: </w:t>
      </w:r>
      <w:hyperlink r:id="rId3" w:history="1">
        <w:r w:rsidRPr="006D4552">
          <w:rPr>
            <w:rStyle w:val="Hyperlink"/>
            <w:rFonts w:ascii="Arial" w:hAnsi="Arial" w:cs="Arial"/>
            <w:i/>
            <w:iCs/>
            <w:color w:val="auto"/>
            <w:sz w:val="16"/>
            <w:szCs w:val="16"/>
          </w:rPr>
          <w:t>https</w:t>
        </w:r>
        <w:r w:rsidRPr="006D4552">
          <w:rPr>
            <w:rStyle w:val="Hyperlink"/>
            <w:rFonts w:ascii="Arial" w:hAnsi="Arial" w:cs="Arial"/>
            <w:color w:val="auto"/>
            <w:sz w:val="16"/>
            <w:szCs w:val="16"/>
          </w:rPr>
          <w:t>://www.rbi.org.in/Scripts/NotificationUser.aspx?Id=11580&amp;Mode=0</w:t>
        </w:r>
      </w:hyperlink>
      <w:r w:rsidRPr="006D4552">
        <w:rPr>
          <w:rFonts w:ascii="Arial" w:hAnsi="Arial" w:cs="Arial"/>
          <w:sz w:val="16"/>
          <w:szCs w:val="16"/>
        </w:rPr>
        <w:t>&gt; &lt;last visited: April 17, 2023&gt;.</w:t>
      </w:r>
    </w:p>
  </w:footnote>
  <w:footnote w:id="15">
    <w:p w14:paraId="7681E895" w14:textId="77777777" w:rsidR="004D420F" w:rsidRPr="006D4552" w:rsidRDefault="004D420F" w:rsidP="004D420F">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Paragraph 9 of the Stressed Asset Directions. </w:t>
      </w:r>
    </w:p>
  </w:footnote>
  <w:footnote w:id="16">
    <w:p w14:paraId="69C8E75E" w14:textId="35DE9089" w:rsidR="00C00DA7" w:rsidRPr="006D4552" w:rsidRDefault="00C00DA7" w:rsidP="00C00DA7">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Paragraph </w:t>
      </w:r>
      <w:r w:rsidR="00DE00A0" w:rsidRPr="006D4552">
        <w:rPr>
          <w:rFonts w:ascii="Arial" w:hAnsi="Arial" w:cs="Arial"/>
          <w:sz w:val="16"/>
          <w:szCs w:val="16"/>
        </w:rPr>
        <w:t>10</w:t>
      </w:r>
      <w:r w:rsidRPr="006D4552">
        <w:rPr>
          <w:rFonts w:ascii="Arial" w:hAnsi="Arial" w:cs="Arial"/>
          <w:sz w:val="16"/>
          <w:szCs w:val="16"/>
        </w:rPr>
        <w:t xml:space="preserve"> of the Stressed Asset Directions. </w:t>
      </w:r>
    </w:p>
  </w:footnote>
  <w:footnote w:id="17">
    <w:p w14:paraId="115834E1" w14:textId="75D8D088" w:rsidR="003C66C8" w:rsidRPr="006D4552" w:rsidRDefault="003C66C8" w:rsidP="006A6323">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6A6323" w:rsidRPr="006D4552">
        <w:rPr>
          <w:rFonts w:ascii="Arial" w:hAnsi="Arial" w:cs="Arial"/>
          <w:sz w:val="16"/>
          <w:szCs w:val="16"/>
        </w:rPr>
        <w:tab/>
      </w:r>
      <w:r w:rsidRPr="006D4552">
        <w:rPr>
          <w:rFonts w:ascii="Arial" w:hAnsi="Arial" w:cs="Arial"/>
          <w:sz w:val="16"/>
          <w:szCs w:val="16"/>
          <w:lang w:val="en-US"/>
        </w:rPr>
        <w:t xml:space="preserve">As per the </w:t>
      </w:r>
      <w:r w:rsidRPr="006D4552">
        <w:rPr>
          <w:rFonts w:ascii="Arial" w:hAnsi="Arial" w:cs="Arial"/>
          <w:bCs/>
          <w:sz w:val="16"/>
          <w:szCs w:val="16"/>
        </w:rPr>
        <w:t xml:space="preserve">recent data the whole process </w:t>
      </w:r>
      <w:r w:rsidRPr="006D4552">
        <w:rPr>
          <w:rFonts w:ascii="Arial" w:hAnsi="Arial" w:cs="Arial"/>
          <w:bCs/>
          <w:sz w:val="16"/>
          <w:szCs w:val="16"/>
        </w:rPr>
        <w:t xml:space="preserve">of resolution </w:t>
      </w:r>
      <w:r w:rsidRPr="006D4552">
        <w:rPr>
          <w:rFonts w:ascii="Arial" w:hAnsi="Arial" w:cs="Arial"/>
          <w:bCs/>
          <w:sz w:val="16"/>
          <w:szCs w:val="16"/>
        </w:rPr>
        <w:t>can take up to 687 days</w:t>
      </w:r>
      <w:r w:rsidR="007F3596" w:rsidRPr="006D4552">
        <w:rPr>
          <w:rFonts w:ascii="Arial" w:hAnsi="Arial" w:cs="Arial"/>
          <w:bCs/>
          <w:sz w:val="16"/>
          <w:szCs w:val="16"/>
        </w:rPr>
        <w:t>.</w:t>
      </w:r>
    </w:p>
  </w:footnote>
  <w:footnote w:id="18">
    <w:p w14:paraId="08720DD5" w14:textId="7E1FFC5E" w:rsidR="005255D2" w:rsidRPr="006D4552" w:rsidRDefault="005255D2" w:rsidP="005255D2">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“Special Mention Accounts” are classified in three categories (</w:t>
      </w:r>
      <w:r w:rsidR="00830F44" w:rsidRPr="006D4552">
        <w:rPr>
          <w:rFonts w:ascii="Arial" w:hAnsi="Arial" w:cs="Arial"/>
          <w:sz w:val="16"/>
          <w:szCs w:val="16"/>
        </w:rPr>
        <w:t>i.e.,</w:t>
      </w:r>
      <w:r w:rsidRPr="006D4552">
        <w:rPr>
          <w:rFonts w:ascii="Arial" w:hAnsi="Arial" w:cs="Arial"/>
          <w:sz w:val="16"/>
          <w:szCs w:val="16"/>
        </w:rPr>
        <w:t xml:space="preserve"> SMA-0, SMA-1 and SMA-2) depending on the period for which that account has been in default, as contemplated the </w:t>
      </w:r>
      <w:r w:rsidRPr="006D4552">
        <w:rPr>
          <w:rFonts w:ascii="Arial" w:hAnsi="Arial" w:cs="Arial"/>
          <w:sz w:val="16"/>
          <w:szCs w:val="16"/>
          <w:lang w:val="en-US"/>
        </w:rPr>
        <w:t xml:space="preserve">Stressed Asset Directions. </w:t>
      </w:r>
    </w:p>
  </w:footnote>
  <w:footnote w:id="19">
    <w:p w14:paraId="3ED8EBA0" w14:textId="77777777" w:rsidR="00B84B4D" w:rsidRPr="006D4552" w:rsidRDefault="00B84B4D" w:rsidP="00B84B4D">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r>
      <w:r w:rsidRPr="006D4552">
        <w:rPr>
          <w:rFonts w:ascii="Arial" w:hAnsi="Arial" w:cs="Arial"/>
          <w:sz w:val="16"/>
          <w:szCs w:val="16"/>
          <w:lang w:val="en-US"/>
        </w:rPr>
        <w:t xml:space="preserve">Regulation 19M </w:t>
      </w:r>
      <w:r w:rsidRPr="006D4552">
        <w:rPr>
          <w:rFonts w:ascii="Arial" w:hAnsi="Arial" w:cs="Arial"/>
          <w:sz w:val="16"/>
          <w:szCs w:val="16"/>
        </w:rPr>
        <w:t>of Chapter IIIB (</w:t>
      </w:r>
      <w:r w:rsidRPr="006D4552">
        <w:rPr>
          <w:rFonts w:ascii="Arial" w:hAnsi="Arial" w:cs="Arial"/>
          <w:i/>
          <w:iCs/>
          <w:sz w:val="16"/>
          <w:szCs w:val="16"/>
        </w:rPr>
        <w:t>Special Situation Funds</w:t>
      </w:r>
      <w:r w:rsidRPr="006D4552">
        <w:rPr>
          <w:rFonts w:ascii="Arial" w:hAnsi="Arial" w:cs="Arial"/>
          <w:sz w:val="16"/>
          <w:szCs w:val="16"/>
        </w:rPr>
        <w:t xml:space="preserve">) </w:t>
      </w:r>
      <w:r w:rsidRPr="006D4552">
        <w:rPr>
          <w:rFonts w:ascii="Arial" w:hAnsi="Arial" w:cs="Arial"/>
          <w:sz w:val="16"/>
          <w:szCs w:val="16"/>
          <w:lang w:val="en-US"/>
        </w:rPr>
        <w:t xml:space="preserve">of the AIF Regulations. </w:t>
      </w:r>
    </w:p>
  </w:footnote>
  <w:footnote w:id="20">
    <w:p w14:paraId="22D42913" w14:textId="1FC8DAC1" w:rsidR="00B84B4D" w:rsidRPr="006D4552" w:rsidRDefault="00B84B4D" w:rsidP="00B84B4D">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Paragraph 58 of the RBI Transfer Directions contemplates transfer of stressed loans under the Reserve Bank of India (Prudential Framework for Resolution of Stressed Assets) Directions, 2019 resulting in an exit of all lenders </w:t>
      </w:r>
      <w:r w:rsidR="00830F44" w:rsidRPr="006D4552">
        <w:rPr>
          <w:rFonts w:ascii="Arial" w:hAnsi="Arial" w:cs="Arial"/>
          <w:sz w:val="16"/>
          <w:szCs w:val="16"/>
        </w:rPr>
        <w:t>from the stressed loan exposure</w:t>
      </w:r>
      <w:r w:rsidRPr="006D4552">
        <w:rPr>
          <w:rFonts w:ascii="Arial" w:hAnsi="Arial" w:cs="Arial"/>
          <w:sz w:val="16"/>
          <w:szCs w:val="16"/>
        </w:rPr>
        <w:t xml:space="preserve"> to the permitted transferees specified in Annex to the RBI Transfer Directions. The Annex is yet to be updated to include SSFs.  </w:t>
      </w:r>
    </w:p>
  </w:footnote>
  <w:footnote w:id="21">
    <w:p w14:paraId="550B523D" w14:textId="785E11A0" w:rsidR="00B84B4D" w:rsidRPr="006D4552" w:rsidRDefault="00B84B4D" w:rsidP="00B84B4D">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Regulation 19</w:t>
      </w:r>
      <w:r w:rsidR="00830F44" w:rsidRPr="006D4552">
        <w:rPr>
          <w:rFonts w:ascii="Arial" w:hAnsi="Arial" w:cs="Arial"/>
          <w:sz w:val="16"/>
          <w:szCs w:val="16"/>
        </w:rPr>
        <w:t>I (</w:t>
      </w:r>
      <w:r w:rsidRPr="006D4552">
        <w:rPr>
          <w:rFonts w:ascii="Arial" w:hAnsi="Arial" w:cs="Arial"/>
          <w:sz w:val="16"/>
          <w:szCs w:val="16"/>
        </w:rPr>
        <w:t>2) of Chapter IIIB (</w:t>
      </w:r>
      <w:r w:rsidRPr="006D4552">
        <w:rPr>
          <w:rFonts w:ascii="Arial" w:hAnsi="Arial" w:cs="Arial"/>
          <w:i/>
          <w:iCs/>
          <w:sz w:val="16"/>
          <w:szCs w:val="16"/>
        </w:rPr>
        <w:t>Special Situation Funds</w:t>
      </w:r>
      <w:r w:rsidRPr="006D4552">
        <w:rPr>
          <w:rFonts w:ascii="Arial" w:hAnsi="Arial" w:cs="Arial"/>
          <w:sz w:val="16"/>
          <w:szCs w:val="16"/>
        </w:rPr>
        <w:t>) of the AIF Regulations.</w:t>
      </w:r>
    </w:p>
  </w:footnote>
  <w:footnote w:id="22">
    <w:p w14:paraId="592FF58E" w14:textId="11E264E0" w:rsidR="0027554A" w:rsidRPr="006D4552" w:rsidRDefault="0027554A" w:rsidP="006D4552">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006D4552" w:rsidRPr="006D4552">
        <w:rPr>
          <w:rFonts w:ascii="Arial" w:hAnsi="Arial" w:cs="Arial"/>
          <w:sz w:val="16"/>
          <w:szCs w:val="16"/>
        </w:rPr>
        <w:tab/>
      </w:r>
      <w:r w:rsidRPr="006D4552">
        <w:rPr>
          <w:rFonts w:ascii="Arial" w:hAnsi="Arial" w:cs="Arial"/>
          <w:sz w:val="16"/>
          <w:szCs w:val="16"/>
          <w:shd w:val="clear" w:color="auto" w:fill="FFFFFF"/>
        </w:rPr>
        <w:t xml:space="preserve">The </w:t>
      </w:r>
      <w:r w:rsidRPr="006D4552">
        <w:rPr>
          <w:rFonts w:ascii="Arial" w:hAnsi="Arial" w:cs="Arial"/>
          <w:sz w:val="16"/>
          <w:szCs w:val="16"/>
          <w:shd w:val="clear" w:color="auto" w:fill="FFFFFF"/>
        </w:rPr>
        <w:t>Model Law on Cross Border Insolvency</w:t>
      </w:r>
      <w:r w:rsidRPr="006D4552">
        <w:rPr>
          <w:rFonts w:ascii="Arial" w:hAnsi="Arial" w:cs="Arial"/>
          <w:sz w:val="16"/>
          <w:szCs w:val="16"/>
          <w:shd w:val="clear" w:color="auto" w:fill="FFFFFF"/>
        </w:rPr>
        <w:t xml:space="preserve"> was implemented in South Africa under the </w:t>
      </w:r>
      <w:r w:rsidRPr="006D4552">
        <w:rPr>
          <w:rStyle w:val="Emphasis"/>
          <w:rFonts w:ascii="Arial" w:hAnsi="Arial" w:cs="Arial"/>
          <w:sz w:val="16"/>
          <w:szCs w:val="16"/>
          <w:shd w:val="clear" w:color="auto" w:fill="FFFFFF"/>
        </w:rPr>
        <w:t>Cross Border Insolvency Act </w:t>
      </w:r>
      <w:r w:rsidRPr="006D4552">
        <w:rPr>
          <w:rFonts w:ascii="Arial" w:hAnsi="Arial" w:cs="Arial"/>
          <w:sz w:val="16"/>
          <w:szCs w:val="16"/>
          <w:shd w:val="clear" w:color="auto" w:fill="FFFFFF"/>
        </w:rPr>
        <w:t xml:space="preserve">(42 of 2000), </w:t>
      </w:r>
      <w:r w:rsidR="006F6C0A">
        <w:rPr>
          <w:rFonts w:ascii="Arial" w:hAnsi="Arial" w:cs="Arial"/>
          <w:sz w:val="16"/>
          <w:szCs w:val="16"/>
          <w:shd w:val="clear" w:color="auto" w:fill="FFFFFF"/>
        </w:rPr>
        <w:t xml:space="preserve">but its applicable only to the specific </w:t>
      </w:r>
      <w:r w:rsidRPr="006D4552">
        <w:rPr>
          <w:rFonts w:ascii="Arial" w:hAnsi="Arial" w:cs="Arial"/>
          <w:sz w:val="16"/>
          <w:szCs w:val="16"/>
          <w:shd w:val="clear" w:color="auto" w:fill="FFFFFF"/>
        </w:rPr>
        <w:t>‘designated countries’</w:t>
      </w:r>
      <w:r w:rsidR="006C6433">
        <w:rPr>
          <w:rFonts w:ascii="Arial" w:hAnsi="Arial" w:cs="Arial"/>
          <w:sz w:val="16"/>
          <w:szCs w:val="16"/>
          <w:shd w:val="clear" w:color="auto" w:fill="FFFFFF"/>
        </w:rPr>
        <w:t xml:space="preserve"> as may be specified by the Department of Justice. Till date, </w:t>
      </w:r>
      <w:r w:rsidR="00A542FA">
        <w:rPr>
          <w:rFonts w:ascii="Arial" w:hAnsi="Arial" w:cs="Arial"/>
          <w:sz w:val="16"/>
          <w:szCs w:val="16"/>
          <w:shd w:val="clear" w:color="auto" w:fill="FFFFFF"/>
        </w:rPr>
        <w:t xml:space="preserve">no such designation has been given effect and accordingly for all practical purposes Model Law </w:t>
      </w:r>
      <w:r w:rsidRPr="006D4552">
        <w:rPr>
          <w:rFonts w:ascii="Arial" w:hAnsi="Arial" w:cs="Arial"/>
          <w:sz w:val="16"/>
          <w:szCs w:val="16"/>
          <w:shd w:val="clear" w:color="auto" w:fill="FFFFFF"/>
        </w:rPr>
        <w:t>is not operational in substance in South Africa.</w:t>
      </w:r>
    </w:p>
  </w:footnote>
  <w:footnote w:id="23">
    <w:p w14:paraId="3F801587" w14:textId="7427E00C" w:rsidR="00F375D1" w:rsidRPr="006D4552" w:rsidRDefault="00F375D1" w:rsidP="00F375D1">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The</w:t>
      </w:r>
      <w:r w:rsidRPr="006D4552">
        <w:rPr>
          <w:rFonts w:ascii="Arial" w:hAnsi="Arial" w:cs="Arial"/>
          <w:sz w:val="16"/>
          <w:szCs w:val="16"/>
          <w:lang w:val="en-US"/>
        </w:rPr>
        <w:t xml:space="preserve"> Creditors Committee is formed by the Insolvency Professional basis verification of the claims submitted by the financial creditors.</w:t>
      </w:r>
    </w:p>
  </w:footnote>
  <w:footnote w:id="24">
    <w:p w14:paraId="2179533E" w14:textId="01D3C7C7" w:rsidR="00E457A0" w:rsidRPr="006D4552" w:rsidRDefault="00E457A0" w:rsidP="0064222A">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Some of which are mentioned in </w:t>
      </w:r>
      <w:r w:rsidR="00F86C4F" w:rsidRPr="006D4552">
        <w:rPr>
          <w:rFonts w:ascii="Arial" w:hAnsi="Arial" w:cs="Arial"/>
          <w:sz w:val="16"/>
          <w:szCs w:val="16"/>
        </w:rPr>
        <w:t>r</w:t>
      </w:r>
      <w:r w:rsidRPr="006D4552">
        <w:rPr>
          <w:rFonts w:ascii="Arial" w:hAnsi="Arial" w:cs="Arial"/>
          <w:sz w:val="16"/>
          <w:szCs w:val="16"/>
        </w:rPr>
        <w:t>egulations, such as: (a) sale or transfer of all or part of the assets of the corporate debtor (including the secured assets); (b) merger, amalgamation, demerger or other such corporate restructuring of the corporate debtor; (c) substantial acquisition of, or cancellation or delisting of, or issuance of new securities of the corporate debtor; or (d) restructuring the debt of the corporate debtor (along with modification of the existing security interest) etc.</w:t>
      </w:r>
    </w:p>
  </w:footnote>
  <w:footnote w:id="25">
    <w:p w14:paraId="65B2F7B5" w14:textId="77777777" w:rsidR="0094099F" w:rsidRPr="006D4552" w:rsidRDefault="0094099F" w:rsidP="002D4E60">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2019 SCC OnLine SC 1478</w:t>
      </w:r>
    </w:p>
  </w:footnote>
  <w:footnote w:id="26">
    <w:p w14:paraId="1DD5B9D7" w14:textId="11B2C2A9" w:rsidR="0094099F" w:rsidRPr="006D4552" w:rsidRDefault="0094099F" w:rsidP="002D4E60">
      <w:pPr>
        <w:pStyle w:val="FootnoteText"/>
        <w:ind w:left="567" w:hanging="567"/>
        <w:jc w:val="both"/>
        <w:rPr>
          <w:rFonts w:ascii="Arial" w:hAnsi="Arial" w:cs="Arial"/>
          <w:sz w:val="16"/>
          <w:szCs w:val="16"/>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t xml:space="preserve">This position has been reiterated by the Hon’ble Supreme Court in the matters of </w:t>
      </w:r>
      <w:r w:rsidRPr="006D4552">
        <w:rPr>
          <w:rFonts w:ascii="Arial" w:hAnsi="Arial" w:cs="Arial"/>
          <w:i/>
          <w:iCs/>
          <w:sz w:val="16"/>
          <w:szCs w:val="16"/>
        </w:rPr>
        <w:t xml:space="preserve">Jaypee Kensington Boulevard Apartments Welfare Association and </w:t>
      </w:r>
      <w:proofErr w:type="spellStart"/>
      <w:r w:rsidRPr="006D4552">
        <w:rPr>
          <w:rFonts w:ascii="Arial" w:hAnsi="Arial" w:cs="Arial"/>
          <w:i/>
          <w:iCs/>
          <w:sz w:val="16"/>
          <w:szCs w:val="16"/>
        </w:rPr>
        <w:t>Ors</w:t>
      </w:r>
      <w:proofErr w:type="spellEnd"/>
      <w:r w:rsidRPr="006D4552">
        <w:rPr>
          <w:rFonts w:ascii="Arial" w:hAnsi="Arial" w:cs="Arial"/>
          <w:i/>
          <w:iCs/>
          <w:sz w:val="16"/>
          <w:szCs w:val="16"/>
        </w:rPr>
        <w:t xml:space="preserve">. </w:t>
      </w:r>
      <w:r w:rsidR="0088022E" w:rsidRPr="006D4552">
        <w:rPr>
          <w:rFonts w:ascii="Arial" w:hAnsi="Arial" w:cs="Arial"/>
          <w:i/>
          <w:iCs/>
          <w:sz w:val="16"/>
          <w:szCs w:val="16"/>
        </w:rPr>
        <w:t>vs.</w:t>
      </w:r>
      <w:r w:rsidRPr="006D4552">
        <w:rPr>
          <w:rFonts w:ascii="Arial" w:hAnsi="Arial" w:cs="Arial"/>
          <w:i/>
          <w:iCs/>
          <w:sz w:val="16"/>
          <w:szCs w:val="16"/>
        </w:rPr>
        <w:t xml:space="preserve"> NBCC (India) Ltd. and </w:t>
      </w:r>
      <w:proofErr w:type="spellStart"/>
      <w:r w:rsidRPr="006D4552">
        <w:rPr>
          <w:rFonts w:ascii="Arial" w:hAnsi="Arial" w:cs="Arial"/>
          <w:i/>
          <w:iCs/>
          <w:sz w:val="16"/>
          <w:szCs w:val="16"/>
        </w:rPr>
        <w:t>Ors</w:t>
      </w:r>
      <w:proofErr w:type="spellEnd"/>
      <w:r w:rsidRPr="006D4552">
        <w:rPr>
          <w:rFonts w:ascii="Arial" w:hAnsi="Arial" w:cs="Arial"/>
          <w:i/>
          <w:iCs/>
          <w:sz w:val="16"/>
          <w:szCs w:val="16"/>
        </w:rPr>
        <w:t>.,</w:t>
      </w:r>
      <w:r w:rsidRPr="006D4552">
        <w:rPr>
          <w:rFonts w:ascii="Arial" w:hAnsi="Arial" w:cs="Arial"/>
          <w:sz w:val="16"/>
          <w:szCs w:val="16"/>
        </w:rPr>
        <w:t xml:space="preserve"> (2021) 5 SCC  624; </w:t>
      </w:r>
      <w:r w:rsidRPr="006D4552">
        <w:rPr>
          <w:rFonts w:ascii="Arial" w:hAnsi="Arial" w:cs="Arial"/>
          <w:i/>
          <w:iCs/>
          <w:sz w:val="16"/>
          <w:szCs w:val="16"/>
        </w:rPr>
        <w:t xml:space="preserve">Ghanashyam Mishra and Sons Private Limited v. Edelweiss Asset Reconstruction Company Limited and </w:t>
      </w:r>
      <w:proofErr w:type="spellStart"/>
      <w:r w:rsidRPr="006D4552">
        <w:rPr>
          <w:rFonts w:ascii="Arial" w:hAnsi="Arial" w:cs="Arial"/>
          <w:i/>
          <w:iCs/>
          <w:sz w:val="16"/>
          <w:szCs w:val="16"/>
        </w:rPr>
        <w:t>Ors</w:t>
      </w:r>
      <w:proofErr w:type="spellEnd"/>
      <w:r w:rsidRPr="006D4552">
        <w:rPr>
          <w:rFonts w:ascii="Arial" w:hAnsi="Arial" w:cs="Arial"/>
          <w:sz w:val="16"/>
          <w:szCs w:val="16"/>
        </w:rPr>
        <w:t xml:space="preserve">., (2021) 9 SCC 657; </w:t>
      </w:r>
      <w:r w:rsidRPr="006D4552">
        <w:rPr>
          <w:rFonts w:ascii="Arial" w:hAnsi="Arial" w:cs="Arial"/>
          <w:i/>
          <w:iCs/>
          <w:sz w:val="16"/>
          <w:szCs w:val="16"/>
        </w:rPr>
        <w:t xml:space="preserve">Maharashtra Seamless Limited v. Padmanabhan Venkatesh and </w:t>
      </w:r>
      <w:proofErr w:type="spellStart"/>
      <w:r w:rsidRPr="006D4552">
        <w:rPr>
          <w:rFonts w:ascii="Arial" w:hAnsi="Arial" w:cs="Arial"/>
          <w:i/>
          <w:iCs/>
          <w:sz w:val="16"/>
          <w:szCs w:val="16"/>
        </w:rPr>
        <w:t>Ors</w:t>
      </w:r>
      <w:proofErr w:type="spellEnd"/>
      <w:r w:rsidRPr="006D4552">
        <w:rPr>
          <w:rFonts w:ascii="Arial" w:hAnsi="Arial" w:cs="Arial"/>
          <w:i/>
          <w:iCs/>
          <w:sz w:val="16"/>
          <w:szCs w:val="16"/>
        </w:rPr>
        <w:t>.</w:t>
      </w:r>
      <w:r w:rsidRPr="006D4552">
        <w:rPr>
          <w:rFonts w:ascii="Arial" w:hAnsi="Arial" w:cs="Arial"/>
          <w:sz w:val="16"/>
          <w:szCs w:val="16"/>
        </w:rPr>
        <w:t xml:space="preserve">(2021) 11 SCC 467; </w:t>
      </w:r>
      <w:proofErr w:type="spellStart"/>
      <w:r w:rsidRPr="006D4552">
        <w:rPr>
          <w:rFonts w:ascii="Arial" w:hAnsi="Arial" w:cs="Arial"/>
          <w:i/>
          <w:iCs/>
          <w:sz w:val="16"/>
          <w:szCs w:val="16"/>
        </w:rPr>
        <w:t>Kalpraj</w:t>
      </w:r>
      <w:proofErr w:type="spellEnd"/>
      <w:r w:rsidRPr="006D4552">
        <w:rPr>
          <w:rFonts w:ascii="Arial" w:hAnsi="Arial" w:cs="Arial"/>
          <w:i/>
          <w:iCs/>
          <w:sz w:val="16"/>
          <w:szCs w:val="16"/>
        </w:rPr>
        <w:t xml:space="preserve"> Dharamshi and </w:t>
      </w:r>
      <w:proofErr w:type="spellStart"/>
      <w:r w:rsidRPr="006D4552">
        <w:rPr>
          <w:rFonts w:ascii="Arial" w:hAnsi="Arial" w:cs="Arial"/>
          <w:i/>
          <w:iCs/>
          <w:sz w:val="16"/>
          <w:szCs w:val="16"/>
        </w:rPr>
        <w:t>Ors</w:t>
      </w:r>
      <w:proofErr w:type="spellEnd"/>
      <w:r w:rsidRPr="006D4552">
        <w:rPr>
          <w:rFonts w:ascii="Arial" w:hAnsi="Arial" w:cs="Arial"/>
          <w:i/>
          <w:iCs/>
          <w:sz w:val="16"/>
          <w:szCs w:val="16"/>
        </w:rPr>
        <w:t xml:space="preserve">. v. Kotak Investment Advisors Ltd. and </w:t>
      </w:r>
      <w:proofErr w:type="spellStart"/>
      <w:r w:rsidRPr="006D4552">
        <w:rPr>
          <w:rFonts w:ascii="Arial" w:hAnsi="Arial" w:cs="Arial"/>
          <w:i/>
          <w:iCs/>
          <w:sz w:val="16"/>
          <w:szCs w:val="16"/>
        </w:rPr>
        <w:t>Ors</w:t>
      </w:r>
      <w:proofErr w:type="spellEnd"/>
      <w:r w:rsidRPr="006D4552">
        <w:rPr>
          <w:rFonts w:ascii="Arial" w:hAnsi="Arial" w:cs="Arial"/>
          <w:sz w:val="16"/>
          <w:szCs w:val="16"/>
        </w:rPr>
        <w:t>., judgment dated March 10, 2021</w:t>
      </w:r>
    </w:p>
  </w:footnote>
  <w:footnote w:id="27">
    <w:p w14:paraId="7F9A00C0" w14:textId="77777777" w:rsidR="005C3A63" w:rsidRPr="006D4552" w:rsidRDefault="005C3A63" w:rsidP="005C3A63">
      <w:pPr>
        <w:pStyle w:val="FootnoteText"/>
        <w:ind w:left="567" w:hanging="567"/>
        <w:jc w:val="both"/>
        <w:rPr>
          <w:rFonts w:ascii="Arial" w:hAnsi="Arial" w:cs="Arial"/>
          <w:sz w:val="16"/>
          <w:szCs w:val="16"/>
          <w:lang w:val="en-US"/>
        </w:rPr>
      </w:pPr>
      <w:r w:rsidRPr="006D4552">
        <w:rPr>
          <w:rStyle w:val="FootnoteReference"/>
          <w:rFonts w:ascii="Arial" w:hAnsi="Arial" w:cs="Arial"/>
          <w:sz w:val="16"/>
          <w:szCs w:val="16"/>
        </w:rPr>
        <w:footnoteRef/>
      </w:r>
      <w:r w:rsidRPr="006D4552">
        <w:rPr>
          <w:rFonts w:ascii="Arial" w:hAnsi="Arial" w:cs="Arial"/>
          <w:sz w:val="16"/>
          <w:szCs w:val="16"/>
        </w:rPr>
        <w:t xml:space="preserve"> </w:t>
      </w:r>
      <w:r w:rsidRPr="006D4552">
        <w:rPr>
          <w:rFonts w:ascii="Arial" w:hAnsi="Arial" w:cs="Arial"/>
          <w:sz w:val="16"/>
          <w:szCs w:val="16"/>
        </w:rPr>
        <w:tab/>
      </w:r>
      <w:r w:rsidRPr="006D4552">
        <w:rPr>
          <w:rFonts w:ascii="Arial" w:hAnsi="Arial" w:cs="Arial"/>
          <w:i/>
          <w:iCs/>
          <w:sz w:val="16"/>
          <w:szCs w:val="16"/>
        </w:rPr>
        <w:t xml:space="preserve">Committee of Creditors of Essar Steel India Limited </w:t>
      </w:r>
      <w:r w:rsidRPr="006D4552">
        <w:rPr>
          <w:rFonts w:ascii="Arial" w:hAnsi="Arial" w:cs="Arial"/>
          <w:sz w:val="16"/>
          <w:szCs w:val="16"/>
        </w:rPr>
        <w:t>v.</w:t>
      </w:r>
      <w:r w:rsidRPr="006D4552">
        <w:rPr>
          <w:rFonts w:ascii="Arial" w:hAnsi="Arial" w:cs="Arial"/>
          <w:i/>
          <w:iCs/>
          <w:sz w:val="16"/>
          <w:szCs w:val="16"/>
        </w:rPr>
        <w:t xml:space="preserve"> Satish Kumar Gupta&amp; </w:t>
      </w:r>
      <w:proofErr w:type="spellStart"/>
      <w:r w:rsidRPr="006D4552">
        <w:rPr>
          <w:rFonts w:ascii="Arial" w:hAnsi="Arial" w:cs="Arial"/>
          <w:i/>
          <w:iCs/>
          <w:sz w:val="16"/>
          <w:szCs w:val="16"/>
        </w:rPr>
        <w:t>Ors</w:t>
      </w:r>
      <w:proofErr w:type="spellEnd"/>
      <w:r w:rsidRPr="006D4552">
        <w:rPr>
          <w:rFonts w:ascii="Arial" w:hAnsi="Arial" w:cs="Arial"/>
          <w:sz w:val="16"/>
          <w:szCs w:val="16"/>
        </w:rPr>
        <w:t>. 2019 SCC OnLine SC 1478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CC6"/>
    <w:multiLevelType w:val="multilevel"/>
    <w:tmpl w:val="455A0918"/>
    <w:lvl w:ilvl="0">
      <w:start w:val="1"/>
      <w:numFmt w:val="decimal"/>
      <w:lvlRestart w:val="0"/>
      <w:pStyle w:val="Heading1"/>
      <w:lvlText w:val="%1."/>
      <w:lvlJc w:val="left"/>
      <w:pPr>
        <w:tabs>
          <w:tab w:val="num" w:pos="720"/>
        </w:tabs>
        <w:ind w:left="720" w:hanging="720"/>
      </w:pPr>
      <w:rPr>
        <w:rFonts w:ascii="Times New Roman Bold" w:hAnsi="Times New Roman Bold"/>
        <w:b/>
        <w:i w:val="0"/>
        <w:caps/>
        <w:smallCaps w:val="0"/>
        <w:sz w:val="22"/>
        <w:szCs w:val="22"/>
      </w:rPr>
    </w:lvl>
    <w:lvl w:ilvl="1">
      <w:start w:val="1"/>
      <w:numFmt w:val="decimal"/>
      <w:pStyle w:val="Heading2"/>
      <w:lvlText w:val="%1.%2"/>
      <w:lvlJc w:val="left"/>
      <w:pPr>
        <w:tabs>
          <w:tab w:val="num" w:pos="720"/>
        </w:tabs>
        <w:ind w:left="720" w:hanging="720"/>
      </w:pPr>
      <w:rPr>
        <w:rFonts w:ascii="Times New Roman Bold" w:hAnsi="Times New Roman Bold"/>
        <w:b w:val="0"/>
        <w:bCs w:val="0"/>
        <w:i w:val="0"/>
        <w:sz w:val="22"/>
        <w:szCs w:val="22"/>
      </w:rPr>
    </w:lvl>
    <w:lvl w:ilvl="2">
      <w:start w:val="1"/>
      <w:numFmt w:val="decimal"/>
      <w:pStyle w:val="Heading3"/>
      <w:lvlText w:val="%1.%2.%3"/>
      <w:lvlJc w:val="left"/>
      <w:pPr>
        <w:tabs>
          <w:tab w:val="num" w:pos="720"/>
        </w:tabs>
        <w:ind w:left="720" w:hanging="720"/>
      </w:pPr>
      <w:rPr>
        <w:rFonts w:ascii="Times New Roman" w:hAnsi="Times New Roman" w:cs="Times New Roman"/>
        <w:b w:val="0"/>
        <w:i w:val="0"/>
        <w:sz w:val="22"/>
        <w:szCs w:val="20"/>
      </w:rPr>
    </w:lvl>
    <w:lvl w:ilvl="3">
      <w:start w:val="1"/>
      <w:numFmt w:val="lowerLetter"/>
      <w:pStyle w:val="Heading4"/>
      <w:lvlText w:val="(%4)"/>
      <w:lvlJc w:val="left"/>
      <w:pPr>
        <w:tabs>
          <w:tab w:val="num" w:pos="1440"/>
        </w:tabs>
        <w:ind w:left="1440" w:hanging="720"/>
      </w:pPr>
      <w:rPr>
        <w:rFonts w:hint="default"/>
        <w:b w:val="0"/>
        <w:i w:val="0"/>
        <w:sz w:val="22"/>
        <w:szCs w:val="22"/>
      </w:rPr>
    </w:lvl>
    <w:lvl w:ilvl="4">
      <w:start w:val="1"/>
      <w:numFmt w:val="lowerRoman"/>
      <w:pStyle w:val="Heading5"/>
      <w:lvlText w:val="(%5)"/>
      <w:lvlJc w:val="left"/>
      <w:pPr>
        <w:tabs>
          <w:tab w:val="num" w:pos="2160"/>
        </w:tabs>
        <w:ind w:left="2160" w:hanging="720"/>
      </w:pPr>
      <w:rPr>
        <w:rFonts w:ascii="Times New Roman" w:eastAsiaTheme="majorEastAsia" w:hAnsi="Times New Roman" w:cs="Times New Roman"/>
        <w:b w:val="0"/>
        <w:i w:val="0"/>
        <w:sz w:val="22"/>
        <w:szCs w:val="22"/>
      </w:rPr>
    </w:lvl>
    <w:lvl w:ilvl="5">
      <w:start w:val="1"/>
      <w:numFmt w:val="lowerRoman"/>
      <w:pStyle w:val="Heading6"/>
      <w:lvlText w:val="(%6)"/>
      <w:lvlJc w:val="left"/>
      <w:pPr>
        <w:tabs>
          <w:tab w:val="num" w:pos="2138"/>
        </w:tabs>
        <w:ind w:left="2138" w:hanging="720"/>
      </w:pPr>
      <w:rPr>
        <w:rFonts w:ascii="Times New Roman" w:eastAsiaTheme="majorEastAsia" w:hAnsi="Times New Roman" w:cs="Times New Roman"/>
        <w:b w:val="0"/>
        <w:i w:val="0"/>
        <w:sz w:val="22"/>
        <w:szCs w:val="22"/>
      </w:rPr>
    </w:lvl>
    <w:lvl w:ilvl="6">
      <w:start w:val="1"/>
      <w:numFmt w:val="decimal"/>
      <w:pStyle w:val="Heading7"/>
      <w:lvlText w:val="(%7)"/>
      <w:lvlJc w:val="left"/>
      <w:pPr>
        <w:tabs>
          <w:tab w:val="num" w:pos="3600"/>
        </w:tabs>
        <w:ind w:left="3600" w:hanging="720"/>
      </w:pPr>
      <w:rPr>
        <w:rFonts w:ascii="Times New Roman" w:hAnsi="Times New Roman" w:cs="Times New Roman"/>
        <w:b w:val="0"/>
        <w:i w:val="0"/>
        <w:sz w:val="24"/>
      </w:rPr>
    </w:lvl>
    <w:lvl w:ilvl="7">
      <w:start w:val="1"/>
      <w:numFmt w:val="upperRoman"/>
      <w:pStyle w:val="Heading8"/>
      <w:suff w:val="nothing"/>
      <w:lvlText w:val="Schedule %8"/>
      <w:lvlJc w:val="left"/>
      <w:pPr>
        <w:ind w:left="0" w:firstLine="0"/>
      </w:pPr>
      <w:rPr>
        <w:rFonts w:ascii="Times New Roman Bold" w:hAnsi="Times New Roman Bold"/>
        <w:b/>
        <w:i w:val="0"/>
        <w:caps/>
        <w:smallCaps w:val="0"/>
        <w:sz w:val="24"/>
      </w:rPr>
    </w:lvl>
    <w:lvl w:ilvl="8">
      <w:start w:val="1"/>
      <w:numFmt w:val="upperLetter"/>
      <w:pStyle w:val="Heading9"/>
      <w:suff w:val="nothing"/>
      <w:lvlText w:val="Part %9"/>
      <w:lvlJc w:val="left"/>
      <w:pPr>
        <w:ind w:left="0" w:firstLine="0"/>
      </w:pPr>
      <w:rPr>
        <w:rFonts w:ascii="Times New Roman Bold" w:hAnsi="Times New Roman Bold"/>
        <w:b/>
        <w:i w:val="0"/>
        <w:caps/>
        <w:smallCaps w:val="0"/>
        <w:sz w:val="24"/>
      </w:rPr>
    </w:lvl>
  </w:abstractNum>
  <w:abstractNum w:abstractNumId="1" w15:restartNumberingAfterBreak="0">
    <w:nsid w:val="13DC0439"/>
    <w:multiLevelType w:val="hybridMultilevel"/>
    <w:tmpl w:val="490E0B5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B2D541B"/>
    <w:multiLevelType w:val="multilevel"/>
    <w:tmpl w:val="029C884E"/>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11417A"/>
    <w:multiLevelType w:val="hybridMultilevel"/>
    <w:tmpl w:val="18409982"/>
    <w:lvl w:ilvl="0" w:tplc="AFF4A03A">
      <w:start w:val="1"/>
      <w:numFmt w:val="lowerLetter"/>
      <w:lvlText w:val="(%1)"/>
      <w:lvlJc w:val="left"/>
      <w:pPr>
        <w:ind w:left="927" w:hanging="360"/>
      </w:pPr>
      <w:rPr>
        <w:rFonts w:hint="default"/>
        <w:b w:val="0"/>
        <w:bCs w:val="0"/>
        <w:i w:val="0"/>
        <w:iCs/>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 w15:restartNumberingAfterBreak="0">
    <w:nsid w:val="2D8346E7"/>
    <w:multiLevelType w:val="hybridMultilevel"/>
    <w:tmpl w:val="B846D180"/>
    <w:lvl w:ilvl="0" w:tplc="99E8F6F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15:restartNumberingAfterBreak="0">
    <w:nsid w:val="361162C5"/>
    <w:multiLevelType w:val="hybridMultilevel"/>
    <w:tmpl w:val="83585DA0"/>
    <w:lvl w:ilvl="0" w:tplc="F08240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69A79D2"/>
    <w:multiLevelType w:val="hybridMultilevel"/>
    <w:tmpl w:val="490E0B5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37B43947"/>
    <w:multiLevelType w:val="hybridMultilevel"/>
    <w:tmpl w:val="758E6640"/>
    <w:lvl w:ilvl="0" w:tplc="99E8F6F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499C1D05"/>
    <w:multiLevelType w:val="hybridMultilevel"/>
    <w:tmpl w:val="F6EED02A"/>
    <w:lvl w:ilvl="0" w:tplc="6BC4AA5C">
      <w:start w:val="1"/>
      <w:numFmt w:val="lowerLetter"/>
      <w:lvlText w:val="(%1)"/>
      <w:lvlJc w:val="left"/>
      <w:pPr>
        <w:ind w:left="927" w:hanging="360"/>
      </w:pPr>
      <w:rPr>
        <w:rFonts w:hint="default"/>
        <w:i w:val="0"/>
        <w:iCs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55590499"/>
    <w:multiLevelType w:val="hybridMultilevel"/>
    <w:tmpl w:val="9C888034"/>
    <w:lvl w:ilvl="0" w:tplc="99E8F6F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566F3838"/>
    <w:multiLevelType w:val="hybridMultilevel"/>
    <w:tmpl w:val="B8A2A3E8"/>
    <w:lvl w:ilvl="0" w:tplc="99E8F6F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61960899"/>
    <w:multiLevelType w:val="hybridMultilevel"/>
    <w:tmpl w:val="6B8689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6259499A"/>
    <w:multiLevelType w:val="hybridMultilevel"/>
    <w:tmpl w:val="490E0B5C"/>
    <w:lvl w:ilvl="0" w:tplc="99E8F6F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15:restartNumberingAfterBreak="0">
    <w:nsid w:val="68A852DA"/>
    <w:multiLevelType w:val="hybridMultilevel"/>
    <w:tmpl w:val="32E49ACA"/>
    <w:lvl w:ilvl="0" w:tplc="41C8103C">
      <w:start w:val="1"/>
      <w:numFmt w:val="upperLetter"/>
      <w:lvlText w:val="(%1)"/>
      <w:lvlJc w:val="left"/>
      <w:pPr>
        <w:ind w:left="2498" w:hanging="360"/>
      </w:pPr>
      <w:rPr>
        <w:rFonts w:hint="default"/>
      </w:rPr>
    </w:lvl>
    <w:lvl w:ilvl="1" w:tplc="40090019" w:tentative="1">
      <w:start w:val="1"/>
      <w:numFmt w:val="lowerLetter"/>
      <w:lvlText w:val="%2."/>
      <w:lvlJc w:val="left"/>
      <w:pPr>
        <w:ind w:left="3218" w:hanging="360"/>
      </w:pPr>
    </w:lvl>
    <w:lvl w:ilvl="2" w:tplc="4009001B" w:tentative="1">
      <w:start w:val="1"/>
      <w:numFmt w:val="lowerRoman"/>
      <w:lvlText w:val="%3."/>
      <w:lvlJc w:val="right"/>
      <w:pPr>
        <w:ind w:left="3938" w:hanging="180"/>
      </w:pPr>
    </w:lvl>
    <w:lvl w:ilvl="3" w:tplc="4009000F" w:tentative="1">
      <w:start w:val="1"/>
      <w:numFmt w:val="decimal"/>
      <w:lvlText w:val="%4."/>
      <w:lvlJc w:val="left"/>
      <w:pPr>
        <w:ind w:left="4658" w:hanging="360"/>
      </w:pPr>
    </w:lvl>
    <w:lvl w:ilvl="4" w:tplc="40090019" w:tentative="1">
      <w:start w:val="1"/>
      <w:numFmt w:val="lowerLetter"/>
      <w:lvlText w:val="%5."/>
      <w:lvlJc w:val="left"/>
      <w:pPr>
        <w:ind w:left="5378" w:hanging="360"/>
      </w:pPr>
    </w:lvl>
    <w:lvl w:ilvl="5" w:tplc="4009001B" w:tentative="1">
      <w:start w:val="1"/>
      <w:numFmt w:val="lowerRoman"/>
      <w:lvlText w:val="%6."/>
      <w:lvlJc w:val="right"/>
      <w:pPr>
        <w:ind w:left="6098" w:hanging="180"/>
      </w:pPr>
    </w:lvl>
    <w:lvl w:ilvl="6" w:tplc="4009000F" w:tentative="1">
      <w:start w:val="1"/>
      <w:numFmt w:val="decimal"/>
      <w:lvlText w:val="%7."/>
      <w:lvlJc w:val="left"/>
      <w:pPr>
        <w:ind w:left="6818" w:hanging="360"/>
      </w:pPr>
    </w:lvl>
    <w:lvl w:ilvl="7" w:tplc="40090019" w:tentative="1">
      <w:start w:val="1"/>
      <w:numFmt w:val="lowerLetter"/>
      <w:lvlText w:val="%8."/>
      <w:lvlJc w:val="left"/>
      <w:pPr>
        <w:ind w:left="7538" w:hanging="360"/>
      </w:pPr>
    </w:lvl>
    <w:lvl w:ilvl="8" w:tplc="4009001B" w:tentative="1">
      <w:start w:val="1"/>
      <w:numFmt w:val="lowerRoman"/>
      <w:lvlText w:val="%9."/>
      <w:lvlJc w:val="right"/>
      <w:pPr>
        <w:ind w:left="8258" w:hanging="180"/>
      </w:pPr>
    </w:lvl>
  </w:abstractNum>
  <w:abstractNum w:abstractNumId="14" w15:restartNumberingAfterBreak="0">
    <w:nsid w:val="7C884AFB"/>
    <w:multiLevelType w:val="hybridMultilevel"/>
    <w:tmpl w:val="CB1C7E76"/>
    <w:lvl w:ilvl="0" w:tplc="7588742A">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5" w15:restartNumberingAfterBreak="0">
    <w:nsid w:val="7CF51D04"/>
    <w:multiLevelType w:val="hybridMultilevel"/>
    <w:tmpl w:val="7722AF88"/>
    <w:lvl w:ilvl="0" w:tplc="99E8F6FA">
      <w:start w:val="1"/>
      <w:numFmt w:val="lowerLetter"/>
      <w:lvlText w:val="(%1)"/>
      <w:lvlJc w:val="left"/>
      <w:pPr>
        <w:ind w:left="927" w:hanging="360"/>
      </w:pPr>
      <w:rPr>
        <w:rFonts w:hint="default"/>
        <w:b w:val="0"/>
        <w:i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15:restartNumberingAfterBreak="0">
    <w:nsid w:val="7FA000F4"/>
    <w:multiLevelType w:val="hybridMultilevel"/>
    <w:tmpl w:val="A926ADE8"/>
    <w:lvl w:ilvl="0" w:tplc="C116F5B4">
      <w:start w:val="1"/>
      <w:numFmt w:val="lowerLetter"/>
      <w:lvlText w:val="(%1)"/>
      <w:lvlJc w:val="left"/>
      <w:pPr>
        <w:ind w:left="2204" w:hanging="360"/>
      </w:pPr>
      <w:rPr>
        <w:rFonts w:hint="default"/>
        <w:b w:val="0"/>
        <w:i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
  </w:num>
  <w:num w:numId="2">
    <w:abstractNumId w:val="16"/>
  </w:num>
  <w:num w:numId="3">
    <w:abstractNumId w:val="8"/>
  </w:num>
  <w:num w:numId="4">
    <w:abstractNumId w:val="11"/>
  </w:num>
  <w:num w:numId="5">
    <w:abstractNumId w:val="15"/>
  </w:num>
  <w:num w:numId="6">
    <w:abstractNumId w:val="9"/>
  </w:num>
  <w:num w:numId="7">
    <w:abstractNumId w:val="10"/>
  </w:num>
  <w:num w:numId="8">
    <w:abstractNumId w:val="7"/>
  </w:num>
  <w:num w:numId="9">
    <w:abstractNumId w:val="14"/>
  </w:num>
  <w:num w:numId="10">
    <w:abstractNumId w:val="4"/>
  </w:num>
  <w:num w:numId="11">
    <w:abstractNumId w:val="3"/>
  </w:num>
  <w:num w:numId="12">
    <w:abstractNumId w:val="0"/>
  </w:num>
  <w:num w:numId="13">
    <w:abstractNumId w:val="13"/>
  </w:num>
  <w:num w:numId="14">
    <w:abstractNumId w:val="12"/>
  </w:num>
  <w:num w:numId="15">
    <w:abstractNumId w:val="1"/>
  </w:num>
  <w:num w:numId="16">
    <w:abstractNumId w:val="6"/>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57"/>
    <w:rsid w:val="00000040"/>
    <w:rsid w:val="0000189C"/>
    <w:rsid w:val="00002366"/>
    <w:rsid w:val="00002A95"/>
    <w:rsid w:val="00002DC4"/>
    <w:rsid w:val="00002E2E"/>
    <w:rsid w:val="00003271"/>
    <w:rsid w:val="00003BC7"/>
    <w:rsid w:val="0000401D"/>
    <w:rsid w:val="00005FF1"/>
    <w:rsid w:val="0000602C"/>
    <w:rsid w:val="00006595"/>
    <w:rsid w:val="00006FC9"/>
    <w:rsid w:val="00007A7C"/>
    <w:rsid w:val="00007BF7"/>
    <w:rsid w:val="0001156F"/>
    <w:rsid w:val="00011907"/>
    <w:rsid w:val="00012456"/>
    <w:rsid w:val="0001261F"/>
    <w:rsid w:val="000127AC"/>
    <w:rsid w:val="000127E5"/>
    <w:rsid w:val="000136D2"/>
    <w:rsid w:val="00013CB7"/>
    <w:rsid w:val="0001550C"/>
    <w:rsid w:val="00016F5D"/>
    <w:rsid w:val="00017608"/>
    <w:rsid w:val="00017E8D"/>
    <w:rsid w:val="00020CE9"/>
    <w:rsid w:val="0002155B"/>
    <w:rsid w:val="000215A7"/>
    <w:rsid w:val="00022679"/>
    <w:rsid w:val="000230EC"/>
    <w:rsid w:val="00023377"/>
    <w:rsid w:val="00025C14"/>
    <w:rsid w:val="00026410"/>
    <w:rsid w:val="00027AAF"/>
    <w:rsid w:val="00032923"/>
    <w:rsid w:val="00032BF2"/>
    <w:rsid w:val="00032EBF"/>
    <w:rsid w:val="00036861"/>
    <w:rsid w:val="0003754C"/>
    <w:rsid w:val="000378F2"/>
    <w:rsid w:val="00037D07"/>
    <w:rsid w:val="00040592"/>
    <w:rsid w:val="0004074D"/>
    <w:rsid w:val="00040D75"/>
    <w:rsid w:val="00041725"/>
    <w:rsid w:val="00041983"/>
    <w:rsid w:val="00042040"/>
    <w:rsid w:val="00042D7F"/>
    <w:rsid w:val="00044127"/>
    <w:rsid w:val="000444AB"/>
    <w:rsid w:val="0004537E"/>
    <w:rsid w:val="000461CC"/>
    <w:rsid w:val="00047C8F"/>
    <w:rsid w:val="00050A5A"/>
    <w:rsid w:val="00051F76"/>
    <w:rsid w:val="00053011"/>
    <w:rsid w:val="00053219"/>
    <w:rsid w:val="00053B82"/>
    <w:rsid w:val="0005426B"/>
    <w:rsid w:val="000553F0"/>
    <w:rsid w:val="00056C6A"/>
    <w:rsid w:val="00057975"/>
    <w:rsid w:val="00057A35"/>
    <w:rsid w:val="00057D49"/>
    <w:rsid w:val="00061F6D"/>
    <w:rsid w:val="000626CD"/>
    <w:rsid w:val="00062796"/>
    <w:rsid w:val="00062E67"/>
    <w:rsid w:val="000632C4"/>
    <w:rsid w:val="000638D1"/>
    <w:rsid w:val="000700B3"/>
    <w:rsid w:val="00070AB9"/>
    <w:rsid w:val="0007218D"/>
    <w:rsid w:val="00072F6F"/>
    <w:rsid w:val="0007669F"/>
    <w:rsid w:val="00076F18"/>
    <w:rsid w:val="000777E5"/>
    <w:rsid w:val="00082DA3"/>
    <w:rsid w:val="00082F99"/>
    <w:rsid w:val="000841A1"/>
    <w:rsid w:val="00085600"/>
    <w:rsid w:val="00085DE7"/>
    <w:rsid w:val="0008604C"/>
    <w:rsid w:val="0008661C"/>
    <w:rsid w:val="00087996"/>
    <w:rsid w:val="00090857"/>
    <w:rsid w:val="00090C0F"/>
    <w:rsid w:val="00091C22"/>
    <w:rsid w:val="000947FC"/>
    <w:rsid w:val="00094AFF"/>
    <w:rsid w:val="00096DFA"/>
    <w:rsid w:val="00097027"/>
    <w:rsid w:val="000A0E9D"/>
    <w:rsid w:val="000A1559"/>
    <w:rsid w:val="000A3332"/>
    <w:rsid w:val="000A3377"/>
    <w:rsid w:val="000A4758"/>
    <w:rsid w:val="000A51B1"/>
    <w:rsid w:val="000A6377"/>
    <w:rsid w:val="000A6A12"/>
    <w:rsid w:val="000A6BE8"/>
    <w:rsid w:val="000A6F23"/>
    <w:rsid w:val="000A7188"/>
    <w:rsid w:val="000A754F"/>
    <w:rsid w:val="000A7CE3"/>
    <w:rsid w:val="000A7ED2"/>
    <w:rsid w:val="000B1282"/>
    <w:rsid w:val="000B1B40"/>
    <w:rsid w:val="000B3A9E"/>
    <w:rsid w:val="000B4A72"/>
    <w:rsid w:val="000B538C"/>
    <w:rsid w:val="000B53C8"/>
    <w:rsid w:val="000B53F0"/>
    <w:rsid w:val="000B64A9"/>
    <w:rsid w:val="000C058F"/>
    <w:rsid w:val="000C0AA0"/>
    <w:rsid w:val="000C18B1"/>
    <w:rsid w:val="000C1A93"/>
    <w:rsid w:val="000C2124"/>
    <w:rsid w:val="000C4001"/>
    <w:rsid w:val="000C5A65"/>
    <w:rsid w:val="000C7082"/>
    <w:rsid w:val="000C7E1A"/>
    <w:rsid w:val="000D09ED"/>
    <w:rsid w:val="000D1256"/>
    <w:rsid w:val="000D13D8"/>
    <w:rsid w:val="000D2834"/>
    <w:rsid w:val="000D30C0"/>
    <w:rsid w:val="000D331B"/>
    <w:rsid w:val="000D3383"/>
    <w:rsid w:val="000D3806"/>
    <w:rsid w:val="000D3D25"/>
    <w:rsid w:val="000D5C00"/>
    <w:rsid w:val="000D6449"/>
    <w:rsid w:val="000D6454"/>
    <w:rsid w:val="000D6534"/>
    <w:rsid w:val="000D7EC2"/>
    <w:rsid w:val="000E022C"/>
    <w:rsid w:val="000E1ACD"/>
    <w:rsid w:val="000E425E"/>
    <w:rsid w:val="000E4B99"/>
    <w:rsid w:val="000E71B6"/>
    <w:rsid w:val="000F0D86"/>
    <w:rsid w:val="000F1802"/>
    <w:rsid w:val="000F2F6D"/>
    <w:rsid w:val="000F372A"/>
    <w:rsid w:val="000F3A99"/>
    <w:rsid w:val="000F3E3E"/>
    <w:rsid w:val="000F4134"/>
    <w:rsid w:val="000F4D59"/>
    <w:rsid w:val="000F6432"/>
    <w:rsid w:val="000F7740"/>
    <w:rsid w:val="0010033A"/>
    <w:rsid w:val="00100422"/>
    <w:rsid w:val="00100814"/>
    <w:rsid w:val="00102FE3"/>
    <w:rsid w:val="0010304A"/>
    <w:rsid w:val="00103101"/>
    <w:rsid w:val="0010488B"/>
    <w:rsid w:val="00105FB4"/>
    <w:rsid w:val="00106AD8"/>
    <w:rsid w:val="001073AD"/>
    <w:rsid w:val="0010756E"/>
    <w:rsid w:val="00107851"/>
    <w:rsid w:val="00110635"/>
    <w:rsid w:val="0011104D"/>
    <w:rsid w:val="00111888"/>
    <w:rsid w:val="00111DEA"/>
    <w:rsid w:val="00111F05"/>
    <w:rsid w:val="00111F34"/>
    <w:rsid w:val="0011238A"/>
    <w:rsid w:val="0011264C"/>
    <w:rsid w:val="0011550D"/>
    <w:rsid w:val="0011554D"/>
    <w:rsid w:val="00116660"/>
    <w:rsid w:val="00116725"/>
    <w:rsid w:val="00117E8D"/>
    <w:rsid w:val="00120D74"/>
    <w:rsid w:val="001225FE"/>
    <w:rsid w:val="001244C6"/>
    <w:rsid w:val="0012467A"/>
    <w:rsid w:val="001246F2"/>
    <w:rsid w:val="001260C2"/>
    <w:rsid w:val="001269EF"/>
    <w:rsid w:val="00126B74"/>
    <w:rsid w:val="00131C8A"/>
    <w:rsid w:val="00132FEA"/>
    <w:rsid w:val="0013362E"/>
    <w:rsid w:val="00133F1D"/>
    <w:rsid w:val="001340E0"/>
    <w:rsid w:val="0013473B"/>
    <w:rsid w:val="00134A0D"/>
    <w:rsid w:val="00134B9B"/>
    <w:rsid w:val="00134DCF"/>
    <w:rsid w:val="001353C3"/>
    <w:rsid w:val="00136412"/>
    <w:rsid w:val="00136B77"/>
    <w:rsid w:val="001373A1"/>
    <w:rsid w:val="00140D53"/>
    <w:rsid w:val="00141A72"/>
    <w:rsid w:val="00143F4C"/>
    <w:rsid w:val="001454EB"/>
    <w:rsid w:val="001468FF"/>
    <w:rsid w:val="00147360"/>
    <w:rsid w:val="00150A48"/>
    <w:rsid w:val="00150A8C"/>
    <w:rsid w:val="00150C93"/>
    <w:rsid w:val="001519B4"/>
    <w:rsid w:val="00151F89"/>
    <w:rsid w:val="00152692"/>
    <w:rsid w:val="00154429"/>
    <w:rsid w:val="00155BE7"/>
    <w:rsid w:val="001569BD"/>
    <w:rsid w:val="00157175"/>
    <w:rsid w:val="0015740B"/>
    <w:rsid w:val="001579F7"/>
    <w:rsid w:val="00157DF4"/>
    <w:rsid w:val="0016012E"/>
    <w:rsid w:val="00160696"/>
    <w:rsid w:val="00160FC1"/>
    <w:rsid w:val="00161E96"/>
    <w:rsid w:val="0016512F"/>
    <w:rsid w:val="001651C1"/>
    <w:rsid w:val="00165B2B"/>
    <w:rsid w:val="0016737F"/>
    <w:rsid w:val="001704C5"/>
    <w:rsid w:val="0017051C"/>
    <w:rsid w:val="001712B9"/>
    <w:rsid w:val="00171F07"/>
    <w:rsid w:val="001721E8"/>
    <w:rsid w:val="00173449"/>
    <w:rsid w:val="00173F3A"/>
    <w:rsid w:val="00174ED6"/>
    <w:rsid w:val="001763B0"/>
    <w:rsid w:val="00182E42"/>
    <w:rsid w:val="00183AA2"/>
    <w:rsid w:val="00183D8C"/>
    <w:rsid w:val="001842E7"/>
    <w:rsid w:val="0018449B"/>
    <w:rsid w:val="001852ED"/>
    <w:rsid w:val="0018578E"/>
    <w:rsid w:val="00185A06"/>
    <w:rsid w:val="00186846"/>
    <w:rsid w:val="00186F75"/>
    <w:rsid w:val="0018774C"/>
    <w:rsid w:val="001877F6"/>
    <w:rsid w:val="00187A12"/>
    <w:rsid w:val="00190DBD"/>
    <w:rsid w:val="00191234"/>
    <w:rsid w:val="00192082"/>
    <w:rsid w:val="00192287"/>
    <w:rsid w:val="00192A5E"/>
    <w:rsid w:val="0019411F"/>
    <w:rsid w:val="00197C88"/>
    <w:rsid w:val="001A0130"/>
    <w:rsid w:val="001A1698"/>
    <w:rsid w:val="001A2C91"/>
    <w:rsid w:val="001A2FDC"/>
    <w:rsid w:val="001A3D07"/>
    <w:rsid w:val="001A4518"/>
    <w:rsid w:val="001A5214"/>
    <w:rsid w:val="001A52FA"/>
    <w:rsid w:val="001B0280"/>
    <w:rsid w:val="001B086F"/>
    <w:rsid w:val="001B0E28"/>
    <w:rsid w:val="001B0E72"/>
    <w:rsid w:val="001B0EDD"/>
    <w:rsid w:val="001B0F77"/>
    <w:rsid w:val="001B200F"/>
    <w:rsid w:val="001B206D"/>
    <w:rsid w:val="001B3246"/>
    <w:rsid w:val="001B40E1"/>
    <w:rsid w:val="001B43B5"/>
    <w:rsid w:val="001B4947"/>
    <w:rsid w:val="001B64D1"/>
    <w:rsid w:val="001B6E92"/>
    <w:rsid w:val="001C09B4"/>
    <w:rsid w:val="001C25D2"/>
    <w:rsid w:val="001C3CF1"/>
    <w:rsid w:val="001C44F0"/>
    <w:rsid w:val="001C6872"/>
    <w:rsid w:val="001C7000"/>
    <w:rsid w:val="001C718E"/>
    <w:rsid w:val="001D070F"/>
    <w:rsid w:val="001D0C6A"/>
    <w:rsid w:val="001D1BCA"/>
    <w:rsid w:val="001D285A"/>
    <w:rsid w:val="001D45CB"/>
    <w:rsid w:val="001D73BC"/>
    <w:rsid w:val="001D7994"/>
    <w:rsid w:val="001E1B74"/>
    <w:rsid w:val="001E1F7E"/>
    <w:rsid w:val="001E46B9"/>
    <w:rsid w:val="001E5363"/>
    <w:rsid w:val="001E5E4C"/>
    <w:rsid w:val="001E654F"/>
    <w:rsid w:val="001E7846"/>
    <w:rsid w:val="001F0AC2"/>
    <w:rsid w:val="001F10B3"/>
    <w:rsid w:val="001F10D7"/>
    <w:rsid w:val="001F16A1"/>
    <w:rsid w:val="001F1CDA"/>
    <w:rsid w:val="001F1F11"/>
    <w:rsid w:val="001F2037"/>
    <w:rsid w:val="001F2F13"/>
    <w:rsid w:val="002004CE"/>
    <w:rsid w:val="00200668"/>
    <w:rsid w:val="0020400C"/>
    <w:rsid w:val="002051F5"/>
    <w:rsid w:val="00206513"/>
    <w:rsid w:val="002069AF"/>
    <w:rsid w:val="00210E50"/>
    <w:rsid w:val="00212D02"/>
    <w:rsid w:val="00212E44"/>
    <w:rsid w:val="00213E6A"/>
    <w:rsid w:val="00214897"/>
    <w:rsid w:val="002163B9"/>
    <w:rsid w:val="002171A5"/>
    <w:rsid w:val="00217CC4"/>
    <w:rsid w:val="00217E2A"/>
    <w:rsid w:val="002207DF"/>
    <w:rsid w:val="00222F23"/>
    <w:rsid w:val="002243FD"/>
    <w:rsid w:val="002262A6"/>
    <w:rsid w:val="002272E1"/>
    <w:rsid w:val="00227567"/>
    <w:rsid w:val="002279FC"/>
    <w:rsid w:val="00227CFF"/>
    <w:rsid w:val="00230860"/>
    <w:rsid w:val="0023147C"/>
    <w:rsid w:val="00231A15"/>
    <w:rsid w:val="002345D9"/>
    <w:rsid w:val="002350C1"/>
    <w:rsid w:val="002368EF"/>
    <w:rsid w:val="002377C7"/>
    <w:rsid w:val="00237CB3"/>
    <w:rsid w:val="00240632"/>
    <w:rsid w:val="00240E74"/>
    <w:rsid w:val="00241B97"/>
    <w:rsid w:val="00242CEC"/>
    <w:rsid w:val="00244B6E"/>
    <w:rsid w:val="00246060"/>
    <w:rsid w:val="0024654E"/>
    <w:rsid w:val="0024779E"/>
    <w:rsid w:val="0024789E"/>
    <w:rsid w:val="00251856"/>
    <w:rsid w:val="002524B8"/>
    <w:rsid w:val="00252B13"/>
    <w:rsid w:val="00254066"/>
    <w:rsid w:val="00254169"/>
    <w:rsid w:val="0025524A"/>
    <w:rsid w:val="00255D56"/>
    <w:rsid w:val="002576DD"/>
    <w:rsid w:val="00260E6B"/>
    <w:rsid w:val="0026173C"/>
    <w:rsid w:val="00262211"/>
    <w:rsid w:val="002646EB"/>
    <w:rsid w:val="00265E08"/>
    <w:rsid w:val="0026645B"/>
    <w:rsid w:val="002664D9"/>
    <w:rsid w:val="00266774"/>
    <w:rsid w:val="002678E3"/>
    <w:rsid w:val="00270B56"/>
    <w:rsid w:val="00270F46"/>
    <w:rsid w:val="00271A96"/>
    <w:rsid w:val="0027228A"/>
    <w:rsid w:val="00272323"/>
    <w:rsid w:val="00274059"/>
    <w:rsid w:val="002747BB"/>
    <w:rsid w:val="0027554A"/>
    <w:rsid w:val="002756C0"/>
    <w:rsid w:val="002758E1"/>
    <w:rsid w:val="00275EB2"/>
    <w:rsid w:val="0027664E"/>
    <w:rsid w:val="00280070"/>
    <w:rsid w:val="0028059E"/>
    <w:rsid w:val="00280A27"/>
    <w:rsid w:val="00280DB8"/>
    <w:rsid w:val="00282ECB"/>
    <w:rsid w:val="00283DB5"/>
    <w:rsid w:val="00283DE4"/>
    <w:rsid w:val="00284CE8"/>
    <w:rsid w:val="0028639A"/>
    <w:rsid w:val="002863C2"/>
    <w:rsid w:val="002865D0"/>
    <w:rsid w:val="00286C1B"/>
    <w:rsid w:val="0028766C"/>
    <w:rsid w:val="0028769D"/>
    <w:rsid w:val="00287F31"/>
    <w:rsid w:val="0029067F"/>
    <w:rsid w:val="00291ECE"/>
    <w:rsid w:val="00292B7F"/>
    <w:rsid w:val="00292D6E"/>
    <w:rsid w:val="00297568"/>
    <w:rsid w:val="002A1B7B"/>
    <w:rsid w:val="002A2E3E"/>
    <w:rsid w:val="002A3B37"/>
    <w:rsid w:val="002A564E"/>
    <w:rsid w:val="002A56F8"/>
    <w:rsid w:val="002A6E91"/>
    <w:rsid w:val="002B01AA"/>
    <w:rsid w:val="002B101B"/>
    <w:rsid w:val="002B20CE"/>
    <w:rsid w:val="002B2405"/>
    <w:rsid w:val="002B48A2"/>
    <w:rsid w:val="002B6CB4"/>
    <w:rsid w:val="002B6D52"/>
    <w:rsid w:val="002B75B2"/>
    <w:rsid w:val="002B76E8"/>
    <w:rsid w:val="002C01DF"/>
    <w:rsid w:val="002C14FD"/>
    <w:rsid w:val="002C1B92"/>
    <w:rsid w:val="002C2A81"/>
    <w:rsid w:val="002C42AE"/>
    <w:rsid w:val="002C61B2"/>
    <w:rsid w:val="002C70FF"/>
    <w:rsid w:val="002C7D4B"/>
    <w:rsid w:val="002D090F"/>
    <w:rsid w:val="002D34B4"/>
    <w:rsid w:val="002D38E6"/>
    <w:rsid w:val="002D4284"/>
    <w:rsid w:val="002D4AF8"/>
    <w:rsid w:val="002D4E60"/>
    <w:rsid w:val="002D6A01"/>
    <w:rsid w:val="002D6B54"/>
    <w:rsid w:val="002D7FB2"/>
    <w:rsid w:val="002E0910"/>
    <w:rsid w:val="002E116D"/>
    <w:rsid w:val="002E1EE6"/>
    <w:rsid w:val="002E2B0C"/>
    <w:rsid w:val="002E3FF8"/>
    <w:rsid w:val="002E6778"/>
    <w:rsid w:val="002E690D"/>
    <w:rsid w:val="002E69A6"/>
    <w:rsid w:val="002E76F6"/>
    <w:rsid w:val="002E7DAC"/>
    <w:rsid w:val="002E7E3E"/>
    <w:rsid w:val="002F0B53"/>
    <w:rsid w:val="002F13C6"/>
    <w:rsid w:val="002F227F"/>
    <w:rsid w:val="002F2B8C"/>
    <w:rsid w:val="002F3E9D"/>
    <w:rsid w:val="002F42B4"/>
    <w:rsid w:val="002F4727"/>
    <w:rsid w:val="002F4EE5"/>
    <w:rsid w:val="002F548C"/>
    <w:rsid w:val="002F612D"/>
    <w:rsid w:val="002F63DC"/>
    <w:rsid w:val="002F64FC"/>
    <w:rsid w:val="002F6862"/>
    <w:rsid w:val="002F6B95"/>
    <w:rsid w:val="003009C9"/>
    <w:rsid w:val="00303538"/>
    <w:rsid w:val="00303871"/>
    <w:rsid w:val="003051D3"/>
    <w:rsid w:val="0030788B"/>
    <w:rsid w:val="00311B1B"/>
    <w:rsid w:val="0031203A"/>
    <w:rsid w:val="00312E2E"/>
    <w:rsid w:val="00313677"/>
    <w:rsid w:val="00313D6C"/>
    <w:rsid w:val="00313F3A"/>
    <w:rsid w:val="003150D8"/>
    <w:rsid w:val="00316B76"/>
    <w:rsid w:val="00316E77"/>
    <w:rsid w:val="003203F8"/>
    <w:rsid w:val="00320733"/>
    <w:rsid w:val="003208D9"/>
    <w:rsid w:val="00320926"/>
    <w:rsid w:val="0032260B"/>
    <w:rsid w:val="00322D54"/>
    <w:rsid w:val="003233F8"/>
    <w:rsid w:val="0032385F"/>
    <w:rsid w:val="00323D22"/>
    <w:rsid w:val="003246F7"/>
    <w:rsid w:val="00325017"/>
    <w:rsid w:val="00325503"/>
    <w:rsid w:val="003259F7"/>
    <w:rsid w:val="00326E9A"/>
    <w:rsid w:val="00330734"/>
    <w:rsid w:val="0033075C"/>
    <w:rsid w:val="00330778"/>
    <w:rsid w:val="00332205"/>
    <w:rsid w:val="00334AB8"/>
    <w:rsid w:val="00335A7A"/>
    <w:rsid w:val="00336CFE"/>
    <w:rsid w:val="00337791"/>
    <w:rsid w:val="00341AD6"/>
    <w:rsid w:val="0034252D"/>
    <w:rsid w:val="00342E81"/>
    <w:rsid w:val="003431CC"/>
    <w:rsid w:val="00343A5E"/>
    <w:rsid w:val="00344F25"/>
    <w:rsid w:val="00345D08"/>
    <w:rsid w:val="00346FCC"/>
    <w:rsid w:val="003476D5"/>
    <w:rsid w:val="0035052F"/>
    <w:rsid w:val="00351C02"/>
    <w:rsid w:val="0035205C"/>
    <w:rsid w:val="0035299F"/>
    <w:rsid w:val="0035375E"/>
    <w:rsid w:val="0035395E"/>
    <w:rsid w:val="003539BA"/>
    <w:rsid w:val="00353D29"/>
    <w:rsid w:val="00354B7C"/>
    <w:rsid w:val="00354EB2"/>
    <w:rsid w:val="00355BD7"/>
    <w:rsid w:val="00356DD5"/>
    <w:rsid w:val="00357CCA"/>
    <w:rsid w:val="00360160"/>
    <w:rsid w:val="00360255"/>
    <w:rsid w:val="003622DA"/>
    <w:rsid w:val="00363C95"/>
    <w:rsid w:val="0036480D"/>
    <w:rsid w:val="00364EC6"/>
    <w:rsid w:val="00365D9B"/>
    <w:rsid w:val="003660A3"/>
    <w:rsid w:val="003665CA"/>
    <w:rsid w:val="003666E5"/>
    <w:rsid w:val="003673D2"/>
    <w:rsid w:val="003675E4"/>
    <w:rsid w:val="00371C33"/>
    <w:rsid w:val="003740C3"/>
    <w:rsid w:val="00374EA4"/>
    <w:rsid w:val="0037632F"/>
    <w:rsid w:val="00376358"/>
    <w:rsid w:val="00376742"/>
    <w:rsid w:val="003777E4"/>
    <w:rsid w:val="00377B06"/>
    <w:rsid w:val="00377BD2"/>
    <w:rsid w:val="00377D5C"/>
    <w:rsid w:val="0038078E"/>
    <w:rsid w:val="0038236B"/>
    <w:rsid w:val="003826D9"/>
    <w:rsid w:val="00383231"/>
    <w:rsid w:val="0038327F"/>
    <w:rsid w:val="00383BD2"/>
    <w:rsid w:val="00383DEB"/>
    <w:rsid w:val="00384270"/>
    <w:rsid w:val="003843AB"/>
    <w:rsid w:val="00384C04"/>
    <w:rsid w:val="00384FE4"/>
    <w:rsid w:val="0038610E"/>
    <w:rsid w:val="0038626F"/>
    <w:rsid w:val="00386786"/>
    <w:rsid w:val="00386CF7"/>
    <w:rsid w:val="00387710"/>
    <w:rsid w:val="00391FAC"/>
    <w:rsid w:val="00392042"/>
    <w:rsid w:val="00392FF1"/>
    <w:rsid w:val="003939D4"/>
    <w:rsid w:val="00393D2E"/>
    <w:rsid w:val="00394DA8"/>
    <w:rsid w:val="0039512C"/>
    <w:rsid w:val="00396A0E"/>
    <w:rsid w:val="003A0365"/>
    <w:rsid w:val="003A0B12"/>
    <w:rsid w:val="003A1A95"/>
    <w:rsid w:val="003A2576"/>
    <w:rsid w:val="003A294B"/>
    <w:rsid w:val="003A36D3"/>
    <w:rsid w:val="003A3F90"/>
    <w:rsid w:val="003A427E"/>
    <w:rsid w:val="003A5824"/>
    <w:rsid w:val="003B25EE"/>
    <w:rsid w:val="003B70B5"/>
    <w:rsid w:val="003B7A4B"/>
    <w:rsid w:val="003B7B8D"/>
    <w:rsid w:val="003C0088"/>
    <w:rsid w:val="003C1552"/>
    <w:rsid w:val="003C1891"/>
    <w:rsid w:val="003C2025"/>
    <w:rsid w:val="003C2164"/>
    <w:rsid w:val="003C3964"/>
    <w:rsid w:val="003C4DA6"/>
    <w:rsid w:val="003C50E2"/>
    <w:rsid w:val="003C5591"/>
    <w:rsid w:val="003C5891"/>
    <w:rsid w:val="003C5C3C"/>
    <w:rsid w:val="003C66C8"/>
    <w:rsid w:val="003D061F"/>
    <w:rsid w:val="003D198F"/>
    <w:rsid w:val="003D2A3F"/>
    <w:rsid w:val="003D3616"/>
    <w:rsid w:val="003D5381"/>
    <w:rsid w:val="003D54B4"/>
    <w:rsid w:val="003D5915"/>
    <w:rsid w:val="003D5B5C"/>
    <w:rsid w:val="003D63C7"/>
    <w:rsid w:val="003D6ED7"/>
    <w:rsid w:val="003D73C2"/>
    <w:rsid w:val="003D7C77"/>
    <w:rsid w:val="003E035E"/>
    <w:rsid w:val="003E17BE"/>
    <w:rsid w:val="003E18ED"/>
    <w:rsid w:val="003E1F2D"/>
    <w:rsid w:val="003E2EBF"/>
    <w:rsid w:val="003E4033"/>
    <w:rsid w:val="003E42AF"/>
    <w:rsid w:val="003E4529"/>
    <w:rsid w:val="003E5318"/>
    <w:rsid w:val="003E5470"/>
    <w:rsid w:val="003E6CDB"/>
    <w:rsid w:val="003F0087"/>
    <w:rsid w:val="003F078B"/>
    <w:rsid w:val="003F144A"/>
    <w:rsid w:val="003F213F"/>
    <w:rsid w:val="003F2763"/>
    <w:rsid w:val="003F2D76"/>
    <w:rsid w:val="003F318A"/>
    <w:rsid w:val="003F4011"/>
    <w:rsid w:val="003F5DC5"/>
    <w:rsid w:val="003F5F24"/>
    <w:rsid w:val="003F6928"/>
    <w:rsid w:val="003F6CEB"/>
    <w:rsid w:val="004000DB"/>
    <w:rsid w:val="00400D02"/>
    <w:rsid w:val="00401CAA"/>
    <w:rsid w:val="00401DBC"/>
    <w:rsid w:val="00401F95"/>
    <w:rsid w:val="00402202"/>
    <w:rsid w:val="00402829"/>
    <w:rsid w:val="00403308"/>
    <w:rsid w:val="0040433E"/>
    <w:rsid w:val="00404E2E"/>
    <w:rsid w:val="00405017"/>
    <w:rsid w:val="0040509A"/>
    <w:rsid w:val="004055E4"/>
    <w:rsid w:val="00406896"/>
    <w:rsid w:val="00406968"/>
    <w:rsid w:val="00406C58"/>
    <w:rsid w:val="00407AF2"/>
    <w:rsid w:val="00407B31"/>
    <w:rsid w:val="00410864"/>
    <w:rsid w:val="00411398"/>
    <w:rsid w:val="004119B7"/>
    <w:rsid w:val="0041225B"/>
    <w:rsid w:val="00412437"/>
    <w:rsid w:val="0041280B"/>
    <w:rsid w:val="00412BC9"/>
    <w:rsid w:val="00413277"/>
    <w:rsid w:val="0041386A"/>
    <w:rsid w:val="00413B84"/>
    <w:rsid w:val="00413F50"/>
    <w:rsid w:val="004140B0"/>
    <w:rsid w:val="0041418F"/>
    <w:rsid w:val="00414DDB"/>
    <w:rsid w:val="004151D0"/>
    <w:rsid w:val="004160F2"/>
    <w:rsid w:val="00416791"/>
    <w:rsid w:val="00416F92"/>
    <w:rsid w:val="00417230"/>
    <w:rsid w:val="004173FE"/>
    <w:rsid w:val="00417ACC"/>
    <w:rsid w:val="00421338"/>
    <w:rsid w:val="004215AB"/>
    <w:rsid w:val="00421920"/>
    <w:rsid w:val="00423004"/>
    <w:rsid w:val="004236FD"/>
    <w:rsid w:val="00423A39"/>
    <w:rsid w:val="0042434D"/>
    <w:rsid w:val="00425153"/>
    <w:rsid w:val="00425262"/>
    <w:rsid w:val="00427123"/>
    <w:rsid w:val="0042779D"/>
    <w:rsid w:val="00430DB1"/>
    <w:rsid w:val="00431380"/>
    <w:rsid w:val="00431BD9"/>
    <w:rsid w:val="004323B1"/>
    <w:rsid w:val="004330F4"/>
    <w:rsid w:val="00434C44"/>
    <w:rsid w:val="0043541E"/>
    <w:rsid w:val="00436D42"/>
    <w:rsid w:val="00442B4D"/>
    <w:rsid w:val="00444883"/>
    <w:rsid w:val="00444C06"/>
    <w:rsid w:val="00446A33"/>
    <w:rsid w:val="00446C3F"/>
    <w:rsid w:val="004470E2"/>
    <w:rsid w:val="0045028F"/>
    <w:rsid w:val="00450EB1"/>
    <w:rsid w:val="00450F1F"/>
    <w:rsid w:val="004513E2"/>
    <w:rsid w:val="00451EF6"/>
    <w:rsid w:val="00452158"/>
    <w:rsid w:val="0045391E"/>
    <w:rsid w:val="004545BE"/>
    <w:rsid w:val="00454CA5"/>
    <w:rsid w:val="00454F36"/>
    <w:rsid w:val="00455C82"/>
    <w:rsid w:val="004560B6"/>
    <w:rsid w:val="004568DE"/>
    <w:rsid w:val="00457DAE"/>
    <w:rsid w:val="00461979"/>
    <w:rsid w:val="00461BC5"/>
    <w:rsid w:val="00461D45"/>
    <w:rsid w:val="00461F42"/>
    <w:rsid w:val="00461FCF"/>
    <w:rsid w:val="004649BD"/>
    <w:rsid w:val="004650C6"/>
    <w:rsid w:val="00465385"/>
    <w:rsid w:val="004659CA"/>
    <w:rsid w:val="00466A59"/>
    <w:rsid w:val="00467108"/>
    <w:rsid w:val="00470849"/>
    <w:rsid w:val="00473066"/>
    <w:rsid w:val="00473420"/>
    <w:rsid w:val="0047501A"/>
    <w:rsid w:val="00475207"/>
    <w:rsid w:val="004756FB"/>
    <w:rsid w:val="00475801"/>
    <w:rsid w:val="00475BED"/>
    <w:rsid w:val="00476C6B"/>
    <w:rsid w:val="00481E68"/>
    <w:rsid w:val="004821EB"/>
    <w:rsid w:val="004828B4"/>
    <w:rsid w:val="00483F1A"/>
    <w:rsid w:val="00484386"/>
    <w:rsid w:val="00484660"/>
    <w:rsid w:val="0048507E"/>
    <w:rsid w:val="00485D43"/>
    <w:rsid w:val="00485E63"/>
    <w:rsid w:val="00486B7B"/>
    <w:rsid w:val="00487037"/>
    <w:rsid w:val="00487CD3"/>
    <w:rsid w:val="004908C9"/>
    <w:rsid w:val="004908DB"/>
    <w:rsid w:val="00493C3E"/>
    <w:rsid w:val="0049455C"/>
    <w:rsid w:val="004946E5"/>
    <w:rsid w:val="004965AA"/>
    <w:rsid w:val="00497BE5"/>
    <w:rsid w:val="004A0498"/>
    <w:rsid w:val="004A0DDD"/>
    <w:rsid w:val="004A3845"/>
    <w:rsid w:val="004A5680"/>
    <w:rsid w:val="004A59A5"/>
    <w:rsid w:val="004A6BCE"/>
    <w:rsid w:val="004A7400"/>
    <w:rsid w:val="004A74F4"/>
    <w:rsid w:val="004B25E6"/>
    <w:rsid w:val="004B260C"/>
    <w:rsid w:val="004B3CF3"/>
    <w:rsid w:val="004B6406"/>
    <w:rsid w:val="004B70A1"/>
    <w:rsid w:val="004B71D5"/>
    <w:rsid w:val="004B7345"/>
    <w:rsid w:val="004C038F"/>
    <w:rsid w:val="004C1064"/>
    <w:rsid w:val="004C2874"/>
    <w:rsid w:val="004C3330"/>
    <w:rsid w:val="004C3333"/>
    <w:rsid w:val="004C3DEE"/>
    <w:rsid w:val="004C547A"/>
    <w:rsid w:val="004C5DD4"/>
    <w:rsid w:val="004C5FD3"/>
    <w:rsid w:val="004C6DC0"/>
    <w:rsid w:val="004C708A"/>
    <w:rsid w:val="004C7F14"/>
    <w:rsid w:val="004C7FF9"/>
    <w:rsid w:val="004D1358"/>
    <w:rsid w:val="004D26D4"/>
    <w:rsid w:val="004D2A24"/>
    <w:rsid w:val="004D420F"/>
    <w:rsid w:val="004D4AC9"/>
    <w:rsid w:val="004D5717"/>
    <w:rsid w:val="004D57FE"/>
    <w:rsid w:val="004D5823"/>
    <w:rsid w:val="004D61EB"/>
    <w:rsid w:val="004D6394"/>
    <w:rsid w:val="004D63C7"/>
    <w:rsid w:val="004D6CCD"/>
    <w:rsid w:val="004D71CD"/>
    <w:rsid w:val="004D747E"/>
    <w:rsid w:val="004D7493"/>
    <w:rsid w:val="004D758F"/>
    <w:rsid w:val="004E0557"/>
    <w:rsid w:val="004E2576"/>
    <w:rsid w:val="004E510E"/>
    <w:rsid w:val="004E5A68"/>
    <w:rsid w:val="004E66BB"/>
    <w:rsid w:val="004E6BF5"/>
    <w:rsid w:val="004E7807"/>
    <w:rsid w:val="004E7A8A"/>
    <w:rsid w:val="004F1277"/>
    <w:rsid w:val="004F12DE"/>
    <w:rsid w:val="004F1C26"/>
    <w:rsid w:val="004F3144"/>
    <w:rsid w:val="004F3D02"/>
    <w:rsid w:val="004F4AB6"/>
    <w:rsid w:val="004F5847"/>
    <w:rsid w:val="004F75A5"/>
    <w:rsid w:val="004F7E89"/>
    <w:rsid w:val="00500EFA"/>
    <w:rsid w:val="00501EA5"/>
    <w:rsid w:val="00504A3A"/>
    <w:rsid w:val="0050536A"/>
    <w:rsid w:val="0050690F"/>
    <w:rsid w:val="0050768E"/>
    <w:rsid w:val="005108B3"/>
    <w:rsid w:val="00512866"/>
    <w:rsid w:val="005138D9"/>
    <w:rsid w:val="00513B17"/>
    <w:rsid w:val="00514C90"/>
    <w:rsid w:val="00515F2B"/>
    <w:rsid w:val="00516177"/>
    <w:rsid w:val="0052021F"/>
    <w:rsid w:val="00520E89"/>
    <w:rsid w:val="005224AA"/>
    <w:rsid w:val="00522C1E"/>
    <w:rsid w:val="00523688"/>
    <w:rsid w:val="00524288"/>
    <w:rsid w:val="0052538E"/>
    <w:rsid w:val="005255D2"/>
    <w:rsid w:val="00526025"/>
    <w:rsid w:val="0052643D"/>
    <w:rsid w:val="00527F59"/>
    <w:rsid w:val="00531220"/>
    <w:rsid w:val="005313AF"/>
    <w:rsid w:val="0053153E"/>
    <w:rsid w:val="00531DCF"/>
    <w:rsid w:val="005348AE"/>
    <w:rsid w:val="00534A47"/>
    <w:rsid w:val="00534E2E"/>
    <w:rsid w:val="0053619F"/>
    <w:rsid w:val="00536EF6"/>
    <w:rsid w:val="00540021"/>
    <w:rsid w:val="005441ED"/>
    <w:rsid w:val="00545138"/>
    <w:rsid w:val="00546BFE"/>
    <w:rsid w:val="00546F39"/>
    <w:rsid w:val="00547023"/>
    <w:rsid w:val="005472BA"/>
    <w:rsid w:val="00550514"/>
    <w:rsid w:val="00550590"/>
    <w:rsid w:val="00550FE8"/>
    <w:rsid w:val="005519CC"/>
    <w:rsid w:val="00555697"/>
    <w:rsid w:val="00557141"/>
    <w:rsid w:val="005572B1"/>
    <w:rsid w:val="00560045"/>
    <w:rsid w:val="0056105C"/>
    <w:rsid w:val="00562000"/>
    <w:rsid w:val="00562DB8"/>
    <w:rsid w:val="00565B62"/>
    <w:rsid w:val="00566589"/>
    <w:rsid w:val="0056690A"/>
    <w:rsid w:val="00566D70"/>
    <w:rsid w:val="00570041"/>
    <w:rsid w:val="00570D1F"/>
    <w:rsid w:val="005726A7"/>
    <w:rsid w:val="00574789"/>
    <w:rsid w:val="00574FE4"/>
    <w:rsid w:val="00575490"/>
    <w:rsid w:val="0057749E"/>
    <w:rsid w:val="005815CE"/>
    <w:rsid w:val="00581776"/>
    <w:rsid w:val="00583183"/>
    <w:rsid w:val="005851AF"/>
    <w:rsid w:val="00585E75"/>
    <w:rsid w:val="00590541"/>
    <w:rsid w:val="0059186C"/>
    <w:rsid w:val="00591EF7"/>
    <w:rsid w:val="00592206"/>
    <w:rsid w:val="005930EC"/>
    <w:rsid w:val="00593BE6"/>
    <w:rsid w:val="00594F41"/>
    <w:rsid w:val="00595652"/>
    <w:rsid w:val="0059607C"/>
    <w:rsid w:val="005A0052"/>
    <w:rsid w:val="005A01EF"/>
    <w:rsid w:val="005A10BC"/>
    <w:rsid w:val="005A192D"/>
    <w:rsid w:val="005A34DD"/>
    <w:rsid w:val="005A3D6A"/>
    <w:rsid w:val="005A48F0"/>
    <w:rsid w:val="005A6095"/>
    <w:rsid w:val="005A67E5"/>
    <w:rsid w:val="005A75E1"/>
    <w:rsid w:val="005B0742"/>
    <w:rsid w:val="005B0F0D"/>
    <w:rsid w:val="005B2718"/>
    <w:rsid w:val="005B2D56"/>
    <w:rsid w:val="005B511A"/>
    <w:rsid w:val="005B5C07"/>
    <w:rsid w:val="005B6251"/>
    <w:rsid w:val="005B7CEB"/>
    <w:rsid w:val="005C1294"/>
    <w:rsid w:val="005C1717"/>
    <w:rsid w:val="005C25F4"/>
    <w:rsid w:val="005C3A63"/>
    <w:rsid w:val="005C3E48"/>
    <w:rsid w:val="005C470D"/>
    <w:rsid w:val="005C4767"/>
    <w:rsid w:val="005C4AF8"/>
    <w:rsid w:val="005C4D87"/>
    <w:rsid w:val="005C71E3"/>
    <w:rsid w:val="005C7315"/>
    <w:rsid w:val="005D1185"/>
    <w:rsid w:val="005D1AB8"/>
    <w:rsid w:val="005D202C"/>
    <w:rsid w:val="005D3ECA"/>
    <w:rsid w:val="005D47DD"/>
    <w:rsid w:val="005D4D8C"/>
    <w:rsid w:val="005D5333"/>
    <w:rsid w:val="005D5C4D"/>
    <w:rsid w:val="005D6760"/>
    <w:rsid w:val="005D7D09"/>
    <w:rsid w:val="005E10FC"/>
    <w:rsid w:val="005E2AEE"/>
    <w:rsid w:val="005E2B0F"/>
    <w:rsid w:val="005E2D06"/>
    <w:rsid w:val="005E2D66"/>
    <w:rsid w:val="005E3420"/>
    <w:rsid w:val="005E3C4E"/>
    <w:rsid w:val="005E5DC6"/>
    <w:rsid w:val="005E69EC"/>
    <w:rsid w:val="005E7169"/>
    <w:rsid w:val="005F00E0"/>
    <w:rsid w:val="005F0A1A"/>
    <w:rsid w:val="005F0E10"/>
    <w:rsid w:val="005F1615"/>
    <w:rsid w:val="005F3DFF"/>
    <w:rsid w:val="005F4319"/>
    <w:rsid w:val="005F52E5"/>
    <w:rsid w:val="005F55E5"/>
    <w:rsid w:val="005F7D32"/>
    <w:rsid w:val="00600CC1"/>
    <w:rsid w:val="00600F1A"/>
    <w:rsid w:val="006021AB"/>
    <w:rsid w:val="006022C6"/>
    <w:rsid w:val="00603D1E"/>
    <w:rsid w:val="0060424D"/>
    <w:rsid w:val="006056A9"/>
    <w:rsid w:val="006059C1"/>
    <w:rsid w:val="00607529"/>
    <w:rsid w:val="00610794"/>
    <w:rsid w:val="0061080B"/>
    <w:rsid w:val="00610ED6"/>
    <w:rsid w:val="0061100F"/>
    <w:rsid w:val="00612691"/>
    <w:rsid w:val="006141FC"/>
    <w:rsid w:val="00614540"/>
    <w:rsid w:val="00615AC5"/>
    <w:rsid w:val="00615B6A"/>
    <w:rsid w:val="00615E05"/>
    <w:rsid w:val="006166BC"/>
    <w:rsid w:val="006177C3"/>
    <w:rsid w:val="00617D7B"/>
    <w:rsid w:val="00621330"/>
    <w:rsid w:val="006218C4"/>
    <w:rsid w:val="00621989"/>
    <w:rsid w:val="00625345"/>
    <w:rsid w:val="006276BD"/>
    <w:rsid w:val="00627F10"/>
    <w:rsid w:val="00630E7D"/>
    <w:rsid w:val="00631500"/>
    <w:rsid w:val="0063204C"/>
    <w:rsid w:val="00632768"/>
    <w:rsid w:val="00632C51"/>
    <w:rsid w:val="006331C8"/>
    <w:rsid w:val="006334FC"/>
    <w:rsid w:val="00633564"/>
    <w:rsid w:val="00633834"/>
    <w:rsid w:val="00634492"/>
    <w:rsid w:val="00634F53"/>
    <w:rsid w:val="00635007"/>
    <w:rsid w:val="006379B9"/>
    <w:rsid w:val="00637AB6"/>
    <w:rsid w:val="00640D35"/>
    <w:rsid w:val="006410A3"/>
    <w:rsid w:val="00641C42"/>
    <w:rsid w:val="0064222A"/>
    <w:rsid w:val="00642BC9"/>
    <w:rsid w:val="006431D7"/>
    <w:rsid w:val="00643241"/>
    <w:rsid w:val="006434B6"/>
    <w:rsid w:val="00645147"/>
    <w:rsid w:val="006471C9"/>
    <w:rsid w:val="00647EE6"/>
    <w:rsid w:val="00651D5A"/>
    <w:rsid w:val="0065397E"/>
    <w:rsid w:val="00653B72"/>
    <w:rsid w:val="0065610A"/>
    <w:rsid w:val="006570BE"/>
    <w:rsid w:val="006609FA"/>
    <w:rsid w:val="00661740"/>
    <w:rsid w:val="006622EE"/>
    <w:rsid w:val="00662FAA"/>
    <w:rsid w:val="006662C5"/>
    <w:rsid w:val="006665C8"/>
    <w:rsid w:val="006667A4"/>
    <w:rsid w:val="00666D9B"/>
    <w:rsid w:val="0066718D"/>
    <w:rsid w:val="00667A53"/>
    <w:rsid w:val="00667E8D"/>
    <w:rsid w:val="00671E8A"/>
    <w:rsid w:val="00673A02"/>
    <w:rsid w:val="00673CAA"/>
    <w:rsid w:val="00677689"/>
    <w:rsid w:val="00677B55"/>
    <w:rsid w:val="0068184F"/>
    <w:rsid w:val="0068335A"/>
    <w:rsid w:val="00683DA4"/>
    <w:rsid w:val="00683EB8"/>
    <w:rsid w:val="00684111"/>
    <w:rsid w:val="00684674"/>
    <w:rsid w:val="00684AD6"/>
    <w:rsid w:val="00684DF2"/>
    <w:rsid w:val="0068685B"/>
    <w:rsid w:val="00690B61"/>
    <w:rsid w:val="00691D8B"/>
    <w:rsid w:val="00692735"/>
    <w:rsid w:val="0069339E"/>
    <w:rsid w:val="00693D14"/>
    <w:rsid w:val="00694F26"/>
    <w:rsid w:val="00694FF9"/>
    <w:rsid w:val="0069689F"/>
    <w:rsid w:val="00696D19"/>
    <w:rsid w:val="0069733C"/>
    <w:rsid w:val="00697B3E"/>
    <w:rsid w:val="006A0F83"/>
    <w:rsid w:val="006A27ED"/>
    <w:rsid w:val="006A3190"/>
    <w:rsid w:val="006A48EC"/>
    <w:rsid w:val="006A5F6E"/>
    <w:rsid w:val="006A5FCF"/>
    <w:rsid w:val="006A619A"/>
    <w:rsid w:val="006A6323"/>
    <w:rsid w:val="006B0DE3"/>
    <w:rsid w:val="006B1B14"/>
    <w:rsid w:val="006B2218"/>
    <w:rsid w:val="006B23ED"/>
    <w:rsid w:val="006B2A3F"/>
    <w:rsid w:val="006B3A84"/>
    <w:rsid w:val="006B4967"/>
    <w:rsid w:val="006B57A7"/>
    <w:rsid w:val="006B5821"/>
    <w:rsid w:val="006C04DF"/>
    <w:rsid w:val="006C0633"/>
    <w:rsid w:val="006C0CED"/>
    <w:rsid w:val="006C10F1"/>
    <w:rsid w:val="006C1D05"/>
    <w:rsid w:val="006C22FE"/>
    <w:rsid w:val="006C5112"/>
    <w:rsid w:val="006C5212"/>
    <w:rsid w:val="006C57E7"/>
    <w:rsid w:val="006C5B23"/>
    <w:rsid w:val="006C6433"/>
    <w:rsid w:val="006C68CA"/>
    <w:rsid w:val="006C7EC7"/>
    <w:rsid w:val="006D03A6"/>
    <w:rsid w:val="006D07F0"/>
    <w:rsid w:val="006D0811"/>
    <w:rsid w:val="006D23F4"/>
    <w:rsid w:val="006D2897"/>
    <w:rsid w:val="006D3475"/>
    <w:rsid w:val="006D4552"/>
    <w:rsid w:val="006D49B2"/>
    <w:rsid w:val="006D4E3C"/>
    <w:rsid w:val="006D604B"/>
    <w:rsid w:val="006D764E"/>
    <w:rsid w:val="006E041E"/>
    <w:rsid w:val="006E140E"/>
    <w:rsid w:val="006E3790"/>
    <w:rsid w:val="006E3CA4"/>
    <w:rsid w:val="006E4140"/>
    <w:rsid w:val="006E4494"/>
    <w:rsid w:val="006E44D7"/>
    <w:rsid w:val="006E4A1B"/>
    <w:rsid w:val="006E533D"/>
    <w:rsid w:val="006E6684"/>
    <w:rsid w:val="006E72F8"/>
    <w:rsid w:val="006F046D"/>
    <w:rsid w:val="006F17F4"/>
    <w:rsid w:val="006F2689"/>
    <w:rsid w:val="006F2C6E"/>
    <w:rsid w:val="006F2D7E"/>
    <w:rsid w:val="006F3303"/>
    <w:rsid w:val="006F377A"/>
    <w:rsid w:val="006F4532"/>
    <w:rsid w:val="006F574E"/>
    <w:rsid w:val="006F6A36"/>
    <w:rsid w:val="006F6C0A"/>
    <w:rsid w:val="00700B41"/>
    <w:rsid w:val="00701CFF"/>
    <w:rsid w:val="00701DC0"/>
    <w:rsid w:val="0070288B"/>
    <w:rsid w:val="007056CD"/>
    <w:rsid w:val="0070576A"/>
    <w:rsid w:val="0071026C"/>
    <w:rsid w:val="0071063E"/>
    <w:rsid w:val="00712149"/>
    <w:rsid w:val="00712D8C"/>
    <w:rsid w:val="00712EC9"/>
    <w:rsid w:val="00712F09"/>
    <w:rsid w:val="00713A4B"/>
    <w:rsid w:val="0071421E"/>
    <w:rsid w:val="007149CB"/>
    <w:rsid w:val="00714F96"/>
    <w:rsid w:val="00715296"/>
    <w:rsid w:val="00716CA6"/>
    <w:rsid w:val="00716DAC"/>
    <w:rsid w:val="00717631"/>
    <w:rsid w:val="00717FA7"/>
    <w:rsid w:val="007204EE"/>
    <w:rsid w:val="0072298C"/>
    <w:rsid w:val="007241FE"/>
    <w:rsid w:val="00725975"/>
    <w:rsid w:val="00725C57"/>
    <w:rsid w:val="0072620F"/>
    <w:rsid w:val="0072634A"/>
    <w:rsid w:val="00726408"/>
    <w:rsid w:val="007307BB"/>
    <w:rsid w:val="00730C26"/>
    <w:rsid w:val="00730F74"/>
    <w:rsid w:val="00732799"/>
    <w:rsid w:val="007330E9"/>
    <w:rsid w:val="0073345C"/>
    <w:rsid w:val="00734E41"/>
    <w:rsid w:val="007353DA"/>
    <w:rsid w:val="0073575C"/>
    <w:rsid w:val="00736917"/>
    <w:rsid w:val="007376BD"/>
    <w:rsid w:val="00737780"/>
    <w:rsid w:val="00741589"/>
    <w:rsid w:val="007438A6"/>
    <w:rsid w:val="007444AC"/>
    <w:rsid w:val="0074460D"/>
    <w:rsid w:val="00745153"/>
    <w:rsid w:val="00745E9D"/>
    <w:rsid w:val="007462A6"/>
    <w:rsid w:val="00746E59"/>
    <w:rsid w:val="00747574"/>
    <w:rsid w:val="0074786B"/>
    <w:rsid w:val="007523B6"/>
    <w:rsid w:val="00752558"/>
    <w:rsid w:val="00752E38"/>
    <w:rsid w:val="0075379B"/>
    <w:rsid w:val="00754D0F"/>
    <w:rsid w:val="00755CE7"/>
    <w:rsid w:val="00756A93"/>
    <w:rsid w:val="00757149"/>
    <w:rsid w:val="00761ABF"/>
    <w:rsid w:val="00762106"/>
    <w:rsid w:val="00762246"/>
    <w:rsid w:val="007628BE"/>
    <w:rsid w:val="00762A9E"/>
    <w:rsid w:val="00762DCB"/>
    <w:rsid w:val="00762ED2"/>
    <w:rsid w:val="007673FA"/>
    <w:rsid w:val="00770090"/>
    <w:rsid w:val="00770398"/>
    <w:rsid w:val="007704B6"/>
    <w:rsid w:val="007712ED"/>
    <w:rsid w:val="0077149F"/>
    <w:rsid w:val="0077168B"/>
    <w:rsid w:val="00771CC7"/>
    <w:rsid w:val="007726C4"/>
    <w:rsid w:val="00774A9D"/>
    <w:rsid w:val="00775A38"/>
    <w:rsid w:val="00776876"/>
    <w:rsid w:val="007769BB"/>
    <w:rsid w:val="007822C7"/>
    <w:rsid w:val="007836C1"/>
    <w:rsid w:val="007839B7"/>
    <w:rsid w:val="00783E1E"/>
    <w:rsid w:val="00786CB5"/>
    <w:rsid w:val="0078788F"/>
    <w:rsid w:val="00791021"/>
    <w:rsid w:val="00793BB2"/>
    <w:rsid w:val="007941CD"/>
    <w:rsid w:val="007947E9"/>
    <w:rsid w:val="00794A04"/>
    <w:rsid w:val="00796092"/>
    <w:rsid w:val="00796695"/>
    <w:rsid w:val="007A189F"/>
    <w:rsid w:val="007A1FEF"/>
    <w:rsid w:val="007A226C"/>
    <w:rsid w:val="007A2BFA"/>
    <w:rsid w:val="007A2F0F"/>
    <w:rsid w:val="007A5045"/>
    <w:rsid w:val="007A6C13"/>
    <w:rsid w:val="007A75BF"/>
    <w:rsid w:val="007B3935"/>
    <w:rsid w:val="007B5EB7"/>
    <w:rsid w:val="007B706E"/>
    <w:rsid w:val="007B76E5"/>
    <w:rsid w:val="007C04D8"/>
    <w:rsid w:val="007C1A8E"/>
    <w:rsid w:val="007C1C54"/>
    <w:rsid w:val="007C47E5"/>
    <w:rsid w:val="007C6CE9"/>
    <w:rsid w:val="007D0766"/>
    <w:rsid w:val="007D2470"/>
    <w:rsid w:val="007D257A"/>
    <w:rsid w:val="007D2AE6"/>
    <w:rsid w:val="007D4547"/>
    <w:rsid w:val="007D45B8"/>
    <w:rsid w:val="007D4A59"/>
    <w:rsid w:val="007D4D4A"/>
    <w:rsid w:val="007D4E5E"/>
    <w:rsid w:val="007D559F"/>
    <w:rsid w:val="007D6759"/>
    <w:rsid w:val="007D6E73"/>
    <w:rsid w:val="007D739B"/>
    <w:rsid w:val="007D7D55"/>
    <w:rsid w:val="007D7D6C"/>
    <w:rsid w:val="007E049B"/>
    <w:rsid w:val="007E1325"/>
    <w:rsid w:val="007E1501"/>
    <w:rsid w:val="007E3AFA"/>
    <w:rsid w:val="007E4626"/>
    <w:rsid w:val="007E65C4"/>
    <w:rsid w:val="007E69D1"/>
    <w:rsid w:val="007F0567"/>
    <w:rsid w:val="007F0F2B"/>
    <w:rsid w:val="007F18BF"/>
    <w:rsid w:val="007F289E"/>
    <w:rsid w:val="007F3596"/>
    <w:rsid w:val="007F3CB4"/>
    <w:rsid w:val="007F3FE1"/>
    <w:rsid w:val="007F4A76"/>
    <w:rsid w:val="007F4B92"/>
    <w:rsid w:val="007F4DE5"/>
    <w:rsid w:val="007F5456"/>
    <w:rsid w:val="007F5951"/>
    <w:rsid w:val="007F6407"/>
    <w:rsid w:val="007F6625"/>
    <w:rsid w:val="007F6A50"/>
    <w:rsid w:val="007F6C84"/>
    <w:rsid w:val="00801402"/>
    <w:rsid w:val="0080212B"/>
    <w:rsid w:val="008026FA"/>
    <w:rsid w:val="00802EEF"/>
    <w:rsid w:val="00804ECC"/>
    <w:rsid w:val="0080539B"/>
    <w:rsid w:val="00806966"/>
    <w:rsid w:val="00807B7B"/>
    <w:rsid w:val="00810058"/>
    <w:rsid w:val="00810184"/>
    <w:rsid w:val="008103F1"/>
    <w:rsid w:val="0081100E"/>
    <w:rsid w:val="00811AA8"/>
    <w:rsid w:val="008121BA"/>
    <w:rsid w:val="008133F6"/>
    <w:rsid w:val="0081424C"/>
    <w:rsid w:val="00815B0D"/>
    <w:rsid w:val="00815D9D"/>
    <w:rsid w:val="00816520"/>
    <w:rsid w:val="00820256"/>
    <w:rsid w:val="00821A16"/>
    <w:rsid w:val="0082224F"/>
    <w:rsid w:val="0082389A"/>
    <w:rsid w:val="00823D6A"/>
    <w:rsid w:val="0082536A"/>
    <w:rsid w:val="00825EA6"/>
    <w:rsid w:val="00826201"/>
    <w:rsid w:val="00830004"/>
    <w:rsid w:val="00830EF3"/>
    <w:rsid w:val="00830F44"/>
    <w:rsid w:val="00831A15"/>
    <w:rsid w:val="00832F8B"/>
    <w:rsid w:val="00833160"/>
    <w:rsid w:val="008362BA"/>
    <w:rsid w:val="008365FA"/>
    <w:rsid w:val="008367DB"/>
    <w:rsid w:val="00836816"/>
    <w:rsid w:val="00837C9A"/>
    <w:rsid w:val="00841274"/>
    <w:rsid w:val="008420E7"/>
    <w:rsid w:val="00842B48"/>
    <w:rsid w:val="00843C18"/>
    <w:rsid w:val="00844A98"/>
    <w:rsid w:val="00846B05"/>
    <w:rsid w:val="00846D0A"/>
    <w:rsid w:val="00852212"/>
    <w:rsid w:val="00852412"/>
    <w:rsid w:val="00852466"/>
    <w:rsid w:val="00852B63"/>
    <w:rsid w:val="00853ADD"/>
    <w:rsid w:val="008540E7"/>
    <w:rsid w:val="0085488D"/>
    <w:rsid w:val="008548C0"/>
    <w:rsid w:val="008549E8"/>
    <w:rsid w:val="00855B7D"/>
    <w:rsid w:val="00856D20"/>
    <w:rsid w:val="0085791A"/>
    <w:rsid w:val="00860F3A"/>
    <w:rsid w:val="00862070"/>
    <w:rsid w:val="0086436F"/>
    <w:rsid w:val="00865911"/>
    <w:rsid w:val="00865CEE"/>
    <w:rsid w:val="008670D7"/>
    <w:rsid w:val="00867D1F"/>
    <w:rsid w:val="00867E38"/>
    <w:rsid w:val="00870290"/>
    <w:rsid w:val="00870BB2"/>
    <w:rsid w:val="0087108E"/>
    <w:rsid w:val="00872CFC"/>
    <w:rsid w:val="008736FF"/>
    <w:rsid w:val="00873742"/>
    <w:rsid w:val="008737DB"/>
    <w:rsid w:val="0087385A"/>
    <w:rsid w:val="0087398C"/>
    <w:rsid w:val="00875FAC"/>
    <w:rsid w:val="0088022E"/>
    <w:rsid w:val="00882B4D"/>
    <w:rsid w:val="00883BA1"/>
    <w:rsid w:val="00883E08"/>
    <w:rsid w:val="00884594"/>
    <w:rsid w:val="0088501A"/>
    <w:rsid w:val="00885C16"/>
    <w:rsid w:val="00890C37"/>
    <w:rsid w:val="00891135"/>
    <w:rsid w:val="00891C55"/>
    <w:rsid w:val="00893AC6"/>
    <w:rsid w:val="00894AC8"/>
    <w:rsid w:val="00895EE5"/>
    <w:rsid w:val="00897988"/>
    <w:rsid w:val="008A04B0"/>
    <w:rsid w:val="008A11DA"/>
    <w:rsid w:val="008A1580"/>
    <w:rsid w:val="008A1EC3"/>
    <w:rsid w:val="008A3E01"/>
    <w:rsid w:val="008A5908"/>
    <w:rsid w:val="008A5C81"/>
    <w:rsid w:val="008A7A35"/>
    <w:rsid w:val="008B0510"/>
    <w:rsid w:val="008B2B24"/>
    <w:rsid w:val="008B7194"/>
    <w:rsid w:val="008B749D"/>
    <w:rsid w:val="008C031E"/>
    <w:rsid w:val="008C652F"/>
    <w:rsid w:val="008C77A2"/>
    <w:rsid w:val="008D0F34"/>
    <w:rsid w:val="008D102D"/>
    <w:rsid w:val="008D10F1"/>
    <w:rsid w:val="008D2D9C"/>
    <w:rsid w:val="008D2E35"/>
    <w:rsid w:val="008D36D9"/>
    <w:rsid w:val="008D4695"/>
    <w:rsid w:val="008D5273"/>
    <w:rsid w:val="008D5D2A"/>
    <w:rsid w:val="008D6FB0"/>
    <w:rsid w:val="008E00E5"/>
    <w:rsid w:val="008E047B"/>
    <w:rsid w:val="008E2E66"/>
    <w:rsid w:val="008E4967"/>
    <w:rsid w:val="008E4F30"/>
    <w:rsid w:val="008E5A17"/>
    <w:rsid w:val="008F112E"/>
    <w:rsid w:val="008F1A4E"/>
    <w:rsid w:val="008F2B31"/>
    <w:rsid w:val="008F3475"/>
    <w:rsid w:val="008F4779"/>
    <w:rsid w:val="008F4A92"/>
    <w:rsid w:val="008F5190"/>
    <w:rsid w:val="008F5365"/>
    <w:rsid w:val="008F6253"/>
    <w:rsid w:val="00906965"/>
    <w:rsid w:val="00912A12"/>
    <w:rsid w:val="009137A1"/>
    <w:rsid w:val="009152C9"/>
    <w:rsid w:val="00915623"/>
    <w:rsid w:val="00916460"/>
    <w:rsid w:val="00916BD1"/>
    <w:rsid w:val="00916CF1"/>
    <w:rsid w:val="00916EF7"/>
    <w:rsid w:val="00917788"/>
    <w:rsid w:val="00920894"/>
    <w:rsid w:val="00921402"/>
    <w:rsid w:val="00921481"/>
    <w:rsid w:val="009223B4"/>
    <w:rsid w:val="0092338E"/>
    <w:rsid w:val="0092381B"/>
    <w:rsid w:val="00923CE1"/>
    <w:rsid w:val="009241EA"/>
    <w:rsid w:val="009245D3"/>
    <w:rsid w:val="009248DF"/>
    <w:rsid w:val="00924956"/>
    <w:rsid w:val="0092549D"/>
    <w:rsid w:val="0092554A"/>
    <w:rsid w:val="00925FC9"/>
    <w:rsid w:val="00926FDC"/>
    <w:rsid w:val="00927BEA"/>
    <w:rsid w:val="009307BA"/>
    <w:rsid w:val="009314FF"/>
    <w:rsid w:val="00932ED7"/>
    <w:rsid w:val="009331B3"/>
    <w:rsid w:val="00933E94"/>
    <w:rsid w:val="00936B0E"/>
    <w:rsid w:val="009371EF"/>
    <w:rsid w:val="009379C3"/>
    <w:rsid w:val="00940943"/>
    <w:rsid w:val="0094099F"/>
    <w:rsid w:val="00940A85"/>
    <w:rsid w:val="00941069"/>
    <w:rsid w:val="00941653"/>
    <w:rsid w:val="0094262A"/>
    <w:rsid w:val="009427E4"/>
    <w:rsid w:val="00942B82"/>
    <w:rsid w:val="0094336F"/>
    <w:rsid w:val="00943AAB"/>
    <w:rsid w:val="00944518"/>
    <w:rsid w:val="0094498D"/>
    <w:rsid w:val="00944AC3"/>
    <w:rsid w:val="00946FB7"/>
    <w:rsid w:val="009513B6"/>
    <w:rsid w:val="00956AA8"/>
    <w:rsid w:val="009606F0"/>
    <w:rsid w:val="00960790"/>
    <w:rsid w:val="00961057"/>
    <w:rsid w:val="0096167A"/>
    <w:rsid w:val="00964122"/>
    <w:rsid w:val="009707F2"/>
    <w:rsid w:val="00971D3F"/>
    <w:rsid w:val="009720AD"/>
    <w:rsid w:val="009733B3"/>
    <w:rsid w:val="009735FB"/>
    <w:rsid w:val="0097368C"/>
    <w:rsid w:val="00973AE7"/>
    <w:rsid w:val="00974384"/>
    <w:rsid w:val="009746D4"/>
    <w:rsid w:val="00974A41"/>
    <w:rsid w:val="009754E2"/>
    <w:rsid w:val="00976710"/>
    <w:rsid w:val="00976B33"/>
    <w:rsid w:val="0097720D"/>
    <w:rsid w:val="009813D1"/>
    <w:rsid w:val="00982009"/>
    <w:rsid w:val="00983E61"/>
    <w:rsid w:val="0098609D"/>
    <w:rsid w:val="009868B2"/>
    <w:rsid w:val="009924EB"/>
    <w:rsid w:val="00993684"/>
    <w:rsid w:val="009940D7"/>
    <w:rsid w:val="00996143"/>
    <w:rsid w:val="00996E18"/>
    <w:rsid w:val="00997D2D"/>
    <w:rsid w:val="009A0086"/>
    <w:rsid w:val="009A0137"/>
    <w:rsid w:val="009A19B0"/>
    <w:rsid w:val="009A2904"/>
    <w:rsid w:val="009A2BBB"/>
    <w:rsid w:val="009A3EE9"/>
    <w:rsid w:val="009A5584"/>
    <w:rsid w:val="009B039E"/>
    <w:rsid w:val="009B0880"/>
    <w:rsid w:val="009B117B"/>
    <w:rsid w:val="009B1F88"/>
    <w:rsid w:val="009B1FCB"/>
    <w:rsid w:val="009B2DFE"/>
    <w:rsid w:val="009B3357"/>
    <w:rsid w:val="009B519E"/>
    <w:rsid w:val="009B5E5F"/>
    <w:rsid w:val="009B7B8A"/>
    <w:rsid w:val="009B7EEF"/>
    <w:rsid w:val="009C0A42"/>
    <w:rsid w:val="009C2765"/>
    <w:rsid w:val="009C2DEF"/>
    <w:rsid w:val="009C30B0"/>
    <w:rsid w:val="009C47D1"/>
    <w:rsid w:val="009C4819"/>
    <w:rsid w:val="009C4DBE"/>
    <w:rsid w:val="009C5282"/>
    <w:rsid w:val="009C5952"/>
    <w:rsid w:val="009C6292"/>
    <w:rsid w:val="009C63F6"/>
    <w:rsid w:val="009D0F66"/>
    <w:rsid w:val="009D1A5B"/>
    <w:rsid w:val="009D25B5"/>
    <w:rsid w:val="009D4628"/>
    <w:rsid w:val="009D4F0B"/>
    <w:rsid w:val="009D59BD"/>
    <w:rsid w:val="009D741C"/>
    <w:rsid w:val="009D760D"/>
    <w:rsid w:val="009D79C4"/>
    <w:rsid w:val="009D7FCD"/>
    <w:rsid w:val="009E16BD"/>
    <w:rsid w:val="009E1EA9"/>
    <w:rsid w:val="009E2541"/>
    <w:rsid w:val="009E2607"/>
    <w:rsid w:val="009E2C8A"/>
    <w:rsid w:val="009E39BF"/>
    <w:rsid w:val="009E4604"/>
    <w:rsid w:val="009E4CF3"/>
    <w:rsid w:val="009E4F03"/>
    <w:rsid w:val="009E51F3"/>
    <w:rsid w:val="009E5898"/>
    <w:rsid w:val="009E5A82"/>
    <w:rsid w:val="009E7D71"/>
    <w:rsid w:val="009F07E2"/>
    <w:rsid w:val="009F0AE0"/>
    <w:rsid w:val="009F11B3"/>
    <w:rsid w:val="009F14B8"/>
    <w:rsid w:val="009F18A6"/>
    <w:rsid w:val="009F190D"/>
    <w:rsid w:val="009F1AFF"/>
    <w:rsid w:val="009F3AB2"/>
    <w:rsid w:val="009F3C30"/>
    <w:rsid w:val="009F44D2"/>
    <w:rsid w:val="009F562F"/>
    <w:rsid w:val="009F7061"/>
    <w:rsid w:val="009F784A"/>
    <w:rsid w:val="009F7BB0"/>
    <w:rsid w:val="00A015E6"/>
    <w:rsid w:val="00A015FB"/>
    <w:rsid w:val="00A04BFF"/>
    <w:rsid w:val="00A065AC"/>
    <w:rsid w:val="00A06A7C"/>
    <w:rsid w:val="00A07A5B"/>
    <w:rsid w:val="00A105A5"/>
    <w:rsid w:val="00A10F0D"/>
    <w:rsid w:val="00A1127D"/>
    <w:rsid w:val="00A12285"/>
    <w:rsid w:val="00A12871"/>
    <w:rsid w:val="00A13910"/>
    <w:rsid w:val="00A15530"/>
    <w:rsid w:val="00A17FCD"/>
    <w:rsid w:val="00A208DF"/>
    <w:rsid w:val="00A214EA"/>
    <w:rsid w:val="00A21D00"/>
    <w:rsid w:val="00A22748"/>
    <w:rsid w:val="00A2313C"/>
    <w:rsid w:val="00A23878"/>
    <w:rsid w:val="00A23D08"/>
    <w:rsid w:val="00A2571E"/>
    <w:rsid w:val="00A274E7"/>
    <w:rsid w:val="00A30F0A"/>
    <w:rsid w:val="00A31165"/>
    <w:rsid w:val="00A32351"/>
    <w:rsid w:val="00A3314D"/>
    <w:rsid w:val="00A3351E"/>
    <w:rsid w:val="00A342A6"/>
    <w:rsid w:val="00A34E0F"/>
    <w:rsid w:val="00A34F20"/>
    <w:rsid w:val="00A34F77"/>
    <w:rsid w:val="00A360A7"/>
    <w:rsid w:val="00A37154"/>
    <w:rsid w:val="00A37E5A"/>
    <w:rsid w:val="00A40530"/>
    <w:rsid w:val="00A4349F"/>
    <w:rsid w:val="00A46720"/>
    <w:rsid w:val="00A477C9"/>
    <w:rsid w:val="00A519FE"/>
    <w:rsid w:val="00A51D30"/>
    <w:rsid w:val="00A52772"/>
    <w:rsid w:val="00A53633"/>
    <w:rsid w:val="00A53BB6"/>
    <w:rsid w:val="00A53DB1"/>
    <w:rsid w:val="00A542FA"/>
    <w:rsid w:val="00A552FA"/>
    <w:rsid w:val="00A56EE2"/>
    <w:rsid w:val="00A5751B"/>
    <w:rsid w:val="00A61D72"/>
    <w:rsid w:val="00A61E9E"/>
    <w:rsid w:val="00A627C1"/>
    <w:rsid w:val="00A63363"/>
    <w:rsid w:val="00A64273"/>
    <w:rsid w:val="00A65122"/>
    <w:rsid w:val="00A659BA"/>
    <w:rsid w:val="00A65E27"/>
    <w:rsid w:val="00A70AF5"/>
    <w:rsid w:val="00A70E7A"/>
    <w:rsid w:val="00A71339"/>
    <w:rsid w:val="00A72113"/>
    <w:rsid w:val="00A72955"/>
    <w:rsid w:val="00A7476D"/>
    <w:rsid w:val="00A74F88"/>
    <w:rsid w:val="00A7529D"/>
    <w:rsid w:val="00A808BD"/>
    <w:rsid w:val="00A81A07"/>
    <w:rsid w:val="00A8297F"/>
    <w:rsid w:val="00A82FA7"/>
    <w:rsid w:val="00A85C95"/>
    <w:rsid w:val="00A862FF"/>
    <w:rsid w:val="00A8685D"/>
    <w:rsid w:val="00A87751"/>
    <w:rsid w:val="00A900AB"/>
    <w:rsid w:val="00A906D2"/>
    <w:rsid w:val="00A908EF"/>
    <w:rsid w:val="00A90DF9"/>
    <w:rsid w:val="00A91D83"/>
    <w:rsid w:val="00A928DF"/>
    <w:rsid w:val="00A92F3F"/>
    <w:rsid w:val="00A93432"/>
    <w:rsid w:val="00A95354"/>
    <w:rsid w:val="00A95CDD"/>
    <w:rsid w:val="00A96795"/>
    <w:rsid w:val="00AA050B"/>
    <w:rsid w:val="00AA24C5"/>
    <w:rsid w:val="00AA30B2"/>
    <w:rsid w:val="00AA3638"/>
    <w:rsid w:val="00AA4992"/>
    <w:rsid w:val="00AA4FC6"/>
    <w:rsid w:val="00AA542A"/>
    <w:rsid w:val="00AA5FA4"/>
    <w:rsid w:val="00AA6BAB"/>
    <w:rsid w:val="00AA713C"/>
    <w:rsid w:val="00AA7894"/>
    <w:rsid w:val="00AA7C7C"/>
    <w:rsid w:val="00AA7D4C"/>
    <w:rsid w:val="00AB01B9"/>
    <w:rsid w:val="00AB1CAD"/>
    <w:rsid w:val="00AB1CF2"/>
    <w:rsid w:val="00AB223C"/>
    <w:rsid w:val="00AB2A84"/>
    <w:rsid w:val="00AB2FE5"/>
    <w:rsid w:val="00AB355C"/>
    <w:rsid w:val="00AB3749"/>
    <w:rsid w:val="00AB4066"/>
    <w:rsid w:val="00AB45EE"/>
    <w:rsid w:val="00AB46E6"/>
    <w:rsid w:val="00AB5B3E"/>
    <w:rsid w:val="00AB5C2C"/>
    <w:rsid w:val="00AB7549"/>
    <w:rsid w:val="00AB772B"/>
    <w:rsid w:val="00AB7D70"/>
    <w:rsid w:val="00AC0130"/>
    <w:rsid w:val="00AC1075"/>
    <w:rsid w:val="00AC1C57"/>
    <w:rsid w:val="00AC2D5B"/>
    <w:rsid w:val="00AC4462"/>
    <w:rsid w:val="00AC4C5D"/>
    <w:rsid w:val="00AC5168"/>
    <w:rsid w:val="00AC5176"/>
    <w:rsid w:val="00AC56F2"/>
    <w:rsid w:val="00AC7647"/>
    <w:rsid w:val="00AD03DC"/>
    <w:rsid w:val="00AD0865"/>
    <w:rsid w:val="00AD114F"/>
    <w:rsid w:val="00AD19DC"/>
    <w:rsid w:val="00AD3152"/>
    <w:rsid w:val="00AD4B30"/>
    <w:rsid w:val="00AD67AF"/>
    <w:rsid w:val="00AD7439"/>
    <w:rsid w:val="00AD7999"/>
    <w:rsid w:val="00AD7AAC"/>
    <w:rsid w:val="00AE052E"/>
    <w:rsid w:val="00AE0AD1"/>
    <w:rsid w:val="00AE1236"/>
    <w:rsid w:val="00AE1B0A"/>
    <w:rsid w:val="00AE24FE"/>
    <w:rsid w:val="00AE75FC"/>
    <w:rsid w:val="00AE787C"/>
    <w:rsid w:val="00AF0B1C"/>
    <w:rsid w:val="00AF0D28"/>
    <w:rsid w:val="00AF202A"/>
    <w:rsid w:val="00AF34D9"/>
    <w:rsid w:val="00AF3BA7"/>
    <w:rsid w:val="00AF3BDB"/>
    <w:rsid w:val="00AF4330"/>
    <w:rsid w:val="00AF46ED"/>
    <w:rsid w:val="00AF4AC8"/>
    <w:rsid w:val="00AF61FD"/>
    <w:rsid w:val="00AF630F"/>
    <w:rsid w:val="00AF6741"/>
    <w:rsid w:val="00AF709A"/>
    <w:rsid w:val="00AF7C69"/>
    <w:rsid w:val="00B00721"/>
    <w:rsid w:val="00B00E00"/>
    <w:rsid w:val="00B01B0C"/>
    <w:rsid w:val="00B02A6F"/>
    <w:rsid w:val="00B03B98"/>
    <w:rsid w:val="00B03E93"/>
    <w:rsid w:val="00B05A8C"/>
    <w:rsid w:val="00B05C22"/>
    <w:rsid w:val="00B07280"/>
    <w:rsid w:val="00B073D8"/>
    <w:rsid w:val="00B07F71"/>
    <w:rsid w:val="00B10A4D"/>
    <w:rsid w:val="00B1180B"/>
    <w:rsid w:val="00B12D4D"/>
    <w:rsid w:val="00B14C9C"/>
    <w:rsid w:val="00B15073"/>
    <w:rsid w:val="00B154C9"/>
    <w:rsid w:val="00B16268"/>
    <w:rsid w:val="00B17788"/>
    <w:rsid w:val="00B17E56"/>
    <w:rsid w:val="00B202B4"/>
    <w:rsid w:val="00B21B99"/>
    <w:rsid w:val="00B2281D"/>
    <w:rsid w:val="00B2343E"/>
    <w:rsid w:val="00B239EA"/>
    <w:rsid w:val="00B25EB5"/>
    <w:rsid w:val="00B3185D"/>
    <w:rsid w:val="00B319A7"/>
    <w:rsid w:val="00B31E35"/>
    <w:rsid w:val="00B3236A"/>
    <w:rsid w:val="00B34B26"/>
    <w:rsid w:val="00B351E2"/>
    <w:rsid w:val="00B35441"/>
    <w:rsid w:val="00B35AC7"/>
    <w:rsid w:val="00B374BA"/>
    <w:rsid w:val="00B37954"/>
    <w:rsid w:val="00B40CD4"/>
    <w:rsid w:val="00B41ACF"/>
    <w:rsid w:val="00B41AE2"/>
    <w:rsid w:val="00B43A59"/>
    <w:rsid w:val="00B4523F"/>
    <w:rsid w:val="00B45848"/>
    <w:rsid w:val="00B474DB"/>
    <w:rsid w:val="00B474EF"/>
    <w:rsid w:val="00B47796"/>
    <w:rsid w:val="00B50AA4"/>
    <w:rsid w:val="00B513EC"/>
    <w:rsid w:val="00B5146A"/>
    <w:rsid w:val="00B5211E"/>
    <w:rsid w:val="00B525DE"/>
    <w:rsid w:val="00B54D91"/>
    <w:rsid w:val="00B5574A"/>
    <w:rsid w:val="00B55A3F"/>
    <w:rsid w:val="00B56526"/>
    <w:rsid w:val="00B56CBD"/>
    <w:rsid w:val="00B57317"/>
    <w:rsid w:val="00B57B84"/>
    <w:rsid w:val="00B57BEB"/>
    <w:rsid w:val="00B57C21"/>
    <w:rsid w:val="00B60559"/>
    <w:rsid w:val="00B60A4B"/>
    <w:rsid w:val="00B613E8"/>
    <w:rsid w:val="00B620C1"/>
    <w:rsid w:val="00B62722"/>
    <w:rsid w:val="00B63DC4"/>
    <w:rsid w:val="00B643B4"/>
    <w:rsid w:val="00B65AD5"/>
    <w:rsid w:val="00B65DD6"/>
    <w:rsid w:val="00B67956"/>
    <w:rsid w:val="00B702F3"/>
    <w:rsid w:val="00B71105"/>
    <w:rsid w:val="00B71548"/>
    <w:rsid w:val="00B7232E"/>
    <w:rsid w:val="00B72985"/>
    <w:rsid w:val="00B72F47"/>
    <w:rsid w:val="00B73431"/>
    <w:rsid w:val="00B73ABF"/>
    <w:rsid w:val="00B74C39"/>
    <w:rsid w:val="00B74F64"/>
    <w:rsid w:val="00B757B5"/>
    <w:rsid w:val="00B75837"/>
    <w:rsid w:val="00B75D2D"/>
    <w:rsid w:val="00B76B99"/>
    <w:rsid w:val="00B77188"/>
    <w:rsid w:val="00B77332"/>
    <w:rsid w:val="00B77F9D"/>
    <w:rsid w:val="00B8211F"/>
    <w:rsid w:val="00B824E6"/>
    <w:rsid w:val="00B837F2"/>
    <w:rsid w:val="00B84897"/>
    <w:rsid w:val="00B8494F"/>
    <w:rsid w:val="00B84A2C"/>
    <w:rsid w:val="00B84B4D"/>
    <w:rsid w:val="00B84D87"/>
    <w:rsid w:val="00B850E5"/>
    <w:rsid w:val="00B8548A"/>
    <w:rsid w:val="00B85C53"/>
    <w:rsid w:val="00B87899"/>
    <w:rsid w:val="00B87F8B"/>
    <w:rsid w:val="00B922DE"/>
    <w:rsid w:val="00B95C97"/>
    <w:rsid w:val="00B95D6E"/>
    <w:rsid w:val="00B96CD6"/>
    <w:rsid w:val="00B9721B"/>
    <w:rsid w:val="00B97D52"/>
    <w:rsid w:val="00B97E69"/>
    <w:rsid w:val="00BA3A98"/>
    <w:rsid w:val="00BA3D5F"/>
    <w:rsid w:val="00BA43C7"/>
    <w:rsid w:val="00BA6434"/>
    <w:rsid w:val="00BA6ADE"/>
    <w:rsid w:val="00BA71F0"/>
    <w:rsid w:val="00BA79A6"/>
    <w:rsid w:val="00BA7FF8"/>
    <w:rsid w:val="00BB07CE"/>
    <w:rsid w:val="00BB1381"/>
    <w:rsid w:val="00BB20E3"/>
    <w:rsid w:val="00BB44F4"/>
    <w:rsid w:val="00BB4ECA"/>
    <w:rsid w:val="00BB596D"/>
    <w:rsid w:val="00BB5AC5"/>
    <w:rsid w:val="00BB6868"/>
    <w:rsid w:val="00BB75AD"/>
    <w:rsid w:val="00BB7EC0"/>
    <w:rsid w:val="00BC0AA2"/>
    <w:rsid w:val="00BC15C2"/>
    <w:rsid w:val="00BC1FBC"/>
    <w:rsid w:val="00BC2F90"/>
    <w:rsid w:val="00BC3CF4"/>
    <w:rsid w:val="00BC4213"/>
    <w:rsid w:val="00BC62E4"/>
    <w:rsid w:val="00BD1615"/>
    <w:rsid w:val="00BD1804"/>
    <w:rsid w:val="00BD29C2"/>
    <w:rsid w:val="00BD4F78"/>
    <w:rsid w:val="00BD5E67"/>
    <w:rsid w:val="00BD75F6"/>
    <w:rsid w:val="00BE3014"/>
    <w:rsid w:val="00BE3850"/>
    <w:rsid w:val="00BE3E58"/>
    <w:rsid w:val="00BE4125"/>
    <w:rsid w:val="00BE590B"/>
    <w:rsid w:val="00BE6E2A"/>
    <w:rsid w:val="00BF0751"/>
    <w:rsid w:val="00BF27C1"/>
    <w:rsid w:val="00BF2BB6"/>
    <w:rsid w:val="00BF2FF3"/>
    <w:rsid w:val="00BF3513"/>
    <w:rsid w:val="00BF3854"/>
    <w:rsid w:val="00BF4A63"/>
    <w:rsid w:val="00BF5044"/>
    <w:rsid w:val="00BF593E"/>
    <w:rsid w:val="00BF6380"/>
    <w:rsid w:val="00BF6F15"/>
    <w:rsid w:val="00C00DA7"/>
    <w:rsid w:val="00C01BDA"/>
    <w:rsid w:val="00C02A3B"/>
    <w:rsid w:val="00C042C6"/>
    <w:rsid w:val="00C05390"/>
    <w:rsid w:val="00C07E51"/>
    <w:rsid w:val="00C10C25"/>
    <w:rsid w:val="00C14047"/>
    <w:rsid w:val="00C147E4"/>
    <w:rsid w:val="00C154DC"/>
    <w:rsid w:val="00C159D5"/>
    <w:rsid w:val="00C17221"/>
    <w:rsid w:val="00C17DD5"/>
    <w:rsid w:val="00C20365"/>
    <w:rsid w:val="00C2097C"/>
    <w:rsid w:val="00C2275D"/>
    <w:rsid w:val="00C2288A"/>
    <w:rsid w:val="00C22C23"/>
    <w:rsid w:val="00C23507"/>
    <w:rsid w:val="00C256A1"/>
    <w:rsid w:val="00C266F8"/>
    <w:rsid w:val="00C27C4A"/>
    <w:rsid w:val="00C30407"/>
    <w:rsid w:val="00C3046B"/>
    <w:rsid w:val="00C3180A"/>
    <w:rsid w:val="00C31F7F"/>
    <w:rsid w:val="00C32EDD"/>
    <w:rsid w:val="00C33B5A"/>
    <w:rsid w:val="00C35018"/>
    <w:rsid w:val="00C35061"/>
    <w:rsid w:val="00C3628D"/>
    <w:rsid w:val="00C3650A"/>
    <w:rsid w:val="00C36673"/>
    <w:rsid w:val="00C366F4"/>
    <w:rsid w:val="00C36A61"/>
    <w:rsid w:val="00C37500"/>
    <w:rsid w:val="00C404F3"/>
    <w:rsid w:val="00C4294D"/>
    <w:rsid w:val="00C42F1E"/>
    <w:rsid w:val="00C431C6"/>
    <w:rsid w:val="00C45310"/>
    <w:rsid w:val="00C460AF"/>
    <w:rsid w:val="00C46E56"/>
    <w:rsid w:val="00C47282"/>
    <w:rsid w:val="00C501E4"/>
    <w:rsid w:val="00C50271"/>
    <w:rsid w:val="00C512CE"/>
    <w:rsid w:val="00C517C4"/>
    <w:rsid w:val="00C52848"/>
    <w:rsid w:val="00C533CA"/>
    <w:rsid w:val="00C5445B"/>
    <w:rsid w:val="00C546E5"/>
    <w:rsid w:val="00C54A6D"/>
    <w:rsid w:val="00C56D20"/>
    <w:rsid w:val="00C60301"/>
    <w:rsid w:val="00C60656"/>
    <w:rsid w:val="00C60740"/>
    <w:rsid w:val="00C62420"/>
    <w:rsid w:val="00C6498D"/>
    <w:rsid w:val="00C656E0"/>
    <w:rsid w:val="00C66B8C"/>
    <w:rsid w:val="00C66DE6"/>
    <w:rsid w:val="00C6701D"/>
    <w:rsid w:val="00C671CF"/>
    <w:rsid w:val="00C708B1"/>
    <w:rsid w:val="00C710CF"/>
    <w:rsid w:val="00C7144F"/>
    <w:rsid w:val="00C727B6"/>
    <w:rsid w:val="00C72D88"/>
    <w:rsid w:val="00C740CD"/>
    <w:rsid w:val="00C75642"/>
    <w:rsid w:val="00C756C8"/>
    <w:rsid w:val="00C7718B"/>
    <w:rsid w:val="00C77B4E"/>
    <w:rsid w:val="00C81210"/>
    <w:rsid w:val="00C817C0"/>
    <w:rsid w:val="00C82714"/>
    <w:rsid w:val="00C830B7"/>
    <w:rsid w:val="00C849CE"/>
    <w:rsid w:val="00C863F2"/>
    <w:rsid w:val="00C8715D"/>
    <w:rsid w:val="00C87667"/>
    <w:rsid w:val="00C87FCD"/>
    <w:rsid w:val="00C901B2"/>
    <w:rsid w:val="00C90877"/>
    <w:rsid w:val="00C90883"/>
    <w:rsid w:val="00C916A7"/>
    <w:rsid w:val="00C927B5"/>
    <w:rsid w:val="00C95300"/>
    <w:rsid w:val="00C956C2"/>
    <w:rsid w:val="00C95A7B"/>
    <w:rsid w:val="00C95D3F"/>
    <w:rsid w:val="00C95DA5"/>
    <w:rsid w:val="00C96C54"/>
    <w:rsid w:val="00C97728"/>
    <w:rsid w:val="00C97994"/>
    <w:rsid w:val="00CA07DE"/>
    <w:rsid w:val="00CA121E"/>
    <w:rsid w:val="00CA196A"/>
    <w:rsid w:val="00CA33E5"/>
    <w:rsid w:val="00CA357F"/>
    <w:rsid w:val="00CA3F9B"/>
    <w:rsid w:val="00CA3FE9"/>
    <w:rsid w:val="00CA79C0"/>
    <w:rsid w:val="00CA7A48"/>
    <w:rsid w:val="00CB0B8D"/>
    <w:rsid w:val="00CB1376"/>
    <w:rsid w:val="00CB6BFB"/>
    <w:rsid w:val="00CB6C0F"/>
    <w:rsid w:val="00CB70E3"/>
    <w:rsid w:val="00CB70F6"/>
    <w:rsid w:val="00CB7DB8"/>
    <w:rsid w:val="00CC0473"/>
    <w:rsid w:val="00CC25A8"/>
    <w:rsid w:val="00CC333F"/>
    <w:rsid w:val="00CC3E0E"/>
    <w:rsid w:val="00CC4586"/>
    <w:rsid w:val="00CC49E9"/>
    <w:rsid w:val="00CC4B66"/>
    <w:rsid w:val="00CC4E0D"/>
    <w:rsid w:val="00CC559B"/>
    <w:rsid w:val="00CC597C"/>
    <w:rsid w:val="00CC6AF3"/>
    <w:rsid w:val="00CC76D9"/>
    <w:rsid w:val="00CC7B8C"/>
    <w:rsid w:val="00CC7E10"/>
    <w:rsid w:val="00CC7E2D"/>
    <w:rsid w:val="00CD127D"/>
    <w:rsid w:val="00CD3C63"/>
    <w:rsid w:val="00CD50CE"/>
    <w:rsid w:val="00CD5470"/>
    <w:rsid w:val="00CD5ABC"/>
    <w:rsid w:val="00CE15A3"/>
    <w:rsid w:val="00CE2D26"/>
    <w:rsid w:val="00CE3422"/>
    <w:rsid w:val="00CE51F3"/>
    <w:rsid w:val="00CE530F"/>
    <w:rsid w:val="00CE63A3"/>
    <w:rsid w:val="00CE7958"/>
    <w:rsid w:val="00CE7F90"/>
    <w:rsid w:val="00CF0328"/>
    <w:rsid w:val="00CF17F0"/>
    <w:rsid w:val="00CF1C26"/>
    <w:rsid w:val="00CF3912"/>
    <w:rsid w:val="00CF3933"/>
    <w:rsid w:val="00CF3DD2"/>
    <w:rsid w:val="00CF463B"/>
    <w:rsid w:val="00CF4C51"/>
    <w:rsid w:val="00CF5DB6"/>
    <w:rsid w:val="00CF659D"/>
    <w:rsid w:val="00CF7379"/>
    <w:rsid w:val="00CF7754"/>
    <w:rsid w:val="00CF7F29"/>
    <w:rsid w:val="00D00648"/>
    <w:rsid w:val="00D00D1D"/>
    <w:rsid w:val="00D01671"/>
    <w:rsid w:val="00D0269D"/>
    <w:rsid w:val="00D04F14"/>
    <w:rsid w:val="00D0510B"/>
    <w:rsid w:val="00D05EA5"/>
    <w:rsid w:val="00D07C67"/>
    <w:rsid w:val="00D07D0A"/>
    <w:rsid w:val="00D10A90"/>
    <w:rsid w:val="00D126A4"/>
    <w:rsid w:val="00D13724"/>
    <w:rsid w:val="00D139F3"/>
    <w:rsid w:val="00D13DF7"/>
    <w:rsid w:val="00D14E56"/>
    <w:rsid w:val="00D165AF"/>
    <w:rsid w:val="00D16709"/>
    <w:rsid w:val="00D1700A"/>
    <w:rsid w:val="00D173F6"/>
    <w:rsid w:val="00D17D65"/>
    <w:rsid w:val="00D204C3"/>
    <w:rsid w:val="00D21C0C"/>
    <w:rsid w:val="00D21E2B"/>
    <w:rsid w:val="00D220FA"/>
    <w:rsid w:val="00D22460"/>
    <w:rsid w:val="00D32048"/>
    <w:rsid w:val="00D3248D"/>
    <w:rsid w:val="00D34CE8"/>
    <w:rsid w:val="00D35038"/>
    <w:rsid w:val="00D35488"/>
    <w:rsid w:val="00D354C0"/>
    <w:rsid w:val="00D3558D"/>
    <w:rsid w:val="00D35633"/>
    <w:rsid w:val="00D35F97"/>
    <w:rsid w:val="00D36A5A"/>
    <w:rsid w:val="00D37A2A"/>
    <w:rsid w:val="00D40B34"/>
    <w:rsid w:val="00D4126E"/>
    <w:rsid w:val="00D4294D"/>
    <w:rsid w:val="00D44713"/>
    <w:rsid w:val="00D462D7"/>
    <w:rsid w:val="00D468A0"/>
    <w:rsid w:val="00D4694A"/>
    <w:rsid w:val="00D46C29"/>
    <w:rsid w:val="00D50739"/>
    <w:rsid w:val="00D50B03"/>
    <w:rsid w:val="00D50CD8"/>
    <w:rsid w:val="00D52011"/>
    <w:rsid w:val="00D52DC0"/>
    <w:rsid w:val="00D52E68"/>
    <w:rsid w:val="00D5395A"/>
    <w:rsid w:val="00D54085"/>
    <w:rsid w:val="00D553F5"/>
    <w:rsid w:val="00D55C98"/>
    <w:rsid w:val="00D56402"/>
    <w:rsid w:val="00D57AFF"/>
    <w:rsid w:val="00D60088"/>
    <w:rsid w:val="00D60439"/>
    <w:rsid w:val="00D606A7"/>
    <w:rsid w:val="00D60E7C"/>
    <w:rsid w:val="00D612B9"/>
    <w:rsid w:val="00D63C5F"/>
    <w:rsid w:val="00D642A0"/>
    <w:rsid w:val="00D644C6"/>
    <w:rsid w:val="00D65A5B"/>
    <w:rsid w:val="00D671E0"/>
    <w:rsid w:val="00D6798B"/>
    <w:rsid w:val="00D67BED"/>
    <w:rsid w:val="00D70195"/>
    <w:rsid w:val="00D70317"/>
    <w:rsid w:val="00D704FE"/>
    <w:rsid w:val="00D71CF1"/>
    <w:rsid w:val="00D7398A"/>
    <w:rsid w:val="00D74733"/>
    <w:rsid w:val="00D75B4A"/>
    <w:rsid w:val="00D77637"/>
    <w:rsid w:val="00D77E85"/>
    <w:rsid w:val="00D8005A"/>
    <w:rsid w:val="00D8045F"/>
    <w:rsid w:val="00D81C8C"/>
    <w:rsid w:val="00D82889"/>
    <w:rsid w:val="00D836D8"/>
    <w:rsid w:val="00D83B03"/>
    <w:rsid w:val="00D84146"/>
    <w:rsid w:val="00D84C54"/>
    <w:rsid w:val="00D84EF4"/>
    <w:rsid w:val="00D854B3"/>
    <w:rsid w:val="00D873E0"/>
    <w:rsid w:val="00D8799E"/>
    <w:rsid w:val="00D87B41"/>
    <w:rsid w:val="00D90407"/>
    <w:rsid w:val="00D921A6"/>
    <w:rsid w:val="00D9264F"/>
    <w:rsid w:val="00D93AFF"/>
    <w:rsid w:val="00D95E4B"/>
    <w:rsid w:val="00D9612A"/>
    <w:rsid w:val="00D96A06"/>
    <w:rsid w:val="00D97A1A"/>
    <w:rsid w:val="00DA1456"/>
    <w:rsid w:val="00DA71DD"/>
    <w:rsid w:val="00DA7241"/>
    <w:rsid w:val="00DA78DF"/>
    <w:rsid w:val="00DB05F7"/>
    <w:rsid w:val="00DB2061"/>
    <w:rsid w:val="00DB279C"/>
    <w:rsid w:val="00DB3910"/>
    <w:rsid w:val="00DB5CAF"/>
    <w:rsid w:val="00DB66FC"/>
    <w:rsid w:val="00DB6BF6"/>
    <w:rsid w:val="00DB724C"/>
    <w:rsid w:val="00DC136E"/>
    <w:rsid w:val="00DC1EE7"/>
    <w:rsid w:val="00DC4BC6"/>
    <w:rsid w:val="00DC4F67"/>
    <w:rsid w:val="00DC5898"/>
    <w:rsid w:val="00DD12AA"/>
    <w:rsid w:val="00DD20A6"/>
    <w:rsid w:val="00DD20DF"/>
    <w:rsid w:val="00DD6A8A"/>
    <w:rsid w:val="00DD6F0C"/>
    <w:rsid w:val="00DE00A0"/>
    <w:rsid w:val="00DE160F"/>
    <w:rsid w:val="00DE2E45"/>
    <w:rsid w:val="00DE441E"/>
    <w:rsid w:val="00DE4F8F"/>
    <w:rsid w:val="00DE5909"/>
    <w:rsid w:val="00DE6D60"/>
    <w:rsid w:val="00DE7A59"/>
    <w:rsid w:val="00DF1365"/>
    <w:rsid w:val="00DF219C"/>
    <w:rsid w:val="00DF2796"/>
    <w:rsid w:val="00DF4700"/>
    <w:rsid w:val="00DF57A4"/>
    <w:rsid w:val="00DF7B48"/>
    <w:rsid w:val="00E00088"/>
    <w:rsid w:val="00E00B90"/>
    <w:rsid w:val="00E01E46"/>
    <w:rsid w:val="00E02F44"/>
    <w:rsid w:val="00E04FEF"/>
    <w:rsid w:val="00E05AD6"/>
    <w:rsid w:val="00E05EC2"/>
    <w:rsid w:val="00E06206"/>
    <w:rsid w:val="00E06B82"/>
    <w:rsid w:val="00E10CAB"/>
    <w:rsid w:val="00E1151C"/>
    <w:rsid w:val="00E127A7"/>
    <w:rsid w:val="00E12D19"/>
    <w:rsid w:val="00E1542E"/>
    <w:rsid w:val="00E15932"/>
    <w:rsid w:val="00E159FE"/>
    <w:rsid w:val="00E16E3B"/>
    <w:rsid w:val="00E17D37"/>
    <w:rsid w:val="00E20466"/>
    <w:rsid w:val="00E20DDE"/>
    <w:rsid w:val="00E231A0"/>
    <w:rsid w:val="00E23DE7"/>
    <w:rsid w:val="00E241E2"/>
    <w:rsid w:val="00E24404"/>
    <w:rsid w:val="00E27B3C"/>
    <w:rsid w:val="00E305D8"/>
    <w:rsid w:val="00E318F4"/>
    <w:rsid w:val="00E33575"/>
    <w:rsid w:val="00E339B6"/>
    <w:rsid w:val="00E36C97"/>
    <w:rsid w:val="00E370A3"/>
    <w:rsid w:val="00E406B8"/>
    <w:rsid w:val="00E40F33"/>
    <w:rsid w:val="00E431C8"/>
    <w:rsid w:val="00E43C1C"/>
    <w:rsid w:val="00E43EC9"/>
    <w:rsid w:val="00E44185"/>
    <w:rsid w:val="00E44477"/>
    <w:rsid w:val="00E445DE"/>
    <w:rsid w:val="00E449E6"/>
    <w:rsid w:val="00E44C32"/>
    <w:rsid w:val="00E457A0"/>
    <w:rsid w:val="00E45E4A"/>
    <w:rsid w:val="00E46125"/>
    <w:rsid w:val="00E465EE"/>
    <w:rsid w:val="00E46B52"/>
    <w:rsid w:val="00E474FA"/>
    <w:rsid w:val="00E50DAA"/>
    <w:rsid w:val="00E53A63"/>
    <w:rsid w:val="00E53EB8"/>
    <w:rsid w:val="00E544C6"/>
    <w:rsid w:val="00E5588A"/>
    <w:rsid w:val="00E55AED"/>
    <w:rsid w:val="00E5625F"/>
    <w:rsid w:val="00E562F6"/>
    <w:rsid w:val="00E56745"/>
    <w:rsid w:val="00E56FE5"/>
    <w:rsid w:val="00E57574"/>
    <w:rsid w:val="00E57DDE"/>
    <w:rsid w:val="00E57FA8"/>
    <w:rsid w:val="00E604BF"/>
    <w:rsid w:val="00E608E6"/>
    <w:rsid w:val="00E60F35"/>
    <w:rsid w:val="00E6157C"/>
    <w:rsid w:val="00E6305B"/>
    <w:rsid w:val="00E643A6"/>
    <w:rsid w:val="00E65A2A"/>
    <w:rsid w:val="00E65A7F"/>
    <w:rsid w:val="00E66192"/>
    <w:rsid w:val="00E70FCF"/>
    <w:rsid w:val="00E71230"/>
    <w:rsid w:val="00E72B98"/>
    <w:rsid w:val="00E73113"/>
    <w:rsid w:val="00E73BF7"/>
    <w:rsid w:val="00E74313"/>
    <w:rsid w:val="00E743F7"/>
    <w:rsid w:val="00E7548D"/>
    <w:rsid w:val="00E75A43"/>
    <w:rsid w:val="00E76A73"/>
    <w:rsid w:val="00E77AF3"/>
    <w:rsid w:val="00E80334"/>
    <w:rsid w:val="00E8201A"/>
    <w:rsid w:val="00E822CA"/>
    <w:rsid w:val="00E824DC"/>
    <w:rsid w:val="00E83528"/>
    <w:rsid w:val="00E83565"/>
    <w:rsid w:val="00E83BFC"/>
    <w:rsid w:val="00E84421"/>
    <w:rsid w:val="00E845F5"/>
    <w:rsid w:val="00E84B52"/>
    <w:rsid w:val="00E862C4"/>
    <w:rsid w:val="00E86C7A"/>
    <w:rsid w:val="00E9023F"/>
    <w:rsid w:val="00E927B3"/>
    <w:rsid w:val="00E936AC"/>
    <w:rsid w:val="00E939BC"/>
    <w:rsid w:val="00E939D3"/>
    <w:rsid w:val="00E94599"/>
    <w:rsid w:val="00E9585E"/>
    <w:rsid w:val="00E97475"/>
    <w:rsid w:val="00EA0EE5"/>
    <w:rsid w:val="00EA186D"/>
    <w:rsid w:val="00EA1FC1"/>
    <w:rsid w:val="00EA2A98"/>
    <w:rsid w:val="00EA388A"/>
    <w:rsid w:val="00EA49B0"/>
    <w:rsid w:val="00EA5021"/>
    <w:rsid w:val="00EA56F4"/>
    <w:rsid w:val="00EA5E31"/>
    <w:rsid w:val="00EA6338"/>
    <w:rsid w:val="00EA6AD7"/>
    <w:rsid w:val="00EA727F"/>
    <w:rsid w:val="00EB042F"/>
    <w:rsid w:val="00EB095A"/>
    <w:rsid w:val="00EB136F"/>
    <w:rsid w:val="00EB16E0"/>
    <w:rsid w:val="00EB3CF5"/>
    <w:rsid w:val="00EB453A"/>
    <w:rsid w:val="00EB4B28"/>
    <w:rsid w:val="00EB69BD"/>
    <w:rsid w:val="00EC07A4"/>
    <w:rsid w:val="00EC1DC9"/>
    <w:rsid w:val="00EC3307"/>
    <w:rsid w:val="00EC3E41"/>
    <w:rsid w:val="00EC4346"/>
    <w:rsid w:val="00EC4AD5"/>
    <w:rsid w:val="00EC4CBE"/>
    <w:rsid w:val="00EC6556"/>
    <w:rsid w:val="00EC6D7C"/>
    <w:rsid w:val="00ED1326"/>
    <w:rsid w:val="00ED291F"/>
    <w:rsid w:val="00ED318A"/>
    <w:rsid w:val="00ED3A95"/>
    <w:rsid w:val="00ED4609"/>
    <w:rsid w:val="00ED488D"/>
    <w:rsid w:val="00ED4FD0"/>
    <w:rsid w:val="00ED6463"/>
    <w:rsid w:val="00ED6967"/>
    <w:rsid w:val="00ED70A5"/>
    <w:rsid w:val="00ED7426"/>
    <w:rsid w:val="00ED74FD"/>
    <w:rsid w:val="00ED767C"/>
    <w:rsid w:val="00EE1D11"/>
    <w:rsid w:val="00EE2D2F"/>
    <w:rsid w:val="00EE425C"/>
    <w:rsid w:val="00EE4341"/>
    <w:rsid w:val="00EE59BA"/>
    <w:rsid w:val="00EF38E6"/>
    <w:rsid w:val="00EF5C7E"/>
    <w:rsid w:val="00EF6531"/>
    <w:rsid w:val="00EF7ECE"/>
    <w:rsid w:val="00F007DD"/>
    <w:rsid w:val="00F01237"/>
    <w:rsid w:val="00F01363"/>
    <w:rsid w:val="00F01D5D"/>
    <w:rsid w:val="00F03077"/>
    <w:rsid w:val="00F034E8"/>
    <w:rsid w:val="00F05610"/>
    <w:rsid w:val="00F05621"/>
    <w:rsid w:val="00F062AB"/>
    <w:rsid w:val="00F10CD2"/>
    <w:rsid w:val="00F11E4A"/>
    <w:rsid w:val="00F11F0F"/>
    <w:rsid w:val="00F11FAC"/>
    <w:rsid w:val="00F127FF"/>
    <w:rsid w:val="00F1386E"/>
    <w:rsid w:val="00F13CFA"/>
    <w:rsid w:val="00F15867"/>
    <w:rsid w:val="00F161F0"/>
    <w:rsid w:val="00F21E7C"/>
    <w:rsid w:val="00F23B4A"/>
    <w:rsid w:val="00F2476F"/>
    <w:rsid w:val="00F24A4F"/>
    <w:rsid w:val="00F24C6B"/>
    <w:rsid w:val="00F25412"/>
    <w:rsid w:val="00F2685D"/>
    <w:rsid w:val="00F31758"/>
    <w:rsid w:val="00F31B70"/>
    <w:rsid w:val="00F31CC7"/>
    <w:rsid w:val="00F31D92"/>
    <w:rsid w:val="00F331CC"/>
    <w:rsid w:val="00F33B57"/>
    <w:rsid w:val="00F3467A"/>
    <w:rsid w:val="00F34738"/>
    <w:rsid w:val="00F352CA"/>
    <w:rsid w:val="00F352D4"/>
    <w:rsid w:val="00F35EE5"/>
    <w:rsid w:val="00F360AF"/>
    <w:rsid w:val="00F368B9"/>
    <w:rsid w:val="00F375D1"/>
    <w:rsid w:val="00F40123"/>
    <w:rsid w:val="00F4033F"/>
    <w:rsid w:val="00F40605"/>
    <w:rsid w:val="00F408A6"/>
    <w:rsid w:val="00F40C2D"/>
    <w:rsid w:val="00F41A4D"/>
    <w:rsid w:val="00F43121"/>
    <w:rsid w:val="00F44E35"/>
    <w:rsid w:val="00F45506"/>
    <w:rsid w:val="00F4598E"/>
    <w:rsid w:val="00F45F68"/>
    <w:rsid w:val="00F46577"/>
    <w:rsid w:val="00F46B80"/>
    <w:rsid w:val="00F47EFE"/>
    <w:rsid w:val="00F50DCF"/>
    <w:rsid w:val="00F52731"/>
    <w:rsid w:val="00F538C3"/>
    <w:rsid w:val="00F547A3"/>
    <w:rsid w:val="00F550BA"/>
    <w:rsid w:val="00F55756"/>
    <w:rsid w:val="00F55AE3"/>
    <w:rsid w:val="00F56087"/>
    <w:rsid w:val="00F56838"/>
    <w:rsid w:val="00F57B11"/>
    <w:rsid w:val="00F57FA0"/>
    <w:rsid w:val="00F63A73"/>
    <w:rsid w:val="00F63BFC"/>
    <w:rsid w:val="00F640A3"/>
    <w:rsid w:val="00F644AD"/>
    <w:rsid w:val="00F653B9"/>
    <w:rsid w:val="00F66B96"/>
    <w:rsid w:val="00F66B9C"/>
    <w:rsid w:val="00F66D59"/>
    <w:rsid w:val="00F66D9B"/>
    <w:rsid w:val="00F6706C"/>
    <w:rsid w:val="00F67C11"/>
    <w:rsid w:val="00F70CBF"/>
    <w:rsid w:val="00F70FB5"/>
    <w:rsid w:val="00F723A1"/>
    <w:rsid w:val="00F72746"/>
    <w:rsid w:val="00F73679"/>
    <w:rsid w:val="00F75208"/>
    <w:rsid w:val="00F7597B"/>
    <w:rsid w:val="00F76857"/>
    <w:rsid w:val="00F76E0B"/>
    <w:rsid w:val="00F776CA"/>
    <w:rsid w:val="00F8214E"/>
    <w:rsid w:val="00F8218A"/>
    <w:rsid w:val="00F824E1"/>
    <w:rsid w:val="00F829B6"/>
    <w:rsid w:val="00F82C2F"/>
    <w:rsid w:val="00F83D3E"/>
    <w:rsid w:val="00F83DB5"/>
    <w:rsid w:val="00F84C0D"/>
    <w:rsid w:val="00F85892"/>
    <w:rsid w:val="00F85AB0"/>
    <w:rsid w:val="00F86424"/>
    <w:rsid w:val="00F86C4F"/>
    <w:rsid w:val="00F87729"/>
    <w:rsid w:val="00F903FC"/>
    <w:rsid w:val="00F9134B"/>
    <w:rsid w:val="00F9258C"/>
    <w:rsid w:val="00F92D87"/>
    <w:rsid w:val="00F9349B"/>
    <w:rsid w:val="00F93775"/>
    <w:rsid w:val="00F93BF9"/>
    <w:rsid w:val="00F95426"/>
    <w:rsid w:val="00F96794"/>
    <w:rsid w:val="00F96B16"/>
    <w:rsid w:val="00FA1F5A"/>
    <w:rsid w:val="00FA55B4"/>
    <w:rsid w:val="00FA56B4"/>
    <w:rsid w:val="00FA5DE4"/>
    <w:rsid w:val="00FA6CA1"/>
    <w:rsid w:val="00FA7405"/>
    <w:rsid w:val="00FA7B9C"/>
    <w:rsid w:val="00FB12AB"/>
    <w:rsid w:val="00FB5BCD"/>
    <w:rsid w:val="00FB71EC"/>
    <w:rsid w:val="00FB7AF2"/>
    <w:rsid w:val="00FB7FA9"/>
    <w:rsid w:val="00FC0E84"/>
    <w:rsid w:val="00FC1549"/>
    <w:rsid w:val="00FC2CC6"/>
    <w:rsid w:val="00FC41BB"/>
    <w:rsid w:val="00FC4E17"/>
    <w:rsid w:val="00FC66D5"/>
    <w:rsid w:val="00FC6A10"/>
    <w:rsid w:val="00FC6AB9"/>
    <w:rsid w:val="00FC7412"/>
    <w:rsid w:val="00FC7BA6"/>
    <w:rsid w:val="00FC7D71"/>
    <w:rsid w:val="00FD09E7"/>
    <w:rsid w:val="00FD1B73"/>
    <w:rsid w:val="00FD1F8B"/>
    <w:rsid w:val="00FD4988"/>
    <w:rsid w:val="00FD6429"/>
    <w:rsid w:val="00FD6AAF"/>
    <w:rsid w:val="00FD7D86"/>
    <w:rsid w:val="00FE16BF"/>
    <w:rsid w:val="00FE427A"/>
    <w:rsid w:val="00FE4A5E"/>
    <w:rsid w:val="00FE6192"/>
    <w:rsid w:val="00FE77D8"/>
    <w:rsid w:val="00FE78B1"/>
    <w:rsid w:val="00FF0F85"/>
    <w:rsid w:val="00FF124E"/>
    <w:rsid w:val="00FF1BE5"/>
    <w:rsid w:val="00FF2F1F"/>
    <w:rsid w:val="00FF353F"/>
    <w:rsid w:val="00FF37A2"/>
    <w:rsid w:val="00FF48DA"/>
    <w:rsid w:val="00FF5313"/>
    <w:rsid w:val="00FF6268"/>
    <w:rsid w:val="00FF648E"/>
    <w:rsid w:val="00FF6EDE"/>
    <w:rsid w:val="00FF7248"/>
    <w:rsid w:val="00FF7699"/>
    <w:rsid w:val="00FF7C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A716"/>
  <w15:chartTrackingRefBased/>
  <w15:docId w15:val="{A538B196-7C2E-409B-ACC8-3CB1134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1,1311,l1,1,h1,II+,I,Section Head,Chapter Heading,H1,Heading No. L1,H1-Heading 1,Header 1,Legal Line 1,head 1,list 1,Heading1,11,12,13,111,14,112,15,113,121,131,1111,141,1121,16,114,122,132,1112,142,1122,151,1131,1211,11111,1411,11211,17"/>
    <w:basedOn w:val="Normal"/>
    <w:next w:val="Normal"/>
    <w:link w:val="Heading1Char"/>
    <w:uiPriority w:val="9"/>
    <w:qFormat/>
    <w:rsid w:val="00406896"/>
    <w:pPr>
      <w:numPr>
        <w:numId w:val="12"/>
      </w:numPr>
      <w:spacing w:after="240" w:line="240" w:lineRule="auto"/>
      <w:jc w:val="both"/>
      <w:outlineLvl w:val="0"/>
    </w:pPr>
    <w:rPr>
      <w:rFonts w:ascii="Times New Roman Bold" w:eastAsiaTheme="majorEastAsia" w:hAnsi="Times New Roman Bold" w:cstheme="majorBidi"/>
      <w:b/>
      <w:caps/>
      <w:sz w:val="24"/>
      <w:szCs w:val="32"/>
      <w:lang w:val="en-US"/>
    </w:rPr>
  </w:style>
  <w:style w:type="paragraph" w:styleId="Heading2">
    <w:name w:val="heading 2"/>
    <w:aliases w:val="h2,h21,h22,h23,h24,h25,h26,h27,h28,h211,h221,h231,h241,h251,h261,h271,h29,h212,h222,h232,h242,h252,h262,h272,h210,h213,h223,h233,h243,h253,h263,h273,h214,h224,h234,h244,h254,h264,h274,h281,h2111,h2211,h2311,h2411,h2511,h2611,h2711,h291,h2121,2"/>
    <w:basedOn w:val="Normal"/>
    <w:next w:val="Normal"/>
    <w:link w:val="Heading2Char"/>
    <w:uiPriority w:val="9"/>
    <w:unhideWhenUsed/>
    <w:qFormat/>
    <w:rsid w:val="00406896"/>
    <w:pPr>
      <w:numPr>
        <w:ilvl w:val="1"/>
        <w:numId w:val="12"/>
      </w:numPr>
      <w:spacing w:after="240" w:line="240" w:lineRule="auto"/>
      <w:jc w:val="both"/>
      <w:outlineLvl w:val="1"/>
    </w:pPr>
    <w:rPr>
      <w:rFonts w:ascii="Times New Roman" w:eastAsiaTheme="majorEastAsia" w:hAnsi="Times New Roman" w:cs="Times New Roman"/>
      <w:sz w:val="24"/>
      <w:szCs w:val="26"/>
      <w:lang w:val="en-US"/>
    </w:rPr>
  </w:style>
  <w:style w:type="paragraph" w:styleId="Heading3">
    <w:name w:val="heading 3"/>
    <w:aliases w:val="h3 sub heading,(a),h3,Subparagraafkop,H3,3,l3,EUHeading 3,Spec.3,niveau 3,Sub-Sub-Heading,Title2,H31,H32,H33,H34,H35,título 3,h:3,Head 3,List level 3,subhead,TF-Overskrift 3,titre 1.1.1,1.,Heading 1fm,Section,SubTopic,SubTopic Header,CT,h31"/>
    <w:basedOn w:val="Normal"/>
    <w:next w:val="Normal"/>
    <w:link w:val="Heading3Char"/>
    <w:uiPriority w:val="9"/>
    <w:unhideWhenUsed/>
    <w:qFormat/>
    <w:rsid w:val="00406896"/>
    <w:pPr>
      <w:numPr>
        <w:ilvl w:val="2"/>
        <w:numId w:val="12"/>
      </w:numPr>
      <w:spacing w:after="240" w:line="240" w:lineRule="auto"/>
      <w:jc w:val="both"/>
      <w:outlineLvl w:val="2"/>
    </w:pPr>
    <w:rPr>
      <w:rFonts w:ascii="Times New Roman" w:eastAsiaTheme="majorEastAsia" w:hAnsi="Times New Roman" w:cs="Times New Roman"/>
      <w:sz w:val="24"/>
      <w:szCs w:val="24"/>
      <w:lang w:val="en-US"/>
    </w:rPr>
  </w:style>
  <w:style w:type="paragraph" w:styleId="Heading4">
    <w:name w:val="heading 4"/>
    <w:aliases w:val="h4,4,H,Fax title,level 4"/>
    <w:basedOn w:val="Normal"/>
    <w:next w:val="Normal"/>
    <w:link w:val="Heading4Char"/>
    <w:uiPriority w:val="9"/>
    <w:unhideWhenUsed/>
    <w:qFormat/>
    <w:rsid w:val="00406896"/>
    <w:pPr>
      <w:numPr>
        <w:ilvl w:val="3"/>
        <w:numId w:val="12"/>
      </w:numPr>
      <w:spacing w:after="240" w:line="240" w:lineRule="auto"/>
      <w:jc w:val="both"/>
      <w:outlineLvl w:val="3"/>
    </w:pPr>
    <w:rPr>
      <w:rFonts w:ascii="Times New Roman" w:eastAsiaTheme="majorEastAsia" w:hAnsi="Times New Roman" w:cs="Times New Roman"/>
      <w:iCs/>
      <w:sz w:val="24"/>
      <w:lang w:val="en-US"/>
    </w:rPr>
  </w:style>
  <w:style w:type="paragraph" w:styleId="Heading5">
    <w:name w:val="heading 5"/>
    <w:aliases w:val="h5,(A),Level 3 - i,MPS Standard Sub Sub SubHeading,PA Pico Section,Numbered - 5,Bullet2,Heading 5(unused),Level 3 - (i),Third Level Heading,H5,Subheading,Lev 5,Response Type,Response Type1,Response Type2,Response Type3,Response Type4,s,level5"/>
    <w:basedOn w:val="Normal"/>
    <w:next w:val="Normal"/>
    <w:link w:val="Heading5Char"/>
    <w:uiPriority w:val="9"/>
    <w:unhideWhenUsed/>
    <w:qFormat/>
    <w:rsid w:val="00406896"/>
    <w:pPr>
      <w:numPr>
        <w:ilvl w:val="4"/>
        <w:numId w:val="12"/>
      </w:numPr>
      <w:spacing w:after="240" w:line="240" w:lineRule="auto"/>
      <w:jc w:val="both"/>
      <w:outlineLvl w:val="4"/>
    </w:pPr>
    <w:rPr>
      <w:rFonts w:ascii="Times New Roman" w:eastAsiaTheme="majorEastAsia" w:hAnsi="Times New Roman" w:cs="Times New Roman"/>
      <w:sz w:val="24"/>
      <w:lang w:val="en-US"/>
    </w:rPr>
  </w:style>
  <w:style w:type="paragraph" w:styleId="Heading6">
    <w:name w:val="heading 6"/>
    <w:aliases w:val="h6,level 6,H6,(I),Legal Level 1.,Heading 6(unused),L1 PIP,Lev 6,Heading 6  Appendix Y &amp; Z,sub-dash,sd,5,Third Subheading,Numbered - 6,Lev 61,Numbered - 61,Lev 62,Numbered - 62,Lev 63,Numbered - 63,Numbered - 63.,H61,H62,H63,H64,H65,H66,H67,H68"/>
    <w:basedOn w:val="Normal"/>
    <w:next w:val="Normal"/>
    <w:link w:val="Heading6Char"/>
    <w:uiPriority w:val="9"/>
    <w:unhideWhenUsed/>
    <w:qFormat/>
    <w:rsid w:val="00406896"/>
    <w:pPr>
      <w:numPr>
        <w:ilvl w:val="5"/>
        <w:numId w:val="12"/>
      </w:numPr>
      <w:spacing w:after="240" w:line="240" w:lineRule="auto"/>
      <w:jc w:val="both"/>
      <w:outlineLvl w:val="5"/>
    </w:pPr>
    <w:rPr>
      <w:rFonts w:ascii="Times New Roman" w:eastAsiaTheme="majorEastAsia" w:hAnsi="Times New Roman" w:cs="Times New Roman"/>
      <w:sz w:val="24"/>
      <w:lang w:val="en-US"/>
    </w:rPr>
  </w:style>
  <w:style w:type="paragraph" w:styleId="Heading7">
    <w:name w:val="heading 7"/>
    <w:aliases w:val="level1noheading,h7,7,(1),Legal Level 1.1.,level1-noHeading,ap,Simple Arabic Numbers"/>
    <w:basedOn w:val="Normal"/>
    <w:next w:val="Normal"/>
    <w:link w:val="Heading7Char"/>
    <w:uiPriority w:val="9"/>
    <w:unhideWhenUsed/>
    <w:qFormat/>
    <w:rsid w:val="00406896"/>
    <w:pPr>
      <w:numPr>
        <w:ilvl w:val="6"/>
        <w:numId w:val="12"/>
      </w:numPr>
      <w:spacing w:after="240" w:line="240" w:lineRule="auto"/>
      <w:jc w:val="both"/>
      <w:outlineLvl w:val="6"/>
    </w:pPr>
    <w:rPr>
      <w:rFonts w:ascii="Times New Roman" w:eastAsiaTheme="majorEastAsia" w:hAnsi="Times New Roman" w:cs="Times New Roman"/>
      <w:iCs/>
      <w:sz w:val="24"/>
      <w:lang w:val="en-US"/>
    </w:rPr>
  </w:style>
  <w:style w:type="paragraph" w:styleId="Heading8">
    <w:name w:val="heading 8"/>
    <w:aliases w:val="level2(a),h8,8,DPWfd tbl head8,Simple alpha numbers,E2 Marginal,not Kinhill2,tah,H8,H81,Bullet 1,Legal Level 1.1.1."/>
    <w:basedOn w:val="Normal"/>
    <w:next w:val="Normal"/>
    <w:link w:val="Heading8Char"/>
    <w:unhideWhenUsed/>
    <w:qFormat/>
    <w:rsid w:val="00406896"/>
    <w:pPr>
      <w:numPr>
        <w:ilvl w:val="7"/>
        <w:numId w:val="12"/>
      </w:numPr>
      <w:spacing w:after="240" w:line="240" w:lineRule="auto"/>
      <w:jc w:val="center"/>
      <w:outlineLvl w:val="7"/>
    </w:pPr>
    <w:rPr>
      <w:rFonts w:ascii="Times New Roman Bold" w:eastAsiaTheme="majorEastAsia" w:hAnsi="Times New Roman Bold" w:cstheme="majorBidi"/>
      <w:b/>
      <w:caps/>
      <w:sz w:val="24"/>
      <w:szCs w:val="21"/>
      <w:lang w:val="en-US"/>
    </w:rPr>
  </w:style>
  <w:style w:type="paragraph" w:styleId="Heading9">
    <w:name w:val="heading 9"/>
    <w:aliases w:val="Introductory Title,h9,9,Bullet 2,Legal Level 1.1.1.1.,level3(i),aat,Simple (sm) roman numbers"/>
    <w:basedOn w:val="Normal"/>
    <w:next w:val="Normal"/>
    <w:link w:val="Heading9Char"/>
    <w:unhideWhenUsed/>
    <w:qFormat/>
    <w:rsid w:val="00406896"/>
    <w:pPr>
      <w:keepNext/>
      <w:keepLines/>
      <w:numPr>
        <w:ilvl w:val="8"/>
        <w:numId w:val="12"/>
      </w:numPr>
      <w:spacing w:after="240" w:line="240" w:lineRule="auto"/>
      <w:jc w:val="center"/>
      <w:outlineLvl w:val="8"/>
    </w:pPr>
    <w:rPr>
      <w:rFonts w:ascii="Times New Roman Bold" w:eastAsiaTheme="majorEastAsia" w:hAnsi="Times New Roman Bold" w:cstheme="majorBidi"/>
      <w:b/>
      <w:iCs/>
      <w:caps/>
      <w:sz w:val="24"/>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4D"/>
  </w:style>
  <w:style w:type="paragraph" w:styleId="Footer">
    <w:name w:val="footer"/>
    <w:basedOn w:val="Normal"/>
    <w:link w:val="FooterChar"/>
    <w:uiPriority w:val="99"/>
    <w:unhideWhenUsed/>
    <w:rsid w:val="00882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4D"/>
  </w:style>
  <w:style w:type="table" w:styleId="TableGrid">
    <w:name w:val="Table Grid"/>
    <w:basedOn w:val="TableNormal"/>
    <w:uiPriority w:val="39"/>
    <w:rsid w:val="000F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00F"/>
    <w:pPr>
      <w:ind w:left="720"/>
      <w:contextualSpacing/>
    </w:pPr>
  </w:style>
  <w:style w:type="paragraph" w:styleId="FootnoteText">
    <w:name w:val="footnote text"/>
    <w:aliases w:val="ft,fn,Car,FT,Footnote ak,Footnotes,Style 14,fn - no space,~FootnoteText,footnote text1,single space,FOOTNOTES,(NECG) Footnote Text,Geneva 9,Font: Geneva 9,Boston 10,f,Fußnotentext Char1,Fußnotentext Char Char,Char Char Char,Char Char1 Char"/>
    <w:basedOn w:val="Normal"/>
    <w:link w:val="FootnoteTextChar"/>
    <w:uiPriority w:val="99"/>
    <w:unhideWhenUsed/>
    <w:qFormat/>
    <w:rsid w:val="003539BA"/>
    <w:pPr>
      <w:spacing w:after="0" w:line="240" w:lineRule="auto"/>
    </w:pPr>
    <w:rPr>
      <w:sz w:val="20"/>
      <w:szCs w:val="20"/>
    </w:rPr>
  </w:style>
  <w:style w:type="character" w:customStyle="1" w:styleId="FootnoteTextChar">
    <w:name w:val="Footnote Text Char"/>
    <w:aliases w:val="ft Char,fn Char,Car Char,FT Char,Footnote ak Char,Footnotes Char,Style 14 Char,fn - no space Char,~FootnoteText Char,footnote text1 Char,single space Char,FOOTNOTES Char,(NECG) Footnote Text Char,Geneva 9 Char,Font: Geneva 9 Char"/>
    <w:basedOn w:val="DefaultParagraphFont"/>
    <w:link w:val="FootnoteText"/>
    <w:uiPriority w:val="99"/>
    <w:rsid w:val="003539BA"/>
    <w:rPr>
      <w:sz w:val="20"/>
      <w:szCs w:val="20"/>
    </w:rPr>
  </w:style>
  <w:style w:type="character" w:styleId="FootnoteReference">
    <w:name w:val="footnote reference"/>
    <w:aliases w:val="fr,o,de nota al pie,Style 131,Style 27,Style 36,Style 45,Style 13,ftref,footnote ref,(NECG) Footnote Reference,16 Point,Superscript 6 Point,Ref,Fußnotenzeichen DISS,Footnote Ref in FtNote,BVI fnr,Char Char Char Char Car Char"/>
    <w:basedOn w:val="DefaultParagraphFont"/>
    <w:uiPriority w:val="99"/>
    <w:unhideWhenUsed/>
    <w:qFormat/>
    <w:rsid w:val="003539BA"/>
    <w:rPr>
      <w:vertAlign w:val="superscript"/>
    </w:rPr>
  </w:style>
  <w:style w:type="character" w:styleId="Hyperlink">
    <w:name w:val="Hyperlink"/>
    <w:basedOn w:val="DefaultParagraphFont"/>
    <w:uiPriority w:val="99"/>
    <w:unhideWhenUsed/>
    <w:rsid w:val="00355BD7"/>
    <w:rPr>
      <w:color w:val="0563C1" w:themeColor="hyperlink"/>
      <w:u w:val="single"/>
    </w:rPr>
  </w:style>
  <w:style w:type="character" w:styleId="UnresolvedMention">
    <w:name w:val="Unresolved Mention"/>
    <w:basedOn w:val="DefaultParagraphFont"/>
    <w:uiPriority w:val="99"/>
    <w:semiHidden/>
    <w:unhideWhenUsed/>
    <w:rsid w:val="00355BD7"/>
    <w:rPr>
      <w:color w:val="605E5C"/>
      <w:shd w:val="clear" w:color="auto" w:fill="E1DFDD"/>
    </w:rPr>
  </w:style>
  <w:style w:type="paragraph" w:customStyle="1" w:styleId="Default">
    <w:name w:val="Default"/>
    <w:rsid w:val="00B84B4D"/>
    <w:pPr>
      <w:autoSpaceDE w:val="0"/>
      <w:autoSpaceDN w:val="0"/>
      <w:adjustRightInd w:val="0"/>
      <w:spacing w:after="0" w:line="240" w:lineRule="auto"/>
    </w:pPr>
    <w:rPr>
      <w:rFonts w:ascii="Humanst521 BT" w:hAnsi="Humanst521 BT" w:cs="Humanst521 BT"/>
      <w:color w:val="000000"/>
      <w:sz w:val="24"/>
      <w:szCs w:val="24"/>
    </w:rPr>
  </w:style>
  <w:style w:type="character" w:customStyle="1" w:styleId="Heading1Char">
    <w:name w:val="Heading 1 Char"/>
    <w:basedOn w:val="DefaultParagraphFont"/>
    <w:link w:val="Heading1"/>
    <w:uiPriority w:val="9"/>
    <w:rsid w:val="00406896"/>
    <w:rPr>
      <w:rFonts w:ascii="Times New Roman Bold" w:eastAsiaTheme="majorEastAsia" w:hAnsi="Times New Roman Bold" w:cstheme="majorBidi"/>
      <w:b/>
      <w:caps/>
      <w:sz w:val="24"/>
      <w:szCs w:val="32"/>
      <w:lang w:val="en-US"/>
    </w:rPr>
  </w:style>
  <w:style w:type="character" w:customStyle="1" w:styleId="Heading2Char">
    <w:name w:val="Heading 2 Char"/>
    <w:basedOn w:val="DefaultParagraphFont"/>
    <w:link w:val="Heading2"/>
    <w:uiPriority w:val="9"/>
    <w:rsid w:val="00406896"/>
    <w:rPr>
      <w:rFonts w:ascii="Times New Roman" w:eastAsiaTheme="majorEastAsia" w:hAnsi="Times New Roman" w:cs="Times New Roman"/>
      <w:sz w:val="24"/>
      <w:szCs w:val="26"/>
      <w:lang w:val="en-US"/>
    </w:rPr>
  </w:style>
  <w:style w:type="character" w:customStyle="1" w:styleId="Heading3Char">
    <w:name w:val="Heading 3 Char"/>
    <w:basedOn w:val="DefaultParagraphFont"/>
    <w:link w:val="Heading3"/>
    <w:uiPriority w:val="9"/>
    <w:rsid w:val="00406896"/>
    <w:rPr>
      <w:rFonts w:ascii="Times New Roman" w:eastAsiaTheme="majorEastAsia" w:hAnsi="Times New Roman" w:cs="Times New Roman"/>
      <w:sz w:val="24"/>
      <w:szCs w:val="24"/>
      <w:lang w:val="en-US"/>
    </w:rPr>
  </w:style>
  <w:style w:type="character" w:customStyle="1" w:styleId="Heading4Char">
    <w:name w:val="Heading 4 Char"/>
    <w:basedOn w:val="DefaultParagraphFont"/>
    <w:link w:val="Heading4"/>
    <w:uiPriority w:val="9"/>
    <w:rsid w:val="00406896"/>
    <w:rPr>
      <w:rFonts w:ascii="Times New Roman" w:eastAsiaTheme="majorEastAsia" w:hAnsi="Times New Roman" w:cs="Times New Roman"/>
      <w:iCs/>
      <w:sz w:val="24"/>
      <w:lang w:val="en-US"/>
    </w:rPr>
  </w:style>
  <w:style w:type="character" w:customStyle="1" w:styleId="Heading5Char">
    <w:name w:val="Heading 5 Char"/>
    <w:aliases w:val="h5 Char,(A) Char,Level 3 - i Char,MPS Standard Sub Sub SubHeading Char,PA Pico Section Char,Numbered - 5 Char,Bullet2 Char,Heading 5(unused) Char,Level 3 - (i) Char,Third Level Heading Char,H5 Char,Subheading Char,Lev 5 Char,s Char"/>
    <w:basedOn w:val="DefaultParagraphFont"/>
    <w:link w:val="Heading5"/>
    <w:uiPriority w:val="9"/>
    <w:rsid w:val="00406896"/>
    <w:rPr>
      <w:rFonts w:ascii="Times New Roman" w:eastAsiaTheme="majorEastAsia" w:hAnsi="Times New Roman" w:cs="Times New Roman"/>
      <w:sz w:val="24"/>
      <w:lang w:val="en-US"/>
    </w:rPr>
  </w:style>
  <w:style w:type="character" w:customStyle="1" w:styleId="Heading6Char">
    <w:name w:val="Heading 6 Char"/>
    <w:basedOn w:val="DefaultParagraphFont"/>
    <w:link w:val="Heading6"/>
    <w:uiPriority w:val="9"/>
    <w:rsid w:val="00406896"/>
    <w:rPr>
      <w:rFonts w:ascii="Times New Roman" w:eastAsiaTheme="majorEastAsia" w:hAnsi="Times New Roman" w:cs="Times New Roman"/>
      <w:sz w:val="24"/>
      <w:lang w:val="en-US"/>
    </w:rPr>
  </w:style>
  <w:style w:type="character" w:customStyle="1" w:styleId="Heading7Char">
    <w:name w:val="Heading 7 Char"/>
    <w:basedOn w:val="DefaultParagraphFont"/>
    <w:link w:val="Heading7"/>
    <w:uiPriority w:val="9"/>
    <w:rsid w:val="00406896"/>
    <w:rPr>
      <w:rFonts w:ascii="Times New Roman" w:eastAsiaTheme="majorEastAsia" w:hAnsi="Times New Roman" w:cs="Times New Roman"/>
      <w:iCs/>
      <w:sz w:val="24"/>
      <w:lang w:val="en-US"/>
    </w:rPr>
  </w:style>
  <w:style w:type="character" w:customStyle="1" w:styleId="Heading8Char">
    <w:name w:val="Heading 8 Char"/>
    <w:basedOn w:val="DefaultParagraphFont"/>
    <w:link w:val="Heading8"/>
    <w:rsid w:val="00406896"/>
    <w:rPr>
      <w:rFonts w:ascii="Times New Roman Bold" w:eastAsiaTheme="majorEastAsia" w:hAnsi="Times New Roman Bold" w:cstheme="majorBidi"/>
      <w:b/>
      <w:caps/>
      <w:sz w:val="24"/>
      <w:szCs w:val="21"/>
      <w:lang w:val="en-US"/>
    </w:rPr>
  </w:style>
  <w:style w:type="character" w:customStyle="1" w:styleId="Heading9Char">
    <w:name w:val="Heading 9 Char"/>
    <w:basedOn w:val="DefaultParagraphFont"/>
    <w:link w:val="Heading9"/>
    <w:rsid w:val="00406896"/>
    <w:rPr>
      <w:rFonts w:ascii="Times New Roman Bold" w:eastAsiaTheme="majorEastAsia" w:hAnsi="Times New Roman Bold" w:cstheme="majorBidi"/>
      <w:b/>
      <w:iCs/>
      <w:caps/>
      <w:sz w:val="24"/>
      <w:szCs w:val="21"/>
      <w:lang w:val="en-US"/>
    </w:rPr>
  </w:style>
  <w:style w:type="character" w:styleId="Emphasis">
    <w:name w:val="Emphasis"/>
    <w:basedOn w:val="DefaultParagraphFont"/>
    <w:uiPriority w:val="20"/>
    <w:qFormat/>
    <w:rsid w:val="00275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0342">
      <w:bodyDiv w:val="1"/>
      <w:marLeft w:val="0"/>
      <w:marRight w:val="0"/>
      <w:marTop w:val="0"/>
      <w:marBottom w:val="0"/>
      <w:divBdr>
        <w:top w:val="none" w:sz="0" w:space="0" w:color="auto"/>
        <w:left w:val="none" w:sz="0" w:space="0" w:color="auto"/>
        <w:bottom w:val="none" w:sz="0" w:space="0" w:color="auto"/>
        <w:right w:val="none" w:sz="0" w:space="0" w:color="auto"/>
      </w:divBdr>
    </w:div>
    <w:div w:id="21033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bi.org.in/Scripts/NotificationUser.aspx?Id=11580&amp;Mode=0" TargetMode="External"/><Relationship Id="rId2" Type="http://schemas.openxmlformats.org/officeDocument/2006/relationships/hyperlink" Target="https://www.thehindubusinessline.com/companies/hindustan-construction-completes-debt-resolution-plan/article65938996.ece" TargetMode="External"/><Relationship Id="rId1" Type="http://schemas.openxmlformats.org/officeDocument/2006/relationships/hyperlink" Target="https://www.rbi.org.in/Scripts/NotificationUser.aspx?Id=1158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2667</TotalTime>
  <Pages>19</Pages>
  <Words>8318</Words>
  <Characters>42925</Characters>
  <Application>Microsoft Office Word</Application>
  <DocSecurity>0</DocSecurity>
  <Lines>825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Comments</dc:creator>
  <cp:keywords/>
  <dc:description/>
  <cp:lastModifiedBy>Surbhi Pareek</cp:lastModifiedBy>
  <cp:revision>3649</cp:revision>
  <dcterms:created xsi:type="dcterms:W3CDTF">2023-04-18T10:38:00Z</dcterms:created>
  <dcterms:modified xsi:type="dcterms:W3CDTF">2023-04-21T03:40:00Z</dcterms:modified>
</cp:coreProperties>
</file>