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rrafode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rrafode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C8572B" w:rsidRDefault="00436884" w:rsidP="00436884">
      <w:pPr>
        <w:pStyle w:val="Prrafodelista"/>
        <w:numPr>
          <w:ilvl w:val="0"/>
          <w:numId w:val="12"/>
        </w:numPr>
        <w:ind w:left="426"/>
        <w:jc w:val="both"/>
        <w:rPr>
          <w:rFonts w:ascii="Avenir Next" w:hAnsi="Avenir Next" w:cs="Arial"/>
          <w:sz w:val="22"/>
          <w:szCs w:val="22"/>
          <w:highlight w:val="yellow"/>
          <w:lang w:val="en-GB"/>
        </w:rPr>
      </w:pPr>
      <w:r w:rsidRPr="00C8572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rrafode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rrafode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Prrafode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Prrafode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C8572B" w:rsidRDefault="00436884" w:rsidP="00436884">
      <w:pPr>
        <w:pStyle w:val="Prrafodelista"/>
        <w:numPr>
          <w:ilvl w:val="0"/>
          <w:numId w:val="14"/>
        </w:numPr>
        <w:ind w:left="426"/>
        <w:jc w:val="both"/>
        <w:rPr>
          <w:rFonts w:ascii="Avenir Next" w:hAnsi="Avenir Next" w:cs="Arial"/>
          <w:sz w:val="22"/>
          <w:szCs w:val="22"/>
          <w:highlight w:val="yellow"/>
          <w:lang w:val="en-GB"/>
        </w:rPr>
      </w:pPr>
      <w:r w:rsidRPr="00C8572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rrafode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Prrafode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8572B" w:rsidRDefault="00853A74" w:rsidP="00853A74">
      <w:pPr>
        <w:pStyle w:val="Prrafodelista"/>
        <w:numPr>
          <w:ilvl w:val="0"/>
          <w:numId w:val="16"/>
        </w:numPr>
        <w:ind w:left="426"/>
        <w:jc w:val="both"/>
        <w:rPr>
          <w:rFonts w:ascii="Avenir Next" w:hAnsi="Avenir Next" w:cs="Arial"/>
          <w:sz w:val="22"/>
          <w:szCs w:val="22"/>
          <w:highlight w:val="yellow"/>
          <w:lang w:val="en-GB"/>
        </w:rPr>
      </w:pPr>
      <w:r w:rsidRPr="00C8572B">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Prrafode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rrafode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D95EDF" w:rsidRDefault="00436884" w:rsidP="00436884">
      <w:pPr>
        <w:pStyle w:val="Prrafodelista"/>
        <w:numPr>
          <w:ilvl w:val="0"/>
          <w:numId w:val="18"/>
        </w:numPr>
        <w:ind w:left="426"/>
        <w:jc w:val="both"/>
        <w:rPr>
          <w:rFonts w:ascii="Avenir Next" w:hAnsi="Avenir Next" w:cs="Arial"/>
          <w:sz w:val="22"/>
          <w:szCs w:val="22"/>
          <w:highlight w:val="yellow"/>
          <w:lang w:val="en-GB"/>
        </w:rPr>
      </w:pPr>
      <w:r w:rsidRPr="00D95EDF">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rrafode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rrafode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D95EDF" w:rsidRDefault="00C504E5" w:rsidP="00C504E5">
      <w:pPr>
        <w:pStyle w:val="Prrafodelista"/>
        <w:numPr>
          <w:ilvl w:val="0"/>
          <w:numId w:val="20"/>
        </w:numPr>
        <w:ind w:left="426"/>
        <w:jc w:val="both"/>
        <w:rPr>
          <w:rFonts w:ascii="Avenir Next" w:hAnsi="Avenir Next" w:cs="Arial"/>
          <w:sz w:val="22"/>
          <w:szCs w:val="22"/>
          <w:highlight w:val="yellow"/>
          <w:lang w:val="en-GB"/>
        </w:rPr>
      </w:pPr>
      <w:r w:rsidRPr="00D95EDF">
        <w:rPr>
          <w:rFonts w:ascii="Avenir Next" w:hAnsi="Avenir Next" w:cs="Arial"/>
          <w:sz w:val="22"/>
          <w:szCs w:val="22"/>
          <w:highlight w:val="yellow"/>
          <w:lang w:val="en-GB"/>
        </w:rPr>
        <w:t>The foreign main proceedings in South Africa will not be recognised in the UK because the UK is not a designated country under South Africa</w:t>
      </w:r>
      <w:r w:rsidR="008512FA" w:rsidRPr="00D95EDF">
        <w:rPr>
          <w:rFonts w:ascii="Avenir Next" w:hAnsi="Avenir Next" w:cs="Arial"/>
          <w:sz w:val="22"/>
          <w:szCs w:val="22"/>
          <w:highlight w:val="yellow"/>
          <w:lang w:val="en-GB"/>
        </w:rPr>
        <w:t>’</w:t>
      </w:r>
      <w:r w:rsidRPr="00D95EDF">
        <w:rPr>
          <w:rFonts w:ascii="Avenir Next" w:hAnsi="Avenir Next" w:cs="Arial"/>
          <w:sz w:val="22"/>
          <w:szCs w:val="22"/>
          <w:highlight w:val="yellow"/>
          <w:lang w:val="en-GB"/>
        </w:rPr>
        <w:t xml:space="preserve">s principle of reciprocity, but the </w:t>
      </w:r>
      <w:r w:rsidRPr="00D95EDF">
        <w:rPr>
          <w:rFonts w:ascii="Avenir Next" w:hAnsi="Avenir Next" w:cs="Arial"/>
          <w:sz w:val="22"/>
          <w:szCs w:val="22"/>
          <w:highlight w:val="yellow"/>
          <w:lang w:val="en-GB"/>
        </w:rPr>
        <w:lastRenderedPageBreak/>
        <w:t xml:space="preserve">foreign non-main proceedings in </w:t>
      </w:r>
      <w:r w:rsidR="004137C3" w:rsidRPr="00D95EDF">
        <w:rPr>
          <w:rFonts w:ascii="Avenir Next" w:hAnsi="Avenir Next" w:cs="Arial"/>
          <w:sz w:val="22"/>
          <w:szCs w:val="22"/>
          <w:highlight w:val="yellow"/>
          <w:lang w:val="en-GB"/>
        </w:rPr>
        <w:t xml:space="preserve">Argentina </w:t>
      </w:r>
      <w:r w:rsidRPr="00D95EDF">
        <w:rPr>
          <w:rFonts w:ascii="Avenir Next" w:hAnsi="Avenir Next" w:cs="Arial"/>
          <w:sz w:val="22"/>
          <w:szCs w:val="22"/>
          <w:highlight w:val="yellow"/>
          <w:lang w:val="en-GB"/>
        </w:rPr>
        <w:t xml:space="preserve">will be recognised in the UK despite </w:t>
      </w:r>
      <w:r w:rsidR="004137C3" w:rsidRPr="00D95EDF">
        <w:rPr>
          <w:rFonts w:ascii="Avenir Next" w:hAnsi="Avenir Next" w:cs="Arial"/>
          <w:sz w:val="22"/>
          <w:szCs w:val="22"/>
          <w:highlight w:val="yellow"/>
          <w:lang w:val="en-GB"/>
        </w:rPr>
        <w:t xml:space="preserve">Argentina </w:t>
      </w:r>
      <w:r w:rsidRPr="00D95EDF">
        <w:rPr>
          <w:rFonts w:ascii="Avenir Next" w:hAnsi="Avenir Next" w:cs="Arial"/>
          <w:sz w:val="22"/>
          <w:szCs w:val="22"/>
          <w:highlight w:val="yellow"/>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rrafode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C504E5">
      <w:pPr>
        <w:pStyle w:val="Prrafodelista"/>
        <w:numPr>
          <w:ilvl w:val="0"/>
          <w:numId w:val="20"/>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rrafode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rrafode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rrafode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rrafode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86A6B" w:rsidRDefault="00B72F5F" w:rsidP="00114082">
      <w:pPr>
        <w:pStyle w:val="Prrafodelista"/>
        <w:numPr>
          <w:ilvl w:val="0"/>
          <w:numId w:val="26"/>
        </w:numPr>
        <w:ind w:left="426"/>
        <w:jc w:val="both"/>
        <w:rPr>
          <w:rFonts w:ascii="Avenir Next" w:hAnsi="Avenir Next" w:cs="Arial"/>
          <w:sz w:val="22"/>
          <w:szCs w:val="22"/>
          <w:highlight w:val="yellow"/>
          <w:lang w:val="en-GB"/>
        </w:rPr>
      </w:pPr>
      <w:r w:rsidRPr="00E86A6B">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86A6B">
        <w:rPr>
          <w:rFonts w:ascii="Avenir Next" w:hAnsi="Avenir Next" w:cs="Arial"/>
          <w:sz w:val="22"/>
          <w:szCs w:val="22"/>
          <w:highlight w:val="yellow"/>
          <w:lang w:val="en-GB"/>
        </w:rPr>
        <w:t>will</w:t>
      </w:r>
      <w:r w:rsidRPr="00E86A6B">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rrafode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86A6B" w:rsidRDefault="00436884" w:rsidP="00436884">
      <w:pPr>
        <w:pStyle w:val="Prrafodelista"/>
        <w:numPr>
          <w:ilvl w:val="0"/>
          <w:numId w:val="27"/>
        </w:numPr>
        <w:ind w:left="426"/>
        <w:jc w:val="both"/>
        <w:rPr>
          <w:rFonts w:ascii="Avenir Next" w:hAnsi="Avenir Next" w:cs="Arial"/>
          <w:sz w:val="22"/>
          <w:szCs w:val="22"/>
          <w:highlight w:val="yellow"/>
          <w:lang w:val="en-GB"/>
        </w:rPr>
      </w:pPr>
      <w:r w:rsidRPr="00E86A6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rrafode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rrafodelista"/>
        <w:rPr>
          <w:rFonts w:ascii="Avenir Next" w:hAnsi="Avenir Next" w:cs="Arial"/>
          <w:sz w:val="22"/>
          <w:szCs w:val="22"/>
          <w:lang w:val="en-GB"/>
        </w:rPr>
      </w:pPr>
    </w:p>
    <w:p w14:paraId="2050075E" w14:textId="70E2FB72" w:rsidR="00436884" w:rsidRPr="00E2622D" w:rsidRDefault="00436884" w:rsidP="00436884">
      <w:pPr>
        <w:pStyle w:val="Prrafode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rrafode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Prrafode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rrafode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rrafode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2443D1" w:rsidRDefault="00436884" w:rsidP="00436884">
      <w:pPr>
        <w:pStyle w:val="Prrafodelista"/>
        <w:numPr>
          <w:ilvl w:val="0"/>
          <w:numId w:val="28"/>
        </w:numPr>
        <w:ind w:left="426"/>
        <w:jc w:val="both"/>
        <w:rPr>
          <w:rFonts w:ascii="Avenir Next" w:hAnsi="Avenir Next" w:cs="Arial"/>
          <w:sz w:val="22"/>
          <w:szCs w:val="22"/>
          <w:highlight w:val="yellow"/>
          <w:lang w:val="en-GB"/>
        </w:rPr>
      </w:pPr>
      <w:r w:rsidRPr="002443D1">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rrafode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rrafode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8B6C59" w:rsidRDefault="00436884" w:rsidP="00436884">
      <w:pPr>
        <w:pStyle w:val="Prrafodelista"/>
        <w:numPr>
          <w:ilvl w:val="0"/>
          <w:numId w:val="29"/>
        </w:numPr>
        <w:ind w:left="426"/>
        <w:jc w:val="both"/>
        <w:rPr>
          <w:rFonts w:ascii="Avenir Next" w:hAnsi="Avenir Next" w:cs="Arial"/>
          <w:sz w:val="22"/>
          <w:szCs w:val="22"/>
          <w:highlight w:val="yellow"/>
          <w:lang w:val="en-GB"/>
        </w:rPr>
      </w:pPr>
      <w:r w:rsidRPr="008B6C5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rrafode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9559E" w:rsidRDefault="00436884" w:rsidP="00436884">
      <w:pPr>
        <w:pStyle w:val="Prrafodelista"/>
        <w:numPr>
          <w:ilvl w:val="0"/>
          <w:numId w:val="30"/>
        </w:numPr>
        <w:ind w:left="426"/>
        <w:jc w:val="both"/>
        <w:rPr>
          <w:rFonts w:ascii="Avenir Next" w:hAnsi="Avenir Next" w:cs="Arial"/>
          <w:sz w:val="22"/>
          <w:szCs w:val="22"/>
          <w:highlight w:val="yellow"/>
          <w:lang w:val="en-GB"/>
        </w:rPr>
      </w:pPr>
      <w:r w:rsidRPr="00C9559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9559E">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rrafode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rrafode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rrafodelista"/>
        <w:rPr>
          <w:rFonts w:ascii="Avenir Next" w:hAnsi="Avenir Next" w:cs="Arial"/>
          <w:b/>
          <w:sz w:val="22"/>
          <w:szCs w:val="22"/>
          <w:lang w:val="en-GB"/>
        </w:rPr>
      </w:pPr>
    </w:p>
    <w:p w14:paraId="4AA91D0B" w14:textId="6EB256B3" w:rsidR="00436884" w:rsidRPr="00E2622D" w:rsidRDefault="00436884" w:rsidP="00436884">
      <w:pPr>
        <w:pStyle w:val="Prrafode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7CB8A78" w14:textId="3F954707" w:rsidR="00E6020A" w:rsidRPr="00E6020A" w:rsidRDefault="00B77352" w:rsidP="00E6020A">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6020A">
        <w:rPr>
          <w:rFonts w:ascii="Avenir Next" w:hAnsi="Avenir Next" w:cs="Arial"/>
          <w:color w:val="808080" w:themeColor="background1" w:themeShade="80"/>
          <w:sz w:val="22"/>
          <w:szCs w:val="22"/>
          <w:lang w:val="en-GB"/>
        </w:rPr>
        <w:t xml:space="preserve">The appropriate date for determining the COMI of a debtor would be the date </w:t>
      </w:r>
      <w:r w:rsidR="00E6020A" w:rsidRPr="00E6020A">
        <w:rPr>
          <w:rFonts w:ascii="Avenir Next" w:hAnsi="Avenir Next" w:cs="Arial"/>
          <w:color w:val="808080" w:themeColor="background1" w:themeShade="80"/>
          <w:sz w:val="22"/>
          <w:szCs w:val="22"/>
          <w:lang w:val="en-GB"/>
        </w:rPr>
        <w:t>o</w:t>
      </w:r>
      <w:r w:rsidR="008A56BE">
        <w:rPr>
          <w:rFonts w:ascii="Avenir Next" w:hAnsi="Avenir Next" w:cs="Arial"/>
          <w:color w:val="808080" w:themeColor="background1" w:themeShade="80"/>
          <w:sz w:val="22"/>
          <w:szCs w:val="22"/>
          <w:lang w:val="en-GB"/>
        </w:rPr>
        <w:t xml:space="preserve">f </w:t>
      </w:r>
      <w:r w:rsidR="00E6020A" w:rsidRPr="00E6020A">
        <w:rPr>
          <w:rFonts w:ascii="Avenir Next" w:hAnsi="Avenir Next" w:cs="Arial"/>
          <w:color w:val="808080" w:themeColor="background1" w:themeShade="80"/>
          <w:sz w:val="22"/>
          <w:szCs w:val="22"/>
          <w:lang w:val="en-GB"/>
        </w:rPr>
        <w:t>commencement of the foreign proceeding</w:t>
      </w:r>
      <w:r w:rsidR="00E6020A">
        <w:rPr>
          <w:rFonts w:ascii="Avenir Next" w:hAnsi="Avenir Next" w:cs="Arial"/>
          <w:color w:val="808080" w:themeColor="background1" w:themeShade="80"/>
          <w:sz w:val="22"/>
          <w:szCs w:val="22"/>
          <w:lang w:val="en-GB"/>
        </w:rPr>
        <w:t xml:space="preserve">. </w:t>
      </w:r>
      <w:r w:rsidR="00E6020A" w:rsidRPr="00E6020A">
        <w:rPr>
          <w:rFonts w:ascii="Avenir Next" w:hAnsi="Avenir Next" w:cs="Arial"/>
          <w:color w:val="808080" w:themeColor="background1" w:themeShade="80"/>
          <w:sz w:val="22"/>
          <w:szCs w:val="22"/>
          <w:lang w:val="en-GB"/>
        </w:rPr>
        <w:t>This is set out in Article 16 of the Model Law, which provides that:</w:t>
      </w:r>
    </w:p>
    <w:p w14:paraId="268BDAAA" w14:textId="77777777" w:rsidR="00E6020A" w:rsidRPr="00E6020A" w:rsidRDefault="00E6020A" w:rsidP="00E6020A">
      <w:pPr>
        <w:ind w:left="720" w:hanging="720"/>
        <w:jc w:val="both"/>
        <w:rPr>
          <w:rFonts w:ascii="Avenir Next" w:hAnsi="Avenir Next" w:cs="Arial"/>
          <w:color w:val="808080" w:themeColor="background1" w:themeShade="80"/>
          <w:sz w:val="22"/>
          <w:szCs w:val="22"/>
          <w:lang w:val="en-GB"/>
        </w:rPr>
      </w:pPr>
    </w:p>
    <w:p w14:paraId="5E5060A8" w14:textId="4C98F003" w:rsidR="00E6020A" w:rsidRDefault="00E6020A" w:rsidP="00E6020A">
      <w:pPr>
        <w:ind w:left="720"/>
        <w:jc w:val="both"/>
        <w:rPr>
          <w:rFonts w:ascii="Avenir Next" w:hAnsi="Avenir Next" w:cs="Arial"/>
          <w:i/>
          <w:iCs/>
          <w:color w:val="808080" w:themeColor="background1" w:themeShade="80"/>
          <w:sz w:val="22"/>
          <w:szCs w:val="22"/>
          <w:lang w:val="en-GB"/>
        </w:rPr>
      </w:pPr>
      <w:r w:rsidRPr="00E6020A">
        <w:rPr>
          <w:rFonts w:ascii="Avenir Next" w:hAnsi="Avenir Next" w:cs="Arial"/>
          <w:i/>
          <w:iCs/>
          <w:color w:val="808080" w:themeColor="background1" w:themeShade="80"/>
          <w:sz w:val="22"/>
          <w:szCs w:val="22"/>
          <w:lang w:val="en-GB"/>
        </w:rPr>
        <w:t>"The determination of the centre of the debtor's main interests shall be made at the time the foreign proceeding was commenced, unless the centre of main interests has shifted to another State thereafter."</w:t>
      </w:r>
    </w:p>
    <w:p w14:paraId="223C7AE8" w14:textId="0543EBA1" w:rsidR="00E6020A" w:rsidRDefault="00E6020A" w:rsidP="00E6020A">
      <w:pPr>
        <w:jc w:val="both"/>
        <w:rPr>
          <w:rFonts w:ascii="Avenir Next" w:hAnsi="Avenir Next" w:cs="Arial"/>
          <w:i/>
          <w:iCs/>
          <w:color w:val="808080" w:themeColor="background1" w:themeShade="80"/>
          <w:sz w:val="22"/>
          <w:szCs w:val="22"/>
          <w:lang w:val="en-GB"/>
        </w:rPr>
      </w:pPr>
    </w:p>
    <w:p w14:paraId="19B32EB2" w14:textId="567DA5F2" w:rsidR="00E6020A" w:rsidRDefault="00E6020A" w:rsidP="00E6020A">
      <w:pPr>
        <w:jc w:val="both"/>
        <w:rPr>
          <w:rFonts w:ascii="Avenir Next" w:hAnsi="Avenir Next" w:cs="Arial"/>
          <w:color w:val="808080" w:themeColor="background1" w:themeShade="80"/>
          <w:sz w:val="22"/>
          <w:szCs w:val="22"/>
        </w:rPr>
      </w:pPr>
      <w:r w:rsidRPr="00E6020A">
        <w:rPr>
          <w:rFonts w:ascii="Avenir Next" w:hAnsi="Avenir Next" w:cs="Arial"/>
          <w:color w:val="808080" w:themeColor="background1" w:themeShade="80"/>
          <w:sz w:val="22"/>
          <w:szCs w:val="22"/>
        </w:rPr>
        <w:t>This means that the COMI is determined at the time when the foreign insolvency proceeding is initiated, and this determination will be binding on all other courts and authorities involved in the insolvency proceedings.</w:t>
      </w:r>
    </w:p>
    <w:p w14:paraId="2D540DC8" w14:textId="0CA17578" w:rsidR="00E6020A" w:rsidRDefault="00E6020A" w:rsidP="00E6020A">
      <w:pPr>
        <w:jc w:val="both"/>
        <w:rPr>
          <w:rFonts w:ascii="Avenir Next" w:hAnsi="Avenir Next" w:cs="Arial"/>
          <w:color w:val="808080" w:themeColor="background1" w:themeShade="80"/>
          <w:sz w:val="22"/>
          <w:szCs w:val="22"/>
        </w:rPr>
      </w:pPr>
    </w:p>
    <w:p w14:paraId="654B0E66" w14:textId="19736126" w:rsidR="00CB56CE" w:rsidRPr="00E6020A" w:rsidRDefault="00E6020A" w:rsidP="00E6020A">
      <w:pPr>
        <w:jc w:val="both"/>
        <w:rPr>
          <w:rFonts w:ascii="Avenir Next" w:hAnsi="Avenir Next" w:cs="Arial"/>
          <w:color w:val="808080" w:themeColor="background1" w:themeShade="80"/>
          <w:sz w:val="22"/>
          <w:szCs w:val="22"/>
        </w:rPr>
      </w:pPr>
      <w:r w:rsidRPr="00E6020A">
        <w:rPr>
          <w:rFonts w:ascii="Avenir Next" w:hAnsi="Avenir Next" w:cs="Arial"/>
          <w:color w:val="808080" w:themeColor="background1" w:themeShade="80"/>
          <w:sz w:val="22"/>
          <w:szCs w:val="22"/>
        </w:rPr>
        <w:t>However, it is also important to note that the Model Law recognizes that the COMI may shift to another jurisdiction after the insolvency proceeding has commenced. In such cases, the court or authority overseeing the proceedings may need to re-evaluate the COMI to determine whether the main proceeding should be shifted to another jurisdiction.</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E6020A">
      <w:pPr>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3120576" w14:textId="77777777" w:rsidR="001228AE" w:rsidRPr="001228AE" w:rsidRDefault="00867A8F" w:rsidP="001228AE">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228AE">
        <w:rPr>
          <w:rFonts w:ascii="Avenir Next" w:hAnsi="Avenir Next" w:cs="Arial"/>
          <w:color w:val="808080" w:themeColor="background1" w:themeShade="80"/>
          <w:sz w:val="22"/>
          <w:szCs w:val="22"/>
          <w:lang w:val="en-GB"/>
        </w:rPr>
        <w:t xml:space="preserve">Statement 1: </w:t>
      </w:r>
      <w:r w:rsidR="001228AE" w:rsidRPr="001228AE">
        <w:rPr>
          <w:rFonts w:ascii="Avenir Next" w:hAnsi="Avenir Next" w:cs="Arial"/>
          <w:color w:val="808080" w:themeColor="background1" w:themeShade="80"/>
          <w:sz w:val="22"/>
          <w:szCs w:val="22"/>
          <w:lang w:val="en-GB"/>
        </w:rPr>
        <w:t>Article 14 of the UNCITRAL Model Law on Cross-Border Insolvency (1997) sets out the requirements for notice to be given to creditors, other interested persons, and courts of the commencement of foreign proceedings. The notice must include information about the identity and contact details of the foreign representative, the date of commencement of the proceedings, and the time limit for filing claims. The notice must be given in a manner that is likely to bring it to the attention of the creditors, such as by mail or publication.</w:t>
      </w:r>
    </w:p>
    <w:p w14:paraId="35684DF2" w14:textId="77777777" w:rsidR="001228AE" w:rsidRPr="001228AE" w:rsidRDefault="001228AE" w:rsidP="001228AE">
      <w:pPr>
        <w:ind w:left="720" w:hanging="720"/>
        <w:jc w:val="both"/>
        <w:rPr>
          <w:rFonts w:ascii="Avenir Next" w:hAnsi="Avenir Next" w:cs="Arial"/>
          <w:color w:val="808080" w:themeColor="background1" w:themeShade="80"/>
          <w:sz w:val="22"/>
          <w:szCs w:val="22"/>
          <w:lang w:val="en-GB"/>
        </w:rPr>
      </w:pPr>
    </w:p>
    <w:p w14:paraId="3AE4929C" w14:textId="77777777" w:rsidR="0014549E" w:rsidRDefault="001228AE" w:rsidP="001228AE">
      <w:pPr>
        <w:ind w:left="720" w:hanging="720"/>
        <w:jc w:val="both"/>
        <w:rPr>
          <w:rFonts w:ascii="Avenir Next" w:hAnsi="Avenir Next" w:cs="Arial"/>
          <w:color w:val="808080" w:themeColor="background1" w:themeShade="80"/>
          <w:sz w:val="22"/>
          <w:szCs w:val="22"/>
          <w:lang w:val="en-GB"/>
        </w:rPr>
      </w:pPr>
      <w:r w:rsidRPr="001228AE">
        <w:rPr>
          <w:rFonts w:ascii="Avenir Next" w:hAnsi="Avenir Next" w:cs="Arial"/>
          <w:color w:val="808080" w:themeColor="background1" w:themeShade="80"/>
          <w:sz w:val="22"/>
          <w:szCs w:val="22"/>
          <w:lang w:val="en-GB"/>
        </w:rPr>
        <w:lastRenderedPageBreak/>
        <w:t>The purpose of the notice is to inform the creditors and other interested parties about the foreign proceedings and to allow them to file claims against the debtor's assets located in the foreign jurisdiction.</w:t>
      </w:r>
    </w:p>
    <w:p w14:paraId="408B4544" w14:textId="77777777" w:rsidR="0014549E" w:rsidRDefault="0014549E" w:rsidP="001228AE">
      <w:pPr>
        <w:ind w:left="720" w:hanging="720"/>
        <w:jc w:val="both"/>
        <w:rPr>
          <w:rFonts w:ascii="Avenir Next" w:hAnsi="Avenir Next" w:cs="Arial"/>
          <w:color w:val="808080" w:themeColor="background1" w:themeShade="80"/>
          <w:sz w:val="22"/>
          <w:szCs w:val="22"/>
          <w:lang w:val="en-GB"/>
        </w:rPr>
      </w:pPr>
    </w:p>
    <w:p w14:paraId="101F09E9" w14:textId="77777777" w:rsidR="0014549E" w:rsidRDefault="0014549E" w:rsidP="001228A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sidRPr="0014549E">
        <w:rPr>
          <w:rFonts w:ascii="Avenir Next" w:hAnsi="Avenir Next" w:cs="Arial"/>
          <w:color w:val="808080" w:themeColor="background1" w:themeShade="80"/>
          <w:sz w:val="22"/>
          <w:szCs w:val="22"/>
          <w:lang w:val="en-GB"/>
        </w:rPr>
        <w:t>Article 10 of the UNCITRAL Model Law on Cross-Border Insolvency (1997) provides a "safe conduct" rule that prevents a court in the enacting State from assuming jurisdiction over all of the debtor's assets solely because the foreign representative has made an application for recognition of a foreign proceeding. This provision was added to address concerns of foreign representatives and creditors who may be exposed to a broad jurisdictional scope triggered by an application under the Model Law. The "safe conduct" rule ensures that certain actions taken by foreign representatives and creditors in connection with the debtor's assets will not be subject to challenge or liability under the laws of the enacting State. The orders issued by some courts have reiterated the immunity provided by Article 10.</w:t>
      </w:r>
    </w:p>
    <w:p w14:paraId="586CF00F" w14:textId="77777777" w:rsidR="0014549E" w:rsidRDefault="0014549E" w:rsidP="001228AE">
      <w:pPr>
        <w:ind w:left="720" w:hanging="720"/>
        <w:jc w:val="both"/>
        <w:rPr>
          <w:rFonts w:ascii="Avenir Next" w:hAnsi="Avenir Next" w:cs="Arial"/>
          <w:color w:val="808080" w:themeColor="background1" w:themeShade="80"/>
          <w:sz w:val="22"/>
          <w:szCs w:val="22"/>
          <w:lang w:val="en-GB"/>
        </w:rPr>
      </w:pPr>
    </w:p>
    <w:p w14:paraId="428DC0DA" w14:textId="40BF7B04" w:rsidR="00867A8F" w:rsidRPr="00B77352" w:rsidRDefault="0014549E" w:rsidP="001228A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w:t>
      </w:r>
      <w:r w:rsidR="00B60B87" w:rsidRPr="00B60B87">
        <w:rPr>
          <w:rFonts w:ascii="Avenir Next" w:hAnsi="Avenir Next" w:cs="Arial"/>
          <w:color w:val="808080" w:themeColor="background1" w:themeShade="80"/>
          <w:sz w:val="22"/>
          <w:szCs w:val="22"/>
          <w:lang w:val="en-GB"/>
        </w:rPr>
        <w:t>Statement 3 refers to Article 31 of the Model Law on Cross-Border Insolvency. This provision establishes a rebuttable presumption that the debtor is insolvent for the purpose of initiating a domestic insolvency proceeding in the enacting state, based on the recognition of a foreign main proceeding. However, the concept of insolvency itself is not explicitly defined in the Model Law, and therefore can be considered an "undefined key concept" in this context.</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5E96B95" w14:textId="77777777" w:rsidR="00E55D9B"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F0423" w:rsidRPr="001F0423">
        <w:rPr>
          <w:rFonts w:ascii="Avenir Next" w:hAnsi="Avenir Next" w:cs="Arial"/>
          <w:color w:val="808080" w:themeColor="background1" w:themeShade="80"/>
          <w:sz w:val="22"/>
          <w:szCs w:val="22"/>
          <w:lang w:val="en-GB"/>
        </w:rPr>
        <w:t>In the IBA case appeal, the English Court of Appeal decided that the court should not exercise its power to grant the indefinite Moratorium Continuation requested by the foreign representative. The court focused on the jurisdictional question raised in the case, which was in what sense it may be said that the English court lacked jurisdiction to grant the indefinite Moratorium Continuation. The Court of Appeal concluded that the case did not involve an issue of jurisdiction in the strict sense, but instead, the real issue was whether the court should exercise its power to grant the indefinite Moratorium Continuation where doing so would prevent English creditors from enforcing their rights or prolong the stay after the foreign reconstruction has come to an end.</w:t>
      </w:r>
    </w:p>
    <w:p w14:paraId="1CF11782" w14:textId="77777777" w:rsidR="00E55D9B" w:rsidRDefault="00E55D9B" w:rsidP="00867A8F">
      <w:pPr>
        <w:ind w:left="720" w:hanging="720"/>
        <w:jc w:val="both"/>
        <w:rPr>
          <w:rFonts w:ascii="Avenir Next" w:hAnsi="Avenir Next" w:cs="Arial"/>
          <w:color w:val="808080" w:themeColor="background1" w:themeShade="80"/>
          <w:sz w:val="22"/>
          <w:szCs w:val="22"/>
          <w:lang w:val="en-GB"/>
        </w:rPr>
      </w:pPr>
    </w:p>
    <w:p w14:paraId="00FF4F73" w14:textId="77777777" w:rsidR="00E55D9B" w:rsidRPr="00E55D9B" w:rsidRDefault="00E55D9B" w:rsidP="00E55D9B">
      <w:pPr>
        <w:ind w:left="720" w:hanging="720"/>
        <w:jc w:val="both"/>
        <w:rPr>
          <w:rFonts w:ascii="Avenir Next" w:hAnsi="Avenir Next" w:cs="Arial"/>
          <w:color w:val="808080" w:themeColor="background1" w:themeShade="80"/>
          <w:sz w:val="22"/>
          <w:szCs w:val="22"/>
          <w:lang w:val="en-GB"/>
        </w:rPr>
      </w:pPr>
      <w:r w:rsidRPr="00E55D9B">
        <w:rPr>
          <w:rFonts w:ascii="Avenir Next" w:hAnsi="Avenir Next" w:cs="Arial"/>
          <w:color w:val="808080" w:themeColor="background1" w:themeShade="80"/>
          <w:sz w:val="22"/>
          <w:szCs w:val="22"/>
          <w:lang w:val="en-GB"/>
        </w:rPr>
        <w:t xml:space="preserve">The Court of Appeal considered both factors and found that an English court could only properly grant the indefinite Moratorium Continuation if it satisfied two conditions: first, the stay would have to be necessary to protect the interests of IBA's creditors, and secondly, the stay would have to be an appropriate way of achieving such </w:t>
      </w:r>
      <w:r w:rsidRPr="00E55D9B">
        <w:rPr>
          <w:rFonts w:ascii="Avenir Next" w:hAnsi="Avenir Next" w:cs="Arial"/>
          <w:color w:val="808080" w:themeColor="background1" w:themeShade="80"/>
          <w:sz w:val="22"/>
          <w:szCs w:val="22"/>
          <w:lang w:val="en-GB"/>
        </w:rPr>
        <w:lastRenderedPageBreak/>
        <w:t>protection. The Court of Appeal held that neither of these conditions had been satisfied based on the evidence presented to the court.</w:t>
      </w:r>
    </w:p>
    <w:p w14:paraId="5D97B270" w14:textId="77777777" w:rsidR="00E55D9B" w:rsidRPr="00E55D9B" w:rsidRDefault="00E55D9B" w:rsidP="00E55D9B">
      <w:pPr>
        <w:ind w:left="720" w:hanging="720"/>
        <w:jc w:val="both"/>
        <w:rPr>
          <w:rFonts w:ascii="Avenir Next" w:hAnsi="Avenir Next" w:cs="Arial"/>
          <w:color w:val="808080" w:themeColor="background1" w:themeShade="80"/>
          <w:sz w:val="22"/>
          <w:szCs w:val="22"/>
          <w:lang w:val="en-GB"/>
        </w:rPr>
      </w:pPr>
    </w:p>
    <w:p w14:paraId="1FA54D5B" w14:textId="77777777" w:rsidR="00E55D9B" w:rsidRPr="00E55D9B" w:rsidRDefault="00E55D9B" w:rsidP="00E55D9B">
      <w:pPr>
        <w:ind w:left="720" w:hanging="720"/>
        <w:jc w:val="both"/>
        <w:rPr>
          <w:rFonts w:ascii="Avenir Next" w:hAnsi="Avenir Next" w:cs="Arial"/>
          <w:color w:val="808080" w:themeColor="background1" w:themeShade="80"/>
          <w:sz w:val="22"/>
          <w:szCs w:val="22"/>
          <w:lang w:val="en-GB"/>
        </w:rPr>
      </w:pPr>
      <w:r w:rsidRPr="00E55D9B">
        <w:rPr>
          <w:rFonts w:ascii="Avenir Next" w:hAnsi="Avenir Next" w:cs="Arial"/>
          <w:color w:val="808080" w:themeColor="background1" w:themeShade="80"/>
          <w:sz w:val="22"/>
          <w:szCs w:val="22"/>
          <w:lang w:val="en-GB"/>
        </w:rPr>
        <w:t>The court further found it relevant that IBA could have promoted a parallel scheme of arrangement in the UK, but chose not to do so. The Court of Appeal noted the existence of a new "Restructuring Plan" in the UK that also provides for a "cross-class cram-down" feature, which may have been an attractive option for IBA. The court also held that if the power to grant a stay under article 21 of the Model Law had been intended to override the substantive rights of creditors under the proper law governing their debts, one would expect this to have been made explicit or at least discussed at the preparatory stage.</w:t>
      </w:r>
    </w:p>
    <w:p w14:paraId="239552C2" w14:textId="77777777" w:rsidR="00E55D9B" w:rsidRPr="00E55D9B" w:rsidRDefault="00E55D9B" w:rsidP="00E55D9B">
      <w:pPr>
        <w:ind w:left="720" w:hanging="720"/>
        <w:jc w:val="both"/>
        <w:rPr>
          <w:rFonts w:ascii="Avenir Next" w:hAnsi="Avenir Next" w:cs="Arial"/>
          <w:color w:val="808080" w:themeColor="background1" w:themeShade="80"/>
          <w:sz w:val="22"/>
          <w:szCs w:val="22"/>
          <w:lang w:val="en-GB"/>
        </w:rPr>
      </w:pPr>
    </w:p>
    <w:p w14:paraId="741D1873" w14:textId="3294A6E2" w:rsidR="00867A8F" w:rsidRPr="00B77352" w:rsidRDefault="00E55D9B" w:rsidP="00E55D9B">
      <w:pPr>
        <w:ind w:left="720" w:hanging="720"/>
        <w:jc w:val="both"/>
        <w:rPr>
          <w:rFonts w:ascii="Avenir Next" w:hAnsi="Avenir Next" w:cs="Arial"/>
          <w:color w:val="808080" w:themeColor="background1" w:themeShade="80"/>
          <w:sz w:val="22"/>
          <w:szCs w:val="22"/>
          <w:lang w:val="en-GB"/>
        </w:rPr>
      </w:pPr>
      <w:r w:rsidRPr="00E55D9B">
        <w:rPr>
          <w:rFonts w:ascii="Avenir Next" w:hAnsi="Avenir Next" w:cs="Arial"/>
          <w:color w:val="808080" w:themeColor="background1" w:themeShade="80"/>
          <w:sz w:val="22"/>
          <w:szCs w:val="22"/>
          <w:lang w:val="en-GB"/>
        </w:rPr>
        <w:t>Regarding the information obligation on the foreign representative contained in article 18 of the Model Law, the Court of Appeal considered that it requires the foreign proceeding to still be in existence and the foreign representative to still be in office. Once the foreign proceeding has come to an end and the foreign representative no longer holds office, the court held that there is no scope for further orders in support of the foreign proceeding to be made, and any relief previously granted under the Model Law should terminate.</w:t>
      </w:r>
      <w:r w:rsidR="00867A8F"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70EE67D" w14:textId="63BFD544" w:rsidR="00E55D9B" w:rsidRPr="00E55D9B" w:rsidRDefault="00867A8F" w:rsidP="00E55D9B">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55D9B" w:rsidRPr="00E55D9B">
        <w:rPr>
          <w:rFonts w:ascii="Avenir Next" w:hAnsi="Avenir Next" w:cs="Arial"/>
          <w:color w:val="808080" w:themeColor="background1" w:themeShade="80"/>
          <w:sz w:val="22"/>
          <w:szCs w:val="22"/>
          <w:lang w:val="en-GB"/>
        </w:rPr>
        <w:t>Regarding relief, the court in an enacting State, where a domestic proceeding has already been opened in respect of the debtor, should grant any additional relief that may be available under the domestic law of the enacting State upon recognition of a foreign main proceeding.</w:t>
      </w:r>
      <w:r w:rsidR="00351D48">
        <w:rPr>
          <w:rFonts w:ascii="Avenir Next" w:hAnsi="Avenir Next" w:cs="Arial"/>
          <w:color w:val="808080" w:themeColor="background1" w:themeShade="80"/>
          <w:sz w:val="22"/>
          <w:szCs w:val="22"/>
          <w:lang w:val="en-GB"/>
        </w:rPr>
        <w:t xml:space="preserve"> T</w:t>
      </w:r>
      <w:r w:rsidR="00351D48" w:rsidRPr="00351D48">
        <w:rPr>
          <w:rFonts w:ascii="Avenir Next" w:hAnsi="Avenir Next" w:cs="Arial"/>
          <w:color w:val="808080" w:themeColor="background1" w:themeShade="80"/>
          <w:sz w:val="22"/>
          <w:szCs w:val="22"/>
          <w:lang w:val="en-GB"/>
        </w:rPr>
        <w:t>hese will be studied from the request</w:t>
      </w:r>
      <w:r w:rsidR="00351D48">
        <w:rPr>
          <w:rFonts w:ascii="Avenir Next" w:hAnsi="Avenir Next" w:cs="Arial"/>
          <w:color w:val="808080" w:themeColor="background1" w:themeShade="80"/>
          <w:sz w:val="22"/>
          <w:szCs w:val="22"/>
          <w:lang w:val="en-GB"/>
        </w:rPr>
        <w:t xml:space="preserve"> from the foreign representative. </w:t>
      </w:r>
      <w:r w:rsidR="00E55D9B" w:rsidRPr="00E55D9B">
        <w:rPr>
          <w:rFonts w:ascii="Avenir Next" w:hAnsi="Avenir Next" w:cs="Arial"/>
          <w:color w:val="808080" w:themeColor="background1" w:themeShade="80"/>
          <w:sz w:val="22"/>
          <w:szCs w:val="22"/>
          <w:lang w:val="en-GB"/>
        </w:rPr>
        <w:t>This is in accordance with Article 21 of the MLCBI, which provides that upon recognition of a foreign main proceeding, the court of the enacting State must grant relief that is available under its domestic law to the extent it does not conflict with the foreign proceeding.</w:t>
      </w:r>
    </w:p>
    <w:p w14:paraId="41AD438B" w14:textId="77777777" w:rsidR="00E55D9B" w:rsidRPr="00E55D9B" w:rsidRDefault="00E55D9B" w:rsidP="00E55D9B">
      <w:pPr>
        <w:ind w:left="720" w:hanging="720"/>
        <w:jc w:val="both"/>
        <w:rPr>
          <w:rFonts w:ascii="Avenir Next" w:hAnsi="Avenir Next" w:cs="Arial"/>
          <w:color w:val="808080" w:themeColor="background1" w:themeShade="80"/>
          <w:sz w:val="22"/>
          <w:szCs w:val="22"/>
          <w:lang w:val="en-GB"/>
        </w:rPr>
      </w:pPr>
    </w:p>
    <w:p w14:paraId="18F91E21" w14:textId="2F05082F" w:rsidR="00867A8F" w:rsidRPr="00B77352" w:rsidRDefault="00E55D9B" w:rsidP="00E55D9B">
      <w:pPr>
        <w:ind w:left="720" w:hanging="720"/>
        <w:jc w:val="both"/>
        <w:rPr>
          <w:rFonts w:ascii="Avenir Next" w:hAnsi="Avenir Next" w:cs="Arial"/>
          <w:color w:val="808080" w:themeColor="background1" w:themeShade="80"/>
          <w:sz w:val="22"/>
          <w:szCs w:val="22"/>
          <w:lang w:val="en-GB"/>
        </w:rPr>
      </w:pPr>
      <w:r w:rsidRPr="00E55D9B">
        <w:rPr>
          <w:rFonts w:ascii="Avenir Next" w:hAnsi="Avenir Next" w:cs="Arial"/>
          <w:color w:val="808080" w:themeColor="background1" w:themeShade="80"/>
          <w:sz w:val="22"/>
          <w:szCs w:val="22"/>
          <w:lang w:val="en-GB"/>
        </w:rPr>
        <w:t>Furthermore, the foreign representative in the foreign main proceeding has an ongoing duty of information towards the court in the enacting State. This is set out in Article 25 of the MLCBI, which requires the foreign representative to provide the court and any other interested persons with information concerning the foreign proceeding and its progress. The foreign representative must also notify the court of any significant developments in the foreign proceeding that may affect the rights and interests of creditors or other interested parties in the enacting State.</w:t>
      </w:r>
      <w:r w:rsidR="00867A8F" w:rsidRPr="00B77352">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lastRenderedPageBreak/>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0BE52A9" w14:textId="3E26C749" w:rsidR="00EF34F4" w:rsidRPr="00EF34F4" w:rsidRDefault="00867A8F" w:rsidP="00EF34F4">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F34F4">
        <w:rPr>
          <w:rFonts w:ascii="Avenir Next" w:hAnsi="Avenir Next" w:cs="Arial"/>
          <w:color w:val="808080" w:themeColor="background1" w:themeShade="80"/>
          <w:sz w:val="22"/>
          <w:szCs w:val="22"/>
          <w:lang w:val="en-GB"/>
        </w:rPr>
        <w:t>W</w:t>
      </w:r>
      <w:r w:rsidR="00EF34F4" w:rsidRPr="00EF34F4">
        <w:rPr>
          <w:rFonts w:ascii="Avenir Next" w:hAnsi="Avenir Next" w:cs="Arial"/>
          <w:color w:val="808080" w:themeColor="background1" w:themeShade="80"/>
          <w:sz w:val="22"/>
          <w:szCs w:val="22"/>
          <w:lang w:val="en-GB"/>
        </w:rPr>
        <w:t>hen a foreign representative of a corporate debtor is considering making a recognition application under the Model Law of State A, it is important to understand the potential benefits of doing so. One significant benefit is the access and co-operation rights granted to the foreign representative by State A.</w:t>
      </w:r>
    </w:p>
    <w:p w14:paraId="2075C063" w14:textId="77777777" w:rsidR="00EF34F4" w:rsidRPr="00EF34F4" w:rsidRDefault="00EF34F4" w:rsidP="00EF34F4">
      <w:pPr>
        <w:ind w:left="720" w:hanging="720"/>
        <w:jc w:val="both"/>
        <w:rPr>
          <w:rFonts w:ascii="Avenir Next" w:hAnsi="Avenir Next" w:cs="Arial"/>
          <w:color w:val="808080" w:themeColor="background1" w:themeShade="80"/>
          <w:sz w:val="22"/>
          <w:szCs w:val="22"/>
          <w:lang w:val="en-GB"/>
        </w:rPr>
      </w:pPr>
    </w:p>
    <w:p w14:paraId="60626923" w14:textId="77777777" w:rsidR="00EF34F4" w:rsidRPr="00EF34F4" w:rsidRDefault="00EF34F4" w:rsidP="00EF34F4">
      <w:pPr>
        <w:ind w:left="720" w:hanging="720"/>
        <w:jc w:val="both"/>
        <w:rPr>
          <w:rFonts w:ascii="Avenir Next" w:hAnsi="Avenir Next" w:cs="Arial"/>
          <w:color w:val="808080" w:themeColor="background1" w:themeShade="80"/>
          <w:sz w:val="22"/>
          <w:szCs w:val="22"/>
          <w:lang w:val="en-GB"/>
        </w:rPr>
      </w:pPr>
      <w:r w:rsidRPr="00EF34F4">
        <w:rPr>
          <w:rFonts w:ascii="Avenir Next" w:hAnsi="Avenir Next" w:cs="Arial"/>
          <w:color w:val="808080" w:themeColor="background1" w:themeShade="80"/>
          <w:sz w:val="22"/>
          <w:szCs w:val="22"/>
          <w:lang w:val="en-GB"/>
        </w:rPr>
        <w:t>Under Article 21 of the Model Law on Cross-Border Insolvency (MLCBI), a foreign representative has the right to apply to the court in State A for appropriate relief. This may include requesting the court to grant an injunction or any other appropriate relief to preserve the value of the debtor's assets in State A. Furthermore, the foreign representative has the right to access information that may be relevant to the foreign proceeding.</w:t>
      </w:r>
    </w:p>
    <w:p w14:paraId="3A683A85" w14:textId="77777777" w:rsidR="00EF34F4" w:rsidRPr="00EF34F4" w:rsidRDefault="00EF34F4" w:rsidP="00EF34F4">
      <w:pPr>
        <w:ind w:left="720" w:hanging="720"/>
        <w:jc w:val="both"/>
        <w:rPr>
          <w:rFonts w:ascii="Avenir Next" w:hAnsi="Avenir Next" w:cs="Arial"/>
          <w:color w:val="808080" w:themeColor="background1" w:themeShade="80"/>
          <w:sz w:val="22"/>
          <w:szCs w:val="22"/>
          <w:lang w:val="en-GB"/>
        </w:rPr>
      </w:pPr>
    </w:p>
    <w:p w14:paraId="468FC47E" w14:textId="6046A7F1" w:rsidR="008D0816" w:rsidRDefault="008D0816" w:rsidP="008D08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articles 25, 26 and 27 clearly states the importance of cooperation between the different parties involved that ensure the correct application of the given relief. </w:t>
      </w:r>
    </w:p>
    <w:p w14:paraId="013E9155" w14:textId="77777777" w:rsidR="008D0816" w:rsidRPr="00EF34F4" w:rsidRDefault="008D0816" w:rsidP="008D0816">
      <w:pPr>
        <w:jc w:val="both"/>
        <w:rPr>
          <w:rFonts w:ascii="Avenir Next" w:hAnsi="Avenir Next" w:cs="Arial"/>
          <w:color w:val="808080" w:themeColor="background1" w:themeShade="80"/>
          <w:sz w:val="22"/>
          <w:szCs w:val="22"/>
          <w:lang w:val="en-GB"/>
        </w:rPr>
      </w:pPr>
    </w:p>
    <w:p w14:paraId="08475351" w14:textId="3FE7E41B" w:rsidR="00867A8F" w:rsidRPr="00B77352" w:rsidRDefault="00EF34F4" w:rsidP="00EF34F4">
      <w:pPr>
        <w:ind w:left="720" w:hanging="720"/>
        <w:jc w:val="both"/>
        <w:rPr>
          <w:rFonts w:ascii="Avenir Next" w:hAnsi="Avenir Next" w:cs="Arial"/>
          <w:color w:val="808080" w:themeColor="background1" w:themeShade="80"/>
          <w:sz w:val="22"/>
          <w:szCs w:val="22"/>
          <w:lang w:val="en-GB"/>
        </w:rPr>
      </w:pPr>
      <w:r w:rsidRPr="00EF34F4">
        <w:rPr>
          <w:rFonts w:ascii="Avenir Next" w:hAnsi="Avenir Next" w:cs="Arial"/>
          <w:color w:val="808080" w:themeColor="background1" w:themeShade="80"/>
          <w:sz w:val="22"/>
          <w:szCs w:val="22"/>
          <w:lang w:val="en-GB"/>
        </w:rPr>
        <w:t>Overall, by making a recognition application under the Model Law in State A, the foreign representative of the corporate debtor can benefit from the access and co-operation rights granted by the Model Law. These rights can assist the foreign representative in securing the value of the debtor's assets located in State A, as well as in obtaining relevant information and evidence to support the foreign proceeding.</w:t>
      </w:r>
      <w:r w:rsidR="00867A8F" w:rsidRPr="00B77352">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 xml:space="preserve">relevant MLCBI articles) any other evidence, restrictions, </w:t>
      </w:r>
      <w:r w:rsidRPr="00E2622D">
        <w:rPr>
          <w:rFonts w:ascii="Avenir Next" w:hAnsi="Avenir Next" w:cs="Arial"/>
          <w:sz w:val="22"/>
          <w:szCs w:val="22"/>
          <w:lang w:val="en-GB"/>
        </w:rPr>
        <w:lastRenderedPageBreak/>
        <w:t>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5CD2BC52" w:rsidR="00867A8F" w:rsidRPr="00B7735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w:t>
      </w:r>
      <w:r w:rsidR="00216CE7" w:rsidRPr="00216CE7">
        <w:rPr>
          <w:rFonts w:ascii="Avenir Next" w:hAnsi="Avenir Next" w:cs="Arial"/>
          <w:color w:val="808080" w:themeColor="background1" w:themeShade="80"/>
          <w:sz w:val="22"/>
          <w:szCs w:val="22"/>
          <w:lang w:val="en-GB"/>
        </w:rPr>
        <w:t>o successfully obtain recognition of a foreign proceeding opened in State B in State A under the Model Law, the foreign proceeding must meet the requirements of Article 2(a) and the foreign representative must meet the requirements of Article 2(d) of the MLCBI. Additionally, the Model Law imposes certain restrictions and limitations, such as the Article 17 of the MLCBI, which sets out the grounds for refusing recognition of a foreign proceedin</w:t>
      </w:r>
      <w:r w:rsidR="00216CE7">
        <w:rPr>
          <w:rFonts w:ascii="Avenir Next" w:hAnsi="Avenir Next" w:cs="Arial"/>
          <w:color w:val="808080" w:themeColor="background1" w:themeShade="80"/>
          <w:sz w:val="22"/>
          <w:szCs w:val="22"/>
          <w:lang w:val="en-GB"/>
        </w:rPr>
        <w:t>g</w:t>
      </w:r>
      <w:r w:rsidR="00216CE7" w:rsidRPr="00216CE7">
        <w:rPr>
          <w:rFonts w:ascii="Avenir Next" w:hAnsi="Avenir Next" w:cs="Arial"/>
          <w:color w:val="808080" w:themeColor="background1" w:themeShade="80"/>
          <w:sz w:val="22"/>
          <w:szCs w:val="22"/>
          <w:lang w:val="en-GB"/>
        </w:rPr>
        <w:t>, and the ability of the court to refuse recognition if it is against the public policy of the State (Article 6). The Model Law also requires the foreign representative to provide evidence of the foreign proceeding, such as an authenticated copy of the decision opening the proceeding and evidence of the appointment of the for</w:t>
      </w:r>
      <w:bookmarkStart w:id="3" w:name="_GoBack"/>
      <w:bookmarkEnd w:id="3"/>
      <w:r w:rsidR="00216CE7" w:rsidRPr="00216CE7">
        <w:rPr>
          <w:rFonts w:ascii="Avenir Next" w:hAnsi="Avenir Next" w:cs="Arial"/>
          <w:color w:val="808080" w:themeColor="background1" w:themeShade="80"/>
          <w:sz w:val="22"/>
          <w:szCs w:val="22"/>
          <w:lang w:val="en-GB"/>
        </w:rPr>
        <w:t>eign representative (Article 15). Judicial scrutiny will be required to ensure that the foreign proceeding meets the requirements of the Model Law and that the relief sought is appropriate.</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3B8E55D" w14:textId="31C0C71F" w:rsidR="00CE199F" w:rsidRPr="00CE199F" w:rsidRDefault="00867A8F" w:rsidP="00CE199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CE199F">
        <w:rPr>
          <w:rFonts w:ascii="Avenir Next" w:hAnsi="Avenir Next" w:cs="Arial"/>
          <w:color w:val="808080" w:themeColor="background1" w:themeShade="80"/>
          <w:sz w:val="22"/>
          <w:szCs w:val="22"/>
          <w:lang w:val="en-GB"/>
        </w:rPr>
        <w:t>A</w:t>
      </w:r>
      <w:r w:rsidR="00CE199F" w:rsidRPr="00CE199F">
        <w:rPr>
          <w:rFonts w:ascii="Avenir Next" w:hAnsi="Avenir Next" w:cs="Arial"/>
          <w:color w:val="808080" w:themeColor="background1" w:themeShade="80"/>
          <w:sz w:val="22"/>
          <w:szCs w:val="22"/>
          <w:lang w:val="en-GB"/>
        </w:rPr>
        <w:t>s far as relief is concerned under the Model Law, pre-recognition relief can be granted in exceptional circumstances under Article 19, provided that such relief is urgently needed to protect the assets of the debtor or the interests of the creditors. However, such relief must be provisional in nature and subject to modification or termination upon recognition.</w:t>
      </w:r>
    </w:p>
    <w:p w14:paraId="7743F2AE" w14:textId="77777777" w:rsidR="00CE199F" w:rsidRPr="00CE199F" w:rsidRDefault="00CE199F" w:rsidP="00CE199F">
      <w:pPr>
        <w:ind w:left="720" w:hanging="720"/>
        <w:jc w:val="both"/>
        <w:rPr>
          <w:rFonts w:ascii="Avenir Next" w:hAnsi="Avenir Next" w:cs="Arial"/>
          <w:color w:val="808080" w:themeColor="background1" w:themeShade="80"/>
          <w:sz w:val="22"/>
          <w:szCs w:val="22"/>
          <w:lang w:val="en-GB"/>
        </w:rPr>
      </w:pPr>
    </w:p>
    <w:p w14:paraId="59586374" w14:textId="326BBD03" w:rsidR="00867A8F" w:rsidRPr="00B77352" w:rsidRDefault="00CE199F" w:rsidP="00CE199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Pr="00CE199F">
        <w:rPr>
          <w:rFonts w:ascii="Avenir Next" w:hAnsi="Avenir Next" w:cs="Arial"/>
          <w:color w:val="808080" w:themeColor="background1" w:themeShade="80"/>
          <w:sz w:val="22"/>
          <w:szCs w:val="22"/>
          <w:lang w:val="en-GB"/>
        </w:rPr>
        <w:t>ost-recognition relief can be granted if certain conditions are met. While Article 21 grants the court discretionary power to provide post-recognition relief, Article 20 mandates automatic relief if the foreign proceeding qualifies as a foreign main proceeding. The court must ensure that the interests of the debtor's creditors and other interested parties are adequately protected before granting or denying relief under Article 19 (interim pre-recognition relief) or Article 21. The court is given the power to impose appropriate conditions for the relief granted (Article 22, paragraph 2) and can modify or terminate the relief at the request of the foreign representative or an affected person (Article 22, paragraph 3)</w:t>
      </w:r>
      <w:r w:rsidR="00867A8F" w:rsidRPr="00B77352">
        <w:rPr>
          <w:rFonts w:ascii="Avenir Next" w:hAnsi="Avenir Next" w:cs="Arial"/>
          <w:color w:val="808080" w:themeColor="background1" w:themeShade="80"/>
          <w:sz w:val="22"/>
          <w:szCs w:val="22"/>
          <w:lang w:val="en-GB"/>
        </w:rPr>
        <w:t>]</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2B1A122" w14:textId="268484EF" w:rsidR="00E33DB2"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5B1C51" w:rsidRPr="005B1C51">
        <w:rPr>
          <w:rFonts w:ascii="Avenir Next" w:hAnsi="Avenir Next" w:cs="Arial"/>
          <w:color w:val="808080" w:themeColor="background1" w:themeShade="80"/>
          <w:sz w:val="22"/>
          <w:szCs w:val="22"/>
          <w:lang w:val="en-GB"/>
        </w:rPr>
        <w:t>A worldwide freezing order granted as pre-recognition interim relief under Article 19 of the MLCBI is unlikely to continue post-recognition under Article 21 of the MLCBI</w:t>
      </w:r>
      <w:r w:rsidR="00E33DB2">
        <w:rPr>
          <w:rFonts w:ascii="Avenir Next" w:hAnsi="Avenir Next" w:cs="Arial"/>
          <w:color w:val="808080" w:themeColor="background1" w:themeShade="80"/>
          <w:sz w:val="22"/>
          <w:szCs w:val="22"/>
          <w:lang w:val="en-GB"/>
        </w:rPr>
        <w:t xml:space="preserve"> as it was previously stated in </w:t>
      </w:r>
      <w:r w:rsidR="00E33DB2" w:rsidRPr="00E33DB2">
        <w:rPr>
          <w:rFonts w:ascii="Avenir Next" w:hAnsi="Avenir Next" w:cs="Arial"/>
          <w:color w:val="808080" w:themeColor="background1" w:themeShade="80"/>
          <w:sz w:val="22"/>
          <w:szCs w:val="22"/>
          <w:lang w:val="en-GB"/>
        </w:rPr>
        <w:t xml:space="preserve">English case between Igor </w:t>
      </w:r>
      <w:proofErr w:type="spellStart"/>
      <w:r w:rsidR="00E33DB2" w:rsidRPr="00E33DB2">
        <w:rPr>
          <w:rFonts w:ascii="Avenir Next" w:hAnsi="Avenir Next" w:cs="Arial"/>
          <w:color w:val="808080" w:themeColor="background1" w:themeShade="80"/>
          <w:sz w:val="22"/>
          <w:szCs w:val="22"/>
          <w:lang w:val="en-GB"/>
        </w:rPr>
        <w:t>Vitalievich</w:t>
      </w:r>
      <w:proofErr w:type="spellEnd"/>
      <w:r w:rsidR="00E33DB2" w:rsidRPr="00E33DB2">
        <w:rPr>
          <w:rFonts w:ascii="Avenir Next" w:hAnsi="Avenir Next" w:cs="Arial"/>
          <w:color w:val="808080" w:themeColor="background1" w:themeShade="80"/>
          <w:sz w:val="22"/>
          <w:szCs w:val="22"/>
          <w:lang w:val="en-GB"/>
        </w:rPr>
        <w:t xml:space="preserve"> </w:t>
      </w:r>
      <w:proofErr w:type="spellStart"/>
      <w:r w:rsidR="00E33DB2" w:rsidRPr="00E33DB2">
        <w:rPr>
          <w:rFonts w:ascii="Avenir Next" w:hAnsi="Avenir Next" w:cs="Arial"/>
          <w:color w:val="808080" w:themeColor="background1" w:themeShade="80"/>
          <w:sz w:val="22"/>
          <w:szCs w:val="22"/>
          <w:lang w:val="en-GB"/>
        </w:rPr>
        <w:t>Protasov</w:t>
      </w:r>
      <w:proofErr w:type="spellEnd"/>
      <w:r w:rsidR="00E33DB2" w:rsidRPr="00E33DB2">
        <w:rPr>
          <w:rFonts w:ascii="Avenir Next" w:hAnsi="Avenir Next" w:cs="Arial"/>
          <w:color w:val="808080" w:themeColor="background1" w:themeShade="80"/>
          <w:sz w:val="22"/>
          <w:szCs w:val="22"/>
          <w:lang w:val="en-GB"/>
        </w:rPr>
        <w:t xml:space="preserve"> and </w:t>
      </w:r>
      <w:proofErr w:type="spellStart"/>
      <w:r w:rsidR="00E33DB2" w:rsidRPr="00E33DB2">
        <w:rPr>
          <w:rFonts w:ascii="Avenir Next" w:hAnsi="Avenir Next" w:cs="Arial"/>
          <w:color w:val="808080" w:themeColor="background1" w:themeShade="80"/>
          <w:sz w:val="22"/>
          <w:szCs w:val="22"/>
          <w:lang w:val="en-GB"/>
        </w:rPr>
        <w:t>Khadzhi</w:t>
      </w:r>
      <w:proofErr w:type="spellEnd"/>
      <w:r w:rsidR="00E33DB2" w:rsidRPr="00E33DB2">
        <w:rPr>
          <w:rFonts w:ascii="Avenir Next" w:hAnsi="Avenir Next" w:cs="Arial"/>
          <w:color w:val="808080" w:themeColor="background1" w:themeShade="80"/>
          <w:sz w:val="22"/>
          <w:szCs w:val="22"/>
          <w:lang w:val="en-GB"/>
        </w:rPr>
        <w:t>-Murat Derev</w:t>
      </w:r>
      <w:r w:rsidR="00E33DB2">
        <w:rPr>
          <w:rFonts w:ascii="Avenir Next" w:hAnsi="Avenir Next" w:cs="Arial"/>
          <w:color w:val="808080" w:themeColor="background1" w:themeShade="80"/>
          <w:sz w:val="22"/>
          <w:szCs w:val="22"/>
          <w:lang w:val="en-GB"/>
        </w:rPr>
        <w:t xml:space="preserve">. If given the worldwide freezing, such decision would affect </w:t>
      </w:r>
      <w:r w:rsidR="00E33DB2" w:rsidRPr="00E33DB2">
        <w:rPr>
          <w:rFonts w:ascii="Avenir Next" w:hAnsi="Avenir Next" w:cs="Arial"/>
          <w:color w:val="808080" w:themeColor="background1" w:themeShade="80"/>
          <w:sz w:val="22"/>
          <w:szCs w:val="22"/>
          <w:lang w:val="en-GB"/>
        </w:rPr>
        <w:t>principle of comity. Comity refers to the practice of respecting the laws and judicial decisions of other countries, and it is an important consideration in international insolvency proceedings.</w:t>
      </w:r>
    </w:p>
    <w:p w14:paraId="3BD950F7" w14:textId="77777777" w:rsidR="00E33DB2" w:rsidRDefault="00E33DB2" w:rsidP="00867A8F">
      <w:pPr>
        <w:ind w:left="720" w:hanging="720"/>
        <w:jc w:val="both"/>
        <w:rPr>
          <w:rFonts w:ascii="Avenir Next" w:hAnsi="Avenir Next" w:cs="Arial"/>
          <w:color w:val="808080" w:themeColor="background1" w:themeShade="80"/>
          <w:sz w:val="22"/>
          <w:szCs w:val="22"/>
          <w:lang w:val="en-GB"/>
        </w:rPr>
      </w:pPr>
    </w:p>
    <w:p w14:paraId="55D111B1" w14:textId="1E59B284" w:rsidR="00867A8F" w:rsidRPr="00B77352" w:rsidRDefault="00E33DB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cited case, the</w:t>
      </w:r>
      <w:r w:rsidRPr="00E33DB2">
        <w:rPr>
          <w:rFonts w:ascii="Avenir Next" w:hAnsi="Avenir Next" w:cs="Arial"/>
          <w:color w:val="808080" w:themeColor="background1" w:themeShade="80"/>
          <w:sz w:val="22"/>
          <w:szCs w:val="22"/>
          <w:lang w:val="en-GB"/>
        </w:rPr>
        <w:t xml:space="preserve"> court held that while it had the jurisdiction to grant post-recognition discretionary relief, restrictions and limitations existed which inhibited the proper exercise of that jurisdiction. The court stated that the purpose of the Model Law was to put the foreign trustee or bankruptcy manager in the same position as an officeholder appointed under domestic law, and the effect of recognition of a foreign main proceeding is to bring into play the same infrastructure of the insolvency legislation.</w:t>
      </w:r>
      <w:r>
        <w:rPr>
          <w:rFonts w:ascii="Avenir Next" w:hAnsi="Avenir Next" w:cs="Arial"/>
          <w:color w:val="808080" w:themeColor="background1" w:themeShade="80"/>
          <w:sz w:val="22"/>
          <w:szCs w:val="22"/>
          <w:lang w:val="en-GB"/>
        </w:rPr>
        <w:t xml:space="preserve"> It also stated that t</w:t>
      </w:r>
      <w:r w:rsidRPr="00E33DB2">
        <w:rPr>
          <w:rFonts w:ascii="Avenir Next" w:hAnsi="Avenir Next" w:cs="Arial"/>
          <w:color w:val="808080" w:themeColor="background1" w:themeShade="80"/>
          <w:sz w:val="22"/>
          <w:szCs w:val="22"/>
          <w:lang w:val="en-GB"/>
        </w:rPr>
        <w:t>he English bankruptcy regime offers other forms of protection</w:t>
      </w:r>
      <w:r>
        <w:rPr>
          <w:rFonts w:ascii="Avenir Next" w:hAnsi="Avenir Next" w:cs="Arial"/>
          <w:color w:val="808080" w:themeColor="background1" w:themeShade="80"/>
          <w:sz w:val="22"/>
          <w:szCs w:val="22"/>
          <w:lang w:val="en-GB"/>
        </w:rPr>
        <w:t>.</w:t>
      </w:r>
      <w:r w:rsidRPr="00E33DB2">
        <w:rPr>
          <w:rFonts w:ascii="Avenir Next" w:hAnsi="Avenir Next" w:cs="Arial"/>
          <w:color w:val="808080" w:themeColor="background1" w:themeShade="80"/>
          <w:sz w:val="22"/>
          <w:szCs w:val="22"/>
          <w:lang w:val="en-GB"/>
        </w:rPr>
        <w:t xml:space="preserve"> The court found that absent exceptional reasons, a freezing order or similar order would not be required or justified, and in that particular case, no special or exceptional reasons existed to warrant the granting of a freezing order.</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w:t>
      </w:r>
      <w:r w:rsidRPr="00E2622D">
        <w:rPr>
          <w:rFonts w:ascii="Avenir Next" w:hAnsi="Avenir Next" w:cs="Arial"/>
          <w:color w:val="000000"/>
          <w:sz w:val="22"/>
          <w:szCs w:val="22"/>
          <w:lang w:val="en-GB" w:eastAsia="en-GB"/>
        </w:rPr>
        <w:lastRenderedPageBreak/>
        <w:t>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860E61">
      <w:pPr>
        <w:pStyle w:val="Prrafode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rrafode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rrafode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66252C">
      <w:pPr>
        <w:pStyle w:val="Prrafode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rrafode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rrafode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rrafode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rrafode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rrafode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rrafode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rrafode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1AB8EF10" w:rsidR="00A153F7" w:rsidRDefault="00A153F7" w:rsidP="00707FC8">
      <w:pPr>
        <w:jc w:val="both"/>
        <w:rPr>
          <w:rFonts w:ascii="Avenir Next" w:hAnsi="Avenir Next" w:cs="Arial"/>
          <w:sz w:val="22"/>
          <w:szCs w:val="22"/>
          <w:lang w:val="en-GB"/>
        </w:rPr>
      </w:pPr>
    </w:p>
    <w:p w14:paraId="25597293" w14:textId="1D5F8D54" w:rsidR="004B7D75" w:rsidRDefault="004B7D75" w:rsidP="004B7D75">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4.1.1. </w:t>
      </w:r>
      <w:r w:rsidRPr="004B7D75">
        <w:rPr>
          <w:rFonts w:ascii="Avenir Next" w:hAnsi="Avenir Next" w:cs="Arial"/>
          <w:color w:val="808080" w:themeColor="background1" w:themeShade="80"/>
          <w:sz w:val="22"/>
          <w:szCs w:val="22"/>
          <w:lang w:val="en-GB"/>
        </w:rPr>
        <w:t>As the judge in the English court considering the recognition application of the liquidation of the Bank, I must determine whether the Bank's liquidation constitutes a "foreign proceeding" under Article 2(a) of the Model Law on Cross-Border Insolvency (MLCBI), which is incorporated into English law through the Cross-Border Insolvency Regulations 2006 (CBIR).</w:t>
      </w:r>
      <w:r>
        <w:rPr>
          <w:rFonts w:ascii="Avenir Next" w:hAnsi="Avenir Next" w:cs="Arial"/>
          <w:color w:val="808080" w:themeColor="background1" w:themeShade="80"/>
          <w:sz w:val="22"/>
          <w:szCs w:val="22"/>
          <w:lang w:val="en-GB"/>
        </w:rPr>
        <w:t xml:space="preserve"> </w:t>
      </w:r>
      <w:r w:rsidRPr="004B7D75">
        <w:rPr>
          <w:rFonts w:ascii="Avenir Next" w:hAnsi="Avenir Next" w:cs="Arial"/>
          <w:color w:val="808080" w:themeColor="background1" w:themeShade="80"/>
          <w:sz w:val="22"/>
          <w:szCs w:val="22"/>
          <w:lang w:val="en-GB"/>
        </w:rPr>
        <w:t>Article 2(a) of the MLCBI defines a "foreign proceeding" as "a judicial or administrative proceeding in a foreign State, including an interim proceeding, pursuant to a law relating to insolvency in which proceedings are commenced with respect to any debtor concerning the financial affairs, assets, liabilities, or affairs of the debtor."</w:t>
      </w:r>
      <w:r>
        <w:rPr>
          <w:rFonts w:ascii="Avenir Next" w:hAnsi="Avenir Next" w:cs="Arial"/>
          <w:color w:val="808080" w:themeColor="background1" w:themeShade="80"/>
          <w:sz w:val="22"/>
          <w:szCs w:val="22"/>
          <w:lang w:val="en-GB"/>
        </w:rPr>
        <w:t xml:space="preserve"> </w:t>
      </w:r>
      <w:r w:rsidRPr="004B7D75">
        <w:rPr>
          <w:rFonts w:ascii="Avenir Next" w:hAnsi="Avenir Next" w:cs="Arial"/>
          <w:color w:val="808080" w:themeColor="background1" w:themeShade="80"/>
          <w:sz w:val="22"/>
          <w:szCs w:val="22"/>
          <w:lang w:val="en-GB"/>
        </w:rPr>
        <w:t>Based on the information provided, it</w:t>
      </w:r>
      <w:r>
        <w:rPr>
          <w:rFonts w:ascii="Avenir Next" w:hAnsi="Avenir Next" w:cs="Arial"/>
          <w:color w:val="808080" w:themeColor="background1" w:themeShade="80"/>
          <w:sz w:val="22"/>
          <w:szCs w:val="22"/>
          <w:lang w:val="en-GB"/>
        </w:rPr>
        <w:t>’s</w:t>
      </w:r>
      <w:r w:rsidRPr="004B7D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clear</w:t>
      </w:r>
      <w:r w:rsidRPr="004B7D75">
        <w:rPr>
          <w:rFonts w:ascii="Avenir Next" w:hAnsi="Avenir Next" w:cs="Arial"/>
          <w:color w:val="808080" w:themeColor="background1" w:themeShade="80"/>
          <w:sz w:val="22"/>
          <w:szCs w:val="22"/>
          <w:lang w:val="en-GB"/>
        </w:rPr>
        <w:t xml:space="preserve"> that the liquidation of the Bank is being carried out in Country A, which is a foreign state to England. Furthermore, it is clear that the liquidation proceedings relate to the financial affairs, assets, and liabilities of the Bank. Therefore, it is likely that the Bank's liquidation constitutes a "foreign proceeding" within the meaning of Article 2(a) of the MLCBI.</w:t>
      </w:r>
      <w:r>
        <w:rPr>
          <w:rFonts w:ascii="Avenir Next" w:hAnsi="Avenir Next" w:cs="Arial"/>
          <w:color w:val="808080" w:themeColor="background1" w:themeShade="80"/>
          <w:sz w:val="22"/>
          <w:szCs w:val="22"/>
          <w:lang w:val="en-GB"/>
        </w:rPr>
        <w:t xml:space="preserve"> </w:t>
      </w:r>
    </w:p>
    <w:p w14:paraId="21B4E692" w14:textId="38482A93" w:rsidR="004B7D75" w:rsidRDefault="004B7D75" w:rsidP="004B7D7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43960EDC" w14:textId="6B76F0C4" w:rsidR="004B7D75" w:rsidRPr="004B7D75" w:rsidRDefault="004B7D75" w:rsidP="004B7D7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Although the Country has not </w:t>
      </w:r>
      <w:r w:rsidRPr="004B7D75">
        <w:rPr>
          <w:rFonts w:ascii="Avenir Next" w:hAnsi="Avenir Next" w:cs="Arial"/>
          <w:color w:val="808080" w:themeColor="background1" w:themeShade="80"/>
          <w:sz w:val="22"/>
          <w:szCs w:val="22"/>
          <w:lang w:val="en-GB"/>
        </w:rPr>
        <w:t>adopted the MLCBI</w:t>
      </w:r>
      <w:r>
        <w:rPr>
          <w:rFonts w:ascii="Avenir Next" w:hAnsi="Avenir Next" w:cs="Arial"/>
          <w:color w:val="808080" w:themeColor="background1" w:themeShade="80"/>
          <w:sz w:val="22"/>
          <w:szCs w:val="22"/>
          <w:lang w:val="en-GB"/>
        </w:rPr>
        <w:t>, it’s not necessary reciprocity taking into account that England has adopted the model law.</w:t>
      </w:r>
    </w:p>
    <w:p w14:paraId="1B7D756D" w14:textId="77777777" w:rsidR="004B7D75" w:rsidRDefault="004B7D75" w:rsidP="004B7D75">
      <w:pPr>
        <w:ind w:left="720" w:hanging="720"/>
        <w:jc w:val="both"/>
        <w:rPr>
          <w:rFonts w:ascii="Avenir Next" w:hAnsi="Avenir Next" w:cs="Arial"/>
          <w:color w:val="808080" w:themeColor="background1" w:themeShade="80"/>
          <w:sz w:val="22"/>
          <w:szCs w:val="22"/>
          <w:lang w:val="en-GB"/>
        </w:rPr>
      </w:pPr>
    </w:p>
    <w:p w14:paraId="6AADF5A0" w14:textId="77777777" w:rsidR="00FF45CE" w:rsidRPr="00FF45CE" w:rsidRDefault="004B7D75" w:rsidP="00FF45C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4.1.2.</w:t>
      </w:r>
      <w:r w:rsidR="00FF45CE">
        <w:rPr>
          <w:rFonts w:ascii="Avenir Next" w:hAnsi="Avenir Next" w:cs="Arial"/>
          <w:color w:val="808080" w:themeColor="background1" w:themeShade="80"/>
          <w:sz w:val="22"/>
          <w:szCs w:val="22"/>
          <w:lang w:val="en-GB"/>
        </w:rPr>
        <w:t xml:space="preserve"> </w:t>
      </w:r>
      <w:r w:rsidR="00FF45CE" w:rsidRPr="00FF45CE">
        <w:rPr>
          <w:rFonts w:ascii="Avenir Next" w:hAnsi="Avenir Next" w:cs="Arial"/>
          <w:color w:val="808080" w:themeColor="background1" w:themeShade="80"/>
          <w:sz w:val="22"/>
          <w:szCs w:val="22"/>
          <w:lang w:val="en-GB"/>
        </w:rPr>
        <w:t>Article 2(d) of the MLCBI defines "foreign representatives" as a person or body authorized in a foreign proceeding to administer the reorganization or liquidation of the debtor's assets or affairs or to act as a representative of such a person.</w:t>
      </w:r>
    </w:p>
    <w:p w14:paraId="2EB4FC87" w14:textId="77777777" w:rsidR="00FF45CE" w:rsidRPr="00FF45CE" w:rsidRDefault="00FF45CE" w:rsidP="00FF45CE">
      <w:pPr>
        <w:ind w:left="720" w:hanging="720"/>
        <w:jc w:val="both"/>
        <w:rPr>
          <w:rFonts w:ascii="Avenir Next" w:hAnsi="Avenir Next" w:cs="Arial"/>
          <w:color w:val="808080" w:themeColor="background1" w:themeShade="80"/>
          <w:sz w:val="22"/>
          <w:szCs w:val="22"/>
          <w:lang w:val="en-GB"/>
        </w:rPr>
      </w:pPr>
    </w:p>
    <w:p w14:paraId="6896F6E8" w14:textId="1315012B" w:rsidR="004B7D75" w:rsidRPr="00B77352" w:rsidRDefault="00FF45CE" w:rsidP="00FF45C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Upon the question</w:t>
      </w:r>
      <w:r w:rsidRPr="00FF45CE">
        <w:rPr>
          <w:rFonts w:ascii="Avenir Next" w:hAnsi="Avenir Next" w:cs="Arial"/>
          <w:color w:val="808080" w:themeColor="background1" w:themeShade="80"/>
          <w:sz w:val="22"/>
          <w:szCs w:val="22"/>
          <w:lang w:val="en-GB"/>
        </w:rPr>
        <w:t>, Ms G, in her capacity as an authorized officer of the Deposit Guarantee Fund (DGF) of Country A, applied for recognition of the liquidation of the Commercial Bank for Business Corporation (the Bank) before the English court based on the Cross-Border Insolvency Regulations 2006 (CBIR). Therefore, it can be argued that Ms G and the DGF fall within the description of "foreign representatives" as defined by article 2(d) of the MLCBI, since they were authorized in a foreign proceeding to administer the liquidation of the Bank's assets or affairs, and are acting as representatives of such persons.</w:t>
      </w:r>
      <w:r w:rsidR="004B7D75" w:rsidRPr="00B77352">
        <w:rPr>
          <w:rFonts w:ascii="Avenir Next" w:hAnsi="Avenir Next" w:cs="Arial"/>
          <w:color w:val="808080" w:themeColor="background1" w:themeShade="80"/>
          <w:sz w:val="22"/>
          <w:szCs w:val="22"/>
          <w:lang w:val="en-GB"/>
        </w:rPr>
        <w:t>]</w:t>
      </w:r>
    </w:p>
    <w:p w14:paraId="43B7E9BE" w14:textId="77777777" w:rsidR="004B7D75" w:rsidRDefault="004B7D75" w:rsidP="00707FC8">
      <w:pPr>
        <w:jc w:val="both"/>
        <w:rPr>
          <w:rFonts w:ascii="Avenir Next" w:hAnsi="Avenir Next" w:cs="Arial"/>
          <w:sz w:val="22"/>
          <w:szCs w:val="22"/>
          <w:lang w:val="en-GB"/>
        </w:rPr>
      </w:pPr>
    </w:p>
    <w:p w14:paraId="70E52F04" w14:textId="77777777" w:rsidR="004B7D75" w:rsidRPr="00E2622D" w:rsidRDefault="004B7D75" w:rsidP="00707FC8">
      <w:pPr>
        <w:jc w:val="both"/>
        <w:rPr>
          <w:rFonts w:ascii="Avenir Next" w:hAnsi="Avenir Next" w:cs="Arial"/>
          <w:sz w:val="22"/>
          <w:szCs w:val="22"/>
          <w:lang w:val="en-GB"/>
        </w:rPr>
      </w:pPr>
    </w:p>
    <w:bookmarkEnd w:id="4"/>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8346" w14:textId="77777777" w:rsidR="009B5E47" w:rsidRDefault="009B5E47" w:rsidP="00241B44">
      <w:r>
        <w:separator/>
      </w:r>
    </w:p>
  </w:endnote>
  <w:endnote w:type="continuationSeparator" w:id="0">
    <w:p w14:paraId="5F587646" w14:textId="77777777" w:rsidR="009B5E47" w:rsidRDefault="009B5E4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68880920"/>
      <w:docPartObj>
        <w:docPartGallery w:val="Page Numbers (Bottom of Page)"/>
        <w:docPartUnique/>
      </w:docPartObj>
    </w:sdtPr>
    <w:sdtEndPr>
      <w:rPr>
        <w:rStyle w:val="Nmerodepgina"/>
      </w:rPr>
    </w:sdtEndPr>
    <w:sdtContent>
      <w:p w14:paraId="75DFA1A2" w14:textId="6BA13D30" w:rsidR="00A70BBC" w:rsidRDefault="00A70BBC" w:rsidP="000300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A70BBC" w:rsidRPr="000300E0" w:rsidRDefault="00A70BBC" w:rsidP="00B22F9A">
    <w:pPr>
      <w:pStyle w:val="Piedepgina"/>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96495926"/>
      <w:docPartObj>
        <w:docPartGallery w:val="Page Numbers (Bottom of Page)"/>
        <w:docPartUnique/>
      </w:docPartObj>
    </w:sdtPr>
    <w:sdtEndPr>
      <w:rPr>
        <w:rStyle w:val="Nmerodepgina"/>
      </w:rPr>
    </w:sdtEndPr>
    <w:sdtContent>
      <w:p w14:paraId="1F7F18A2" w14:textId="560E059B" w:rsidR="000300E0" w:rsidRDefault="000300E0" w:rsidP="00B22F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Piedepgina"/>
      <w:ind w:right="360"/>
      <w:rPr>
        <w:rFonts w:ascii="Avenir Next" w:hAnsi="Avenir Next" w:cs="Arial"/>
        <w:sz w:val="22"/>
        <w:szCs w:val="22"/>
      </w:rPr>
    </w:pPr>
  </w:p>
  <w:p w14:paraId="01028C96" w14:textId="77777777" w:rsidR="000300E0" w:rsidRDefault="000300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4DFDF3D4" w:rsidR="000300E0" w:rsidRPr="00B46CE2" w:rsidRDefault="00C8572B" w:rsidP="000300E0">
    <w:pPr>
      <w:pStyle w:val="Piedepgina"/>
      <w:ind w:right="360"/>
      <w:rPr>
        <w:rFonts w:ascii="Avenir Next" w:hAnsi="Avenir Next"/>
        <w:sz w:val="22"/>
        <w:szCs w:val="22"/>
      </w:rPr>
    </w:pPr>
    <w:r>
      <w:rPr>
        <w:rFonts w:ascii="Avenir Next" w:hAnsi="Avenir Next"/>
        <w:sz w:val="22"/>
        <w:szCs w:val="22"/>
      </w:rPr>
      <w:t>202223-857</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EndPr>
      <w:rPr>
        <w:rStyle w:val="Nmerodepgina"/>
      </w:rPr>
    </w:sdtEndPr>
    <w:sdtContent>
      <w:p w14:paraId="33CCA177" w14:textId="77777777" w:rsidR="00B46CE2" w:rsidRPr="000300E0" w:rsidRDefault="00B46CE2" w:rsidP="00B46CE2">
        <w:pPr>
          <w:pStyle w:val="Piedepgina"/>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Piedepgina"/>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181D" w14:textId="77777777" w:rsidR="009B5E47" w:rsidRDefault="009B5E47" w:rsidP="00241B44">
      <w:r>
        <w:separator/>
      </w:r>
    </w:p>
  </w:footnote>
  <w:footnote w:type="continuationSeparator" w:id="0">
    <w:p w14:paraId="4D7392BD" w14:textId="77777777" w:rsidR="009B5E47" w:rsidRDefault="009B5E4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8"/>
  </w:num>
  <w:num w:numId="3">
    <w:abstractNumId w:val="33"/>
  </w:num>
  <w:num w:numId="4">
    <w:abstractNumId w:val="43"/>
  </w:num>
  <w:num w:numId="5">
    <w:abstractNumId w:val="6"/>
  </w:num>
  <w:num w:numId="6">
    <w:abstractNumId w:val="41"/>
  </w:num>
  <w:num w:numId="7">
    <w:abstractNumId w:val="18"/>
  </w:num>
  <w:num w:numId="8">
    <w:abstractNumId w:val="35"/>
  </w:num>
  <w:num w:numId="9">
    <w:abstractNumId w:val="21"/>
  </w:num>
  <w:num w:numId="10">
    <w:abstractNumId w:val="12"/>
  </w:num>
  <w:num w:numId="11">
    <w:abstractNumId w:val="23"/>
  </w:num>
  <w:num w:numId="12">
    <w:abstractNumId w:val="39"/>
  </w:num>
  <w:num w:numId="13">
    <w:abstractNumId w:val="4"/>
  </w:num>
  <w:num w:numId="14">
    <w:abstractNumId w:val="30"/>
  </w:num>
  <w:num w:numId="15">
    <w:abstractNumId w:val="13"/>
  </w:num>
  <w:num w:numId="16">
    <w:abstractNumId w:val="14"/>
  </w:num>
  <w:num w:numId="17">
    <w:abstractNumId w:val="25"/>
  </w:num>
  <w:num w:numId="18">
    <w:abstractNumId w:val="5"/>
  </w:num>
  <w:num w:numId="19">
    <w:abstractNumId w:val="24"/>
  </w:num>
  <w:num w:numId="20">
    <w:abstractNumId w:val="47"/>
  </w:num>
  <w:num w:numId="21">
    <w:abstractNumId w:val="16"/>
  </w:num>
  <w:num w:numId="22">
    <w:abstractNumId w:val="38"/>
  </w:num>
  <w:num w:numId="23">
    <w:abstractNumId w:val="45"/>
  </w:num>
  <w:num w:numId="24">
    <w:abstractNumId w:val="37"/>
  </w:num>
  <w:num w:numId="25">
    <w:abstractNumId w:val="29"/>
  </w:num>
  <w:num w:numId="26">
    <w:abstractNumId w:val="46"/>
  </w:num>
  <w:num w:numId="27">
    <w:abstractNumId w:val="42"/>
  </w:num>
  <w:num w:numId="28">
    <w:abstractNumId w:val="8"/>
  </w:num>
  <w:num w:numId="29">
    <w:abstractNumId w:val="9"/>
  </w:num>
  <w:num w:numId="30">
    <w:abstractNumId w:val="26"/>
  </w:num>
  <w:num w:numId="31">
    <w:abstractNumId w:val="2"/>
  </w:num>
  <w:num w:numId="32">
    <w:abstractNumId w:val="28"/>
  </w:num>
  <w:num w:numId="33">
    <w:abstractNumId w:val="0"/>
  </w:num>
  <w:num w:numId="34">
    <w:abstractNumId w:val="34"/>
  </w:num>
  <w:num w:numId="35">
    <w:abstractNumId w:val="20"/>
  </w:num>
  <w:num w:numId="36">
    <w:abstractNumId w:val="36"/>
  </w:num>
  <w:num w:numId="37">
    <w:abstractNumId w:val="22"/>
  </w:num>
  <w:num w:numId="38">
    <w:abstractNumId w:val="32"/>
  </w:num>
  <w:num w:numId="39">
    <w:abstractNumId w:val="3"/>
  </w:num>
  <w:num w:numId="40">
    <w:abstractNumId w:val="19"/>
  </w:num>
  <w:num w:numId="41">
    <w:abstractNumId w:val="40"/>
  </w:num>
  <w:num w:numId="42">
    <w:abstractNumId w:val="15"/>
  </w:num>
  <w:num w:numId="43">
    <w:abstractNumId w:val="27"/>
  </w:num>
  <w:num w:numId="44">
    <w:abstractNumId w:val="11"/>
  </w:num>
  <w:num w:numId="45">
    <w:abstractNumId w:val="10"/>
  </w:num>
  <w:num w:numId="46">
    <w:abstractNumId w:val="31"/>
  </w:num>
  <w:num w:numId="47">
    <w:abstractNumId w:val="17"/>
  </w:num>
  <w:num w:numId="48">
    <w:abstractNumId w:val="7"/>
  </w:num>
  <w:num w:numId="49">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28AE"/>
    <w:rsid w:val="00123855"/>
    <w:rsid w:val="00126A4D"/>
    <w:rsid w:val="001374D8"/>
    <w:rsid w:val="00140E0A"/>
    <w:rsid w:val="0014171F"/>
    <w:rsid w:val="0014549E"/>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6201"/>
    <w:rsid w:val="001E7B5A"/>
    <w:rsid w:val="001F0423"/>
    <w:rsid w:val="001F7412"/>
    <w:rsid w:val="00200FDD"/>
    <w:rsid w:val="00201874"/>
    <w:rsid w:val="00202133"/>
    <w:rsid w:val="0020264E"/>
    <w:rsid w:val="0020725B"/>
    <w:rsid w:val="00216CE7"/>
    <w:rsid w:val="002175BA"/>
    <w:rsid w:val="0022599E"/>
    <w:rsid w:val="002305E8"/>
    <w:rsid w:val="0023198D"/>
    <w:rsid w:val="0023317E"/>
    <w:rsid w:val="00234F2C"/>
    <w:rsid w:val="00240B0E"/>
    <w:rsid w:val="0024116D"/>
    <w:rsid w:val="00241B44"/>
    <w:rsid w:val="002443D1"/>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0EDB"/>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084"/>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D48"/>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7D75"/>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56F9A"/>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1C51"/>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56BE"/>
    <w:rsid w:val="008A6CFE"/>
    <w:rsid w:val="008A7470"/>
    <w:rsid w:val="008B1A08"/>
    <w:rsid w:val="008B2DE3"/>
    <w:rsid w:val="008B5333"/>
    <w:rsid w:val="008B6223"/>
    <w:rsid w:val="008B6C59"/>
    <w:rsid w:val="008C66E0"/>
    <w:rsid w:val="008D0816"/>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5E47"/>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0B87"/>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72B"/>
    <w:rsid w:val="00C85F17"/>
    <w:rsid w:val="00C8712A"/>
    <w:rsid w:val="00C91324"/>
    <w:rsid w:val="00C914F7"/>
    <w:rsid w:val="00C9559E"/>
    <w:rsid w:val="00C963D3"/>
    <w:rsid w:val="00CA6E0D"/>
    <w:rsid w:val="00CB2CBB"/>
    <w:rsid w:val="00CB56CE"/>
    <w:rsid w:val="00CB7CAC"/>
    <w:rsid w:val="00CC0EA0"/>
    <w:rsid w:val="00CC5335"/>
    <w:rsid w:val="00CC5BA4"/>
    <w:rsid w:val="00CC70BB"/>
    <w:rsid w:val="00CD3420"/>
    <w:rsid w:val="00CD4998"/>
    <w:rsid w:val="00CE1035"/>
    <w:rsid w:val="00CE199F"/>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5EDF"/>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3DB2"/>
    <w:rsid w:val="00E34181"/>
    <w:rsid w:val="00E450A4"/>
    <w:rsid w:val="00E506BE"/>
    <w:rsid w:val="00E55547"/>
    <w:rsid w:val="00E55D9B"/>
    <w:rsid w:val="00E57410"/>
    <w:rsid w:val="00E6020A"/>
    <w:rsid w:val="00E6302B"/>
    <w:rsid w:val="00E6452F"/>
    <w:rsid w:val="00E64619"/>
    <w:rsid w:val="00E64F45"/>
    <w:rsid w:val="00E6742D"/>
    <w:rsid w:val="00E71CB0"/>
    <w:rsid w:val="00E73529"/>
    <w:rsid w:val="00E77C3D"/>
    <w:rsid w:val="00E82E22"/>
    <w:rsid w:val="00E850FE"/>
    <w:rsid w:val="00E86A6B"/>
    <w:rsid w:val="00E909F0"/>
    <w:rsid w:val="00E90D47"/>
    <w:rsid w:val="00E92C04"/>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EF34F4"/>
    <w:rsid w:val="00F033DA"/>
    <w:rsid w:val="00F0340E"/>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45CE"/>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8090">
      <w:bodyDiv w:val="1"/>
      <w:marLeft w:val="0"/>
      <w:marRight w:val="0"/>
      <w:marTop w:val="0"/>
      <w:marBottom w:val="0"/>
      <w:divBdr>
        <w:top w:val="none" w:sz="0" w:space="0" w:color="auto"/>
        <w:left w:val="none" w:sz="0" w:space="0" w:color="auto"/>
        <w:bottom w:val="none" w:sz="0" w:space="0" w:color="auto"/>
        <w:right w:val="none" w:sz="0" w:space="0" w:color="auto"/>
      </w:divBdr>
    </w:div>
    <w:div w:id="195046835">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79260776">
      <w:bodyDiv w:val="1"/>
      <w:marLeft w:val="0"/>
      <w:marRight w:val="0"/>
      <w:marTop w:val="0"/>
      <w:marBottom w:val="0"/>
      <w:divBdr>
        <w:top w:val="none" w:sz="0" w:space="0" w:color="auto"/>
        <w:left w:val="none" w:sz="0" w:space="0" w:color="auto"/>
        <w:bottom w:val="none" w:sz="0" w:space="0" w:color="auto"/>
        <w:right w:val="none" w:sz="0" w:space="0" w:color="auto"/>
      </w:divBdr>
    </w:div>
    <w:div w:id="27926668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48898482">
      <w:bodyDiv w:val="1"/>
      <w:marLeft w:val="0"/>
      <w:marRight w:val="0"/>
      <w:marTop w:val="0"/>
      <w:marBottom w:val="0"/>
      <w:divBdr>
        <w:top w:val="none" w:sz="0" w:space="0" w:color="auto"/>
        <w:left w:val="none" w:sz="0" w:space="0" w:color="auto"/>
        <w:bottom w:val="none" w:sz="0" w:space="0" w:color="auto"/>
        <w:right w:val="none" w:sz="0" w:space="0" w:color="auto"/>
      </w:divBdr>
    </w:div>
    <w:div w:id="746608703">
      <w:bodyDiv w:val="1"/>
      <w:marLeft w:val="0"/>
      <w:marRight w:val="0"/>
      <w:marTop w:val="0"/>
      <w:marBottom w:val="0"/>
      <w:divBdr>
        <w:top w:val="none" w:sz="0" w:space="0" w:color="auto"/>
        <w:left w:val="none" w:sz="0" w:space="0" w:color="auto"/>
        <w:bottom w:val="none" w:sz="0" w:space="0" w:color="auto"/>
        <w:right w:val="none" w:sz="0" w:space="0" w:color="auto"/>
      </w:divBdr>
    </w:div>
    <w:div w:id="806632882">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059784">
      <w:bodyDiv w:val="1"/>
      <w:marLeft w:val="0"/>
      <w:marRight w:val="0"/>
      <w:marTop w:val="0"/>
      <w:marBottom w:val="0"/>
      <w:divBdr>
        <w:top w:val="none" w:sz="0" w:space="0" w:color="auto"/>
        <w:left w:val="none" w:sz="0" w:space="0" w:color="auto"/>
        <w:bottom w:val="none" w:sz="0" w:space="0" w:color="auto"/>
        <w:right w:val="none" w:sz="0" w:space="0" w:color="auto"/>
      </w:divBdr>
    </w:div>
    <w:div w:id="968315293">
      <w:bodyDiv w:val="1"/>
      <w:marLeft w:val="0"/>
      <w:marRight w:val="0"/>
      <w:marTop w:val="0"/>
      <w:marBottom w:val="0"/>
      <w:divBdr>
        <w:top w:val="none" w:sz="0" w:space="0" w:color="auto"/>
        <w:left w:val="none" w:sz="0" w:space="0" w:color="auto"/>
        <w:bottom w:val="none" w:sz="0" w:space="0" w:color="auto"/>
        <w:right w:val="none" w:sz="0" w:space="0" w:color="auto"/>
      </w:divBdr>
    </w:div>
    <w:div w:id="1038774524">
      <w:bodyDiv w:val="1"/>
      <w:marLeft w:val="0"/>
      <w:marRight w:val="0"/>
      <w:marTop w:val="0"/>
      <w:marBottom w:val="0"/>
      <w:divBdr>
        <w:top w:val="none" w:sz="0" w:space="0" w:color="auto"/>
        <w:left w:val="none" w:sz="0" w:space="0" w:color="auto"/>
        <w:bottom w:val="none" w:sz="0" w:space="0" w:color="auto"/>
        <w:right w:val="none" w:sz="0" w:space="0" w:color="auto"/>
      </w:divBdr>
    </w:div>
    <w:div w:id="1055203573">
      <w:bodyDiv w:val="1"/>
      <w:marLeft w:val="0"/>
      <w:marRight w:val="0"/>
      <w:marTop w:val="0"/>
      <w:marBottom w:val="0"/>
      <w:divBdr>
        <w:top w:val="none" w:sz="0" w:space="0" w:color="auto"/>
        <w:left w:val="none" w:sz="0" w:space="0" w:color="auto"/>
        <w:bottom w:val="none" w:sz="0" w:space="0" w:color="auto"/>
        <w:right w:val="none" w:sz="0" w:space="0" w:color="auto"/>
      </w:divBdr>
    </w:div>
    <w:div w:id="1210995256">
      <w:bodyDiv w:val="1"/>
      <w:marLeft w:val="0"/>
      <w:marRight w:val="0"/>
      <w:marTop w:val="0"/>
      <w:marBottom w:val="0"/>
      <w:divBdr>
        <w:top w:val="none" w:sz="0" w:space="0" w:color="auto"/>
        <w:left w:val="none" w:sz="0" w:space="0" w:color="auto"/>
        <w:bottom w:val="none" w:sz="0" w:space="0" w:color="auto"/>
        <w:right w:val="none" w:sz="0" w:space="0" w:color="auto"/>
      </w:divBdr>
    </w:div>
    <w:div w:id="1254047598">
      <w:bodyDiv w:val="1"/>
      <w:marLeft w:val="0"/>
      <w:marRight w:val="0"/>
      <w:marTop w:val="0"/>
      <w:marBottom w:val="0"/>
      <w:divBdr>
        <w:top w:val="none" w:sz="0" w:space="0" w:color="auto"/>
        <w:left w:val="none" w:sz="0" w:space="0" w:color="auto"/>
        <w:bottom w:val="none" w:sz="0" w:space="0" w:color="auto"/>
        <w:right w:val="none" w:sz="0" w:space="0" w:color="auto"/>
      </w:divBdr>
      <w:divsChild>
        <w:div w:id="439760588">
          <w:marLeft w:val="0"/>
          <w:marRight w:val="0"/>
          <w:marTop w:val="0"/>
          <w:marBottom w:val="0"/>
          <w:divBdr>
            <w:top w:val="none" w:sz="0" w:space="0" w:color="auto"/>
            <w:left w:val="none" w:sz="0" w:space="0" w:color="auto"/>
            <w:bottom w:val="none" w:sz="0" w:space="0" w:color="auto"/>
            <w:right w:val="none" w:sz="0" w:space="0" w:color="auto"/>
          </w:divBdr>
          <w:divsChild>
            <w:div w:id="2037847779">
              <w:marLeft w:val="0"/>
              <w:marRight w:val="0"/>
              <w:marTop w:val="0"/>
              <w:marBottom w:val="0"/>
              <w:divBdr>
                <w:top w:val="none" w:sz="0" w:space="0" w:color="auto"/>
                <w:left w:val="none" w:sz="0" w:space="0" w:color="auto"/>
                <w:bottom w:val="none" w:sz="0" w:space="0" w:color="auto"/>
                <w:right w:val="none" w:sz="0" w:space="0" w:color="auto"/>
              </w:divBdr>
              <w:divsChild>
                <w:div w:id="6131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6606">
      <w:bodyDiv w:val="1"/>
      <w:marLeft w:val="0"/>
      <w:marRight w:val="0"/>
      <w:marTop w:val="0"/>
      <w:marBottom w:val="0"/>
      <w:divBdr>
        <w:top w:val="none" w:sz="0" w:space="0" w:color="auto"/>
        <w:left w:val="none" w:sz="0" w:space="0" w:color="auto"/>
        <w:bottom w:val="none" w:sz="0" w:space="0" w:color="auto"/>
        <w:right w:val="none" w:sz="0" w:space="0" w:color="auto"/>
      </w:divBdr>
    </w:div>
    <w:div w:id="1339308490">
      <w:bodyDiv w:val="1"/>
      <w:marLeft w:val="0"/>
      <w:marRight w:val="0"/>
      <w:marTop w:val="0"/>
      <w:marBottom w:val="0"/>
      <w:divBdr>
        <w:top w:val="none" w:sz="0" w:space="0" w:color="auto"/>
        <w:left w:val="none" w:sz="0" w:space="0" w:color="auto"/>
        <w:bottom w:val="none" w:sz="0" w:space="0" w:color="auto"/>
        <w:right w:val="none" w:sz="0" w:space="0" w:color="auto"/>
      </w:divBdr>
    </w:div>
    <w:div w:id="1488397191">
      <w:bodyDiv w:val="1"/>
      <w:marLeft w:val="0"/>
      <w:marRight w:val="0"/>
      <w:marTop w:val="0"/>
      <w:marBottom w:val="0"/>
      <w:divBdr>
        <w:top w:val="none" w:sz="0" w:space="0" w:color="auto"/>
        <w:left w:val="none" w:sz="0" w:space="0" w:color="auto"/>
        <w:bottom w:val="none" w:sz="0" w:space="0" w:color="auto"/>
        <w:right w:val="none" w:sz="0" w:space="0" w:color="auto"/>
      </w:divBdr>
    </w:div>
    <w:div w:id="1529686365">
      <w:bodyDiv w:val="1"/>
      <w:marLeft w:val="0"/>
      <w:marRight w:val="0"/>
      <w:marTop w:val="0"/>
      <w:marBottom w:val="0"/>
      <w:divBdr>
        <w:top w:val="none" w:sz="0" w:space="0" w:color="auto"/>
        <w:left w:val="none" w:sz="0" w:space="0" w:color="auto"/>
        <w:bottom w:val="none" w:sz="0" w:space="0" w:color="auto"/>
        <w:right w:val="none" w:sz="0" w:space="0" w:color="auto"/>
      </w:divBdr>
    </w:div>
    <w:div w:id="1557859391">
      <w:bodyDiv w:val="1"/>
      <w:marLeft w:val="0"/>
      <w:marRight w:val="0"/>
      <w:marTop w:val="0"/>
      <w:marBottom w:val="0"/>
      <w:divBdr>
        <w:top w:val="none" w:sz="0" w:space="0" w:color="auto"/>
        <w:left w:val="none" w:sz="0" w:space="0" w:color="auto"/>
        <w:bottom w:val="none" w:sz="0" w:space="0" w:color="auto"/>
        <w:right w:val="none" w:sz="0" w:space="0" w:color="auto"/>
      </w:divBdr>
      <w:divsChild>
        <w:div w:id="227955627">
          <w:marLeft w:val="0"/>
          <w:marRight w:val="0"/>
          <w:marTop w:val="0"/>
          <w:marBottom w:val="0"/>
          <w:divBdr>
            <w:top w:val="none" w:sz="0" w:space="0" w:color="auto"/>
            <w:left w:val="none" w:sz="0" w:space="0" w:color="auto"/>
            <w:bottom w:val="none" w:sz="0" w:space="0" w:color="auto"/>
            <w:right w:val="none" w:sz="0" w:space="0" w:color="auto"/>
          </w:divBdr>
          <w:divsChild>
            <w:div w:id="1759211882">
              <w:marLeft w:val="0"/>
              <w:marRight w:val="0"/>
              <w:marTop w:val="0"/>
              <w:marBottom w:val="0"/>
              <w:divBdr>
                <w:top w:val="none" w:sz="0" w:space="0" w:color="auto"/>
                <w:left w:val="none" w:sz="0" w:space="0" w:color="auto"/>
                <w:bottom w:val="none" w:sz="0" w:space="0" w:color="auto"/>
                <w:right w:val="none" w:sz="0" w:space="0" w:color="auto"/>
              </w:divBdr>
              <w:divsChild>
                <w:div w:id="13960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94668311">
      <w:bodyDiv w:val="1"/>
      <w:marLeft w:val="0"/>
      <w:marRight w:val="0"/>
      <w:marTop w:val="0"/>
      <w:marBottom w:val="0"/>
      <w:divBdr>
        <w:top w:val="none" w:sz="0" w:space="0" w:color="auto"/>
        <w:left w:val="none" w:sz="0" w:space="0" w:color="auto"/>
        <w:bottom w:val="none" w:sz="0" w:space="0" w:color="auto"/>
        <w:right w:val="none" w:sz="0" w:space="0" w:color="auto"/>
      </w:divBdr>
      <w:divsChild>
        <w:div w:id="1971520742">
          <w:marLeft w:val="0"/>
          <w:marRight w:val="0"/>
          <w:marTop w:val="0"/>
          <w:marBottom w:val="0"/>
          <w:divBdr>
            <w:top w:val="none" w:sz="0" w:space="0" w:color="auto"/>
            <w:left w:val="none" w:sz="0" w:space="0" w:color="auto"/>
            <w:bottom w:val="none" w:sz="0" w:space="0" w:color="auto"/>
            <w:right w:val="none" w:sz="0" w:space="0" w:color="auto"/>
          </w:divBdr>
          <w:divsChild>
            <w:div w:id="1167212892">
              <w:marLeft w:val="0"/>
              <w:marRight w:val="0"/>
              <w:marTop w:val="0"/>
              <w:marBottom w:val="0"/>
              <w:divBdr>
                <w:top w:val="none" w:sz="0" w:space="0" w:color="auto"/>
                <w:left w:val="none" w:sz="0" w:space="0" w:color="auto"/>
                <w:bottom w:val="none" w:sz="0" w:space="0" w:color="auto"/>
                <w:right w:val="none" w:sz="0" w:space="0" w:color="auto"/>
              </w:divBdr>
              <w:divsChild>
                <w:div w:id="2852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58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F072-8EF9-DB42-BD33-B571C064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6142</Words>
  <Characters>33785</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Contacto Saker Abogados</cp:lastModifiedBy>
  <cp:revision>10</cp:revision>
  <cp:lastPrinted>2019-08-27T05:42:00Z</cp:lastPrinted>
  <dcterms:created xsi:type="dcterms:W3CDTF">2023-03-24T21:43:00Z</dcterms:created>
  <dcterms:modified xsi:type="dcterms:W3CDTF">2023-04-19T21:11:00Z</dcterms:modified>
</cp:coreProperties>
</file>