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0567F" w14:textId="5092FC29" w:rsidR="007A3EF0" w:rsidRDefault="007A3EF0" w:rsidP="007A3EF0">
      <w:pPr>
        <w:jc w:val="right"/>
        <w:rPr>
          <w:rFonts w:ascii="Cambria" w:hAnsi="Cambria" w:cs="Arial"/>
          <w:b/>
          <w:bCs/>
          <w:sz w:val="24"/>
          <w:szCs w:val="24"/>
        </w:rPr>
      </w:pPr>
      <w:r>
        <w:rPr>
          <w:rFonts w:ascii="Cambria" w:hAnsi="Cambria" w:cs="Arial"/>
          <w:b/>
          <w:bCs/>
          <w:sz w:val="24"/>
          <w:szCs w:val="24"/>
        </w:rPr>
        <w:t>Tim Prudhoe, 2022/2023</w:t>
      </w:r>
    </w:p>
    <w:p w14:paraId="7EB6E08D" w14:textId="739240BA" w:rsidR="00584263" w:rsidRPr="007A3EF0" w:rsidRDefault="00584263" w:rsidP="00EA2B14">
      <w:pPr>
        <w:jc w:val="both"/>
        <w:rPr>
          <w:rFonts w:ascii="Cambria" w:hAnsi="Cambria" w:cs="Arial"/>
          <w:b/>
          <w:bCs/>
          <w:sz w:val="24"/>
          <w:szCs w:val="24"/>
        </w:rPr>
      </w:pPr>
      <w:r w:rsidRPr="007A3EF0">
        <w:rPr>
          <w:rFonts w:ascii="Cambria" w:hAnsi="Cambria" w:cs="Arial"/>
          <w:b/>
          <w:bCs/>
          <w:sz w:val="24"/>
          <w:szCs w:val="24"/>
        </w:rPr>
        <w:t>Case Study 1</w:t>
      </w:r>
      <w:r w:rsidR="007A3EF0">
        <w:rPr>
          <w:rFonts w:ascii="Cambria" w:hAnsi="Cambria" w:cs="Arial"/>
          <w:b/>
          <w:bCs/>
          <w:sz w:val="24"/>
          <w:szCs w:val="24"/>
        </w:rPr>
        <w:t xml:space="preserve"> (due 11.4.2023)</w:t>
      </w:r>
    </w:p>
    <w:p w14:paraId="2781AE61" w14:textId="77777777" w:rsidR="00584263" w:rsidRPr="007A3EF0" w:rsidRDefault="00584263" w:rsidP="00EA2B14">
      <w:pPr>
        <w:jc w:val="both"/>
        <w:rPr>
          <w:rFonts w:ascii="Cambria" w:hAnsi="Cambria" w:cs="Arial"/>
          <w:b/>
          <w:bCs/>
          <w:sz w:val="24"/>
          <w:szCs w:val="24"/>
        </w:rPr>
      </w:pPr>
    </w:p>
    <w:p w14:paraId="734708EB" w14:textId="48D17BA8" w:rsidR="00EA2B14" w:rsidRDefault="00EA2B14" w:rsidP="00EA2B14">
      <w:pPr>
        <w:jc w:val="both"/>
        <w:rPr>
          <w:rFonts w:ascii="Cambria" w:hAnsi="Cambria" w:cs="Arial"/>
          <w:b/>
          <w:bCs/>
          <w:sz w:val="24"/>
          <w:szCs w:val="24"/>
        </w:rPr>
      </w:pPr>
      <w:r w:rsidRPr="007A3EF0">
        <w:rPr>
          <w:rFonts w:ascii="Cambria" w:hAnsi="Cambria" w:cs="Arial"/>
          <w:b/>
          <w:bCs/>
          <w:sz w:val="24"/>
          <w:szCs w:val="24"/>
        </w:rPr>
        <w:t>Question 1</w:t>
      </w:r>
    </w:p>
    <w:p w14:paraId="1FC61F6C" w14:textId="59541B09" w:rsidR="007A3EF0" w:rsidRDefault="007A3EF0" w:rsidP="00EA2B14">
      <w:pPr>
        <w:jc w:val="both"/>
        <w:rPr>
          <w:rFonts w:ascii="Cambria" w:hAnsi="Cambria" w:cs="Arial"/>
          <w:sz w:val="24"/>
          <w:szCs w:val="24"/>
        </w:rPr>
      </w:pPr>
      <w:r w:rsidRPr="007A3EF0">
        <w:rPr>
          <w:rFonts w:ascii="Cambria" w:hAnsi="Cambria" w:cs="Arial"/>
          <w:sz w:val="24"/>
          <w:szCs w:val="24"/>
        </w:rPr>
        <w:drawing>
          <wp:inline distT="0" distB="0" distL="0" distR="0" wp14:anchorId="0A9DFF57" wp14:editId="6A5962A0">
            <wp:extent cx="5458587" cy="609685"/>
            <wp:effectExtent l="0" t="0" r="8890" b="0"/>
            <wp:docPr id="2558023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802382" name=""/>
                    <pic:cNvPicPr/>
                  </pic:nvPicPr>
                  <pic:blipFill>
                    <a:blip r:embed="rId8"/>
                    <a:stretch>
                      <a:fillRect/>
                    </a:stretch>
                  </pic:blipFill>
                  <pic:spPr>
                    <a:xfrm>
                      <a:off x="0" y="0"/>
                      <a:ext cx="5458587" cy="609685"/>
                    </a:xfrm>
                    <a:prstGeom prst="rect">
                      <a:avLst/>
                    </a:prstGeom>
                  </pic:spPr>
                </pic:pic>
              </a:graphicData>
            </a:graphic>
          </wp:inline>
        </w:drawing>
      </w:r>
    </w:p>
    <w:p w14:paraId="0FF58EA6" w14:textId="7D83E4EF" w:rsidR="007A3EF0" w:rsidRPr="007A3EF0" w:rsidRDefault="007A3EF0" w:rsidP="00EA2B14">
      <w:pPr>
        <w:jc w:val="both"/>
        <w:rPr>
          <w:rFonts w:ascii="Cambria" w:hAnsi="Cambria" w:cs="Arial"/>
          <w:i/>
          <w:iCs/>
          <w:sz w:val="24"/>
          <w:szCs w:val="24"/>
        </w:rPr>
      </w:pPr>
      <w:r>
        <w:rPr>
          <w:rFonts w:ascii="Cambria" w:hAnsi="Cambria" w:cs="Arial"/>
          <w:i/>
          <w:iCs/>
          <w:sz w:val="24"/>
          <w:szCs w:val="24"/>
        </w:rPr>
        <w:t>Summary of answer: the financial distress could have been prevented, via (i) independent auditing from the time at which (2013-2014) inadequate information management was identified and (ii) improved information management systems themselves</w:t>
      </w:r>
    </w:p>
    <w:p w14:paraId="1DF2380A" w14:textId="77777777" w:rsidR="007A3EF0" w:rsidRDefault="007A3EF0" w:rsidP="00EA2B14">
      <w:pPr>
        <w:pStyle w:val="ListParagraph"/>
        <w:numPr>
          <w:ilvl w:val="0"/>
          <w:numId w:val="5"/>
        </w:numPr>
        <w:ind w:left="284" w:hanging="284"/>
        <w:jc w:val="both"/>
        <w:rPr>
          <w:rFonts w:ascii="Cambria" w:hAnsi="Cambria" w:cs="Arial"/>
          <w:sz w:val="24"/>
          <w:szCs w:val="24"/>
        </w:rPr>
      </w:pPr>
      <w:r>
        <w:rPr>
          <w:rFonts w:ascii="Cambria" w:hAnsi="Cambria" w:cs="Arial"/>
          <w:sz w:val="24"/>
          <w:szCs w:val="24"/>
        </w:rPr>
        <w:t xml:space="preserve">Much academic and research ink has been spilt on the origins for, and of, </w:t>
      </w:r>
      <w:proofErr w:type="spellStart"/>
      <w:r w:rsidR="00EA2B14" w:rsidRPr="007A3EF0">
        <w:rPr>
          <w:rFonts w:ascii="Cambria" w:hAnsi="Cambria" w:cs="Arial"/>
          <w:sz w:val="24"/>
          <w:szCs w:val="24"/>
        </w:rPr>
        <w:t>organisational</w:t>
      </w:r>
      <w:proofErr w:type="spellEnd"/>
      <w:r w:rsidR="00EA2B14" w:rsidRPr="007A3EF0">
        <w:rPr>
          <w:rFonts w:ascii="Cambria" w:hAnsi="Cambria" w:cs="Arial"/>
          <w:sz w:val="24"/>
          <w:szCs w:val="24"/>
        </w:rPr>
        <w:t xml:space="preserve"> financial distress</w:t>
      </w:r>
      <w:r>
        <w:rPr>
          <w:rFonts w:ascii="Cambria" w:hAnsi="Cambria" w:cs="Arial"/>
          <w:sz w:val="24"/>
          <w:szCs w:val="24"/>
        </w:rPr>
        <w:t xml:space="preserve">. </w:t>
      </w:r>
    </w:p>
    <w:p w14:paraId="5CCA49E2" w14:textId="77777777" w:rsidR="007A3EF0" w:rsidRDefault="007A3EF0" w:rsidP="007A3EF0">
      <w:pPr>
        <w:pStyle w:val="ListParagraph"/>
        <w:ind w:left="284"/>
        <w:jc w:val="both"/>
        <w:rPr>
          <w:rFonts w:ascii="Cambria" w:hAnsi="Cambria" w:cs="Arial"/>
          <w:sz w:val="24"/>
          <w:szCs w:val="24"/>
        </w:rPr>
      </w:pPr>
    </w:p>
    <w:p w14:paraId="04EFF6BC" w14:textId="10236AB4" w:rsidR="00EA2B14" w:rsidRPr="007A3EF0" w:rsidRDefault="007A3EF0" w:rsidP="00EA2B14">
      <w:pPr>
        <w:pStyle w:val="ListParagraph"/>
        <w:numPr>
          <w:ilvl w:val="0"/>
          <w:numId w:val="5"/>
        </w:numPr>
        <w:ind w:left="284" w:hanging="284"/>
        <w:jc w:val="both"/>
        <w:rPr>
          <w:rFonts w:ascii="Cambria" w:hAnsi="Cambria" w:cs="Arial"/>
          <w:sz w:val="24"/>
          <w:szCs w:val="24"/>
        </w:rPr>
      </w:pPr>
      <w:r>
        <w:rPr>
          <w:rFonts w:ascii="Cambria" w:hAnsi="Cambria" w:cs="Arial"/>
          <w:sz w:val="24"/>
          <w:szCs w:val="24"/>
        </w:rPr>
        <w:t xml:space="preserve">Such </w:t>
      </w:r>
      <w:r w:rsidR="00EA2B14" w:rsidRPr="007A3EF0">
        <w:rPr>
          <w:rFonts w:ascii="Cambria" w:hAnsi="Cambria" w:cs="Arial"/>
          <w:sz w:val="24"/>
          <w:szCs w:val="24"/>
        </w:rPr>
        <w:t xml:space="preserve">studies have identified a variety of causes existing both internally </w:t>
      </w:r>
      <w:r>
        <w:rPr>
          <w:rFonts w:ascii="Cambria" w:hAnsi="Cambria" w:cs="Arial"/>
          <w:sz w:val="24"/>
          <w:szCs w:val="24"/>
        </w:rPr>
        <w:t xml:space="preserve">to </w:t>
      </w:r>
      <w:r w:rsidR="00EA2B14" w:rsidRPr="007A3EF0">
        <w:rPr>
          <w:rFonts w:ascii="Cambria" w:hAnsi="Cambria" w:cs="Arial"/>
          <w:sz w:val="24"/>
          <w:szCs w:val="24"/>
        </w:rPr>
        <w:t xml:space="preserve">and externally </w:t>
      </w:r>
      <w:r>
        <w:rPr>
          <w:rFonts w:ascii="Cambria" w:hAnsi="Cambria" w:cs="Arial"/>
          <w:sz w:val="24"/>
          <w:szCs w:val="24"/>
        </w:rPr>
        <w:t>from</w:t>
      </w:r>
      <w:r w:rsidR="00EA2B14" w:rsidRPr="007A3EF0">
        <w:rPr>
          <w:rFonts w:ascii="Cambria" w:hAnsi="Cambria" w:cs="Arial"/>
          <w:sz w:val="24"/>
          <w:szCs w:val="24"/>
        </w:rPr>
        <w:t xml:space="preserve"> the firm. </w:t>
      </w:r>
      <w:r>
        <w:rPr>
          <w:rFonts w:ascii="Cambria" w:hAnsi="Cambria" w:cs="Arial"/>
          <w:sz w:val="24"/>
          <w:szCs w:val="24"/>
        </w:rPr>
        <w:t>B</w:t>
      </w:r>
      <w:r w:rsidR="00EA2B14" w:rsidRPr="007A3EF0">
        <w:rPr>
          <w:rFonts w:ascii="Cambria" w:hAnsi="Cambria" w:cs="Arial"/>
          <w:sz w:val="24"/>
          <w:szCs w:val="24"/>
        </w:rPr>
        <w:t xml:space="preserve">ankruptcy has been found to arise </w:t>
      </w:r>
      <w:proofErr w:type="gramStart"/>
      <w:r>
        <w:rPr>
          <w:rFonts w:ascii="Cambria" w:hAnsi="Cambria" w:cs="Arial"/>
          <w:sz w:val="24"/>
          <w:szCs w:val="24"/>
        </w:rPr>
        <w:t>as a result of</w:t>
      </w:r>
      <w:proofErr w:type="gramEnd"/>
      <w:r>
        <w:rPr>
          <w:rFonts w:ascii="Cambria" w:hAnsi="Cambria" w:cs="Arial"/>
          <w:sz w:val="24"/>
          <w:szCs w:val="24"/>
        </w:rPr>
        <w:t xml:space="preserve"> varied pressures. T</w:t>
      </w:r>
      <w:r w:rsidR="00EA2B14" w:rsidRPr="007A3EF0">
        <w:rPr>
          <w:rFonts w:ascii="Cambria" w:hAnsi="Cambria" w:cs="Arial"/>
          <w:sz w:val="24"/>
          <w:szCs w:val="24"/>
        </w:rPr>
        <w:t xml:space="preserve">hose </w:t>
      </w:r>
      <w:r w:rsidR="00EA2B14" w:rsidRPr="007A3EF0">
        <w:rPr>
          <w:rFonts w:ascii="Cambria" w:hAnsi="Cambria" w:cs="Arial"/>
          <w:i/>
          <w:iCs/>
          <w:sz w:val="24"/>
          <w:szCs w:val="24"/>
        </w:rPr>
        <w:t>internal</w:t>
      </w:r>
      <w:r>
        <w:rPr>
          <w:rFonts w:ascii="Cambria" w:hAnsi="Cambria" w:cs="Arial"/>
          <w:sz w:val="24"/>
          <w:szCs w:val="24"/>
        </w:rPr>
        <w:t xml:space="preserve">, </w:t>
      </w:r>
      <w:r w:rsidR="00EA2B14" w:rsidRPr="007A3EF0">
        <w:rPr>
          <w:rFonts w:ascii="Cambria" w:hAnsi="Cambria" w:cs="Arial"/>
          <w:sz w:val="24"/>
          <w:szCs w:val="24"/>
        </w:rPr>
        <w:t xml:space="preserve">such as related to </w:t>
      </w:r>
      <w:r>
        <w:rPr>
          <w:rFonts w:ascii="Cambria" w:hAnsi="Cambria" w:cs="Arial"/>
          <w:sz w:val="24"/>
          <w:szCs w:val="24"/>
        </w:rPr>
        <w:t xml:space="preserve">(i) </w:t>
      </w:r>
      <w:r w:rsidR="00EA2B14" w:rsidRPr="007A3EF0">
        <w:rPr>
          <w:rFonts w:ascii="Cambria" w:hAnsi="Cambria" w:cs="Arial"/>
          <w:sz w:val="24"/>
          <w:szCs w:val="24"/>
        </w:rPr>
        <w:t xml:space="preserve">managerial style, </w:t>
      </w:r>
      <w:r>
        <w:rPr>
          <w:rFonts w:ascii="Cambria" w:hAnsi="Cambria" w:cs="Arial"/>
          <w:sz w:val="24"/>
          <w:szCs w:val="24"/>
        </w:rPr>
        <w:t xml:space="preserve">(ii) </w:t>
      </w:r>
      <w:r w:rsidR="00EA2B14" w:rsidRPr="007A3EF0">
        <w:rPr>
          <w:rFonts w:ascii="Cambria" w:hAnsi="Cambria" w:cs="Arial"/>
          <w:sz w:val="24"/>
          <w:szCs w:val="24"/>
        </w:rPr>
        <w:t xml:space="preserve">the specific characteristics of the firm, </w:t>
      </w:r>
      <w:r w:rsidR="005A104D">
        <w:rPr>
          <w:rFonts w:ascii="Cambria" w:hAnsi="Cambria" w:cs="Arial"/>
          <w:sz w:val="24"/>
          <w:szCs w:val="24"/>
        </w:rPr>
        <w:t xml:space="preserve">and (iii) </w:t>
      </w:r>
      <w:r w:rsidR="00EA2B14" w:rsidRPr="007A3EF0">
        <w:rPr>
          <w:rFonts w:ascii="Cambria" w:hAnsi="Cambria" w:cs="Arial"/>
          <w:sz w:val="24"/>
          <w:szCs w:val="24"/>
        </w:rPr>
        <w:t>unavailab</w:t>
      </w:r>
      <w:r w:rsidR="00393067" w:rsidRPr="007A3EF0">
        <w:rPr>
          <w:rFonts w:ascii="Cambria" w:hAnsi="Cambria" w:cs="Arial"/>
          <w:sz w:val="24"/>
          <w:szCs w:val="24"/>
        </w:rPr>
        <w:t>ility of</w:t>
      </w:r>
      <w:r w:rsidR="00EA2B14" w:rsidRPr="007A3EF0">
        <w:rPr>
          <w:rFonts w:ascii="Cambria" w:hAnsi="Cambria" w:cs="Arial"/>
          <w:sz w:val="24"/>
          <w:szCs w:val="24"/>
        </w:rPr>
        <w:t xml:space="preserve"> resource</w:t>
      </w:r>
      <w:r w:rsidR="005A104D">
        <w:rPr>
          <w:rFonts w:ascii="Cambria" w:hAnsi="Cambria" w:cs="Arial"/>
          <w:sz w:val="24"/>
          <w:szCs w:val="24"/>
        </w:rPr>
        <w:t>s. In contrast to those,</w:t>
      </w:r>
      <w:r w:rsidR="00EA2B14" w:rsidRPr="007A3EF0">
        <w:rPr>
          <w:rFonts w:ascii="Cambria" w:hAnsi="Cambria" w:cs="Arial"/>
          <w:sz w:val="24"/>
          <w:szCs w:val="24"/>
        </w:rPr>
        <w:t xml:space="preserve"> </w:t>
      </w:r>
      <w:r w:rsidR="00EA2B14" w:rsidRPr="005A104D">
        <w:rPr>
          <w:rFonts w:ascii="Cambria" w:hAnsi="Cambria" w:cs="Arial"/>
          <w:i/>
          <w:iCs/>
          <w:sz w:val="24"/>
          <w:szCs w:val="24"/>
        </w:rPr>
        <w:t>external</w:t>
      </w:r>
      <w:r w:rsidR="00EA2B14" w:rsidRPr="007A3EF0">
        <w:rPr>
          <w:rFonts w:ascii="Cambria" w:hAnsi="Cambria" w:cs="Arial"/>
          <w:sz w:val="24"/>
          <w:szCs w:val="24"/>
        </w:rPr>
        <w:t xml:space="preserve"> or environmental sources </w:t>
      </w:r>
      <w:r w:rsidR="005A104D">
        <w:rPr>
          <w:rFonts w:ascii="Cambria" w:hAnsi="Cambria" w:cs="Arial"/>
          <w:sz w:val="24"/>
          <w:szCs w:val="24"/>
        </w:rPr>
        <w:t xml:space="preserve">are those which </w:t>
      </w:r>
      <w:r w:rsidR="00EA2B14" w:rsidRPr="007A3EF0">
        <w:rPr>
          <w:rFonts w:ascii="Cambria" w:hAnsi="Cambria" w:cs="Arial"/>
          <w:sz w:val="24"/>
          <w:szCs w:val="24"/>
        </w:rPr>
        <w:t>beyond the control</w:t>
      </w:r>
      <w:r w:rsidR="005A104D">
        <w:rPr>
          <w:rStyle w:val="FootnoteReference"/>
          <w:rFonts w:ascii="Cambria" w:hAnsi="Cambria" w:cs="Arial"/>
          <w:sz w:val="24"/>
          <w:szCs w:val="24"/>
        </w:rPr>
        <w:t xml:space="preserve"> </w:t>
      </w:r>
      <w:r w:rsidR="005A104D">
        <w:rPr>
          <w:rFonts w:ascii="Cambria" w:hAnsi="Cambria" w:cs="Arial"/>
          <w:sz w:val="24"/>
          <w:szCs w:val="24"/>
        </w:rPr>
        <w:t>of the subject business.</w:t>
      </w:r>
    </w:p>
    <w:p w14:paraId="7580E663" w14:textId="77777777" w:rsidR="003A372C" w:rsidRPr="007A3EF0" w:rsidRDefault="003A372C" w:rsidP="003A372C">
      <w:pPr>
        <w:pStyle w:val="ListParagraph"/>
        <w:ind w:left="284"/>
        <w:jc w:val="both"/>
        <w:rPr>
          <w:rFonts w:ascii="Cambria" w:hAnsi="Cambria" w:cs="Arial"/>
          <w:sz w:val="24"/>
          <w:szCs w:val="24"/>
        </w:rPr>
      </w:pPr>
    </w:p>
    <w:p w14:paraId="2D6EA61B" w14:textId="28315D03" w:rsidR="003A372C" w:rsidRPr="007A3EF0" w:rsidRDefault="005A104D" w:rsidP="00EA2B14">
      <w:pPr>
        <w:pStyle w:val="ListParagraph"/>
        <w:numPr>
          <w:ilvl w:val="0"/>
          <w:numId w:val="5"/>
        </w:numPr>
        <w:ind w:left="284" w:hanging="284"/>
        <w:jc w:val="both"/>
        <w:rPr>
          <w:rFonts w:ascii="Cambria" w:hAnsi="Cambria" w:cs="Arial"/>
          <w:sz w:val="24"/>
          <w:szCs w:val="24"/>
        </w:rPr>
      </w:pPr>
      <w:r>
        <w:rPr>
          <w:rFonts w:ascii="Cambria" w:hAnsi="Cambria" w:cs="Arial"/>
          <w:sz w:val="24"/>
          <w:szCs w:val="24"/>
        </w:rPr>
        <w:t>A</w:t>
      </w:r>
      <w:r w:rsidR="00EA2B14" w:rsidRPr="007A3EF0">
        <w:rPr>
          <w:rFonts w:ascii="Cambria" w:hAnsi="Cambria" w:cs="Arial"/>
          <w:sz w:val="24"/>
          <w:szCs w:val="24"/>
        </w:rPr>
        <w:t xml:space="preserve"> very young </w:t>
      </w:r>
      <w:r>
        <w:rPr>
          <w:rFonts w:ascii="Cambria" w:hAnsi="Cambria" w:cs="Arial"/>
          <w:sz w:val="24"/>
          <w:szCs w:val="24"/>
        </w:rPr>
        <w:t>/ recently operating business</w:t>
      </w:r>
      <w:r w:rsidR="00EA2B14" w:rsidRPr="007A3EF0">
        <w:rPr>
          <w:rFonts w:ascii="Cambria" w:hAnsi="Cambria" w:cs="Arial"/>
          <w:sz w:val="24"/>
          <w:szCs w:val="24"/>
        </w:rPr>
        <w:t xml:space="preserve"> is more prone to failure than an older </w:t>
      </w:r>
      <w:proofErr w:type="spellStart"/>
      <w:r w:rsidR="00EA2B14" w:rsidRPr="007A3EF0">
        <w:rPr>
          <w:rFonts w:ascii="Cambria" w:hAnsi="Cambria" w:cs="Arial"/>
          <w:sz w:val="24"/>
          <w:szCs w:val="24"/>
        </w:rPr>
        <w:t>organi</w:t>
      </w:r>
      <w:r>
        <w:rPr>
          <w:rFonts w:ascii="Cambria" w:hAnsi="Cambria" w:cs="Arial"/>
          <w:sz w:val="24"/>
          <w:szCs w:val="24"/>
        </w:rPr>
        <w:t>s</w:t>
      </w:r>
      <w:r w:rsidR="00EA2B14" w:rsidRPr="007A3EF0">
        <w:rPr>
          <w:rFonts w:ascii="Cambria" w:hAnsi="Cambria" w:cs="Arial"/>
          <w:sz w:val="24"/>
          <w:szCs w:val="24"/>
        </w:rPr>
        <w:t>ation</w:t>
      </w:r>
      <w:proofErr w:type="spellEnd"/>
      <w:r w:rsidR="00EA2B14" w:rsidRPr="007A3EF0">
        <w:rPr>
          <w:rStyle w:val="FootnoteReference"/>
          <w:rFonts w:ascii="Cambria" w:hAnsi="Cambria" w:cs="Arial"/>
          <w:sz w:val="24"/>
          <w:szCs w:val="24"/>
        </w:rPr>
        <w:footnoteReference w:id="1"/>
      </w:r>
      <w:r w:rsidR="00EA2B14" w:rsidRPr="007A3EF0">
        <w:rPr>
          <w:rFonts w:ascii="Cambria" w:hAnsi="Cambria" w:cs="Arial"/>
          <w:sz w:val="24"/>
          <w:szCs w:val="24"/>
        </w:rPr>
        <w:t xml:space="preserve">. </w:t>
      </w:r>
      <w:r>
        <w:rPr>
          <w:rFonts w:ascii="Cambria" w:hAnsi="Cambria" w:cs="Arial"/>
          <w:sz w:val="24"/>
          <w:szCs w:val="24"/>
        </w:rPr>
        <w:t>The age of</w:t>
      </w:r>
      <w:r w:rsidR="00EA2B14" w:rsidRPr="007A3EF0">
        <w:rPr>
          <w:rFonts w:ascii="Cambria" w:hAnsi="Cambria" w:cs="Arial"/>
          <w:sz w:val="24"/>
          <w:szCs w:val="24"/>
        </w:rPr>
        <w:t xml:space="preserve"> </w:t>
      </w:r>
      <w:r>
        <w:rPr>
          <w:rFonts w:ascii="Cambria" w:hAnsi="Cambria" w:cs="Arial"/>
          <w:sz w:val="24"/>
          <w:szCs w:val="24"/>
        </w:rPr>
        <w:t xml:space="preserve">a business </w:t>
      </w:r>
      <w:r w:rsidR="00EA2B14" w:rsidRPr="007A3EF0">
        <w:rPr>
          <w:rFonts w:ascii="Cambria" w:hAnsi="Cambria" w:cs="Arial"/>
          <w:sz w:val="24"/>
          <w:szCs w:val="24"/>
        </w:rPr>
        <w:t xml:space="preserve">plays a significant role </w:t>
      </w:r>
      <w:r>
        <w:rPr>
          <w:rFonts w:ascii="Cambria" w:hAnsi="Cambria" w:cs="Arial"/>
          <w:sz w:val="24"/>
          <w:szCs w:val="24"/>
        </w:rPr>
        <w:t xml:space="preserve">as to operable </w:t>
      </w:r>
      <w:r w:rsidR="00EA2B14" w:rsidRPr="007A3EF0">
        <w:rPr>
          <w:rFonts w:ascii="Cambria" w:hAnsi="Cambria" w:cs="Arial"/>
          <w:sz w:val="24"/>
          <w:szCs w:val="24"/>
        </w:rPr>
        <w:t xml:space="preserve">causes of its </w:t>
      </w:r>
      <w:r>
        <w:rPr>
          <w:rFonts w:ascii="Cambria" w:hAnsi="Cambria" w:cs="Arial"/>
          <w:sz w:val="24"/>
          <w:szCs w:val="24"/>
        </w:rPr>
        <w:t>failure: meaning that</w:t>
      </w:r>
      <w:r w:rsidR="00EA2B14" w:rsidRPr="007A3EF0">
        <w:rPr>
          <w:rFonts w:ascii="Cambria" w:hAnsi="Cambria" w:cs="Arial"/>
          <w:sz w:val="24"/>
          <w:szCs w:val="24"/>
        </w:rPr>
        <w:t xml:space="preserve"> many factors which are relevant to the failure of a </w:t>
      </w:r>
      <w:r w:rsidR="00EA2B14" w:rsidRPr="005A104D">
        <w:rPr>
          <w:rFonts w:ascii="Cambria" w:hAnsi="Cambria" w:cs="Arial"/>
          <w:sz w:val="24"/>
          <w:szCs w:val="24"/>
          <w:u w:val="single"/>
        </w:rPr>
        <w:t>younger</w:t>
      </w:r>
      <w:r w:rsidR="00EA2B14" w:rsidRPr="007A3EF0">
        <w:rPr>
          <w:rFonts w:ascii="Cambria" w:hAnsi="Cambria" w:cs="Arial"/>
          <w:sz w:val="24"/>
          <w:szCs w:val="24"/>
        </w:rPr>
        <w:t xml:space="preserve"> firm appear to be less relevant to the failure of </w:t>
      </w:r>
      <w:r>
        <w:rPr>
          <w:rFonts w:ascii="Cambria" w:hAnsi="Cambria" w:cs="Arial"/>
          <w:sz w:val="24"/>
          <w:szCs w:val="24"/>
        </w:rPr>
        <w:t xml:space="preserve">an </w:t>
      </w:r>
      <w:r w:rsidR="00EA2B14" w:rsidRPr="007A3EF0">
        <w:rPr>
          <w:rFonts w:ascii="Cambria" w:hAnsi="Cambria" w:cs="Arial"/>
          <w:sz w:val="24"/>
          <w:szCs w:val="24"/>
        </w:rPr>
        <w:t xml:space="preserve">older </w:t>
      </w:r>
      <w:r>
        <w:rPr>
          <w:rFonts w:ascii="Cambria" w:hAnsi="Cambria" w:cs="Arial"/>
          <w:sz w:val="24"/>
          <w:szCs w:val="24"/>
        </w:rPr>
        <w:t>business</w:t>
      </w:r>
      <w:r w:rsidR="00EA2B14" w:rsidRPr="007A3EF0">
        <w:rPr>
          <w:rFonts w:ascii="Cambria" w:hAnsi="Cambria" w:cs="Arial"/>
          <w:sz w:val="24"/>
          <w:szCs w:val="24"/>
        </w:rPr>
        <w:t xml:space="preserve">. </w:t>
      </w:r>
      <w:r>
        <w:rPr>
          <w:rFonts w:ascii="Cambria" w:hAnsi="Cambria" w:cs="Arial"/>
          <w:sz w:val="24"/>
          <w:szCs w:val="24"/>
        </w:rPr>
        <w:t>Academic consensus is that b</w:t>
      </w:r>
      <w:r w:rsidR="00EA2B14" w:rsidRPr="007A3EF0">
        <w:rPr>
          <w:rFonts w:ascii="Cambria" w:hAnsi="Cambria" w:cs="Arial"/>
          <w:sz w:val="24"/>
          <w:szCs w:val="24"/>
        </w:rPr>
        <w:t xml:space="preserve">usiness owners increase their managerial capabilities as they run their businesses and get to know </w:t>
      </w:r>
      <w:r>
        <w:rPr>
          <w:rFonts w:ascii="Cambria" w:hAnsi="Cambria" w:cs="Arial"/>
          <w:sz w:val="24"/>
          <w:szCs w:val="24"/>
        </w:rPr>
        <w:t xml:space="preserve">both </w:t>
      </w:r>
      <w:r w:rsidR="00EA2B14" w:rsidRPr="007A3EF0">
        <w:rPr>
          <w:rFonts w:ascii="Cambria" w:hAnsi="Cambria" w:cs="Arial"/>
          <w:sz w:val="24"/>
          <w:szCs w:val="24"/>
        </w:rPr>
        <w:t xml:space="preserve">their real costs </w:t>
      </w:r>
      <w:proofErr w:type="gramStart"/>
      <w:r w:rsidR="00EA2B14" w:rsidRPr="007A3EF0">
        <w:rPr>
          <w:rFonts w:ascii="Cambria" w:hAnsi="Cambria" w:cs="Arial"/>
          <w:sz w:val="24"/>
          <w:szCs w:val="24"/>
        </w:rPr>
        <w:t xml:space="preserve">and </w:t>
      </w:r>
      <w:r>
        <w:rPr>
          <w:rFonts w:ascii="Cambria" w:hAnsi="Cambria" w:cs="Arial"/>
          <w:sz w:val="24"/>
          <w:szCs w:val="24"/>
        </w:rPr>
        <w:t>also</w:t>
      </w:r>
      <w:proofErr w:type="gramEnd"/>
      <w:r>
        <w:rPr>
          <w:rFonts w:ascii="Cambria" w:hAnsi="Cambria" w:cs="Arial"/>
          <w:sz w:val="24"/>
          <w:szCs w:val="24"/>
        </w:rPr>
        <w:t xml:space="preserve"> </w:t>
      </w:r>
      <w:r w:rsidR="00EA2B14" w:rsidRPr="007A3EF0">
        <w:rPr>
          <w:rFonts w:ascii="Cambria" w:hAnsi="Cambria" w:cs="Arial"/>
          <w:sz w:val="24"/>
          <w:szCs w:val="24"/>
        </w:rPr>
        <w:t>necessary income better year-</w:t>
      </w:r>
      <w:r>
        <w:rPr>
          <w:rFonts w:ascii="Cambria" w:hAnsi="Cambria" w:cs="Arial"/>
          <w:sz w:val="24"/>
          <w:szCs w:val="24"/>
        </w:rPr>
        <w:t>on-</w:t>
      </w:r>
      <w:r w:rsidR="00EA2B14" w:rsidRPr="007A3EF0">
        <w:rPr>
          <w:rFonts w:ascii="Cambria" w:hAnsi="Cambria" w:cs="Arial"/>
          <w:sz w:val="24"/>
          <w:szCs w:val="24"/>
        </w:rPr>
        <w:t>year</w:t>
      </w:r>
      <w:r w:rsidR="00EA2B14" w:rsidRPr="007A3EF0">
        <w:rPr>
          <w:rStyle w:val="FootnoteReference"/>
          <w:rFonts w:ascii="Cambria" w:hAnsi="Cambria" w:cs="Arial"/>
          <w:sz w:val="24"/>
          <w:szCs w:val="24"/>
        </w:rPr>
        <w:footnoteReference w:id="2"/>
      </w:r>
      <w:r w:rsidR="00EA2B14" w:rsidRPr="007A3EF0">
        <w:rPr>
          <w:rFonts w:ascii="Cambria" w:hAnsi="Cambria" w:cs="Arial"/>
          <w:sz w:val="24"/>
          <w:szCs w:val="24"/>
        </w:rPr>
        <w:t>.</w:t>
      </w:r>
    </w:p>
    <w:p w14:paraId="08E71874" w14:textId="77777777" w:rsidR="003A372C" w:rsidRPr="007A3EF0" w:rsidRDefault="003A372C" w:rsidP="003A372C">
      <w:pPr>
        <w:pStyle w:val="ListParagraph"/>
        <w:rPr>
          <w:rFonts w:ascii="Cambria" w:hAnsi="Cambria" w:cs="Arial"/>
          <w:sz w:val="24"/>
          <w:szCs w:val="24"/>
        </w:rPr>
      </w:pPr>
    </w:p>
    <w:p w14:paraId="6735F0D7" w14:textId="64BC519D" w:rsidR="003A372C" w:rsidRPr="007A3EF0" w:rsidRDefault="00EA2B14" w:rsidP="00EA2B14">
      <w:pPr>
        <w:pStyle w:val="ListParagraph"/>
        <w:numPr>
          <w:ilvl w:val="0"/>
          <w:numId w:val="5"/>
        </w:numPr>
        <w:ind w:left="284" w:hanging="284"/>
        <w:jc w:val="both"/>
        <w:rPr>
          <w:rFonts w:ascii="Cambria" w:hAnsi="Cambria" w:cs="Arial"/>
          <w:sz w:val="24"/>
          <w:szCs w:val="24"/>
        </w:rPr>
      </w:pPr>
      <w:r w:rsidRPr="007A3EF0">
        <w:rPr>
          <w:rFonts w:ascii="Cambria" w:hAnsi="Cambria" w:cs="Arial"/>
          <w:sz w:val="24"/>
          <w:szCs w:val="24"/>
        </w:rPr>
        <w:t xml:space="preserve">With respect to external factors, the impact of environmental factors on an </w:t>
      </w:r>
      <w:r w:rsidR="005A104D">
        <w:rPr>
          <w:rFonts w:ascii="Cambria" w:hAnsi="Cambria" w:cs="Arial"/>
          <w:sz w:val="24"/>
          <w:szCs w:val="24"/>
        </w:rPr>
        <w:t>organization such as</w:t>
      </w:r>
      <w:r w:rsidRPr="007A3EF0">
        <w:rPr>
          <w:rFonts w:ascii="Cambria" w:hAnsi="Cambria" w:cs="Arial"/>
          <w:sz w:val="24"/>
          <w:szCs w:val="24"/>
        </w:rPr>
        <w:t xml:space="preserve"> changes of a technological, regulatory, economic or demographic nature make the demise of some </w:t>
      </w:r>
      <w:proofErr w:type="spellStart"/>
      <w:r w:rsidRPr="007A3EF0">
        <w:rPr>
          <w:rFonts w:ascii="Cambria" w:hAnsi="Cambria" w:cs="Arial"/>
          <w:sz w:val="24"/>
          <w:szCs w:val="24"/>
        </w:rPr>
        <w:t>organisations</w:t>
      </w:r>
      <w:proofErr w:type="spellEnd"/>
      <w:r w:rsidRPr="007A3EF0">
        <w:rPr>
          <w:rFonts w:ascii="Cambria" w:hAnsi="Cambria" w:cs="Arial"/>
          <w:sz w:val="24"/>
          <w:szCs w:val="24"/>
        </w:rPr>
        <w:t xml:space="preserve"> </w:t>
      </w:r>
      <w:r w:rsidR="005A104D">
        <w:rPr>
          <w:rFonts w:ascii="Cambria" w:hAnsi="Cambria" w:cs="Arial"/>
          <w:sz w:val="24"/>
          <w:szCs w:val="24"/>
        </w:rPr>
        <w:t xml:space="preserve">statistically and economically inevitable. Examples of this in the technology and telecoms fields would be Nokia phone and Blackberry / Research In Motion.  </w:t>
      </w:r>
      <w:r w:rsidRPr="007A3EF0">
        <w:rPr>
          <w:rFonts w:ascii="Cambria" w:hAnsi="Cambria" w:cs="Arial"/>
          <w:sz w:val="24"/>
          <w:szCs w:val="24"/>
        </w:rPr>
        <w:t xml:space="preserve"> </w:t>
      </w:r>
    </w:p>
    <w:p w14:paraId="1B655CD9" w14:textId="77777777" w:rsidR="003A372C" w:rsidRPr="007A3EF0" w:rsidRDefault="003A372C" w:rsidP="003A372C">
      <w:pPr>
        <w:pStyle w:val="ListParagraph"/>
        <w:rPr>
          <w:rFonts w:ascii="Cambria" w:hAnsi="Cambria" w:cs="Arial"/>
          <w:sz w:val="24"/>
          <w:szCs w:val="24"/>
        </w:rPr>
      </w:pPr>
    </w:p>
    <w:p w14:paraId="3E0A20D6" w14:textId="16BF2B04" w:rsidR="003A372C" w:rsidRPr="007A3EF0" w:rsidRDefault="005A104D" w:rsidP="00123B97">
      <w:pPr>
        <w:pStyle w:val="ListParagraph"/>
        <w:numPr>
          <w:ilvl w:val="0"/>
          <w:numId w:val="5"/>
        </w:numPr>
        <w:ind w:left="284" w:hanging="284"/>
        <w:jc w:val="both"/>
        <w:rPr>
          <w:rFonts w:ascii="Cambria" w:hAnsi="Cambria" w:cs="Arial"/>
          <w:sz w:val="24"/>
          <w:szCs w:val="24"/>
        </w:rPr>
      </w:pPr>
      <w:r>
        <w:rPr>
          <w:rFonts w:ascii="Cambria" w:hAnsi="Cambria" w:cs="Arial"/>
          <w:sz w:val="24"/>
          <w:szCs w:val="24"/>
        </w:rPr>
        <w:t xml:space="preserve">More directly impactful in </w:t>
      </w:r>
      <w:r w:rsidR="00EA2B14" w:rsidRPr="007A3EF0">
        <w:rPr>
          <w:rFonts w:ascii="Cambria" w:hAnsi="Cambria" w:cs="Arial"/>
          <w:sz w:val="24"/>
          <w:szCs w:val="24"/>
        </w:rPr>
        <w:t>an analysis of the Flow Management Holding BV group of companies</w:t>
      </w:r>
      <w:r>
        <w:rPr>
          <w:rFonts w:ascii="Cambria" w:hAnsi="Cambria" w:cs="Arial"/>
          <w:sz w:val="24"/>
          <w:szCs w:val="24"/>
        </w:rPr>
        <w:t xml:space="preserve"> </w:t>
      </w:r>
      <w:r w:rsidR="00EA2B14" w:rsidRPr="007A3EF0">
        <w:rPr>
          <w:rFonts w:ascii="Cambria" w:hAnsi="Cambria" w:cs="Arial"/>
          <w:sz w:val="24"/>
          <w:szCs w:val="24"/>
        </w:rPr>
        <w:t>is Threat Rigidity Effect Theory</w:t>
      </w:r>
      <w:r>
        <w:rPr>
          <w:rFonts w:ascii="Cambria" w:hAnsi="Cambria" w:cs="Arial"/>
          <w:sz w:val="24"/>
          <w:szCs w:val="24"/>
        </w:rPr>
        <w:t>. G</w:t>
      </w:r>
      <w:r w:rsidR="00EA2B14" w:rsidRPr="007A3EF0">
        <w:rPr>
          <w:rFonts w:ascii="Cambria" w:hAnsi="Cambria" w:cs="Arial"/>
          <w:sz w:val="24"/>
          <w:szCs w:val="24"/>
        </w:rPr>
        <w:t>roups</w:t>
      </w:r>
      <w:r>
        <w:rPr>
          <w:rFonts w:ascii="Cambria" w:hAnsi="Cambria" w:cs="Arial"/>
          <w:sz w:val="24"/>
          <w:szCs w:val="24"/>
        </w:rPr>
        <w:t xml:space="preserve">, </w:t>
      </w:r>
      <w:proofErr w:type="spellStart"/>
      <w:r w:rsidR="00EA2B14" w:rsidRPr="007A3EF0">
        <w:rPr>
          <w:rFonts w:ascii="Cambria" w:hAnsi="Cambria" w:cs="Arial"/>
          <w:sz w:val="24"/>
          <w:szCs w:val="24"/>
        </w:rPr>
        <w:t>organi</w:t>
      </w:r>
      <w:r>
        <w:rPr>
          <w:rFonts w:ascii="Cambria" w:hAnsi="Cambria" w:cs="Arial"/>
          <w:sz w:val="24"/>
          <w:szCs w:val="24"/>
        </w:rPr>
        <w:t>s</w:t>
      </w:r>
      <w:r w:rsidR="00EA2B14" w:rsidRPr="007A3EF0">
        <w:rPr>
          <w:rFonts w:ascii="Cambria" w:hAnsi="Cambria" w:cs="Arial"/>
          <w:sz w:val="24"/>
          <w:szCs w:val="24"/>
        </w:rPr>
        <w:t>ations</w:t>
      </w:r>
      <w:proofErr w:type="spellEnd"/>
      <w:r w:rsidR="00EA2B14" w:rsidRPr="007A3EF0">
        <w:rPr>
          <w:rFonts w:ascii="Cambria" w:hAnsi="Cambria" w:cs="Arial"/>
          <w:sz w:val="24"/>
          <w:szCs w:val="24"/>
        </w:rPr>
        <w:t xml:space="preserve"> </w:t>
      </w:r>
      <w:r>
        <w:rPr>
          <w:rFonts w:ascii="Cambria" w:hAnsi="Cambria" w:cs="Arial"/>
          <w:sz w:val="24"/>
          <w:szCs w:val="24"/>
        </w:rPr>
        <w:t xml:space="preserve">and individuals </w:t>
      </w:r>
      <w:r w:rsidR="00EA2B14" w:rsidRPr="007A3EF0">
        <w:rPr>
          <w:rFonts w:ascii="Cambria" w:hAnsi="Cambria" w:cs="Arial"/>
          <w:sz w:val="24"/>
          <w:szCs w:val="24"/>
        </w:rPr>
        <w:t>tend to behave rigidly in threatening situations</w:t>
      </w:r>
      <w:r>
        <w:rPr>
          <w:rFonts w:ascii="Cambria" w:hAnsi="Cambria" w:cs="Arial"/>
          <w:sz w:val="24"/>
          <w:szCs w:val="24"/>
        </w:rPr>
        <w:t>. S</w:t>
      </w:r>
      <w:r w:rsidR="00EA2B14" w:rsidRPr="007A3EF0">
        <w:rPr>
          <w:rFonts w:ascii="Cambria" w:hAnsi="Cambria" w:cs="Arial"/>
          <w:sz w:val="24"/>
          <w:szCs w:val="24"/>
        </w:rPr>
        <w:t>eek</w:t>
      </w:r>
      <w:r>
        <w:rPr>
          <w:rFonts w:ascii="Cambria" w:hAnsi="Cambria" w:cs="Arial"/>
          <w:sz w:val="24"/>
          <w:szCs w:val="24"/>
        </w:rPr>
        <w:t>ing</w:t>
      </w:r>
      <w:r w:rsidR="00EA2B14" w:rsidRPr="007A3EF0">
        <w:rPr>
          <w:rFonts w:ascii="Cambria" w:hAnsi="Cambria" w:cs="Arial"/>
          <w:sz w:val="24"/>
          <w:szCs w:val="24"/>
        </w:rPr>
        <w:t xml:space="preserve"> to maintain </w:t>
      </w:r>
      <w:r>
        <w:rPr>
          <w:rFonts w:ascii="Cambria" w:hAnsi="Cambria" w:cs="Arial"/>
          <w:sz w:val="24"/>
          <w:szCs w:val="24"/>
        </w:rPr>
        <w:t xml:space="preserve">the present position. </w:t>
      </w:r>
    </w:p>
    <w:p w14:paraId="3BF2351A" w14:textId="63ECC71A" w:rsidR="007E5609" w:rsidRPr="007A3EF0" w:rsidRDefault="00EA2B14" w:rsidP="007E5609">
      <w:pPr>
        <w:pStyle w:val="ListParagraph"/>
        <w:numPr>
          <w:ilvl w:val="0"/>
          <w:numId w:val="5"/>
        </w:numPr>
        <w:ind w:left="284" w:hanging="284"/>
        <w:jc w:val="both"/>
        <w:rPr>
          <w:rFonts w:ascii="Cambria" w:hAnsi="Cambria" w:cs="Arial"/>
          <w:sz w:val="24"/>
          <w:szCs w:val="24"/>
        </w:rPr>
      </w:pPr>
      <w:r w:rsidRPr="007A3EF0">
        <w:rPr>
          <w:rFonts w:ascii="Cambria" w:hAnsi="Cambria" w:cs="Arial"/>
          <w:sz w:val="24"/>
          <w:szCs w:val="24"/>
        </w:rPr>
        <w:t>On 16</w:t>
      </w:r>
      <w:r w:rsidR="00123B97">
        <w:rPr>
          <w:rFonts w:ascii="Cambria" w:hAnsi="Cambria" w:cs="Arial"/>
          <w:sz w:val="24"/>
          <w:szCs w:val="24"/>
        </w:rPr>
        <w:t>.11.</w:t>
      </w:r>
      <w:r w:rsidRPr="007A3EF0">
        <w:rPr>
          <w:rFonts w:ascii="Cambria" w:hAnsi="Cambria" w:cs="Arial"/>
          <w:sz w:val="24"/>
          <w:szCs w:val="24"/>
        </w:rPr>
        <w:t xml:space="preserve">2013 </w:t>
      </w:r>
      <w:r w:rsidR="00123B97">
        <w:rPr>
          <w:rFonts w:ascii="Cambria" w:hAnsi="Cambria" w:cs="Arial"/>
          <w:sz w:val="24"/>
          <w:szCs w:val="24"/>
        </w:rPr>
        <w:t xml:space="preserve">the four main creditors of </w:t>
      </w:r>
      <w:r w:rsidRPr="007A3EF0">
        <w:rPr>
          <w:rFonts w:ascii="Cambria" w:hAnsi="Cambria" w:cs="Arial"/>
          <w:sz w:val="24"/>
          <w:szCs w:val="24"/>
        </w:rPr>
        <w:t xml:space="preserve">Flow Management Holding BV’s (“Flow”) met with Flow’s Board </w:t>
      </w:r>
      <w:r w:rsidR="00123B97">
        <w:rPr>
          <w:rFonts w:ascii="Cambria" w:hAnsi="Cambria" w:cs="Arial"/>
          <w:sz w:val="24"/>
          <w:szCs w:val="24"/>
        </w:rPr>
        <w:t xml:space="preserve">on </w:t>
      </w:r>
      <w:r w:rsidRPr="007A3EF0">
        <w:rPr>
          <w:rFonts w:ascii="Cambria" w:hAnsi="Cambria" w:cs="Arial"/>
          <w:sz w:val="24"/>
          <w:szCs w:val="24"/>
        </w:rPr>
        <w:t xml:space="preserve">the reported pre-tax profit to September 2013 of €8 million </w:t>
      </w:r>
      <w:proofErr w:type="gramStart"/>
      <w:r w:rsidR="00123B97">
        <w:rPr>
          <w:rFonts w:ascii="Cambria" w:hAnsi="Cambria" w:cs="Arial"/>
          <w:sz w:val="24"/>
          <w:szCs w:val="24"/>
        </w:rPr>
        <w:t>actually being</w:t>
      </w:r>
      <w:proofErr w:type="gramEnd"/>
      <w:r w:rsidRPr="007A3EF0">
        <w:rPr>
          <w:rFonts w:ascii="Cambria" w:hAnsi="Cambria" w:cs="Arial"/>
          <w:sz w:val="24"/>
          <w:szCs w:val="24"/>
        </w:rPr>
        <w:t xml:space="preserve"> </w:t>
      </w:r>
      <w:r w:rsidRPr="00123B97">
        <w:rPr>
          <w:rFonts w:ascii="Cambria" w:hAnsi="Cambria" w:cs="Arial"/>
          <w:sz w:val="24"/>
          <w:szCs w:val="24"/>
          <w:u w:val="single"/>
        </w:rPr>
        <w:t>a loss of €5.4 million</w:t>
      </w:r>
      <w:r w:rsidR="00123B97">
        <w:rPr>
          <w:rFonts w:ascii="Cambria" w:hAnsi="Cambria" w:cs="Arial"/>
          <w:sz w:val="24"/>
          <w:szCs w:val="24"/>
        </w:rPr>
        <w:t>. Further, a</w:t>
      </w:r>
      <w:r w:rsidRPr="007A3EF0">
        <w:rPr>
          <w:rFonts w:ascii="Cambria" w:hAnsi="Cambria" w:cs="Arial"/>
          <w:sz w:val="24"/>
          <w:szCs w:val="24"/>
        </w:rPr>
        <w:t xml:space="preserve"> </w:t>
      </w:r>
      <w:r w:rsidRPr="00123B97">
        <w:rPr>
          <w:rFonts w:ascii="Cambria" w:hAnsi="Cambria" w:cs="Arial"/>
          <w:sz w:val="24"/>
          <w:szCs w:val="24"/>
        </w:rPr>
        <w:t>misreporting</w:t>
      </w:r>
      <w:r w:rsidRPr="007A3EF0">
        <w:rPr>
          <w:rFonts w:ascii="Cambria" w:hAnsi="Cambria" w:cs="Arial"/>
          <w:sz w:val="24"/>
          <w:szCs w:val="24"/>
        </w:rPr>
        <w:t xml:space="preserve"> in the annual accounts </w:t>
      </w:r>
      <w:proofErr w:type="gramStart"/>
      <w:r w:rsidRPr="007A3EF0">
        <w:rPr>
          <w:rFonts w:ascii="Cambria" w:hAnsi="Cambria" w:cs="Arial"/>
          <w:sz w:val="24"/>
          <w:szCs w:val="24"/>
        </w:rPr>
        <w:t>mean</w:t>
      </w:r>
      <w:proofErr w:type="gramEnd"/>
      <w:r w:rsidRPr="007A3EF0">
        <w:rPr>
          <w:rFonts w:ascii="Cambria" w:hAnsi="Cambria" w:cs="Arial"/>
          <w:sz w:val="24"/>
          <w:szCs w:val="24"/>
        </w:rPr>
        <w:t xml:space="preserve"> that €3 million must be downgraded by €8 million. That </w:t>
      </w:r>
      <w:r w:rsidR="00123B97">
        <w:rPr>
          <w:rFonts w:ascii="Cambria" w:hAnsi="Cambria" w:cs="Arial"/>
          <w:sz w:val="24"/>
          <w:szCs w:val="24"/>
        </w:rPr>
        <w:t xml:space="preserve">combined </w:t>
      </w:r>
      <w:r w:rsidRPr="007A3EF0">
        <w:rPr>
          <w:rFonts w:ascii="Cambria" w:hAnsi="Cambria" w:cs="Arial"/>
          <w:sz w:val="24"/>
          <w:szCs w:val="24"/>
        </w:rPr>
        <w:t xml:space="preserve">event was the first sign of financial distress within the group of companies. </w:t>
      </w:r>
    </w:p>
    <w:p w14:paraId="5AD9566C" w14:textId="77777777" w:rsidR="007E5609" w:rsidRPr="007A3EF0" w:rsidRDefault="007E5609" w:rsidP="007E5609">
      <w:pPr>
        <w:pStyle w:val="ListParagraph"/>
        <w:ind w:left="284"/>
        <w:jc w:val="both"/>
        <w:rPr>
          <w:rFonts w:ascii="Cambria" w:hAnsi="Cambria" w:cs="Arial"/>
          <w:sz w:val="24"/>
          <w:szCs w:val="24"/>
        </w:rPr>
      </w:pPr>
    </w:p>
    <w:p w14:paraId="2F5C1F73" w14:textId="5591945E" w:rsidR="00EA2B14" w:rsidRPr="007A3EF0" w:rsidRDefault="00123B97" w:rsidP="007E5609">
      <w:pPr>
        <w:pStyle w:val="ListParagraph"/>
        <w:numPr>
          <w:ilvl w:val="0"/>
          <w:numId w:val="5"/>
        </w:numPr>
        <w:ind w:left="284" w:hanging="284"/>
        <w:jc w:val="both"/>
        <w:rPr>
          <w:rFonts w:ascii="Cambria" w:hAnsi="Cambria" w:cs="Arial"/>
          <w:sz w:val="24"/>
          <w:szCs w:val="24"/>
        </w:rPr>
      </w:pPr>
      <w:r>
        <w:rPr>
          <w:rFonts w:ascii="Cambria" w:hAnsi="Cambria" w:cs="Arial"/>
          <w:sz w:val="24"/>
          <w:szCs w:val="24"/>
        </w:rPr>
        <w:t xml:space="preserve">Stated </w:t>
      </w:r>
      <w:r w:rsidR="00EA2B14" w:rsidRPr="007A3EF0">
        <w:rPr>
          <w:rFonts w:ascii="Cambria" w:hAnsi="Cambria" w:cs="Arial"/>
          <w:sz w:val="24"/>
          <w:szCs w:val="24"/>
          <w:u w:val="single"/>
        </w:rPr>
        <w:t>causes</w:t>
      </w:r>
      <w:r w:rsidR="00EA2B14" w:rsidRPr="007A3EF0">
        <w:rPr>
          <w:rFonts w:ascii="Cambria" w:hAnsi="Cambria" w:cs="Arial"/>
          <w:sz w:val="24"/>
          <w:szCs w:val="24"/>
        </w:rPr>
        <w:t xml:space="preserve"> of the distress:</w:t>
      </w:r>
    </w:p>
    <w:p w14:paraId="60D47A7A" w14:textId="7BA35E24" w:rsidR="007E5609" w:rsidRPr="00123B97" w:rsidRDefault="007E5609" w:rsidP="00123B97">
      <w:pPr>
        <w:pStyle w:val="ListParagraph"/>
        <w:numPr>
          <w:ilvl w:val="0"/>
          <w:numId w:val="7"/>
        </w:numPr>
        <w:jc w:val="both"/>
        <w:rPr>
          <w:rFonts w:ascii="Cambria" w:hAnsi="Cambria" w:cs="Arial"/>
          <w:sz w:val="24"/>
          <w:szCs w:val="24"/>
        </w:rPr>
      </w:pPr>
      <w:r w:rsidRPr="00123B97">
        <w:rPr>
          <w:rFonts w:ascii="Cambria" w:hAnsi="Cambria" w:cs="Arial"/>
          <w:sz w:val="24"/>
          <w:szCs w:val="24"/>
        </w:rPr>
        <w:t>large management bonuses (€ 3 million) paid to the CEO and CFO of Flow;</w:t>
      </w:r>
    </w:p>
    <w:p w14:paraId="526B8C96" w14:textId="089FAE81" w:rsidR="007E5609" w:rsidRDefault="007E5609" w:rsidP="00123B97">
      <w:pPr>
        <w:pStyle w:val="ListParagraph"/>
        <w:numPr>
          <w:ilvl w:val="0"/>
          <w:numId w:val="7"/>
        </w:numPr>
        <w:jc w:val="both"/>
        <w:rPr>
          <w:rFonts w:ascii="Cambria" w:hAnsi="Cambria" w:cs="Arial"/>
          <w:sz w:val="24"/>
          <w:szCs w:val="24"/>
        </w:rPr>
      </w:pPr>
      <w:r w:rsidRPr="00123B97">
        <w:rPr>
          <w:rFonts w:ascii="Cambria" w:hAnsi="Cambria" w:cs="Arial"/>
          <w:sz w:val="24"/>
          <w:szCs w:val="24"/>
        </w:rPr>
        <w:t xml:space="preserve">a contingency gain three years </w:t>
      </w:r>
      <w:r w:rsidR="00123B97" w:rsidRPr="00123B97">
        <w:rPr>
          <w:rFonts w:ascii="Cambria" w:hAnsi="Cambria" w:cs="Arial"/>
          <w:sz w:val="24"/>
          <w:szCs w:val="24"/>
        </w:rPr>
        <w:t xml:space="preserve">hence </w:t>
      </w:r>
      <w:r w:rsidRPr="00123B97">
        <w:rPr>
          <w:rFonts w:ascii="Cambria" w:hAnsi="Cambria" w:cs="Arial"/>
          <w:sz w:val="24"/>
          <w:szCs w:val="24"/>
        </w:rPr>
        <w:t xml:space="preserve">was recorded in 2012 but was wrongly booked as </w:t>
      </w:r>
      <w:r w:rsidR="00123B97" w:rsidRPr="00123B97">
        <w:rPr>
          <w:rFonts w:ascii="Cambria" w:hAnsi="Cambria" w:cs="Arial"/>
          <w:sz w:val="24"/>
          <w:szCs w:val="24"/>
        </w:rPr>
        <w:t xml:space="preserve">having been </w:t>
      </w:r>
      <w:r w:rsidRPr="00123B97">
        <w:rPr>
          <w:rFonts w:ascii="Cambria" w:hAnsi="Cambria" w:cs="Arial"/>
          <w:i/>
          <w:iCs/>
          <w:sz w:val="24"/>
          <w:szCs w:val="24"/>
        </w:rPr>
        <w:t>realised</w:t>
      </w:r>
      <w:r w:rsidRPr="00123B97">
        <w:rPr>
          <w:rFonts w:ascii="Cambria" w:hAnsi="Cambria" w:cs="Arial"/>
          <w:sz w:val="24"/>
          <w:szCs w:val="24"/>
        </w:rPr>
        <w:t xml:space="preserve"> in 2012</w:t>
      </w:r>
      <w:r w:rsidR="00123B97">
        <w:rPr>
          <w:rFonts w:ascii="Cambria" w:hAnsi="Cambria" w:cs="Arial"/>
          <w:sz w:val="24"/>
          <w:szCs w:val="24"/>
        </w:rPr>
        <w:t>;</w:t>
      </w:r>
    </w:p>
    <w:p w14:paraId="11E08636" w14:textId="77777777" w:rsidR="00123B97" w:rsidRDefault="007E5609" w:rsidP="00123B97">
      <w:pPr>
        <w:pStyle w:val="ListParagraph"/>
        <w:numPr>
          <w:ilvl w:val="0"/>
          <w:numId w:val="7"/>
        </w:numPr>
        <w:jc w:val="both"/>
        <w:rPr>
          <w:rFonts w:ascii="Cambria" w:hAnsi="Cambria" w:cs="Arial"/>
          <w:sz w:val="24"/>
          <w:szCs w:val="24"/>
        </w:rPr>
      </w:pPr>
      <w:r w:rsidRPr="00123B97">
        <w:rPr>
          <w:rFonts w:ascii="Cambria" w:hAnsi="Cambria" w:cs="Arial"/>
          <w:sz w:val="24"/>
          <w:szCs w:val="24"/>
        </w:rPr>
        <w:t>in 2012, in anticipation of a book profit in 2013, a € 2.8 million book profit is made. This book profit was neither realised in 2012 nor in 2013;</w:t>
      </w:r>
    </w:p>
    <w:p w14:paraId="1AEA77E0" w14:textId="0E6E074E" w:rsidR="007E5609" w:rsidRDefault="007E5609" w:rsidP="007E5609">
      <w:pPr>
        <w:pStyle w:val="ListParagraph"/>
        <w:numPr>
          <w:ilvl w:val="0"/>
          <w:numId w:val="7"/>
        </w:numPr>
        <w:jc w:val="both"/>
        <w:rPr>
          <w:rFonts w:ascii="Cambria" w:hAnsi="Cambria" w:cs="Arial"/>
          <w:sz w:val="24"/>
          <w:szCs w:val="24"/>
        </w:rPr>
      </w:pPr>
      <w:r w:rsidRPr="00123B97">
        <w:rPr>
          <w:rFonts w:ascii="Cambria" w:hAnsi="Cambria" w:cs="Arial"/>
          <w:sz w:val="24"/>
          <w:szCs w:val="24"/>
        </w:rPr>
        <w:t>the 2013 loss is the result of a ‘formula error' in a spreadsheet as the company failed to periodically check the real costs against the results of the cost price calculation (the prices charged were too low, resulting in a loss.)</w:t>
      </w:r>
    </w:p>
    <w:p w14:paraId="591D80AF" w14:textId="77777777" w:rsidR="00123B97" w:rsidRPr="00123B97" w:rsidRDefault="00123B97" w:rsidP="00123B97">
      <w:pPr>
        <w:pStyle w:val="ListParagraph"/>
        <w:ind w:left="1080"/>
        <w:jc w:val="both"/>
        <w:rPr>
          <w:rFonts w:ascii="Cambria" w:hAnsi="Cambria" w:cs="Arial"/>
          <w:sz w:val="24"/>
          <w:szCs w:val="24"/>
        </w:rPr>
      </w:pPr>
    </w:p>
    <w:p w14:paraId="6C317AF1" w14:textId="77777777" w:rsidR="00123B97" w:rsidRDefault="00123B97" w:rsidP="00EA2B14">
      <w:pPr>
        <w:pStyle w:val="ListParagraph"/>
        <w:numPr>
          <w:ilvl w:val="0"/>
          <w:numId w:val="5"/>
        </w:numPr>
        <w:ind w:left="284" w:hanging="284"/>
        <w:jc w:val="both"/>
        <w:rPr>
          <w:rFonts w:ascii="Cambria" w:hAnsi="Cambria" w:cs="Arial"/>
          <w:sz w:val="24"/>
          <w:szCs w:val="24"/>
        </w:rPr>
      </w:pPr>
      <w:r>
        <w:rPr>
          <w:rFonts w:ascii="Cambria" w:hAnsi="Cambria" w:cs="Arial"/>
          <w:sz w:val="24"/>
          <w:szCs w:val="24"/>
        </w:rPr>
        <w:t>Cause of loss</w:t>
      </w:r>
      <w:r w:rsidR="00EA2B14" w:rsidRPr="007A3EF0">
        <w:rPr>
          <w:rFonts w:ascii="Cambria" w:hAnsi="Cambria" w:cs="Arial"/>
          <w:sz w:val="24"/>
          <w:szCs w:val="24"/>
        </w:rPr>
        <w:t xml:space="preserve"> “1.”</w:t>
      </w:r>
      <w:r>
        <w:rPr>
          <w:rFonts w:ascii="Cambria" w:hAnsi="Cambria" w:cs="Arial"/>
          <w:sz w:val="24"/>
          <w:szCs w:val="24"/>
        </w:rPr>
        <w:t xml:space="preserve"> (</w:t>
      </w:r>
      <w:r w:rsidR="00EA2B14" w:rsidRPr="007A3EF0">
        <w:rPr>
          <w:rFonts w:ascii="Cambria" w:hAnsi="Cambria" w:cs="Arial"/>
          <w:sz w:val="24"/>
          <w:szCs w:val="24"/>
        </w:rPr>
        <w:t>which is likely the easiest to identify and “fix”</w:t>
      </w:r>
      <w:r>
        <w:rPr>
          <w:rFonts w:ascii="Cambria" w:hAnsi="Cambria" w:cs="Arial"/>
          <w:sz w:val="24"/>
          <w:szCs w:val="24"/>
        </w:rPr>
        <w:t>)</w:t>
      </w:r>
      <w:r w:rsidR="00EA2B14" w:rsidRPr="007A3EF0">
        <w:rPr>
          <w:rFonts w:ascii="Cambria" w:hAnsi="Cambria" w:cs="Arial"/>
          <w:sz w:val="24"/>
          <w:szCs w:val="24"/>
        </w:rPr>
        <w:t xml:space="preserve">, all the causes are attributable to the competency of Flow’s management information system. </w:t>
      </w:r>
    </w:p>
    <w:p w14:paraId="42ADB9BA" w14:textId="77777777" w:rsidR="00123B97" w:rsidRDefault="00123B97" w:rsidP="00123B97">
      <w:pPr>
        <w:pStyle w:val="ListParagraph"/>
        <w:ind w:left="284"/>
        <w:jc w:val="both"/>
        <w:rPr>
          <w:rFonts w:ascii="Cambria" w:hAnsi="Cambria" w:cs="Arial"/>
          <w:sz w:val="24"/>
          <w:szCs w:val="24"/>
        </w:rPr>
      </w:pPr>
    </w:p>
    <w:p w14:paraId="2D2CBACF" w14:textId="77777777" w:rsidR="00123B97" w:rsidRDefault="00EA2B14" w:rsidP="00123B97">
      <w:pPr>
        <w:pStyle w:val="ListParagraph"/>
        <w:numPr>
          <w:ilvl w:val="0"/>
          <w:numId w:val="5"/>
        </w:numPr>
        <w:ind w:left="284" w:hanging="284"/>
        <w:jc w:val="both"/>
        <w:rPr>
          <w:rFonts w:ascii="Cambria" w:hAnsi="Cambria" w:cs="Arial"/>
          <w:sz w:val="24"/>
          <w:szCs w:val="24"/>
        </w:rPr>
      </w:pPr>
      <w:r w:rsidRPr="007A3EF0">
        <w:rPr>
          <w:rFonts w:ascii="Cambria" w:hAnsi="Cambria" w:cs="Arial"/>
          <w:sz w:val="24"/>
          <w:szCs w:val="24"/>
        </w:rPr>
        <w:t xml:space="preserve">Flow’s management </w:t>
      </w:r>
      <w:r w:rsidR="00123B97">
        <w:rPr>
          <w:rFonts w:ascii="Cambria" w:hAnsi="Cambria" w:cs="Arial"/>
          <w:sz w:val="24"/>
          <w:szCs w:val="24"/>
        </w:rPr>
        <w:t xml:space="preserve">needed </w:t>
      </w:r>
      <w:proofErr w:type="gramStart"/>
      <w:r w:rsidRPr="007A3EF0">
        <w:rPr>
          <w:rFonts w:ascii="Cambria" w:hAnsi="Cambria" w:cs="Arial"/>
          <w:sz w:val="24"/>
          <w:szCs w:val="24"/>
        </w:rPr>
        <w:t xml:space="preserve">immediately </w:t>
      </w:r>
      <w:r w:rsidR="00123B97">
        <w:rPr>
          <w:rFonts w:ascii="Cambria" w:hAnsi="Cambria" w:cs="Arial"/>
          <w:sz w:val="24"/>
          <w:szCs w:val="24"/>
        </w:rPr>
        <w:t xml:space="preserve">to </w:t>
      </w:r>
      <w:r w:rsidRPr="007A3EF0">
        <w:rPr>
          <w:rFonts w:ascii="Cambria" w:hAnsi="Cambria" w:cs="Arial"/>
          <w:sz w:val="24"/>
          <w:szCs w:val="24"/>
        </w:rPr>
        <w:t>take steps</w:t>
      </w:r>
      <w:proofErr w:type="gramEnd"/>
      <w:r w:rsidRPr="007A3EF0">
        <w:rPr>
          <w:rFonts w:ascii="Cambria" w:hAnsi="Cambria" w:cs="Arial"/>
          <w:sz w:val="24"/>
          <w:szCs w:val="24"/>
        </w:rPr>
        <w:t xml:space="preserve"> </w:t>
      </w:r>
      <w:proofErr w:type="gramStart"/>
      <w:r w:rsidR="00123B97">
        <w:rPr>
          <w:rFonts w:ascii="Cambria" w:hAnsi="Cambria" w:cs="Arial"/>
          <w:sz w:val="24"/>
          <w:szCs w:val="24"/>
        </w:rPr>
        <w:t xml:space="preserve">in order </w:t>
      </w:r>
      <w:r w:rsidRPr="007A3EF0">
        <w:rPr>
          <w:rFonts w:ascii="Cambria" w:hAnsi="Cambria" w:cs="Arial"/>
          <w:sz w:val="24"/>
          <w:szCs w:val="24"/>
        </w:rPr>
        <w:t>to</w:t>
      </w:r>
      <w:proofErr w:type="gramEnd"/>
      <w:r w:rsidRPr="007A3EF0">
        <w:rPr>
          <w:rFonts w:ascii="Cambria" w:hAnsi="Cambria" w:cs="Arial"/>
          <w:sz w:val="24"/>
          <w:szCs w:val="24"/>
        </w:rPr>
        <w:t xml:space="preserve"> ensure that going </w:t>
      </w:r>
      <w:r w:rsidR="00123B97">
        <w:rPr>
          <w:rFonts w:ascii="Cambria" w:hAnsi="Cambria" w:cs="Arial"/>
          <w:sz w:val="24"/>
          <w:szCs w:val="24"/>
        </w:rPr>
        <w:t xml:space="preserve">forward </w:t>
      </w:r>
      <w:r w:rsidRPr="007A3EF0">
        <w:rPr>
          <w:rFonts w:ascii="Cambria" w:hAnsi="Cambria" w:cs="Arial"/>
          <w:sz w:val="24"/>
          <w:szCs w:val="24"/>
        </w:rPr>
        <w:t>th</w:t>
      </w:r>
      <w:r w:rsidR="00123B97">
        <w:rPr>
          <w:rFonts w:ascii="Cambria" w:hAnsi="Cambria" w:cs="Arial"/>
          <w:sz w:val="24"/>
          <w:szCs w:val="24"/>
        </w:rPr>
        <w:t>ese weaknesses in management information systems were remedied.</w:t>
      </w:r>
    </w:p>
    <w:p w14:paraId="3FD75FE5" w14:textId="77777777" w:rsidR="00123B97" w:rsidRPr="00123B97" w:rsidRDefault="00123B97" w:rsidP="00123B97">
      <w:pPr>
        <w:pStyle w:val="ListParagraph"/>
        <w:rPr>
          <w:rFonts w:ascii="Cambria" w:hAnsi="Cambria" w:cs="Arial"/>
          <w:sz w:val="24"/>
          <w:szCs w:val="24"/>
        </w:rPr>
      </w:pPr>
    </w:p>
    <w:p w14:paraId="723D4C52" w14:textId="77777777" w:rsidR="00123B97" w:rsidRDefault="00123B97" w:rsidP="00123B97">
      <w:pPr>
        <w:pStyle w:val="ListParagraph"/>
        <w:numPr>
          <w:ilvl w:val="0"/>
          <w:numId w:val="5"/>
        </w:numPr>
        <w:ind w:left="284" w:hanging="284"/>
        <w:jc w:val="both"/>
        <w:rPr>
          <w:rFonts w:ascii="Cambria" w:hAnsi="Cambria" w:cs="Arial"/>
          <w:sz w:val="24"/>
          <w:szCs w:val="24"/>
        </w:rPr>
      </w:pPr>
      <w:r>
        <w:rPr>
          <w:rFonts w:ascii="Cambria" w:hAnsi="Cambria" w:cs="Arial"/>
          <w:sz w:val="24"/>
          <w:szCs w:val="24"/>
        </w:rPr>
        <w:t>Exacerbating this,</w:t>
      </w:r>
      <w:r w:rsidR="00EA2B14" w:rsidRPr="00123B97">
        <w:rPr>
          <w:rFonts w:ascii="Cambria" w:hAnsi="Cambria" w:cs="Arial"/>
          <w:sz w:val="24"/>
          <w:szCs w:val="24"/>
        </w:rPr>
        <w:t xml:space="preserve"> in early December </w:t>
      </w:r>
      <w:r>
        <w:rPr>
          <w:rFonts w:ascii="Cambria" w:hAnsi="Cambria" w:cs="Arial"/>
          <w:sz w:val="24"/>
          <w:szCs w:val="24"/>
        </w:rPr>
        <w:t xml:space="preserve">2013 it is ascertained </w:t>
      </w:r>
      <w:r w:rsidR="00EA2B14" w:rsidRPr="00123B97">
        <w:rPr>
          <w:rFonts w:ascii="Cambria" w:hAnsi="Cambria" w:cs="Arial"/>
          <w:sz w:val="24"/>
          <w:szCs w:val="24"/>
        </w:rPr>
        <w:t xml:space="preserve">that the €5.4 million loss is in fact only the loss of Flow Management Work BV </w:t>
      </w:r>
      <w:r>
        <w:rPr>
          <w:rFonts w:ascii="Cambria" w:hAnsi="Cambria" w:cs="Arial"/>
          <w:sz w:val="24"/>
          <w:szCs w:val="24"/>
        </w:rPr>
        <w:t xml:space="preserve">itself </w:t>
      </w:r>
      <w:r w:rsidR="00EA2B14" w:rsidRPr="00123B97">
        <w:rPr>
          <w:rFonts w:ascii="Cambria" w:hAnsi="Cambria" w:cs="Arial"/>
          <w:sz w:val="24"/>
          <w:szCs w:val="24"/>
        </w:rPr>
        <w:t xml:space="preserve">and that the foreign subsidiaries have also made a loss of €6.3 million. </w:t>
      </w:r>
    </w:p>
    <w:p w14:paraId="34A5D50F" w14:textId="77777777" w:rsidR="00123B97" w:rsidRPr="00123B97" w:rsidRDefault="00123B97" w:rsidP="00123B97">
      <w:pPr>
        <w:pStyle w:val="ListParagraph"/>
        <w:rPr>
          <w:rFonts w:ascii="Cambria" w:hAnsi="Cambria" w:cs="Arial"/>
          <w:sz w:val="24"/>
          <w:szCs w:val="24"/>
        </w:rPr>
      </w:pPr>
    </w:p>
    <w:p w14:paraId="45C2009D" w14:textId="458B3AE8" w:rsidR="007E5609" w:rsidRDefault="00EA2B14" w:rsidP="00123B97">
      <w:pPr>
        <w:pStyle w:val="ListParagraph"/>
        <w:numPr>
          <w:ilvl w:val="0"/>
          <w:numId w:val="5"/>
        </w:numPr>
        <w:ind w:left="284" w:hanging="284"/>
        <w:jc w:val="both"/>
        <w:rPr>
          <w:rFonts w:ascii="Cambria" w:hAnsi="Cambria" w:cs="Arial"/>
          <w:sz w:val="24"/>
          <w:szCs w:val="24"/>
        </w:rPr>
      </w:pPr>
      <w:r w:rsidRPr="00123B97">
        <w:rPr>
          <w:rFonts w:ascii="Cambria" w:hAnsi="Cambria" w:cs="Arial"/>
          <w:sz w:val="24"/>
          <w:szCs w:val="24"/>
        </w:rPr>
        <w:t>On 20</w:t>
      </w:r>
      <w:r w:rsidR="00123B97">
        <w:rPr>
          <w:rFonts w:ascii="Cambria" w:hAnsi="Cambria" w:cs="Arial"/>
          <w:sz w:val="24"/>
          <w:szCs w:val="24"/>
        </w:rPr>
        <w:t>.12.</w:t>
      </w:r>
      <w:r w:rsidRPr="00123B97">
        <w:rPr>
          <w:rFonts w:ascii="Cambria" w:hAnsi="Cambria" w:cs="Arial"/>
          <w:sz w:val="24"/>
          <w:szCs w:val="24"/>
        </w:rPr>
        <w:t>2013 the adjusted result for the years 2011-2013 is worse than anticipated with a total loss for that period of €</w:t>
      </w:r>
      <w:r w:rsidR="00CA1B62">
        <w:rPr>
          <w:rFonts w:ascii="Cambria" w:hAnsi="Cambria" w:cs="Arial"/>
          <w:sz w:val="24"/>
          <w:szCs w:val="24"/>
        </w:rPr>
        <w:t>2</w:t>
      </w:r>
      <w:r w:rsidRPr="00123B97">
        <w:rPr>
          <w:rFonts w:ascii="Cambria" w:hAnsi="Cambria" w:cs="Arial"/>
          <w:sz w:val="24"/>
          <w:szCs w:val="24"/>
        </w:rPr>
        <w:t xml:space="preserve">3.1 million. </w:t>
      </w:r>
      <w:r w:rsidR="00CA1B62">
        <w:rPr>
          <w:rFonts w:ascii="Cambria" w:hAnsi="Cambria" w:cs="Arial"/>
          <w:sz w:val="24"/>
          <w:szCs w:val="24"/>
        </w:rPr>
        <w:t xml:space="preserve">Not only devastating news in itself, </w:t>
      </w:r>
      <w:proofErr w:type="gramStart"/>
      <w:r w:rsidR="00CA1B62">
        <w:rPr>
          <w:rFonts w:ascii="Cambria" w:hAnsi="Cambria" w:cs="Arial"/>
          <w:sz w:val="24"/>
          <w:szCs w:val="24"/>
        </w:rPr>
        <w:t>these were</w:t>
      </w:r>
      <w:proofErr w:type="gramEnd"/>
      <w:r w:rsidR="00CA1B62">
        <w:rPr>
          <w:rFonts w:ascii="Cambria" w:hAnsi="Cambria" w:cs="Arial"/>
          <w:sz w:val="24"/>
          <w:szCs w:val="24"/>
        </w:rPr>
        <w:t xml:space="preserve"> </w:t>
      </w:r>
      <w:proofErr w:type="gramStart"/>
      <w:r w:rsidR="00CA1B62">
        <w:rPr>
          <w:rFonts w:ascii="Cambria" w:hAnsi="Cambria" w:cs="Arial"/>
          <w:sz w:val="24"/>
          <w:szCs w:val="24"/>
        </w:rPr>
        <w:t xml:space="preserve">obviously </w:t>
      </w:r>
      <w:r w:rsidRPr="00123B97">
        <w:rPr>
          <w:rFonts w:ascii="Cambria" w:hAnsi="Cambria" w:cs="Arial"/>
          <w:sz w:val="24"/>
          <w:szCs w:val="24"/>
        </w:rPr>
        <w:t>were</w:t>
      </w:r>
      <w:proofErr w:type="gramEnd"/>
      <w:r w:rsidRPr="00123B97">
        <w:rPr>
          <w:rFonts w:ascii="Cambria" w:hAnsi="Cambria" w:cs="Arial"/>
          <w:sz w:val="24"/>
          <w:szCs w:val="24"/>
        </w:rPr>
        <w:t xml:space="preserve"> further indictments of Flow’s information </w:t>
      </w:r>
      <w:r w:rsidR="00393067" w:rsidRPr="00123B97">
        <w:rPr>
          <w:rFonts w:ascii="Cambria" w:hAnsi="Cambria" w:cs="Arial"/>
          <w:sz w:val="24"/>
          <w:szCs w:val="24"/>
        </w:rPr>
        <w:t xml:space="preserve">management </w:t>
      </w:r>
      <w:r w:rsidRPr="00123B97">
        <w:rPr>
          <w:rFonts w:ascii="Cambria" w:hAnsi="Cambria" w:cs="Arial"/>
          <w:sz w:val="24"/>
          <w:szCs w:val="24"/>
        </w:rPr>
        <w:t xml:space="preserve">system. </w:t>
      </w:r>
      <w:r w:rsidR="00CA1B62">
        <w:rPr>
          <w:rFonts w:ascii="Cambria" w:hAnsi="Cambria" w:cs="Arial"/>
          <w:sz w:val="24"/>
          <w:szCs w:val="24"/>
        </w:rPr>
        <w:t>Despite this</w:t>
      </w:r>
      <w:r w:rsidRPr="00123B97">
        <w:rPr>
          <w:rFonts w:ascii="Cambria" w:hAnsi="Cambria" w:cs="Arial"/>
          <w:sz w:val="24"/>
          <w:szCs w:val="24"/>
        </w:rPr>
        <w:t>, none of Flow’s December 2013 responses to t</w:t>
      </w:r>
      <w:r w:rsidR="00CA1B62">
        <w:rPr>
          <w:rFonts w:ascii="Cambria" w:hAnsi="Cambria" w:cs="Arial"/>
          <w:sz w:val="24"/>
          <w:szCs w:val="24"/>
        </w:rPr>
        <w:t>hese many and several economic shockwaves</w:t>
      </w:r>
      <w:r w:rsidRPr="00123B97">
        <w:rPr>
          <w:rFonts w:ascii="Cambria" w:hAnsi="Cambria" w:cs="Arial"/>
          <w:sz w:val="24"/>
          <w:szCs w:val="24"/>
        </w:rPr>
        <w:t xml:space="preserve"> </w:t>
      </w:r>
      <w:r w:rsidR="00CA1B62">
        <w:rPr>
          <w:rFonts w:ascii="Cambria" w:hAnsi="Cambria" w:cs="Arial"/>
          <w:sz w:val="24"/>
          <w:szCs w:val="24"/>
        </w:rPr>
        <w:t xml:space="preserve">were aimed at preventing / reducing scope for future </w:t>
      </w:r>
      <w:r w:rsidRPr="00123B97">
        <w:rPr>
          <w:rFonts w:ascii="Cambria" w:hAnsi="Cambria" w:cs="Arial"/>
          <w:sz w:val="24"/>
          <w:szCs w:val="24"/>
        </w:rPr>
        <w:t xml:space="preserve">internal failure. </w:t>
      </w:r>
      <w:r w:rsidR="007E5609" w:rsidRPr="00123B97">
        <w:rPr>
          <w:rFonts w:ascii="Cambria" w:hAnsi="Cambria" w:cs="Arial"/>
          <w:sz w:val="24"/>
          <w:szCs w:val="24"/>
        </w:rPr>
        <w:t>Although a new CFO was retained in January 2014, that did not solve the information management problem</w:t>
      </w:r>
      <w:r w:rsidR="00CA1B62">
        <w:rPr>
          <w:rFonts w:ascii="Cambria" w:hAnsi="Cambria" w:cs="Arial"/>
          <w:sz w:val="24"/>
          <w:szCs w:val="24"/>
        </w:rPr>
        <w:t>.</w:t>
      </w:r>
    </w:p>
    <w:p w14:paraId="003F8F75" w14:textId="77777777" w:rsidR="00CA1B62" w:rsidRPr="00CA1B62" w:rsidRDefault="00CA1B62" w:rsidP="00CA1B62">
      <w:pPr>
        <w:pStyle w:val="ListParagraph"/>
        <w:rPr>
          <w:rFonts w:ascii="Cambria" w:hAnsi="Cambria" w:cs="Arial"/>
          <w:sz w:val="24"/>
          <w:szCs w:val="24"/>
        </w:rPr>
      </w:pPr>
    </w:p>
    <w:p w14:paraId="05923F99" w14:textId="7009B07D" w:rsidR="00EA2B14" w:rsidRPr="00CA1B62" w:rsidRDefault="00EA2B14" w:rsidP="00CA1B62">
      <w:pPr>
        <w:pStyle w:val="ListParagraph"/>
        <w:numPr>
          <w:ilvl w:val="0"/>
          <w:numId w:val="5"/>
        </w:numPr>
        <w:ind w:left="284" w:hanging="284"/>
        <w:jc w:val="both"/>
        <w:rPr>
          <w:rFonts w:ascii="Cambria" w:hAnsi="Cambria" w:cs="Arial"/>
          <w:sz w:val="24"/>
          <w:szCs w:val="24"/>
        </w:rPr>
      </w:pPr>
      <w:r w:rsidRPr="00CA1B62">
        <w:rPr>
          <w:rFonts w:ascii="Cambria" w:hAnsi="Cambria" w:cs="Arial"/>
          <w:sz w:val="24"/>
          <w:szCs w:val="24"/>
        </w:rPr>
        <w:t xml:space="preserve">That the situation is largely unchanged as of 2015 is evidenced by the fact that a profit of €9-10 million was forecast in 2014, however, at the end of October 2014 an expected loss for that year of €39 million was announced and the “new” company incurred operational losses of nearly €9 million in 2015 despite prior forecasts of a breakeven result. </w:t>
      </w:r>
      <w:r w:rsidR="00CA1B62">
        <w:rPr>
          <w:rFonts w:ascii="Cambria" w:hAnsi="Cambria" w:cs="Arial"/>
          <w:sz w:val="24"/>
          <w:szCs w:val="24"/>
        </w:rPr>
        <w:t>History, as it were, repeats.</w:t>
      </w:r>
    </w:p>
    <w:p w14:paraId="7EB8E15A" w14:textId="77777777" w:rsidR="007E5609" w:rsidRPr="007A3EF0" w:rsidRDefault="007E5609" w:rsidP="007E5609">
      <w:pPr>
        <w:pStyle w:val="ListParagraph"/>
        <w:rPr>
          <w:rFonts w:ascii="Cambria" w:hAnsi="Cambria" w:cs="Arial"/>
          <w:sz w:val="24"/>
          <w:szCs w:val="24"/>
        </w:rPr>
      </w:pPr>
    </w:p>
    <w:p w14:paraId="624B52EB" w14:textId="1B3C33F9" w:rsidR="007E5609" w:rsidRPr="007A3EF0" w:rsidRDefault="00CA1B62" w:rsidP="007E5609">
      <w:pPr>
        <w:pStyle w:val="ListParagraph"/>
        <w:numPr>
          <w:ilvl w:val="0"/>
          <w:numId w:val="5"/>
        </w:numPr>
        <w:tabs>
          <w:tab w:val="left" w:pos="284"/>
        </w:tabs>
        <w:ind w:left="284" w:hanging="284"/>
        <w:jc w:val="both"/>
        <w:rPr>
          <w:rFonts w:ascii="Cambria" w:hAnsi="Cambria" w:cs="Arial"/>
          <w:sz w:val="24"/>
          <w:szCs w:val="24"/>
        </w:rPr>
      </w:pPr>
      <w:r>
        <w:rPr>
          <w:rFonts w:ascii="Cambria" w:hAnsi="Cambria" w:cs="Arial"/>
          <w:sz w:val="24"/>
          <w:szCs w:val="24"/>
        </w:rPr>
        <w:t xml:space="preserve">Implementation of </w:t>
      </w:r>
      <w:r w:rsidR="007E5609" w:rsidRPr="007A3EF0">
        <w:rPr>
          <w:rFonts w:ascii="Cambria" w:hAnsi="Cambria" w:cs="Arial"/>
          <w:sz w:val="24"/>
          <w:szCs w:val="24"/>
        </w:rPr>
        <w:t>proper information management system</w:t>
      </w:r>
      <w:r>
        <w:rPr>
          <w:rFonts w:ascii="Cambria" w:hAnsi="Cambria" w:cs="Arial"/>
          <w:sz w:val="24"/>
          <w:szCs w:val="24"/>
        </w:rPr>
        <w:t>s would have greatly reduced the scope / likelihood for Flow’s economic and financial</w:t>
      </w:r>
      <w:r w:rsidR="007E5609" w:rsidRPr="007A3EF0">
        <w:rPr>
          <w:rFonts w:ascii="Cambria" w:hAnsi="Cambria" w:cs="Arial"/>
          <w:sz w:val="24"/>
          <w:szCs w:val="24"/>
        </w:rPr>
        <w:t xml:space="preserve"> distress. </w:t>
      </w:r>
      <w:r>
        <w:rPr>
          <w:rFonts w:ascii="Cambria" w:hAnsi="Cambria" w:cs="Arial"/>
          <w:sz w:val="24"/>
          <w:szCs w:val="24"/>
        </w:rPr>
        <w:t xml:space="preserve">Related to this is the absence of </w:t>
      </w:r>
      <w:r w:rsidR="007E5609" w:rsidRPr="007A3EF0">
        <w:rPr>
          <w:rFonts w:ascii="Cambria" w:hAnsi="Cambria" w:cs="Arial"/>
          <w:sz w:val="24"/>
          <w:szCs w:val="24"/>
        </w:rPr>
        <w:t xml:space="preserve">an independent auditing team </w:t>
      </w:r>
      <w:r>
        <w:rPr>
          <w:rFonts w:ascii="Cambria" w:hAnsi="Cambria" w:cs="Arial"/>
          <w:sz w:val="24"/>
          <w:szCs w:val="24"/>
        </w:rPr>
        <w:t xml:space="preserve">since at least discovery of in </w:t>
      </w:r>
      <w:r w:rsidR="007E5609" w:rsidRPr="007A3EF0">
        <w:rPr>
          <w:rFonts w:ascii="Cambria" w:hAnsi="Cambria" w:cs="Arial"/>
          <w:sz w:val="24"/>
          <w:szCs w:val="24"/>
        </w:rPr>
        <w:t xml:space="preserve">2013-2014 </w:t>
      </w:r>
      <w:r>
        <w:rPr>
          <w:rFonts w:ascii="Cambria" w:hAnsi="Cambria" w:cs="Arial"/>
          <w:sz w:val="24"/>
          <w:szCs w:val="24"/>
        </w:rPr>
        <w:t xml:space="preserve">of </w:t>
      </w:r>
      <w:r w:rsidR="007E5609" w:rsidRPr="007A3EF0">
        <w:rPr>
          <w:rFonts w:ascii="Cambria" w:hAnsi="Cambria" w:cs="Arial"/>
          <w:sz w:val="24"/>
          <w:szCs w:val="24"/>
        </w:rPr>
        <w:t xml:space="preserve">information management </w:t>
      </w:r>
      <w:r w:rsidR="00393067" w:rsidRPr="007A3EF0">
        <w:rPr>
          <w:rFonts w:ascii="Cambria" w:hAnsi="Cambria" w:cs="Arial"/>
          <w:sz w:val="24"/>
          <w:szCs w:val="24"/>
        </w:rPr>
        <w:t>weaknesses</w:t>
      </w:r>
      <w:r>
        <w:rPr>
          <w:rFonts w:ascii="Cambria" w:hAnsi="Cambria" w:cs="Arial"/>
          <w:sz w:val="24"/>
          <w:szCs w:val="24"/>
        </w:rPr>
        <w:t>.</w:t>
      </w:r>
    </w:p>
    <w:p w14:paraId="399D4687" w14:textId="61A779D0" w:rsidR="000B0740" w:rsidRPr="00CA1B62" w:rsidRDefault="000B0740" w:rsidP="00CA1B62">
      <w:pPr>
        <w:rPr>
          <w:rFonts w:ascii="Cambria" w:hAnsi="Cambria" w:cs="Arial"/>
          <w:sz w:val="24"/>
          <w:szCs w:val="24"/>
        </w:rPr>
      </w:pPr>
    </w:p>
    <w:p w14:paraId="287F6DCA" w14:textId="77777777" w:rsidR="000B0740" w:rsidRDefault="000B0740" w:rsidP="000B0740">
      <w:pPr>
        <w:jc w:val="both"/>
        <w:rPr>
          <w:rFonts w:ascii="Cambria" w:hAnsi="Cambria" w:cs="Arial"/>
          <w:b/>
          <w:bCs/>
          <w:sz w:val="24"/>
          <w:szCs w:val="24"/>
        </w:rPr>
      </w:pPr>
      <w:r w:rsidRPr="007A3EF0">
        <w:rPr>
          <w:rFonts w:ascii="Cambria" w:hAnsi="Cambria" w:cs="Arial"/>
          <w:b/>
          <w:bCs/>
          <w:sz w:val="24"/>
          <w:szCs w:val="24"/>
        </w:rPr>
        <w:t>Question 2</w:t>
      </w:r>
    </w:p>
    <w:p w14:paraId="511D084B" w14:textId="322A3D1C" w:rsidR="0055201E" w:rsidRDefault="0055201E" w:rsidP="000B0740">
      <w:pPr>
        <w:jc w:val="both"/>
        <w:rPr>
          <w:rFonts w:ascii="Cambria" w:hAnsi="Cambria" w:cs="Arial"/>
          <w:b/>
          <w:bCs/>
          <w:sz w:val="24"/>
          <w:szCs w:val="24"/>
        </w:rPr>
      </w:pPr>
      <w:r w:rsidRPr="0055201E">
        <w:rPr>
          <w:rFonts w:ascii="Cambria" w:hAnsi="Cambria" w:cs="Arial"/>
          <w:b/>
          <w:bCs/>
          <w:sz w:val="24"/>
          <w:szCs w:val="24"/>
        </w:rPr>
        <w:drawing>
          <wp:inline distT="0" distB="0" distL="0" distR="0" wp14:anchorId="19771B63" wp14:editId="096271FF">
            <wp:extent cx="5220429" cy="504895"/>
            <wp:effectExtent l="0" t="0" r="0" b="9525"/>
            <wp:docPr id="10644344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4434434" name=""/>
                    <pic:cNvPicPr/>
                  </pic:nvPicPr>
                  <pic:blipFill>
                    <a:blip r:embed="rId9"/>
                    <a:stretch>
                      <a:fillRect/>
                    </a:stretch>
                  </pic:blipFill>
                  <pic:spPr>
                    <a:xfrm>
                      <a:off x="0" y="0"/>
                      <a:ext cx="5220429" cy="504895"/>
                    </a:xfrm>
                    <a:prstGeom prst="rect">
                      <a:avLst/>
                    </a:prstGeom>
                  </pic:spPr>
                </pic:pic>
              </a:graphicData>
            </a:graphic>
          </wp:inline>
        </w:drawing>
      </w:r>
    </w:p>
    <w:p w14:paraId="20D333CA" w14:textId="474FB215" w:rsidR="0055201E" w:rsidRPr="0055201E" w:rsidRDefault="0055201E" w:rsidP="000B0740">
      <w:pPr>
        <w:jc w:val="both"/>
        <w:rPr>
          <w:rFonts w:ascii="Cambria" w:hAnsi="Cambria" w:cs="Arial"/>
          <w:i/>
          <w:iCs/>
          <w:sz w:val="24"/>
          <w:szCs w:val="24"/>
        </w:rPr>
      </w:pPr>
      <w:r>
        <w:rPr>
          <w:rFonts w:ascii="Cambria" w:hAnsi="Cambria" w:cs="Arial"/>
          <w:i/>
          <w:iCs/>
          <w:sz w:val="24"/>
          <w:szCs w:val="24"/>
        </w:rPr>
        <w:t>Summary of answer: the flexibility outside of a court restructuring reflect</w:t>
      </w:r>
      <w:r w:rsidR="00961584">
        <w:rPr>
          <w:rFonts w:ascii="Cambria" w:hAnsi="Cambria" w:cs="Arial"/>
          <w:i/>
          <w:iCs/>
          <w:sz w:val="24"/>
          <w:szCs w:val="24"/>
        </w:rPr>
        <w:t>s</w:t>
      </w:r>
      <w:r>
        <w:rPr>
          <w:rFonts w:ascii="Cambria" w:hAnsi="Cambria" w:cs="Arial"/>
          <w:i/>
          <w:iCs/>
          <w:sz w:val="24"/>
          <w:szCs w:val="24"/>
        </w:rPr>
        <w:t xml:space="preserve"> the wider scope for bespoke arrangements; </w:t>
      </w:r>
      <w:proofErr w:type="gramStart"/>
      <w:r>
        <w:rPr>
          <w:rFonts w:ascii="Cambria" w:hAnsi="Cambria" w:cs="Arial"/>
          <w:i/>
          <w:iCs/>
          <w:sz w:val="24"/>
          <w:szCs w:val="24"/>
        </w:rPr>
        <w:t>however</w:t>
      </w:r>
      <w:proofErr w:type="gramEnd"/>
      <w:r>
        <w:rPr>
          <w:rFonts w:ascii="Cambria" w:hAnsi="Cambria" w:cs="Arial"/>
          <w:i/>
          <w:iCs/>
          <w:sz w:val="24"/>
          <w:szCs w:val="24"/>
        </w:rPr>
        <w:t xml:space="preserve"> the chilling effect of the absence of protection from court strategies likely inhibits the debtor-in-possession (“DIP”) financing which is often the mainstay of protective bankruptcy. So too the loss of the automatic stay of proceedings in the context of most court restructurings. </w:t>
      </w:r>
    </w:p>
    <w:p w14:paraId="4EFCFF50" w14:textId="7C137D14" w:rsidR="000A7793" w:rsidRDefault="000D3B69" w:rsidP="000A7793">
      <w:pPr>
        <w:pStyle w:val="ListParagraph"/>
        <w:numPr>
          <w:ilvl w:val="0"/>
          <w:numId w:val="5"/>
        </w:numPr>
        <w:ind w:left="426" w:hanging="284"/>
        <w:jc w:val="both"/>
        <w:rPr>
          <w:rFonts w:ascii="Cambria" w:hAnsi="Cambria" w:cs="Arial"/>
          <w:sz w:val="24"/>
          <w:szCs w:val="24"/>
        </w:rPr>
      </w:pPr>
      <w:r w:rsidRPr="0055201E">
        <w:rPr>
          <w:rFonts w:ascii="Cambria" w:hAnsi="Cambria" w:cs="Arial"/>
          <w:sz w:val="24"/>
          <w:szCs w:val="24"/>
        </w:rPr>
        <w:t>The advantages of a formal restructuring (</w:t>
      </w:r>
      <w:r w:rsidR="0055201E" w:rsidRPr="0055201E">
        <w:rPr>
          <w:rFonts w:ascii="Cambria" w:hAnsi="Cambria" w:cs="Arial"/>
          <w:sz w:val="24"/>
          <w:szCs w:val="24"/>
        </w:rPr>
        <w:t xml:space="preserve">that is, </w:t>
      </w:r>
      <w:r w:rsidRPr="0055201E">
        <w:rPr>
          <w:rFonts w:ascii="Cambria" w:hAnsi="Cambria" w:cs="Arial"/>
          <w:sz w:val="24"/>
          <w:szCs w:val="24"/>
        </w:rPr>
        <w:t xml:space="preserve">requiring court proceedings), </w:t>
      </w:r>
      <w:r w:rsidR="0055201E" w:rsidRPr="0055201E">
        <w:rPr>
          <w:rFonts w:ascii="Cambria" w:hAnsi="Cambria" w:cs="Arial"/>
          <w:sz w:val="24"/>
          <w:szCs w:val="24"/>
        </w:rPr>
        <w:t xml:space="preserve">far </w:t>
      </w:r>
      <w:r w:rsidRPr="0055201E">
        <w:rPr>
          <w:rFonts w:ascii="Cambria" w:hAnsi="Cambria" w:cs="Arial"/>
          <w:sz w:val="24"/>
          <w:szCs w:val="24"/>
        </w:rPr>
        <w:t xml:space="preserve">outweigh </w:t>
      </w:r>
      <w:r w:rsidR="0055201E" w:rsidRPr="0055201E">
        <w:rPr>
          <w:rFonts w:ascii="Cambria" w:hAnsi="Cambria" w:cs="Arial"/>
          <w:sz w:val="24"/>
          <w:szCs w:val="24"/>
        </w:rPr>
        <w:t xml:space="preserve">any perceived advantages of flexibility in respect of out-of-court alternatives. </w:t>
      </w:r>
    </w:p>
    <w:p w14:paraId="6144B694" w14:textId="77777777" w:rsidR="0055201E" w:rsidRPr="0055201E" w:rsidRDefault="0055201E" w:rsidP="0055201E">
      <w:pPr>
        <w:pStyle w:val="ListParagraph"/>
        <w:ind w:left="426"/>
        <w:jc w:val="both"/>
        <w:rPr>
          <w:rFonts w:ascii="Cambria" w:hAnsi="Cambria" w:cs="Arial"/>
          <w:sz w:val="24"/>
          <w:szCs w:val="24"/>
        </w:rPr>
      </w:pPr>
    </w:p>
    <w:p w14:paraId="32647322" w14:textId="2F70F0F8" w:rsidR="000A7793" w:rsidRPr="007A3EF0" w:rsidRDefault="000D3B69" w:rsidP="000D3B69">
      <w:pPr>
        <w:pStyle w:val="ListParagraph"/>
        <w:numPr>
          <w:ilvl w:val="0"/>
          <w:numId w:val="5"/>
        </w:numPr>
        <w:ind w:left="426" w:hanging="284"/>
        <w:jc w:val="both"/>
        <w:rPr>
          <w:rFonts w:ascii="Cambria" w:hAnsi="Cambria" w:cs="Arial"/>
          <w:sz w:val="24"/>
          <w:szCs w:val="24"/>
        </w:rPr>
      </w:pPr>
      <w:r w:rsidRPr="007A3EF0">
        <w:rPr>
          <w:rFonts w:ascii="Cambria" w:hAnsi="Cambria" w:cs="Arial"/>
          <w:sz w:val="24"/>
          <w:szCs w:val="24"/>
        </w:rPr>
        <w:t xml:space="preserve">In </w:t>
      </w:r>
      <w:r w:rsidR="0055201E">
        <w:rPr>
          <w:rFonts w:ascii="Cambria" w:hAnsi="Cambria" w:cs="Arial"/>
          <w:sz w:val="24"/>
          <w:szCs w:val="24"/>
        </w:rPr>
        <w:t>the context of</w:t>
      </w:r>
      <w:r w:rsidRPr="007A3EF0">
        <w:rPr>
          <w:rFonts w:ascii="Cambria" w:hAnsi="Cambria" w:cs="Arial"/>
          <w:sz w:val="24"/>
          <w:szCs w:val="24"/>
        </w:rPr>
        <w:t xml:space="preserve"> informal restructuring everything </w:t>
      </w:r>
      <w:r w:rsidR="0055201E">
        <w:rPr>
          <w:rFonts w:ascii="Cambria" w:hAnsi="Cambria" w:cs="Arial"/>
          <w:sz w:val="24"/>
          <w:szCs w:val="24"/>
        </w:rPr>
        <w:t>is open to negotiation and subject to</w:t>
      </w:r>
      <w:r w:rsidRPr="007A3EF0">
        <w:rPr>
          <w:rFonts w:ascii="Cambria" w:hAnsi="Cambria" w:cs="Arial"/>
          <w:sz w:val="24"/>
          <w:szCs w:val="24"/>
        </w:rPr>
        <w:t xml:space="preserve"> mutual agreement among the debtors and </w:t>
      </w:r>
      <w:proofErr w:type="gramStart"/>
      <w:r w:rsidRPr="007A3EF0">
        <w:rPr>
          <w:rFonts w:ascii="Cambria" w:hAnsi="Cambria" w:cs="Arial"/>
          <w:sz w:val="24"/>
          <w:szCs w:val="24"/>
        </w:rPr>
        <w:t>creditors</w:t>
      </w:r>
      <w:proofErr w:type="gramEnd"/>
      <w:r w:rsidR="0055201E">
        <w:rPr>
          <w:rFonts w:ascii="Cambria" w:hAnsi="Cambria" w:cs="Arial"/>
          <w:sz w:val="24"/>
          <w:szCs w:val="24"/>
        </w:rPr>
        <w:t xml:space="preserve"> groups.</w:t>
      </w:r>
    </w:p>
    <w:p w14:paraId="52A1A57C" w14:textId="77777777" w:rsidR="000A7793" w:rsidRPr="007A3EF0" w:rsidRDefault="000A7793" w:rsidP="000A7793">
      <w:pPr>
        <w:pStyle w:val="ListParagraph"/>
        <w:rPr>
          <w:rFonts w:ascii="Cambria" w:hAnsi="Cambria" w:cs="Arial"/>
          <w:sz w:val="24"/>
          <w:szCs w:val="24"/>
        </w:rPr>
      </w:pPr>
    </w:p>
    <w:p w14:paraId="0542EC37" w14:textId="338485FB" w:rsidR="000A7793" w:rsidRPr="007A3EF0" w:rsidRDefault="0055201E" w:rsidP="000D3B69">
      <w:pPr>
        <w:pStyle w:val="ListParagraph"/>
        <w:numPr>
          <w:ilvl w:val="0"/>
          <w:numId w:val="5"/>
        </w:numPr>
        <w:ind w:left="426" w:hanging="284"/>
        <w:jc w:val="both"/>
        <w:rPr>
          <w:rFonts w:ascii="Cambria" w:hAnsi="Cambria" w:cs="Arial"/>
          <w:sz w:val="24"/>
          <w:szCs w:val="24"/>
        </w:rPr>
      </w:pPr>
      <w:r>
        <w:rPr>
          <w:rFonts w:ascii="Cambria" w:hAnsi="Cambria" w:cs="Arial"/>
          <w:sz w:val="24"/>
          <w:szCs w:val="24"/>
        </w:rPr>
        <w:t xml:space="preserve">The British Overseas Territory of the Turks and Caicos Islands (where I am a licensed insolvency practitioner, one of very few) insolvency regime lacks this flexibility. The TCI </w:t>
      </w:r>
      <w:r w:rsidR="000D3B69" w:rsidRPr="007A3EF0">
        <w:rPr>
          <w:rFonts w:ascii="Cambria" w:hAnsi="Cambria" w:cs="Arial"/>
          <w:sz w:val="24"/>
          <w:szCs w:val="24"/>
        </w:rPr>
        <w:t xml:space="preserve">Insolvency </w:t>
      </w:r>
      <w:r w:rsidR="006A564B" w:rsidRPr="007A3EF0">
        <w:rPr>
          <w:rFonts w:ascii="Cambria" w:hAnsi="Cambria" w:cs="Arial"/>
          <w:sz w:val="24"/>
          <w:szCs w:val="24"/>
        </w:rPr>
        <w:t>Ordinance</w:t>
      </w:r>
      <w:r w:rsidR="000D3B69" w:rsidRPr="007A3EF0">
        <w:rPr>
          <w:rFonts w:ascii="Cambria" w:hAnsi="Cambria" w:cs="Arial"/>
          <w:sz w:val="24"/>
          <w:szCs w:val="24"/>
        </w:rPr>
        <w:t xml:space="preserve"> under Part III </w:t>
      </w:r>
      <w:r>
        <w:rPr>
          <w:rFonts w:ascii="Cambria" w:hAnsi="Cambria" w:cs="Arial"/>
          <w:sz w:val="24"/>
          <w:szCs w:val="24"/>
        </w:rPr>
        <w:t xml:space="preserve">thereof </w:t>
      </w:r>
      <w:r w:rsidR="000D3B69" w:rsidRPr="007A3EF0">
        <w:rPr>
          <w:rFonts w:ascii="Cambria" w:hAnsi="Cambria" w:cs="Arial"/>
          <w:sz w:val="24"/>
          <w:szCs w:val="24"/>
        </w:rPr>
        <w:t xml:space="preserve">(Company Arrangements) only permits of the possibility of a debt restructuring </w:t>
      </w:r>
      <w:r>
        <w:rPr>
          <w:rFonts w:ascii="Cambria" w:hAnsi="Cambria" w:cs="Arial"/>
          <w:sz w:val="24"/>
          <w:szCs w:val="24"/>
        </w:rPr>
        <w:t xml:space="preserve">(i) </w:t>
      </w:r>
      <w:r w:rsidR="000D3B69" w:rsidRPr="007A3EF0">
        <w:rPr>
          <w:rFonts w:ascii="Cambria" w:hAnsi="Cambria" w:cs="Arial"/>
          <w:sz w:val="24"/>
          <w:szCs w:val="24"/>
        </w:rPr>
        <w:t xml:space="preserve">under </w:t>
      </w:r>
      <w:r>
        <w:rPr>
          <w:rFonts w:ascii="Cambria" w:hAnsi="Cambria" w:cs="Arial"/>
          <w:sz w:val="24"/>
          <w:szCs w:val="24"/>
        </w:rPr>
        <w:t xml:space="preserve">narrow and specific circumstances and (ii) even then still leaves </w:t>
      </w:r>
      <w:r w:rsidR="000D3B69" w:rsidRPr="007A3EF0">
        <w:rPr>
          <w:rFonts w:ascii="Cambria" w:hAnsi="Cambria" w:cs="Arial"/>
          <w:sz w:val="24"/>
          <w:szCs w:val="24"/>
        </w:rPr>
        <w:t xml:space="preserve">a creditor </w:t>
      </w:r>
      <w:r>
        <w:rPr>
          <w:rFonts w:ascii="Cambria" w:hAnsi="Cambria" w:cs="Arial"/>
          <w:sz w:val="24"/>
          <w:szCs w:val="24"/>
        </w:rPr>
        <w:t xml:space="preserve">able </w:t>
      </w:r>
      <w:r w:rsidR="000D3B69" w:rsidRPr="007A3EF0">
        <w:rPr>
          <w:rFonts w:ascii="Cambria" w:hAnsi="Cambria" w:cs="Arial"/>
          <w:sz w:val="24"/>
          <w:szCs w:val="24"/>
        </w:rPr>
        <w:t>to complain by application to the court</w:t>
      </w:r>
      <w:r w:rsidR="000D3B69" w:rsidRPr="007A3EF0">
        <w:rPr>
          <w:rStyle w:val="FootnoteReference"/>
          <w:rFonts w:ascii="Cambria" w:hAnsi="Cambria" w:cs="Arial"/>
          <w:sz w:val="24"/>
          <w:szCs w:val="24"/>
        </w:rPr>
        <w:footnoteReference w:id="3"/>
      </w:r>
      <w:r w:rsidR="00961584">
        <w:rPr>
          <w:rFonts w:ascii="Cambria" w:hAnsi="Cambria" w:cs="Arial"/>
          <w:sz w:val="24"/>
          <w:szCs w:val="24"/>
        </w:rPr>
        <w:t>.</w:t>
      </w:r>
    </w:p>
    <w:p w14:paraId="736CBF70" w14:textId="77777777" w:rsidR="000A7793" w:rsidRPr="007A3EF0" w:rsidRDefault="000A7793" w:rsidP="000A7793">
      <w:pPr>
        <w:pStyle w:val="ListParagraph"/>
        <w:rPr>
          <w:rFonts w:ascii="Cambria" w:hAnsi="Cambria" w:cs="Arial"/>
          <w:sz w:val="24"/>
          <w:szCs w:val="24"/>
        </w:rPr>
      </w:pPr>
    </w:p>
    <w:p w14:paraId="110FF2B6" w14:textId="0614DB73" w:rsidR="000A7793" w:rsidRDefault="000D3B69" w:rsidP="00CD2AD8">
      <w:pPr>
        <w:pStyle w:val="ListParagraph"/>
        <w:numPr>
          <w:ilvl w:val="0"/>
          <w:numId w:val="5"/>
        </w:numPr>
        <w:ind w:left="426" w:hanging="284"/>
        <w:jc w:val="both"/>
        <w:rPr>
          <w:rFonts w:ascii="Cambria" w:hAnsi="Cambria" w:cs="Arial"/>
          <w:sz w:val="24"/>
          <w:szCs w:val="24"/>
        </w:rPr>
      </w:pPr>
      <w:r w:rsidRPr="00961584">
        <w:rPr>
          <w:rFonts w:ascii="Cambria" w:hAnsi="Cambria" w:cs="Arial"/>
          <w:sz w:val="24"/>
          <w:szCs w:val="24"/>
        </w:rPr>
        <w:t xml:space="preserve">An informal restructuring takes place without </w:t>
      </w:r>
      <w:r w:rsidR="00961584" w:rsidRPr="00961584">
        <w:rPr>
          <w:rFonts w:ascii="Cambria" w:hAnsi="Cambria" w:cs="Arial"/>
          <w:sz w:val="24"/>
          <w:szCs w:val="24"/>
        </w:rPr>
        <w:t xml:space="preserve">outside </w:t>
      </w:r>
      <w:proofErr w:type="gramStart"/>
      <w:r w:rsidRPr="00961584">
        <w:rPr>
          <w:rFonts w:ascii="Cambria" w:hAnsi="Cambria" w:cs="Arial"/>
          <w:sz w:val="24"/>
          <w:szCs w:val="24"/>
        </w:rPr>
        <w:t>the scrutiny</w:t>
      </w:r>
      <w:proofErr w:type="gramEnd"/>
      <w:r w:rsidRPr="00961584">
        <w:rPr>
          <w:rFonts w:ascii="Cambria" w:hAnsi="Cambria" w:cs="Arial"/>
          <w:sz w:val="24"/>
          <w:szCs w:val="24"/>
        </w:rPr>
        <w:t xml:space="preserve"> of the outside world</w:t>
      </w:r>
      <w:r w:rsidR="00961584" w:rsidRPr="00961584">
        <w:rPr>
          <w:rFonts w:ascii="Cambria" w:hAnsi="Cambria" w:cs="Arial"/>
          <w:sz w:val="24"/>
          <w:szCs w:val="24"/>
        </w:rPr>
        <w:t xml:space="preserve">. </w:t>
      </w:r>
      <w:r w:rsidRPr="00961584">
        <w:rPr>
          <w:rFonts w:ascii="Cambria" w:hAnsi="Cambria" w:cs="Arial"/>
          <w:sz w:val="24"/>
          <w:szCs w:val="24"/>
        </w:rPr>
        <w:t>A TCI Company Arrangement, the nearest comparator to an informal restructuring</w:t>
      </w:r>
      <w:r w:rsidR="00961584" w:rsidRPr="00961584">
        <w:rPr>
          <w:rFonts w:ascii="Cambria" w:hAnsi="Cambria" w:cs="Arial"/>
          <w:sz w:val="24"/>
          <w:szCs w:val="24"/>
        </w:rPr>
        <w:t xml:space="preserve"> is vulnerable to a dissatisfied creditor taking the process into the court system</w:t>
      </w:r>
      <w:r w:rsidRPr="00961584">
        <w:rPr>
          <w:rFonts w:ascii="Cambria" w:hAnsi="Cambria" w:cs="Arial"/>
          <w:sz w:val="24"/>
          <w:szCs w:val="24"/>
        </w:rPr>
        <w:t xml:space="preserve">. </w:t>
      </w:r>
    </w:p>
    <w:p w14:paraId="1888DCFC" w14:textId="77777777" w:rsidR="00961584" w:rsidRPr="00961584" w:rsidRDefault="00961584" w:rsidP="00961584">
      <w:pPr>
        <w:pStyle w:val="ListParagraph"/>
        <w:rPr>
          <w:rFonts w:ascii="Cambria" w:hAnsi="Cambria" w:cs="Arial"/>
          <w:sz w:val="24"/>
          <w:szCs w:val="24"/>
        </w:rPr>
      </w:pPr>
    </w:p>
    <w:p w14:paraId="75D8C84B" w14:textId="77777777" w:rsidR="00961584" w:rsidRPr="007A3EF0" w:rsidRDefault="00961584" w:rsidP="00961584">
      <w:pPr>
        <w:pStyle w:val="ListParagraph"/>
        <w:ind w:left="426"/>
        <w:jc w:val="both"/>
        <w:rPr>
          <w:rFonts w:ascii="Cambria" w:hAnsi="Cambria" w:cs="Arial"/>
          <w:sz w:val="24"/>
          <w:szCs w:val="24"/>
        </w:rPr>
      </w:pPr>
    </w:p>
    <w:p w14:paraId="7714088F" w14:textId="77777777" w:rsidR="00C125A4" w:rsidRDefault="000D3B69" w:rsidP="000D3B69">
      <w:pPr>
        <w:pStyle w:val="ListParagraph"/>
        <w:numPr>
          <w:ilvl w:val="0"/>
          <w:numId w:val="5"/>
        </w:numPr>
        <w:ind w:left="426" w:hanging="284"/>
        <w:jc w:val="both"/>
        <w:rPr>
          <w:rFonts w:ascii="Cambria" w:hAnsi="Cambria" w:cs="Arial"/>
          <w:sz w:val="24"/>
          <w:szCs w:val="24"/>
        </w:rPr>
      </w:pPr>
      <w:r w:rsidRPr="007A3EF0">
        <w:rPr>
          <w:rFonts w:ascii="Cambria" w:hAnsi="Cambria" w:cs="Arial"/>
          <w:sz w:val="24"/>
          <w:szCs w:val="24"/>
        </w:rPr>
        <w:t>An informal restructuring</w:t>
      </w:r>
      <w:r w:rsidR="00961584">
        <w:rPr>
          <w:rFonts w:ascii="Cambria" w:hAnsi="Cambria" w:cs="Arial"/>
          <w:sz w:val="24"/>
          <w:szCs w:val="24"/>
        </w:rPr>
        <w:t xml:space="preserve">, if remaining that, </w:t>
      </w:r>
      <w:r w:rsidRPr="007A3EF0">
        <w:rPr>
          <w:rFonts w:ascii="Cambria" w:hAnsi="Cambria" w:cs="Arial"/>
          <w:sz w:val="24"/>
          <w:szCs w:val="24"/>
        </w:rPr>
        <w:t xml:space="preserve">will </w:t>
      </w:r>
      <w:r w:rsidR="00C125A4">
        <w:rPr>
          <w:rFonts w:ascii="Cambria" w:hAnsi="Cambria" w:cs="Arial"/>
          <w:sz w:val="24"/>
          <w:szCs w:val="24"/>
        </w:rPr>
        <w:t xml:space="preserve">leave </w:t>
      </w:r>
      <w:r w:rsidRPr="007A3EF0">
        <w:rPr>
          <w:rFonts w:ascii="Cambria" w:hAnsi="Cambria" w:cs="Arial"/>
          <w:sz w:val="24"/>
          <w:szCs w:val="24"/>
        </w:rPr>
        <w:t xml:space="preserve">the debtor’s management in control of the company </w:t>
      </w:r>
      <w:r w:rsidR="00C125A4">
        <w:rPr>
          <w:rFonts w:ascii="Cambria" w:hAnsi="Cambria" w:cs="Arial"/>
          <w:sz w:val="24"/>
          <w:szCs w:val="24"/>
        </w:rPr>
        <w:t>and which continues to trade.</w:t>
      </w:r>
    </w:p>
    <w:p w14:paraId="52AD91F2" w14:textId="77777777" w:rsidR="00C125A4" w:rsidRDefault="00C125A4" w:rsidP="00C125A4">
      <w:pPr>
        <w:pStyle w:val="ListParagraph"/>
        <w:ind w:left="426"/>
        <w:jc w:val="both"/>
        <w:rPr>
          <w:rFonts w:ascii="Cambria" w:hAnsi="Cambria" w:cs="Arial"/>
          <w:sz w:val="24"/>
          <w:szCs w:val="24"/>
        </w:rPr>
      </w:pPr>
    </w:p>
    <w:p w14:paraId="2EFE2933" w14:textId="0C1FDEFC" w:rsidR="000D3B69" w:rsidRPr="007A3EF0" w:rsidRDefault="00C125A4" w:rsidP="000D3B69">
      <w:pPr>
        <w:pStyle w:val="ListParagraph"/>
        <w:numPr>
          <w:ilvl w:val="0"/>
          <w:numId w:val="5"/>
        </w:numPr>
        <w:ind w:left="426" w:hanging="284"/>
        <w:jc w:val="both"/>
        <w:rPr>
          <w:rFonts w:ascii="Cambria" w:hAnsi="Cambria" w:cs="Arial"/>
          <w:sz w:val="24"/>
          <w:szCs w:val="24"/>
        </w:rPr>
      </w:pPr>
      <w:r>
        <w:rPr>
          <w:rFonts w:ascii="Cambria" w:hAnsi="Cambria" w:cs="Arial"/>
          <w:sz w:val="24"/>
          <w:szCs w:val="24"/>
        </w:rPr>
        <w:t xml:space="preserve"> </w:t>
      </w:r>
      <w:r w:rsidR="000D3B69" w:rsidRPr="007A3EF0">
        <w:rPr>
          <w:rFonts w:ascii="Cambria" w:hAnsi="Cambria" w:cs="Arial"/>
          <w:sz w:val="24"/>
          <w:szCs w:val="24"/>
        </w:rPr>
        <w:t xml:space="preserve">The </w:t>
      </w:r>
      <w:r>
        <w:rPr>
          <w:rFonts w:ascii="Cambria" w:hAnsi="Cambria" w:cs="Arial"/>
          <w:sz w:val="24"/>
          <w:szCs w:val="24"/>
        </w:rPr>
        <w:t xml:space="preserve">informal </w:t>
      </w:r>
      <w:r w:rsidR="000D3B69" w:rsidRPr="007A3EF0">
        <w:rPr>
          <w:rFonts w:ascii="Cambria" w:hAnsi="Cambria" w:cs="Arial"/>
          <w:sz w:val="24"/>
          <w:szCs w:val="24"/>
        </w:rPr>
        <w:t xml:space="preserve">restructuring process </w:t>
      </w:r>
      <w:r>
        <w:rPr>
          <w:rFonts w:ascii="Cambria" w:hAnsi="Cambria" w:cs="Arial"/>
          <w:sz w:val="24"/>
          <w:szCs w:val="24"/>
        </w:rPr>
        <w:t xml:space="preserve">has scope, </w:t>
      </w:r>
      <w:r w:rsidR="000D3B69" w:rsidRPr="007A3EF0">
        <w:rPr>
          <w:rFonts w:ascii="Cambria" w:hAnsi="Cambria" w:cs="Arial"/>
          <w:sz w:val="24"/>
          <w:szCs w:val="24"/>
        </w:rPr>
        <w:t>therefore</w:t>
      </w:r>
      <w:r>
        <w:rPr>
          <w:rFonts w:ascii="Cambria" w:hAnsi="Cambria" w:cs="Arial"/>
          <w:sz w:val="24"/>
          <w:szCs w:val="24"/>
        </w:rPr>
        <w:t>, to</w:t>
      </w:r>
      <w:r w:rsidR="000D3B69" w:rsidRPr="007A3EF0">
        <w:rPr>
          <w:rFonts w:ascii="Cambria" w:hAnsi="Cambria" w:cs="Arial"/>
          <w:sz w:val="24"/>
          <w:szCs w:val="24"/>
        </w:rPr>
        <w:t xml:space="preserve"> quicker than a </w:t>
      </w:r>
      <w:r w:rsidR="000A7793" w:rsidRPr="007A3EF0">
        <w:rPr>
          <w:rFonts w:ascii="Cambria" w:hAnsi="Cambria" w:cs="Arial"/>
          <w:sz w:val="24"/>
          <w:szCs w:val="24"/>
        </w:rPr>
        <w:t xml:space="preserve">TCI </w:t>
      </w:r>
      <w:r w:rsidR="000D3B69" w:rsidRPr="007A3EF0">
        <w:rPr>
          <w:rFonts w:ascii="Cambria" w:hAnsi="Cambria" w:cs="Arial"/>
          <w:sz w:val="24"/>
          <w:szCs w:val="24"/>
        </w:rPr>
        <w:t>Company Arrangement which</w:t>
      </w:r>
      <w:r>
        <w:rPr>
          <w:rFonts w:ascii="Cambria" w:hAnsi="Cambria" w:cs="Arial"/>
          <w:sz w:val="24"/>
          <w:szCs w:val="24"/>
        </w:rPr>
        <w:t>,</w:t>
      </w:r>
      <w:r w:rsidR="000D3B69" w:rsidRPr="007A3EF0">
        <w:rPr>
          <w:rFonts w:ascii="Cambria" w:hAnsi="Cambria" w:cs="Arial"/>
          <w:sz w:val="24"/>
          <w:szCs w:val="24"/>
        </w:rPr>
        <w:t xml:space="preserve"> on top of the structuring of the arrangement</w:t>
      </w:r>
      <w:r w:rsidR="000A7793" w:rsidRPr="007A3EF0">
        <w:rPr>
          <w:rFonts w:ascii="Cambria" w:hAnsi="Cambria" w:cs="Arial"/>
          <w:sz w:val="24"/>
          <w:szCs w:val="24"/>
        </w:rPr>
        <w:t xml:space="preserve"> itself</w:t>
      </w:r>
      <w:r w:rsidR="000A7793" w:rsidRPr="007A3EF0">
        <w:rPr>
          <w:rStyle w:val="FootnoteReference"/>
          <w:rFonts w:ascii="Cambria" w:hAnsi="Cambria" w:cs="Arial"/>
          <w:sz w:val="24"/>
          <w:szCs w:val="24"/>
        </w:rPr>
        <w:footnoteReference w:id="4"/>
      </w:r>
      <w:r>
        <w:rPr>
          <w:rFonts w:ascii="Cambria" w:hAnsi="Cambria" w:cs="Arial"/>
          <w:sz w:val="24"/>
          <w:szCs w:val="24"/>
        </w:rPr>
        <w:t xml:space="preserve">, </w:t>
      </w:r>
      <w:r w:rsidR="000D3B69" w:rsidRPr="007A3EF0">
        <w:rPr>
          <w:rFonts w:ascii="Cambria" w:hAnsi="Cambria" w:cs="Arial"/>
          <w:sz w:val="24"/>
          <w:szCs w:val="24"/>
        </w:rPr>
        <w:t xml:space="preserve">will </w:t>
      </w:r>
      <w:r w:rsidR="000A7793" w:rsidRPr="007A3EF0">
        <w:rPr>
          <w:rFonts w:ascii="Cambria" w:hAnsi="Cambria" w:cs="Arial"/>
          <w:sz w:val="24"/>
          <w:szCs w:val="24"/>
        </w:rPr>
        <w:t>involve</w:t>
      </w:r>
      <w:r w:rsidR="000D3B69" w:rsidRPr="007A3EF0">
        <w:rPr>
          <w:rFonts w:ascii="Cambria" w:hAnsi="Cambria" w:cs="Arial"/>
          <w:sz w:val="24"/>
          <w:szCs w:val="24"/>
        </w:rPr>
        <w:t xml:space="preserve"> the multiple formalities</w:t>
      </w:r>
      <w:r>
        <w:rPr>
          <w:rFonts w:ascii="Cambria" w:hAnsi="Cambria" w:cs="Arial"/>
          <w:sz w:val="24"/>
          <w:szCs w:val="24"/>
        </w:rPr>
        <w:t xml:space="preserve">, satisfaction of </w:t>
      </w:r>
      <w:r w:rsidR="000D3B69" w:rsidRPr="007A3EF0">
        <w:rPr>
          <w:rFonts w:ascii="Cambria" w:hAnsi="Cambria" w:cs="Arial"/>
          <w:sz w:val="24"/>
          <w:szCs w:val="24"/>
        </w:rPr>
        <w:t xml:space="preserve">which are required by the Insolvency </w:t>
      </w:r>
      <w:r w:rsidR="003B6A41" w:rsidRPr="007A3EF0">
        <w:rPr>
          <w:rFonts w:ascii="Cambria" w:hAnsi="Cambria" w:cs="Arial"/>
          <w:sz w:val="24"/>
          <w:szCs w:val="24"/>
        </w:rPr>
        <w:t>Ordinance</w:t>
      </w:r>
      <w:r w:rsidR="000D3B69" w:rsidRPr="007A3EF0">
        <w:rPr>
          <w:rFonts w:ascii="Cambria" w:hAnsi="Cambria" w:cs="Arial"/>
          <w:sz w:val="24"/>
          <w:szCs w:val="24"/>
        </w:rPr>
        <w:t xml:space="preserve"> </w:t>
      </w:r>
      <w:r w:rsidR="006A564B" w:rsidRPr="007A3EF0">
        <w:rPr>
          <w:rFonts w:ascii="Cambria" w:hAnsi="Cambria" w:cs="Arial"/>
          <w:sz w:val="24"/>
          <w:szCs w:val="24"/>
        </w:rPr>
        <w:t>(Part III of the Ordinance)</w:t>
      </w:r>
      <w:r w:rsidR="000D3B69" w:rsidRPr="007A3EF0">
        <w:rPr>
          <w:rFonts w:ascii="Cambria" w:hAnsi="Cambria" w:cs="Arial"/>
          <w:sz w:val="24"/>
          <w:szCs w:val="24"/>
        </w:rPr>
        <w:t xml:space="preserve">. </w:t>
      </w:r>
      <w:r w:rsidR="003B6A41" w:rsidRPr="007A3EF0">
        <w:rPr>
          <w:rFonts w:ascii="Cambria" w:hAnsi="Cambria" w:cs="Arial"/>
          <w:sz w:val="24"/>
          <w:szCs w:val="24"/>
        </w:rPr>
        <w:t>There is also still</w:t>
      </w:r>
      <w:r w:rsidR="000D3B69" w:rsidRPr="007A3EF0">
        <w:rPr>
          <w:rFonts w:ascii="Cambria" w:hAnsi="Cambria" w:cs="Arial"/>
          <w:sz w:val="24"/>
          <w:szCs w:val="24"/>
        </w:rPr>
        <w:t xml:space="preserve"> a requirement to appoint a Supervisor </w:t>
      </w:r>
      <w:r w:rsidR="003B6A41" w:rsidRPr="007A3EF0">
        <w:rPr>
          <w:rFonts w:ascii="Cambria" w:hAnsi="Cambria" w:cs="Arial"/>
          <w:sz w:val="24"/>
          <w:szCs w:val="24"/>
        </w:rPr>
        <w:t xml:space="preserve">under a Company Arrangement </w:t>
      </w:r>
      <w:r w:rsidR="000D3B69" w:rsidRPr="007A3EF0">
        <w:rPr>
          <w:rFonts w:ascii="Cambria" w:hAnsi="Cambria" w:cs="Arial"/>
          <w:sz w:val="24"/>
          <w:szCs w:val="24"/>
        </w:rPr>
        <w:t>who ultimately has control of the process. The Supervisor for example will have to present, among other things, a summary of the affairs of the company</w:t>
      </w:r>
      <w:r w:rsidR="000D3B69" w:rsidRPr="007A3EF0">
        <w:rPr>
          <w:rStyle w:val="FootnoteReference"/>
          <w:rFonts w:ascii="Cambria" w:hAnsi="Cambria" w:cs="Arial"/>
          <w:sz w:val="24"/>
          <w:szCs w:val="24"/>
        </w:rPr>
        <w:footnoteReference w:id="5"/>
      </w:r>
      <w:r w:rsidR="000D3B69" w:rsidRPr="007A3EF0">
        <w:rPr>
          <w:rFonts w:ascii="Cambria" w:hAnsi="Cambria" w:cs="Arial"/>
          <w:sz w:val="24"/>
          <w:szCs w:val="24"/>
        </w:rPr>
        <w:t>, their opinion as to whether the arrangement has a reasonable prospect of being implemented</w:t>
      </w:r>
      <w:r w:rsidR="000D3B69" w:rsidRPr="007A3EF0">
        <w:rPr>
          <w:rStyle w:val="FootnoteReference"/>
          <w:rFonts w:ascii="Cambria" w:hAnsi="Cambria" w:cs="Arial"/>
          <w:sz w:val="24"/>
          <w:szCs w:val="24"/>
        </w:rPr>
        <w:footnoteReference w:id="6"/>
      </w:r>
      <w:r w:rsidR="000D3B69" w:rsidRPr="007A3EF0">
        <w:rPr>
          <w:rFonts w:ascii="Cambria" w:hAnsi="Cambria" w:cs="Arial"/>
          <w:sz w:val="24"/>
          <w:szCs w:val="24"/>
        </w:rPr>
        <w:t xml:space="preserve"> and make proposals as to any necessary modification or alteration of the arrangement that they consider necessary</w:t>
      </w:r>
      <w:r w:rsidR="000D3B69" w:rsidRPr="007A3EF0">
        <w:rPr>
          <w:rStyle w:val="FootnoteReference"/>
          <w:rFonts w:ascii="Cambria" w:hAnsi="Cambria" w:cs="Arial"/>
          <w:sz w:val="24"/>
          <w:szCs w:val="24"/>
        </w:rPr>
        <w:footnoteReference w:id="7"/>
      </w:r>
      <w:r w:rsidR="000D3B69" w:rsidRPr="007A3EF0">
        <w:rPr>
          <w:rFonts w:ascii="Cambria" w:hAnsi="Cambria" w:cs="Arial"/>
          <w:sz w:val="24"/>
          <w:szCs w:val="24"/>
        </w:rPr>
        <w:t xml:space="preserve">. </w:t>
      </w:r>
    </w:p>
    <w:p w14:paraId="6E9E06C0" w14:textId="59C15792" w:rsidR="004C3455" w:rsidRPr="00C125A4" w:rsidRDefault="004C3455" w:rsidP="00C125A4">
      <w:pPr>
        <w:jc w:val="both"/>
        <w:rPr>
          <w:rFonts w:ascii="Cambria" w:hAnsi="Cambria" w:cs="Arial"/>
          <w:sz w:val="24"/>
          <w:szCs w:val="24"/>
        </w:rPr>
      </w:pPr>
    </w:p>
    <w:p w14:paraId="21753314" w14:textId="6DC228CF" w:rsidR="004C3455" w:rsidRPr="007A3EF0" w:rsidRDefault="000D3B69" w:rsidP="000D3B69">
      <w:pPr>
        <w:pStyle w:val="ListParagraph"/>
        <w:numPr>
          <w:ilvl w:val="0"/>
          <w:numId w:val="5"/>
        </w:numPr>
        <w:ind w:left="426" w:hanging="284"/>
        <w:jc w:val="both"/>
        <w:rPr>
          <w:rFonts w:ascii="Cambria" w:hAnsi="Cambria" w:cs="Arial"/>
          <w:sz w:val="24"/>
          <w:szCs w:val="24"/>
        </w:rPr>
      </w:pPr>
      <w:r w:rsidRPr="007A3EF0">
        <w:rPr>
          <w:rFonts w:ascii="Cambria" w:hAnsi="Cambria" w:cs="Arial"/>
          <w:sz w:val="24"/>
          <w:szCs w:val="24"/>
        </w:rPr>
        <w:t xml:space="preserve">The </w:t>
      </w:r>
      <w:r w:rsidR="00C125A4">
        <w:rPr>
          <w:rFonts w:ascii="Cambria" w:hAnsi="Cambria" w:cs="Arial"/>
          <w:sz w:val="24"/>
          <w:szCs w:val="24"/>
        </w:rPr>
        <w:t xml:space="preserve">two main </w:t>
      </w:r>
      <w:r w:rsidRPr="007A3EF0">
        <w:rPr>
          <w:rFonts w:ascii="Cambria" w:hAnsi="Cambria" w:cs="Arial"/>
          <w:sz w:val="24"/>
          <w:szCs w:val="24"/>
        </w:rPr>
        <w:t>disadvantage</w:t>
      </w:r>
      <w:r w:rsidR="00C125A4">
        <w:rPr>
          <w:rFonts w:ascii="Cambria" w:hAnsi="Cambria" w:cs="Arial"/>
          <w:sz w:val="24"/>
          <w:szCs w:val="24"/>
        </w:rPr>
        <w:t xml:space="preserve">s </w:t>
      </w:r>
      <w:r w:rsidRPr="007A3EF0">
        <w:rPr>
          <w:rFonts w:ascii="Cambria" w:hAnsi="Cambria" w:cs="Arial"/>
          <w:sz w:val="24"/>
          <w:szCs w:val="24"/>
        </w:rPr>
        <w:t xml:space="preserve">of an informal restructuring </w:t>
      </w:r>
      <w:proofErr w:type="gramStart"/>
      <w:r w:rsidRPr="007A3EF0">
        <w:rPr>
          <w:rFonts w:ascii="Cambria" w:hAnsi="Cambria" w:cs="Arial"/>
          <w:sz w:val="24"/>
          <w:szCs w:val="24"/>
        </w:rPr>
        <w:t>is</w:t>
      </w:r>
      <w:proofErr w:type="gramEnd"/>
      <w:r w:rsidRPr="007A3EF0">
        <w:rPr>
          <w:rFonts w:ascii="Cambria" w:hAnsi="Cambria" w:cs="Arial"/>
          <w:sz w:val="24"/>
          <w:szCs w:val="24"/>
        </w:rPr>
        <w:t xml:space="preserve"> that of operating outside the protection of the legislative moratorium</w:t>
      </w:r>
      <w:r w:rsidR="00C125A4">
        <w:rPr>
          <w:rFonts w:ascii="Cambria" w:hAnsi="Cambria" w:cs="Arial"/>
          <w:sz w:val="24"/>
          <w:szCs w:val="24"/>
        </w:rPr>
        <w:t xml:space="preserve"> (the automatic stay of proceedings) and – in some jurisdictions – the inability to prime DIP financing</w:t>
      </w:r>
      <w:r w:rsidRPr="007A3EF0">
        <w:rPr>
          <w:rFonts w:ascii="Cambria" w:hAnsi="Cambria" w:cs="Arial"/>
          <w:sz w:val="24"/>
          <w:szCs w:val="24"/>
        </w:rPr>
        <w:t xml:space="preserve">. </w:t>
      </w:r>
      <w:r w:rsidR="00C125A4">
        <w:rPr>
          <w:rFonts w:ascii="Cambria" w:hAnsi="Cambria" w:cs="Arial"/>
          <w:sz w:val="24"/>
          <w:szCs w:val="24"/>
        </w:rPr>
        <w:t>Without the automatic stay t</w:t>
      </w:r>
      <w:r w:rsidRPr="007A3EF0">
        <w:rPr>
          <w:rFonts w:ascii="Cambria" w:hAnsi="Cambria" w:cs="Arial"/>
          <w:sz w:val="24"/>
          <w:szCs w:val="24"/>
        </w:rPr>
        <w:t xml:space="preserve">he debtor will </w:t>
      </w:r>
      <w:r w:rsidR="00C125A4">
        <w:rPr>
          <w:rFonts w:ascii="Cambria" w:hAnsi="Cambria" w:cs="Arial"/>
          <w:sz w:val="24"/>
          <w:szCs w:val="24"/>
        </w:rPr>
        <w:t xml:space="preserve">remain </w:t>
      </w:r>
      <w:r w:rsidRPr="007A3EF0">
        <w:rPr>
          <w:rFonts w:ascii="Cambria" w:hAnsi="Cambria" w:cs="Arial"/>
          <w:sz w:val="24"/>
          <w:szCs w:val="24"/>
        </w:rPr>
        <w:t xml:space="preserve">exposed to </w:t>
      </w:r>
      <w:r w:rsidR="004C3455" w:rsidRPr="007A3EF0">
        <w:rPr>
          <w:rFonts w:ascii="Cambria" w:hAnsi="Cambria" w:cs="Arial"/>
          <w:sz w:val="24"/>
          <w:szCs w:val="24"/>
        </w:rPr>
        <w:t xml:space="preserve">individual </w:t>
      </w:r>
      <w:r w:rsidRPr="007A3EF0">
        <w:rPr>
          <w:rFonts w:ascii="Cambria" w:hAnsi="Cambria" w:cs="Arial"/>
          <w:sz w:val="24"/>
          <w:szCs w:val="24"/>
        </w:rPr>
        <w:t xml:space="preserve">collection efforts by creditors which may overwhelm it and prevent constructive efforts to </w:t>
      </w:r>
      <w:proofErr w:type="gramStart"/>
      <w:r w:rsidRPr="007A3EF0">
        <w:rPr>
          <w:rFonts w:ascii="Cambria" w:hAnsi="Cambria" w:cs="Arial"/>
          <w:sz w:val="24"/>
          <w:szCs w:val="24"/>
        </w:rPr>
        <w:t>effect</w:t>
      </w:r>
      <w:proofErr w:type="gramEnd"/>
      <w:r w:rsidRPr="007A3EF0">
        <w:rPr>
          <w:rFonts w:ascii="Cambria" w:hAnsi="Cambria" w:cs="Arial"/>
          <w:sz w:val="24"/>
          <w:szCs w:val="24"/>
        </w:rPr>
        <w:t xml:space="preserve"> a restructuring plan. </w:t>
      </w:r>
      <w:r w:rsidR="00C125A4">
        <w:rPr>
          <w:rFonts w:ascii="Cambria" w:hAnsi="Cambria" w:cs="Arial"/>
          <w:sz w:val="24"/>
          <w:szCs w:val="24"/>
        </w:rPr>
        <w:t xml:space="preserve">Such a stay is available in </w:t>
      </w:r>
      <w:r w:rsidRPr="007A3EF0">
        <w:rPr>
          <w:rFonts w:ascii="Cambria" w:hAnsi="Cambria" w:cs="Arial"/>
          <w:sz w:val="24"/>
          <w:szCs w:val="24"/>
        </w:rPr>
        <w:t>TCI, both in respect of a Liquidation</w:t>
      </w:r>
      <w:r w:rsidRPr="007A3EF0">
        <w:rPr>
          <w:rStyle w:val="FootnoteReference"/>
          <w:rFonts w:ascii="Cambria" w:hAnsi="Cambria" w:cs="Arial"/>
          <w:sz w:val="24"/>
          <w:szCs w:val="24"/>
        </w:rPr>
        <w:footnoteReference w:id="8"/>
      </w:r>
      <w:r w:rsidRPr="007A3EF0">
        <w:rPr>
          <w:rFonts w:ascii="Cambria" w:hAnsi="Cambria" w:cs="Arial"/>
          <w:sz w:val="24"/>
          <w:szCs w:val="24"/>
        </w:rPr>
        <w:t xml:space="preserve"> and an Administration</w:t>
      </w:r>
      <w:r w:rsidRPr="007A3EF0">
        <w:rPr>
          <w:rStyle w:val="FootnoteReference"/>
          <w:rFonts w:ascii="Cambria" w:hAnsi="Cambria" w:cs="Arial"/>
          <w:sz w:val="24"/>
          <w:szCs w:val="24"/>
        </w:rPr>
        <w:footnoteReference w:id="9"/>
      </w:r>
      <w:r w:rsidRPr="007A3EF0">
        <w:rPr>
          <w:rFonts w:ascii="Cambria" w:hAnsi="Cambria" w:cs="Arial"/>
          <w:sz w:val="24"/>
          <w:szCs w:val="24"/>
        </w:rPr>
        <w:t xml:space="preserve">. </w:t>
      </w:r>
      <w:r w:rsidR="00C125A4">
        <w:rPr>
          <w:rFonts w:ascii="Cambria" w:hAnsi="Cambria" w:cs="Arial"/>
          <w:sz w:val="24"/>
          <w:szCs w:val="24"/>
        </w:rPr>
        <w:t xml:space="preserve">Such a stay </w:t>
      </w:r>
      <w:proofErr w:type="gramStart"/>
      <w:r w:rsidRPr="007A3EF0">
        <w:rPr>
          <w:rFonts w:ascii="Cambria" w:hAnsi="Cambria" w:cs="Arial"/>
          <w:sz w:val="24"/>
          <w:szCs w:val="24"/>
        </w:rPr>
        <w:t>not</w:t>
      </w:r>
      <w:proofErr w:type="gramEnd"/>
      <w:r w:rsidRPr="007A3EF0">
        <w:rPr>
          <w:rFonts w:ascii="Cambria" w:hAnsi="Cambria" w:cs="Arial"/>
          <w:sz w:val="24"/>
          <w:szCs w:val="24"/>
        </w:rPr>
        <w:t xml:space="preserve"> available </w:t>
      </w:r>
      <w:r w:rsidR="00A63058" w:rsidRPr="007A3EF0">
        <w:rPr>
          <w:rFonts w:ascii="Cambria" w:hAnsi="Cambria" w:cs="Arial"/>
          <w:sz w:val="24"/>
          <w:szCs w:val="24"/>
        </w:rPr>
        <w:t>upon</w:t>
      </w:r>
      <w:r w:rsidRPr="007A3EF0">
        <w:rPr>
          <w:rFonts w:ascii="Cambria" w:hAnsi="Cambria" w:cs="Arial"/>
          <w:sz w:val="24"/>
          <w:szCs w:val="24"/>
        </w:rPr>
        <w:t xml:space="preserve"> effecting a Company Arrangement</w:t>
      </w:r>
      <w:r w:rsidR="00C125A4">
        <w:rPr>
          <w:rFonts w:ascii="Cambria" w:hAnsi="Cambria" w:cs="Arial"/>
          <w:sz w:val="24"/>
          <w:szCs w:val="24"/>
        </w:rPr>
        <w:t xml:space="preserve">. DIP financing does not exist as a concept in TCI. </w:t>
      </w:r>
    </w:p>
    <w:p w14:paraId="1942F060" w14:textId="7C372546" w:rsidR="00EA2B14" w:rsidRPr="007A3EF0" w:rsidRDefault="00EA2B14" w:rsidP="007E5609">
      <w:pPr>
        <w:jc w:val="both"/>
        <w:rPr>
          <w:rFonts w:ascii="Cambria" w:hAnsi="Cambria" w:cs="Arial"/>
          <w:sz w:val="24"/>
          <w:szCs w:val="24"/>
        </w:rPr>
      </w:pPr>
    </w:p>
    <w:p w14:paraId="77FDB2B9" w14:textId="18DF2218" w:rsidR="00E80BC2" w:rsidRDefault="00E80BC2" w:rsidP="00E80BC2">
      <w:pPr>
        <w:pStyle w:val="ListParagraph"/>
        <w:ind w:left="284"/>
        <w:rPr>
          <w:rFonts w:ascii="Cambria" w:hAnsi="Cambria" w:cs="Arial"/>
          <w:b/>
          <w:bCs/>
          <w:sz w:val="24"/>
          <w:szCs w:val="24"/>
        </w:rPr>
      </w:pPr>
      <w:r w:rsidRPr="007A3EF0">
        <w:rPr>
          <w:rFonts w:ascii="Cambria" w:hAnsi="Cambria" w:cs="Arial"/>
          <w:b/>
          <w:bCs/>
          <w:sz w:val="24"/>
          <w:szCs w:val="24"/>
        </w:rPr>
        <w:t>Question</w:t>
      </w:r>
      <w:r w:rsidR="00613648" w:rsidRPr="007A3EF0">
        <w:rPr>
          <w:rFonts w:ascii="Cambria" w:hAnsi="Cambria" w:cs="Arial"/>
          <w:b/>
          <w:bCs/>
          <w:sz w:val="24"/>
          <w:szCs w:val="24"/>
        </w:rPr>
        <w:t xml:space="preserve"> 3</w:t>
      </w:r>
      <w:r w:rsidRPr="007A3EF0">
        <w:rPr>
          <w:rFonts w:ascii="Cambria" w:hAnsi="Cambria" w:cs="Arial"/>
          <w:b/>
          <w:bCs/>
          <w:sz w:val="24"/>
          <w:szCs w:val="24"/>
        </w:rPr>
        <w:t xml:space="preserve"> </w:t>
      </w:r>
    </w:p>
    <w:p w14:paraId="03790F78" w14:textId="77777777" w:rsidR="00372AAE" w:rsidRPr="007A3EF0" w:rsidRDefault="00372AAE" w:rsidP="00E80BC2">
      <w:pPr>
        <w:pStyle w:val="ListParagraph"/>
        <w:ind w:left="284"/>
        <w:rPr>
          <w:rFonts w:ascii="Cambria" w:hAnsi="Cambria" w:cs="Arial"/>
          <w:b/>
          <w:bCs/>
          <w:sz w:val="24"/>
          <w:szCs w:val="24"/>
        </w:rPr>
      </w:pPr>
    </w:p>
    <w:p w14:paraId="583B07C2" w14:textId="783319C0" w:rsidR="00E80BC2" w:rsidRDefault="00372AAE" w:rsidP="00E80BC2">
      <w:pPr>
        <w:pStyle w:val="ListParagraph"/>
        <w:ind w:left="284"/>
        <w:rPr>
          <w:rFonts w:ascii="Cambria" w:hAnsi="Cambria" w:cs="Arial"/>
          <w:b/>
          <w:bCs/>
          <w:sz w:val="24"/>
          <w:szCs w:val="24"/>
        </w:rPr>
      </w:pPr>
      <w:r w:rsidRPr="00372AAE">
        <w:rPr>
          <w:rFonts w:ascii="Cambria" w:hAnsi="Cambria" w:cs="Arial"/>
          <w:b/>
          <w:bCs/>
          <w:sz w:val="24"/>
          <w:szCs w:val="24"/>
        </w:rPr>
        <w:drawing>
          <wp:inline distT="0" distB="0" distL="0" distR="0" wp14:anchorId="5B6FD050" wp14:editId="6B9766C0">
            <wp:extent cx="5553850" cy="704948"/>
            <wp:effectExtent l="0" t="0" r="8890" b="0"/>
            <wp:docPr id="1708613815"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8613815" name="Picture 1" descr="Text&#10;&#10;Description automatically generated"/>
                    <pic:cNvPicPr/>
                  </pic:nvPicPr>
                  <pic:blipFill>
                    <a:blip r:embed="rId10"/>
                    <a:stretch>
                      <a:fillRect/>
                    </a:stretch>
                  </pic:blipFill>
                  <pic:spPr>
                    <a:xfrm>
                      <a:off x="0" y="0"/>
                      <a:ext cx="5553850" cy="704948"/>
                    </a:xfrm>
                    <a:prstGeom prst="rect">
                      <a:avLst/>
                    </a:prstGeom>
                  </pic:spPr>
                </pic:pic>
              </a:graphicData>
            </a:graphic>
          </wp:inline>
        </w:drawing>
      </w:r>
    </w:p>
    <w:p w14:paraId="4C74938D" w14:textId="4D2F8FD2" w:rsidR="00372AAE" w:rsidRDefault="00372AAE" w:rsidP="00372AAE">
      <w:pPr>
        <w:jc w:val="both"/>
        <w:rPr>
          <w:rFonts w:ascii="Cambria" w:hAnsi="Cambria" w:cs="Arial"/>
          <w:i/>
          <w:iCs/>
          <w:sz w:val="24"/>
          <w:szCs w:val="24"/>
        </w:rPr>
      </w:pPr>
      <w:r>
        <w:rPr>
          <w:rFonts w:ascii="Cambria" w:hAnsi="Cambria" w:cs="Arial"/>
          <w:i/>
          <w:iCs/>
          <w:sz w:val="24"/>
          <w:szCs w:val="24"/>
        </w:rPr>
        <w:t xml:space="preserve">Summary answer: </w:t>
      </w:r>
      <w:r w:rsidRPr="00372AAE">
        <w:rPr>
          <w:rFonts w:ascii="Cambria" w:hAnsi="Cambria" w:cs="Arial"/>
          <w:i/>
          <w:iCs/>
          <w:sz w:val="24"/>
          <w:szCs w:val="24"/>
        </w:rPr>
        <w:t xml:space="preserve">Flow’s management did integrate both retrenchment and recovery activities to the benefit of the </w:t>
      </w:r>
      <w:proofErr w:type="spellStart"/>
      <w:r w:rsidRPr="00372AAE">
        <w:rPr>
          <w:rFonts w:ascii="Cambria" w:hAnsi="Cambria" w:cs="Arial"/>
          <w:i/>
          <w:iCs/>
          <w:sz w:val="24"/>
          <w:szCs w:val="24"/>
        </w:rPr>
        <w:t>organisation</w:t>
      </w:r>
      <w:proofErr w:type="spellEnd"/>
      <w:r w:rsidRPr="00372AAE">
        <w:rPr>
          <w:rFonts w:ascii="Cambria" w:hAnsi="Cambria" w:cs="Arial"/>
          <w:i/>
          <w:iCs/>
          <w:sz w:val="24"/>
          <w:szCs w:val="24"/>
        </w:rPr>
        <w:t>. For example, from the outset in December 2013, Flow’s management’s method of tackling the crisis included measures designed to both cut costs (retrenchment of staff, price increases) together with methods targeted at improving competitiveness</w:t>
      </w:r>
      <w:r>
        <w:rPr>
          <w:rFonts w:ascii="Cambria" w:hAnsi="Cambria" w:cs="Arial"/>
          <w:i/>
          <w:iCs/>
          <w:sz w:val="24"/>
          <w:szCs w:val="24"/>
        </w:rPr>
        <w:t>.</w:t>
      </w:r>
    </w:p>
    <w:p w14:paraId="74256CF8" w14:textId="77777777" w:rsidR="00372AAE" w:rsidRPr="00372AAE" w:rsidRDefault="00372AAE" w:rsidP="00372AAE">
      <w:pPr>
        <w:jc w:val="both"/>
        <w:rPr>
          <w:rFonts w:ascii="Cambria" w:hAnsi="Cambria" w:cs="Arial"/>
          <w:i/>
          <w:iCs/>
          <w:sz w:val="24"/>
          <w:szCs w:val="24"/>
        </w:rPr>
      </w:pPr>
    </w:p>
    <w:p w14:paraId="036F6848" w14:textId="77777777" w:rsidR="00372AAE" w:rsidRDefault="000E3343" w:rsidP="00EA2B14">
      <w:pPr>
        <w:pStyle w:val="ListParagraph"/>
        <w:numPr>
          <w:ilvl w:val="0"/>
          <w:numId w:val="5"/>
        </w:numPr>
        <w:ind w:left="284" w:hanging="284"/>
        <w:jc w:val="both"/>
        <w:rPr>
          <w:rFonts w:ascii="Cambria" w:hAnsi="Cambria" w:cs="Arial"/>
          <w:sz w:val="24"/>
          <w:szCs w:val="24"/>
        </w:rPr>
      </w:pPr>
      <w:proofErr w:type="spellStart"/>
      <w:r w:rsidRPr="007A3EF0">
        <w:rPr>
          <w:rFonts w:ascii="Cambria" w:hAnsi="Cambria" w:cs="Arial"/>
          <w:sz w:val="24"/>
          <w:szCs w:val="24"/>
        </w:rPr>
        <w:t>Adriaanse</w:t>
      </w:r>
      <w:proofErr w:type="spellEnd"/>
      <w:r w:rsidRPr="007A3EF0">
        <w:rPr>
          <w:rFonts w:ascii="Cambria" w:hAnsi="Cambria" w:cs="Arial"/>
          <w:sz w:val="24"/>
          <w:szCs w:val="24"/>
        </w:rPr>
        <w:t xml:space="preserve"> et al argue that for various reasons an “informal </w:t>
      </w:r>
      <w:proofErr w:type="spellStart"/>
      <w:r w:rsidRPr="007A3EF0">
        <w:rPr>
          <w:rFonts w:ascii="Cambria" w:hAnsi="Cambria" w:cs="Arial"/>
          <w:sz w:val="24"/>
          <w:szCs w:val="24"/>
        </w:rPr>
        <w:t>reorganis</w:t>
      </w:r>
      <w:r w:rsidR="00372AAE">
        <w:rPr>
          <w:rFonts w:ascii="Cambria" w:hAnsi="Cambria" w:cs="Arial"/>
          <w:sz w:val="24"/>
          <w:szCs w:val="24"/>
        </w:rPr>
        <w:t>a</w:t>
      </w:r>
      <w:r w:rsidRPr="007A3EF0">
        <w:rPr>
          <w:rFonts w:ascii="Cambria" w:hAnsi="Cambria" w:cs="Arial"/>
          <w:sz w:val="24"/>
          <w:szCs w:val="24"/>
        </w:rPr>
        <w:t>tion</w:t>
      </w:r>
      <w:proofErr w:type="spellEnd"/>
      <w:r w:rsidRPr="007A3EF0">
        <w:rPr>
          <w:rFonts w:ascii="Cambria" w:hAnsi="Cambria" w:cs="Arial"/>
          <w:sz w:val="24"/>
          <w:szCs w:val="24"/>
        </w:rPr>
        <w:t xml:space="preserve">” is often the more advantageous route through </w:t>
      </w:r>
      <w:r w:rsidR="00F931E0" w:rsidRPr="007A3EF0">
        <w:rPr>
          <w:rFonts w:ascii="Cambria" w:hAnsi="Cambria" w:cs="Arial"/>
          <w:sz w:val="24"/>
          <w:szCs w:val="24"/>
        </w:rPr>
        <w:t xml:space="preserve">organisational </w:t>
      </w:r>
      <w:r w:rsidRPr="007A3EF0">
        <w:rPr>
          <w:rFonts w:ascii="Cambria" w:hAnsi="Cambria" w:cs="Arial"/>
          <w:sz w:val="24"/>
          <w:szCs w:val="24"/>
        </w:rPr>
        <w:t>cris</w:t>
      </w:r>
      <w:r w:rsidR="00E80BC2" w:rsidRPr="007A3EF0">
        <w:rPr>
          <w:rFonts w:ascii="Cambria" w:hAnsi="Cambria" w:cs="Arial"/>
          <w:sz w:val="24"/>
          <w:szCs w:val="24"/>
        </w:rPr>
        <w:t>i</w:t>
      </w:r>
      <w:r w:rsidRPr="007A3EF0">
        <w:rPr>
          <w:rFonts w:ascii="Cambria" w:hAnsi="Cambria" w:cs="Arial"/>
          <w:sz w:val="24"/>
          <w:szCs w:val="24"/>
        </w:rPr>
        <w:t xml:space="preserve">s relative to a “formal </w:t>
      </w:r>
      <w:proofErr w:type="spellStart"/>
      <w:r w:rsidRPr="007A3EF0">
        <w:rPr>
          <w:rFonts w:ascii="Cambria" w:hAnsi="Cambria" w:cs="Arial"/>
          <w:sz w:val="24"/>
          <w:szCs w:val="24"/>
        </w:rPr>
        <w:t>reorganis</w:t>
      </w:r>
      <w:r w:rsidR="00372AAE">
        <w:rPr>
          <w:rFonts w:ascii="Cambria" w:hAnsi="Cambria" w:cs="Arial"/>
          <w:sz w:val="24"/>
          <w:szCs w:val="24"/>
        </w:rPr>
        <w:t>a</w:t>
      </w:r>
      <w:r w:rsidRPr="007A3EF0">
        <w:rPr>
          <w:rFonts w:ascii="Cambria" w:hAnsi="Cambria" w:cs="Arial"/>
          <w:sz w:val="24"/>
          <w:szCs w:val="24"/>
        </w:rPr>
        <w:t>tion</w:t>
      </w:r>
      <w:proofErr w:type="spellEnd"/>
      <w:r w:rsidRPr="007A3EF0">
        <w:rPr>
          <w:rFonts w:ascii="Cambria" w:hAnsi="Cambria" w:cs="Arial"/>
          <w:sz w:val="24"/>
          <w:szCs w:val="24"/>
        </w:rPr>
        <w:t xml:space="preserve">”. By “formal </w:t>
      </w:r>
      <w:proofErr w:type="spellStart"/>
      <w:r w:rsidRPr="007A3EF0">
        <w:rPr>
          <w:rFonts w:ascii="Cambria" w:hAnsi="Cambria" w:cs="Arial"/>
          <w:sz w:val="24"/>
          <w:szCs w:val="24"/>
        </w:rPr>
        <w:t>reorgani</w:t>
      </w:r>
      <w:r w:rsidR="00372AAE">
        <w:rPr>
          <w:rFonts w:ascii="Cambria" w:hAnsi="Cambria" w:cs="Arial"/>
          <w:sz w:val="24"/>
          <w:szCs w:val="24"/>
        </w:rPr>
        <w:t>s</w:t>
      </w:r>
      <w:r w:rsidRPr="007A3EF0">
        <w:rPr>
          <w:rFonts w:ascii="Cambria" w:hAnsi="Cambria" w:cs="Arial"/>
          <w:sz w:val="24"/>
          <w:szCs w:val="24"/>
        </w:rPr>
        <w:t>ation</w:t>
      </w:r>
      <w:proofErr w:type="spellEnd"/>
      <w:r w:rsidRPr="007A3EF0">
        <w:rPr>
          <w:rFonts w:ascii="Cambria" w:hAnsi="Cambria" w:cs="Arial"/>
          <w:sz w:val="24"/>
          <w:szCs w:val="24"/>
        </w:rPr>
        <w:t xml:space="preserve">” what is meant is </w:t>
      </w:r>
      <w:r w:rsidR="00E80BC2" w:rsidRPr="007A3EF0">
        <w:rPr>
          <w:rFonts w:ascii="Cambria" w:hAnsi="Cambria" w:cs="Arial"/>
          <w:sz w:val="24"/>
          <w:szCs w:val="24"/>
        </w:rPr>
        <w:t>“</w:t>
      </w:r>
      <w:r w:rsidRPr="007A3EF0">
        <w:rPr>
          <w:rFonts w:ascii="Cambria" w:hAnsi="Cambria" w:cs="Arial"/>
          <w:sz w:val="24"/>
          <w:szCs w:val="24"/>
        </w:rPr>
        <w:t xml:space="preserve">all possibilities of </w:t>
      </w:r>
      <w:proofErr w:type="spellStart"/>
      <w:r w:rsidRPr="007A3EF0">
        <w:rPr>
          <w:rFonts w:ascii="Cambria" w:hAnsi="Cambria" w:cs="Arial"/>
          <w:sz w:val="24"/>
          <w:szCs w:val="24"/>
        </w:rPr>
        <w:t>reorgan</w:t>
      </w:r>
      <w:r w:rsidR="00372AAE">
        <w:rPr>
          <w:rFonts w:ascii="Cambria" w:hAnsi="Cambria" w:cs="Arial"/>
          <w:sz w:val="24"/>
          <w:szCs w:val="24"/>
        </w:rPr>
        <w:t>s</w:t>
      </w:r>
      <w:r w:rsidRPr="007A3EF0">
        <w:rPr>
          <w:rFonts w:ascii="Cambria" w:hAnsi="Cambria" w:cs="Arial"/>
          <w:sz w:val="24"/>
          <w:szCs w:val="24"/>
        </w:rPr>
        <w:t>ation</w:t>
      </w:r>
      <w:proofErr w:type="spellEnd"/>
      <w:r w:rsidRPr="007A3EF0">
        <w:rPr>
          <w:rFonts w:ascii="Cambria" w:hAnsi="Cambria" w:cs="Arial"/>
          <w:sz w:val="24"/>
          <w:szCs w:val="24"/>
        </w:rPr>
        <w:t xml:space="preserve"> laid down by the (insolvency) law or which take place by using legal methods and possibilities”</w:t>
      </w:r>
      <w:r w:rsidRPr="007A3EF0">
        <w:rPr>
          <w:rStyle w:val="FootnoteReference"/>
          <w:rFonts w:ascii="Cambria" w:hAnsi="Cambria" w:cs="Arial"/>
          <w:sz w:val="24"/>
          <w:szCs w:val="24"/>
        </w:rPr>
        <w:footnoteReference w:id="10"/>
      </w:r>
      <w:r w:rsidR="00F931E0" w:rsidRPr="007A3EF0">
        <w:rPr>
          <w:rFonts w:ascii="Cambria" w:hAnsi="Cambria" w:cs="Arial"/>
          <w:sz w:val="24"/>
          <w:szCs w:val="24"/>
        </w:rPr>
        <w:t>.</w:t>
      </w:r>
      <w:r w:rsidR="00E80BC2" w:rsidRPr="007A3EF0">
        <w:rPr>
          <w:rFonts w:ascii="Cambria" w:hAnsi="Cambria" w:cs="Arial"/>
          <w:sz w:val="24"/>
          <w:szCs w:val="24"/>
        </w:rPr>
        <w:t xml:space="preserve"> An</w:t>
      </w:r>
      <w:r w:rsidR="00F931E0" w:rsidRPr="007A3EF0">
        <w:rPr>
          <w:rFonts w:ascii="Cambria" w:hAnsi="Cambria" w:cs="Arial"/>
          <w:sz w:val="24"/>
          <w:szCs w:val="24"/>
        </w:rPr>
        <w:t xml:space="preserve"> </w:t>
      </w:r>
      <w:r w:rsidR="00517414" w:rsidRPr="007A3EF0">
        <w:rPr>
          <w:rFonts w:ascii="Cambria" w:hAnsi="Cambria" w:cs="Arial"/>
          <w:sz w:val="24"/>
          <w:szCs w:val="24"/>
        </w:rPr>
        <w:t xml:space="preserve">informal </w:t>
      </w:r>
      <w:proofErr w:type="spellStart"/>
      <w:r w:rsidR="00E80BC2" w:rsidRPr="007A3EF0">
        <w:rPr>
          <w:rFonts w:ascii="Cambria" w:hAnsi="Cambria" w:cs="Arial"/>
          <w:sz w:val="24"/>
          <w:szCs w:val="24"/>
        </w:rPr>
        <w:t>reorgani</w:t>
      </w:r>
      <w:r w:rsidR="00372AAE">
        <w:rPr>
          <w:rFonts w:ascii="Cambria" w:hAnsi="Cambria" w:cs="Arial"/>
          <w:sz w:val="24"/>
          <w:szCs w:val="24"/>
        </w:rPr>
        <w:t>s</w:t>
      </w:r>
      <w:r w:rsidR="00E80BC2" w:rsidRPr="007A3EF0">
        <w:rPr>
          <w:rFonts w:ascii="Cambria" w:hAnsi="Cambria" w:cs="Arial"/>
          <w:sz w:val="24"/>
          <w:szCs w:val="24"/>
        </w:rPr>
        <w:t>ation</w:t>
      </w:r>
      <w:proofErr w:type="spellEnd"/>
      <w:r w:rsidR="00E80BC2" w:rsidRPr="007A3EF0">
        <w:rPr>
          <w:rFonts w:ascii="Cambria" w:hAnsi="Cambria" w:cs="Arial"/>
          <w:sz w:val="24"/>
          <w:szCs w:val="24"/>
        </w:rPr>
        <w:t>, however,</w:t>
      </w:r>
      <w:r w:rsidR="00517414" w:rsidRPr="007A3EF0">
        <w:rPr>
          <w:rFonts w:ascii="Cambria" w:hAnsi="Cambria" w:cs="Arial"/>
          <w:sz w:val="24"/>
          <w:szCs w:val="24"/>
        </w:rPr>
        <w:t xml:space="preserve"> is</w:t>
      </w:r>
      <w:r w:rsidR="00F931E0" w:rsidRPr="007A3EF0">
        <w:rPr>
          <w:rFonts w:ascii="Cambria" w:hAnsi="Cambria" w:cs="Arial"/>
          <w:sz w:val="24"/>
          <w:szCs w:val="24"/>
        </w:rPr>
        <w:t xml:space="preserve"> </w:t>
      </w:r>
      <w:r w:rsidR="00517414" w:rsidRPr="007A3EF0">
        <w:rPr>
          <w:rFonts w:ascii="Cambria" w:hAnsi="Cambria" w:cs="Arial"/>
          <w:sz w:val="24"/>
          <w:szCs w:val="24"/>
        </w:rPr>
        <w:t xml:space="preserve">“a </w:t>
      </w:r>
      <w:proofErr w:type="spellStart"/>
      <w:r w:rsidR="00517414" w:rsidRPr="007A3EF0">
        <w:rPr>
          <w:rFonts w:ascii="Cambria" w:hAnsi="Cambria" w:cs="Arial"/>
          <w:sz w:val="24"/>
          <w:szCs w:val="24"/>
        </w:rPr>
        <w:t>reorgani</w:t>
      </w:r>
      <w:r w:rsidR="00372AAE">
        <w:rPr>
          <w:rFonts w:ascii="Cambria" w:hAnsi="Cambria" w:cs="Arial"/>
          <w:sz w:val="24"/>
          <w:szCs w:val="24"/>
        </w:rPr>
        <w:t>s</w:t>
      </w:r>
      <w:r w:rsidR="00517414" w:rsidRPr="007A3EF0">
        <w:rPr>
          <w:rFonts w:ascii="Cambria" w:hAnsi="Cambria" w:cs="Arial"/>
          <w:sz w:val="24"/>
          <w:szCs w:val="24"/>
        </w:rPr>
        <w:t>ation</w:t>
      </w:r>
      <w:proofErr w:type="spellEnd"/>
      <w:r w:rsidR="00517414" w:rsidRPr="007A3EF0">
        <w:rPr>
          <w:rFonts w:ascii="Cambria" w:hAnsi="Cambria" w:cs="Arial"/>
          <w:sz w:val="24"/>
          <w:szCs w:val="24"/>
        </w:rPr>
        <w:t xml:space="preserve"> route which takes place outside the statutory framework with the objective of restoring the health of a company in financial difficulties within the same legal entity”</w:t>
      </w:r>
      <w:r w:rsidR="00517414" w:rsidRPr="007A3EF0">
        <w:rPr>
          <w:rStyle w:val="FootnoteReference"/>
          <w:rFonts w:ascii="Cambria" w:hAnsi="Cambria" w:cs="Arial"/>
          <w:sz w:val="24"/>
          <w:szCs w:val="24"/>
        </w:rPr>
        <w:footnoteReference w:id="11"/>
      </w:r>
      <w:r w:rsidR="00517414" w:rsidRPr="007A3EF0">
        <w:rPr>
          <w:rFonts w:ascii="Cambria" w:hAnsi="Cambria" w:cs="Arial"/>
          <w:sz w:val="24"/>
          <w:szCs w:val="24"/>
        </w:rPr>
        <w:t xml:space="preserve">. </w:t>
      </w:r>
    </w:p>
    <w:p w14:paraId="267D0531" w14:textId="77777777" w:rsidR="00372AAE" w:rsidRDefault="00372AAE" w:rsidP="00372AAE">
      <w:pPr>
        <w:pStyle w:val="ListParagraph"/>
        <w:ind w:left="284"/>
        <w:jc w:val="both"/>
        <w:rPr>
          <w:rFonts w:ascii="Cambria" w:hAnsi="Cambria" w:cs="Arial"/>
          <w:sz w:val="24"/>
          <w:szCs w:val="24"/>
        </w:rPr>
      </w:pPr>
    </w:p>
    <w:p w14:paraId="40F7C2AB" w14:textId="0141E7C4" w:rsidR="00412559" w:rsidRPr="00372AAE" w:rsidRDefault="00372AAE" w:rsidP="00372AAE">
      <w:pPr>
        <w:pStyle w:val="ListParagraph"/>
        <w:numPr>
          <w:ilvl w:val="0"/>
          <w:numId w:val="5"/>
        </w:numPr>
        <w:ind w:left="284" w:hanging="284"/>
        <w:jc w:val="both"/>
        <w:rPr>
          <w:rFonts w:ascii="Cambria" w:hAnsi="Cambria" w:cs="Arial"/>
          <w:sz w:val="24"/>
          <w:szCs w:val="24"/>
        </w:rPr>
      </w:pPr>
      <w:r>
        <w:rPr>
          <w:rFonts w:ascii="Cambria" w:hAnsi="Cambria" w:cs="Arial"/>
          <w:sz w:val="24"/>
          <w:szCs w:val="24"/>
        </w:rPr>
        <w:t>F</w:t>
      </w:r>
      <w:r w:rsidR="00517414" w:rsidRPr="00372AAE">
        <w:rPr>
          <w:rFonts w:ascii="Cambria" w:hAnsi="Cambria" w:cs="Arial"/>
          <w:sz w:val="24"/>
          <w:szCs w:val="24"/>
        </w:rPr>
        <w:t xml:space="preserve">rom </w:t>
      </w:r>
      <w:r w:rsidR="00E80BC2" w:rsidRPr="00372AAE">
        <w:rPr>
          <w:rFonts w:ascii="Cambria" w:hAnsi="Cambria" w:cs="Arial"/>
          <w:sz w:val="24"/>
          <w:szCs w:val="24"/>
        </w:rPr>
        <w:t>Flow</w:t>
      </w:r>
      <w:r w:rsidR="00012943" w:rsidRPr="00372AAE">
        <w:rPr>
          <w:rFonts w:ascii="Cambria" w:hAnsi="Cambria" w:cs="Arial"/>
          <w:sz w:val="24"/>
          <w:szCs w:val="24"/>
        </w:rPr>
        <w:t>’s</w:t>
      </w:r>
      <w:r w:rsidR="00E80BC2" w:rsidRPr="00372AAE">
        <w:rPr>
          <w:rFonts w:ascii="Cambria" w:hAnsi="Cambria" w:cs="Arial"/>
          <w:sz w:val="24"/>
          <w:szCs w:val="24"/>
        </w:rPr>
        <w:t xml:space="preserve"> financial crisis</w:t>
      </w:r>
      <w:r w:rsidR="00517414" w:rsidRPr="00372AAE">
        <w:rPr>
          <w:rFonts w:ascii="Cambria" w:hAnsi="Cambria" w:cs="Arial"/>
          <w:sz w:val="24"/>
          <w:szCs w:val="24"/>
        </w:rPr>
        <w:t xml:space="preserve"> </w:t>
      </w:r>
      <w:proofErr w:type="gramStart"/>
      <w:r>
        <w:rPr>
          <w:rFonts w:ascii="Cambria" w:hAnsi="Cambria" w:cs="Arial"/>
          <w:sz w:val="24"/>
          <w:szCs w:val="24"/>
        </w:rPr>
        <w:t xml:space="preserve">it is clear </w:t>
      </w:r>
      <w:r w:rsidR="00517414" w:rsidRPr="00372AAE">
        <w:rPr>
          <w:rFonts w:ascii="Cambria" w:hAnsi="Cambria" w:cs="Arial"/>
          <w:sz w:val="24"/>
          <w:szCs w:val="24"/>
        </w:rPr>
        <w:t>that no</w:t>
      </w:r>
      <w:proofErr w:type="gramEnd"/>
      <w:r w:rsidR="00517414" w:rsidRPr="00372AAE">
        <w:rPr>
          <w:rFonts w:ascii="Cambria" w:hAnsi="Cambria" w:cs="Arial"/>
          <w:sz w:val="24"/>
          <w:szCs w:val="24"/>
        </w:rPr>
        <w:t xml:space="preserve"> formal steps were taken </w:t>
      </w:r>
      <w:r>
        <w:rPr>
          <w:rFonts w:ascii="Cambria" w:hAnsi="Cambria" w:cs="Arial"/>
          <w:sz w:val="24"/>
          <w:szCs w:val="24"/>
        </w:rPr>
        <w:t xml:space="preserve">by which </w:t>
      </w:r>
      <w:r w:rsidR="00517414" w:rsidRPr="00372AAE">
        <w:rPr>
          <w:rFonts w:ascii="Cambria" w:hAnsi="Cambria" w:cs="Arial"/>
          <w:sz w:val="24"/>
          <w:szCs w:val="24"/>
        </w:rPr>
        <w:t xml:space="preserve">to </w:t>
      </w:r>
      <w:proofErr w:type="spellStart"/>
      <w:r w:rsidR="00517414" w:rsidRPr="00372AAE">
        <w:rPr>
          <w:rFonts w:ascii="Cambria" w:hAnsi="Cambria" w:cs="Arial"/>
          <w:sz w:val="24"/>
          <w:szCs w:val="24"/>
        </w:rPr>
        <w:t>reorgani</w:t>
      </w:r>
      <w:r>
        <w:rPr>
          <w:rFonts w:ascii="Cambria" w:hAnsi="Cambria" w:cs="Arial"/>
          <w:sz w:val="24"/>
          <w:szCs w:val="24"/>
        </w:rPr>
        <w:t>s</w:t>
      </w:r>
      <w:r w:rsidR="00517414" w:rsidRPr="00372AAE">
        <w:rPr>
          <w:rFonts w:ascii="Cambria" w:hAnsi="Cambria" w:cs="Arial"/>
          <w:sz w:val="24"/>
          <w:szCs w:val="24"/>
        </w:rPr>
        <w:t>e</w:t>
      </w:r>
      <w:proofErr w:type="spellEnd"/>
      <w:r w:rsidR="00517414" w:rsidRPr="00372AAE">
        <w:rPr>
          <w:rFonts w:ascii="Cambria" w:hAnsi="Cambria" w:cs="Arial"/>
          <w:sz w:val="24"/>
          <w:szCs w:val="24"/>
        </w:rPr>
        <w:t xml:space="preserve"> the group. </w:t>
      </w:r>
      <w:r>
        <w:rPr>
          <w:rFonts w:ascii="Cambria" w:hAnsi="Cambria" w:cs="Arial"/>
          <w:sz w:val="24"/>
          <w:szCs w:val="24"/>
        </w:rPr>
        <w:t>Instead, t</w:t>
      </w:r>
      <w:r w:rsidR="00517414" w:rsidRPr="00372AAE">
        <w:rPr>
          <w:rFonts w:ascii="Cambria" w:hAnsi="Cambria" w:cs="Arial"/>
          <w:sz w:val="24"/>
          <w:szCs w:val="24"/>
        </w:rPr>
        <w:t xml:space="preserve">he management of the crisis was dealt with informally. Flow’s management </w:t>
      </w:r>
      <w:r>
        <w:rPr>
          <w:rFonts w:ascii="Cambria" w:hAnsi="Cambria" w:cs="Arial"/>
          <w:sz w:val="24"/>
          <w:szCs w:val="24"/>
        </w:rPr>
        <w:t xml:space="preserve">likely </w:t>
      </w:r>
      <w:proofErr w:type="spellStart"/>
      <w:r>
        <w:rPr>
          <w:rFonts w:ascii="Cambria" w:hAnsi="Cambria" w:cs="Arial"/>
          <w:sz w:val="24"/>
          <w:szCs w:val="24"/>
        </w:rPr>
        <w:t>prioritised</w:t>
      </w:r>
      <w:proofErr w:type="spellEnd"/>
      <w:r>
        <w:rPr>
          <w:rFonts w:ascii="Cambria" w:hAnsi="Cambria" w:cs="Arial"/>
          <w:sz w:val="24"/>
          <w:szCs w:val="24"/>
        </w:rPr>
        <w:t xml:space="preserve"> </w:t>
      </w:r>
      <w:r w:rsidR="003603E0" w:rsidRPr="00372AAE">
        <w:rPr>
          <w:rFonts w:ascii="Cambria" w:hAnsi="Cambria" w:cs="Arial"/>
          <w:sz w:val="24"/>
          <w:szCs w:val="24"/>
        </w:rPr>
        <w:t>the</w:t>
      </w:r>
      <w:r w:rsidR="00517414" w:rsidRPr="00372AAE">
        <w:rPr>
          <w:rFonts w:ascii="Cambria" w:hAnsi="Cambria" w:cs="Arial"/>
          <w:sz w:val="24"/>
          <w:szCs w:val="24"/>
        </w:rPr>
        <w:t xml:space="preserve"> flexibility</w:t>
      </w:r>
      <w:r w:rsidR="00012943" w:rsidRPr="007A3EF0">
        <w:rPr>
          <w:rStyle w:val="FootnoteReference"/>
          <w:rFonts w:ascii="Cambria" w:hAnsi="Cambria" w:cs="Arial"/>
          <w:sz w:val="24"/>
          <w:szCs w:val="24"/>
        </w:rPr>
        <w:footnoteReference w:id="12"/>
      </w:r>
      <w:r w:rsidR="00517414" w:rsidRPr="00372AAE">
        <w:rPr>
          <w:rFonts w:ascii="Cambria" w:hAnsi="Cambria" w:cs="Arial"/>
          <w:sz w:val="24"/>
          <w:szCs w:val="24"/>
        </w:rPr>
        <w:t xml:space="preserve">, </w:t>
      </w:r>
      <w:r w:rsidR="00012943" w:rsidRPr="00372AAE">
        <w:rPr>
          <w:rFonts w:ascii="Cambria" w:hAnsi="Cambria" w:cs="Arial"/>
          <w:sz w:val="24"/>
          <w:szCs w:val="24"/>
        </w:rPr>
        <w:t>privacy</w:t>
      </w:r>
      <w:r w:rsidR="00012943" w:rsidRPr="007A3EF0">
        <w:rPr>
          <w:rStyle w:val="FootnoteReference"/>
          <w:rFonts w:ascii="Cambria" w:hAnsi="Cambria" w:cs="Arial"/>
          <w:sz w:val="24"/>
          <w:szCs w:val="24"/>
        </w:rPr>
        <w:footnoteReference w:id="13"/>
      </w:r>
      <w:r w:rsidR="00517414" w:rsidRPr="00372AAE">
        <w:rPr>
          <w:rFonts w:ascii="Cambria" w:hAnsi="Cambria" w:cs="Arial"/>
          <w:sz w:val="24"/>
          <w:szCs w:val="24"/>
        </w:rPr>
        <w:t xml:space="preserve"> and the retention of control</w:t>
      </w:r>
      <w:r w:rsidR="00012943" w:rsidRPr="007A3EF0">
        <w:rPr>
          <w:rStyle w:val="FootnoteReference"/>
          <w:rFonts w:ascii="Cambria" w:hAnsi="Cambria" w:cs="Arial"/>
          <w:sz w:val="24"/>
          <w:szCs w:val="24"/>
        </w:rPr>
        <w:footnoteReference w:id="14"/>
      </w:r>
      <w:r w:rsidR="00517414" w:rsidRPr="00372AAE">
        <w:rPr>
          <w:rFonts w:ascii="Cambria" w:hAnsi="Cambria" w:cs="Arial"/>
          <w:sz w:val="24"/>
          <w:szCs w:val="24"/>
        </w:rPr>
        <w:t xml:space="preserve"> which</w:t>
      </w:r>
      <w:r w:rsidR="003603E0" w:rsidRPr="00372AAE">
        <w:rPr>
          <w:rFonts w:ascii="Cambria" w:hAnsi="Cambria" w:cs="Arial"/>
          <w:sz w:val="24"/>
          <w:szCs w:val="24"/>
        </w:rPr>
        <w:t xml:space="preserve"> an informal </w:t>
      </w:r>
      <w:proofErr w:type="spellStart"/>
      <w:r w:rsidR="003603E0" w:rsidRPr="00372AAE">
        <w:rPr>
          <w:rFonts w:ascii="Cambria" w:hAnsi="Cambria" w:cs="Arial"/>
          <w:sz w:val="24"/>
          <w:szCs w:val="24"/>
        </w:rPr>
        <w:t>reorgani</w:t>
      </w:r>
      <w:r>
        <w:rPr>
          <w:rFonts w:ascii="Cambria" w:hAnsi="Cambria" w:cs="Arial"/>
          <w:sz w:val="24"/>
          <w:szCs w:val="24"/>
        </w:rPr>
        <w:t>s</w:t>
      </w:r>
      <w:r w:rsidR="003603E0" w:rsidRPr="00372AAE">
        <w:rPr>
          <w:rFonts w:ascii="Cambria" w:hAnsi="Cambria" w:cs="Arial"/>
          <w:sz w:val="24"/>
          <w:szCs w:val="24"/>
        </w:rPr>
        <w:t>ation</w:t>
      </w:r>
      <w:proofErr w:type="spellEnd"/>
      <w:r w:rsidR="003603E0" w:rsidRPr="00372AAE">
        <w:rPr>
          <w:rFonts w:ascii="Cambria" w:hAnsi="Cambria" w:cs="Arial"/>
          <w:sz w:val="24"/>
          <w:szCs w:val="24"/>
        </w:rPr>
        <w:t xml:space="preserve"> affords.</w:t>
      </w:r>
    </w:p>
    <w:p w14:paraId="5A3E4302" w14:textId="77777777" w:rsidR="00012943" w:rsidRPr="007A3EF0" w:rsidRDefault="00012943" w:rsidP="00012943">
      <w:pPr>
        <w:pStyle w:val="ListParagraph"/>
        <w:ind w:left="284"/>
        <w:jc w:val="both"/>
        <w:rPr>
          <w:rFonts w:ascii="Cambria" w:hAnsi="Cambria" w:cs="Arial"/>
          <w:sz w:val="24"/>
          <w:szCs w:val="24"/>
        </w:rPr>
      </w:pPr>
    </w:p>
    <w:p w14:paraId="7067C932" w14:textId="4D4BE628" w:rsidR="00613648" w:rsidRPr="007A3EF0" w:rsidRDefault="00493905" w:rsidP="00EA2B14">
      <w:pPr>
        <w:pStyle w:val="ListParagraph"/>
        <w:numPr>
          <w:ilvl w:val="0"/>
          <w:numId w:val="5"/>
        </w:numPr>
        <w:ind w:left="284" w:hanging="284"/>
        <w:jc w:val="both"/>
        <w:rPr>
          <w:rFonts w:ascii="Cambria" w:hAnsi="Cambria" w:cs="Arial"/>
          <w:sz w:val="24"/>
          <w:szCs w:val="24"/>
        </w:rPr>
      </w:pPr>
      <w:r w:rsidRPr="007A3EF0">
        <w:rPr>
          <w:rFonts w:ascii="Cambria" w:hAnsi="Cambria" w:cs="Arial"/>
          <w:sz w:val="24"/>
          <w:szCs w:val="24"/>
        </w:rPr>
        <w:t>T</w:t>
      </w:r>
      <w:r w:rsidR="002A08AF" w:rsidRPr="007A3EF0">
        <w:rPr>
          <w:rFonts w:ascii="Cambria" w:hAnsi="Cambria" w:cs="Arial"/>
          <w:sz w:val="24"/>
          <w:szCs w:val="24"/>
        </w:rPr>
        <w:t xml:space="preserve">he Flow Management group </w:t>
      </w:r>
      <w:r w:rsidR="00613648" w:rsidRPr="007A3EF0">
        <w:rPr>
          <w:rFonts w:ascii="Cambria" w:hAnsi="Cambria" w:cs="Arial"/>
          <w:sz w:val="24"/>
          <w:szCs w:val="24"/>
        </w:rPr>
        <w:t>performed</w:t>
      </w:r>
      <w:r w:rsidR="002A08AF" w:rsidRPr="007A3EF0">
        <w:rPr>
          <w:rFonts w:ascii="Cambria" w:hAnsi="Cambria" w:cs="Arial"/>
          <w:sz w:val="24"/>
          <w:szCs w:val="24"/>
        </w:rPr>
        <w:t xml:space="preserve"> both a business and</w:t>
      </w:r>
      <w:r w:rsidR="00012943" w:rsidRPr="007A3EF0">
        <w:rPr>
          <w:rFonts w:ascii="Cambria" w:hAnsi="Cambria" w:cs="Arial"/>
          <w:sz w:val="24"/>
          <w:szCs w:val="24"/>
        </w:rPr>
        <w:t xml:space="preserve"> a</w:t>
      </w:r>
      <w:r w:rsidR="002A08AF" w:rsidRPr="007A3EF0">
        <w:rPr>
          <w:rFonts w:ascii="Cambria" w:hAnsi="Cambria" w:cs="Arial"/>
          <w:sz w:val="24"/>
          <w:szCs w:val="24"/>
        </w:rPr>
        <w:t xml:space="preserve"> financial restructuring. </w:t>
      </w:r>
      <w:r w:rsidR="00372AAE">
        <w:rPr>
          <w:rFonts w:ascii="Cambria" w:hAnsi="Cambria" w:cs="Arial"/>
          <w:sz w:val="24"/>
          <w:szCs w:val="24"/>
        </w:rPr>
        <w:t>I</w:t>
      </w:r>
      <w:r w:rsidR="002A08AF" w:rsidRPr="007A3EF0">
        <w:rPr>
          <w:rFonts w:ascii="Cambria" w:hAnsi="Cambria" w:cs="Arial"/>
          <w:sz w:val="24"/>
          <w:szCs w:val="24"/>
        </w:rPr>
        <w:t xml:space="preserve">n November 2013 a plan of action was drawn up </w:t>
      </w:r>
      <w:r w:rsidR="0041617C" w:rsidRPr="007A3EF0">
        <w:rPr>
          <w:rFonts w:ascii="Cambria" w:hAnsi="Cambria" w:cs="Arial"/>
          <w:sz w:val="24"/>
          <w:szCs w:val="24"/>
        </w:rPr>
        <w:t>identify</w:t>
      </w:r>
      <w:r w:rsidR="00613648" w:rsidRPr="007A3EF0">
        <w:rPr>
          <w:rFonts w:ascii="Cambria" w:hAnsi="Cambria" w:cs="Arial"/>
          <w:sz w:val="24"/>
          <w:szCs w:val="24"/>
        </w:rPr>
        <w:t>ing</w:t>
      </w:r>
      <w:r w:rsidR="0041617C" w:rsidRPr="007A3EF0">
        <w:rPr>
          <w:rFonts w:ascii="Cambria" w:hAnsi="Cambria" w:cs="Arial"/>
          <w:sz w:val="24"/>
          <w:szCs w:val="24"/>
        </w:rPr>
        <w:t xml:space="preserve"> the issues causing distress</w:t>
      </w:r>
      <w:r w:rsidR="00F931E0" w:rsidRPr="007A3EF0">
        <w:rPr>
          <w:rFonts w:ascii="Cambria" w:hAnsi="Cambria" w:cs="Arial"/>
          <w:sz w:val="24"/>
          <w:szCs w:val="24"/>
        </w:rPr>
        <w:t>. Su</w:t>
      </w:r>
      <w:r w:rsidR="0041617C" w:rsidRPr="007A3EF0">
        <w:rPr>
          <w:rFonts w:ascii="Cambria" w:hAnsi="Cambria" w:cs="Arial"/>
          <w:sz w:val="24"/>
          <w:szCs w:val="24"/>
        </w:rPr>
        <w:t>bsequently</w:t>
      </w:r>
      <w:r w:rsidR="00613648" w:rsidRPr="007A3EF0">
        <w:rPr>
          <w:rFonts w:ascii="Cambria" w:hAnsi="Cambria" w:cs="Arial"/>
          <w:sz w:val="24"/>
          <w:szCs w:val="24"/>
        </w:rPr>
        <w:t>,</w:t>
      </w:r>
      <w:r w:rsidR="0041617C" w:rsidRPr="007A3EF0">
        <w:rPr>
          <w:rFonts w:ascii="Cambria" w:hAnsi="Cambria" w:cs="Arial"/>
          <w:sz w:val="24"/>
          <w:szCs w:val="24"/>
        </w:rPr>
        <w:t xml:space="preserve"> in December 2013 measures </w:t>
      </w:r>
      <w:r w:rsidR="00EC5C7E" w:rsidRPr="007A3EF0">
        <w:rPr>
          <w:rFonts w:ascii="Cambria" w:hAnsi="Cambria" w:cs="Arial"/>
          <w:sz w:val="24"/>
          <w:szCs w:val="24"/>
        </w:rPr>
        <w:t xml:space="preserve">were implemented </w:t>
      </w:r>
      <w:r w:rsidR="0041617C" w:rsidRPr="007A3EF0">
        <w:rPr>
          <w:rFonts w:ascii="Cambria" w:hAnsi="Cambria" w:cs="Arial"/>
          <w:sz w:val="24"/>
          <w:szCs w:val="24"/>
        </w:rPr>
        <w:t xml:space="preserve">designed to </w:t>
      </w:r>
      <w:proofErr w:type="spellStart"/>
      <w:r w:rsidR="0041617C" w:rsidRPr="007A3EF0">
        <w:rPr>
          <w:rFonts w:ascii="Cambria" w:hAnsi="Cambria" w:cs="Arial"/>
          <w:sz w:val="24"/>
          <w:szCs w:val="24"/>
        </w:rPr>
        <w:t>stabalise</w:t>
      </w:r>
      <w:proofErr w:type="spellEnd"/>
      <w:r w:rsidR="00012943" w:rsidRPr="007A3EF0">
        <w:rPr>
          <w:rStyle w:val="FootnoteReference"/>
          <w:rFonts w:ascii="Cambria" w:hAnsi="Cambria" w:cs="Arial"/>
          <w:sz w:val="24"/>
          <w:szCs w:val="24"/>
        </w:rPr>
        <w:footnoteReference w:id="15"/>
      </w:r>
      <w:r w:rsidR="00EC5C7E" w:rsidRPr="007A3EF0">
        <w:rPr>
          <w:rFonts w:ascii="Cambria" w:hAnsi="Cambria" w:cs="Arial"/>
          <w:sz w:val="24"/>
          <w:szCs w:val="24"/>
        </w:rPr>
        <w:t xml:space="preserve"> and reposition</w:t>
      </w:r>
      <w:r w:rsidR="00012943" w:rsidRPr="007A3EF0">
        <w:rPr>
          <w:rStyle w:val="FootnoteReference"/>
          <w:rFonts w:ascii="Cambria" w:hAnsi="Cambria" w:cs="Arial"/>
          <w:sz w:val="24"/>
          <w:szCs w:val="24"/>
        </w:rPr>
        <w:footnoteReference w:id="16"/>
      </w:r>
      <w:r w:rsidR="0041617C" w:rsidRPr="007A3EF0">
        <w:rPr>
          <w:rFonts w:ascii="Cambria" w:hAnsi="Cambria" w:cs="Arial"/>
          <w:sz w:val="24"/>
          <w:szCs w:val="24"/>
        </w:rPr>
        <w:t xml:space="preserve"> </w:t>
      </w:r>
      <w:r w:rsidR="002A08AF" w:rsidRPr="007A3EF0">
        <w:rPr>
          <w:rFonts w:ascii="Cambria" w:hAnsi="Cambria" w:cs="Arial"/>
          <w:sz w:val="24"/>
          <w:szCs w:val="24"/>
        </w:rPr>
        <w:t>the company</w:t>
      </w:r>
      <w:r w:rsidR="0041617C" w:rsidRPr="007A3EF0">
        <w:rPr>
          <w:rFonts w:ascii="Cambria" w:hAnsi="Cambria" w:cs="Arial"/>
          <w:sz w:val="24"/>
          <w:szCs w:val="24"/>
        </w:rPr>
        <w:t xml:space="preserve">. Although recruitment of </w:t>
      </w:r>
      <w:r w:rsidR="00EC5C7E" w:rsidRPr="007A3EF0">
        <w:rPr>
          <w:rFonts w:ascii="Cambria" w:hAnsi="Cambria" w:cs="Arial"/>
          <w:sz w:val="24"/>
          <w:szCs w:val="24"/>
        </w:rPr>
        <w:t>staff followed</w:t>
      </w:r>
      <w:r w:rsidR="0041617C" w:rsidRPr="007A3EF0">
        <w:rPr>
          <w:rFonts w:ascii="Cambria" w:hAnsi="Cambria" w:cs="Arial"/>
          <w:sz w:val="24"/>
          <w:szCs w:val="24"/>
        </w:rPr>
        <w:t xml:space="preserve"> </w:t>
      </w:r>
      <w:r w:rsidR="00EC5C7E" w:rsidRPr="007A3EF0">
        <w:rPr>
          <w:rFonts w:ascii="Cambria" w:hAnsi="Cambria" w:cs="Arial"/>
          <w:sz w:val="24"/>
          <w:szCs w:val="24"/>
        </w:rPr>
        <w:t xml:space="preserve">in 2014 </w:t>
      </w:r>
      <w:proofErr w:type="gramStart"/>
      <w:r w:rsidR="00EC5C7E" w:rsidRPr="007A3EF0">
        <w:rPr>
          <w:rFonts w:ascii="Cambria" w:hAnsi="Cambria" w:cs="Arial"/>
          <w:sz w:val="24"/>
          <w:szCs w:val="24"/>
        </w:rPr>
        <w:t>in an effort to</w:t>
      </w:r>
      <w:proofErr w:type="gramEnd"/>
      <w:r w:rsidR="00EC5C7E" w:rsidRPr="007A3EF0">
        <w:rPr>
          <w:rFonts w:ascii="Cambria" w:hAnsi="Cambria" w:cs="Arial"/>
          <w:sz w:val="24"/>
          <w:szCs w:val="24"/>
        </w:rPr>
        <w:t xml:space="preserve"> introduce reinforcement processes, it was not really until the restructuring agreement was signed In July 2015 that the group could be said to have been reinforced in tandem with significant financial restructuring.</w:t>
      </w:r>
    </w:p>
    <w:p w14:paraId="52D50DE5" w14:textId="77777777" w:rsidR="00613648" w:rsidRPr="007A3EF0" w:rsidRDefault="00613648" w:rsidP="00EA2B14">
      <w:pPr>
        <w:pStyle w:val="ListParagraph"/>
        <w:ind w:left="284" w:hanging="284"/>
        <w:jc w:val="both"/>
        <w:rPr>
          <w:rFonts w:ascii="Cambria" w:hAnsi="Cambria" w:cs="Arial"/>
          <w:sz w:val="24"/>
          <w:szCs w:val="24"/>
        </w:rPr>
      </w:pPr>
    </w:p>
    <w:p w14:paraId="13D84ECA" w14:textId="77777777" w:rsidR="00AB0807" w:rsidRDefault="00EC5C7E" w:rsidP="00EA2B14">
      <w:pPr>
        <w:pStyle w:val="ListParagraph"/>
        <w:numPr>
          <w:ilvl w:val="0"/>
          <w:numId w:val="5"/>
        </w:numPr>
        <w:ind w:left="284" w:hanging="284"/>
        <w:jc w:val="both"/>
        <w:rPr>
          <w:rFonts w:ascii="Cambria" w:hAnsi="Cambria" w:cs="Arial"/>
          <w:sz w:val="24"/>
          <w:szCs w:val="24"/>
        </w:rPr>
      </w:pPr>
      <w:r w:rsidRPr="007A3EF0">
        <w:rPr>
          <w:rFonts w:ascii="Cambria" w:hAnsi="Cambria" w:cs="Arial"/>
          <w:sz w:val="24"/>
          <w:szCs w:val="24"/>
        </w:rPr>
        <w:t xml:space="preserve"> </w:t>
      </w:r>
      <w:proofErr w:type="spellStart"/>
      <w:r w:rsidR="00380B94" w:rsidRPr="007A3EF0">
        <w:rPr>
          <w:rFonts w:ascii="Cambria" w:hAnsi="Cambria" w:cs="Arial"/>
          <w:sz w:val="24"/>
          <w:szCs w:val="24"/>
        </w:rPr>
        <w:t>Pajunen</w:t>
      </w:r>
      <w:proofErr w:type="spellEnd"/>
      <w:r w:rsidR="00380B94" w:rsidRPr="007A3EF0">
        <w:rPr>
          <w:rFonts w:ascii="Cambria" w:hAnsi="Cambria" w:cs="Arial"/>
          <w:sz w:val="24"/>
          <w:szCs w:val="24"/>
        </w:rPr>
        <w:t xml:space="preserve"> et al </w:t>
      </w:r>
      <w:r w:rsidR="00613648" w:rsidRPr="007A3EF0">
        <w:rPr>
          <w:rFonts w:ascii="Cambria" w:hAnsi="Cambria" w:cs="Arial"/>
          <w:sz w:val="24"/>
          <w:szCs w:val="24"/>
        </w:rPr>
        <w:t xml:space="preserve">have </w:t>
      </w:r>
      <w:r w:rsidR="00380B94" w:rsidRPr="007A3EF0">
        <w:rPr>
          <w:rFonts w:ascii="Cambria" w:hAnsi="Cambria" w:cs="Arial"/>
          <w:sz w:val="24"/>
          <w:szCs w:val="24"/>
        </w:rPr>
        <w:t>develop</w:t>
      </w:r>
      <w:r w:rsidR="00E736BF" w:rsidRPr="007A3EF0">
        <w:rPr>
          <w:rFonts w:ascii="Cambria" w:hAnsi="Cambria" w:cs="Arial"/>
          <w:sz w:val="24"/>
          <w:szCs w:val="24"/>
        </w:rPr>
        <w:t xml:space="preserve">ed a stakeholders’ influence identification model using communication archives of the Finnish pulp and paper industry firm, </w:t>
      </w:r>
      <w:proofErr w:type="spellStart"/>
      <w:r w:rsidR="00E736BF" w:rsidRPr="007A3EF0">
        <w:rPr>
          <w:rFonts w:ascii="Cambria" w:hAnsi="Cambria" w:cs="Arial"/>
          <w:sz w:val="24"/>
          <w:szCs w:val="24"/>
        </w:rPr>
        <w:t>Kymi</w:t>
      </w:r>
      <w:proofErr w:type="spellEnd"/>
      <w:r w:rsidR="00E736BF" w:rsidRPr="007A3EF0">
        <w:rPr>
          <w:rFonts w:ascii="Cambria" w:hAnsi="Cambria" w:cs="Arial"/>
          <w:sz w:val="24"/>
          <w:szCs w:val="24"/>
        </w:rPr>
        <w:t xml:space="preserve"> Corporation, which entered and exit reorganization</w:t>
      </w:r>
      <w:r w:rsidR="00380B94" w:rsidRPr="007A3EF0">
        <w:rPr>
          <w:rFonts w:ascii="Cambria" w:hAnsi="Cambria" w:cs="Arial"/>
          <w:sz w:val="24"/>
          <w:szCs w:val="24"/>
        </w:rPr>
        <w:t xml:space="preserve"> </w:t>
      </w:r>
      <w:r w:rsidR="00E736BF" w:rsidRPr="007A3EF0">
        <w:rPr>
          <w:rFonts w:ascii="Cambria" w:hAnsi="Cambria" w:cs="Arial"/>
          <w:sz w:val="24"/>
          <w:szCs w:val="24"/>
        </w:rPr>
        <w:t>following financial distress between 1908 and 1912. From that model they extrapolate</w:t>
      </w:r>
      <w:r w:rsidR="00613648" w:rsidRPr="007A3EF0">
        <w:rPr>
          <w:rFonts w:ascii="Cambria" w:hAnsi="Cambria" w:cs="Arial"/>
          <w:sz w:val="24"/>
          <w:szCs w:val="24"/>
        </w:rPr>
        <w:t>d</w:t>
      </w:r>
      <w:r w:rsidR="00E736BF" w:rsidRPr="007A3EF0">
        <w:rPr>
          <w:rFonts w:ascii="Cambria" w:hAnsi="Cambria" w:cs="Arial"/>
          <w:sz w:val="24"/>
          <w:szCs w:val="24"/>
        </w:rPr>
        <w:t xml:space="preserve"> several propositions regarding the basic function of stakeholder management in </w:t>
      </w:r>
      <w:proofErr w:type="spellStart"/>
      <w:r w:rsidR="00E736BF" w:rsidRPr="007A3EF0">
        <w:rPr>
          <w:rFonts w:ascii="Cambria" w:hAnsi="Cambria" w:cs="Arial"/>
          <w:sz w:val="24"/>
          <w:szCs w:val="24"/>
        </w:rPr>
        <w:t>organi</w:t>
      </w:r>
      <w:r w:rsidR="00AB0807">
        <w:rPr>
          <w:rFonts w:ascii="Cambria" w:hAnsi="Cambria" w:cs="Arial"/>
          <w:sz w:val="24"/>
          <w:szCs w:val="24"/>
        </w:rPr>
        <w:t>s</w:t>
      </w:r>
      <w:r w:rsidR="00E736BF" w:rsidRPr="007A3EF0">
        <w:rPr>
          <w:rFonts w:ascii="Cambria" w:hAnsi="Cambria" w:cs="Arial"/>
          <w:sz w:val="24"/>
          <w:szCs w:val="24"/>
        </w:rPr>
        <w:t>ational</w:t>
      </w:r>
      <w:proofErr w:type="spellEnd"/>
      <w:r w:rsidR="00E736BF" w:rsidRPr="007A3EF0">
        <w:rPr>
          <w:rFonts w:ascii="Cambria" w:hAnsi="Cambria" w:cs="Arial"/>
          <w:sz w:val="24"/>
          <w:szCs w:val="24"/>
        </w:rPr>
        <w:t xml:space="preserve"> survival</w:t>
      </w:r>
      <w:r w:rsidR="00E736BF" w:rsidRPr="007A3EF0">
        <w:rPr>
          <w:rStyle w:val="FootnoteReference"/>
          <w:rFonts w:ascii="Cambria" w:hAnsi="Cambria" w:cs="Arial"/>
          <w:sz w:val="24"/>
          <w:szCs w:val="24"/>
        </w:rPr>
        <w:footnoteReference w:id="17"/>
      </w:r>
      <w:r w:rsidR="00E736BF" w:rsidRPr="007A3EF0">
        <w:rPr>
          <w:rFonts w:ascii="Cambria" w:hAnsi="Cambria" w:cs="Arial"/>
          <w:sz w:val="24"/>
          <w:szCs w:val="24"/>
        </w:rPr>
        <w:t xml:space="preserve">. </w:t>
      </w:r>
    </w:p>
    <w:p w14:paraId="6C535321" w14:textId="77777777" w:rsidR="00AB0807" w:rsidRPr="00AB0807" w:rsidRDefault="00AB0807" w:rsidP="00AB0807">
      <w:pPr>
        <w:pStyle w:val="ListParagraph"/>
        <w:rPr>
          <w:rFonts w:ascii="Cambria" w:hAnsi="Cambria" w:cs="Arial"/>
          <w:sz w:val="24"/>
          <w:szCs w:val="24"/>
        </w:rPr>
      </w:pPr>
    </w:p>
    <w:p w14:paraId="20B95417" w14:textId="0D1EEC5D" w:rsidR="00613648" w:rsidRPr="007A3EF0" w:rsidRDefault="00150E45" w:rsidP="00EA2B14">
      <w:pPr>
        <w:pStyle w:val="ListParagraph"/>
        <w:numPr>
          <w:ilvl w:val="0"/>
          <w:numId w:val="5"/>
        </w:numPr>
        <w:ind w:left="284" w:hanging="284"/>
        <w:jc w:val="both"/>
        <w:rPr>
          <w:rFonts w:ascii="Cambria" w:hAnsi="Cambria" w:cs="Arial"/>
          <w:sz w:val="24"/>
          <w:szCs w:val="24"/>
        </w:rPr>
      </w:pPr>
      <w:r w:rsidRPr="007A3EF0">
        <w:rPr>
          <w:rFonts w:ascii="Cambria" w:hAnsi="Cambria" w:cs="Arial"/>
          <w:sz w:val="24"/>
          <w:szCs w:val="24"/>
        </w:rPr>
        <w:t>Proposition 1</w:t>
      </w:r>
      <w:r w:rsidR="00AB0807">
        <w:rPr>
          <w:rFonts w:ascii="Cambria" w:hAnsi="Cambria" w:cs="Arial"/>
          <w:sz w:val="24"/>
          <w:szCs w:val="24"/>
        </w:rPr>
        <w:t xml:space="preserve"> </w:t>
      </w:r>
      <w:r w:rsidR="005877A5" w:rsidRPr="007A3EF0">
        <w:rPr>
          <w:rFonts w:ascii="Cambria" w:hAnsi="Cambria" w:cs="Arial"/>
          <w:sz w:val="24"/>
          <w:szCs w:val="24"/>
        </w:rPr>
        <w:t xml:space="preserve">is that governing stakeholders </w:t>
      </w:r>
      <w:r w:rsidR="005441E4" w:rsidRPr="007A3EF0">
        <w:rPr>
          <w:rFonts w:ascii="Cambria" w:hAnsi="Cambria" w:cs="Arial"/>
          <w:sz w:val="24"/>
          <w:szCs w:val="24"/>
        </w:rPr>
        <w:t>should</w:t>
      </w:r>
      <w:r w:rsidR="005877A5" w:rsidRPr="007A3EF0">
        <w:rPr>
          <w:rFonts w:ascii="Cambria" w:hAnsi="Cambria" w:cs="Arial"/>
          <w:sz w:val="24"/>
          <w:szCs w:val="24"/>
        </w:rPr>
        <w:t xml:space="preserve"> be kept on board throughout the </w:t>
      </w:r>
      <w:proofErr w:type="spellStart"/>
      <w:r w:rsidR="005877A5" w:rsidRPr="007A3EF0">
        <w:rPr>
          <w:rFonts w:ascii="Cambria" w:hAnsi="Cambria" w:cs="Arial"/>
          <w:sz w:val="24"/>
          <w:szCs w:val="24"/>
        </w:rPr>
        <w:t>reorgani</w:t>
      </w:r>
      <w:r w:rsidR="00AB0807">
        <w:rPr>
          <w:rFonts w:ascii="Cambria" w:hAnsi="Cambria" w:cs="Arial"/>
          <w:sz w:val="24"/>
          <w:szCs w:val="24"/>
        </w:rPr>
        <w:t>s</w:t>
      </w:r>
      <w:r w:rsidR="005877A5" w:rsidRPr="007A3EF0">
        <w:rPr>
          <w:rFonts w:ascii="Cambria" w:hAnsi="Cambria" w:cs="Arial"/>
          <w:sz w:val="24"/>
          <w:szCs w:val="24"/>
        </w:rPr>
        <w:t>ation</w:t>
      </w:r>
      <w:proofErr w:type="spellEnd"/>
      <w:r w:rsidR="005877A5" w:rsidRPr="007A3EF0">
        <w:rPr>
          <w:rFonts w:ascii="Cambria" w:hAnsi="Cambria" w:cs="Arial"/>
          <w:sz w:val="24"/>
          <w:szCs w:val="24"/>
        </w:rPr>
        <w:t xml:space="preserve"> process. Looking at </w:t>
      </w:r>
      <w:r w:rsidR="00613648" w:rsidRPr="007A3EF0">
        <w:rPr>
          <w:rFonts w:ascii="Cambria" w:hAnsi="Cambria" w:cs="Arial"/>
          <w:sz w:val="24"/>
          <w:szCs w:val="24"/>
        </w:rPr>
        <w:t xml:space="preserve">the </w:t>
      </w:r>
      <w:r w:rsidR="005877A5" w:rsidRPr="007A3EF0">
        <w:rPr>
          <w:rFonts w:ascii="Cambria" w:hAnsi="Cambria" w:cs="Arial"/>
          <w:sz w:val="24"/>
          <w:szCs w:val="24"/>
        </w:rPr>
        <w:t>Flow as a whole</w:t>
      </w:r>
      <w:r w:rsidR="00493905" w:rsidRPr="007A3EF0">
        <w:rPr>
          <w:rFonts w:ascii="Cambria" w:hAnsi="Cambria" w:cs="Arial"/>
          <w:sz w:val="24"/>
          <w:szCs w:val="24"/>
        </w:rPr>
        <w:t>,</w:t>
      </w:r>
      <w:r w:rsidR="005877A5" w:rsidRPr="007A3EF0">
        <w:rPr>
          <w:rFonts w:ascii="Cambria" w:hAnsi="Cambria" w:cs="Arial"/>
          <w:sz w:val="24"/>
          <w:szCs w:val="24"/>
        </w:rPr>
        <w:t xml:space="preserve"> the governing stakeholders, </w:t>
      </w:r>
      <w:r w:rsidR="00613648" w:rsidRPr="007A3EF0">
        <w:rPr>
          <w:rFonts w:ascii="Cambria" w:hAnsi="Cambria" w:cs="Arial"/>
          <w:sz w:val="24"/>
          <w:szCs w:val="24"/>
        </w:rPr>
        <w:t xml:space="preserve">identified as </w:t>
      </w:r>
      <w:r w:rsidR="005877A5" w:rsidRPr="007A3EF0">
        <w:rPr>
          <w:rFonts w:ascii="Cambria" w:hAnsi="Cambria" w:cs="Arial"/>
          <w:sz w:val="24"/>
          <w:szCs w:val="24"/>
        </w:rPr>
        <w:t>the shareholder and the creditors</w:t>
      </w:r>
      <w:r w:rsidR="00613648" w:rsidRPr="007A3EF0">
        <w:rPr>
          <w:rFonts w:ascii="Cambria" w:hAnsi="Cambria" w:cs="Arial"/>
          <w:sz w:val="24"/>
          <w:szCs w:val="24"/>
        </w:rPr>
        <w:t xml:space="preserve"> (banks A-D)</w:t>
      </w:r>
      <w:r w:rsidR="005877A5" w:rsidRPr="007A3EF0">
        <w:rPr>
          <w:rFonts w:ascii="Cambria" w:hAnsi="Cambria" w:cs="Arial"/>
          <w:sz w:val="24"/>
          <w:szCs w:val="24"/>
        </w:rPr>
        <w:t xml:space="preserve">, were </w:t>
      </w:r>
      <w:r w:rsidR="00AB0807">
        <w:rPr>
          <w:rFonts w:ascii="Cambria" w:hAnsi="Cambria" w:cs="Arial"/>
          <w:sz w:val="24"/>
          <w:szCs w:val="24"/>
        </w:rPr>
        <w:t>re</w:t>
      </w:r>
      <w:r w:rsidR="005877A5" w:rsidRPr="007A3EF0">
        <w:rPr>
          <w:rFonts w:ascii="Cambria" w:hAnsi="Cambria" w:cs="Arial"/>
          <w:sz w:val="24"/>
          <w:szCs w:val="24"/>
        </w:rPr>
        <w:t xml:space="preserve">assured during the crisis. </w:t>
      </w:r>
      <w:r w:rsidR="00493905" w:rsidRPr="007A3EF0">
        <w:rPr>
          <w:rFonts w:ascii="Cambria" w:hAnsi="Cambria" w:cs="Arial"/>
          <w:sz w:val="24"/>
          <w:szCs w:val="24"/>
        </w:rPr>
        <w:t>That is evidenced by the fact that the shareholder, although forced to replace the CEO of Flow Management Holding BV with its board,</w:t>
      </w:r>
      <w:r w:rsidR="00613648" w:rsidRPr="007A3EF0">
        <w:rPr>
          <w:rFonts w:ascii="Cambria" w:hAnsi="Cambria" w:cs="Arial"/>
          <w:sz w:val="24"/>
          <w:szCs w:val="24"/>
        </w:rPr>
        <w:t xml:space="preserve"> was</w:t>
      </w:r>
      <w:r w:rsidR="00493905" w:rsidRPr="007A3EF0">
        <w:rPr>
          <w:rFonts w:ascii="Cambria" w:hAnsi="Cambria" w:cs="Arial"/>
          <w:sz w:val="24"/>
          <w:szCs w:val="24"/>
        </w:rPr>
        <w:t xml:space="preserve"> nevertheless </w:t>
      </w:r>
      <w:r w:rsidR="00613648" w:rsidRPr="007A3EF0">
        <w:rPr>
          <w:rFonts w:ascii="Cambria" w:hAnsi="Cambria" w:cs="Arial"/>
          <w:sz w:val="24"/>
          <w:szCs w:val="24"/>
        </w:rPr>
        <w:t>willing to contribute</w:t>
      </w:r>
      <w:r w:rsidR="00493905" w:rsidRPr="007A3EF0">
        <w:rPr>
          <w:rFonts w:ascii="Cambria" w:hAnsi="Cambria" w:cs="Arial"/>
          <w:sz w:val="24"/>
          <w:szCs w:val="24"/>
        </w:rPr>
        <w:t xml:space="preserve"> significant capital towards effecting the </w:t>
      </w:r>
      <w:proofErr w:type="spellStart"/>
      <w:r w:rsidR="00493905" w:rsidRPr="007A3EF0">
        <w:rPr>
          <w:rFonts w:ascii="Cambria" w:hAnsi="Cambria" w:cs="Arial"/>
          <w:sz w:val="24"/>
          <w:szCs w:val="24"/>
        </w:rPr>
        <w:t>reorganisation</w:t>
      </w:r>
      <w:proofErr w:type="spellEnd"/>
      <w:r w:rsidR="00493905" w:rsidRPr="007A3EF0">
        <w:rPr>
          <w:rFonts w:ascii="Cambria" w:hAnsi="Cambria" w:cs="Arial"/>
          <w:sz w:val="24"/>
          <w:szCs w:val="24"/>
        </w:rPr>
        <w:t xml:space="preserve">. </w:t>
      </w:r>
      <w:r w:rsidR="005877A5" w:rsidRPr="007A3EF0">
        <w:rPr>
          <w:rFonts w:ascii="Cambria" w:hAnsi="Cambria" w:cs="Arial"/>
          <w:sz w:val="24"/>
          <w:szCs w:val="24"/>
        </w:rPr>
        <w:t>It</w:t>
      </w:r>
      <w:r w:rsidR="00493905" w:rsidRPr="007A3EF0">
        <w:rPr>
          <w:rFonts w:ascii="Cambria" w:hAnsi="Cambria" w:cs="Arial"/>
          <w:sz w:val="24"/>
          <w:szCs w:val="24"/>
        </w:rPr>
        <w:t xml:space="preserve"> i</w:t>
      </w:r>
      <w:r w:rsidR="005877A5" w:rsidRPr="007A3EF0">
        <w:rPr>
          <w:rFonts w:ascii="Cambria" w:hAnsi="Cambria" w:cs="Arial"/>
          <w:sz w:val="24"/>
          <w:szCs w:val="24"/>
        </w:rPr>
        <w:t>s true that banks C &amp; D ultimately stuck with the process to the end.</w:t>
      </w:r>
    </w:p>
    <w:p w14:paraId="00DBB8D2" w14:textId="77777777" w:rsidR="00613648" w:rsidRPr="007A3EF0" w:rsidRDefault="00613648" w:rsidP="00EA2B14">
      <w:pPr>
        <w:pStyle w:val="ListParagraph"/>
        <w:ind w:left="284" w:hanging="284"/>
        <w:rPr>
          <w:rFonts w:ascii="Cambria" w:hAnsi="Cambria" w:cs="Arial"/>
          <w:sz w:val="24"/>
          <w:szCs w:val="24"/>
        </w:rPr>
      </w:pPr>
    </w:p>
    <w:p w14:paraId="3F445D4D" w14:textId="77777777" w:rsidR="00AB0807" w:rsidRDefault="00AB0807" w:rsidP="00EA2B14">
      <w:pPr>
        <w:pStyle w:val="ListParagraph"/>
        <w:numPr>
          <w:ilvl w:val="0"/>
          <w:numId w:val="5"/>
        </w:numPr>
        <w:ind w:left="284" w:hanging="284"/>
        <w:jc w:val="both"/>
        <w:rPr>
          <w:rFonts w:ascii="Cambria" w:hAnsi="Cambria" w:cs="Arial"/>
          <w:sz w:val="24"/>
          <w:szCs w:val="24"/>
        </w:rPr>
      </w:pPr>
      <w:r>
        <w:rPr>
          <w:rFonts w:ascii="Cambria" w:hAnsi="Cambria" w:cs="Arial"/>
          <w:sz w:val="24"/>
          <w:szCs w:val="24"/>
        </w:rPr>
        <w:t>P</w:t>
      </w:r>
      <w:r w:rsidR="005877A5" w:rsidRPr="007A3EF0">
        <w:rPr>
          <w:rFonts w:ascii="Cambria" w:hAnsi="Cambria" w:cs="Arial"/>
          <w:sz w:val="24"/>
          <w:szCs w:val="24"/>
        </w:rPr>
        <w:t>roposition</w:t>
      </w:r>
      <w:r>
        <w:rPr>
          <w:rFonts w:ascii="Cambria" w:hAnsi="Cambria" w:cs="Arial"/>
          <w:sz w:val="24"/>
          <w:szCs w:val="24"/>
        </w:rPr>
        <w:t xml:space="preserve"> 2 </w:t>
      </w:r>
      <w:r w:rsidR="005877A5" w:rsidRPr="007A3EF0">
        <w:rPr>
          <w:rFonts w:ascii="Cambria" w:hAnsi="Cambria" w:cs="Arial"/>
          <w:sz w:val="24"/>
          <w:szCs w:val="24"/>
        </w:rPr>
        <w:t xml:space="preserve">is that </w:t>
      </w:r>
      <w:r w:rsidR="00493905" w:rsidRPr="007A3EF0">
        <w:rPr>
          <w:rFonts w:ascii="Cambria" w:hAnsi="Cambria" w:cs="Arial"/>
          <w:sz w:val="24"/>
          <w:szCs w:val="24"/>
        </w:rPr>
        <w:t xml:space="preserve">frequent and open communication between management and stakeholders will tend to enhance the continuing support of stakeholders and increase </w:t>
      </w:r>
      <w:r>
        <w:rPr>
          <w:rFonts w:ascii="Cambria" w:hAnsi="Cambria" w:cs="Arial"/>
          <w:sz w:val="24"/>
          <w:szCs w:val="24"/>
        </w:rPr>
        <w:t>prospects of or for survival</w:t>
      </w:r>
      <w:r w:rsidR="00493905" w:rsidRPr="007A3EF0">
        <w:rPr>
          <w:rFonts w:ascii="Cambria" w:hAnsi="Cambria" w:cs="Arial"/>
          <w:sz w:val="24"/>
          <w:szCs w:val="24"/>
        </w:rPr>
        <w:t xml:space="preserve">. </w:t>
      </w:r>
      <w:r w:rsidR="005441E4" w:rsidRPr="007A3EF0">
        <w:rPr>
          <w:rFonts w:ascii="Cambria" w:hAnsi="Cambria" w:cs="Arial"/>
          <w:sz w:val="24"/>
          <w:szCs w:val="24"/>
        </w:rPr>
        <w:t xml:space="preserve">Where </w:t>
      </w:r>
      <w:r w:rsidR="00E40411" w:rsidRPr="007A3EF0">
        <w:rPr>
          <w:rFonts w:ascii="Cambria" w:hAnsi="Cambria" w:cs="Arial"/>
          <w:sz w:val="24"/>
          <w:szCs w:val="24"/>
        </w:rPr>
        <w:t>Flow’s</w:t>
      </w:r>
      <w:r w:rsidR="005441E4" w:rsidRPr="007A3EF0">
        <w:rPr>
          <w:rFonts w:ascii="Cambria" w:hAnsi="Cambria" w:cs="Arial"/>
          <w:sz w:val="24"/>
          <w:szCs w:val="24"/>
        </w:rPr>
        <w:t xml:space="preserve"> management </w:t>
      </w:r>
      <w:proofErr w:type="gramStart"/>
      <w:r>
        <w:rPr>
          <w:rFonts w:ascii="Cambria" w:hAnsi="Cambria" w:cs="Arial"/>
          <w:sz w:val="24"/>
          <w:szCs w:val="24"/>
        </w:rPr>
        <w:t>stand</w:t>
      </w:r>
      <w:proofErr w:type="gramEnd"/>
      <w:r>
        <w:rPr>
          <w:rFonts w:ascii="Cambria" w:hAnsi="Cambria" w:cs="Arial"/>
          <w:sz w:val="24"/>
          <w:szCs w:val="24"/>
        </w:rPr>
        <w:t xml:space="preserve"> to be faulted</w:t>
      </w:r>
      <w:r w:rsidR="005441E4" w:rsidRPr="007A3EF0">
        <w:rPr>
          <w:rFonts w:ascii="Cambria" w:hAnsi="Cambria" w:cs="Arial"/>
          <w:sz w:val="24"/>
          <w:szCs w:val="24"/>
        </w:rPr>
        <w:t xml:space="preserve"> be</w:t>
      </w:r>
      <w:r>
        <w:rPr>
          <w:rFonts w:ascii="Cambria" w:hAnsi="Cambria" w:cs="Arial"/>
          <w:sz w:val="24"/>
          <w:szCs w:val="24"/>
        </w:rPr>
        <w:t xml:space="preserve"> </w:t>
      </w:r>
      <w:r w:rsidR="005441E4" w:rsidRPr="007A3EF0">
        <w:rPr>
          <w:rFonts w:ascii="Cambria" w:hAnsi="Cambria" w:cs="Arial"/>
          <w:sz w:val="24"/>
          <w:szCs w:val="24"/>
        </w:rPr>
        <w:t>is in the repeated promulgation of inaccurate data and analys</w:t>
      </w:r>
      <w:r>
        <w:rPr>
          <w:rFonts w:ascii="Cambria" w:hAnsi="Cambria" w:cs="Arial"/>
          <w:sz w:val="24"/>
          <w:szCs w:val="24"/>
        </w:rPr>
        <w:t>i</w:t>
      </w:r>
      <w:r w:rsidR="005441E4" w:rsidRPr="007A3EF0">
        <w:rPr>
          <w:rFonts w:ascii="Cambria" w:hAnsi="Cambria" w:cs="Arial"/>
          <w:sz w:val="24"/>
          <w:szCs w:val="24"/>
        </w:rPr>
        <w:t xml:space="preserve">s to its shareholder and the banks. That </w:t>
      </w:r>
      <w:r>
        <w:rPr>
          <w:rFonts w:ascii="Cambria" w:hAnsi="Cambria" w:cs="Arial"/>
          <w:sz w:val="24"/>
          <w:szCs w:val="24"/>
        </w:rPr>
        <w:t xml:space="preserve">seems an operable </w:t>
      </w:r>
      <w:r w:rsidR="005441E4" w:rsidRPr="007A3EF0">
        <w:rPr>
          <w:rFonts w:ascii="Cambria" w:hAnsi="Cambria" w:cs="Arial"/>
          <w:sz w:val="24"/>
          <w:szCs w:val="24"/>
        </w:rPr>
        <w:t>cause</w:t>
      </w:r>
      <w:r>
        <w:rPr>
          <w:rFonts w:ascii="Cambria" w:hAnsi="Cambria" w:cs="Arial"/>
          <w:sz w:val="24"/>
          <w:szCs w:val="24"/>
        </w:rPr>
        <w:t xml:space="preserve"> in </w:t>
      </w:r>
      <w:r w:rsidR="005441E4" w:rsidRPr="007A3EF0">
        <w:rPr>
          <w:rFonts w:ascii="Cambria" w:hAnsi="Cambria" w:cs="Arial"/>
          <w:sz w:val="24"/>
          <w:szCs w:val="24"/>
        </w:rPr>
        <w:t xml:space="preserve">the breakdown in confidence between management and the shareholder resulting in the CEO’s replacement in April 2014 and the Banks’ general lack of confidence in </w:t>
      </w:r>
      <w:r w:rsidR="00B37E53" w:rsidRPr="007A3EF0">
        <w:rPr>
          <w:rFonts w:ascii="Cambria" w:hAnsi="Cambria" w:cs="Arial"/>
          <w:sz w:val="24"/>
          <w:szCs w:val="24"/>
        </w:rPr>
        <w:t xml:space="preserve">the </w:t>
      </w:r>
      <w:r w:rsidR="005441E4" w:rsidRPr="007A3EF0">
        <w:rPr>
          <w:rFonts w:ascii="Cambria" w:hAnsi="Cambria" w:cs="Arial"/>
          <w:sz w:val="24"/>
          <w:szCs w:val="24"/>
        </w:rPr>
        <w:t>Flow</w:t>
      </w:r>
      <w:r w:rsidR="00B37E53" w:rsidRPr="007A3EF0">
        <w:rPr>
          <w:rFonts w:ascii="Cambria" w:hAnsi="Cambria" w:cs="Arial"/>
          <w:sz w:val="24"/>
          <w:szCs w:val="24"/>
        </w:rPr>
        <w:t xml:space="preserve"> group</w:t>
      </w:r>
      <w:r w:rsidR="005441E4" w:rsidRPr="007A3EF0">
        <w:rPr>
          <w:rFonts w:ascii="Cambria" w:hAnsi="Cambria" w:cs="Arial"/>
          <w:sz w:val="24"/>
          <w:szCs w:val="24"/>
        </w:rPr>
        <w:t xml:space="preserve"> around that time</w:t>
      </w:r>
      <w:r>
        <w:rPr>
          <w:rFonts w:ascii="Cambria" w:hAnsi="Cambria" w:cs="Arial"/>
          <w:sz w:val="24"/>
          <w:szCs w:val="24"/>
        </w:rPr>
        <w:t>/</w:t>
      </w:r>
    </w:p>
    <w:p w14:paraId="3CBC1B47" w14:textId="77777777" w:rsidR="00AB0807" w:rsidRPr="00AB0807" w:rsidRDefault="00AB0807" w:rsidP="00AB0807">
      <w:pPr>
        <w:pStyle w:val="ListParagraph"/>
        <w:rPr>
          <w:rFonts w:ascii="Cambria" w:hAnsi="Cambria" w:cs="Arial"/>
          <w:sz w:val="24"/>
          <w:szCs w:val="24"/>
        </w:rPr>
      </w:pPr>
    </w:p>
    <w:p w14:paraId="6F33B0EB" w14:textId="4442DCEA" w:rsidR="00AB0807" w:rsidRDefault="00EC190C" w:rsidP="00AB0807">
      <w:pPr>
        <w:pStyle w:val="ListParagraph"/>
        <w:numPr>
          <w:ilvl w:val="0"/>
          <w:numId w:val="5"/>
        </w:numPr>
        <w:ind w:left="284" w:hanging="284"/>
        <w:jc w:val="both"/>
        <w:rPr>
          <w:rFonts w:ascii="Cambria" w:hAnsi="Cambria" w:cs="Arial"/>
          <w:sz w:val="24"/>
          <w:szCs w:val="24"/>
        </w:rPr>
      </w:pPr>
      <w:r w:rsidRPr="00AB0807">
        <w:rPr>
          <w:rFonts w:ascii="Cambria" w:hAnsi="Cambria" w:cs="Arial"/>
          <w:sz w:val="24"/>
          <w:szCs w:val="24"/>
        </w:rPr>
        <w:t xml:space="preserve"> </w:t>
      </w:r>
      <w:r w:rsidR="005441E4" w:rsidRPr="00AB0807">
        <w:rPr>
          <w:rFonts w:ascii="Cambria" w:hAnsi="Cambria" w:cs="Arial"/>
          <w:sz w:val="24"/>
          <w:szCs w:val="24"/>
        </w:rPr>
        <w:t xml:space="preserve"> </w:t>
      </w:r>
      <w:r w:rsidR="00AB0807" w:rsidRPr="00AB0807">
        <w:rPr>
          <w:rFonts w:ascii="Cambria" w:hAnsi="Cambria" w:cs="Arial"/>
          <w:sz w:val="24"/>
          <w:szCs w:val="24"/>
        </w:rPr>
        <w:t>P</w:t>
      </w:r>
      <w:r w:rsidR="005441E4" w:rsidRPr="00AB0807">
        <w:rPr>
          <w:rFonts w:ascii="Cambria" w:hAnsi="Cambria" w:cs="Arial"/>
          <w:sz w:val="24"/>
          <w:szCs w:val="24"/>
        </w:rPr>
        <w:t>roposition</w:t>
      </w:r>
      <w:r w:rsidR="00AB0807" w:rsidRPr="00AB0807">
        <w:rPr>
          <w:rFonts w:ascii="Cambria" w:hAnsi="Cambria" w:cs="Arial"/>
          <w:sz w:val="24"/>
          <w:szCs w:val="24"/>
        </w:rPr>
        <w:t xml:space="preserve"> 4 is </w:t>
      </w:r>
      <w:r w:rsidR="005441E4" w:rsidRPr="00AB0807">
        <w:rPr>
          <w:rFonts w:ascii="Cambria" w:hAnsi="Cambria" w:cs="Arial"/>
          <w:sz w:val="24"/>
          <w:szCs w:val="24"/>
        </w:rPr>
        <w:t xml:space="preserve">that </w:t>
      </w:r>
      <w:r w:rsidR="00AB0807" w:rsidRPr="00AB0807">
        <w:rPr>
          <w:rFonts w:ascii="Cambria" w:hAnsi="Cambria" w:cs="Arial"/>
          <w:sz w:val="24"/>
          <w:szCs w:val="24"/>
        </w:rPr>
        <w:t xml:space="preserve">when the continued viability of the business is at stake, management’s ability to “broker” as between stakeholder is a supportive (rather than destructive) force. </w:t>
      </w:r>
    </w:p>
    <w:p w14:paraId="6B4ECABE" w14:textId="77777777" w:rsidR="00AB0807" w:rsidRPr="00AB0807" w:rsidRDefault="00AB0807" w:rsidP="00AB0807">
      <w:pPr>
        <w:pStyle w:val="ListParagraph"/>
        <w:rPr>
          <w:rFonts w:ascii="Cambria" w:hAnsi="Cambria" w:cs="Arial"/>
          <w:sz w:val="24"/>
          <w:szCs w:val="24"/>
        </w:rPr>
      </w:pPr>
    </w:p>
    <w:p w14:paraId="48B2AB28" w14:textId="7AF4B155" w:rsidR="005F0910" w:rsidRPr="00AB0807" w:rsidRDefault="00AB0807" w:rsidP="00AB0807">
      <w:pPr>
        <w:pStyle w:val="ListParagraph"/>
        <w:numPr>
          <w:ilvl w:val="0"/>
          <w:numId w:val="5"/>
        </w:numPr>
        <w:ind w:left="284" w:hanging="284"/>
        <w:jc w:val="both"/>
        <w:rPr>
          <w:rFonts w:ascii="Cambria" w:hAnsi="Cambria" w:cs="Arial"/>
          <w:sz w:val="24"/>
          <w:szCs w:val="24"/>
        </w:rPr>
      </w:pPr>
      <w:proofErr w:type="gramStart"/>
      <w:r w:rsidRPr="00AB0807">
        <w:rPr>
          <w:rFonts w:ascii="Cambria" w:hAnsi="Cambria" w:cs="Arial"/>
          <w:sz w:val="24"/>
          <w:szCs w:val="24"/>
        </w:rPr>
        <w:t>E</w:t>
      </w:r>
      <w:r w:rsidR="00B37E53" w:rsidRPr="00AB0807">
        <w:rPr>
          <w:rFonts w:ascii="Cambria" w:hAnsi="Cambria" w:cs="Arial"/>
          <w:sz w:val="24"/>
          <w:szCs w:val="24"/>
        </w:rPr>
        <w:t>xplicit</w:t>
      </w:r>
      <w:proofErr w:type="gramEnd"/>
      <w:r w:rsidR="00B37E53" w:rsidRPr="00AB0807">
        <w:rPr>
          <w:rFonts w:ascii="Cambria" w:hAnsi="Cambria" w:cs="Arial"/>
          <w:sz w:val="24"/>
          <w:szCs w:val="24"/>
        </w:rPr>
        <w:t xml:space="preserve"> </w:t>
      </w:r>
      <w:r w:rsidR="00D97F43" w:rsidRPr="00AB0807">
        <w:rPr>
          <w:rFonts w:ascii="Cambria" w:hAnsi="Cambria" w:cs="Arial"/>
          <w:sz w:val="24"/>
          <w:szCs w:val="24"/>
        </w:rPr>
        <w:t xml:space="preserve">consensus between management and the governing stakeholders regarding the </w:t>
      </w:r>
      <w:r w:rsidR="00673DAB" w:rsidRPr="00AB0807">
        <w:rPr>
          <w:rFonts w:ascii="Cambria" w:hAnsi="Cambria" w:cs="Arial"/>
          <w:sz w:val="24"/>
          <w:szCs w:val="24"/>
        </w:rPr>
        <w:t>long-term</w:t>
      </w:r>
      <w:r w:rsidR="00D97F43" w:rsidRPr="00AB0807">
        <w:rPr>
          <w:rFonts w:ascii="Cambria" w:hAnsi="Cambria" w:cs="Arial"/>
          <w:sz w:val="24"/>
          <w:szCs w:val="24"/>
        </w:rPr>
        <w:t xml:space="preserve"> future of Flow</w:t>
      </w:r>
      <w:r w:rsidRPr="00AB0807">
        <w:rPr>
          <w:rFonts w:ascii="Cambria" w:hAnsi="Cambria" w:cs="Arial"/>
          <w:sz w:val="24"/>
          <w:szCs w:val="24"/>
        </w:rPr>
        <w:t xml:space="preserve"> – Proposition 5 -</w:t>
      </w:r>
      <w:r w:rsidR="00D97F43" w:rsidRPr="00AB0807">
        <w:rPr>
          <w:rFonts w:ascii="Cambria" w:hAnsi="Cambria" w:cs="Arial"/>
          <w:sz w:val="24"/>
          <w:szCs w:val="24"/>
        </w:rPr>
        <w:t xml:space="preserve"> is reflected in the executed July 2015 restructuring agreement</w:t>
      </w:r>
      <w:r w:rsidRPr="00AB0807">
        <w:rPr>
          <w:rFonts w:ascii="Cambria" w:hAnsi="Cambria" w:cs="Arial"/>
          <w:sz w:val="24"/>
          <w:szCs w:val="24"/>
        </w:rPr>
        <w:t>. T</w:t>
      </w:r>
      <w:r w:rsidR="00D97F43" w:rsidRPr="00AB0807">
        <w:rPr>
          <w:rFonts w:ascii="Cambria" w:hAnsi="Cambria" w:cs="Arial"/>
          <w:sz w:val="24"/>
          <w:szCs w:val="24"/>
        </w:rPr>
        <w:t xml:space="preserve">here </w:t>
      </w:r>
      <w:r w:rsidRPr="00AB0807">
        <w:rPr>
          <w:rFonts w:ascii="Cambria" w:hAnsi="Cambria" w:cs="Arial"/>
          <w:sz w:val="24"/>
          <w:szCs w:val="24"/>
        </w:rPr>
        <w:t>was</w:t>
      </w:r>
      <w:r w:rsidR="00D97F43" w:rsidRPr="00AB0807">
        <w:rPr>
          <w:rFonts w:ascii="Cambria" w:hAnsi="Cambria" w:cs="Arial"/>
          <w:sz w:val="24"/>
          <w:szCs w:val="24"/>
        </w:rPr>
        <w:t xml:space="preserve"> consensus </w:t>
      </w:r>
      <w:r w:rsidR="00B37E53" w:rsidRPr="00AB0807">
        <w:rPr>
          <w:rFonts w:ascii="Cambria" w:hAnsi="Cambria" w:cs="Arial"/>
          <w:sz w:val="24"/>
          <w:szCs w:val="24"/>
        </w:rPr>
        <w:t>that</w:t>
      </w:r>
      <w:r w:rsidR="00673DAB" w:rsidRPr="00AB0807">
        <w:rPr>
          <w:rFonts w:ascii="Cambria" w:hAnsi="Cambria" w:cs="Arial"/>
          <w:sz w:val="24"/>
          <w:szCs w:val="24"/>
        </w:rPr>
        <w:t xml:space="preserve"> for the rest of the group to survive the holding company, Flow, had to be liquidated. </w:t>
      </w:r>
      <w:r w:rsidR="00B37E53" w:rsidRPr="00AB0807">
        <w:rPr>
          <w:rFonts w:ascii="Cambria" w:hAnsi="Cambria" w:cs="Arial"/>
          <w:sz w:val="24"/>
          <w:szCs w:val="24"/>
        </w:rPr>
        <w:t xml:space="preserve">That liquidation and the transfer of the shares of </w:t>
      </w:r>
      <w:r w:rsidR="00673DAB" w:rsidRPr="00AB0807">
        <w:rPr>
          <w:rFonts w:ascii="Cambria" w:hAnsi="Cambria" w:cs="Arial"/>
          <w:sz w:val="24"/>
          <w:szCs w:val="24"/>
        </w:rPr>
        <w:t>Flow’s</w:t>
      </w:r>
      <w:r w:rsidR="00B37E53" w:rsidRPr="00AB0807">
        <w:rPr>
          <w:rFonts w:ascii="Cambria" w:hAnsi="Cambria" w:cs="Arial"/>
          <w:sz w:val="24"/>
          <w:szCs w:val="24"/>
        </w:rPr>
        <w:t xml:space="preserve"> subsidiaries </w:t>
      </w:r>
      <w:r w:rsidRPr="00AB0807">
        <w:rPr>
          <w:rFonts w:ascii="Cambria" w:hAnsi="Cambria" w:cs="Arial"/>
          <w:sz w:val="24"/>
          <w:szCs w:val="24"/>
        </w:rPr>
        <w:t xml:space="preserve">was </w:t>
      </w:r>
      <w:r w:rsidR="00673DAB" w:rsidRPr="00AB0807">
        <w:rPr>
          <w:rFonts w:ascii="Cambria" w:hAnsi="Cambria" w:cs="Arial"/>
          <w:sz w:val="24"/>
          <w:szCs w:val="24"/>
        </w:rPr>
        <w:t xml:space="preserve">done </w:t>
      </w:r>
      <w:r w:rsidR="00B37E53" w:rsidRPr="00AB0807">
        <w:rPr>
          <w:rFonts w:ascii="Cambria" w:hAnsi="Cambria" w:cs="Arial"/>
          <w:sz w:val="24"/>
          <w:szCs w:val="24"/>
        </w:rPr>
        <w:t xml:space="preserve">in </w:t>
      </w:r>
      <w:r w:rsidR="00673DAB" w:rsidRPr="00AB0807">
        <w:rPr>
          <w:rFonts w:ascii="Cambria" w:hAnsi="Cambria" w:cs="Arial"/>
          <w:sz w:val="24"/>
          <w:szCs w:val="24"/>
        </w:rPr>
        <w:t xml:space="preserve">the long-term interest of the </w:t>
      </w:r>
      <w:r w:rsidR="00333C6D" w:rsidRPr="00AB0807">
        <w:rPr>
          <w:rFonts w:ascii="Cambria" w:hAnsi="Cambria" w:cs="Arial"/>
          <w:sz w:val="24"/>
          <w:szCs w:val="24"/>
        </w:rPr>
        <w:t xml:space="preserve">group of which Flow was </w:t>
      </w:r>
      <w:r w:rsidRPr="00AB0807">
        <w:rPr>
          <w:rFonts w:ascii="Cambria" w:hAnsi="Cambria" w:cs="Arial"/>
          <w:sz w:val="24"/>
          <w:szCs w:val="24"/>
        </w:rPr>
        <w:t xml:space="preserve">itself only </w:t>
      </w:r>
      <w:r w:rsidR="00333C6D" w:rsidRPr="00AB0807">
        <w:rPr>
          <w:rFonts w:ascii="Cambria" w:hAnsi="Cambria" w:cs="Arial"/>
          <w:sz w:val="24"/>
          <w:szCs w:val="24"/>
        </w:rPr>
        <w:t xml:space="preserve">a part. </w:t>
      </w:r>
    </w:p>
    <w:p w14:paraId="4C5373B1" w14:textId="77777777" w:rsidR="00673DAB" w:rsidRPr="007A3EF0" w:rsidRDefault="00673DAB" w:rsidP="00EA2B14">
      <w:pPr>
        <w:pStyle w:val="ListParagraph"/>
        <w:ind w:left="284" w:hanging="284"/>
        <w:rPr>
          <w:rFonts w:ascii="Cambria" w:hAnsi="Cambria" w:cs="Arial"/>
          <w:sz w:val="24"/>
          <w:szCs w:val="24"/>
        </w:rPr>
      </w:pPr>
    </w:p>
    <w:p w14:paraId="1422B615" w14:textId="4EE4B652" w:rsidR="00380B94" w:rsidRPr="007A3EF0" w:rsidRDefault="00AB0807" w:rsidP="00EA2B14">
      <w:pPr>
        <w:pStyle w:val="ListParagraph"/>
        <w:numPr>
          <w:ilvl w:val="0"/>
          <w:numId w:val="5"/>
        </w:numPr>
        <w:ind w:left="284" w:hanging="284"/>
        <w:jc w:val="both"/>
        <w:rPr>
          <w:rFonts w:ascii="Cambria" w:hAnsi="Cambria" w:cs="Arial"/>
          <w:sz w:val="24"/>
          <w:szCs w:val="24"/>
        </w:rPr>
      </w:pPr>
      <w:r>
        <w:rPr>
          <w:rFonts w:ascii="Cambria" w:hAnsi="Cambria" w:cs="Arial"/>
          <w:sz w:val="24"/>
          <w:szCs w:val="24"/>
        </w:rPr>
        <w:t>P</w:t>
      </w:r>
      <w:r w:rsidR="005F0910" w:rsidRPr="007A3EF0">
        <w:rPr>
          <w:rFonts w:ascii="Cambria" w:hAnsi="Cambria" w:cs="Arial"/>
          <w:sz w:val="24"/>
          <w:szCs w:val="24"/>
        </w:rPr>
        <w:t>roposition</w:t>
      </w:r>
      <w:r>
        <w:rPr>
          <w:rFonts w:ascii="Cambria" w:hAnsi="Cambria" w:cs="Arial"/>
          <w:sz w:val="24"/>
          <w:szCs w:val="24"/>
        </w:rPr>
        <w:t xml:space="preserve"> 6 - </w:t>
      </w:r>
      <w:r w:rsidRPr="007A3EF0">
        <w:rPr>
          <w:rFonts w:ascii="Cambria" w:hAnsi="Cambria" w:cs="Arial"/>
          <w:sz w:val="24"/>
          <w:szCs w:val="24"/>
        </w:rPr>
        <w:t>governing stakeholders actively associating management with good firm performance</w:t>
      </w:r>
      <w:r>
        <w:rPr>
          <w:rFonts w:ascii="Cambria" w:hAnsi="Cambria" w:cs="Arial"/>
          <w:sz w:val="24"/>
          <w:szCs w:val="24"/>
        </w:rPr>
        <w:t>,</w:t>
      </w:r>
      <w:r w:rsidRPr="007A3EF0">
        <w:rPr>
          <w:rFonts w:ascii="Cambria" w:hAnsi="Cambria" w:cs="Arial"/>
          <w:sz w:val="24"/>
          <w:szCs w:val="24"/>
        </w:rPr>
        <w:t xml:space="preserve"> which in turn positively related to those stakeholders’ continuing support</w:t>
      </w:r>
      <w:r w:rsidR="00333C6D" w:rsidRPr="007A3EF0">
        <w:rPr>
          <w:rStyle w:val="FootnoteReference"/>
          <w:rFonts w:ascii="Cambria" w:hAnsi="Cambria" w:cs="Arial"/>
          <w:sz w:val="24"/>
          <w:szCs w:val="24"/>
        </w:rPr>
        <w:footnoteReference w:id="18"/>
      </w:r>
      <w:r w:rsidR="005F0910" w:rsidRPr="007A3EF0">
        <w:rPr>
          <w:rFonts w:ascii="Cambria" w:hAnsi="Cambria" w:cs="Arial"/>
          <w:sz w:val="24"/>
          <w:szCs w:val="24"/>
        </w:rPr>
        <w:t xml:space="preserve"> is </w:t>
      </w:r>
      <w:r w:rsidR="005D4F90">
        <w:rPr>
          <w:rFonts w:ascii="Cambria" w:hAnsi="Cambria" w:cs="Arial"/>
          <w:sz w:val="24"/>
          <w:szCs w:val="24"/>
        </w:rPr>
        <w:t xml:space="preserve">less easy to align with the experience of Flow’s restructuring. </w:t>
      </w:r>
      <w:r w:rsidR="005F0910" w:rsidRPr="007A3EF0">
        <w:rPr>
          <w:rFonts w:ascii="Cambria" w:hAnsi="Cambria" w:cs="Arial"/>
          <w:sz w:val="24"/>
          <w:szCs w:val="24"/>
        </w:rPr>
        <w:t xml:space="preserve">From the poor information management and the replacement of the CEO and other </w:t>
      </w:r>
      <w:r w:rsidR="004772CD" w:rsidRPr="007A3EF0">
        <w:rPr>
          <w:rFonts w:ascii="Cambria" w:hAnsi="Cambria" w:cs="Arial"/>
          <w:sz w:val="24"/>
          <w:szCs w:val="24"/>
        </w:rPr>
        <w:t>CFO</w:t>
      </w:r>
      <w:r w:rsidR="005F0910" w:rsidRPr="007A3EF0">
        <w:rPr>
          <w:rFonts w:ascii="Cambria" w:hAnsi="Cambria" w:cs="Arial"/>
          <w:sz w:val="24"/>
          <w:szCs w:val="24"/>
        </w:rPr>
        <w:t xml:space="preserve"> it is </w:t>
      </w:r>
      <w:r w:rsidR="005D4F90">
        <w:rPr>
          <w:rFonts w:ascii="Cambria" w:hAnsi="Cambria" w:cs="Arial"/>
          <w:sz w:val="24"/>
          <w:szCs w:val="24"/>
        </w:rPr>
        <w:t xml:space="preserve">more than a stretch to say </w:t>
      </w:r>
      <w:r w:rsidR="005F0910" w:rsidRPr="007A3EF0">
        <w:rPr>
          <w:rFonts w:ascii="Cambria" w:hAnsi="Cambria" w:cs="Arial"/>
          <w:sz w:val="24"/>
          <w:szCs w:val="24"/>
        </w:rPr>
        <w:t>that the governing stakeholders</w:t>
      </w:r>
      <w:r w:rsidR="005D4F90">
        <w:rPr>
          <w:rFonts w:ascii="Cambria" w:hAnsi="Cambria" w:cs="Arial"/>
          <w:sz w:val="24"/>
          <w:szCs w:val="24"/>
        </w:rPr>
        <w:t xml:space="preserve"> would</w:t>
      </w:r>
      <w:r w:rsidR="005F0910" w:rsidRPr="007A3EF0">
        <w:rPr>
          <w:rFonts w:ascii="Cambria" w:hAnsi="Cambria" w:cs="Arial"/>
          <w:sz w:val="24"/>
          <w:szCs w:val="24"/>
        </w:rPr>
        <w:t xml:space="preserve"> have associated management with “good” firm performance. </w:t>
      </w:r>
      <w:r w:rsidR="005D4F90">
        <w:rPr>
          <w:rFonts w:ascii="Cambria" w:hAnsi="Cambria" w:cs="Arial"/>
          <w:sz w:val="24"/>
          <w:szCs w:val="24"/>
        </w:rPr>
        <w:t>W</w:t>
      </w:r>
      <w:r w:rsidR="005F0910" w:rsidRPr="007A3EF0">
        <w:rPr>
          <w:rFonts w:ascii="Cambria" w:hAnsi="Cambria" w:cs="Arial"/>
          <w:sz w:val="24"/>
          <w:szCs w:val="24"/>
        </w:rPr>
        <w:t xml:space="preserve">hat </w:t>
      </w:r>
      <w:r w:rsidR="005D7B6C" w:rsidRPr="007A3EF0">
        <w:rPr>
          <w:rFonts w:ascii="Cambria" w:hAnsi="Cambria" w:cs="Arial"/>
          <w:sz w:val="24"/>
          <w:szCs w:val="24"/>
        </w:rPr>
        <w:t xml:space="preserve">maintained the creditors’ confidence </w:t>
      </w:r>
      <w:r w:rsidR="005D4F90">
        <w:rPr>
          <w:rFonts w:ascii="Cambria" w:hAnsi="Cambria" w:cs="Arial"/>
          <w:sz w:val="24"/>
          <w:szCs w:val="24"/>
        </w:rPr>
        <w:t>is more likely the</w:t>
      </w:r>
      <w:r w:rsidR="005F0910" w:rsidRPr="007A3EF0">
        <w:rPr>
          <w:rFonts w:ascii="Cambria" w:hAnsi="Cambria" w:cs="Arial"/>
          <w:sz w:val="24"/>
          <w:szCs w:val="24"/>
        </w:rPr>
        <w:t xml:space="preserve"> shareholders’ association with management</w:t>
      </w:r>
      <w:r w:rsidR="005D4F90">
        <w:rPr>
          <w:rFonts w:ascii="Cambria" w:hAnsi="Cambria" w:cs="Arial"/>
          <w:sz w:val="24"/>
          <w:szCs w:val="24"/>
        </w:rPr>
        <w:t>. Leading creditors</w:t>
      </w:r>
      <w:r w:rsidR="005F0910" w:rsidRPr="007A3EF0">
        <w:rPr>
          <w:rFonts w:ascii="Cambria" w:hAnsi="Cambria" w:cs="Arial"/>
          <w:sz w:val="24"/>
          <w:szCs w:val="24"/>
        </w:rPr>
        <w:t xml:space="preserve"> to place faith in the company until the restructuring agreement </w:t>
      </w:r>
      <w:r w:rsidR="005D7B6C" w:rsidRPr="007A3EF0">
        <w:rPr>
          <w:rFonts w:ascii="Cambria" w:hAnsi="Cambria" w:cs="Arial"/>
          <w:sz w:val="24"/>
          <w:szCs w:val="24"/>
        </w:rPr>
        <w:t>was</w:t>
      </w:r>
      <w:r w:rsidR="005F0910" w:rsidRPr="007A3EF0">
        <w:rPr>
          <w:rFonts w:ascii="Cambria" w:hAnsi="Cambria" w:cs="Arial"/>
          <w:sz w:val="24"/>
          <w:szCs w:val="24"/>
        </w:rPr>
        <w:t xml:space="preserve"> </w:t>
      </w:r>
      <w:r w:rsidR="005D7B6C" w:rsidRPr="007A3EF0">
        <w:rPr>
          <w:rFonts w:ascii="Cambria" w:hAnsi="Cambria" w:cs="Arial"/>
          <w:sz w:val="24"/>
          <w:szCs w:val="24"/>
        </w:rPr>
        <w:t xml:space="preserve">settled. </w:t>
      </w:r>
    </w:p>
    <w:p w14:paraId="1454AC73" w14:textId="77777777" w:rsidR="00673DAB" w:rsidRPr="007A3EF0" w:rsidRDefault="00673DAB" w:rsidP="00EA2B14">
      <w:pPr>
        <w:pStyle w:val="ListParagraph"/>
        <w:ind w:left="284" w:hanging="284"/>
        <w:rPr>
          <w:rFonts w:ascii="Cambria" w:hAnsi="Cambria" w:cs="Arial"/>
          <w:sz w:val="24"/>
          <w:szCs w:val="24"/>
        </w:rPr>
      </w:pPr>
    </w:p>
    <w:p w14:paraId="1E08F961" w14:textId="77777777" w:rsidR="00EA2B14" w:rsidRPr="007A3EF0" w:rsidRDefault="00A93D83" w:rsidP="00EA2B14">
      <w:pPr>
        <w:pStyle w:val="ListParagraph"/>
        <w:numPr>
          <w:ilvl w:val="0"/>
          <w:numId w:val="5"/>
        </w:numPr>
        <w:ind w:left="284" w:hanging="284"/>
        <w:jc w:val="both"/>
        <w:rPr>
          <w:rFonts w:ascii="Cambria" w:hAnsi="Cambria" w:cs="Arial"/>
          <w:sz w:val="24"/>
          <w:szCs w:val="24"/>
        </w:rPr>
      </w:pPr>
      <w:proofErr w:type="spellStart"/>
      <w:r w:rsidRPr="007A3EF0">
        <w:rPr>
          <w:rFonts w:ascii="Cambria" w:hAnsi="Cambria" w:cs="Arial"/>
          <w:sz w:val="24"/>
          <w:szCs w:val="24"/>
        </w:rPr>
        <w:t>Sudarsanam</w:t>
      </w:r>
      <w:proofErr w:type="spellEnd"/>
      <w:r w:rsidRPr="007A3EF0">
        <w:rPr>
          <w:rFonts w:ascii="Cambria" w:hAnsi="Cambria" w:cs="Arial"/>
          <w:sz w:val="24"/>
          <w:szCs w:val="24"/>
        </w:rPr>
        <w:t xml:space="preserve"> et al aim to fill the empirical gap in </w:t>
      </w:r>
      <w:r w:rsidR="00F93B78" w:rsidRPr="007A3EF0">
        <w:rPr>
          <w:rFonts w:ascii="Cambria" w:hAnsi="Cambria" w:cs="Arial"/>
          <w:sz w:val="24"/>
          <w:szCs w:val="24"/>
        </w:rPr>
        <w:t xml:space="preserve">the effectiveness of </w:t>
      </w:r>
      <w:proofErr w:type="gramStart"/>
      <w:r w:rsidR="00F93B78" w:rsidRPr="007A3EF0">
        <w:rPr>
          <w:rFonts w:ascii="Cambria" w:hAnsi="Cambria" w:cs="Arial"/>
          <w:sz w:val="24"/>
          <w:szCs w:val="24"/>
        </w:rPr>
        <w:t>particular turnaround</w:t>
      </w:r>
      <w:proofErr w:type="gramEnd"/>
      <w:r w:rsidR="00F93B78" w:rsidRPr="007A3EF0">
        <w:rPr>
          <w:rFonts w:ascii="Cambria" w:hAnsi="Cambria" w:cs="Arial"/>
          <w:sz w:val="24"/>
          <w:szCs w:val="24"/>
        </w:rPr>
        <w:t xml:space="preserve"> strategies </w:t>
      </w:r>
      <w:r w:rsidR="00673DAB" w:rsidRPr="007A3EF0">
        <w:rPr>
          <w:rFonts w:ascii="Cambria" w:hAnsi="Cambria" w:cs="Arial"/>
          <w:sz w:val="24"/>
          <w:szCs w:val="24"/>
        </w:rPr>
        <w:t xml:space="preserve">by </w:t>
      </w:r>
      <w:r w:rsidRPr="007A3EF0">
        <w:rPr>
          <w:rFonts w:ascii="Cambria" w:hAnsi="Cambria" w:cs="Arial"/>
          <w:sz w:val="24"/>
          <w:szCs w:val="24"/>
        </w:rPr>
        <w:t xml:space="preserve">asking </w:t>
      </w:r>
      <w:r w:rsidR="00F93B78" w:rsidRPr="007A3EF0">
        <w:rPr>
          <w:rFonts w:ascii="Cambria" w:hAnsi="Cambria" w:cs="Arial"/>
          <w:sz w:val="24"/>
          <w:szCs w:val="24"/>
        </w:rPr>
        <w:t xml:space="preserve">whether </w:t>
      </w:r>
      <w:r w:rsidR="006B1347" w:rsidRPr="007A3EF0">
        <w:rPr>
          <w:rFonts w:ascii="Cambria" w:hAnsi="Cambria" w:cs="Arial"/>
          <w:sz w:val="24"/>
          <w:szCs w:val="24"/>
        </w:rPr>
        <w:t>companies</w:t>
      </w:r>
      <w:r w:rsidRPr="007A3EF0">
        <w:rPr>
          <w:rFonts w:ascii="Cambria" w:hAnsi="Cambria" w:cs="Arial"/>
          <w:sz w:val="24"/>
          <w:szCs w:val="24"/>
        </w:rPr>
        <w:t xml:space="preserve"> that recover from financial distress</w:t>
      </w:r>
      <w:r w:rsidR="00F93B78" w:rsidRPr="007A3EF0">
        <w:rPr>
          <w:rFonts w:ascii="Cambria" w:hAnsi="Cambria" w:cs="Arial"/>
          <w:sz w:val="24"/>
          <w:szCs w:val="24"/>
        </w:rPr>
        <w:t xml:space="preserve"> </w:t>
      </w:r>
      <w:r w:rsidRPr="007A3EF0">
        <w:rPr>
          <w:rFonts w:ascii="Cambria" w:hAnsi="Cambria" w:cs="Arial"/>
          <w:sz w:val="24"/>
          <w:szCs w:val="24"/>
        </w:rPr>
        <w:t xml:space="preserve">adopt different </w:t>
      </w:r>
      <w:r w:rsidR="00673DAB" w:rsidRPr="007A3EF0">
        <w:rPr>
          <w:rFonts w:ascii="Cambria" w:hAnsi="Cambria" w:cs="Arial"/>
          <w:sz w:val="24"/>
          <w:szCs w:val="24"/>
        </w:rPr>
        <w:t>strategies</w:t>
      </w:r>
      <w:r w:rsidR="006B1347" w:rsidRPr="007A3EF0">
        <w:rPr>
          <w:rFonts w:ascii="Cambria" w:hAnsi="Cambria" w:cs="Arial"/>
          <w:sz w:val="24"/>
          <w:szCs w:val="24"/>
        </w:rPr>
        <w:t xml:space="preserve"> than</w:t>
      </w:r>
      <w:r w:rsidR="00F93B78" w:rsidRPr="007A3EF0">
        <w:rPr>
          <w:rFonts w:ascii="Cambria" w:hAnsi="Cambria" w:cs="Arial"/>
          <w:sz w:val="24"/>
          <w:szCs w:val="24"/>
        </w:rPr>
        <w:t xml:space="preserve"> </w:t>
      </w:r>
      <w:r w:rsidRPr="007A3EF0">
        <w:rPr>
          <w:rFonts w:ascii="Cambria" w:hAnsi="Cambria" w:cs="Arial"/>
          <w:sz w:val="24"/>
          <w:szCs w:val="24"/>
        </w:rPr>
        <w:t xml:space="preserve">those that continue </w:t>
      </w:r>
      <w:r w:rsidR="00F93B78" w:rsidRPr="007A3EF0">
        <w:rPr>
          <w:rFonts w:ascii="Cambria" w:hAnsi="Cambria" w:cs="Arial"/>
          <w:sz w:val="24"/>
          <w:szCs w:val="24"/>
        </w:rPr>
        <w:t xml:space="preserve">into decline, whether </w:t>
      </w:r>
      <w:r w:rsidRPr="007A3EF0">
        <w:rPr>
          <w:rFonts w:ascii="Cambria" w:hAnsi="Cambria" w:cs="Arial"/>
          <w:sz w:val="24"/>
          <w:szCs w:val="24"/>
        </w:rPr>
        <w:t>the</w:t>
      </w:r>
      <w:r w:rsidR="00F93B78" w:rsidRPr="007A3EF0">
        <w:rPr>
          <w:rFonts w:ascii="Cambria" w:hAnsi="Cambria" w:cs="Arial"/>
          <w:sz w:val="24"/>
          <w:szCs w:val="24"/>
        </w:rPr>
        <w:t xml:space="preserve"> </w:t>
      </w:r>
      <w:r w:rsidRPr="007A3EF0">
        <w:rPr>
          <w:rFonts w:ascii="Cambria" w:hAnsi="Cambria" w:cs="Arial"/>
          <w:sz w:val="24"/>
          <w:szCs w:val="24"/>
        </w:rPr>
        <w:t>two groups differ in the intensity and</w:t>
      </w:r>
      <w:r w:rsidR="00F93B78" w:rsidRPr="007A3EF0">
        <w:rPr>
          <w:rFonts w:ascii="Cambria" w:hAnsi="Cambria" w:cs="Arial"/>
          <w:sz w:val="24"/>
          <w:szCs w:val="24"/>
        </w:rPr>
        <w:t xml:space="preserve"> </w:t>
      </w:r>
      <w:r w:rsidRPr="007A3EF0">
        <w:rPr>
          <w:rFonts w:ascii="Cambria" w:hAnsi="Cambria" w:cs="Arial"/>
          <w:sz w:val="24"/>
          <w:szCs w:val="24"/>
        </w:rPr>
        <w:t xml:space="preserve">timing </w:t>
      </w:r>
      <w:r w:rsidR="00F93B78" w:rsidRPr="007A3EF0">
        <w:rPr>
          <w:rFonts w:ascii="Cambria" w:hAnsi="Cambria" w:cs="Arial"/>
          <w:sz w:val="24"/>
          <w:szCs w:val="24"/>
        </w:rPr>
        <w:t>in the deployment of th</w:t>
      </w:r>
      <w:r w:rsidR="00640304" w:rsidRPr="007A3EF0">
        <w:rPr>
          <w:rFonts w:ascii="Cambria" w:hAnsi="Cambria" w:cs="Arial"/>
          <w:sz w:val="24"/>
          <w:szCs w:val="24"/>
        </w:rPr>
        <w:t>o</w:t>
      </w:r>
      <w:r w:rsidR="00F93B78" w:rsidRPr="007A3EF0">
        <w:rPr>
          <w:rFonts w:ascii="Cambria" w:hAnsi="Cambria" w:cs="Arial"/>
          <w:sz w:val="24"/>
          <w:szCs w:val="24"/>
        </w:rPr>
        <w:t>se strategies and w</w:t>
      </w:r>
      <w:r w:rsidRPr="007A3EF0">
        <w:rPr>
          <w:rFonts w:ascii="Cambria" w:hAnsi="Cambria" w:cs="Arial"/>
          <w:sz w:val="24"/>
          <w:szCs w:val="24"/>
        </w:rPr>
        <w:t xml:space="preserve">hich of </w:t>
      </w:r>
      <w:r w:rsidR="006B1347" w:rsidRPr="007A3EF0">
        <w:rPr>
          <w:rFonts w:ascii="Cambria" w:hAnsi="Cambria" w:cs="Arial"/>
          <w:sz w:val="24"/>
          <w:szCs w:val="24"/>
        </w:rPr>
        <w:t>them</w:t>
      </w:r>
      <w:r w:rsidRPr="007A3EF0">
        <w:rPr>
          <w:rFonts w:ascii="Cambria" w:hAnsi="Cambria" w:cs="Arial"/>
          <w:sz w:val="24"/>
          <w:szCs w:val="24"/>
        </w:rPr>
        <w:t xml:space="preserve"> contribute to</w:t>
      </w:r>
      <w:r w:rsidR="00F93B78" w:rsidRPr="007A3EF0">
        <w:rPr>
          <w:rFonts w:ascii="Cambria" w:hAnsi="Cambria" w:cs="Arial"/>
          <w:sz w:val="24"/>
          <w:szCs w:val="24"/>
        </w:rPr>
        <w:t xml:space="preserve"> </w:t>
      </w:r>
      <w:r w:rsidRPr="007A3EF0">
        <w:rPr>
          <w:rFonts w:ascii="Cambria" w:hAnsi="Cambria" w:cs="Arial"/>
          <w:sz w:val="24"/>
          <w:szCs w:val="24"/>
        </w:rPr>
        <w:t>corporate turnaround</w:t>
      </w:r>
      <w:r w:rsidR="006B1347" w:rsidRPr="007A3EF0">
        <w:rPr>
          <w:rStyle w:val="FootnoteReference"/>
          <w:rFonts w:ascii="Cambria" w:hAnsi="Cambria" w:cs="Arial"/>
          <w:sz w:val="24"/>
          <w:szCs w:val="24"/>
        </w:rPr>
        <w:footnoteReference w:id="19"/>
      </w:r>
      <w:r w:rsidR="006B1347" w:rsidRPr="007A3EF0">
        <w:rPr>
          <w:rFonts w:ascii="Cambria" w:hAnsi="Cambria" w:cs="Arial"/>
          <w:sz w:val="24"/>
          <w:szCs w:val="24"/>
        </w:rPr>
        <w:t>.</w:t>
      </w:r>
      <w:r w:rsidR="00640304" w:rsidRPr="007A3EF0">
        <w:rPr>
          <w:rFonts w:ascii="Cambria" w:hAnsi="Cambria" w:cs="Arial"/>
          <w:sz w:val="24"/>
          <w:szCs w:val="24"/>
        </w:rPr>
        <w:t xml:space="preserve"> </w:t>
      </w:r>
    </w:p>
    <w:p w14:paraId="5953C425" w14:textId="77777777" w:rsidR="00EA2B14" w:rsidRPr="007A3EF0" w:rsidRDefault="00EA2B14" w:rsidP="00EA2B14">
      <w:pPr>
        <w:pStyle w:val="ListParagraph"/>
        <w:rPr>
          <w:rFonts w:ascii="Cambria" w:hAnsi="Cambria" w:cs="Arial"/>
          <w:sz w:val="24"/>
          <w:szCs w:val="24"/>
        </w:rPr>
      </w:pPr>
    </w:p>
    <w:p w14:paraId="541BF5F6" w14:textId="1A17EFF6" w:rsidR="00673DAB" w:rsidRPr="007A3EF0" w:rsidRDefault="00640304" w:rsidP="00EA2B14">
      <w:pPr>
        <w:pStyle w:val="ListParagraph"/>
        <w:numPr>
          <w:ilvl w:val="0"/>
          <w:numId w:val="5"/>
        </w:numPr>
        <w:tabs>
          <w:tab w:val="left" w:pos="426"/>
        </w:tabs>
        <w:ind w:left="284" w:hanging="284"/>
        <w:jc w:val="both"/>
        <w:rPr>
          <w:rFonts w:ascii="Cambria" w:hAnsi="Cambria" w:cs="Arial"/>
          <w:sz w:val="24"/>
          <w:szCs w:val="24"/>
        </w:rPr>
      </w:pPr>
      <w:r w:rsidRPr="007A3EF0">
        <w:rPr>
          <w:rFonts w:ascii="Cambria" w:hAnsi="Cambria" w:cs="Arial"/>
          <w:sz w:val="24"/>
          <w:szCs w:val="24"/>
        </w:rPr>
        <w:t xml:space="preserve">The </w:t>
      </w:r>
      <w:r w:rsidR="004341C9" w:rsidRPr="007A3EF0">
        <w:rPr>
          <w:rFonts w:ascii="Cambria" w:hAnsi="Cambria" w:cs="Arial"/>
          <w:sz w:val="24"/>
          <w:szCs w:val="24"/>
        </w:rPr>
        <w:t>results</w:t>
      </w:r>
      <w:r w:rsidRPr="007A3EF0">
        <w:rPr>
          <w:rFonts w:ascii="Cambria" w:hAnsi="Cambria" w:cs="Arial"/>
          <w:sz w:val="24"/>
          <w:szCs w:val="24"/>
        </w:rPr>
        <w:t xml:space="preserve"> of the study indicate that both recovery firms (those that eventually recover from distress) and non-recovery firms (those that don’t) start with nearly the same order of importance of strategies with operational restructuring, capital expenditure and acquisition being the most frequent</w:t>
      </w:r>
      <w:r w:rsidRPr="007A3EF0">
        <w:rPr>
          <w:rStyle w:val="FootnoteReference"/>
          <w:rFonts w:ascii="Cambria" w:hAnsi="Cambria" w:cs="Arial"/>
          <w:sz w:val="24"/>
          <w:szCs w:val="24"/>
        </w:rPr>
        <w:footnoteReference w:id="20"/>
      </w:r>
      <w:r w:rsidRPr="007A3EF0">
        <w:rPr>
          <w:rFonts w:ascii="Cambria" w:hAnsi="Cambria" w:cs="Arial"/>
          <w:sz w:val="24"/>
          <w:szCs w:val="24"/>
        </w:rPr>
        <w:t>. Comparing that to Flow Management,</w:t>
      </w:r>
      <w:r w:rsidR="005D4F90">
        <w:rPr>
          <w:rFonts w:ascii="Cambria" w:hAnsi="Cambria" w:cs="Arial"/>
          <w:sz w:val="24"/>
          <w:szCs w:val="24"/>
        </w:rPr>
        <w:t xml:space="preserve"> </w:t>
      </w:r>
      <w:r w:rsidRPr="007A3EF0">
        <w:rPr>
          <w:rFonts w:ascii="Cambria" w:hAnsi="Cambria" w:cs="Arial"/>
          <w:sz w:val="24"/>
          <w:szCs w:val="24"/>
        </w:rPr>
        <w:t xml:space="preserve">there was some operational restructuring </w:t>
      </w:r>
      <w:r w:rsidR="00F27A47" w:rsidRPr="007A3EF0">
        <w:rPr>
          <w:rFonts w:ascii="Cambria" w:hAnsi="Cambria" w:cs="Arial"/>
          <w:sz w:val="24"/>
          <w:szCs w:val="24"/>
        </w:rPr>
        <w:t xml:space="preserve">in the form of </w:t>
      </w:r>
      <w:proofErr w:type="gramStart"/>
      <w:r w:rsidR="00F27A47" w:rsidRPr="007A3EF0">
        <w:rPr>
          <w:rFonts w:ascii="Cambria" w:hAnsi="Cambria" w:cs="Arial"/>
          <w:sz w:val="24"/>
          <w:szCs w:val="24"/>
        </w:rPr>
        <w:t>the price</w:t>
      </w:r>
      <w:proofErr w:type="gramEnd"/>
      <w:r w:rsidR="00F27A47" w:rsidRPr="007A3EF0">
        <w:rPr>
          <w:rFonts w:ascii="Cambria" w:hAnsi="Cambria" w:cs="Arial"/>
          <w:sz w:val="24"/>
          <w:szCs w:val="24"/>
        </w:rPr>
        <w:t xml:space="preserve"> increases, improved loss recovery and the re</w:t>
      </w:r>
      <w:r w:rsidR="005D4F90">
        <w:rPr>
          <w:rFonts w:ascii="Cambria" w:hAnsi="Cambria" w:cs="Arial"/>
          <w:sz w:val="24"/>
          <w:szCs w:val="24"/>
        </w:rPr>
        <w:t>dundancy</w:t>
      </w:r>
      <w:r w:rsidR="00F27A47" w:rsidRPr="007A3EF0">
        <w:rPr>
          <w:rFonts w:ascii="Cambria" w:hAnsi="Cambria" w:cs="Arial"/>
          <w:sz w:val="24"/>
          <w:szCs w:val="24"/>
        </w:rPr>
        <w:t xml:space="preserve"> of 130 staff</w:t>
      </w:r>
      <w:r w:rsidR="005D4F90">
        <w:rPr>
          <w:rFonts w:ascii="Cambria" w:hAnsi="Cambria" w:cs="Arial"/>
          <w:sz w:val="24"/>
          <w:szCs w:val="24"/>
        </w:rPr>
        <w:t>. But</w:t>
      </w:r>
      <w:r w:rsidR="00F27A47" w:rsidRPr="007A3EF0">
        <w:rPr>
          <w:rFonts w:ascii="Cambria" w:hAnsi="Cambria" w:cs="Arial"/>
          <w:sz w:val="24"/>
          <w:szCs w:val="24"/>
        </w:rPr>
        <w:t xml:space="preserve"> there was no capital expenditure or acquisition.</w:t>
      </w:r>
      <w:r w:rsidR="00B76197" w:rsidRPr="007A3EF0">
        <w:rPr>
          <w:rFonts w:ascii="Cambria" w:hAnsi="Cambria" w:cs="Arial"/>
          <w:sz w:val="24"/>
          <w:szCs w:val="24"/>
        </w:rPr>
        <w:t xml:space="preserve"> </w:t>
      </w:r>
    </w:p>
    <w:p w14:paraId="4FB7B25C" w14:textId="77777777" w:rsidR="00673DAB" w:rsidRPr="007A3EF0" w:rsidRDefault="00673DAB" w:rsidP="00673DAB">
      <w:pPr>
        <w:pStyle w:val="ListParagraph"/>
        <w:rPr>
          <w:rFonts w:ascii="Cambria" w:hAnsi="Cambria" w:cs="Arial"/>
          <w:sz w:val="24"/>
          <w:szCs w:val="24"/>
        </w:rPr>
      </w:pPr>
    </w:p>
    <w:p w14:paraId="17C5B4BD" w14:textId="59FE78B1" w:rsidR="00DD29C4" w:rsidRPr="007A3EF0" w:rsidRDefault="00B76197" w:rsidP="00EA2B14">
      <w:pPr>
        <w:pStyle w:val="ListParagraph"/>
        <w:numPr>
          <w:ilvl w:val="0"/>
          <w:numId w:val="5"/>
        </w:numPr>
        <w:tabs>
          <w:tab w:val="left" w:pos="426"/>
        </w:tabs>
        <w:ind w:left="284" w:hanging="284"/>
        <w:jc w:val="both"/>
        <w:rPr>
          <w:rFonts w:ascii="Cambria" w:hAnsi="Cambria" w:cs="Arial"/>
          <w:sz w:val="24"/>
          <w:szCs w:val="24"/>
        </w:rPr>
      </w:pPr>
      <w:r w:rsidRPr="007A3EF0">
        <w:rPr>
          <w:rFonts w:ascii="Cambria" w:hAnsi="Cambria" w:cs="Arial"/>
          <w:sz w:val="24"/>
          <w:szCs w:val="24"/>
        </w:rPr>
        <w:t>One year after the distress period began</w:t>
      </w:r>
      <w:r w:rsidR="005D4F90">
        <w:rPr>
          <w:rFonts w:ascii="Cambria" w:hAnsi="Cambria" w:cs="Arial"/>
          <w:sz w:val="24"/>
          <w:szCs w:val="24"/>
        </w:rPr>
        <w:t>,</w:t>
      </w:r>
      <w:r w:rsidRPr="007A3EF0">
        <w:rPr>
          <w:rFonts w:ascii="Cambria" w:hAnsi="Cambria" w:cs="Arial"/>
          <w:sz w:val="24"/>
          <w:szCs w:val="24"/>
        </w:rPr>
        <w:t xml:space="preserve"> the most frequently adopted strategies in non-recovery firms </w:t>
      </w:r>
      <w:r w:rsidR="00673DAB" w:rsidRPr="007A3EF0">
        <w:rPr>
          <w:rFonts w:ascii="Cambria" w:hAnsi="Cambria" w:cs="Arial"/>
          <w:sz w:val="24"/>
          <w:szCs w:val="24"/>
        </w:rPr>
        <w:t>were</w:t>
      </w:r>
      <w:r w:rsidRPr="007A3EF0">
        <w:rPr>
          <w:rFonts w:ascii="Cambria" w:hAnsi="Cambria" w:cs="Arial"/>
          <w:sz w:val="24"/>
          <w:szCs w:val="24"/>
        </w:rPr>
        <w:t xml:space="preserve"> still “cutbacks” such as dividend cuts, operational restructuring and asset sales</w:t>
      </w:r>
      <w:r w:rsidRPr="007A3EF0">
        <w:rPr>
          <w:rStyle w:val="FootnoteReference"/>
          <w:rFonts w:ascii="Cambria" w:hAnsi="Cambria" w:cs="Arial"/>
          <w:sz w:val="24"/>
          <w:szCs w:val="24"/>
        </w:rPr>
        <w:footnoteReference w:id="21"/>
      </w:r>
      <w:r w:rsidRPr="007A3EF0">
        <w:rPr>
          <w:rFonts w:ascii="Cambria" w:hAnsi="Cambria" w:cs="Arial"/>
          <w:sz w:val="24"/>
          <w:szCs w:val="24"/>
        </w:rPr>
        <w:t>. Flow Management adopts the same strategies</w:t>
      </w:r>
      <w:r w:rsidR="005D4F90">
        <w:rPr>
          <w:rFonts w:ascii="Cambria" w:hAnsi="Cambria" w:cs="Arial"/>
          <w:sz w:val="24"/>
          <w:szCs w:val="24"/>
        </w:rPr>
        <w:t xml:space="preserve">, </w:t>
      </w:r>
      <w:r w:rsidRPr="007A3EF0">
        <w:rPr>
          <w:rFonts w:ascii="Cambria" w:hAnsi="Cambria" w:cs="Arial"/>
          <w:sz w:val="24"/>
          <w:szCs w:val="24"/>
        </w:rPr>
        <w:t xml:space="preserve">as the entire business mix is </w:t>
      </w:r>
      <w:proofErr w:type="gramStart"/>
      <w:r w:rsidRPr="007A3EF0">
        <w:rPr>
          <w:rFonts w:ascii="Cambria" w:hAnsi="Cambria" w:cs="Arial"/>
          <w:sz w:val="24"/>
          <w:szCs w:val="24"/>
        </w:rPr>
        <w:t>re</w:t>
      </w:r>
      <w:r w:rsidR="005D4F90">
        <w:rPr>
          <w:rFonts w:ascii="Cambria" w:hAnsi="Cambria" w:cs="Arial"/>
          <w:sz w:val="24"/>
          <w:szCs w:val="24"/>
        </w:rPr>
        <w:t>-</w:t>
      </w:r>
      <w:r w:rsidRPr="007A3EF0">
        <w:rPr>
          <w:rFonts w:ascii="Cambria" w:hAnsi="Cambria" w:cs="Arial"/>
          <w:sz w:val="24"/>
          <w:szCs w:val="24"/>
        </w:rPr>
        <w:t>evaluated</w:t>
      </w:r>
      <w:proofErr w:type="gramEnd"/>
      <w:r w:rsidR="008F3106" w:rsidRPr="007A3EF0">
        <w:rPr>
          <w:rFonts w:ascii="Cambria" w:hAnsi="Cambria" w:cs="Arial"/>
          <w:sz w:val="24"/>
          <w:szCs w:val="24"/>
        </w:rPr>
        <w:t xml:space="preserve"> and they have planned to sell shares. There is still no capital acquisition by Flow Management. Recovery firms similarly employ asset sales</w:t>
      </w:r>
      <w:r w:rsidR="00C13CC2" w:rsidRPr="007A3EF0">
        <w:rPr>
          <w:rFonts w:ascii="Cambria" w:hAnsi="Cambria" w:cs="Arial"/>
          <w:sz w:val="24"/>
          <w:szCs w:val="24"/>
        </w:rPr>
        <w:t xml:space="preserve"> but to a greater degree. </w:t>
      </w:r>
    </w:p>
    <w:p w14:paraId="25B7BFEE" w14:textId="77777777" w:rsidR="00673DAB" w:rsidRPr="007A3EF0" w:rsidRDefault="00673DAB" w:rsidP="00EA2B14">
      <w:pPr>
        <w:pStyle w:val="ListParagraph"/>
        <w:ind w:left="284" w:hanging="284"/>
        <w:jc w:val="both"/>
        <w:rPr>
          <w:rFonts w:ascii="Cambria" w:hAnsi="Cambria" w:cs="Arial"/>
          <w:sz w:val="24"/>
          <w:szCs w:val="24"/>
        </w:rPr>
      </w:pPr>
    </w:p>
    <w:p w14:paraId="14BE3C61" w14:textId="05A47C7F" w:rsidR="007E3542" w:rsidRDefault="00C13CC2" w:rsidP="00EA2B14">
      <w:pPr>
        <w:pStyle w:val="ListParagraph"/>
        <w:numPr>
          <w:ilvl w:val="0"/>
          <w:numId w:val="5"/>
        </w:numPr>
        <w:tabs>
          <w:tab w:val="left" w:pos="426"/>
        </w:tabs>
        <w:ind w:left="284" w:hanging="284"/>
        <w:jc w:val="both"/>
        <w:rPr>
          <w:rFonts w:ascii="Cambria" w:hAnsi="Cambria" w:cs="Arial"/>
          <w:sz w:val="24"/>
          <w:szCs w:val="24"/>
        </w:rPr>
      </w:pPr>
      <w:proofErr w:type="gramStart"/>
      <w:r w:rsidRPr="005D4F90">
        <w:rPr>
          <w:rFonts w:ascii="Cambria" w:hAnsi="Cambria" w:cs="Arial"/>
          <w:sz w:val="24"/>
          <w:szCs w:val="24"/>
        </w:rPr>
        <w:t>Continuing on</w:t>
      </w:r>
      <w:proofErr w:type="gramEnd"/>
      <w:r w:rsidRPr="005D4F90">
        <w:rPr>
          <w:rFonts w:ascii="Cambria" w:hAnsi="Cambria" w:cs="Arial"/>
          <w:sz w:val="24"/>
          <w:szCs w:val="24"/>
        </w:rPr>
        <w:t xml:space="preserve"> two year</w:t>
      </w:r>
      <w:r w:rsidR="00DD29C4" w:rsidRPr="005D4F90">
        <w:rPr>
          <w:rFonts w:ascii="Cambria" w:hAnsi="Cambria" w:cs="Arial"/>
          <w:sz w:val="24"/>
          <w:szCs w:val="24"/>
        </w:rPr>
        <w:t>s following</w:t>
      </w:r>
      <w:r w:rsidRPr="005D4F90">
        <w:rPr>
          <w:rFonts w:ascii="Cambria" w:hAnsi="Cambria" w:cs="Arial"/>
          <w:sz w:val="24"/>
          <w:szCs w:val="24"/>
        </w:rPr>
        <w:t xml:space="preserve"> the onset of distress</w:t>
      </w:r>
      <w:r w:rsidR="00DD29C4" w:rsidRPr="005D4F90">
        <w:rPr>
          <w:rFonts w:ascii="Cambria" w:hAnsi="Cambria" w:cs="Arial"/>
          <w:sz w:val="24"/>
          <w:szCs w:val="24"/>
        </w:rPr>
        <w:t>,</w:t>
      </w:r>
      <w:r w:rsidRPr="005D4F90">
        <w:rPr>
          <w:rFonts w:ascii="Cambria" w:hAnsi="Cambria" w:cs="Arial"/>
          <w:sz w:val="24"/>
          <w:szCs w:val="24"/>
        </w:rPr>
        <w:t xml:space="preserve"> the</w:t>
      </w:r>
      <w:r w:rsidR="005D4F90" w:rsidRPr="005D4F90">
        <w:rPr>
          <w:rFonts w:ascii="Cambria" w:hAnsi="Cambria" w:cs="Arial"/>
          <w:sz w:val="24"/>
          <w:szCs w:val="24"/>
        </w:rPr>
        <w:t>se</w:t>
      </w:r>
      <w:r w:rsidRPr="005D4F90">
        <w:rPr>
          <w:rFonts w:ascii="Cambria" w:hAnsi="Cambria" w:cs="Arial"/>
          <w:sz w:val="24"/>
          <w:szCs w:val="24"/>
        </w:rPr>
        <w:t xml:space="preserve"> trends deepen and it is clear that Flow Management falls squarely into the bracket of having employed</w:t>
      </w:r>
      <w:r w:rsidR="005D4F90" w:rsidRPr="005D4F90">
        <w:rPr>
          <w:rFonts w:ascii="Cambria" w:hAnsi="Cambria" w:cs="Arial"/>
          <w:sz w:val="24"/>
          <w:szCs w:val="24"/>
        </w:rPr>
        <w:t xml:space="preserve"> </w:t>
      </w:r>
      <w:r w:rsidRPr="005D4F90">
        <w:rPr>
          <w:rFonts w:ascii="Cambria" w:hAnsi="Cambria" w:cs="Arial"/>
          <w:sz w:val="24"/>
          <w:szCs w:val="24"/>
        </w:rPr>
        <w:t>the strategies of non-recovery companies. That is</w:t>
      </w:r>
      <w:r w:rsidR="005D4F90" w:rsidRPr="005D4F90">
        <w:rPr>
          <w:rFonts w:ascii="Cambria" w:hAnsi="Cambria" w:cs="Arial"/>
          <w:sz w:val="24"/>
          <w:szCs w:val="24"/>
        </w:rPr>
        <w:t xml:space="preserve">, </w:t>
      </w:r>
      <w:r w:rsidRPr="005D4F90">
        <w:rPr>
          <w:rFonts w:ascii="Cambria" w:hAnsi="Cambria" w:cs="Arial"/>
          <w:sz w:val="24"/>
          <w:szCs w:val="24"/>
        </w:rPr>
        <w:t>sale of shares</w:t>
      </w:r>
      <w:r w:rsidR="00A048C8" w:rsidRPr="005D4F90">
        <w:rPr>
          <w:rFonts w:ascii="Cambria" w:hAnsi="Cambria" w:cs="Arial"/>
          <w:sz w:val="24"/>
          <w:szCs w:val="24"/>
        </w:rPr>
        <w:t xml:space="preserve">, </w:t>
      </w:r>
      <w:r w:rsidRPr="005D4F90">
        <w:rPr>
          <w:rFonts w:ascii="Cambria" w:hAnsi="Cambria" w:cs="Arial"/>
          <w:sz w:val="24"/>
          <w:szCs w:val="24"/>
        </w:rPr>
        <w:t>the liquidation of substantial assets</w:t>
      </w:r>
      <w:r w:rsidR="00A048C8" w:rsidRPr="005D4F90">
        <w:rPr>
          <w:rFonts w:ascii="Cambria" w:hAnsi="Cambria" w:cs="Arial"/>
          <w:sz w:val="24"/>
          <w:szCs w:val="24"/>
        </w:rPr>
        <w:t xml:space="preserve"> and a transformative debt restructur</w:t>
      </w:r>
      <w:r w:rsidR="005D4F90" w:rsidRPr="005D4F90">
        <w:rPr>
          <w:rFonts w:ascii="Cambria" w:hAnsi="Cambria" w:cs="Arial"/>
          <w:sz w:val="24"/>
          <w:szCs w:val="24"/>
        </w:rPr>
        <w:t>ing</w:t>
      </w:r>
      <w:r w:rsidRPr="005D4F90">
        <w:rPr>
          <w:rFonts w:ascii="Cambria" w:hAnsi="Cambria" w:cs="Arial"/>
          <w:sz w:val="24"/>
          <w:szCs w:val="24"/>
        </w:rPr>
        <w:t xml:space="preserve">. There is also no possibility of a dividend issue at this stage and the company is still trying to break even. It is difficult to recommend to Flow’s management the vastly different strategies </w:t>
      </w:r>
      <w:r w:rsidR="00E40411" w:rsidRPr="005D4F90">
        <w:rPr>
          <w:rFonts w:ascii="Cambria" w:hAnsi="Cambria" w:cs="Arial"/>
          <w:sz w:val="24"/>
          <w:szCs w:val="24"/>
        </w:rPr>
        <w:t>adopted</w:t>
      </w:r>
      <w:r w:rsidRPr="005D4F90">
        <w:rPr>
          <w:rFonts w:ascii="Cambria" w:hAnsi="Cambria" w:cs="Arial"/>
          <w:sz w:val="24"/>
          <w:szCs w:val="24"/>
        </w:rPr>
        <w:t xml:space="preserve"> by recovery companies at this </w:t>
      </w:r>
      <w:r w:rsidR="00673DAB" w:rsidRPr="005D4F90">
        <w:rPr>
          <w:rFonts w:ascii="Cambria" w:hAnsi="Cambria" w:cs="Arial"/>
          <w:sz w:val="24"/>
          <w:szCs w:val="24"/>
        </w:rPr>
        <w:t>time</w:t>
      </w:r>
      <w:r w:rsidRPr="005D4F90">
        <w:rPr>
          <w:rFonts w:ascii="Cambria" w:hAnsi="Cambria" w:cs="Arial"/>
          <w:sz w:val="24"/>
          <w:szCs w:val="24"/>
        </w:rPr>
        <w:t xml:space="preserve"> such as capital expenditure and asset acquisition</w:t>
      </w:r>
      <w:r w:rsidR="005D4F90" w:rsidRPr="005D4F90">
        <w:rPr>
          <w:rFonts w:ascii="Cambria" w:hAnsi="Cambria" w:cs="Arial"/>
          <w:sz w:val="24"/>
          <w:szCs w:val="24"/>
        </w:rPr>
        <w:t xml:space="preserve">. Flow </w:t>
      </w:r>
      <w:r w:rsidRPr="005D4F90">
        <w:rPr>
          <w:rFonts w:ascii="Cambria" w:hAnsi="Cambria" w:cs="Arial"/>
          <w:sz w:val="24"/>
          <w:szCs w:val="24"/>
        </w:rPr>
        <w:t xml:space="preserve">could not afford </w:t>
      </w:r>
      <w:proofErr w:type="gramStart"/>
      <w:r w:rsidR="005D4F90" w:rsidRPr="005D4F90">
        <w:rPr>
          <w:rFonts w:ascii="Cambria" w:hAnsi="Cambria" w:cs="Arial"/>
          <w:sz w:val="24"/>
          <w:szCs w:val="24"/>
        </w:rPr>
        <w:t>that</w:t>
      </w:r>
      <w:r w:rsidRPr="005D4F90">
        <w:rPr>
          <w:rFonts w:ascii="Cambria" w:hAnsi="Cambria" w:cs="Arial"/>
          <w:sz w:val="24"/>
          <w:szCs w:val="24"/>
        </w:rPr>
        <w:t>,</w:t>
      </w:r>
      <w:proofErr w:type="gramEnd"/>
      <w:r w:rsidRPr="005D4F90">
        <w:rPr>
          <w:rFonts w:ascii="Cambria" w:hAnsi="Cambria" w:cs="Arial"/>
          <w:sz w:val="24"/>
          <w:szCs w:val="24"/>
        </w:rPr>
        <w:t xml:space="preserve"> their stakeholders would likely </w:t>
      </w:r>
      <w:r w:rsidR="005D4F90" w:rsidRPr="005D4F90">
        <w:rPr>
          <w:rFonts w:ascii="Cambria" w:hAnsi="Cambria" w:cs="Arial"/>
          <w:sz w:val="24"/>
          <w:szCs w:val="24"/>
        </w:rPr>
        <w:t>be opposed to it</w:t>
      </w:r>
      <w:r w:rsidRPr="005D4F90">
        <w:rPr>
          <w:rFonts w:ascii="Cambria" w:hAnsi="Cambria" w:cs="Arial"/>
          <w:sz w:val="24"/>
          <w:szCs w:val="24"/>
        </w:rPr>
        <w:t xml:space="preserve"> (the shareholder and the </w:t>
      </w:r>
      <w:r w:rsidR="00E40411" w:rsidRPr="005D4F90">
        <w:rPr>
          <w:rFonts w:ascii="Cambria" w:hAnsi="Cambria" w:cs="Arial"/>
          <w:sz w:val="24"/>
          <w:szCs w:val="24"/>
        </w:rPr>
        <w:t>creditors</w:t>
      </w:r>
      <w:r w:rsidRPr="005D4F90">
        <w:rPr>
          <w:rFonts w:ascii="Cambria" w:hAnsi="Cambria" w:cs="Arial"/>
          <w:sz w:val="24"/>
          <w:szCs w:val="24"/>
        </w:rPr>
        <w:t xml:space="preserve">) and they are simply too consumed with staying </w:t>
      </w:r>
      <w:r w:rsidR="005D4F90" w:rsidRPr="005D4F90">
        <w:rPr>
          <w:rFonts w:ascii="Cambria" w:hAnsi="Cambria" w:cs="Arial"/>
          <w:sz w:val="24"/>
          <w:szCs w:val="24"/>
        </w:rPr>
        <w:t>in business</w:t>
      </w:r>
      <w:r w:rsidRPr="005D4F90">
        <w:rPr>
          <w:rFonts w:ascii="Cambria" w:hAnsi="Cambria" w:cs="Arial"/>
          <w:sz w:val="24"/>
          <w:szCs w:val="24"/>
        </w:rPr>
        <w:t xml:space="preserve"> to make sound </w:t>
      </w:r>
      <w:r w:rsidR="005D4F90" w:rsidRPr="005D4F90">
        <w:rPr>
          <w:rFonts w:ascii="Cambria" w:hAnsi="Cambria" w:cs="Arial"/>
          <w:sz w:val="24"/>
          <w:szCs w:val="24"/>
        </w:rPr>
        <w:t xml:space="preserve">strategic </w:t>
      </w:r>
      <w:r w:rsidRPr="005D4F90">
        <w:rPr>
          <w:rFonts w:ascii="Cambria" w:hAnsi="Cambria" w:cs="Arial"/>
          <w:sz w:val="24"/>
          <w:szCs w:val="24"/>
        </w:rPr>
        <w:t xml:space="preserve">decisions </w:t>
      </w:r>
      <w:r w:rsidR="005D4F90" w:rsidRPr="005D4F90">
        <w:rPr>
          <w:rFonts w:ascii="Cambria" w:hAnsi="Cambria" w:cs="Arial"/>
          <w:sz w:val="24"/>
          <w:szCs w:val="24"/>
        </w:rPr>
        <w:t>of this kind</w:t>
      </w:r>
      <w:r w:rsidRPr="005D4F90">
        <w:rPr>
          <w:rFonts w:ascii="Cambria" w:hAnsi="Cambria" w:cs="Arial"/>
          <w:sz w:val="24"/>
          <w:szCs w:val="24"/>
        </w:rPr>
        <w:t xml:space="preserve">. </w:t>
      </w:r>
    </w:p>
    <w:p w14:paraId="384CB220" w14:textId="77777777" w:rsidR="005D4F90" w:rsidRPr="005D4F90" w:rsidRDefault="005D4F90" w:rsidP="005D4F90">
      <w:pPr>
        <w:pStyle w:val="ListParagraph"/>
        <w:rPr>
          <w:rFonts w:ascii="Cambria" w:hAnsi="Cambria" w:cs="Arial"/>
          <w:sz w:val="24"/>
          <w:szCs w:val="24"/>
        </w:rPr>
      </w:pPr>
    </w:p>
    <w:p w14:paraId="56E3F495" w14:textId="4DB4A5EB" w:rsidR="006353C2" w:rsidRDefault="005D4F90" w:rsidP="006353C2">
      <w:pPr>
        <w:pStyle w:val="ListParagraph"/>
        <w:numPr>
          <w:ilvl w:val="0"/>
          <w:numId w:val="5"/>
        </w:numPr>
        <w:tabs>
          <w:tab w:val="left" w:pos="426"/>
        </w:tabs>
        <w:ind w:left="284" w:hanging="284"/>
        <w:jc w:val="both"/>
        <w:rPr>
          <w:rFonts w:ascii="Cambria" w:hAnsi="Cambria" w:cs="Arial"/>
          <w:sz w:val="24"/>
          <w:szCs w:val="24"/>
        </w:rPr>
      </w:pPr>
      <w:r w:rsidRPr="006353C2">
        <w:rPr>
          <w:rFonts w:ascii="Cambria" w:hAnsi="Cambria" w:cs="Arial"/>
          <w:sz w:val="24"/>
          <w:szCs w:val="24"/>
        </w:rPr>
        <w:t>Whilst</w:t>
      </w:r>
      <w:r w:rsidR="004E0005" w:rsidRPr="006353C2">
        <w:rPr>
          <w:rFonts w:ascii="Cambria" w:hAnsi="Cambria" w:cs="Arial"/>
          <w:sz w:val="24"/>
          <w:szCs w:val="24"/>
        </w:rPr>
        <w:t xml:space="preserve"> corporate turnaround research has described re</w:t>
      </w:r>
      <w:r w:rsidR="006353C2">
        <w:rPr>
          <w:rFonts w:ascii="Cambria" w:hAnsi="Cambria" w:cs="Arial"/>
          <w:sz w:val="24"/>
          <w:szCs w:val="24"/>
        </w:rPr>
        <w:t>dundancy</w:t>
      </w:r>
      <w:r w:rsidR="004E0005" w:rsidRPr="006353C2">
        <w:rPr>
          <w:rFonts w:ascii="Cambria" w:hAnsi="Cambria" w:cs="Arial"/>
          <w:sz w:val="24"/>
          <w:szCs w:val="24"/>
        </w:rPr>
        <w:t xml:space="preserve"> and recovery as </w:t>
      </w:r>
      <w:r w:rsidR="0000665F" w:rsidRPr="006353C2">
        <w:rPr>
          <w:rFonts w:ascii="Cambria" w:hAnsi="Cambria" w:cs="Arial"/>
          <w:sz w:val="24"/>
          <w:szCs w:val="24"/>
        </w:rPr>
        <w:t>inconsistent</w:t>
      </w:r>
      <w:r w:rsidR="004E0005" w:rsidRPr="006353C2">
        <w:rPr>
          <w:rFonts w:ascii="Cambria" w:hAnsi="Cambria" w:cs="Arial"/>
          <w:sz w:val="24"/>
          <w:szCs w:val="24"/>
        </w:rPr>
        <w:t xml:space="preserve"> forces that should be addressed separately</w:t>
      </w:r>
      <w:r w:rsidR="00F27E7C" w:rsidRPr="006353C2">
        <w:rPr>
          <w:rFonts w:ascii="Cambria" w:hAnsi="Cambria" w:cs="Arial"/>
          <w:sz w:val="24"/>
          <w:szCs w:val="24"/>
        </w:rPr>
        <w:t>, it has not been tested whether</w:t>
      </w:r>
      <w:r w:rsidR="004E0005" w:rsidRPr="006353C2">
        <w:rPr>
          <w:rFonts w:ascii="Cambria" w:hAnsi="Cambria" w:cs="Arial"/>
          <w:sz w:val="24"/>
          <w:szCs w:val="24"/>
        </w:rPr>
        <w:t xml:space="preserve"> </w:t>
      </w:r>
      <w:r w:rsidR="0000665F" w:rsidRPr="006353C2">
        <w:rPr>
          <w:rFonts w:ascii="Cambria" w:hAnsi="Cambria" w:cs="Arial"/>
          <w:sz w:val="24"/>
          <w:szCs w:val="24"/>
        </w:rPr>
        <w:t xml:space="preserve">they </w:t>
      </w:r>
      <w:r w:rsidR="00373C75" w:rsidRPr="006353C2">
        <w:rPr>
          <w:rFonts w:ascii="Cambria" w:hAnsi="Cambria" w:cs="Arial"/>
          <w:sz w:val="24"/>
          <w:szCs w:val="24"/>
        </w:rPr>
        <w:t xml:space="preserve">are </w:t>
      </w:r>
      <w:r w:rsidR="0000665F" w:rsidRPr="006353C2">
        <w:rPr>
          <w:rFonts w:ascii="Cambria" w:hAnsi="Cambria" w:cs="Arial"/>
          <w:sz w:val="24"/>
          <w:szCs w:val="24"/>
        </w:rPr>
        <w:t>in fact</w:t>
      </w:r>
      <w:r w:rsidR="004E0005" w:rsidRPr="006353C2">
        <w:rPr>
          <w:rFonts w:ascii="Cambria" w:hAnsi="Cambria" w:cs="Arial"/>
          <w:sz w:val="24"/>
          <w:szCs w:val="24"/>
        </w:rPr>
        <w:t xml:space="preserve"> interrelated and </w:t>
      </w:r>
      <w:r w:rsidR="0000665F" w:rsidRPr="006353C2">
        <w:rPr>
          <w:rFonts w:ascii="Cambria" w:hAnsi="Cambria" w:cs="Arial"/>
          <w:sz w:val="24"/>
          <w:szCs w:val="24"/>
        </w:rPr>
        <w:t>should</w:t>
      </w:r>
      <w:r w:rsidR="004E0005" w:rsidRPr="006353C2">
        <w:rPr>
          <w:rFonts w:ascii="Cambria" w:hAnsi="Cambria" w:cs="Arial"/>
          <w:sz w:val="24"/>
          <w:szCs w:val="24"/>
        </w:rPr>
        <w:t xml:space="preserve"> </w:t>
      </w:r>
      <w:r w:rsidRPr="006353C2">
        <w:rPr>
          <w:rFonts w:ascii="Cambria" w:hAnsi="Cambria" w:cs="Arial"/>
          <w:sz w:val="24"/>
          <w:szCs w:val="24"/>
        </w:rPr>
        <w:t xml:space="preserve">instead actually </w:t>
      </w:r>
      <w:r w:rsidR="004E0005" w:rsidRPr="006353C2">
        <w:rPr>
          <w:rFonts w:ascii="Cambria" w:hAnsi="Cambria" w:cs="Arial"/>
          <w:sz w:val="24"/>
          <w:szCs w:val="24"/>
        </w:rPr>
        <w:t>be integrated</w:t>
      </w:r>
      <w:r w:rsidRPr="006353C2">
        <w:rPr>
          <w:rFonts w:ascii="Cambria" w:hAnsi="Cambria" w:cs="Arial"/>
          <w:sz w:val="24"/>
          <w:szCs w:val="24"/>
        </w:rPr>
        <w:t>. T</w:t>
      </w:r>
      <w:r w:rsidR="0000665F" w:rsidRPr="006353C2">
        <w:rPr>
          <w:rFonts w:ascii="Cambria" w:hAnsi="Cambria" w:cs="Arial"/>
          <w:sz w:val="24"/>
          <w:szCs w:val="24"/>
        </w:rPr>
        <w:t>hereby permitting</w:t>
      </w:r>
      <w:r w:rsidR="004E0005" w:rsidRPr="006353C2">
        <w:rPr>
          <w:rFonts w:ascii="Cambria" w:hAnsi="Cambria" w:cs="Arial"/>
          <w:sz w:val="24"/>
          <w:szCs w:val="24"/>
        </w:rPr>
        <w:t xml:space="preserve"> turnaround firms to create benefits that exceed the costs of integration. </w:t>
      </w:r>
      <w:r w:rsidR="00373C75" w:rsidRPr="006353C2">
        <w:rPr>
          <w:rFonts w:ascii="Cambria" w:hAnsi="Cambria" w:cs="Arial"/>
          <w:sz w:val="24"/>
          <w:szCs w:val="24"/>
        </w:rPr>
        <w:t xml:space="preserve">Schmitt et al </w:t>
      </w:r>
      <w:r w:rsidR="004E0005" w:rsidRPr="006353C2">
        <w:rPr>
          <w:rFonts w:ascii="Cambria" w:hAnsi="Cambria" w:cs="Arial"/>
          <w:sz w:val="24"/>
          <w:szCs w:val="24"/>
        </w:rPr>
        <w:t xml:space="preserve">performed an empirical study of 107 Central European turnaround initiatives and </w:t>
      </w:r>
      <w:r w:rsidR="0000665F" w:rsidRPr="006353C2">
        <w:rPr>
          <w:rFonts w:ascii="Cambria" w:hAnsi="Cambria" w:cs="Arial"/>
          <w:sz w:val="24"/>
          <w:szCs w:val="24"/>
        </w:rPr>
        <w:t>found</w:t>
      </w:r>
      <w:r w:rsidR="004E0005" w:rsidRPr="006353C2">
        <w:rPr>
          <w:rFonts w:ascii="Cambria" w:hAnsi="Cambria" w:cs="Arial"/>
          <w:sz w:val="24"/>
          <w:szCs w:val="24"/>
        </w:rPr>
        <w:t xml:space="preserve"> evidence </w:t>
      </w:r>
      <w:r w:rsidRPr="006353C2">
        <w:rPr>
          <w:rFonts w:ascii="Cambria" w:hAnsi="Cambria" w:cs="Arial"/>
          <w:sz w:val="24"/>
          <w:szCs w:val="24"/>
        </w:rPr>
        <w:t xml:space="preserve">of </w:t>
      </w:r>
      <w:r w:rsidR="004E0005" w:rsidRPr="006353C2">
        <w:rPr>
          <w:rFonts w:ascii="Cambria" w:hAnsi="Cambria" w:cs="Arial"/>
          <w:sz w:val="24"/>
          <w:szCs w:val="24"/>
        </w:rPr>
        <w:t>duality between r</w:t>
      </w:r>
      <w:r w:rsidR="006353C2">
        <w:rPr>
          <w:rFonts w:ascii="Cambria" w:hAnsi="Cambria" w:cs="Arial"/>
          <w:sz w:val="24"/>
          <w:szCs w:val="24"/>
        </w:rPr>
        <w:t>edundancy</w:t>
      </w:r>
      <w:r w:rsidR="004E0005" w:rsidRPr="006353C2">
        <w:rPr>
          <w:rFonts w:ascii="Cambria" w:hAnsi="Cambria" w:cs="Arial"/>
          <w:sz w:val="24"/>
          <w:szCs w:val="24"/>
        </w:rPr>
        <w:t xml:space="preserve"> and recovery.</w:t>
      </w:r>
      <w:r w:rsidR="00A02D69" w:rsidRPr="006353C2">
        <w:rPr>
          <w:rFonts w:ascii="Cambria" w:hAnsi="Cambria" w:cs="Arial"/>
          <w:sz w:val="24"/>
          <w:szCs w:val="24"/>
        </w:rPr>
        <w:t xml:space="preserve"> </w:t>
      </w:r>
    </w:p>
    <w:p w14:paraId="5802A6A3" w14:textId="77777777" w:rsidR="006353C2" w:rsidRPr="006353C2" w:rsidRDefault="006353C2" w:rsidP="006353C2">
      <w:pPr>
        <w:pStyle w:val="ListParagraph"/>
        <w:rPr>
          <w:rFonts w:ascii="Cambria" w:hAnsi="Cambria" w:cs="Arial"/>
          <w:sz w:val="24"/>
          <w:szCs w:val="24"/>
        </w:rPr>
      </w:pPr>
    </w:p>
    <w:p w14:paraId="3A905357" w14:textId="77777777" w:rsidR="006353C2" w:rsidRDefault="00373C75" w:rsidP="006353C2">
      <w:pPr>
        <w:pStyle w:val="ListParagraph"/>
        <w:numPr>
          <w:ilvl w:val="0"/>
          <w:numId w:val="5"/>
        </w:numPr>
        <w:tabs>
          <w:tab w:val="left" w:pos="426"/>
        </w:tabs>
        <w:ind w:left="284" w:hanging="284"/>
        <w:jc w:val="both"/>
        <w:rPr>
          <w:rFonts w:ascii="Cambria" w:hAnsi="Cambria" w:cs="Arial"/>
          <w:sz w:val="24"/>
          <w:szCs w:val="24"/>
        </w:rPr>
      </w:pPr>
      <w:r w:rsidRPr="006353C2">
        <w:rPr>
          <w:rFonts w:ascii="Cambria" w:hAnsi="Cambria" w:cs="Arial"/>
          <w:sz w:val="24"/>
          <w:szCs w:val="24"/>
        </w:rPr>
        <w:t xml:space="preserve">Schmitt et </w:t>
      </w:r>
      <w:proofErr w:type="spellStart"/>
      <w:r w:rsidRPr="006353C2">
        <w:rPr>
          <w:rFonts w:ascii="Cambria" w:hAnsi="Cambria" w:cs="Arial"/>
          <w:sz w:val="24"/>
          <w:szCs w:val="24"/>
        </w:rPr>
        <w:t>al’s</w:t>
      </w:r>
      <w:proofErr w:type="spellEnd"/>
      <w:r w:rsidR="00F27E7C" w:rsidRPr="006353C2">
        <w:rPr>
          <w:rFonts w:ascii="Cambria" w:hAnsi="Cambria" w:cs="Arial"/>
          <w:sz w:val="24"/>
          <w:szCs w:val="24"/>
        </w:rPr>
        <w:t xml:space="preserve"> findings</w:t>
      </w:r>
      <w:r w:rsidR="0000665F" w:rsidRPr="006353C2">
        <w:rPr>
          <w:rFonts w:ascii="Cambria" w:hAnsi="Cambria" w:cs="Arial"/>
          <w:sz w:val="24"/>
          <w:szCs w:val="24"/>
        </w:rPr>
        <w:t xml:space="preserve"> indicate </w:t>
      </w:r>
      <w:r w:rsidR="00F27E7C" w:rsidRPr="006353C2">
        <w:rPr>
          <w:rFonts w:ascii="Cambria" w:hAnsi="Cambria" w:cs="Arial"/>
          <w:sz w:val="24"/>
          <w:szCs w:val="24"/>
        </w:rPr>
        <w:t>that the interaction between re</w:t>
      </w:r>
      <w:r w:rsidR="006353C2">
        <w:rPr>
          <w:rFonts w:ascii="Cambria" w:hAnsi="Cambria" w:cs="Arial"/>
          <w:sz w:val="24"/>
          <w:szCs w:val="24"/>
        </w:rPr>
        <w:t>dundancy</w:t>
      </w:r>
      <w:r w:rsidR="00F27E7C" w:rsidRPr="006353C2">
        <w:rPr>
          <w:rFonts w:ascii="Cambria" w:hAnsi="Cambria" w:cs="Arial"/>
          <w:sz w:val="24"/>
          <w:szCs w:val="24"/>
        </w:rPr>
        <w:t xml:space="preserve"> and recovery activities has </w:t>
      </w:r>
      <w:r w:rsidR="0000665F" w:rsidRPr="006353C2">
        <w:rPr>
          <w:rFonts w:ascii="Cambria" w:hAnsi="Cambria" w:cs="Arial"/>
          <w:sz w:val="24"/>
          <w:szCs w:val="24"/>
        </w:rPr>
        <w:t xml:space="preserve">a </w:t>
      </w:r>
      <w:r w:rsidR="00F27E7C" w:rsidRPr="006353C2">
        <w:rPr>
          <w:rFonts w:ascii="Cambria" w:hAnsi="Cambria" w:cs="Arial"/>
          <w:sz w:val="24"/>
          <w:szCs w:val="24"/>
        </w:rPr>
        <w:t xml:space="preserve">positive effect on turnaround performance. </w:t>
      </w:r>
      <w:r w:rsidR="004743EF" w:rsidRPr="006353C2">
        <w:rPr>
          <w:rFonts w:ascii="Cambria" w:hAnsi="Cambria" w:cs="Arial"/>
          <w:sz w:val="24"/>
          <w:szCs w:val="24"/>
        </w:rPr>
        <w:t xml:space="preserve">Flow’s management did integrate both </w:t>
      </w:r>
      <w:r w:rsidR="006353C2">
        <w:rPr>
          <w:rFonts w:ascii="Cambria" w:hAnsi="Cambria" w:cs="Arial"/>
          <w:sz w:val="24"/>
          <w:szCs w:val="24"/>
        </w:rPr>
        <w:t>redundancy</w:t>
      </w:r>
      <w:r w:rsidR="004743EF" w:rsidRPr="006353C2">
        <w:rPr>
          <w:rFonts w:ascii="Cambria" w:hAnsi="Cambria" w:cs="Arial"/>
          <w:sz w:val="24"/>
          <w:szCs w:val="24"/>
        </w:rPr>
        <w:t xml:space="preserve"> and recovery activities to the benefit of the organisation. </w:t>
      </w:r>
      <w:r w:rsidR="006353C2">
        <w:rPr>
          <w:rFonts w:ascii="Cambria" w:hAnsi="Cambria" w:cs="Arial"/>
          <w:sz w:val="24"/>
          <w:szCs w:val="24"/>
        </w:rPr>
        <w:t>F</w:t>
      </w:r>
      <w:r w:rsidR="0000665F" w:rsidRPr="006353C2">
        <w:rPr>
          <w:rFonts w:ascii="Cambria" w:hAnsi="Cambria" w:cs="Arial"/>
          <w:sz w:val="24"/>
          <w:szCs w:val="24"/>
        </w:rPr>
        <w:t>rom the outset in December 2013, Flow</w:t>
      </w:r>
      <w:r w:rsidR="000708AC" w:rsidRPr="006353C2">
        <w:rPr>
          <w:rFonts w:ascii="Cambria" w:hAnsi="Cambria" w:cs="Arial"/>
          <w:sz w:val="24"/>
          <w:szCs w:val="24"/>
        </w:rPr>
        <w:t>’s</w:t>
      </w:r>
      <w:r w:rsidR="0000665F" w:rsidRPr="006353C2">
        <w:rPr>
          <w:rFonts w:ascii="Cambria" w:hAnsi="Cambria" w:cs="Arial"/>
          <w:sz w:val="24"/>
          <w:szCs w:val="24"/>
        </w:rPr>
        <w:t xml:space="preserve"> </w:t>
      </w:r>
      <w:r w:rsidR="008D5108" w:rsidRPr="006353C2">
        <w:rPr>
          <w:rFonts w:ascii="Cambria" w:hAnsi="Cambria" w:cs="Arial"/>
          <w:sz w:val="24"/>
          <w:szCs w:val="24"/>
        </w:rPr>
        <w:t>m</w:t>
      </w:r>
      <w:r w:rsidR="0000665F" w:rsidRPr="006353C2">
        <w:rPr>
          <w:rFonts w:ascii="Cambria" w:hAnsi="Cambria" w:cs="Arial"/>
          <w:sz w:val="24"/>
          <w:szCs w:val="24"/>
        </w:rPr>
        <w:t>anagement’s method of tackling the cris</w:t>
      </w:r>
      <w:r w:rsidR="000708AC" w:rsidRPr="006353C2">
        <w:rPr>
          <w:rFonts w:ascii="Cambria" w:hAnsi="Cambria" w:cs="Arial"/>
          <w:sz w:val="24"/>
          <w:szCs w:val="24"/>
        </w:rPr>
        <w:t>i</w:t>
      </w:r>
      <w:r w:rsidR="0000665F" w:rsidRPr="006353C2">
        <w:rPr>
          <w:rFonts w:ascii="Cambria" w:hAnsi="Cambria" w:cs="Arial"/>
          <w:sz w:val="24"/>
          <w:szCs w:val="24"/>
        </w:rPr>
        <w:t xml:space="preserve">s included measures designed </w:t>
      </w:r>
      <w:r w:rsidRPr="006353C2">
        <w:rPr>
          <w:rFonts w:ascii="Cambria" w:hAnsi="Cambria" w:cs="Arial"/>
          <w:sz w:val="24"/>
          <w:szCs w:val="24"/>
        </w:rPr>
        <w:t>to both cut</w:t>
      </w:r>
      <w:r w:rsidR="0000665F" w:rsidRPr="006353C2">
        <w:rPr>
          <w:rFonts w:ascii="Cambria" w:hAnsi="Cambria" w:cs="Arial"/>
          <w:sz w:val="24"/>
          <w:szCs w:val="24"/>
        </w:rPr>
        <w:t xml:space="preserve"> costs (r</w:t>
      </w:r>
      <w:r w:rsidR="006353C2">
        <w:rPr>
          <w:rFonts w:ascii="Cambria" w:hAnsi="Cambria" w:cs="Arial"/>
          <w:sz w:val="24"/>
          <w:szCs w:val="24"/>
        </w:rPr>
        <w:t>edundancy</w:t>
      </w:r>
      <w:r w:rsidR="0000665F" w:rsidRPr="006353C2">
        <w:rPr>
          <w:rFonts w:ascii="Cambria" w:hAnsi="Cambria" w:cs="Arial"/>
          <w:sz w:val="24"/>
          <w:szCs w:val="24"/>
        </w:rPr>
        <w:t xml:space="preserve"> of staff, price increases) </w:t>
      </w:r>
      <w:r w:rsidRPr="006353C2">
        <w:rPr>
          <w:rFonts w:ascii="Cambria" w:hAnsi="Cambria" w:cs="Arial"/>
          <w:sz w:val="24"/>
          <w:szCs w:val="24"/>
        </w:rPr>
        <w:t xml:space="preserve">together with methods targeted at improving competitiveness. </w:t>
      </w:r>
      <w:r w:rsidR="006353C2">
        <w:rPr>
          <w:rFonts w:ascii="Cambria" w:hAnsi="Cambria" w:cs="Arial"/>
          <w:sz w:val="24"/>
          <w:szCs w:val="24"/>
        </w:rPr>
        <w:t>A</w:t>
      </w:r>
      <w:r w:rsidRPr="006353C2">
        <w:rPr>
          <w:rFonts w:ascii="Cambria" w:hAnsi="Cambria" w:cs="Arial"/>
          <w:sz w:val="24"/>
          <w:szCs w:val="24"/>
        </w:rPr>
        <w:t xml:space="preserve"> new CFO was retained, evaluations were at least planned regarding how turnover could be </w:t>
      </w:r>
      <w:proofErr w:type="gramStart"/>
      <w:r w:rsidRPr="006353C2">
        <w:rPr>
          <w:rFonts w:ascii="Cambria" w:hAnsi="Cambria" w:cs="Arial"/>
          <w:sz w:val="24"/>
          <w:szCs w:val="24"/>
        </w:rPr>
        <w:t>increased</w:t>
      </w:r>
      <w:proofErr w:type="gramEnd"/>
      <w:r w:rsidRPr="006353C2">
        <w:rPr>
          <w:rFonts w:ascii="Cambria" w:hAnsi="Cambria" w:cs="Arial"/>
          <w:sz w:val="24"/>
          <w:szCs w:val="24"/>
        </w:rPr>
        <w:t xml:space="preserve"> and the range of products offered</w:t>
      </w:r>
      <w:r w:rsidR="000708AC" w:rsidRPr="006353C2">
        <w:rPr>
          <w:rFonts w:ascii="Cambria" w:hAnsi="Cambria" w:cs="Arial"/>
          <w:sz w:val="24"/>
          <w:szCs w:val="24"/>
        </w:rPr>
        <w:t xml:space="preserve"> </w:t>
      </w:r>
      <w:proofErr w:type="gramStart"/>
      <w:r w:rsidR="000708AC" w:rsidRPr="006353C2">
        <w:rPr>
          <w:rFonts w:ascii="Cambria" w:hAnsi="Cambria" w:cs="Arial"/>
          <w:sz w:val="24"/>
          <w:szCs w:val="24"/>
        </w:rPr>
        <w:t>were</w:t>
      </w:r>
      <w:proofErr w:type="gramEnd"/>
      <w:r w:rsidRPr="006353C2">
        <w:rPr>
          <w:rFonts w:ascii="Cambria" w:hAnsi="Cambria" w:cs="Arial"/>
          <w:sz w:val="24"/>
          <w:szCs w:val="24"/>
        </w:rPr>
        <w:t xml:space="preserve"> reconsidered. </w:t>
      </w:r>
    </w:p>
    <w:p w14:paraId="4DD9F145" w14:textId="77777777" w:rsidR="006353C2" w:rsidRPr="006353C2" w:rsidRDefault="006353C2" w:rsidP="006353C2">
      <w:pPr>
        <w:pStyle w:val="ListParagraph"/>
        <w:rPr>
          <w:rFonts w:ascii="Cambria" w:hAnsi="Cambria" w:cs="Arial"/>
          <w:sz w:val="24"/>
          <w:szCs w:val="24"/>
        </w:rPr>
      </w:pPr>
    </w:p>
    <w:p w14:paraId="64C9C2B3" w14:textId="5E044A6C" w:rsidR="00996844" w:rsidRPr="006353C2" w:rsidRDefault="00373C75" w:rsidP="006353C2">
      <w:pPr>
        <w:pStyle w:val="ListParagraph"/>
        <w:numPr>
          <w:ilvl w:val="0"/>
          <w:numId w:val="5"/>
        </w:numPr>
        <w:tabs>
          <w:tab w:val="left" w:pos="426"/>
        </w:tabs>
        <w:ind w:left="284" w:hanging="284"/>
        <w:jc w:val="both"/>
        <w:rPr>
          <w:rFonts w:ascii="Cambria" w:hAnsi="Cambria" w:cs="Arial"/>
          <w:sz w:val="24"/>
          <w:szCs w:val="24"/>
        </w:rPr>
      </w:pPr>
      <w:r w:rsidRPr="006353C2">
        <w:rPr>
          <w:rFonts w:ascii="Cambria" w:hAnsi="Cambria" w:cs="Arial"/>
          <w:sz w:val="24"/>
          <w:szCs w:val="24"/>
        </w:rPr>
        <w:t xml:space="preserve">The remainder of the restructuring exercise took a similar approach with financial and operational restructuring taking place together with recovery activities. The </w:t>
      </w:r>
      <w:r w:rsidR="006353C2">
        <w:rPr>
          <w:rFonts w:ascii="Cambria" w:hAnsi="Cambria" w:cs="Arial"/>
          <w:sz w:val="24"/>
          <w:szCs w:val="24"/>
        </w:rPr>
        <w:t>r</w:t>
      </w:r>
      <w:r w:rsidRPr="006353C2">
        <w:rPr>
          <w:rFonts w:ascii="Cambria" w:hAnsi="Cambria" w:cs="Arial"/>
          <w:sz w:val="24"/>
          <w:szCs w:val="24"/>
        </w:rPr>
        <w:t>estructuring agreement includes aspects of debt restructuring</w:t>
      </w:r>
      <w:r w:rsidR="008266CE" w:rsidRPr="007A3EF0">
        <w:rPr>
          <w:rStyle w:val="FootnoteReference"/>
          <w:rFonts w:ascii="Cambria" w:hAnsi="Cambria" w:cs="Arial"/>
          <w:sz w:val="24"/>
          <w:szCs w:val="24"/>
        </w:rPr>
        <w:footnoteReference w:id="22"/>
      </w:r>
      <w:r w:rsidRPr="006353C2">
        <w:rPr>
          <w:rFonts w:ascii="Cambria" w:hAnsi="Cambria" w:cs="Arial"/>
          <w:sz w:val="24"/>
          <w:szCs w:val="24"/>
        </w:rPr>
        <w:t xml:space="preserve"> as well as an attempt to </w:t>
      </w:r>
      <w:r w:rsidR="006353C2">
        <w:rPr>
          <w:rFonts w:ascii="Cambria" w:hAnsi="Cambria" w:cs="Arial"/>
          <w:sz w:val="24"/>
          <w:szCs w:val="24"/>
        </w:rPr>
        <w:t>separate out</w:t>
      </w:r>
      <w:r w:rsidRPr="006353C2">
        <w:rPr>
          <w:rFonts w:ascii="Cambria" w:hAnsi="Cambria" w:cs="Arial"/>
          <w:sz w:val="24"/>
          <w:szCs w:val="24"/>
        </w:rPr>
        <w:t xml:space="preserve"> the </w:t>
      </w:r>
      <w:r w:rsidR="0070752B" w:rsidRPr="006353C2">
        <w:rPr>
          <w:rFonts w:ascii="Cambria" w:hAnsi="Cambria" w:cs="Arial"/>
          <w:sz w:val="24"/>
          <w:szCs w:val="24"/>
        </w:rPr>
        <w:t>most</w:t>
      </w:r>
      <w:r w:rsidRPr="006353C2">
        <w:rPr>
          <w:rFonts w:ascii="Cambria" w:hAnsi="Cambria" w:cs="Arial"/>
          <w:sz w:val="24"/>
          <w:szCs w:val="24"/>
        </w:rPr>
        <w:t xml:space="preserve"> productive elements of</w:t>
      </w:r>
      <w:r w:rsidR="0070752B" w:rsidRPr="006353C2">
        <w:rPr>
          <w:rFonts w:ascii="Cambria" w:hAnsi="Cambria" w:cs="Arial"/>
          <w:sz w:val="24"/>
          <w:szCs w:val="24"/>
        </w:rPr>
        <w:t xml:space="preserve"> the group</w:t>
      </w:r>
      <w:r w:rsidR="0070752B" w:rsidRPr="007A3EF0">
        <w:rPr>
          <w:rStyle w:val="FootnoteReference"/>
          <w:rFonts w:ascii="Cambria" w:hAnsi="Cambria" w:cs="Arial"/>
          <w:sz w:val="24"/>
          <w:szCs w:val="24"/>
        </w:rPr>
        <w:footnoteReference w:id="23"/>
      </w:r>
      <w:r w:rsidR="0070752B" w:rsidRPr="006353C2">
        <w:rPr>
          <w:rFonts w:ascii="Cambria" w:hAnsi="Cambria" w:cs="Arial"/>
          <w:sz w:val="24"/>
          <w:szCs w:val="24"/>
        </w:rPr>
        <w:t xml:space="preserve"> to go forward together as a </w:t>
      </w:r>
      <w:r w:rsidR="006353C2">
        <w:rPr>
          <w:rFonts w:ascii="Cambria" w:hAnsi="Cambria" w:cs="Arial"/>
          <w:sz w:val="24"/>
          <w:szCs w:val="24"/>
        </w:rPr>
        <w:t>more profitable and, therefore, viable</w:t>
      </w:r>
      <w:r w:rsidR="0070752B" w:rsidRPr="006353C2">
        <w:rPr>
          <w:rFonts w:ascii="Cambria" w:hAnsi="Cambria" w:cs="Arial"/>
          <w:sz w:val="24"/>
          <w:szCs w:val="24"/>
        </w:rPr>
        <w:t xml:space="preserve"> entity</w:t>
      </w:r>
      <w:r w:rsidR="006353C2">
        <w:rPr>
          <w:rFonts w:ascii="Cambria" w:hAnsi="Cambria" w:cs="Arial"/>
          <w:sz w:val="24"/>
          <w:szCs w:val="24"/>
        </w:rPr>
        <w:t xml:space="preserve"> looking forward</w:t>
      </w:r>
      <w:r w:rsidR="00A1044C" w:rsidRPr="007A3EF0">
        <w:rPr>
          <w:rStyle w:val="FootnoteReference"/>
          <w:rFonts w:ascii="Cambria" w:hAnsi="Cambria" w:cs="Arial"/>
          <w:sz w:val="24"/>
          <w:szCs w:val="24"/>
        </w:rPr>
        <w:footnoteReference w:id="24"/>
      </w:r>
      <w:r w:rsidR="0070752B" w:rsidRPr="006353C2">
        <w:rPr>
          <w:rFonts w:ascii="Cambria" w:hAnsi="Cambria" w:cs="Arial"/>
          <w:sz w:val="24"/>
          <w:szCs w:val="24"/>
        </w:rPr>
        <w:t>.</w:t>
      </w:r>
    </w:p>
    <w:p w14:paraId="24E18E3B" w14:textId="77777777" w:rsidR="00345A06" w:rsidRPr="007A3EF0" w:rsidRDefault="00345A06" w:rsidP="00345A06">
      <w:pPr>
        <w:pStyle w:val="ListParagraph"/>
        <w:rPr>
          <w:rFonts w:ascii="Cambria" w:hAnsi="Cambria" w:cs="Arial"/>
          <w:sz w:val="24"/>
          <w:szCs w:val="24"/>
        </w:rPr>
      </w:pPr>
    </w:p>
    <w:p w14:paraId="1DD58F27" w14:textId="1A114AE6" w:rsidR="00345A06" w:rsidRPr="007A3EF0" w:rsidRDefault="00345A06" w:rsidP="00345A06">
      <w:pPr>
        <w:tabs>
          <w:tab w:val="left" w:pos="426"/>
        </w:tabs>
        <w:jc w:val="both"/>
        <w:rPr>
          <w:rFonts w:ascii="Cambria" w:hAnsi="Cambria" w:cs="Arial"/>
          <w:sz w:val="24"/>
          <w:szCs w:val="24"/>
        </w:rPr>
      </w:pPr>
    </w:p>
    <w:p w14:paraId="24730BFC" w14:textId="0120B55B" w:rsidR="00345A06" w:rsidRPr="007A3EF0" w:rsidRDefault="00345A06" w:rsidP="00345A06">
      <w:pPr>
        <w:tabs>
          <w:tab w:val="left" w:pos="426"/>
        </w:tabs>
        <w:jc w:val="both"/>
        <w:rPr>
          <w:rFonts w:ascii="Cambria" w:hAnsi="Cambria" w:cs="Arial"/>
          <w:b/>
          <w:bCs/>
          <w:sz w:val="24"/>
          <w:szCs w:val="24"/>
        </w:rPr>
      </w:pPr>
      <w:r w:rsidRPr="007A3EF0">
        <w:rPr>
          <w:rFonts w:ascii="Cambria" w:hAnsi="Cambria" w:cs="Arial"/>
          <w:b/>
          <w:bCs/>
          <w:sz w:val="24"/>
          <w:szCs w:val="24"/>
        </w:rPr>
        <w:t>Question 4</w:t>
      </w:r>
    </w:p>
    <w:p w14:paraId="5B141641" w14:textId="34D1B9EC" w:rsidR="00345A06" w:rsidRDefault="006353C2" w:rsidP="00345A06">
      <w:pPr>
        <w:pStyle w:val="ListParagraph"/>
        <w:rPr>
          <w:rFonts w:ascii="Cambria" w:hAnsi="Cambria" w:cs="Arial"/>
          <w:sz w:val="24"/>
          <w:szCs w:val="24"/>
        </w:rPr>
      </w:pPr>
      <w:r w:rsidRPr="006353C2">
        <w:rPr>
          <w:rFonts w:ascii="Cambria" w:hAnsi="Cambria" w:cs="Arial"/>
          <w:sz w:val="24"/>
          <w:szCs w:val="24"/>
        </w:rPr>
        <w:drawing>
          <wp:inline distT="0" distB="0" distL="0" distR="0" wp14:anchorId="6CD66394" wp14:editId="77B72497">
            <wp:extent cx="5439534" cy="523948"/>
            <wp:effectExtent l="0" t="0" r="8890" b="9525"/>
            <wp:docPr id="16384629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462943" name=""/>
                    <pic:cNvPicPr/>
                  </pic:nvPicPr>
                  <pic:blipFill>
                    <a:blip r:embed="rId11"/>
                    <a:stretch>
                      <a:fillRect/>
                    </a:stretch>
                  </pic:blipFill>
                  <pic:spPr>
                    <a:xfrm>
                      <a:off x="0" y="0"/>
                      <a:ext cx="5439534" cy="523948"/>
                    </a:xfrm>
                    <a:prstGeom prst="rect">
                      <a:avLst/>
                    </a:prstGeom>
                  </pic:spPr>
                </pic:pic>
              </a:graphicData>
            </a:graphic>
          </wp:inline>
        </w:drawing>
      </w:r>
    </w:p>
    <w:p w14:paraId="1B349ED1" w14:textId="2A939EBE" w:rsidR="006353C2" w:rsidRPr="006353C2" w:rsidRDefault="006353C2" w:rsidP="006353C2">
      <w:pPr>
        <w:rPr>
          <w:rFonts w:ascii="Cambria" w:hAnsi="Cambria" w:cs="Arial"/>
          <w:i/>
          <w:iCs/>
          <w:sz w:val="24"/>
          <w:szCs w:val="24"/>
        </w:rPr>
      </w:pPr>
      <w:r>
        <w:rPr>
          <w:rFonts w:ascii="Cambria" w:hAnsi="Cambria" w:cs="Arial"/>
          <w:i/>
          <w:iCs/>
          <w:sz w:val="24"/>
          <w:szCs w:val="24"/>
        </w:rPr>
        <w:t>Summary answer:</w:t>
      </w:r>
      <w:r w:rsidR="001426F8">
        <w:rPr>
          <w:rFonts w:ascii="Cambria" w:hAnsi="Cambria" w:cs="Arial"/>
          <w:i/>
          <w:iCs/>
          <w:sz w:val="24"/>
          <w:szCs w:val="24"/>
        </w:rPr>
        <w:t xml:space="preserve"> from an original position of agreement, the increased and relatively larger exposure of banks C and D, adverse credit data-points / news (the pledge issue), and the related issues of profitability and the information management issues. If advising </w:t>
      </w:r>
      <w:proofErr w:type="gramStart"/>
      <w:r w:rsidR="001426F8">
        <w:rPr>
          <w:rFonts w:ascii="Cambria" w:hAnsi="Cambria" w:cs="Arial"/>
          <w:i/>
          <w:iCs/>
          <w:sz w:val="24"/>
          <w:szCs w:val="24"/>
        </w:rPr>
        <w:t>banks</w:t>
      </w:r>
      <w:proofErr w:type="gramEnd"/>
      <w:r w:rsidR="001426F8">
        <w:rPr>
          <w:rFonts w:ascii="Cambria" w:hAnsi="Cambria" w:cs="Arial"/>
          <w:i/>
          <w:iCs/>
          <w:sz w:val="24"/>
          <w:szCs w:val="24"/>
        </w:rPr>
        <w:t xml:space="preserve"> A and B I would have encouraged them to remain cooperative toward and in communication with other creditors.   </w:t>
      </w:r>
      <w:r>
        <w:rPr>
          <w:rFonts w:ascii="Cambria" w:hAnsi="Cambria" w:cs="Arial"/>
          <w:i/>
          <w:iCs/>
          <w:sz w:val="24"/>
          <w:szCs w:val="24"/>
        </w:rPr>
        <w:t xml:space="preserve">  </w:t>
      </w:r>
    </w:p>
    <w:p w14:paraId="545261AF" w14:textId="3347B923" w:rsidR="006353C2" w:rsidRDefault="006353C2" w:rsidP="00345A06">
      <w:pPr>
        <w:pStyle w:val="ListParagraph"/>
        <w:numPr>
          <w:ilvl w:val="0"/>
          <w:numId w:val="5"/>
        </w:numPr>
        <w:tabs>
          <w:tab w:val="left" w:pos="426"/>
        </w:tabs>
        <w:ind w:left="284" w:hanging="284"/>
        <w:jc w:val="both"/>
        <w:rPr>
          <w:rFonts w:ascii="Cambria" w:hAnsi="Cambria" w:cs="Arial"/>
          <w:sz w:val="24"/>
          <w:szCs w:val="24"/>
        </w:rPr>
      </w:pPr>
      <w:proofErr w:type="gramStart"/>
      <w:r>
        <w:rPr>
          <w:rFonts w:ascii="Cambria" w:hAnsi="Cambria" w:cs="Arial"/>
          <w:sz w:val="24"/>
          <w:szCs w:val="24"/>
        </w:rPr>
        <w:t>On the basis of</w:t>
      </w:r>
      <w:proofErr w:type="gramEnd"/>
      <w:r>
        <w:rPr>
          <w:rFonts w:ascii="Cambria" w:hAnsi="Cambria" w:cs="Arial"/>
          <w:sz w:val="24"/>
          <w:szCs w:val="24"/>
        </w:rPr>
        <w:t xml:space="preserve"> limited </w:t>
      </w:r>
      <w:r w:rsidR="00345A06" w:rsidRPr="007A3EF0">
        <w:rPr>
          <w:rFonts w:ascii="Cambria" w:hAnsi="Cambria" w:cs="Arial"/>
          <w:sz w:val="24"/>
          <w:szCs w:val="24"/>
        </w:rPr>
        <w:t xml:space="preserve">information in the Flow Management fact scenario </w:t>
      </w:r>
      <w:r>
        <w:rPr>
          <w:rFonts w:ascii="Cambria" w:hAnsi="Cambria" w:cs="Arial"/>
          <w:sz w:val="24"/>
          <w:szCs w:val="24"/>
        </w:rPr>
        <w:t>as to</w:t>
      </w:r>
      <w:r w:rsidR="00345A06" w:rsidRPr="007A3EF0">
        <w:rPr>
          <w:rFonts w:ascii="Cambria" w:hAnsi="Cambria" w:cs="Arial"/>
          <w:sz w:val="24"/>
          <w:szCs w:val="24"/>
        </w:rPr>
        <w:t xml:space="preserve"> banks C and D’s </w:t>
      </w:r>
      <w:r>
        <w:rPr>
          <w:rFonts w:ascii="Cambria" w:hAnsi="Cambria" w:cs="Arial"/>
          <w:sz w:val="24"/>
          <w:szCs w:val="24"/>
        </w:rPr>
        <w:t xml:space="preserve">lack of optimism for the restructuring process as a whole, </w:t>
      </w:r>
      <w:r w:rsidR="00345A06" w:rsidRPr="007A3EF0">
        <w:rPr>
          <w:rFonts w:ascii="Cambria" w:hAnsi="Cambria" w:cs="Arial"/>
          <w:sz w:val="24"/>
          <w:szCs w:val="24"/>
        </w:rPr>
        <w:t xml:space="preserve">there are some </w:t>
      </w:r>
      <w:r>
        <w:rPr>
          <w:rFonts w:ascii="Cambria" w:hAnsi="Cambria" w:cs="Arial"/>
          <w:sz w:val="24"/>
          <w:szCs w:val="24"/>
        </w:rPr>
        <w:t>clues</w:t>
      </w:r>
      <w:r w:rsidR="00345A06" w:rsidRPr="007A3EF0">
        <w:rPr>
          <w:rFonts w:ascii="Cambria" w:hAnsi="Cambria" w:cs="Arial"/>
          <w:sz w:val="24"/>
          <w:szCs w:val="24"/>
        </w:rPr>
        <w:t xml:space="preserve"> as to </w:t>
      </w:r>
      <w:r>
        <w:rPr>
          <w:rFonts w:ascii="Cambria" w:hAnsi="Cambria" w:cs="Arial"/>
          <w:sz w:val="24"/>
          <w:szCs w:val="24"/>
        </w:rPr>
        <w:t xml:space="preserve">the basis of </w:t>
      </w:r>
      <w:r w:rsidR="00345A06" w:rsidRPr="007A3EF0">
        <w:rPr>
          <w:rFonts w:ascii="Cambria" w:hAnsi="Cambria" w:cs="Arial"/>
          <w:sz w:val="24"/>
          <w:szCs w:val="24"/>
        </w:rPr>
        <w:t xml:space="preserve">reluctance. </w:t>
      </w:r>
    </w:p>
    <w:p w14:paraId="2D2644C1" w14:textId="77777777" w:rsidR="006353C2" w:rsidRDefault="006353C2" w:rsidP="006353C2">
      <w:pPr>
        <w:pStyle w:val="ListParagraph"/>
        <w:tabs>
          <w:tab w:val="left" w:pos="426"/>
        </w:tabs>
        <w:ind w:left="284"/>
        <w:jc w:val="both"/>
        <w:rPr>
          <w:rFonts w:ascii="Cambria" w:hAnsi="Cambria" w:cs="Arial"/>
          <w:sz w:val="24"/>
          <w:szCs w:val="24"/>
        </w:rPr>
      </w:pPr>
    </w:p>
    <w:p w14:paraId="7B26ABAE" w14:textId="76EB0008" w:rsidR="00345A06" w:rsidRPr="007A3EF0" w:rsidRDefault="00345A06" w:rsidP="00345A06">
      <w:pPr>
        <w:pStyle w:val="ListParagraph"/>
        <w:numPr>
          <w:ilvl w:val="0"/>
          <w:numId w:val="5"/>
        </w:numPr>
        <w:tabs>
          <w:tab w:val="left" w:pos="426"/>
        </w:tabs>
        <w:ind w:left="284" w:hanging="284"/>
        <w:jc w:val="both"/>
        <w:rPr>
          <w:rFonts w:ascii="Cambria" w:hAnsi="Cambria" w:cs="Arial"/>
          <w:sz w:val="24"/>
          <w:szCs w:val="24"/>
        </w:rPr>
      </w:pPr>
      <w:r w:rsidRPr="007A3EF0">
        <w:rPr>
          <w:rFonts w:ascii="Cambria" w:hAnsi="Cambria" w:cs="Arial"/>
          <w:sz w:val="24"/>
          <w:szCs w:val="24"/>
        </w:rPr>
        <w:t xml:space="preserve">In January 2014 the stakeholders appeared to be </w:t>
      </w:r>
      <w:r w:rsidR="006353C2">
        <w:rPr>
          <w:rFonts w:ascii="Cambria" w:hAnsi="Cambria" w:cs="Arial"/>
          <w:sz w:val="24"/>
          <w:szCs w:val="24"/>
        </w:rPr>
        <w:t xml:space="preserve">in </w:t>
      </w:r>
      <w:proofErr w:type="gramStart"/>
      <w:r w:rsidR="006353C2">
        <w:rPr>
          <w:rFonts w:ascii="Cambria" w:hAnsi="Cambria" w:cs="Arial"/>
          <w:sz w:val="24"/>
          <w:szCs w:val="24"/>
        </w:rPr>
        <w:t>agreement.</w:t>
      </w:r>
      <w:r w:rsidRPr="007A3EF0">
        <w:rPr>
          <w:rFonts w:ascii="Cambria" w:hAnsi="Cambria" w:cs="Arial"/>
          <w:sz w:val="24"/>
          <w:szCs w:val="24"/>
        </w:rPr>
        <w:t>.</w:t>
      </w:r>
      <w:proofErr w:type="gramEnd"/>
      <w:r w:rsidRPr="007A3EF0">
        <w:rPr>
          <w:rFonts w:ascii="Cambria" w:hAnsi="Cambria" w:cs="Arial"/>
          <w:sz w:val="24"/>
          <w:szCs w:val="24"/>
        </w:rPr>
        <w:t xml:space="preserve"> The Banks placed trust in the company which announced that it would appoint a new CFO and the decision was made for the company’s management and the </w:t>
      </w:r>
      <w:proofErr w:type="gramStart"/>
      <w:r w:rsidRPr="007A3EF0">
        <w:rPr>
          <w:rFonts w:ascii="Cambria" w:hAnsi="Cambria" w:cs="Arial"/>
          <w:sz w:val="24"/>
          <w:szCs w:val="24"/>
        </w:rPr>
        <w:t>shareholder</w:t>
      </w:r>
      <w:proofErr w:type="gramEnd"/>
      <w:r w:rsidRPr="007A3EF0">
        <w:rPr>
          <w:rFonts w:ascii="Cambria" w:hAnsi="Cambria" w:cs="Arial"/>
          <w:sz w:val="24"/>
          <w:szCs w:val="24"/>
        </w:rPr>
        <w:t xml:space="preserve"> to constructively work together on a solution. Subsequently, a standstill agreement is proposed by the shareholder consistent with the Statement of Principles for a Global Approach to Multi-Creditor Workouts II</w:t>
      </w:r>
      <w:r w:rsidR="002E164D" w:rsidRPr="007A3EF0">
        <w:rPr>
          <w:rFonts w:ascii="Cambria" w:hAnsi="Cambria" w:cs="Arial"/>
          <w:sz w:val="24"/>
          <w:szCs w:val="24"/>
        </w:rPr>
        <w:t xml:space="preserve"> (</w:t>
      </w:r>
      <w:proofErr w:type="gramStart"/>
      <w:r w:rsidR="002E164D" w:rsidRPr="007A3EF0">
        <w:rPr>
          <w:rFonts w:ascii="Cambria" w:hAnsi="Cambria" w:cs="Arial"/>
          <w:sz w:val="24"/>
          <w:szCs w:val="24"/>
        </w:rPr>
        <w:t>“the</w:t>
      </w:r>
      <w:proofErr w:type="gramEnd"/>
      <w:r w:rsidR="002E164D" w:rsidRPr="007A3EF0">
        <w:rPr>
          <w:rFonts w:ascii="Cambria" w:hAnsi="Cambria" w:cs="Arial"/>
          <w:sz w:val="24"/>
          <w:szCs w:val="24"/>
        </w:rPr>
        <w:t xml:space="preserve"> Statement of Principles”)</w:t>
      </w:r>
      <w:r w:rsidR="006353C2">
        <w:rPr>
          <w:rFonts w:ascii="Cambria" w:hAnsi="Cambria" w:cs="Arial"/>
          <w:sz w:val="24"/>
          <w:szCs w:val="24"/>
        </w:rPr>
        <w:t>. A</w:t>
      </w:r>
      <w:r w:rsidRPr="007A3EF0">
        <w:rPr>
          <w:rFonts w:ascii="Cambria" w:hAnsi="Cambria" w:cs="Arial"/>
          <w:sz w:val="24"/>
          <w:szCs w:val="24"/>
        </w:rPr>
        <w:t xml:space="preserve"> month </w:t>
      </w:r>
      <w:r w:rsidR="006353C2">
        <w:rPr>
          <w:rFonts w:ascii="Cambria" w:hAnsi="Cambria" w:cs="Arial"/>
          <w:sz w:val="24"/>
          <w:szCs w:val="24"/>
        </w:rPr>
        <w:t>-</w:t>
      </w:r>
      <w:r w:rsidRPr="007A3EF0">
        <w:rPr>
          <w:rFonts w:ascii="Cambria" w:hAnsi="Cambria" w:cs="Arial"/>
          <w:sz w:val="24"/>
          <w:szCs w:val="24"/>
        </w:rPr>
        <w:t>and</w:t>
      </w:r>
      <w:r w:rsidR="006353C2">
        <w:rPr>
          <w:rFonts w:ascii="Cambria" w:hAnsi="Cambria" w:cs="Arial"/>
          <w:sz w:val="24"/>
          <w:szCs w:val="24"/>
        </w:rPr>
        <w:t>-</w:t>
      </w:r>
      <w:r w:rsidRPr="007A3EF0">
        <w:rPr>
          <w:rFonts w:ascii="Cambria" w:hAnsi="Cambria" w:cs="Arial"/>
          <w:sz w:val="24"/>
          <w:szCs w:val="24"/>
        </w:rPr>
        <w:t>a</w:t>
      </w:r>
      <w:r w:rsidR="006353C2">
        <w:rPr>
          <w:rFonts w:ascii="Cambria" w:hAnsi="Cambria" w:cs="Arial"/>
          <w:sz w:val="24"/>
          <w:szCs w:val="24"/>
        </w:rPr>
        <w:t>-</w:t>
      </w:r>
      <w:r w:rsidRPr="007A3EF0">
        <w:rPr>
          <w:rFonts w:ascii="Cambria" w:hAnsi="Cambria" w:cs="Arial"/>
          <w:sz w:val="24"/>
          <w:szCs w:val="24"/>
        </w:rPr>
        <w:t>half later</w:t>
      </w:r>
      <w:r w:rsidR="006353C2">
        <w:rPr>
          <w:rFonts w:ascii="Cambria" w:hAnsi="Cambria" w:cs="Arial"/>
          <w:sz w:val="24"/>
          <w:szCs w:val="24"/>
        </w:rPr>
        <w:t>,</w:t>
      </w:r>
      <w:r w:rsidRPr="007A3EF0">
        <w:rPr>
          <w:rFonts w:ascii="Cambria" w:hAnsi="Cambria" w:cs="Arial"/>
          <w:sz w:val="24"/>
          <w:szCs w:val="24"/>
        </w:rPr>
        <w:t xml:space="preserve"> banks C and D stopped cooperating. It is revealed later that generally and even more so for banks C and D, the banks’ lack of confidence stems from the developments of the past six months.</w:t>
      </w:r>
    </w:p>
    <w:p w14:paraId="35A45896" w14:textId="77777777" w:rsidR="00345A06" w:rsidRPr="007A3EF0" w:rsidRDefault="00345A06" w:rsidP="00345A06">
      <w:pPr>
        <w:pStyle w:val="ListParagraph"/>
        <w:tabs>
          <w:tab w:val="left" w:pos="426"/>
        </w:tabs>
        <w:ind w:left="284"/>
        <w:jc w:val="both"/>
        <w:rPr>
          <w:rFonts w:ascii="Cambria" w:hAnsi="Cambria" w:cs="Arial"/>
          <w:sz w:val="24"/>
          <w:szCs w:val="24"/>
        </w:rPr>
      </w:pPr>
    </w:p>
    <w:p w14:paraId="7974BF33" w14:textId="77777777" w:rsidR="001426F8" w:rsidRDefault="001426F8" w:rsidP="00345A06">
      <w:pPr>
        <w:pStyle w:val="ListParagraph"/>
        <w:numPr>
          <w:ilvl w:val="0"/>
          <w:numId w:val="5"/>
        </w:numPr>
        <w:tabs>
          <w:tab w:val="left" w:pos="426"/>
        </w:tabs>
        <w:ind w:left="284" w:hanging="284"/>
        <w:jc w:val="both"/>
        <w:rPr>
          <w:rFonts w:ascii="Cambria" w:hAnsi="Cambria" w:cs="Arial"/>
          <w:sz w:val="24"/>
          <w:szCs w:val="24"/>
        </w:rPr>
      </w:pPr>
      <w:r>
        <w:rPr>
          <w:rFonts w:ascii="Cambria" w:hAnsi="Cambria" w:cs="Arial"/>
          <w:sz w:val="24"/>
          <w:szCs w:val="24"/>
        </w:rPr>
        <w:t>B</w:t>
      </w:r>
      <w:r w:rsidR="00345A06" w:rsidRPr="007A3EF0">
        <w:rPr>
          <w:rFonts w:ascii="Cambria" w:hAnsi="Cambria" w:cs="Arial"/>
          <w:sz w:val="24"/>
          <w:szCs w:val="24"/>
        </w:rPr>
        <w:t>anks C and Ds</w:t>
      </w:r>
      <w:r>
        <w:rPr>
          <w:rFonts w:ascii="Cambria" w:hAnsi="Cambria" w:cs="Arial"/>
          <w:sz w:val="24"/>
          <w:szCs w:val="24"/>
        </w:rPr>
        <w:t>’</w:t>
      </w:r>
      <w:r w:rsidR="00345A06" w:rsidRPr="007A3EF0">
        <w:rPr>
          <w:rFonts w:ascii="Cambria" w:hAnsi="Cambria" w:cs="Arial"/>
          <w:sz w:val="24"/>
          <w:szCs w:val="24"/>
        </w:rPr>
        <w:t xml:space="preserve"> </w:t>
      </w:r>
      <w:r>
        <w:rPr>
          <w:rFonts w:ascii="Cambria" w:hAnsi="Cambria" w:cs="Arial"/>
          <w:sz w:val="24"/>
          <w:szCs w:val="24"/>
        </w:rPr>
        <w:t>approach</w:t>
      </w:r>
      <w:r w:rsidR="00345A06" w:rsidRPr="007A3EF0">
        <w:rPr>
          <w:rFonts w:ascii="Cambria" w:hAnsi="Cambria" w:cs="Arial"/>
          <w:sz w:val="24"/>
          <w:szCs w:val="24"/>
        </w:rPr>
        <w:t xml:space="preserve"> </w:t>
      </w:r>
      <w:r>
        <w:rPr>
          <w:rFonts w:ascii="Cambria" w:hAnsi="Cambria" w:cs="Arial"/>
          <w:sz w:val="24"/>
          <w:szCs w:val="24"/>
        </w:rPr>
        <w:t xml:space="preserve">reflected their higher levels of lending </w:t>
      </w:r>
      <w:r w:rsidR="00345A06" w:rsidRPr="007A3EF0">
        <w:rPr>
          <w:rFonts w:ascii="Cambria" w:hAnsi="Cambria" w:cs="Arial"/>
          <w:sz w:val="24"/>
          <w:szCs w:val="24"/>
        </w:rPr>
        <w:t xml:space="preserve">exposure to the group around the time of the crisis </w:t>
      </w:r>
      <w:r>
        <w:rPr>
          <w:rFonts w:ascii="Cambria" w:hAnsi="Cambria" w:cs="Arial"/>
          <w:sz w:val="24"/>
          <w:szCs w:val="24"/>
        </w:rPr>
        <w:t xml:space="preserve">relative to </w:t>
      </w:r>
      <w:r w:rsidR="00345A06" w:rsidRPr="007A3EF0">
        <w:rPr>
          <w:rFonts w:ascii="Cambria" w:hAnsi="Cambria" w:cs="Arial"/>
          <w:sz w:val="24"/>
          <w:szCs w:val="24"/>
        </w:rPr>
        <w:t xml:space="preserve">banks A and B’s. </w:t>
      </w:r>
    </w:p>
    <w:p w14:paraId="0ED80389" w14:textId="77777777" w:rsidR="001426F8" w:rsidRPr="001426F8" w:rsidRDefault="001426F8" w:rsidP="001426F8">
      <w:pPr>
        <w:pStyle w:val="ListParagraph"/>
        <w:rPr>
          <w:rFonts w:ascii="Cambria" w:hAnsi="Cambria" w:cs="Arial"/>
          <w:sz w:val="24"/>
          <w:szCs w:val="24"/>
        </w:rPr>
      </w:pPr>
    </w:p>
    <w:p w14:paraId="2114ABC4" w14:textId="77777777" w:rsidR="001426F8" w:rsidRDefault="00C818F3" w:rsidP="00345A06">
      <w:pPr>
        <w:pStyle w:val="ListParagraph"/>
        <w:numPr>
          <w:ilvl w:val="0"/>
          <w:numId w:val="5"/>
        </w:numPr>
        <w:tabs>
          <w:tab w:val="left" w:pos="426"/>
        </w:tabs>
        <w:ind w:left="284" w:hanging="284"/>
        <w:jc w:val="both"/>
        <w:rPr>
          <w:rFonts w:ascii="Cambria" w:hAnsi="Cambria" w:cs="Arial"/>
          <w:sz w:val="24"/>
          <w:szCs w:val="24"/>
        </w:rPr>
      </w:pPr>
      <w:r w:rsidRPr="007A3EF0">
        <w:rPr>
          <w:rFonts w:ascii="Cambria" w:hAnsi="Cambria" w:cs="Arial"/>
          <w:sz w:val="24"/>
          <w:szCs w:val="24"/>
        </w:rPr>
        <w:t>In</w:t>
      </w:r>
      <w:r w:rsidR="00345A06" w:rsidRPr="007A3EF0">
        <w:rPr>
          <w:rFonts w:ascii="Cambria" w:hAnsi="Cambria" w:cs="Arial"/>
          <w:sz w:val="24"/>
          <w:szCs w:val="24"/>
        </w:rPr>
        <w:t xml:space="preserve"> the 6-month period prior </w:t>
      </w:r>
      <w:r w:rsidRPr="007A3EF0">
        <w:rPr>
          <w:rFonts w:ascii="Cambria" w:hAnsi="Cambria" w:cs="Arial"/>
          <w:sz w:val="24"/>
          <w:szCs w:val="24"/>
        </w:rPr>
        <w:t>to banks C and Ds</w:t>
      </w:r>
      <w:r w:rsidR="001426F8">
        <w:rPr>
          <w:rFonts w:ascii="Cambria" w:hAnsi="Cambria" w:cs="Arial"/>
          <w:sz w:val="24"/>
          <w:szCs w:val="24"/>
        </w:rPr>
        <w:t>’ declared</w:t>
      </w:r>
      <w:r w:rsidRPr="007A3EF0">
        <w:rPr>
          <w:rFonts w:ascii="Cambria" w:hAnsi="Cambria" w:cs="Arial"/>
          <w:sz w:val="24"/>
          <w:szCs w:val="24"/>
        </w:rPr>
        <w:t xml:space="preserve"> reluctance there wa</w:t>
      </w:r>
      <w:r w:rsidR="001426F8">
        <w:rPr>
          <w:rFonts w:ascii="Cambria" w:hAnsi="Cambria" w:cs="Arial"/>
          <w:sz w:val="24"/>
          <w:szCs w:val="24"/>
        </w:rPr>
        <w:t>s the discovery of</w:t>
      </w:r>
      <w:r w:rsidR="00345A06" w:rsidRPr="007A3EF0">
        <w:rPr>
          <w:rFonts w:ascii="Cambria" w:hAnsi="Cambria" w:cs="Arial"/>
          <w:sz w:val="24"/>
          <w:szCs w:val="24"/>
        </w:rPr>
        <w:t xml:space="preserve"> a problem with the banks’ securities (pledges). That, of course, would suggest that </w:t>
      </w:r>
      <w:r w:rsidRPr="007A3EF0">
        <w:rPr>
          <w:rFonts w:ascii="Cambria" w:hAnsi="Cambria" w:cs="Arial"/>
          <w:sz w:val="24"/>
          <w:szCs w:val="24"/>
        </w:rPr>
        <w:t xml:space="preserve">if there were to be a </w:t>
      </w:r>
      <w:r w:rsidR="008B0AD1" w:rsidRPr="007A3EF0">
        <w:rPr>
          <w:rFonts w:ascii="Cambria" w:hAnsi="Cambria" w:cs="Arial"/>
          <w:sz w:val="24"/>
          <w:szCs w:val="24"/>
        </w:rPr>
        <w:t>liquidation</w:t>
      </w:r>
      <w:r w:rsidRPr="007A3EF0">
        <w:rPr>
          <w:rFonts w:ascii="Cambria" w:hAnsi="Cambria" w:cs="Arial"/>
          <w:sz w:val="24"/>
          <w:szCs w:val="24"/>
        </w:rPr>
        <w:t xml:space="preserve"> </w:t>
      </w:r>
      <w:r w:rsidR="008B0AD1" w:rsidRPr="007A3EF0">
        <w:rPr>
          <w:rFonts w:ascii="Cambria" w:hAnsi="Cambria" w:cs="Arial"/>
          <w:sz w:val="24"/>
          <w:szCs w:val="24"/>
        </w:rPr>
        <w:t>C and D</w:t>
      </w:r>
      <w:r w:rsidRPr="007A3EF0">
        <w:rPr>
          <w:rFonts w:ascii="Cambria" w:hAnsi="Cambria" w:cs="Arial"/>
          <w:sz w:val="24"/>
          <w:szCs w:val="24"/>
        </w:rPr>
        <w:t xml:space="preserve"> would wind up in the general body of </w:t>
      </w:r>
      <w:r w:rsidR="001426F8">
        <w:rPr>
          <w:rFonts w:ascii="Cambria" w:hAnsi="Cambria" w:cs="Arial"/>
          <w:sz w:val="24"/>
          <w:szCs w:val="24"/>
        </w:rPr>
        <w:t xml:space="preserve">(unsecured) </w:t>
      </w:r>
      <w:r w:rsidRPr="007A3EF0">
        <w:rPr>
          <w:rFonts w:ascii="Cambria" w:hAnsi="Cambria" w:cs="Arial"/>
          <w:sz w:val="24"/>
          <w:szCs w:val="24"/>
        </w:rPr>
        <w:t>credit</w:t>
      </w:r>
      <w:r w:rsidR="001426F8">
        <w:rPr>
          <w:rFonts w:ascii="Cambria" w:hAnsi="Cambria" w:cs="Arial"/>
          <w:sz w:val="24"/>
          <w:szCs w:val="24"/>
        </w:rPr>
        <w:t>ors</w:t>
      </w:r>
      <w:r w:rsidR="00345A06" w:rsidRPr="007A3EF0">
        <w:rPr>
          <w:rFonts w:ascii="Cambria" w:hAnsi="Cambria" w:cs="Arial"/>
          <w:sz w:val="24"/>
          <w:szCs w:val="24"/>
        </w:rPr>
        <w:t xml:space="preserve">. Additionally, the other recent revelations regarding the profitability of the company and its systemic information management problems suggest that the company may never return to profitability. </w:t>
      </w:r>
    </w:p>
    <w:p w14:paraId="310E4623" w14:textId="77777777" w:rsidR="001426F8" w:rsidRPr="001426F8" w:rsidRDefault="001426F8" w:rsidP="001426F8">
      <w:pPr>
        <w:pStyle w:val="ListParagraph"/>
        <w:rPr>
          <w:rFonts w:ascii="Cambria" w:hAnsi="Cambria" w:cs="Arial"/>
          <w:sz w:val="24"/>
          <w:szCs w:val="24"/>
        </w:rPr>
      </w:pPr>
    </w:p>
    <w:p w14:paraId="52F91ADE" w14:textId="116012D2" w:rsidR="001426F8" w:rsidRDefault="001426F8" w:rsidP="001426F8">
      <w:pPr>
        <w:pStyle w:val="ListParagraph"/>
        <w:numPr>
          <w:ilvl w:val="0"/>
          <w:numId w:val="5"/>
        </w:numPr>
        <w:tabs>
          <w:tab w:val="left" w:pos="426"/>
        </w:tabs>
        <w:ind w:left="284" w:hanging="284"/>
        <w:jc w:val="both"/>
        <w:rPr>
          <w:rFonts w:ascii="Cambria" w:hAnsi="Cambria" w:cs="Arial"/>
          <w:sz w:val="24"/>
          <w:szCs w:val="24"/>
        </w:rPr>
      </w:pPr>
      <w:r>
        <w:rPr>
          <w:rFonts w:ascii="Cambria" w:hAnsi="Cambria" w:cs="Arial"/>
          <w:sz w:val="24"/>
          <w:szCs w:val="24"/>
        </w:rPr>
        <w:t xml:space="preserve">Banks C and Ds’ </w:t>
      </w:r>
      <w:r w:rsidR="00345A06" w:rsidRPr="007A3EF0">
        <w:rPr>
          <w:rFonts w:ascii="Cambria" w:hAnsi="Cambria" w:cs="Arial"/>
          <w:sz w:val="24"/>
          <w:szCs w:val="24"/>
        </w:rPr>
        <w:t>apprehensi</w:t>
      </w:r>
      <w:r>
        <w:rPr>
          <w:rFonts w:ascii="Cambria" w:hAnsi="Cambria" w:cs="Arial"/>
          <w:sz w:val="24"/>
          <w:szCs w:val="24"/>
        </w:rPr>
        <w:t xml:space="preserve">on regarding the </w:t>
      </w:r>
      <w:r w:rsidR="00345A06" w:rsidRPr="007A3EF0">
        <w:rPr>
          <w:rFonts w:ascii="Cambria" w:hAnsi="Cambria" w:cs="Arial"/>
          <w:sz w:val="24"/>
          <w:szCs w:val="24"/>
        </w:rPr>
        <w:t xml:space="preserve">standstill agreement </w:t>
      </w:r>
      <w:r>
        <w:rPr>
          <w:rFonts w:ascii="Cambria" w:hAnsi="Cambria" w:cs="Arial"/>
          <w:sz w:val="24"/>
          <w:szCs w:val="24"/>
        </w:rPr>
        <w:t>is to be understood in that context. E</w:t>
      </w:r>
      <w:r w:rsidR="00345A06" w:rsidRPr="007A3EF0">
        <w:rPr>
          <w:rFonts w:ascii="Cambria" w:hAnsi="Cambria" w:cs="Arial"/>
          <w:sz w:val="24"/>
          <w:szCs w:val="24"/>
        </w:rPr>
        <w:t xml:space="preserve">ventually banks C and D </w:t>
      </w:r>
      <w:r w:rsidR="00CC76AF" w:rsidRPr="007A3EF0">
        <w:rPr>
          <w:rFonts w:ascii="Cambria" w:hAnsi="Cambria" w:cs="Arial"/>
          <w:sz w:val="24"/>
          <w:szCs w:val="24"/>
        </w:rPr>
        <w:t>execute</w:t>
      </w:r>
      <w:r>
        <w:rPr>
          <w:rFonts w:ascii="Cambria" w:hAnsi="Cambria" w:cs="Arial"/>
          <w:sz w:val="24"/>
          <w:szCs w:val="24"/>
        </w:rPr>
        <w:t>d</w:t>
      </w:r>
      <w:r w:rsidR="00CC76AF" w:rsidRPr="007A3EF0">
        <w:rPr>
          <w:rFonts w:ascii="Cambria" w:hAnsi="Cambria" w:cs="Arial"/>
          <w:sz w:val="24"/>
          <w:szCs w:val="24"/>
        </w:rPr>
        <w:t xml:space="preserve"> a standstill </w:t>
      </w:r>
      <w:r w:rsidR="00AF4464" w:rsidRPr="007A3EF0">
        <w:rPr>
          <w:rFonts w:ascii="Cambria" w:hAnsi="Cambria" w:cs="Arial"/>
          <w:sz w:val="24"/>
          <w:szCs w:val="24"/>
        </w:rPr>
        <w:t>agreement</w:t>
      </w:r>
      <w:r>
        <w:rPr>
          <w:rFonts w:ascii="Cambria" w:hAnsi="Cambria" w:cs="Arial"/>
          <w:sz w:val="24"/>
          <w:szCs w:val="24"/>
        </w:rPr>
        <w:t>.</w:t>
      </w:r>
      <w:r w:rsidR="00345A06" w:rsidRPr="007A3EF0">
        <w:rPr>
          <w:rFonts w:ascii="Cambria" w:hAnsi="Cambria" w:cs="Arial"/>
          <w:sz w:val="24"/>
          <w:szCs w:val="24"/>
        </w:rPr>
        <w:t xml:space="preserve"> </w:t>
      </w:r>
    </w:p>
    <w:p w14:paraId="0FD7AAFC" w14:textId="77777777" w:rsidR="001426F8" w:rsidRPr="001426F8" w:rsidRDefault="001426F8" w:rsidP="001426F8">
      <w:pPr>
        <w:pStyle w:val="ListParagraph"/>
        <w:rPr>
          <w:rFonts w:ascii="Cambria" w:hAnsi="Cambria" w:cs="Arial"/>
          <w:sz w:val="24"/>
          <w:szCs w:val="24"/>
        </w:rPr>
      </w:pPr>
    </w:p>
    <w:p w14:paraId="7C54B305" w14:textId="0C5BF020" w:rsidR="00562CEE" w:rsidRDefault="00345A06" w:rsidP="00832C82">
      <w:pPr>
        <w:pStyle w:val="ListParagraph"/>
        <w:numPr>
          <w:ilvl w:val="0"/>
          <w:numId w:val="5"/>
        </w:numPr>
        <w:tabs>
          <w:tab w:val="left" w:pos="426"/>
        </w:tabs>
        <w:ind w:left="284" w:hanging="284"/>
        <w:jc w:val="both"/>
        <w:rPr>
          <w:rFonts w:ascii="Cambria" w:hAnsi="Cambria" w:cs="Arial"/>
          <w:sz w:val="24"/>
          <w:szCs w:val="24"/>
        </w:rPr>
      </w:pPr>
      <w:r w:rsidRPr="001426F8">
        <w:rPr>
          <w:rFonts w:ascii="Cambria" w:hAnsi="Cambria" w:cs="Arial"/>
          <w:sz w:val="24"/>
          <w:szCs w:val="24"/>
        </w:rPr>
        <w:t xml:space="preserve">In advising banks A and </w:t>
      </w:r>
      <w:r w:rsidR="00832C82">
        <w:rPr>
          <w:rFonts w:ascii="Cambria" w:hAnsi="Cambria" w:cs="Arial"/>
          <w:sz w:val="24"/>
          <w:szCs w:val="24"/>
        </w:rPr>
        <w:t>B</w:t>
      </w:r>
      <w:r w:rsidRPr="001426F8">
        <w:rPr>
          <w:rFonts w:ascii="Cambria" w:hAnsi="Cambria" w:cs="Arial"/>
          <w:sz w:val="24"/>
          <w:szCs w:val="24"/>
        </w:rPr>
        <w:t>, I would</w:t>
      </w:r>
      <w:r w:rsidR="00832C82">
        <w:rPr>
          <w:rFonts w:ascii="Cambria" w:hAnsi="Cambria" w:cs="Arial"/>
          <w:sz w:val="24"/>
          <w:szCs w:val="24"/>
        </w:rPr>
        <w:t xml:space="preserve"> encourage them </w:t>
      </w:r>
      <w:r w:rsidRPr="001426F8">
        <w:rPr>
          <w:rFonts w:ascii="Cambria" w:hAnsi="Cambria" w:cs="Arial"/>
          <w:sz w:val="24"/>
          <w:szCs w:val="24"/>
        </w:rPr>
        <w:t>to co-operate with the other relevant creditors</w:t>
      </w:r>
      <w:r w:rsidR="00832C82">
        <w:rPr>
          <w:rFonts w:ascii="Cambria" w:hAnsi="Cambria" w:cs="Arial"/>
          <w:sz w:val="24"/>
          <w:szCs w:val="24"/>
        </w:rPr>
        <w:t>.</w:t>
      </w:r>
    </w:p>
    <w:p w14:paraId="12168029" w14:textId="77777777" w:rsidR="00832C82" w:rsidRPr="00832C82" w:rsidRDefault="00832C82" w:rsidP="00832C82">
      <w:pPr>
        <w:pStyle w:val="ListParagraph"/>
        <w:rPr>
          <w:rFonts w:ascii="Cambria" w:hAnsi="Cambria" w:cs="Arial"/>
          <w:sz w:val="24"/>
          <w:szCs w:val="24"/>
        </w:rPr>
      </w:pPr>
    </w:p>
    <w:p w14:paraId="2B6663FC" w14:textId="77777777" w:rsidR="00832C82" w:rsidRPr="007A3EF0" w:rsidRDefault="00832C82" w:rsidP="00832C82">
      <w:pPr>
        <w:pStyle w:val="ListParagraph"/>
        <w:tabs>
          <w:tab w:val="left" w:pos="426"/>
        </w:tabs>
        <w:ind w:left="284"/>
        <w:jc w:val="both"/>
        <w:rPr>
          <w:rFonts w:ascii="Cambria" w:hAnsi="Cambria" w:cs="Arial"/>
          <w:sz w:val="24"/>
          <w:szCs w:val="24"/>
        </w:rPr>
      </w:pPr>
    </w:p>
    <w:p w14:paraId="60CDCDC0" w14:textId="77777777" w:rsidR="00562CEE" w:rsidRDefault="00562CEE" w:rsidP="00562CEE">
      <w:pPr>
        <w:tabs>
          <w:tab w:val="left" w:pos="426"/>
        </w:tabs>
        <w:jc w:val="both"/>
        <w:rPr>
          <w:rFonts w:ascii="Cambria" w:hAnsi="Cambria" w:cs="Arial"/>
          <w:b/>
          <w:bCs/>
          <w:sz w:val="24"/>
          <w:szCs w:val="24"/>
        </w:rPr>
      </w:pPr>
      <w:r w:rsidRPr="007A3EF0">
        <w:rPr>
          <w:rFonts w:ascii="Cambria" w:hAnsi="Cambria" w:cs="Arial"/>
          <w:b/>
          <w:bCs/>
          <w:sz w:val="24"/>
          <w:szCs w:val="24"/>
        </w:rPr>
        <w:t>Question 5</w:t>
      </w:r>
    </w:p>
    <w:p w14:paraId="2F8C9C4B" w14:textId="4F496340" w:rsidR="00832C82" w:rsidRDefault="00832C82" w:rsidP="00562CEE">
      <w:pPr>
        <w:tabs>
          <w:tab w:val="left" w:pos="426"/>
        </w:tabs>
        <w:jc w:val="both"/>
        <w:rPr>
          <w:rFonts w:ascii="Cambria" w:hAnsi="Cambria" w:cs="Arial"/>
          <w:b/>
          <w:bCs/>
          <w:sz w:val="24"/>
          <w:szCs w:val="24"/>
        </w:rPr>
      </w:pPr>
      <w:r w:rsidRPr="00832C82">
        <w:rPr>
          <w:rFonts w:ascii="Cambria" w:hAnsi="Cambria" w:cs="Arial"/>
          <w:b/>
          <w:bCs/>
          <w:sz w:val="24"/>
          <w:szCs w:val="24"/>
        </w:rPr>
        <w:drawing>
          <wp:inline distT="0" distB="0" distL="0" distR="0" wp14:anchorId="4D71755A" wp14:editId="14AFD524">
            <wp:extent cx="5325218" cy="504895"/>
            <wp:effectExtent l="0" t="0" r="8890" b="9525"/>
            <wp:docPr id="8947943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4794372" name=""/>
                    <pic:cNvPicPr/>
                  </pic:nvPicPr>
                  <pic:blipFill>
                    <a:blip r:embed="rId12"/>
                    <a:stretch>
                      <a:fillRect/>
                    </a:stretch>
                  </pic:blipFill>
                  <pic:spPr>
                    <a:xfrm>
                      <a:off x="0" y="0"/>
                      <a:ext cx="5325218" cy="504895"/>
                    </a:xfrm>
                    <a:prstGeom prst="rect">
                      <a:avLst/>
                    </a:prstGeom>
                  </pic:spPr>
                </pic:pic>
              </a:graphicData>
            </a:graphic>
          </wp:inline>
        </w:drawing>
      </w:r>
    </w:p>
    <w:p w14:paraId="196EAFF1" w14:textId="70E877AC" w:rsidR="00832C82" w:rsidRPr="00832C82" w:rsidRDefault="00832C82" w:rsidP="00562CEE">
      <w:pPr>
        <w:tabs>
          <w:tab w:val="left" w:pos="426"/>
        </w:tabs>
        <w:jc w:val="both"/>
        <w:rPr>
          <w:rFonts w:ascii="Cambria" w:hAnsi="Cambria" w:cs="Arial"/>
          <w:i/>
          <w:iCs/>
          <w:sz w:val="24"/>
          <w:szCs w:val="24"/>
        </w:rPr>
      </w:pPr>
      <w:r>
        <w:rPr>
          <w:rFonts w:ascii="Cambria" w:hAnsi="Cambria" w:cs="Arial"/>
          <w:i/>
          <w:iCs/>
          <w:sz w:val="24"/>
          <w:szCs w:val="24"/>
        </w:rPr>
        <w:t>Summary answer: principles 1, 2, 3, 5</w:t>
      </w:r>
      <w:r w:rsidR="00337CEE">
        <w:rPr>
          <w:rFonts w:ascii="Cambria" w:hAnsi="Cambria" w:cs="Arial"/>
          <w:i/>
          <w:iCs/>
          <w:sz w:val="24"/>
          <w:szCs w:val="24"/>
        </w:rPr>
        <w:t xml:space="preserve">, 6, </w:t>
      </w:r>
      <w:r>
        <w:rPr>
          <w:rFonts w:ascii="Cambria" w:hAnsi="Cambria" w:cs="Arial"/>
          <w:i/>
          <w:iCs/>
          <w:sz w:val="24"/>
          <w:szCs w:val="24"/>
        </w:rPr>
        <w:t>7</w:t>
      </w:r>
      <w:r w:rsidR="00337CEE">
        <w:rPr>
          <w:rFonts w:ascii="Cambria" w:hAnsi="Cambria" w:cs="Arial"/>
          <w:i/>
          <w:iCs/>
          <w:sz w:val="24"/>
          <w:szCs w:val="24"/>
        </w:rPr>
        <w:t>, 8</w:t>
      </w:r>
    </w:p>
    <w:p w14:paraId="49595A22" w14:textId="77777777" w:rsidR="00832C82" w:rsidRDefault="00562CEE" w:rsidP="00562CEE">
      <w:pPr>
        <w:pStyle w:val="ListParagraph"/>
        <w:numPr>
          <w:ilvl w:val="0"/>
          <w:numId w:val="5"/>
        </w:numPr>
        <w:tabs>
          <w:tab w:val="left" w:pos="426"/>
        </w:tabs>
        <w:ind w:left="284" w:hanging="284"/>
        <w:jc w:val="both"/>
        <w:rPr>
          <w:rFonts w:ascii="Cambria" w:hAnsi="Cambria" w:cs="Arial"/>
          <w:sz w:val="24"/>
          <w:szCs w:val="24"/>
        </w:rPr>
      </w:pPr>
      <w:r w:rsidRPr="007A3EF0">
        <w:rPr>
          <w:rFonts w:ascii="Cambria" w:hAnsi="Cambria" w:cs="Arial"/>
          <w:sz w:val="24"/>
          <w:szCs w:val="24"/>
        </w:rPr>
        <w:t xml:space="preserve">Principle 1, the allowance of a standstill period, was agreed in relation to the Flow Management Group so that information in relation to the group’s position could be obtained, evaluated and for proposals for resolving its financial difficulties formulated and assessed. </w:t>
      </w:r>
    </w:p>
    <w:p w14:paraId="5143C4C5" w14:textId="77777777" w:rsidR="00832C82" w:rsidRDefault="00832C82" w:rsidP="00832C82">
      <w:pPr>
        <w:pStyle w:val="ListParagraph"/>
        <w:tabs>
          <w:tab w:val="left" w:pos="426"/>
        </w:tabs>
        <w:ind w:left="284"/>
        <w:jc w:val="both"/>
        <w:rPr>
          <w:rFonts w:ascii="Cambria" w:hAnsi="Cambria" w:cs="Arial"/>
          <w:sz w:val="24"/>
          <w:szCs w:val="24"/>
        </w:rPr>
      </w:pPr>
    </w:p>
    <w:p w14:paraId="79864D1D" w14:textId="059BFC4D" w:rsidR="001D14A6" w:rsidRDefault="00562CEE" w:rsidP="001D14A6">
      <w:pPr>
        <w:pStyle w:val="ListParagraph"/>
        <w:numPr>
          <w:ilvl w:val="0"/>
          <w:numId w:val="5"/>
        </w:numPr>
        <w:tabs>
          <w:tab w:val="left" w:pos="426"/>
        </w:tabs>
        <w:ind w:left="284" w:hanging="284"/>
        <w:jc w:val="both"/>
        <w:rPr>
          <w:rFonts w:ascii="Cambria" w:hAnsi="Cambria" w:cs="Arial"/>
          <w:sz w:val="24"/>
          <w:szCs w:val="24"/>
        </w:rPr>
      </w:pPr>
      <w:r w:rsidRPr="00832C82">
        <w:rPr>
          <w:rFonts w:ascii="Cambria" w:hAnsi="Cambria" w:cs="Arial"/>
          <w:sz w:val="24"/>
          <w:szCs w:val="24"/>
        </w:rPr>
        <w:t>When banks A-D (likely the relevant creditors given their level of exposure relative to others) learn about the group’s financial difficulties on 16</w:t>
      </w:r>
      <w:r w:rsidR="00832C82" w:rsidRPr="00832C82">
        <w:rPr>
          <w:rFonts w:ascii="Cambria" w:hAnsi="Cambria" w:cs="Arial"/>
          <w:sz w:val="24"/>
          <w:szCs w:val="24"/>
        </w:rPr>
        <w:t>.11.</w:t>
      </w:r>
      <w:r w:rsidRPr="00832C82">
        <w:rPr>
          <w:rFonts w:ascii="Cambria" w:hAnsi="Cambria" w:cs="Arial"/>
          <w:sz w:val="24"/>
          <w:szCs w:val="24"/>
        </w:rPr>
        <w:t xml:space="preserve">2013, </w:t>
      </w:r>
      <w:r w:rsidR="00832C82" w:rsidRPr="00832C82">
        <w:rPr>
          <w:rFonts w:ascii="Cambria" w:hAnsi="Cambria" w:cs="Arial"/>
          <w:sz w:val="24"/>
          <w:szCs w:val="24"/>
        </w:rPr>
        <w:t>steps are not taken to enforce their debts</w:t>
      </w:r>
      <w:r w:rsidR="00832C82">
        <w:rPr>
          <w:rFonts w:ascii="Cambria" w:hAnsi="Cambria" w:cs="Arial"/>
          <w:sz w:val="24"/>
          <w:szCs w:val="24"/>
        </w:rPr>
        <w:t>.</w:t>
      </w:r>
    </w:p>
    <w:p w14:paraId="65D9D530" w14:textId="3E162317" w:rsidR="001D14A6" w:rsidRPr="00832C82" w:rsidRDefault="001D14A6" w:rsidP="00832C82">
      <w:pPr>
        <w:tabs>
          <w:tab w:val="left" w:pos="426"/>
        </w:tabs>
        <w:jc w:val="both"/>
        <w:rPr>
          <w:rFonts w:ascii="Cambria" w:hAnsi="Cambria" w:cs="Arial"/>
          <w:sz w:val="24"/>
          <w:szCs w:val="24"/>
        </w:rPr>
      </w:pPr>
    </w:p>
    <w:p w14:paraId="219B0256" w14:textId="77777777" w:rsidR="001D14A6" w:rsidRPr="007A3EF0" w:rsidRDefault="001D14A6" w:rsidP="001D14A6">
      <w:pPr>
        <w:pStyle w:val="ListParagraph"/>
        <w:tabs>
          <w:tab w:val="left" w:pos="426"/>
        </w:tabs>
        <w:ind w:left="284"/>
        <w:jc w:val="both"/>
        <w:rPr>
          <w:rFonts w:ascii="Cambria" w:hAnsi="Cambria" w:cs="Arial"/>
          <w:sz w:val="24"/>
          <w:szCs w:val="24"/>
        </w:rPr>
      </w:pPr>
    </w:p>
    <w:p w14:paraId="6D6EE054" w14:textId="77777777" w:rsidR="001D14A6" w:rsidRPr="007A3EF0" w:rsidRDefault="00562CEE" w:rsidP="00562CEE">
      <w:pPr>
        <w:pStyle w:val="ListParagraph"/>
        <w:numPr>
          <w:ilvl w:val="0"/>
          <w:numId w:val="5"/>
        </w:numPr>
        <w:tabs>
          <w:tab w:val="left" w:pos="426"/>
        </w:tabs>
        <w:ind w:left="284" w:hanging="284"/>
        <w:jc w:val="both"/>
        <w:rPr>
          <w:rFonts w:ascii="Cambria" w:hAnsi="Cambria" w:cs="Arial"/>
          <w:sz w:val="24"/>
          <w:szCs w:val="24"/>
        </w:rPr>
      </w:pPr>
      <w:r w:rsidRPr="007A3EF0">
        <w:rPr>
          <w:rFonts w:ascii="Cambria" w:hAnsi="Cambria" w:cs="Arial"/>
          <w:sz w:val="24"/>
          <w:szCs w:val="24"/>
        </w:rPr>
        <w:t xml:space="preserve">There is no evidence that any of the banks took steps to enforce their claims against or take any action which might adversely </w:t>
      </w:r>
      <w:r w:rsidR="001D14A6" w:rsidRPr="007A3EF0">
        <w:rPr>
          <w:rFonts w:ascii="Cambria" w:hAnsi="Cambria" w:cs="Arial"/>
          <w:sz w:val="24"/>
          <w:szCs w:val="24"/>
        </w:rPr>
        <w:t>affect</w:t>
      </w:r>
      <w:r w:rsidRPr="007A3EF0">
        <w:rPr>
          <w:rFonts w:ascii="Cambria" w:hAnsi="Cambria" w:cs="Arial"/>
          <w:sz w:val="24"/>
          <w:szCs w:val="24"/>
        </w:rPr>
        <w:t xml:space="preserve"> the </w:t>
      </w:r>
      <w:r w:rsidR="001D14A6" w:rsidRPr="007A3EF0">
        <w:rPr>
          <w:rFonts w:ascii="Cambria" w:hAnsi="Cambria" w:cs="Arial"/>
          <w:sz w:val="24"/>
          <w:szCs w:val="24"/>
        </w:rPr>
        <w:t>prospective</w:t>
      </w:r>
      <w:r w:rsidRPr="007A3EF0">
        <w:rPr>
          <w:rFonts w:ascii="Cambria" w:hAnsi="Cambria" w:cs="Arial"/>
          <w:sz w:val="24"/>
          <w:szCs w:val="24"/>
        </w:rPr>
        <w:t xml:space="preserve"> returns to creditors (Principles 2 and 3). Although banks C and D bec</w:t>
      </w:r>
      <w:r w:rsidR="001D14A6" w:rsidRPr="007A3EF0">
        <w:rPr>
          <w:rFonts w:ascii="Cambria" w:hAnsi="Cambria" w:cs="Arial"/>
          <w:sz w:val="24"/>
          <w:szCs w:val="24"/>
        </w:rPr>
        <w:t>a</w:t>
      </w:r>
      <w:r w:rsidRPr="007A3EF0">
        <w:rPr>
          <w:rFonts w:ascii="Cambria" w:hAnsi="Cambria" w:cs="Arial"/>
          <w:sz w:val="24"/>
          <w:szCs w:val="24"/>
        </w:rPr>
        <w:t>me “uncooperative” in mid-February 2014, no such steps are noted to have been taken by them. As noted above, they eventually join with banks A and B in entering into the standstill agreement.</w:t>
      </w:r>
    </w:p>
    <w:p w14:paraId="0CD74582" w14:textId="77777777" w:rsidR="001D14A6" w:rsidRPr="007A3EF0" w:rsidRDefault="001D14A6" w:rsidP="001D14A6">
      <w:pPr>
        <w:pStyle w:val="ListParagraph"/>
        <w:rPr>
          <w:rFonts w:ascii="Cambria" w:hAnsi="Cambria" w:cs="Arial"/>
          <w:sz w:val="24"/>
          <w:szCs w:val="24"/>
        </w:rPr>
      </w:pPr>
    </w:p>
    <w:p w14:paraId="4062AB4B" w14:textId="7217F8E1" w:rsidR="00337CEE" w:rsidRDefault="00562CEE" w:rsidP="00337CEE">
      <w:pPr>
        <w:pStyle w:val="ListParagraph"/>
        <w:numPr>
          <w:ilvl w:val="0"/>
          <w:numId w:val="5"/>
        </w:numPr>
        <w:tabs>
          <w:tab w:val="left" w:pos="426"/>
        </w:tabs>
        <w:ind w:left="284" w:hanging="284"/>
        <w:jc w:val="both"/>
        <w:rPr>
          <w:rFonts w:ascii="Cambria" w:hAnsi="Cambria" w:cs="Arial"/>
          <w:sz w:val="24"/>
          <w:szCs w:val="24"/>
        </w:rPr>
      </w:pPr>
      <w:r w:rsidRPr="00832C82">
        <w:rPr>
          <w:rFonts w:ascii="Cambria" w:hAnsi="Cambria" w:cs="Arial"/>
          <w:sz w:val="24"/>
          <w:szCs w:val="24"/>
        </w:rPr>
        <w:t xml:space="preserve">Although the debtor was very open with the information shared with the banks over the relevant period (Principles 5 and 7), it was usually </w:t>
      </w:r>
      <w:r w:rsidR="00832C82" w:rsidRPr="00832C82">
        <w:rPr>
          <w:rFonts w:ascii="Cambria" w:hAnsi="Cambria" w:cs="Arial"/>
          <w:sz w:val="24"/>
          <w:szCs w:val="24"/>
        </w:rPr>
        <w:t xml:space="preserve">incorrect </w:t>
      </w:r>
      <w:r w:rsidRPr="00832C82">
        <w:rPr>
          <w:rFonts w:ascii="Cambria" w:hAnsi="Cambria" w:cs="Arial"/>
          <w:sz w:val="24"/>
          <w:szCs w:val="24"/>
        </w:rPr>
        <w:t>information</w:t>
      </w:r>
      <w:r w:rsidR="00832C82" w:rsidRPr="00832C82">
        <w:rPr>
          <w:rFonts w:ascii="Cambria" w:hAnsi="Cambria" w:cs="Arial"/>
          <w:sz w:val="24"/>
          <w:szCs w:val="24"/>
        </w:rPr>
        <w:t>.</w:t>
      </w:r>
      <w:r w:rsidRPr="00832C82">
        <w:rPr>
          <w:rFonts w:ascii="Cambria" w:hAnsi="Cambria" w:cs="Arial"/>
          <w:sz w:val="24"/>
          <w:szCs w:val="24"/>
        </w:rPr>
        <w:t xml:space="preserve"> </w:t>
      </w:r>
      <w:r w:rsidR="00832C82" w:rsidRPr="00832C82">
        <w:rPr>
          <w:rFonts w:ascii="Cambria" w:hAnsi="Cambria" w:cs="Arial"/>
          <w:sz w:val="24"/>
          <w:szCs w:val="24"/>
        </w:rPr>
        <w:t>The</w:t>
      </w:r>
      <w:r w:rsidRPr="00832C82">
        <w:rPr>
          <w:rFonts w:ascii="Cambria" w:hAnsi="Cambria" w:cs="Arial"/>
          <w:sz w:val="24"/>
          <w:szCs w:val="24"/>
        </w:rPr>
        <w:t xml:space="preserve"> banks should have attempted </w:t>
      </w:r>
      <w:proofErr w:type="gramStart"/>
      <w:r w:rsidRPr="00832C82">
        <w:rPr>
          <w:rFonts w:ascii="Cambria" w:hAnsi="Cambria" w:cs="Arial"/>
          <w:sz w:val="24"/>
          <w:szCs w:val="24"/>
        </w:rPr>
        <w:t>review of</w:t>
      </w:r>
      <w:proofErr w:type="gramEnd"/>
      <w:r w:rsidRPr="00832C82">
        <w:rPr>
          <w:rFonts w:ascii="Cambria" w:hAnsi="Cambria" w:cs="Arial"/>
          <w:sz w:val="24"/>
          <w:szCs w:val="24"/>
        </w:rPr>
        <w:t xml:space="preserve"> the company</w:t>
      </w:r>
      <w:r w:rsidR="001D14A6" w:rsidRPr="00832C82">
        <w:rPr>
          <w:rFonts w:ascii="Cambria" w:hAnsi="Cambria" w:cs="Arial"/>
          <w:sz w:val="24"/>
          <w:szCs w:val="24"/>
        </w:rPr>
        <w:t>’s</w:t>
      </w:r>
      <w:r w:rsidRPr="00832C82">
        <w:rPr>
          <w:rFonts w:ascii="Cambria" w:hAnsi="Cambria" w:cs="Arial"/>
          <w:sz w:val="24"/>
          <w:szCs w:val="24"/>
        </w:rPr>
        <w:t xml:space="preserve"> accounts for themselves by way of independent advisers. That would have enabled them properly </w:t>
      </w:r>
      <w:r w:rsidR="00832C82" w:rsidRPr="00832C82">
        <w:rPr>
          <w:rFonts w:ascii="Cambria" w:hAnsi="Cambria" w:cs="Arial"/>
          <w:sz w:val="24"/>
          <w:szCs w:val="24"/>
        </w:rPr>
        <w:t xml:space="preserve">to </w:t>
      </w:r>
      <w:r w:rsidRPr="00832C82">
        <w:rPr>
          <w:rFonts w:ascii="Cambria" w:hAnsi="Cambria" w:cs="Arial"/>
          <w:sz w:val="24"/>
          <w:szCs w:val="24"/>
        </w:rPr>
        <w:t>assess the financial position of the debtor from the beginning of the crisis</w:t>
      </w:r>
      <w:r w:rsidR="00832C82" w:rsidRPr="00832C82">
        <w:rPr>
          <w:rFonts w:ascii="Cambria" w:hAnsi="Cambria" w:cs="Arial"/>
          <w:sz w:val="24"/>
          <w:szCs w:val="24"/>
        </w:rPr>
        <w:t xml:space="preserve">. </w:t>
      </w:r>
      <w:proofErr w:type="gramStart"/>
      <w:r w:rsidR="00832C82" w:rsidRPr="00832C82">
        <w:rPr>
          <w:rFonts w:ascii="Cambria" w:hAnsi="Cambria" w:cs="Arial"/>
          <w:sz w:val="24"/>
          <w:szCs w:val="24"/>
        </w:rPr>
        <w:t>Also</w:t>
      </w:r>
      <w:proofErr w:type="gramEnd"/>
      <w:r w:rsidR="00832C82" w:rsidRPr="00832C82">
        <w:rPr>
          <w:rFonts w:ascii="Cambria" w:hAnsi="Cambria" w:cs="Arial"/>
          <w:sz w:val="24"/>
          <w:szCs w:val="24"/>
        </w:rPr>
        <w:t xml:space="preserve"> to</w:t>
      </w:r>
      <w:r w:rsidRPr="00832C82">
        <w:rPr>
          <w:rFonts w:ascii="Cambria" w:hAnsi="Cambria" w:cs="Arial"/>
          <w:sz w:val="24"/>
          <w:szCs w:val="24"/>
        </w:rPr>
        <w:t xml:space="preserve"> better evaluate management’s proposals. </w:t>
      </w:r>
    </w:p>
    <w:p w14:paraId="345A2998" w14:textId="77777777" w:rsidR="00337CEE" w:rsidRPr="00337CEE" w:rsidRDefault="00337CEE" w:rsidP="00337CEE">
      <w:pPr>
        <w:pStyle w:val="ListParagraph"/>
        <w:rPr>
          <w:rFonts w:ascii="Cambria" w:hAnsi="Cambria" w:cs="Arial"/>
          <w:sz w:val="24"/>
          <w:szCs w:val="24"/>
        </w:rPr>
      </w:pPr>
    </w:p>
    <w:p w14:paraId="30A4560A" w14:textId="2002B7E7" w:rsidR="00337CEE" w:rsidRDefault="00337CEE" w:rsidP="00337CEE">
      <w:pPr>
        <w:pStyle w:val="ListParagraph"/>
        <w:numPr>
          <w:ilvl w:val="0"/>
          <w:numId w:val="5"/>
        </w:numPr>
        <w:tabs>
          <w:tab w:val="left" w:pos="426"/>
        </w:tabs>
        <w:ind w:left="284" w:hanging="284"/>
        <w:jc w:val="both"/>
        <w:rPr>
          <w:rFonts w:ascii="Cambria" w:hAnsi="Cambria" w:cs="Arial"/>
          <w:sz w:val="24"/>
          <w:szCs w:val="24"/>
        </w:rPr>
      </w:pPr>
      <w:r w:rsidRPr="00337CEE">
        <w:rPr>
          <w:rFonts w:ascii="Cambria" w:hAnsi="Cambria" w:cs="Arial"/>
          <w:sz w:val="24"/>
          <w:szCs w:val="24"/>
        </w:rPr>
        <w:t>F</w:t>
      </w:r>
      <w:r w:rsidR="00562CEE" w:rsidRPr="00337CEE">
        <w:rPr>
          <w:rFonts w:ascii="Cambria" w:hAnsi="Cambria" w:cs="Arial"/>
          <w:sz w:val="24"/>
          <w:szCs w:val="24"/>
        </w:rPr>
        <w:t>orbearance of the banks in not</w:t>
      </w:r>
      <w:r w:rsidRPr="00337CEE">
        <w:rPr>
          <w:rFonts w:ascii="Cambria" w:hAnsi="Cambria" w:cs="Arial"/>
          <w:sz w:val="24"/>
          <w:szCs w:val="24"/>
        </w:rPr>
        <w:t xml:space="preserve"> progressing </w:t>
      </w:r>
      <w:r w:rsidR="00562CEE" w:rsidRPr="00337CEE">
        <w:rPr>
          <w:rFonts w:ascii="Cambria" w:hAnsi="Cambria" w:cs="Arial"/>
          <w:sz w:val="24"/>
          <w:szCs w:val="24"/>
        </w:rPr>
        <w:t xml:space="preserve">to formal measures was largely as a result of their view that </w:t>
      </w:r>
      <w:proofErr w:type="gramStart"/>
      <w:r w:rsidRPr="00337CEE">
        <w:rPr>
          <w:rFonts w:ascii="Cambria" w:hAnsi="Cambria" w:cs="Arial"/>
          <w:sz w:val="24"/>
          <w:szCs w:val="24"/>
        </w:rPr>
        <w:t>dong</w:t>
      </w:r>
      <w:proofErr w:type="gramEnd"/>
      <w:r w:rsidRPr="00337CEE">
        <w:rPr>
          <w:rFonts w:ascii="Cambria" w:hAnsi="Cambria" w:cs="Arial"/>
          <w:sz w:val="24"/>
          <w:szCs w:val="24"/>
        </w:rPr>
        <w:t xml:space="preserve"> so</w:t>
      </w:r>
      <w:r w:rsidR="00562CEE" w:rsidRPr="00337CEE">
        <w:rPr>
          <w:rFonts w:ascii="Cambria" w:hAnsi="Cambria" w:cs="Arial"/>
          <w:sz w:val="24"/>
          <w:szCs w:val="24"/>
        </w:rPr>
        <w:t xml:space="preserve"> was the less desirable outcome relative to the restructuring of the group (Principle 6). </w:t>
      </w:r>
    </w:p>
    <w:p w14:paraId="11A773EE" w14:textId="77777777" w:rsidR="00337CEE" w:rsidRPr="00337CEE" w:rsidRDefault="00337CEE" w:rsidP="00337CEE">
      <w:pPr>
        <w:pStyle w:val="ListParagraph"/>
        <w:rPr>
          <w:rFonts w:ascii="Cambria" w:hAnsi="Cambria" w:cs="Arial"/>
          <w:sz w:val="24"/>
          <w:szCs w:val="24"/>
        </w:rPr>
      </w:pPr>
    </w:p>
    <w:p w14:paraId="5F0FFB01" w14:textId="6A0C3FB7" w:rsidR="00D25FF6" w:rsidRPr="00337CEE" w:rsidRDefault="00337CEE" w:rsidP="00337CEE">
      <w:pPr>
        <w:pStyle w:val="ListParagraph"/>
        <w:numPr>
          <w:ilvl w:val="0"/>
          <w:numId w:val="5"/>
        </w:numPr>
        <w:tabs>
          <w:tab w:val="left" w:pos="426"/>
        </w:tabs>
        <w:ind w:left="284" w:hanging="284"/>
        <w:jc w:val="both"/>
        <w:rPr>
          <w:rFonts w:ascii="Cambria" w:hAnsi="Cambria" w:cs="Arial"/>
          <w:sz w:val="24"/>
          <w:szCs w:val="24"/>
        </w:rPr>
      </w:pPr>
      <w:r>
        <w:rPr>
          <w:rFonts w:ascii="Cambria" w:hAnsi="Cambria" w:cs="Arial"/>
          <w:sz w:val="24"/>
          <w:szCs w:val="24"/>
        </w:rPr>
        <w:t xml:space="preserve">Injection of shareholder capital was prevented largely </w:t>
      </w:r>
      <w:proofErr w:type="gramStart"/>
      <w:r w:rsidR="00562CEE" w:rsidRPr="00337CEE">
        <w:rPr>
          <w:rFonts w:ascii="Cambria" w:hAnsi="Cambria" w:cs="Arial"/>
          <w:sz w:val="24"/>
          <w:szCs w:val="24"/>
        </w:rPr>
        <w:t>as a result of</w:t>
      </w:r>
      <w:proofErr w:type="gramEnd"/>
      <w:r w:rsidR="00562CEE" w:rsidRPr="00337CEE">
        <w:rPr>
          <w:rFonts w:ascii="Cambria" w:hAnsi="Cambria" w:cs="Arial"/>
          <w:sz w:val="24"/>
          <w:szCs w:val="24"/>
        </w:rPr>
        <w:t xml:space="preserve"> reluctance on the part of the banks to sign a standstill agreement. Even if the shareholder</w:t>
      </w:r>
      <w:r w:rsidR="00F06FB5" w:rsidRPr="00337CEE">
        <w:rPr>
          <w:rFonts w:ascii="Cambria" w:hAnsi="Cambria" w:cs="Arial"/>
          <w:sz w:val="24"/>
          <w:szCs w:val="24"/>
        </w:rPr>
        <w:t xml:space="preserve"> </w:t>
      </w:r>
      <w:r>
        <w:rPr>
          <w:rFonts w:ascii="Cambria" w:hAnsi="Cambria" w:cs="Arial"/>
          <w:sz w:val="24"/>
          <w:szCs w:val="24"/>
        </w:rPr>
        <w:t xml:space="preserve">has </w:t>
      </w:r>
      <w:proofErr w:type="gramStart"/>
      <w:r>
        <w:rPr>
          <w:rFonts w:ascii="Cambria" w:hAnsi="Cambria" w:cs="Arial"/>
          <w:sz w:val="24"/>
          <w:szCs w:val="24"/>
        </w:rPr>
        <w:t xml:space="preserve">injected </w:t>
      </w:r>
      <w:r w:rsidR="00562CEE" w:rsidRPr="00337CEE">
        <w:rPr>
          <w:rFonts w:ascii="Cambria" w:hAnsi="Cambria" w:cs="Arial"/>
          <w:sz w:val="24"/>
          <w:szCs w:val="24"/>
        </w:rPr>
        <w:t xml:space="preserve"> </w:t>
      </w:r>
      <w:r>
        <w:rPr>
          <w:rFonts w:ascii="Cambria" w:hAnsi="Cambria" w:cs="Arial"/>
          <w:sz w:val="24"/>
          <w:szCs w:val="24"/>
        </w:rPr>
        <w:t>further</w:t>
      </w:r>
      <w:proofErr w:type="gramEnd"/>
      <w:r>
        <w:rPr>
          <w:rFonts w:ascii="Cambria" w:hAnsi="Cambria" w:cs="Arial"/>
          <w:sz w:val="24"/>
          <w:szCs w:val="24"/>
        </w:rPr>
        <w:t xml:space="preserve"> capital, then </w:t>
      </w:r>
      <w:r w:rsidR="00562CEE" w:rsidRPr="00337CEE">
        <w:rPr>
          <w:rFonts w:ascii="Cambria" w:hAnsi="Cambria" w:cs="Arial"/>
          <w:sz w:val="24"/>
          <w:szCs w:val="24"/>
        </w:rPr>
        <w:t>there w</w:t>
      </w:r>
      <w:r>
        <w:rPr>
          <w:rFonts w:ascii="Cambria" w:hAnsi="Cambria" w:cs="Arial"/>
          <w:sz w:val="24"/>
          <w:szCs w:val="24"/>
        </w:rPr>
        <w:t xml:space="preserve">ould have been </w:t>
      </w:r>
      <w:r w:rsidR="00562CEE" w:rsidRPr="00337CEE">
        <w:rPr>
          <w:rFonts w:ascii="Cambria" w:hAnsi="Cambria" w:cs="Arial"/>
          <w:sz w:val="24"/>
          <w:szCs w:val="24"/>
        </w:rPr>
        <w:t xml:space="preserve">nothing for the relevant creditors to be wary of </w:t>
      </w:r>
      <w:r>
        <w:rPr>
          <w:rFonts w:ascii="Cambria" w:hAnsi="Cambria" w:cs="Arial"/>
          <w:sz w:val="24"/>
          <w:szCs w:val="24"/>
        </w:rPr>
        <w:t>by that happening. T</w:t>
      </w:r>
      <w:r w:rsidR="00562CEE" w:rsidRPr="00337CEE">
        <w:rPr>
          <w:rFonts w:ascii="Cambria" w:hAnsi="Cambria" w:cs="Arial"/>
          <w:sz w:val="24"/>
          <w:szCs w:val="24"/>
        </w:rPr>
        <w:t xml:space="preserve">heir pledges on the company’s assets would have meant that their recoverability would not have been prejudiced (Principle 8). </w:t>
      </w:r>
    </w:p>
    <w:p w14:paraId="267C910A" w14:textId="77777777" w:rsidR="00337CEE" w:rsidRDefault="00337CEE" w:rsidP="002E164D">
      <w:pPr>
        <w:tabs>
          <w:tab w:val="left" w:pos="426"/>
        </w:tabs>
        <w:jc w:val="both"/>
        <w:rPr>
          <w:rFonts w:ascii="Cambria" w:hAnsi="Cambria" w:cs="Arial"/>
          <w:b/>
          <w:bCs/>
          <w:sz w:val="24"/>
          <w:szCs w:val="24"/>
        </w:rPr>
      </w:pPr>
    </w:p>
    <w:p w14:paraId="6E043840" w14:textId="6E895B32" w:rsidR="002E164D" w:rsidRPr="007A3EF0" w:rsidRDefault="002E164D" w:rsidP="002E164D">
      <w:pPr>
        <w:tabs>
          <w:tab w:val="left" w:pos="426"/>
        </w:tabs>
        <w:jc w:val="both"/>
        <w:rPr>
          <w:rFonts w:ascii="Cambria" w:hAnsi="Cambria" w:cs="Arial"/>
          <w:b/>
          <w:bCs/>
          <w:sz w:val="24"/>
          <w:szCs w:val="24"/>
        </w:rPr>
      </w:pPr>
      <w:r w:rsidRPr="007A3EF0">
        <w:rPr>
          <w:rFonts w:ascii="Cambria" w:hAnsi="Cambria" w:cs="Arial"/>
          <w:b/>
          <w:bCs/>
          <w:sz w:val="24"/>
          <w:szCs w:val="24"/>
        </w:rPr>
        <w:t>Question 6</w:t>
      </w:r>
    </w:p>
    <w:p w14:paraId="65BB3703" w14:textId="7E5A9B70" w:rsidR="002E164D" w:rsidRDefault="00337CEE" w:rsidP="002E164D">
      <w:pPr>
        <w:pStyle w:val="ListParagraph"/>
        <w:tabs>
          <w:tab w:val="left" w:pos="426"/>
        </w:tabs>
        <w:ind w:left="284"/>
        <w:jc w:val="both"/>
        <w:rPr>
          <w:rFonts w:ascii="Cambria" w:hAnsi="Cambria" w:cs="Arial"/>
          <w:sz w:val="24"/>
          <w:szCs w:val="24"/>
        </w:rPr>
      </w:pPr>
      <w:r w:rsidRPr="00337CEE">
        <w:rPr>
          <w:rFonts w:ascii="Cambria" w:hAnsi="Cambria" w:cs="Arial"/>
          <w:sz w:val="24"/>
          <w:szCs w:val="24"/>
        </w:rPr>
        <w:drawing>
          <wp:inline distT="0" distB="0" distL="0" distR="0" wp14:anchorId="750A2047" wp14:editId="20854918">
            <wp:extent cx="5382376" cy="666843"/>
            <wp:effectExtent l="0" t="0" r="8890" b="0"/>
            <wp:docPr id="1002171239"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171239" name="Picture 1" descr="Text&#10;&#10;Description automatically generated"/>
                    <pic:cNvPicPr/>
                  </pic:nvPicPr>
                  <pic:blipFill>
                    <a:blip r:embed="rId13"/>
                    <a:stretch>
                      <a:fillRect/>
                    </a:stretch>
                  </pic:blipFill>
                  <pic:spPr>
                    <a:xfrm>
                      <a:off x="0" y="0"/>
                      <a:ext cx="5382376" cy="666843"/>
                    </a:xfrm>
                    <a:prstGeom prst="rect">
                      <a:avLst/>
                    </a:prstGeom>
                  </pic:spPr>
                </pic:pic>
              </a:graphicData>
            </a:graphic>
          </wp:inline>
        </w:drawing>
      </w:r>
    </w:p>
    <w:p w14:paraId="42A23386" w14:textId="77777777" w:rsidR="00337CEE" w:rsidRDefault="00337CEE" w:rsidP="002E164D">
      <w:pPr>
        <w:pStyle w:val="ListParagraph"/>
        <w:tabs>
          <w:tab w:val="left" w:pos="426"/>
        </w:tabs>
        <w:ind w:left="284"/>
        <w:jc w:val="both"/>
        <w:rPr>
          <w:rFonts w:ascii="Cambria" w:hAnsi="Cambria" w:cs="Arial"/>
          <w:sz w:val="24"/>
          <w:szCs w:val="24"/>
        </w:rPr>
      </w:pPr>
    </w:p>
    <w:p w14:paraId="62677560" w14:textId="24F9ABAA" w:rsidR="00CC343D" w:rsidRDefault="00CC343D" w:rsidP="002E164D">
      <w:pPr>
        <w:pStyle w:val="ListParagraph"/>
        <w:tabs>
          <w:tab w:val="left" w:pos="426"/>
        </w:tabs>
        <w:ind w:left="284"/>
        <w:jc w:val="both"/>
        <w:rPr>
          <w:rFonts w:ascii="Cambria" w:hAnsi="Cambria" w:cs="Arial"/>
          <w:i/>
          <w:iCs/>
          <w:sz w:val="24"/>
          <w:szCs w:val="24"/>
        </w:rPr>
      </w:pPr>
      <w:r>
        <w:rPr>
          <w:rFonts w:ascii="Cambria" w:hAnsi="Cambria" w:cs="Arial"/>
          <w:i/>
          <w:iCs/>
          <w:sz w:val="24"/>
          <w:szCs w:val="24"/>
        </w:rPr>
        <w:t>Summary answer: to the extent possible, remove unwilling recalcitrant creditors.</w:t>
      </w:r>
    </w:p>
    <w:p w14:paraId="169A20EC" w14:textId="77777777" w:rsidR="00CC343D" w:rsidRPr="00CC343D" w:rsidRDefault="00CC343D" w:rsidP="002E164D">
      <w:pPr>
        <w:pStyle w:val="ListParagraph"/>
        <w:tabs>
          <w:tab w:val="left" w:pos="426"/>
        </w:tabs>
        <w:ind w:left="284"/>
        <w:jc w:val="both"/>
        <w:rPr>
          <w:rFonts w:ascii="Cambria" w:hAnsi="Cambria" w:cs="Arial"/>
          <w:i/>
          <w:iCs/>
          <w:sz w:val="24"/>
          <w:szCs w:val="24"/>
        </w:rPr>
      </w:pPr>
    </w:p>
    <w:p w14:paraId="1740C3C4" w14:textId="415DFF36" w:rsidR="002E164D" w:rsidRPr="00337CEE" w:rsidRDefault="002E164D" w:rsidP="002E164D">
      <w:pPr>
        <w:pStyle w:val="ListParagraph"/>
        <w:numPr>
          <w:ilvl w:val="0"/>
          <w:numId w:val="5"/>
        </w:numPr>
        <w:tabs>
          <w:tab w:val="left" w:pos="426"/>
        </w:tabs>
        <w:ind w:left="284" w:hanging="284"/>
        <w:jc w:val="both"/>
        <w:rPr>
          <w:rFonts w:ascii="Cambria" w:hAnsi="Cambria" w:cs="Arial"/>
          <w:b/>
          <w:bCs/>
          <w:sz w:val="24"/>
          <w:szCs w:val="24"/>
        </w:rPr>
      </w:pPr>
      <w:r w:rsidRPr="00337CEE">
        <w:rPr>
          <w:rFonts w:ascii="Cambria" w:hAnsi="Cambria" w:cs="Arial"/>
          <w:b/>
          <w:bCs/>
          <w:sz w:val="24"/>
          <w:szCs w:val="24"/>
        </w:rPr>
        <w:t xml:space="preserve"> </w:t>
      </w:r>
      <w:r w:rsidR="00D40BC5" w:rsidRPr="00337CEE">
        <w:rPr>
          <w:rFonts w:ascii="Cambria" w:hAnsi="Cambria" w:cs="Arial"/>
          <w:sz w:val="24"/>
          <w:szCs w:val="24"/>
        </w:rPr>
        <w:t xml:space="preserve">If creditors are unwilling to adopt the Statement of </w:t>
      </w:r>
      <w:proofErr w:type="gramStart"/>
      <w:r w:rsidR="00D40BC5" w:rsidRPr="00337CEE">
        <w:rPr>
          <w:rFonts w:ascii="Cambria" w:hAnsi="Cambria" w:cs="Arial"/>
          <w:sz w:val="24"/>
          <w:szCs w:val="24"/>
        </w:rPr>
        <w:t>Principles</w:t>
      </w:r>
      <w:proofErr w:type="gramEnd"/>
      <w:r w:rsidR="00D40BC5" w:rsidRPr="00337CEE">
        <w:rPr>
          <w:rFonts w:ascii="Cambria" w:hAnsi="Cambria" w:cs="Arial"/>
          <w:sz w:val="24"/>
          <w:szCs w:val="24"/>
        </w:rPr>
        <w:t xml:space="preserve"> </w:t>
      </w:r>
      <w:r w:rsidR="00337CEE" w:rsidRPr="00337CEE">
        <w:rPr>
          <w:rFonts w:ascii="Cambria" w:hAnsi="Cambria" w:cs="Arial"/>
          <w:sz w:val="24"/>
          <w:szCs w:val="24"/>
        </w:rPr>
        <w:t xml:space="preserve">then the prospects of them </w:t>
      </w:r>
      <w:r w:rsidR="00D40BC5" w:rsidRPr="00337CEE">
        <w:rPr>
          <w:rFonts w:ascii="Cambria" w:hAnsi="Cambria" w:cs="Arial"/>
          <w:sz w:val="24"/>
          <w:szCs w:val="24"/>
        </w:rPr>
        <w:t>adopt</w:t>
      </w:r>
      <w:r w:rsidR="00337CEE" w:rsidRPr="00337CEE">
        <w:rPr>
          <w:rFonts w:ascii="Cambria" w:hAnsi="Cambria" w:cs="Arial"/>
          <w:sz w:val="24"/>
          <w:szCs w:val="24"/>
        </w:rPr>
        <w:t>ing</w:t>
      </w:r>
      <w:r w:rsidR="00D40BC5" w:rsidRPr="00337CEE">
        <w:rPr>
          <w:rFonts w:ascii="Cambria" w:hAnsi="Cambria" w:cs="Arial"/>
          <w:sz w:val="24"/>
          <w:szCs w:val="24"/>
        </w:rPr>
        <w:t xml:space="preserve"> any other form of “soft law”</w:t>
      </w:r>
      <w:r w:rsidR="00337CEE" w:rsidRPr="00337CEE">
        <w:rPr>
          <w:rFonts w:ascii="Cambria" w:hAnsi="Cambria" w:cs="Arial"/>
          <w:sz w:val="24"/>
          <w:szCs w:val="24"/>
        </w:rPr>
        <w:t xml:space="preserve"> seem low</w:t>
      </w:r>
      <w:r w:rsidR="00D40BC5" w:rsidRPr="00337CEE">
        <w:rPr>
          <w:rFonts w:ascii="Cambria" w:hAnsi="Cambria" w:cs="Arial"/>
          <w:sz w:val="24"/>
          <w:szCs w:val="24"/>
        </w:rPr>
        <w:t xml:space="preserve">.  </w:t>
      </w:r>
    </w:p>
    <w:p w14:paraId="054E2CAA" w14:textId="77777777" w:rsidR="00337CEE" w:rsidRPr="00337CEE" w:rsidRDefault="00337CEE" w:rsidP="00337CEE">
      <w:pPr>
        <w:pStyle w:val="ListParagraph"/>
        <w:tabs>
          <w:tab w:val="left" w:pos="426"/>
        </w:tabs>
        <w:ind w:left="284"/>
        <w:jc w:val="both"/>
        <w:rPr>
          <w:rFonts w:ascii="Cambria" w:hAnsi="Cambria" w:cs="Arial"/>
          <w:b/>
          <w:bCs/>
          <w:sz w:val="24"/>
          <w:szCs w:val="24"/>
        </w:rPr>
      </w:pPr>
    </w:p>
    <w:p w14:paraId="51F81F78" w14:textId="1D6497E7" w:rsidR="002E164D" w:rsidRDefault="00337CEE" w:rsidP="00337CEE">
      <w:pPr>
        <w:pStyle w:val="ListParagraph"/>
        <w:numPr>
          <w:ilvl w:val="0"/>
          <w:numId w:val="5"/>
        </w:numPr>
        <w:tabs>
          <w:tab w:val="left" w:pos="426"/>
        </w:tabs>
        <w:ind w:left="284" w:hanging="284"/>
        <w:jc w:val="both"/>
        <w:rPr>
          <w:rFonts w:ascii="Cambria" w:hAnsi="Cambria" w:cs="Arial"/>
          <w:sz w:val="24"/>
          <w:szCs w:val="24"/>
        </w:rPr>
      </w:pPr>
      <w:r>
        <w:rPr>
          <w:rFonts w:ascii="Cambria" w:hAnsi="Cambria" w:cs="Arial"/>
          <w:sz w:val="24"/>
          <w:szCs w:val="24"/>
        </w:rPr>
        <w:t>T</w:t>
      </w:r>
      <w:r w:rsidR="00D40BC5" w:rsidRPr="007A3EF0">
        <w:rPr>
          <w:rFonts w:ascii="Cambria" w:hAnsi="Cambria" w:cs="Arial"/>
          <w:sz w:val="24"/>
          <w:szCs w:val="24"/>
        </w:rPr>
        <w:t xml:space="preserve">here are soft law </w:t>
      </w:r>
      <w:r>
        <w:rPr>
          <w:rFonts w:ascii="Cambria" w:hAnsi="Cambria" w:cs="Arial"/>
          <w:sz w:val="24"/>
          <w:szCs w:val="24"/>
        </w:rPr>
        <w:t xml:space="preserve">insolvency / restructuring </w:t>
      </w:r>
      <w:r w:rsidR="00D40BC5" w:rsidRPr="007A3EF0">
        <w:rPr>
          <w:rFonts w:ascii="Cambria" w:hAnsi="Cambria" w:cs="Arial"/>
          <w:sz w:val="24"/>
          <w:szCs w:val="24"/>
        </w:rPr>
        <w:t>approaches developed in the Turks and Caicos Islands</w:t>
      </w:r>
      <w:r>
        <w:rPr>
          <w:rFonts w:ascii="Cambria" w:hAnsi="Cambria" w:cs="Arial"/>
          <w:sz w:val="24"/>
          <w:szCs w:val="24"/>
        </w:rPr>
        <w:t>.</w:t>
      </w:r>
      <w:r w:rsidR="00D40BC5" w:rsidRPr="007A3EF0">
        <w:rPr>
          <w:rFonts w:ascii="Cambria" w:hAnsi="Cambria" w:cs="Arial"/>
          <w:sz w:val="24"/>
          <w:szCs w:val="24"/>
        </w:rPr>
        <w:t xml:space="preserve"> </w:t>
      </w:r>
    </w:p>
    <w:p w14:paraId="67F97C0F" w14:textId="77777777" w:rsidR="00337CEE" w:rsidRPr="00337CEE" w:rsidRDefault="00337CEE" w:rsidP="00337CEE">
      <w:pPr>
        <w:pStyle w:val="ListParagraph"/>
        <w:rPr>
          <w:rFonts w:ascii="Cambria" w:hAnsi="Cambria" w:cs="Arial"/>
          <w:sz w:val="24"/>
          <w:szCs w:val="24"/>
        </w:rPr>
      </w:pPr>
    </w:p>
    <w:p w14:paraId="03EA399C" w14:textId="52B8A897" w:rsidR="00D40BC5" w:rsidRPr="00337CEE" w:rsidRDefault="00337CEE" w:rsidP="00337CEE">
      <w:pPr>
        <w:pStyle w:val="ListParagraph"/>
        <w:numPr>
          <w:ilvl w:val="0"/>
          <w:numId w:val="5"/>
        </w:numPr>
        <w:tabs>
          <w:tab w:val="left" w:pos="426"/>
        </w:tabs>
        <w:ind w:left="284" w:hanging="284"/>
        <w:jc w:val="both"/>
        <w:rPr>
          <w:rFonts w:ascii="Cambria" w:hAnsi="Cambria" w:cs="Arial"/>
          <w:sz w:val="24"/>
          <w:szCs w:val="24"/>
        </w:rPr>
      </w:pPr>
      <w:r>
        <w:rPr>
          <w:rFonts w:ascii="Cambria" w:hAnsi="Cambria" w:cs="Arial"/>
          <w:sz w:val="24"/>
          <w:szCs w:val="24"/>
        </w:rPr>
        <w:t xml:space="preserve">Key to the advice for </w:t>
      </w:r>
      <w:r w:rsidR="00D40BC5" w:rsidRPr="00337CEE">
        <w:rPr>
          <w:rFonts w:ascii="Cambria" w:hAnsi="Cambria" w:cs="Arial"/>
          <w:sz w:val="24"/>
          <w:szCs w:val="24"/>
        </w:rPr>
        <w:t>creditors C-D is that cooperation and coordination among</w:t>
      </w:r>
      <w:r>
        <w:rPr>
          <w:rFonts w:ascii="Cambria" w:hAnsi="Cambria" w:cs="Arial"/>
          <w:sz w:val="24"/>
          <w:szCs w:val="24"/>
        </w:rPr>
        <w:t>st</w:t>
      </w:r>
      <w:r w:rsidR="00D40BC5" w:rsidRPr="00337CEE">
        <w:rPr>
          <w:rFonts w:ascii="Cambria" w:hAnsi="Cambria" w:cs="Arial"/>
          <w:sz w:val="24"/>
          <w:szCs w:val="24"/>
        </w:rPr>
        <w:t xml:space="preserve"> the</w:t>
      </w:r>
      <w:r w:rsidR="002E164D" w:rsidRPr="00337CEE">
        <w:rPr>
          <w:rFonts w:ascii="Cambria" w:hAnsi="Cambria" w:cs="Arial"/>
          <w:sz w:val="24"/>
          <w:szCs w:val="24"/>
        </w:rPr>
        <w:t xml:space="preserve">m </w:t>
      </w:r>
      <w:r w:rsidR="00D40BC5" w:rsidRPr="00337CEE">
        <w:rPr>
          <w:rFonts w:ascii="Cambria" w:hAnsi="Cambria" w:cs="Arial"/>
          <w:sz w:val="24"/>
          <w:szCs w:val="24"/>
        </w:rPr>
        <w:t xml:space="preserve">and with management is necessary </w:t>
      </w:r>
      <w:proofErr w:type="gramStart"/>
      <w:r>
        <w:rPr>
          <w:rFonts w:ascii="Cambria" w:hAnsi="Cambria" w:cs="Arial"/>
          <w:sz w:val="24"/>
          <w:szCs w:val="24"/>
        </w:rPr>
        <w:t>so as to</w:t>
      </w:r>
      <w:proofErr w:type="gramEnd"/>
      <w:r>
        <w:rPr>
          <w:rFonts w:ascii="Cambria" w:hAnsi="Cambria" w:cs="Arial"/>
          <w:sz w:val="24"/>
          <w:szCs w:val="24"/>
        </w:rPr>
        <w:t xml:space="preserve"> bring </w:t>
      </w:r>
      <w:proofErr w:type="gramStart"/>
      <w:r>
        <w:rPr>
          <w:rFonts w:ascii="Cambria" w:hAnsi="Cambria" w:cs="Arial"/>
          <w:sz w:val="24"/>
          <w:szCs w:val="24"/>
        </w:rPr>
        <w:t xml:space="preserve">about </w:t>
      </w:r>
      <w:r w:rsidR="00D40BC5" w:rsidRPr="00337CEE">
        <w:rPr>
          <w:rFonts w:ascii="Cambria" w:hAnsi="Cambria" w:cs="Arial"/>
          <w:sz w:val="24"/>
          <w:szCs w:val="24"/>
        </w:rPr>
        <w:t>to</w:t>
      </w:r>
      <w:proofErr w:type="gramEnd"/>
      <w:r>
        <w:rPr>
          <w:rFonts w:ascii="Cambria" w:hAnsi="Cambria" w:cs="Arial"/>
          <w:sz w:val="24"/>
          <w:szCs w:val="24"/>
        </w:rPr>
        <w:t xml:space="preserve"> </w:t>
      </w:r>
      <w:r w:rsidR="00D40BC5" w:rsidRPr="00337CEE">
        <w:rPr>
          <w:rFonts w:ascii="Cambria" w:hAnsi="Cambria" w:cs="Arial"/>
          <w:sz w:val="24"/>
          <w:szCs w:val="24"/>
        </w:rPr>
        <w:t xml:space="preserve">an informal </w:t>
      </w:r>
      <w:r>
        <w:rPr>
          <w:rFonts w:ascii="Cambria" w:hAnsi="Cambria" w:cs="Arial"/>
          <w:sz w:val="24"/>
          <w:szCs w:val="24"/>
        </w:rPr>
        <w:t>reorganization.</w:t>
      </w:r>
      <w:r w:rsidR="00D40BC5" w:rsidRPr="00337CEE">
        <w:rPr>
          <w:rFonts w:ascii="Cambria" w:hAnsi="Cambria" w:cs="Arial"/>
          <w:sz w:val="24"/>
          <w:szCs w:val="24"/>
        </w:rPr>
        <w:t xml:space="preserve"> </w:t>
      </w:r>
      <w:proofErr w:type="spellStart"/>
      <w:r w:rsidR="00D40BC5" w:rsidRPr="00337CEE">
        <w:rPr>
          <w:rFonts w:ascii="Cambria" w:hAnsi="Cambria" w:cs="Arial"/>
          <w:sz w:val="24"/>
          <w:szCs w:val="24"/>
        </w:rPr>
        <w:t>a</w:t>
      </w:r>
      <w:proofErr w:type="spellEnd"/>
      <w:r w:rsidR="00D40BC5" w:rsidRPr="00337CEE">
        <w:rPr>
          <w:rFonts w:ascii="Cambria" w:hAnsi="Cambria" w:cs="Arial"/>
          <w:sz w:val="24"/>
          <w:szCs w:val="24"/>
        </w:rPr>
        <w:t xml:space="preserve"> </w:t>
      </w:r>
      <w:r w:rsidR="00CC343D">
        <w:rPr>
          <w:rFonts w:ascii="Cambria" w:hAnsi="Cambria" w:cs="Arial"/>
          <w:sz w:val="24"/>
          <w:szCs w:val="24"/>
        </w:rPr>
        <w:t xml:space="preserve">Where a </w:t>
      </w:r>
      <w:r w:rsidR="00D40BC5" w:rsidRPr="00337CEE">
        <w:rPr>
          <w:rFonts w:ascii="Cambria" w:hAnsi="Cambria" w:cs="Arial"/>
          <w:sz w:val="24"/>
          <w:szCs w:val="24"/>
        </w:rPr>
        <w:t>creditor still does not want to co</w:t>
      </w:r>
      <w:r w:rsidR="00CC343D">
        <w:rPr>
          <w:rFonts w:ascii="Cambria" w:hAnsi="Cambria" w:cs="Arial"/>
          <w:sz w:val="24"/>
          <w:szCs w:val="24"/>
        </w:rPr>
        <w:t>-</w:t>
      </w:r>
      <w:r w:rsidR="00D40BC5" w:rsidRPr="00337CEE">
        <w:rPr>
          <w:rFonts w:ascii="Cambria" w:hAnsi="Cambria" w:cs="Arial"/>
          <w:sz w:val="24"/>
          <w:szCs w:val="24"/>
        </w:rPr>
        <w:t xml:space="preserve">operate, for example, </w:t>
      </w:r>
      <w:r w:rsidR="00CC343D">
        <w:rPr>
          <w:rFonts w:ascii="Cambria" w:hAnsi="Cambria" w:cs="Arial"/>
          <w:sz w:val="24"/>
          <w:szCs w:val="24"/>
        </w:rPr>
        <w:t>then if they can be removed that would be best:</w:t>
      </w:r>
      <w:r w:rsidR="00D40BC5" w:rsidRPr="00337CEE">
        <w:rPr>
          <w:rFonts w:ascii="Cambria" w:hAnsi="Cambria" w:cs="Arial"/>
          <w:sz w:val="24"/>
          <w:szCs w:val="24"/>
        </w:rPr>
        <w:t xml:space="preserve"> </w:t>
      </w:r>
      <w:r w:rsidR="00CC343D">
        <w:rPr>
          <w:rFonts w:ascii="Cambria" w:hAnsi="Cambria" w:cs="Arial"/>
          <w:sz w:val="24"/>
          <w:szCs w:val="24"/>
        </w:rPr>
        <w:t>t</w:t>
      </w:r>
      <w:r w:rsidR="00D40BC5" w:rsidRPr="00337CEE">
        <w:rPr>
          <w:rFonts w:ascii="Cambria" w:hAnsi="Cambria" w:cs="Arial"/>
          <w:sz w:val="24"/>
          <w:szCs w:val="24"/>
        </w:rPr>
        <w:t xml:space="preserve">hat </w:t>
      </w:r>
      <w:r w:rsidR="00CC343D">
        <w:rPr>
          <w:rFonts w:ascii="Cambria" w:hAnsi="Cambria" w:cs="Arial"/>
          <w:sz w:val="24"/>
          <w:szCs w:val="24"/>
        </w:rPr>
        <w:t>being</w:t>
      </w:r>
      <w:r w:rsidR="00D40BC5" w:rsidRPr="00337CEE">
        <w:rPr>
          <w:rFonts w:ascii="Cambria" w:hAnsi="Cambria" w:cs="Arial"/>
          <w:sz w:val="24"/>
          <w:szCs w:val="24"/>
        </w:rPr>
        <w:t xml:space="preserve"> the effect of the proposal of banks A-B to </w:t>
      </w:r>
      <w:proofErr w:type="gramStart"/>
      <w:r w:rsidR="00D40BC5" w:rsidRPr="00337CEE">
        <w:rPr>
          <w:rFonts w:ascii="Cambria" w:hAnsi="Cambria" w:cs="Arial"/>
          <w:sz w:val="24"/>
          <w:szCs w:val="24"/>
        </w:rPr>
        <w:t>buyout</w:t>
      </w:r>
      <w:proofErr w:type="gramEnd"/>
      <w:r w:rsidR="00D40BC5" w:rsidRPr="00337CEE">
        <w:rPr>
          <w:rFonts w:ascii="Cambria" w:hAnsi="Cambria" w:cs="Arial"/>
          <w:sz w:val="24"/>
          <w:szCs w:val="24"/>
        </w:rPr>
        <w:t xml:space="preserve"> the debts of banks C-D. In doing so, Banks C-D could no longer negatively impact the process of </w:t>
      </w:r>
      <w:proofErr w:type="spellStart"/>
      <w:r w:rsidR="00D40BC5" w:rsidRPr="00337CEE">
        <w:rPr>
          <w:rFonts w:ascii="Cambria" w:hAnsi="Cambria" w:cs="Arial"/>
          <w:sz w:val="24"/>
          <w:szCs w:val="24"/>
        </w:rPr>
        <w:t>formali</w:t>
      </w:r>
      <w:r w:rsidR="00CC343D">
        <w:rPr>
          <w:rFonts w:ascii="Cambria" w:hAnsi="Cambria" w:cs="Arial"/>
          <w:sz w:val="24"/>
          <w:szCs w:val="24"/>
        </w:rPr>
        <w:t>s</w:t>
      </w:r>
      <w:r w:rsidR="00D40BC5" w:rsidRPr="00337CEE">
        <w:rPr>
          <w:rFonts w:ascii="Cambria" w:hAnsi="Cambria" w:cs="Arial"/>
          <w:sz w:val="24"/>
          <w:szCs w:val="24"/>
        </w:rPr>
        <w:t>ing</w:t>
      </w:r>
      <w:proofErr w:type="spellEnd"/>
      <w:r w:rsidR="00D40BC5" w:rsidRPr="00337CEE">
        <w:rPr>
          <w:rFonts w:ascii="Cambria" w:hAnsi="Cambria" w:cs="Arial"/>
          <w:sz w:val="24"/>
          <w:szCs w:val="24"/>
        </w:rPr>
        <w:t xml:space="preserve"> a standstill agreement</w:t>
      </w:r>
      <w:r w:rsidR="00CC343D">
        <w:rPr>
          <w:rFonts w:ascii="Cambria" w:hAnsi="Cambria" w:cs="Arial"/>
          <w:sz w:val="24"/>
          <w:szCs w:val="24"/>
        </w:rPr>
        <w:t>.</w:t>
      </w:r>
    </w:p>
    <w:p w14:paraId="0A73F687" w14:textId="77777777" w:rsidR="002351F9" w:rsidRPr="007A3EF0" w:rsidRDefault="002351F9" w:rsidP="002351F9">
      <w:pPr>
        <w:pStyle w:val="ListParagraph"/>
        <w:rPr>
          <w:rFonts w:ascii="Cambria" w:hAnsi="Cambria" w:cs="Arial"/>
          <w:sz w:val="24"/>
          <w:szCs w:val="24"/>
        </w:rPr>
      </w:pPr>
    </w:p>
    <w:p w14:paraId="67538721" w14:textId="7E66736E" w:rsidR="002351F9" w:rsidRDefault="002351F9" w:rsidP="002351F9">
      <w:pPr>
        <w:tabs>
          <w:tab w:val="left" w:pos="426"/>
        </w:tabs>
        <w:jc w:val="both"/>
        <w:rPr>
          <w:rFonts w:ascii="Cambria" w:hAnsi="Cambria" w:cs="Arial"/>
          <w:b/>
          <w:bCs/>
          <w:sz w:val="24"/>
          <w:szCs w:val="24"/>
        </w:rPr>
      </w:pPr>
      <w:r w:rsidRPr="007A3EF0">
        <w:rPr>
          <w:rFonts w:ascii="Cambria" w:hAnsi="Cambria" w:cs="Arial"/>
          <w:b/>
          <w:bCs/>
          <w:sz w:val="24"/>
          <w:szCs w:val="24"/>
        </w:rPr>
        <w:t>Question 7</w:t>
      </w:r>
    </w:p>
    <w:p w14:paraId="5978805A" w14:textId="3C454163" w:rsidR="00CC343D" w:rsidRDefault="00CC343D" w:rsidP="002351F9">
      <w:pPr>
        <w:tabs>
          <w:tab w:val="left" w:pos="426"/>
        </w:tabs>
        <w:jc w:val="both"/>
        <w:rPr>
          <w:rFonts w:ascii="Cambria" w:hAnsi="Cambria" w:cs="Arial"/>
          <w:b/>
          <w:bCs/>
          <w:sz w:val="24"/>
          <w:szCs w:val="24"/>
        </w:rPr>
      </w:pPr>
      <w:r w:rsidRPr="00CC343D">
        <w:rPr>
          <w:rFonts w:ascii="Cambria" w:hAnsi="Cambria" w:cs="Arial"/>
          <w:b/>
          <w:bCs/>
          <w:sz w:val="24"/>
          <w:szCs w:val="24"/>
        </w:rPr>
        <w:drawing>
          <wp:inline distT="0" distB="0" distL="0" distR="0" wp14:anchorId="47EA5652" wp14:editId="03FE5C16">
            <wp:extent cx="5496692" cy="342948"/>
            <wp:effectExtent l="0" t="0" r="0" b="0"/>
            <wp:docPr id="3406423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642333" name=""/>
                    <pic:cNvPicPr/>
                  </pic:nvPicPr>
                  <pic:blipFill>
                    <a:blip r:embed="rId14"/>
                    <a:stretch>
                      <a:fillRect/>
                    </a:stretch>
                  </pic:blipFill>
                  <pic:spPr>
                    <a:xfrm>
                      <a:off x="0" y="0"/>
                      <a:ext cx="5496692" cy="342948"/>
                    </a:xfrm>
                    <a:prstGeom prst="rect">
                      <a:avLst/>
                    </a:prstGeom>
                  </pic:spPr>
                </pic:pic>
              </a:graphicData>
            </a:graphic>
          </wp:inline>
        </w:drawing>
      </w:r>
    </w:p>
    <w:p w14:paraId="0A6BAB7C" w14:textId="489FAF95" w:rsidR="00CC343D" w:rsidRPr="00CC343D" w:rsidRDefault="00CC343D" w:rsidP="002351F9">
      <w:pPr>
        <w:tabs>
          <w:tab w:val="left" w:pos="426"/>
        </w:tabs>
        <w:jc w:val="both"/>
        <w:rPr>
          <w:rFonts w:ascii="Cambria" w:hAnsi="Cambria" w:cs="Arial"/>
          <w:i/>
          <w:iCs/>
          <w:sz w:val="24"/>
          <w:szCs w:val="24"/>
        </w:rPr>
      </w:pPr>
      <w:r>
        <w:rPr>
          <w:rFonts w:ascii="Cambria" w:hAnsi="Cambria" w:cs="Arial"/>
          <w:i/>
          <w:iCs/>
          <w:sz w:val="24"/>
          <w:szCs w:val="24"/>
        </w:rPr>
        <w:t xml:space="preserve">Summary answer: a new structure, involving debt-for-equity swap and liquidation of Flow. </w:t>
      </w:r>
    </w:p>
    <w:p w14:paraId="743634BA" w14:textId="69DB0185" w:rsidR="002351F9" w:rsidRPr="007A3EF0" w:rsidRDefault="00CC343D" w:rsidP="002351F9">
      <w:pPr>
        <w:pStyle w:val="ListParagraph"/>
        <w:numPr>
          <w:ilvl w:val="0"/>
          <w:numId w:val="5"/>
        </w:numPr>
        <w:tabs>
          <w:tab w:val="left" w:pos="284"/>
        </w:tabs>
        <w:ind w:left="284" w:hanging="284"/>
        <w:rPr>
          <w:rFonts w:ascii="Cambria" w:hAnsi="Cambria" w:cs="Arial"/>
          <w:sz w:val="24"/>
          <w:szCs w:val="24"/>
        </w:rPr>
      </w:pPr>
      <w:r>
        <w:rPr>
          <w:rFonts w:ascii="Cambria" w:hAnsi="Cambria" w:cs="Arial"/>
          <w:sz w:val="24"/>
          <w:szCs w:val="24"/>
        </w:rPr>
        <w:t>T</w:t>
      </w:r>
      <w:r w:rsidR="002351F9" w:rsidRPr="007A3EF0">
        <w:rPr>
          <w:rFonts w:ascii="Cambria" w:hAnsi="Cambria" w:cs="Arial"/>
          <w:sz w:val="24"/>
          <w:szCs w:val="24"/>
        </w:rPr>
        <w:t>he Flow Management group, the shareholder and the group’s creditors entered into a restructuring agreement on 4</w:t>
      </w:r>
      <w:r>
        <w:rPr>
          <w:rFonts w:ascii="Cambria" w:hAnsi="Cambria" w:cs="Arial"/>
          <w:sz w:val="24"/>
          <w:szCs w:val="24"/>
        </w:rPr>
        <w:t>.7.</w:t>
      </w:r>
      <w:r w:rsidR="002351F9" w:rsidRPr="007A3EF0">
        <w:rPr>
          <w:rFonts w:ascii="Cambria" w:hAnsi="Cambria" w:cs="Arial"/>
          <w:sz w:val="24"/>
          <w:szCs w:val="24"/>
        </w:rPr>
        <w:t>2015.</w:t>
      </w:r>
    </w:p>
    <w:p w14:paraId="10483C8E" w14:textId="77777777" w:rsidR="002351F9" w:rsidRPr="007A3EF0" w:rsidRDefault="002351F9" w:rsidP="002351F9">
      <w:pPr>
        <w:pStyle w:val="ListParagraph"/>
        <w:tabs>
          <w:tab w:val="left" w:pos="284"/>
        </w:tabs>
        <w:ind w:left="284"/>
        <w:rPr>
          <w:rFonts w:ascii="Cambria" w:hAnsi="Cambria" w:cs="Arial"/>
          <w:sz w:val="24"/>
          <w:szCs w:val="24"/>
        </w:rPr>
      </w:pPr>
    </w:p>
    <w:p w14:paraId="5E91AE44" w14:textId="1579EA0D" w:rsidR="002351F9" w:rsidRPr="007A3EF0" w:rsidRDefault="002351F9" w:rsidP="002351F9">
      <w:pPr>
        <w:pStyle w:val="ListParagraph"/>
        <w:numPr>
          <w:ilvl w:val="0"/>
          <w:numId w:val="5"/>
        </w:numPr>
        <w:tabs>
          <w:tab w:val="left" w:pos="284"/>
        </w:tabs>
        <w:ind w:left="284" w:hanging="284"/>
        <w:jc w:val="both"/>
        <w:rPr>
          <w:rFonts w:ascii="Cambria" w:hAnsi="Cambria" w:cs="Arial"/>
          <w:sz w:val="24"/>
          <w:szCs w:val="24"/>
        </w:rPr>
      </w:pPr>
      <w:r w:rsidRPr="007A3EF0">
        <w:rPr>
          <w:rFonts w:ascii="Cambria" w:hAnsi="Cambria" w:cs="Arial"/>
          <w:sz w:val="24"/>
          <w:szCs w:val="24"/>
        </w:rPr>
        <w:t>By the agreement a new company, Flow Management II BV, is incorporated to hold the shares of Flow’s subsidiaries (FMW Spain SL, FMW France SPRL, FMW Australia Ltd., FMW South Africa Ltd. and FMW USA Ltd. (“the Subsidiaries”)). Flow Management II BV, which is incorporated initially as a subsidiary of Lease Group Holding United Kingdom Ltd., “the shareholder”, essentially owns the Subsidiaries. The remaining subsidiary company Flow Management Work BV (The Netherlands) is to be liquidated.</w:t>
      </w:r>
    </w:p>
    <w:p w14:paraId="115D1481" w14:textId="77777777" w:rsidR="002351F9" w:rsidRPr="007A3EF0" w:rsidRDefault="002351F9" w:rsidP="002351F9">
      <w:pPr>
        <w:pStyle w:val="ListParagraph"/>
        <w:rPr>
          <w:rFonts w:ascii="Cambria" w:hAnsi="Cambria" w:cs="Arial"/>
          <w:sz w:val="24"/>
          <w:szCs w:val="24"/>
        </w:rPr>
      </w:pPr>
    </w:p>
    <w:p w14:paraId="5AE1E439" w14:textId="77777777" w:rsidR="00CC343D" w:rsidRDefault="002351F9" w:rsidP="002351F9">
      <w:pPr>
        <w:pStyle w:val="ListParagraph"/>
        <w:numPr>
          <w:ilvl w:val="0"/>
          <w:numId w:val="5"/>
        </w:numPr>
        <w:tabs>
          <w:tab w:val="left" w:pos="284"/>
        </w:tabs>
        <w:ind w:left="284" w:hanging="284"/>
        <w:jc w:val="both"/>
        <w:rPr>
          <w:rFonts w:ascii="Cambria" w:hAnsi="Cambria" w:cs="Arial"/>
          <w:sz w:val="24"/>
          <w:szCs w:val="24"/>
        </w:rPr>
      </w:pPr>
      <w:r w:rsidRPr="007A3EF0">
        <w:rPr>
          <w:rFonts w:ascii="Cambria" w:hAnsi="Cambria" w:cs="Arial"/>
          <w:sz w:val="24"/>
          <w:szCs w:val="24"/>
        </w:rPr>
        <w:t>The restructuring agreement then contemplates that the shares of Flow Management II BV will be transferred to the consortium of banks (</w:t>
      </w:r>
      <w:r w:rsidR="00CC343D">
        <w:rPr>
          <w:rFonts w:ascii="Cambria" w:hAnsi="Cambria" w:cs="Arial"/>
          <w:sz w:val="24"/>
          <w:szCs w:val="24"/>
        </w:rPr>
        <w:t xml:space="preserve">banks </w:t>
      </w:r>
      <w:r w:rsidRPr="007A3EF0">
        <w:rPr>
          <w:rFonts w:ascii="Cambria" w:hAnsi="Cambria" w:cs="Arial"/>
          <w:sz w:val="24"/>
          <w:szCs w:val="24"/>
        </w:rPr>
        <w:t>A-D)</w:t>
      </w:r>
      <w:r w:rsidR="00CC343D">
        <w:rPr>
          <w:rFonts w:ascii="Cambria" w:hAnsi="Cambria" w:cs="Arial"/>
          <w:sz w:val="24"/>
          <w:szCs w:val="24"/>
        </w:rPr>
        <w:t>, which</w:t>
      </w:r>
      <w:r w:rsidRPr="007A3EF0">
        <w:rPr>
          <w:rFonts w:ascii="Cambria" w:hAnsi="Cambria" w:cs="Arial"/>
          <w:sz w:val="24"/>
          <w:szCs w:val="24"/>
        </w:rPr>
        <w:t xml:space="preserve"> financed the original working capital of the company (“the Consortium”) and certain Board members of Flow Management Holding BV including the CRO. </w:t>
      </w:r>
    </w:p>
    <w:p w14:paraId="26FD3F72" w14:textId="77777777" w:rsidR="00CC343D" w:rsidRPr="00CC343D" w:rsidRDefault="00CC343D" w:rsidP="00CC343D">
      <w:pPr>
        <w:pStyle w:val="ListParagraph"/>
        <w:rPr>
          <w:rFonts w:ascii="Cambria" w:hAnsi="Cambria" w:cs="Arial"/>
          <w:sz w:val="24"/>
          <w:szCs w:val="24"/>
        </w:rPr>
      </w:pPr>
    </w:p>
    <w:p w14:paraId="515A4A96" w14:textId="77777777" w:rsidR="00CC343D" w:rsidRDefault="00CC343D" w:rsidP="00CC343D">
      <w:pPr>
        <w:pStyle w:val="ListParagraph"/>
        <w:numPr>
          <w:ilvl w:val="0"/>
          <w:numId w:val="5"/>
        </w:numPr>
        <w:tabs>
          <w:tab w:val="left" w:pos="284"/>
        </w:tabs>
        <w:ind w:left="284" w:hanging="284"/>
        <w:jc w:val="both"/>
        <w:rPr>
          <w:rFonts w:ascii="Cambria" w:hAnsi="Cambria" w:cs="Arial"/>
          <w:sz w:val="24"/>
          <w:szCs w:val="24"/>
        </w:rPr>
      </w:pPr>
      <w:r>
        <w:rPr>
          <w:rFonts w:ascii="Cambria" w:hAnsi="Cambria" w:cs="Arial"/>
          <w:sz w:val="24"/>
          <w:szCs w:val="24"/>
        </w:rPr>
        <w:t>T</w:t>
      </w:r>
      <w:r w:rsidR="002351F9" w:rsidRPr="007A3EF0">
        <w:rPr>
          <w:rFonts w:ascii="Cambria" w:hAnsi="Cambria" w:cs="Arial"/>
          <w:sz w:val="24"/>
          <w:szCs w:val="24"/>
        </w:rPr>
        <w:t xml:space="preserve">his transaction </w:t>
      </w:r>
      <w:r>
        <w:rPr>
          <w:rFonts w:ascii="Cambria" w:hAnsi="Cambria" w:cs="Arial"/>
          <w:sz w:val="24"/>
          <w:szCs w:val="24"/>
        </w:rPr>
        <w:t>appears to have been</w:t>
      </w:r>
      <w:r w:rsidR="002351F9" w:rsidRPr="007A3EF0">
        <w:rPr>
          <w:rFonts w:ascii="Cambria" w:hAnsi="Cambria" w:cs="Arial"/>
          <w:sz w:val="24"/>
          <w:szCs w:val="24"/>
        </w:rPr>
        <w:t xml:space="preserve"> a “debt</w:t>
      </w:r>
      <w:r>
        <w:rPr>
          <w:rFonts w:ascii="Cambria" w:hAnsi="Cambria" w:cs="Arial"/>
          <w:sz w:val="24"/>
          <w:szCs w:val="24"/>
        </w:rPr>
        <w:t>-for-</w:t>
      </w:r>
      <w:r w:rsidR="002351F9" w:rsidRPr="007A3EF0">
        <w:rPr>
          <w:rFonts w:ascii="Cambria" w:hAnsi="Cambria" w:cs="Arial"/>
          <w:sz w:val="24"/>
          <w:szCs w:val="24"/>
        </w:rPr>
        <w:t>equity swap”</w:t>
      </w:r>
      <w:r>
        <w:rPr>
          <w:rFonts w:ascii="Cambria" w:hAnsi="Cambria" w:cs="Arial"/>
          <w:sz w:val="24"/>
          <w:szCs w:val="24"/>
        </w:rPr>
        <w:t>:</w:t>
      </w:r>
      <w:r w:rsidR="002351F9" w:rsidRPr="007A3EF0">
        <w:rPr>
          <w:rFonts w:ascii="Cambria" w:hAnsi="Cambria" w:cs="Arial"/>
          <w:sz w:val="24"/>
          <w:szCs w:val="24"/>
        </w:rPr>
        <w:t xml:space="preserve"> in which the banks obtain the shares and in effect the benefit of the new company in exchange for cancelling Flow’s debt </w:t>
      </w:r>
      <w:r>
        <w:rPr>
          <w:rFonts w:ascii="Cambria" w:hAnsi="Cambria" w:cs="Arial"/>
          <w:sz w:val="24"/>
          <w:szCs w:val="24"/>
        </w:rPr>
        <w:t xml:space="preserve">as owed to that bank or those banks. </w:t>
      </w:r>
    </w:p>
    <w:p w14:paraId="0FEC2E04" w14:textId="77777777" w:rsidR="00CC343D" w:rsidRPr="00CC343D" w:rsidRDefault="00CC343D" w:rsidP="00CC343D">
      <w:pPr>
        <w:pStyle w:val="ListParagraph"/>
        <w:rPr>
          <w:rFonts w:ascii="Cambria" w:hAnsi="Cambria" w:cs="Arial"/>
          <w:sz w:val="24"/>
          <w:szCs w:val="24"/>
        </w:rPr>
      </w:pPr>
    </w:p>
    <w:p w14:paraId="15D759B9" w14:textId="79E44367" w:rsidR="002351F9" w:rsidRPr="00CC343D" w:rsidRDefault="00CC343D" w:rsidP="00CC343D">
      <w:pPr>
        <w:pStyle w:val="ListParagraph"/>
        <w:numPr>
          <w:ilvl w:val="0"/>
          <w:numId w:val="5"/>
        </w:numPr>
        <w:tabs>
          <w:tab w:val="left" w:pos="284"/>
        </w:tabs>
        <w:ind w:left="284" w:hanging="284"/>
        <w:jc w:val="both"/>
        <w:rPr>
          <w:rFonts w:ascii="Cambria" w:hAnsi="Cambria" w:cs="Arial"/>
          <w:sz w:val="24"/>
          <w:szCs w:val="24"/>
        </w:rPr>
      </w:pPr>
      <w:r>
        <w:rPr>
          <w:rFonts w:ascii="Cambria" w:hAnsi="Cambria" w:cs="Arial"/>
          <w:sz w:val="24"/>
          <w:szCs w:val="24"/>
        </w:rPr>
        <w:t>T</w:t>
      </w:r>
      <w:r w:rsidR="002351F9" w:rsidRPr="00CC343D">
        <w:rPr>
          <w:rFonts w:ascii="Cambria" w:hAnsi="Cambria" w:cs="Arial"/>
          <w:sz w:val="24"/>
          <w:szCs w:val="24"/>
        </w:rPr>
        <w:t xml:space="preserve">he CRO, who was brought onto the Board of Flow Management Holding BV during a period of significant financial distress </w:t>
      </w:r>
      <w:r w:rsidR="00D5695D" w:rsidRPr="00CC343D">
        <w:rPr>
          <w:rFonts w:ascii="Cambria" w:hAnsi="Cambria" w:cs="Arial"/>
          <w:sz w:val="24"/>
          <w:szCs w:val="24"/>
        </w:rPr>
        <w:t xml:space="preserve">and the </w:t>
      </w:r>
      <w:r w:rsidR="00A77560" w:rsidRPr="00CC343D">
        <w:rPr>
          <w:rFonts w:ascii="Cambria" w:hAnsi="Cambria" w:cs="Arial"/>
          <w:sz w:val="24"/>
          <w:szCs w:val="24"/>
        </w:rPr>
        <w:t xml:space="preserve">other </w:t>
      </w:r>
      <w:r w:rsidR="00D5695D" w:rsidRPr="00CC343D">
        <w:rPr>
          <w:rFonts w:ascii="Cambria" w:hAnsi="Cambria" w:cs="Arial"/>
          <w:sz w:val="24"/>
          <w:szCs w:val="24"/>
        </w:rPr>
        <w:t xml:space="preserve">Board members </w:t>
      </w:r>
      <w:r>
        <w:rPr>
          <w:rFonts w:ascii="Cambria" w:hAnsi="Cambria" w:cs="Arial"/>
          <w:sz w:val="24"/>
          <w:szCs w:val="24"/>
        </w:rPr>
        <w:t xml:space="preserve">appear to </w:t>
      </w:r>
      <w:proofErr w:type="gramStart"/>
      <w:r>
        <w:rPr>
          <w:rFonts w:ascii="Cambria" w:hAnsi="Cambria" w:cs="Arial"/>
          <w:sz w:val="24"/>
          <w:szCs w:val="24"/>
        </w:rPr>
        <w:t xml:space="preserve">be </w:t>
      </w:r>
      <w:r w:rsidR="002351F9" w:rsidRPr="00CC343D">
        <w:rPr>
          <w:rFonts w:ascii="Cambria" w:hAnsi="Cambria" w:cs="Arial"/>
          <w:sz w:val="24"/>
          <w:szCs w:val="24"/>
        </w:rPr>
        <w:t xml:space="preserve"> owed</w:t>
      </w:r>
      <w:proofErr w:type="gramEnd"/>
      <w:r w:rsidR="002351F9" w:rsidRPr="00CC343D">
        <w:rPr>
          <w:rFonts w:ascii="Cambria" w:hAnsi="Cambria" w:cs="Arial"/>
          <w:sz w:val="24"/>
          <w:szCs w:val="24"/>
        </w:rPr>
        <w:t xml:space="preserve"> funds arising from their retainer and the shares transferred to </w:t>
      </w:r>
      <w:r w:rsidR="00D5695D" w:rsidRPr="00CC343D">
        <w:rPr>
          <w:rFonts w:ascii="Cambria" w:hAnsi="Cambria" w:cs="Arial"/>
          <w:sz w:val="24"/>
          <w:szCs w:val="24"/>
        </w:rPr>
        <w:t>them</w:t>
      </w:r>
      <w:r w:rsidR="002351F9" w:rsidRPr="00CC343D">
        <w:rPr>
          <w:rFonts w:ascii="Cambria" w:hAnsi="Cambria" w:cs="Arial"/>
          <w:sz w:val="24"/>
          <w:szCs w:val="24"/>
        </w:rPr>
        <w:t xml:space="preserve"> are in consideration </w:t>
      </w:r>
      <w:r>
        <w:rPr>
          <w:rFonts w:ascii="Cambria" w:hAnsi="Cambria" w:cs="Arial"/>
          <w:sz w:val="24"/>
          <w:szCs w:val="24"/>
        </w:rPr>
        <w:t>of that</w:t>
      </w:r>
      <w:r w:rsidR="002351F9" w:rsidRPr="00CC343D">
        <w:rPr>
          <w:rFonts w:ascii="Cambria" w:hAnsi="Cambria" w:cs="Arial"/>
          <w:sz w:val="24"/>
          <w:szCs w:val="24"/>
        </w:rPr>
        <w:t>.</w:t>
      </w:r>
      <w:r>
        <w:rPr>
          <w:rFonts w:ascii="Cambria" w:hAnsi="Cambria" w:cs="Arial"/>
          <w:sz w:val="24"/>
          <w:szCs w:val="24"/>
        </w:rPr>
        <w:t xml:space="preserve"> Either that, of some type of “golden handcuffs”.</w:t>
      </w:r>
    </w:p>
    <w:p w14:paraId="56824830" w14:textId="77777777" w:rsidR="002351F9" w:rsidRPr="007A3EF0" w:rsidRDefault="002351F9" w:rsidP="002351F9">
      <w:pPr>
        <w:pStyle w:val="ListParagraph"/>
        <w:rPr>
          <w:rFonts w:ascii="Cambria" w:hAnsi="Cambria" w:cs="Arial"/>
          <w:sz w:val="24"/>
          <w:szCs w:val="24"/>
        </w:rPr>
      </w:pPr>
    </w:p>
    <w:p w14:paraId="38AB9BA3" w14:textId="53B40ECA" w:rsidR="002351F9" w:rsidRDefault="002351F9" w:rsidP="002351F9">
      <w:pPr>
        <w:pStyle w:val="ListParagraph"/>
        <w:numPr>
          <w:ilvl w:val="0"/>
          <w:numId w:val="5"/>
        </w:numPr>
        <w:tabs>
          <w:tab w:val="left" w:pos="284"/>
        </w:tabs>
        <w:ind w:left="284" w:hanging="284"/>
        <w:jc w:val="both"/>
        <w:rPr>
          <w:rFonts w:ascii="Cambria" w:hAnsi="Cambria" w:cs="Arial"/>
          <w:sz w:val="24"/>
          <w:szCs w:val="24"/>
        </w:rPr>
      </w:pPr>
      <w:r w:rsidRPr="00CC343D">
        <w:rPr>
          <w:rFonts w:ascii="Cambria" w:hAnsi="Cambria" w:cs="Arial"/>
          <w:sz w:val="24"/>
          <w:szCs w:val="24"/>
        </w:rPr>
        <w:t xml:space="preserve">Flow </w:t>
      </w:r>
      <w:r w:rsidR="00CC343D" w:rsidRPr="00CC343D">
        <w:rPr>
          <w:rFonts w:ascii="Cambria" w:hAnsi="Cambria" w:cs="Arial"/>
          <w:sz w:val="24"/>
          <w:szCs w:val="24"/>
        </w:rPr>
        <w:t xml:space="preserve">itself </w:t>
      </w:r>
      <w:r w:rsidRPr="00CC343D">
        <w:rPr>
          <w:rFonts w:ascii="Cambria" w:hAnsi="Cambria" w:cs="Arial"/>
          <w:sz w:val="24"/>
          <w:szCs w:val="24"/>
        </w:rPr>
        <w:t xml:space="preserve">is to be liquidated. </w:t>
      </w:r>
      <w:r w:rsidR="00CC343D" w:rsidRPr="00CC343D">
        <w:rPr>
          <w:rFonts w:ascii="Cambria" w:hAnsi="Cambria" w:cs="Arial"/>
          <w:sz w:val="24"/>
          <w:szCs w:val="24"/>
        </w:rPr>
        <w:t>T</w:t>
      </w:r>
      <w:r w:rsidRPr="00CC343D">
        <w:rPr>
          <w:rFonts w:ascii="Cambria" w:hAnsi="Cambria" w:cs="Arial"/>
          <w:sz w:val="24"/>
          <w:szCs w:val="24"/>
        </w:rPr>
        <w:t xml:space="preserve">he liquidation is to take place in an undisclosed manner, all claims against it by the banks and its </w:t>
      </w:r>
      <w:proofErr w:type="gramStart"/>
      <w:r w:rsidRPr="00CC343D">
        <w:rPr>
          <w:rFonts w:ascii="Cambria" w:hAnsi="Cambria" w:cs="Arial"/>
          <w:sz w:val="24"/>
          <w:szCs w:val="24"/>
        </w:rPr>
        <w:t>shareholder</w:t>
      </w:r>
      <w:proofErr w:type="gramEnd"/>
      <w:r w:rsidRPr="00CC343D">
        <w:rPr>
          <w:rFonts w:ascii="Cambria" w:hAnsi="Cambria" w:cs="Arial"/>
          <w:sz w:val="24"/>
          <w:szCs w:val="24"/>
        </w:rPr>
        <w:t xml:space="preserve"> (outstanding loans etc.) will be cancelled. </w:t>
      </w:r>
    </w:p>
    <w:p w14:paraId="6C247F6C" w14:textId="77777777" w:rsidR="00CC343D" w:rsidRPr="00CC343D" w:rsidRDefault="00CC343D" w:rsidP="00CC343D">
      <w:pPr>
        <w:pStyle w:val="ListParagraph"/>
        <w:rPr>
          <w:rFonts w:ascii="Cambria" w:hAnsi="Cambria" w:cs="Arial"/>
          <w:sz w:val="24"/>
          <w:szCs w:val="24"/>
        </w:rPr>
      </w:pPr>
    </w:p>
    <w:p w14:paraId="019CD447" w14:textId="5B140833" w:rsidR="002351F9" w:rsidRPr="00CC343D" w:rsidRDefault="002351F9" w:rsidP="00CC343D">
      <w:pPr>
        <w:pStyle w:val="ListParagraph"/>
        <w:numPr>
          <w:ilvl w:val="0"/>
          <w:numId w:val="5"/>
        </w:numPr>
        <w:tabs>
          <w:tab w:val="left" w:pos="284"/>
        </w:tabs>
        <w:ind w:left="284" w:hanging="284"/>
        <w:jc w:val="both"/>
        <w:rPr>
          <w:rFonts w:ascii="Cambria" w:hAnsi="Cambria" w:cs="Arial"/>
          <w:sz w:val="24"/>
          <w:szCs w:val="24"/>
        </w:rPr>
      </w:pPr>
      <w:r w:rsidRPr="00CC343D">
        <w:rPr>
          <w:rFonts w:ascii="Cambria" w:hAnsi="Cambria" w:cs="Arial"/>
          <w:sz w:val="24"/>
          <w:szCs w:val="24"/>
        </w:rPr>
        <w:t>Flow and the shareholder will cancel all outstanding claims against Flow Management II BV</w:t>
      </w:r>
      <w:r w:rsidR="000F0967">
        <w:rPr>
          <w:rFonts w:ascii="Cambria" w:hAnsi="Cambria" w:cs="Arial"/>
          <w:sz w:val="24"/>
          <w:szCs w:val="24"/>
        </w:rPr>
        <w:t>,</w:t>
      </w:r>
      <w:r w:rsidRPr="00CC343D">
        <w:rPr>
          <w:rFonts w:ascii="Cambria" w:hAnsi="Cambria" w:cs="Arial"/>
          <w:sz w:val="24"/>
          <w:szCs w:val="24"/>
        </w:rPr>
        <w:t xml:space="preserve"> thereby ensuring that the Consortium and the board members take the shares in that company free of any indebtedness to the shareholder and Flow arising from past loans etc. to the Subsidiaries.</w:t>
      </w:r>
    </w:p>
    <w:p w14:paraId="1905D556" w14:textId="77777777" w:rsidR="00397A2A" w:rsidRPr="007A3EF0" w:rsidRDefault="00397A2A" w:rsidP="00397A2A">
      <w:pPr>
        <w:pStyle w:val="ListParagraph"/>
        <w:rPr>
          <w:rFonts w:ascii="Cambria" w:hAnsi="Cambria" w:cs="Arial"/>
          <w:sz w:val="24"/>
          <w:szCs w:val="24"/>
        </w:rPr>
      </w:pPr>
    </w:p>
    <w:p w14:paraId="202726BD" w14:textId="77777777" w:rsidR="00397A2A" w:rsidRPr="007A3EF0" w:rsidRDefault="00397A2A" w:rsidP="00397A2A">
      <w:pPr>
        <w:pStyle w:val="ListParagraph"/>
        <w:tabs>
          <w:tab w:val="left" w:pos="284"/>
        </w:tabs>
        <w:ind w:left="284"/>
        <w:jc w:val="both"/>
        <w:rPr>
          <w:rFonts w:ascii="Cambria" w:hAnsi="Cambria" w:cs="Arial"/>
          <w:sz w:val="24"/>
          <w:szCs w:val="24"/>
        </w:rPr>
      </w:pPr>
    </w:p>
    <w:p w14:paraId="18AC1334" w14:textId="5F3FA8BB" w:rsidR="00397A2A" w:rsidRPr="007A3EF0" w:rsidRDefault="002351F9" w:rsidP="002351F9">
      <w:pPr>
        <w:pStyle w:val="ListParagraph"/>
        <w:numPr>
          <w:ilvl w:val="0"/>
          <w:numId w:val="5"/>
        </w:numPr>
        <w:tabs>
          <w:tab w:val="left" w:pos="284"/>
        </w:tabs>
        <w:ind w:left="284" w:hanging="284"/>
        <w:jc w:val="both"/>
        <w:rPr>
          <w:rFonts w:ascii="Cambria" w:hAnsi="Cambria" w:cs="Arial"/>
          <w:sz w:val="24"/>
          <w:szCs w:val="24"/>
        </w:rPr>
      </w:pPr>
      <w:r w:rsidRPr="007A3EF0">
        <w:rPr>
          <w:rFonts w:ascii="Cambria" w:hAnsi="Cambria" w:cs="Arial"/>
          <w:sz w:val="24"/>
          <w:szCs w:val="24"/>
        </w:rPr>
        <w:t>The next phase of the agreement is the various cancellations/waiver</w:t>
      </w:r>
      <w:r w:rsidR="00A77560" w:rsidRPr="007A3EF0">
        <w:rPr>
          <w:rFonts w:ascii="Cambria" w:hAnsi="Cambria" w:cs="Arial"/>
          <w:sz w:val="24"/>
          <w:szCs w:val="24"/>
        </w:rPr>
        <w:t>s</w:t>
      </w:r>
      <w:r w:rsidRPr="007A3EF0">
        <w:rPr>
          <w:rFonts w:ascii="Cambria" w:hAnsi="Cambria" w:cs="Arial"/>
          <w:sz w:val="24"/>
          <w:szCs w:val="24"/>
        </w:rPr>
        <w:t xml:space="preserve"> of debts owed to the creditors. Banks C and D have agreed to a</w:t>
      </w:r>
      <w:r w:rsidR="000F0967">
        <w:rPr>
          <w:rFonts w:ascii="Cambria" w:hAnsi="Cambria" w:cs="Arial"/>
          <w:sz w:val="24"/>
          <w:szCs w:val="24"/>
        </w:rPr>
        <w:t xml:space="preserve"> loss on the loaned amount</w:t>
      </w:r>
      <w:r w:rsidRPr="007A3EF0">
        <w:rPr>
          <w:rFonts w:ascii="Cambria" w:hAnsi="Cambria" w:cs="Arial"/>
          <w:sz w:val="24"/>
          <w:szCs w:val="24"/>
        </w:rPr>
        <w:t xml:space="preserve"> </w:t>
      </w:r>
      <w:proofErr w:type="gramStart"/>
      <w:r w:rsidR="000F0967">
        <w:rPr>
          <w:rFonts w:ascii="Cambria" w:hAnsi="Cambria" w:cs="Arial"/>
          <w:sz w:val="24"/>
          <w:szCs w:val="24"/>
        </w:rPr>
        <w:t>by</w:t>
      </w:r>
      <w:proofErr w:type="gramEnd"/>
      <w:r w:rsidRPr="007A3EF0">
        <w:rPr>
          <w:rFonts w:ascii="Cambria" w:hAnsi="Cambria" w:cs="Arial"/>
          <w:sz w:val="24"/>
          <w:szCs w:val="24"/>
        </w:rPr>
        <w:t xml:space="preserve"> €32.5 million, wiping away the debt owed to them by Flow Management Work BV in respect of the additional working capital </w:t>
      </w:r>
      <w:r w:rsidR="000F0967">
        <w:rPr>
          <w:rFonts w:ascii="Cambria" w:hAnsi="Cambria" w:cs="Arial"/>
          <w:sz w:val="24"/>
          <w:szCs w:val="24"/>
        </w:rPr>
        <w:t xml:space="preserve">that </w:t>
      </w:r>
      <w:r w:rsidRPr="007A3EF0">
        <w:rPr>
          <w:rFonts w:ascii="Cambria" w:hAnsi="Cambria" w:cs="Arial"/>
          <w:sz w:val="24"/>
          <w:szCs w:val="24"/>
        </w:rPr>
        <w:t>they financed.  Their agreement to do so is likely partially in consideration of the transfer to them of some of the shares in Flow Management II BV (the “debt</w:t>
      </w:r>
      <w:r w:rsidR="000F0967">
        <w:rPr>
          <w:rFonts w:ascii="Cambria" w:hAnsi="Cambria" w:cs="Arial"/>
          <w:sz w:val="24"/>
          <w:szCs w:val="24"/>
        </w:rPr>
        <w:t>-for-</w:t>
      </w:r>
      <w:r w:rsidRPr="007A3EF0">
        <w:rPr>
          <w:rFonts w:ascii="Cambria" w:hAnsi="Cambria" w:cs="Arial"/>
          <w:sz w:val="24"/>
          <w:szCs w:val="24"/>
        </w:rPr>
        <w:t>equity swap”). So too is the agreement by the Consortium to waive €97.5 million. The €55 million in other loans by sundry creditors to Flow Management Work BV is also cancelled</w:t>
      </w:r>
      <w:r w:rsidR="000F0967">
        <w:rPr>
          <w:rFonts w:ascii="Cambria" w:hAnsi="Cambria" w:cs="Arial"/>
          <w:sz w:val="24"/>
          <w:szCs w:val="24"/>
        </w:rPr>
        <w:t xml:space="preserve">. Likely reflecting underling fact that at least some of that </w:t>
      </w:r>
      <w:r w:rsidRPr="007A3EF0">
        <w:rPr>
          <w:rFonts w:ascii="Cambria" w:hAnsi="Cambria" w:cs="Arial"/>
          <w:sz w:val="24"/>
          <w:szCs w:val="24"/>
        </w:rPr>
        <w:t xml:space="preserve">was owed to the Consortium. </w:t>
      </w:r>
    </w:p>
    <w:p w14:paraId="78885A71" w14:textId="115C300D" w:rsidR="002351F9" w:rsidRPr="007A3EF0" w:rsidRDefault="002351F9" w:rsidP="00397A2A">
      <w:pPr>
        <w:pStyle w:val="ListParagraph"/>
        <w:tabs>
          <w:tab w:val="left" w:pos="284"/>
        </w:tabs>
        <w:ind w:left="284"/>
        <w:jc w:val="both"/>
        <w:rPr>
          <w:rFonts w:ascii="Cambria" w:hAnsi="Cambria" w:cs="Arial"/>
          <w:sz w:val="24"/>
          <w:szCs w:val="24"/>
        </w:rPr>
      </w:pPr>
      <w:r w:rsidRPr="007A3EF0">
        <w:rPr>
          <w:rFonts w:ascii="Cambria" w:hAnsi="Cambria" w:cs="Arial"/>
          <w:sz w:val="24"/>
          <w:szCs w:val="24"/>
        </w:rPr>
        <w:t xml:space="preserve"> </w:t>
      </w:r>
    </w:p>
    <w:p w14:paraId="2202A4AA" w14:textId="0230C53E" w:rsidR="002351F9" w:rsidRPr="007A3EF0" w:rsidRDefault="002351F9" w:rsidP="002351F9">
      <w:pPr>
        <w:pStyle w:val="ListParagraph"/>
        <w:numPr>
          <w:ilvl w:val="0"/>
          <w:numId w:val="5"/>
        </w:numPr>
        <w:tabs>
          <w:tab w:val="left" w:pos="284"/>
        </w:tabs>
        <w:ind w:left="284" w:hanging="284"/>
        <w:jc w:val="both"/>
        <w:rPr>
          <w:rFonts w:ascii="Cambria" w:hAnsi="Cambria" w:cs="Arial"/>
          <w:sz w:val="24"/>
          <w:szCs w:val="24"/>
        </w:rPr>
      </w:pPr>
      <w:r w:rsidRPr="007A3EF0">
        <w:rPr>
          <w:rFonts w:ascii="Cambria" w:hAnsi="Cambria" w:cs="Arial"/>
          <w:sz w:val="24"/>
          <w:szCs w:val="24"/>
        </w:rPr>
        <w:t xml:space="preserve">The Consortium </w:t>
      </w:r>
      <w:proofErr w:type="gramStart"/>
      <w:r w:rsidRPr="007A3EF0">
        <w:rPr>
          <w:rFonts w:ascii="Cambria" w:hAnsi="Cambria" w:cs="Arial"/>
          <w:sz w:val="24"/>
          <w:szCs w:val="24"/>
        </w:rPr>
        <w:t>have pledges</w:t>
      </w:r>
      <w:proofErr w:type="gramEnd"/>
      <w:r w:rsidRPr="007A3EF0">
        <w:rPr>
          <w:rFonts w:ascii="Cambria" w:hAnsi="Cambria" w:cs="Arial"/>
          <w:sz w:val="24"/>
          <w:szCs w:val="24"/>
        </w:rPr>
        <w:t xml:space="preserve"> </w:t>
      </w:r>
      <w:proofErr w:type="gramStart"/>
      <w:r w:rsidR="000F0967">
        <w:rPr>
          <w:rFonts w:ascii="Cambria" w:hAnsi="Cambria" w:cs="Arial"/>
          <w:sz w:val="24"/>
          <w:szCs w:val="24"/>
        </w:rPr>
        <w:t>over</w:t>
      </w:r>
      <w:r w:rsidR="00397A2A" w:rsidRPr="007A3EF0">
        <w:rPr>
          <w:rFonts w:ascii="Cambria" w:hAnsi="Cambria" w:cs="Arial"/>
          <w:sz w:val="24"/>
          <w:szCs w:val="24"/>
        </w:rPr>
        <w:t xml:space="preserve"> Flow</w:t>
      </w:r>
      <w:proofErr w:type="gramEnd"/>
      <w:r w:rsidR="00397A2A" w:rsidRPr="007A3EF0">
        <w:rPr>
          <w:rFonts w:ascii="Cambria" w:hAnsi="Cambria" w:cs="Arial"/>
          <w:sz w:val="24"/>
          <w:szCs w:val="24"/>
        </w:rPr>
        <w:t xml:space="preserve"> Management Work BV’s </w:t>
      </w:r>
      <w:r w:rsidRPr="007A3EF0">
        <w:rPr>
          <w:rFonts w:ascii="Cambria" w:hAnsi="Cambria" w:cs="Arial"/>
          <w:sz w:val="24"/>
          <w:szCs w:val="24"/>
        </w:rPr>
        <w:t xml:space="preserve">assets and the restructuring agreement contemplates that they will be able to recoup whatever they can from the liquidation of that company. A €240 million debt is still owed to the Consortium. There are also debts still owed to the shareholder and other unsecured creditors. The assets which are pledged (to the Consortium) are the only secured ones in the company. The other interested parties (the shareholder, other creditors), although able to participate in Flow Management Work BV’s liquidation, will likely receive nothing following the sale of the pledged assets (considering the €240 million debt to the Consortium and unavailability of other assets). </w:t>
      </w:r>
    </w:p>
    <w:p w14:paraId="3CE704B3" w14:textId="77777777" w:rsidR="00D2562F" w:rsidRPr="007A3EF0" w:rsidRDefault="00D2562F" w:rsidP="00D2562F">
      <w:pPr>
        <w:pStyle w:val="ListParagraph"/>
        <w:rPr>
          <w:rFonts w:ascii="Cambria" w:hAnsi="Cambria" w:cs="Arial"/>
          <w:sz w:val="24"/>
          <w:szCs w:val="24"/>
        </w:rPr>
      </w:pPr>
    </w:p>
    <w:p w14:paraId="26D10CDB" w14:textId="6E4FC393" w:rsidR="00D2562F" w:rsidRPr="007A3EF0" w:rsidRDefault="00D2562F" w:rsidP="00D2562F">
      <w:pPr>
        <w:tabs>
          <w:tab w:val="left" w:pos="284"/>
        </w:tabs>
        <w:jc w:val="both"/>
        <w:rPr>
          <w:rFonts w:ascii="Cambria" w:hAnsi="Cambria" w:cs="Arial"/>
          <w:b/>
          <w:bCs/>
          <w:sz w:val="24"/>
          <w:szCs w:val="24"/>
        </w:rPr>
      </w:pPr>
      <w:r w:rsidRPr="007A3EF0">
        <w:rPr>
          <w:rFonts w:ascii="Cambria" w:hAnsi="Cambria" w:cs="Arial"/>
          <w:b/>
          <w:bCs/>
          <w:sz w:val="24"/>
          <w:szCs w:val="24"/>
        </w:rPr>
        <w:t>Question 8</w:t>
      </w:r>
    </w:p>
    <w:p w14:paraId="318B1F3C" w14:textId="739110F6" w:rsidR="00D2562F" w:rsidRPr="000F0967" w:rsidRDefault="000F0967" w:rsidP="000F0967">
      <w:pPr>
        <w:rPr>
          <w:rFonts w:ascii="Cambria" w:hAnsi="Cambria" w:cs="Arial"/>
          <w:sz w:val="24"/>
          <w:szCs w:val="24"/>
        </w:rPr>
      </w:pPr>
      <w:r w:rsidRPr="000F0967">
        <w:rPr>
          <w:rFonts w:ascii="Cambria" w:hAnsi="Cambria" w:cs="Arial"/>
          <w:sz w:val="24"/>
          <w:szCs w:val="24"/>
        </w:rPr>
        <w:drawing>
          <wp:inline distT="0" distB="0" distL="0" distR="0" wp14:anchorId="1F449F30" wp14:editId="269BA49E">
            <wp:extent cx="5420481" cy="333422"/>
            <wp:effectExtent l="0" t="0" r="0" b="9525"/>
            <wp:docPr id="21329980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2998034" name=""/>
                    <pic:cNvPicPr/>
                  </pic:nvPicPr>
                  <pic:blipFill>
                    <a:blip r:embed="rId15"/>
                    <a:stretch>
                      <a:fillRect/>
                    </a:stretch>
                  </pic:blipFill>
                  <pic:spPr>
                    <a:xfrm>
                      <a:off x="0" y="0"/>
                      <a:ext cx="5420481" cy="333422"/>
                    </a:xfrm>
                    <a:prstGeom prst="rect">
                      <a:avLst/>
                    </a:prstGeom>
                  </pic:spPr>
                </pic:pic>
              </a:graphicData>
            </a:graphic>
          </wp:inline>
        </w:drawing>
      </w:r>
    </w:p>
    <w:p w14:paraId="60002970" w14:textId="77777777" w:rsidR="000F0967" w:rsidRDefault="000F0967" w:rsidP="00D2562F">
      <w:pPr>
        <w:pStyle w:val="ListParagraph"/>
        <w:numPr>
          <w:ilvl w:val="0"/>
          <w:numId w:val="5"/>
        </w:numPr>
        <w:ind w:left="284"/>
        <w:jc w:val="both"/>
        <w:rPr>
          <w:rFonts w:ascii="Cambria" w:hAnsi="Cambria" w:cs="Arial"/>
          <w:sz w:val="24"/>
          <w:szCs w:val="24"/>
        </w:rPr>
      </w:pPr>
      <w:r>
        <w:rPr>
          <w:rFonts w:ascii="Cambria" w:hAnsi="Cambria" w:cs="Arial"/>
          <w:sz w:val="24"/>
          <w:szCs w:val="24"/>
        </w:rPr>
        <w:t>S</w:t>
      </w:r>
      <w:r w:rsidR="00D2562F" w:rsidRPr="007A3EF0">
        <w:rPr>
          <w:rFonts w:ascii="Cambria" w:hAnsi="Cambria" w:cs="Arial"/>
          <w:sz w:val="24"/>
          <w:szCs w:val="24"/>
        </w:rPr>
        <w:t>everal potential legal cross-border insolvency law issues</w:t>
      </w:r>
      <w:r>
        <w:rPr>
          <w:rFonts w:ascii="Cambria" w:hAnsi="Cambria" w:cs="Arial"/>
          <w:sz w:val="24"/>
          <w:szCs w:val="24"/>
        </w:rPr>
        <w:t xml:space="preserve"> arise</w:t>
      </w:r>
      <w:r w:rsidR="00D2562F" w:rsidRPr="007A3EF0">
        <w:rPr>
          <w:rFonts w:ascii="Cambria" w:hAnsi="Cambria" w:cs="Arial"/>
          <w:sz w:val="24"/>
          <w:szCs w:val="24"/>
        </w:rPr>
        <w:t xml:space="preserve">. </w:t>
      </w:r>
    </w:p>
    <w:p w14:paraId="737813A1" w14:textId="77777777" w:rsidR="000F0967" w:rsidRDefault="000F0967" w:rsidP="000F0967">
      <w:pPr>
        <w:pStyle w:val="ListParagraph"/>
        <w:ind w:left="284"/>
        <w:jc w:val="both"/>
        <w:rPr>
          <w:rFonts w:ascii="Cambria" w:hAnsi="Cambria" w:cs="Arial"/>
          <w:sz w:val="24"/>
          <w:szCs w:val="24"/>
        </w:rPr>
      </w:pPr>
    </w:p>
    <w:p w14:paraId="01C55136" w14:textId="77777777" w:rsidR="000F0967" w:rsidRDefault="00D2562F" w:rsidP="00D2562F">
      <w:pPr>
        <w:pStyle w:val="ListParagraph"/>
        <w:numPr>
          <w:ilvl w:val="0"/>
          <w:numId w:val="5"/>
        </w:numPr>
        <w:ind w:left="284"/>
        <w:jc w:val="both"/>
        <w:rPr>
          <w:rFonts w:ascii="Cambria" w:hAnsi="Cambria" w:cs="Arial"/>
          <w:sz w:val="24"/>
          <w:szCs w:val="24"/>
        </w:rPr>
      </w:pPr>
      <w:r w:rsidRPr="007A3EF0">
        <w:rPr>
          <w:rFonts w:ascii="Cambria" w:hAnsi="Cambria" w:cs="Arial"/>
          <w:sz w:val="24"/>
          <w:szCs w:val="24"/>
        </w:rPr>
        <w:t xml:space="preserve">Those issues </w:t>
      </w:r>
      <w:r w:rsidR="000F0967">
        <w:rPr>
          <w:rFonts w:ascii="Cambria" w:hAnsi="Cambria" w:cs="Arial"/>
          <w:sz w:val="24"/>
          <w:szCs w:val="24"/>
        </w:rPr>
        <w:t xml:space="preserve">are based on the assumption </w:t>
      </w:r>
      <w:r w:rsidRPr="007A3EF0">
        <w:rPr>
          <w:rFonts w:ascii="Cambria" w:hAnsi="Cambria" w:cs="Arial"/>
          <w:sz w:val="24"/>
          <w:szCs w:val="24"/>
        </w:rPr>
        <w:t xml:space="preserve">that a liquidation of Flow Management Holding BV (“Flow”) becomes </w:t>
      </w:r>
      <w:proofErr w:type="gramStart"/>
      <w:r w:rsidRPr="007A3EF0">
        <w:rPr>
          <w:rFonts w:ascii="Cambria" w:hAnsi="Cambria" w:cs="Arial"/>
          <w:sz w:val="24"/>
          <w:szCs w:val="24"/>
        </w:rPr>
        <w:t>necessary</w:t>
      </w:r>
      <w:proofErr w:type="gramEnd"/>
      <w:r w:rsidRPr="007A3EF0">
        <w:rPr>
          <w:rFonts w:ascii="Cambria" w:hAnsi="Cambria" w:cs="Arial"/>
          <w:sz w:val="24"/>
          <w:szCs w:val="24"/>
        </w:rPr>
        <w:t xml:space="preserve"> and a liquidator</w:t>
      </w:r>
      <w:r w:rsidR="000F0967">
        <w:rPr>
          <w:rFonts w:ascii="Cambria" w:hAnsi="Cambria" w:cs="Arial"/>
          <w:sz w:val="24"/>
          <w:szCs w:val="24"/>
        </w:rPr>
        <w:t xml:space="preserve"> </w:t>
      </w:r>
      <w:r w:rsidRPr="007A3EF0">
        <w:rPr>
          <w:rFonts w:ascii="Cambria" w:hAnsi="Cambria" w:cs="Arial"/>
          <w:sz w:val="24"/>
          <w:szCs w:val="24"/>
        </w:rPr>
        <w:t xml:space="preserve">is appointed. Flow </w:t>
      </w:r>
      <w:r w:rsidR="000F0967">
        <w:rPr>
          <w:rFonts w:ascii="Cambria" w:hAnsi="Cambria" w:cs="Arial"/>
          <w:sz w:val="24"/>
          <w:szCs w:val="24"/>
        </w:rPr>
        <w:t xml:space="preserve">– a Dutch company - </w:t>
      </w:r>
      <w:r w:rsidRPr="007A3EF0">
        <w:rPr>
          <w:rFonts w:ascii="Cambria" w:hAnsi="Cambria" w:cs="Arial"/>
          <w:sz w:val="24"/>
          <w:szCs w:val="24"/>
        </w:rPr>
        <w:t xml:space="preserve">holds the shares in several subsidiaries across several foreign jurisdictions including Spain, France, Australia, South Africa and the USA. </w:t>
      </w:r>
    </w:p>
    <w:p w14:paraId="09C94330" w14:textId="77777777" w:rsidR="000F0967" w:rsidRPr="000F0967" w:rsidRDefault="000F0967" w:rsidP="000F0967">
      <w:pPr>
        <w:pStyle w:val="ListParagraph"/>
        <w:rPr>
          <w:rFonts w:ascii="Cambria" w:hAnsi="Cambria" w:cs="Arial"/>
          <w:sz w:val="24"/>
          <w:szCs w:val="24"/>
        </w:rPr>
      </w:pPr>
    </w:p>
    <w:p w14:paraId="393303D8" w14:textId="10552F80" w:rsidR="00D2562F" w:rsidRPr="007A3EF0" w:rsidRDefault="00D2562F" w:rsidP="00D2562F">
      <w:pPr>
        <w:pStyle w:val="ListParagraph"/>
        <w:numPr>
          <w:ilvl w:val="0"/>
          <w:numId w:val="5"/>
        </w:numPr>
        <w:ind w:left="284"/>
        <w:jc w:val="both"/>
        <w:rPr>
          <w:rFonts w:ascii="Cambria" w:hAnsi="Cambria" w:cs="Arial"/>
          <w:sz w:val="24"/>
          <w:szCs w:val="24"/>
        </w:rPr>
      </w:pPr>
      <w:r w:rsidRPr="007A3EF0">
        <w:rPr>
          <w:rFonts w:ascii="Cambria" w:hAnsi="Cambria" w:cs="Arial"/>
          <w:sz w:val="24"/>
          <w:szCs w:val="24"/>
        </w:rPr>
        <w:t xml:space="preserve">Having obtained an order for Flow’s liquidation </w:t>
      </w:r>
      <w:r w:rsidR="000F0967">
        <w:rPr>
          <w:rFonts w:ascii="Cambria" w:hAnsi="Cambria" w:cs="Arial"/>
          <w:sz w:val="24"/>
          <w:szCs w:val="24"/>
        </w:rPr>
        <w:t>in</w:t>
      </w:r>
      <w:r w:rsidRPr="007A3EF0">
        <w:rPr>
          <w:rFonts w:ascii="Cambria" w:hAnsi="Cambria" w:cs="Arial"/>
          <w:sz w:val="24"/>
          <w:szCs w:val="24"/>
        </w:rPr>
        <w:t xml:space="preserve"> the liquidator will have to ‘deal’ with those shares which would require</w:t>
      </w:r>
      <w:r w:rsidR="000F0967">
        <w:rPr>
          <w:rFonts w:ascii="Cambria" w:hAnsi="Cambria" w:cs="Arial"/>
          <w:sz w:val="24"/>
          <w:szCs w:val="24"/>
        </w:rPr>
        <w:t xml:space="preserve"> </w:t>
      </w:r>
      <w:r w:rsidRPr="007A3EF0">
        <w:rPr>
          <w:rFonts w:ascii="Cambria" w:hAnsi="Cambria" w:cs="Arial"/>
          <w:sz w:val="24"/>
          <w:szCs w:val="24"/>
        </w:rPr>
        <w:t xml:space="preserve">orders being made in the foreign jurisdictions </w:t>
      </w:r>
      <w:proofErr w:type="spellStart"/>
      <w:r w:rsidRPr="007A3EF0">
        <w:rPr>
          <w:rFonts w:ascii="Cambria" w:hAnsi="Cambria" w:cs="Arial"/>
          <w:sz w:val="24"/>
          <w:szCs w:val="24"/>
        </w:rPr>
        <w:t>recogni</w:t>
      </w:r>
      <w:r w:rsidR="000F0967">
        <w:rPr>
          <w:rFonts w:ascii="Cambria" w:hAnsi="Cambria" w:cs="Arial"/>
          <w:sz w:val="24"/>
          <w:szCs w:val="24"/>
        </w:rPr>
        <w:t>s</w:t>
      </w:r>
      <w:r w:rsidRPr="007A3EF0">
        <w:rPr>
          <w:rFonts w:ascii="Cambria" w:hAnsi="Cambria" w:cs="Arial"/>
          <w:sz w:val="24"/>
          <w:szCs w:val="24"/>
        </w:rPr>
        <w:t>ing</w:t>
      </w:r>
      <w:proofErr w:type="spellEnd"/>
      <w:r w:rsidRPr="007A3EF0">
        <w:rPr>
          <w:rFonts w:ascii="Cambria" w:hAnsi="Cambria" w:cs="Arial"/>
          <w:sz w:val="24"/>
          <w:szCs w:val="24"/>
        </w:rPr>
        <w:t xml:space="preserve"> the Dutch liquidator’s appointment. </w:t>
      </w:r>
      <w:r w:rsidR="008F57C9" w:rsidRPr="007A3EF0">
        <w:rPr>
          <w:rFonts w:ascii="Cambria" w:hAnsi="Cambria" w:cs="Arial"/>
          <w:sz w:val="24"/>
          <w:szCs w:val="24"/>
        </w:rPr>
        <w:t xml:space="preserve">Once that is done </w:t>
      </w:r>
      <w:r w:rsidRPr="007A3EF0">
        <w:rPr>
          <w:rFonts w:ascii="Cambria" w:hAnsi="Cambria" w:cs="Arial"/>
          <w:sz w:val="24"/>
          <w:szCs w:val="24"/>
        </w:rPr>
        <w:t>the liquidator</w:t>
      </w:r>
      <w:r w:rsidR="008F57C9" w:rsidRPr="007A3EF0">
        <w:rPr>
          <w:rFonts w:ascii="Cambria" w:hAnsi="Cambria" w:cs="Arial"/>
          <w:sz w:val="24"/>
          <w:szCs w:val="24"/>
        </w:rPr>
        <w:t xml:space="preserve"> would be free to realise Flow’s assets in those jurisdictions.</w:t>
      </w:r>
    </w:p>
    <w:p w14:paraId="3AF67B7D" w14:textId="77777777" w:rsidR="00D2562F" w:rsidRPr="007A3EF0" w:rsidRDefault="00D2562F" w:rsidP="00D2562F">
      <w:pPr>
        <w:pStyle w:val="ListParagraph"/>
        <w:ind w:left="284"/>
        <w:jc w:val="both"/>
        <w:rPr>
          <w:rFonts w:ascii="Cambria" w:hAnsi="Cambria" w:cs="Arial"/>
          <w:sz w:val="24"/>
          <w:szCs w:val="24"/>
        </w:rPr>
      </w:pPr>
    </w:p>
    <w:p w14:paraId="776EBBC0" w14:textId="77777777" w:rsidR="000F0967" w:rsidRDefault="00D2562F" w:rsidP="00D2562F">
      <w:pPr>
        <w:pStyle w:val="ListParagraph"/>
        <w:numPr>
          <w:ilvl w:val="0"/>
          <w:numId w:val="5"/>
        </w:numPr>
        <w:ind w:left="284"/>
        <w:jc w:val="both"/>
        <w:rPr>
          <w:rFonts w:ascii="Cambria" w:hAnsi="Cambria" w:cs="Arial"/>
          <w:sz w:val="24"/>
          <w:szCs w:val="24"/>
        </w:rPr>
      </w:pPr>
      <w:r w:rsidRPr="007A3EF0">
        <w:rPr>
          <w:rFonts w:ascii="Cambria" w:hAnsi="Cambria" w:cs="Arial"/>
          <w:sz w:val="24"/>
          <w:szCs w:val="24"/>
        </w:rPr>
        <w:t xml:space="preserve">In respect of Spain and France, both countries are signatories of the European Union’s “European Insolvency Regulation Recast” (“EIR Recast”) which provides a common platform of rules relating to international jurisdiction, the recognition of insolvency judgments, applicable law in insolvency matters and cooperation between insolvency practitioners. The EIR Recast provides for the immediate recognition of judgments/orders concerning the opening, conduct and closure of insolvency proceedings which fall within the scope of the EIR Recast (s. 65). Judgments/orders handed down in direct connection with such insolvency proceedings are similarly recognised immediately and automatically (Article 19). </w:t>
      </w:r>
    </w:p>
    <w:p w14:paraId="6E25A810" w14:textId="77777777" w:rsidR="000F0967" w:rsidRPr="000F0967" w:rsidRDefault="000F0967" w:rsidP="000F0967">
      <w:pPr>
        <w:pStyle w:val="ListParagraph"/>
        <w:rPr>
          <w:rFonts w:ascii="Cambria" w:hAnsi="Cambria" w:cs="Arial"/>
          <w:sz w:val="24"/>
          <w:szCs w:val="24"/>
        </w:rPr>
      </w:pPr>
    </w:p>
    <w:p w14:paraId="2B43081E" w14:textId="73E822BB" w:rsidR="00D2562F" w:rsidRDefault="00D2562F" w:rsidP="000F0967">
      <w:pPr>
        <w:pStyle w:val="ListParagraph"/>
        <w:numPr>
          <w:ilvl w:val="0"/>
          <w:numId w:val="5"/>
        </w:numPr>
        <w:ind w:left="284"/>
        <w:jc w:val="both"/>
        <w:rPr>
          <w:rFonts w:ascii="Cambria" w:hAnsi="Cambria" w:cs="Arial"/>
          <w:sz w:val="24"/>
          <w:szCs w:val="24"/>
        </w:rPr>
      </w:pPr>
      <w:r w:rsidRPr="007A3EF0">
        <w:rPr>
          <w:rFonts w:ascii="Cambria" w:hAnsi="Cambria" w:cs="Arial"/>
          <w:sz w:val="24"/>
          <w:szCs w:val="24"/>
        </w:rPr>
        <w:t>Orders appointing a Dutch liquidator in respect of Flow will therefore be immediately recognised in France and Spain which would permit the direct dealing by the liquidator with the shares of FMW Spain and FMW France.</w:t>
      </w:r>
    </w:p>
    <w:p w14:paraId="46879C5F" w14:textId="77777777" w:rsidR="000F0967" w:rsidRPr="000F0967" w:rsidRDefault="000F0967" w:rsidP="000F0967">
      <w:pPr>
        <w:pStyle w:val="ListParagraph"/>
        <w:rPr>
          <w:rFonts w:ascii="Cambria" w:hAnsi="Cambria" w:cs="Arial"/>
          <w:sz w:val="24"/>
          <w:szCs w:val="24"/>
        </w:rPr>
      </w:pPr>
    </w:p>
    <w:p w14:paraId="7ADA9E12" w14:textId="58451432" w:rsidR="000F0967" w:rsidRDefault="00D2562F" w:rsidP="000F0967">
      <w:pPr>
        <w:pStyle w:val="ListParagraph"/>
        <w:numPr>
          <w:ilvl w:val="0"/>
          <w:numId w:val="5"/>
        </w:numPr>
        <w:ind w:left="284"/>
        <w:jc w:val="both"/>
        <w:rPr>
          <w:rFonts w:ascii="Cambria" w:hAnsi="Cambria" w:cs="Arial"/>
          <w:sz w:val="24"/>
          <w:szCs w:val="24"/>
        </w:rPr>
      </w:pPr>
      <w:r w:rsidRPr="000F0967">
        <w:rPr>
          <w:rFonts w:ascii="Cambria" w:hAnsi="Cambria" w:cs="Arial"/>
          <w:sz w:val="24"/>
          <w:szCs w:val="24"/>
        </w:rPr>
        <w:t>Australia and the United States have both adopted the UNCITRAL (United Nations Commission on International Trade Law) Model Law on Cross-Border Insolvency Law</w:t>
      </w:r>
      <w:r w:rsidRPr="007A3EF0">
        <w:rPr>
          <w:rStyle w:val="FootnoteReference"/>
          <w:rFonts w:ascii="Cambria" w:hAnsi="Cambria" w:cs="Arial"/>
          <w:sz w:val="24"/>
          <w:szCs w:val="24"/>
        </w:rPr>
        <w:footnoteReference w:id="25"/>
      </w:r>
      <w:r w:rsidRPr="000F0967">
        <w:rPr>
          <w:rFonts w:ascii="Cambria" w:hAnsi="Cambria" w:cs="Arial"/>
          <w:sz w:val="24"/>
          <w:szCs w:val="24"/>
        </w:rPr>
        <w:t>. The UNCITRAL Model Law was adopted by the Commission in 1997</w:t>
      </w:r>
      <w:r w:rsidR="000F0967">
        <w:rPr>
          <w:rFonts w:ascii="Cambria" w:hAnsi="Cambria" w:cs="Arial"/>
          <w:sz w:val="24"/>
          <w:szCs w:val="24"/>
        </w:rPr>
        <w:t xml:space="preserve">. </w:t>
      </w:r>
    </w:p>
    <w:p w14:paraId="78216F69" w14:textId="77777777" w:rsidR="000F0967" w:rsidRPr="000F0967" w:rsidRDefault="000F0967" w:rsidP="000F0967">
      <w:pPr>
        <w:pStyle w:val="ListParagraph"/>
        <w:rPr>
          <w:rFonts w:ascii="Cambria" w:hAnsi="Cambria" w:cs="Arial"/>
          <w:sz w:val="24"/>
          <w:szCs w:val="24"/>
        </w:rPr>
      </w:pPr>
    </w:p>
    <w:p w14:paraId="4CA6632F" w14:textId="77777777" w:rsidR="000F0967" w:rsidRDefault="00D2562F" w:rsidP="000F0967">
      <w:pPr>
        <w:pStyle w:val="ListParagraph"/>
        <w:numPr>
          <w:ilvl w:val="0"/>
          <w:numId w:val="5"/>
        </w:numPr>
        <w:ind w:left="284"/>
        <w:jc w:val="both"/>
        <w:rPr>
          <w:rFonts w:ascii="Cambria" w:hAnsi="Cambria" w:cs="Arial"/>
          <w:sz w:val="24"/>
          <w:szCs w:val="24"/>
        </w:rPr>
      </w:pPr>
      <w:r w:rsidRPr="000F0967">
        <w:rPr>
          <w:rFonts w:ascii="Cambria" w:hAnsi="Cambria" w:cs="Arial"/>
          <w:sz w:val="24"/>
          <w:szCs w:val="24"/>
        </w:rPr>
        <w:t xml:space="preserve">The Model Law as enacted in those jurisdictions would permit a foreign representative to apply to the court for recognition of the foreign proceeding in which the foreign representative was appointed (Article 15). </w:t>
      </w:r>
    </w:p>
    <w:p w14:paraId="2637D565" w14:textId="77777777" w:rsidR="000F0967" w:rsidRPr="000F0967" w:rsidRDefault="000F0967" w:rsidP="000F0967">
      <w:pPr>
        <w:pStyle w:val="ListParagraph"/>
        <w:rPr>
          <w:rFonts w:ascii="Cambria" w:hAnsi="Cambria" w:cs="Arial"/>
          <w:sz w:val="24"/>
          <w:szCs w:val="24"/>
        </w:rPr>
      </w:pPr>
    </w:p>
    <w:p w14:paraId="4EDB5861" w14:textId="291F5817" w:rsidR="00D2562F" w:rsidRPr="000F0967" w:rsidRDefault="000F0967" w:rsidP="000F0967">
      <w:pPr>
        <w:pStyle w:val="ListParagraph"/>
        <w:numPr>
          <w:ilvl w:val="0"/>
          <w:numId w:val="5"/>
        </w:numPr>
        <w:ind w:left="284"/>
        <w:jc w:val="both"/>
        <w:rPr>
          <w:rFonts w:ascii="Cambria" w:hAnsi="Cambria" w:cs="Arial"/>
          <w:sz w:val="24"/>
          <w:szCs w:val="24"/>
        </w:rPr>
      </w:pPr>
      <w:r>
        <w:rPr>
          <w:rFonts w:ascii="Cambria" w:hAnsi="Cambria" w:cs="Arial"/>
          <w:sz w:val="24"/>
          <w:szCs w:val="24"/>
        </w:rPr>
        <w:t xml:space="preserve">Such an application </w:t>
      </w:r>
      <w:r w:rsidR="00D2562F" w:rsidRPr="000F0967">
        <w:rPr>
          <w:rFonts w:ascii="Cambria" w:hAnsi="Cambria" w:cs="Arial"/>
          <w:sz w:val="24"/>
          <w:szCs w:val="24"/>
        </w:rPr>
        <w:t>will be recognised if:</w:t>
      </w:r>
    </w:p>
    <w:p w14:paraId="4FDA6784" w14:textId="540C64DB" w:rsidR="00D2562F" w:rsidRPr="007A3EF0" w:rsidRDefault="00D2562F" w:rsidP="00F930A5">
      <w:pPr>
        <w:pStyle w:val="ListParagraph"/>
        <w:ind w:left="567"/>
        <w:jc w:val="both"/>
        <w:rPr>
          <w:rFonts w:ascii="Cambria" w:hAnsi="Cambria" w:cs="Arial"/>
          <w:sz w:val="24"/>
          <w:szCs w:val="24"/>
        </w:rPr>
      </w:pPr>
      <w:r w:rsidRPr="007A3EF0">
        <w:rPr>
          <w:rFonts w:ascii="Cambria" w:hAnsi="Cambria" w:cs="Arial"/>
          <w:sz w:val="24"/>
          <w:szCs w:val="24"/>
        </w:rPr>
        <w:t>(a) The foreign proceeding is a proceeding within the meaning of subparagraph (a) of article 2; [</w:t>
      </w:r>
      <w:r w:rsidRPr="007A3EF0">
        <w:rPr>
          <w:rFonts w:ascii="Cambria" w:hAnsi="Cambria" w:cs="Arial"/>
          <w:i/>
          <w:iCs/>
          <w:sz w:val="24"/>
          <w:szCs w:val="24"/>
        </w:rPr>
        <w:t>a collective insolvency proceeding</w:t>
      </w:r>
      <w:r w:rsidR="00F930A5" w:rsidRPr="007A3EF0">
        <w:rPr>
          <w:rFonts w:ascii="Cambria" w:hAnsi="Cambria" w:cs="Arial"/>
          <w:i/>
          <w:iCs/>
          <w:sz w:val="24"/>
          <w:szCs w:val="24"/>
        </w:rPr>
        <w:t>,</w:t>
      </w:r>
      <w:r w:rsidRPr="007A3EF0">
        <w:rPr>
          <w:rFonts w:ascii="Cambria" w:hAnsi="Cambria" w:cs="Arial"/>
          <w:i/>
          <w:iCs/>
          <w:sz w:val="24"/>
          <w:szCs w:val="24"/>
        </w:rPr>
        <w:t xml:space="preserve"> as a </w:t>
      </w:r>
      <w:r w:rsidR="005541BE">
        <w:rPr>
          <w:rFonts w:ascii="Cambria" w:hAnsi="Cambria" w:cs="Arial"/>
          <w:i/>
          <w:iCs/>
          <w:sz w:val="24"/>
          <w:szCs w:val="24"/>
        </w:rPr>
        <w:t>Dutch liquidation</w:t>
      </w:r>
      <w:r w:rsidRPr="007A3EF0">
        <w:rPr>
          <w:rFonts w:ascii="Cambria" w:hAnsi="Cambria" w:cs="Arial"/>
          <w:i/>
          <w:iCs/>
          <w:sz w:val="24"/>
          <w:szCs w:val="24"/>
        </w:rPr>
        <w:t xml:space="preserve"> would be</w:t>
      </w:r>
      <w:r w:rsidRPr="007A3EF0">
        <w:rPr>
          <w:rFonts w:ascii="Cambria" w:hAnsi="Cambria" w:cs="Arial"/>
          <w:sz w:val="24"/>
          <w:szCs w:val="24"/>
        </w:rPr>
        <w:t>]</w:t>
      </w:r>
    </w:p>
    <w:p w14:paraId="08C20A79" w14:textId="7AC59E79" w:rsidR="00D2562F" w:rsidRPr="007A3EF0" w:rsidRDefault="00D2562F" w:rsidP="00F930A5">
      <w:pPr>
        <w:pStyle w:val="ListParagraph"/>
        <w:ind w:left="567"/>
        <w:jc w:val="both"/>
        <w:rPr>
          <w:rFonts w:ascii="Cambria" w:hAnsi="Cambria" w:cs="Arial"/>
          <w:sz w:val="24"/>
          <w:szCs w:val="24"/>
        </w:rPr>
      </w:pPr>
      <w:r w:rsidRPr="007A3EF0">
        <w:rPr>
          <w:rFonts w:ascii="Cambria" w:hAnsi="Cambria" w:cs="Arial"/>
          <w:sz w:val="24"/>
          <w:szCs w:val="24"/>
        </w:rPr>
        <w:t>(b) The foreign representative applying for recognition is a person or body within the meaning of subparagraph (d) of article 2; [</w:t>
      </w:r>
      <w:r w:rsidRPr="007A3EF0">
        <w:rPr>
          <w:rFonts w:ascii="Cambria" w:hAnsi="Cambria" w:cs="Arial"/>
          <w:i/>
          <w:iCs/>
          <w:sz w:val="24"/>
          <w:szCs w:val="24"/>
        </w:rPr>
        <w:t>as a Dutch liquidator would be</w:t>
      </w:r>
      <w:r w:rsidRPr="007A3EF0">
        <w:rPr>
          <w:rFonts w:ascii="Cambria" w:hAnsi="Cambria" w:cs="Arial"/>
          <w:sz w:val="24"/>
          <w:szCs w:val="24"/>
        </w:rPr>
        <w:t>]</w:t>
      </w:r>
    </w:p>
    <w:p w14:paraId="17187D6E" w14:textId="77777777" w:rsidR="00D2562F" w:rsidRPr="007A3EF0" w:rsidRDefault="00D2562F" w:rsidP="00F930A5">
      <w:pPr>
        <w:pStyle w:val="ListParagraph"/>
        <w:ind w:left="567"/>
        <w:jc w:val="both"/>
        <w:rPr>
          <w:rFonts w:ascii="Cambria" w:hAnsi="Cambria" w:cs="Arial"/>
          <w:sz w:val="24"/>
          <w:szCs w:val="24"/>
        </w:rPr>
      </w:pPr>
      <w:r w:rsidRPr="007A3EF0">
        <w:rPr>
          <w:rFonts w:ascii="Cambria" w:hAnsi="Cambria" w:cs="Arial"/>
          <w:sz w:val="24"/>
          <w:szCs w:val="24"/>
        </w:rPr>
        <w:t>(c) The application meets the requirements of paragraph 2 of article 15; and</w:t>
      </w:r>
    </w:p>
    <w:p w14:paraId="2190A4A7" w14:textId="77777777" w:rsidR="00D2562F" w:rsidRPr="007A3EF0" w:rsidRDefault="00D2562F" w:rsidP="00F930A5">
      <w:pPr>
        <w:pStyle w:val="ListParagraph"/>
        <w:ind w:left="567"/>
        <w:jc w:val="both"/>
        <w:rPr>
          <w:rFonts w:ascii="Cambria" w:hAnsi="Cambria" w:cs="Arial"/>
          <w:sz w:val="24"/>
          <w:szCs w:val="24"/>
        </w:rPr>
      </w:pPr>
      <w:r w:rsidRPr="007A3EF0">
        <w:rPr>
          <w:rFonts w:ascii="Cambria" w:hAnsi="Cambria" w:cs="Arial"/>
          <w:sz w:val="24"/>
          <w:szCs w:val="24"/>
        </w:rPr>
        <w:t>(d) The application has been submitted to the court referred to in article 4 [</w:t>
      </w:r>
      <w:r w:rsidRPr="007A3EF0">
        <w:rPr>
          <w:rFonts w:ascii="Cambria" w:hAnsi="Cambria" w:cs="Arial"/>
          <w:i/>
          <w:iCs/>
          <w:sz w:val="24"/>
          <w:szCs w:val="24"/>
        </w:rPr>
        <w:t>the courts with jurisdiction in Australia and the USA to hear such proceedings</w:t>
      </w:r>
      <w:r w:rsidRPr="007A3EF0">
        <w:rPr>
          <w:rFonts w:ascii="Cambria" w:hAnsi="Cambria" w:cs="Arial"/>
          <w:sz w:val="24"/>
          <w:szCs w:val="24"/>
        </w:rPr>
        <w:t>].”</w:t>
      </w:r>
      <w:r w:rsidRPr="007A3EF0">
        <w:rPr>
          <w:rStyle w:val="FootnoteReference"/>
          <w:rFonts w:ascii="Cambria" w:hAnsi="Cambria" w:cs="Arial"/>
          <w:sz w:val="24"/>
          <w:szCs w:val="24"/>
        </w:rPr>
        <w:footnoteReference w:id="26"/>
      </w:r>
      <w:r w:rsidRPr="007A3EF0">
        <w:rPr>
          <w:rFonts w:ascii="Cambria" w:hAnsi="Cambria" w:cs="Arial"/>
          <w:sz w:val="24"/>
          <w:szCs w:val="24"/>
        </w:rPr>
        <w:t xml:space="preserve"> </w:t>
      </w:r>
    </w:p>
    <w:p w14:paraId="3BEBC5DA" w14:textId="77777777" w:rsidR="00D2562F" w:rsidRPr="007A3EF0" w:rsidRDefault="00D2562F" w:rsidP="00D2562F">
      <w:pPr>
        <w:pStyle w:val="ListParagraph"/>
        <w:ind w:left="284"/>
        <w:jc w:val="both"/>
        <w:rPr>
          <w:rFonts w:ascii="Cambria" w:hAnsi="Cambria" w:cs="Arial"/>
          <w:sz w:val="24"/>
          <w:szCs w:val="24"/>
        </w:rPr>
      </w:pPr>
    </w:p>
    <w:p w14:paraId="45095D47" w14:textId="400499AA" w:rsidR="00D2562F" w:rsidRPr="007A3EF0" w:rsidRDefault="00D2562F" w:rsidP="00D2562F">
      <w:pPr>
        <w:pStyle w:val="ListParagraph"/>
        <w:numPr>
          <w:ilvl w:val="0"/>
          <w:numId w:val="5"/>
        </w:numPr>
        <w:ind w:left="284"/>
        <w:jc w:val="both"/>
        <w:rPr>
          <w:rFonts w:ascii="Cambria" w:hAnsi="Cambria" w:cs="Arial"/>
          <w:sz w:val="24"/>
          <w:szCs w:val="24"/>
        </w:rPr>
      </w:pPr>
      <w:r w:rsidRPr="007A3EF0">
        <w:rPr>
          <w:rFonts w:ascii="Cambria" w:hAnsi="Cambria" w:cs="Arial"/>
          <w:sz w:val="24"/>
          <w:szCs w:val="24"/>
        </w:rPr>
        <w:t>The effect of recognition would</w:t>
      </w:r>
      <w:r w:rsidR="005541BE">
        <w:rPr>
          <w:rFonts w:ascii="Cambria" w:hAnsi="Cambria" w:cs="Arial"/>
          <w:sz w:val="24"/>
          <w:szCs w:val="24"/>
        </w:rPr>
        <w:t xml:space="preserve"> include a stay on </w:t>
      </w:r>
      <w:r w:rsidRPr="007A3EF0">
        <w:rPr>
          <w:rFonts w:ascii="Cambria" w:hAnsi="Cambria" w:cs="Arial"/>
          <w:sz w:val="24"/>
          <w:szCs w:val="24"/>
        </w:rPr>
        <w:t>the commencement or continuation of individual actions or proceedings concerning the assets, rights, obligations or liabilities of Flow’s subsidiaries in Australia and USA will be stayed</w:t>
      </w:r>
      <w:r w:rsidRPr="007A3EF0">
        <w:rPr>
          <w:rStyle w:val="FootnoteReference"/>
          <w:rFonts w:ascii="Cambria" w:hAnsi="Cambria" w:cs="Arial"/>
          <w:sz w:val="24"/>
          <w:szCs w:val="24"/>
        </w:rPr>
        <w:footnoteReference w:id="27"/>
      </w:r>
      <w:r w:rsidRPr="007A3EF0">
        <w:rPr>
          <w:rFonts w:ascii="Cambria" w:hAnsi="Cambria" w:cs="Arial"/>
          <w:sz w:val="24"/>
          <w:szCs w:val="24"/>
        </w:rPr>
        <w:t xml:space="preserve"> and the Dutch liquidator would be entitled to relief. The relief that would be sought in this case is that the Dutch </w:t>
      </w:r>
      <w:r w:rsidR="008F57C9" w:rsidRPr="007A3EF0">
        <w:rPr>
          <w:rFonts w:ascii="Cambria" w:hAnsi="Cambria" w:cs="Arial"/>
          <w:sz w:val="24"/>
          <w:szCs w:val="24"/>
        </w:rPr>
        <w:t>l</w:t>
      </w:r>
      <w:r w:rsidRPr="007A3EF0">
        <w:rPr>
          <w:rFonts w:ascii="Cambria" w:hAnsi="Cambria" w:cs="Arial"/>
          <w:sz w:val="24"/>
          <w:szCs w:val="24"/>
        </w:rPr>
        <w:t>iquidator be entrusted with the administration or realization of the debtor’s assets in Australia and the United States under Article 21(1)(e) of the Model Law.</w:t>
      </w:r>
    </w:p>
    <w:p w14:paraId="689D9890" w14:textId="77777777" w:rsidR="00F930A5" w:rsidRPr="007A3EF0" w:rsidRDefault="00F930A5" w:rsidP="00F930A5">
      <w:pPr>
        <w:pStyle w:val="ListParagraph"/>
        <w:ind w:left="284"/>
        <w:jc w:val="both"/>
        <w:rPr>
          <w:rFonts w:ascii="Cambria" w:hAnsi="Cambria" w:cs="Arial"/>
          <w:sz w:val="24"/>
          <w:szCs w:val="24"/>
        </w:rPr>
      </w:pPr>
    </w:p>
    <w:p w14:paraId="16BF606F" w14:textId="77777777" w:rsidR="008F57C9" w:rsidRPr="007A3EF0" w:rsidRDefault="00D2562F" w:rsidP="00D2562F">
      <w:pPr>
        <w:pStyle w:val="ListParagraph"/>
        <w:numPr>
          <w:ilvl w:val="0"/>
          <w:numId w:val="5"/>
        </w:numPr>
        <w:ind w:left="284"/>
        <w:jc w:val="both"/>
        <w:rPr>
          <w:rFonts w:ascii="Cambria" w:hAnsi="Cambria" w:cs="Arial"/>
          <w:sz w:val="24"/>
          <w:szCs w:val="24"/>
        </w:rPr>
      </w:pPr>
      <w:r w:rsidRPr="007A3EF0">
        <w:rPr>
          <w:rFonts w:ascii="Cambria" w:hAnsi="Cambria" w:cs="Arial"/>
          <w:sz w:val="24"/>
          <w:szCs w:val="24"/>
        </w:rPr>
        <w:t>In respect of the subsidiary in South Africa, although that jurisdiction has adopted the Model Law in the Cross-Border Insolvency Act 2000, the provisions thereof continue to be dormant as it was implemented with reciprocity requirements that were so stringent that</w:t>
      </w:r>
      <w:r w:rsidR="008F57C9" w:rsidRPr="007A3EF0">
        <w:rPr>
          <w:rFonts w:ascii="Cambria" w:hAnsi="Cambria" w:cs="Arial"/>
          <w:sz w:val="24"/>
          <w:szCs w:val="24"/>
        </w:rPr>
        <w:t xml:space="preserve"> neither</w:t>
      </w:r>
      <w:r w:rsidRPr="007A3EF0">
        <w:rPr>
          <w:rFonts w:ascii="Cambria" w:hAnsi="Cambria" w:cs="Arial"/>
          <w:sz w:val="24"/>
          <w:szCs w:val="24"/>
        </w:rPr>
        <w:t xml:space="preserve"> the Netherlands </w:t>
      </w:r>
      <w:r w:rsidR="008F57C9" w:rsidRPr="007A3EF0">
        <w:rPr>
          <w:rFonts w:ascii="Cambria" w:hAnsi="Cambria" w:cs="Arial"/>
          <w:sz w:val="24"/>
          <w:szCs w:val="24"/>
        </w:rPr>
        <w:t>n</w:t>
      </w:r>
      <w:r w:rsidRPr="007A3EF0">
        <w:rPr>
          <w:rFonts w:ascii="Cambria" w:hAnsi="Cambria" w:cs="Arial"/>
          <w:sz w:val="24"/>
          <w:szCs w:val="24"/>
        </w:rPr>
        <w:t xml:space="preserve">or any other country would qualify to take advantage of them. </w:t>
      </w:r>
    </w:p>
    <w:p w14:paraId="46E3429D" w14:textId="77777777" w:rsidR="008F57C9" w:rsidRPr="007A3EF0" w:rsidRDefault="008F57C9" w:rsidP="008F57C9">
      <w:pPr>
        <w:pStyle w:val="ListParagraph"/>
        <w:rPr>
          <w:rFonts w:ascii="Cambria" w:hAnsi="Cambria" w:cs="Arial"/>
          <w:sz w:val="24"/>
          <w:szCs w:val="24"/>
        </w:rPr>
      </w:pPr>
    </w:p>
    <w:p w14:paraId="59DB3D6A" w14:textId="12B28CCA" w:rsidR="005541BE" w:rsidRDefault="00D2562F" w:rsidP="005541BE">
      <w:pPr>
        <w:pStyle w:val="ListParagraph"/>
        <w:numPr>
          <w:ilvl w:val="0"/>
          <w:numId w:val="5"/>
        </w:numPr>
        <w:ind w:left="284"/>
        <w:jc w:val="both"/>
        <w:rPr>
          <w:rFonts w:ascii="Cambria" w:hAnsi="Cambria" w:cs="Arial"/>
          <w:sz w:val="24"/>
          <w:szCs w:val="24"/>
        </w:rPr>
      </w:pPr>
      <w:r w:rsidRPr="007A3EF0">
        <w:rPr>
          <w:rFonts w:ascii="Cambria" w:hAnsi="Cambria" w:cs="Arial"/>
          <w:sz w:val="24"/>
          <w:szCs w:val="24"/>
        </w:rPr>
        <w:t xml:space="preserve">It would, however, be open to the Dutch </w:t>
      </w:r>
      <w:r w:rsidR="008F57C9" w:rsidRPr="007A3EF0">
        <w:rPr>
          <w:rFonts w:ascii="Cambria" w:hAnsi="Cambria" w:cs="Arial"/>
          <w:sz w:val="24"/>
          <w:szCs w:val="24"/>
        </w:rPr>
        <w:t>l</w:t>
      </w:r>
      <w:r w:rsidRPr="007A3EF0">
        <w:rPr>
          <w:rFonts w:ascii="Cambria" w:hAnsi="Cambria" w:cs="Arial"/>
          <w:sz w:val="24"/>
          <w:szCs w:val="24"/>
        </w:rPr>
        <w:t>iquidator to rely on South African jurisprudence deciding that there is a general discretion by the South African courts to assist foreign insolvency proceedings either ‘as if’ they were domestic insolvency proceedings or by analogy to them</w:t>
      </w:r>
      <w:r w:rsidRPr="007A3EF0">
        <w:rPr>
          <w:rStyle w:val="FootnoteReference"/>
          <w:rFonts w:ascii="Cambria" w:hAnsi="Cambria" w:cs="Arial"/>
          <w:sz w:val="24"/>
          <w:szCs w:val="24"/>
        </w:rPr>
        <w:footnoteReference w:id="28"/>
      </w:r>
      <w:r w:rsidRPr="007A3EF0">
        <w:rPr>
          <w:rFonts w:ascii="Cambria" w:hAnsi="Cambria" w:cs="Arial"/>
          <w:sz w:val="24"/>
          <w:szCs w:val="24"/>
        </w:rPr>
        <w:t xml:space="preserve">. </w:t>
      </w:r>
    </w:p>
    <w:p w14:paraId="09D1BDB7" w14:textId="77777777" w:rsidR="005541BE" w:rsidRPr="005541BE" w:rsidRDefault="005541BE" w:rsidP="005541BE">
      <w:pPr>
        <w:pStyle w:val="ListParagraph"/>
        <w:rPr>
          <w:rFonts w:ascii="Cambria" w:hAnsi="Cambria" w:cs="Arial"/>
          <w:sz w:val="24"/>
          <w:szCs w:val="24"/>
        </w:rPr>
      </w:pPr>
    </w:p>
    <w:p w14:paraId="51A58DAF" w14:textId="2A2DB158" w:rsidR="004B64D3" w:rsidRPr="005541BE" w:rsidRDefault="005541BE" w:rsidP="005541BE">
      <w:pPr>
        <w:pStyle w:val="ListParagraph"/>
        <w:numPr>
          <w:ilvl w:val="0"/>
          <w:numId w:val="5"/>
        </w:numPr>
        <w:ind w:left="284"/>
        <w:jc w:val="both"/>
        <w:rPr>
          <w:rFonts w:ascii="Cambria" w:hAnsi="Cambria" w:cs="Arial"/>
          <w:sz w:val="24"/>
          <w:szCs w:val="24"/>
        </w:rPr>
      </w:pPr>
      <w:r>
        <w:rPr>
          <w:rFonts w:ascii="Cambria" w:hAnsi="Cambria" w:cs="Arial"/>
          <w:sz w:val="24"/>
          <w:szCs w:val="24"/>
        </w:rPr>
        <w:t>The</w:t>
      </w:r>
      <w:r w:rsidR="00D3425C" w:rsidRPr="005541BE">
        <w:rPr>
          <w:rFonts w:ascii="Cambria" w:hAnsi="Cambria" w:cs="Arial"/>
          <w:sz w:val="24"/>
          <w:szCs w:val="24"/>
        </w:rPr>
        <w:t xml:space="preserve"> bonuses were wrongfully </w:t>
      </w:r>
      <w:r w:rsidR="00B37175" w:rsidRPr="005541BE">
        <w:rPr>
          <w:rFonts w:ascii="Cambria" w:hAnsi="Cambria" w:cs="Arial"/>
          <w:sz w:val="24"/>
          <w:szCs w:val="24"/>
        </w:rPr>
        <w:t>paid</w:t>
      </w:r>
      <w:r w:rsidR="00D3425C" w:rsidRPr="005541BE">
        <w:rPr>
          <w:rFonts w:ascii="Cambria" w:hAnsi="Cambria" w:cs="Arial"/>
          <w:sz w:val="24"/>
          <w:szCs w:val="24"/>
        </w:rPr>
        <w:t xml:space="preserve"> by Flow leading up to the financial crisis. </w:t>
      </w:r>
      <w:r w:rsidR="008F57C9" w:rsidRPr="005541BE">
        <w:rPr>
          <w:rFonts w:ascii="Cambria" w:hAnsi="Cambria" w:cs="Arial"/>
          <w:sz w:val="24"/>
          <w:szCs w:val="24"/>
        </w:rPr>
        <w:t xml:space="preserve">It was </w:t>
      </w:r>
      <w:r w:rsidR="00D3425C" w:rsidRPr="005541BE">
        <w:rPr>
          <w:rFonts w:ascii="Cambria" w:hAnsi="Cambria" w:cs="Arial"/>
          <w:sz w:val="24"/>
          <w:szCs w:val="24"/>
        </w:rPr>
        <w:t xml:space="preserve">in fact the CEO and the CFO </w:t>
      </w:r>
      <w:r w:rsidR="008F57C9" w:rsidRPr="005541BE">
        <w:rPr>
          <w:rFonts w:ascii="Cambria" w:hAnsi="Cambria" w:cs="Arial"/>
          <w:sz w:val="24"/>
          <w:szCs w:val="24"/>
        </w:rPr>
        <w:t xml:space="preserve">who were paid the bonuses, </w:t>
      </w:r>
      <w:r w:rsidR="00D3425C" w:rsidRPr="005541BE">
        <w:rPr>
          <w:rFonts w:ascii="Cambria" w:hAnsi="Cambria" w:cs="Arial"/>
          <w:sz w:val="24"/>
          <w:szCs w:val="24"/>
        </w:rPr>
        <w:t xml:space="preserve">presided over the woeful information </w:t>
      </w:r>
      <w:r>
        <w:rPr>
          <w:rFonts w:ascii="Cambria" w:hAnsi="Cambria" w:cs="Arial"/>
          <w:sz w:val="24"/>
          <w:szCs w:val="24"/>
        </w:rPr>
        <w:t>management. Under applicable</w:t>
      </w:r>
      <w:r w:rsidR="00D3425C" w:rsidRPr="005541BE">
        <w:rPr>
          <w:rFonts w:ascii="Cambria" w:hAnsi="Cambria" w:cs="Arial"/>
          <w:sz w:val="24"/>
          <w:szCs w:val="24"/>
        </w:rPr>
        <w:t xml:space="preserve"> Dutch law there is the possibility for a liquidator to initiate “claw back” proceedings</w:t>
      </w:r>
      <w:r>
        <w:rPr>
          <w:rFonts w:ascii="Cambria" w:hAnsi="Cambria" w:cs="Arial"/>
          <w:sz w:val="24"/>
          <w:szCs w:val="24"/>
        </w:rPr>
        <w:t>.</w:t>
      </w:r>
      <w:r w:rsidR="00D3425C" w:rsidRPr="005541BE">
        <w:rPr>
          <w:rFonts w:ascii="Cambria" w:hAnsi="Cambria" w:cs="Arial"/>
          <w:sz w:val="24"/>
          <w:szCs w:val="24"/>
        </w:rPr>
        <w:t xml:space="preserve"> Such proceedings would permit the liquidator to make the claim that the payment of the bonuses at the time were prejudicial to the company’s creditors and should be rescinded</w:t>
      </w:r>
      <w:r w:rsidR="00657749" w:rsidRPr="007A3EF0">
        <w:rPr>
          <w:rStyle w:val="FootnoteReference"/>
          <w:rFonts w:ascii="Cambria" w:hAnsi="Cambria" w:cs="Arial"/>
          <w:sz w:val="24"/>
          <w:szCs w:val="24"/>
        </w:rPr>
        <w:footnoteReference w:id="29"/>
      </w:r>
      <w:r w:rsidR="00D3425C" w:rsidRPr="005541BE">
        <w:rPr>
          <w:rFonts w:ascii="Cambria" w:hAnsi="Cambria" w:cs="Arial"/>
          <w:sz w:val="24"/>
          <w:szCs w:val="24"/>
        </w:rPr>
        <w:t>.</w:t>
      </w:r>
      <w:r w:rsidR="00657749" w:rsidRPr="005541BE">
        <w:rPr>
          <w:rFonts w:ascii="Cambria" w:hAnsi="Cambria" w:cs="Arial"/>
          <w:sz w:val="24"/>
          <w:szCs w:val="24"/>
        </w:rPr>
        <w:t xml:space="preserve"> The liquidator would have to prove in such a claim that </w:t>
      </w:r>
      <w:r w:rsidR="000F6377" w:rsidRPr="005541BE">
        <w:rPr>
          <w:rFonts w:ascii="Cambria" w:hAnsi="Cambria" w:cs="Arial"/>
          <w:sz w:val="24"/>
          <w:szCs w:val="24"/>
        </w:rPr>
        <w:t>Flow</w:t>
      </w:r>
      <w:r w:rsidR="00657749" w:rsidRPr="005541BE">
        <w:rPr>
          <w:rFonts w:ascii="Cambria" w:hAnsi="Cambria" w:cs="Arial"/>
          <w:sz w:val="24"/>
          <w:szCs w:val="24"/>
        </w:rPr>
        <w:t xml:space="preserve"> deliberately disadvantaged </w:t>
      </w:r>
      <w:r w:rsidR="000F6377" w:rsidRPr="005541BE">
        <w:rPr>
          <w:rFonts w:ascii="Cambria" w:hAnsi="Cambria" w:cs="Arial"/>
          <w:sz w:val="24"/>
          <w:szCs w:val="24"/>
        </w:rPr>
        <w:t>the</w:t>
      </w:r>
      <w:r w:rsidR="00657749" w:rsidRPr="005541BE">
        <w:rPr>
          <w:rFonts w:ascii="Cambria" w:hAnsi="Cambria" w:cs="Arial"/>
          <w:sz w:val="24"/>
          <w:szCs w:val="24"/>
        </w:rPr>
        <w:t xml:space="preserve"> creditors by the payment of the bonuses and that </w:t>
      </w:r>
      <w:r w:rsidR="00B37175" w:rsidRPr="005541BE">
        <w:rPr>
          <w:rFonts w:ascii="Cambria" w:hAnsi="Cambria" w:cs="Arial"/>
          <w:sz w:val="24"/>
          <w:szCs w:val="24"/>
        </w:rPr>
        <w:t>that</w:t>
      </w:r>
      <w:r w:rsidR="00657749" w:rsidRPr="005541BE">
        <w:rPr>
          <w:rFonts w:ascii="Cambria" w:hAnsi="Cambria" w:cs="Arial"/>
          <w:sz w:val="24"/>
          <w:szCs w:val="24"/>
        </w:rPr>
        <w:t xml:space="preserve"> was known to the opposite part</w:t>
      </w:r>
      <w:r w:rsidR="007A6A05" w:rsidRPr="005541BE">
        <w:rPr>
          <w:rFonts w:ascii="Cambria" w:hAnsi="Cambria" w:cs="Arial"/>
          <w:sz w:val="24"/>
          <w:szCs w:val="24"/>
        </w:rPr>
        <w:t>ies</w:t>
      </w:r>
      <w:r w:rsidR="00657749" w:rsidRPr="005541BE">
        <w:rPr>
          <w:rFonts w:ascii="Cambria" w:hAnsi="Cambria" w:cs="Arial"/>
          <w:sz w:val="24"/>
          <w:szCs w:val="24"/>
        </w:rPr>
        <w:t xml:space="preserve"> in the proceedings</w:t>
      </w:r>
      <w:r w:rsidR="007A6A05" w:rsidRPr="007A3EF0">
        <w:rPr>
          <w:rStyle w:val="FootnoteReference"/>
          <w:rFonts w:ascii="Cambria" w:hAnsi="Cambria" w:cs="Arial"/>
          <w:sz w:val="24"/>
          <w:szCs w:val="24"/>
        </w:rPr>
        <w:footnoteReference w:id="30"/>
      </w:r>
      <w:r w:rsidR="00657749" w:rsidRPr="005541BE">
        <w:rPr>
          <w:rFonts w:ascii="Cambria" w:hAnsi="Cambria" w:cs="Arial"/>
          <w:sz w:val="24"/>
          <w:szCs w:val="24"/>
        </w:rPr>
        <w:t>. Given that</w:t>
      </w:r>
      <w:r w:rsidR="007A6A05" w:rsidRPr="005541BE">
        <w:rPr>
          <w:rFonts w:ascii="Cambria" w:hAnsi="Cambria" w:cs="Arial"/>
          <w:sz w:val="24"/>
          <w:szCs w:val="24"/>
        </w:rPr>
        <w:t xml:space="preserve"> the CEO and CFO would have been well informed of the company’s position it appears that the bonuses are in fact liable to be </w:t>
      </w:r>
      <w:r w:rsidR="000F6377" w:rsidRPr="005541BE">
        <w:rPr>
          <w:rFonts w:ascii="Cambria" w:hAnsi="Cambria" w:cs="Arial"/>
          <w:sz w:val="24"/>
          <w:szCs w:val="24"/>
        </w:rPr>
        <w:t>rescinded</w:t>
      </w:r>
      <w:r w:rsidR="007A6A05" w:rsidRPr="005541BE">
        <w:rPr>
          <w:rFonts w:ascii="Cambria" w:hAnsi="Cambria" w:cs="Arial"/>
          <w:sz w:val="24"/>
          <w:szCs w:val="24"/>
        </w:rPr>
        <w:t xml:space="preserve">. </w:t>
      </w:r>
    </w:p>
    <w:p w14:paraId="2EB55E5F" w14:textId="77777777" w:rsidR="009A55CD" w:rsidRPr="007A3EF0" w:rsidRDefault="009A55CD" w:rsidP="009A55CD">
      <w:pPr>
        <w:pStyle w:val="ListParagraph"/>
        <w:rPr>
          <w:rFonts w:ascii="Cambria" w:hAnsi="Cambria" w:cs="Arial"/>
          <w:sz w:val="24"/>
          <w:szCs w:val="24"/>
        </w:rPr>
      </w:pPr>
    </w:p>
    <w:p w14:paraId="207B2133" w14:textId="33E9BCCC" w:rsidR="009A55CD" w:rsidRPr="007A3EF0" w:rsidRDefault="009A55CD" w:rsidP="009A55CD">
      <w:pPr>
        <w:jc w:val="both"/>
        <w:rPr>
          <w:rFonts w:ascii="Cambria" w:hAnsi="Cambria" w:cs="Arial"/>
          <w:b/>
          <w:bCs/>
          <w:sz w:val="24"/>
          <w:szCs w:val="24"/>
        </w:rPr>
      </w:pPr>
      <w:r w:rsidRPr="007A3EF0">
        <w:rPr>
          <w:rFonts w:ascii="Cambria" w:hAnsi="Cambria" w:cs="Arial"/>
          <w:b/>
          <w:bCs/>
          <w:sz w:val="24"/>
          <w:szCs w:val="24"/>
        </w:rPr>
        <w:t>Question 9</w:t>
      </w:r>
    </w:p>
    <w:p w14:paraId="61B9D772" w14:textId="1C132CE9" w:rsidR="00D2562F" w:rsidRDefault="005541BE" w:rsidP="00F930A5">
      <w:pPr>
        <w:pStyle w:val="ListParagraph"/>
        <w:tabs>
          <w:tab w:val="left" w:pos="284"/>
        </w:tabs>
        <w:ind w:left="284"/>
        <w:jc w:val="both"/>
        <w:rPr>
          <w:rFonts w:ascii="Cambria" w:hAnsi="Cambria" w:cs="Arial"/>
          <w:sz w:val="24"/>
          <w:szCs w:val="24"/>
        </w:rPr>
      </w:pPr>
      <w:r w:rsidRPr="005541BE">
        <w:rPr>
          <w:rFonts w:ascii="Cambria" w:hAnsi="Cambria" w:cs="Arial"/>
          <w:sz w:val="24"/>
          <w:szCs w:val="24"/>
        </w:rPr>
        <w:drawing>
          <wp:inline distT="0" distB="0" distL="0" distR="0" wp14:anchorId="26AEA759" wp14:editId="1556C21C">
            <wp:extent cx="5210902" cy="685896"/>
            <wp:effectExtent l="0" t="0" r="0" b="0"/>
            <wp:docPr id="1254836542"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4836542" name="Picture 1" descr="Text&#10;&#10;Description automatically generated"/>
                    <pic:cNvPicPr/>
                  </pic:nvPicPr>
                  <pic:blipFill>
                    <a:blip r:embed="rId16"/>
                    <a:stretch>
                      <a:fillRect/>
                    </a:stretch>
                  </pic:blipFill>
                  <pic:spPr>
                    <a:xfrm>
                      <a:off x="0" y="0"/>
                      <a:ext cx="5210902" cy="685896"/>
                    </a:xfrm>
                    <a:prstGeom prst="rect">
                      <a:avLst/>
                    </a:prstGeom>
                  </pic:spPr>
                </pic:pic>
              </a:graphicData>
            </a:graphic>
          </wp:inline>
        </w:drawing>
      </w:r>
    </w:p>
    <w:p w14:paraId="01A8C1FF" w14:textId="77777777" w:rsidR="005541BE" w:rsidRPr="007A3EF0" w:rsidRDefault="005541BE" w:rsidP="00F930A5">
      <w:pPr>
        <w:pStyle w:val="ListParagraph"/>
        <w:tabs>
          <w:tab w:val="left" w:pos="284"/>
        </w:tabs>
        <w:ind w:left="284"/>
        <w:jc w:val="both"/>
        <w:rPr>
          <w:rFonts w:ascii="Cambria" w:hAnsi="Cambria" w:cs="Arial"/>
          <w:sz w:val="24"/>
          <w:szCs w:val="24"/>
        </w:rPr>
      </w:pPr>
    </w:p>
    <w:p w14:paraId="3258B74E" w14:textId="1CC43562" w:rsidR="009A55CD" w:rsidRPr="007A3EF0" w:rsidRDefault="009A55CD" w:rsidP="009A55CD">
      <w:pPr>
        <w:pStyle w:val="ListParagraph"/>
        <w:numPr>
          <w:ilvl w:val="0"/>
          <w:numId w:val="5"/>
        </w:numPr>
        <w:ind w:left="284"/>
        <w:jc w:val="both"/>
        <w:rPr>
          <w:rFonts w:ascii="Cambria" w:hAnsi="Cambria" w:cs="Arial"/>
          <w:sz w:val="24"/>
          <w:szCs w:val="24"/>
        </w:rPr>
      </w:pPr>
      <w:r w:rsidRPr="007A3EF0">
        <w:rPr>
          <w:rFonts w:ascii="Cambria" w:hAnsi="Cambria" w:cs="Arial"/>
          <w:sz w:val="24"/>
          <w:szCs w:val="24"/>
        </w:rPr>
        <w:t>A moratorium in</w:t>
      </w:r>
      <w:r w:rsidR="007A6A05" w:rsidRPr="007A3EF0">
        <w:rPr>
          <w:rFonts w:ascii="Cambria" w:hAnsi="Cambria" w:cs="Arial"/>
          <w:sz w:val="24"/>
          <w:szCs w:val="24"/>
        </w:rPr>
        <w:t xml:space="preserve"> the</w:t>
      </w:r>
      <w:r w:rsidRPr="007A3EF0">
        <w:rPr>
          <w:rFonts w:ascii="Cambria" w:hAnsi="Cambria" w:cs="Arial"/>
          <w:sz w:val="24"/>
          <w:szCs w:val="24"/>
        </w:rPr>
        <w:t xml:space="preserve"> Turks and Caicos Islands in respect of corporate Insolvency proceedings is only available in the </w:t>
      </w:r>
      <w:r w:rsidR="005541BE">
        <w:rPr>
          <w:rFonts w:ascii="Cambria" w:hAnsi="Cambria" w:cs="Arial"/>
          <w:sz w:val="24"/>
          <w:szCs w:val="24"/>
        </w:rPr>
        <w:t xml:space="preserve">very specific </w:t>
      </w:r>
      <w:r w:rsidRPr="007A3EF0">
        <w:rPr>
          <w:rFonts w:ascii="Cambria" w:hAnsi="Cambria" w:cs="Arial"/>
          <w:sz w:val="24"/>
          <w:szCs w:val="24"/>
        </w:rPr>
        <w:t>circumstances</w:t>
      </w:r>
      <w:r w:rsidR="005541BE">
        <w:rPr>
          <w:rFonts w:ascii="Cambria" w:hAnsi="Cambria" w:cs="Arial"/>
          <w:sz w:val="24"/>
          <w:szCs w:val="24"/>
        </w:rPr>
        <w:t>. These are</w:t>
      </w:r>
      <w:r w:rsidRPr="007A3EF0">
        <w:rPr>
          <w:rFonts w:ascii="Cambria" w:hAnsi="Cambria" w:cs="Arial"/>
          <w:sz w:val="24"/>
          <w:szCs w:val="24"/>
        </w:rPr>
        <w:t>:</w:t>
      </w:r>
    </w:p>
    <w:p w14:paraId="3028B865" w14:textId="77777777" w:rsidR="00821A13" w:rsidRPr="007A3EF0" w:rsidRDefault="00821A13" w:rsidP="00821A13">
      <w:pPr>
        <w:pStyle w:val="ListParagraph"/>
        <w:ind w:left="284"/>
        <w:jc w:val="both"/>
        <w:rPr>
          <w:rFonts w:ascii="Cambria" w:hAnsi="Cambria" w:cs="Arial"/>
          <w:sz w:val="24"/>
          <w:szCs w:val="24"/>
        </w:rPr>
      </w:pPr>
    </w:p>
    <w:p w14:paraId="107CF6A4" w14:textId="100195B5" w:rsidR="009A55CD" w:rsidRPr="007A3EF0" w:rsidRDefault="009A55CD" w:rsidP="009A55CD">
      <w:pPr>
        <w:pStyle w:val="ListParagraph"/>
        <w:numPr>
          <w:ilvl w:val="0"/>
          <w:numId w:val="6"/>
        </w:numPr>
        <w:jc w:val="both"/>
        <w:rPr>
          <w:rFonts w:ascii="Cambria" w:hAnsi="Cambria" w:cs="Arial"/>
          <w:sz w:val="24"/>
          <w:szCs w:val="24"/>
        </w:rPr>
      </w:pPr>
      <w:r w:rsidRPr="007A3EF0">
        <w:rPr>
          <w:rFonts w:ascii="Cambria" w:hAnsi="Cambria" w:cs="Arial"/>
          <w:sz w:val="24"/>
          <w:szCs w:val="24"/>
        </w:rPr>
        <w:t>Upon the filing of an application for an Administration order under section 74 of the Insolvency Ordinance</w:t>
      </w:r>
      <w:r w:rsidR="00821A13" w:rsidRPr="007A3EF0">
        <w:rPr>
          <w:rFonts w:ascii="Cambria" w:hAnsi="Cambria" w:cs="Arial"/>
          <w:sz w:val="24"/>
          <w:szCs w:val="24"/>
        </w:rPr>
        <w:t xml:space="preserve"> 2017</w:t>
      </w:r>
      <w:r w:rsidRPr="007A3EF0">
        <w:rPr>
          <w:rFonts w:ascii="Cambria" w:hAnsi="Cambria" w:cs="Arial"/>
          <w:sz w:val="24"/>
          <w:szCs w:val="24"/>
        </w:rPr>
        <w:t xml:space="preserve"> and which terminates on (a) the dismissal of the application or (b) if an administration order is made, upon the discharge of the order; </w:t>
      </w:r>
    </w:p>
    <w:p w14:paraId="250EBA1C" w14:textId="77777777" w:rsidR="009A55CD" w:rsidRPr="007A3EF0" w:rsidRDefault="009A55CD" w:rsidP="009A55CD">
      <w:pPr>
        <w:pStyle w:val="ListParagraph"/>
        <w:jc w:val="both"/>
        <w:rPr>
          <w:rFonts w:ascii="Cambria" w:hAnsi="Cambria" w:cs="Arial"/>
          <w:sz w:val="24"/>
          <w:szCs w:val="24"/>
        </w:rPr>
      </w:pPr>
    </w:p>
    <w:p w14:paraId="4106976B" w14:textId="2E40AF05" w:rsidR="009A55CD" w:rsidRPr="007A3EF0" w:rsidRDefault="009A55CD" w:rsidP="009A55CD">
      <w:pPr>
        <w:pStyle w:val="ListParagraph"/>
        <w:numPr>
          <w:ilvl w:val="0"/>
          <w:numId w:val="6"/>
        </w:numPr>
        <w:jc w:val="both"/>
        <w:rPr>
          <w:rFonts w:ascii="Cambria" w:hAnsi="Cambria" w:cs="Arial"/>
          <w:sz w:val="24"/>
          <w:szCs w:val="24"/>
        </w:rPr>
      </w:pPr>
      <w:r w:rsidRPr="007A3EF0">
        <w:rPr>
          <w:rFonts w:ascii="Cambria" w:hAnsi="Cambria" w:cs="Arial"/>
          <w:sz w:val="24"/>
          <w:szCs w:val="24"/>
        </w:rPr>
        <w:t>Upon the appointment of a liquidator under sections 159 or 170</w:t>
      </w:r>
      <w:r w:rsidR="00412456" w:rsidRPr="007A3EF0">
        <w:rPr>
          <w:rFonts w:ascii="Cambria" w:hAnsi="Cambria" w:cs="Arial"/>
          <w:sz w:val="24"/>
          <w:szCs w:val="24"/>
        </w:rPr>
        <w:t xml:space="preserve"> of the Insolvency Ordinance 2017</w:t>
      </w:r>
      <w:r w:rsidRPr="007A3EF0">
        <w:rPr>
          <w:rFonts w:ascii="Cambria" w:hAnsi="Cambria" w:cs="Arial"/>
          <w:sz w:val="24"/>
          <w:szCs w:val="24"/>
        </w:rPr>
        <w:t xml:space="preserve"> </w:t>
      </w:r>
      <w:r w:rsidR="00412456" w:rsidRPr="007A3EF0">
        <w:rPr>
          <w:rFonts w:ascii="Cambria" w:hAnsi="Cambria" w:cs="Arial"/>
          <w:sz w:val="24"/>
          <w:szCs w:val="24"/>
        </w:rPr>
        <w:t>and</w:t>
      </w:r>
      <w:r w:rsidRPr="007A3EF0">
        <w:rPr>
          <w:rFonts w:ascii="Cambria" w:hAnsi="Cambria" w:cs="Arial"/>
          <w:sz w:val="24"/>
          <w:szCs w:val="24"/>
        </w:rPr>
        <w:t xml:space="preserve"> a provisional liquidator under section 171. Under those sections, unless the Court otherwise orders, no person may commence or proceed with any action or legal proceedings against the company or its assets or enforce, or continue to exercise or enforce any right or remedy over or against the assets of the company and no share in the company may be transferred</w:t>
      </w:r>
      <w:r w:rsidR="00412456" w:rsidRPr="007A3EF0">
        <w:rPr>
          <w:rStyle w:val="FootnoteReference"/>
          <w:rFonts w:ascii="Cambria" w:hAnsi="Cambria" w:cs="Arial"/>
          <w:sz w:val="24"/>
          <w:szCs w:val="24"/>
        </w:rPr>
        <w:footnoteReference w:id="31"/>
      </w:r>
      <w:r w:rsidRPr="007A3EF0">
        <w:rPr>
          <w:rFonts w:ascii="Cambria" w:hAnsi="Cambria" w:cs="Arial"/>
          <w:sz w:val="24"/>
          <w:szCs w:val="24"/>
        </w:rPr>
        <w:t>;</w:t>
      </w:r>
    </w:p>
    <w:p w14:paraId="34EBB625" w14:textId="77777777" w:rsidR="009A55CD" w:rsidRPr="007A3EF0" w:rsidRDefault="009A55CD" w:rsidP="009A55CD">
      <w:pPr>
        <w:pStyle w:val="ListParagraph"/>
        <w:jc w:val="both"/>
        <w:rPr>
          <w:rFonts w:ascii="Cambria" w:hAnsi="Cambria" w:cs="Arial"/>
          <w:sz w:val="24"/>
          <w:szCs w:val="24"/>
        </w:rPr>
      </w:pPr>
    </w:p>
    <w:p w14:paraId="04FE17D2" w14:textId="59BCF454" w:rsidR="009A55CD" w:rsidRPr="007A3EF0" w:rsidRDefault="009A55CD" w:rsidP="00724872">
      <w:pPr>
        <w:pStyle w:val="ListParagraph"/>
        <w:numPr>
          <w:ilvl w:val="0"/>
          <w:numId w:val="5"/>
        </w:numPr>
        <w:ind w:left="284"/>
        <w:jc w:val="both"/>
        <w:rPr>
          <w:rFonts w:ascii="Cambria" w:hAnsi="Cambria" w:cs="Arial"/>
          <w:sz w:val="24"/>
          <w:szCs w:val="24"/>
        </w:rPr>
      </w:pPr>
      <w:r w:rsidRPr="007A3EF0">
        <w:rPr>
          <w:rFonts w:ascii="Cambria" w:hAnsi="Cambria" w:cs="Arial"/>
          <w:sz w:val="24"/>
          <w:szCs w:val="24"/>
        </w:rPr>
        <w:t xml:space="preserve">In a Company Arrangement under Part III of the </w:t>
      </w:r>
      <w:r w:rsidR="00412456" w:rsidRPr="007A3EF0">
        <w:rPr>
          <w:rFonts w:ascii="Cambria" w:hAnsi="Cambria" w:cs="Arial"/>
          <w:sz w:val="24"/>
          <w:szCs w:val="24"/>
        </w:rPr>
        <w:t>Insolvency</w:t>
      </w:r>
      <w:r w:rsidRPr="007A3EF0">
        <w:rPr>
          <w:rFonts w:ascii="Cambria" w:hAnsi="Cambria" w:cs="Arial"/>
          <w:sz w:val="24"/>
          <w:szCs w:val="24"/>
        </w:rPr>
        <w:t xml:space="preserve"> Ordinance, there is no automatic stay, nor is one provided for by application. </w:t>
      </w:r>
    </w:p>
    <w:p w14:paraId="61B7CACB" w14:textId="77777777" w:rsidR="00724872" w:rsidRPr="007A3EF0" w:rsidRDefault="00724872" w:rsidP="00724872">
      <w:pPr>
        <w:pStyle w:val="ListParagraph"/>
        <w:ind w:left="284"/>
        <w:jc w:val="both"/>
        <w:rPr>
          <w:rFonts w:ascii="Cambria" w:hAnsi="Cambria" w:cs="Arial"/>
          <w:sz w:val="24"/>
          <w:szCs w:val="24"/>
        </w:rPr>
      </w:pPr>
    </w:p>
    <w:p w14:paraId="12CC889E" w14:textId="77777777" w:rsidR="005541BE" w:rsidRDefault="009A55CD" w:rsidP="009A55CD">
      <w:pPr>
        <w:pStyle w:val="ListParagraph"/>
        <w:numPr>
          <w:ilvl w:val="0"/>
          <w:numId w:val="5"/>
        </w:numPr>
        <w:ind w:left="284"/>
        <w:jc w:val="both"/>
        <w:rPr>
          <w:rFonts w:ascii="Cambria" w:hAnsi="Cambria" w:cs="Arial"/>
          <w:sz w:val="24"/>
          <w:szCs w:val="24"/>
        </w:rPr>
      </w:pPr>
      <w:r w:rsidRPr="007A3EF0">
        <w:rPr>
          <w:rFonts w:ascii="Cambria" w:hAnsi="Cambria" w:cs="Arial"/>
          <w:sz w:val="24"/>
          <w:szCs w:val="24"/>
        </w:rPr>
        <w:t xml:space="preserve">As the above provisions set out a moratorium stays all individual claims/enforcement efforts by </w:t>
      </w:r>
      <w:r w:rsidR="00724872" w:rsidRPr="007A3EF0">
        <w:rPr>
          <w:rFonts w:ascii="Cambria" w:hAnsi="Cambria" w:cs="Arial"/>
          <w:sz w:val="24"/>
          <w:szCs w:val="24"/>
        </w:rPr>
        <w:t xml:space="preserve">individual </w:t>
      </w:r>
      <w:r w:rsidRPr="007A3EF0">
        <w:rPr>
          <w:rFonts w:ascii="Cambria" w:hAnsi="Cambria" w:cs="Arial"/>
          <w:sz w:val="24"/>
          <w:szCs w:val="24"/>
        </w:rPr>
        <w:t xml:space="preserve">creditors of the debtor. </w:t>
      </w:r>
    </w:p>
    <w:p w14:paraId="4BA1CD99" w14:textId="77777777" w:rsidR="005541BE" w:rsidRPr="005541BE" w:rsidRDefault="005541BE" w:rsidP="005541BE">
      <w:pPr>
        <w:pStyle w:val="ListParagraph"/>
        <w:rPr>
          <w:rFonts w:ascii="Cambria" w:hAnsi="Cambria" w:cs="Arial"/>
          <w:sz w:val="24"/>
          <w:szCs w:val="24"/>
        </w:rPr>
      </w:pPr>
    </w:p>
    <w:p w14:paraId="22E47BAD" w14:textId="0287120F" w:rsidR="009A55CD" w:rsidRPr="007A3EF0" w:rsidRDefault="009A55CD" w:rsidP="009A55CD">
      <w:pPr>
        <w:pStyle w:val="ListParagraph"/>
        <w:numPr>
          <w:ilvl w:val="0"/>
          <w:numId w:val="5"/>
        </w:numPr>
        <w:ind w:left="284"/>
        <w:jc w:val="both"/>
        <w:rPr>
          <w:rFonts w:ascii="Cambria" w:hAnsi="Cambria" w:cs="Arial"/>
          <w:sz w:val="24"/>
          <w:szCs w:val="24"/>
        </w:rPr>
      </w:pPr>
      <w:r w:rsidRPr="007A3EF0">
        <w:rPr>
          <w:rFonts w:ascii="Cambria" w:hAnsi="Cambria" w:cs="Arial"/>
          <w:sz w:val="24"/>
          <w:szCs w:val="24"/>
        </w:rPr>
        <w:t>In the case of an Administration order, the moratorium provides an opportunity for the Administrator to assess the situation and plan for the rescue of the company</w:t>
      </w:r>
      <w:r w:rsidRPr="007A3EF0">
        <w:rPr>
          <w:rStyle w:val="FootnoteReference"/>
          <w:rFonts w:ascii="Cambria" w:hAnsi="Cambria" w:cs="Arial"/>
          <w:sz w:val="24"/>
          <w:szCs w:val="24"/>
        </w:rPr>
        <w:footnoteReference w:id="32"/>
      </w:r>
      <w:r w:rsidRPr="007A3EF0">
        <w:rPr>
          <w:rFonts w:ascii="Cambria" w:hAnsi="Cambria" w:cs="Arial"/>
          <w:sz w:val="24"/>
          <w:szCs w:val="24"/>
        </w:rPr>
        <w:t>, or, if that is not a possibility to consider how to realise the company’s assets in the best interests of the creditors</w:t>
      </w:r>
      <w:r w:rsidRPr="007A3EF0">
        <w:rPr>
          <w:rStyle w:val="FootnoteReference"/>
          <w:rFonts w:ascii="Cambria" w:hAnsi="Cambria" w:cs="Arial"/>
          <w:sz w:val="24"/>
          <w:szCs w:val="24"/>
        </w:rPr>
        <w:footnoteReference w:id="33"/>
      </w:r>
      <w:r w:rsidRPr="007A3EF0">
        <w:rPr>
          <w:rFonts w:ascii="Cambria" w:hAnsi="Cambria" w:cs="Arial"/>
          <w:sz w:val="24"/>
          <w:szCs w:val="24"/>
        </w:rPr>
        <w:t>. The idea being that this would be in preference to a liquidation where no attempt is made to rehabilitate the company but only to take possession of, protect and realise its assets for the benefit of the creditors</w:t>
      </w:r>
      <w:r w:rsidRPr="007A3EF0">
        <w:rPr>
          <w:rStyle w:val="FootnoteReference"/>
          <w:rFonts w:ascii="Cambria" w:hAnsi="Cambria" w:cs="Arial"/>
          <w:sz w:val="24"/>
          <w:szCs w:val="24"/>
        </w:rPr>
        <w:footnoteReference w:id="34"/>
      </w:r>
      <w:r w:rsidRPr="007A3EF0">
        <w:rPr>
          <w:rFonts w:ascii="Cambria" w:hAnsi="Cambria" w:cs="Arial"/>
          <w:sz w:val="24"/>
          <w:szCs w:val="24"/>
        </w:rPr>
        <w:t xml:space="preserve">. </w:t>
      </w:r>
    </w:p>
    <w:p w14:paraId="1BB577FE" w14:textId="77777777" w:rsidR="00724872" w:rsidRPr="007A3EF0" w:rsidRDefault="00724872" w:rsidP="00724872">
      <w:pPr>
        <w:pStyle w:val="ListParagraph"/>
        <w:rPr>
          <w:rFonts w:ascii="Cambria" w:hAnsi="Cambria" w:cs="Arial"/>
          <w:sz w:val="24"/>
          <w:szCs w:val="24"/>
        </w:rPr>
      </w:pPr>
    </w:p>
    <w:p w14:paraId="32697204" w14:textId="7A664EF6" w:rsidR="009A55CD" w:rsidRPr="007A3EF0" w:rsidRDefault="009A55CD" w:rsidP="009A55CD">
      <w:pPr>
        <w:pStyle w:val="ListParagraph"/>
        <w:numPr>
          <w:ilvl w:val="0"/>
          <w:numId w:val="5"/>
        </w:numPr>
        <w:ind w:left="284"/>
        <w:jc w:val="both"/>
        <w:rPr>
          <w:rFonts w:ascii="Cambria" w:hAnsi="Cambria" w:cs="Arial"/>
          <w:sz w:val="24"/>
          <w:szCs w:val="24"/>
        </w:rPr>
      </w:pPr>
      <w:r w:rsidRPr="007A3EF0">
        <w:rPr>
          <w:rFonts w:ascii="Cambria" w:hAnsi="Cambria" w:cs="Arial"/>
          <w:sz w:val="24"/>
          <w:szCs w:val="24"/>
        </w:rPr>
        <w:t>While any of the creditors</w:t>
      </w:r>
      <w:r w:rsidRPr="007A3EF0">
        <w:rPr>
          <w:rStyle w:val="FootnoteReference"/>
          <w:rFonts w:ascii="Cambria" w:hAnsi="Cambria" w:cs="Arial"/>
          <w:sz w:val="24"/>
          <w:szCs w:val="24"/>
        </w:rPr>
        <w:footnoteReference w:id="35"/>
      </w:r>
      <w:r w:rsidRPr="007A3EF0">
        <w:rPr>
          <w:rFonts w:ascii="Cambria" w:hAnsi="Cambria" w:cs="Arial"/>
          <w:sz w:val="24"/>
          <w:szCs w:val="24"/>
        </w:rPr>
        <w:t xml:space="preserve"> may have sought appointment of a liquidator on the basis that Flow is insolvent</w:t>
      </w:r>
      <w:r w:rsidRPr="007A3EF0">
        <w:rPr>
          <w:rStyle w:val="FootnoteReference"/>
          <w:rFonts w:ascii="Cambria" w:hAnsi="Cambria" w:cs="Arial"/>
          <w:sz w:val="24"/>
          <w:szCs w:val="24"/>
        </w:rPr>
        <w:footnoteReference w:id="36"/>
      </w:r>
      <w:r w:rsidRPr="007A3EF0">
        <w:rPr>
          <w:rFonts w:ascii="Cambria" w:hAnsi="Cambria" w:cs="Arial"/>
          <w:sz w:val="24"/>
          <w:szCs w:val="24"/>
        </w:rPr>
        <w:t xml:space="preserve">, a moratorium upon the appointment of a liquidator (so, option “2” above) would not have been a good suggestion. By October 2014, Flow had shown signs of continuing viability </w:t>
      </w:r>
      <w:r w:rsidR="005541BE">
        <w:rPr>
          <w:rFonts w:ascii="Cambria" w:hAnsi="Cambria" w:cs="Arial"/>
          <w:sz w:val="24"/>
          <w:szCs w:val="24"/>
        </w:rPr>
        <w:t xml:space="preserve">– reflected in the </w:t>
      </w:r>
      <w:r w:rsidRPr="007A3EF0">
        <w:rPr>
          <w:rFonts w:ascii="Cambria" w:hAnsi="Cambria" w:cs="Arial"/>
          <w:sz w:val="24"/>
          <w:szCs w:val="24"/>
        </w:rPr>
        <w:t xml:space="preserve">slight improvement noticed by the banks in August 2014. </w:t>
      </w:r>
      <w:r w:rsidR="005541BE">
        <w:rPr>
          <w:rFonts w:ascii="Cambria" w:hAnsi="Cambria" w:cs="Arial"/>
          <w:sz w:val="24"/>
          <w:szCs w:val="24"/>
        </w:rPr>
        <w:t>Plus</w:t>
      </w:r>
      <w:r w:rsidRPr="007A3EF0">
        <w:rPr>
          <w:rFonts w:ascii="Cambria" w:hAnsi="Cambria" w:cs="Arial"/>
          <w:sz w:val="24"/>
          <w:szCs w:val="24"/>
        </w:rPr>
        <w:t>, the shareholder was still actively searching for options</w:t>
      </w:r>
      <w:r w:rsidR="005541BE">
        <w:rPr>
          <w:rFonts w:ascii="Cambria" w:hAnsi="Cambria" w:cs="Arial"/>
          <w:sz w:val="24"/>
          <w:szCs w:val="24"/>
        </w:rPr>
        <w:t>.</w:t>
      </w:r>
      <w:r w:rsidRPr="007A3EF0">
        <w:rPr>
          <w:rFonts w:ascii="Cambria" w:hAnsi="Cambria" w:cs="Arial"/>
          <w:sz w:val="24"/>
          <w:szCs w:val="24"/>
        </w:rPr>
        <w:t xml:space="preserve"> </w:t>
      </w:r>
      <w:r w:rsidR="005541BE">
        <w:rPr>
          <w:rFonts w:ascii="Cambria" w:hAnsi="Cambria" w:cs="Arial"/>
          <w:sz w:val="24"/>
          <w:szCs w:val="24"/>
        </w:rPr>
        <w:t>T</w:t>
      </w:r>
      <w:r w:rsidRPr="007A3EF0">
        <w:rPr>
          <w:rFonts w:ascii="Cambria" w:hAnsi="Cambria" w:cs="Arial"/>
          <w:sz w:val="24"/>
          <w:szCs w:val="24"/>
        </w:rPr>
        <w:t>here were legal difficulties in respect of the Pledges on the assets as well as the fact that it had already been determined that a liquidation would negatively affect the assets</w:t>
      </w:r>
      <w:r w:rsidR="005541BE">
        <w:rPr>
          <w:rFonts w:ascii="Cambria" w:hAnsi="Cambria" w:cs="Arial"/>
          <w:sz w:val="24"/>
          <w:szCs w:val="24"/>
        </w:rPr>
        <w:t xml:space="preserve"> values</w:t>
      </w:r>
      <w:r w:rsidRPr="007A3EF0">
        <w:rPr>
          <w:rFonts w:ascii="Cambria" w:hAnsi="Cambria" w:cs="Arial"/>
          <w:sz w:val="24"/>
          <w:szCs w:val="24"/>
        </w:rPr>
        <w:t>.</w:t>
      </w:r>
      <w:r w:rsidR="00412456" w:rsidRPr="007A3EF0">
        <w:rPr>
          <w:rFonts w:ascii="Cambria" w:hAnsi="Cambria" w:cs="Arial"/>
          <w:sz w:val="24"/>
          <w:szCs w:val="24"/>
        </w:rPr>
        <w:t xml:space="preserve"> A liquidation as </w:t>
      </w:r>
      <w:r w:rsidR="005541BE">
        <w:rPr>
          <w:rFonts w:ascii="Cambria" w:hAnsi="Cambria" w:cs="Arial"/>
          <w:sz w:val="24"/>
          <w:szCs w:val="24"/>
        </w:rPr>
        <w:t>considered and rejected</w:t>
      </w:r>
      <w:r w:rsidR="00412456" w:rsidRPr="007A3EF0">
        <w:rPr>
          <w:rFonts w:ascii="Cambria" w:hAnsi="Cambria" w:cs="Arial"/>
          <w:sz w:val="24"/>
          <w:szCs w:val="24"/>
        </w:rPr>
        <w:t xml:space="preserve"> by banks A-D in respect of a Netherlands winding up would have been</w:t>
      </w:r>
      <w:r w:rsidR="005541BE">
        <w:rPr>
          <w:rFonts w:ascii="Cambria" w:hAnsi="Cambria" w:cs="Arial"/>
          <w:sz w:val="24"/>
          <w:szCs w:val="24"/>
        </w:rPr>
        <w:t xml:space="preserve"> just</w:t>
      </w:r>
      <w:r w:rsidR="00412456" w:rsidRPr="007A3EF0">
        <w:rPr>
          <w:rFonts w:ascii="Cambria" w:hAnsi="Cambria" w:cs="Arial"/>
          <w:sz w:val="24"/>
          <w:szCs w:val="24"/>
        </w:rPr>
        <w:t xml:space="preserve"> inadvisable under TCI law.</w:t>
      </w:r>
    </w:p>
    <w:p w14:paraId="15ED1D97" w14:textId="77777777" w:rsidR="00724872" w:rsidRPr="007A3EF0" w:rsidRDefault="00724872" w:rsidP="00724872">
      <w:pPr>
        <w:pStyle w:val="ListParagraph"/>
        <w:rPr>
          <w:rFonts w:ascii="Cambria" w:hAnsi="Cambria" w:cs="Arial"/>
          <w:sz w:val="24"/>
          <w:szCs w:val="24"/>
        </w:rPr>
      </w:pPr>
    </w:p>
    <w:p w14:paraId="078E914D" w14:textId="77777777" w:rsidR="00EA1B68" w:rsidRDefault="009A55CD" w:rsidP="009A55CD">
      <w:pPr>
        <w:pStyle w:val="ListParagraph"/>
        <w:numPr>
          <w:ilvl w:val="0"/>
          <w:numId w:val="5"/>
        </w:numPr>
        <w:ind w:left="284"/>
        <w:jc w:val="both"/>
        <w:rPr>
          <w:rFonts w:ascii="Cambria" w:hAnsi="Cambria" w:cs="Arial"/>
          <w:sz w:val="24"/>
          <w:szCs w:val="24"/>
        </w:rPr>
      </w:pPr>
      <w:r w:rsidRPr="007A3EF0">
        <w:rPr>
          <w:rFonts w:ascii="Cambria" w:hAnsi="Cambria" w:cs="Arial"/>
          <w:sz w:val="24"/>
          <w:szCs w:val="24"/>
        </w:rPr>
        <w:t xml:space="preserve">A moratorium pursuant to an Administration Order would have been a </w:t>
      </w:r>
      <w:r w:rsidR="005541BE">
        <w:rPr>
          <w:rFonts w:ascii="Cambria" w:hAnsi="Cambria" w:cs="Arial"/>
          <w:sz w:val="24"/>
          <w:szCs w:val="24"/>
        </w:rPr>
        <w:t>somewhat better</w:t>
      </w:r>
      <w:r w:rsidRPr="007A3EF0">
        <w:rPr>
          <w:rFonts w:ascii="Cambria" w:hAnsi="Cambria" w:cs="Arial"/>
          <w:sz w:val="24"/>
          <w:szCs w:val="24"/>
        </w:rPr>
        <w:t xml:space="preserve"> manner of proceeding</w:t>
      </w:r>
      <w:r w:rsidR="005541BE">
        <w:rPr>
          <w:rFonts w:ascii="Cambria" w:hAnsi="Cambria" w:cs="Arial"/>
          <w:sz w:val="24"/>
          <w:szCs w:val="24"/>
        </w:rPr>
        <w:t>. H</w:t>
      </w:r>
      <w:r w:rsidRPr="007A3EF0">
        <w:rPr>
          <w:rFonts w:ascii="Cambria" w:hAnsi="Cambria" w:cs="Arial"/>
          <w:sz w:val="24"/>
          <w:szCs w:val="24"/>
        </w:rPr>
        <w:t xml:space="preserve">owever, the benefit of </w:t>
      </w:r>
      <w:r w:rsidR="005541BE">
        <w:rPr>
          <w:rFonts w:ascii="Cambria" w:hAnsi="Cambria" w:cs="Arial"/>
          <w:sz w:val="24"/>
          <w:szCs w:val="24"/>
        </w:rPr>
        <w:t xml:space="preserve">so </w:t>
      </w:r>
      <w:r w:rsidRPr="007A3EF0">
        <w:rPr>
          <w:rFonts w:ascii="Cambria" w:hAnsi="Cambria" w:cs="Arial"/>
          <w:sz w:val="24"/>
          <w:szCs w:val="24"/>
        </w:rPr>
        <w:t xml:space="preserve">doing </w:t>
      </w:r>
      <w:r w:rsidR="005541BE">
        <w:rPr>
          <w:rFonts w:ascii="Cambria" w:hAnsi="Cambria" w:cs="Arial"/>
          <w:sz w:val="24"/>
          <w:szCs w:val="24"/>
        </w:rPr>
        <w:t>instead of</w:t>
      </w:r>
      <w:r w:rsidRPr="007A3EF0">
        <w:rPr>
          <w:rFonts w:ascii="Cambria" w:hAnsi="Cambria" w:cs="Arial"/>
          <w:sz w:val="24"/>
          <w:szCs w:val="24"/>
        </w:rPr>
        <w:t xml:space="preserve"> a standstill agreement in place among the creditors and adopting a wait and see approach for a short while, would have been if there were creditors with proceedings </w:t>
      </w:r>
      <w:r w:rsidR="00EA1B68">
        <w:rPr>
          <w:rFonts w:ascii="Cambria" w:hAnsi="Cambria" w:cs="Arial"/>
          <w:sz w:val="24"/>
          <w:szCs w:val="24"/>
        </w:rPr>
        <w:t>already in existence</w:t>
      </w:r>
      <w:r w:rsidRPr="007A3EF0">
        <w:rPr>
          <w:rFonts w:ascii="Cambria" w:hAnsi="Cambria" w:cs="Arial"/>
          <w:sz w:val="24"/>
          <w:szCs w:val="24"/>
        </w:rPr>
        <w:t xml:space="preserve">. </w:t>
      </w:r>
    </w:p>
    <w:p w14:paraId="0368FA90" w14:textId="77777777" w:rsidR="00EA1B68" w:rsidRPr="00EA1B68" w:rsidRDefault="00EA1B68" w:rsidP="00EA1B68">
      <w:pPr>
        <w:pStyle w:val="ListParagraph"/>
        <w:rPr>
          <w:rFonts w:ascii="Cambria" w:hAnsi="Cambria" w:cs="Arial"/>
          <w:sz w:val="24"/>
          <w:szCs w:val="24"/>
        </w:rPr>
      </w:pPr>
    </w:p>
    <w:p w14:paraId="6DAB98B0" w14:textId="79A9BE7E" w:rsidR="00724872" w:rsidRPr="007A3EF0" w:rsidRDefault="009A55CD" w:rsidP="009A55CD">
      <w:pPr>
        <w:pStyle w:val="ListParagraph"/>
        <w:numPr>
          <w:ilvl w:val="0"/>
          <w:numId w:val="5"/>
        </w:numPr>
        <w:ind w:left="284"/>
        <w:jc w:val="both"/>
        <w:rPr>
          <w:rFonts w:ascii="Cambria" w:hAnsi="Cambria" w:cs="Arial"/>
          <w:sz w:val="24"/>
          <w:szCs w:val="24"/>
        </w:rPr>
      </w:pPr>
      <w:r w:rsidRPr="007A3EF0">
        <w:rPr>
          <w:rFonts w:ascii="Cambria" w:hAnsi="Cambria" w:cs="Arial"/>
          <w:sz w:val="24"/>
          <w:szCs w:val="24"/>
        </w:rPr>
        <w:t>In Flow’s case the f</w:t>
      </w:r>
      <w:r w:rsidR="00EA1B68">
        <w:rPr>
          <w:rFonts w:ascii="Cambria" w:hAnsi="Cambria" w:cs="Arial"/>
          <w:sz w:val="24"/>
          <w:szCs w:val="24"/>
        </w:rPr>
        <w:t>acts appear that there were no such proceedings</w:t>
      </w:r>
      <w:r w:rsidRPr="007A3EF0">
        <w:rPr>
          <w:rFonts w:ascii="Cambria" w:hAnsi="Cambria" w:cs="Arial"/>
          <w:sz w:val="24"/>
          <w:szCs w:val="24"/>
        </w:rPr>
        <w:t xml:space="preserve"> </w:t>
      </w:r>
    </w:p>
    <w:p w14:paraId="6B0D821C" w14:textId="77777777" w:rsidR="00724872" w:rsidRPr="007A3EF0" w:rsidRDefault="00724872" w:rsidP="00724872">
      <w:pPr>
        <w:pStyle w:val="ListParagraph"/>
        <w:rPr>
          <w:rFonts w:ascii="Cambria" w:hAnsi="Cambria" w:cs="Arial"/>
          <w:sz w:val="24"/>
          <w:szCs w:val="24"/>
        </w:rPr>
      </w:pPr>
    </w:p>
    <w:p w14:paraId="6ADA0DC6" w14:textId="77777777" w:rsidR="00EA1B68" w:rsidRDefault="009A55CD" w:rsidP="009A55CD">
      <w:pPr>
        <w:pStyle w:val="ListParagraph"/>
        <w:numPr>
          <w:ilvl w:val="0"/>
          <w:numId w:val="5"/>
        </w:numPr>
        <w:ind w:left="284"/>
        <w:jc w:val="both"/>
        <w:rPr>
          <w:rFonts w:ascii="Cambria" w:hAnsi="Cambria" w:cs="Arial"/>
          <w:sz w:val="24"/>
          <w:szCs w:val="24"/>
        </w:rPr>
      </w:pPr>
      <w:r w:rsidRPr="007A3EF0">
        <w:rPr>
          <w:rFonts w:ascii="Cambria" w:hAnsi="Cambria" w:cs="Arial"/>
          <w:sz w:val="24"/>
          <w:szCs w:val="24"/>
        </w:rPr>
        <w:t>I</w:t>
      </w:r>
      <w:r w:rsidR="00EA1B68">
        <w:rPr>
          <w:rFonts w:ascii="Cambria" w:hAnsi="Cambria" w:cs="Arial"/>
          <w:sz w:val="24"/>
          <w:szCs w:val="24"/>
        </w:rPr>
        <w:t xml:space="preserve">f </w:t>
      </w:r>
      <w:r w:rsidRPr="007A3EF0">
        <w:rPr>
          <w:rFonts w:ascii="Cambria" w:hAnsi="Cambria" w:cs="Arial"/>
          <w:sz w:val="24"/>
          <w:szCs w:val="24"/>
        </w:rPr>
        <w:t xml:space="preserve">Flow’s management could not be trusted to do </w:t>
      </w:r>
      <w:r w:rsidR="00EA1B68">
        <w:rPr>
          <w:rFonts w:ascii="Cambria" w:hAnsi="Cambria" w:cs="Arial"/>
          <w:sz w:val="24"/>
          <w:szCs w:val="24"/>
        </w:rPr>
        <w:t xml:space="preserve">that which </w:t>
      </w:r>
      <w:r w:rsidRPr="007A3EF0">
        <w:rPr>
          <w:rFonts w:ascii="Cambria" w:hAnsi="Cambria" w:cs="Arial"/>
          <w:sz w:val="24"/>
          <w:szCs w:val="24"/>
        </w:rPr>
        <w:t>an Administrator would be tasked with doing upon assuming control</w:t>
      </w:r>
      <w:r w:rsidR="00EA1B68">
        <w:rPr>
          <w:rFonts w:ascii="Cambria" w:hAnsi="Cambria" w:cs="Arial"/>
          <w:sz w:val="24"/>
          <w:szCs w:val="24"/>
        </w:rPr>
        <w:t xml:space="preserve"> (</w:t>
      </w:r>
      <w:r w:rsidRPr="007A3EF0">
        <w:rPr>
          <w:rFonts w:ascii="Cambria" w:hAnsi="Cambria" w:cs="Arial"/>
          <w:sz w:val="24"/>
          <w:szCs w:val="24"/>
        </w:rPr>
        <w:t xml:space="preserve">assessing the situation </w:t>
      </w:r>
      <w:proofErr w:type="gramStart"/>
      <w:r w:rsidRPr="007A3EF0">
        <w:rPr>
          <w:rFonts w:ascii="Cambria" w:hAnsi="Cambria" w:cs="Arial"/>
          <w:sz w:val="24"/>
          <w:szCs w:val="24"/>
        </w:rPr>
        <w:t>so as to</w:t>
      </w:r>
      <w:proofErr w:type="gramEnd"/>
      <w:r w:rsidRPr="007A3EF0">
        <w:rPr>
          <w:rFonts w:ascii="Cambria" w:hAnsi="Cambria" w:cs="Arial"/>
          <w:sz w:val="24"/>
          <w:szCs w:val="24"/>
        </w:rPr>
        <w:t xml:space="preserve"> make a plan for the rescue of the company</w:t>
      </w:r>
      <w:r w:rsidR="00EA1B68">
        <w:rPr>
          <w:rFonts w:ascii="Cambria" w:hAnsi="Cambria" w:cs="Arial"/>
          <w:sz w:val="24"/>
          <w:szCs w:val="24"/>
        </w:rPr>
        <w:t xml:space="preserve">) </w:t>
      </w:r>
      <w:proofErr w:type="gramStart"/>
      <w:r w:rsidR="00EA1B68">
        <w:rPr>
          <w:rFonts w:ascii="Cambria" w:hAnsi="Cambria" w:cs="Arial"/>
          <w:sz w:val="24"/>
          <w:szCs w:val="24"/>
        </w:rPr>
        <w:t>than</w:t>
      </w:r>
      <w:proofErr w:type="gramEnd"/>
      <w:r w:rsidR="00EA1B68">
        <w:rPr>
          <w:rFonts w:ascii="Cambria" w:hAnsi="Cambria" w:cs="Arial"/>
          <w:sz w:val="24"/>
          <w:szCs w:val="24"/>
        </w:rPr>
        <w:t xml:space="preserve"> an Administration Order would have been better</w:t>
      </w:r>
      <w:r w:rsidRPr="007A3EF0">
        <w:rPr>
          <w:rFonts w:ascii="Cambria" w:hAnsi="Cambria" w:cs="Arial"/>
          <w:sz w:val="24"/>
          <w:szCs w:val="24"/>
        </w:rPr>
        <w:t xml:space="preserve">. </w:t>
      </w:r>
    </w:p>
    <w:p w14:paraId="4A4F5566" w14:textId="77777777" w:rsidR="00EA1B68" w:rsidRPr="00EA1B68" w:rsidRDefault="00EA1B68" w:rsidP="00EA1B68">
      <w:pPr>
        <w:pStyle w:val="ListParagraph"/>
        <w:rPr>
          <w:rFonts w:ascii="Cambria" w:hAnsi="Cambria" w:cs="Arial"/>
          <w:sz w:val="24"/>
          <w:szCs w:val="24"/>
        </w:rPr>
      </w:pPr>
    </w:p>
    <w:p w14:paraId="46A35E5B" w14:textId="77777777" w:rsidR="00EA1B68" w:rsidRDefault="00EA1B68" w:rsidP="009A55CD">
      <w:pPr>
        <w:pStyle w:val="ListParagraph"/>
        <w:numPr>
          <w:ilvl w:val="0"/>
          <w:numId w:val="5"/>
        </w:numPr>
        <w:ind w:left="284"/>
        <w:jc w:val="both"/>
        <w:rPr>
          <w:rFonts w:ascii="Cambria" w:hAnsi="Cambria" w:cs="Arial"/>
          <w:sz w:val="24"/>
          <w:szCs w:val="24"/>
        </w:rPr>
      </w:pPr>
      <w:r>
        <w:rPr>
          <w:rFonts w:ascii="Cambria" w:hAnsi="Cambria" w:cs="Arial"/>
          <w:sz w:val="24"/>
          <w:szCs w:val="24"/>
        </w:rPr>
        <w:t xml:space="preserve">There is no </w:t>
      </w:r>
      <w:r w:rsidR="009A55CD" w:rsidRPr="007A3EF0">
        <w:rPr>
          <w:rFonts w:ascii="Cambria" w:hAnsi="Cambria" w:cs="Arial"/>
          <w:sz w:val="24"/>
          <w:szCs w:val="24"/>
        </w:rPr>
        <w:t xml:space="preserve">direct evidence that Flow’s Management was </w:t>
      </w:r>
      <w:r>
        <w:rPr>
          <w:rFonts w:ascii="Cambria" w:hAnsi="Cambria" w:cs="Arial"/>
          <w:sz w:val="24"/>
          <w:szCs w:val="24"/>
        </w:rPr>
        <w:t xml:space="preserve">behaving dishonestly. Flawed </w:t>
      </w:r>
      <w:r w:rsidR="009A55CD" w:rsidRPr="007A3EF0">
        <w:rPr>
          <w:rFonts w:ascii="Cambria" w:hAnsi="Cambria" w:cs="Arial"/>
          <w:sz w:val="24"/>
          <w:szCs w:val="24"/>
        </w:rPr>
        <w:t>information management system</w:t>
      </w:r>
      <w:r>
        <w:rPr>
          <w:rFonts w:ascii="Cambria" w:hAnsi="Cambria" w:cs="Arial"/>
          <w:sz w:val="24"/>
          <w:szCs w:val="24"/>
        </w:rPr>
        <w:t xml:space="preserve">s obviously do not amount to the same thing. </w:t>
      </w:r>
      <w:proofErr w:type="gramStart"/>
      <w:r>
        <w:rPr>
          <w:rFonts w:ascii="Cambria" w:hAnsi="Cambria" w:cs="Arial"/>
          <w:sz w:val="24"/>
          <w:szCs w:val="24"/>
        </w:rPr>
        <w:t>Plus</w:t>
      </w:r>
      <w:proofErr w:type="gramEnd"/>
      <w:r>
        <w:rPr>
          <w:rFonts w:ascii="Cambria" w:hAnsi="Cambria" w:cs="Arial"/>
          <w:sz w:val="24"/>
          <w:szCs w:val="24"/>
        </w:rPr>
        <w:t xml:space="preserve"> there are </w:t>
      </w:r>
      <w:r w:rsidR="009A55CD" w:rsidRPr="007A3EF0">
        <w:rPr>
          <w:rFonts w:ascii="Cambria" w:hAnsi="Cambria" w:cs="Arial"/>
          <w:sz w:val="24"/>
          <w:szCs w:val="24"/>
        </w:rPr>
        <w:t xml:space="preserve">alternative means of ascertaining a clear picture of Flow’s financial and operational standing </w:t>
      </w:r>
      <w:r>
        <w:rPr>
          <w:rFonts w:ascii="Cambria" w:hAnsi="Cambria" w:cs="Arial"/>
          <w:sz w:val="24"/>
          <w:szCs w:val="24"/>
        </w:rPr>
        <w:t xml:space="preserve">to the </w:t>
      </w:r>
      <w:r w:rsidR="009A55CD" w:rsidRPr="007A3EF0">
        <w:rPr>
          <w:rFonts w:ascii="Cambria" w:hAnsi="Cambria" w:cs="Arial"/>
          <w:sz w:val="24"/>
          <w:szCs w:val="24"/>
        </w:rPr>
        <w:t>appoint</w:t>
      </w:r>
      <w:r>
        <w:rPr>
          <w:rFonts w:ascii="Cambria" w:hAnsi="Cambria" w:cs="Arial"/>
          <w:sz w:val="24"/>
          <w:szCs w:val="24"/>
        </w:rPr>
        <w:t>ment of</w:t>
      </w:r>
      <w:r w:rsidR="009A55CD" w:rsidRPr="007A3EF0">
        <w:rPr>
          <w:rFonts w:ascii="Cambria" w:hAnsi="Cambria" w:cs="Arial"/>
          <w:sz w:val="24"/>
          <w:szCs w:val="24"/>
        </w:rPr>
        <w:t xml:space="preserve"> an Administrator. </w:t>
      </w:r>
    </w:p>
    <w:p w14:paraId="0467B58F" w14:textId="77777777" w:rsidR="00EA1B68" w:rsidRPr="00EA1B68" w:rsidRDefault="00EA1B68" w:rsidP="00EA1B68">
      <w:pPr>
        <w:pStyle w:val="ListParagraph"/>
        <w:rPr>
          <w:rFonts w:ascii="Cambria" w:hAnsi="Cambria" w:cs="Arial"/>
          <w:sz w:val="24"/>
          <w:szCs w:val="24"/>
        </w:rPr>
      </w:pPr>
    </w:p>
    <w:p w14:paraId="695A9F6B" w14:textId="5ED1DB42" w:rsidR="009A55CD" w:rsidRDefault="009A55CD" w:rsidP="009A55CD">
      <w:pPr>
        <w:pStyle w:val="ListParagraph"/>
        <w:numPr>
          <w:ilvl w:val="0"/>
          <w:numId w:val="5"/>
        </w:numPr>
        <w:ind w:left="284"/>
        <w:jc w:val="both"/>
        <w:rPr>
          <w:rFonts w:ascii="Cambria" w:hAnsi="Cambria" w:cs="Arial"/>
          <w:sz w:val="24"/>
          <w:szCs w:val="24"/>
        </w:rPr>
      </w:pPr>
      <w:r w:rsidRPr="007A3EF0">
        <w:rPr>
          <w:rFonts w:ascii="Cambria" w:hAnsi="Cambria" w:cs="Arial"/>
          <w:sz w:val="24"/>
          <w:szCs w:val="24"/>
        </w:rPr>
        <w:t xml:space="preserve">In October 2014 it was open to the creditors, as a group, to negotiate and appoint a coordinating committee to </w:t>
      </w:r>
      <w:proofErr w:type="spellStart"/>
      <w:r w:rsidRPr="007A3EF0">
        <w:rPr>
          <w:rFonts w:ascii="Cambria" w:hAnsi="Cambria" w:cs="Arial"/>
          <w:sz w:val="24"/>
          <w:szCs w:val="24"/>
        </w:rPr>
        <w:t>organise</w:t>
      </w:r>
      <w:proofErr w:type="spellEnd"/>
      <w:r w:rsidRPr="007A3EF0">
        <w:rPr>
          <w:rFonts w:ascii="Cambria" w:hAnsi="Cambria" w:cs="Arial"/>
          <w:sz w:val="24"/>
          <w:szCs w:val="24"/>
        </w:rPr>
        <w:t xml:space="preserve"> the retention of professionals to audit and appraise the company, if even on a preliminary basis</w:t>
      </w:r>
      <w:r w:rsidR="00C96DE1" w:rsidRPr="007A3EF0">
        <w:rPr>
          <w:rStyle w:val="FootnoteReference"/>
          <w:rFonts w:ascii="Cambria" w:hAnsi="Cambria" w:cs="Arial"/>
          <w:sz w:val="24"/>
          <w:szCs w:val="24"/>
        </w:rPr>
        <w:footnoteReference w:id="37"/>
      </w:r>
      <w:r w:rsidRPr="007A3EF0">
        <w:rPr>
          <w:rFonts w:ascii="Cambria" w:hAnsi="Cambria" w:cs="Arial"/>
          <w:sz w:val="24"/>
          <w:szCs w:val="24"/>
        </w:rPr>
        <w:t xml:space="preserve">. </w:t>
      </w:r>
      <w:r w:rsidR="00EA1B68">
        <w:rPr>
          <w:rFonts w:ascii="Cambria" w:hAnsi="Cambria" w:cs="Arial"/>
          <w:sz w:val="24"/>
          <w:szCs w:val="24"/>
        </w:rPr>
        <w:t xml:space="preserve">The cost and time of so doing would appear likely to </w:t>
      </w:r>
      <w:proofErr w:type="gramStart"/>
      <w:r w:rsidR="00EA1B68">
        <w:rPr>
          <w:rFonts w:ascii="Cambria" w:hAnsi="Cambria" w:cs="Arial"/>
          <w:sz w:val="24"/>
          <w:szCs w:val="24"/>
        </w:rPr>
        <w:t>been</w:t>
      </w:r>
      <w:proofErr w:type="gramEnd"/>
      <w:r w:rsidR="00EA1B68">
        <w:rPr>
          <w:rFonts w:ascii="Cambria" w:hAnsi="Cambria" w:cs="Arial"/>
          <w:sz w:val="24"/>
          <w:szCs w:val="24"/>
        </w:rPr>
        <w:t xml:space="preserve"> less than have exceeded that of</w:t>
      </w:r>
      <w:r w:rsidRPr="007A3EF0">
        <w:rPr>
          <w:rFonts w:ascii="Cambria" w:hAnsi="Cambria" w:cs="Arial"/>
          <w:sz w:val="24"/>
          <w:szCs w:val="24"/>
        </w:rPr>
        <w:t xml:space="preserve"> appointing </w:t>
      </w:r>
      <w:r w:rsidR="00EA1B68">
        <w:rPr>
          <w:rFonts w:ascii="Cambria" w:hAnsi="Cambria" w:cs="Arial"/>
          <w:sz w:val="24"/>
          <w:szCs w:val="24"/>
        </w:rPr>
        <w:t>an</w:t>
      </w:r>
      <w:r w:rsidRPr="007A3EF0">
        <w:rPr>
          <w:rFonts w:ascii="Cambria" w:hAnsi="Cambria" w:cs="Arial"/>
          <w:sz w:val="24"/>
          <w:szCs w:val="24"/>
        </w:rPr>
        <w:t xml:space="preserve"> Administrator</w:t>
      </w:r>
      <w:r w:rsidR="00EA1B68">
        <w:rPr>
          <w:rFonts w:ascii="Cambria" w:hAnsi="Cambria" w:cs="Arial"/>
          <w:sz w:val="24"/>
          <w:szCs w:val="24"/>
        </w:rPr>
        <w:t xml:space="preserve">. </w:t>
      </w:r>
    </w:p>
    <w:p w14:paraId="5321B628" w14:textId="77777777" w:rsidR="007B0F8D" w:rsidRPr="007B0F8D" w:rsidRDefault="007B0F8D" w:rsidP="007B0F8D">
      <w:pPr>
        <w:pStyle w:val="ListParagraph"/>
        <w:rPr>
          <w:rFonts w:ascii="Cambria" w:hAnsi="Cambria" w:cs="Arial"/>
          <w:sz w:val="24"/>
          <w:szCs w:val="24"/>
        </w:rPr>
      </w:pPr>
    </w:p>
    <w:p w14:paraId="4997799F" w14:textId="41C5C2DF" w:rsidR="007B0F8D" w:rsidRDefault="007B0F8D" w:rsidP="007B0F8D">
      <w:pPr>
        <w:pStyle w:val="ListParagraph"/>
        <w:ind w:left="284"/>
        <w:jc w:val="right"/>
        <w:rPr>
          <w:rFonts w:ascii="Cambria" w:hAnsi="Cambria" w:cs="Arial"/>
          <w:sz w:val="24"/>
          <w:szCs w:val="24"/>
        </w:rPr>
      </w:pPr>
      <w:r>
        <w:rPr>
          <w:rFonts w:ascii="Cambria" w:hAnsi="Cambria" w:cs="Arial"/>
          <w:sz w:val="24"/>
          <w:szCs w:val="24"/>
        </w:rPr>
        <w:t>Tim Prudhoe</w:t>
      </w:r>
    </w:p>
    <w:p w14:paraId="3D25F0C3" w14:textId="77777777" w:rsidR="007B0F8D" w:rsidRPr="007A3EF0" w:rsidRDefault="007B0F8D" w:rsidP="007B0F8D">
      <w:pPr>
        <w:pStyle w:val="ListParagraph"/>
        <w:ind w:left="284"/>
        <w:jc w:val="right"/>
        <w:rPr>
          <w:rFonts w:ascii="Cambria" w:hAnsi="Cambria" w:cs="Arial"/>
          <w:sz w:val="24"/>
          <w:szCs w:val="24"/>
        </w:rPr>
      </w:pPr>
    </w:p>
    <w:p w14:paraId="6AC75945" w14:textId="77777777" w:rsidR="00D40BC5" w:rsidRPr="007A3EF0" w:rsidRDefault="00D40BC5" w:rsidP="00345A06">
      <w:pPr>
        <w:tabs>
          <w:tab w:val="left" w:pos="426"/>
        </w:tabs>
        <w:jc w:val="both"/>
        <w:rPr>
          <w:rFonts w:ascii="Cambria" w:hAnsi="Cambria" w:cs="Arial"/>
          <w:sz w:val="24"/>
          <w:szCs w:val="24"/>
        </w:rPr>
      </w:pPr>
    </w:p>
    <w:sectPr w:rsidR="00D40BC5" w:rsidRPr="007A3EF0">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FCDDC" w14:textId="77777777" w:rsidR="003759DE" w:rsidRDefault="003759DE" w:rsidP="000E3343">
      <w:pPr>
        <w:spacing w:after="0" w:line="240" w:lineRule="auto"/>
      </w:pPr>
      <w:r>
        <w:separator/>
      </w:r>
    </w:p>
  </w:endnote>
  <w:endnote w:type="continuationSeparator" w:id="0">
    <w:p w14:paraId="47AA64B6" w14:textId="77777777" w:rsidR="003759DE" w:rsidRDefault="003759DE" w:rsidP="000E3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FBE99" w14:textId="77777777" w:rsidR="007B0F8D" w:rsidRDefault="007B0F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5640282"/>
      <w:docPartObj>
        <w:docPartGallery w:val="Page Numbers (Bottom of Page)"/>
        <w:docPartUnique/>
      </w:docPartObj>
    </w:sdtPr>
    <w:sdtEndPr>
      <w:rPr>
        <w:noProof/>
      </w:rPr>
    </w:sdtEndPr>
    <w:sdtContent>
      <w:p w14:paraId="18C73D9F" w14:textId="01B7FBA1" w:rsidR="007B0F8D" w:rsidRDefault="007B0F8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9AE7CC" w14:textId="77777777" w:rsidR="007B0F8D" w:rsidRDefault="007B0F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372C7" w14:textId="77777777" w:rsidR="007B0F8D" w:rsidRDefault="007B0F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FF7DB" w14:textId="77777777" w:rsidR="003759DE" w:rsidRDefault="003759DE" w:rsidP="000E3343">
      <w:pPr>
        <w:spacing w:after="0" w:line="240" w:lineRule="auto"/>
      </w:pPr>
      <w:r>
        <w:separator/>
      </w:r>
    </w:p>
  </w:footnote>
  <w:footnote w:type="continuationSeparator" w:id="0">
    <w:p w14:paraId="6FC55459" w14:textId="77777777" w:rsidR="003759DE" w:rsidRDefault="003759DE" w:rsidP="000E3343">
      <w:pPr>
        <w:spacing w:after="0" w:line="240" w:lineRule="auto"/>
      </w:pPr>
      <w:r>
        <w:continuationSeparator/>
      </w:r>
    </w:p>
  </w:footnote>
  <w:footnote w:id="1">
    <w:p w14:paraId="2857D046" w14:textId="77777777" w:rsidR="00EA2B14" w:rsidRPr="00C125A4" w:rsidRDefault="00EA2B14" w:rsidP="00EA2B14">
      <w:pPr>
        <w:pStyle w:val="FootnoteText"/>
        <w:rPr>
          <w:rFonts w:ascii="Cambria" w:hAnsi="Cambria" w:cs="Arial"/>
          <w:sz w:val="24"/>
          <w:szCs w:val="24"/>
        </w:rPr>
      </w:pPr>
      <w:r w:rsidRPr="00C125A4">
        <w:rPr>
          <w:rStyle w:val="FootnoteReference"/>
          <w:rFonts w:ascii="Cambria" w:hAnsi="Cambria" w:cs="Arial"/>
          <w:sz w:val="24"/>
          <w:szCs w:val="24"/>
        </w:rPr>
        <w:footnoteRef/>
      </w:r>
      <w:r w:rsidRPr="00C125A4">
        <w:rPr>
          <w:rFonts w:ascii="Cambria" w:hAnsi="Cambria" w:cs="Arial"/>
          <w:sz w:val="24"/>
          <w:szCs w:val="24"/>
        </w:rPr>
        <w:t xml:space="preserve"> </w:t>
      </w:r>
      <w:proofErr w:type="spellStart"/>
      <w:r w:rsidRPr="00C125A4">
        <w:rPr>
          <w:rFonts w:ascii="Cambria" w:hAnsi="Cambria" w:cs="Arial"/>
          <w:sz w:val="24"/>
          <w:szCs w:val="24"/>
        </w:rPr>
        <w:t>Mellahi</w:t>
      </w:r>
      <w:proofErr w:type="spellEnd"/>
      <w:r w:rsidRPr="00C125A4">
        <w:rPr>
          <w:rFonts w:ascii="Cambria" w:hAnsi="Cambria" w:cs="Arial"/>
          <w:sz w:val="24"/>
          <w:szCs w:val="24"/>
        </w:rPr>
        <w:t xml:space="preserve"> K, Wilkinson A (2004) Organizational failure: a critique of recent research and a proposed integrative framework. Int J </w:t>
      </w:r>
      <w:proofErr w:type="spellStart"/>
      <w:r w:rsidRPr="00C125A4">
        <w:rPr>
          <w:rFonts w:ascii="Cambria" w:hAnsi="Cambria" w:cs="Arial"/>
          <w:sz w:val="24"/>
          <w:szCs w:val="24"/>
        </w:rPr>
        <w:t>Manag</w:t>
      </w:r>
      <w:proofErr w:type="spellEnd"/>
      <w:r w:rsidRPr="00C125A4">
        <w:rPr>
          <w:rFonts w:ascii="Cambria" w:hAnsi="Cambria" w:cs="Arial"/>
          <w:sz w:val="24"/>
          <w:szCs w:val="24"/>
        </w:rPr>
        <w:t xml:space="preserve"> Rev 5(1):21–41.</w:t>
      </w:r>
    </w:p>
  </w:footnote>
  <w:footnote w:id="2">
    <w:p w14:paraId="19D32131" w14:textId="77777777" w:rsidR="00EA2B14" w:rsidRPr="00C125A4" w:rsidRDefault="00EA2B14" w:rsidP="00EA2B14">
      <w:pPr>
        <w:pStyle w:val="FootnoteText"/>
        <w:rPr>
          <w:rFonts w:ascii="Cambria" w:hAnsi="Cambria" w:cs="Arial"/>
          <w:sz w:val="24"/>
          <w:szCs w:val="24"/>
        </w:rPr>
      </w:pPr>
      <w:r w:rsidRPr="00C125A4">
        <w:rPr>
          <w:rStyle w:val="FootnoteReference"/>
          <w:rFonts w:ascii="Cambria" w:hAnsi="Cambria" w:cs="Arial"/>
          <w:sz w:val="24"/>
          <w:szCs w:val="24"/>
        </w:rPr>
        <w:footnoteRef/>
      </w:r>
      <w:r w:rsidRPr="00C125A4">
        <w:rPr>
          <w:rFonts w:ascii="Cambria" w:hAnsi="Cambria" w:cs="Arial"/>
          <w:sz w:val="24"/>
          <w:szCs w:val="24"/>
        </w:rPr>
        <w:t xml:space="preserve"> Jovanovic B (1982) Selection and the evolution of industry. </w:t>
      </w:r>
      <w:proofErr w:type="spellStart"/>
      <w:r w:rsidRPr="00C125A4">
        <w:rPr>
          <w:rFonts w:ascii="Cambria" w:hAnsi="Cambria" w:cs="Arial"/>
          <w:sz w:val="24"/>
          <w:szCs w:val="24"/>
        </w:rPr>
        <w:t>Econometrica</w:t>
      </w:r>
      <w:proofErr w:type="spellEnd"/>
      <w:r w:rsidRPr="00C125A4">
        <w:rPr>
          <w:rFonts w:ascii="Cambria" w:hAnsi="Cambria" w:cs="Arial"/>
          <w:sz w:val="24"/>
          <w:szCs w:val="24"/>
        </w:rPr>
        <w:t xml:space="preserve"> 50(3):649–670). </w:t>
      </w:r>
    </w:p>
  </w:footnote>
  <w:footnote w:id="3">
    <w:p w14:paraId="0EF6E2B8" w14:textId="7CDC4F56" w:rsidR="000D3B69" w:rsidRPr="00C125A4" w:rsidRDefault="000D3B69" w:rsidP="000D3B69">
      <w:pPr>
        <w:pStyle w:val="FootnoteText"/>
        <w:rPr>
          <w:rFonts w:ascii="Cambria" w:hAnsi="Cambria" w:cs="Arial"/>
          <w:sz w:val="24"/>
          <w:szCs w:val="24"/>
        </w:rPr>
      </w:pPr>
      <w:r w:rsidRPr="00C125A4">
        <w:rPr>
          <w:rStyle w:val="FootnoteReference"/>
          <w:rFonts w:ascii="Cambria" w:hAnsi="Cambria" w:cs="Arial"/>
          <w:sz w:val="24"/>
          <w:szCs w:val="24"/>
        </w:rPr>
        <w:footnoteRef/>
      </w:r>
      <w:r w:rsidRPr="00C125A4">
        <w:rPr>
          <w:rFonts w:ascii="Cambria" w:hAnsi="Cambria" w:cs="Arial"/>
          <w:sz w:val="24"/>
          <w:szCs w:val="24"/>
        </w:rPr>
        <w:t xml:space="preserve"> </w:t>
      </w:r>
      <w:r w:rsidR="000A7793" w:rsidRPr="00C125A4">
        <w:rPr>
          <w:rFonts w:ascii="Cambria" w:hAnsi="Cambria" w:cs="Arial"/>
          <w:sz w:val="24"/>
          <w:szCs w:val="24"/>
        </w:rPr>
        <w:t xml:space="preserve">TCI Insolvency Ordinance 2017; s. </w:t>
      </w:r>
      <w:r w:rsidRPr="00C125A4">
        <w:rPr>
          <w:rFonts w:ascii="Cambria" w:hAnsi="Cambria" w:cs="Arial"/>
          <w:sz w:val="24"/>
          <w:szCs w:val="24"/>
        </w:rPr>
        <w:t>52</w:t>
      </w:r>
    </w:p>
  </w:footnote>
  <w:footnote w:id="4">
    <w:p w14:paraId="0FAE4FD4" w14:textId="5581BE20" w:rsidR="000A7793" w:rsidRPr="00C125A4" w:rsidRDefault="000A7793">
      <w:pPr>
        <w:pStyle w:val="FootnoteText"/>
        <w:rPr>
          <w:rFonts w:ascii="Cambria" w:hAnsi="Cambria" w:cs="Arial"/>
          <w:sz w:val="24"/>
          <w:szCs w:val="24"/>
        </w:rPr>
      </w:pPr>
      <w:r w:rsidRPr="00C125A4">
        <w:rPr>
          <w:rStyle w:val="FootnoteReference"/>
          <w:rFonts w:ascii="Cambria" w:hAnsi="Cambria" w:cs="Arial"/>
          <w:sz w:val="24"/>
          <w:szCs w:val="24"/>
        </w:rPr>
        <w:footnoteRef/>
      </w:r>
      <w:r w:rsidRPr="00C125A4">
        <w:rPr>
          <w:rFonts w:ascii="Cambria" w:hAnsi="Cambria" w:cs="Arial"/>
          <w:sz w:val="24"/>
          <w:szCs w:val="24"/>
        </w:rPr>
        <w:t xml:space="preserve"> TCI Insolvency Ordinance 2017; s. 25</w:t>
      </w:r>
      <w:r w:rsidR="003B6A41" w:rsidRPr="00C125A4">
        <w:rPr>
          <w:rFonts w:ascii="Cambria" w:hAnsi="Cambria" w:cs="Arial"/>
          <w:sz w:val="24"/>
          <w:szCs w:val="24"/>
        </w:rPr>
        <w:t>(</w:t>
      </w:r>
      <w:r w:rsidRPr="00C125A4">
        <w:rPr>
          <w:rFonts w:ascii="Cambria" w:hAnsi="Cambria" w:cs="Arial"/>
          <w:sz w:val="24"/>
          <w:szCs w:val="24"/>
        </w:rPr>
        <w:t>1</w:t>
      </w:r>
      <w:r w:rsidR="003B6A41" w:rsidRPr="00C125A4">
        <w:rPr>
          <w:rFonts w:ascii="Cambria" w:hAnsi="Cambria" w:cs="Arial"/>
          <w:sz w:val="24"/>
          <w:szCs w:val="24"/>
        </w:rPr>
        <w:t>)</w:t>
      </w:r>
      <w:r w:rsidRPr="00C125A4">
        <w:rPr>
          <w:rFonts w:ascii="Cambria" w:hAnsi="Cambria" w:cs="Arial"/>
          <w:sz w:val="24"/>
          <w:szCs w:val="24"/>
        </w:rPr>
        <w:t>(c)</w:t>
      </w:r>
    </w:p>
  </w:footnote>
  <w:footnote w:id="5">
    <w:p w14:paraId="1967D214" w14:textId="19B76FCA" w:rsidR="000D3B69" w:rsidRPr="00C125A4" w:rsidRDefault="000D3B69" w:rsidP="000D3B69">
      <w:pPr>
        <w:pStyle w:val="FootnoteText"/>
        <w:rPr>
          <w:rFonts w:ascii="Cambria" w:hAnsi="Cambria" w:cs="Arial"/>
          <w:sz w:val="24"/>
          <w:szCs w:val="24"/>
        </w:rPr>
      </w:pPr>
      <w:r w:rsidRPr="00C125A4">
        <w:rPr>
          <w:rStyle w:val="FootnoteReference"/>
          <w:rFonts w:ascii="Cambria" w:hAnsi="Cambria" w:cs="Arial"/>
          <w:sz w:val="24"/>
          <w:szCs w:val="24"/>
        </w:rPr>
        <w:footnoteRef/>
      </w:r>
      <w:r w:rsidRPr="00C125A4">
        <w:rPr>
          <w:rFonts w:ascii="Cambria" w:hAnsi="Cambria" w:cs="Arial"/>
          <w:sz w:val="24"/>
          <w:szCs w:val="24"/>
        </w:rPr>
        <w:t xml:space="preserve"> </w:t>
      </w:r>
      <w:r w:rsidR="003B6A41" w:rsidRPr="00C125A4">
        <w:rPr>
          <w:rFonts w:ascii="Cambria" w:hAnsi="Cambria" w:cs="Arial"/>
          <w:sz w:val="24"/>
          <w:szCs w:val="24"/>
        </w:rPr>
        <w:t xml:space="preserve">TCI Insolvency Ordinance 2017; s. </w:t>
      </w:r>
      <w:r w:rsidRPr="00C125A4">
        <w:rPr>
          <w:rFonts w:ascii="Cambria" w:hAnsi="Cambria" w:cs="Arial"/>
          <w:sz w:val="24"/>
          <w:szCs w:val="24"/>
        </w:rPr>
        <w:t>13(1)(b)</w:t>
      </w:r>
    </w:p>
  </w:footnote>
  <w:footnote w:id="6">
    <w:p w14:paraId="3EF31445" w14:textId="15C3E492" w:rsidR="000D3B69" w:rsidRPr="00C125A4" w:rsidRDefault="000D3B69" w:rsidP="000D3B69">
      <w:pPr>
        <w:pStyle w:val="FootnoteText"/>
        <w:rPr>
          <w:rFonts w:ascii="Cambria" w:hAnsi="Cambria" w:cs="Arial"/>
          <w:sz w:val="24"/>
          <w:szCs w:val="24"/>
        </w:rPr>
      </w:pPr>
      <w:r w:rsidRPr="00C125A4">
        <w:rPr>
          <w:rStyle w:val="FootnoteReference"/>
          <w:rFonts w:ascii="Cambria" w:hAnsi="Cambria" w:cs="Arial"/>
          <w:sz w:val="24"/>
          <w:szCs w:val="24"/>
        </w:rPr>
        <w:footnoteRef/>
      </w:r>
      <w:r w:rsidRPr="00C125A4">
        <w:rPr>
          <w:rFonts w:ascii="Cambria" w:hAnsi="Cambria" w:cs="Arial"/>
          <w:sz w:val="24"/>
          <w:szCs w:val="24"/>
        </w:rPr>
        <w:t xml:space="preserve"> </w:t>
      </w:r>
      <w:r w:rsidR="003B6A41" w:rsidRPr="00C125A4">
        <w:rPr>
          <w:rFonts w:ascii="Cambria" w:hAnsi="Cambria" w:cs="Arial"/>
          <w:sz w:val="24"/>
          <w:szCs w:val="24"/>
        </w:rPr>
        <w:t xml:space="preserve">TCI Insolvency Ordinance 2017; s. </w:t>
      </w:r>
      <w:r w:rsidRPr="00C125A4">
        <w:rPr>
          <w:rFonts w:ascii="Cambria" w:hAnsi="Cambria" w:cs="Arial"/>
          <w:sz w:val="24"/>
          <w:szCs w:val="24"/>
        </w:rPr>
        <w:t>13(1)(c)</w:t>
      </w:r>
    </w:p>
  </w:footnote>
  <w:footnote w:id="7">
    <w:p w14:paraId="0E5D6E17" w14:textId="7A2C6D79" w:rsidR="000D3B69" w:rsidRPr="00C125A4" w:rsidRDefault="000D3B69" w:rsidP="000D3B69">
      <w:pPr>
        <w:pStyle w:val="FootnoteText"/>
        <w:rPr>
          <w:rFonts w:ascii="Cambria" w:hAnsi="Cambria" w:cs="Arial"/>
          <w:sz w:val="24"/>
          <w:szCs w:val="24"/>
        </w:rPr>
      </w:pPr>
      <w:r w:rsidRPr="00C125A4">
        <w:rPr>
          <w:rStyle w:val="FootnoteReference"/>
          <w:rFonts w:ascii="Cambria" w:hAnsi="Cambria" w:cs="Arial"/>
          <w:sz w:val="24"/>
          <w:szCs w:val="24"/>
        </w:rPr>
        <w:footnoteRef/>
      </w:r>
      <w:r w:rsidRPr="00C125A4">
        <w:rPr>
          <w:rFonts w:ascii="Cambria" w:hAnsi="Cambria" w:cs="Arial"/>
          <w:sz w:val="24"/>
          <w:szCs w:val="24"/>
        </w:rPr>
        <w:t xml:space="preserve"> </w:t>
      </w:r>
      <w:r w:rsidR="003B6A41" w:rsidRPr="00C125A4">
        <w:rPr>
          <w:rFonts w:ascii="Cambria" w:hAnsi="Cambria" w:cs="Arial"/>
          <w:sz w:val="24"/>
          <w:szCs w:val="24"/>
        </w:rPr>
        <w:t xml:space="preserve">TCI Insolvency Ordinance 2017; </w:t>
      </w:r>
      <w:r w:rsidRPr="00C125A4">
        <w:rPr>
          <w:rFonts w:ascii="Cambria" w:hAnsi="Cambria" w:cs="Arial"/>
          <w:sz w:val="24"/>
          <w:szCs w:val="24"/>
        </w:rPr>
        <w:t>s. 45</w:t>
      </w:r>
    </w:p>
  </w:footnote>
  <w:footnote w:id="8">
    <w:p w14:paraId="2A94FAFB" w14:textId="1EBDFAA3" w:rsidR="000D3B69" w:rsidRPr="00C125A4" w:rsidRDefault="000D3B69" w:rsidP="000D3B69">
      <w:pPr>
        <w:pStyle w:val="FootnoteText"/>
        <w:rPr>
          <w:rFonts w:ascii="Cambria" w:hAnsi="Cambria" w:cs="Arial"/>
          <w:sz w:val="24"/>
          <w:szCs w:val="24"/>
        </w:rPr>
      </w:pPr>
      <w:r w:rsidRPr="00C125A4">
        <w:rPr>
          <w:rStyle w:val="FootnoteReference"/>
          <w:rFonts w:ascii="Cambria" w:hAnsi="Cambria" w:cs="Arial"/>
          <w:sz w:val="24"/>
          <w:szCs w:val="24"/>
        </w:rPr>
        <w:footnoteRef/>
      </w:r>
      <w:r w:rsidRPr="00C125A4">
        <w:rPr>
          <w:rFonts w:ascii="Cambria" w:hAnsi="Cambria" w:cs="Arial"/>
          <w:sz w:val="24"/>
          <w:szCs w:val="24"/>
        </w:rPr>
        <w:t xml:space="preserve"> </w:t>
      </w:r>
      <w:r w:rsidR="003B6A41" w:rsidRPr="00C125A4">
        <w:rPr>
          <w:rFonts w:ascii="Cambria" w:hAnsi="Cambria" w:cs="Arial"/>
          <w:sz w:val="24"/>
          <w:szCs w:val="24"/>
        </w:rPr>
        <w:t xml:space="preserve">TCI Insolvency Ordinance 2017; s. </w:t>
      </w:r>
      <w:r w:rsidRPr="00C125A4">
        <w:rPr>
          <w:rFonts w:ascii="Cambria" w:hAnsi="Cambria" w:cs="Arial"/>
          <w:sz w:val="24"/>
          <w:szCs w:val="24"/>
        </w:rPr>
        <w:t>175</w:t>
      </w:r>
    </w:p>
  </w:footnote>
  <w:footnote w:id="9">
    <w:p w14:paraId="306D41AE" w14:textId="58E76531" w:rsidR="000D3B69" w:rsidRPr="00C125A4" w:rsidRDefault="000D3B69" w:rsidP="000D3B69">
      <w:pPr>
        <w:pStyle w:val="FootnoteText"/>
        <w:rPr>
          <w:rFonts w:ascii="Cambria" w:hAnsi="Cambria" w:cs="Arial"/>
          <w:sz w:val="24"/>
          <w:szCs w:val="24"/>
        </w:rPr>
      </w:pPr>
      <w:r w:rsidRPr="00C125A4">
        <w:rPr>
          <w:rStyle w:val="FootnoteReference"/>
          <w:rFonts w:ascii="Cambria" w:hAnsi="Cambria" w:cs="Arial"/>
          <w:sz w:val="24"/>
          <w:szCs w:val="24"/>
        </w:rPr>
        <w:footnoteRef/>
      </w:r>
      <w:r w:rsidR="003B6A41" w:rsidRPr="00C125A4">
        <w:rPr>
          <w:rFonts w:ascii="Cambria" w:hAnsi="Cambria" w:cs="Arial"/>
          <w:sz w:val="24"/>
          <w:szCs w:val="24"/>
        </w:rPr>
        <w:t xml:space="preserve"> TCI Insolvency Ordinance 2017; s. </w:t>
      </w:r>
      <w:r w:rsidRPr="00C125A4">
        <w:rPr>
          <w:rFonts w:ascii="Cambria" w:hAnsi="Cambria" w:cs="Arial"/>
          <w:sz w:val="24"/>
          <w:szCs w:val="24"/>
        </w:rPr>
        <w:t>74</w:t>
      </w:r>
    </w:p>
  </w:footnote>
  <w:footnote w:id="10">
    <w:p w14:paraId="1CF79E77" w14:textId="6CDAA2B6" w:rsidR="000E3343" w:rsidRPr="00372AAE" w:rsidRDefault="000E3343">
      <w:pPr>
        <w:pStyle w:val="FootnoteText"/>
        <w:rPr>
          <w:rFonts w:ascii="Cambria" w:hAnsi="Cambria" w:cs="Arial"/>
          <w:sz w:val="24"/>
          <w:szCs w:val="24"/>
        </w:rPr>
      </w:pPr>
      <w:r w:rsidRPr="00372AAE">
        <w:rPr>
          <w:rStyle w:val="FootnoteReference"/>
          <w:rFonts w:ascii="Cambria" w:hAnsi="Cambria" w:cs="Arial"/>
          <w:sz w:val="24"/>
          <w:szCs w:val="24"/>
        </w:rPr>
        <w:footnoteRef/>
      </w:r>
      <w:r w:rsidRPr="00372AAE">
        <w:rPr>
          <w:rFonts w:ascii="Cambria" w:hAnsi="Cambria" w:cs="Arial"/>
          <w:sz w:val="24"/>
          <w:szCs w:val="24"/>
        </w:rPr>
        <w:t xml:space="preserve"> </w:t>
      </w:r>
      <w:proofErr w:type="spellStart"/>
      <w:r w:rsidRPr="00372AAE">
        <w:rPr>
          <w:rFonts w:ascii="Cambria" w:hAnsi="Cambria" w:cs="Arial"/>
          <w:sz w:val="24"/>
          <w:szCs w:val="24"/>
        </w:rPr>
        <w:t>Adriaanse</w:t>
      </w:r>
      <w:proofErr w:type="spellEnd"/>
      <w:r w:rsidRPr="00372AAE">
        <w:rPr>
          <w:rFonts w:ascii="Cambria" w:hAnsi="Cambria" w:cs="Arial"/>
          <w:sz w:val="24"/>
          <w:szCs w:val="24"/>
        </w:rPr>
        <w:t xml:space="preserve">, J.A.A., &amp; </w:t>
      </w:r>
      <w:proofErr w:type="spellStart"/>
      <w:r w:rsidRPr="00372AAE">
        <w:rPr>
          <w:rFonts w:ascii="Cambria" w:hAnsi="Cambria" w:cs="Arial"/>
          <w:sz w:val="24"/>
          <w:szCs w:val="24"/>
        </w:rPr>
        <w:t>Kuijl</w:t>
      </w:r>
      <w:proofErr w:type="spellEnd"/>
      <w:r w:rsidRPr="00372AAE">
        <w:rPr>
          <w:rFonts w:ascii="Cambria" w:hAnsi="Cambria" w:cs="Arial"/>
          <w:sz w:val="24"/>
          <w:szCs w:val="24"/>
        </w:rPr>
        <w:t xml:space="preserve">, J.G. (2006). Resolving Financial Distress: Informal Reorganization in The Netherlands as a Beacon for Policy Makers in the CIS and CEE/SEE </w:t>
      </w:r>
      <w:proofErr w:type="gramStart"/>
      <w:r w:rsidRPr="00372AAE">
        <w:rPr>
          <w:rFonts w:ascii="Cambria" w:hAnsi="Cambria" w:cs="Arial"/>
          <w:sz w:val="24"/>
          <w:szCs w:val="24"/>
        </w:rPr>
        <w:t>Regions?,</w:t>
      </w:r>
      <w:proofErr w:type="gramEnd"/>
      <w:r w:rsidRPr="00372AAE">
        <w:rPr>
          <w:rFonts w:ascii="Cambria" w:hAnsi="Cambria" w:cs="Arial"/>
          <w:sz w:val="24"/>
          <w:szCs w:val="24"/>
        </w:rPr>
        <w:t xml:space="preserve"> </w:t>
      </w:r>
      <w:r w:rsidRPr="00372AAE">
        <w:rPr>
          <w:rFonts w:ascii="Cambria" w:hAnsi="Cambria" w:cs="Arial"/>
          <w:i/>
          <w:iCs/>
          <w:sz w:val="24"/>
          <w:szCs w:val="24"/>
        </w:rPr>
        <w:t>Review of Central and East European Law, 31(2), 135-154 at 135.</w:t>
      </w:r>
    </w:p>
  </w:footnote>
  <w:footnote w:id="11">
    <w:p w14:paraId="4B609E7C" w14:textId="77777777" w:rsidR="00517414" w:rsidRPr="00372AAE" w:rsidRDefault="00517414" w:rsidP="00517414">
      <w:pPr>
        <w:pStyle w:val="FootnoteText"/>
        <w:rPr>
          <w:rFonts w:ascii="Cambria" w:hAnsi="Cambria" w:cs="Arial"/>
          <w:sz w:val="24"/>
          <w:szCs w:val="24"/>
        </w:rPr>
      </w:pPr>
      <w:r w:rsidRPr="00372AAE">
        <w:rPr>
          <w:rStyle w:val="FootnoteReference"/>
          <w:rFonts w:ascii="Cambria" w:hAnsi="Cambria" w:cs="Arial"/>
          <w:sz w:val="24"/>
          <w:szCs w:val="24"/>
        </w:rPr>
        <w:footnoteRef/>
      </w:r>
      <w:r w:rsidRPr="00372AAE">
        <w:rPr>
          <w:rFonts w:ascii="Cambria" w:hAnsi="Cambria" w:cs="Arial"/>
          <w:sz w:val="24"/>
          <w:szCs w:val="24"/>
        </w:rPr>
        <w:t xml:space="preserve"> </w:t>
      </w:r>
      <w:proofErr w:type="spellStart"/>
      <w:r w:rsidRPr="00372AAE">
        <w:rPr>
          <w:rFonts w:ascii="Cambria" w:hAnsi="Cambria" w:cs="Arial"/>
          <w:sz w:val="24"/>
          <w:szCs w:val="24"/>
        </w:rPr>
        <w:t>Adriaanse</w:t>
      </w:r>
      <w:proofErr w:type="spellEnd"/>
      <w:r w:rsidRPr="00372AAE">
        <w:rPr>
          <w:rFonts w:ascii="Cambria" w:hAnsi="Cambria" w:cs="Arial"/>
          <w:sz w:val="24"/>
          <w:szCs w:val="24"/>
        </w:rPr>
        <w:t xml:space="preserve">, J.A.A., &amp; </w:t>
      </w:r>
      <w:proofErr w:type="spellStart"/>
      <w:r w:rsidRPr="00372AAE">
        <w:rPr>
          <w:rFonts w:ascii="Cambria" w:hAnsi="Cambria" w:cs="Arial"/>
          <w:sz w:val="24"/>
          <w:szCs w:val="24"/>
        </w:rPr>
        <w:t>Kuijl</w:t>
      </w:r>
      <w:proofErr w:type="spellEnd"/>
      <w:r w:rsidRPr="00372AAE">
        <w:rPr>
          <w:rFonts w:ascii="Cambria" w:hAnsi="Cambria" w:cs="Arial"/>
          <w:sz w:val="24"/>
          <w:szCs w:val="24"/>
        </w:rPr>
        <w:t xml:space="preserve">, J.G. (2006). Resolving Financial Distress: Informal Reorganization in The Netherlands as a Beacon for Policy Makers in the CIS and CEE/SEE </w:t>
      </w:r>
      <w:proofErr w:type="gramStart"/>
      <w:r w:rsidRPr="00372AAE">
        <w:rPr>
          <w:rFonts w:ascii="Cambria" w:hAnsi="Cambria" w:cs="Arial"/>
          <w:sz w:val="24"/>
          <w:szCs w:val="24"/>
        </w:rPr>
        <w:t>Regions?,</w:t>
      </w:r>
      <w:proofErr w:type="gramEnd"/>
      <w:r w:rsidRPr="00372AAE">
        <w:rPr>
          <w:rFonts w:ascii="Cambria" w:hAnsi="Cambria" w:cs="Arial"/>
          <w:sz w:val="24"/>
          <w:szCs w:val="24"/>
        </w:rPr>
        <w:t xml:space="preserve"> </w:t>
      </w:r>
      <w:r w:rsidRPr="00372AAE">
        <w:rPr>
          <w:rFonts w:ascii="Cambria" w:hAnsi="Cambria" w:cs="Arial"/>
          <w:i/>
          <w:iCs/>
          <w:sz w:val="24"/>
          <w:szCs w:val="24"/>
        </w:rPr>
        <w:t>Review of Central and East European Law, 31(2), 135-154 at 139.</w:t>
      </w:r>
    </w:p>
  </w:footnote>
  <w:footnote w:id="12">
    <w:p w14:paraId="2FFCD44E" w14:textId="3A57A327" w:rsidR="00012943" w:rsidRPr="00372AAE" w:rsidRDefault="00012943" w:rsidP="00012943">
      <w:pPr>
        <w:pStyle w:val="FootnoteText"/>
        <w:rPr>
          <w:rFonts w:ascii="Cambria" w:hAnsi="Cambria" w:cs="Arial"/>
          <w:sz w:val="24"/>
          <w:szCs w:val="24"/>
        </w:rPr>
      </w:pPr>
      <w:r w:rsidRPr="00372AAE">
        <w:rPr>
          <w:rStyle w:val="FootnoteReference"/>
          <w:rFonts w:ascii="Cambria" w:hAnsi="Cambria" w:cs="Arial"/>
          <w:sz w:val="24"/>
          <w:szCs w:val="24"/>
        </w:rPr>
        <w:footnoteRef/>
      </w:r>
      <w:r w:rsidRPr="00372AAE">
        <w:rPr>
          <w:rFonts w:ascii="Cambria" w:hAnsi="Cambria" w:cs="Arial"/>
          <w:sz w:val="24"/>
          <w:szCs w:val="24"/>
        </w:rPr>
        <w:t xml:space="preserve"> </w:t>
      </w:r>
      <w:proofErr w:type="spellStart"/>
      <w:r w:rsidRPr="00372AAE">
        <w:rPr>
          <w:rFonts w:ascii="Cambria" w:hAnsi="Cambria" w:cs="Arial"/>
          <w:sz w:val="24"/>
          <w:szCs w:val="24"/>
        </w:rPr>
        <w:t>Adriaanse</w:t>
      </w:r>
      <w:proofErr w:type="spellEnd"/>
      <w:r w:rsidRPr="00372AAE">
        <w:rPr>
          <w:rFonts w:ascii="Cambria" w:hAnsi="Cambria" w:cs="Arial"/>
          <w:sz w:val="24"/>
          <w:szCs w:val="24"/>
        </w:rPr>
        <w:t xml:space="preserve">, J.A.A., &amp; </w:t>
      </w:r>
      <w:proofErr w:type="spellStart"/>
      <w:r w:rsidRPr="00372AAE">
        <w:rPr>
          <w:rFonts w:ascii="Cambria" w:hAnsi="Cambria" w:cs="Arial"/>
          <w:sz w:val="24"/>
          <w:szCs w:val="24"/>
        </w:rPr>
        <w:t>Kuijl</w:t>
      </w:r>
      <w:proofErr w:type="spellEnd"/>
      <w:r w:rsidRPr="00372AAE">
        <w:rPr>
          <w:rFonts w:ascii="Cambria" w:hAnsi="Cambria" w:cs="Arial"/>
          <w:sz w:val="24"/>
          <w:szCs w:val="24"/>
        </w:rPr>
        <w:t xml:space="preserve">, J.G. (2006). Resolving Financial Distress: Informal Reorganization in The Netherlands as a Beacon for Policy Makers in the CIS and CEE/SEE </w:t>
      </w:r>
      <w:proofErr w:type="gramStart"/>
      <w:r w:rsidRPr="00372AAE">
        <w:rPr>
          <w:rFonts w:ascii="Cambria" w:hAnsi="Cambria" w:cs="Arial"/>
          <w:sz w:val="24"/>
          <w:szCs w:val="24"/>
        </w:rPr>
        <w:t>Regions?,</w:t>
      </w:r>
      <w:proofErr w:type="gramEnd"/>
      <w:r w:rsidRPr="00372AAE">
        <w:rPr>
          <w:rFonts w:ascii="Cambria" w:hAnsi="Cambria" w:cs="Arial"/>
          <w:sz w:val="24"/>
          <w:szCs w:val="24"/>
        </w:rPr>
        <w:t xml:space="preserve"> </w:t>
      </w:r>
      <w:r w:rsidRPr="00372AAE">
        <w:rPr>
          <w:rFonts w:ascii="Cambria" w:hAnsi="Cambria" w:cs="Arial"/>
          <w:i/>
          <w:iCs/>
          <w:sz w:val="24"/>
          <w:szCs w:val="24"/>
        </w:rPr>
        <w:t>Review of Central and East European Law, 31(2), 135-154 at 145.</w:t>
      </w:r>
    </w:p>
  </w:footnote>
  <w:footnote w:id="13">
    <w:p w14:paraId="55DC4A49" w14:textId="1A9C11DA" w:rsidR="00012943" w:rsidRPr="00372AAE" w:rsidRDefault="00012943" w:rsidP="00012943">
      <w:pPr>
        <w:pStyle w:val="FootnoteText"/>
        <w:rPr>
          <w:rFonts w:ascii="Cambria" w:hAnsi="Cambria" w:cs="Arial"/>
          <w:sz w:val="24"/>
          <w:szCs w:val="24"/>
        </w:rPr>
      </w:pPr>
      <w:r w:rsidRPr="00372AAE">
        <w:rPr>
          <w:rStyle w:val="FootnoteReference"/>
          <w:rFonts w:ascii="Cambria" w:hAnsi="Cambria" w:cs="Arial"/>
          <w:sz w:val="24"/>
          <w:szCs w:val="24"/>
        </w:rPr>
        <w:footnoteRef/>
      </w:r>
      <w:r w:rsidRPr="00372AAE">
        <w:rPr>
          <w:rFonts w:ascii="Cambria" w:hAnsi="Cambria" w:cs="Arial"/>
          <w:sz w:val="24"/>
          <w:szCs w:val="24"/>
        </w:rPr>
        <w:t xml:space="preserve"> </w:t>
      </w:r>
      <w:proofErr w:type="spellStart"/>
      <w:r w:rsidRPr="00372AAE">
        <w:rPr>
          <w:rFonts w:ascii="Cambria" w:hAnsi="Cambria" w:cs="Arial"/>
          <w:sz w:val="24"/>
          <w:szCs w:val="24"/>
        </w:rPr>
        <w:t>Adriaanse</w:t>
      </w:r>
      <w:proofErr w:type="spellEnd"/>
      <w:r w:rsidRPr="00372AAE">
        <w:rPr>
          <w:rFonts w:ascii="Cambria" w:hAnsi="Cambria" w:cs="Arial"/>
          <w:sz w:val="24"/>
          <w:szCs w:val="24"/>
        </w:rPr>
        <w:t xml:space="preserve">, J.A.A., &amp; </w:t>
      </w:r>
      <w:proofErr w:type="spellStart"/>
      <w:r w:rsidRPr="00372AAE">
        <w:rPr>
          <w:rFonts w:ascii="Cambria" w:hAnsi="Cambria" w:cs="Arial"/>
          <w:sz w:val="24"/>
          <w:szCs w:val="24"/>
        </w:rPr>
        <w:t>Kuijl</w:t>
      </w:r>
      <w:proofErr w:type="spellEnd"/>
      <w:r w:rsidRPr="00372AAE">
        <w:rPr>
          <w:rFonts w:ascii="Cambria" w:hAnsi="Cambria" w:cs="Arial"/>
          <w:sz w:val="24"/>
          <w:szCs w:val="24"/>
        </w:rPr>
        <w:t xml:space="preserve">, J.G. (2006). Resolving Financial Distress: Informal Reorganization in The Netherlands as a Beacon for Policy Makers in the CIS and CEE/SEE </w:t>
      </w:r>
      <w:proofErr w:type="gramStart"/>
      <w:r w:rsidRPr="00372AAE">
        <w:rPr>
          <w:rFonts w:ascii="Cambria" w:hAnsi="Cambria" w:cs="Arial"/>
          <w:sz w:val="24"/>
          <w:szCs w:val="24"/>
        </w:rPr>
        <w:t>Regions?,</w:t>
      </w:r>
      <w:proofErr w:type="gramEnd"/>
      <w:r w:rsidRPr="00372AAE">
        <w:rPr>
          <w:rFonts w:ascii="Cambria" w:hAnsi="Cambria" w:cs="Arial"/>
          <w:sz w:val="24"/>
          <w:szCs w:val="24"/>
        </w:rPr>
        <w:t xml:space="preserve"> </w:t>
      </w:r>
      <w:r w:rsidRPr="00372AAE">
        <w:rPr>
          <w:rFonts w:ascii="Cambria" w:hAnsi="Cambria" w:cs="Arial"/>
          <w:i/>
          <w:iCs/>
          <w:sz w:val="24"/>
          <w:szCs w:val="24"/>
        </w:rPr>
        <w:t>Review of Central and East European Law, 31(2), 135-154 at 146.</w:t>
      </w:r>
    </w:p>
  </w:footnote>
  <w:footnote w:id="14">
    <w:p w14:paraId="331BD16A" w14:textId="33B50A84" w:rsidR="00012943" w:rsidRPr="00372AAE" w:rsidRDefault="00012943" w:rsidP="00012943">
      <w:pPr>
        <w:pStyle w:val="FootnoteText"/>
        <w:rPr>
          <w:rFonts w:ascii="Cambria" w:hAnsi="Cambria" w:cs="Arial"/>
          <w:sz w:val="24"/>
          <w:szCs w:val="24"/>
        </w:rPr>
      </w:pPr>
      <w:r w:rsidRPr="00372AAE">
        <w:rPr>
          <w:rStyle w:val="FootnoteReference"/>
          <w:rFonts w:ascii="Cambria" w:hAnsi="Cambria" w:cs="Arial"/>
          <w:sz w:val="24"/>
          <w:szCs w:val="24"/>
        </w:rPr>
        <w:footnoteRef/>
      </w:r>
      <w:r w:rsidRPr="00372AAE">
        <w:rPr>
          <w:rFonts w:ascii="Cambria" w:hAnsi="Cambria" w:cs="Arial"/>
          <w:sz w:val="24"/>
          <w:szCs w:val="24"/>
        </w:rPr>
        <w:t xml:space="preserve"> </w:t>
      </w:r>
      <w:proofErr w:type="spellStart"/>
      <w:r w:rsidRPr="00372AAE">
        <w:rPr>
          <w:rFonts w:ascii="Cambria" w:hAnsi="Cambria" w:cs="Arial"/>
          <w:sz w:val="24"/>
          <w:szCs w:val="24"/>
        </w:rPr>
        <w:t>Adriaanse</w:t>
      </w:r>
      <w:proofErr w:type="spellEnd"/>
      <w:r w:rsidRPr="00372AAE">
        <w:rPr>
          <w:rFonts w:ascii="Cambria" w:hAnsi="Cambria" w:cs="Arial"/>
          <w:sz w:val="24"/>
          <w:szCs w:val="24"/>
        </w:rPr>
        <w:t xml:space="preserve">, J.A.A., &amp; </w:t>
      </w:r>
      <w:proofErr w:type="spellStart"/>
      <w:r w:rsidRPr="00372AAE">
        <w:rPr>
          <w:rFonts w:ascii="Cambria" w:hAnsi="Cambria" w:cs="Arial"/>
          <w:sz w:val="24"/>
          <w:szCs w:val="24"/>
        </w:rPr>
        <w:t>Kuijl</w:t>
      </w:r>
      <w:proofErr w:type="spellEnd"/>
      <w:r w:rsidRPr="00372AAE">
        <w:rPr>
          <w:rFonts w:ascii="Cambria" w:hAnsi="Cambria" w:cs="Arial"/>
          <w:sz w:val="24"/>
          <w:szCs w:val="24"/>
        </w:rPr>
        <w:t xml:space="preserve">, J.G. (2006). Resolving Financial Distress: Informal Reorganization in The Netherlands as a Beacon for Policy Makers in the CIS and CEE/SEE </w:t>
      </w:r>
      <w:proofErr w:type="gramStart"/>
      <w:r w:rsidRPr="00372AAE">
        <w:rPr>
          <w:rFonts w:ascii="Cambria" w:hAnsi="Cambria" w:cs="Arial"/>
          <w:sz w:val="24"/>
          <w:szCs w:val="24"/>
        </w:rPr>
        <w:t>Regions?,</w:t>
      </w:r>
      <w:proofErr w:type="gramEnd"/>
      <w:r w:rsidRPr="00372AAE">
        <w:rPr>
          <w:rFonts w:ascii="Cambria" w:hAnsi="Cambria" w:cs="Arial"/>
          <w:sz w:val="24"/>
          <w:szCs w:val="24"/>
        </w:rPr>
        <w:t xml:space="preserve"> </w:t>
      </w:r>
      <w:r w:rsidRPr="00372AAE">
        <w:rPr>
          <w:rFonts w:ascii="Cambria" w:hAnsi="Cambria" w:cs="Arial"/>
          <w:i/>
          <w:iCs/>
          <w:sz w:val="24"/>
          <w:szCs w:val="24"/>
        </w:rPr>
        <w:t>Review of Central and East European Law, 31(2), 135-154 at 141.</w:t>
      </w:r>
    </w:p>
  </w:footnote>
  <w:footnote w:id="15">
    <w:p w14:paraId="06418B1C" w14:textId="30F3588B" w:rsidR="00012943" w:rsidRPr="00372AAE" w:rsidRDefault="00012943" w:rsidP="00012943">
      <w:pPr>
        <w:pStyle w:val="FootnoteText"/>
        <w:rPr>
          <w:rFonts w:ascii="Cambria" w:hAnsi="Cambria" w:cs="Arial"/>
          <w:sz w:val="24"/>
          <w:szCs w:val="24"/>
        </w:rPr>
      </w:pPr>
      <w:r w:rsidRPr="00372AAE">
        <w:rPr>
          <w:rStyle w:val="FootnoteReference"/>
          <w:rFonts w:ascii="Cambria" w:hAnsi="Cambria" w:cs="Arial"/>
          <w:sz w:val="24"/>
          <w:szCs w:val="24"/>
        </w:rPr>
        <w:footnoteRef/>
      </w:r>
      <w:r w:rsidRPr="00372AAE">
        <w:rPr>
          <w:rFonts w:ascii="Cambria" w:hAnsi="Cambria" w:cs="Arial"/>
          <w:sz w:val="24"/>
          <w:szCs w:val="24"/>
        </w:rPr>
        <w:t xml:space="preserve"> </w:t>
      </w:r>
      <w:proofErr w:type="spellStart"/>
      <w:r w:rsidRPr="00372AAE">
        <w:rPr>
          <w:rFonts w:ascii="Cambria" w:hAnsi="Cambria" w:cs="Arial"/>
          <w:sz w:val="24"/>
          <w:szCs w:val="24"/>
        </w:rPr>
        <w:t>Adriaanse</w:t>
      </w:r>
      <w:proofErr w:type="spellEnd"/>
      <w:r w:rsidRPr="00372AAE">
        <w:rPr>
          <w:rFonts w:ascii="Cambria" w:hAnsi="Cambria" w:cs="Arial"/>
          <w:sz w:val="24"/>
          <w:szCs w:val="24"/>
        </w:rPr>
        <w:t xml:space="preserve">, J.A.A., &amp; </w:t>
      </w:r>
      <w:proofErr w:type="spellStart"/>
      <w:r w:rsidRPr="00372AAE">
        <w:rPr>
          <w:rFonts w:ascii="Cambria" w:hAnsi="Cambria" w:cs="Arial"/>
          <w:sz w:val="24"/>
          <w:szCs w:val="24"/>
        </w:rPr>
        <w:t>Kuijl</w:t>
      </w:r>
      <w:proofErr w:type="spellEnd"/>
      <w:r w:rsidRPr="00372AAE">
        <w:rPr>
          <w:rFonts w:ascii="Cambria" w:hAnsi="Cambria" w:cs="Arial"/>
          <w:sz w:val="24"/>
          <w:szCs w:val="24"/>
        </w:rPr>
        <w:t xml:space="preserve">, J.G. (2006). Resolving Financial Distress: Informal Reorganization in The Netherlands as a Beacon for Policy Makers in the CIS and CEE/SEE </w:t>
      </w:r>
      <w:proofErr w:type="gramStart"/>
      <w:r w:rsidRPr="00372AAE">
        <w:rPr>
          <w:rFonts w:ascii="Cambria" w:hAnsi="Cambria" w:cs="Arial"/>
          <w:sz w:val="24"/>
          <w:szCs w:val="24"/>
        </w:rPr>
        <w:t>Regions?,</w:t>
      </w:r>
      <w:proofErr w:type="gramEnd"/>
      <w:r w:rsidRPr="00372AAE">
        <w:rPr>
          <w:rFonts w:ascii="Cambria" w:hAnsi="Cambria" w:cs="Arial"/>
          <w:sz w:val="24"/>
          <w:szCs w:val="24"/>
        </w:rPr>
        <w:t xml:space="preserve"> </w:t>
      </w:r>
      <w:r w:rsidRPr="00372AAE">
        <w:rPr>
          <w:rFonts w:ascii="Cambria" w:hAnsi="Cambria" w:cs="Arial"/>
          <w:i/>
          <w:iCs/>
          <w:sz w:val="24"/>
          <w:szCs w:val="24"/>
        </w:rPr>
        <w:t>Review of Central and East European Law, 31(2), 135-154 at 143.</w:t>
      </w:r>
    </w:p>
  </w:footnote>
  <w:footnote w:id="16">
    <w:p w14:paraId="25510E68" w14:textId="77777777" w:rsidR="00012943" w:rsidRPr="00372AAE" w:rsidRDefault="00012943" w:rsidP="00012943">
      <w:pPr>
        <w:pStyle w:val="FootnoteText"/>
        <w:rPr>
          <w:rFonts w:ascii="Cambria" w:hAnsi="Cambria" w:cs="Arial"/>
          <w:sz w:val="24"/>
          <w:szCs w:val="24"/>
        </w:rPr>
      </w:pPr>
      <w:r w:rsidRPr="00372AAE">
        <w:rPr>
          <w:rStyle w:val="FootnoteReference"/>
          <w:rFonts w:ascii="Cambria" w:hAnsi="Cambria" w:cs="Arial"/>
          <w:sz w:val="24"/>
          <w:szCs w:val="24"/>
        </w:rPr>
        <w:footnoteRef/>
      </w:r>
      <w:r w:rsidRPr="00372AAE">
        <w:rPr>
          <w:rFonts w:ascii="Cambria" w:hAnsi="Cambria" w:cs="Arial"/>
          <w:sz w:val="24"/>
          <w:szCs w:val="24"/>
        </w:rPr>
        <w:t xml:space="preserve"> </w:t>
      </w:r>
      <w:proofErr w:type="spellStart"/>
      <w:r w:rsidRPr="00372AAE">
        <w:rPr>
          <w:rFonts w:ascii="Cambria" w:hAnsi="Cambria" w:cs="Arial"/>
          <w:sz w:val="24"/>
          <w:szCs w:val="24"/>
        </w:rPr>
        <w:t>Adriaanse</w:t>
      </w:r>
      <w:proofErr w:type="spellEnd"/>
      <w:r w:rsidRPr="00372AAE">
        <w:rPr>
          <w:rFonts w:ascii="Cambria" w:hAnsi="Cambria" w:cs="Arial"/>
          <w:sz w:val="24"/>
          <w:szCs w:val="24"/>
        </w:rPr>
        <w:t xml:space="preserve">, J.A.A., &amp; </w:t>
      </w:r>
      <w:proofErr w:type="spellStart"/>
      <w:r w:rsidRPr="00372AAE">
        <w:rPr>
          <w:rFonts w:ascii="Cambria" w:hAnsi="Cambria" w:cs="Arial"/>
          <w:sz w:val="24"/>
          <w:szCs w:val="24"/>
        </w:rPr>
        <w:t>Kuijl</w:t>
      </w:r>
      <w:proofErr w:type="spellEnd"/>
      <w:r w:rsidRPr="00372AAE">
        <w:rPr>
          <w:rFonts w:ascii="Cambria" w:hAnsi="Cambria" w:cs="Arial"/>
          <w:sz w:val="24"/>
          <w:szCs w:val="24"/>
        </w:rPr>
        <w:t xml:space="preserve">, J.G. (2006). Resolving Financial Distress: Informal Reorganization in The Netherlands as a Beacon for Policy Makers in the CIS and CEE/SEE </w:t>
      </w:r>
      <w:proofErr w:type="gramStart"/>
      <w:r w:rsidRPr="00372AAE">
        <w:rPr>
          <w:rFonts w:ascii="Cambria" w:hAnsi="Cambria" w:cs="Arial"/>
          <w:sz w:val="24"/>
          <w:szCs w:val="24"/>
        </w:rPr>
        <w:t>Regions?,</w:t>
      </w:r>
      <w:proofErr w:type="gramEnd"/>
      <w:r w:rsidRPr="00372AAE">
        <w:rPr>
          <w:rFonts w:ascii="Cambria" w:hAnsi="Cambria" w:cs="Arial"/>
          <w:sz w:val="24"/>
          <w:szCs w:val="24"/>
        </w:rPr>
        <w:t xml:space="preserve"> </w:t>
      </w:r>
      <w:r w:rsidRPr="00372AAE">
        <w:rPr>
          <w:rFonts w:ascii="Cambria" w:hAnsi="Cambria" w:cs="Arial"/>
          <w:i/>
          <w:iCs/>
          <w:sz w:val="24"/>
          <w:szCs w:val="24"/>
        </w:rPr>
        <w:t>Review of Central and East European Law, 31(2), 135-154 at 146-147.</w:t>
      </w:r>
    </w:p>
  </w:footnote>
  <w:footnote w:id="17">
    <w:p w14:paraId="7647A939" w14:textId="2D3D9066" w:rsidR="00E736BF" w:rsidRPr="00C663AE" w:rsidRDefault="00E736BF">
      <w:pPr>
        <w:pStyle w:val="FootnoteText"/>
        <w:rPr>
          <w:rFonts w:ascii="Arial" w:hAnsi="Arial" w:cs="Arial"/>
        </w:rPr>
      </w:pPr>
      <w:r w:rsidRPr="00C663AE">
        <w:rPr>
          <w:rStyle w:val="FootnoteReference"/>
          <w:rFonts w:ascii="Arial" w:hAnsi="Arial" w:cs="Arial"/>
        </w:rPr>
        <w:footnoteRef/>
      </w:r>
      <w:r w:rsidRPr="00C663AE">
        <w:rPr>
          <w:rFonts w:ascii="Arial" w:hAnsi="Arial" w:cs="Arial"/>
        </w:rPr>
        <w:t xml:space="preserve"> </w:t>
      </w:r>
      <w:proofErr w:type="spellStart"/>
      <w:r w:rsidRPr="00C663AE">
        <w:rPr>
          <w:rFonts w:ascii="Arial" w:hAnsi="Arial" w:cs="Arial"/>
        </w:rPr>
        <w:t>Pajunen</w:t>
      </w:r>
      <w:proofErr w:type="spellEnd"/>
      <w:r w:rsidRPr="00C663AE">
        <w:rPr>
          <w:rFonts w:ascii="Arial" w:hAnsi="Arial" w:cs="Arial"/>
        </w:rPr>
        <w:t>, K. (2006). Stakeholder Influences in Organizational Survival. Journal of Management Studies, 43(6), 1261-1288 at 1279.</w:t>
      </w:r>
    </w:p>
  </w:footnote>
  <w:footnote w:id="18">
    <w:p w14:paraId="2E2A6616" w14:textId="1FB7E5F6" w:rsidR="00333C6D" w:rsidRPr="00C663AE" w:rsidRDefault="00333C6D" w:rsidP="00333C6D">
      <w:pPr>
        <w:pStyle w:val="FootnoteText"/>
        <w:rPr>
          <w:rFonts w:ascii="Arial" w:hAnsi="Arial" w:cs="Arial"/>
        </w:rPr>
      </w:pPr>
      <w:r w:rsidRPr="00C663AE">
        <w:rPr>
          <w:rStyle w:val="FootnoteReference"/>
          <w:rFonts w:ascii="Arial" w:hAnsi="Arial" w:cs="Arial"/>
        </w:rPr>
        <w:footnoteRef/>
      </w:r>
      <w:r w:rsidRPr="00C663AE">
        <w:rPr>
          <w:rFonts w:ascii="Arial" w:hAnsi="Arial" w:cs="Arial"/>
        </w:rPr>
        <w:t xml:space="preserve"> </w:t>
      </w:r>
      <w:proofErr w:type="spellStart"/>
      <w:r w:rsidRPr="00C663AE">
        <w:rPr>
          <w:rFonts w:ascii="Arial" w:hAnsi="Arial" w:cs="Arial"/>
        </w:rPr>
        <w:t>Pajunen</w:t>
      </w:r>
      <w:proofErr w:type="spellEnd"/>
      <w:r w:rsidRPr="00C663AE">
        <w:rPr>
          <w:rFonts w:ascii="Arial" w:hAnsi="Arial" w:cs="Arial"/>
        </w:rPr>
        <w:t>, K. (2006). Stakeholder Influences in Organizational Survival. Journal of Management Studies, 43(6), 1261-1288 at 12</w:t>
      </w:r>
      <w:r>
        <w:rPr>
          <w:rFonts w:ascii="Arial" w:hAnsi="Arial" w:cs="Arial"/>
        </w:rPr>
        <w:t>83</w:t>
      </w:r>
      <w:r w:rsidRPr="00C663AE">
        <w:rPr>
          <w:rFonts w:ascii="Arial" w:hAnsi="Arial" w:cs="Arial"/>
        </w:rPr>
        <w:t>.</w:t>
      </w:r>
    </w:p>
  </w:footnote>
  <w:footnote w:id="19">
    <w:p w14:paraId="57A9D771" w14:textId="5AFBB409" w:rsidR="006B1347" w:rsidRPr="006353C2" w:rsidRDefault="006B1347">
      <w:pPr>
        <w:pStyle w:val="FootnoteText"/>
        <w:rPr>
          <w:rFonts w:ascii="Cambria" w:hAnsi="Cambria" w:cs="Arial"/>
          <w:sz w:val="24"/>
          <w:szCs w:val="24"/>
        </w:rPr>
      </w:pPr>
      <w:r w:rsidRPr="006353C2">
        <w:rPr>
          <w:rStyle w:val="FootnoteReference"/>
          <w:rFonts w:ascii="Cambria" w:hAnsi="Cambria" w:cs="Arial"/>
          <w:sz w:val="24"/>
          <w:szCs w:val="24"/>
        </w:rPr>
        <w:footnoteRef/>
      </w:r>
      <w:r w:rsidRPr="006353C2">
        <w:rPr>
          <w:rFonts w:ascii="Cambria" w:hAnsi="Cambria" w:cs="Arial"/>
          <w:sz w:val="24"/>
          <w:szCs w:val="24"/>
        </w:rPr>
        <w:t xml:space="preserve"> </w:t>
      </w:r>
      <w:proofErr w:type="spellStart"/>
      <w:r w:rsidRPr="006353C2">
        <w:rPr>
          <w:rFonts w:ascii="Cambria" w:hAnsi="Cambria" w:cs="Arial"/>
          <w:sz w:val="24"/>
          <w:szCs w:val="24"/>
        </w:rPr>
        <w:t>Sudarsanam</w:t>
      </w:r>
      <w:proofErr w:type="spellEnd"/>
      <w:r w:rsidRPr="006353C2">
        <w:rPr>
          <w:rFonts w:ascii="Cambria" w:hAnsi="Cambria" w:cs="Arial"/>
          <w:sz w:val="24"/>
          <w:szCs w:val="24"/>
        </w:rPr>
        <w:t>, S, Lai, J., (2001), ‘Corporate Financial Distress and Turnaround Strategies: An Empirical Analysis’, British Journal of Management, Vol. 12, 183-199 at 184</w:t>
      </w:r>
    </w:p>
  </w:footnote>
  <w:footnote w:id="20">
    <w:p w14:paraId="4F0B7443" w14:textId="5BB1D7DA" w:rsidR="00640304" w:rsidRPr="006353C2" w:rsidRDefault="00640304" w:rsidP="00640304">
      <w:pPr>
        <w:pStyle w:val="FootnoteText"/>
        <w:rPr>
          <w:rFonts w:ascii="Cambria" w:hAnsi="Cambria" w:cs="Arial"/>
          <w:sz w:val="24"/>
          <w:szCs w:val="24"/>
        </w:rPr>
      </w:pPr>
      <w:r w:rsidRPr="006353C2">
        <w:rPr>
          <w:rStyle w:val="FootnoteReference"/>
          <w:rFonts w:ascii="Cambria" w:hAnsi="Cambria" w:cs="Arial"/>
          <w:sz w:val="24"/>
          <w:szCs w:val="24"/>
        </w:rPr>
        <w:footnoteRef/>
      </w:r>
      <w:r w:rsidRPr="006353C2">
        <w:rPr>
          <w:rFonts w:ascii="Cambria" w:hAnsi="Cambria" w:cs="Arial"/>
          <w:sz w:val="24"/>
          <w:szCs w:val="24"/>
        </w:rPr>
        <w:t xml:space="preserve"> </w:t>
      </w:r>
      <w:proofErr w:type="spellStart"/>
      <w:r w:rsidRPr="006353C2">
        <w:rPr>
          <w:rFonts w:ascii="Cambria" w:hAnsi="Cambria" w:cs="Arial"/>
          <w:sz w:val="24"/>
          <w:szCs w:val="24"/>
        </w:rPr>
        <w:t>Sudarsanam</w:t>
      </w:r>
      <w:proofErr w:type="spellEnd"/>
      <w:r w:rsidRPr="006353C2">
        <w:rPr>
          <w:rFonts w:ascii="Cambria" w:hAnsi="Cambria" w:cs="Arial"/>
          <w:sz w:val="24"/>
          <w:szCs w:val="24"/>
        </w:rPr>
        <w:t>, S, Lai, J., (2001), ‘Corporate Financial Distress and Turnaround Strategies: An Empirical Analysis’, British Journal of Management, Vol. 12, 183-199 at 193</w:t>
      </w:r>
    </w:p>
  </w:footnote>
  <w:footnote w:id="21">
    <w:p w14:paraId="27CC97E3" w14:textId="6372FF8B" w:rsidR="00B76197" w:rsidRPr="006353C2" w:rsidRDefault="00B76197" w:rsidP="00B76197">
      <w:pPr>
        <w:pStyle w:val="FootnoteText"/>
        <w:rPr>
          <w:rFonts w:ascii="Cambria" w:hAnsi="Cambria" w:cs="Arial"/>
          <w:sz w:val="24"/>
          <w:szCs w:val="24"/>
        </w:rPr>
      </w:pPr>
      <w:r w:rsidRPr="006353C2">
        <w:rPr>
          <w:rStyle w:val="FootnoteReference"/>
          <w:rFonts w:ascii="Cambria" w:hAnsi="Cambria" w:cs="Arial"/>
          <w:sz w:val="24"/>
          <w:szCs w:val="24"/>
        </w:rPr>
        <w:footnoteRef/>
      </w:r>
      <w:r w:rsidRPr="006353C2">
        <w:rPr>
          <w:rFonts w:ascii="Cambria" w:hAnsi="Cambria" w:cs="Arial"/>
          <w:sz w:val="24"/>
          <w:szCs w:val="24"/>
        </w:rPr>
        <w:t xml:space="preserve"> </w:t>
      </w:r>
      <w:proofErr w:type="spellStart"/>
      <w:r w:rsidRPr="006353C2">
        <w:rPr>
          <w:rFonts w:ascii="Cambria" w:hAnsi="Cambria" w:cs="Arial"/>
          <w:sz w:val="24"/>
          <w:szCs w:val="24"/>
        </w:rPr>
        <w:t>Sudarsanam</w:t>
      </w:r>
      <w:proofErr w:type="spellEnd"/>
      <w:r w:rsidRPr="006353C2">
        <w:rPr>
          <w:rFonts w:ascii="Cambria" w:hAnsi="Cambria" w:cs="Arial"/>
          <w:sz w:val="24"/>
          <w:szCs w:val="24"/>
        </w:rPr>
        <w:t>, S, Lai, J., (2001), ‘Corporate Financial Distress and Turnaround Strategies: An Empirical Analysis’, British Journal of Management, Vol. 12, 183-199 at 194</w:t>
      </w:r>
    </w:p>
  </w:footnote>
  <w:footnote w:id="22">
    <w:p w14:paraId="67FE6CA8" w14:textId="366D47E1" w:rsidR="008266CE" w:rsidRPr="006353C2" w:rsidRDefault="008266CE" w:rsidP="008266CE">
      <w:pPr>
        <w:pStyle w:val="FootnoteText"/>
        <w:rPr>
          <w:rFonts w:ascii="Cambria" w:hAnsi="Cambria" w:cs="Arial"/>
          <w:sz w:val="24"/>
          <w:szCs w:val="24"/>
        </w:rPr>
      </w:pPr>
      <w:r w:rsidRPr="006353C2">
        <w:rPr>
          <w:rStyle w:val="FootnoteReference"/>
          <w:rFonts w:ascii="Cambria" w:hAnsi="Cambria" w:cs="Arial"/>
          <w:sz w:val="24"/>
          <w:szCs w:val="24"/>
        </w:rPr>
        <w:footnoteRef/>
      </w:r>
      <w:r w:rsidRPr="006353C2">
        <w:rPr>
          <w:rFonts w:ascii="Cambria" w:hAnsi="Cambria" w:cs="Arial"/>
          <w:sz w:val="24"/>
          <w:szCs w:val="24"/>
        </w:rPr>
        <w:t xml:space="preserve"> Paragraph 2-7 of the outline to the restructuring agreement</w:t>
      </w:r>
    </w:p>
  </w:footnote>
  <w:footnote w:id="23">
    <w:p w14:paraId="3433B30A" w14:textId="6B40B0A8" w:rsidR="0070752B" w:rsidRPr="006353C2" w:rsidRDefault="0070752B">
      <w:pPr>
        <w:pStyle w:val="FootnoteText"/>
        <w:rPr>
          <w:rFonts w:ascii="Cambria" w:hAnsi="Cambria" w:cs="Arial"/>
          <w:sz w:val="24"/>
          <w:szCs w:val="24"/>
        </w:rPr>
      </w:pPr>
      <w:r w:rsidRPr="006353C2">
        <w:rPr>
          <w:rStyle w:val="FootnoteReference"/>
          <w:rFonts w:ascii="Cambria" w:hAnsi="Cambria" w:cs="Arial"/>
          <w:sz w:val="24"/>
          <w:szCs w:val="24"/>
        </w:rPr>
        <w:footnoteRef/>
      </w:r>
      <w:r w:rsidRPr="006353C2">
        <w:rPr>
          <w:rFonts w:ascii="Cambria" w:hAnsi="Cambria" w:cs="Arial"/>
          <w:sz w:val="24"/>
          <w:szCs w:val="24"/>
        </w:rPr>
        <w:t xml:space="preserve"> It is noted that Flow Management BV is the main partner in the group at the bottom of page 6 of the fact scenario.</w:t>
      </w:r>
    </w:p>
  </w:footnote>
  <w:footnote w:id="24">
    <w:p w14:paraId="2EC653D9" w14:textId="5219B24A" w:rsidR="00A1044C" w:rsidRPr="006353C2" w:rsidRDefault="00A1044C">
      <w:pPr>
        <w:pStyle w:val="FootnoteText"/>
        <w:rPr>
          <w:rFonts w:ascii="Cambria" w:hAnsi="Cambria" w:cs="Arial"/>
          <w:sz w:val="24"/>
          <w:szCs w:val="24"/>
        </w:rPr>
      </w:pPr>
      <w:r w:rsidRPr="006353C2">
        <w:rPr>
          <w:rStyle w:val="FootnoteReference"/>
          <w:rFonts w:ascii="Cambria" w:hAnsi="Cambria" w:cs="Arial"/>
          <w:sz w:val="24"/>
          <w:szCs w:val="24"/>
        </w:rPr>
        <w:footnoteRef/>
      </w:r>
      <w:r w:rsidRPr="006353C2">
        <w:rPr>
          <w:rFonts w:ascii="Cambria" w:hAnsi="Cambria" w:cs="Arial"/>
          <w:sz w:val="24"/>
          <w:szCs w:val="24"/>
        </w:rPr>
        <w:t xml:space="preserve"> Paragraph 1 of the outline to the restructuring agreement</w:t>
      </w:r>
    </w:p>
  </w:footnote>
  <w:footnote w:id="25">
    <w:p w14:paraId="72FEC6D6" w14:textId="77777777" w:rsidR="00D2562F" w:rsidRPr="005541BE" w:rsidRDefault="00D2562F" w:rsidP="00D2562F">
      <w:pPr>
        <w:pStyle w:val="FootnoteText"/>
        <w:rPr>
          <w:rFonts w:ascii="Cambria" w:hAnsi="Cambria" w:cs="Arial"/>
          <w:sz w:val="24"/>
          <w:szCs w:val="24"/>
        </w:rPr>
      </w:pPr>
      <w:r w:rsidRPr="005541BE">
        <w:rPr>
          <w:rStyle w:val="FootnoteReference"/>
          <w:rFonts w:ascii="Cambria" w:hAnsi="Cambria" w:cs="Arial"/>
          <w:sz w:val="24"/>
          <w:szCs w:val="24"/>
        </w:rPr>
        <w:footnoteRef/>
      </w:r>
      <w:r w:rsidRPr="005541BE">
        <w:rPr>
          <w:rFonts w:ascii="Cambria" w:hAnsi="Cambria" w:cs="Arial"/>
          <w:sz w:val="24"/>
          <w:szCs w:val="24"/>
        </w:rPr>
        <w:t xml:space="preserve"> In Australia this was </w:t>
      </w:r>
      <w:proofErr w:type="gramStart"/>
      <w:r w:rsidRPr="005541BE">
        <w:rPr>
          <w:rFonts w:ascii="Cambria" w:hAnsi="Cambria" w:cs="Arial"/>
          <w:sz w:val="24"/>
          <w:szCs w:val="24"/>
        </w:rPr>
        <w:t>effected</w:t>
      </w:r>
      <w:proofErr w:type="gramEnd"/>
      <w:r w:rsidRPr="005541BE">
        <w:rPr>
          <w:rFonts w:ascii="Cambria" w:hAnsi="Cambria" w:cs="Arial"/>
          <w:sz w:val="24"/>
          <w:szCs w:val="24"/>
        </w:rPr>
        <w:t xml:space="preserve"> by the Cross</w:t>
      </w:r>
      <w:r w:rsidRPr="005541BE">
        <w:rPr>
          <w:rFonts w:ascii="Cambria" w:hAnsi="Cambria" w:cs="Cambria Math"/>
          <w:sz w:val="24"/>
          <w:szCs w:val="24"/>
        </w:rPr>
        <w:t>‑</w:t>
      </w:r>
      <w:r w:rsidRPr="005541BE">
        <w:rPr>
          <w:rFonts w:ascii="Cambria" w:hAnsi="Cambria" w:cs="Arial"/>
          <w:sz w:val="24"/>
          <w:szCs w:val="24"/>
        </w:rPr>
        <w:t>Border Insolvency Act 2008 No. 24, 2008 and in the USA by Chapter 15 of the Bankruptcy Code</w:t>
      </w:r>
    </w:p>
  </w:footnote>
  <w:footnote w:id="26">
    <w:p w14:paraId="4567EE98" w14:textId="77777777" w:rsidR="00D2562F" w:rsidRPr="005541BE" w:rsidRDefault="00D2562F" w:rsidP="00D2562F">
      <w:pPr>
        <w:pStyle w:val="FootnoteText"/>
        <w:rPr>
          <w:rFonts w:ascii="Cambria" w:hAnsi="Cambria" w:cs="Arial"/>
          <w:sz w:val="24"/>
          <w:szCs w:val="24"/>
        </w:rPr>
      </w:pPr>
      <w:r w:rsidRPr="005541BE">
        <w:rPr>
          <w:rStyle w:val="FootnoteReference"/>
          <w:rFonts w:ascii="Cambria" w:hAnsi="Cambria" w:cs="Arial"/>
          <w:sz w:val="24"/>
          <w:szCs w:val="24"/>
        </w:rPr>
        <w:footnoteRef/>
      </w:r>
      <w:r w:rsidRPr="005541BE">
        <w:rPr>
          <w:rFonts w:ascii="Cambria" w:hAnsi="Cambria" w:cs="Arial"/>
          <w:sz w:val="24"/>
          <w:szCs w:val="24"/>
        </w:rPr>
        <w:t xml:space="preserve"> UNCITRAL Model Law; Article 17(1)(a)-(d)</w:t>
      </w:r>
    </w:p>
  </w:footnote>
  <w:footnote w:id="27">
    <w:p w14:paraId="3F39041A" w14:textId="77777777" w:rsidR="00D2562F" w:rsidRPr="005541BE" w:rsidRDefault="00D2562F" w:rsidP="00D2562F">
      <w:pPr>
        <w:pStyle w:val="FootnoteText"/>
        <w:rPr>
          <w:rFonts w:ascii="Cambria" w:hAnsi="Cambria" w:cs="Arial"/>
          <w:sz w:val="24"/>
          <w:szCs w:val="24"/>
        </w:rPr>
      </w:pPr>
      <w:r w:rsidRPr="005541BE">
        <w:rPr>
          <w:rStyle w:val="FootnoteReference"/>
          <w:rFonts w:ascii="Cambria" w:hAnsi="Cambria" w:cs="Arial"/>
          <w:sz w:val="24"/>
          <w:szCs w:val="24"/>
        </w:rPr>
        <w:footnoteRef/>
      </w:r>
      <w:r w:rsidRPr="005541BE">
        <w:rPr>
          <w:rFonts w:ascii="Cambria" w:hAnsi="Cambria" w:cs="Arial"/>
          <w:sz w:val="24"/>
          <w:szCs w:val="24"/>
        </w:rPr>
        <w:t xml:space="preserve"> UNCITRAL Model Law; Article 20(1)(a)</w:t>
      </w:r>
    </w:p>
  </w:footnote>
  <w:footnote w:id="28">
    <w:p w14:paraId="095F2CD8" w14:textId="77777777" w:rsidR="00D2562F" w:rsidRPr="005541BE" w:rsidRDefault="00D2562F" w:rsidP="00D2562F">
      <w:pPr>
        <w:pStyle w:val="FootnoteText"/>
        <w:rPr>
          <w:rFonts w:ascii="Cambria" w:hAnsi="Cambria" w:cs="Arial"/>
          <w:sz w:val="24"/>
          <w:szCs w:val="24"/>
        </w:rPr>
      </w:pPr>
      <w:r w:rsidRPr="005541BE">
        <w:rPr>
          <w:rStyle w:val="FootnoteReference"/>
          <w:rFonts w:ascii="Cambria" w:hAnsi="Cambria" w:cs="Arial"/>
          <w:sz w:val="24"/>
          <w:szCs w:val="24"/>
        </w:rPr>
        <w:footnoteRef/>
      </w:r>
      <w:r w:rsidRPr="005541BE">
        <w:rPr>
          <w:rFonts w:ascii="Cambria" w:hAnsi="Cambria" w:cs="Arial"/>
          <w:sz w:val="24"/>
          <w:szCs w:val="24"/>
        </w:rPr>
        <w:t xml:space="preserve"> Obiter; “Assisting foreign insolvency practitioners in cross-border </w:t>
      </w:r>
      <w:proofErr w:type="gramStart"/>
      <w:r w:rsidRPr="005541BE">
        <w:rPr>
          <w:rFonts w:ascii="Cambria" w:hAnsi="Cambria" w:cs="Arial"/>
          <w:sz w:val="24"/>
          <w:szCs w:val="24"/>
        </w:rPr>
        <w:t>insolvency :</w:t>
      </w:r>
      <w:proofErr w:type="gramEnd"/>
      <w:r w:rsidRPr="005541BE">
        <w:rPr>
          <w:rFonts w:ascii="Cambria" w:hAnsi="Cambria" w:cs="Arial"/>
          <w:sz w:val="24"/>
          <w:szCs w:val="24"/>
        </w:rPr>
        <w:t xml:space="preserve"> some foreign insights into South African law </w:t>
      </w:r>
      <w:proofErr w:type="spellStart"/>
      <w:r w:rsidRPr="005541BE">
        <w:rPr>
          <w:rFonts w:ascii="Cambria" w:hAnsi="Cambria" w:cs="Arial"/>
          <w:sz w:val="24"/>
          <w:szCs w:val="24"/>
        </w:rPr>
        <w:t>Singularis</w:t>
      </w:r>
      <w:proofErr w:type="spellEnd"/>
      <w:r w:rsidRPr="005541BE">
        <w:rPr>
          <w:rFonts w:ascii="Cambria" w:hAnsi="Cambria" w:cs="Arial"/>
          <w:sz w:val="24"/>
          <w:szCs w:val="24"/>
        </w:rPr>
        <w:t xml:space="preserve"> Holdings Ltd v PricewaterhouseCoopers (Bermuda) [2014] UKPC 36 (10 November 2014), [2015] 2 WLR 971 : cases”, Vol. 37, No. 1, pp 167-186; 01 January 2016.</w:t>
      </w:r>
    </w:p>
  </w:footnote>
  <w:footnote w:id="29">
    <w:p w14:paraId="51EFB2B8" w14:textId="1AE6B7B8" w:rsidR="00657749" w:rsidRPr="005541BE" w:rsidRDefault="00657749">
      <w:pPr>
        <w:pStyle w:val="FootnoteText"/>
        <w:rPr>
          <w:rFonts w:ascii="Cambria" w:hAnsi="Cambria" w:cs="Arial"/>
          <w:sz w:val="24"/>
          <w:szCs w:val="24"/>
        </w:rPr>
      </w:pPr>
      <w:r w:rsidRPr="005541BE">
        <w:rPr>
          <w:rStyle w:val="FootnoteReference"/>
          <w:rFonts w:ascii="Cambria" w:hAnsi="Cambria" w:cs="Arial"/>
          <w:sz w:val="24"/>
          <w:szCs w:val="24"/>
        </w:rPr>
        <w:footnoteRef/>
      </w:r>
      <w:r w:rsidRPr="005541BE">
        <w:rPr>
          <w:rFonts w:ascii="Cambria" w:hAnsi="Cambria" w:cs="Arial"/>
          <w:sz w:val="24"/>
          <w:szCs w:val="24"/>
        </w:rPr>
        <w:t xml:space="preserve"> Netherlands Bankruptcy Act; </w:t>
      </w:r>
      <w:r w:rsidR="00584263" w:rsidRPr="005541BE">
        <w:rPr>
          <w:rFonts w:ascii="Cambria" w:hAnsi="Cambria" w:cs="Arial"/>
          <w:sz w:val="24"/>
          <w:szCs w:val="24"/>
        </w:rPr>
        <w:t>a</w:t>
      </w:r>
      <w:r w:rsidRPr="005541BE">
        <w:rPr>
          <w:rFonts w:ascii="Cambria" w:hAnsi="Cambria" w:cs="Arial"/>
          <w:sz w:val="24"/>
          <w:szCs w:val="24"/>
        </w:rPr>
        <w:t>rticle 31</w:t>
      </w:r>
    </w:p>
  </w:footnote>
  <w:footnote w:id="30">
    <w:p w14:paraId="040442F5" w14:textId="736025DD" w:rsidR="007A6A05" w:rsidRPr="005541BE" w:rsidRDefault="007A6A05" w:rsidP="007A6A05">
      <w:pPr>
        <w:pStyle w:val="FootnoteText"/>
        <w:rPr>
          <w:rFonts w:ascii="Cambria" w:hAnsi="Cambria"/>
          <w:sz w:val="24"/>
          <w:szCs w:val="24"/>
        </w:rPr>
      </w:pPr>
      <w:r w:rsidRPr="005541BE">
        <w:rPr>
          <w:rStyle w:val="FootnoteReference"/>
          <w:rFonts w:ascii="Cambria" w:hAnsi="Cambria" w:cs="Arial"/>
          <w:sz w:val="24"/>
          <w:szCs w:val="24"/>
        </w:rPr>
        <w:footnoteRef/>
      </w:r>
      <w:r w:rsidRPr="005541BE">
        <w:rPr>
          <w:rFonts w:ascii="Cambria" w:hAnsi="Cambria" w:cs="Arial"/>
          <w:sz w:val="24"/>
          <w:szCs w:val="24"/>
        </w:rPr>
        <w:t xml:space="preserve"> Netherlands Bankruptcy Act; </w:t>
      </w:r>
      <w:r w:rsidR="00584263" w:rsidRPr="005541BE">
        <w:rPr>
          <w:rFonts w:ascii="Cambria" w:hAnsi="Cambria" w:cs="Arial"/>
          <w:sz w:val="24"/>
          <w:szCs w:val="24"/>
        </w:rPr>
        <w:t>a</w:t>
      </w:r>
      <w:r w:rsidRPr="005541BE">
        <w:rPr>
          <w:rFonts w:ascii="Cambria" w:hAnsi="Cambria" w:cs="Arial"/>
          <w:sz w:val="24"/>
          <w:szCs w:val="24"/>
        </w:rPr>
        <w:t>rticle 31</w:t>
      </w:r>
    </w:p>
  </w:footnote>
  <w:footnote w:id="31">
    <w:p w14:paraId="301B80C4" w14:textId="68FBA5B8" w:rsidR="00412456" w:rsidRPr="00EA1B68" w:rsidRDefault="00412456" w:rsidP="00412456">
      <w:pPr>
        <w:pStyle w:val="FootnoteText"/>
        <w:rPr>
          <w:rFonts w:ascii="Cambria" w:hAnsi="Cambria" w:cs="Arial"/>
          <w:sz w:val="24"/>
          <w:szCs w:val="24"/>
        </w:rPr>
      </w:pPr>
      <w:r w:rsidRPr="00EA1B68">
        <w:rPr>
          <w:rStyle w:val="FootnoteReference"/>
          <w:rFonts w:ascii="Cambria" w:hAnsi="Cambria" w:cs="Arial"/>
          <w:sz w:val="24"/>
          <w:szCs w:val="24"/>
        </w:rPr>
        <w:footnoteRef/>
      </w:r>
      <w:r w:rsidRPr="00EA1B68">
        <w:rPr>
          <w:rFonts w:ascii="Cambria" w:hAnsi="Cambria" w:cs="Arial"/>
          <w:sz w:val="24"/>
          <w:szCs w:val="24"/>
        </w:rPr>
        <w:t xml:space="preserve"> </w:t>
      </w:r>
      <w:r w:rsidR="00831774" w:rsidRPr="00EA1B68">
        <w:rPr>
          <w:rFonts w:ascii="Cambria" w:hAnsi="Cambria" w:cs="Arial"/>
          <w:sz w:val="24"/>
          <w:szCs w:val="24"/>
        </w:rPr>
        <w:t xml:space="preserve">TCI </w:t>
      </w:r>
      <w:r w:rsidRPr="00EA1B68">
        <w:rPr>
          <w:rFonts w:ascii="Cambria" w:hAnsi="Cambria" w:cs="Arial"/>
          <w:sz w:val="24"/>
          <w:szCs w:val="24"/>
        </w:rPr>
        <w:t>Insolvency Ordinance 2017; s. 175(1)(f)</w:t>
      </w:r>
    </w:p>
  </w:footnote>
  <w:footnote w:id="32">
    <w:p w14:paraId="54A2AE1A" w14:textId="3FEBE31B" w:rsidR="009A55CD" w:rsidRPr="00EA1B68" w:rsidRDefault="009A55CD" w:rsidP="009A55CD">
      <w:pPr>
        <w:pStyle w:val="FootnoteText"/>
        <w:rPr>
          <w:rFonts w:ascii="Cambria" w:hAnsi="Cambria" w:cs="Arial"/>
          <w:sz w:val="24"/>
          <w:szCs w:val="24"/>
        </w:rPr>
      </w:pPr>
      <w:r w:rsidRPr="00EA1B68">
        <w:rPr>
          <w:rStyle w:val="FootnoteReference"/>
          <w:rFonts w:ascii="Cambria" w:hAnsi="Cambria" w:cs="Arial"/>
          <w:sz w:val="24"/>
          <w:szCs w:val="24"/>
        </w:rPr>
        <w:footnoteRef/>
      </w:r>
      <w:r w:rsidRPr="00EA1B68">
        <w:rPr>
          <w:rFonts w:ascii="Cambria" w:hAnsi="Cambria" w:cs="Arial"/>
          <w:sz w:val="24"/>
          <w:szCs w:val="24"/>
        </w:rPr>
        <w:t xml:space="preserve"> </w:t>
      </w:r>
      <w:r w:rsidR="00831774" w:rsidRPr="00EA1B68">
        <w:rPr>
          <w:rFonts w:ascii="Cambria" w:hAnsi="Cambria" w:cs="Arial"/>
          <w:sz w:val="24"/>
          <w:szCs w:val="24"/>
        </w:rPr>
        <w:t xml:space="preserve">TCI </w:t>
      </w:r>
      <w:r w:rsidRPr="00EA1B68">
        <w:rPr>
          <w:rFonts w:ascii="Cambria" w:hAnsi="Cambria" w:cs="Arial"/>
          <w:sz w:val="24"/>
          <w:szCs w:val="24"/>
        </w:rPr>
        <w:t>Insolvency Ordinance</w:t>
      </w:r>
      <w:r w:rsidR="00724872" w:rsidRPr="00EA1B68">
        <w:rPr>
          <w:rFonts w:ascii="Cambria" w:hAnsi="Cambria" w:cs="Arial"/>
          <w:sz w:val="24"/>
          <w:szCs w:val="24"/>
        </w:rPr>
        <w:t xml:space="preserve"> 2017</w:t>
      </w:r>
      <w:r w:rsidRPr="00EA1B68">
        <w:rPr>
          <w:rFonts w:ascii="Cambria" w:hAnsi="Cambria" w:cs="Arial"/>
          <w:sz w:val="24"/>
          <w:szCs w:val="24"/>
        </w:rPr>
        <w:t xml:space="preserve">; </w:t>
      </w:r>
      <w:r w:rsidR="00724872" w:rsidRPr="00EA1B68">
        <w:rPr>
          <w:rFonts w:ascii="Cambria" w:hAnsi="Cambria" w:cs="Arial"/>
          <w:sz w:val="24"/>
          <w:szCs w:val="24"/>
        </w:rPr>
        <w:t>s.</w:t>
      </w:r>
      <w:r w:rsidRPr="00EA1B68">
        <w:rPr>
          <w:rFonts w:ascii="Cambria" w:hAnsi="Cambria" w:cs="Arial"/>
          <w:sz w:val="24"/>
          <w:szCs w:val="24"/>
        </w:rPr>
        <w:t xml:space="preserve"> 57(1)(a) and (b)</w:t>
      </w:r>
    </w:p>
  </w:footnote>
  <w:footnote w:id="33">
    <w:p w14:paraId="7FFDFA4D" w14:textId="4A20843B" w:rsidR="009A55CD" w:rsidRPr="00EA1B68" w:rsidRDefault="009A55CD" w:rsidP="009A55CD">
      <w:pPr>
        <w:pStyle w:val="FootnoteText"/>
        <w:rPr>
          <w:rFonts w:ascii="Cambria" w:hAnsi="Cambria" w:cs="Arial"/>
          <w:sz w:val="24"/>
          <w:szCs w:val="24"/>
        </w:rPr>
      </w:pPr>
      <w:r w:rsidRPr="00EA1B68">
        <w:rPr>
          <w:rStyle w:val="FootnoteReference"/>
          <w:rFonts w:ascii="Cambria" w:hAnsi="Cambria" w:cs="Arial"/>
          <w:sz w:val="24"/>
          <w:szCs w:val="24"/>
        </w:rPr>
        <w:footnoteRef/>
      </w:r>
      <w:r w:rsidRPr="00EA1B68">
        <w:rPr>
          <w:rFonts w:ascii="Cambria" w:hAnsi="Cambria" w:cs="Arial"/>
          <w:sz w:val="24"/>
          <w:szCs w:val="24"/>
        </w:rPr>
        <w:t xml:space="preserve"> </w:t>
      </w:r>
      <w:r w:rsidR="00831774" w:rsidRPr="00EA1B68">
        <w:rPr>
          <w:rFonts w:ascii="Cambria" w:hAnsi="Cambria" w:cs="Arial"/>
          <w:sz w:val="24"/>
          <w:szCs w:val="24"/>
        </w:rPr>
        <w:t xml:space="preserve">TCI </w:t>
      </w:r>
      <w:r w:rsidRPr="00EA1B68">
        <w:rPr>
          <w:rFonts w:ascii="Cambria" w:hAnsi="Cambria" w:cs="Arial"/>
          <w:sz w:val="24"/>
          <w:szCs w:val="24"/>
        </w:rPr>
        <w:t>Insolvency Ordinance</w:t>
      </w:r>
      <w:r w:rsidR="00724872" w:rsidRPr="00EA1B68">
        <w:rPr>
          <w:rFonts w:ascii="Cambria" w:hAnsi="Cambria" w:cs="Arial"/>
          <w:sz w:val="24"/>
          <w:szCs w:val="24"/>
        </w:rPr>
        <w:t xml:space="preserve"> 2017</w:t>
      </w:r>
      <w:r w:rsidRPr="00EA1B68">
        <w:rPr>
          <w:rFonts w:ascii="Cambria" w:hAnsi="Cambria" w:cs="Arial"/>
          <w:sz w:val="24"/>
          <w:szCs w:val="24"/>
        </w:rPr>
        <w:t xml:space="preserve">; </w:t>
      </w:r>
      <w:r w:rsidR="00724872" w:rsidRPr="00EA1B68">
        <w:rPr>
          <w:rFonts w:ascii="Cambria" w:hAnsi="Cambria" w:cs="Arial"/>
          <w:sz w:val="24"/>
          <w:szCs w:val="24"/>
        </w:rPr>
        <w:t>s.</w:t>
      </w:r>
      <w:r w:rsidRPr="00EA1B68">
        <w:rPr>
          <w:rFonts w:ascii="Cambria" w:hAnsi="Cambria" w:cs="Arial"/>
          <w:sz w:val="24"/>
          <w:szCs w:val="24"/>
        </w:rPr>
        <w:t xml:space="preserve"> 57(1)(c)</w:t>
      </w:r>
    </w:p>
  </w:footnote>
  <w:footnote w:id="34">
    <w:p w14:paraId="4D785A87" w14:textId="25AD70DE" w:rsidR="009A55CD" w:rsidRPr="00EA1B68" w:rsidRDefault="009A55CD" w:rsidP="009A55CD">
      <w:pPr>
        <w:pStyle w:val="FootnoteText"/>
        <w:rPr>
          <w:rFonts w:ascii="Cambria" w:hAnsi="Cambria" w:cs="Arial"/>
          <w:sz w:val="24"/>
          <w:szCs w:val="24"/>
        </w:rPr>
      </w:pPr>
      <w:r w:rsidRPr="00EA1B68">
        <w:rPr>
          <w:rStyle w:val="FootnoteReference"/>
          <w:rFonts w:ascii="Cambria" w:hAnsi="Cambria" w:cs="Arial"/>
          <w:sz w:val="24"/>
          <w:szCs w:val="24"/>
        </w:rPr>
        <w:footnoteRef/>
      </w:r>
      <w:r w:rsidRPr="00EA1B68">
        <w:rPr>
          <w:rFonts w:ascii="Cambria" w:hAnsi="Cambria" w:cs="Arial"/>
          <w:sz w:val="24"/>
          <w:szCs w:val="24"/>
        </w:rPr>
        <w:t xml:space="preserve"> </w:t>
      </w:r>
      <w:r w:rsidR="00831774" w:rsidRPr="00EA1B68">
        <w:rPr>
          <w:rFonts w:ascii="Cambria" w:hAnsi="Cambria" w:cs="Arial"/>
          <w:sz w:val="24"/>
          <w:szCs w:val="24"/>
        </w:rPr>
        <w:t xml:space="preserve">TCI </w:t>
      </w:r>
      <w:r w:rsidRPr="00EA1B68">
        <w:rPr>
          <w:rFonts w:ascii="Cambria" w:hAnsi="Cambria" w:cs="Arial"/>
          <w:sz w:val="24"/>
          <w:szCs w:val="24"/>
        </w:rPr>
        <w:t>Insolvency Ordinance</w:t>
      </w:r>
      <w:r w:rsidR="00724872" w:rsidRPr="00EA1B68">
        <w:rPr>
          <w:rFonts w:ascii="Cambria" w:hAnsi="Cambria" w:cs="Arial"/>
          <w:sz w:val="24"/>
          <w:szCs w:val="24"/>
        </w:rPr>
        <w:t xml:space="preserve"> 2017</w:t>
      </w:r>
      <w:r w:rsidRPr="00EA1B68">
        <w:rPr>
          <w:rFonts w:ascii="Cambria" w:hAnsi="Cambria" w:cs="Arial"/>
          <w:sz w:val="24"/>
          <w:szCs w:val="24"/>
        </w:rPr>
        <w:t xml:space="preserve">; </w:t>
      </w:r>
      <w:r w:rsidR="00724872" w:rsidRPr="00EA1B68">
        <w:rPr>
          <w:rFonts w:ascii="Cambria" w:hAnsi="Cambria" w:cs="Arial"/>
          <w:sz w:val="24"/>
          <w:szCs w:val="24"/>
        </w:rPr>
        <w:t>s.</w:t>
      </w:r>
      <w:r w:rsidRPr="00EA1B68">
        <w:rPr>
          <w:rFonts w:ascii="Cambria" w:hAnsi="Cambria" w:cs="Arial"/>
          <w:sz w:val="24"/>
          <w:szCs w:val="24"/>
        </w:rPr>
        <w:t xml:space="preserve"> 186</w:t>
      </w:r>
    </w:p>
  </w:footnote>
  <w:footnote w:id="35">
    <w:p w14:paraId="1D35BEF1" w14:textId="7A761AB8" w:rsidR="009A55CD" w:rsidRPr="00EA1B68" w:rsidRDefault="009A55CD" w:rsidP="009A55CD">
      <w:pPr>
        <w:pStyle w:val="FootnoteText"/>
        <w:rPr>
          <w:rFonts w:ascii="Cambria" w:hAnsi="Cambria" w:cs="Arial"/>
          <w:sz w:val="24"/>
          <w:szCs w:val="24"/>
        </w:rPr>
      </w:pPr>
      <w:r w:rsidRPr="00EA1B68">
        <w:rPr>
          <w:rStyle w:val="FootnoteReference"/>
          <w:rFonts w:ascii="Cambria" w:hAnsi="Cambria" w:cs="Arial"/>
          <w:sz w:val="24"/>
          <w:szCs w:val="24"/>
        </w:rPr>
        <w:footnoteRef/>
      </w:r>
      <w:r w:rsidRPr="00EA1B68">
        <w:rPr>
          <w:rFonts w:ascii="Cambria" w:hAnsi="Cambria" w:cs="Arial"/>
          <w:sz w:val="24"/>
          <w:szCs w:val="24"/>
        </w:rPr>
        <w:t xml:space="preserve"> </w:t>
      </w:r>
      <w:r w:rsidR="00831774" w:rsidRPr="00EA1B68">
        <w:rPr>
          <w:rFonts w:ascii="Cambria" w:hAnsi="Cambria" w:cs="Arial"/>
          <w:sz w:val="24"/>
          <w:szCs w:val="24"/>
        </w:rPr>
        <w:t xml:space="preserve">TCI </w:t>
      </w:r>
      <w:r w:rsidRPr="00EA1B68">
        <w:rPr>
          <w:rFonts w:ascii="Cambria" w:hAnsi="Cambria" w:cs="Arial"/>
          <w:sz w:val="24"/>
          <w:szCs w:val="24"/>
        </w:rPr>
        <w:t>Insolvency Ordinance</w:t>
      </w:r>
      <w:r w:rsidR="00724872" w:rsidRPr="00EA1B68">
        <w:rPr>
          <w:rFonts w:ascii="Cambria" w:hAnsi="Cambria" w:cs="Arial"/>
          <w:sz w:val="24"/>
          <w:szCs w:val="24"/>
        </w:rPr>
        <w:t xml:space="preserve"> 2017</w:t>
      </w:r>
      <w:r w:rsidRPr="00EA1B68">
        <w:rPr>
          <w:rFonts w:ascii="Cambria" w:hAnsi="Cambria" w:cs="Arial"/>
          <w:sz w:val="24"/>
          <w:szCs w:val="24"/>
        </w:rPr>
        <w:t xml:space="preserve">; </w:t>
      </w:r>
      <w:r w:rsidR="00724872" w:rsidRPr="00EA1B68">
        <w:rPr>
          <w:rFonts w:ascii="Cambria" w:hAnsi="Cambria" w:cs="Arial"/>
          <w:sz w:val="24"/>
          <w:szCs w:val="24"/>
        </w:rPr>
        <w:t>s.</w:t>
      </w:r>
      <w:r w:rsidRPr="00EA1B68">
        <w:rPr>
          <w:rFonts w:ascii="Cambria" w:hAnsi="Cambria" w:cs="Arial"/>
          <w:sz w:val="24"/>
          <w:szCs w:val="24"/>
        </w:rPr>
        <w:t xml:space="preserve"> 162(1)(b)</w:t>
      </w:r>
    </w:p>
  </w:footnote>
  <w:footnote w:id="36">
    <w:p w14:paraId="31EAEB7C" w14:textId="68D38102" w:rsidR="009A55CD" w:rsidRPr="00EA1B68" w:rsidRDefault="009A55CD" w:rsidP="009A55CD">
      <w:pPr>
        <w:pStyle w:val="FootnoteText"/>
        <w:rPr>
          <w:rFonts w:ascii="Cambria" w:hAnsi="Cambria" w:cs="Arial"/>
          <w:sz w:val="24"/>
          <w:szCs w:val="24"/>
        </w:rPr>
      </w:pPr>
      <w:r w:rsidRPr="00EA1B68">
        <w:rPr>
          <w:rStyle w:val="FootnoteReference"/>
          <w:rFonts w:ascii="Cambria" w:hAnsi="Cambria" w:cs="Arial"/>
          <w:sz w:val="24"/>
          <w:szCs w:val="24"/>
        </w:rPr>
        <w:footnoteRef/>
      </w:r>
      <w:r w:rsidRPr="00EA1B68">
        <w:rPr>
          <w:rFonts w:ascii="Cambria" w:hAnsi="Cambria" w:cs="Arial"/>
          <w:sz w:val="24"/>
          <w:szCs w:val="24"/>
        </w:rPr>
        <w:t xml:space="preserve"> </w:t>
      </w:r>
      <w:r w:rsidR="00831774" w:rsidRPr="00EA1B68">
        <w:rPr>
          <w:rFonts w:ascii="Cambria" w:hAnsi="Cambria" w:cs="Arial"/>
          <w:sz w:val="24"/>
          <w:szCs w:val="24"/>
        </w:rPr>
        <w:t xml:space="preserve">TCI </w:t>
      </w:r>
      <w:r w:rsidRPr="00EA1B68">
        <w:rPr>
          <w:rFonts w:ascii="Cambria" w:hAnsi="Cambria" w:cs="Arial"/>
          <w:sz w:val="24"/>
          <w:szCs w:val="24"/>
        </w:rPr>
        <w:t>Insolvency Ordinance</w:t>
      </w:r>
      <w:r w:rsidR="00724872" w:rsidRPr="00EA1B68">
        <w:rPr>
          <w:rFonts w:ascii="Cambria" w:hAnsi="Cambria" w:cs="Arial"/>
          <w:sz w:val="24"/>
          <w:szCs w:val="24"/>
        </w:rPr>
        <w:t xml:space="preserve"> 2017</w:t>
      </w:r>
      <w:r w:rsidRPr="00EA1B68">
        <w:rPr>
          <w:rFonts w:ascii="Cambria" w:hAnsi="Cambria" w:cs="Arial"/>
          <w:sz w:val="24"/>
          <w:szCs w:val="24"/>
        </w:rPr>
        <w:t xml:space="preserve">; </w:t>
      </w:r>
      <w:r w:rsidR="00724872" w:rsidRPr="00EA1B68">
        <w:rPr>
          <w:rFonts w:ascii="Cambria" w:hAnsi="Cambria" w:cs="Arial"/>
          <w:sz w:val="24"/>
          <w:szCs w:val="24"/>
        </w:rPr>
        <w:t>s.</w:t>
      </w:r>
      <w:r w:rsidRPr="00EA1B68">
        <w:rPr>
          <w:rFonts w:ascii="Cambria" w:hAnsi="Cambria" w:cs="Arial"/>
          <w:sz w:val="24"/>
          <w:szCs w:val="24"/>
        </w:rPr>
        <w:t xml:space="preserve"> 5: “Insolvent” is defined, </w:t>
      </w:r>
      <w:r w:rsidR="00EA1B68">
        <w:rPr>
          <w:rFonts w:ascii="Cambria" w:hAnsi="Cambria" w:cs="Arial"/>
          <w:sz w:val="24"/>
          <w:szCs w:val="24"/>
        </w:rPr>
        <w:t>on the so-called cashflow basis</w:t>
      </w:r>
      <w:r w:rsidRPr="00EA1B68">
        <w:rPr>
          <w:rFonts w:ascii="Cambria" w:hAnsi="Cambria" w:cs="Arial"/>
          <w:sz w:val="24"/>
          <w:szCs w:val="24"/>
        </w:rPr>
        <w:t>, as an inability to pay debts as they become due</w:t>
      </w:r>
    </w:p>
  </w:footnote>
  <w:footnote w:id="37">
    <w:p w14:paraId="63EFAC10" w14:textId="371E7763" w:rsidR="00C96DE1" w:rsidRPr="00EA1B68" w:rsidRDefault="00C96DE1">
      <w:pPr>
        <w:pStyle w:val="FootnoteText"/>
        <w:rPr>
          <w:rFonts w:ascii="Cambria" w:hAnsi="Cambria" w:cs="Arial"/>
          <w:sz w:val="24"/>
          <w:szCs w:val="24"/>
        </w:rPr>
      </w:pPr>
      <w:r w:rsidRPr="00EA1B68">
        <w:rPr>
          <w:rStyle w:val="FootnoteReference"/>
          <w:rFonts w:ascii="Cambria" w:hAnsi="Cambria" w:cs="Arial"/>
          <w:sz w:val="24"/>
          <w:szCs w:val="24"/>
        </w:rPr>
        <w:footnoteRef/>
      </w:r>
      <w:r w:rsidRPr="00EA1B68">
        <w:rPr>
          <w:rFonts w:ascii="Cambria" w:hAnsi="Cambria" w:cs="Arial"/>
          <w:sz w:val="24"/>
          <w:szCs w:val="24"/>
        </w:rPr>
        <w:t xml:space="preserve"> Fourth Principle of the Statement of Principles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ECC10" w14:textId="77777777" w:rsidR="007B0F8D" w:rsidRDefault="007B0F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30FB1" w14:textId="77777777" w:rsidR="007B0F8D" w:rsidRDefault="007B0F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87B2D" w14:textId="77777777" w:rsidR="007B0F8D" w:rsidRDefault="007B0F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F1866"/>
    <w:multiLevelType w:val="hybridMultilevel"/>
    <w:tmpl w:val="238CF722"/>
    <w:lvl w:ilvl="0" w:tplc="DDD0336C">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 w15:restartNumberingAfterBreak="0">
    <w:nsid w:val="12352DD2"/>
    <w:multiLevelType w:val="hybridMultilevel"/>
    <w:tmpl w:val="38A68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7105FA"/>
    <w:multiLevelType w:val="hybridMultilevel"/>
    <w:tmpl w:val="F24E5698"/>
    <w:lvl w:ilvl="0" w:tplc="EA7412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BFD1DC3"/>
    <w:multiLevelType w:val="hybridMultilevel"/>
    <w:tmpl w:val="2A1E3016"/>
    <w:lvl w:ilvl="0" w:tplc="2C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3D01DE"/>
    <w:multiLevelType w:val="hybridMultilevel"/>
    <w:tmpl w:val="83A6DB5C"/>
    <w:lvl w:ilvl="0" w:tplc="F76C9F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FD11C9"/>
    <w:multiLevelType w:val="hybridMultilevel"/>
    <w:tmpl w:val="7CD21644"/>
    <w:lvl w:ilvl="0" w:tplc="74C6733E">
      <w:start w:val="1"/>
      <w:numFmt w:val="decimal"/>
      <w:lvlText w:val="%1."/>
      <w:lvlJc w:val="left"/>
      <w:pPr>
        <w:ind w:left="720" w:hanging="360"/>
      </w:pPr>
      <w:rPr>
        <w:rFonts w:hint="default"/>
        <w:b w:val="0"/>
        <w:bCs w:val="0"/>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6" w15:restartNumberingAfterBreak="0">
    <w:nsid w:val="6F0A26E8"/>
    <w:multiLevelType w:val="hybridMultilevel"/>
    <w:tmpl w:val="5400EC94"/>
    <w:lvl w:ilvl="0" w:tplc="7DEAF608">
      <w:start w:val="10"/>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num w:numId="1" w16cid:durableId="1940869622">
    <w:abstractNumId w:val="3"/>
  </w:num>
  <w:num w:numId="2" w16cid:durableId="1074863340">
    <w:abstractNumId w:val="0"/>
  </w:num>
  <w:num w:numId="3" w16cid:durableId="1758866946">
    <w:abstractNumId w:val="6"/>
  </w:num>
  <w:num w:numId="4" w16cid:durableId="2058771291">
    <w:abstractNumId w:val="1"/>
  </w:num>
  <w:num w:numId="5" w16cid:durableId="944966981">
    <w:abstractNumId w:val="5"/>
  </w:num>
  <w:num w:numId="6" w16cid:durableId="1900821712">
    <w:abstractNumId w:val="4"/>
  </w:num>
  <w:num w:numId="7" w16cid:durableId="11955789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768"/>
    <w:rsid w:val="0000665F"/>
    <w:rsid w:val="00012943"/>
    <w:rsid w:val="000141B4"/>
    <w:rsid w:val="00060024"/>
    <w:rsid w:val="000708AC"/>
    <w:rsid w:val="0009121D"/>
    <w:rsid w:val="000A7793"/>
    <w:rsid w:val="000B0740"/>
    <w:rsid w:val="000D3B69"/>
    <w:rsid w:val="000E3343"/>
    <w:rsid w:val="000F0967"/>
    <w:rsid w:val="000F6377"/>
    <w:rsid w:val="00123B97"/>
    <w:rsid w:val="001426F8"/>
    <w:rsid w:val="00150E45"/>
    <w:rsid w:val="001D14A6"/>
    <w:rsid w:val="001F1A0F"/>
    <w:rsid w:val="001F41BF"/>
    <w:rsid w:val="002351F9"/>
    <w:rsid w:val="002A03D8"/>
    <w:rsid w:val="002A08AF"/>
    <w:rsid w:val="002E164D"/>
    <w:rsid w:val="002F7618"/>
    <w:rsid w:val="00333C6D"/>
    <w:rsid w:val="00337CEE"/>
    <w:rsid w:val="00345A06"/>
    <w:rsid w:val="003603E0"/>
    <w:rsid w:val="00372AAE"/>
    <w:rsid w:val="00373C75"/>
    <w:rsid w:val="003759DE"/>
    <w:rsid w:val="00380B94"/>
    <w:rsid w:val="00393067"/>
    <w:rsid w:val="00397A2A"/>
    <w:rsid w:val="003A372C"/>
    <w:rsid w:val="003B6A41"/>
    <w:rsid w:val="00412456"/>
    <w:rsid w:val="00412559"/>
    <w:rsid w:val="0041617C"/>
    <w:rsid w:val="004341C9"/>
    <w:rsid w:val="00436A25"/>
    <w:rsid w:val="004743EF"/>
    <w:rsid w:val="004772CD"/>
    <w:rsid w:val="00491420"/>
    <w:rsid w:val="00493905"/>
    <w:rsid w:val="004B64D3"/>
    <w:rsid w:val="004C3455"/>
    <w:rsid w:val="004E0005"/>
    <w:rsid w:val="00517414"/>
    <w:rsid w:val="005441E4"/>
    <w:rsid w:val="0055201E"/>
    <w:rsid w:val="005541BE"/>
    <w:rsid w:val="00562CEE"/>
    <w:rsid w:val="00584263"/>
    <w:rsid w:val="005877A5"/>
    <w:rsid w:val="005A104D"/>
    <w:rsid w:val="005D4F90"/>
    <w:rsid w:val="005D7B6C"/>
    <w:rsid w:val="005F0910"/>
    <w:rsid w:val="00613648"/>
    <w:rsid w:val="006353C2"/>
    <w:rsid w:val="00640304"/>
    <w:rsid w:val="00657749"/>
    <w:rsid w:val="00673DAB"/>
    <w:rsid w:val="006A564B"/>
    <w:rsid w:val="006A7BBF"/>
    <w:rsid w:val="006B1347"/>
    <w:rsid w:val="0070752B"/>
    <w:rsid w:val="00724872"/>
    <w:rsid w:val="007A3EF0"/>
    <w:rsid w:val="007A6A05"/>
    <w:rsid w:val="007B0F8D"/>
    <w:rsid w:val="007E3542"/>
    <w:rsid w:val="007E5609"/>
    <w:rsid w:val="00816D0D"/>
    <w:rsid w:val="00821A13"/>
    <w:rsid w:val="008266CE"/>
    <w:rsid w:val="00831774"/>
    <w:rsid w:val="00832C82"/>
    <w:rsid w:val="008B0AD1"/>
    <w:rsid w:val="008D5108"/>
    <w:rsid w:val="008F3054"/>
    <w:rsid w:val="008F3106"/>
    <w:rsid w:val="008F57C9"/>
    <w:rsid w:val="008F6B8D"/>
    <w:rsid w:val="00951BDD"/>
    <w:rsid w:val="00961584"/>
    <w:rsid w:val="0097561F"/>
    <w:rsid w:val="00996844"/>
    <w:rsid w:val="009A55CD"/>
    <w:rsid w:val="009A7246"/>
    <w:rsid w:val="00A02D69"/>
    <w:rsid w:val="00A048C8"/>
    <w:rsid w:val="00A1044C"/>
    <w:rsid w:val="00A2786D"/>
    <w:rsid w:val="00A63058"/>
    <w:rsid w:val="00A713E1"/>
    <w:rsid w:val="00A77560"/>
    <w:rsid w:val="00A8638B"/>
    <w:rsid w:val="00A93D83"/>
    <w:rsid w:val="00AB0807"/>
    <w:rsid w:val="00AF4464"/>
    <w:rsid w:val="00B27280"/>
    <w:rsid w:val="00B37175"/>
    <w:rsid w:val="00B37E53"/>
    <w:rsid w:val="00B76197"/>
    <w:rsid w:val="00BA0C0F"/>
    <w:rsid w:val="00BA6249"/>
    <w:rsid w:val="00BD3448"/>
    <w:rsid w:val="00C125A4"/>
    <w:rsid w:val="00C13CC2"/>
    <w:rsid w:val="00C35D61"/>
    <w:rsid w:val="00C663AE"/>
    <w:rsid w:val="00C818F3"/>
    <w:rsid w:val="00C96DE1"/>
    <w:rsid w:val="00CA1B62"/>
    <w:rsid w:val="00CC343D"/>
    <w:rsid w:val="00CC76AF"/>
    <w:rsid w:val="00CF453A"/>
    <w:rsid w:val="00D2562F"/>
    <w:rsid w:val="00D25FF6"/>
    <w:rsid w:val="00D3425C"/>
    <w:rsid w:val="00D40BC5"/>
    <w:rsid w:val="00D5695D"/>
    <w:rsid w:val="00D843DF"/>
    <w:rsid w:val="00D97F43"/>
    <w:rsid w:val="00DD29C4"/>
    <w:rsid w:val="00E001B1"/>
    <w:rsid w:val="00E40411"/>
    <w:rsid w:val="00E736BF"/>
    <w:rsid w:val="00E80BC2"/>
    <w:rsid w:val="00E963A0"/>
    <w:rsid w:val="00EA1B68"/>
    <w:rsid w:val="00EA1CE4"/>
    <w:rsid w:val="00EA2B14"/>
    <w:rsid w:val="00EC190C"/>
    <w:rsid w:val="00EC5C7E"/>
    <w:rsid w:val="00EF7768"/>
    <w:rsid w:val="00F06FB5"/>
    <w:rsid w:val="00F27A47"/>
    <w:rsid w:val="00F27E7C"/>
    <w:rsid w:val="00F41974"/>
    <w:rsid w:val="00F930A5"/>
    <w:rsid w:val="00F931E0"/>
    <w:rsid w:val="00F93B78"/>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D6D33"/>
  <w15:chartTrackingRefBased/>
  <w15:docId w15:val="{CF923DE8-F548-4C2F-9166-D0F4E148E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768"/>
    <w:pPr>
      <w:ind w:left="720"/>
      <w:contextualSpacing/>
    </w:pPr>
  </w:style>
  <w:style w:type="paragraph" w:styleId="FootnoteText">
    <w:name w:val="footnote text"/>
    <w:basedOn w:val="Normal"/>
    <w:link w:val="FootnoteTextChar"/>
    <w:uiPriority w:val="99"/>
    <w:semiHidden/>
    <w:unhideWhenUsed/>
    <w:rsid w:val="000E33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3343"/>
    <w:rPr>
      <w:sz w:val="20"/>
      <w:szCs w:val="20"/>
    </w:rPr>
  </w:style>
  <w:style w:type="character" w:styleId="FootnoteReference">
    <w:name w:val="footnote reference"/>
    <w:basedOn w:val="DefaultParagraphFont"/>
    <w:uiPriority w:val="99"/>
    <w:semiHidden/>
    <w:unhideWhenUsed/>
    <w:rsid w:val="000E3343"/>
    <w:rPr>
      <w:vertAlign w:val="superscript"/>
    </w:rPr>
  </w:style>
  <w:style w:type="paragraph" w:styleId="Header">
    <w:name w:val="header"/>
    <w:basedOn w:val="Normal"/>
    <w:link w:val="HeaderChar"/>
    <w:uiPriority w:val="99"/>
    <w:unhideWhenUsed/>
    <w:rsid w:val="007B0F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0F8D"/>
  </w:style>
  <w:style w:type="paragraph" w:styleId="Footer">
    <w:name w:val="footer"/>
    <w:basedOn w:val="Normal"/>
    <w:link w:val="FooterChar"/>
    <w:uiPriority w:val="99"/>
    <w:unhideWhenUsed/>
    <w:rsid w:val="007B0F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0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D17B7-384E-48FC-9C3B-2B41C9AC0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4925</Words>
  <Characters>28074</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Prudhoe</dc:creator>
  <cp:keywords/>
  <dc:description/>
  <cp:lastModifiedBy>Tim Prudhoe</cp:lastModifiedBy>
  <cp:revision>4</cp:revision>
  <dcterms:created xsi:type="dcterms:W3CDTF">2023-04-06T10:10:00Z</dcterms:created>
  <dcterms:modified xsi:type="dcterms:W3CDTF">2023-04-11T22:57:00Z</dcterms:modified>
</cp:coreProperties>
</file>