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370E85" w:rsidRDefault="00D66F96" w:rsidP="005B7C95">
      <w:pPr>
        <w:pStyle w:val="ListParagraph"/>
        <w:numPr>
          <w:ilvl w:val="0"/>
          <w:numId w:val="26"/>
        </w:numPr>
        <w:ind w:left="426"/>
        <w:jc w:val="both"/>
        <w:rPr>
          <w:rFonts w:ascii="Avenir Next" w:hAnsi="Avenir Next" w:cs="Arial"/>
          <w:sz w:val="22"/>
          <w:szCs w:val="22"/>
          <w:highlight w:val="yellow"/>
          <w:lang w:val="en-GB"/>
        </w:rPr>
      </w:pPr>
      <w:r w:rsidRPr="00370E85">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370E85"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370E85">
        <w:rPr>
          <w:rFonts w:ascii="Avenir Next" w:hAnsi="Avenir Next" w:cs="Arial"/>
          <w:iCs/>
          <w:sz w:val="22"/>
          <w:szCs w:val="22"/>
          <w:highlight w:val="yellow"/>
          <w:lang w:val="en-GB"/>
        </w:rPr>
        <w:t>t</w:t>
      </w:r>
      <w:r w:rsidR="00302D76" w:rsidRPr="00370E85">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1500A4"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1500A4">
        <w:rPr>
          <w:rFonts w:ascii="Avenir Next" w:hAnsi="Avenir Next" w:cs="Arial"/>
          <w:iCs/>
          <w:sz w:val="22"/>
          <w:szCs w:val="22"/>
          <w:highlight w:val="yellow"/>
          <w:lang w:val="en-GB"/>
        </w:rPr>
        <w:t xml:space="preserve">The EIR 2000 was generally regarded as a successful instrument </w:t>
      </w:r>
      <w:proofErr w:type="gramStart"/>
      <w:r w:rsidRPr="001500A4">
        <w:rPr>
          <w:rFonts w:ascii="Avenir Next" w:hAnsi="Avenir Next" w:cs="Arial"/>
          <w:iCs/>
          <w:sz w:val="22"/>
          <w:szCs w:val="22"/>
          <w:highlight w:val="yellow"/>
          <w:lang w:val="en-GB"/>
        </w:rPr>
        <w:t>in the area of</w:t>
      </w:r>
      <w:proofErr w:type="gramEnd"/>
      <w:r w:rsidRPr="001500A4">
        <w:rPr>
          <w:rFonts w:ascii="Avenir Next" w:hAnsi="Avenir Next" w:cs="Arial"/>
          <w:iCs/>
          <w:sz w:val="22"/>
          <w:szCs w:val="22"/>
          <w:highlight w:val="yellow"/>
          <w:lang w:val="en-GB"/>
        </w:rPr>
        <w:t xml:space="preserve"> European insolvency law by the EU institutions, practitioners and academics. However, </w:t>
      </w:r>
      <w:proofErr w:type="gramStart"/>
      <w:r w:rsidRPr="001500A4">
        <w:rPr>
          <w:rFonts w:ascii="Avenir Next" w:hAnsi="Avenir Next" w:cs="Arial"/>
          <w:iCs/>
          <w:sz w:val="22"/>
          <w:szCs w:val="22"/>
          <w:highlight w:val="yellow"/>
          <w:lang w:val="en-GB"/>
        </w:rPr>
        <w:t>a number of</w:t>
      </w:r>
      <w:proofErr w:type="gramEnd"/>
      <w:r w:rsidRPr="001500A4">
        <w:rPr>
          <w:rFonts w:ascii="Avenir Next" w:hAnsi="Avenir Next" w:cs="Arial"/>
          <w:iCs/>
          <w:sz w:val="22"/>
          <w:szCs w:val="22"/>
          <w:highlight w:val="yellow"/>
          <w:lang w:val="en-GB"/>
        </w:rPr>
        <w:t xml:space="preserve">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474101" w:rsidRDefault="00971896" w:rsidP="003C4BCB">
      <w:pPr>
        <w:pStyle w:val="ListParagraph"/>
        <w:numPr>
          <w:ilvl w:val="0"/>
          <w:numId w:val="5"/>
        </w:numPr>
        <w:ind w:left="426"/>
        <w:jc w:val="both"/>
        <w:rPr>
          <w:rFonts w:ascii="Avenir Next" w:hAnsi="Avenir Next" w:cs="Arial"/>
          <w:sz w:val="22"/>
          <w:szCs w:val="22"/>
          <w:highlight w:val="yellow"/>
          <w:lang w:val="en-GB"/>
        </w:rPr>
      </w:pPr>
      <w:r w:rsidRPr="00474101">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474101">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EA1145" w:rsidRDefault="00CA7069" w:rsidP="008E3C96">
      <w:pPr>
        <w:pStyle w:val="ListParagraph"/>
        <w:numPr>
          <w:ilvl w:val="0"/>
          <w:numId w:val="28"/>
        </w:numPr>
        <w:ind w:left="426"/>
        <w:jc w:val="both"/>
        <w:rPr>
          <w:rFonts w:ascii="Avenir Next" w:hAnsi="Avenir Next" w:cs="Arial"/>
          <w:sz w:val="22"/>
          <w:szCs w:val="22"/>
          <w:highlight w:val="yellow"/>
          <w:lang w:val="en-GB"/>
        </w:rPr>
      </w:pPr>
      <w:r w:rsidRPr="00EA1145">
        <w:rPr>
          <w:rFonts w:ascii="Avenir Next" w:hAnsi="Avenir Next" w:cs="Arial"/>
          <w:sz w:val="22"/>
          <w:szCs w:val="22"/>
          <w:highlight w:val="yellow"/>
          <w:lang w:val="en-GB"/>
        </w:rPr>
        <w:t>Article 31 EIR Recast (“</w:t>
      </w:r>
      <w:r w:rsidRPr="00EA1145">
        <w:rPr>
          <w:rFonts w:ascii="Avenir Next" w:hAnsi="Avenir Next" w:cs="Arial"/>
          <w:bCs/>
          <w:sz w:val="22"/>
          <w:szCs w:val="22"/>
          <w:highlight w:val="yellow"/>
          <w:lang w:val="en-GB"/>
        </w:rPr>
        <w:t>Honouring of an obligation to a debtor”</w:t>
      </w:r>
      <w:r w:rsidRPr="00EA1145">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AF2C79" w:rsidRDefault="00CA7069" w:rsidP="003C4BCB">
      <w:pPr>
        <w:pStyle w:val="ListParagraph"/>
        <w:numPr>
          <w:ilvl w:val="0"/>
          <w:numId w:val="7"/>
        </w:numPr>
        <w:ind w:left="426"/>
        <w:jc w:val="both"/>
        <w:rPr>
          <w:rFonts w:ascii="Avenir Next" w:hAnsi="Avenir Next" w:cs="Arial"/>
          <w:sz w:val="22"/>
          <w:szCs w:val="22"/>
          <w:highlight w:val="yellow"/>
          <w:lang w:val="en-GB"/>
        </w:rPr>
      </w:pPr>
      <w:r w:rsidRPr="00AF2C79">
        <w:rPr>
          <w:rFonts w:ascii="Avenir Next" w:hAnsi="Avenir Next" w:cs="Arial"/>
          <w:sz w:val="22"/>
          <w:szCs w:val="22"/>
          <w:highlight w:val="yellow"/>
          <w:lang w:val="en-GB"/>
        </w:rPr>
        <w:t xml:space="preserve">Each Member State will define </w:t>
      </w:r>
      <w:r w:rsidR="001A68CC" w:rsidRPr="00AF2C79">
        <w:rPr>
          <w:rFonts w:ascii="Avenir Next" w:hAnsi="Avenir Next" w:cs="Arial"/>
          <w:sz w:val="22"/>
          <w:szCs w:val="22"/>
          <w:highlight w:val="yellow"/>
          <w:lang w:val="en-GB"/>
        </w:rPr>
        <w:t>“</w:t>
      </w:r>
      <w:r w:rsidRPr="00AF2C79">
        <w:rPr>
          <w:rFonts w:ascii="Avenir Next" w:hAnsi="Avenir Next" w:cs="Arial"/>
          <w:sz w:val="22"/>
          <w:szCs w:val="22"/>
          <w:highlight w:val="yellow"/>
          <w:lang w:val="en-GB"/>
        </w:rPr>
        <w:t>insolvency</w:t>
      </w:r>
      <w:r w:rsidR="001A68CC" w:rsidRPr="00AF2C79">
        <w:rPr>
          <w:rFonts w:ascii="Avenir Next" w:hAnsi="Avenir Next" w:cs="Arial"/>
          <w:sz w:val="22"/>
          <w:szCs w:val="22"/>
          <w:highlight w:val="yellow"/>
          <w:lang w:val="en-GB"/>
        </w:rPr>
        <w:t>”</w:t>
      </w:r>
      <w:r w:rsidRPr="00AF2C79">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AF2C79" w:rsidRDefault="00CA7069" w:rsidP="00CA7069">
      <w:pPr>
        <w:pStyle w:val="ListParagraph"/>
        <w:numPr>
          <w:ilvl w:val="0"/>
          <w:numId w:val="8"/>
        </w:numPr>
        <w:ind w:left="426"/>
        <w:jc w:val="both"/>
        <w:rPr>
          <w:rFonts w:ascii="Avenir Next" w:hAnsi="Avenir Next" w:cs="Arial"/>
          <w:sz w:val="22"/>
          <w:szCs w:val="22"/>
          <w:highlight w:val="yellow"/>
          <w:lang w:val="en-GB"/>
        </w:rPr>
      </w:pPr>
      <w:r w:rsidRPr="00AF2C79">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104ED6" w:rsidRDefault="00C15FA2" w:rsidP="008E3C96">
      <w:pPr>
        <w:pStyle w:val="ListParagraph"/>
        <w:numPr>
          <w:ilvl w:val="0"/>
          <w:numId w:val="29"/>
        </w:numPr>
        <w:ind w:left="426"/>
        <w:jc w:val="both"/>
        <w:rPr>
          <w:rFonts w:ascii="Avenir Next" w:hAnsi="Avenir Next" w:cs="Arial"/>
          <w:sz w:val="22"/>
          <w:szCs w:val="22"/>
          <w:highlight w:val="yellow"/>
          <w:lang w:val="en-GB"/>
        </w:rPr>
      </w:pPr>
      <w:r w:rsidRPr="00104ED6">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104ED6" w:rsidRDefault="00EC242E" w:rsidP="008E3C96">
      <w:pPr>
        <w:pStyle w:val="ListParagraph"/>
        <w:numPr>
          <w:ilvl w:val="0"/>
          <w:numId w:val="30"/>
        </w:numPr>
        <w:ind w:left="426"/>
        <w:jc w:val="both"/>
        <w:rPr>
          <w:rFonts w:ascii="Avenir Next" w:hAnsi="Avenir Next" w:cs="Arial"/>
          <w:sz w:val="22"/>
          <w:szCs w:val="22"/>
          <w:highlight w:val="yellow"/>
          <w:lang w:val="en-GB"/>
        </w:rPr>
      </w:pPr>
      <w:r w:rsidRPr="00104ED6">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w:t>
      </w:r>
      <w:proofErr w:type="gramStart"/>
      <w:r w:rsidRPr="008E3C96">
        <w:rPr>
          <w:rFonts w:ascii="Avenir Next" w:hAnsi="Avenir Next" w:cs="Arial"/>
          <w:sz w:val="22"/>
          <w:szCs w:val="22"/>
          <w:lang w:val="en-GB"/>
        </w:rPr>
        <w:t>transactions, and</w:t>
      </w:r>
      <w:proofErr w:type="gramEnd"/>
      <w:r w:rsidRPr="008E3C96">
        <w:rPr>
          <w:rFonts w:ascii="Avenir Next" w:hAnsi="Avenir Next" w:cs="Arial"/>
          <w:sz w:val="22"/>
          <w:szCs w:val="22"/>
          <w:lang w:val="en-GB"/>
        </w:rPr>
        <w:t xml:space="preserve">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104ED6" w:rsidRDefault="00054E15" w:rsidP="00054E15">
      <w:pPr>
        <w:pStyle w:val="ListParagraph"/>
        <w:numPr>
          <w:ilvl w:val="0"/>
          <w:numId w:val="9"/>
        </w:numPr>
        <w:ind w:left="426"/>
        <w:jc w:val="both"/>
        <w:rPr>
          <w:rFonts w:ascii="Avenir Next" w:hAnsi="Avenir Next" w:cs="Arial"/>
          <w:sz w:val="22"/>
          <w:szCs w:val="22"/>
          <w:highlight w:val="yellow"/>
          <w:lang w:val="en-GB"/>
        </w:rPr>
      </w:pPr>
      <w:r w:rsidRPr="00104ED6">
        <w:rPr>
          <w:rFonts w:ascii="Avenir Next" w:hAnsi="Avenir Next" w:cs="Arial"/>
          <w:sz w:val="22"/>
          <w:szCs w:val="22"/>
          <w:highlight w:val="yellow"/>
          <w:lang w:val="en-GB"/>
        </w:rPr>
        <w:t xml:space="preserve">The contested payments </w:t>
      </w:r>
      <w:r w:rsidR="00FC235E" w:rsidRPr="00104ED6">
        <w:rPr>
          <w:rFonts w:ascii="Avenir Next" w:hAnsi="Avenir Next" w:cs="Arial"/>
          <w:sz w:val="22"/>
          <w:szCs w:val="22"/>
          <w:highlight w:val="yellow"/>
          <w:lang w:val="en-GB"/>
        </w:rPr>
        <w:t>will</w:t>
      </w:r>
      <w:r w:rsidRPr="00104ED6">
        <w:rPr>
          <w:rFonts w:ascii="Avenir Next" w:hAnsi="Avenir Next" w:cs="Arial"/>
          <w:sz w:val="22"/>
          <w:szCs w:val="22"/>
          <w:highlight w:val="yellow"/>
          <w:lang w:val="en-GB"/>
        </w:rPr>
        <w:t xml:space="preserve"> not be avoided if </w:t>
      </w:r>
      <w:proofErr w:type="spellStart"/>
      <w:r w:rsidRPr="00104ED6">
        <w:rPr>
          <w:rFonts w:ascii="Avenir Next" w:hAnsi="Avenir Next" w:cs="Arial"/>
          <w:sz w:val="22"/>
          <w:szCs w:val="22"/>
          <w:highlight w:val="yellow"/>
          <w:lang w:val="en-GB"/>
        </w:rPr>
        <w:t>Canetier</w:t>
      </w:r>
      <w:proofErr w:type="spellEnd"/>
      <w:r w:rsidRPr="00104ED6">
        <w:rPr>
          <w:rFonts w:ascii="Avenir Next" w:hAnsi="Avenir Next" w:cs="Arial"/>
          <w:sz w:val="22"/>
          <w:szCs w:val="22"/>
          <w:highlight w:val="yellow"/>
          <w:lang w:val="en-GB"/>
        </w:rPr>
        <w:t xml:space="preserve"> SARL proves that such transactions cannot be challenged </w:t>
      </w:r>
      <w:proofErr w:type="gramStart"/>
      <w:r w:rsidRPr="00104ED6">
        <w:rPr>
          <w:rFonts w:ascii="Avenir Next" w:hAnsi="Avenir Next" w:cs="Arial"/>
          <w:sz w:val="22"/>
          <w:szCs w:val="22"/>
          <w:highlight w:val="yellow"/>
          <w:lang w:val="en-GB"/>
        </w:rPr>
        <w:t>on the basis of</w:t>
      </w:r>
      <w:proofErr w:type="gramEnd"/>
      <w:r w:rsidRPr="00104ED6">
        <w:rPr>
          <w:rFonts w:ascii="Avenir Next" w:hAnsi="Avenir Next" w:cs="Arial"/>
          <w:sz w:val="22"/>
          <w:szCs w:val="22"/>
          <w:highlight w:val="yellow"/>
          <w:lang w:val="en-GB"/>
        </w:rPr>
        <w:t xml:space="preserve">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44C22B4E" w14:textId="77777777" w:rsidR="00CA7BC1" w:rsidRDefault="00636C15" w:rsidP="00636C15">
      <w:pPr>
        <w:ind w:left="720" w:hanging="720"/>
        <w:jc w:val="both"/>
        <w:rPr>
          <w:rFonts w:ascii="Avenir Next" w:hAnsi="Avenir Next" w:cs="Arial"/>
          <w:color w:val="7B7B7B" w:themeColor="accent3" w:themeShade="BF"/>
          <w:sz w:val="22"/>
          <w:szCs w:val="22"/>
        </w:rPr>
      </w:pPr>
      <w:r w:rsidRPr="008E3C96">
        <w:rPr>
          <w:rFonts w:ascii="Avenir Next" w:hAnsi="Avenir Next" w:cs="Arial"/>
          <w:color w:val="7B7B7B" w:themeColor="accent3" w:themeShade="BF"/>
          <w:sz w:val="22"/>
          <w:szCs w:val="22"/>
        </w:rPr>
        <w:t>[</w:t>
      </w:r>
    </w:p>
    <w:p w14:paraId="173CE291" w14:textId="7FE6651E" w:rsidR="001625A0" w:rsidRDefault="001625A0" w:rsidP="00636C15">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Statement 1:</w:t>
      </w:r>
    </w:p>
    <w:p w14:paraId="2B8B2A75" w14:textId="04ABDEDA" w:rsidR="00813088" w:rsidRDefault="00C66F80" w:rsidP="00CA7BC1">
      <w:pPr>
        <w:pStyle w:val="ListParagraph"/>
        <w:numPr>
          <w:ilvl w:val="0"/>
          <w:numId w:val="34"/>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3(1)</w:t>
      </w:r>
      <w:r w:rsidR="00911C1D">
        <w:rPr>
          <w:rFonts w:ascii="Avenir Next" w:hAnsi="Avenir Next" w:cs="Arial"/>
          <w:color w:val="7B7B7B" w:themeColor="accent3" w:themeShade="BF"/>
          <w:sz w:val="22"/>
          <w:szCs w:val="22"/>
        </w:rPr>
        <w:t xml:space="preserve"> </w:t>
      </w:r>
      <w:r w:rsidR="00911C1D">
        <w:rPr>
          <w:rFonts w:ascii="Avenir Next" w:hAnsi="Avenir Next" w:cs="Arial"/>
          <w:color w:val="7B7B7B" w:themeColor="accent3" w:themeShade="BF"/>
          <w:sz w:val="22"/>
          <w:szCs w:val="22"/>
        </w:rPr>
        <w:t>EIR Recast</w:t>
      </w:r>
      <w:r>
        <w:rPr>
          <w:rFonts w:ascii="Avenir Next" w:hAnsi="Avenir Next" w:cs="Arial"/>
          <w:color w:val="7B7B7B" w:themeColor="accent3" w:themeShade="BF"/>
          <w:sz w:val="22"/>
          <w:szCs w:val="22"/>
        </w:rPr>
        <w:t xml:space="preserve">: The place of registered office shall be presumed to be </w:t>
      </w:r>
      <w:r w:rsidR="00911C1D">
        <w:rPr>
          <w:rFonts w:ascii="Avenir Next" w:hAnsi="Avenir Next" w:cs="Arial"/>
          <w:color w:val="7B7B7B" w:themeColor="accent3" w:themeShade="BF"/>
          <w:sz w:val="22"/>
          <w:szCs w:val="22"/>
        </w:rPr>
        <w:t>the place of COMI.</w:t>
      </w:r>
    </w:p>
    <w:p w14:paraId="585D46BC" w14:textId="77777777" w:rsidR="00911C1D" w:rsidRDefault="00911C1D" w:rsidP="00911C1D">
      <w:pPr>
        <w:pStyle w:val="ListParagraph"/>
        <w:numPr>
          <w:ilvl w:val="0"/>
          <w:numId w:val="34"/>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2(12) EIR Recast: habitual residence, </w:t>
      </w:r>
      <w:proofErr w:type="gramStart"/>
      <w:r>
        <w:rPr>
          <w:rFonts w:ascii="Avenir Next" w:hAnsi="Avenir Next" w:cs="Arial"/>
          <w:color w:val="7B7B7B" w:themeColor="accent3" w:themeShade="BF"/>
          <w:sz w:val="22"/>
          <w:szCs w:val="22"/>
        </w:rPr>
        <w:t>domicile</w:t>
      </w:r>
      <w:proofErr w:type="gramEnd"/>
      <w:r>
        <w:rPr>
          <w:rFonts w:ascii="Avenir Next" w:hAnsi="Avenir Next" w:cs="Arial"/>
          <w:color w:val="7B7B7B" w:themeColor="accent3" w:themeShade="BF"/>
          <w:sz w:val="22"/>
          <w:szCs w:val="22"/>
        </w:rPr>
        <w:t xml:space="preserve"> or registered office of a creditor.</w:t>
      </w:r>
    </w:p>
    <w:p w14:paraId="561E02C6" w14:textId="1458B039" w:rsidR="00911C1D" w:rsidRDefault="00911C1D" w:rsidP="00CA7BC1">
      <w:pPr>
        <w:pStyle w:val="ListParagraph"/>
        <w:numPr>
          <w:ilvl w:val="0"/>
          <w:numId w:val="34"/>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Recital 30 EIR Recast: the guidance provided by the court. </w:t>
      </w:r>
    </w:p>
    <w:p w14:paraId="6130B674" w14:textId="77777777" w:rsidR="00911C1D" w:rsidRDefault="00911C1D" w:rsidP="00911C1D">
      <w:pPr>
        <w:jc w:val="both"/>
        <w:rPr>
          <w:rFonts w:ascii="Avenir Next" w:hAnsi="Avenir Next" w:cs="Arial"/>
          <w:color w:val="7B7B7B" w:themeColor="accent3" w:themeShade="BF"/>
          <w:sz w:val="22"/>
          <w:szCs w:val="22"/>
        </w:rPr>
      </w:pPr>
    </w:p>
    <w:p w14:paraId="3926E43B" w14:textId="3595AE0F" w:rsidR="00911C1D" w:rsidRDefault="00911C1D" w:rsidP="00911C1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Statement 2:</w:t>
      </w:r>
    </w:p>
    <w:p w14:paraId="10D2F7C0" w14:textId="210F402E" w:rsidR="00911C1D" w:rsidRDefault="00E402D0" w:rsidP="00E402D0">
      <w:pPr>
        <w:pStyle w:val="ListParagraph"/>
        <w:numPr>
          <w:ilvl w:val="0"/>
          <w:numId w:val="34"/>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1 EIR Recast: the EIR Recast applies to public collective proceedings, including </w:t>
      </w:r>
      <w:r w:rsidR="0052171F">
        <w:rPr>
          <w:rFonts w:ascii="Avenir Next" w:hAnsi="Avenir Next" w:cs="Arial"/>
          <w:color w:val="7B7B7B" w:themeColor="accent3" w:themeShade="BF"/>
          <w:sz w:val="22"/>
          <w:szCs w:val="22"/>
        </w:rPr>
        <w:t>interim proceedings, which are based on laws relating to insolvency an</w:t>
      </w:r>
      <w:r w:rsidR="001A6A4D">
        <w:rPr>
          <w:rFonts w:ascii="Avenir Next" w:hAnsi="Avenir Next" w:cs="Arial"/>
          <w:color w:val="7B7B7B" w:themeColor="accent3" w:themeShade="BF"/>
          <w:sz w:val="22"/>
          <w:szCs w:val="22"/>
        </w:rPr>
        <w:t>d in which, for the purpose of rescue, adjustment of debt,</w:t>
      </w:r>
      <w:r w:rsidR="00D41F88">
        <w:rPr>
          <w:rFonts w:ascii="Avenir Next" w:hAnsi="Avenir Next" w:cs="Arial"/>
          <w:color w:val="7B7B7B" w:themeColor="accent3" w:themeShade="BF"/>
          <w:sz w:val="22"/>
          <w:szCs w:val="22"/>
        </w:rPr>
        <w:t xml:space="preserve"> …</w:t>
      </w:r>
      <w:proofErr w:type="gramStart"/>
      <w:r w:rsidR="00D41F88">
        <w:rPr>
          <w:rFonts w:ascii="Avenir Next" w:hAnsi="Avenir Next" w:cs="Arial"/>
          <w:color w:val="7B7B7B" w:themeColor="accent3" w:themeShade="BF"/>
          <w:sz w:val="22"/>
          <w:szCs w:val="22"/>
        </w:rPr>
        <w:t>….etc.</w:t>
      </w:r>
      <w:proofErr w:type="gramEnd"/>
    </w:p>
    <w:p w14:paraId="53A79C54" w14:textId="6D8B1386" w:rsidR="00D41F88" w:rsidRDefault="00D41F88" w:rsidP="00E402D0">
      <w:pPr>
        <w:pStyle w:val="ListParagraph"/>
        <w:numPr>
          <w:ilvl w:val="0"/>
          <w:numId w:val="34"/>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Recital 10 EIR Recast: </w:t>
      </w:r>
      <w:r w:rsidR="00CE148A">
        <w:rPr>
          <w:rFonts w:ascii="Avenir Next" w:hAnsi="Avenir Next" w:cs="Arial"/>
          <w:color w:val="7B7B7B" w:themeColor="accent3" w:themeShade="BF"/>
          <w:sz w:val="22"/>
          <w:szCs w:val="22"/>
        </w:rPr>
        <w:t xml:space="preserve">proceeding which </w:t>
      </w:r>
      <w:proofErr w:type="gramStart"/>
      <w:r w:rsidR="00CE148A">
        <w:rPr>
          <w:rFonts w:ascii="Avenir Next" w:hAnsi="Avenir Next" w:cs="Arial"/>
          <w:color w:val="7B7B7B" w:themeColor="accent3" w:themeShade="BF"/>
          <w:sz w:val="22"/>
          <w:szCs w:val="22"/>
        </w:rPr>
        <w:t>provide</w:t>
      </w:r>
      <w:proofErr w:type="gramEnd"/>
      <w:r w:rsidR="00CE148A">
        <w:rPr>
          <w:rFonts w:ascii="Avenir Next" w:hAnsi="Avenir Next" w:cs="Arial"/>
          <w:color w:val="7B7B7B" w:themeColor="accent3" w:themeShade="BF"/>
          <w:sz w:val="22"/>
          <w:szCs w:val="22"/>
        </w:rPr>
        <w:t xml:space="preserve"> for restructuring of a debtor at a stage </w:t>
      </w:r>
      <w:r w:rsidR="00F357F0">
        <w:rPr>
          <w:rFonts w:ascii="Avenir Next" w:hAnsi="Avenir Next" w:cs="Arial"/>
          <w:color w:val="7B7B7B" w:themeColor="accent3" w:themeShade="BF"/>
          <w:sz w:val="22"/>
          <w:szCs w:val="22"/>
        </w:rPr>
        <w:t>where there is likelihood of insolvency.</w:t>
      </w:r>
    </w:p>
    <w:p w14:paraId="5C7DD9F3" w14:textId="7D5D08D8" w:rsidR="00636C15" w:rsidRPr="008E3C96" w:rsidRDefault="00636C15" w:rsidP="00F357F0">
      <w:pPr>
        <w:jc w:val="both"/>
        <w:rPr>
          <w:rFonts w:ascii="Avenir Next" w:hAnsi="Avenir Next" w:cs="Arial"/>
          <w:sz w:val="22"/>
          <w:szCs w:val="22"/>
        </w:rPr>
      </w:pPr>
      <w:r w:rsidRPr="008E3C96">
        <w:rPr>
          <w:rFonts w:ascii="Avenir Next" w:hAnsi="Avenir Next" w:cs="Arial"/>
          <w:color w:val="7B7B7B" w:themeColor="accent3" w:themeShade="BF"/>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7CD437A2" w14:textId="77777777" w:rsidR="00A10D55" w:rsidRDefault="00636C15" w:rsidP="00C838E8">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p>
    <w:p w14:paraId="251856F2" w14:textId="57C6B32A" w:rsidR="00F357F0" w:rsidRDefault="00254D82" w:rsidP="00C838E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several proceedings in relation to the same debtor are running under different national insolvency laws, </w:t>
      </w:r>
      <w:r w:rsidR="00C838E8">
        <w:rPr>
          <w:rFonts w:ascii="Avenir Next" w:hAnsi="Avenir Next" w:cs="Arial"/>
          <w:color w:val="7B7B7B" w:themeColor="accent3" w:themeShade="BF"/>
          <w:sz w:val="22"/>
          <w:szCs w:val="22"/>
          <w:lang w:val="en-GB"/>
        </w:rPr>
        <w:t xml:space="preserve">it will create </w:t>
      </w:r>
      <w:r w:rsidR="007F4E7E">
        <w:rPr>
          <w:rFonts w:ascii="Avenir Next" w:hAnsi="Avenir Next" w:cs="Arial"/>
          <w:color w:val="7B7B7B" w:themeColor="accent3" w:themeShade="BF"/>
          <w:sz w:val="22"/>
          <w:szCs w:val="22"/>
          <w:lang w:val="en-GB"/>
        </w:rPr>
        <w:t xml:space="preserve">a complex system with one main proceeding dominating the course </w:t>
      </w:r>
      <w:r w:rsidR="00AB0C65">
        <w:rPr>
          <w:rFonts w:ascii="Avenir Next" w:hAnsi="Avenir Next" w:cs="Arial"/>
          <w:color w:val="7B7B7B" w:themeColor="accent3" w:themeShade="BF"/>
          <w:sz w:val="22"/>
          <w:szCs w:val="22"/>
          <w:lang w:val="en-GB"/>
        </w:rPr>
        <w:t xml:space="preserve">of the debtor’s insolvency and one or more secondary proceedings. </w:t>
      </w:r>
      <w:r w:rsidR="00C052B8">
        <w:rPr>
          <w:rFonts w:ascii="Avenir Next" w:hAnsi="Avenir Next" w:cs="Arial"/>
          <w:color w:val="7B7B7B" w:themeColor="accent3" w:themeShade="BF"/>
          <w:sz w:val="22"/>
          <w:szCs w:val="22"/>
          <w:lang w:val="en-GB"/>
        </w:rPr>
        <w:t xml:space="preserve">As a result, compared to the 1970 and 1980 Conventions, which </w:t>
      </w:r>
      <w:r w:rsidR="007C1A62">
        <w:rPr>
          <w:rFonts w:ascii="Avenir Next" w:hAnsi="Avenir Next" w:cs="Arial"/>
          <w:color w:val="7B7B7B" w:themeColor="accent3" w:themeShade="BF"/>
          <w:sz w:val="22"/>
          <w:szCs w:val="22"/>
          <w:lang w:val="en-GB"/>
        </w:rPr>
        <w:t>favoured the ideals of unity and universalism, the EIR Recast chooses the middle ground of modified universalism.</w:t>
      </w:r>
    </w:p>
    <w:p w14:paraId="4EBB075C" w14:textId="291BBF82" w:rsidR="007C1A62" w:rsidRDefault="00227C61" w:rsidP="00C838E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Below </w:t>
      </w:r>
      <w:r w:rsidR="00CF421A">
        <w:rPr>
          <w:rFonts w:ascii="Avenir Next" w:hAnsi="Avenir Next" w:cs="Arial"/>
          <w:color w:val="7B7B7B" w:themeColor="accent3" w:themeShade="BF"/>
          <w:sz w:val="22"/>
          <w:szCs w:val="22"/>
          <w:lang w:val="en-GB"/>
        </w:rPr>
        <w:t>are</w:t>
      </w:r>
      <w:r>
        <w:rPr>
          <w:rFonts w:ascii="Avenir Next" w:hAnsi="Avenir Next" w:cs="Arial"/>
          <w:color w:val="7B7B7B" w:themeColor="accent3" w:themeShade="BF"/>
          <w:sz w:val="22"/>
          <w:szCs w:val="22"/>
          <w:lang w:val="en-GB"/>
        </w:rPr>
        <w:t xml:space="preserve"> </w:t>
      </w:r>
      <w:r w:rsidRPr="00227C61">
        <w:rPr>
          <w:rFonts w:ascii="Avenir Next" w:hAnsi="Avenir Next" w:cs="Arial"/>
          <w:color w:val="7B7B7B" w:themeColor="accent3" w:themeShade="BF"/>
          <w:sz w:val="22"/>
          <w:szCs w:val="22"/>
          <w:lang w:val="en-GB"/>
        </w:rPr>
        <w:t>three (3) examples of provisions from the EIR Recast which highlight this modified universalism approach</w:t>
      </w:r>
      <w:r w:rsidR="00CF421A">
        <w:rPr>
          <w:rFonts w:ascii="Avenir Next" w:hAnsi="Avenir Next" w:cs="Arial"/>
          <w:color w:val="7B7B7B" w:themeColor="accent3" w:themeShade="BF"/>
          <w:sz w:val="22"/>
          <w:szCs w:val="22"/>
          <w:lang w:val="en-GB"/>
        </w:rPr>
        <w:t>:</w:t>
      </w:r>
    </w:p>
    <w:p w14:paraId="0272614E" w14:textId="36100359" w:rsidR="00CF421A" w:rsidRDefault="00CF421A" w:rsidP="00CF421A">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Main insolvency proceedings and </w:t>
      </w:r>
      <w:r w:rsidR="00D617A7">
        <w:rPr>
          <w:rFonts w:ascii="Avenir Next" w:hAnsi="Avenir Next" w:cs="Arial"/>
          <w:color w:val="7B7B7B" w:themeColor="accent3" w:themeShade="BF"/>
          <w:sz w:val="22"/>
          <w:szCs w:val="22"/>
          <w:lang w:val="en-GB"/>
        </w:rPr>
        <w:t>COMI- Article 3(1) EIR Recast.</w:t>
      </w:r>
    </w:p>
    <w:p w14:paraId="0676E279" w14:textId="3CD88133" w:rsidR="00D617A7" w:rsidRDefault="00D617A7" w:rsidP="00CF421A">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COMI </w:t>
      </w:r>
      <w:r w:rsidR="00F55B87">
        <w:rPr>
          <w:rFonts w:ascii="Avenir Next" w:hAnsi="Avenir Next" w:cs="Arial"/>
          <w:color w:val="7B7B7B" w:themeColor="accent3" w:themeShade="BF"/>
          <w:sz w:val="22"/>
          <w:szCs w:val="22"/>
          <w:lang w:val="en-GB"/>
        </w:rPr>
        <w:t>p</w:t>
      </w:r>
      <w:r>
        <w:rPr>
          <w:rFonts w:ascii="Avenir Next" w:hAnsi="Avenir Next" w:cs="Arial"/>
          <w:color w:val="7B7B7B" w:themeColor="accent3" w:themeShade="BF"/>
          <w:sz w:val="22"/>
          <w:szCs w:val="22"/>
          <w:lang w:val="en-GB"/>
        </w:rPr>
        <w:t xml:space="preserve">resumptions- </w:t>
      </w:r>
      <w:r w:rsidR="004A3647">
        <w:rPr>
          <w:rFonts w:ascii="Avenir Next" w:hAnsi="Avenir Next" w:cs="Arial"/>
          <w:color w:val="7B7B7B" w:themeColor="accent3" w:themeShade="BF"/>
          <w:sz w:val="22"/>
          <w:szCs w:val="22"/>
          <w:lang w:val="en-GB"/>
        </w:rPr>
        <w:t>Article 3(1) EIR Recast.</w:t>
      </w:r>
    </w:p>
    <w:p w14:paraId="2B66495E" w14:textId="0D6C6A7B" w:rsidR="004A3647" w:rsidRDefault="004A3647" w:rsidP="00CF421A">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Secondary </w:t>
      </w:r>
      <w:r w:rsidR="00F55B87">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 xml:space="preserve">nsolvency </w:t>
      </w:r>
      <w:r w:rsidR="00F55B87">
        <w:rPr>
          <w:rFonts w:ascii="Avenir Next" w:hAnsi="Avenir Next" w:cs="Arial"/>
          <w:color w:val="7B7B7B" w:themeColor="accent3" w:themeShade="BF"/>
          <w:sz w:val="22"/>
          <w:szCs w:val="22"/>
          <w:lang w:val="en-GB"/>
        </w:rPr>
        <w:t>p</w:t>
      </w:r>
      <w:r>
        <w:rPr>
          <w:rFonts w:ascii="Avenir Next" w:hAnsi="Avenir Next" w:cs="Arial"/>
          <w:color w:val="7B7B7B" w:themeColor="accent3" w:themeShade="BF"/>
          <w:sz w:val="22"/>
          <w:szCs w:val="22"/>
          <w:lang w:val="en-GB"/>
        </w:rPr>
        <w:t xml:space="preserve">roceedings and </w:t>
      </w:r>
      <w:r w:rsidR="00F55B87">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stablishment</w:t>
      </w:r>
      <w:r w:rsidR="00317BF8">
        <w:rPr>
          <w:rFonts w:ascii="Avenir Next" w:hAnsi="Avenir Next" w:cs="Arial"/>
          <w:color w:val="7B7B7B" w:themeColor="accent3" w:themeShade="BF"/>
          <w:sz w:val="22"/>
          <w:szCs w:val="22"/>
          <w:lang w:val="en-GB"/>
        </w:rPr>
        <w:t>- Article 3(2) EIR Recast.</w:t>
      </w:r>
    </w:p>
    <w:p w14:paraId="5BA54E5C" w14:textId="680A833A" w:rsidR="00317BF8" w:rsidRPr="00CF421A" w:rsidRDefault="00317BF8" w:rsidP="00CF421A">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Actions falling under </w:t>
      </w:r>
      <w:r w:rsidR="00F55B87">
        <w:rPr>
          <w:rFonts w:ascii="Avenir Next" w:hAnsi="Avenir Next" w:cs="Arial"/>
          <w:color w:val="7B7B7B" w:themeColor="accent3" w:themeShade="BF"/>
          <w:sz w:val="22"/>
          <w:szCs w:val="22"/>
          <w:lang w:val="en-GB"/>
        </w:rPr>
        <w:t>j</w:t>
      </w:r>
      <w:r>
        <w:rPr>
          <w:rFonts w:ascii="Avenir Next" w:hAnsi="Avenir Next" w:cs="Arial"/>
          <w:color w:val="7B7B7B" w:themeColor="accent3" w:themeShade="BF"/>
          <w:sz w:val="22"/>
          <w:szCs w:val="22"/>
          <w:lang w:val="en-GB"/>
        </w:rPr>
        <w:t>uri</w:t>
      </w:r>
      <w:r w:rsidR="00F55B87">
        <w:rPr>
          <w:rFonts w:ascii="Avenir Next" w:hAnsi="Avenir Next" w:cs="Arial"/>
          <w:color w:val="7B7B7B" w:themeColor="accent3" w:themeShade="BF"/>
          <w:sz w:val="22"/>
          <w:szCs w:val="22"/>
          <w:lang w:val="en-GB"/>
        </w:rPr>
        <w:t>sdiction of court</w:t>
      </w:r>
      <w:r w:rsidR="00A10D55">
        <w:rPr>
          <w:rFonts w:ascii="Avenir Next" w:hAnsi="Avenir Next" w:cs="Arial"/>
          <w:color w:val="7B7B7B" w:themeColor="accent3" w:themeShade="BF"/>
          <w:sz w:val="22"/>
          <w:szCs w:val="22"/>
          <w:lang w:val="en-GB"/>
        </w:rPr>
        <w:t>s, related actions- Article 6 EIR Recast.</w:t>
      </w:r>
    </w:p>
    <w:p w14:paraId="16675D5F" w14:textId="76593803" w:rsidR="00636C15" w:rsidRPr="008E3C96" w:rsidRDefault="00636C15" w:rsidP="00636C15">
      <w:pPr>
        <w:ind w:left="720" w:hanging="720"/>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proofErr w:type="gramStart"/>
      <w:r w:rsidR="00C35F52" w:rsidRPr="008E3C96">
        <w:rPr>
          <w:rFonts w:ascii="Avenir Next" w:hAnsi="Avenir Next" w:cs="Arial"/>
          <w:sz w:val="22"/>
          <w:szCs w:val="22"/>
          <w:lang w:val="en-GB"/>
        </w:rPr>
        <w:t>In light of</w:t>
      </w:r>
      <w:proofErr w:type="gramEnd"/>
      <w:r w:rsidR="00C35F52" w:rsidRPr="008E3C96">
        <w:rPr>
          <w:rFonts w:ascii="Avenir Next" w:hAnsi="Avenir Next" w:cs="Arial"/>
          <w:sz w:val="22"/>
          <w:szCs w:val="22"/>
          <w:lang w:val="en-GB"/>
        </w:rPr>
        <w:t xml:space="preserve">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23248EAE" w14:textId="7EF3AC46" w:rsidR="00484BAE" w:rsidRDefault="00484BAE" w:rsidP="005A6BC1">
      <w:pPr>
        <w:jc w:val="both"/>
        <w:rPr>
          <w:rFonts w:ascii="Avenir Next" w:hAnsi="Avenir Next" w:cs="Arial"/>
          <w:color w:val="7B7B7B" w:themeColor="accent3" w:themeShade="BF"/>
          <w:sz w:val="22"/>
          <w:szCs w:val="22"/>
          <w:lang w:val="en-GB"/>
        </w:rPr>
      </w:pPr>
    </w:p>
    <w:p w14:paraId="54188588" w14:textId="77777777" w:rsidR="00D51F6A" w:rsidRDefault="0007634F" w:rsidP="00D51F6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Co-operation and communication within the EIR Recast framework </w:t>
      </w:r>
      <w:r w:rsidR="00A056E5">
        <w:rPr>
          <w:rFonts w:ascii="Avenir Next" w:hAnsi="Avenir Next" w:cs="Arial"/>
          <w:color w:val="7B7B7B" w:themeColor="accent3" w:themeShade="BF"/>
          <w:sz w:val="22"/>
          <w:szCs w:val="22"/>
          <w:lang w:val="en-GB"/>
        </w:rPr>
        <w:t>stems from the general idea of mutual trust and sincere co-operation</w:t>
      </w:r>
      <w:r w:rsidR="006B5AB6">
        <w:rPr>
          <w:rFonts w:ascii="Avenir Next" w:hAnsi="Avenir Next" w:cs="Arial"/>
          <w:color w:val="7B7B7B" w:themeColor="accent3" w:themeShade="BF"/>
          <w:sz w:val="22"/>
          <w:szCs w:val="22"/>
          <w:lang w:val="en-GB"/>
        </w:rPr>
        <w:t>. It certainly makes sense that when there are several proceedings against one debtor, such proceedings should be co-ordinated.</w:t>
      </w:r>
    </w:p>
    <w:p w14:paraId="08C8B470" w14:textId="1B17BAE8" w:rsidR="00D51F6A" w:rsidRDefault="00D51F6A" w:rsidP="00D51F6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EIR Recast </w:t>
      </w:r>
      <w:r w:rsidR="006F6987">
        <w:rPr>
          <w:rFonts w:ascii="Avenir Next" w:hAnsi="Avenir Next" w:cs="Arial"/>
          <w:color w:val="7B7B7B" w:themeColor="accent3" w:themeShade="BF"/>
          <w:sz w:val="22"/>
          <w:szCs w:val="22"/>
          <w:lang w:val="en-GB"/>
        </w:rPr>
        <w:t>introduces</w:t>
      </w:r>
      <w:r>
        <w:rPr>
          <w:rFonts w:ascii="Avenir Next" w:hAnsi="Avenir Next" w:cs="Arial"/>
          <w:color w:val="7B7B7B" w:themeColor="accent3" w:themeShade="BF"/>
          <w:sz w:val="22"/>
          <w:szCs w:val="22"/>
          <w:lang w:val="en-GB"/>
        </w:rPr>
        <w:t xml:space="preserve"> a comprehensive framework </w:t>
      </w:r>
      <w:r w:rsidR="006F6987">
        <w:rPr>
          <w:rFonts w:ascii="Avenir Next" w:hAnsi="Avenir Next" w:cs="Arial"/>
          <w:color w:val="7B7B7B" w:themeColor="accent3" w:themeShade="BF"/>
          <w:sz w:val="22"/>
          <w:szCs w:val="22"/>
          <w:lang w:val="en-GB"/>
        </w:rPr>
        <w:t>for:</w:t>
      </w:r>
    </w:p>
    <w:p w14:paraId="1B0A3ADA" w14:textId="373D9FB6" w:rsidR="006F6987" w:rsidRDefault="006F6987" w:rsidP="006F6987">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Co-operation and communication between insolvency practitioners </w:t>
      </w:r>
      <w:r w:rsidR="00E9681E">
        <w:rPr>
          <w:rFonts w:ascii="Avenir Next" w:hAnsi="Avenir Next" w:cs="Arial"/>
          <w:color w:val="7B7B7B" w:themeColor="accent3" w:themeShade="BF"/>
          <w:sz w:val="22"/>
          <w:szCs w:val="22"/>
          <w:lang w:val="en-GB"/>
        </w:rPr>
        <w:t>(Article 41 EIR Recast),</w:t>
      </w:r>
    </w:p>
    <w:p w14:paraId="5CE0F854" w14:textId="60AABF69" w:rsidR="009054D8" w:rsidRDefault="009054D8" w:rsidP="009054D8">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Co-operation and communication between courts (Article 4</w:t>
      </w:r>
      <w:r>
        <w:rPr>
          <w:rFonts w:ascii="Avenir Next" w:hAnsi="Avenir Next" w:cs="Arial"/>
          <w:color w:val="7B7B7B" w:themeColor="accent3" w:themeShade="BF"/>
          <w:sz w:val="22"/>
          <w:szCs w:val="22"/>
          <w:lang w:val="en-GB"/>
        </w:rPr>
        <w:t>2</w:t>
      </w:r>
      <w:r>
        <w:rPr>
          <w:rFonts w:ascii="Avenir Next" w:hAnsi="Avenir Next" w:cs="Arial"/>
          <w:color w:val="7B7B7B" w:themeColor="accent3" w:themeShade="BF"/>
          <w:sz w:val="22"/>
          <w:szCs w:val="22"/>
          <w:lang w:val="en-GB"/>
        </w:rPr>
        <w:t xml:space="preserve"> EIR Recast),</w:t>
      </w:r>
      <w:r>
        <w:rPr>
          <w:rFonts w:ascii="Avenir Next" w:hAnsi="Avenir Next" w:cs="Arial"/>
          <w:color w:val="7B7B7B" w:themeColor="accent3" w:themeShade="BF"/>
          <w:sz w:val="22"/>
          <w:szCs w:val="22"/>
          <w:lang w:val="en-GB"/>
        </w:rPr>
        <w:t xml:space="preserve"> and</w:t>
      </w:r>
    </w:p>
    <w:p w14:paraId="0FB9F827" w14:textId="30927DDF" w:rsidR="00E9681E" w:rsidRPr="005A6BC1" w:rsidRDefault="009054D8" w:rsidP="005A6BC1">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Co-operation and communication between insolvency practitioners and courts (Article 4</w:t>
      </w:r>
      <w:r w:rsidR="005A6BC1">
        <w:rPr>
          <w:rFonts w:ascii="Avenir Next" w:hAnsi="Avenir Next" w:cs="Arial"/>
          <w:color w:val="7B7B7B" w:themeColor="accent3" w:themeShade="BF"/>
          <w:sz w:val="22"/>
          <w:szCs w:val="22"/>
          <w:lang w:val="en-GB"/>
        </w:rPr>
        <w:t>3</w:t>
      </w:r>
      <w:r>
        <w:rPr>
          <w:rFonts w:ascii="Avenir Next" w:hAnsi="Avenir Next" w:cs="Arial"/>
          <w:color w:val="7B7B7B" w:themeColor="accent3" w:themeShade="BF"/>
          <w:sz w:val="22"/>
          <w:szCs w:val="22"/>
          <w:lang w:val="en-GB"/>
        </w:rPr>
        <w:t xml:space="preserve"> EIR Recast),</w:t>
      </w:r>
    </w:p>
    <w:p w14:paraId="78DB9FD8" w14:textId="0247FF86" w:rsidR="00C72848" w:rsidRPr="008E3C96" w:rsidRDefault="00C72848" w:rsidP="002A37BB">
      <w:pPr>
        <w:ind w:left="720" w:hanging="720"/>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358D00DF" w14:textId="77777777" w:rsidR="00B30712" w:rsidRDefault="009954B2" w:rsidP="002A37BB">
      <w:pPr>
        <w:ind w:left="720" w:hanging="720"/>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p>
    <w:p w14:paraId="7C31033A" w14:textId="4D0A291F" w:rsidR="00B30712" w:rsidRDefault="00B30712" w:rsidP="00B3071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Recast allows </w:t>
      </w:r>
      <w:r w:rsidR="00D0171F">
        <w:rPr>
          <w:rFonts w:ascii="Avenir Next" w:hAnsi="Avenir Next" w:cs="Arial"/>
          <w:color w:val="7B7B7B" w:themeColor="accent3" w:themeShade="BF"/>
          <w:sz w:val="22"/>
          <w:szCs w:val="22"/>
          <w:lang w:val="en-GB"/>
        </w:rPr>
        <w:t xml:space="preserve">for the opening of secondary proceedings, which run in parallel to main insolvency proceedings and </w:t>
      </w:r>
      <w:r w:rsidR="00DB201D">
        <w:rPr>
          <w:rFonts w:ascii="Avenir Next" w:hAnsi="Avenir Next" w:cs="Arial"/>
          <w:color w:val="7B7B7B" w:themeColor="accent3" w:themeShade="BF"/>
          <w:sz w:val="22"/>
          <w:szCs w:val="22"/>
          <w:lang w:val="en-GB"/>
        </w:rPr>
        <w:t xml:space="preserve">produce effects only on assets situated within a state of secondary proceedings (Recital </w:t>
      </w:r>
      <w:r w:rsidR="00EF399C">
        <w:rPr>
          <w:rFonts w:ascii="Avenir Next" w:hAnsi="Avenir Next" w:cs="Arial"/>
          <w:color w:val="7B7B7B" w:themeColor="accent3" w:themeShade="BF"/>
          <w:sz w:val="22"/>
          <w:szCs w:val="22"/>
          <w:lang w:val="en-GB"/>
        </w:rPr>
        <w:t>23).</w:t>
      </w:r>
    </w:p>
    <w:p w14:paraId="7F9F9E29" w14:textId="77777777" w:rsidR="00EB5F27" w:rsidRDefault="00EB5F27" w:rsidP="00B30712">
      <w:pPr>
        <w:jc w:val="both"/>
        <w:rPr>
          <w:rFonts w:ascii="Avenir Next" w:hAnsi="Avenir Next" w:cs="Arial"/>
          <w:color w:val="7B7B7B" w:themeColor="accent3" w:themeShade="BF"/>
          <w:sz w:val="22"/>
          <w:szCs w:val="22"/>
          <w:lang w:val="en-GB"/>
        </w:rPr>
      </w:pPr>
    </w:p>
    <w:p w14:paraId="1D7C6B82" w14:textId="5D5421C0" w:rsidR="00EF399C" w:rsidRDefault="00EF399C" w:rsidP="00B3071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Secondary proceedings, being territorial in nature, protect </w:t>
      </w:r>
      <w:r w:rsidR="00F15C3C">
        <w:rPr>
          <w:rFonts w:ascii="Avenir Next" w:hAnsi="Avenir Next" w:cs="Arial"/>
          <w:color w:val="7B7B7B" w:themeColor="accent3" w:themeShade="BF"/>
          <w:sz w:val="22"/>
          <w:szCs w:val="22"/>
          <w:lang w:val="en-GB"/>
        </w:rPr>
        <w:t xml:space="preserve">the diversity of interests, promote effective </w:t>
      </w:r>
      <w:r w:rsidR="00D11CEB">
        <w:rPr>
          <w:rFonts w:ascii="Avenir Next" w:hAnsi="Avenir Next" w:cs="Arial"/>
          <w:color w:val="7B7B7B" w:themeColor="accent3" w:themeShade="BF"/>
          <w:sz w:val="22"/>
          <w:szCs w:val="22"/>
          <w:lang w:val="en-GB"/>
        </w:rPr>
        <w:t xml:space="preserve">administration of complex insolvency </w:t>
      </w:r>
      <w:proofErr w:type="gramStart"/>
      <w:r w:rsidR="00D11CEB">
        <w:rPr>
          <w:rFonts w:ascii="Avenir Next" w:hAnsi="Avenir Next" w:cs="Arial"/>
          <w:color w:val="7B7B7B" w:themeColor="accent3" w:themeShade="BF"/>
          <w:sz w:val="22"/>
          <w:szCs w:val="22"/>
          <w:lang w:val="en-GB"/>
        </w:rPr>
        <w:t>estates</w:t>
      </w:r>
      <w:proofErr w:type="gramEnd"/>
      <w:r w:rsidR="00D11CEB">
        <w:rPr>
          <w:rFonts w:ascii="Avenir Next" w:hAnsi="Avenir Next" w:cs="Arial"/>
          <w:color w:val="7B7B7B" w:themeColor="accent3" w:themeShade="BF"/>
          <w:sz w:val="22"/>
          <w:szCs w:val="22"/>
          <w:lang w:val="en-GB"/>
        </w:rPr>
        <w:t xml:space="preserve"> and </w:t>
      </w:r>
      <w:r w:rsidR="00A04DAC">
        <w:rPr>
          <w:rFonts w:ascii="Avenir Next" w:hAnsi="Avenir Next" w:cs="Arial"/>
          <w:color w:val="7B7B7B" w:themeColor="accent3" w:themeShade="BF"/>
          <w:sz w:val="22"/>
          <w:szCs w:val="22"/>
          <w:lang w:val="en-GB"/>
        </w:rPr>
        <w:t>mitigate difficulties arising from divergent national laws</w:t>
      </w:r>
      <w:r w:rsidR="00DC5EDF">
        <w:rPr>
          <w:rFonts w:ascii="Avenir Next" w:hAnsi="Avenir Next" w:cs="Arial"/>
          <w:color w:val="7B7B7B" w:themeColor="accent3" w:themeShade="BF"/>
          <w:sz w:val="22"/>
          <w:szCs w:val="22"/>
          <w:lang w:val="en-GB"/>
        </w:rPr>
        <w:t xml:space="preserve"> (Recital 40).</w:t>
      </w:r>
    </w:p>
    <w:p w14:paraId="3431AA36" w14:textId="77777777" w:rsidR="00EB5F27" w:rsidRDefault="00EB5F27" w:rsidP="00B30712">
      <w:pPr>
        <w:jc w:val="both"/>
        <w:rPr>
          <w:rFonts w:ascii="Avenir Next" w:hAnsi="Avenir Next" w:cs="Arial"/>
          <w:color w:val="7B7B7B" w:themeColor="accent3" w:themeShade="BF"/>
          <w:sz w:val="22"/>
          <w:szCs w:val="22"/>
          <w:lang w:val="en-GB"/>
        </w:rPr>
      </w:pPr>
    </w:p>
    <w:p w14:paraId="28B9A8BC" w14:textId="29837BD0" w:rsidR="00DC5EDF" w:rsidRDefault="00DC5EDF" w:rsidP="00B3071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the prevention of secondary proceedings</w:t>
      </w:r>
      <w:r w:rsidR="00E742B6">
        <w:rPr>
          <w:rFonts w:ascii="Avenir Next" w:hAnsi="Avenir Next" w:cs="Arial"/>
          <w:color w:val="7B7B7B" w:themeColor="accent3" w:themeShade="BF"/>
          <w:sz w:val="22"/>
          <w:szCs w:val="22"/>
          <w:lang w:val="en-GB"/>
        </w:rPr>
        <w:t xml:space="preserve">, the EIR Recast contains </w:t>
      </w:r>
      <w:proofErr w:type="gramStart"/>
      <w:r w:rsidR="00E742B6">
        <w:rPr>
          <w:rFonts w:ascii="Avenir Next" w:hAnsi="Avenir Next" w:cs="Arial"/>
          <w:color w:val="7B7B7B" w:themeColor="accent3" w:themeShade="BF"/>
          <w:sz w:val="22"/>
          <w:szCs w:val="22"/>
          <w:lang w:val="en-GB"/>
        </w:rPr>
        <w:t>a number of</w:t>
      </w:r>
      <w:proofErr w:type="gramEnd"/>
      <w:r w:rsidR="00E742B6">
        <w:rPr>
          <w:rFonts w:ascii="Avenir Next" w:hAnsi="Avenir Next" w:cs="Arial"/>
          <w:color w:val="7B7B7B" w:themeColor="accent3" w:themeShade="BF"/>
          <w:sz w:val="22"/>
          <w:szCs w:val="22"/>
          <w:lang w:val="en-GB"/>
        </w:rPr>
        <w:t xml:space="preserve"> options to avoid the opening of secondary insolvency </w:t>
      </w:r>
      <w:r w:rsidR="00224CF7">
        <w:rPr>
          <w:rFonts w:ascii="Avenir Next" w:hAnsi="Avenir Next" w:cs="Arial"/>
          <w:color w:val="7B7B7B" w:themeColor="accent3" w:themeShade="BF"/>
          <w:sz w:val="22"/>
          <w:szCs w:val="22"/>
          <w:lang w:val="en-GB"/>
        </w:rPr>
        <w:t xml:space="preserve">proceedings, </w:t>
      </w:r>
      <w:r w:rsidR="0057717D">
        <w:rPr>
          <w:rFonts w:ascii="Avenir Next" w:hAnsi="Avenir Next" w:cs="Arial"/>
          <w:color w:val="7B7B7B" w:themeColor="accent3" w:themeShade="BF"/>
          <w:sz w:val="22"/>
          <w:szCs w:val="22"/>
          <w:lang w:val="en-GB"/>
        </w:rPr>
        <w:t>two examples</w:t>
      </w:r>
      <w:r w:rsidR="00224CF7">
        <w:rPr>
          <w:rFonts w:ascii="Avenir Next" w:hAnsi="Avenir Next" w:cs="Arial"/>
          <w:color w:val="7B7B7B" w:themeColor="accent3" w:themeShade="BF"/>
          <w:sz w:val="22"/>
          <w:szCs w:val="22"/>
          <w:lang w:val="en-GB"/>
        </w:rPr>
        <w:t xml:space="preserve"> are listed below:</w:t>
      </w:r>
    </w:p>
    <w:p w14:paraId="1BDF72E4" w14:textId="7BFA81D9" w:rsidR="00224CF7" w:rsidRDefault="0057717D" w:rsidP="00224CF7">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right to give an undertaking (“sy</w:t>
      </w:r>
      <w:r w:rsidR="00BB5CBB">
        <w:rPr>
          <w:rFonts w:ascii="Avenir Next" w:hAnsi="Avenir Next" w:cs="Arial"/>
          <w:color w:val="7B7B7B" w:themeColor="accent3" w:themeShade="BF"/>
          <w:sz w:val="22"/>
          <w:szCs w:val="22"/>
          <w:lang w:val="en-GB"/>
        </w:rPr>
        <w:t>nthetic” secondary proceedings):</w:t>
      </w:r>
    </w:p>
    <w:p w14:paraId="07C927A9" w14:textId="744DD827" w:rsidR="00BB5CBB" w:rsidRDefault="00F03D60" w:rsidP="00BB5CBB">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Article 38(2) EIR Recast, where the insolvency </w:t>
      </w:r>
      <w:r w:rsidR="00614A01">
        <w:rPr>
          <w:rFonts w:ascii="Avenir Next" w:hAnsi="Avenir Next" w:cs="Arial"/>
          <w:color w:val="7B7B7B" w:themeColor="accent3" w:themeShade="BF"/>
          <w:sz w:val="22"/>
          <w:szCs w:val="22"/>
          <w:lang w:val="en-GB"/>
        </w:rPr>
        <w:t xml:space="preserve">practitioner in the main insolvency proceedings has given an undertaking in accordance </w:t>
      </w:r>
      <w:r w:rsidR="000F668E">
        <w:rPr>
          <w:rFonts w:ascii="Avenir Next" w:hAnsi="Avenir Next" w:cs="Arial"/>
          <w:color w:val="7B7B7B" w:themeColor="accent3" w:themeShade="BF"/>
          <w:sz w:val="22"/>
          <w:szCs w:val="22"/>
          <w:lang w:val="en-GB"/>
        </w:rPr>
        <w:t>with Article 36, the court asked to open secondary proceedings should not, at the request of the insolvency practitioner</w:t>
      </w:r>
      <w:r w:rsidR="00564E56">
        <w:rPr>
          <w:rFonts w:ascii="Avenir Next" w:hAnsi="Avenir Next" w:cs="Arial"/>
          <w:color w:val="7B7B7B" w:themeColor="accent3" w:themeShade="BF"/>
          <w:sz w:val="22"/>
          <w:szCs w:val="22"/>
          <w:lang w:val="en-GB"/>
        </w:rPr>
        <w:t xml:space="preserve">, open them if it is satisfied that the undertaking adequately protects </w:t>
      </w:r>
      <w:r w:rsidR="00EB5F27">
        <w:rPr>
          <w:rFonts w:ascii="Avenir Next" w:hAnsi="Avenir Next" w:cs="Arial"/>
          <w:color w:val="7B7B7B" w:themeColor="accent3" w:themeShade="BF"/>
          <w:sz w:val="22"/>
          <w:szCs w:val="22"/>
          <w:lang w:val="en-GB"/>
        </w:rPr>
        <w:t>the general interests of local creditor.</w:t>
      </w:r>
    </w:p>
    <w:p w14:paraId="2BBD1F2A" w14:textId="77777777" w:rsidR="00EB5F27" w:rsidRDefault="00EB5F27" w:rsidP="00BB5CBB">
      <w:pPr>
        <w:pStyle w:val="ListParagraph"/>
        <w:jc w:val="both"/>
        <w:rPr>
          <w:rFonts w:ascii="Avenir Next" w:hAnsi="Avenir Next" w:cs="Arial"/>
          <w:color w:val="7B7B7B" w:themeColor="accent3" w:themeShade="BF"/>
          <w:sz w:val="22"/>
          <w:szCs w:val="22"/>
          <w:lang w:val="en-GB"/>
        </w:rPr>
      </w:pPr>
    </w:p>
    <w:p w14:paraId="43D1A9FC" w14:textId="35498ACE" w:rsidR="00BB5CBB" w:rsidRDefault="007516A0" w:rsidP="00224CF7">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stay of the opening of secondary insolvency proceedings:</w:t>
      </w:r>
    </w:p>
    <w:p w14:paraId="0F486CE7" w14:textId="12EF2F0D" w:rsidR="007516A0" w:rsidRPr="00224CF7" w:rsidRDefault="007516A0" w:rsidP="007516A0">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Opening a secondary proceeding</w:t>
      </w:r>
      <w:r w:rsidR="00257C52">
        <w:rPr>
          <w:rFonts w:ascii="Avenir Next" w:hAnsi="Avenir Next" w:cs="Arial"/>
          <w:color w:val="7B7B7B" w:themeColor="accent3" w:themeShade="BF"/>
          <w:sz w:val="22"/>
          <w:szCs w:val="22"/>
          <w:lang w:val="en-GB"/>
        </w:rPr>
        <w:t xml:space="preserve"> may frustrate the process of negotiations and undermine business </w:t>
      </w:r>
      <w:r w:rsidR="005B2392">
        <w:rPr>
          <w:rFonts w:ascii="Avenir Next" w:hAnsi="Avenir Next" w:cs="Arial"/>
          <w:color w:val="7B7B7B" w:themeColor="accent3" w:themeShade="BF"/>
          <w:sz w:val="22"/>
          <w:szCs w:val="22"/>
          <w:lang w:val="en-GB"/>
        </w:rPr>
        <w:t xml:space="preserve">rescue. To prevent this from happening, the EIR Recast provides for </w:t>
      </w:r>
      <w:r w:rsidR="000A68F9">
        <w:rPr>
          <w:rFonts w:ascii="Avenir Next" w:hAnsi="Avenir Next" w:cs="Arial"/>
          <w:color w:val="7B7B7B" w:themeColor="accent3" w:themeShade="BF"/>
          <w:sz w:val="22"/>
          <w:szCs w:val="22"/>
          <w:lang w:val="en-GB"/>
        </w:rPr>
        <w:t xml:space="preserve">the possibility for the court to </w:t>
      </w:r>
      <w:r w:rsidR="00A2764C">
        <w:rPr>
          <w:rFonts w:ascii="Avenir Next" w:hAnsi="Avenir Next" w:cs="Arial"/>
          <w:color w:val="7B7B7B" w:themeColor="accent3" w:themeShade="BF"/>
          <w:sz w:val="22"/>
          <w:szCs w:val="22"/>
          <w:lang w:val="en-GB"/>
        </w:rPr>
        <w:t xml:space="preserve">temporarily stay the opening of secondary proceedings, when a temporary stay </w:t>
      </w:r>
      <w:r w:rsidR="00507C0C">
        <w:rPr>
          <w:rFonts w:ascii="Avenir Next" w:hAnsi="Avenir Next" w:cs="Arial"/>
          <w:color w:val="7B7B7B" w:themeColor="accent3" w:themeShade="BF"/>
          <w:sz w:val="22"/>
          <w:szCs w:val="22"/>
          <w:lang w:val="en-GB"/>
        </w:rPr>
        <w:t xml:space="preserve">of individual enforcement proceedings has been granted in the main insolvency </w:t>
      </w:r>
      <w:r w:rsidR="00625F22">
        <w:rPr>
          <w:rFonts w:ascii="Avenir Next" w:hAnsi="Avenir Next" w:cs="Arial"/>
          <w:color w:val="7B7B7B" w:themeColor="accent3" w:themeShade="BF"/>
          <w:sz w:val="22"/>
          <w:szCs w:val="22"/>
          <w:lang w:val="en-GB"/>
        </w:rPr>
        <w:t xml:space="preserve">proceedings. The stay of the opening of secondary proceeding </w:t>
      </w:r>
      <w:r w:rsidR="006D0DA0">
        <w:rPr>
          <w:rFonts w:ascii="Avenir Next" w:hAnsi="Avenir Next" w:cs="Arial"/>
          <w:color w:val="7B7B7B" w:themeColor="accent3" w:themeShade="BF"/>
          <w:sz w:val="22"/>
          <w:szCs w:val="22"/>
          <w:lang w:val="en-GB"/>
        </w:rPr>
        <w:t xml:space="preserve">therefore preserves the efficiency of the stay granted in the main insolvency proceedings (Recital 45 EIR Recast). Such </w:t>
      </w:r>
      <w:r w:rsidR="00C5021E">
        <w:rPr>
          <w:rFonts w:ascii="Avenir Next" w:hAnsi="Avenir Next" w:cs="Arial"/>
          <w:color w:val="7B7B7B" w:themeColor="accent3" w:themeShade="BF"/>
          <w:sz w:val="22"/>
          <w:szCs w:val="22"/>
          <w:lang w:val="en-GB"/>
        </w:rPr>
        <w:t>stay requires a request from the insolvency practitioner or the debtor in po</w:t>
      </w:r>
      <w:r w:rsidR="000600BD">
        <w:rPr>
          <w:rFonts w:ascii="Avenir Next" w:hAnsi="Avenir Next" w:cs="Arial"/>
          <w:color w:val="7B7B7B" w:themeColor="accent3" w:themeShade="BF"/>
          <w:sz w:val="22"/>
          <w:szCs w:val="22"/>
          <w:lang w:val="en-GB"/>
        </w:rPr>
        <w:t>ssession (Article 38(3) EIR Recast).</w:t>
      </w:r>
    </w:p>
    <w:p w14:paraId="296A8396" w14:textId="266F0372" w:rsidR="009954B2" w:rsidRPr="008E3C96" w:rsidRDefault="009954B2" w:rsidP="002A37BB">
      <w:pPr>
        <w:ind w:left="720" w:hanging="720"/>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Default="00390B57" w:rsidP="002A37BB">
      <w:pPr>
        <w:jc w:val="both"/>
        <w:rPr>
          <w:rFonts w:ascii="Avenir Next" w:hAnsi="Avenir Next" w:cs="Arial"/>
          <w:sz w:val="22"/>
          <w:szCs w:val="22"/>
          <w:lang w:val="en-GB"/>
        </w:rPr>
      </w:pPr>
    </w:p>
    <w:p w14:paraId="72D1ADD9" w14:textId="77777777" w:rsidR="0000038F" w:rsidRDefault="0000038F" w:rsidP="002A37BB">
      <w:pPr>
        <w:jc w:val="both"/>
        <w:rPr>
          <w:rFonts w:ascii="Avenir Next" w:hAnsi="Avenir Next" w:cs="Arial"/>
          <w:sz w:val="22"/>
          <w:szCs w:val="22"/>
          <w:lang w:val="en-GB"/>
        </w:rPr>
      </w:pPr>
    </w:p>
    <w:p w14:paraId="431F6C0C" w14:textId="77777777" w:rsidR="0000038F" w:rsidRPr="008E3C96" w:rsidRDefault="0000038F"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042D4DAE" w14:textId="229F4080" w:rsidR="00A17FC3" w:rsidRPr="00A17FC3" w:rsidRDefault="00DF75F8" w:rsidP="00617B1D">
      <w:pPr>
        <w:jc w:val="lowKashida"/>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A17FC3" w:rsidRPr="00A17FC3">
        <w:rPr>
          <w:rFonts w:ascii="Avenir Next" w:hAnsi="Avenir Next" w:cs="Arial"/>
          <w:color w:val="7B7B7B" w:themeColor="accent3" w:themeShade="BF"/>
          <w:sz w:val="22"/>
          <w:szCs w:val="22"/>
          <w:lang w:val="en-GB"/>
        </w:rPr>
        <w:t>The EIR 2000 (European Insolvency Regulation) was revised in 2015, and during this reform process, the European Commission identified several main elements that needed revision within the framework of the Regulation. These elements included:</w:t>
      </w:r>
    </w:p>
    <w:p w14:paraId="5909C874" w14:textId="77777777" w:rsidR="00A17FC3" w:rsidRPr="00A17FC3" w:rsidRDefault="00A17FC3" w:rsidP="00617B1D">
      <w:pPr>
        <w:jc w:val="lowKashida"/>
        <w:rPr>
          <w:rFonts w:ascii="Avenir Next" w:hAnsi="Avenir Next" w:cs="Arial"/>
          <w:color w:val="7B7B7B" w:themeColor="accent3" w:themeShade="BF"/>
          <w:sz w:val="22"/>
          <w:szCs w:val="22"/>
          <w:lang w:val="en-GB"/>
        </w:rPr>
      </w:pPr>
    </w:p>
    <w:p w14:paraId="675BE57A" w14:textId="007D7563" w:rsidR="00A17FC3" w:rsidRPr="00A17FC3" w:rsidRDefault="00A17FC3" w:rsidP="00617B1D">
      <w:pPr>
        <w:pStyle w:val="ListParagraph"/>
        <w:numPr>
          <w:ilvl w:val="0"/>
          <w:numId w:val="31"/>
        </w:numPr>
        <w:jc w:val="lowKashida"/>
        <w:rPr>
          <w:rFonts w:ascii="Avenir Next" w:hAnsi="Avenir Next" w:cs="Arial"/>
          <w:color w:val="7B7B7B" w:themeColor="accent3" w:themeShade="BF"/>
          <w:sz w:val="22"/>
          <w:szCs w:val="22"/>
          <w:lang w:val="en-GB"/>
        </w:rPr>
      </w:pPr>
      <w:r w:rsidRPr="00A17FC3">
        <w:rPr>
          <w:rFonts w:ascii="Avenir Next" w:hAnsi="Avenir Next" w:cs="Arial"/>
          <w:color w:val="7B7B7B" w:themeColor="accent3" w:themeShade="BF"/>
          <w:sz w:val="22"/>
          <w:szCs w:val="22"/>
          <w:lang w:val="en-GB"/>
        </w:rPr>
        <w:t>The scope of the Regulation: The Commission identified that the scope of the EIR 2000 needed to be expanded to cover more insolvency-related matters, such as pre-insolvency proceedings, debtor-in-possession regimes, and hybrid proceedings.</w:t>
      </w:r>
    </w:p>
    <w:p w14:paraId="4B7F6345" w14:textId="77777777" w:rsidR="00A17FC3" w:rsidRPr="00A17FC3" w:rsidRDefault="00A17FC3" w:rsidP="00617B1D">
      <w:pPr>
        <w:jc w:val="lowKashida"/>
        <w:rPr>
          <w:rFonts w:ascii="Avenir Next" w:hAnsi="Avenir Next" w:cs="Arial"/>
          <w:color w:val="7B7B7B" w:themeColor="accent3" w:themeShade="BF"/>
          <w:sz w:val="22"/>
          <w:szCs w:val="22"/>
          <w:lang w:val="en-GB"/>
        </w:rPr>
      </w:pPr>
    </w:p>
    <w:p w14:paraId="711021C2" w14:textId="77777777" w:rsidR="00A17FC3" w:rsidRPr="00A17FC3" w:rsidRDefault="00A17FC3" w:rsidP="00617B1D">
      <w:pPr>
        <w:pStyle w:val="ListParagraph"/>
        <w:numPr>
          <w:ilvl w:val="0"/>
          <w:numId w:val="31"/>
        </w:numPr>
        <w:jc w:val="lowKashida"/>
        <w:rPr>
          <w:rFonts w:ascii="Avenir Next" w:hAnsi="Avenir Next" w:cs="Arial"/>
          <w:color w:val="7B7B7B" w:themeColor="accent3" w:themeShade="BF"/>
          <w:sz w:val="22"/>
          <w:szCs w:val="22"/>
          <w:lang w:val="en-GB"/>
        </w:rPr>
      </w:pPr>
      <w:r w:rsidRPr="00A17FC3">
        <w:rPr>
          <w:rFonts w:ascii="Avenir Next" w:hAnsi="Avenir Next" w:cs="Arial"/>
          <w:color w:val="7B7B7B" w:themeColor="accent3" w:themeShade="BF"/>
          <w:sz w:val="22"/>
          <w:szCs w:val="22"/>
          <w:lang w:val="en-GB"/>
        </w:rPr>
        <w:t>Coordination between insolvency proceedings: The Commission noted that there were gaps and inconsistencies in the coordination between insolvency proceedings in different Member States, which needed to be addressed. The revised EIR 2015 introduced several new provisions to improve coordination, such as the obligation to appoint a coordinator in multi-state proceedings.</w:t>
      </w:r>
    </w:p>
    <w:p w14:paraId="12EC0B90" w14:textId="77777777" w:rsidR="00A17FC3" w:rsidRPr="00A17FC3" w:rsidRDefault="00A17FC3" w:rsidP="00617B1D">
      <w:pPr>
        <w:jc w:val="lowKashida"/>
        <w:rPr>
          <w:rFonts w:ascii="Avenir Next" w:hAnsi="Avenir Next" w:cs="Arial"/>
          <w:color w:val="7B7B7B" w:themeColor="accent3" w:themeShade="BF"/>
          <w:sz w:val="22"/>
          <w:szCs w:val="22"/>
          <w:lang w:val="en-GB"/>
        </w:rPr>
      </w:pPr>
    </w:p>
    <w:p w14:paraId="04843F00" w14:textId="77777777" w:rsidR="00A17FC3" w:rsidRPr="00A17FC3" w:rsidRDefault="00A17FC3" w:rsidP="00617B1D">
      <w:pPr>
        <w:pStyle w:val="ListParagraph"/>
        <w:numPr>
          <w:ilvl w:val="0"/>
          <w:numId w:val="31"/>
        </w:numPr>
        <w:jc w:val="lowKashida"/>
        <w:rPr>
          <w:rFonts w:ascii="Avenir Next" w:hAnsi="Avenir Next" w:cs="Arial"/>
          <w:color w:val="7B7B7B" w:themeColor="accent3" w:themeShade="BF"/>
          <w:sz w:val="22"/>
          <w:szCs w:val="22"/>
          <w:lang w:val="en-GB"/>
        </w:rPr>
      </w:pPr>
      <w:r w:rsidRPr="00A17FC3">
        <w:rPr>
          <w:rFonts w:ascii="Avenir Next" w:hAnsi="Avenir Next" w:cs="Arial"/>
          <w:color w:val="7B7B7B" w:themeColor="accent3" w:themeShade="BF"/>
          <w:sz w:val="22"/>
          <w:szCs w:val="22"/>
          <w:lang w:val="en-GB"/>
        </w:rPr>
        <w:t>Recognition of insolvency proceedings: The Commission identified that the recognition of insolvency proceedings between Member States needed to be improved, particularly in cases where there were conflicting judgments. The revised EIR 2015 introduced new rules to ensure that the courts of the Member State where the main insolvency proceedings were taking place would have priority over other courts.</w:t>
      </w:r>
    </w:p>
    <w:p w14:paraId="60719281" w14:textId="77777777" w:rsidR="00A17FC3" w:rsidRPr="00A17FC3" w:rsidRDefault="00A17FC3" w:rsidP="00617B1D">
      <w:pPr>
        <w:jc w:val="lowKashida"/>
        <w:rPr>
          <w:rFonts w:ascii="Avenir Next" w:hAnsi="Avenir Next" w:cs="Arial"/>
          <w:color w:val="7B7B7B" w:themeColor="accent3" w:themeShade="BF"/>
          <w:sz w:val="22"/>
          <w:szCs w:val="22"/>
          <w:lang w:val="en-GB"/>
        </w:rPr>
      </w:pPr>
    </w:p>
    <w:p w14:paraId="000E3EDA" w14:textId="77777777" w:rsidR="00A17FC3" w:rsidRPr="00A17FC3" w:rsidRDefault="00A17FC3" w:rsidP="00617B1D">
      <w:pPr>
        <w:pStyle w:val="ListParagraph"/>
        <w:numPr>
          <w:ilvl w:val="0"/>
          <w:numId w:val="31"/>
        </w:numPr>
        <w:jc w:val="lowKashida"/>
        <w:rPr>
          <w:rFonts w:ascii="Avenir Next" w:hAnsi="Avenir Next" w:cs="Arial"/>
          <w:color w:val="7B7B7B" w:themeColor="accent3" w:themeShade="BF"/>
          <w:sz w:val="22"/>
          <w:szCs w:val="22"/>
          <w:lang w:val="en-GB"/>
        </w:rPr>
      </w:pPr>
      <w:r w:rsidRPr="00A17FC3">
        <w:rPr>
          <w:rFonts w:ascii="Avenir Next" w:hAnsi="Avenir Next" w:cs="Arial"/>
          <w:color w:val="7B7B7B" w:themeColor="accent3" w:themeShade="BF"/>
          <w:sz w:val="22"/>
          <w:szCs w:val="22"/>
          <w:lang w:val="en-GB"/>
        </w:rPr>
        <w:t>Group insolvency: The Commission recognized that the EIR 2000 did not adequately address the issue of group insolvency, where several companies within a group are experiencing financial difficulties. The revised EIR 2015 introduced new provisions to address group insolvency, such as the possibility for a group coordinator to be appointed.</w:t>
      </w:r>
    </w:p>
    <w:p w14:paraId="3D8DD875" w14:textId="77777777" w:rsidR="00A17FC3" w:rsidRPr="00A17FC3" w:rsidRDefault="00A17FC3" w:rsidP="00617B1D">
      <w:pPr>
        <w:jc w:val="lowKashida"/>
        <w:rPr>
          <w:rFonts w:ascii="Avenir Next" w:hAnsi="Avenir Next" w:cs="Arial"/>
          <w:color w:val="7B7B7B" w:themeColor="accent3" w:themeShade="BF"/>
          <w:sz w:val="22"/>
          <w:szCs w:val="22"/>
          <w:lang w:val="en-GB"/>
        </w:rPr>
      </w:pPr>
    </w:p>
    <w:p w14:paraId="4024A332" w14:textId="2DCFADD9" w:rsidR="00544127" w:rsidRPr="00A17FC3" w:rsidRDefault="00A17FC3" w:rsidP="00617B1D">
      <w:pPr>
        <w:jc w:val="lowKashida"/>
        <w:rPr>
          <w:rFonts w:ascii="Avenir Next" w:hAnsi="Avenir Next" w:cs="Arial"/>
          <w:color w:val="7B7B7B" w:themeColor="accent3" w:themeShade="BF"/>
          <w:sz w:val="22"/>
          <w:szCs w:val="22"/>
          <w:lang w:val="en-GB"/>
        </w:rPr>
      </w:pPr>
      <w:r w:rsidRPr="00A17FC3">
        <w:rPr>
          <w:rFonts w:ascii="Avenir Next" w:hAnsi="Avenir Next" w:cs="Arial"/>
          <w:color w:val="7B7B7B" w:themeColor="accent3" w:themeShade="BF"/>
          <w:sz w:val="22"/>
          <w:szCs w:val="22"/>
          <w:lang w:val="en-GB"/>
        </w:rPr>
        <w:t>Overall, the main aim of the EIR 2015 reform process was to improve the efficiency and effectiveness of cross-border insolvency proceedings within the European Union, and to create a more harmonized framework for dealing with insolvency-related issues.</w:t>
      </w:r>
      <w:r w:rsidR="00DF75F8" w:rsidRPr="008E3C96">
        <w:rPr>
          <w:rFonts w:ascii="Avenir Next" w:hAnsi="Avenir Next" w:cs="Arial"/>
          <w:color w:val="7B7B7B" w:themeColor="accent3" w:themeShade="BF"/>
          <w:sz w:val="22"/>
          <w:szCs w:val="22"/>
          <w:lang w:val="en-GB"/>
        </w:rPr>
        <w:t>]</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51459F60" w14:textId="77777777" w:rsidR="00AA4A5D" w:rsidRPr="00AA4A5D" w:rsidRDefault="00DF75F8" w:rsidP="00A80E25">
      <w:pPr>
        <w:jc w:val="lowKashida"/>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AA4A5D" w:rsidRPr="00AA4A5D">
        <w:rPr>
          <w:rFonts w:ascii="Avenir Next" w:hAnsi="Avenir Next" w:cs="Arial"/>
          <w:color w:val="7B7B7B" w:themeColor="accent3" w:themeShade="BF"/>
          <w:sz w:val="22"/>
          <w:szCs w:val="22"/>
          <w:lang w:val="en-GB"/>
        </w:rPr>
        <w:t>Although the EIR Recast was generally well-received by stakeholders, some critics argued that it fell short in certain areas. Here are two potential flaws or shortcomings of the EIR Recast and some suggestions on how they could be corrected:</w:t>
      </w:r>
    </w:p>
    <w:p w14:paraId="770007E1" w14:textId="77777777" w:rsidR="00AA4A5D" w:rsidRPr="00AA4A5D" w:rsidRDefault="00AA4A5D" w:rsidP="00A80E25">
      <w:pPr>
        <w:jc w:val="lowKashida"/>
        <w:rPr>
          <w:rFonts w:ascii="Avenir Next" w:hAnsi="Avenir Next" w:cs="Arial"/>
          <w:color w:val="7B7B7B" w:themeColor="accent3" w:themeShade="BF"/>
          <w:sz w:val="22"/>
          <w:szCs w:val="22"/>
          <w:lang w:val="en-GB"/>
        </w:rPr>
      </w:pPr>
    </w:p>
    <w:p w14:paraId="573B330E" w14:textId="51E21D4E" w:rsidR="00AA4A5D" w:rsidRPr="00AA4A5D" w:rsidRDefault="00AA4A5D" w:rsidP="00A80E25">
      <w:pPr>
        <w:pStyle w:val="ListParagraph"/>
        <w:numPr>
          <w:ilvl w:val="0"/>
          <w:numId w:val="32"/>
        </w:numPr>
        <w:jc w:val="lowKashida"/>
        <w:rPr>
          <w:rFonts w:ascii="Avenir Next" w:hAnsi="Avenir Next" w:cs="Arial"/>
          <w:color w:val="7B7B7B" w:themeColor="accent3" w:themeShade="BF"/>
          <w:sz w:val="22"/>
          <w:szCs w:val="22"/>
          <w:lang w:val="en-GB"/>
        </w:rPr>
      </w:pPr>
      <w:r w:rsidRPr="00AA4A5D">
        <w:rPr>
          <w:rFonts w:ascii="Avenir Next" w:hAnsi="Avenir Next" w:cs="Arial"/>
          <w:color w:val="7B7B7B" w:themeColor="accent3" w:themeShade="BF"/>
          <w:sz w:val="22"/>
          <w:szCs w:val="22"/>
          <w:lang w:val="en-GB"/>
        </w:rPr>
        <w:t>Lack of harmonization: One criticism of the EIR Recast is that it does not go far enough in harmonizing insolvency laws across EU Member States. While the Recast introduced some new provisions to improve coordination and cooperation between different Member States, it did not create a fully harmonized framework for dealing with insolvency. One potential way to address this shortcoming would be to create a more comprehensive EU-wide insolvency law that provides a unified set of rules for cross-border insolvency.</w:t>
      </w:r>
    </w:p>
    <w:p w14:paraId="152284B8" w14:textId="77777777" w:rsidR="00AA4A5D" w:rsidRPr="00AA4A5D" w:rsidRDefault="00AA4A5D" w:rsidP="00A80E25">
      <w:pPr>
        <w:jc w:val="lowKashida"/>
        <w:rPr>
          <w:rFonts w:ascii="Avenir Next" w:hAnsi="Avenir Next" w:cs="Arial"/>
          <w:color w:val="7B7B7B" w:themeColor="accent3" w:themeShade="BF"/>
          <w:sz w:val="22"/>
          <w:szCs w:val="22"/>
          <w:lang w:val="en-GB"/>
        </w:rPr>
      </w:pPr>
    </w:p>
    <w:p w14:paraId="7A8993BA" w14:textId="77777777" w:rsidR="000C5CA2" w:rsidRDefault="00AA4A5D" w:rsidP="00A80E25">
      <w:pPr>
        <w:pStyle w:val="ListParagraph"/>
        <w:numPr>
          <w:ilvl w:val="0"/>
          <w:numId w:val="32"/>
        </w:numPr>
        <w:jc w:val="lowKashida"/>
        <w:rPr>
          <w:rFonts w:ascii="Avenir Next" w:hAnsi="Avenir Next" w:cs="Arial"/>
          <w:color w:val="7B7B7B" w:themeColor="accent3" w:themeShade="BF"/>
          <w:sz w:val="22"/>
          <w:szCs w:val="22"/>
          <w:lang w:val="en-GB"/>
        </w:rPr>
      </w:pPr>
      <w:r w:rsidRPr="00AA4A5D">
        <w:rPr>
          <w:rFonts w:ascii="Avenir Next" w:hAnsi="Avenir Next" w:cs="Arial"/>
          <w:color w:val="7B7B7B" w:themeColor="accent3" w:themeShade="BF"/>
          <w:sz w:val="22"/>
          <w:szCs w:val="22"/>
          <w:lang w:val="en-GB"/>
        </w:rPr>
        <w:lastRenderedPageBreak/>
        <w:t>Inadequate protection for creditors: Another criticism of the EIR Recast is that it does not provide enough protection for creditors, particularly in cases where a debtor is attempting to use insolvency proceedings to avoid paying their debts. Some critics argue that the Recast does not go far enough in ensuring that creditors have adequate information and are able to participate fully in insolvency proceedings. One potential way to address this shortcoming would be to create new rules that give creditors greater access to information and more opportunities to participate in insolvency proceedings, such as by creating a creditors' committee or providing for more robust reporting requirements for insolvency practitioners.</w:t>
      </w:r>
    </w:p>
    <w:p w14:paraId="0AF5444E" w14:textId="77777777" w:rsidR="000C5CA2" w:rsidRPr="000C5CA2" w:rsidRDefault="000C5CA2" w:rsidP="000C5CA2">
      <w:pPr>
        <w:pStyle w:val="ListParagraph"/>
        <w:rPr>
          <w:rFonts w:ascii="Avenir Next" w:hAnsi="Avenir Next" w:cs="Arial"/>
          <w:color w:val="7B7B7B" w:themeColor="accent3" w:themeShade="BF"/>
          <w:sz w:val="22"/>
          <w:szCs w:val="22"/>
          <w:lang w:val="en-GB"/>
        </w:rPr>
      </w:pPr>
    </w:p>
    <w:p w14:paraId="01265490" w14:textId="5625EB67" w:rsidR="008642D0" w:rsidRPr="0082334A" w:rsidRDefault="00D37CC6" w:rsidP="0082334A">
      <w:pPr>
        <w:pStyle w:val="ListParagraph"/>
        <w:numPr>
          <w:ilvl w:val="0"/>
          <w:numId w:val="32"/>
        </w:numPr>
        <w:jc w:val="lowKashida"/>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8642D0" w:rsidRPr="008642D0">
        <w:rPr>
          <w:rFonts w:ascii="Avenir Next" w:hAnsi="Avenir Next" w:cs="Arial"/>
          <w:color w:val="7B7B7B" w:themeColor="accent3" w:themeShade="BF"/>
          <w:sz w:val="22"/>
          <w:szCs w:val="22"/>
          <w:lang w:val="en-GB"/>
        </w:rPr>
        <w:t>he co-ordination of insolvency proceedings of members of a group of companies</w:t>
      </w:r>
      <w:r>
        <w:rPr>
          <w:rFonts w:ascii="Avenir Next" w:hAnsi="Avenir Next" w:cs="Arial"/>
          <w:color w:val="7B7B7B" w:themeColor="accent3" w:themeShade="BF"/>
          <w:sz w:val="22"/>
          <w:szCs w:val="22"/>
          <w:lang w:val="en-GB"/>
        </w:rPr>
        <w:t xml:space="preserve">: </w:t>
      </w:r>
      <w:r w:rsidR="008642D0" w:rsidRPr="008642D0">
        <w:rPr>
          <w:rFonts w:ascii="Avenir Next" w:hAnsi="Avenir Next" w:cs="Arial"/>
          <w:color w:val="7B7B7B" w:themeColor="accent3" w:themeShade="BF"/>
          <w:sz w:val="22"/>
          <w:szCs w:val="22"/>
          <w:lang w:val="en-GB"/>
        </w:rPr>
        <w:t>the EIR Recast introduces procedural rules on the co-ordination of the insolvency proceedings of members of an enterprise group. Such rules strive to ensure the efficiency of the co-ordination, whilst at the same time respecting each group member's separate legal personality (Recital 54 EIR Recast).</w:t>
      </w:r>
      <w:r w:rsidR="0082334A">
        <w:rPr>
          <w:rFonts w:ascii="Avenir Next" w:hAnsi="Avenir Next" w:cs="Arial"/>
          <w:color w:val="7B7B7B" w:themeColor="accent3" w:themeShade="BF"/>
          <w:sz w:val="22"/>
          <w:szCs w:val="22"/>
          <w:lang w:val="en-GB"/>
        </w:rPr>
        <w:t xml:space="preserve"> </w:t>
      </w:r>
      <w:proofErr w:type="gramStart"/>
      <w:r w:rsidR="008642D0" w:rsidRPr="0082334A">
        <w:rPr>
          <w:rFonts w:ascii="Avenir Next" w:hAnsi="Avenir Next" w:cs="Arial"/>
          <w:color w:val="7B7B7B" w:themeColor="accent3" w:themeShade="BF"/>
          <w:sz w:val="22"/>
          <w:szCs w:val="22"/>
          <w:lang w:val="en-GB"/>
        </w:rPr>
        <w:t>This latter requirement,</w:t>
      </w:r>
      <w:proofErr w:type="gramEnd"/>
      <w:r w:rsidR="008642D0" w:rsidRPr="0082334A">
        <w:rPr>
          <w:rFonts w:ascii="Avenir Next" w:hAnsi="Avenir Next" w:cs="Arial"/>
          <w:color w:val="7B7B7B" w:themeColor="accent3" w:themeShade="BF"/>
          <w:sz w:val="22"/>
          <w:szCs w:val="22"/>
          <w:lang w:val="en-GB"/>
        </w:rPr>
        <w:t xml:space="preserve"> has led to a rather modest result. </w:t>
      </w:r>
    </w:p>
    <w:p w14:paraId="1E853AA5" w14:textId="1E6C3E2B" w:rsidR="008642D0" w:rsidRDefault="0082334A" w:rsidP="0082334A">
      <w:pPr>
        <w:pStyle w:val="ListParagraph"/>
        <w:jc w:val="lowKashida"/>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8642D0" w:rsidRPr="008642D0">
        <w:rPr>
          <w:rFonts w:ascii="Avenir Next" w:hAnsi="Avenir Next" w:cs="Arial"/>
          <w:color w:val="7B7B7B" w:themeColor="accent3" w:themeShade="BF"/>
          <w:sz w:val="22"/>
          <w:szCs w:val="22"/>
          <w:lang w:val="en-GB"/>
        </w:rPr>
        <w:t xml:space="preserve">he EIR Recast does not sanction substantive, </w:t>
      </w:r>
      <w:proofErr w:type="gramStart"/>
      <w:r w:rsidR="008642D0" w:rsidRPr="008642D0">
        <w:rPr>
          <w:rFonts w:ascii="Avenir Next" w:hAnsi="Avenir Next" w:cs="Arial"/>
          <w:color w:val="7B7B7B" w:themeColor="accent3" w:themeShade="BF"/>
          <w:sz w:val="22"/>
          <w:szCs w:val="22"/>
          <w:lang w:val="en-GB"/>
        </w:rPr>
        <w:t>procedural</w:t>
      </w:r>
      <w:proofErr w:type="gramEnd"/>
      <w:r w:rsidR="008642D0" w:rsidRPr="008642D0">
        <w:rPr>
          <w:rFonts w:ascii="Avenir Next" w:hAnsi="Avenir Next" w:cs="Arial"/>
          <w:color w:val="7B7B7B" w:themeColor="accent3" w:themeShade="BF"/>
          <w:sz w:val="22"/>
          <w:szCs w:val="22"/>
          <w:lang w:val="en-GB"/>
        </w:rPr>
        <w:t xml:space="preserve"> or even jurisdictional</w:t>
      </w:r>
      <w:r>
        <w:rPr>
          <w:rFonts w:ascii="Avenir Next" w:hAnsi="Avenir Next" w:cs="Arial"/>
          <w:color w:val="7B7B7B" w:themeColor="accent3" w:themeShade="BF"/>
          <w:sz w:val="22"/>
          <w:szCs w:val="22"/>
          <w:lang w:val="en-GB"/>
        </w:rPr>
        <w:t xml:space="preserve"> </w:t>
      </w:r>
      <w:r w:rsidR="008642D0" w:rsidRPr="008642D0">
        <w:rPr>
          <w:rFonts w:ascii="Avenir Next" w:hAnsi="Avenir Next" w:cs="Arial"/>
          <w:color w:val="7B7B7B" w:themeColor="accent3" w:themeShade="BF"/>
          <w:sz w:val="22"/>
          <w:szCs w:val="22"/>
          <w:lang w:val="en-GB"/>
        </w:rPr>
        <w:t xml:space="preserve">consolidation. Instead, it offers a co-ordination mechanism called the "group co-ordination proceeding". Therefore, nothing structural for groups themselves. It is important to note that group co-ordination proceedings are voluntary in nature (for the member of the group to be included in group co-ordinating proceedings). In addition, these proceedings lead to </w:t>
      </w:r>
      <w:proofErr w:type="spellStart"/>
      <w:r w:rsidR="008642D0" w:rsidRPr="008642D0">
        <w:rPr>
          <w:rFonts w:ascii="Avenir Next" w:hAnsi="Avenir Next" w:cs="Arial"/>
          <w:color w:val="7B7B7B" w:themeColor="accent3" w:themeShade="BF"/>
          <w:sz w:val="22"/>
          <w:szCs w:val="22"/>
          <w:lang w:val="en-GB"/>
        </w:rPr>
        <w:t>non</w:t>
      </w:r>
      <w:proofErr w:type="spellEnd"/>
      <w:r w:rsidR="008642D0" w:rsidRPr="008642D0">
        <w:rPr>
          <w:rFonts w:ascii="Avenir Next" w:hAnsi="Avenir Next" w:cs="Arial"/>
          <w:color w:val="7B7B7B" w:themeColor="accent3" w:themeShade="BF"/>
          <w:sz w:val="22"/>
          <w:szCs w:val="22"/>
          <w:lang w:val="en-GB"/>
        </w:rPr>
        <w:t xml:space="preserve">­ binding actions (recommendations) of a group coordinator. For these reasons, the new set of rules on group insolvency have had a mixed reception in legal literature, with </w:t>
      </w:r>
      <w:proofErr w:type="gramStart"/>
      <w:r w:rsidR="008642D0" w:rsidRPr="008642D0">
        <w:rPr>
          <w:rFonts w:ascii="Avenir Next" w:hAnsi="Avenir Next" w:cs="Arial"/>
          <w:color w:val="7B7B7B" w:themeColor="accent3" w:themeShade="BF"/>
          <w:sz w:val="22"/>
          <w:szCs w:val="22"/>
          <w:lang w:val="en-GB"/>
        </w:rPr>
        <w:t>the majority of</w:t>
      </w:r>
      <w:proofErr w:type="gramEnd"/>
      <w:r w:rsidR="008642D0" w:rsidRPr="008642D0">
        <w:rPr>
          <w:rFonts w:ascii="Avenir Next" w:hAnsi="Avenir Next" w:cs="Arial"/>
          <w:color w:val="7B7B7B" w:themeColor="accent3" w:themeShade="BF"/>
          <w:sz w:val="22"/>
          <w:szCs w:val="22"/>
          <w:lang w:val="en-GB"/>
        </w:rPr>
        <w:t xml:space="preserve"> authors expressing doubts as to their effectiveness and practical value, as well as to the high costs the group co-ordinating proceedings may bring with them and their complex character.</w:t>
      </w:r>
    </w:p>
    <w:p w14:paraId="07E8FEAA" w14:textId="77777777" w:rsidR="00303A38" w:rsidRPr="008642D0" w:rsidRDefault="00303A38" w:rsidP="0082334A">
      <w:pPr>
        <w:pStyle w:val="ListParagraph"/>
        <w:jc w:val="lowKashida"/>
        <w:rPr>
          <w:rFonts w:ascii="Avenir Next" w:hAnsi="Avenir Next" w:cs="Arial"/>
          <w:color w:val="7B7B7B" w:themeColor="accent3" w:themeShade="BF"/>
          <w:sz w:val="22"/>
          <w:szCs w:val="22"/>
          <w:lang w:val="en-GB"/>
        </w:rPr>
      </w:pPr>
    </w:p>
    <w:p w14:paraId="38F397D3" w14:textId="6BDBC5E1" w:rsidR="00303A38" w:rsidRPr="00303A38" w:rsidRDefault="00DC655E" w:rsidP="00303A38">
      <w:pPr>
        <w:pStyle w:val="ListParagraph"/>
        <w:numPr>
          <w:ilvl w:val="0"/>
          <w:numId w:val="32"/>
        </w:numPr>
        <w:jc w:val="lowKashida"/>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w:t>
      </w:r>
      <w:r w:rsidR="00303A38" w:rsidRPr="00303A38">
        <w:rPr>
          <w:rFonts w:ascii="Avenir Next" w:hAnsi="Avenir Next" w:cs="Arial"/>
          <w:color w:val="7B7B7B" w:themeColor="accent3" w:themeShade="BF"/>
          <w:sz w:val="22"/>
          <w:szCs w:val="22"/>
          <w:lang w:val="en-GB"/>
        </w:rPr>
        <w:t>embers located in non-Member States</w:t>
      </w:r>
      <w:r>
        <w:rPr>
          <w:rFonts w:ascii="Avenir Next" w:hAnsi="Avenir Next" w:cs="Arial"/>
          <w:color w:val="7B7B7B" w:themeColor="accent3" w:themeShade="BF"/>
          <w:sz w:val="22"/>
          <w:szCs w:val="22"/>
          <w:lang w:val="en-GB"/>
        </w:rPr>
        <w:t xml:space="preserve">: </w:t>
      </w:r>
      <w:r w:rsidR="00303A38" w:rsidRPr="00303A38">
        <w:rPr>
          <w:rFonts w:ascii="Avenir Next" w:hAnsi="Avenir Next" w:cs="Arial"/>
          <w:color w:val="7B7B7B" w:themeColor="accent3" w:themeShade="BF"/>
          <w:sz w:val="22"/>
          <w:szCs w:val="22"/>
          <w:lang w:val="en-GB"/>
        </w:rPr>
        <w:t xml:space="preserve">the EIR Recast will not bind courts and insolvency practitioners in such </w:t>
      </w:r>
      <w:proofErr w:type="spellStart"/>
      <w:r w:rsidR="00303A38" w:rsidRPr="00303A38">
        <w:rPr>
          <w:rFonts w:ascii="Avenir Next" w:hAnsi="Avenir Next" w:cs="Arial"/>
          <w:color w:val="7B7B7B" w:themeColor="accent3" w:themeShade="BF"/>
          <w:sz w:val="22"/>
          <w:szCs w:val="22"/>
          <w:lang w:val="en-GB"/>
        </w:rPr>
        <w:t>non</w:t>
      </w:r>
      <w:proofErr w:type="spellEnd"/>
      <w:r w:rsidR="00303A38" w:rsidRPr="00303A38">
        <w:rPr>
          <w:rFonts w:ascii="Avenir Next" w:hAnsi="Avenir Next" w:cs="Arial"/>
          <w:color w:val="7B7B7B" w:themeColor="accent3" w:themeShade="BF"/>
          <w:sz w:val="22"/>
          <w:szCs w:val="22"/>
          <w:lang w:val="en-GB"/>
        </w:rPr>
        <w:t xml:space="preserve">­ Member State proceedings and that the latter cannot form part of the group co-ordination proceedings. This, however, should not prevent the possibility of entering into cross-border agreements or protocols. </w:t>
      </w:r>
    </w:p>
    <w:p w14:paraId="741444F4" w14:textId="77777777" w:rsidR="00303A38" w:rsidRPr="00DC655E" w:rsidRDefault="00303A38" w:rsidP="00DC655E">
      <w:pPr>
        <w:pStyle w:val="ListParagraph"/>
        <w:jc w:val="lowKashida"/>
        <w:rPr>
          <w:rFonts w:ascii="Avenir Next" w:hAnsi="Avenir Next" w:cs="Arial"/>
          <w:color w:val="7B7B7B" w:themeColor="accent3" w:themeShade="BF"/>
          <w:sz w:val="22"/>
          <w:szCs w:val="22"/>
          <w:lang w:val="en-GB"/>
        </w:rPr>
      </w:pPr>
      <w:r w:rsidRPr="00DC655E">
        <w:rPr>
          <w:rFonts w:ascii="Avenir Next" w:hAnsi="Avenir Next" w:cs="Arial"/>
          <w:color w:val="7B7B7B" w:themeColor="accent3" w:themeShade="BF"/>
          <w:sz w:val="22"/>
          <w:szCs w:val="22"/>
          <w:lang w:val="en-GB"/>
        </w:rPr>
        <w:t>The opening of a group co-ordination proceeding can be requested by an IP appointed in insolvency proceedings opened in relation to any group member, and before any court presiding over insolvency proceedings of a group member (Recital 55, Article 61 EIR Recast).</w:t>
      </w:r>
    </w:p>
    <w:p w14:paraId="7940D274" w14:textId="571A96E7" w:rsidR="00DF75F8" w:rsidRDefault="00303A38" w:rsidP="00AC4FBD">
      <w:pPr>
        <w:pStyle w:val="ListParagraph"/>
        <w:jc w:val="lowKashida"/>
        <w:rPr>
          <w:rFonts w:ascii="Avenir Next" w:hAnsi="Avenir Next" w:cs="Arial"/>
          <w:color w:val="7B7B7B" w:themeColor="accent3" w:themeShade="BF"/>
          <w:sz w:val="22"/>
          <w:szCs w:val="22"/>
          <w:lang w:val="en-GB"/>
        </w:rPr>
      </w:pPr>
      <w:r w:rsidRPr="00AC4FBD">
        <w:rPr>
          <w:rFonts w:ascii="Avenir Next" w:hAnsi="Avenir Next" w:cs="Arial"/>
          <w:color w:val="7B7B7B" w:themeColor="accent3" w:themeShade="BF"/>
          <w:sz w:val="22"/>
          <w:szCs w:val="22"/>
          <w:lang w:val="en-GB"/>
        </w:rPr>
        <w:t>Two conclusions can be drawn. First, only insolvency practitioners appointed in proceedings against a group member can request the opening of group proceedings. Creditors, including public authorities, are not empowered to do so. Second, group co-ordination proceedings can be initiated in any court presiding over insolvency proceedings (whether main or secondary) against any group member. The EIR Recast does not introduce a concept of a group (or enterprise) COMI and does not otherwise indicate the main court, which is decisive in performing the tasks of co-ordination</w:t>
      </w:r>
      <w:r w:rsidR="00DF75F8" w:rsidRPr="008642D0">
        <w:rPr>
          <w:rFonts w:ascii="Avenir Next" w:hAnsi="Avenir Next" w:cs="Arial"/>
          <w:color w:val="7B7B7B" w:themeColor="accent3" w:themeShade="BF"/>
          <w:sz w:val="22"/>
          <w:szCs w:val="22"/>
          <w:lang w:val="en-GB"/>
        </w:rPr>
        <w:t>]</w:t>
      </w:r>
      <w:r w:rsidR="002A54F1">
        <w:rPr>
          <w:rFonts w:ascii="Avenir Next" w:hAnsi="Avenir Next" w:cs="Arial"/>
          <w:color w:val="7B7B7B" w:themeColor="accent3" w:themeShade="BF"/>
          <w:sz w:val="22"/>
          <w:szCs w:val="22"/>
          <w:lang w:val="en-GB"/>
        </w:rPr>
        <w:t>.</w:t>
      </w:r>
    </w:p>
    <w:p w14:paraId="59ACD414" w14:textId="77777777" w:rsidR="0082334A" w:rsidRPr="008642D0" w:rsidRDefault="0082334A" w:rsidP="008642D0">
      <w:pPr>
        <w:jc w:val="lowKashida"/>
        <w:rPr>
          <w:rFonts w:ascii="Avenir Next" w:hAnsi="Avenir Next" w:cs="Arial"/>
          <w:color w:val="7B7B7B" w:themeColor="accent3" w:themeShade="BF"/>
          <w:sz w:val="22"/>
          <w:szCs w:val="22"/>
          <w:lang w:val="en-GB"/>
        </w:rPr>
      </w:pP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03954045" w14:textId="68F45754" w:rsidR="004813A0" w:rsidRPr="004813A0" w:rsidRDefault="00DF75F8" w:rsidP="004813A0">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lastRenderedPageBreak/>
        <w:t>[</w:t>
      </w:r>
      <w:r w:rsidR="004813A0" w:rsidRPr="004813A0">
        <w:rPr>
          <w:rFonts w:ascii="Avenir Next" w:hAnsi="Avenir Next" w:cs="Arial"/>
          <w:color w:val="7B7B7B" w:themeColor="accent3" w:themeShade="BF"/>
          <w:sz w:val="22"/>
          <w:szCs w:val="22"/>
          <w:lang w:val="en-GB"/>
        </w:rPr>
        <w:t>The European Insolvency Regulation (EIR) and the Directive on Preventive Restructuring Frameworks (DPRF) are two distinct legal instruments that aim to address different aspects of insolvency law in the European Union. Here are two ways in which the EIR and the DPRF differ:</w:t>
      </w:r>
    </w:p>
    <w:p w14:paraId="0FCF52B6" w14:textId="77777777" w:rsidR="004813A0" w:rsidRPr="00E42619" w:rsidRDefault="004813A0" w:rsidP="004813A0">
      <w:pPr>
        <w:rPr>
          <w:color w:val="FF0000"/>
        </w:rPr>
      </w:pPr>
    </w:p>
    <w:p w14:paraId="1FA4DA13" w14:textId="75FC7AD1" w:rsidR="004813A0" w:rsidRPr="004813A0" w:rsidRDefault="004813A0" w:rsidP="004813A0">
      <w:pPr>
        <w:pStyle w:val="ListParagraph"/>
        <w:numPr>
          <w:ilvl w:val="0"/>
          <w:numId w:val="33"/>
        </w:numPr>
        <w:jc w:val="both"/>
        <w:rPr>
          <w:rFonts w:ascii="Avenir Next" w:hAnsi="Avenir Next" w:cs="Arial"/>
          <w:color w:val="7B7B7B" w:themeColor="accent3" w:themeShade="BF"/>
          <w:sz w:val="22"/>
          <w:szCs w:val="22"/>
          <w:lang w:val="en-GB"/>
        </w:rPr>
      </w:pPr>
      <w:r w:rsidRPr="004813A0">
        <w:rPr>
          <w:rFonts w:ascii="Avenir Next" w:hAnsi="Avenir Next" w:cs="Arial"/>
          <w:color w:val="7B7B7B" w:themeColor="accent3" w:themeShade="BF"/>
          <w:sz w:val="22"/>
          <w:szCs w:val="22"/>
          <w:lang w:val="en-GB"/>
        </w:rPr>
        <w:t>Scope: The EIR is primarily concerned with cross-border insolvency proceedings within the EU, while the DPRF is focused on preventive restructuring frameworks for companies that are facing financial difficulties but have not yet entered insolvency. While the EIR deals with the coordination and recognition of insolvency proceedings between Member States, the DPRF aims to provide a common framework for early restructuring of companies to prevent insolvency.</w:t>
      </w:r>
    </w:p>
    <w:p w14:paraId="124EC919" w14:textId="77777777" w:rsidR="004813A0" w:rsidRPr="00E42619" w:rsidRDefault="004813A0" w:rsidP="004813A0">
      <w:pPr>
        <w:rPr>
          <w:color w:val="FF0000"/>
        </w:rPr>
      </w:pPr>
    </w:p>
    <w:p w14:paraId="73856E6A" w14:textId="77777777" w:rsidR="004813A0" w:rsidRPr="004813A0" w:rsidRDefault="004813A0" w:rsidP="004813A0">
      <w:pPr>
        <w:pStyle w:val="ListParagraph"/>
        <w:numPr>
          <w:ilvl w:val="0"/>
          <w:numId w:val="33"/>
        </w:numPr>
        <w:jc w:val="both"/>
        <w:rPr>
          <w:rFonts w:ascii="Avenir Next" w:hAnsi="Avenir Next" w:cs="Arial"/>
          <w:color w:val="7B7B7B" w:themeColor="accent3" w:themeShade="BF"/>
          <w:sz w:val="22"/>
          <w:szCs w:val="22"/>
          <w:lang w:val="en-GB"/>
        </w:rPr>
      </w:pPr>
      <w:r w:rsidRPr="004813A0">
        <w:rPr>
          <w:rFonts w:ascii="Avenir Next" w:hAnsi="Avenir Next" w:cs="Arial"/>
          <w:color w:val="7B7B7B" w:themeColor="accent3" w:themeShade="BF"/>
          <w:sz w:val="22"/>
          <w:szCs w:val="22"/>
          <w:lang w:val="en-GB"/>
        </w:rPr>
        <w:t>Substantive law: As a choice-of-forum instrument, the EIR does not harmonize the substantive insolvency laws of the Member States, but rather provides rules on jurisdiction, applicable law, and the recognition and coordination of insolvency proceedings. In contrast, the DPRF is a substantive law instrument that sets out common principles and procedures for preventive restructuring frameworks across the EU, with the aim of providing companies with a more efficient and effective means of restructuring before they become insolvent. The DPRF establishes minimum standards for preventive restructuring frameworks, such as the involvement of creditors and the need for a court or other independent body to oversee the process.</w:t>
      </w:r>
    </w:p>
    <w:p w14:paraId="60E9CA66" w14:textId="77777777" w:rsidR="004813A0" w:rsidRPr="00E42619" w:rsidRDefault="004813A0" w:rsidP="004813A0">
      <w:pPr>
        <w:rPr>
          <w:color w:val="FF0000"/>
        </w:rPr>
      </w:pPr>
    </w:p>
    <w:p w14:paraId="4E83D7AF" w14:textId="52C13B35" w:rsidR="00DF75F8" w:rsidRPr="004813A0" w:rsidRDefault="004813A0" w:rsidP="004813A0">
      <w:pPr>
        <w:jc w:val="both"/>
        <w:rPr>
          <w:rFonts w:ascii="Avenir Next" w:hAnsi="Avenir Next" w:cs="Arial"/>
          <w:color w:val="7B7B7B" w:themeColor="accent3" w:themeShade="BF"/>
          <w:sz w:val="22"/>
          <w:szCs w:val="22"/>
          <w:lang w:val="en-GB"/>
        </w:rPr>
      </w:pPr>
      <w:r w:rsidRPr="004813A0">
        <w:rPr>
          <w:rFonts w:ascii="Avenir Next" w:hAnsi="Avenir Next" w:cs="Arial"/>
          <w:color w:val="7B7B7B" w:themeColor="accent3" w:themeShade="BF"/>
          <w:sz w:val="22"/>
          <w:szCs w:val="22"/>
          <w:lang w:val="en-GB"/>
        </w:rPr>
        <w:t>Overall, while the EIR and the DPRF both seek to promote greater efficiency and coordination in insolvency matters across the EU, they address different aspects of the insolvency process and operate at different levels of legal harmonization.</w:t>
      </w:r>
      <w:r w:rsidR="00DF75F8" w:rsidRPr="008E3C96">
        <w:rPr>
          <w:rFonts w:ascii="Avenir Next" w:hAnsi="Avenir Next" w:cs="Arial"/>
          <w:color w:val="7B7B7B" w:themeColor="accent3" w:themeShade="BF"/>
          <w:sz w:val="22"/>
          <w:szCs w:val="22"/>
          <w:lang w:val="en-GB"/>
        </w:rPr>
        <w:t>]</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65756424" w14:textId="77777777" w:rsidR="005A46C2" w:rsidRDefault="005A46C2" w:rsidP="002A37BB">
      <w:pPr>
        <w:jc w:val="both"/>
        <w:rPr>
          <w:rFonts w:ascii="Avenir Next Demi Bold" w:hAnsi="Avenir Next Demi Bold" w:cs="Arial"/>
          <w:b/>
          <w:bCs/>
          <w:sz w:val="22"/>
          <w:szCs w:val="22"/>
          <w:lang w:val="en-GB"/>
        </w:rPr>
      </w:pPr>
    </w:p>
    <w:p w14:paraId="55C402CC" w14:textId="3EB94ABF"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w:t>
      </w:r>
      <w:proofErr w:type="gramStart"/>
      <w:r w:rsidRPr="008E3C96">
        <w:rPr>
          <w:rFonts w:ascii="Avenir Next" w:hAnsi="Avenir Next" w:cs="Arial"/>
          <w:sz w:val="22"/>
          <w:szCs w:val="22"/>
          <w:lang w:val="en-GB"/>
        </w:rPr>
        <w:t>Spain</w:t>
      </w:r>
      <w:proofErr w:type="gramEnd"/>
      <w:r w:rsidRPr="008E3C96">
        <w:rPr>
          <w:rFonts w:ascii="Avenir Next" w:hAnsi="Avenir Next" w:cs="Arial"/>
          <w:sz w:val="22"/>
          <w:szCs w:val="22"/>
          <w:lang w:val="en-GB"/>
        </w:rPr>
        <w:t xml:space="preserve"> and Portugal. Its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proofErr w:type="gramStart"/>
      <w:r w:rsidRPr="008E3C96">
        <w:rPr>
          <w:rFonts w:ascii="Avenir Next" w:hAnsi="Avenir Next" w:cs="Arial"/>
          <w:sz w:val="22"/>
          <w:szCs w:val="22"/>
          <w:lang w:val="en-GB"/>
        </w:rPr>
        <w:t>All of</w:t>
      </w:r>
      <w:proofErr w:type="gramEnd"/>
      <w:r w:rsidRPr="008E3C96">
        <w:rPr>
          <w:rFonts w:ascii="Avenir Next" w:hAnsi="Avenir Next" w:cs="Arial"/>
          <w:sz w:val="22"/>
          <w:szCs w:val="22"/>
          <w:lang w:val="en-GB"/>
        </w:rPr>
        <w:t xml:space="preserve">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 xml:space="preserve">By 2014 the company was in financial </w:t>
      </w:r>
      <w:proofErr w:type="gramStart"/>
      <w:r w:rsidR="003D17A2" w:rsidRPr="008E3C96">
        <w:rPr>
          <w:rFonts w:ascii="Avenir Next" w:hAnsi="Avenir Next" w:cs="Arial"/>
          <w:sz w:val="22"/>
          <w:szCs w:val="22"/>
          <w:lang w:val="en-GB"/>
        </w:rPr>
        <w:t>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w:t>
      </w:r>
      <w:proofErr w:type="gramEnd"/>
      <w:r w:rsidR="003D17A2" w:rsidRPr="008E3C96">
        <w:rPr>
          <w:rFonts w:ascii="Avenir Next" w:hAnsi="Avenir Next" w:cs="Arial"/>
          <w:sz w:val="22"/>
          <w:szCs w:val="22"/>
          <w:lang w:val="en-GB"/>
        </w:rPr>
        <w:t xml:space="preserve">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lastRenderedPageBreak/>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33DE032C" w14:textId="77777777" w:rsidR="006B0568" w:rsidRPr="006B0568" w:rsidRDefault="002F75A3" w:rsidP="006B0568">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6B0568" w:rsidRPr="006B0568">
        <w:rPr>
          <w:rFonts w:ascii="Avenir Next" w:hAnsi="Avenir Next" w:cs="Arial"/>
          <w:color w:val="7B7B7B" w:themeColor="accent3" w:themeShade="BF"/>
          <w:sz w:val="22"/>
          <w:szCs w:val="22"/>
          <w:lang w:val="en-GB"/>
        </w:rPr>
        <w:t>Under the European Insolvency Regulation 2000 (EIR 2000), the determining factor for jurisdiction is the location of the debtor's "center of main interests" (COMI). According to Article 3(1) of the EIR 2000, the courts of the Member State in which the debtor's COMI is situated have jurisdiction to open insolvency proceedings. The concept of COMI is further clarified in Recital 13, which indicates that COMI should correspond to the place where the debtor conducts the administration of its interests on a regular basis and is therefore ascertainable by third parties.</w:t>
      </w:r>
    </w:p>
    <w:p w14:paraId="672C7531" w14:textId="77777777" w:rsidR="006B0568" w:rsidRPr="006B0568" w:rsidRDefault="006B0568" w:rsidP="006B0568">
      <w:pPr>
        <w:jc w:val="both"/>
        <w:rPr>
          <w:rFonts w:ascii="Avenir Next" w:hAnsi="Avenir Next" w:cs="Arial"/>
          <w:color w:val="7B7B7B" w:themeColor="accent3" w:themeShade="BF"/>
          <w:sz w:val="22"/>
          <w:szCs w:val="22"/>
          <w:lang w:val="en-GB"/>
        </w:rPr>
      </w:pPr>
      <w:r w:rsidRPr="006B0568">
        <w:rPr>
          <w:rFonts w:ascii="Avenir Next" w:hAnsi="Avenir Next" w:cs="Arial"/>
          <w:color w:val="7B7B7B" w:themeColor="accent3" w:themeShade="BF"/>
          <w:sz w:val="22"/>
          <w:szCs w:val="22"/>
          <w:lang w:val="en-GB"/>
        </w:rPr>
        <w:t xml:space="preserve">In the case of Bella SARL, the company is registered in France and opened its first store in Strasbourg. Its main warehouse </w:t>
      </w:r>
      <w:proofErr w:type="gramStart"/>
      <w:r w:rsidRPr="006B0568">
        <w:rPr>
          <w:rFonts w:ascii="Avenir Next" w:hAnsi="Avenir Next" w:cs="Arial"/>
          <w:color w:val="7B7B7B" w:themeColor="accent3" w:themeShade="BF"/>
          <w:sz w:val="22"/>
          <w:szCs w:val="22"/>
          <w:lang w:val="en-GB"/>
        </w:rPr>
        <w:t>is located in</w:t>
      </w:r>
      <w:proofErr w:type="gramEnd"/>
      <w:r w:rsidRPr="006B0568">
        <w:rPr>
          <w:rFonts w:ascii="Avenir Next" w:hAnsi="Avenir Next" w:cs="Arial"/>
          <w:color w:val="7B7B7B" w:themeColor="accent3" w:themeShade="BF"/>
          <w:sz w:val="22"/>
          <w:szCs w:val="22"/>
          <w:lang w:val="en-GB"/>
        </w:rPr>
        <w:t xml:space="preserve"> Cork, Ireland, and it has warehouses across Europe, including Germany, Ireland, Italy, Spain, and Portugal. Considering that the company's primary operations, management, and decision-making processes are in France, it can be argued that its COMI is in France.</w:t>
      </w:r>
    </w:p>
    <w:p w14:paraId="2F98BA35" w14:textId="77777777" w:rsidR="006B0568" w:rsidRPr="006B0568" w:rsidRDefault="006B0568" w:rsidP="006B0568">
      <w:pPr>
        <w:jc w:val="both"/>
        <w:rPr>
          <w:rFonts w:ascii="Avenir Next" w:hAnsi="Avenir Next" w:cs="Arial"/>
          <w:color w:val="7B7B7B" w:themeColor="accent3" w:themeShade="BF"/>
          <w:sz w:val="22"/>
          <w:szCs w:val="22"/>
          <w:lang w:val="en-GB"/>
        </w:rPr>
      </w:pPr>
      <w:r w:rsidRPr="006B0568">
        <w:rPr>
          <w:rFonts w:ascii="Avenir Next" w:hAnsi="Avenir Next" w:cs="Arial"/>
          <w:color w:val="7B7B7B" w:themeColor="accent3" w:themeShade="BF"/>
          <w:sz w:val="22"/>
          <w:szCs w:val="22"/>
          <w:lang w:val="en-GB"/>
        </w:rPr>
        <w:t xml:space="preserve">The CJEU's judgment in the case of </w:t>
      </w:r>
      <w:proofErr w:type="spellStart"/>
      <w:r w:rsidRPr="006B0568">
        <w:rPr>
          <w:rFonts w:ascii="Avenir Next" w:hAnsi="Avenir Next" w:cs="Arial"/>
          <w:color w:val="7B7B7B" w:themeColor="accent3" w:themeShade="BF"/>
          <w:sz w:val="22"/>
          <w:szCs w:val="22"/>
          <w:lang w:val="en-GB"/>
        </w:rPr>
        <w:t>Interedil</w:t>
      </w:r>
      <w:proofErr w:type="spellEnd"/>
      <w:r w:rsidRPr="006B0568">
        <w:rPr>
          <w:rFonts w:ascii="Avenir Next" w:hAnsi="Avenir Next" w:cs="Arial"/>
          <w:color w:val="7B7B7B" w:themeColor="accent3" w:themeShade="BF"/>
          <w:sz w:val="22"/>
          <w:szCs w:val="22"/>
          <w:lang w:val="en-GB"/>
        </w:rPr>
        <w:t xml:space="preserve"> </w:t>
      </w:r>
      <w:proofErr w:type="spellStart"/>
      <w:r w:rsidRPr="006B0568">
        <w:rPr>
          <w:rFonts w:ascii="Avenir Next" w:hAnsi="Avenir Next" w:cs="Arial"/>
          <w:color w:val="7B7B7B" w:themeColor="accent3" w:themeShade="BF"/>
          <w:sz w:val="22"/>
          <w:szCs w:val="22"/>
          <w:lang w:val="en-GB"/>
        </w:rPr>
        <w:t>Srl</w:t>
      </w:r>
      <w:proofErr w:type="spellEnd"/>
      <w:r w:rsidRPr="006B0568">
        <w:rPr>
          <w:rFonts w:ascii="Avenir Next" w:hAnsi="Avenir Next" w:cs="Arial"/>
          <w:color w:val="7B7B7B" w:themeColor="accent3" w:themeShade="BF"/>
          <w:sz w:val="22"/>
          <w:szCs w:val="22"/>
          <w:lang w:val="en-GB"/>
        </w:rPr>
        <w:t xml:space="preserve"> (C-396/09) provides guidance on determining the COMI. The Court held that the COMI should be identified by considering factors that are both objective and ascertainable by third parties. Factors include the location of the company's headquarters, central administration, and the place where it carries out its main business activities. In the case of Bella SARL, these factors point to France as its COMI.</w:t>
      </w:r>
    </w:p>
    <w:p w14:paraId="0D37BBBB" w14:textId="1B45E748" w:rsidR="002F75A3" w:rsidRPr="006B0568" w:rsidRDefault="006B0568" w:rsidP="006B0568">
      <w:pPr>
        <w:jc w:val="both"/>
        <w:rPr>
          <w:rFonts w:ascii="Avenir Next" w:hAnsi="Avenir Next" w:cs="Arial"/>
          <w:color w:val="7B7B7B" w:themeColor="accent3" w:themeShade="BF"/>
          <w:sz w:val="22"/>
          <w:szCs w:val="22"/>
          <w:lang w:val="en-GB"/>
        </w:rPr>
      </w:pPr>
      <w:r w:rsidRPr="006B0568">
        <w:rPr>
          <w:rFonts w:ascii="Avenir Next" w:hAnsi="Avenir Next" w:cs="Arial"/>
          <w:color w:val="7B7B7B" w:themeColor="accent3" w:themeShade="BF"/>
          <w:sz w:val="22"/>
          <w:szCs w:val="22"/>
          <w:lang w:val="en-GB"/>
        </w:rPr>
        <w:t>Therefore, in accordance with Article 3(1) of the EIR 2000 and considering the CJEU jurisprudence, the Strasbourg High Court has jurisdiction to open the requested safeguard proceedings.</w:t>
      </w:r>
      <w:r w:rsidR="002F75A3" w:rsidRPr="008E3C96">
        <w:rPr>
          <w:rFonts w:ascii="Avenir Next" w:hAnsi="Avenir Next" w:cs="Arial"/>
          <w:color w:val="7B7B7B" w:themeColor="accent3" w:themeShade="BF"/>
          <w:sz w:val="22"/>
          <w:szCs w:val="22"/>
          <w:lang w:val="en-GB"/>
        </w:rPr>
        <w:t>]</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271E7E89" w14:textId="77777777" w:rsidR="004579C3" w:rsidRPr="004579C3" w:rsidRDefault="002D3473" w:rsidP="004579C3">
      <w:pPr>
        <w:autoSpaceDE w:val="0"/>
        <w:autoSpaceDN w:val="0"/>
        <w:adjustRightInd w:val="0"/>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4579C3" w:rsidRPr="004579C3">
        <w:rPr>
          <w:rFonts w:ascii="Avenir Next" w:hAnsi="Avenir Next" w:cs="Arial"/>
          <w:color w:val="7B7B7B" w:themeColor="accent3" w:themeShade="BF"/>
          <w:sz w:val="22"/>
          <w:szCs w:val="22"/>
          <w:lang w:val="en-GB"/>
        </w:rPr>
        <w:t>The European Insolvency Regulation Recast (EIR Recast) entered into force on 26 June 2017, and according to Article 92(1), it applies to insolvency proceedings opened after that date. Since the French High Court opens safeguard proceedings on 30 June 2017, the EIR Recast is applicable to the proceedings.</w:t>
      </w:r>
    </w:p>
    <w:p w14:paraId="57E9042B" w14:textId="77777777" w:rsidR="004579C3" w:rsidRPr="004579C3" w:rsidRDefault="004579C3" w:rsidP="004579C3">
      <w:pPr>
        <w:autoSpaceDE w:val="0"/>
        <w:autoSpaceDN w:val="0"/>
        <w:adjustRightInd w:val="0"/>
        <w:jc w:val="both"/>
        <w:rPr>
          <w:rFonts w:ascii="Avenir Next" w:hAnsi="Avenir Next" w:cs="Arial"/>
          <w:color w:val="7B7B7B" w:themeColor="accent3" w:themeShade="BF"/>
          <w:sz w:val="22"/>
          <w:szCs w:val="22"/>
          <w:lang w:val="en-GB"/>
        </w:rPr>
      </w:pPr>
      <w:r w:rsidRPr="004579C3">
        <w:rPr>
          <w:rFonts w:ascii="Avenir Next" w:hAnsi="Avenir Next" w:cs="Arial"/>
          <w:color w:val="7B7B7B" w:themeColor="accent3" w:themeShade="BF"/>
          <w:sz w:val="22"/>
          <w:szCs w:val="22"/>
          <w:lang w:val="en-GB"/>
        </w:rPr>
        <w:t>Regarding the scope of the EIR Recast, Article 1 states that it applies to collective insolvency proceedings based on the debtor's insolvency, which involve the partial or total divestment of the debtor's assets and the appointment of a liquidator or another insolvency practitioner. Safeguard proceedings in France are collective insolvency proceedings aimed at protecting a debtor experiencing financial difficulties and preserving its business. They involve the appointment of a judicial administrator and the implementation of a safeguard plan, which includes measures such as debt rescheduling, asset divestment, and operational restructuring. As such, they fall within the scope of the EIR Recast.</w:t>
      </w:r>
    </w:p>
    <w:p w14:paraId="2151BA84" w14:textId="77777777" w:rsidR="004579C3" w:rsidRPr="004579C3" w:rsidRDefault="004579C3" w:rsidP="004579C3">
      <w:pPr>
        <w:autoSpaceDE w:val="0"/>
        <w:autoSpaceDN w:val="0"/>
        <w:adjustRightInd w:val="0"/>
        <w:jc w:val="both"/>
        <w:rPr>
          <w:rFonts w:ascii="Avenir Next" w:hAnsi="Avenir Next" w:cs="Arial"/>
          <w:color w:val="7B7B7B" w:themeColor="accent3" w:themeShade="BF"/>
          <w:sz w:val="22"/>
          <w:szCs w:val="22"/>
          <w:lang w:val="en-GB"/>
        </w:rPr>
      </w:pPr>
      <w:r w:rsidRPr="004579C3">
        <w:rPr>
          <w:rFonts w:ascii="Avenir Next" w:hAnsi="Avenir Next" w:cs="Arial"/>
          <w:color w:val="7B7B7B" w:themeColor="accent3" w:themeShade="BF"/>
          <w:sz w:val="22"/>
          <w:szCs w:val="22"/>
          <w:lang w:val="en-GB"/>
        </w:rPr>
        <w:t>Furthermore, the EIR Recast introduces improvements and new provisions compared to the EIR 2000, such as the introduction of rules on the coordination of main and secondary insolvency proceedings (Articles 36-38), the establishment of interconnected insolvency registers (Article 24), and the recognition and enforcement of insolvency-related judgments (Article 19). The applicability of the EIR Recast to the proceedings would thus provide a more comprehensive framework for the cross-border resolution of Bella SARL's insolvency.</w:t>
      </w:r>
    </w:p>
    <w:p w14:paraId="626FA5C6" w14:textId="7ACFE2B9" w:rsidR="002D3473" w:rsidRPr="004579C3" w:rsidRDefault="004579C3" w:rsidP="004579C3">
      <w:pPr>
        <w:autoSpaceDE w:val="0"/>
        <w:autoSpaceDN w:val="0"/>
        <w:adjustRightInd w:val="0"/>
        <w:jc w:val="both"/>
        <w:rPr>
          <w:rFonts w:ascii="Avenir Next" w:hAnsi="Avenir Next" w:cs="Arial"/>
          <w:color w:val="7B7B7B" w:themeColor="accent3" w:themeShade="BF"/>
          <w:sz w:val="22"/>
          <w:szCs w:val="22"/>
          <w:lang w:val="en-GB"/>
        </w:rPr>
      </w:pPr>
      <w:r w:rsidRPr="004579C3">
        <w:rPr>
          <w:rFonts w:ascii="Avenir Next" w:hAnsi="Avenir Next" w:cs="Arial"/>
          <w:color w:val="7B7B7B" w:themeColor="accent3" w:themeShade="BF"/>
          <w:sz w:val="22"/>
          <w:szCs w:val="22"/>
          <w:lang w:val="en-GB"/>
        </w:rPr>
        <w:lastRenderedPageBreak/>
        <w:t>In conclusion, the EIR Recast is applicable to the proceedings opened by the French High Court on 30 June 2017, as they fall within its scope and temporal application.</w:t>
      </w:r>
      <w:r w:rsidR="002D3473" w:rsidRPr="008E3C96">
        <w:rPr>
          <w:rFonts w:ascii="Avenir Next" w:hAnsi="Avenir Next" w:cs="Arial"/>
          <w:color w:val="7B7B7B" w:themeColor="accent3" w:themeShade="BF"/>
          <w:sz w:val="22"/>
          <w:szCs w:val="22"/>
          <w:lang w:val="en-GB"/>
        </w:rPr>
        <w:t>]</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2B896B7D" w14:textId="2E538985" w:rsidR="000400E9" w:rsidRPr="000400E9" w:rsidRDefault="0033768C" w:rsidP="000400E9">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0400E9" w:rsidRPr="000400E9">
        <w:rPr>
          <w:rFonts w:ascii="Avenir Next" w:hAnsi="Avenir Next" w:cs="Arial"/>
          <w:color w:val="7B7B7B" w:themeColor="accent3" w:themeShade="BF"/>
          <w:sz w:val="22"/>
          <w:szCs w:val="22"/>
          <w:lang w:val="en-GB"/>
        </w:rPr>
        <w:t>Under the EIR Recast, secondary insolvency proceedings may be opened in another Member State where the debtor has an establishment, as per Article 3(2). An establishment is defined in Article 2(10) as "any place of operations where the debtor carries out a non-transitory economic activity with human means and goods." The secondary proceedings are intended to protect the interests of local creditors and to facilitate the administration of complex cross-border insolvencies.</w:t>
      </w:r>
    </w:p>
    <w:p w14:paraId="51ED6DBB" w14:textId="77777777" w:rsidR="000400E9" w:rsidRPr="000400E9" w:rsidRDefault="000400E9" w:rsidP="000400E9">
      <w:pPr>
        <w:jc w:val="both"/>
        <w:rPr>
          <w:rFonts w:ascii="Avenir Next" w:hAnsi="Avenir Next" w:cs="Arial"/>
          <w:color w:val="7B7B7B" w:themeColor="accent3" w:themeShade="BF"/>
          <w:sz w:val="22"/>
          <w:szCs w:val="22"/>
          <w:lang w:val="en-GB"/>
        </w:rPr>
      </w:pPr>
      <w:r w:rsidRPr="000400E9">
        <w:rPr>
          <w:rFonts w:ascii="Avenir Next" w:hAnsi="Avenir Next" w:cs="Arial"/>
          <w:color w:val="7B7B7B" w:themeColor="accent3" w:themeShade="BF"/>
          <w:sz w:val="22"/>
          <w:szCs w:val="22"/>
          <w:lang w:val="en-GB"/>
        </w:rPr>
        <w:t>In the scenario presented, Bella SARL has warehouses across Europe, including Italy, which indicates the presence of an establishment in Italy. The existence of an establishment in Italy, where the company carries out non-transitory economic activities, supports the argument that secondary insolvency proceedings may be opened in Italy under the EIR Recast.</w:t>
      </w:r>
    </w:p>
    <w:p w14:paraId="1C97782D" w14:textId="77777777" w:rsidR="000400E9" w:rsidRPr="000400E9" w:rsidRDefault="000400E9" w:rsidP="000400E9">
      <w:pPr>
        <w:jc w:val="both"/>
        <w:rPr>
          <w:rFonts w:ascii="Avenir Next" w:hAnsi="Avenir Next" w:cs="Arial"/>
          <w:color w:val="7B7B7B" w:themeColor="accent3" w:themeShade="BF"/>
          <w:sz w:val="22"/>
          <w:szCs w:val="22"/>
          <w:lang w:val="en-GB"/>
        </w:rPr>
      </w:pPr>
      <w:r w:rsidRPr="000400E9">
        <w:rPr>
          <w:rFonts w:ascii="Avenir Next" w:hAnsi="Avenir Next" w:cs="Arial"/>
          <w:color w:val="7B7B7B" w:themeColor="accent3" w:themeShade="BF"/>
          <w:sz w:val="22"/>
          <w:szCs w:val="22"/>
          <w:lang w:val="en-GB"/>
        </w:rPr>
        <w:t xml:space="preserve">However, the mere existence of an establishment is not sufficient for opening secondary insolvency proceedings. The CJEU's judgment in the case of Bank </w:t>
      </w:r>
      <w:proofErr w:type="spellStart"/>
      <w:r w:rsidRPr="000400E9">
        <w:rPr>
          <w:rFonts w:ascii="Avenir Next" w:hAnsi="Avenir Next" w:cs="Arial"/>
          <w:color w:val="7B7B7B" w:themeColor="accent3" w:themeShade="BF"/>
          <w:sz w:val="22"/>
          <w:szCs w:val="22"/>
          <w:lang w:val="en-GB"/>
        </w:rPr>
        <w:t>Handlowy</w:t>
      </w:r>
      <w:proofErr w:type="spellEnd"/>
      <w:r w:rsidRPr="000400E9">
        <w:rPr>
          <w:rFonts w:ascii="Avenir Next" w:hAnsi="Avenir Next" w:cs="Arial"/>
          <w:color w:val="7B7B7B" w:themeColor="accent3" w:themeShade="BF"/>
          <w:sz w:val="22"/>
          <w:szCs w:val="22"/>
          <w:lang w:val="en-GB"/>
        </w:rPr>
        <w:t xml:space="preserve"> and </w:t>
      </w:r>
      <w:proofErr w:type="spellStart"/>
      <w:r w:rsidRPr="000400E9">
        <w:rPr>
          <w:rFonts w:ascii="Avenir Next" w:hAnsi="Avenir Next" w:cs="Arial"/>
          <w:color w:val="7B7B7B" w:themeColor="accent3" w:themeShade="BF"/>
          <w:sz w:val="22"/>
          <w:szCs w:val="22"/>
          <w:lang w:val="en-GB"/>
        </w:rPr>
        <w:t>Adamiak</w:t>
      </w:r>
      <w:proofErr w:type="spellEnd"/>
      <w:r w:rsidRPr="000400E9">
        <w:rPr>
          <w:rFonts w:ascii="Avenir Next" w:hAnsi="Avenir Next" w:cs="Arial"/>
          <w:color w:val="7B7B7B" w:themeColor="accent3" w:themeShade="BF"/>
          <w:sz w:val="22"/>
          <w:szCs w:val="22"/>
          <w:lang w:val="en-GB"/>
        </w:rPr>
        <w:t xml:space="preserve"> (C-116/11) clarified that secondary proceedings can be opened in a Member State only if the debtor possesses assets in that state. In this case, Bella SARL has a warehouse in Italy, which can be considered an asset.</w:t>
      </w:r>
    </w:p>
    <w:p w14:paraId="79EA16A2" w14:textId="77777777" w:rsidR="000400E9" w:rsidRPr="000400E9" w:rsidRDefault="000400E9" w:rsidP="000400E9">
      <w:pPr>
        <w:jc w:val="both"/>
        <w:rPr>
          <w:rFonts w:ascii="Avenir Next" w:hAnsi="Avenir Next" w:cs="Arial"/>
          <w:color w:val="7B7B7B" w:themeColor="accent3" w:themeShade="BF"/>
          <w:sz w:val="22"/>
          <w:szCs w:val="22"/>
          <w:lang w:val="en-GB"/>
        </w:rPr>
      </w:pPr>
      <w:r w:rsidRPr="000400E9">
        <w:rPr>
          <w:rFonts w:ascii="Avenir Next" w:hAnsi="Avenir Next" w:cs="Arial"/>
          <w:color w:val="7B7B7B" w:themeColor="accent3" w:themeShade="BF"/>
          <w:sz w:val="22"/>
          <w:szCs w:val="22"/>
          <w:lang w:val="en-GB"/>
        </w:rPr>
        <w:t>Furthermore, under the EIR Recast, the opening of secondary insolvency proceedings is subject to certain conditions and restrictions. For instance, Article 36(1) allows the insolvency practitioner in the main proceedings to give an undertaking (a so-called "synthetic secondary proceeding") to treat local creditors in the secondary proceedings jurisdiction as if secondary proceedings had been opened. If such an undertaking is accepted by the local creditors, secondary proceedings cannot be opened.</w:t>
      </w:r>
    </w:p>
    <w:p w14:paraId="77CE8695" w14:textId="103ABAEA" w:rsidR="0077498C" w:rsidRPr="000400E9" w:rsidRDefault="000400E9" w:rsidP="000400E9">
      <w:pPr>
        <w:jc w:val="both"/>
        <w:rPr>
          <w:rFonts w:ascii="Avenir Next" w:hAnsi="Avenir Next" w:cs="Arial"/>
          <w:color w:val="7B7B7B" w:themeColor="accent3" w:themeShade="BF"/>
          <w:sz w:val="22"/>
          <w:szCs w:val="22"/>
          <w:lang w:val="en-GB"/>
        </w:rPr>
      </w:pPr>
      <w:r w:rsidRPr="000400E9">
        <w:rPr>
          <w:rFonts w:ascii="Avenir Next" w:hAnsi="Avenir Next" w:cs="Arial"/>
          <w:color w:val="7B7B7B" w:themeColor="accent3" w:themeShade="BF"/>
          <w:sz w:val="22"/>
          <w:szCs w:val="22"/>
          <w:lang w:val="en-GB"/>
        </w:rPr>
        <w:t>Given the facts of the case, the applicable law, and the relevant CJEU jurisprudence, it can be concluded that secondary insolvency proceedings can be opened in Italy under the EIR Recast, as Bella SARL has both an establishment and assets in Italy. However, the opening of secondary proceedings is subject to certain conditions and restrictions, such as the possible giving of an undertaking by the insolvency practitioner in the main proceedings.</w:t>
      </w:r>
      <w:r w:rsidR="0033768C" w:rsidRPr="008E3C96">
        <w:rPr>
          <w:rFonts w:ascii="Avenir Next" w:hAnsi="Avenir Next" w:cs="Arial"/>
          <w:color w:val="7B7B7B" w:themeColor="accent3" w:themeShade="BF"/>
          <w:sz w:val="22"/>
          <w:szCs w:val="22"/>
          <w:lang w:val="en-GB"/>
        </w:rPr>
        <w:t>]</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353C" w14:textId="77777777" w:rsidR="004733E2" w:rsidRDefault="004733E2" w:rsidP="00241B44">
      <w:r>
        <w:separator/>
      </w:r>
    </w:p>
  </w:endnote>
  <w:endnote w:type="continuationSeparator" w:id="0">
    <w:p w14:paraId="17AC382F" w14:textId="77777777" w:rsidR="004733E2" w:rsidRDefault="004733E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76C9E8C2" w:rsidR="00D509A5" w:rsidRPr="00E36039" w:rsidRDefault="00250DDD" w:rsidP="00250DDD">
    <w:pPr>
      <w:pStyle w:val="Footer"/>
      <w:ind w:right="360"/>
      <w:rPr>
        <w:rFonts w:ascii="Avenir Next" w:hAnsi="Avenir Next" w:cs="Arial"/>
        <w:sz w:val="22"/>
        <w:szCs w:val="22"/>
        <w:lang w:val="en-GB"/>
      </w:rPr>
    </w:pPr>
    <w:r w:rsidRPr="00250DDD">
      <w:rPr>
        <w:rFonts w:ascii="Avenir Next" w:hAnsi="Avenir Next" w:cs="Arial"/>
        <w:sz w:val="22"/>
        <w:szCs w:val="22"/>
        <w:lang w:val="en-GB"/>
      </w:rPr>
      <w:t>202223-807.assessment2B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1B79" w14:textId="77777777" w:rsidR="004733E2" w:rsidRDefault="004733E2" w:rsidP="00241B44">
      <w:r>
        <w:separator/>
      </w:r>
    </w:p>
  </w:footnote>
  <w:footnote w:type="continuationSeparator" w:id="0">
    <w:p w14:paraId="59128374" w14:textId="77777777" w:rsidR="004733E2" w:rsidRDefault="004733E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44D7E8D"/>
    <w:multiLevelType w:val="hybridMultilevel"/>
    <w:tmpl w:val="DDF6B9DE"/>
    <w:lvl w:ilvl="0" w:tplc="A9F24260">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3296B"/>
    <w:multiLevelType w:val="hybridMultilevel"/>
    <w:tmpl w:val="5BCE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E042422"/>
    <w:multiLevelType w:val="hybridMultilevel"/>
    <w:tmpl w:val="C786E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6023623"/>
    <w:multiLevelType w:val="hybridMultilevel"/>
    <w:tmpl w:val="2BC8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A87614B"/>
    <w:multiLevelType w:val="hybridMultilevel"/>
    <w:tmpl w:val="47A4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0300E"/>
    <w:multiLevelType w:val="hybridMultilevel"/>
    <w:tmpl w:val="BAFC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FD6015"/>
    <w:multiLevelType w:val="hybridMultilevel"/>
    <w:tmpl w:val="860E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17990374">
    <w:abstractNumId w:val="15"/>
  </w:num>
  <w:num w:numId="2" w16cid:durableId="1541240695">
    <w:abstractNumId w:val="27"/>
  </w:num>
  <w:num w:numId="3" w16cid:durableId="2050260774">
    <w:abstractNumId w:val="18"/>
  </w:num>
  <w:num w:numId="4" w16cid:durableId="1895922324">
    <w:abstractNumId w:val="33"/>
  </w:num>
  <w:num w:numId="5" w16cid:durableId="252780295">
    <w:abstractNumId w:val="26"/>
  </w:num>
  <w:num w:numId="6" w16cid:durableId="792747409">
    <w:abstractNumId w:val="29"/>
  </w:num>
  <w:num w:numId="7" w16cid:durableId="1720786698">
    <w:abstractNumId w:val="8"/>
  </w:num>
  <w:num w:numId="8" w16cid:durableId="1215847823">
    <w:abstractNumId w:val="24"/>
  </w:num>
  <w:num w:numId="9" w16cid:durableId="300775307">
    <w:abstractNumId w:val="21"/>
  </w:num>
  <w:num w:numId="10" w16cid:durableId="653724432">
    <w:abstractNumId w:val="16"/>
  </w:num>
  <w:num w:numId="11" w16cid:durableId="697242780">
    <w:abstractNumId w:val="25"/>
  </w:num>
  <w:num w:numId="12" w16cid:durableId="1631324341">
    <w:abstractNumId w:val="2"/>
  </w:num>
  <w:num w:numId="13" w16cid:durableId="651910318">
    <w:abstractNumId w:val="13"/>
  </w:num>
  <w:num w:numId="14" w16cid:durableId="632833378">
    <w:abstractNumId w:val="20"/>
  </w:num>
  <w:num w:numId="15" w16cid:durableId="370957152">
    <w:abstractNumId w:val="17"/>
  </w:num>
  <w:num w:numId="16" w16cid:durableId="1880314502">
    <w:abstractNumId w:val="12"/>
  </w:num>
  <w:num w:numId="17" w16cid:durableId="438065672">
    <w:abstractNumId w:val="15"/>
  </w:num>
  <w:num w:numId="18" w16cid:durableId="1203595451">
    <w:abstractNumId w:val="3"/>
  </w:num>
  <w:num w:numId="19" w16cid:durableId="2098867825">
    <w:abstractNumId w:val="0"/>
  </w:num>
  <w:num w:numId="20" w16cid:durableId="1217668832">
    <w:abstractNumId w:val="7"/>
  </w:num>
  <w:num w:numId="21" w16cid:durableId="909921588">
    <w:abstractNumId w:val="0"/>
  </w:num>
  <w:num w:numId="22" w16cid:durableId="1583875678">
    <w:abstractNumId w:val="10"/>
  </w:num>
  <w:num w:numId="23" w16cid:durableId="521747697">
    <w:abstractNumId w:val="28"/>
  </w:num>
  <w:num w:numId="24" w16cid:durableId="1708870105">
    <w:abstractNumId w:val="30"/>
  </w:num>
  <w:num w:numId="25" w16cid:durableId="1937202720">
    <w:abstractNumId w:val="6"/>
  </w:num>
  <w:num w:numId="26" w16cid:durableId="1049912051">
    <w:abstractNumId w:val="34"/>
  </w:num>
  <w:num w:numId="27" w16cid:durableId="147018780">
    <w:abstractNumId w:val="11"/>
  </w:num>
  <w:num w:numId="28" w16cid:durableId="1008092760">
    <w:abstractNumId w:val="1"/>
  </w:num>
  <w:num w:numId="29" w16cid:durableId="1970627072">
    <w:abstractNumId w:val="14"/>
  </w:num>
  <w:num w:numId="30" w16cid:durableId="1007102037">
    <w:abstractNumId w:val="31"/>
  </w:num>
  <w:num w:numId="31" w16cid:durableId="764421700">
    <w:abstractNumId w:val="32"/>
  </w:num>
  <w:num w:numId="32" w16cid:durableId="150021643">
    <w:abstractNumId w:val="22"/>
  </w:num>
  <w:num w:numId="33" w16cid:durableId="322046642">
    <w:abstractNumId w:val="9"/>
  </w:num>
  <w:num w:numId="34" w16cid:durableId="1445154723">
    <w:abstractNumId w:val="4"/>
  </w:num>
  <w:num w:numId="35" w16cid:durableId="824206481">
    <w:abstractNumId w:val="23"/>
  </w:num>
  <w:num w:numId="36" w16cid:durableId="1413048120">
    <w:abstractNumId w:val="19"/>
  </w:num>
  <w:num w:numId="37" w16cid:durableId="127166705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38F"/>
    <w:rsid w:val="00007146"/>
    <w:rsid w:val="00010BA0"/>
    <w:rsid w:val="0001344B"/>
    <w:rsid w:val="00016162"/>
    <w:rsid w:val="00020557"/>
    <w:rsid w:val="000250C7"/>
    <w:rsid w:val="00026F16"/>
    <w:rsid w:val="00037621"/>
    <w:rsid w:val="000400E9"/>
    <w:rsid w:val="00041B32"/>
    <w:rsid w:val="00044D46"/>
    <w:rsid w:val="00045088"/>
    <w:rsid w:val="00045904"/>
    <w:rsid w:val="00054E15"/>
    <w:rsid w:val="000600BD"/>
    <w:rsid w:val="00065166"/>
    <w:rsid w:val="0007634F"/>
    <w:rsid w:val="00082609"/>
    <w:rsid w:val="000851CC"/>
    <w:rsid w:val="00087CD6"/>
    <w:rsid w:val="00093BE8"/>
    <w:rsid w:val="000A68ED"/>
    <w:rsid w:val="000A68F9"/>
    <w:rsid w:val="000A7BF9"/>
    <w:rsid w:val="000B5FF1"/>
    <w:rsid w:val="000B609F"/>
    <w:rsid w:val="000C5CA2"/>
    <w:rsid w:val="000C6BB5"/>
    <w:rsid w:val="000D55A8"/>
    <w:rsid w:val="000E4841"/>
    <w:rsid w:val="000F1677"/>
    <w:rsid w:val="000F3D6C"/>
    <w:rsid w:val="000F4A14"/>
    <w:rsid w:val="000F668E"/>
    <w:rsid w:val="00101707"/>
    <w:rsid w:val="00104ED6"/>
    <w:rsid w:val="00113E29"/>
    <w:rsid w:val="0011473D"/>
    <w:rsid w:val="0011548B"/>
    <w:rsid w:val="00115C85"/>
    <w:rsid w:val="00123855"/>
    <w:rsid w:val="00126A4D"/>
    <w:rsid w:val="0014171F"/>
    <w:rsid w:val="0014622C"/>
    <w:rsid w:val="001500A4"/>
    <w:rsid w:val="00152348"/>
    <w:rsid w:val="0015456D"/>
    <w:rsid w:val="00155FA2"/>
    <w:rsid w:val="00161F1B"/>
    <w:rsid w:val="001625A0"/>
    <w:rsid w:val="00162829"/>
    <w:rsid w:val="00174DC4"/>
    <w:rsid w:val="00175A7D"/>
    <w:rsid w:val="00180548"/>
    <w:rsid w:val="00180AC4"/>
    <w:rsid w:val="00180CCE"/>
    <w:rsid w:val="0018267A"/>
    <w:rsid w:val="00182779"/>
    <w:rsid w:val="001830DF"/>
    <w:rsid w:val="00183ED8"/>
    <w:rsid w:val="00187A34"/>
    <w:rsid w:val="001966D9"/>
    <w:rsid w:val="001A68CC"/>
    <w:rsid w:val="001A6A4D"/>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24CF7"/>
    <w:rsid w:val="00227C61"/>
    <w:rsid w:val="0024116D"/>
    <w:rsid w:val="00241B44"/>
    <w:rsid w:val="00241FA3"/>
    <w:rsid w:val="00244C44"/>
    <w:rsid w:val="00245EFB"/>
    <w:rsid w:val="00250DDD"/>
    <w:rsid w:val="0025386E"/>
    <w:rsid w:val="00254D82"/>
    <w:rsid w:val="00257C52"/>
    <w:rsid w:val="002638B0"/>
    <w:rsid w:val="0026647A"/>
    <w:rsid w:val="002668D3"/>
    <w:rsid w:val="0027299F"/>
    <w:rsid w:val="002729AB"/>
    <w:rsid w:val="00284EBE"/>
    <w:rsid w:val="0029433F"/>
    <w:rsid w:val="00294829"/>
    <w:rsid w:val="0029690F"/>
    <w:rsid w:val="00297C8A"/>
    <w:rsid w:val="002A10A2"/>
    <w:rsid w:val="002A2A60"/>
    <w:rsid w:val="002A37BB"/>
    <w:rsid w:val="002A54F1"/>
    <w:rsid w:val="002B1C45"/>
    <w:rsid w:val="002C13C8"/>
    <w:rsid w:val="002C3547"/>
    <w:rsid w:val="002D0021"/>
    <w:rsid w:val="002D3473"/>
    <w:rsid w:val="002E4CF1"/>
    <w:rsid w:val="002F1956"/>
    <w:rsid w:val="002F3440"/>
    <w:rsid w:val="002F75A3"/>
    <w:rsid w:val="00302D76"/>
    <w:rsid w:val="00303A38"/>
    <w:rsid w:val="00303C2F"/>
    <w:rsid w:val="003144EF"/>
    <w:rsid w:val="00317BF8"/>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0E8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67D1"/>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9C3"/>
    <w:rsid w:val="00457CA3"/>
    <w:rsid w:val="00465BFF"/>
    <w:rsid w:val="00470681"/>
    <w:rsid w:val="004733E2"/>
    <w:rsid w:val="00474101"/>
    <w:rsid w:val="00477C72"/>
    <w:rsid w:val="004813A0"/>
    <w:rsid w:val="00484BAE"/>
    <w:rsid w:val="00491675"/>
    <w:rsid w:val="00493855"/>
    <w:rsid w:val="00495E79"/>
    <w:rsid w:val="0049649C"/>
    <w:rsid w:val="004A0692"/>
    <w:rsid w:val="004A3647"/>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04EA"/>
    <w:rsid w:val="004F4245"/>
    <w:rsid w:val="004F4AF9"/>
    <w:rsid w:val="004F5FDF"/>
    <w:rsid w:val="00507C0C"/>
    <w:rsid w:val="005177FE"/>
    <w:rsid w:val="0052171F"/>
    <w:rsid w:val="0052263B"/>
    <w:rsid w:val="00524728"/>
    <w:rsid w:val="005331CA"/>
    <w:rsid w:val="00537970"/>
    <w:rsid w:val="00540E3A"/>
    <w:rsid w:val="00544127"/>
    <w:rsid w:val="00544F6E"/>
    <w:rsid w:val="005463A9"/>
    <w:rsid w:val="00553EB2"/>
    <w:rsid w:val="00560534"/>
    <w:rsid w:val="0056391B"/>
    <w:rsid w:val="00564E56"/>
    <w:rsid w:val="005650E2"/>
    <w:rsid w:val="00567AD7"/>
    <w:rsid w:val="00575B2D"/>
    <w:rsid w:val="0057717D"/>
    <w:rsid w:val="005833D0"/>
    <w:rsid w:val="005846F3"/>
    <w:rsid w:val="0058622F"/>
    <w:rsid w:val="00591280"/>
    <w:rsid w:val="00592F82"/>
    <w:rsid w:val="005A0CCA"/>
    <w:rsid w:val="005A46C2"/>
    <w:rsid w:val="005A6BC1"/>
    <w:rsid w:val="005A726D"/>
    <w:rsid w:val="005B2392"/>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4A01"/>
    <w:rsid w:val="006153EC"/>
    <w:rsid w:val="00617B1D"/>
    <w:rsid w:val="00621A17"/>
    <w:rsid w:val="00625F22"/>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61EF"/>
    <w:rsid w:val="006723E9"/>
    <w:rsid w:val="00677AEB"/>
    <w:rsid w:val="00680EF2"/>
    <w:rsid w:val="00687A1D"/>
    <w:rsid w:val="00696ED8"/>
    <w:rsid w:val="00697EA1"/>
    <w:rsid w:val="006A2646"/>
    <w:rsid w:val="006A6530"/>
    <w:rsid w:val="006B0568"/>
    <w:rsid w:val="006B435A"/>
    <w:rsid w:val="006B4C64"/>
    <w:rsid w:val="006B5AB6"/>
    <w:rsid w:val="006C4FAA"/>
    <w:rsid w:val="006D0DA0"/>
    <w:rsid w:val="006D217A"/>
    <w:rsid w:val="006D6BD5"/>
    <w:rsid w:val="006E481A"/>
    <w:rsid w:val="006E5287"/>
    <w:rsid w:val="006E5298"/>
    <w:rsid w:val="006F0106"/>
    <w:rsid w:val="006F1D02"/>
    <w:rsid w:val="006F2B12"/>
    <w:rsid w:val="006F4A78"/>
    <w:rsid w:val="006F6987"/>
    <w:rsid w:val="006F734A"/>
    <w:rsid w:val="00700D83"/>
    <w:rsid w:val="00704852"/>
    <w:rsid w:val="007074E9"/>
    <w:rsid w:val="00713DA4"/>
    <w:rsid w:val="00714BF1"/>
    <w:rsid w:val="00721383"/>
    <w:rsid w:val="0073158B"/>
    <w:rsid w:val="007333CC"/>
    <w:rsid w:val="0073399A"/>
    <w:rsid w:val="00745D6F"/>
    <w:rsid w:val="007516A0"/>
    <w:rsid w:val="007603F5"/>
    <w:rsid w:val="00764DB0"/>
    <w:rsid w:val="0076764D"/>
    <w:rsid w:val="0077498C"/>
    <w:rsid w:val="007772BD"/>
    <w:rsid w:val="007809BC"/>
    <w:rsid w:val="00782DF0"/>
    <w:rsid w:val="00782EE1"/>
    <w:rsid w:val="00784128"/>
    <w:rsid w:val="00793173"/>
    <w:rsid w:val="007A107A"/>
    <w:rsid w:val="007A2A33"/>
    <w:rsid w:val="007A6B8D"/>
    <w:rsid w:val="007A7B20"/>
    <w:rsid w:val="007B6991"/>
    <w:rsid w:val="007C1A62"/>
    <w:rsid w:val="007C1FCC"/>
    <w:rsid w:val="007C50AA"/>
    <w:rsid w:val="007C6201"/>
    <w:rsid w:val="007D7C92"/>
    <w:rsid w:val="007E1154"/>
    <w:rsid w:val="007E39B3"/>
    <w:rsid w:val="007E44C4"/>
    <w:rsid w:val="007E6BA4"/>
    <w:rsid w:val="007F41F8"/>
    <w:rsid w:val="007F4E7E"/>
    <w:rsid w:val="007F6A57"/>
    <w:rsid w:val="00800B1B"/>
    <w:rsid w:val="00800B76"/>
    <w:rsid w:val="008017F0"/>
    <w:rsid w:val="0080454E"/>
    <w:rsid w:val="00804C32"/>
    <w:rsid w:val="00804DA6"/>
    <w:rsid w:val="00806302"/>
    <w:rsid w:val="00807119"/>
    <w:rsid w:val="00813088"/>
    <w:rsid w:val="0082334A"/>
    <w:rsid w:val="0082424D"/>
    <w:rsid w:val="0082483F"/>
    <w:rsid w:val="008279C0"/>
    <w:rsid w:val="00835422"/>
    <w:rsid w:val="00841051"/>
    <w:rsid w:val="008500BD"/>
    <w:rsid w:val="00857862"/>
    <w:rsid w:val="00860723"/>
    <w:rsid w:val="008642D0"/>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4D8"/>
    <w:rsid w:val="00905A43"/>
    <w:rsid w:val="00911C1D"/>
    <w:rsid w:val="00912C79"/>
    <w:rsid w:val="00914A23"/>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4DAC"/>
    <w:rsid w:val="00A056E5"/>
    <w:rsid w:val="00A07E6F"/>
    <w:rsid w:val="00A10D55"/>
    <w:rsid w:val="00A11E80"/>
    <w:rsid w:val="00A16616"/>
    <w:rsid w:val="00A17858"/>
    <w:rsid w:val="00A17FC3"/>
    <w:rsid w:val="00A2274A"/>
    <w:rsid w:val="00A235B7"/>
    <w:rsid w:val="00A26868"/>
    <w:rsid w:val="00A2764C"/>
    <w:rsid w:val="00A27A7A"/>
    <w:rsid w:val="00A33FA6"/>
    <w:rsid w:val="00A407EF"/>
    <w:rsid w:val="00A46B4C"/>
    <w:rsid w:val="00A47DE6"/>
    <w:rsid w:val="00A50055"/>
    <w:rsid w:val="00A5117B"/>
    <w:rsid w:val="00A54CB5"/>
    <w:rsid w:val="00A60074"/>
    <w:rsid w:val="00A620A6"/>
    <w:rsid w:val="00A62FDA"/>
    <w:rsid w:val="00A6627C"/>
    <w:rsid w:val="00A71019"/>
    <w:rsid w:val="00A7758E"/>
    <w:rsid w:val="00A80E25"/>
    <w:rsid w:val="00A81029"/>
    <w:rsid w:val="00A83E9F"/>
    <w:rsid w:val="00A94360"/>
    <w:rsid w:val="00A96489"/>
    <w:rsid w:val="00AA4A5D"/>
    <w:rsid w:val="00AA55B5"/>
    <w:rsid w:val="00AB0C65"/>
    <w:rsid w:val="00AB685C"/>
    <w:rsid w:val="00AB6C2D"/>
    <w:rsid w:val="00AC08F7"/>
    <w:rsid w:val="00AC3839"/>
    <w:rsid w:val="00AC4C4F"/>
    <w:rsid w:val="00AC4FBD"/>
    <w:rsid w:val="00AC7082"/>
    <w:rsid w:val="00AD2931"/>
    <w:rsid w:val="00AD513F"/>
    <w:rsid w:val="00AD6870"/>
    <w:rsid w:val="00AE2316"/>
    <w:rsid w:val="00AE74BA"/>
    <w:rsid w:val="00AF228E"/>
    <w:rsid w:val="00AF2C79"/>
    <w:rsid w:val="00B016A8"/>
    <w:rsid w:val="00B070D2"/>
    <w:rsid w:val="00B12499"/>
    <w:rsid w:val="00B12EF7"/>
    <w:rsid w:val="00B14819"/>
    <w:rsid w:val="00B15E2F"/>
    <w:rsid w:val="00B17AA9"/>
    <w:rsid w:val="00B20F1A"/>
    <w:rsid w:val="00B30712"/>
    <w:rsid w:val="00B30D9A"/>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B5CBB"/>
    <w:rsid w:val="00BD73DA"/>
    <w:rsid w:val="00BE4FF3"/>
    <w:rsid w:val="00BF50F7"/>
    <w:rsid w:val="00C00B20"/>
    <w:rsid w:val="00C00E77"/>
    <w:rsid w:val="00C02F29"/>
    <w:rsid w:val="00C052B8"/>
    <w:rsid w:val="00C15FA2"/>
    <w:rsid w:val="00C20AFE"/>
    <w:rsid w:val="00C22A25"/>
    <w:rsid w:val="00C35671"/>
    <w:rsid w:val="00C35B77"/>
    <w:rsid w:val="00C35F52"/>
    <w:rsid w:val="00C376EB"/>
    <w:rsid w:val="00C46A92"/>
    <w:rsid w:val="00C46DF7"/>
    <w:rsid w:val="00C46EC1"/>
    <w:rsid w:val="00C5021E"/>
    <w:rsid w:val="00C52796"/>
    <w:rsid w:val="00C53E2C"/>
    <w:rsid w:val="00C550C8"/>
    <w:rsid w:val="00C56B61"/>
    <w:rsid w:val="00C606C3"/>
    <w:rsid w:val="00C60B85"/>
    <w:rsid w:val="00C620F4"/>
    <w:rsid w:val="00C63E03"/>
    <w:rsid w:val="00C66F80"/>
    <w:rsid w:val="00C72848"/>
    <w:rsid w:val="00C7729F"/>
    <w:rsid w:val="00C7736C"/>
    <w:rsid w:val="00C82D87"/>
    <w:rsid w:val="00C838E8"/>
    <w:rsid w:val="00C8712A"/>
    <w:rsid w:val="00C963D3"/>
    <w:rsid w:val="00CA7069"/>
    <w:rsid w:val="00CA7BC1"/>
    <w:rsid w:val="00CB1983"/>
    <w:rsid w:val="00CB2CBB"/>
    <w:rsid w:val="00CB7CAC"/>
    <w:rsid w:val="00CC5335"/>
    <w:rsid w:val="00CC5BA4"/>
    <w:rsid w:val="00CD4998"/>
    <w:rsid w:val="00CE1035"/>
    <w:rsid w:val="00CE148A"/>
    <w:rsid w:val="00CE4206"/>
    <w:rsid w:val="00CE6E50"/>
    <w:rsid w:val="00CF2819"/>
    <w:rsid w:val="00CF421A"/>
    <w:rsid w:val="00CF4F9D"/>
    <w:rsid w:val="00CF70DC"/>
    <w:rsid w:val="00D0171F"/>
    <w:rsid w:val="00D11CEB"/>
    <w:rsid w:val="00D148DC"/>
    <w:rsid w:val="00D17FDC"/>
    <w:rsid w:val="00D21F62"/>
    <w:rsid w:val="00D26E26"/>
    <w:rsid w:val="00D37CC6"/>
    <w:rsid w:val="00D41F88"/>
    <w:rsid w:val="00D43B3A"/>
    <w:rsid w:val="00D509A5"/>
    <w:rsid w:val="00D51F6A"/>
    <w:rsid w:val="00D56B4E"/>
    <w:rsid w:val="00D608A4"/>
    <w:rsid w:val="00D60E46"/>
    <w:rsid w:val="00D617A7"/>
    <w:rsid w:val="00D63EFD"/>
    <w:rsid w:val="00D651FD"/>
    <w:rsid w:val="00D66F96"/>
    <w:rsid w:val="00D75351"/>
    <w:rsid w:val="00D84752"/>
    <w:rsid w:val="00D86B3B"/>
    <w:rsid w:val="00D8748A"/>
    <w:rsid w:val="00D9187D"/>
    <w:rsid w:val="00D93196"/>
    <w:rsid w:val="00D95496"/>
    <w:rsid w:val="00DA0DC0"/>
    <w:rsid w:val="00DB1D76"/>
    <w:rsid w:val="00DB201D"/>
    <w:rsid w:val="00DB243C"/>
    <w:rsid w:val="00DB482A"/>
    <w:rsid w:val="00DB56F2"/>
    <w:rsid w:val="00DB6EF5"/>
    <w:rsid w:val="00DC000A"/>
    <w:rsid w:val="00DC3089"/>
    <w:rsid w:val="00DC4420"/>
    <w:rsid w:val="00DC5EDF"/>
    <w:rsid w:val="00DC655E"/>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36039"/>
    <w:rsid w:val="00E402D0"/>
    <w:rsid w:val="00E450A4"/>
    <w:rsid w:val="00E506BE"/>
    <w:rsid w:val="00E55547"/>
    <w:rsid w:val="00E604A1"/>
    <w:rsid w:val="00E6302B"/>
    <w:rsid w:val="00E6452F"/>
    <w:rsid w:val="00E64F45"/>
    <w:rsid w:val="00E6742D"/>
    <w:rsid w:val="00E71CB0"/>
    <w:rsid w:val="00E742B6"/>
    <w:rsid w:val="00E77C3D"/>
    <w:rsid w:val="00E81160"/>
    <w:rsid w:val="00E83CE8"/>
    <w:rsid w:val="00E90991"/>
    <w:rsid w:val="00E909F0"/>
    <w:rsid w:val="00E90D47"/>
    <w:rsid w:val="00E93993"/>
    <w:rsid w:val="00E9597C"/>
    <w:rsid w:val="00E9681E"/>
    <w:rsid w:val="00EA0913"/>
    <w:rsid w:val="00EA1145"/>
    <w:rsid w:val="00EA5B00"/>
    <w:rsid w:val="00EB146B"/>
    <w:rsid w:val="00EB45AC"/>
    <w:rsid w:val="00EB5CA4"/>
    <w:rsid w:val="00EB5F27"/>
    <w:rsid w:val="00EC00F9"/>
    <w:rsid w:val="00EC242E"/>
    <w:rsid w:val="00ED0BC4"/>
    <w:rsid w:val="00ED20E8"/>
    <w:rsid w:val="00ED472A"/>
    <w:rsid w:val="00ED54B6"/>
    <w:rsid w:val="00EE4971"/>
    <w:rsid w:val="00EF090E"/>
    <w:rsid w:val="00EF399C"/>
    <w:rsid w:val="00F033DA"/>
    <w:rsid w:val="00F03D60"/>
    <w:rsid w:val="00F13FB1"/>
    <w:rsid w:val="00F15C3C"/>
    <w:rsid w:val="00F27CD8"/>
    <w:rsid w:val="00F30351"/>
    <w:rsid w:val="00F3323E"/>
    <w:rsid w:val="00F341F4"/>
    <w:rsid w:val="00F34F9D"/>
    <w:rsid w:val="00F357F0"/>
    <w:rsid w:val="00F35CCE"/>
    <w:rsid w:val="00F5524B"/>
    <w:rsid w:val="00F55B87"/>
    <w:rsid w:val="00F60538"/>
    <w:rsid w:val="00F61DD2"/>
    <w:rsid w:val="00F66AFF"/>
    <w:rsid w:val="00F71433"/>
    <w:rsid w:val="00F76CD4"/>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57291449">
      <w:bodyDiv w:val="1"/>
      <w:marLeft w:val="0"/>
      <w:marRight w:val="0"/>
      <w:marTop w:val="0"/>
      <w:marBottom w:val="0"/>
      <w:divBdr>
        <w:top w:val="none" w:sz="0" w:space="0" w:color="auto"/>
        <w:left w:val="none" w:sz="0" w:space="0" w:color="auto"/>
        <w:bottom w:val="none" w:sz="0" w:space="0" w:color="auto"/>
        <w:right w:val="none" w:sz="0" w:space="0" w:color="auto"/>
      </w:divBdr>
      <w:divsChild>
        <w:div w:id="1684892385">
          <w:marLeft w:val="0"/>
          <w:marRight w:val="0"/>
          <w:marTop w:val="0"/>
          <w:marBottom w:val="0"/>
          <w:divBdr>
            <w:top w:val="single" w:sz="2" w:space="0" w:color="D9D9E3"/>
            <w:left w:val="single" w:sz="2" w:space="0" w:color="D9D9E3"/>
            <w:bottom w:val="single" w:sz="2" w:space="0" w:color="D9D9E3"/>
            <w:right w:val="single" w:sz="2" w:space="0" w:color="D9D9E3"/>
          </w:divBdr>
          <w:divsChild>
            <w:div w:id="1536457572">
              <w:marLeft w:val="0"/>
              <w:marRight w:val="0"/>
              <w:marTop w:val="0"/>
              <w:marBottom w:val="0"/>
              <w:divBdr>
                <w:top w:val="single" w:sz="2" w:space="0" w:color="D9D9E3"/>
                <w:left w:val="single" w:sz="2" w:space="0" w:color="D9D9E3"/>
                <w:bottom w:val="single" w:sz="2" w:space="0" w:color="D9D9E3"/>
                <w:right w:val="single" w:sz="2" w:space="0" w:color="D9D9E3"/>
              </w:divBdr>
              <w:divsChild>
                <w:div w:id="2072843308">
                  <w:marLeft w:val="0"/>
                  <w:marRight w:val="0"/>
                  <w:marTop w:val="0"/>
                  <w:marBottom w:val="0"/>
                  <w:divBdr>
                    <w:top w:val="single" w:sz="2" w:space="0" w:color="D9D9E3"/>
                    <w:left w:val="single" w:sz="2" w:space="0" w:color="D9D9E3"/>
                    <w:bottom w:val="single" w:sz="2" w:space="0" w:color="D9D9E3"/>
                    <w:right w:val="single" w:sz="2" w:space="0" w:color="D9D9E3"/>
                  </w:divBdr>
                  <w:divsChild>
                    <w:div w:id="1305698921">
                      <w:marLeft w:val="0"/>
                      <w:marRight w:val="0"/>
                      <w:marTop w:val="0"/>
                      <w:marBottom w:val="0"/>
                      <w:divBdr>
                        <w:top w:val="single" w:sz="2" w:space="0" w:color="D9D9E3"/>
                        <w:left w:val="single" w:sz="2" w:space="0" w:color="D9D9E3"/>
                        <w:bottom w:val="single" w:sz="2" w:space="0" w:color="D9D9E3"/>
                        <w:right w:val="single" w:sz="2" w:space="0" w:color="D9D9E3"/>
                      </w:divBdr>
                      <w:divsChild>
                        <w:div w:id="251741261">
                          <w:marLeft w:val="0"/>
                          <w:marRight w:val="0"/>
                          <w:marTop w:val="0"/>
                          <w:marBottom w:val="0"/>
                          <w:divBdr>
                            <w:top w:val="single" w:sz="2" w:space="0" w:color="auto"/>
                            <w:left w:val="single" w:sz="2" w:space="0" w:color="auto"/>
                            <w:bottom w:val="single" w:sz="6" w:space="0" w:color="auto"/>
                            <w:right w:val="single" w:sz="2" w:space="0" w:color="auto"/>
                          </w:divBdr>
                          <w:divsChild>
                            <w:div w:id="595750873">
                              <w:marLeft w:val="0"/>
                              <w:marRight w:val="0"/>
                              <w:marTop w:val="100"/>
                              <w:marBottom w:val="100"/>
                              <w:divBdr>
                                <w:top w:val="single" w:sz="2" w:space="0" w:color="D9D9E3"/>
                                <w:left w:val="single" w:sz="2" w:space="0" w:color="D9D9E3"/>
                                <w:bottom w:val="single" w:sz="2" w:space="0" w:color="D9D9E3"/>
                                <w:right w:val="single" w:sz="2" w:space="0" w:color="D9D9E3"/>
                              </w:divBdr>
                              <w:divsChild>
                                <w:div w:id="526793453">
                                  <w:marLeft w:val="0"/>
                                  <w:marRight w:val="0"/>
                                  <w:marTop w:val="0"/>
                                  <w:marBottom w:val="0"/>
                                  <w:divBdr>
                                    <w:top w:val="single" w:sz="2" w:space="0" w:color="D9D9E3"/>
                                    <w:left w:val="single" w:sz="2" w:space="0" w:color="D9D9E3"/>
                                    <w:bottom w:val="single" w:sz="2" w:space="0" w:color="D9D9E3"/>
                                    <w:right w:val="single" w:sz="2" w:space="0" w:color="D9D9E3"/>
                                  </w:divBdr>
                                  <w:divsChild>
                                    <w:div w:id="2057045714">
                                      <w:marLeft w:val="0"/>
                                      <w:marRight w:val="0"/>
                                      <w:marTop w:val="0"/>
                                      <w:marBottom w:val="0"/>
                                      <w:divBdr>
                                        <w:top w:val="single" w:sz="2" w:space="0" w:color="D9D9E3"/>
                                        <w:left w:val="single" w:sz="2" w:space="0" w:color="D9D9E3"/>
                                        <w:bottom w:val="single" w:sz="2" w:space="0" w:color="D9D9E3"/>
                                        <w:right w:val="single" w:sz="2" w:space="0" w:color="D9D9E3"/>
                                      </w:divBdr>
                                      <w:divsChild>
                                        <w:div w:id="500200042">
                                          <w:marLeft w:val="0"/>
                                          <w:marRight w:val="0"/>
                                          <w:marTop w:val="0"/>
                                          <w:marBottom w:val="0"/>
                                          <w:divBdr>
                                            <w:top w:val="single" w:sz="2" w:space="0" w:color="D9D9E3"/>
                                            <w:left w:val="single" w:sz="2" w:space="0" w:color="D9D9E3"/>
                                            <w:bottom w:val="single" w:sz="2" w:space="0" w:color="D9D9E3"/>
                                            <w:right w:val="single" w:sz="2" w:space="0" w:color="D9D9E3"/>
                                          </w:divBdr>
                                          <w:divsChild>
                                            <w:div w:id="18053464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66409108">
          <w:marLeft w:val="0"/>
          <w:marRight w:val="0"/>
          <w:marTop w:val="0"/>
          <w:marBottom w:val="0"/>
          <w:divBdr>
            <w:top w:val="none" w:sz="0" w:space="0" w:color="auto"/>
            <w:left w:val="none" w:sz="0" w:space="0" w:color="auto"/>
            <w:bottom w:val="none" w:sz="0" w:space="0" w:color="auto"/>
            <w:right w:val="none" w:sz="0" w:space="0" w:color="auto"/>
          </w:divBdr>
          <w:divsChild>
            <w:div w:id="806506930">
              <w:marLeft w:val="0"/>
              <w:marRight w:val="0"/>
              <w:marTop w:val="0"/>
              <w:marBottom w:val="0"/>
              <w:divBdr>
                <w:top w:val="single" w:sz="2" w:space="0" w:color="D9D9E3"/>
                <w:left w:val="single" w:sz="2" w:space="0" w:color="D9D9E3"/>
                <w:bottom w:val="single" w:sz="2" w:space="0" w:color="D9D9E3"/>
                <w:right w:val="single" w:sz="2" w:space="0" w:color="D9D9E3"/>
              </w:divBdr>
              <w:divsChild>
                <w:div w:id="1759712659">
                  <w:marLeft w:val="0"/>
                  <w:marRight w:val="0"/>
                  <w:marTop w:val="0"/>
                  <w:marBottom w:val="0"/>
                  <w:divBdr>
                    <w:top w:val="single" w:sz="2" w:space="0" w:color="D9D9E3"/>
                    <w:left w:val="single" w:sz="2" w:space="0" w:color="D9D9E3"/>
                    <w:bottom w:val="single" w:sz="2" w:space="0" w:color="D9D9E3"/>
                    <w:right w:val="single" w:sz="2" w:space="0" w:color="D9D9E3"/>
                  </w:divBdr>
                  <w:divsChild>
                    <w:div w:id="1446387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5298</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Ismail Hajeir</cp:lastModifiedBy>
  <cp:revision>77</cp:revision>
  <cp:lastPrinted>2019-08-27T05:42:00Z</cp:lastPrinted>
  <dcterms:created xsi:type="dcterms:W3CDTF">2023-04-10T08:28:00Z</dcterms:created>
  <dcterms:modified xsi:type="dcterms:W3CDTF">2023-04-10T17:38:00Z</dcterms:modified>
</cp:coreProperties>
</file>