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BA7FF3" w:rsidRDefault="00500836" w:rsidP="00500836">
      <w:pPr>
        <w:pStyle w:val="ListParagraph"/>
        <w:numPr>
          <w:ilvl w:val="0"/>
          <w:numId w:val="22"/>
        </w:numPr>
        <w:ind w:left="426"/>
        <w:jc w:val="both"/>
        <w:rPr>
          <w:rFonts w:ascii="Avenir Next" w:hAnsi="Avenir Next" w:cs="Arial"/>
          <w:sz w:val="22"/>
          <w:szCs w:val="22"/>
          <w:highlight w:val="yellow"/>
          <w:lang w:val="en-GB"/>
        </w:rPr>
      </w:pPr>
      <w:r w:rsidRPr="00BA7FF3">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BA7FF3" w:rsidRDefault="00D03AE2" w:rsidP="00D03AE2">
      <w:pPr>
        <w:pStyle w:val="ListParagraph"/>
        <w:numPr>
          <w:ilvl w:val="0"/>
          <w:numId w:val="23"/>
        </w:numPr>
        <w:ind w:left="426"/>
        <w:jc w:val="both"/>
        <w:rPr>
          <w:rFonts w:ascii="Avenir Next" w:hAnsi="Avenir Next" w:cs="Arial"/>
          <w:sz w:val="22"/>
          <w:szCs w:val="22"/>
          <w:highlight w:val="yellow"/>
        </w:rPr>
      </w:pPr>
      <w:r w:rsidRPr="00BA7FF3">
        <w:rPr>
          <w:rFonts w:ascii="Avenir Next" w:hAnsi="Avenir Next" w:cs="Arial"/>
          <w:sz w:val="22"/>
          <w:szCs w:val="22"/>
          <w:highlight w:val="yellow"/>
        </w:rPr>
        <w:t>T</w:t>
      </w:r>
      <w:r w:rsidR="00582326" w:rsidRPr="00BA7FF3">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BA7FF3" w:rsidRDefault="00771D67" w:rsidP="00992661">
      <w:pPr>
        <w:pStyle w:val="ListParagraph"/>
        <w:numPr>
          <w:ilvl w:val="0"/>
          <w:numId w:val="24"/>
        </w:numPr>
        <w:ind w:left="426"/>
        <w:rPr>
          <w:rFonts w:ascii="Avenir Next" w:hAnsi="Avenir Next" w:cs="Arial"/>
          <w:sz w:val="22"/>
          <w:szCs w:val="22"/>
          <w:highlight w:val="yellow"/>
        </w:rPr>
      </w:pPr>
      <w:r w:rsidRPr="00BA7FF3">
        <w:rPr>
          <w:rFonts w:ascii="Avenir Next" w:hAnsi="Avenir Next" w:cs="Arial"/>
          <w:sz w:val="22"/>
          <w:szCs w:val="22"/>
          <w:highlight w:val="yellow"/>
        </w:rPr>
        <w:t xml:space="preserve">The CCAA is available to companies with debts </w:t>
      </w:r>
      <w:r w:rsidR="00992661" w:rsidRPr="00BA7FF3">
        <w:rPr>
          <w:rFonts w:ascii="Avenir Next" w:hAnsi="Avenir Next" w:cs="Arial"/>
          <w:sz w:val="22"/>
          <w:szCs w:val="22"/>
          <w:highlight w:val="yellow"/>
        </w:rPr>
        <w:t xml:space="preserve">of </w:t>
      </w:r>
      <w:r w:rsidRPr="00BA7FF3">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B4609D" w:rsidRDefault="00B4609D" w:rsidP="00B4609D">
      <w:pPr>
        <w:pStyle w:val="ListParagraph"/>
        <w:numPr>
          <w:ilvl w:val="0"/>
          <w:numId w:val="25"/>
        </w:numPr>
        <w:ind w:left="426"/>
        <w:jc w:val="both"/>
        <w:rPr>
          <w:rFonts w:ascii="Avenir Next" w:hAnsi="Avenir Next" w:cs="Arial"/>
          <w:sz w:val="22"/>
          <w:szCs w:val="22"/>
        </w:rPr>
      </w:pPr>
      <w:r w:rsidRPr="00BA7FF3">
        <w:rPr>
          <w:rFonts w:ascii="Avenir Next" w:hAnsi="Avenir Next" w:cs="Arial"/>
          <w:sz w:val="22"/>
          <w:szCs w:val="22"/>
          <w:highlight w:val="yellow"/>
        </w:rPr>
        <w:t>all of the above statements</w:t>
      </w:r>
      <w:r w:rsidR="00D40715" w:rsidRPr="00BA7FF3">
        <w:rPr>
          <w:rFonts w:ascii="Avenir Next" w:hAnsi="Avenir Next" w:cs="Arial"/>
          <w:sz w:val="22"/>
          <w:szCs w:val="22"/>
          <w:highlight w:val="yellow"/>
        </w:rPr>
        <w:t xml:space="preserve"> are correct</w:t>
      </w:r>
      <w:r w:rsidRPr="00B4609D">
        <w:rPr>
          <w:rFonts w:ascii="Avenir Next" w:hAnsi="Avenir Next" w:cs="Arial"/>
          <w:sz w:val="22"/>
          <w:szCs w:val="22"/>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BA7FF3"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BA7FF3">
        <w:rPr>
          <w:rFonts w:ascii="Avenir Next" w:hAnsi="Avenir Next" w:cs="Arial"/>
          <w:sz w:val="22"/>
          <w:szCs w:val="22"/>
          <w:highlight w:val="yellow"/>
          <w:lang w:val="en-GB"/>
        </w:rPr>
        <w:t>A</w:t>
      </w:r>
      <w:r w:rsidR="00012B29" w:rsidRPr="00BA7FF3">
        <w:rPr>
          <w:rFonts w:ascii="Avenir Next" w:hAnsi="Avenir Next" w:cs="Arial"/>
          <w:sz w:val="22"/>
          <w:szCs w:val="22"/>
          <w:highlight w:val="yellow"/>
          <w:lang w:val="en-GB"/>
        </w:rPr>
        <w:t xml:space="preserve"> person whose liabilities to creditors provable as claims under the BIA amount to at least CAD 10,000</w:t>
      </w:r>
      <w:r w:rsidRPr="00BA7FF3">
        <w:rPr>
          <w:rFonts w:ascii="Avenir Next" w:hAnsi="Avenir Next" w:cs="Arial"/>
          <w:sz w:val="22"/>
          <w:szCs w:val="22"/>
          <w:highlight w:val="yellow"/>
          <w:lang w:val="en-GB"/>
        </w:rPr>
        <w:t>.</w:t>
      </w:r>
      <w:r w:rsidR="00012B29" w:rsidRPr="00BA7FF3">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5F18C7" w:rsidRDefault="00351EF7" w:rsidP="00351EF7">
      <w:pPr>
        <w:pStyle w:val="ListParagraph"/>
        <w:numPr>
          <w:ilvl w:val="0"/>
          <w:numId w:val="27"/>
        </w:numPr>
        <w:ind w:left="426"/>
        <w:jc w:val="both"/>
        <w:rPr>
          <w:rFonts w:ascii="Avenir Next" w:hAnsi="Avenir Next" w:cs="Arial"/>
          <w:sz w:val="22"/>
          <w:szCs w:val="22"/>
          <w:highlight w:val="yellow"/>
          <w:lang w:val="en-GB"/>
        </w:rPr>
      </w:pPr>
      <w:r w:rsidRPr="005F18C7">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BA7FF3"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BA7FF3">
        <w:rPr>
          <w:rFonts w:ascii="Avenir Next" w:hAnsi="Avenir Next" w:cs="Arial"/>
          <w:iCs/>
          <w:sz w:val="22"/>
          <w:szCs w:val="22"/>
          <w:highlight w:val="yellow"/>
          <w:lang w:val="en-GB"/>
        </w:rPr>
        <w:t>False</w:t>
      </w:r>
      <w:r w:rsidR="00F47A63" w:rsidRPr="00BA7FF3">
        <w:rPr>
          <w:rFonts w:ascii="Avenir Next" w:hAnsi="Avenir Next" w:cs="Arial"/>
          <w:iCs/>
          <w:sz w:val="22"/>
          <w:szCs w:val="22"/>
          <w:highlight w:val="yellow"/>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BA7FF3"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BA7FF3">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BA7FF3"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BA7FF3">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C46607"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C46607">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1EF982E5" w:rsidR="006F4E04" w:rsidRPr="00BA7FF3" w:rsidRDefault="00BA7FF3" w:rsidP="009B7C9D">
      <w:pPr>
        <w:jc w:val="both"/>
        <w:rPr>
          <w:rFonts w:ascii="Avenir Next" w:hAnsi="Avenir Next" w:cs="Arial"/>
          <w:sz w:val="22"/>
          <w:szCs w:val="22"/>
          <w:lang w:val="en-GB"/>
        </w:rPr>
      </w:pPr>
      <w:r w:rsidRPr="00BA7FF3">
        <w:rPr>
          <w:rFonts w:ascii="Avenir Next" w:hAnsi="Avenir Next" w:cs="Arial"/>
          <w:sz w:val="22"/>
          <w:szCs w:val="22"/>
          <w:lang w:val="en-GB"/>
        </w:rPr>
        <w:t>Some of the recognised purposes of the BIA are:</w:t>
      </w:r>
    </w:p>
    <w:p w14:paraId="651F584A" w14:textId="7E8B0B8F" w:rsidR="00BA7FF3" w:rsidRPr="00BA7FF3" w:rsidRDefault="00BA7FF3" w:rsidP="009B7C9D">
      <w:pPr>
        <w:jc w:val="both"/>
        <w:rPr>
          <w:rFonts w:ascii="Avenir Next" w:hAnsi="Avenir Next" w:cs="Arial"/>
          <w:sz w:val="22"/>
          <w:szCs w:val="22"/>
          <w:lang w:val="en-GB"/>
        </w:rPr>
      </w:pPr>
    </w:p>
    <w:p w14:paraId="374776BE" w14:textId="75891A1B" w:rsidR="00BA7FF3" w:rsidRPr="00BA7FF3" w:rsidRDefault="00BA7FF3" w:rsidP="00BA7FF3">
      <w:pPr>
        <w:pStyle w:val="ListParagraph"/>
        <w:numPr>
          <w:ilvl w:val="0"/>
          <w:numId w:val="31"/>
        </w:numPr>
        <w:jc w:val="both"/>
        <w:rPr>
          <w:rFonts w:ascii="Avenir Next" w:hAnsi="Avenir Next" w:cs="Arial"/>
          <w:sz w:val="22"/>
          <w:szCs w:val="22"/>
          <w:lang w:val="en-GB"/>
        </w:rPr>
      </w:pPr>
      <w:r w:rsidRPr="00BA7FF3">
        <w:rPr>
          <w:rFonts w:ascii="Avenir Next" w:hAnsi="Avenir Next" w:cs="Arial"/>
          <w:sz w:val="22"/>
          <w:szCs w:val="22"/>
          <w:lang w:val="en-GB"/>
        </w:rPr>
        <w:t>Providing for the financial rehabilitation of insolvent persons;</w:t>
      </w:r>
    </w:p>
    <w:p w14:paraId="27BB7B51" w14:textId="3D7ECEA3" w:rsidR="00BA7FF3" w:rsidRPr="00BA7FF3" w:rsidRDefault="00BA7FF3" w:rsidP="00BA7FF3">
      <w:pPr>
        <w:pStyle w:val="ListParagraph"/>
        <w:numPr>
          <w:ilvl w:val="0"/>
          <w:numId w:val="31"/>
        </w:numPr>
        <w:jc w:val="both"/>
        <w:rPr>
          <w:rFonts w:ascii="Avenir Next" w:hAnsi="Avenir Next" w:cs="Arial"/>
          <w:sz w:val="22"/>
          <w:szCs w:val="22"/>
          <w:lang w:val="en-GB"/>
        </w:rPr>
      </w:pPr>
      <w:r w:rsidRPr="00BA7FF3">
        <w:rPr>
          <w:rFonts w:ascii="Avenir Next" w:hAnsi="Avenir Next" w:cs="Arial"/>
          <w:sz w:val="22"/>
          <w:szCs w:val="22"/>
          <w:lang w:val="en-GB"/>
        </w:rPr>
        <w:lastRenderedPageBreak/>
        <w:t>Providing a collective proceeding for orderly and fair distribution of property of a bankrupt among unsecured creditors on a pari passu basis; and</w:t>
      </w:r>
    </w:p>
    <w:p w14:paraId="44CA0B25" w14:textId="64526E6F" w:rsidR="00BA7FF3" w:rsidRPr="00BA7FF3" w:rsidRDefault="00BA7FF3" w:rsidP="00BA7FF3">
      <w:pPr>
        <w:pStyle w:val="ListParagraph"/>
        <w:numPr>
          <w:ilvl w:val="0"/>
          <w:numId w:val="31"/>
        </w:numPr>
        <w:jc w:val="both"/>
        <w:rPr>
          <w:rFonts w:ascii="Avenir Next" w:hAnsi="Avenir Next" w:cs="Arial"/>
          <w:sz w:val="22"/>
          <w:szCs w:val="22"/>
          <w:lang w:val="en-GB"/>
        </w:rPr>
      </w:pPr>
      <w:r w:rsidRPr="00BA7FF3">
        <w:rPr>
          <w:rFonts w:ascii="Avenir Next" w:hAnsi="Avenir Next" w:cs="Arial"/>
          <w:sz w:val="22"/>
          <w:szCs w:val="22"/>
          <w:lang w:val="en-GB"/>
        </w:rPr>
        <w:t>Allowing for an investigation to be made into the affairs of the bankrupt.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1B098160" w:rsidR="006F4E04" w:rsidRDefault="00BA7FF3" w:rsidP="006F4E04">
      <w:pPr>
        <w:jc w:val="both"/>
        <w:rPr>
          <w:rFonts w:ascii="Avenir Next" w:hAnsi="Avenir Next" w:cs="Arial"/>
          <w:sz w:val="22"/>
          <w:szCs w:val="22"/>
          <w:lang w:val="en-GB"/>
        </w:rPr>
      </w:pPr>
      <w:bookmarkStart w:id="0" w:name="_Hlk17709135"/>
      <w:r>
        <w:rPr>
          <w:rFonts w:ascii="Avenir Next" w:hAnsi="Avenir Next" w:cs="Arial"/>
          <w:sz w:val="22"/>
          <w:szCs w:val="22"/>
          <w:lang w:val="en-GB"/>
        </w:rPr>
        <w:t>In bankruptcy an individual bankrupt may keep the following:</w:t>
      </w:r>
    </w:p>
    <w:p w14:paraId="56B50F26" w14:textId="0CA075AE" w:rsidR="00BA7FF3" w:rsidRDefault="00BA7FF3" w:rsidP="00BA7FF3">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A potion of their income to maintain a reasonable standard of living (standards are set by the Superintendent of Bankruptcy);</w:t>
      </w:r>
    </w:p>
    <w:p w14:paraId="02CF3B7A" w14:textId="183F5A69" w:rsidR="00BA7FF3" w:rsidRDefault="00BA7FF3" w:rsidP="00BA7FF3">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A motor vehicle up to a certain value;</w:t>
      </w:r>
    </w:p>
    <w:p w14:paraId="517C29F0" w14:textId="2BA34F6C" w:rsidR="00BA7FF3" w:rsidRDefault="00BA7FF3" w:rsidP="00BA7FF3">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Personal items and clothing;</w:t>
      </w:r>
    </w:p>
    <w:p w14:paraId="332AAAFE" w14:textId="23F2DA48" w:rsidR="00BA7FF3" w:rsidRDefault="00BA7FF3" w:rsidP="00BA7FF3">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Tools necessary for their work;</w:t>
      </w:r>
    </w:p>
    <w:p w14:paraId="36ACD300" w14:textId="1DC9380B" w:rsidR="00BA7FF3" w:rsidRDefault="00BA7FF3" w:rsidP="00BA7FF3">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Certain farm property; and</w:t>
      </w:r>
    </w:p>
    <w:p w14:paraId="4B77D06B" w14:textId="7873BD4A" w:rsidR="00BA7FF3" w:rsidRPr="00BA7FF3" w:rsidRDefault="00BA7FF3" w:rsidP="00BA7FF3">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In certain provinces a limited homestead exemption applies.</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77EEE418" w:rsidR="006F4E04" w:rsidRPr="005F18C7" w:rsidRDefault="005F18C7" w:rsidP="006F4E04">
      <w:pPr>
        <w:jc w:val="both"/>
        <w:rPr>
          <w:rFonts w:ascii="Avenir Next" w:hAnsi="Avenir Next" w:cs="Arial"/>
          <w:sz w:val="22"/>
          <w:szCs w:val="22"/>
          <w:lang w:val="en-GB"/>
        </w:rPr>
      </w:pPr>
      <w:r w:rsidRPr="005F18C7">
        <w:rPr>
          <w:rFonts w:ascii="Avenir Next" w:hAnsi="Avenir Next" w:cs="Arial"/>
          <w:sz w:val="22"/>
          <w:szCs w:val="22"/>
          <w:lang w:val="en-GB"/>
        </w:rPr>
        <w:t xml:space="preserve">‘CCAA Monitors’ </w:t>
      </w:r>
      <w:r>
        <w:rPr>
          <w:rFonts w:ascii="Avenir Next" w:hAnsi="Avenir Next" w:cs="Arial"/>
          <w:sz w:val="22"/>
          <w:szCs w:val="22"/>
          <w:lang w:val="en-GB"/>
        </w:rPr>
        <w:t>– appointed by the Court to oversee plans of arrangement.</w:t>
      </w:r>
    </w:p>
    <w:p w14:paraId="365C3FE3" w14:textId="1C0D9B83" w:rsidR="005F18C7" w:rsidRPr="005F18C7" w:rsidRDefault="005F18C7" w:rsidP="006F4E04">
      <w:pPr>
        <w:jc w:val="both"/>
        <w:rPr>
          <w:rFonts w:ascii="Avenir Next" w:hAnsi="Avenir Next" w:cs="Arial"/>
          <w:sz w:val="22"/>
          <w:szCs w:val="22"/>
          <w:lang w:val="en-GB"/>
        </w:rPr>
      </w:pPr>
      <w:r w:rsidRPr="005F18C7">
        <w:rPr>
          <w:rFonts w:ascii="Avenir Next" w:hAnsi="Avenir Next" w:cs="Arial"/>
          <w:sz w:val="22"/>
          <w:szCs w:val="22"/>
          <w:lang w:val="en-GB"/>
        </w:rPr>
        <w:t>‘Receivers’</w:t>
      </w:r>
      <w:r>
        <w:rPr>
          <w:rFonts w:ascii="Avenir Next" w:hAnsi="Avenir Next" w:cs="Arial"/>
          <w:sz w:val="22"/>
          <w:szCs w:val="22"/>
          <w:lang w:val="en-GB"/>
        </w:rPr>
        <w:t xml:space="preserve"> – appointed by the Court and returns to Court for approval of their activities and distributions to creditors.</w:t>
      </w:r>
    </w:p>
    <w:p w14:paraId="6C3488D6" w14:textId="3A46E3D3" w:rsidR="005F18C7" w:rsidRPr="005F18C7" w:rsidRDefault="005F18C7" w:rsidP="006F4E04">
      <w:pPr>
        <w:jc w:val="both"/>
        <w:rPr>
          <w:rFonts w:ascii="Avenir Next" w:hAnsi="Avenir Next" w:cs="Arial"/>
          <w:sz w:val="22"/>
          <w:szCs w:val="22"/>
          <w:lang w:val="en-GB"/>
        </w:rPr>
      </w:pPr>
      <w:r w:rsidRPr="005F18C7">
        <w:rPr>
          <w:rFonts w:ascii="Avenir Next" w:hAnsi="Avenir Next" w:cs="Arial"/>
          <w:sz w:val="22"/>
          <w:szCs w:val="22"/>
          <w:lang w:val="en-GB"/>
        </w:rPr>
        <w:t>‘Trustees’</w:t>
      </w:r>
      <w:r>
        <w:rPr>
          <w:rFonts w:ascii="Avenir Next" w:hAnsi="Avenir Next" w:cs="Arial"/>
          <w:sz w:val="22"/>
          <w:szCs w:val="22"/>
          <w:lang w:val="en-GB"/>
        </w:rPr>
        <w:t xml:space="preserve"> – manage BIA liquidating bankruptcy proceedings. The trustee must seek the Court’s approval for certain acts such as selling the debtor’s property.</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59DFD5A4" w:rsidR="006F4E04" w:rsidRPr="005F18C7" w:rsidRDefault="005F18C7" w:rsidP="000101F5">
      <w:pPr>
        <w:jc w:val="both"/>
        <w:rPr>
          <w:rFonts w:ascii="Avenir Next" w:hAnsi="Avenir Next" w:cs="Arial"/>
          <w:sz w:val="22"/>
          <w:szCs w:val="22"/>
          <w:lang w:val="en-GB"/>
        </w:rPr>
      </w:pPr>
      <w:r>
        <w:rPr>
          <w:rFonts w:ascii="Avenir Next" w:hAnsi="Avenir Next" w:cs="Arial"/>
          <w:sz w:val="22"/>
          <w:szCs w:val="22"/>
          <w:lang w:val="en-GB"/>
        </w:rPr>
        <w:t>“Person” is defined in section 2 of the BIA quite broadly and it includes: partnerships, unincorporated associations, a corporation, a cooperative society or cooperative organisation as well as the successors, heirs, executors, liquidators of the succession, administrators or other legal representatives of the person.</w:t>
      </w: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6F193F9B" w:rsidR="00F47A63" w:rsidRDefault="002C42EF" w:rsidP="00D67759">
      <w:pPr>
        <w:jc w:val="both"/>
        <w:rPr>
          <w:rFonts w:ascii="Avenir Next" w:hAnsi="Avenir Next" w:cs="Arial"/>
          <w:sz w:val="22"/>
          <w:szCs w:val="22"/>
          <w:lang w:val="en-GB"/>
        </w:rPr>
      </w:pPr>
      <w:r>
        <w:rPr>
          <w:rFonts w:ascii="Avenir Next" w:hAnsi="Avenir Next" w:cs="Arial"/>
          <w:sz w:val="22"/>
          <w:szCs w:val="22"/>
          <w:lang w:val="en-GB"/>
        </w:rPr>
        <w:lastRenderedPageBreak/>
        <w:t>‘Receivers’ are licensed professionals who are given the authority to deal with the debtor’s assets and also have the a</w:t>
      </w:r>
      <w:r w:rsidR="008504B4">
        <w:rPr>
          <w:rFonts w:ascii="Avenir Next" w:hAnsi="Avenir Next" w:cs="Arial"/>
          <w:sz w:val="22"/>
          <w:szCs w:val="22"/>
          <w:lang w:val="en-GB"/>
        </w:rPr>
        <w:t xml:space="preserve">uthority to replace existing management in the day to day operation of the business. Receivership is an equitable remedy in the Canadian jurisdiction primarily aimed at protecting the interests of secured creditors. However common law developments have broadened the scope of receivership to include replacing poorly performing of an otherwise profitable business that is not satisfying debts due, protecting and preserving assets on an interim basis or to facilitate a going-concern sale of a business. </w:t>
      </w:r>
    </w:p>
    <w:p w14:paraId="36AA0A8E" w14:textId="3463BD22" w:rsidR="008504B4" w:rsidRDefault="008504B4" w:rsidP="00D67759">
      <w:pPr>
        <w:jc w:val="both"/>
        <w:rPr>
          <w:rFonts w:ascii="Avenir Next" w:hAnsi="Avenir Next" w:cs="Arial"/>
          <w:sz w:val="22"/>
          <w:szCs w:val="22"/>
          <w:lang w:val="en-GB"/>
        </w:rPr>
      </w:pPr>
    </w:p>
    <w:p w14:paraId="715B8921" w14:textId="6A6C3C86" w:rsidR="008504B4" w:rsidRDefault="008504B4" w:rsidP="00D67759">
      <w:pPr>
        <w:jc w:val="both"/>
        <w:rPr>
          <w:rFonts w:ascii="Avenir Next" w:hAnsi="Avenir Next" w:cs="Arial"/>
          <w:sz w:val="22"/>
          <w:szCs w:val="22"/>
          <w:lang w:val="en-GB"/>
        </w:rPr>
      </w:pPr>
      <w:r>
        <w:rPr>
          <w:rFonts w:ascii="Avenir Next" w:hAnsi="Avenir Next" w:cs="Arial"/>
          <w:sz w:val="22"/>
          <w:szCs w:val="22"/>
          <w:lang w:val="en-GB"/>
        </w:rPr>
        <w:t>Receivers are split into two types: ‘Private Receivers’ and ‘Court-Appointed Receivers’.</w:t>
      </w:r>
    </w:p>
    <w:p w14:paraId="555ABE6A" w14:textId="1547CB44" w:rsidR="008504B4" w:rsidRDefault="008504B4" w:rsidP="00D67759">
      <w:pPr>
        <w:jc w:val="both"/>
        <w:rPr>
          <w:rFonts w:ascii="Avenir Next" w:hAnsi="Avenir Next" w:cs="Arial"/>
          <w:sz w:val="22"/>
          <w:szCs w:val="22"/>
          <w:lang w:val="en-GB"/>
        </w:rPr>
      </w:pPr>
    </w:p>
    <w:p w14:paraId="7E4DB29C" w14:textId="577A5849" w:rsidR="008504B4" w:rsidRDefault="008504B4" w:rsidP="00D67759">
      <w:pPr>
        <w:jc w:val="both"/>
        <w:rPr>
          <w:rFonts w:ascii="Avenir Next" w:hAnsi="Avenir Next" w:cs="Arial"/>
          <w:sz w:val="22"/>
          <w:szCs w:val="22"/>
          <w:lang w:val="en-GB"/>
        </w:rPr>
      </w:pPr>
      <w:r>
        <w:rPr>
          <w:rFonts w:ascii="Avenir Next" w:hAnsi="Avenir Next" w:cs="Arial"/>
          <w:sz w:val="22"/>
          <w:szCs w:val="22"/>
          <w:lang w:val="en-GB"/>
        </w:rPr>
        <w:t xml:space="preserve">Private Receivers (“PRs”) are appointed by virtue of certain clauses in security agreements where by secured creditors have an enshrined contractual right to appoint a receiver if the debtor is unable to meet its obligations under the agreement. A PR’s duty is primarily </w:t>
      </w:r>
      <w:r w:rsidR="00781C5D">
        <w:rPr>
          <w:rFonts w:ascii="Avenir Next" w:hAnsi="Avenir Next" w:cs="Arial"/>
          <w:sz w:val="22"/>
          <w:szCs w:val="22"/>
          <w:lang w:val="en-GB"/>
        </w:rPr>
        <w:t xml:space="preserve">to work for the benefit of the </w:t>
      </w:r>
      <w:r w:rsidR="00ED1B5E">
        <w:rPr>
          <w:rFonts w:ascii="Avenir Next" w:hAnsi="Avenir Next" w:cs="Arial"/>
          <w:sz w:val="22"/>
          <w:szCs w:val="22"/>
          <w:lang w:val="en-GB"/>
        </w:rPr>
        <w:t>se</w:t>
      </w:r>
      <w:r w:rsidR="00781C5D">
        <w:rPr>
          <w:rFonts w:ascii="Avenir Next" w:hAnsi="Avenir Next" w:cs="Arial"/>
          <w:sz w:val="22"/>
          <w:szCs w:val="22"/>
          <w:lang w:val="en-GB"/>
        </w:rPr>
        <w:t>cured creditor who appointed them – usually by recovering, selling and realising funds to repay the debt. However a PR still has a general duty to act honestly, in a commercially reasonable manner and in good faith. They must attempt to maximise recoveries from the debtor’s assets. Any sums recovered over and above the level of security will be returned to the debtor.</w:t>
      </w:r>
    </w:p>
    <w:p w14:paraId="1B04AEDA" w14:textId="1DB49306" w:rsidR="00781C5D" w:rsidRDefault="00781C5D" w:rsidP="00D67759">
      <w:pPr>
        <w:jc w:val="both"/>
        <w:rPr>
          <w:rFonts w:ascii="Avenir Next" w:hAnsi="Avenir Next" w:cs="Arial"/>
          <w:sz w:val="22"/>
          <w:szCs w:val="22"/>
          <w:lang w:val="en-GB"/>
        </w:rPr>
      </w:pPr>
    </w:p>
    <w:p w14:paraId="33791F01" w14:textId="0B99D16C" w:rsidR="00781C5D" w:rsidRDefault="00781C5D" w:rsidP="00D67759">
      <w:pPr>
        <w:jc w:val="both"/>
        <w:rPr>
          <w:rFonts w:ascii="Avenir Next" w:hAnsi="Avenir Next" w:cs="Arial"/>
          <w:sz w:val="22"/>
          <w:szCs w:val="22"/>
          <w:lang w:val="en-GB"/>
        </w:rPr>
      </w:pPr>
      <w:r>
        <w:rPr>
          <w:rFonts w:ascii="Avenir Next" w:hAnsi="Avenir Next" w:cs="Arial"/>
          <w:sz w:val="22"/>
          <w:szCs w:val="22"/>
          <w:lang w:val="en-GB"/>
        </w:rPr>
        <w:t xml:space="preserve">Court-Appointed Receiver (“CARs”) by comparison are appointed by the Court upon application by a secured creditor (under s243 of the BIA). </w:t>
      </w:r>
      <w:r w:rsidR="00ED1B5E">
        <w:rPr>
          <w:rFonts w:ascii="Avenir Next" w:hAnsi="Avenir Next" w:cs="Arial"/>
          <w:sz w:val="22"/>
          <w:szCs w:val="22"/>
          <w:lang w:val="en-GB"/>
        </w:rPr>
        <w:t xml:space="preserve">Once appointed, a CAR is endowed with a national authority to take control of the business if the debtor is unable to meet its obligations under the security agreement. The term CAR also includes a sub-set of so-called ‘equitable receivers’ appointed subject to the Courts of Justice Acts in the provinces – equitable receivers are appointed upon application by any interested party where it is ‘just and convenient’. </w:t>
      </w:r>
    </w:p>
    <w:p w14:paraId="2703DB1A" w14:textId="59F93721" w:rsidR="00ED1B5E" w:rsidRDefault="00ED1B5E" w:rsidP="00D67759">
      <w:pPr>
        <w:jc w:val="both"/>
        <w:rPr>
          <w:rFonts w:ascii="Avenir Next" w:hAnsi="Avenir Next" w:cs="Arial"/>
          <w:sz w:val="22"/>
          <w:szCs w:val="22"/>
          <w:lang w:val="en-GB"/>
        </w:rPr>
      </w:pPr>
    </w:p>
    <w:p w14:paraId="5A03BC27" w14:textId="63CD51FA" w:rsidR="006F4E04" w:rsidRPr="00DD5B31" w:rsidRDefault="00ED1B5E" w:rsidP="00DD5B31">
      <w:pPr>
        <w:jc w:val="both"/>
        <w:rPr>
          <w:rFonts w:ascii="Avenir Next" w:hAnsi="Avenir Next" w:cs="Arial"/>
          <w:sz w:val="22"/>
          <w:szCs w:val="22"/>
          <w:lang w:val="en-GB"/>
        </w:rPr>
      </w:pPr>
      <w:r>
        <w:rPr>
          <w:rFonts w:ascii="Avenir Next" w:hAnsi="Avenir Next" w:cs="Arial"/>
          <w:sz w:val="22"/>
          <w:szCs w:val="22"/>
          <w:lang w:val="en-GB"/>
        </w:rPr>
        <w:t>CARs as opposed to PRs have a greater range of powers including being able to borrow funds on a super-priority basis and they may benefit from Court directors ensuring critical suppliers continue to deal with the business on fair market terms. CARs are therefore used more commonly and especially where the circumstances of the debtor are more complex and there may be disputes between creditors. The Court oversight adds more comfort for creditors and more legitimacy to sales of assets</w:t>
      </w:r>
      <w:r w:rsidR="00DD5B31">
        <w:rPr>
          <w:rFonts w:ascii="Avenir Next" w:hAnsi="Avenir Next" w:cs="Arial"/>
          <w:sz w:val="22"/>
          <w:szCs w:val="22"/>
          <w:lang w:val="en-GB"/>
        </w:rPr>
        <w:t xml:space="preserve">, as opposed to sales by PRs where there may be concerns over successor liability. Therefore, </w:t>
      </w:r>
      <w:r>
        <w:rPr>
          <w:rFonts w:ascii="Avenir Next" w:hAnsi="Avenir Next" w:cs="Arial"/>
          <w:sz w:val="22"/>
          <w:szCs w:val="22"/>
          <w:lang w:val="en-GB"/>
        </w:rPr>
        <w:t>PRs</w:t>
      </w:r>
      <w:r w:rsidR="00DD5B31">
        <w:rPr>
          <w:rFonts w:ascii="Avenir Next" w:hAnsi="Avenir Next" w:cs="Arial"/>
          <w:sz w:val="22"/>
          <w:szCs w:val="22"/>
          <w:lang w:val="en-GB"/>
        </w:rPr>
        <w:t xml:space="preserve"> </w:t>
      </w:r>
      <w:r>
        <w:rPr>
          <w:rFonts w:ascii="Avenir Next" w:hAnsi="Avenir Next" w:cs="Arial"/>
          <w:sz w:val="22"/>
          <w:szCs w:val="22"/>
          <w:lang w:val="en-GB"/>
        </w:rPr>
        <w:t xml:space="preserve">are </w:t>
      </w:r>
      <w:r w:rsidR="00DD5B31">
        <w:rPr>
          <w:rFonts w:ascii="Avenir Next" w:hAnsi="Avenir Next" w:cs="Arial"/>
          <w:sz w:val="22"/>
          <w:szCs w:val="22"/>
          <w:lang w:val="en-GB"/>
        </w:rPr>
        <w:t xml:space="preserve">generally </w:t>
      </w:r>
      <w:r>
        <w:rPr>
          <w:rFonts w:ascii="Avenir Next" w:hAnsi="Avenir Next" w:cs="Arial"/>
          <w:sz w:val="22"/>
          <w:szCs w:val="22"/>
          <w:lang w:val="en-GB"/>
        </w:rPr>
        <w:t xml:space="preserve">employed in more limited circumstances where </w:t>
      </w:r>
      <w:r w:rsidR="00DD5B31">
        <w:rPr>
          <w:rFonts w:ascii="Avenir Next" w:hAnsi="Avenir Next" w:cs="Arial"/>
          <w:sz w:val="22"/>
          <w:szCs w:val="22"/>
          <w:lang w:val="en-GB"/>
        </w:rPr>
        <w:t>the debtor is a small business or a limited pool of assets unlikely to cause creditor disputes. However the lack of Court interaction with PRs means this route is a more cost-effective option.</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73DBB1A7" w:rsidR="007E70EC" w:rsidRDefault="00DD5B31" w:rsidP="004D67B3">
      <w:pPr>
        <w:jc w:val="both"/>
        <w:rPr>
          <w:rFonts w:ascii="Avenir Next" w:hAnsi="Avenir Next" w:cs="Arial"/>
          <w:sz w:val="22"/>
          <w:szCs w:val="22"/>
          <w:lang w:val="en-GB"/>
        </w:rPr>
      </w:pPr>
      <w:r>
        <w:rPr>
          <w:rFonts w:ascii="Avenir Next" w:hAnsi="Avenir Next" w:cs="Arial"/>
          <w:sz w:val="22"/>
          <w:szCs w:val="22"/>
          <w:lang w:val="en-GB"/>
        </w:rPr>
        <w:t>The three methods for entering bankruptcy are:</w:t>
      </w:r>
    </w:p>
    <w:p w14:paraId="36D9E786" w14:textId="2DFB9269" w:rsidR="00DD5B31" w:rsidRDefault="00DD5B31" w:rsidP="00DD5B31">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Involuntary;</w:t>
      </w:r>
    </w:p>
    <w:p w14:paraId="272C993E" w14:textId="6FD1292A" w:rsidR="00DD5B31" w:rsidRDefault="00DD5B31" w:rsidP="00DD5B31">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Voluntary; and</w:t>
      </w:r>
    </w:p>
    <w:p w14:paraId="46251B08" w14:textId="4AA0C8A6" w:rsidR="00DD5B31" w:rsidRDefault="00DD5B31" w:rsidP="00DD5B31">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Upon the failure of a BIA proposal.</w:t>
      </w:r>
    </w:p>
    <w:p w14:paraId="153E697D" w14:textId="05D33D00" w:rsidR="00DD5B31" w:rsidRDefault="00DD5B31" w:rsidP="00DD5B31">
      <w:pPr>
        <w:jc w:val="both"/>
        <w:rPr>
          <w:rFonts w:ascii="Avenir Next" w:hAnsi="Avenir Next" w:cs="Arial"/>
          <w:sz w:val="22"/>
          <w:szCs w:val="22"/>
          <w:lang w:val="en-GB"/>
        </w:rPr>
      </w:pPr>
    </w:p>
    <w:p w14:paraId="13D7D7E8" w14:textId="59197293" w:rsidR="00DD5B31" w:rsidRDefault="000D111A" w:rsidP="00DD5B31">
      <w:pPr>
        <w:jc w:val="both"/>
        <w:rPr>
          <w:rFonts w:ascii="Avenir Next" w:hAnsi="Avenir Next" w:cs="Arial"/>
          <w:sz w:val="22"/>
          <w:szCs w:val="22"/>
          <w:lang w:val="en-GB"/>
        </w:rPr>
      </w:pPr>
      <w:r>
        <w:rPr>
          <w:rFonts w:ascii="Avenir Next" w:hAnsi="Avenir Next" w:cs="Arial"/>
          <w:sz w:val="22"/>
          <w:szCs w:val="22"/>
          <w:lang w:val="en-GB"/>
        </w:rPr>
        <w:t xml:space="preserve">A successful application for an involuntary bankruptcy requires that the applying creditor is owed more than CAD1,000 in unsecured debt, and that they can demonstrate that the debtor has committed an “act of bankruptcy” within 6 months of the date of the filing. </w:t>
      </w:r>
    </w:p>
    <w:p w14:paraId="404D64DE" w14:textId="74236EF7" w:rsidR="00C46607" w:rsidRDefault="00C46607" w:rsidP="00DD5B31">
      <w:pPr>
        <w:jc w:val="both"/>
        <w:rPr>
          <w:rFonts w:ascii="Avenir Next" w:hAnsi="Avenir Next" w:cs="Arial"/>
          <w:sz w:val="22"/>
          <w:szCs w:val="22"/>
          <w:lang w:val="en-GB"/>
        </w:rPr>
      </w:pPr>
    </w:p>
    <w:p w14:paraId="0E64DD2A" w14:textId="1DC623DA" w:rsidR="00C46607" w:rsidRDefault="00C46607" w:rsidP="00DD5B31">
      <w:pPr>
        <w:jc w:val="both"/>
        <w:rPr>
          <w:rFonts w:ascii="Avenir Next" w:hAnsi="Avenir Next" w:cs="Arial"/>
          <w:sz w:val="22"/>
          <w:szCs w:val="22"/>
          <w:lang w:val="en-GB"/>
        </w:rPr>
      </w:pPr>
      <w:r>
        <w:rPr>
          <w:rFonts w:ascii="Avenir Next" w:hAnsi="Avenir Next" w:cs="Arial"/>
          <w:sz w:val="22"/>
          <w:szCs w:val="22"/>
          <w:lang w:val="en-GB"/>
        </w:rPr>
        <w:t>So called ‘Acts of Bankruptcy’ are listed in section 42 of the BIA, acts include:</w:t>
      </w:r>
    </w:p>
    <w:p w14:paraId="555A1A17" w14:textId="7CA7D186" w:rsidR="00C46607" w:rsidRDefault="00C46607" w:rsidP="00DD5B31">
      <w:pPr>
        <w:jc w:val="both"/>
        <w:rPr>
          <w:rFonts w:ascii="Avenir Next" w:hAnsi="Avenir Next" w:cs="Arial"/>
          <w:sz w:val="22"/>
          <w:szCs w:val="22"/>
          <w:lang w:val="en-GB"/>
        </w:rPr>
      </w:pPr>
    </w:p>
    <w:p w14:paraId="4D1DF478" w14:textId="2CDEB0FD" w:rsidR="00C46607" w:rsidRDefault="00C46607" w:rsidP="00C46607">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lastRenderedPageBreak/>
        <w:t>Ceasing to meet liabilities as and when they generally fall due;</w:t>
      </w:r>
    </w:p>
    <w:p w14:paraId="209A9ED3" w14:textId="26D6579D" w:rsidR="00C46607" w:rsidRDefault="00C46607" w:rsidP="00C46607">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Defaulting on a proposal;</w:t>
      </w:r>
    </w:p>
    <w:p w14:paraId="07EBF6DC" w14:textId="4D3FA7D1" w:rsidR="00C46607" w:rsidRDefault="00C46607" w:rsidP="00C46607">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An admission of their inability to pay debts;</w:t>
      </w:r>
    </w:p>
    <w:p w14:paraId="1E15DEA2" w14:textId="4D57FB9A" w:rsidR="00C46607" w:rsidRDefault="00C46607" w:rsidP="00C46607">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The debtor, with the intent to defeat or delay his creditors, leaves Canada or otherwise absents himself;</w:t>
      </w:r>
    </w:p>
    <w:p w14:paraId="435C1285" w14:textId="22E99241" w:rsidR="00C46607" w:rsidRDefault="00C46607" w:rsidP="00C46607">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In Canada or elsewhere the debtor makes any transfer of the debtor’s property or any part of it, or creates any charge on it, that is a fraudulent preference; and</w:t>
      </w:r>
    </w:p>
    <w:p w14:paraId="759C832E" w14:textId="66CD8ABD" w:rsidR="00C46607" w:rsidRDefault="00C46607" w:rsidP="00C46607">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In Canada or elsewhere the bankrupt makes an assignment of property to a trustee for the benefit of his creditors.</w:t>
      </w:r>
    </w:p>
    <w:p w14:paraId="76506978" w14:textId="64629916" w:rsidR="00C46607" w:rsidRDefault="00C46607" w:rsidP="00C46607">
      <w:pPr>
        <w:jc w:val="both"/>
        <w:rPr>
          <w:rFonts w:ascii="Avenir Next" w:hAnsi="Avenir Next" w:cs="Arial"/>
          <w:sz w:val="22"/>
          <w:szCs w:val="22"/>
          <w:lang w:val="en-GB"/>
        </w:rPr>
      </w:pPr>
    </w:p>
    <w:p w14:paraId="09154139" w14:textId="77777777" w:rsidR="00F00963" w:rsidRDefault="00C46607" w:rsidP="00C46607">
      <w:pPr>
        <w:jc w:val="both"/>
        <w:rPr>
          <w:rFonts w:ascii="Avenir Next" w:hAnsi="Avenir Next" w:cs="Arial"/>
          <w:sz w:val="22"/>
          <w:szCs w:val="22"/>
          <w:lang w:val="en-GB"/>
        </w:rPr>
      </w:pPr>
      <w:r>
        <w:rPr>
          <w:rFonts w:ascii="Avenir Next" w:hAnsi="Avenir Next" w:cs="Arial"/>
          <w:sz w:val="22"/>
          <w:szCs w:val="22"/>
          <w:lang w:val="en-GB"/>
        </w:rPr>
        <w:t>The most common Act of Bankruptcy is ceasing to meet liabilities as they generally become due.</w:t>
      </w:r>
      <w:r w:rsidR="00F00963">
        <w:rPr>
          <w:rFonts w:ascii="Avenir Next" w:hAnsi="Avenir Next" w:cs="Arial"/>
          <w:sz w:val="22"/>
          <w:szCs w:val="22"/>
          <w:lang w:val="en-GB"/>
        </w:rPr>
        <w:t xml:space="preserve"> </w:t>
      </w:r>
    </w:p>
    <w:p w14:paraId="686D859C" w14:textId="77777777" w:rsidR="00F00963" w:rsidRDefault="00F00963" w:rsidP="00C46607">
      <w:pPr>
        <w:jc w:val="both"/>
        <w:rPr>
          <w:rFonts w:ascii="Avenir Next" w:hAnsi="Avenir Next" w:cs="Arial"/>
          <w:sz w:val="22"/>
          <w:szCs w:val="22"/>
          <w:lang w:val="en-GB"/>
        </w:rPr>
      </w:pPr>
    </w:p>
    <w:p w14:paraId="3597D009" w14:textId="5E126562" w:rsidR="00C46607" w:rsidRDefault="00F00963" w:rsidP="00C46607">
      <w:pPr>
        <w:jc w:val="both"/>
        <w:rPr>
          <w:rFonts w:ascii="Avenir Next" w:hAnsi="Avenir Next" w:cs="Arial"/>
          <w:sz w:val="22"/>
          <w:szCs w:val="22"/>
          <w:lang w:val="en-GB"/>
        </w:rPr>
      </w:pPr>
      <w:r>
        <w:rPr>
          <w:rFonts w:ascii="Avenir Next" w:hAnsi="Avenir Next" w:cs="Arial"/>
          <w:sz w:val="22"/>
          <w:szCs w:val="22"/>
          <w:lang w:val="en-GB"/>
        </w:rPr>
        <w:t>Once the two-limb test is satisfied the Court will be able to make an order for bankruptcy. It is worth noting that the debtor can defeat the application (demonstration of an act of insolvency notwithstanding) if they can show the Court they have the ability to pay their debts. Should the Court be minded that this is not the case and therefore that the tests for involuntary bankruptcy are satisfied, an order can me made</w:t>
      </w:r>
      <w:r w:rsidR="00CE1D78">
        <w:rPr>
          <w:rFonts w:ascii="Avenir Next" w:hAnsi="Avenir Next" w:cs="Arial"/>
          <w:sz w:val="22"/>
          <w:szCs w:val="22"/>
          <w:lang w:val="en-GB"/>
        </w:rPr>
        <w:t xml:space="preserve"> for the bankruptcy. As soon as the order is made the property of the debtor automatically vests in the licensed trustee appointed by the Court.</w:t>
      </w:r>
    </w:p>
    <w:p w14:paraId="02C851AC" w14:textId="59F1EAA1" w:rsidR="00CE1D78" w:rsidRDefault="00CE1D78" w:rsidP="00C46607">
      <w:pPr>
        <w:jc w:val="both"/>
        <w:rPr>
          <w:rFonts w:ascii="Avenir Next" w:hAnsi="Avenir Next" w:cs="Arial"/>
          <w:sz w:val="22"/>
          <w:szCs w:val="22"/>
          <w:lang w:val="en-GB"/>
        </w:rPr>
      </w:pPr>
    </w:p>
    <w:p w14:paraId="30C316B5" w14:textId="1B4FFEF1" w:rsidR="00CE1D78" w:rsidRDefault="00CE1D78" w:rsidP="00C46607">
      <w:pPr>
        <w:jc w:val="both"/>
        <w:rPr>
          <w:rFonts w:ascii="Avenir Next" w:hAnsi="Avenir Next" w:cs="Arial"/>
          <w:sz w:val="22"/>
          <w:szCs w:val="22"/>
          <w:lang w:val="en-GB"/>
        </w:rPr>
      </w:pPr>
      <w:r>
        <w:rPr>
          <w:rFonts w:ascii="Avenir Next" w:hAnsi="Avenir Next" w:cs="Arial"/>
          <w:sz w:val="22"/>
          <w:szCs w:val="22"/>
          <w:lang w:val="en-GB"/>
        </w:rPr>
        <w:t xml:space="preserve">Voluntary bankruptcy is when the debtor voluntarily enters bankruptcy without the need for a creditor application. Debtors may choose to voluntarily enter bankruptcy for a number of reasons such as: </w:t>
      </w:r>
      <w:r w:rsidR="00DE1141">
        <w:rPr>
          <w:rFonts w:ascii="Avenir Next" w:hAnsi="Avenir Next" w:cs="Arial"/>
          <w:sz w:val="22"/>
          <w:szCs w:val="22"/>
          <w:lang w:val="en-GB"/>
        </w:rPr>
        <w:t>to stay legal actions by creditors, or to seek a fresh start once the proceedings have been finalised (individuals only). In order for an application to be made successfully</w:t>
      </w:r>
      <w:r w:rsidR="00A95F23">
        <w:rPr>
          <w:rFonts w:ascii="Avenir Next" w:hAnsi="Avenir Next" w:cs="Arial"/>
          <w:sz w:val="22"/>
          <w:szCs w:val="22"/>
          <w:lang w:val="en-GB"/>
        </w:rPr>
        <w:t xml:space="preserve"> to the Official Receiver</w:t>
      </w:r>
      <w:r w:rsidR="00DE1141">
        <w:rPr>
          <w:rFonts w:ascii="Avenir Next" w:hAnsi="Avenir Next" w:cs="Arial"/>
          <w:sz w:val="22"/>
          <w:szCs w:val="22"/>
          <w:lang w:val="en-GB"/>
        </w:rPr>
        <w:t>, the debtor must satisfy the definition of an ‘insolvent person’:</w:t>
      </w:r>
    </w:p>
    <w:p w14:paraId="7706495B" w14:textId="4739251D" w:rsidR="00DE1141" w:rsidRDefault="00DE1141" w:rsidP="00C46607">
      <w:pPr>
        <w:jc w:val="both"/>
        <w:rPr>
          <w:rFonts w:ascii="Avenir Next" w:hAnsi="Avenir Next" w:cs="Arial"/>
          <w:sz w:val="22"/>
          <w:szCs w:val="22"/>
          <w:lang w:val="en-GB"/>
        </w:rPr>
      </w:pPr>
    </w:p>
    <w:p w14:paraId="7651A984" w14:textId="71C943C7" w:rsidR="00DE1141" w:rsidRDefault="00DE1141" w:rsidP="00C46607">
      <w:pPr>
        <w:jc w:val="both"/>
        <w:rPr>
          <w:rFonts w:ascii="Avenir Next" w:hAnsi="Avenir Next" w:cs="Arial"/>
          <w:sz w:val="22"/>
          <w:szCs w:val="22"/>
          <w:lang w:val="en-GB"/>
        </w:rPr>
      </w:pPr>
      <w:r>
        <w:rPr>
          <w:rFonts w:ascii="Avenir Next" w:hAnsi="Avenir Next" w:cs="Arial"/>
          <w:sz w:val="22"/>
          <w:szCs w:val="22"/>
          <w:lang w:val="en-GB"/>
        </w:rPr>
        <w:t>‘a person who is not bankrupt, resides or carries on business or has property in Canada, and whose liabilities to creditors provable as claims under the BIA amount to at least CAD1,000m and a) is unable to meet obligations as they generally become due; b) has ceased paying current obligations in the ordinary course of business; or c) the aggregate of whose property is not, at fair valuation, sufficient to enable payment of all obligations due and soon to be due.’</w:t>
      </w:r>
    </w:p>
    <w:p w14:paraId="513A24ED" w14:textId="3EA7723D" w:rsidR="00DE1141" w:rsidRDefault="00DE1141" w:rsidP="00C46607">
      <w:pPr>
        <w:jc w:val="both"/>
        <w:rPr>
          <w:rFonts w:ascii="Avenir Next" w:hAnsi="Avenir Next" w:cs="Arial"/>
          <w:sz w:val="22"/>
          <w:szCs w:val="22"/>
          <w:lang w:val="en-GB"/>
        </w:rPr>
      </w:pPr>
    </w:p>
    <w:p w14:paraId="38D65558" w14:textId="7748221E" w:rsidR="00DE1141" w:rsidRDefault="00A95F23" w:rsidP="00C46607">
      <w:pPr>
        <w:jc w:val="both"/>
        <w:rPr>
          <w:rFonts w:ascii="Avenir Next" w:hAnsi="Avenir Next" w:cs="Arial"/>
          <w:sz w:val="22"/>
          <w:szCs w:val="22"/>
          <w:lang w:val="en-GB"/>
        </w:rPr>
      </w:pPr>
      <w:r>
        <w:rPr>
          <w:rFonts w:ascii="Avenir Next" w:hAnsi="Avenir Next" w:cs="Arial"/>
          <w:sz w:val="22"/>
          <w:szCs w:val="22"/>
          <w:lang w:val="en-GB"/>
        </w:rPr>
        <w:t>Providing this test is satisfied the debtor may proceed with filing the relevant documents with the Official Receiver, including an ‘assignment’ of its property for the benefit of its creditors and a sworn statement disclosing the extent of the property held. Once bankruptcy proceedings are commenced the debtor’s chosen trustee takes office but their appointment is subject to creditor approval.</w:t>
      </w:r>
    </w:p>
    <w:p w14:paraId="2551D56E" w14:textId="4F75B29A" w:rsidR="00A95F23" w:rsidRDefault="00A95F23" w:rsidP="00C46607">
      <w:pPr>
        <w:jc w:val="both"/>
        <w:rPr>
          <w:rFonts w:ascii="Avenir Next" w:hAnsi="Avenir Next" w:cs="Arial"/>
          <w:sz w:val="22"/>
          <w:szCs w:val="22"/>
          <w:lang w:val="en-GB"/>
        </w:rPr>
      </w:pPr>
    </w:p>
    <w:p w14:paraId="7151AF62" w14:textId="5D193774" w:rsidR="00A95F23" w:rsidRDefault="00F601FB" w:rsidP="00C46607">
      <w:pPr>
        <w:jc w:val="both"/>
        <w:rPr>
          <w:rFonts w:ascii="Avenir Next" w:hAnsi="Avenir Next" w:cs="Arial"/>
          <w:sz w:val="22"/>
          <w:szCs w:val="22"/>
          <w:lang w:val="en-GB"/>
        </w:rPr>
      </w:pPr>
      <w:r>
        <w:rPr>
          <w:rFonts w:ascii="Avenir Next" w:hAnsi="Avenir Next" w:cs="Arial"/>
          <w:sz w:val="22"/>
          <w:szCs w:val="22"/>
          <w:lang w:val="en-GB"/>
        </w:rPr>
        <w:t>It should be noted that the BIA allows for the Court to annul a bankruptcy where it is of the opinion that the order ought not to have been made or assignment ought not to have been filed. The requirements are that either the debtor was not an insolvent person, or that there has been an abuse of process.</w:t>
      </w:r>
    </w:p>
    <w:p w14:paraId="2B7135A2" w14:textId="31234F2F" w:rsidR="00F601FB" w:rsidRDefault="00F601FB" w:rsidP="00C46607">
      <w:pPr>
        <w:jc w:val="both"/>
        <w:rPr>
          <w:rFonts w:ascii="Avenir Next" w:hAnsi="Avenir Next" w:cs="Arial"/>
          <w:sz w:val="22"/>
          <w:szCs w:val="22"/>
          <w:lang w:val="en-GB"/>
        </w:rPr>
      </w:pPr>
    </w:p>
    <w:p w14:paraId="32A194EB" w14:textId="7B6E4990" w:rsidR="00F601FB" w:rsidRDefault="00F601FB" w:rsidP="00C46607">
      <w:pPr>
        <w:jc w:val="both"/>
        <w:rPr>
          <w:rFonts w:ascii="Avenir Next" w:hAnsi="Avenir Next" w:cs="Arial"/>
          <w:sz w:val="22"/>
          <w:szCs w:val="22"/>
          <w:lang w:val="en-GB"/>
        </w:rPr>
      </w:pPr>
      <w:r>
        <w:rPr>
          <w:rFonts w:ascii="Avenir Next" w:hAnsi="Avenir Next" w:cs="Arial"/>
          <w:sz w:val="22"/>
          <w:szCs w:val="22"/>
          <w:lang w:val="en-GB"/>
        </w:rPr>
        <w:t>The failure of a BIA proposal is the last method for entering bankruptcy. The BIA allows for both corporate and individual proposals to be made so debtors can reach compromises with their creditors. Corporate proposals must be approved by a majority of creditors in a class by number and two-thirds of that class by dollar value of claims. If approved it is binding on all creditors in the class subject to Court approval.</w:t>
      </w:r>
    </w:p>
    <w:p w14:paraId="51090788" w14:textId="6272CDBC" w:rsidR="00F601FB" w:rsidRDefault="00F601FB" w:rsidP="00C46607">
      <w:pPr>
        <w:jc w:val="both"/>
        <w:rPr>
          <w:rFonts w:ascii="Avenir Next" w:hAnsi="Avenir Next" w:cs="Arial"/>
          <w:sz w:val="22"/>
          <w:szCs w:val="22"/>
          <w:lang w:val="en-GB"/>
        </w:rPr>
      </w:pPr>
    </w:p>
    <w:p w14:paraId="694BA3A0" w14:textId="7D7DDD69" w:rsidR="00F601FB" w:rsidRDefault="00F601FB" w:rsidP="00C46607">
      <w:pPr>
        <w:jc w:val="both"/>
        <w:rPr>
          <w:rFonts w:ascii="Avenir Next" w:hAnsi="Avenir Next" w:cs="Arial"/>
          <w:sz w:val="22"/>
          <w:szCs w:val="22"/>
          <w:lang w:val="en-GB"/>
        </w:rPr>
      </w:pPr>
      <w:r>
        <w:rPr>
          <w:rFonts w:ascii="Avenir Next" w:hAnsi="Avenir Next" w:cs="Arial"/>
          <w:sz w:val="22"/>
          <w:szCs w:val="22"/>
          <w:lang w:val="en-GB"/>
        </w:rPr>
        <w:t xml:space="preserve">If a corporate proposal is rejected by a class of creditors </w:t>
      </w:r>
      <w:r w:rsidR="00E00695">
        <w:rPr>
          <w:rFonts w:ascii="Avenir Next" w:hAnsi="Avenir Next" w:cs="Arial"/>
          <w:sz w:val="22"/>
          <w:szCs w:val="22"/>
          <w:lang w:val="en-GB"/>
        </w:rPr>
        <w:t xml:space="preserve">the debtor is deemed to have made an assignment in bankruptcy, similarly if the Court does not provide its approval an assignment is deemed to have been made. If a debtor defaults under the terms of its proposal (and the default is not waived by inspecting creditors or the creditors themselves), the proposal trustee must inform the creditors </w:t>
      </w:r>
      <w:r w:rsidR="00E00695">
        <w:rPr>
          <w:rFonts w:ascii="Avenir Next" w:hAnsi="Avenir Next" w:cs="Arial"/>
          <w:sz w:val="22"/>
          <w:szCs w:val="22"/>
          <w:lang w:val="en-GB"/>
        </w:rPr>
        <w:lastRenderedPageBreak/>
        <w:t>and the OR and thereafter a motion may be brought to the Court to annul the proposal with the debtor being automatically assigned into bankruptcy if the Court makes the relevant order.</w:t>
      </w:r>
    </w:p>
    <w:p w14:paraId="60A408B8" w14:textId="0FEF5330" w:rsidR="00E00695" w:rsidRDefault="00E00695" w:rsidP="00C46607">
      <w:pPr>
        <w:jc w:val="both"/>
        <w:rPr>
          <w:rFonts w:ascii="Avenir Next" w:hAnsi="Avenir Next" w:cs="Arial"/>
          <w:sz w:val="22"/>
          <w:szCs w:val="22"/>
          <w:lang w:val="en-GB"/>
        </w:rPr>
      </w:pPr>
    </w:p>
    <w:p w14:paraId="6B5711D5" w14:textId="2D926454" w:rsidR="00E00695" w:rsidRPr="00C46607" w:rsidRDefault="00E00695" w:rsidP="00C46607">
      <w:pPr>
        <w:jc w:val="both"/>
        <w:rPr>
          <w:rFonts w:ascii="Avenir Next" w:hAnsi="Avenir Next" w:cs="Arial"/>
          <w:sz w:val="22"/>
          <w:szCs w:val="22"/>
          <w:lang w:val="en-GB"/>
        </w:rPr>
      </w:pPr>
      <w:r>
        <w:rPr>
          <w:rFonts w:ascii="Avenir Next" w:hAnsi="Avenir Next" w:cs="Arial"/>
          <w:sz w:val="22"/>
          <w:szCs w:val="22"/>
          <w:lang w:val="en-GB"/>
        </w:rPr>
        <w:t>It is to be noted that the failure of an individual proposal does not result in automatic bankruptcy, a separate motion must be brought.</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669B34F1" w14:textId="0369D18F" w:rsidR="006F4E04" w:rsidRDefault="00DA6FE2" w:rsidP="006F4E04">
      <w:pPr>
        <w:rPr>
          <w:rFonts w:ascii="Avenir Next" w:hAnsi="Avenir Next" w:cs="Arial"/>
          <w:sz w:val="22"/>
          <w:szCs w:val="22"/>
          <w:lang w:val="en-GB"/>
        </w:rPr>
      </w:pPr>
      <w:r>
        <w:rPr>
          <w:rFonts w:ascii="Avenir Next" w:hAnsi="Avenir Next" w:cs="Arial"/>
          <w:sz w:val="22"/>
          <w:szCs w:val="22"/>
          <w:lang w:val="en-GB"/>
        </w:rPr>
        <w:t>There are three main requirements for a foreign proceeding to be recognised in Canada as provided for in both the BIA and CCAA:</w:t>
      </w:r>
    </w:p>
    <w:p w14:paraId="0D990FC7" w14:textId="43FEFAF1" w:rsidR="00DA6FE2" w:rsidRDefault="00DA6FE2" w:rsidP="006F4E04">
      <w:pPr>
        <w:rPr>
          <w:rFonts w:ascii="Avenir Next" w:hAnsi="Avenir Next" w:cs="Arial"/>
          <w:sz w:val="22"/>
          <w:szCs w:val="22"/>
          <w:lang w:val="en-GB"/>
        </w:rPr>
      </w:pPr>
    </w:p>
    <w:p w14:paraId="27EDCB7D" w14:textId="6F741523" w:rsidR="00DA6FE2" w:rsidRPr="00DA6FE2" w:rsidRDefault="00DA6FE2" w:rsidP="00DA6FE2">
      <w:pPr>
        <w:pStyle w:val="ListParagraph"/>
        <w:numPr>
          <w:ilvl w:val="0"/>
          <w:numId w:val="33"/>
        </w:numPr>
        <w:rPr>
          <w:sz w:val="22"/>
          <w:szCs w:val="22"/>
          <w:lang w:val="en-GB"/>
        </w:rPr>
      </w:pPr>
      <w:r w:rsidRPr="00DA6FE2">
        <w:rPr>
          <w:sz w:val="22"/>
          <w:szCs w:val="22"/>
          <w:lang w:val="en-GB"/>
        </w:rPr>
        <w:t>That the proceeding is a ‘foreign proceeding’ in accordance with the statutory definition;</w:t>
      </w:r>
    </w:p>
    <w:p w14:paraId="082C4227" w14:textId="623A6C56" w:rsidR="00DA6FE2" w:rsidRPr="00DA6FE2" w:rsidRDefault="00DA6FE2" w:rsidP="00DA6FE2">
      <w:pPr>
        <w:pStyle w:val="ListParagraph"/>
        <w:numPr>
          <w:ilvl w:val="0"/>
          <w:numId w:val="33"/>
        </w:numPr>
        <w:rPr>
          <w:sz w:val="22"/>
          <w:szCs w:val="22"/>
          <w:lang w:val="en-GB"/>
        </w:rPr>
      </w:pPr>
      <w:r w:rsidRPr="00DA6FE2">
        <w:rPr>
          <w:sz w:val="22"/>
          <w:szCs w:val="22"/>
          <w:lang w:val="en-GB"/>
        </w:rPr>
        <w:t xml:space="preserve">That the applicant is a ‘foreign representative’ </w:t>
      </w:r>
      <w:r w:rsidRPr="00DA6FE2">
        <w:rPr>
          <w:sz w:val="22"/>
          <w:szCs w:val="22"/>
          <w:lang w:val="en-GB"/>
        </w:rPr>
        <w:t>in accordance with the statutory definition;</w:t>
      </w:r>
      <w:r w:rsidRPr="00DA6FE2">
        <w:rPr>
          <w:sz w:val="22"/>
          <w:szCs w:val="22"/>
          <w:lang w:val="en-GB"/>
        </w:rPr>
        <w:t xml:space="preserve"> and</w:t>
      </w:r>
    </w:p>
    <w:p w14:paraId="535BE024" w14:textId="3C017987" w:rsidR="00DA6FE2" w:rsidRPr="00DA6FE2" w:rsidRDefault="00DA6FE2" w:rsidP="00DA6FE2">
      <w:pPr>
        <w:pStyle w:val="ListParagraph"/>
        <w:numPr>
          <w:ilvl w:val="0"/>
          <w:numId w:val="33"/>
        </w:numPr>
        <w:rPr>
          <w:sz w:val="22"/>
          <w:szCs w:val="22"/>
          <w:lang w:val="en-GB"/>
        </w:rPr>
      </w:pPr>
      <w:r w:rsidRPr="00DA6FE2">
        <w:rPr>
          <w:sz w:val="22"/>
          <w:szCs w:val="22"/>
          <w:lang w:val="en-GB"/>
        </w:rPr>
        <w:t>Whether the foreign proceeding will be classed as a ‘foreign main proceeding’ or a ‘foreign non-main proceeding’ will depend on establishing the debtor’s Centre of Main Interests.</w:t>
      </w:r>
    </w:p>
    <w:p w14:paraId="1FA00FF4" w14:textId="64BCD5B7" w:rsidR="00DA6FE2" w:rsidRPr="00DA6FE2" w:rsidRDefault="00DA6FE2" w:rsidP="00DA6FE2">
      <w:pPr>
        <w:rPr>
          <w:sz w:val="22"/>
          <w:szCs w:val="22"/>
          <w:lang w:val="en-GB"/>
        </w:rPr>
      </w:pPr>
    </w:p>
    <w:p w14:paraId="3B5FC1EB" w14:textId="409D1757" w:rsidR="00DA6FE2" w:rsidRDefault="00DA6FE2" w:rsidP="00DA6FE2">
      <w:pPr>
        <w:rPr>
          <w:sz w:val="22"/>
          <w:szCs w:val="22"/>
          <w:lang w:val="en-GB"/>
        </w:rPr>
      </w:pPr>
      <w:r w:rsidRPr="00DA6FE2">
        <w:rPr>
          <w:sz w:val="22"/>
          <w:szCs w:val="22"/>
          <w:lang w:val="en-GB"/>
        </w:rPr>
        <w:t xml:space="preserve">The </w:t>
      </w:r>
      <w:r>
        <w:rPr>
          <w:sz w:val="22"/>
          <w:szCs w:val="22"/>
          <w:lang w:val="en-GB"/>
        </w:rPr>
        <w:t>foreign representative must provide the Canadian Court with substantial evidence demonstrating the first two limbs of the test are satisfied. The case law shows that neither definition is interpreted restrictively and a purposive approach is taken by the Courts in this regard. The Canadian court will focus on the substance of the relevant foreign law not its title.</w:t>
      </w:r>
    </w:p>
    <w:p w14:paraId="65954363" w14:textId="2A47248D" w:rsidR="00DA6FE2" w:rsidRDefault="00DA6FE2" w:rsidP="00DA6FE2">
      <w:pPr>
        <w:rPr>
          <w:sz w:val="22"/>
          <w:szCs w:val="22"/>
          <w:lang w:val="en-GB"/>
        </w:rPr>
      </w:pPr>
    </w:p>
    <w:p w14:paraId="06520B2B" w14:textId="4CDCF246" w:rsidR="00DA6FE2" w:rsidRPr="00DA6FE2" w:rsidRDefault="00DA6FE2" w:rsidP="00DA6FE2">
      <w:pPr>
        <w:rPr>
          <w:sz w:val="22"/>
          <w:szCs w:val="22"/>
          <w:lang w:val="en-GB"/>
        </w:rPr>
      </w:pPr>
      <w:r>
        <w:rPr>
          <w:sz w:val="22"/>
          <w:szCs w:val="22"/>
          <w:lang w:val="en-GB"/>
        </w:rPr>
        <w:t>Once all three limbs are satisfied the recognition will be automatic and compulsory upon the making of the relevant order by the Court. The order will specify whether the proceedings have been recognised as ‘foreign-main proceedings’ or ‘foreign non-main proceedings’. The relief available thereafter will differ depending on this clarification.</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22B90018" w:rsidR="006F4E04" w:rsidRDefault="00DA6FE2" w:rsidP="006F4E04">
      <w:pPr>
        <w:jc w:val="both"/>
        <w:rPr>
          <w:rFonts w:ascii="Avenir Next" w:hAnsi="Avenir Next" w:cs="Arial"/>
          <w:sz w:val="22"/>
          <w:szCs w:val="22"/>
          <w:lang w:val="en-GB"/>
        </w:rPr>
      </w:pPr>
      <w:r>
        <w:rPr>
          <w:rFonts w:ascii="Avenir Next" w:hAnsi="Avenir Next" w:cs="Arial"/>
          <w:sz w:val="22"/>
          <w:szCs w:val="22"/>
          <w:lang w:val="en-GB"/>
        </w:rPr>
        <w:t>In determining the Centre of Main Interests (“COMI”) of a debtor, in the absence of statutory definitions in either the BIA or CCAA, the Court analyses:</w:t>
      </w:r>
    </w:p>
    <w:p w14:paraId="05CE2AAD" w14:textId="2E4567C5" w:rsidR="00DA6FE2" w:rsidRDefault="00DA6FE2" w:rsidP="006F4E04">
      <w:pPr>
        <w:jc w:val="both"/>
        <w:rPr>
          <w:rFonts w:ascii="Avenir Next" w:hAnsi="Avenir Next" w:cs="Arial"/>
          <w:sz w:val="22"/>
          <w:szCs w:val="22"/>
          <w:lang w:val="en-GB"/>
        </w:rPr>
      </w:pPr>
    </w:p>
    <w:p w14:paraId="37AABC3F" w14:textId="76FD0B08" w:rsidR="00DA6FE2" w:rsidRDefault="00DA6FE2" w:rsidP="00DA6FE2">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The location that significant creditors recognise as being the centre of the debtor’s operations;</w:t>
      </w:r>
    </w:p>
    <w:p w14:paraId="649D26DE" w14:textId="4B1C18A1" w:rsidR="00DA6FE2" w:rsidRDefault="00DA6FE2" w:rsidP="00DA6FE2">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The location of the debtor’s principle assets or operations; and</w:t>
      </w:r>
    </w:p>
    <w:p w14:paraId="0FE9B94D" w14:textId="46F6FCCD" w:rsidR="00DA6FE2" w:rsidRDefault="00DA6FE2" w:rsidP="00DA6FE2">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The location of the debtor’s headquarters.</w:t>
      </w:r>
    </w:p>
    <w:p w14:paraId="0C4D2AC1" w14:textId="570097B2" w:rsidR="005A6984" w:rsidRDefault="005A6984" w:rsidP="005A6984">
      <w:pPr>
        <w:jc w:val="both"/>
        <w:rPr>
          <w:rFonts w:ascii="Avenir Next" w:hAnsi="Avenir Next" w:cs="Arial"/>
          <w:sz w:val="22"/>
          <w:szCs w:val="22"/>
          <w:lang w:val="en-GB"/>
        </w:rPr>
      </w:pPr>
    </w:p>
    <w:p w14:paraId="4CC87B34" w14:textId="6AB44C5D" w:rsidR="005A6984" w:rsidRPr="005A6984" w:rsidRDefault="005A6984" w:rsidP="005A6984">
      <w:pPr>
        <w:jc w:val="both"/>
        <w:rPr>
          <w:rFonts w:ascii="Avenir Next" w:hAnsi="Avenir Next" w:cs="Arial"/>
          <w:sz w:val="22"/>
          <w:szCs w:val="22"/>
          <w:lang w:val="en-GB"/>
        </w:rPr>
      </w:pPr>
      <w:r>
        <w:rPr>
          <w:rFonts w:ascii="Avenir Next" w:hAnsi="Avenir Next" w:cs="Arial"/>
          <w:sz w:val="22"/>
          <w:szCs w:val="22"/>
          <w:lang w:val="en-GB"/>
        </w:rPr>
        <w:t>Based upon the facts in this case, the Court will begin with the presumption that the debtor’s COMI is where the company is registered – this would be the foreign jurisdiction. In order to rebut that and to make the case that the debtor’s COMI is in Canada, the three points of analysis above would need to point to Canada. Unfortunately, point 1 is not satisfied because the level of creditor debt in Canada is 1% of the debtor’s overall debt so the Canadian creditors would not be deemed to be ‘significant’. The second point is also not satisfied, the debtor is an international online business and therefore is likely to have fulfilment centres or warehouses in many jurisdictions around the world. Finally the debtor’s headquarters are known to be in the foreign jurisdiction along with the majority of creditors. Therefore, the proceedings are likely to be deemed to be a ‘foreign non-main proceeding’ with the main proceedings likely taking place in the originating foreign jurisdiction.</w:t>
      </w:r>
    </w:p>
    <w:p w14:paraId="500CC171" w14:textId="77777777" w:rsidR="00DA6FE2" w:rsidRPr="00DA6FE2" w:rsidRDefault="00DA6FE2" w:rsidP="006F4E04">
      <w:pPr>
        <w:jc w:val="both"/>
        <w:rPr>
          <w:rFonts w:ascii="Avenir Next" w:hAnsi="Avenir Next" w:cs="Arial"/>
          <w:sz w:val="22"/>
          <w:szCs w:val="22"/>
          <w:lang w:val="en-GB"/>
        </w:rPr>
      </w:pP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5A6984" w:rsidRDefault="00D97579" w:rsidP="00F47A63">
      <w:pPr>
        <w:spacing w:line="276" w:lineRule="auto"/>
        <w:jc w:val="both"/>
        <w:rPr>
          <w:rFonts w:ascii="Avenir Next" w:hAnsi="Avenir Next" w:cs="Arial"/>
          <w:sz w:val="22"/>
          <w:szCs w:val="22"/>
          <w:lang w:val="en-GB"/>
        </w:rPr>
      </w:pPr>
    </w:p>
    <w:p w14:paraId="14269EDC" w14:textId="4983EE4A" w:rsidR="006F4E04" w:rsidRDefault="005A6984" w:rsidP="006F4E04">
      <w:pPr>
        <w:jc w:val="both"/>
        <w:rPr>
          <w:rFonts w:ascii="Avenir Next" w:hAnsi="Avenir Next" w:cs="Arial"/>
          <w:sz w:val="22"/>
          <w:szCs w:val="22"/>
          <w:lang w:val="en-GB"/>
        </w:rPr>
      </w:pPr>
      <w:r>
        <w:rPr>
          <w:rFonts w:ascii="Avenir Next" w:hAnsi="Avenir Next" w:cs="Arial"/>
          <w:sz w:val="22"/>
          <w:szCs w:val="22"/>
          <w:lang w:val="en-GB"/>
        </w:rPr>
        <w:t>Following successful recognition as a ‘foreign non-main proceeding’ the foreign agent would be entitled to:</w:t>
      </w:r>
    </w:p>
    <w:p w14:paraId="38191F62" w14:textId="6559636C" w:rsidR="005A6984" w:rsidRDefault="005A6984" w:rsidP="006F4E04">
      <w:pPr>
        <w:jc w:val="both"/>
        <w:rPr>
          <w:rFonts w:ascii="Avenir Next" w:hAnsi="Avenir Next" w:cs="Arial"/>
          <w:sz w:val="22"/>
          <w:szCs w:val="22"/>
          <w:lang w:val="en-GB"/>
        </w:rPr>
      </w:pPr>
    </w:p>
    <w:p w14:paraId="31481E92" w14:textId="0C560FB2" w:rsidR="005A6984" w:rsidRDefault="005A6984" w:rsidP="005A6984">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Petition the court for a stay of proceedings in Canada. As it is not a ‘main’ proceeding the stay is not automatic – but it may be needed in this case given the class action lawsuit afoot;</w:t>
      </w:r>
    </w:p>
    <w:p w14:paraId="5CA4DDC7" w14:textId="1011D4BD" w:rsidR="005A6984" w:rsidRDefault="005A6984" w:rsidP="005A6984">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Standing before the Canadian courts;</w:t>
      </w:r>
    </w:p>
    <w:p w14:paraId="171B06FE" w14:textId="53F3BE7A" w:rsidR="005A6984" w:rsidRDefault="005A6984" w:rsidP="005A6984">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Cooperation from Canadian authorities;</w:t>
      </w:r>
      <w:r w:rsidR="00BD55CE">
        <w:rPr>
          <w:rFonts w:ascii="Avenir Next" w:hAnsi="Avenir Next" w:cs="Arial"/>
          <w:sz w:val="22"/>
          <w:szCs w:val="22"/>
          <w:lang w:val="en-GB"/>
        </w:rPr>
        <w:t xml:space="preserve"> and</w:t>
      </w:r>
    </w:p>
    <w:p w14:paraId="11E7D208" w14:textId="08D2D51D" w:rsidR="005A6984" w:rsidRDefault="00BD55CE" w:rsidP="005A6984">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Any order the Court may see fit to grant upon application by the foreign agent providing it is necessary for the protection of the debtor’s interests or property including orders for the examination of witnesses – this may be highly relevant given the allegations against the Canadian employee of the debtor.</w:t>
      </w:r>
    </w:p>
    <w:p w14:paraId="1B467807" w14:textId="3005DE49" w:rsidR="00BD55CE" w:rsidRDefault="00BD55CE" w:rsidP="00BD55CE">
      <w:pPr>
        <w:jc w:val="both"/>
        <w:rPr>
          <w:rFonts w:ascii="Avenir Next" w:hAnsi="Avenir Next" w:cs="Arial"/>
          <w:sz w:val="22"/>
          <w:szCs w:val="22"/>
          <w:lang w:val="en-GB"/>
        </w:rPr>
      </w:pPr>
    </w:p>
    <w:p w14:paraId="6C2D674A" w14:textId="30A860E7" w:rsidR="00BD55CE" w:rsidRDefault="00BD55CE" w:rsidP="00BD55CE">
      <w:pPr>
        <w:jc w:val="both"/>
        <w:rPr>
          <w:rFonts w:ascii="Avenir Next" w:hAnsi="Avenir Next" w:cs="Arial"/>
          <w:sz w:val="22"/>
          <w:szCs w:val="22"/>
          <w:lang w:val="en-GB"/>
        </w:rPr>
      </w:pPr>
      <w:r>
        <w:rPr>
          <w:rFonts w:ascii="Avenir Next" w:hAnsi="Avenir Next" w:cs="Arial"/>
          <w:sz w:val="22"/>
          <w:szCs w:val="22"/>
          <w:lang w:val="en-GB"/>
        </w:rPr>
        <w:t>Any relief granted is subject to a public policy exception where the Court can refuse to grant specific relief if it would be contrary to public policy.</w:t>
      </w:r>
    </w:p>
    <w:p w14:paraId="469A4AA5" w14:textId="282E75C8" w:rsidR="00BD55CE" w:rsidRDefault="00BD55CE" w:rsidP="00BD55CE">
      <w:pPr>
        <w:jc w:val="both"/>
        <w:rPr>
          <w:rFonts w:ascii="Avenir Next" w:hAnsi="Avenir Next" w:cs="Arial"/>
          <w:sz w:val="22"/>
          <w:szCs w:val="22"/>
          <w:lang w:val="en-GB"/>
        </w:rPr>
      </w:pPr>
    </w:p>
    <w:p w14:paraId="19694B55" w14:textId="48CC4838" w:rsidR="00BD55CE" w:rsidRPr="00BD55CE" w:rsidRDefault="00BD55CE" w:rsidP="00BD55CE">
      <w:pPr>
        <w:jc w:val="both"/>
        <w:rPr>
          <w:rFonts w:ascii="Avenir Next" w:hAnsi="Avenir Next" w:cs="Arial"/>
          <w:sz w:val="22"/>
          <w:szCs w:val="22"/>
          <w:lang w:val="en-GB"/>
        </w:rPr>
      </w:pPr>
      <w:r>
        <w:rPr>
          <w:rFonts w:ascii="Avenir Next" w:hAnsi="Avenir Next" w:cs="Arial"/>
          <w:sz w:val="22"/>
          <w:szCs w:val="22"/>
          <w:lang w:val="en-GB"/>
        </w:rPr>
        <w:t>It is worth noting that the Court is not strictly limited to only ordering relief that would be available to Canadian insolvency practitioners. Re Hartford Computer Inc. is an example but this was with regards to a ‘foreign main-proceeding’ so it may not be available in this case. However as stated in the last point above, the Court has significant discretion to make whatever order it sees fit upon petition.</w:t>
      </w:r>
    </w:p>
    <w:p w14:paraId="40E8F58E" w14:textId="77777777" w:rsidR="005A6984" w:rsidRPr="005A6984" w:rsidRDefault="005A6984" w:rsidP="006F4E04">
      <w:pPr>
        <w:jc w:val="both"/>
        <w:rPr>
          <w:rFonts w:ascii="Avenir Next" w:hAnsi="Avenir Next" w:cs="Arial"/>
          <w:sz w:val="22"/>
          <w:szCs w:val="22"/>
          <w:lang w:val="en-GB"/>
        </w:rPr>
      </w:pP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BC65" w14:textId="77777777" w:rsidR="00D05BE5" w:rsidRDefault="00D05BE5" w:rsidP="00241B44">
      <w:r>
        <w:separator/>
      </w:r>
    </w:p>
  </w:endnote>
  <w:endnote w:type="continuationSeparator" w:id="0">
    <w:p w14:paraId="3592A9D2" w14:textId="77777777" w:rsidR="00D05BE5" w:rsidRDefault="00D05B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D40EDA6" w:rsidR="00241FA3" w:rsidRPr="009B4976" w:rsidRDefault="00BA7FF3" w:rsidP="009B4976">
    <w:pPr>
      <w:pStyle w:val="Footer"/>
      <w:ind w:right="360"/>
      <w:rPr>
        <w:rFonts w:ascii="Arial" w:hAnsi="Arial" w:cs="Arial"/>
        <w:sz w:val="18"/>
        <w:szCs w:val="18"/>
        <w:lang w:val="en-GB"/>
      </w:rPr>
    </w:pPr>
    <w:r>
      <w:rPr>
        <w:rFonts w:ascii="Arial" w:hAnsi="Arial" w:cs="Arial"/>
        <w:sz w:val="18"/>
        <w:szCs w:val="18"/>
        <w:lang w:val="en-GB"/>
      </w:rPr>
      <w:t>202223-709</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2BE8" w14:textId="77777777" w:rsidR="00D05BE5" w:rsidRDefault="00D05BE5" w:rsidP="00241B44">
      <w:r>
        <w:separator/>
      </w:r>
    </w:p>
  </w:footnote>
  <w:footnote w:type="continuationSeparator" w:id="0">
    <w:p w14:paraId="413BB9CD" w14:textId="77777777" w:rsidR="00D05BE5" w:rsidRDefault="00D05BE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DF5DDE"/>
    <w:multiLevelType w:val="hybridMultilevel"/>
    <w:tmpl w:val="CD723BFA"/>
    <w:lvl w:ilvl="0" w:tplc="77D6AF62">
      <w:start w:val="1"/>
      <w:numFmt w:val="decimal"/>
      <w:lvlText w:val="%1."/>
      <w:lvlJc w:val="left"/>
      <w:pPr>
        <w:ind w:left="720" w:hanging="360"/>
      </w:pPr>
      <w:rPr>
        <w:rFonts w:ascii="Avenir Next" w:hAnsi="Avenir Next"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9417F"/>
    <w:multiLevelType w:val="hybridMultilevel"/>
    <w:tmpl w:val="828CC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15:restartNumberingAfterBreak="0">
    <w:nsid w:val="58B144FD"/>
    <w:multiLevelType w:val="hybridMultilevel"/>
    <w:tmpl w:val="A93E24F0"/>
    <w:lvl w:ilvl="0" w:tplc="840EA808">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4520468">
    <w:abstractNumId w:val="26"/>
  </w:num>
  <w:num w:numId="2" w16cid:durableId="652871096">
    <w:abstractNumId w:val="4"/>
  </w:num>
  <w:num w:numId="3" w16cid:durableId="813841002">
    <w:abstractNumId w:val="17"/>
  </w:num>
  <w:num w:numId="4" w16cid:durableId="342629004">
    <w:abstractNumId w:val="13"/>
  </w:num>
  <w:num w:numId="5" w16cid:durableId="2039812460">
    <w:abstractNumId w:val="5"/>
  </w:num>
  <w:num w:numId="6" w16cid:durableId="892739769">
    <w:abstractNumId w:val="29"/>
  </w:num>
  <w:num w:numId="7" w16cid:durableId="2101483674">
    <w:abstractNumId w:val="12"/>
  </w:num>
  <w:num w:numId="8" w16cid:durableId="579173086">
    <w:abstractNumId w:val="22"/>
  </w:num>
  <w:num w:numId="9" w16cid:durableId="1325235183">
    <w:abstractNumId w:val="27"/>
  </w:num>
  <w:num w:numId="10" w16cid:durableId="1950234264">
    <w:abstractNumId w:val="9"/>
  </w:num>
  <w:num w:numId="11" w16cid:durableId="993291306">
    <w:abstractNumId w:val="10"/>
  </w:num>
  <w:num w:numId="12" w16cid:durableId="1510363155">
    <w:abstractNumId w:val="0"/>
  </w:num>
  <w:num w:numId="13" w16cid:durableId="382558421">
    <w:abstractNumId w:val="14"/>
  </w:num>
  <w:num w:numId="14" w16cid:durableId="870797669">
    <w:abstractNumId w:val="3"/>
  </w:num>
  <w:num w:numId="15" w16cid:durableId="1770153228">
    <w:abstractNumId w:val="31"/>
  </w:num>
  <w:num w:numId="16" w16cid:durableId="1178156127">
    <w:abstractNumId w:val="20"/>
  </w:num>
  <w:num w:numId="17" w16cid:durableId="867061293">
    <w:abstractNumId w:val="23"/>
  </w:num>
  <w:num w:numId="18" w16cid:durableId="537553541">
    <w:abstractNumId w:val="19"/>
  </w:num>
  <w:num w:numId="19" w16cid:durableId="1927614727">
    <w:abstractNumId w:val="16"/>
  </w:num>
  <w:num w:numId="20" w16cid:durableId="2045983787">
    <w:abstractNumId w:val="15"/>
  </w:num>
  <w:num w:numId="21" w16cid:durableId="150755724">
    <w:abstractNumId w:val="2"/>
  </w:num>
  <w:num w:numId="22" w16cid:durableId="1634403109">
    <w:abstractNumId w:val="30"/>
  </w:num>
  <w:num w:numId="23" w16cid:durableId="1823232775">
    <w:abstractNumId w:val="11"/>
  </w:num>
  <w:num w:numId="24" w16cid:durableId="287787317">
    <w:abstractNumId w:val="6"/>
  </w:num>
  <w:num w:numId="25" w16cid:durableId="350301589">
    <w:abstractNumId w:val="24"/>
  </w:num>
  <w:num w:numId="26" w16cid:durableId="27723108">
    <w:abstractNumId w:val="28"/>
  </w:num>
  <w:num w:numId="27" w16cid:durableId="369694125">
    <w:abstractNumId w:val="18"/>
  </w:num>
  <w:num w:numId="28" w16cid:durableId="1450053463">
    <w:abstractNumId w:val="1"/>
  </w:num>
  <w:num w:numId="29" w16cid:durableId="356128966">
    <w:abstractNumId w:val="21"/>
  </w:num>
  <w:num w:numId="30" w16cid:durableId="186604652">
    <w:abstractNumId w:val="32"/>
  </w:num>
  <w:num w:numId="31" w16cid:durableId="1415281480">
    <w:abstractNumId w:val="8"/>
  </w:num>
  <w:num w:numId="32" w16cid:durableId="105580755">
    <w:abstractNumId w:val="25"/>
  </w:num>
  <w:num w:numId="33" w16cid:durableId="5500024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111A"/>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2EF"/>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984"/>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18C7"/>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1C5D"/>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5DC2"/>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04B4"/>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5F23"/>
    <w:rsid w:val="00A96489"/>
    <w:rsid w:val="00AA4EEA"/>
    <w:rsid w:val="00AA67A8"/>
    <w:rsid w:val="00AB0045"/>
    <w:rsid w:val="00AB0170"/>
    <w:rsid w:val="00AB0821"/>
    <w:rsid w:val="00AB2425"/>
    <w:rsid w:val="00AB685C"/>
    <w:rsid w:val="00AB6C2D"/>
    <w:rsid w:val="00AC08F7"/>
    <w:rsid w:val="00AC12C3"/>
    <w:rsid w:val="00AC3839"/>
    <w:rsid w:val="00AC5CDF"/>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48E4"/>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A7FF3"/>
    <w:rsid w:val="00BB0E34"/>
    <w:rsid w:val="00BB0E4B"/>
    <w:rsid w:val="00BB0F2B"/>
    <w:rsid w:val="00BB244E"/>
    <w:rsid w:val="00BB37F6"/>
    <w:rsid w:val="00BB7DFD"/>
    <w:rsid w:val="00BC24AD"/>
    <w:rsid w:val="00BC56F4"/>
    <w:rsid w:val="00BC6005"/>
    <w:rsid w:val="00BD2632"/>
    <w:rsid w:val="00BD4A3D"/>
    <w:rsid w:val="00BD545E"/>
    <w:rsid w:val="00BD55C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607"/>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1D78"/>
    <w:rsid w:val="00CE2C2A"/>
    <w:rsid w:val="00CE6E50"/>
    <w:rsid w:val="00CE70C6"/>
    <w:rsid w:val="00CF0079"/>
    <w:rsid w:val="00CF2819"/>
    <w:rsid w:val="00CF4F9D"/>
    <w:rsid w:val="00CF6AFC"/>
    <w:rsid w:val="00CF70DC"/>
    <w:rsid w:val="00D0121D"/>
    <w:rsid w:val="00D03926"/>
    <w:rsid w:val="00D03AE2"/>
    <w:rsid w:val="00D05BE5"/>
    <w:rsid w:val="00D1025B"/>
    <w:rsid w:val="00D12ED4"/>
    <w:rsid w:val="00D148DC"/>
    <w:rsid w:val="00D1516E"/>
    <w:rsid w:val="00D15890"/>
    <w:rsid w:val="00D16F06"/>
    <w:rsid w:val="00D17859"/>
    <w:rsid w:val="00D17FDC"/>
    <w:rsid w:val="00D20A74"/>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A6FE2"/>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5B31"/>
    <w:rsid w:val="00DD6BB5"/>
    <w:rsid w:val="00DE03AF"/>
    <w:rsid w:val="00DE05BA"/>
    <w:rsid w:val="00DE1141"/>
    <w:rsid w:val="00DE121C"/>
    <w:rsid w:val="00DE34A9"/>
    <w:rsid w:val="00DE366A"/>
    <w:rsid w:val="00DE4387"/>
    <w:rsid w:val="00DE498F"/>
    <w:rsid w:val="00DE65B9"/>
    <w:rsid w:val="00DE6633"/>
    <w:rsid w:val="00DE6A6E"/>
    <w:rsid w:val="00DE7516"/>
    <w:rsid w:val="00DF2D3C"/>
    <w:rsid w:val="00DF75F8"/>
    <w:rsid w:val="00DF7A3A"/>
    <w:rsid w:val="00E00695"/>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39F"/>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1B5E"/>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09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1F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Osmond</cp:lastModifiedBy>
  <cp:revision>9</cp:revision>
  <cp:lastPrinted>2019-08-27T05:42:00Z</cp:lastPrinted>
  <dcterms:created xsi:type="dcterms:W3CDTF">2023-03-22T09:42:00Z</dcterms:created>
  <dcterms:modified xsi:type="dcterms:W3CDTF">2023-03-22T18:49:00Z</dcterms:modified>
</cp:coreProperties>
</file>