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967D5A" w:rsidRDefault="000F6063" w:rsidP="007E03FA">
      <w:pPr>
        <w:pStyle w:val="ListParagraph"/>
        <w:numPr>
          <w:ilvl w:val="0"/>
          <w:numId w:val="31"/>
        </w:numPr>
        <w:ind w:left="426"/>
        <w:rPr>
          <w:rFonts w:ascii="Avenir Next" w:hAnsi="Avenir Next" w:cs="Arial"/>
          <w:sz w:val="22"/>
          <w:szCs w:val="22"/>
          <w:highlight w:val="yellow"/>
          <w:lang w:val="en-GB"/>
        </w:rPr>
      </w:pPr>
      <w:r w:rsidRPr="00967D5A">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967D5A" w:rsidRDefault="000F6063" w:rsidP="007E03FA">
      <w:pPr>
        <w:pStyle w:val="ListParagraph"/>
        <w:numPr>
          <w:ilvl w:val="0"/>
          <w:numId w:val="32"/>
        </w:numPr>
        <w:ind w:left="426"/>
        <w:rPr>
          <w:rFonts w:ascii="Avenir Next" w:hAnsi="Avenir Next" w:cs="Arial"/>
          <w:sz w:val="22"/>
          <w:szCs w:val="22"/>
          <w:highlight w:val="yellow"/>
          <w:lang w:val="en-GB"/>
        </w:rPr>
      </w:pPr>
      <w:r w:rsidRPr="00967D5A">
        <w:rPr>
          <w:rFonts w:ascii="Avenir Next" w:hAnsi="Avenir Next" w:cs="Arial"/>
          <w:sz w:val="22"/>
          <w:szCs w:val="22"/>
          <w:highlight w:val="yellow"/>
          <w:lang w:val="en-GB"/>
        </w:rPr>
        <w:t>Deed of Company Arrangement.</w:t>
      </w:r>
    </w:p>
    <w:p w14:paraId="203748F6" w14:textId="03F6D937" w:rsidR="00310533" w:rsidRDefault="00310533" w:rsidP="000659CF">
      <w:pPr>
        <w:rPr>
          <w:rFonts w:ascii="Avenir Next" w:hAnsi="Avenir Next" w:cs="Arial"/>
          <w:sz w:val="22"/>
          <w:szCs w:val="22"/>
          <w:lang w:val="en-GB"/>
        </w:rPr>
      </w:pPr>
    </w:p>
    <w:p w14:paraId="2FF7D046" w14:textId="50FDD73C" w:rsidR="00310533" w:rsidRDefault="00310533" w:rsidP="000659CF">
      <w:pPr>
        <w:rPr>
          <w:rFonts w:ascii="Avenir Next" w:hAnsi="Avenir Next" w:cs="Arial"/>
          <w:sz w:val="22"/>
          <w:szCs w:val="22"/>
          <w:lang w:val="en-GB"/>
        </w:rPr>
      </w:pPr>
    </w:p>
    <w:p w14:paraId="3536EF6A" w14:textId="178B8E73" w:rsidR="00310533" w:rsidRDefault="00310533" w:rsidP="000659CF">
      <w:pPr>
        <w:rPr>
          <w:rFonts w:ascii="Avenir Next" w:hAnsi="Avenir Next" w:cs="Arial"/>
          <w:sz w:val="22"/>
          <w:szCs w:val="22"/>
          <w:lang w:val="en-GB"/>
        </w:rPr>
      </w:pPr>
    </w:p>
    <w:p w14:paraId="5FE49C8E" w14:textId="6056D810" w:rsidR="00310533" w:rsidRDefault="00310533"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967D5A"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967D5A">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967D5A">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AD17AA" w:rsidRDefault="00CB2364" w:rsidP="00924973">
      <w:pPr>
        <w:pStyle w:val="ListParagraph"/>
        <w:numPr>
          <w:ilvl w:val="0"/>
          <w:numId w:val="34"/>
        </w:numPr>
        <w:ind w:left="426"/>
        <w:rPr>
          <w:rFonts w:ascii="Avenir Next" w:hAnsi="Avenir Next" w:cs="Arial"/>
          <w:sz w:val="22"/>
          <w:szCs w:val="22"/>
          <w:highlight w:val="yellow"/>
          <w:lang w:val="en-GB"/>
        </w:rPr>
      </w:pPr>
      <w:r w:rsidRPr="00AD17AA">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0D0C443F" w14:textId="0F1DC2CC" w:rsidR="000F6063" w:rsidRPr="00AD17AA" w:rsidRDefault="000F6063" w:rsidP="00924973">
      <w:pPr>
        <w:pStyle w:val="ListParagraph"/>
        <w:numPr>
          <w:ilvl w:val="0"/>
          <w:numId w:val="35"/>
        </w:numPr>
        <w:ind w:left="426"/>
        <w:rPr>
          <w:rFonts w:ascii="Avenir Next" w:hAnsi="Avenir Next" w:cs="Arial"/>
          <w:sz w:val="22"/>
          <w:szCs w:val="22"/>
          <w:highlight w:val="yellow"/>
          <w:lang w:val="en-GB"/>
        </w:rPr>
      </w:pPr>
      <w:r w:rsidRPr="00AD17AA">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382282" w:rsidRDefault="00E177F0" w:rsidP="00924973">
      <w:pPr>
        <w:pStyle w:val="ListParagraph"/>
        <w:numPr>
          <w:ilvl w:val="0"/>
          <w:numId w:val="36"/>
        </w:numPr>
        <w:ind w:left="426"/>
        <w:rPr>
          <w:rFonts w:ascii="Avenir Next" w:hAnsi="Avenir Next" w:cs="Arial"/>
          <w:sz w:val="22"/>
          <w:szCs w:val="22"/>
          <w:highlight w:val="yellow"/>
          <w:lang w:val="en-GB"/>
        </w:rPr>
      </w:pPr>
      <w:r w:rsidRPr="00382282">
        <w:rPr>
          <w:rFonts w:ascii="Avenir Next" w:hAnsi="Avenir Next" w:cs="Arial"/>
          <w:sz w:val="22"/>
          <w:szCs w:val="22"/>
          <w:highlight w:val="yellow"/>
          <w:lang w:val="en-GB"/>
        </w:rPr>
        <w:t>May enforce their security without leave of the court</w:t>
      </w:r>
      <w:r w:rsidR="00803C72" w:rsidRPr="00382282">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56067E" w:rsidRDefault="000F6063" w:rsidP="00924973">
      <w:pPr>
        <w:pStyle w:val="ListParagraph"/>
        <w:numPr>
          <w:ilvl w:val="0"/>
          <w:numId w:val="37"/>
        </w:numPr>
        <w:ind w:left="426"/>
        <w:jc w:val="both"/>
        <w:rPr>
          <w:rFonts w:ascii="Avenir Next" w:hAnsi="Avenir Next" w:cs="Arial"/>
          <w:sz w:val="22"/>
          <w:szCs w:val="22"/>
          <w:highlight w:val="yellow"/>
          <w:lang w:val="en-GB"/>
        </w:rPr>
      </w:pPr>
      <w:r w:rsidRPr="0056067E">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56067E" w:rsidRDefault="00853B56" w:rsidP="00924973">
      <w:pPr>
        <w:pStyle w:val="ListParagraph"/>
        <w:numPr>
          <w:ilvl w:val="0"/>
          <w:numId w:val="38"/>
        </w:numPr>
        <w:ind w:left="426"/>
        <w:jc w:val="both"/>
        <w:rPr>
          <w:rFonts w:ascii="Avenir Next" w:hAnsi="Avenir Next" w:cs="Arial"/>
          <w:sz w:val="22"/>
          <w:szCs w:val="22"/>
          <w:highlight w:val="yellow"/>
          <w:lang w:val="en-GB"/>
        </w:rPr>
      </w:pPr>
      <w:r w:rsidRPr="0056067E">
        <w:rPr>
          <w:rFonts w:ascii="Avenir Next" w:hAnsi="Avenir Next" w:cs="Arial"/>
          <w:sz w:val="22"/>
          <w:szCs w:val="22"/>
          <w:highlight w:val="yellow"/>
          <w:lang w:val="en-GB"/>
        </w:rPr>
        <w:t>Amounts due to p</w:t>
      </w:r>
      <w:r w:rsidR="005327B7" w:rsidRPr="0056067E">
        <w:rPr>
          <w:rFonts w:ascii="Avenir Next" w:hAnsi="Avenir Next" w:cs="Arial"/>
          <w:sz w:val="22"/>
          <w:szCs w:val="22"/>
          <w:highlight w:val="yellow"/>
          <w:lang w:val="en-GB"/>
        </w:rPr>
        <w:t>referred shareholders</w:t>
      </w:r>
      <w:r w:rsidR="00803C72" w:rsidRPr="0056067E">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56067E" w:rsidRDefault="005327B7" w:rsidP="00924973">
      <w:pPr>
        <w:pStyle w:val="ListParagraph"/>
        <w:numPr>
          <w:ilvl w:val="0"/>
          <w:numId w:val="39"/>
        </w:numPr>
        <w:ind w:left="426"/>
        <w:jc w:val="both"/>
        <w:rPr>
          <w:rFonts w:ascii="Avenir Next" w:hAnsi="Avenir Next" w:cs="Arial"/>
          <w:sz w:val="22"/>
          <w:szCs w:val="22"/>
          <w:highlight w:val="yellow"/>
          <w:lang w:val="en-GB"/>
        </w:rPr>
      </w:pPr>
      <w:r w:rsidRPr="0056067E">
        <w:rPr>
          <w:rFonts w:ascii="Avenir Next" w:hAnsi="Avenir Next" w:cs="Arial"/>
          <w:sz w:val="22"/>
          <w:szCs w:val="22"/>
          <w:highlight w:val="yellow"/>
          <w:lang w:val="en-GB"/>
        </w:rPr>
        <w:t>The board of directors decides it is “just and equitable” for the company to be wound up</w:t>
      </w:r>
      <w:r w:rsidR="00D06A87" w:rsidRPr="0056067E">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more than 75% f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56067E" w:rsidRDefault="000F6063" w:rsidP="00924973">
      <w:pPr>
        <w:pStyle w:val="ListParagraph"/>
        <w:numPr>
          <w:ilvl w:val="0"/>
          <w:numId w:val="40"/>
        </w:numPr>
        <w:ind w:left="426"/>
        <w:jc w:val="both"/>
        <w:rPr>
          <w:rFonts w:ascii="Avenir Next" w:hAnsi="Avenir Next" w:cs="Arial"/>
          <w:sz w:val="22"/>
          <w:szCs w:val="22"/>
          <w:highlight w:val="yellow"/>
          <w:lang w:val="en-GB"/>
        </w:rPr>
      </w:pPr>
      <w:r w:rsidRPr="0056067E">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6E19D36" w14:textId="1C34D05B" w:rsidR="002B3A96" w:rsidRPr="00310533" w:rsidRDefault="00FD1875"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it is possible. If a creditor wishes to register its security over an asset in the Cayman Islands, it must register its security with the relevant public security registers that are centrally maintained. Once a creditor's security is registered on one of the public registers (according to the type of asset that is secured), third parties will be on notice of their security interest. </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27DA0CDE" w14:textId="27A93FC3" w:rsidR="00AB0E3A" w:rsidRPr="00310533" w:rsidRDefault="003F58F1" w:rsidP="008C069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the Grand Court has powers </w:t>
      </w:r>
      <w:r w:rsidRPr="003F58F1">
        <w:rPr>
          <w:rFonts w:ascii="Avenir Next" w:hAnsi="Avenir Next" w:cs="Arial"/>
          <w:color w:val="808080" w:themeColor="background1" w:themeShade="80"/>
          <w:sz w:val="22"/>
          <w:szCs w:val="22"/>
          <w:lang w:val="en-GB"/>
        </w:rPr>
        <w:t>to make orders in support of foreign insolvency proceedings</w:t>
      </w:r>
      <w:r>
        <w:rPr>
          <w:rFonts w:ascii="Avenir Next" w:hAnsi="Avenir Next" w:cs="Arial"/>
          <w:color w:val="808080" w:themeColor="background1" w:themeShade="80"/>
          <w:sz w:val="22"/>
          <w:szCs w:val="22"/>
          <w:lang w:val="en-GB"/>
        </w:rPr>
        <w:t xml:space="preserve"> pursuant to </w:t>
      </w:r>
      <w:r w:rsidRPr="003F58F1">
        <w:rPr>
          <w:rFonts w:ascii="Avenir Next" w:hAnsi="Avenir Next" w:cs="Arial"/>
          <w:color w:val="808080" w:themeColor="background1" w:themeShade="80"/>
          <w:sz w:val="22"/>
          <w:szCs w:val="22"/>
          <w:lang w:val="en-GB"/>
        </w:rPr>
        <w:t>Part XVII of the Companies Act</w:t>
      </w:r>
      <w:r>
        <w:rPr>
          <w:rFonts w:ascii="Avenir Next" w:hAnsi="Avenir Next" w:cs="Arial"/>
          <w:color w:val="808080" w:themeColor="background1" w:themeShade="80"/>
          <w:sz w:val="22"/>
          <w:szCs w:val="22"/>
          <w:lang w:val="en-GB"/>
        </w:rPr>
        <w:t xml:space="preserve">. </w:t>
      </w:r>
      <w:r w:rsidR="008C069A">
        <w:rPr>
          <w:rFonts w:ascii="Avenir Next" w:hAnsi="Avenir Next" w:cs="Arial"/>
          <w:color w:val="808080" w:themeColor="background1" w:themeShade="80"/>
          <w:sz w:val="22"/>
          <w:szCs w:val="22"/>
          <w:lang w:val="en-GB"/>
        </w:rPr>
        <w:t xml:space="preserve">Section 241 Companies Act sets out the relief the Grand Court can order to assist the foreign bankruptcy proceedings, including recognition of the foreign representative, staying enforcement of any judgment against the debtor and requiring examination of a person in possession of information relating to the business or affairs of the debtor. Whether such an order is made depends upon the Court exercising its discretion, and section 242 (1) Companies Act sets out the criteria governing the Court's exercise of its discretion. </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30F79B9E" w14:textId="04E918D0" w:rsidR="00E4294D" w:rsidRPr="00310533" w:rsidRDefault="00FB0422"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Cayman Islands is not party to any international </w:t>
      </w:r>
      <w:r w:rsidRPr="00FB0422">
        <w:rPr>
          <w:rFonts w:ascii="Avenir Next" w:hAnsi="Avenir Next" w:cs="Arial"/>
          <w:color w:val="808080" w:themeColor="background1" w:themeShade="80"/>
          <w:sz w:val="22"/>
          <w:szCs w:val="22"/>
          <w:lang w:val="en-GB"/>
        </w:rPr>
        <w:t>treaties for the reciprocal recognition or enforcement of foreign judgments</w:t>
      </w:r>
      <w:r>
        <w:rPr>
          <w:rFonts w:ascii="Avenir Next" w:hAnsi="Avenir Next" w:cs="Arial"/>
          <w:color w:val="808080" w:themeColor="background1" w:themeShade="80"/>
          <w:sz w:val="22"/>
          <w:szCs w:val="22"/>
          <w:lang w:val="en-GB"/>
        </w:rPr>
        <w:t xml:space="preserve">. The legal framework is governed by statute and common law. The statutory regime is contained in </w:t>
      </w:r>
      <w:r w:rsidRPr="00FB0422">
        <w:rPr>
          <w:rFonts w:ascii="Avenir Next" w:hAnsi="Avenir Next" w:cs="Arial"/>
          <w:color w:val="808080" w:themeColor="background1" w:themeShade="80"/>
          <w:sz w:val="22"/>
          <w:szCs w:val="22"/>
          <w:lang w:val="en-GB"/>
        </w:rPr>
        <w:t>The Foreign Judgments Reciprocal Enforcement Act (1996 Revision)</w:t>
      </w:r>
      <w:r>
        <w:rPr>
          <w:rFonts w:ascii="Avenir Next" w:hAnsi="Avenir Next" w:cs="Arial"/>
          <w:color w:val="808080" w:themeColor="background1" w:themeShade="80"/>
          <w:sz w:val="22"/>
          <w:szCs w:val="22"/>
          <w:lang w:val="en-GB"/>
        </w:rPr>
        <w:t xml:space="preserve"> although that only applies if the judgment's originating country </w:t>
      </w:r>
      <w:r w:rsidRPr="00FB0422">
        <w:rPr>
          <w:rFonts w:ascii="Avenir Next" w:hAnsi="Avenir Next" w:cs="Arial"/>
          <w:color w:val="808080" w:themeColor="background1" w:themeShade="80"/>
          <w:sz w:val="22"/>
          <w:szCs w:val="22"/>
          <w:lang w:val="en-GB"/>
        </w:rPr>
        <w:t>assures substantial reciprocity of treatment regarding the enforcement of Cayman Islands Judgment</w:t>
      </w:r>
      <w:r>
        <w:rPr>
          <w:rFonts w:ascii="Avenir Next" w:hAnsi="Avenir Next" w:cs="Arial"/>
          <w:color w:val="808080" w:themeColor="background1" w:themeShade="80"/>
          <w:sz w:val="22"/>
          <w:szCs w:val="22"/>
          <w:lang w:val="en-GB"/>
        </w:rPr>
        <w:t xml:space="preserve"> (per section 3(1))</w:t>
      </w:r>
      <w:r w:rsidR="00C3698A">
        <w:rPr>
          <w:rFonts w:ascii="Avenir Next" w:hAnsi="Avenir Next" w:cs="Arial"/>
          <w:color w:val="808080" w:themeColor="background1" w:themeShade="80"/>
          <w:sz w:val="22"/>
          <w:szCs w:val="22"/>
          <w:lang w:val="en-GB"/>
        </w:rPr>
        <w:t>, and the provisions of the Act have only so far been applied to the Superior Courts of Australia</w:t>
      </w:r>
      <w:r>
        <w:rPr>
          <w:rFonts w:ascii="Avenir Next" w:hAnsi="Avenir Next" w:cs="Arial"/>
          <w:color w:val="808080" w:themeColor="background1" w:themeShade="80"/>
          <w:sz w:val="22"/>
          <w:szCs w:val="22"/>
          <w:lang w:val="en-GB"/>
        </w:rPr>
        <w:t>.</w:t>
      </w:r>
      <w:r w:rsidR="00C3698A">
        <w:rPr>
          <w:rFonts w:ascii="Avenir Next" w:hAnsi="Avenir Next" w:cs="Arial"/>
          <w:color w:val="808080" w:themeColor="background1" w:themeShade="80"/>
          <w:sz w:val="22"/>
          <w:szCs w:val="22"/>
          <w:lang w:val="en-GB"/>
        </w:rPr>
        <w:t xml:space="preserve"> Under common </w:t>
      </w:r>
      <w:r w:rsidR="00C3698A">
        <w:rPr>
          <w:rFonts w:ascii="Avenir Next" w:hAnsi="Avenir Next" w:cs="Arial"/>
          <w:color w:val="808080" w:themeColor="background1" w:themeShade="80"/>
          <w:sz w:val="22"/>
          <w:szCs w:val="22"/>
          <w:lang w:val="en-GB"/>
        </w:rPr>
        <w:lastRenderedPageBreak/>
        <w:t xml:space="preserve">law, the enforcement of a foreign judgment can be achieved by issuing a claim on the basis of an unsatisfied debt or other obligation, pursuant to the Grand Court Rules. </w:t>
      </w:r>
      <w:r w:rsidR="00C3698A" w:rsidRPr="00C3698A">
        <w:rPr>
          <w:rFonts w:ascii="Avenir Next" w:hAnsi="Avenir Next" w:cs="Arial"/>
          <w:color w:val="808080" w:themeColor="background1" w:themeShade="80"/>
          <w:sz w:val="22"/>
          <w:szCs w:val="22"/>
          <w:lang w:val="en-GB"/>
        </w:rPr>
        <w:t>Bandone v Sol Properties 2008 CILR 301</w:t>
      </w:r>
      <w:r w:rsidR="00C3698A">
        <w:rPr>
          <w:rFonts w:ascii="Avenir Next" w:hAnsi="Avenir Next" w:cs="Arial"/>
          <w:color w:val="808080" w:themeColor="background1" w:themeShade="80"/>
          <w:sz w:val="22"/>
          <w:szCs w:val="22"/>
          <w:lang w:val="en-GB"/>
        </w:rPr>
        <w:t xml:space="preserve"> </w:t>
      </w:r>
      <w:r w:rsidR="00C3698A" w:rsidRPr="00C3698A">
        <w:rPr>
          <w:rFonts w:ascii="Avenir Next" w:hAnsi="Avenir Next" w:cs="Arial"/>
          <w:color w:val="808080" w:themeColor="background1" w:themeShade="80"/>
          <w:sz w:val="22"/>
          <w:szCs w:val="22"/>
          <w:lang w:val="en-GB"/>
        </w:rPr>
        <w:t>case confirmed that in personam judgments may be recognised and enforced through equitable remedies or</w:t>
      </w:r>
      <w:r w:rsidR="00C3698A">
        <w:rPr>
          <w:rFonts w:ascii="Avenir Next" w:hAnsi="Avenir Next" w:cs="Arial"/>
          <w:color w:val="808080" w:themeColor="background1" w:themeShade="80"/>
          <w:sz w:val="22"/>
          <w:szCs w:val="22"/>
          <w:lang w:val="en-GB"/>
        </w:rPr>
        <w:t xml:space="preserve"> pursuant to</w:t>
      </w:r>
      <w:r w:rsidR="00C3698A" w:rsidRPr="00C3698A">
        <w:rPr>
          <w:rFonts w:ascii="Avenir Next" w:hAnsi="Avenir Next" w:cs="Arial"/>
          <w:color w:val="808080" w:themeColor="background1" w:themeShade="80"/>
          <w:sz w:val="22"/>
          <w:szCs w:val="22"/>
          <w:lang w:val="en-GB"/>
        </w:rPr>
        <w:t xml:space="preserve"> the principle of comity.</w:t>
      </w:r>
      <w:r>
        <w:rPr>
          <w:rFonts w:ascii="Avenir Next" w:hAnsi="Avenir Next" w:cs="Arial"/>
          <w:color w:val="808080" w:themeColor="background1" w:themeShade="80"/>
          <w:sz w:val="22"/>
          <w:szCs w:val="22"/>
          <w:lang w:val="en-GB"/>
        </w:rPr>
        <w:t xml:space="preserve"> </w:t>
      </w:r>
    </w:p>
    <w:p w14:paraId="2F861A8C" w14:textId="46B54739" w:rsidR="00E4294D" w:rsidRPr="00310533" w:rsidRDefault="00E4294D" w:rsidP="002A37BB">
      <w:pPr>
        <w:jc w:val="both"/>
        <w:rPr>
          <w:rFonts w:ascii="Avenir Next" w:hAnsi="Avenir Next" w:cs="Arial"/>
          <w:bCs/>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3C96BAC4" w14:textId="793F0ED8" w:rsidR="00E4294D" w:rsidRDefault="007875F9" w:rsidP="007875F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there are some options available to the liquidators or creditors. </w:t>
      </w:r>
      <w:r w:rsidRPr="007875F9">
        <w:rPr>
          <w:rFonts w:ascii="Avenir Next" w:hAnsi="Avenir Next" w:cs="Arial"/>
          <w:color w:val="808080" w:themeColor="background1" w:themeShade="80"/>
          <w:sz w:val="22"/>
          <w:szCs w:val="22"/>
          <w:lang w:val="en-GB"/>
        </w:rPr>
        <w:t>Section 99 of the Companies Act</w:t>
      </w:r>
      <w:r>
        <w:rPr>
          <w:rFonts w:ascii="Avenir Next" w:hAnsi="Avenir Next" w:cs="Arial"/>
          <w:color w:val="808080" w:themeColor="background1" w:themeShade="80"/>
          <w:sz w:val="22"/>
          <w:szCs w:val="22"/>
          <w:lang w:val="en-GB"/>
        </w:rPr>
        <w:t xml:space="preserve"> provides that once a winding up order has been made, </w:t>
      </w:r>
      <w:r w:rsidRPr="007875F9">
        <w:rPr>
          <w:rFonts w:ascii="Avenir Next" w:hAnsi="Avenir Next" w:cs="Arial"/>
          <w:color w:val="808080" w:themeColor="background1" w:themeShade="80"/>
          <w:sz w:val="22"/>
          <w:szCs w:val="22"/>
          <w:lang w:val="en-GB"/>
        </w:rPr>
        <w:t>any disposition of the company’s property and any transfer of shares or alteration in the status of the company’s members made after the commencement of the winding up is, unless the Court otherwise orders, void</w:t>
      </w:r>
      <w:r>
        <w:rPr>
          <w:rFonts w:ascii="Avenir Next" w:hAnsi="Avenir Next" w:cs="Arial"/>
          <w:color w:val="808080" w:themeColor="background1" w:themeShade="80"/>
          <w:sz w:val="22"/>
          <w:szCs w:val="22"/>
          <w:lang w:val="en-GB"/>
        </w:rPr>
        <w:t xml:space="preserve">. For this purpose the date of commencement of the winding up is the filing of the petition rather than the date of the winding up order. Therefore, the liquidator or creditor can seek to have such a transaction set aside and have the value of the transaction paid back to the company or the asset in question returned. </w:t>
      </w:r>
    </w:p>
    <w:p w14:paraId="032974AD" w14:textId="686DBC3B" w:rsidR="007875F9" w:rsidRDefault="007875F9" w:rsidP="007875F9">
      <w:pPr>
        <w:jc w:val="both"/>
        <w:rPr>
          <w:rFonts w:ascii="Avenir Next" w:hAnsi="Avenir Next" w:cs="Arial"/>
          <w:color w:val="808080" w:themeColor="background1" w:themeShade="80"/>
          <w:sz w:val="22"/>
          <w:szCs w:val="22"/>
          <w:lang w:val="en-GB"/>
        </w:rPr>
      </w:pPr>
    </w:p>
    <w:p w14:paraId="54DB03CB" w14:textId="0D2308BD" w:rsidR="007875F9" w:rsidRDefault="006413F4" w:rsidP="007875F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Liquidators or creditors also have rights of recourse against former directors if a transaction constitutes a voidable preference pursuant to section 145 Companies Act. </w:t>
      </w:r>
      <w:r w:rsidR="00EC0D46">
        <w:rPr>
          <w:rFonts w:ascii="Avenir Next" w:hAnsi="Avenir Next" w:cs="Arial"/>
          <w:color w:val="808080" w:themeColor="background1" w:themeShade="80"/>
          <w:sz w:val="22"/>
          <w:szCs w:val="22"/>
          <w:lang w:val="en-GB"/>
        </w:rPr>
        <w:t xml:space="preserve">Under that section, a payment or disposition of property to a creditor is voidable if </w:t>
      </w:r>
      <w:r w:rsidR="00EC0D46" w:rsidRPr="00EC0D46">
        <w:rPr>
          <w:rFonts w:ascii="Avenir Next" w:hAnsi="Avenir Next" w:cs="Arial"/>
          <w:color w:val="808080" w:themeColor="background1" w:themeShade="80"/>
          <w:sz w:val="22"/>
          <w:szCs w:val="22"/>
          <w:lang w:val="en-GB"/>
        </w:rPr>
        <w:t>it occurs in the six months before the deemed commencement of the company’s liquidation and at a time when it is unable to pay its debts and</w:t>
      </w:r>
      <w:r w:rsidR="00EC0D46">
        <w:rPr>
          <w:rFonts w:ascii="Avenir Next" w:hAnsi="Avenir Next" w:cs="Arial"/>
          <w:color w:val="808080" w:themeColor="background1" w:themeShade="80"/>
          <w:sz w:val="22"/>
          <w:szCs w:val="22"/>
          <w:lang w:val="en-GB"/>
        </w:rPr>
        <w:t xml:space="preserve"> t</w:t>
      </w:r>
      <w:r w:rsidR="00EC0D46" w:rsidRPr="00EC0D46">
        <w:rPr>
          <w:rFonts w:ascii="Avenir Next" w:hAnsi="Avenir Next" w:cs="Arial"/>
          <w:color w:val="808080" w:themeColor="background1" w:themeShade="80"/>
          <w:sz w:val="22"/>
          <w:szCs w:val="22"/>
          <w:lang w:val="en-GB"/>
        </w:rPr>
        <w:t>he dominant intention of the company’s directors was to give the applicable creditor a preference over other creditors.</w:t>
      </w:r>
      <w:r w:rsidR="00EC0D46">
        <w:rPr>
          <w:rFonts w:ascii="Avenir Next" w:hAnsi="Avenir Next" w:cs="Arial"/>
          <w:color w:val="808080" w:themeColor="background1" w:themeShade="80"/>
          <w:sz w:val="22"/>
          <w:szCs w:val="22"/>
          <w:lang w:val="en-GB"/>
        </w:rPr>
        <w:t xml:space="preserve"> </w:t>
      </w:r>
      <w:r w:rsidR="004B467C">
        <w:rPr>
          <w:rFonts w:ascii="Avenir Next" w:hAnsi="Avenir Next" w:cs="Arial"/>
          <w:color w:val="808080" w:themeColor="background1" w:themeShade="80"/>
          <w:sz w:val="22"/>
          <w:szCs w:val="22"/>
          <w:lang w:val="en-GB"/>
        </w:rPr>
        <w:t xml:space="preserve">To bring such an application to have the transaction set aside, the creditor or liquidator needs to demonstrate that the creditor in question has been placed in a better position than it would have been otherwise. It also needs to be shown that the placing of that creditor in a better position was the "dominant purpose", which can be inferred from certain circumstances such as if the transaction is entered into with a related party of the company. The test for this was considered and set out in Re </w:t>
      </w:r>
      <w:r w:rsidR="004B467C" w:rsidRPr="004B467C">
        <w:rPr>
          <w:rFonts w:ascii="Avenir Next" w:hAnsi="Avenir Next" w:cs="Arial"/>
          <w:color w:val="808080" w:themeColor="background1" w:themeShade="80"/>
          <w:sz w:val="22"/>
          <w:szCs w:val="22"/>
          <w:lang w:val="en-GB"/>
        </w:rPr>
        <w:t>Weavering Macro Fixed Income Fund Ltd (in Liquidation) the Cayman Islands Court of Appeal and Judicial Committee of the Privy Council</w:t>
      </w:r>
      <w:r w:rsidR="004B467C">
        <w:rPr>
          <w:rFonts w:ascii="Avenir Next" w:hAnsi="Avenir Next" w:cs="Arial"/>
          <w:color w:val="808080" w:themeColor="background1" w:themeShade="80"/>
          <w:sz w:val="22"/>
          <w:szCs w:val="22"/>
          <w:lang w:val="en-GB"/>
        </w:rPr>
        <w:t>.</w:t>
      </w:r>
    </w:p>
    <w:p w14:paraId="1412F64E" w14:textId="367FD84B" w:rsidR="004B467C" w:rsidRDefault="004B467C" w:rsidP="007875F9">
      <w:pPr>
        <w:jc w:val="both"/>
        <w:rPr>
          <w:rFonts w:ascii="Avenir Next" w:hAnsi="Avenir Next" w:cs="Arial"/>
          <w:color w:val="808080" w:themeColor="background1" w:themeShade="80"/>
          <w:sz w:val="22"/>
          <w:szCs w:val="22"/>
          <w:lang w:val="en-GB"/>
        </w:rPr>
      </w:pPr>
    </w:p>
    <w:p w14:paraId="6199736F" w14:textId="78BD5A71" w:rsidR="004B467C" w:rsidRPr="00310533" w:rsidRDefault="004B467C" w:rsidP="007875F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if a transaction is made at an undervalue, the creditor or liquidator can seek to have it set aside and the value paid back to the company or asset returned. Pursuant to section 146 Companies Act, a transaction is voidable if it was is disposed of at an undervalue and </w:t>
      </w:r>
      <w:r w:rsidRPr="004B467C">
        <w:rPr>
          <w:rFonts w:ascii="Avenir Next" w:hAnsi="Avenir Next" w:cs="Arial"/>
          <w:color w:val="808080" w:themeColor="background1" w:themeShade="80"/>
          <w:sz w:val="22"/>
          <w:szCs w:val="22"/>
          <w:lang w:val="en-GB"/>
        </w:rPr>
        <w:t>with the intention of wilfully defeating an obligation owed to a creditor (that is, an intent to defraud)</w:t>
      </w:r>
      <w:r w:rsidR="00B4147B">
        <w:rPr>
          <w:rFonts w:ascii="Avenir Next" w:hAnsi="Avenir Next" w:cs="Arial"/>
          <w:color w:val="808080" w:themeColor="background1" w:themeShade="80"/>
          <w:sz w:val="22"/>
          <w:szCs w:val="22"/>
          <w:lang w:val="en-GB"/>
        </w:rPr>
        <w:t xml:space="preserve">. Such applications must be brought within 6 years of the date of the disposal of the property and the applicant has the burden of proof in proving that the intention of the transaction was to defraud the company's creditors. </w:t>
      </w:r>
      <w:r w:rsidR="00B4147B" w:rsidRPr="00B4147B">
        <w:rPr>
          <w:rFonts w:ascii="Avenir Next" w:hAnsi="Avenir Next" w:cs="Arial"/>
          <w:color w:val="808080" w:themeColor="background1" w:themeShade="80"/>
          <w:sz w:val="22"/>
          <w:szCs w:val="22"/>
          <w:lang w:val="en-GB"/>
        </w:rPr>
        <w:t>“Undervalue” mean</w:t>
      </w:r>
      <w:r w:rsidR="00B4147B">
        <w:rPr>
          <w:rFonts w:ascii="Avenir Next" w:hAnsi="Avenir Next" w:cs="Arial"/>
          <w:color w:val="808080" w:themeColor="background1" w:themeShade="80"/>
          <w:sz w:val="22"/>
          <w:szCs w:val="22"/>
          <w:lang w:val="en-GB"/>
        </w:rPr>
        <w:t>s</w:t>
      </w:r>
      <w:r w:rsidR="00B4147B" w:rsidRPr="00B4147B">
        <w:rPr>
          <w:rFonts w:ascii="Avenir Next" w:hAnsi="Avenir Next" w:cs="Arial"/>
          <w:color w:val="808080" w:themeColor="background1" w:themeShade="80"/>
          <w:sz w:val="22"/>
          <w:szCs w:val="22"/>
          <w:lang w:val="en-GB"/>
        </w:rPr>
        <w:t xml:space="preserve"> the provision of no consideration or a consideration which in money or money’s worth is significantly less than the value of the property</w:t>
      </w:r>
      <w:r w:rsidR="00B4147B">
        <w:rPr>
          <w:rFonts w:ascii="Avenir Next" w:hAnsi="Avenir Next" w:cs="Arial"/>
          <w:color w:val="808080" w:themeColor="background1" w:themeShade="80"/>
          <w:sz w:val="22"/>
          <w:szCs w:val="22"/>
          <w:lang w:val="en-GB"/>
        </w:rPr>
        <w:t xml:space="preserve"> that was disposed of. </w:t>
      </w:r>
    </w:p>
    <w:p w14:paraId="6F724901" w14:textId="469BD4CC" w:rsidR="00D17FDC" w:rsidRPr="00EC0D46" w:rsidRDefault="00D17FDC" w:rsidP="002A37BB">
      <w:pPr>
        <w:jc w:val="both"/>
        <w:rPr>
          <w:rFonts w:ascii="Avenir Next" w:hAnsi="Avenir Next" w:cs="Arial"/>
          <w:sz w:val="22"/>
          <w:szCs w:val="22"/>
          <w:shd w:val="clear" w:color="auto" w:fill="FFFFFF"/>
          <w:lang w:val="en-GB"/>
        </w:rPr>
      </w:pP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0847CADA" w14:textId="41164687" w:rsidR="00E4294D" w:rsidRPr="00310533" w:rsidRDefault="00207BDB"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Receivership is an option that is only available to secured creditors. Technically, secured creditors sit outside of an insolvency scenario since they are not obliged to participate in the insolvency processes and can take steps to </w:t>
      </w:r>
      <w:r w:rsidR="008E244E">
        <w:rPr>
          <w:rFonts w:ascii="Avenir Next" w:hAnsi="Avenir Next" w:cs="Arial"/>
          <w:color w:val="808080" w:themeColor="background1" w:themeShade="80"/>
          <w:sz w:val="22"/>
          <w:szCs w:val="22"/>
          <w:lang w:val="en-GB"/>
        </w:rPr>
        <w:t>enforce</w:t>
      </w:r>
      <w:r>
        <w:rPr>
          <w:rFonts w:ascii="Avenir Next" w:hAnsi="Avenir Next" w:cs="Arial"/>
          <w:color w:val="808080" w:themeColor="background1" w:themeShade="80"/>
          <w:sz w:val="22"/>
          <w:szCs w:val="22"/>
          <w:lang w:val="en-GB"/>
        </w:rPr>
        <w:t xml:space="preserve"> their security</w:t>
      </w:r>
      <w:r w:rsidR="008E244E">
        <w:rPr>
          <w:rFonts w:ascii="Avenir Next" w:hAnsi="Avenir Next" w:cs="Arial"/>
          <w:color w:val="808080" w:themeColor="background1" w:themeShade="80"/>
          <w:sz w:val="22"/>
          <w:szCs w:val="22"/>
          <w:lang w:val="en-GB"/>
        </w:rPr>
        <w:t xml:space="preserve"> notwithstanding formal insolvency process being entered into</w:t>
      </w:r>
      <w:r>
        <w:rPr>
          <w:rFonts w:ascii="Avenir Next" w:hAnsi="Avenir Next" w:cs="Arial"/>
          <w:color w:val="808080" w:themeColor="background1" w:themeShade="80"/>
          <w:sz w:val="22"/>
          <w:szCs w:val="22"/>
          <w:lang w:val="en-GB"/>
        </w:rPr>
        <w:t>.</w:t>
      </w:r>
      <w:r w:rsidR="008E244E">
        <w:rPr>
          <w:rFonts w:ascii="Avenir Next" w:hAnsi="Avenir Next" w:cs="Arial"/>
          <w:color w:val="808080" w:themeColor="background1" w:themeShade="80"/>
          <w:sz w:val="22"/>
          <w:szCs w:val="22"/>
          <w:lang w:val="en-GB"/>
        </w:rPr>
        <w:t xml:space="preserve"> However, they provide such security holders with an alternative means of enforcing their interests without the need for Court involvement. Once appointed the receiver can take actions pursuant to the powers set out in the charge instrument which often includes the right of sale of the asset. Being able to take such action without the Court's involvement of supervision makes this option a more cost effective and quicker route for recovering its debt for secured creditors. </w:t>
      </w:r>
      <w:r>
        <w:rPr>
          <w:rFonts w:ascii="Avenir Next" w:hAnsi="Avenir Next" w:cs="Arial"/>
          <w:color w:val="808080" w:themeColor="background1" w:themeShade="80"/>
          <w:sz w:val="22"/>
          <w:szCs w:val="22"/>
          <w:lang w:val="en-GB"/>
        </w:rPr>
        <w:t xml:space="preserve"> </w:t>
      </w:r>
      <w:r w:rsidR="00524277">
        <w:rPr>
          <w:rFonts w:ascii="Avenir Next" w:hAnsi="Avenir Next" w:cs="Arial"/>
          <w:color w:val="808080" w:themeColor="background1" w:themeShade="80"/>
          <w:sz w:val="22"/>
          <w:szCs w:val="22"/>
          <w:lang w:val="en-GB"/>
        </w:rPr>
        <w:t xml:space="preserve">Saving costs which will ultimately be borne by the company means there may be more of the debtor's other assets available (if any) to satisfy other creditors if a formal insolvency proceeding does become necessary. </w:t>
      </w:r>
      <w:r w:rsidR="00355CED">
        <w:rPr>
          <w:rFonts w:ascii="Avenir Next" w:hAnsi="Avenir Next" w:cs="Arial"/>
          <w:color w:val="808080" w:themeColor="background1" w:themeShade="80"/>
          <w:sz w:val="22"/>
          <w:szCs w:val="22"/>
          <w:lang w:val="en-GB"/>
        </w:rPr>
        <w:t>Receivers are also necessary in the event of a particular portfolio of a Segregated Portfolio Company falling into insolvency, as the usual winding up provisions would not be appropriate for a company of this nature. The receiver in that circumstance acts in a similar role to the liquidator and is responsible for the winding down of the business of the segregated portfolio and distribution of its assets to those who are entitled to it (per section 224(3) Companies Act.) Receivers therefore do have a role to play in a Cayman Islands insolvency scenario.</w:t>
      </w:r>
    </w:p>
    <w:p w14:paraId="6DD9BB66" w14:textId="453DB4C2" w:rsidR="00FA18CF" w:rsidRPr="00310533" w:rsidRDefault="00FA18CF" w:rsidP="002A37BB">
      <w:pPr>
        <w:jc w:val="both"/>
        <w:rPr>
          <w:rFonts w:ascii="Avenir Next" w:hAnsi="Avenir Next" w:cs="Arial"/>
          <w:sz w:val="22"/>
          <w:szCs w:val="22"/>
          <w:shd w:val="clear" w:color="auto" w:fill="FFFFFF"/>
        </w:rPr>
      </w:pPr>
    </w:p>
    <w:p w14:paraId="6B4C4CB7" w14:textId="29400CF4" w:rsidR="00E4294D" w:rsidRDefault="00E4294D" w:rsidP="002A37BB">
      <w:pPr>
        <w:jc w:val="both"/>
        <w:rPr>
          <w:rFonts w:ascii="Avenir Next" w:hAnsi="Avenir Next" w:cs="Arial"/>
          <w:sz w:val="22"/>
          <w:szCs w:val="22"/>
          <w:shd w:val="clear" w:color="auto" w:fill="FFFFFF"/>
        </w:rPr>
      </w:pP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5E9F761E" w14:textId="0DF46B95" w:rsidR="00952187" w:rsidRDefault="00952187"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51911D9F" w14:textId="72221A3F" w:rsidR="00952187" w:rsidRDefault="00C45311" w:rsidP="00C45311">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BITB is a secured creditor in respect of USD 180 million of its debt. If the terms of the charge </w:t>
      </w:r>
      <w:r w:rsidR="004E2B74">
        <w:rPr>
          <w:rFonts w:ascii="Avenir Next" w:hAnsi="Avenir Next" w:cs="Arial"/>
          <w:color w:val="808080" w:themeColor="background1" w:themeShade="80"/>
          <w:sz w:val="22"/>
          <w:szCs w:val="22"/>
          <w:lang w:val="en-GB"/>
        </w:rPr>
        <w:t>instrument</w:t>
      </w:r>
      <w:r>
        <w:rPr>
          <w:rFonts w:ascii="Avenir Next" w:hAnsi="Avenir Next" w:cs="Arial"/>
          <w:color w:val="808080" w:themeColor="background1" w:themeShade="80"/>
          <w:sz w:val="22"/>
          <w:szCs w:val="22"/>
          <w:lang w:val="en-GB"/>
        </w:rPr>
        <w:t xml:space="preserve"> allow it to, it could appoint receivers in respect of </w:t>
      </w:r>
      <w:r w:rsidRPr="00C45311">
        <w:rPr>
          <w:rFonts w:ascii="Avenir Next" w:hAnsi="Avenir Next" w:cs="Arial"/>
          <w:color w:val="808080" w:themeColor="background1" w:themeShade="80"/>
          <w:sz w:val="22"/>
          <w:szCs w:val="22"/>
          <w:lang w:val="en-GB"/>
        </w:rPr>
        <w:t xml:space="preserve">VP’s </w:t>
      </w:r>
      <w:r>
        <w:rPr>
          <w:rFonts w:ascii="Avenir Next" w:hAnsi="Avenir Next" w:cs="Arial"/>
          <w:color w:val="808080" w:themeColor="background1" w:themeShade="80"/>
          <w:sz w:val="22"/>
          <w:szCs w:val="22"/>
          <w:lang w:val="en-GB"/>
        </w:rPr>
        <w:t xml:space="preserve">four </w:t>
      </w:r>
      <w:r w:rsidRPr="00C45311">
        <w:rPr>
          <w:rFonts w:ascii="Avenir Next" w:hAnsi="Avenir Next" w:cs="Arial"/>
          <w:color w:val="808080" w:themeColor="background1" w:themeShade="80"/>
          <w:sz w:val="22"/>
          <w:szCs w:val="22"/>
          <w:lang w:val="en-GB"/>
        </w:rPr>
        <w:t>largest party boats</w:t>
      </w:r>
      <w:r>
        <w:rPr>
          <w:rFonts w:ascii="Avenir Next" w:hAnsi="Avenir Next" w:cs="Arial"/>
          <w:color w:val="808080" w:themeColor="background1" w:themeShade="80"/>
          <w:sz w:val="22"/>
          <w:szCs w:val="22"/>
          <w:lang w:val="en-GB"/>
        </w:rPr>
        <w:t xml:space="preserve"> and provided they have the power to do so under the terms of the charge, the receivers could exercise a power of sale and pay BITB some of its debt from the proceeds (after payment of their own remuneration). </w:t>
      </w:r>
      <w:r w:rsidR="004E2B74">
        <w:rPr>
          <w:rFonts w:ascii="Avenir Next" w:hAnsi="Avenir Next" w:cs="Arial"/>
          <w:color w:val="808080" w:themeColor="background1" w:themeShade="80"/>
          <w:sz w:val="22"/>
          <w:szCs w:val="22"/>
          <w:lang w:val="en-GB"/>
        </w:rPr>
        <w:t xml:space="preserve">The balance of its debt is unsecured, and BITB could bring a petition for the winding up of VP and prove in the liquidation for that sum. </w:t>
      </w:r>
    </w:p>
    <w:p w14:paraId="2155E0EB" w14:textId="5F1657ED" w:rsidR="004E2B74" w:rsidRDefault="00204296" w:rsidP="00C45311">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JoBo has the benefit of an arbitral award against VP from the ICC in London. </w:t>
      </w:r>
      <w:r w:rsidR="008D6BA2">
        <w:rPr>
          <w:rFonts w:ascii="Avenir Next" w:hAnsi="Avenir Next" w:cs="Arial"/>
          <w:color w:val="808080" w:themeColor="background1" w:themeShade="80"/>
          <w:sz w:val="22"/>
          <w:szCs w:val="22"/>
          <w:lang w:val="en-GB"/>
        </w:rPr>
        <w:t xml:space="preserve">It could commence a claim in the Financial </w:t>
      </w:r>
      <w:r w:rsidR="008D6BA2" w:rsidRPr="008D6BA2">
        <w:rPr>
          <w:rFonts w:ascii="Avenir Next" w:hAnsi="Avenir Next" w:cs="Arial"/>
          <w:color w:val="808080" w:themeColor="background1" w:themeShade="80"/>
          <w:sz w:val="22"/>
          <w:szCs w:val="22"/>
          <w:lang w:val="en-GB"/>
        </w:rPr>
        <w:t>Services Division of the Grand Court</w:t>
      </w:r>
      <w:r w:rsidR="008D6BA2">
        <w:rPr>
          <w:rFonts w:ascii="Avenir Next" w:hAnsi="Avenir Next" w:cs="Arial"/>
          <w:color w:val="808080" w:themeColor="background1" w:themeShade="80"/>
          <w:sz w:val="22"/>
          <w:szCs w:val="22"/>
          <w:lang w:val="en-GB"/>
        </w:rPr>
        <w:t xml:space="preserve"> to enforce its arbitral award against VP. </w:t>
      </w:r>
      <w:r w:rsidR="00DD4FF1" w:rsidRPr="00DD4FF1">
        <w:rPr>
          <w:rFonts w:ascii="Avenir Next" w:hAnsi="Avenir Next" w:cs="Arial"/>
          <w:color w:val="808080" w:themeColor="background1" w:themeShade="80"/>
          <w:sz w:val="22"/>
          <w:szCs w:val="22"/>
          <w:lang w:val="en-GB"/>
        </w:rPr>
        <w:t>Order 73 of the Grand Court Rules requires that the parties must apply for leave to enforce an award by ex parte originating summons</w:t>
      </w:r>
      <w:r w:rsidR="000134E1">
        <w:rPr>
          <w:rFonts w:ascii="Avenir Next" w:hAnsi="Avenir Next" w:cs="Arial"/>
          <w:color w:val="808080" w:themeColor="background1" w:themeShade="80"/>
          <w:sz w:val="22"/>
          <w:szCs w:val="22"/>
          <w:lang w:val="en-GB"/>
        </w:rPr>
        <w:t xml:space="preserve"> and it needs to bring its action within 6 years of the date of the arbitral award</w:t>
      </w:r>
      <w:r w:rsidR="00DD4FF1">
        <w:rPr>
          <w:rFonts w:ascii="Avenir Next" w:hAnsi="Avenir Next" w:cs="Arial"/>
          <w:color w:val="808080" w:themeColor="background1" w:themeShade="80"/>
          <w:sz w:val="22"/>
          <w:szCs w:val="22"/>
          <w:lang w:val="en-GB"/>
        </w:rPr>
        <w:t>.</w:t>
      </w:r>
    </w:p>
    <w:p w14:paraId="699215DA" w14:textId="0F0EE134" w:rsidR="008D6BA2" w:rsidRDefault="008D6BA2" w:rsidP="00C45311">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unpaid employees can </w:t>
      </w:r>
      <w:r w:rsidR="00400DFB">
        <w:rPr>
          <w:rFonts w:ascii="Avenir Next" w:hAnsi="Avenir Next" w:cs="Arial"/>
          <w:color w:val="808080" w:themeColor="background1" w:themeShade="80"/>
          <w:sz w:val="22"/>
          <w:szCs w:val="22"/>
          <w:lang w:val="en-GB"/>
        </w:rPr>
        <w:t xml:space="preserve">prove in the liquidation as unsecured creditors and when the liquidator comes to distribute the assets they will rank as preferential debts per section 141 Companies Act. </w:t>
      </w:r>
    </w:p>
    <w:p w14:paraId="16E9F115" w14:textId="350C52B7" w:rsidR="008D6BA2" w:rsidRDefault="008D6BA2" w:rsidP="00C45311">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as VP </w:t>
      </w:r>
      <w:r w:rsidRPr="008D6BA2">
        <w:rPr>
          <w:rFonts w:ascii="Avenir Next" w:hAnsi="Avenir Next" w:cs="Arial"/>
          <w:color w:val="808080" w:themeColor="background1" w:themeShade="80"/>
          <w:sz w:val="22"/>
          <w:szCs w:val="22"/>
          <w:lang w:val="en-GB"/>
        </w:rPr>
        <w:t>is a company registered in the Cayman Islands</w:t>
      </w:r>
      <w:r>
        <w:rPr>
          <w:rFonts w:ascii="Avenir Next" w:hAnsi="Avenir Next" w:cs="Arial"/>
          <w:color w:val="808080" w:themeColor="background1" w:themeShade="80"/>
          <w:sz w:val="22"/>
          <w:szCs w:val="22"/>
          <w:lang w:val="en-GB"/>
        </w:rPr>
        <w:t>, the Court has jurisdiction over it.</w:t>
      </w:r>
    </w:p>
    <w:p w14:paraId="34CDF3D9" w14:textId="2AC39CAE" w:rsidR="008D6BA2" w:rsidRDefault="007823EE" w:rsidP="00C45311">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VP can appoint a restructuring officer pursuant to </w:t>
      </w:r>
      <w:r w:rsidRPr="007823EE">
        <w:rPr>
          <w:rFonts w:ascii="Avenir Next" w:hAnsi="Avenir Next" w:cs="Arial"/>
          <w:color w:val="808080" w:themeColor="background1" w:themeShade="80"/>
          <w:sz w:val="22"/>
          <w:szCs w:val="22"/>
          <w:lang w:val="en-GB"/>
        </w:rPr>
        <w:t>Part V, section 91A-J of the Companies Act</w:t>
      </w:r>
      <w:r>
        <w:rPr>
          <w:rFonts w:ascii="Avenir Next" w:hAnsi="Avenir Next" w:cs="Arial"/>
          <w:color w:val="808080" w:themeColor="background1" w:themeShade="80"/>
          <w:sz w:val="22"/>
          <w:szCs w:val="22"/>
          <w:lang w:val="en-GB"/>
        </w:rPr>
        <w:t xml:space="preserve">. </w:t>
      </w:r>
      <w:r w:rsidR="00DF0939">
        <w:rPr>
          <w:rFonts w:ascii="Avenir Next" w:hAnsi="Avenir Next" w:cs="Arial"/>
          <w:color w:val="808080" w:themeColor="background1" w:themeShade="80"/>
          <w:sz w:val="22"/>
          <w:szCs w:val="22"/>
          <w:lang w:val="en-GB"/>
        </w:rPr>
        <w:t>VP needs to present a</w:t>
      </w:r>
      <w:r w:rsidR="00DF0939" w:rsidRPr="00DF0939">
        <w:rPr>
          <w:rFonts w:ascii="Avenir Next" w:hAnsi="Avenir Next" w:cs="Arial"/>
          <w:color w:val="808080" w:themeColor="background1" w:themeShade="80"/>
          <w:sz w:val="22"/>
          <w:szCs w:val="22"/>
          <w:lang w:val="en-GB"/>
        </w:rPr>
        <w:t xml:space="preserve"> petition to the Grand Court for the appointment of an </w:t>
      </w:r>
      <w:r w:rsidR="00DF0939">
        <w:rPr>
          <w:rFonts w:ascii="Avenir Next" w:hAnsi="Avenir Next" w:cs="Arial"/>
          <w:color w:val="808080" w:themeColor="background1" w:themeShade="80"/>
          <w:sz w:val="22"/>
          <w:szCs w:val="22"/>
          <w:lang w:val="en-GB"/>
        </w:rPr>
        <w:t>restructuring officer</w:t>
      </w:r>
      <w:r w:rsidR="00DF0939" w:rsidRPr="00DF0939">
        <w:rPr>
          <w:rFonts w:ascii="Avenir Next" w:hAnsi="Avenir Next" w:cs="Arial"/>
          <w:color w:val="808080" w:themeColor="background1" w:themeShade="80"/>
          <w:sz w:val="22"/>
          <w:szCs w:val="22"/>
          <w:lang w:val="en-GB"/>
        </w:rPr>
        <w:t xml:space="preserve"> on the grounds that</w:t>
      </w:r>
      <w:r w:rsidR="00DF0939">
        <w:rPr>
          <w:rFonts w:ascii="Avenir Next" w:hAnsi="Avenir Next" w:cs="Arial"/>
          <w:color w:val="808080" w:themeColor="background1" w:themeShade="80"/>
          <w:sz w:val="22"/>
          <w:szCs w:val="22"/>
          <w:lang w:val="en-GB"/>
        </w:rPr>
        <w:t xml:space="preserve"> i</w:t>
      </w:r>
      <w:r w:rsidR="00DF0939" w:rsidRPr="00DF0939">
        <w:rPr>
          <w:rFonts w:ascii="Avenir Next" w:hAnsi="Avenir Next" w:cs="Arial"/>
          <w:color w:val="808080" w:themeColor="background1" w:themeShade="80"/>
          <w:sz w:val="22"/>
          <w:szCs w:val="22"/>
          <w:lang w:val="en-GB"/>
        </w:rPr>
        <w:t xml:space="preserve">t is or is likely to become unable to pay its debts and </w:t>
      </w:r>
      <w:r w:rsidR="00DF0939">
        <w:rPr>
          <w:rFonts w:ascii="Avenir Next" w:hAnsi="Avenir Next" w:cs="Arial"/>
          <w:color w:val="808080" w:themeColor="background1" w:themeShade="80"/>
          <w:sz w:val="22"/>
          <w:szCs w:val="22"/>
          <w:lang w:val="en-GB"/>
        </w:rPr>
        <w:t>i</w:t>
      </w:r>
      <w:r w:rsidR="00DF0939" w:rsidRPr="00DF0939">
        <w:rPr>
          <w:rFonts w:ascii="Avenir Next" w:hAnsi="Avenir Next" w:cs="Arial"/>
          <w:color w:val="808080" w:themeColor="background1" w:themeShade="80"/>
          <w:sz w:val="22"/>
          <w:szCs w:val="22"/>
          <w:lang w:val="en-GB"/>
        </w:rPr>
        <w:t>t intends to present a compromise or arrangement to its creditors (or classes of creditors)</w:t>
      </w:r>
      <w:r w:rsidR="00DF0939">
        <w:rPr>
          <w:rFonts w:ascii="Avenir Next" w:hAnsi="Avenir Next" w:cs="Arial"/>
          <w:color w:val="808080" w:themeColor="background1" w:themeShade="80"/>
          <w:sz w:val="22"/>
          <w:szCs w:val="22"/>
          <w:lang w:val="en-GB"/>
        </w:rPr>
        <w:t xml:space="preserve">. </w:t>
      </w:r>
      <w:r w:rsidR="00E15421">
        <w:rPr>
          <w:rFonts w:ascii="Avenir Next" w:hAnsi="Avenir Next" w:cs="Arial"/>
          <w:color w:val="808080" w:themeColor="background1" w:themeShade="80"/>
          <w:sz w:val="22"/>
          <w:szCs w:val="22"/>
          <w:lang w:val="en-GB"/>
        </w:rPr>
        <w:t xml:space="preserve">When VP files the petition, a moratorium on creditor claims will automatically be triggered and its creditors wont be able to bring or continue claims without leave of the court. </w:t>
      </w:r>
      <w:r w:rsidR="00903735">
        <w:rPr>
          <w:rFonts w:ascii="Avenir Next" w:hAnsi="Avenir Next" w:cs="Arial"/>
          <w:color w:val="808080" w:themeColor="background1" w:themeShade="80"/>
          <w:sz w:val="22"/>
          <w:szCs w:val="22"/>
          <w:lang w:val="en-GB"/>
        </w:rPr>
        <w:t xml:space="preserve">VP could also enter into a scheme of arrangement with its creditors, per </w:t>
      </w:r>
      <w:r w:rsidR="00903735" w:rsidRPr="00903735">
        <w:rPr>
          <w:rFonts w:ascii="Avenir Next" w:hAnsi="Avenir Next" w:cs="Arial"/>
          <w:color w:val="808080" w:themeColor="background1" w:themeShade="80"/>
          <w:sz w:val="22"/>
          <w:szCs w:val="22"/>
          <w:lang w:val="en-GB"/>
        </w:rPr>
        <w:t>section 86 of the Companies Act</w:t>
      </w:r>
      <w:r w:rsidR="00903735">
        <w:rPr>
          <w:rFonts w:ascii="Avenir Next" w:hAnsi="Avenir Next" w:cs="Arial"/>
          <w:color w:val="808080" w:themeColor="background1" w:themeShade="80"/>
          <w:sz w:val="22"/>
          <w:szCs w:val="22"/>
          <w:lang w:val="en-GB"/>
        </w:rPr>
        <w:t xml:space="preserve">. </w:t>
      </w:r>
    </w:p>
    <w:p w14:paraId="59A17AE6" w14:textId="5FE85746" w:rsidR="00E15421" w:rsidRDefault="00F0285D" w:rsidP="00C45311">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was the case when provisional liquidators were the principle method of restructuring in Cayman Islands law, if a restructuring officer is appointed it is expected that the </w:t>
      </w:r>
      <w:r w:rsidRPr="00F0285D">
        <w:rPr>
          <w:rFonts w:ascii="Avenir Next" w:hAnsi="Avenir Next" w:cs="Arial"/>
          <w:color w:val="808080" w:themeColor="background1" w:themeShade="80"/>
          <w:sz w:val="22"/>
          <w:szCs w:val="22"/>
          <w:lang w:val="en-GB"/>
        </w:rPr>
        <w:t>Grand Court will determine which powers will remain with the directors (if any) and which will be vested in the R</w:t>
      </w:r>
      <w:r w:rsidR="002E7F33">
        <w:rPr>
          <w:rFonts w:ascii="Avenir Next" w:hAnsi="Avenir Next" w:cs="Arial"/>
          <w:color w:val="808080" w:themeColor="background1" w:themeShade="80"/>
          <w:sz w:val="22"/>
          <w:szCs w:val="22"/>
          <w:lang w:val="en-GB"/>
        </w:rPr>
        <w:t>O</w:t>
      </w:r>
      <w:r w:rsidRPr="00F0285D">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It depends on whether the Court considers that the way in which the company's affairs were being conducted was prejudicial to the company's creditors. </w:t>
      </w:r>
      <w:r w:rsidR="002E7F33">
        <w:rPr>
          <w:rFonts w:ascii="Avenir Next" w:hAnsi="Avenir Next" w:cs="Arial"/>
          <w:color w:val="808080" w:themeColor="background1" w:themeShade="80"/>
          <w:sz w:val="22"/>
          <w:szCs w:val="22"/>
          <w:lang w:val="en-GB"/>
        </w:rPr>
        <w:t xml:space="preserve"> The RO is an officer of the Court and owes its duties to the Court rather than the Rackhams, so if they consider that the Rackhams should no longer have a role in the running of VP they can apply to Court for their powers to be extended</w:t>
      </w:r>
      <w:r w:rsidR="00620C66">
        <w:rPr>
          <w:rFonts w:ascii="Avenir Next" w:hAnsi="Avenir Next" w:cs="Arial"/>
          <w:color w:val="808080" w:themeColor="background1" w:themeShade="80"/>
          <w:sz w:val="22"/>
          <w:szCs w:val="22"/>
          <w:lang w:val="en-GB"/>
        </w:rPr>
        <w:t xml:space="preserve"> by way of a variation to their appointment order, per section 91E Companies Act</w:t>
      </w:r>
      <w:r w:rsidR="002E7F33">
        <w:rPr>
          <w:rFonts w:ascii="Avenir Next" w:hAnsi="Avenir Next" w:cs="Arial"/>
          <w:color w:val="808080" w:themeColor="background1" w:themeShade="80"/>
          <w:sz w:val="22"/>
          <w:szCs w:val="22"/>
          <w:lang w:val="en-GB"/>
        </w:rPr>
        <w:t>.</w:t>
      </w:r>
    </w:p>
    <w:p w14:paraId="3897E8A6" w14:textId="4AD3671F" w:rsidR="002E7F33" w:rsidRPr="005D1471" w:rsidRDefault="002E7F33" w:rsidP="00106869">
      <w:pPr>
        <w:pStyle w:val="ListParagraph"/>
        <w:numPr>
          <w:ilvl w:val="0"/>
          <w:numId w:val="42"/>
        </w:numPr>
        <w:jc w:val="both"/>
        <w:rPr>
          <w:rFonts w:ascii="Avenir Next" w:hAnsi="Avenir Next" w:cs="Arial"/>
          <w:color w:val="808080" w:themeColor="background1" w:themeShade="80"/>
          <w:sz w:val="22"/>
          <w:szCs w:val="22"/>
          <w:lang w:val="en-GB"/>
        </w:rPr>
      </w:pPr>
      <w:r w:rsidRPr="005D1471">
        <w:rPr>
          <w:rFonts w:ascii="Avenir Next" w:hAnsi="Avenir Next" w:cs="Arial"/>
          <w:color w:val="808080" w:themeColor="background1" w:themeShade="80"/>
          <w:sz w:val="22"/>
          <w:szCs w:val="22"/>
          <w:lang w:val="en-GB"/>
        </w:rPr>
        <w:t xml:space="preserve">Before approving the proposed restructuring, the Court will need to be satisfied that the proposed restructuring officer is a qualified insolvency practitioner (section 91D Companies Act). </w:t>
      </w:r>
      <w:r w:rsidR="005D1471" w:rsidRPr="005D1471">
        <w:rPr>
          <w:rFonts w:ascii="Avenir Next" w:hAnsi="Avenir Next" w:cs="Arial"/>
          <w:color w:val="808080" w:themeColor="background1" w:themeShade="80"/>
          <w:sz w:val="22"/>
          <w:szCs w:val="22"/>
          <w:lang w:val="en-GB"/>
        </w:rPr>
        <w:t xml:space="preserve">The Court also needs to be satisfied that VP </w:t>
      </w:r>
      <w:r w:rsidR="005D1471" w:rsidRPr="005D1471">
        <w:rPr>
          <w:rFonts w:ascii="Avenir Next" w:hAnsi="Avenir Next" w:cs="Arial"/>
          <w:color w:val="808080" w:themeColor="background1" w:themeShade="80"/>
          <w:sz w:val="22"/>
          <w:szCs w:val="22"/>
          <w:lang w:val="en-GB"/>
        </w:rPr>
        <w:t xml:space="preserve">is or is likely to become unable to pay its debts within the meaning of section 93; and intends to present a compromise or arrangement to its creditors (or classes thereof) either, pursuant to </w:t>
      </w:r>
      <w:r w:rsidR="005D1471">
        <w:rPr>
          <w:rFonts w:ascii="Avenir Next" w:hAnsi="Avenir Next" w:cs="Arial"/>
          <w:color w:val="808080" w:themeColor="background1" w:themeShade="80"/>
          <w:sz w:val="22"/>
          <w:szCs w:val="22"/>
          <w:lang w:val="en-GB"/>
        </w:rPr>
        <w:t>the Companies Act</w:t>
      </w:r>
      <w:r w:rsidR="005D1471" w:rsidRPr="005D1471">
        <w:rPr>
          <w:rFonts w:ascii="Avenir Next" w:hAnsi="Avenir Next" w:cs="Arial"/>
          <w:color w:val="808080" w:themeColor="background1" w:themeShade="80"/>
          <w:sz w:val="22"/>
          <w:szCs w:val="22"/>
          <w:lang w:val="en-GB"/>
        </w:rPr>
        <w:t>, the law of a foreign country or by way of a consensual restructuring</w:t>
      </w:r>
      <w:r w:rsidR="005D1471">
        <w:rPr>
          <w:rFonts w:ascii="Avenir Next" w:hAnsi="Avenir Next" w:cs="Arial"/>
          <w:color w:val="808080" w:themeColor="background1" w:themeShade="80"/>
          <w:sz w:val="22"/>
          <w:szCs w:val="22"/>
          <w:lang w:val="en-GB"/>
        </w:rPr>
        <w:t>.</w:t>
      </w:r>
    </w:p>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781D" w14:textId="77777777" w:rsidR="00305564" w:rsidRDefault="00305564" w:rsidP="00241B44">
      <w:r>
        <w:separator/>
      </w:r>
    </w:p>
  </w:endnote>
  <w:endnote w:type="continuationSeparator" w:id="0">
    <w:p w14:paraId="21AFC00C" w14:textId="77777777" w:rsidR="00305564" w:rsidRDefault="003055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618E564A"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13782E" w:rsidRPr="0013782E">
      <w:rPr>
        <w:rFonts w:ascii="Arial" w:hAnsi="Arial" w:cs="Arial"/>
        <w:sz w:val="18"/>
        <w:szCs w:val="18"/>
        <w:lang w:val="en-GB"/>
      </w:rPr>
      <w:t>202223-840</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4AB8" w14:textId="77777777" w:rsidR="00305564" w:rsidRDefault="00305564" w:rsidP="00241B44">
      <w:r>
        <w:separator/>
      </w:r>
    </w:p>
  </w:footnote>
  <w:footnote w:type="continuationSeparator" w:id="0">
    <w:p w14:paraId="329038C9" w14:textId="77777777" w:rsidR="00305564" w:rsidRDefault="0030556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91EBC"/>
    <w:multiLevelType w:val="hybridMultilevel"/>
    <w:tmpl w:val="B62417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015251">
    <w:abstractNumId w:val="40"/>
  </w:num>
  <w:num w:numId="2" w16cid:durableId="122384412">
    <w:abstractNumId w:val="22"/>
  </w:num>
  <w:num w:numId="3" w16cid:durableId="721174911">
    <w:abstractNumId w:val="18"/>
  </w:num>
  <w:num w:numId="4" w16cid:durableId="629868263">
    <w:abstractNumId w:val="38"/>
  </w:num>
  <w:num w:numId="5" w16cid:durableId="786511811">
    <w:abstractNumId w:val="19"/>
  </w:num>
  <w:num w:numId="6" w16cid:durableId="1060179651">
    <w:abstractNumId w:val="31"/>
  </w:num>
  <w:num w:numId="7" w16cid:durableId="643512475">
    <w:abstractNumId w:val="39"/>
  </w:num>
  <w:num w:numId="8" w16cid:durableId="1505123803">
    <w:abstractNumId w:val="34"/>
  </w:num>
  <w:num w:numId="9" w16cid:durableId="938175177">
    <w:abstractNumId w:val="16"/>
  </w:num>
  <w:num w:numId="10" w16cid:durableId="956063649">
    <w:abstractNumId w:val="10"/>
  </w:num>
  <w:num w:numId="11" w16cid:durableId="1261179054">
    <w:abstractNumId w:val="12"/>
  </w:num>
  <w:num w:numId="12" w16cid:durableId="426075284">
    <w:abstractNumId w:val="17"/>
  </w:num>
  <w:num w:numId="13" w16cid:durableId="1447197049">
    <w:abstractNumId w:val="25"/>
  </w:num>
  <w:num w:numId="14" w16cid:durableId="1678582797">
    <w:abstractNumId w:val="3"/>
  </w:num>
  <w:num w:numId="15" w16cid:durableId="2011904501">
    <w:abstractNumId w:val="13"/>
  </w:num>
  <w:num w:numId="16" w16cid:durableId="688414950">
    <w:abstractNumId w:val="37"/>
  </w:num>
  <w:num w:numId="17" w16cid:durableId="567225776">
    <w:abstractNumId w:val="6"/>
  </w:num>
  <w:num w:numId="18" w16cid:durableId="1733888540">
    <w:abstractNumId w:val="8"/>
  </w:num>
  <w:num w:numId="19" w16cid:durableId="221328252">
    <w:abstractNumId w:val="28"/>
  </w:num>
  <w:num w:numId="20" w16cid:durableId="265426355">
    <w:abstractNumId w:val="26"/>
  </w:num>
  <w:num w:numId="21" w16cid:durableId="633489645">
    <w:abstractNumId w:val="2"/>
  </w:num>
  <w:num w:numId="22" w16cid:durableId="764764959">
    <w:abstractNumId w:val="11"/>
  </w:num>
  <w:num w:numId="23" w16cid:durableId="759983431">
    <w:abstractNumId w:val="41"/>
  </w:num>
  <w:num w:numId="24" w16cid:durableId="1418020565">
    <w:abstractNumId w:val="0"/>
  </w:num>
  <w:num w:numId="25" w16cid:durableId="1199006411">
    <w:abstractNumId w:val="32"/>
  </w:num>
  <w:num w:numId="26" w16cid:durableId="463618607">
    <w:abstractNumId w:val="9"/>
  </w:num>
  <w:num w:numId="27" w16cid:durableId="199705481">
    <w:abstractNumId w:val="14"/>
  </w:num>
  <w:num w:numId="28" w16cid:durableId="1383865706">
    <w:abstractNumId w:val="4"/>
  </w:num>
  <w:num w:numId="29" w16cid:durableId="106512748">
    <w:abstractNumId w:val="7"/>
  </w:num>
  <w:num w:numId="30" w16cid:durableId="83114510">
    <w:abstractNumId w:val="20"/>
  </w:num>
  <w:num w:numId="31" w16cid:durableId="2099057501">
    <w:abstractNumId w:val="27"/>
  </w:num>
  <w:num w:numId="32" w16cid:durableId="590088121">
    <w:abstractNumId w:val="23"/>
  </w:num>
  <w:num w:numId="33" w16cid:durableId="1273510799">
    <w:abstractNumId w:val="29"/>
  </w:num>
  <w:num w:numId="34" w16cid:durableId="1384059495">
    <w:abstractNumId w:val="21"/>
  </w:num>
  <w:num w:numId="35" w16cid:durableId="368457557">
    <w:abstractNumId w:val="15"/>
  </w:num>
  <w:num w:numId="36" w16cid:durableId="287705341">
    <w:abstractNumId w:val="1"/>
  </w:num>
  <w:num w:numId="37" w16cid:durableId="1771122039">
    <w:abstractNumId w:val="30"/>
  </w:num>
  <w:num w:numId="38" w16cid:durableId="1932858788">
    <w:abstractNumId w:val="24"/>
  </w:num>
  <w:num w:numId="39" w16cid:durableId="63456070">
    <w:abstractNumId w:val="36"/>
  </w:num>
  <w:num w:numId="40" w16cid:durableId="1492404903">
    <w:abstractNumId w:val="33"/>
  </w:num>
  <w:num w:numId="41" w16cid:durableId="1391535558">
    <w:abstractNumId w:val="5"/>
  </w:num>
  <w:num w:numId="42" w16cid:durableId="217742383">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34E1"/>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3782E"/>
    <w:rsid w:val="0014171F"/>
    <w:rsid w:val="0014622C"/>
    <w:rsid w:val="001463D6"/>
    <w:rsid w:val="00152348"/>
    <w:rsid w:val="0015456D"/>
    <w:rsid w:val="00155FA2"/>
    <w:rsid w:val="00161F1B"/>
    <w:rsid w:val="00162829"/>
    <w:rsid w:val="00163644"/>
    <w:rsid w:val="0016583A"/>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4296"/>
    <w:rsid w:val="0020725B"/>
    <w:rsid w:val="00207BD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E7F33"/>
    <w:rsid w:val="002F1956"/>
    <w:rsid w:val="002F3440"/>
    <w:rsid w:val="002F75A3"/>
    <w:rsid w:val="00301F4C"/>
    <w:rsid w:val="00303C2F"/>
    <w:rsid w:val="003042CB"/>
    <w:rsid w:val="00305564"/>
    <w:rsid w:val="00310533"/>
    <w:rsid w:val="003144EF"/>
    <w:rsid w:val="00326292"/>
    <w:rsid w:val="00326415"/>
    <w:rsid w:val="00330937"/>
    <w:rsid w:val="00330F31"/>
    <w:rsid w:val="00333CA0"/>
    <w:rsid w:val="00334648"/>
    <w:rsid w:val="0033768C"/>
    <w:rsid w:val="00337938"/>
    <w:rsid w:val="00340769"/>
    <w:rsid w:val="00341AA6"/>
    <w:rsid w:val="00355CED"/>
    <w:rsid w:val="00361A0A"/>
    <w:rsid w:val="00364836"/>
    <w:rsid w:val="0036565C"/>
    <w:rsid w:val="0036625E"/>
    <w:rsid w:val="0037465A"/>
    <w:rsid w:val="00377065"/>
    <w:rsid w:val="00382282"/>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3F58F1"/>
    <w:rsid w:val="00400DFB"/>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5103"/>
    <w:rsid w:val="0048787C"/>
    <w:rsid w:val="00491675"/>
    <w:rsid w:val="00493855"/>
    <w:rsid w:val="00495E79"/>
    <w:rsid w:val="004A2D83"/>
    <w:rsid w:val="004A57DD"/>
    <w:rsid w:val="004A7B51"/>
    <w:rsid w:val="004A7D71"/>
    <w:rsid w:val="004A7EF3"/>
    <w:rsid w:val="004B11FD"/>
    <w:rsid w:val="004B23A2"/>
    <w:rsid w:val="004B467C"/>
    <w:rsid w:val="004C5EAD"/>
    <w:rsid w:val="004D1A5A"/>
    <w:rsid w:val="004D2FFF"/>
    <w:rsid w:val="004D3721"/>
    <w:rsid w:val="004D4774"/>
    <w:rsid w:val="004D64F9"/>
    <w:rsid w:val="004E2B74"/>
    <w:rsid w:val="004E3A6B"/>
    <w:rsid w:val="004E622C"/>
    <w:rsid w:val="004F5FDF"/>
    <w:rsid w:val="00501EDC"/>
    <w:rsid w:val="005177FE"/>
    <w:rsid w:val="0052263B"/>
    <w:rsid w:val="00524277"/>
    <w:rsid w:val="00524728"/>
    <w:rsid w:val="00527EDC"/>
    <w:rsid w:val="00532230"/>
    <w:rsid w:val="005327B7"/>
    <w:rsid w:val="005331CA"/>
    <w:rsid w:val="00537970"/>
    <w:rsid w:val="00540E3A"/>
    <w:rsid w:val="00544127"/>
    <w:rsid w:val="005463A9"/>
    <w:rsid w:val="00551038"/>
    <w:rsid w:val="00553EB2"/>
    <w:rsid w:val="00560534"/>
    <w:rsid w:val="0056067E"/>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471"/>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20C66"/>
    <w:rsid w:val="00621A17"/>
    <w:rsid w:val="00627CC9"/>
    <w:rsid w:val="00627E7B"/>
    <w:rsid w:val="00630542"/>
    <w:rsid w:val="00632E44"/>
    <w:rsid w:val="00633808"/>
    <w:rsid w:val="00634622"/>
    <w:rsid w:val="00636808"/>
    <w:rsid w:val="006413F4"/>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808EB"/>
    <w:rsid w:val="007809BC"/>
    <w:rsid w:val="007823EE"/>
    <w:rsid w:val="00784128"/>
    <w:rsid w:val="007875F9"/>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069A"/>
    <w:rsid w:val="008C66E0"/>
    <w:rsid w:val="008D6BA2"/>
    <w:rsid w:val="008D7C65"/>
    <w:rsid w:val="008E244E"/>
    <w:rsid w:val="008E3339"/>
    <w:rsid w:val="008F20FC"/>
    <w:rsid w:val="008F5FFE"/>
    <w:rsid w:val="008F6CAB"/>
    <w:rsid w:val="00903735"/>
    <w:rsid w:val="00905A43"/>
    <w:rsid w:val="00912C79"/>
    <w:rsid w:val="00920BE7"/>
    <w:rsid w:val="00921B8C"/>
    <w:rsid w:val="00924973"/>
    <w:rsid w:val="00927C9D"/>
    <w:rsid w:val="00931FD7"/>
    <w:rsid w:val="00942123"/>
    <w:rsid w:val="0095207B"/>
    <w:rsid w:val="00952187"/>
    <w:rsid w:val="00962045"/>
    <w:rsid w:val="00967D5A"/>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0968"/>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17AA"/>
    <w:rsid w:val="00AD4BE8"/>
    <w:rsid w:val="00AF228E"/>
    <w:rsid w:val="00B016A8"/>
    <w:rsid w:val="00B14819"/>
    <w:rsid w:val="00B15E2F"/>
    <w:rsid w:val="00B17AA9"/>
    <w:rsid w:val="00B37221"/>
    <w:rsid w:val="00B4147B"/>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6D1E"/>
    <w:rsid w:val="00BC3A55"/>
    <w:rsid w:val="00BE4FF3"/>
    <w:rsid w:val="00BF50F7"/>
    <w:rsid w:val="00C02F29"/>
    <w:rsid w:val="00C17718"/>
    <w:rsid w:val="00C20AFE"/>
    <w:rsid w:val="00C22A25"/>
    <w:rsid w:val="00C35671"/>
    <w:rsid w:val="00C35B77"/>
    <w:rsid w:val="00C3698A"/>
    <w:rsid w:val="00C376EB"/>
    <w:rsid w:val="00C41A0C"/>
    <w:rsid w:val="00C45311"/>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D4FF1"/>
    <w:rsid w:val="00DE03AF"/>
    <w:rsid w:val="00DE121C"/>
    <w:rsid w:val="00DE6633"/>
    <w:rsid w:val="00DF0939"/>
    <w:rsid w:val="00DF75F8"/>
    <w:rsid w:val="00DF7A3A"/>
    <w:rsid w:val="00E00C00"/>
    <w:rsid w:val="00E07C5A"/>
    <w:rsid w:val="00E11C54"/>
    <w:rsid w:val="00E15421"/>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0D46"/>
    <w:rsid w:val="00EC441F"/>
    <w:rsid w:val="00EC4755"/>
    <w:rsid w:val="00EC6D86"/>
    <w:rsid w:val="00ED0BC4"/>
    <w:rsid w:val="00ED447D"/>
    <w:rsid w:val="00ED5BDC"/>
    <w:rsid w:val="00EE425D"/>
    <w:rsid w:val="00EE4971"/>
    <w:rsid w:val="00EE6CB0"/>
    <w:rsid w:val="00EF090E"/>
    <w:rsid w:val="00EF5572"/>
    <w:rsid w:val="00F0285D"/>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0422"/>
    <w:rsid w:val="00FB721C"/>
    <w:rsid w:val="00FB7FBD"/>
    <w:rsid w:val="00FC374A"/>
    <w:rsid w:val="00FC74C8"/>
    <w:rsid w:val="00FC7B47"/>
    <w:rsid w:val="00FD035C"/>
    <w:rsid w:val="00FD1875"/>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3469</Words>
  <Characters>17832</Characters>
  <Application>Microsoft Office Word</Application>
  <DocSecurity>0</DocSecurity>
  <Lines>1621</Lines>
  <Paragraphs>760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 Malik</cp:lastModifiedBy>
  <cp:revision>44</cp:revision>
  <cp:lastPrinted>2019-08-27T05:42:00Z</cp:lastPrinted>
  <dcterms:created xsi:type="dcterms:W3CDTF">2023-03-20T14:33:00Z</dcterms:created>
  <dcterms:modified xsi:type="dcterms:W3CDTF">2023-03-20T16:21:00Z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