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373941" w:rsidRDefault="00AE5B6F" w:rsidP="00B04033">
      <w:pPr>
        <w:pStyle w:val="a3"/>
        <w:numPr>
          <w:ilvl w:val="0"/>
          <w:numId w:val="1"/>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w</w:t>
      </w:r>
      <w:r w:rsidR="00C91062" w:rsidRPr="00373941">
        <w:rPr>
          <w:rFonts w:ascii="Avenir Next" w:hAnsi="Avenir Next" w:cs="Arial"/>
          <w:sz w:val="22"/>
          <w:szCs w:val="22"/>
          <w:highlight w:val="yellow"/>
          <w:lang w:val="en-GB"/>
        </w:rPr>
        <w:t>ithin 8 weeks of the commencement of the administration</w:t>
      </w:r>
      <w:r w:rsidR="00763348" w:rsidRPr="00373941">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373941" w:rsidRDefault="00E443D7" w:rsidP="00B04033">
      <w:pPr>
        <w:pStyle w:val="a3"/>
        <w:numPr>
          <w:ilvl w:val="0"/>
          <w:numId w:val="2"/>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One year</w:t>
      </w:r>
      <w:r w:rsidR="00763348" w:rsidRPr="00373941">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373941" w:rsidRDefault="00AE5B6F" w:rsidP="00B04033">
      <w:pPr>
        <w:pStyle w:val="a3"/>
        <w:numPr>
          <w:ilvl w:val="0"/>
          <w:numId w:val="3"/>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T</w:t>
      </w:r>
      <w:r w:rsidR="008D1616" w:rsidRPr="00373941">
        <w:rPr>
          <w:rFonts w:ascii="Avenir Next" w:hAnsi="Avenir Next" w:cs="Arial"/>
          <w:sz w:val="22"/>
          <w:szCs w:val="22"/>
          <w:highlight w:val="yellow"/>
          <w:lang w:val="en-GB"/>
        </w:rPr>
        <w:t>he company is, or is likely to become, unable to pay their debts, as defined under s</w:t>
      </w:r>
      <w:r w:rsidR="00E833F4" w:rsidRPr="00373941">
        <w:rPr>
          <w:rFonts w:ascii="Avenir Next" w:hAnsi="Avenir Next" w:cs="Arial"/>
          <w:sz w:val="22"/>
          <w:szCs w:val="22"/>
          <w:highlight w:val="yellow"/>
          <w:lang w:val="en-GB"/>
        </w:rPr>
        <w:t>ection</w:t>
      </w:r>
      <w:r w:rsidR="008D1616" w:rsidRPr="00373941">
        <w:rPr>
          <w:rFonts w:ascii="Avenir Next" w:hAnsi="Avenir Next" w:cs="Arial"/>
          <w:sz w:val="22"/>
          <w:szCs w:val="22"/>
          <w:highlight w:val="yellow"/>
          <w:lang w:val="en-GB"/>
        </w:rPr>
        <w:t xml:space="preserve"> 123 of the Insolvency Act 1986</w:t>
      </w:r>
      <w:r w:rsidR="00763348" w:rsidRPr="00373941">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373941" w:rsidRDefault="00C91062" w:rsidP="00B04033">
      <w:pPr>
        <w:pStyle w:val="a3"/>
        <w:numPr>
          <w:ilvl w:val="0"/>
          <w:numId w:val="4"/>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The administrator</w:t>
      </w:r>
      <w:r w:rsidR="00763348" w:rsidRPr="00373941">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a3"/>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373941" w:rsidRDefault="00BA1CFD" w:rsidP="00B04033">
      <w:pPr>
        <w:pStyle w:val="a3"/>
        <w:numPr>
          <w:ilvl w:val="0"/>
          <w:numId w:val="5"/>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Administration</w:t>
      </w:r>
      <w:r w:rsidR="00763348" w:rsidRPr="0037394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373941" w:rsidRDefault="001F3C98" w:rsidP="00B04033">
      <w:pPr>
        <w:pStyle w:val="a3"/>
        <w:numPr>
          <w:ilvl w:val="0"/>
          <w:numId w:val="6"/>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 xml:space="preserve">GBP </w:t>
      </w:r>
      <w:r w:rsidR="00BA1CFD" w:rsidRPr="0037394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373941" w:rsidRDefault="00BA1CFD" w:rsidP="00B04033">
      <w:pPr>
        <w:pStyle w:val="a3"/>
        <w:numPr>
          <w:ilvl w:val="0"/>
          <w:numId w:val="7"/>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Breach of fiduciary duty</w:t>
      </w:r>
      <w:r w:rsidR="00763348" w:rsidRPr="00373941">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373941" w:rsidRDefault="00876F56" w:rsidP="00B04033">
      <w:pPr>
        <w:pStyle w:val="a3"/>
        <w:numPr>
          <w:ilvl w:val="0"/>
          <w:numId w:val="8"/>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373941" w:rsidRDefault="00E833F4" w:rsidP="00B04033">
      <w:pPr>
        <w:pStyle w:val="a3"/>
        <w:numPr>
          <w:ilvl w:val="0"/>
          <w:numId w:val="9"/>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A</w:t>
      </w:r>
      <w:r w:rsidR="000D10C6" w:rsidRPr="0037394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a3"/>
        <w:ind w:left="426"/>
        <w:jc w:val="both"/>
        <w:rPr>
          <w:rFonts w:ascii="Avenir Next" w:hAnsi="Avenir Next" w:cs="Arial"/>
          <w:sz w:val="22"/>
          <w:szCs w:val="22"/>
          <w:lang w:val="en-GB"/>
        </w:rPr>
      </w:pPr>
    </w:p>
    <w:p w14:paraId="564FBFE2" w14:textId="18CB27BC" w:rsidR="000D10C6" w:rsidRPr="006925C1" w:rsidRDefault="000D10C6"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a3"/>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373941" w:rsidRDefault="0020204E" w:rsidP="00B04033">
      <w:pPr>
        <w:pStyle w:val="a3"/>
        <w:numPr>
          <w:ilvl w:val="0"/>
          <w:numId w:val="10"/>
        </w:numPr>
        <w:ind w:left="426"/>
        <w:jc w:val="both"/>
        <w:rPr>
          <w:rFonts w:ascii="Avenir Next" w:hAnsi="Avenir Next" w:cs="Arial"/>
          <w:sz w:val="22"/>
          <w:szCs w:val="22"/>
          <w:highlight w:val="yellow"/>
          <w:lang w:val="en-GB"/>
        </w:rPr>
      </w:pPr>
      <w:r w:rsidRPr="00373941">
        <w:rPr>
          <w:rFonts w:ascii="Avenir Next" w:hAnsi="Avenir Next" w:cs="Arial"/>
          <w:sz w:val="22"/>
          <w:szCs w:val="22"/>
          <w:highlight w:val="yellow"/>
          <w:lang w:val="en-GB"/>
        </w:rPr>
        <w:t>12 months</w:t>
      </w:r>
      <w:r w:rsidR="00763348" w:rsidRPr="00373941">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a3"/>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a3"/>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47E4A570" w:rsidR="00AE5B6F" w:rsidRPr="00D316A2" w:rsidRDefault="00212001" w:rsidP="00D316A2">
      <w:pPr>
        <w:pStyle w:val="af6"/>
        <w:rPr>
          <w:lang w:eastAsia="ru-RU"/>
        </w:rPr>
      </w:pPr>
      <w:r w:rsidRPr="004E27E0">
        <w:rPr>
          <w:rFonts w:ascii="Avenir Next" w:hAnsi="Avenir Next" w:cs="Arial"/>
          <w:color w:val="808080" w:themeColor="background1" w:themeShade="80"/>
          <w:sz w:val="22"/>
          <w:szCs w:val="22"/>
        </w:rPr>
        <w:t>[</w:t>
      </w:r>
      <w:r w:rsidR="00362190">
        <w:rPr>
          <w:rFonts w:ascii="Avenir Next" w:hAnsi="Avenir Next" w:cs="Arial"/>
          <w:color w:val="808080" w:themeColor="background1" w:themeShade="80"/>
          <w:sz w:val="22"/>
          <w:szCs w:val="22"/>
        </w:rPr>
        <w:t xml:space="preserve">1) </w:t>
      </w:r>
      <w:r w:rsidR="004E27E0">
        <w:rPr>
          <w:rFonts w:ascii="Avenir Next" w:hAnsi="Avenir Next" w:cs="Arial"/>
          <w:color w:val="808080" w:themeColor="background1" w:themeShade="80"/>
          <w:sz w:val="22"/>
          <w:szCs w:val="22"/>
        </w:rPr>
        <w:t xml:space="preserve">under </w:t>
      </w:r>
      <w:r w:rsidR="004E27E0" w:rsidRPr="004E27E0">
        <w:rPr>
          <w:rFonts w:ascii="Avenir Next" w:hAnsi="Avenir Next" w:cs="Arial"/>
          <w:color w:val="808080" w:themeColor="background1" w:themeShade="80"/>
          <w:sz w:val="22"/>
          <w:szCs w:val="22"/>
        </w:rPr>
        <w:t>section 423</w:t>
      </w:r>
      <w:r w:rsidR="00362190" w:rsidRPr="00362190">
        <w:rPr>
          <w:rFonts w:ascii="AvenirNext" w:hAnsi="AvenirNext"/>
          <w:sz w:val="22"/>
          <w:szCs w:val="22"/>
          <w:lang w:eastAsia="ru-RU"/>
        </w:rPr>
        <w:t>(</w:t>
      </w:r>
      <w:proofErr w:type="spellStart"/>
      <w:r w:rsidR="00362190" w:rsidRPr="00D316A2">
        <w:rPr>
          <w:rFonts w:ascii="Avenir Next" w:hAnsi="Avenir Next" w:cs="Arial"/>
          <w:color w:val="808080" w:themeColor="background1" w:themeShade="80"/>
          <w:sz w:val="22"/>
          <w:szCs w:val="22"/>
        </w:rPr>
        <w:t>i</w:t>
      </w:r>
      <w:proofErr w:type="spellEnd"/>
      <w:r w:rsidR="00362190" w:rsidRPr="00D316A2">
        <w:rPr>
          <w:rFonts w:ascii="Avenir Next" w:hAnsi="Avenir Next" w:cs="Arial"/>
          <w:color w:val="808080" w:themeColor="background1" w:themeShade="80"/>
          <w:sz w:val="22"/>
          <w:szCs w:val="22"/>
        </w:rPr>
        <w:t>) where the company is being wound up or is in administration, the official receiver, the liquidator, the administrator and (with the leave of the court) any victim of the transaction such as a creditor; (ii) where a victim is bound by a CVA, the supervisor of the CVA or any victim of the transaction (whether bound by the CVA or not); or (iii) in any other case, by a victim of the transaction</w:t>
      </w:r>
      <w:r w:rsidR="00D316A2" w:rsidRPr="00D316A2">
        <w:rPr>
          <w:rFonts w:ascii="Avenir Next" w:hAnsi="Avenir Next" w:cs="Arial"/>
          <w:color w:val="808080" w:themeColor="background1" w:themeShade="80"/>
          <w:sz w:val="22"/>
          <w:szCs w:val="22"/>
        </w:rPr>
        <w:t xml:space="preserve">; 2) </w:t>
      </w:r>
      <w:r w:rsidR="00D316A2" w:rsidRPr="00D316A2">
        <w:rPr>
          <w:rFonts w:ascii="Avenir Next" w:hAnsi="Avenir Next" w:cs="Arial"/>
          <w:color w:val="808080" w:themeColor="background1" w:themeShade="80"/>
          <w:sz w:val="22"/>
          <w:szCs w:val="22"/>
        </w:rPr>
        <w:t>section 6</w:t>
      </w:r>
      <w:r w:rsidR="00D316A2" w:rsidRPr="00D316A2">
        <w:rPr>
          <w:rFonts w:ascii="Avenir Next" w:hAnsi="Avenir Next" w:cs="Arial"/>
          <w:color w:val="808080" w:themeColor="background1" w:themeShade="80"/>
          <w:sz w:val="22"/>
          <w:szCs w:val="22"/>
        </w:rPr>
        <w:t xml:space="preserve"> - </w:t>
      </w:r>
      <w:r w:rsidR="00D316A2" w:rsidRPr="00D316A2">
        <w:rPr>
          <w:rFonts w:ascii="Avenir Next" w:hAnsi="Avenir Next" w:cs="Arial"/>
          <w:color w:val="808080" w:themeColor="background1" w:themeShade="80"/>
          <w:sz w:val="22"/>
          <w:szCs w:val="22"/>
        </w:rPr>
        <w:t>liquidator and administrator</w:t>
      </w:r>
      <w:r w:rsidR="00D316A2">
        <w:rPr>
          <w:rFonts w:ascii="Avenir Next" w:hAnsi="Avenir Next" w:cs="Arial"/>
          <w:color w:val="808080" w:themeColor="background1" w:themeShade="80"/>
          <w:sz w:val="22"/>
          <w:szCs w:val="22"/>
        </w:rPr>
        <w:t>;</w:t>
      </w:r>
      <w:r w:rsidR="00D316A2" w:rsidRPr="00D316A2">
        <w:rPr>
          <w:rFonts w:ascii="Avenir Next" w:hAnsi="Avenir Next" w:cs="Arial"/>
          <w:color w:val="808080" w:themeColor="background1" w:themeShade="80"/>
          <w:sz w:val="22"/>
          <w:szCs w:val="22"/>
        </w:rPr>
        <w:t xml:space="preserve"> 3) </w:t>
      </w:r>
      <w:r w:rsidR="00D316A2" w:rsidRPr="00D316A2">
        <w:rPr>
          <w:rFonts w:ascii="Avenir Next" w:hAnsi="Avenir Next" w:cs="Arial"/>
          <w:color w:val="808080" w:themeColor="background1" w:themeShade="80"/>
          <w:sz w:val="22"/>
          <w:szCs w:val="22"/>
        </w:rPr>
        <w:t>section 246ZB</w:t>
      </w:r>
      <w:r w:rsidR="00D316A2" w:rsidRPr="00D316A2">
        <w:rPr>
          <w:rFonts w:ascii="Avenir Next" w:hAnsi="Avenir Next" w:cs="Arial"/>
          <w:color w:val="808080" w:themeColor="background1" w:themeShade="80"/>
          <w:sz w:val="22"/>
          <w:szCs w:val="22"/>
        </w:rPr>
        <w:t xml:space="preserve"> – liquidator and administrator</w:t>
      </w:r>
      <w:r w:rsidRPr="00D316A2">
        <w:rPr>
          <w:rFonts w:ascii="Avenir Next" w:hAnsi="Avenir Next" w:cs="Arial"/>
          <w:color w:val="808080" w:themeColor="background1" w:themeShade="80"/>
          <w:sz w:val="22"/>
          <w:szCs w:val="22"/>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6757E593" w:rsidR="00EA3B38" w:rsidRPr="0001120B" w:rsidRDefault="00EA3B38" w:rsidP="0001120B">
      <w:pPr>
        <w:pStyle w:val="af6"/>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01120B">
        <w:rPr>
          <w:rFonts w:ascii="Avenir Next" w:hAnsi="Avenir Next" w:cs="Arial"/>
          <w:color w:val="808080" w:themeColor="background1" w:themeShade="80"/>
          <w:sz w:val="22"/>
          <w:szCs w:val="22"/>
        </w:rPr>
        <w:t>1</w:t>
      </w:r>
      <w:proofErr w:type="gramStart"/>
      <w:r w:rsidR="0001120B" w:rsidRPr="0001120B">
        <w:rPr>
          <w:rFonts w:ascii="Avenir Next" w:hAnsi="Avenir Next" w:cs="Arial"/>
          <w:color w:val="808080" w:themeColor="background1" w:themeShade="80"/>
          <w:sz w:val="22"/>
          <w:szCs w:val="22"/>
        </w:rPr>
        <w:t>)  the</w:t>
      </w:r>
      <w:proofErr w:type="gramEnd"/>
      <w:r w:rsidR="0001120B" w:rsidRPr="0001120B">
        <w:rPr>
          <w:rFonts w:ascii="Avenir Next" w:hAnsi="Avenir Next" w:cs="Arial"/>
          <w:color w:val="808080" w:themeColor="background1" w:themeShade="80"/>
          <w:sz w:val="22"/>
          <w:szCs w:val="22"/>
        </w:rPr>
        <w:t xml:space="preserve"> monitor’s remuneration or expenses;</w:t>
      </w:r>
      <w:r w:rsidR="0001120B">
        <w:rPr>
          <w:rFonts w:ascii="Avenir Next" w:hAnsi="Avenir Next" w:cs="Arial"/>
          <w:color w:val="808080" w:themeColor="background1" w:themeShade="80"/>
          <w:sz w:val="22"/>
          <w:szCs w:val="22"/>
        </w:rPr>
        <w:t xml:space="preserve"> </w:t>
      </w:r>
      <w:r w:rsidR="005D6414">
        <w:rPr>
          <w:rFonts w:ascii="Avenir Next" w:hAnsi="Avenir Next" w:cs="Arial"/>
          <w:color w:val="808080" w:themeColor="background1" w:themeShade="80"/>
          <w:sz w:val="22"/>
          <w:szCs w:val="22"/>
        </w:rPr>
        <w:t xml:space="preserve">2) </w:t>
      </w:r>
      <w:r w:rsidR="0001120B" w:rsidRPr="0001120B">
        <w:rPr>
          <w:rFonts w:ascii="Avenir Next" w:hAnsi="Avenir Next" w:cs="Arial"/>
          <w:color w:val="808080" w:themeColor="background1" w:themeShade="80"/>
          <w:sz w:val="22"/>
          <w:szCs w:val="22"/>
        </w:rPr>
        <w:t>goods</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or</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services</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supplied</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during</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the</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 xml:space="preserve">Moratorium; </w:t>
      </w:r>
      <w:r w:rsidR="005D6414">
        <w:rPr>
          <w:rFonts w:ascii="Avenir Next" w:hAnsi="Avenir Next" w:cs="Arial"/>
          <w:color w:val="808080" w:themeColor="background1" w:themeShade="80"/>
          <w:sz w:val="22"/>
          <w:szCs w:val="22"/>
        </w:rPr>
        <w:t xml:space="preserve">3) </w:t>
      </w:r>
      <w:r w:rsidR="0001120B" w:rsidRPr="0001120B">
        <w:rPr>
          <w:rFonts w:ascii="Avenir Next" w:hAnsi="Avenir Next" w:cs="Arial"/>
          <w:color w:val="808080" w:themeColor="background1" w:themeShade="80"/>
          <w:sz w:val="22"/>
          <w:szCs w:val="22"/>
        </w:rPr>
        <w:t xml:space="preserve">rent in respect of a period during the Moratorium; </w:t>
      </w:r>
      <w:r w:rsidR="005D6414">
        <w:rPr>
          <w:rFonts w:ascii="Avenir Next" w:hAnsi="Avenir Next" w:cs="Arial"/>
          <w:color w:val="808080" w:themeColor="background1" w:themeShade="80"/>
          <w:sz w:val="22"/>
          <w:szCs w:val="22"/>
        </w:rPr>
        <w:t xml:space="preserve">4) </w:t>
      </w:r>
      <w:r w:rsidR="0001120B" w:rsidRPr="0001120B">
        <w:rPr>
          <w:rFonts w:ascii="Avenir Next" w:hAnsi="Avenir Next" w:cs="Arial"/>
          <w:color w:val="808080" w:themeColor="background1" w:themeShade="80"/>
          <w:sz w:val="22"/>
          <w:szCs w:val="22"/>
        </w:rPr>
        <w:t>wages</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or</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salary</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arising</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under</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a</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contract</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of</w:t>
      </w:r>
      <w:r w:rsidR="005D6414">
        <w:rPr>
          <w:rFonts w:ascii="Avenir Next" w:hAnsi="Avenir Next" w:cs="Arial"/>
          <w:color w:val="808080" w:themeColor="background1" w:themeShade="80"/>
          <w:sz w:val="22"/>
          <w:szCs w:val="22"/>
        </w:rPr>
        <w:t xml:space="preserve"> </w:t>
      </w:r>
      <w:r w:rsidR="0001120B" w:rsidRPr="0001120B">
        <w:rPr>
          <w:rFonts w:ascii="Avenir Next" w:hAnsi="Avenir Next" w:cs="Arial"/>
          <w:color w:val="808080" w:themeColor="background1" w:themeShade="80"/>
          <w:sz w:val="22"/>
          <w:szCs w:val="22"/>
        </w:rPr>
        <w:t xml:space="preserve">employment; </w:t>
      </w:r>
      <w:r w:rsidR="005D6414">
        <w:rPr>
          <w:rFonts w:ascii="Avenir Next" w:hAnsi="Avenir Next" w:cs="Arial"/>
          <w:color w:val="808080" w:themeColor="background1" w:themeShade="80"/>
          <w:sz w:val="22"/>
          <w:szCs w:val="22"/>
        </w:rPr>
        <w:t>5)</w:t>
      </w:r>
      <w:r w:rsidR="00227752">
        <w:rPr>
          <w:rFonts w:ascii="Avenir Next" w:hAnsi="Avenir Next" w:cs="Arial"/>
          <w:color w:val="808080" w:themeColor="background1" w:themeShade="80"/>
          <w:sz w:val="22"/>
          <w:szCs w:val="22"/>
        </w:rPr>
        <w:t xml:space="preserve"> </w:t>
      </w:r>
      <w:r w:rsidR="005D6414">
        <w:rPr>
          <w:rFonts w:ascii="Avenir Next" w:hAnsi="Avenir Next" w:cs="Arial"/>
          <w:color w:val="808080" w:themeColor="background1" w:themeShade="80"/>
          <w:sz w:val="22"/>
          <w:szCs w:val="22"/>
        </w:rPr>
        <w:t>r</w:t>
      </w:r>
      <w:r w:rsidR="0001120B" w:rsidRPr="0001120B">
        <w:rPr>
          <w:rFonts w:ascii="Avenir Next" w:hAnsi="Avenir Next" w:cs="Arial"/>
          <w:color w:val="808080" w:themeColor="background1" w:themeShade="80"/>
          <w:sz w:val="22"/>
          <w:szCs w:val="22"/>
        </w:rPr>
        <w:t>edundancy payments</w:t>
      </w:r>
      <w:r w:rsidRPr="0001120B">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573E8433" w:rsidR="00EA3B38" w:rsidRPr="00B84055" w:rsidRDefault="00EA3B38" w:rsidP="008229D7">
      <w:pPr>
        <w:pStyle w:val="af6"/>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227752">
        <w:rPr>
          <w:rFonts w:ascii="Avenir Next" w:hAnsi="Avenir Next" w:cs="Arial"/>
          <w:color w:val="808080" w:themeColor="background1" w:themeShade="80"/>
          <w:sz w:val="22"/>
          <w:szCs w:val="22"/>
        </w:rPr>
        <w:t>Yes,</w:t>
      </w:r>
      <w:r w:rsidR="00227752" w:rsidRPr="00227752">
        <w:rPr>
          <w:rFonts w:ascii="Avenir Next" w:hAnsi="Avenir Next" w:cs="Arial"/>
          <w:sz w:val="22"/>
          <w:szCs w:val="22"/>
          <w:lang w:val="en-GB"/>
        </w:rPr>
        <w:t xml:space="preserve"> </w:t>
      </w:r>
      <w:r w:rsidR="00227752" w:rsidRPr="00227752">
        <w:rPr>
          <w:rFonts w:ascii="Avenir Next" w:hAnsi="Avenir Next" w:cs="Arial"/>
          <w:color w:val="808080" w:themeColor="background1" w:themeShade="80"/>
          <w:sz w:val="22"/>
          <w:szCs w:val="22"/>
        </w:rPr>
        <w:t xml:space="preserve">an administrator </w:t>
      </w:r>
      <w:r w:rsidR="00227752">
        <w:rPr>
          <w:rFonts w:ascii="Avenir Next" w:hAnsi="Avenir Next" w:cs="Arial"/>
          <w:color w:val="808080" w:themeColor="background1" w:themeShade="80"/>
          <w:sz w:val="22"/>
          <w:szCs w:val="22"/>
        </w:rPr>
        <w:t xml:space="preserve">can </w:t>
      </w:r>
      <w:r w:rsidR="00227752" w:rsidRPr="00227752">
        <w:rPr>
          <w:rFonts w:ascii="Avenir Next" w:hAnsi="Avenir Next" w:cs="Arial"/>
          <w:color w:val="808080" w:themeColor="background1" w:themeShade="80"/>
          <w:sz w:val="22"/>
          <w:szCs w:val="22"/>
        </w:rPr>
        <w:t xml:space="preserve">require suppliers of goods and services to continue to supply those goods and services during the </w:t>
      </w:r>
      <w:r w:rsidR="00227752" w:rsidRPr="00227752">
        <w:rPr>
          <w:rFonts w:ascii="Avenir Next" w:hAnsi="Avenir Next" w:cs="Arial"/>
          <w:color w:val="808080" w:themeColor="background1" w:themeShade="80"/>
          <w:sz w:val="22"/>
          <w:szCs w:val="22"/>
        </w:rPr>
        <w:t>administration</w:t>
      </w:r>
      <w:r w:rsidR="00227752">
        <w:rPr>
          <w:rFonts w:ascii="Avenir Next" w:hAnsi="Avenir Next" w:cs="Arial"/>
          <w:color w:val="808080" w:themeColor="background1" w:themeShade="80"/>
          <w:sz w:val="22"/>
          <w:szCs w:val="22"/>
        </w:rPr>
        <w:t>. This situation is regulated by Section 233, 233A and 233B of the Act</w:t>
      </w:r>
      <w:r w:rsidR="008229D7">
        <w:rPr>
          <w:rFonts w:ascii="Avenir Next" w:hAnsi="Avenir Next" w:cs="Arial"/>
          <w:color w:val="808080" w:themeColor="background1" w:themeShade="80"/>
          <w:sz w:val="22"/>
          <w:szCs w:val="22"/>
        </w:rPr>
        <w:t>.</w:t>
      </w:r>
      <w:r w:rsidR="008229D7" w:rsidRPr="008229D7">
        <w:rPr>
          <w:rFonts w:ascii="AvenirNext" w:hAnsi="AvenirNext"/>
          <w:sz w:val="22"/>
          <w:szCs w:val="22"/>
        </w:rPr>
        <w:t xml:space="preserve"> </w:t>
      </w:r>
      <w:r w:rsidR="008229D7" w:rsidRPr="008229D7">
        <w:rPr>
          <w:rFonts w:ascii="Avenir Next" w:hAnsi="Avenir Next" w:cs="Arial"/>
          <w:color w:val="808080" w:themeColor="background1" w:themeShade="80"/>
          <w:sz w:val="22"/>
          <w:szCs w:val="22"/>
        </w:rPr>
        <w:t xml:space="preserve">Section 233 of the </w:t>
      </w:r>
      <w:proofErr w:type="spellStart"/>
      <w:r w:rsidR="008229D7" w:rsidRPr="008229D7">
        <w:rPr>
          <w:rFonts w:ascii="Avenir Next" w:hAnsi="Avenir Next" w:cs="Arial"/>
          <w:color w:val="808080" w:themeColor="background1" w:themeShade="80"/>
          <w:sz w:val="22"/>
          <w:szCs w:val="22"/>
        </w:rPr>
        <w:t>Act</w:t>
      </w:r>
      <w:proofErr w:type="spellEnd"/>
      <w:r w:rsidR="008229D7" w:rsidRPr="008229D7">
        <w:rPr>
          <w:rFonts w:ascii="Avenir Next" w:hAnsi="Avenir Next" w:cs="Arial"/>
          <w:color w:val="808080" w:themeColor="background1" w:themeShade="80"/>
          <w:sz w:val="22"/>
          <w:szCs w:val="22"/>
        </w:rPr>
        <w:t xml:space="preserve"> applies to a supply</w:t>
      </w:r>
      <w:r w:rsidR="008229D7" w:rsidRPr="008229D7">
        <w:rPr>
          <w:rFonts w:ascii="Avenir Next" w:hAnsi="Avenir Next" w:cs="Arial"/>
          <w:color w:val="808080" w:themeColor="background1" w:themeShade="80"/>
          <w:sz w:val="22"/>
          <w:szCs w:val="22"/>
        </w:rPr>
        <w:t xml:space="preserve"> </w:t>
      </w:r>
      <w:r w:rsidR="008229D7" w:rsidRPr="008229D7">
        <w:rPr>
          <w:rFonts w:ascii="Avenir Next" w:hAnsi="Avenir Next" w:cs="Arial"/>
          <w:color w:val="808080" w:themeColor="background1" w:themeShade="80"/>
          <w:sz w:val="22"/>
          <w:szCs w:val="22"/>
        </w:rPr>
        <w:t>essential supplies</w:t>
      </w:r>
      <w:r w:rsidR="008229D7">
        <w:rPr>
          <w:rFonts w:ascii="Avenir Next" w:hAnsi="Avenir Next" w:cs="Arial"/>
          <w:color w:val="808080" w:themeColor="background1" w:themeShade="80"/>
          <w:sz w:val="22"/>
          <w:szCs w:val="22"/>
        </w:rPr>
        <w:t>, such as</w:t>
      </w:r>
      <w:r w:rsidR="008229D7" w:rsidRPr="008229D7">
        <w:rPr>
          <w:rFonts w:ascii="Avenir Next" w:hAnsi="Avenir Next" w:cs="Arial"/>
          <w:color w:val="808080" w:themeColor="background1" w:themeShade="80"/>
          <w:sz w:val="22"/>
          <w:szCs w:val="22"/>
        </w:rPr>
        <w:t xml:space="preserve"> </w:t>
      </w:r>
      <w:r w:rsidR="008229D7">
        <w:rPr>
          <w:rFonts w:ascii="Avenir Next" w:hAnsi="Avenir Next" w:cs="Arial"/>
          <w:color w:val="808080" w:themeColor="background1" w:themeShade="80"/>
          <w:sz w:val="22"/>
          <w:szCs w:val="22"/>
        </w:rPr>
        <w:t>gas</w:t>
      </w:r>
      <w:r w:rsidR="008229D7" w:rsidRPr="008229D7">
        <w:rPr>
          <w:rFonts w:ascii="Avenir Next" w:hAnsi="Avenir Next" w:cs="Arial"/>
          <w:color w:val="808080" w:themeColor="background1" w:themeShade="80"/>
          <w:sz w:val="22"/>
          <w:szCs w:val="22"/>
        </w:rPr>
        <w:t>, electricity, water and communications services</w:t>
      </w:r>
      <w:r w:rsidR="008229D7">
        <w:rPr>
          <w:rFonts w:ascii="Avenir Next" w:hAnsi="Avenir Next" w:cs="Arial"/>
          <w:color w:val="808080" w:themeColor="background1" w:themeShade="80"/>
          <w:sz w:val="22"/>
          <w:szCs w:val="22"/>
        </w:rPr>
        <w:t>,</w:t>
      </w:r>
      <w:r w:rsidR="008229D7" w:rsidRPr="008229D7">
        <w:rPr>
          <w:rFonts w:ascii="Avenir Next" w:hAnsi="Avenir Next" w:cs="Arial"/>
          <w:color w:val="808080" w:themeColor="background1" w:themeShade="80"/>
          <w:sz w:val="22"/>
          <w:szCs w:val="22"/>
        </w:rPr>
        <w:t xml:space="preserve"> such as point </w:t>
      </w:r>
      <w:proofErr w:type="spellStart"/>
      <w:r w:rsidR="008229D7" w:rsidRPr="008229D7">
        <w:rPr>
          <w:rFonts w:ascii="Avenir Next" w:hAnsi="Avenir Next" w:cs="Arial"/>
          <w:color w:val="808080" w:themeColor="background1" w:themeShade="80"/>
          <w:sz w:val="22"/>
          <w:szCs w:val="22"/>
        </w:rPr>
        <w:t>of</w:t>
      </w:r>
      <w:proofErr w:type="spellEnd"/>
      <w:r w:rsidR="008229D7" w:rsidRPr="008229D7">
        <w:rPr>
          <w:rFonts w:ascii="Avenir Next" w:hAnsi="Avenir Next" w:cs="Arial"/>
          <w:color w:val="808080" w:themeColor="background1" w:themeShade="80"/>
          <w:sz w:val="22"/>
          <w:szCs w:val="22"/>
        </w:rPr>
        <w:t xml:space="preserve"> </w:t>
      </w:r>
      <w:proofErr w:type="spellStart"/>
      <w:r w:rsidR="008229D7" w:rsidRPr="008229D7">
        <w:rPr>
          <w:rFonts w:ascii="Avenir Next" w:hAnsi="Avenir Next" w:cs="Arial"/>
          <w:color w:val="808080" w:themeColor="background1" w:themeShade="80"/>
          <w:sz w:val="22"/>
          <w:szCs w:val="22"/>
        </w:rPr>
        <w:t>sale</w:t>
      </w:r>
      <w:proofErr w:type="spellEnd"/>
      <w:r w:rsidR="008229D7" w:rsidRPr="008229D7">
        <w:rPr>
          <w:rFonts w:ascii="Avenir Next" w:hAnsi="Avenir Next" w:cs="Arial"/>
          <w:color w:val="808080" w:themeColor="background1" w:themeShade="80"/>
          <w:sz w:val="22"/>
          <w:szCs w:val="22"/>
        </w:rPr>
        <w:t xml:space="preserve"> </w:t>
      </w:r>
      <w:proofErr w:type="spellStart"/>
      <w:r w:rsidR="008229D7" w:rsidRPr="008229D7">
        <w:rPr>
          <w:rFonts w:ascii="Avenir Next" w:hAnsi="Avenir Next" w:cs="Arial"/>
          <w:color w:val="808080" w:themeColor="background1" w:themeShade="80"/>
          <w:sz w:val="22"/>
          <w:szCs w:val="22"/>
        </w:rPr>
        <w:t>terminals</w:t>
      </w:r>
      <w:proofErr w:type="spellEnd"/>
      <w:r w:rsidR="008229D7" w:rsidRPr="008229D7">
        <w:rPr>
          <w:rFonts w:ascii="Avenir Next" w:hAnsi="Avenir Next" w:cs="Arial"/>
          <w:color w:val="808080" w:themeColor="background1" w:themeShade="80"/>
          <w:sz w:val="22"/>
          <w:szCs w:val="22"/>
        </w:rPr>
        <w:t xml:space="preserve">, </w:t>
      </w:r>
      <w:proofErr w:type="spellStart"/>
      <w:r w:rsidR="008229D7" w:rsidRPr="008229D7">
        <w:rPr>
          <w:rFonts w:ascii="Avenir Next" w:hAnsi="Avenir Next" w:cs="Arial"/>
          <w:color w:val="808080" w:themeColor="background1" w:themeShade="80"/>
          <w:sz w:val="22"/>
          <w:szCs w:val="22"/>
        </w:rPr>
        <w:t>computer</w:t>
      </w:r>
      <w:proofErr w:type="spellEnd"/>
      <w:r w:rsidR="008229D7" w:rsidRPr="008229D7">
        <w:rPr>
          <w:rFonts w:ascii="Avenir Next" w:hAnsi="Avenir Next" w:cs="Arial"/>
          <w:color w:val="808080" w:themeColor="background1" w:themeShade="80"/>
          <w:sz w:val="22"/>
          <w:szCs w:val="22"/>
        </w:rPr>
        <w:t xml:space="preserve"> </w:t>
      </w:r>
      <w:proofErr w:type="spellStart"/>
      <w:r w:rsidR="008229D7" w:rsidRPr="008229D7">
        <w:rPr>
          <w:rFonts w:ascii="Avenir Next" w:hAnsi="Avenir Next" w:cs="Arial"/>
          <w:color w:val="808080" w:themeColor="background1" w:themeShade="80"/>
          <w:sz w:val="22"/>
          <w:szCs w:val="22"/>
        </w:rPr>
        <w:t>hardware</w:t>
      </w:r>
      <w:proofErr w:type="spellEnd"/>
      <w:r w:rsidR="008229D7" w:rsidRPr="008229D7">
        <w:rPr>
          <w:rFonts w:ascii="Avenir Next" w:hAnsi="Avenir Next" w:cs="Arial"/>
          <w:color w:val="808080" w:themeColor="background1" w:themeShade="80"/>
          <w:sz w:val="22"/>
          <w:szCs w:val="22"/>
        </w:rPr>
        <w:t xml:space="preserve"> </w:t>
      </w:r>
      <w:proofErr w:type="spellStart"/>
      <w:r w:rsidR="008229D7" w:rsidRPr="008229D7">
        <w:rPr>
          <w:rFonts w:ascii="Avenir Next" w:hAnsi="Avenir Next" w:cs="Arial"/>
          <w:color w:val="808080" w:themeColor="background1" w:themeShade="80"/>
          <w:sz w:val="22"/>
          <w:szCs w:val="22"/>
        </w:rPr>
        <w:t>and</w:t>
      </w:r>
      <w:proofErr w:type="spellEnd"/>
      <w:r w:rsidR="008229D7" w:rsidRPr="008229D7">
        <w:rPr>
          <w:rFonts w:ascii="Avenir Next" w:hAnsi="Avenir Next" w:cs="Arial"/>
          <w:color w:val="808080" w:themeColor="background1" w:themeShade="80"/>
          <w:sz w:val="22"/>
          <w:szCs w:val="22"/>
        </w:rPr>
        <w:t xml:space="preserve"> </w:t>
      </w:r>
      <w:proofErr w:type="spellStart"/>
      <w:r w:rsidR="008229D7" w:rsidRPr="008229D7">
        <w:rPr>
          <w:rFonts w:ascii="Avenir Next" w:hAnsi="Avenir Next" w:cs="Arial"/>
          <w:color w:val="808080" w:themeColor="background1" w:themeShade="80"/>
          <w:sz w:val="22"/>
          <w:szCs w:val="22"/>
        </w:rPr>
        <w:t>software</w:t>
      </w:r>
      <w:proofErr w:type="spellEnd"/>
      <w:r w:rsidR="008229D7" w:rsidRPr="008229D7">
        <w:rPr>
          <w:rFonts w:ascii="Avenir Next" w:hAnsi="Avenir Next" w:cs="Arial"/>
          <w:color w:val="808080" w:themeColor="background1" w:themeShade="80"/>
          <w:sz w:val="22"/>
          <w:szCs w:val="22"/>
        </w:rPr>
        <w:t xml:space="preserve">, information, advice, and technical assistance, data storage and processing and website hosting. </w:t>
      </w:r>
      <w:r w:rsidR="008229D7">
        <w:rPr>
          <w:rFonts w:ascii="Avenir Next" w:hAnsi="Avenir Next" w:cs="Arial"/>
          <w:color w:val="808080" w:themeColor="background1" w:themeShade="80"/>
          <w:sz w:val="22"/>
          <w:szCs w:val="22"/>
        </w:rPr>
        <w:t>U</w:t>
      </w:r>
      <w:r w:rsidR="008229D7" w:rsidRPr="008229D7">
        <w:rPr>
          <w:rFonts w:ascii="Avenir Next" w:hAnsi="Avenir Next" w:cs="Arial"/>
          <w:color w:val="808080" w:themeColor="background1" w:themeShade="80"/>
          <w:sz w:val="22"/>
          <w:szCs w:val="22"/>
        </w:rPr>
        <w:t xml:space="preserve">nder section 233A a supplier of such services is generally unable to rely upon an </w:t>
      </w:r>
      <w:r w:rsidR="008229D7">
        <w:rPr>
          <w:rFonts w:ascii="Avenir Next" w:hAnsi="Avenir Next" w:cs="Arial"/>
          <w:color w:val="808080" w:themeColor="background1" w:themeShade="80"/>
          <w:sz w:val="22"/>
          <w:szCs w:val="22"/>
        </w:rPr>
        <w:t>“</w:t>
      </w:r>
      <w:r w:rsidR="008229D7" w:rsidRPr="008229D7">
        <w:rPr>
          <w:rFonts w:ascii="Avenir Next" w:hAnsi="Avenir Next" w:cs="Arial"/>
          <w:color w:val="808080" w:themeColor="background1" w:themeShade="80"/>
          <w:sz w:val="22"/>
          <w:szCs w:val="22"/>
        </w:rPr>
        <w:t>insolvency-related term</w:t>
      </w:r>
      <w:r w:rsidR="008229D7">
        <w:rPr>
          <w:rFonts w:ascii="Avenir Next" w:hAnsi="Avenir Next" w:cs="Arial"/>
          <w:color w:val="808080" w:themeColor="background1" w:themeShade="80"/>
          <w:sz w:val="22"/>
          <w:szCs w:val="22"/>
        </w:rPr>
        <w:t>”</w:t>
      </w:r>
      <w:r w:rsidR="008229D7" w:rsidRPr="008229D7">
        <w:rPr>
          <w:rFonts w:ascii="Avenir Next" w:hAnsi="Avenir Next" w:cs="Arial"/>
          <w:color w:val="808080" w:themeColor="background1" w:themeShade="80"/>
          <w:sz w:val="22"/>
          <w:szCs w:val="22"/>
        </w:rPr>
        <w:t xml:space="preserve"> in a contract</w:t>
      </w:r>
      <w:r w:rsidR="008229D7">
        <w:rPr>
          <w:rFonts w:ascii="Avenir Next" w:hAnsi="Avenir Next" w:cs="Arial"/>
          <w:color w:val="808080" w:themeColor="background1" w:themeShade="80"/>
          <w:sz w:val="22"/>
          <w:szCs w:val="22"/>
        </w:rPr>
        <w:t xml:space="preserve">. </w:t>
      </w:r>
      <w:r w:rsidR="008229D7" w:rsidRPr="008229D7">
        <w:rPr>
          <w:rFonts w:ascii="Avenir Next" w:hAnsi="Avenir Next" w:cs="Arial"/>
          <w:color w:val="808080" w:themeColor="background1" w:themeShade="80"/>
          <w:sz w:val="22"/>
          <w:szCs w:val="22"/>
        </w:rPr>
        <w:t xml:space="preserve">Section 233B prohibits clauses which allow the supplier of goods or services to terminate or </w:t>
      </w:r>
      <w:r w:rsidR="008229D7">
        <w:rPr>
          <w:rFonts w:ascii="Avenir Next" w:hAnsi="Avenir Next" w:cs="Arial"/>
          <w:color w:val="808080" w:themeColor="background1" w:themeShade="80"/>
          <w:sz w:val="22"/>
          <w:szCs w:val="22"/>
        </w:rPr>
        <w:t>“</w:t>
      </w:r>
      <w:r w:rsidR="008229D7" w:rsidRPr="008229D7">
        <w:rPr>
          <w:rFonts w:ascii="Avenir Next" w:hAnsi="Avenir Next" w:cs="Arial"/>
          <w:color w:val="808080" w:themeColor="background1" w:themeShade="80"/>
          <w:sz w:val="22"/>
          <w:szCs w:val="22"/>
        </w:rPr>
        <w:t>do any other thing” in relation to that contract if the company enters a formal insolvency procedure.</w:t>
      </w:r>
      <w:r w:rsidR="008229D7">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4E1EF08A" w:rsidR="00EA3B38" w:rsidRPr="00CE1F26" w:rsidRDefault="00EA3B38" w:rsidP="00CE1F26">
      <w:pPr>
        <w:pStyle w:val="af6"/>
        <w:rPr>
          <w:lang w:eastAsia="ru-RU"/>
        </w:rPr>
      </w:pPr>
      <w:r w:rsidRPr="00E027F4">
        <w:rPr>
          <w:rFonts w:ascii="Avenir Next" w:hAnsi="Avenir Next" w:cs="Arial"/>
          <w:color w:val="808080" w:themeColor="background1" w:themeShade="80"/>
          <w:sz w:val="22"/>
          <w:szCs w:val="22"/>
        </w:rPr>
        <w:t>[</w:t>
      </w:r>
      <w:r w:rsidR="00E027F4" w:rsidRPr="00E027F4">
        <w:rPr>
          <w:rFonts w:ascii="Avenir Next" w:hAnsi="Avenir Next" w:cs="Arial"/>
          <w:color w:val="808080" w:themeColor="background1" w:themeShade="80"/>
          <w:sz w:val="22"/>
          <w:szCs w:val="22"/>
        </w:rPr>
        <w:t>T</w:t>
      </w:r>
      <w:r w:rsidR="00E027F4" w:rsidRPr="00E027F4">
        <w:rPr>
          <w:rFonts w:ascii="Avenir Next" w:hAnsi="Avenir Next" w:cs="Arial"/>
          <w:color w:val="808080" w:themeColor="background1" w:themeShade="80"/>
          <w:sz w:val="22"/>
          <w:szCs w:val="22"/>
        </w:rPr>
        <w:t>he order of priority of payments in a liquidation</w:t>
      </w:r>
      <w:r w:rsidR="00E027F4">
        <w:rPr>
          <w:rFonts w:ascii="Avenir Next" w:hAnsi="Avenir Next" w:cs="Arial"/>
          <w:color w:val="808080" w:themeColor="background1" w:themeShade="80"/>
          <w:sz w:val="22"/>
          <w:szCs w:val="22"/>
        </w:rPr>
        <w:t>:</w:t>
      </w:r>
      <w:r w:rsidR="00E027F4" w:rsidRPr="00E027F4">
        <w:rPr>
          <w:rFonts w:ascii="Avenir Next" w:hAnsi="Avenir Next" w:cs="Arial"/>
          <w:color w:val="808080" w:themeColor="background1" w:themeShade="80"/>
          <w:sz w:val="22"/>
          <w:szCs w:val="22"/>
        </w:rPr>
        <w:t xml:space="preserve"> </w:t>
      </w:r>
      <w:r w:rsidR="00E027F4" w:rsidRPr="00E027F4">
        <w:rPr>
          <w:rFonts w:ascii="Avenir Next" w:hAnsi="Avenir Next" w:cs="Arial"/>
          <w:color w:val="808080" w:themeColor="background1" w:themeShade="80"/>
          <w:sz w:val="22"/>
          <w:szCs w:val="22"/>
        </w:rPr>
        <w:t>creditors</w:t>
      </w:r>
      <w:r w:rsidR="00E027F4" w:rsidRPr="00E027F4">
        <w:rPr>
          <w:rFonts w:ascii="Avenir Next" w:hAnsi="Avenir Next" w:cs="Arial"/>
          <w:color w:val="808080" w:themeColor="background1" w:themeShade="80"/>
          <w:sz w:val="22"/>
          <w:szCs w:val="22"/>
        </w:rPr>
        <w:t xml:space="preserve"> </w:t>
      </w:r>
      <w:r w:rsidR="00E027F4" w:rsidRPr="00E027F4">
        <w:rPr>
          <w:rFonts w:ascii="Avenir Next" w:hAnsi="Avenir Next" w:cs="Arial"/>
          <w:color w:val="808080" w:themeColor="background1" w:themeShade="80"/>
          <w:sz w:val="22"/>
          <w:szCs w:val="22"/>
        </w:rPr>
        <w:t>with fixed security will usually enforce their security outside any formal insolvency</w:t>
      </w:r>
      <w:r w:rsidR="00E027F4">
        <w:rPr>
          <w:rFonts w:ascii="Avenir Next" w:hAnsi="Avenir Next" w:cs="Arial"/>
          <w:color w:val="808080" w:themeColor="background1" w:themeShade="80"/>
          <w:sz w:val="22"/>
          <w:szCs w:val="22"/>
        </w:rPr>
        <w:t>;</w:t>
      </w:r>
      <w:r w:rsidR="00E027F4" w:rsidRPr="00E027F4">
        <w:rPr>
          <w:rFonts w:ascii="Avenir Next" w:hAnsi="Avenir Next" w:cs="Arial"/>
          <w:color w:val="808080" w:themeColor="background1" w:themeShade="80"/>
          <w:sz w:val="22"/>
          <w:szCs w:val="22"/>
        </w:rPr>
        <w:t xml:space="preserve"> </w:t>
      </w:r>
      <w:r w:rsidR="00E027F4">
        <w:rPr>
          <w:rFonts w:ascii="Avenir Next" w:hAnsi="Avenir Next" w:cs="Arial"/>
          <w:color w:val="808080" w:themeColor="background1" w:themeShade="80"/>
          <w:sz w:val="22"/>
          <w:szCs w:val="22"/>
        </w:rPr>
        <w:t>t</w:t>
      </w:r>
      <w:r w:rsidR="00E027F4" w:rsidRPr="00E027F4">
        <w:rPr>
          <w:rFonts w:ascii="Avenir Next" w:hAnsi="Avenir Next" w:cs="Arial"/>
          <w:color w:val="808080" w:themeColor="background1" w:themeShade="80"/>
          <w:sz w:val="22"/>
          <w:szCs w:val="22"/>
        </w:rPr>
        <w:t>he statutory order will be expenses (including the remuneration of the office-holder); preferential creditors</w:t>
      </w:r>
      <w:r w:rsidR="00E027F4" w:rsidRPr="00E027F4">
        <w:rPr>
          <w:rFonts w:ascii="Avenir Next" w:hAnsi="Avenir Next" w:cs="Arial"/>
          <w:color w:val="808080" w:themeColor="background1" w:themeShade="80"/>
          <w:sz w:val="22"/>
          <w:szCs w:val="22"/>
        </w:rPr>
        <w:t xml:space="preserve"> </w:t>
      </w:r>
      <w:r w:rsidR="00E027F4">
        <w:rPr>
          <w:rFonts w:ascii="Avenir Next" w:hAnsi="Avenir Next" w:cs="Arial"/>
          <w:color w:val="808080" w:themeColor="background1" w:themeShade="80"/>
          <w:sz w:val="22"/>
          <w:szCs w:val="22"/>
        </w:rPr>
        <w:t>(t</w:t>
      </w:r>
      <w:r w:rsidR="00E027F4" w:rsidRPr="00E027F4">
        <w:rPr>
          <w:rFonts w:ascii="Avenir Next" w:hAnsi="Avenir Next" w:cs="Arial"/>
          <w:color w:val="808080" w:themeColor="background1" w:themeShade="80"/>
          <w:sz w:val="22"/>
          <w:szCs w:val="22"/>
        </w:rPr>
        <w:t>he company’s employees and HMRC regarding taxes collected by the company but not paid over to the Government</w:t>
      </w:r>
      <w:r w:rsidR="00E027F4">
        <w:rPr>
          <w:rFonts w:ascii="Avenir Next" w:hAnsi="Avenir Next" w:cs="Arial"/>
          <w:color w:val="808080" w:themeColor="background1" w:themeShade="80"/>
          <w:sz w:val="22"/>
          <w:szCs w:val="22"/>
        </w:rPr>
        <w:t>)</w:t>
      </w:r>
      <w:r w:rsidR="00E027F4" w:rsidRPr="00E027F4">
        <w:rPr>
          <w:rFonts w:ascii="Avenir Next" w:hAnsi="Avenir Next" w:cs="Arial"/>
          <w:color w:val="808080" w:themeColor="background1" w:themeShade="80"/>
          <w:sz w:val="22"/>
          <w:szCs w:val="22"/>
        </w:rPr>
        <w:t>; floating charge holders (subject to section 176A); unsecured creditors.</w:t>
      </w:r>
      <w:r w:rsidR="00CE1F26" w:rsidRPr="00CE1F26">
        <w:rPr>
          <w:rFonts w:ascii="AvenirNext" w:hAnsi="AvenirNext"/>
          <w:sz w:val="22"/>
          <w:szCs w:val="22"/>
        </w:rPr>
        <w:t xml:space="preserve"> </w:t>
      </w:r>
      <w:r w:rsidR="00CE1F26" w:rsidRPr="00CE1F26">
        <w:rPr>
          <w:rFonts w:ascii="Avenir Next" w:hAnsi="Avenir Next" w:cs="Arial"/>
          <w:color w:val="808080" w:themeColor="background1" w:themeShade="80"/>
          <w:sz w:val="22"/>
          <w:szCs w:val="22"/>
        </w:rPr>
        <w:lastRenderedPageBreak/>
        <w:t>Section 174A affords certain unsecured debts a form of “super priority” in a subsequent liquidation</w:t>
      </w:r>
      <w:r w:rsidR="003D798F">
        <w:rPr>
          <w:rFonts w:ascii="Avenir Next" w:hAnsi="Avenir Next" w:cs="Arial"/>
          <w:color w:val="808080" w:themeColor="background1" w:themeShade="80"/>
          <w:sz w:val="22"/>
          <w:szCs w:val="22"/>
        </w:rPr>
        <w:t xml:space="preserve"> (f</w:t>
      </w:r>
      <w:r w:rsidR="00CE1F26" w:rsidRPr="00CE1F26">
        <w:rPr>
          <w:rFonts w:ascii="Avenir Next" w:hAnsi="Avenir Next" w:cs="Arial"/>
          <w:color w:val="808080" w:themeColor="background1" w:themeShade="80"/>
          <w:sz w:val="22"/>
          <w:szCs w:val="22"/>
        </w:rPr>
        <w:t xml:space="preserve">or example, unsecured debt of the </w:t>
      </w:r>
      <w:r w:rsidR="004E27E0" w:rsidRPr="00CE1F26">
        <w:rPr>
          <w:rFonts w:ascii="Avenir Next" w:hAnsi="Avenir Next" w:cs="Arial"/>
          <w:color w:val="808080" w:themeColor="background1" w:themeShade="80"/>
          <w:sz w:val="22"/>
          <w:szCs w:val="22"/>
        </w:rPr>
        <w:t>director</w:t>
      </w:r>
      <w:r w:rsidR="004E27E0">
        <w:rPr>
          <w:rFonts w:ascii="Avenir Next" w:hAnsi="Avenir Next" w:cs="Arial"/>
          <w:color w:val="808080" w:themeColor="background1" w:themeShade="80"/>
          <w:sz w:val="22"/>
          <w:szCs w:val="22"/>
        </w:rPr>
        <w:t xml:space="preserve">, </w:t>
      </w:r>
      <w:r w:rsidR="004E27E0" w:rsidRPr="00CE1F26">
        <w:rPr>
          <w:rFonts w:ascii="Avenir Next" w:hAnsi="Avenir Next" w:cs="Arial"/>
          <w:color w:val="808080" w:themeColor="background1" w:themeShade="80"/>
          <w:sz w:val="22"/>
          <w:szCs w:val="22"/>
        </w:rPr>
        <w:t>unsecured</w:t>
      </w:r>
      <w:r w:rsidR="00CE1F26" w:rsidRPr="00CE1F26">
        <w:rPr>
          <w:rFonts w:ascii="Avenir Next" w:hAnsi="Avenir Next" w:cs="Arial"/>
          <w:color w:val="808080" w:themeColor="background1" w:themeShade="80"/>
          <w:sz w:val="22"/>
          <w:szCs w:val="22"/>
        </w:rPr>
        <w:t xml:space="preserve"> (or secured) pre-Moratorium bank debt</w:t>
      </w:r>
      <w:r w:rsidR="003D798F">
        <w:rPr>
          <w:rFonts w:ascii="Avenir Next" w:hAnsi="Avenir Next" w:cs="Arial"/>
          <w:color w:val="808080" w:themeColor="background1" w:themeShade="80"/>
          <w:sz w:val="22"/>
          <w:szCs w:val="22"/>
        </w:rPr>
        <w:t>)</w:t>
      </w:r>
      <w:r w:rsidRPr="00B84055">
        <w:rPr>
          <w:rFonts w:ascii="Avenir Next" w:hAnsi="Avenir Next" w:cs="Arial"/>
          <w:color w:val="808080" w:themeColor="background1" w:themeShade="80"/>
          <w:sz w:val="22"/>
          <w:szCs w:val="22"/>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af6"/>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af6"/>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af6"/>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af6"/>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af6"/>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af6"/>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af6"/>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af6"/>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af6"/>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af6"/>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7777777" w:rsidR="009452DF" w:rsidRPr="00B84055"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D5E8" w14:textId="77777777" w:rsidR="009A70F2" w:rsidRDefault="009A70F2" w:rsidP="00241B44">
      <w:r>
        <w:separator/>
      </w:r>
    </w:p>
  </w:endnote>
  <w:endnote w:type="continuationSeparator" w:id="0">
    <w:p w14:paraId="41314DAA" w14:textId="77777777" w:rsidR="009A70F2" w:rsidRDefault="009A70F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1857BB82" w:rsidR="009B4976" w:rsidRPr="009B4976" w:rsidRDefault="009B4976" w:rsidP="00E23A7A">
        <w:pPr>
          <w:pStyle w:val="af"/>
          <w:framePr w:wrap="none" w:vAnchor="text" w:hAnchor="margin" w:xAlign="right" w:y="1"/>
          <w:rPr>
            <w:rStyle w:val="af1"/>
            <w:rFonts w:ascii="Arial" w:hAnsi="Arial" w:cs="Arial"/>
            <w:sz w:val="18"/>
            <w:szCs w:val="18"/>
          </w:rPr>
        </w:pPr>
        <w:r w:rsidRPr="00A84235">
          <w:rPr>
            <w:rStyle w:val="af1"/>
            <w:rFonts w:ascii="Avenir Next" w:hAnsi="Avenir Next" w:cs="Arial"/>
            <w:sz w:val="22"/>
            <w:szCs w:val="22"/>
          </w:rPr>
          <w:t xml:space="preserve">Page </w:t>
        </w:r>
        <w:r w:rsidRPr="00A84235">
          <w:rPr>
            <w:rStyle w:val="af1"/>
            <w:rFonts w:ascii="Avenir Next" w:hAnsi="Avenir Next" w:cs="Arial"/>
            <w:sz w:val="22"/>
            <w:szCs w:val="22"/>
          </w:rPr>
          <w:fldChar w:fldCharType="begin"/>
        </w:r>
        <w:r w:rsidRPr="00A84235">
          <w:rPr>
            <w:rStyle w:val="af1"/>
            <w:rFonts w:ascii="Avenir Next" w:hAnsi="Avenir Next" w:cs="Arial"/>
            <w:sz w:val="22"/>
            <w:szCs w:val="22"/>
          </w:rPr>
          <w:instrText xml:space="preserve"> PAGE </w:instrText>
        </w:r>
        <w:r w:rsidRPr="00A84235">
          <w:rPr>
            <w:rStyle w:val="af1"/>
            <w:rFonts w:ascii="Avenir Next" w:hAnsi="Avenir Next" w:cs="Arial"/>
            <w:sz w:val="22"/>
            <w:szCs w:val="22"/>
          </w:rPr>
          <w:fldChar w:fldCharType="separate"/>
        </w:r>
        <w:r w:rsidR="009D3AF0" w:rsidRPr="00A84235">
          <w:rPr>
            <w:rStyle w:val="af1"/>
            <w:rFonts w:ascii="Avenir Next" w:hAnsi="Avenir Next" w:cs="Arial"/>
            <w:noProof/>
            <w:sz w:val="22"/>
            <w:szCs w:val="22"/>
          </w:rPr>
          <w:t>8</w:t>
        </w:r>
        <w:r w:rsidRPr="00A84235">
          <w:rPr>
            <w:rStyle w:val="af1"/>
            <w:rFonts w:ascii="Avenir Next" w:hAnsi="Avenir Next" w:cs="Arial"/>
            <w:sz w:val="22"/>
            <w:szCs w:val="22"/>
          </w:rPr>
          <w:fldChar w:fldCharType="end"/>
        </w:r>
      </w:p>
    </w:sdtContent>
  </w:sdt>
  <w:p w14:paraId="30F05E79" w14:textId="2983E886" w:rsidR="00241FA3" w:rsidRPr="00A84235" w:rsidRDefault="001E46BA" w:rsidP="009B4976">
    <w:pPr>
      <w:pStyle w:val="af"/>
      <w:ind w:right="360"/>
      <w:rPr>
        <w:rFonts w:ascii="Avenir Next" w:hAnsi="Avenir Next" w:cs="Arial"/>
        <w:sz w:val="22"/>
        <w:szCs w:val="22"/>
        <w:lang w:val="en-GB"/>
      </w:rPr>
    </w:pPr>
    <w:r>
      <w:rPr>
        <w:rFonts w:ascii="Avenir Next" w:hAnsi="Avenir Next" w:cs="Arial"/>
        <w:sz w:val="22"/>
        <w:szCs w:val="22"/>
        <w:lang w:val="en-GB"/>
      </w:rPr>
      <w:t>202223-798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4121" w14:textId="77777777" w:rsidR="001E46BA" w:rsidRDefault="001E46B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C18D" w14:textId="77777777" w:rsidR="009A70F2" w:rsidRDefault="009A70F2" w:rsidP="00241B44">
      <w:r>
        <w:separator/>
      </w:r>
    </w:p>
  </w:footnote>
  <w:footnote w:type="continuationSeparator" w:id="0">
    <w:p w14:paraId="40B082A0" w14:textId="77777777" w:rsidR="009A70F2" w:rsidRDefault="009A70F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2F6D" w14:textId="77777777" w:rsidR="001E46BA" w:rsidRDefault="001E46B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0DD3" w14:textId="77777777" w:rsidR="001E46BA" w:rsidRDefault="001E46B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8063" w14:textId="77777777" w:rsidR="001E46BA" w:rsidRDefault="001E46B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767C5"/>
    <w:multiLevelType w:val="multilevel"/>
    <w:tmpl w:val="9C76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6"/>
  </w:num>
  <w:num w:numId="9">
    <w:abstractNumId w:val="8"/>
  </w:num>
  <w:num w:numId="10">
    <w:abstractNumId w:val="17"/>
  </w:num>
  <w:num w:numId="11">
    <w:abstractNumId w:val="5"/>
  </w:num>
  <w:num w:numId="12">
    <w:abstractNumId w:val="13"/>
  </w:num>
  <w:num w:numId="13">
    <w:abstractNumId w:val="9"/>
  </w:num>
  <w:num w:numId="14">
    <w:abstractNumId w:val="4"/>
  </w:num>
  <w:num w:numId="15">
    <w:abstractNumId w:val="12"/>
  </w:num>
  <w:num w:numId="16">
    <w:abstractNumId w:val="15"/>
  </w:num>
  <w:num w:numId="17">
    <w:abstractNumId w:val="6"/>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20B"/>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6BA"/>
    <w:rsid w:val="001E49E0"/>
    <w:rsid w:val="001E7B5A"/>
    <w:rsid w:val="001F3C98"/>
    <w:rsid w:val="001F7412"/>
    <w:rsid w:val="0020090A"/>
    <w:rsid w:val="0020204E"/>
    <w:rsid w:val="00202DFE"/>
    <w:rsid w:val="0020725B"/>
    <w:rsid w:val="002110F1"/>
    <w:rsid w:val="00212001"/>
    <w:rsid w:val="00227752"/>
    <w:rsid w:val="002356EA"/>
    <w:rsid w:val="0024116D"/>
    <w:rsid w:val="00241B44"/>
    <w:rsid w:val="00241FA3"/>
    <w:rsid w:val="00245EFB"/>
    <w:rsid w:val="0025386E"/>
    <w:rsid w:val="00262AE9"/>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2190"/>
    <w:rsid w:val="00364836"/>
    <w:rsid w:val="0036565C"/>
    <w:rsid w:val="0036625E"/>
    <w:rsid w:val="00373941"/>
    <w:rsid w:val="0037465A"/>
    <w:rsid w:val="00382C98"/>
    <w:rsid w:val="0038410E"/>
    <w:rsid w:val="0038533C"/>
    <w:rsid w:val="00386568"/>
    <w:rsid w:val="00390B57"/>
    <w:rsid w:val="003948D5"/>
    <w:rsid w:val="00396821"/>
    <w:rsid w:val="00397D3A"/>
    <w:rsid w:val="003A051E"/>
    <w:rsid w:val="003A4482"/>
    <w:rsid w:val="003A5C83"/>
    <w:rsid w:val="003B170F"/>
    <w:rsid w:val="003B3C5F"/>
    <w:rsid w:val="003C4471"/>
    <w:rsid w:val="003D0A6D"/>
    <w:rsid w:val="003D798F"/>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7E0"/>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D6414"/>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14F0"/>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29D7"/>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A70F2"/>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1F26"/>
    <w:rsid w:val="00CE6E50"/>
    <w:rsid w:val="00CF2819"/>
    <w:rsid w:val="00CF4F9D"/>
    <w:rsid w:val="00CF70DC"/>
    <w:rsid w:val="00D01697"/>
    <w:rsid w:val="00D148DC"/>
    <w:rsid w:val="00D17FDC"/>
    <w:rsid w:val="00D21D8C"/>
    <w:rsid w:val="00D316A2"/>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7F4"/>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0849515">
      <w:bodyDiv w:val="1"/>
      <w:marLeft w:val="0"/>
      <w:marRight w:val="0"/>
      <w:marTop w:val="0"/>
      <w:marBottom w:val="0"/>
      <w:divBdr>
        <w:top w:val="none" w:sz="0" w:space="0" w:color="auto"/>
        <w:left w:val="none" w:sz="0" w:space="0" w:color="auto"/>
        <w:bottom w:val="none" w:sz="0" w:space="0" w:color="auto"/>
        <w:right w:val="none" w:sz="0" w:space="0" w:color="auto"/>
      </w:divBdr>
      <w:divsChild>
        <w:div w:id="793209962">
          <w:marLeft w:val="0"/>
          <w:marRight w:val="0"/>
          <w:marTop w:val="0"/>
          <w:marBottom w:val="0"/>
          <w:divBdr>
            <w:top w:val="none" w:sz="0" w:space="0" w:color="auto"/>
            <w:left w:val="none" w:sz="0" w:space="0" w:color="auto"/>
            <w:bottom w:val="none" w:sz="0" w:space="0" w:color="auto"/>
            <w:right w:val="none" w:sz="0" w:space="0" w:color="auto"/>
          </w:divBdr>
          <w:divsChild>
            <w:div w:id="1724406438">
              <w:marLeft w:val="0"/>
              <w:marRight w:val="0"/>
              <w:marTop w:val="0"/>
              <w:marBottom w:val="0"/>
              <w:divBdr>
                <w:top w:val="none" w:sz="0" w:space="0" w:color="auto"/>
                <w:left w:val="none" w:sz="0" w:space="0" w:color="auto"/>
                <w:bottom w:val="none" w:sz="0" w:space="0" w:color="auto"/>
                <w:right w:val="none" w:sz="0" w:space="0" w:color="auto"/>
              </w:divBdr>
              <w:divsChild>
                <w:div w:id="1468814067">
                  <w:marLeft w:val="0"/>
                  <w:marRight w:val="0"/>
                  <w:marTop w:val="0"/>
                  <w:marBottom w:val="0"/>
                  <w:divBdr>
                    <w:top w:val="none" w:sz="0" w:space="0" w:color="auto"/>
                    <w:left w:val="none" w:sz="0" w:space="0" w:color="auto"/>
                    <w:bottom w:val="none" w:sz="0" w:space="0" w:color="auto"/>
                    <w:right w:val="none" w:sz="0" w:space="0" w:color="auto"/>
                  </w:divBdr>
                  <w:divsChild>
                    <w:div w:id="1607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4673">
      <w:bodyDiv w:val="1"/>
      <w:marLeft w:val="0"/>
      <w:marRight w:val="0"/>
      <w:marTop w:val="0"/>
      <w:marBottom w:val="0"/>
      <w:divBdr>
        <w:top w:val="none" w:sz="0" w:space="0" w:color="auto"/>
        <w:left w:val="none" w:sz="0" w:space="0" w:color="auto"/>
        <w:bottom w:val="none" w:sz="0" w:space="0" w:color="auto"/>
        <w:right w:val="none" w:sz="0" w:space="0" w:color="auto"/>
      </w:divBdr>
      <w:divsChild>
        <w:div w:id="166557359">
          <w:marLeft w:val="0"/>
          <w:marRight w:val="0"/>
          <w:marTop w:val="0"/>
          <w:marBottom w:val="0"/>
          <w:divBdr>
            <w:top w:val="none" w:sz="0" w:space="0" w:color="auto"/>
            <w:left w:val="none" w:sz="0" w:space="0" w:color="auto"/>
            <w:bottom w:val="none" w:sz="0" w:space="0" w:color="auto"/>
            <w:right w:val="none" w:sz="0" w:space="0" w:color="auto"/>
          </w:divBdr>
          <w:divsChild>
            <w:div w:id="225380496">
              <w:marLeft w:val="0"/>
              <w:marRight w:val="0"/>
              <w:marTop w:val="0"/>
              <w:marBottom w:val="0"/>
              <w:divBdr>
                <w:top w:val="none" w:sz="0" w:space="0" w:color="auto"/>
                <w:left w:val="none" w:sz="0" w:space="0" w:color="auto"/>
                <w:bottom w:val="none" w:sz="0" w:space="0" w:color="auto"/>
                <w:right w:val="none" w:sz="0" w:space="0" w:color="auto"/>
              </w:divBdr>
              <w:divsChild>
                <w:div w:id="808860326">
                  <w:marLeft w:val="0"/>
                  <w:marRight w:val="0"/>
                  <w:marTop w:val="0"/>
                  <w:marBottom w:val="0"/>
                  <w:divBdr>
                    <w:top w:val="none" w:sz="0" w:space="0" w:color="auto"/>
                    <w:left w:val="none" w:sz="0" w:space="0" w:color="auto"/>
                    <w:bottom w:val="none" w:sz="0" w:space="0" w:color="auto"/>
                    <w:right w:val="none" w:sz="0" w:space="0" w:color="auto"/>
                  </w:divBdr>
                  <w:divsChild>
                    <w:div w:id="9884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2581">
      <w:bodyDiv w:val="1"/>
      <w:marLeft w:val="0"/>
      <w:marRight w:val="0"/>
      <w:marTop w:val="0"/>
      <w:marBottom w:val="0"/>
      <w:divBdr>
        <w:top w:val="none" w:sz="0" w:space="0" w:color="auto"/>
        <w:left w:val="none" w:sz="0" w:space="0" w:color="auto"/>
        <w:bottom w:val="none" w:sz="0" w:space="0" w:color="auto"/>
        <w:right w:val="none" w:sz="0" w:space="0" w:color="auto"/>
      </w:divBdr>
      <w:divsChild>
        <w:div w:id="367991561">
          <w:marLeft w:val="0"/>
          <w:marRight w:val="0"/>
          <w:marTop w:val="0"/>
          <w:marBottom w:val="0"/>
          <w:divBdr>
            <w:top w:val="none" w:sz="0" w:space="0" w:color="auto"/>
            <w:left w:val="none" w:sz="0" w:space="0" w:color="auto"/>
            <w:bottom w:val="none" w:sz="0" w:space="0" w:color="auto"/>
            <w:right w:val="none" w:sz="0" w:space="0" w:color="auto"/>
          </w:divBdr>
          <w:divsChild>
            <w:div w:id="1606962829">
              <w:marLeft w:val="0"/>
              <w:marRight w:val="0"/>
              <w:marTop w:val="0"/>
              <w:marBottom w:val="0"/>
              <w:divBdr>
                <w:top w:val="none" w:sz="0" w:space="0" w:color="auto"/>
                <w:left w:val="none" w:sz="0" w:space="0" w:color="auto"/>
                <w:bottom w:val="none" w:sz="0" w:space="0" w:color="auto"/>
                <w:right w:val="none" w:sz="0" w:space="0" w:color="auto"/>
              </w:divBdr>
              <w:divsChild>
                <w:div w:id="9556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107">
      <w:bodyDiv w:val="1"/>
      <w:marLeft w:val="0"/>
      <w:marRight w:val="0"/>
      <w:marTop w:val="0"/>
      <w:marBottom w:val="0"/>
      <w:divBdr>
        <w:top w:val="none" w:sz="0" w:space="0" w:color="auto"/>
        <w:left w:val="none" w:sz="0" w:space="0" w:color="auto"/>
        <w:bottom w:val="none" w:sz="0" w:space="0" w:color="auto"/>
        <w:right w:val="none" w:sz="0" w:space="0" w:color="auto"/>
      </w:divBdr>
      <w:divsChild>
        <w:div w:id="811798138">
          <w:marLeft w:val="0"/>
          <w:marRight w:val="0"/>
          <w:marTop w:val="0"/>
          <w:marBottom w:val="0"/>
          <w:divBdr>
            <w:top w:val="none" w:sz="0" w:space="0" w:color="auto"/>
            <w:left w:val="none" w:sz="0" w:space="0" w:color="auto"/>
            <w:bottom w:val="none" w:sz="0" w:space="0" w:color="auto"/>
            <w:right w:val="none" w:sz="0" w:space="0" w:color="auto"/>
          </w:divBdr>
          <w:divsChild>
            <w:div w:id="635643014">
              <w:marLeft w:val="0"/>
              <w:marRight w:val="0"/>
              <w:marTop w:val="0"/>
              <w:marBottom w:val="0"/>
              <w:divBdr>
                <w:top w:val="none" w:sz="0" w:space="0" w:color="auto"/>
                <w:left w:val="none" w:sz="0" w:space="0" w:color="auto"/>
                <w:bottom w:val="none" w:sz="0" w:space="0" w:color="auto"/>
                <w:right w:val="none" w:sz="0" w:space="0" w:color="auto"/>
              </w:divBdr>
              <w:divsChild>
                <w:div w:id="15437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0447">
      <w:bodyDiv w:val="1"/>
      <w:marLeft w:val="0"/>
      <w:marRight w:val="0"/>
      <w:marTop w:val="0"/>
      <w:marBottom w:val="0"/>
      <w:divBdr>
        <w:top w:val="none" w:sz="0" w:space="0" w:color="auto"/>
        <w:left w:val="none" w:sz="0" w:space="0" w:color="auto"/>
        <w:bottom w:val="none" w:sz="0" w:space="0" w:color="auto"/>
        <w:right w:val="none" w:sz="0" w:space="0" w:color="auto"/>
      </w:divBdr>
      <w:divsChild>
        <w:div w:id="587884804">
          <w:marLeft w:val="0"/>
          <w:marRight w:val="0"/>
          <w:marTop w:val="0"/>
          <w:marBottom w:val="0"/>
          <w:divBdr>
            <w:top w:val="none" w:sz="0" w:space="0" w:color="auto"/>
            <w:left w:val="none" w:sz="0" w:space="0" w:color="auto"/>
            <w:bottom w:val="none" w:sz="0" w:space="0" w:color="auto"/>
            <w:right w:val="none" w:sz="0" w:space="0" w:color="auto"/>
          </w:divBdr>
          <w:divsChild>
            <w:div w:id="848250215">
              <w:marLeft w:val="0"/>
              <w:marRight w:val="0"/>
              <w:marTop w:val="0"/>
              <w:marBottom w:val="0"/>
              <w:divBdr>
                <w:top w:val="none" w:sz="0" w:space="0" w:color="auto"/>
                <w:left w:val="none" w:sz="0" w:space="0" w:color="auto"/>
                <w:bottom w:val="none" w:sz="0" w:space="0" w:color="auto"/>
                <w:right w:val="none" w:sz="0" w:space="0" w:color="auto"/>
              </w:divBdr>
              <w:divsChild>
                <w:div w:id="11915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6608820">
      <w:bodyDiv w:val="1"/>
      <w:marLeft w:val="0"/>
      <w:marRight w:val="0"/>
      <w:marTop w:val="0"/>
      <w:marBottom w:val="0"/>
      <w:divBdr>
        <w:top w:val="none" w:sz="0" w:space="0" w:color="auto"/>
        <w:left w:val="none" w:sz="0" w:space="0" w:color="auto"/>
        <w:bottom w:val="none" w:sz="0" w:space="0" w:color="auto"/>
        <w:right w:val="none" w:sz="0" w:space="0" w:color="auto"/>
      </w:divBdr>
      <w:divsChild>
        <w:div w:id="1148130836">
          <w:marLeft w:val="0"/>
          <w:marRight w:val="0"/>
          <w:marTop w:val="0"/>
          <w:marBottom w:val="0"/>
          <w:divBdr>
            <w:top w:val="none" w:sz="0" w:space="0" w:color="auto"/>
            <w:left w:val="none" w:sz="0" w:space="0" w:color="auto"/>
            <w:bottom w:val="none" w:sz="0" w:space="0" w:color="auto"/>
            <w:right w:val="none" w:sz="0" w:space="0" w:color="auto"/>
          </w:divBdr>
          <w:divsChild>
            <w:div w:id="328093930">
              <w:marLeft w:val="0"/>
              <w:marRight w:val="0"/>
              <w:marTop w:val="0"/>
              <w:marBottom w:val="0"/>
              <w:divBdr>
                <w:top w:val="none" w:sz="0" w:space="0" w:color="auto"/>
                <w:left w:val="none" w:sz="0" w:space="0" w:color="auto"/>
                <w:bottom w:val="none" w:sz="0" w:space="0" w:color="auto"/>
                <w:right w:val="none" w:sz="0" w:space="0" w:color="auto"/>
              </w:divBdr>
              <w:divsChild>
                <w:div w:id="6319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 No</cp:lastModifiedBy>
  <cp:revision>15</cp:revision>
  <cp:lastPrinted>2019-08-27T05:42:00Z</cp:lastPrinted>
  <dcterms:created xsi:type="dcterms:W3CDTF">2023-03-01T12:53:00Z</dcterms:created>
  <dcterms:modified xsi:type="dcterms:W3CDTF">2023-03-01T22:52:00Z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