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263DFA">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263DFA">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152DBB" w:rsidRDefault="00436884" w:rsidP="00263DFA">
      <w:pPr>
        <w:pStyle w:val="ListParagraph"/>
        <w:numPr>
          <w:ilvl w:val="0"/>
          <w:numId w:val="1"/>
        </w:numPr>
        <w:ind w:left="426"/>
        <w:jc w:val="both"/>
        <w:rPr>
          <w:rFonts w:ascii="Avenir Next" w:hAnsi="Avenir Next" w:cs="Arial"/>
          <w:sz w:val="22"/>
          <w:szCs w:val="22"/>
          <w:highlight w:val="yellow"/>
          <w:lang w:val="en-GB"/>
        </w:rPr>
      </w:pPr>
      <w:r w:rsidRPr="00152DBB">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263DFA">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263DF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263DF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263DF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152DBB" w:rsidRDefault="00436884" w:rsidP="00263DFA">
      <w:pPr>
        <w:pStyle w:val="ListParagraph"/>
        <w:numPr>
          <w:ilvl w:val="0"/>
          <w:numId w:val="2"/>
        </w:numPr>
        <w:ind w:left="426"/>
        <w:jc w:val="both"/>
        <w:rPr>
          <w:rFonts w:ascii="Avenir Next" w:hAnsi="Avenir Next" w:cs="Arial"/>
          <w:sz w:val="22"/>
          <w:szCs w:val="22"/>
          <w:highlight w:val="yellow"/>
          <w:lang w:val="en-GB"/>
        </w:rPr>
      </w:pPr>
      <w:r w:rsidRPr="00152DB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263DF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263DF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9505B4" w:rsidRDefault="00853A74" w:rsidP="00263DFA">
      <w:pPr>
        <w:pStyle w:val="ListParagraph"/>
        <w:numPr>
          <w:ilvl w:val="0"/>
          <w:numId w:val="3"/>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263DF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263DF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9505B4" w:rsidRDefault="00436884" w:rsidP="00263DFA">
      <w:pPr>
        <w:pStyle w:val="ListParagraph"/>
        <w:numPr>
          <w:ilvl w:val="0"/>
          <w:numId w:val="4"/>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263DF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263DF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9505B4" w:rsidRDefault="00C504E5" w:rsidP="00263DFA">
      <w:pPr>
        <w:pStyle w:val="ListParagraph"/>
        <w:numPr>
          <w:ilvl w:val="0"/>
          <w:numId w:val="5"/>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The foreign main proceedings in South Africa will not be recognised in the UK because the UK is not a designated country under South Africa</w:t>
      </w:r>
      <w:r w:rsidR="008512FA" w:rsidRPr="009505B4">
        <w:rPr>
          <w:rFonts w:ascii="Avenir Next" w:hAnsi="Avenir Next" w:cs="Arial"/>
          <w:sz w:val="22"/>
          <w:szCs w:val="22"/>
          <w:highlight w:val="yellow"/>
          <w:lang w:val="en-GB"/>
        </w:rPr>
        <w:t>’</w:t>
      </w:r>
      <w:r w:rsidRPr="009505B4">
        <w:rPr>
          <w:rFonts w:ascii="Avenir Next" w:hAnsi="Avenir Next" w:cs="Arial"/>
          <w:sz w:val="22"/>
          <w:szCs w:val="22"/>
          <w:highlight w:val="yellow"/>
          <w:lang w:val="en-GB"/>
        </w:rPr>
        <w:t xml:space="preserve">s principle of reciprocity, but the foreign non-main proceedings in </w:t>
      </w:r>
      <w:r w:rsidR="004137C3" w:rsidRPr="009505B4">
        <w:rPr>
          <w:rFonts w:ascii="Avenir Next" w:hAnsi="Avenir Next" w:cs="Arial"/>
          <w:sz w:val="22"/>
          <w:szCs w:val="22"/>
          <w:highlight w:val="yellow"/>
          <w:lang w:val="en-GB"/>
        </w:rPr>
        <w:t xml:space="preserve">Argentina </w:t>
      </w:r>
      <w:r w:rsidRPr="009505B4">
        <w:rPr>
          <w:rFonts w:ascii="Avenir Next" w:hAnsi="Avenir Next" w:cs="Arial"/>
          <w:sz w:val="22"/>
          <w:szCs w:val="22"/>
          <w:highlight w:val="yellow"/>
          <w:lang w:val="en-GB"/>
        </w:rPr>
        <w:t xml:space="preserve">will be recognised in the UK despite </w:t>
      </w:r>
      <w:r w:rsidR="004137C3" w:rsidRPr="009505B4">
        <w:rPr>
          <w:rFonts w:ascii="Avenir Next" w:hAnsi="Avenir Next" w:cs="Arial"/>
          <w:sz w:val="22"/>
          <w:szCs w:val="22"/>
          <w:highlight w:val="yellow"/>
          <w:lang w:val="en-GB"/>
        </w:rPr>
        <w:t xml:space="preserve">Argentina </w:t>
      </w:r>
      <w:r w:rsidRPr="009505B4">
        <w:rPr>
          <w:rFonts w:ascii="Avenir Next" w:hAnsi="Avenir Next" w:cs="Arial"/>
          <w:sz w:val="22"/>
          <w:szCs w:val="22"/>
          <w:highlight w:val="yellow"/>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263DFA">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263DFA">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263DFA">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263DF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263DF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263DF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9505B4" w:rsidRDefault="00B72F5F" w:rsidP="00263DFA">
      <w:pPr>
        <w:pStyle w:val="ListParagraph"/>
        <w:numPr>
          <w:ilvl w:val="0"/>
          <w:numId w:val="6"/>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505B4">
        <w:rPr>
          <w:rFonts w:ascii="Avenir Next" w:hAnsi="Avenir Next" w:cs="Arial"/>
          <w:sz w:val="22"/>
          <w:szCs w:val="22"/>
          <w:highlight w:val="yellow"/>
          <w:lang w:val="en-GB"/>
        </w:rPr>
        <w:t>will</w:t>
      </w:r>
      <w:r w:rsidRPr="009505B4">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263DFA">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9505B4" w:rsidRDefault="00436884" w:rsidP="00263DFA">
      <w:pPr>
        <w:pStyle w:val="ListParagraph"/>
        <w:numPr>
          <w:ilvl w:val="0"/>
          <w:numId w:val="7"/>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263DFA">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263DFA">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263DF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263DF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263DF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9505B4" w:rsidRDefault="00436884" w:rsidP="00263DFA">
      <w:pPr>
        <w:pStyle w:val="ListParagraph"/>
        <w:numPr>
          <w:ilvl w:val="0"/>
          <w:numId w:val="8"/>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263DF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263DF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9505B4" w:rsidRDefault="00436884" w:rsidP="00263DFA">
      <w:pPr>
        <w:pStyle w:val="ListParagraph"/>
        <w:numPr>
          <w:ilvl w:val="0"/>
          <w:numId w:val="9"/>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263DF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9505B4" w:rsidRDefault="00436884" w:rsidP="00263DFA">
      <w:pPr>
        <w:pStyle w:val="ListParagraph"/>
        <w:numPr>
          <w:ilvl w:val="0"/>
          <w:numId w:val="10"/>
        </w:numPr>
        <w:ind w:left="426"/>
        <w:jc w:val="both"/>
        <w:rPr>
          <w:rFonts w:ascii="Avenir Next" w:hAnsi="Avenir Next" w:cs="Arial"/>
          <w:sz w:val="22"/>
          <w:szCs w:val="22"/>
          <w:highlight w:val="yellow"/>
          <w:lang w:val="en-GB"/>
        </w:rPr>
      </w:pPr>
      <w:r w:rsidRPr="009505B4">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9505B4">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263DFA">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263DFA">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263DFA">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0924EB">
        <w:rPr>
          <w:rFonts w:ascii="Avenir Next Demi Bold" w:hAnsi="Avenir Next Demi Bold" w:cs="Arial"/>
          <w:b/>
          <w:bCs/>
          <w:sz w:val="22"/>
          <w:szCs w:val="22"/>
          <w:highlight w:val="yellow"/>
          <w:lang w:val="en-GB"/>
        </w:rPr>
        <w:t xml:space="preserve">Question </w:t>
      </w:r>
      <w:r w:rsidR="00962045" w:rsidRPr="000924EB">
        <w:rPr>
          <w:rFonts w:ascii="Avenir Next Demi Bold" w:hAnsi="Avenir Next Demi Bold" w:cs="Arial"/>
          <w:b/>
          <w:bCs/>
          <w:sz w:val="22"/>
          <w:szCs w:val="22"/>
          <w:highlight w:val="yellow"/>
          <w:lang w:val="en-GB"/>
        </w:rPr>
        <w:t>2.1</w:t>
      </w:r>
      <w:r w:rsidR="00962045" w:rsidRPr="000924EB">
        <w:rPr>
          <w:rFonts w:ascii="Avenir Next Demi Bold" w:hAnsi="Avenir Next Demi Bold" w:cs="Arial"/>
          <w:b/>
          <w:bCs/>
          <w:sz w:val="22"/>
          <w:szCs w:val="22"/>
          <w:highlight w:val="yellow"/>
          <w:lang w:val="en-GB"/>
        </w:rPr>
        <w:tab/>
      </w:r>
      <w:r w:rsidR="00DE03AF" w:rsidRPr="000924EB">
        <w:rPr>
          <w:rFonts w:ascii="Avenir Next Demi Bold" w:hAnsi="Avenir Next Demi Bold" w:cs="Arial"/>
          <w:b/>
          <w:bCs/>
          <w:sz w:val="22"/>
          <w:szCs w:val="22"/>
          <w:highlight w:val="yellow"/>
          <w:lang w:val="en-GB"/>
        </w:rPr>
        <w:t>[</w:t>
      </w:r>
      <w:r w:rsidR="00D17FDC" w:rsidRPr="000924EB">
        <w:rPr>
          <w:rFonts w:ascii="Avenir Next Demi Bold" w:hAnsi="Avenir Next Demi Bold" w:cs="Arial"/>
          <w:b/>
          <w:bCs/>
          <w:sz w:val="22"/>
          <w:szCs w:val="22"/>
          <w:highlight w:val="yellow"/>
          <w:lang w:val="en-GB"/>
        </w:rPr>
        <w:t>m</w:t>
      </w:r>
      <w:r w:rsidR="00DE03AF" w:rsidRPr="000924EB">
        <w:rPr>
          <w:rFonts w:ascii="Avenir Next Demi Bold" w:hAnsi="Avenir Next Demi Bold" w:cs="Arial"/>
          <w:b/>
          <w:bCs/>
          <w:sz w:val="22"/>
          <w:szCs w:val="22"/>
          <w:highlight w:val="yellow"/>
          <w:lang w:val="en-GB"/>
        </w:rPr>
        <w:t xml:space="preserve">aximum </w:t>
      </w:r>
      <w:r w:rsidR="00DD0A50" w:rsidRPr="000924EB">
        <w:rPr>
          <w:rFonts w:ascii="Avenir Next Demi Bold" w:hAnsi="Avenir Next Demi Bold" w:cs="Arial"/>
          <w:b/>
          <w:bCs/>
          <w:sz w:val="22"/>
          <w:szCs w:val="22"/>
          <w:highlight w:val="yellow"/>
          <w:lang w:val="en-GB"/>
        </w:rPr>
        <w:t>3</w:t>
      </w:r>
      <w:r w:rsidR="00DE03AF" w:rsidRPr="000924EB">
        <w:rPr>
          <w:rFonts w:ascii="Avenir Next Demi Bold" w:hAnsi="Avenir Next Demi Bold" w:cs="Arial"/>
          <w:b/>
          <w:bCs/>
          <w:sz w:val="22"/>
          <w:szCs w:val="22"/>
          <w:highlight w:val="yellow"/>
          <w:lang w:val="en-GB"/>
        </w:rPr>
        <w:t xml:space="preserve"> marks]</w:t>
      </w:r>
      <w:r w:rsidR="00DE03AF" w:rsidRPr="007B497A">
        <w:rPr>
          <w:rFonts w:ascii="Avenir Next Demi Bold" w:hAnsi="Avenir Next Demi Bold" w:cs="Arial"/>
          <w:b/>
          <w:bCs/>
          <w:sz w:val="22"/>
          <w:szCs w:val="22"/>
          <w:lang w:val="en-GB"/>
        </w:rPr>
        <w:t xml:space="preserve">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7E0E4931" w:rsidR="00CB56CE" w:rsidRPr="00B77352" w:rsidRDefault="003A0D17" w:rsidP="003A0D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of a debtor isn’t straight forward. In general, it will be determined by </w:t>
      </w:r>
      <w:r w:rsidRPr="003A0D17">
        <w:rPr>
          <w:rFonts w:ascii="Avenir Next" w:hAnsi="Avenir Next" w:cs="Arial"/>
          <w:color w:val="808080" w:themeColor="background1" w:themeShade="80"/>
          <w:sz w:val="22"/>
          <w:szCs w:val="22"/>
          <w:lang w:val="en-GB"/>
        </w:rPr>
        <w:t>on the date of commencement of the foreign proceeding</w:t>
      </w:r>
      <w:r>
        <w:rPr>
          <w:rFonts w:ascii="Avenir Next" w:hAnsi="Avenir Next" w:cs="Arial"/>
          <w:color w:val="808080" w:themeColor="background1" w:themeShade="80"/>
          <w:sz w:val="22"/>
          <w:szCs w:val="22"/>
          <w:lang w:val="en-GB"/>
        </w:rPr>
        <w:t xml:space="preserve">. There has been some debate on </w:t>
      </w:r>
      <w:r>
        <w:rPr>
          <w:rFonts w:ascii="Avenir Next" w:hAnsi="Avenir Next" w:cs="Arial"/>
          <w:color w:val="808080" w:themeColor="background1" w:themeShade="80"/>
          <w:sz w:val="22"/>
          <w:szCs w:val="22"/>
          <w:lang w:val="en-GB"/>
        </w:rPr>
        <w:t xml:space="preserve">whether the applicable date should be the commencement of the foreign proceeding or  the commencement of the local recognition proceeding.  </w:t>
      </w:r>
      <w:r w:rsidR="00236821">
        <w:rPr>
          <w:rFonts w:ascii="Avenir Next" w:hAnsi="Avenir Next" w:cs="Arial"/>
          <w:color w:val="808080" w:themeColor="background1" w:themeShade="80"/>
          <w:sz w:val="22"/>
          <w:szCs w:val="22"/>
          <w:lang w:val="en-GB"/>
        </w:rPr>
        <w:t xml:space="preserve">The case of </w:t>
      </w:r>
      <w:r w:rsidR="00236821" w:rsidRPr="00CC209E">
        <w:rPr>
          <w:rFonts w:ascii="Avenir Next" w:hAnsi="Avenir Next" w:cs="Arial"/>
          <w:color w:val="808080" w:themeColor="background1" w:themeShade="80"/>
          <w:sz w:val="22"/>
          <w:szCs w:val="22"/>
          <w:lang w:val="en-GB"/>
        </w:rPr>
        <w:t>Trustees in bankruptcy of Li Shu Chung v Li Shu Chung</w:t>
      </w:r>
      <w:r w:rsidR="00236821">
        <w:rPr>
          <w:rFonts w:ascii="Avenir Next" w:hAnsi="Avenir Next" w:cs="Arial"/>
          <w:color w:val="808080" w:themeColor="background1" w:themeShade="80"/>
          <w:sz w:val="22"/>
          <w:szCs w:val="22"/>
          <w:lang w:val="en-GB"/>
        </w:rPr>
        <w:t xml:space="preserve"> </w:t>
      </w:r>
      <w:r w:rsidR="00236821">
        <w:rPr>
          <w:rFonts w:ascii="Avenir Next" w:hAnsi="Avenir Next" w:cs="Arial"/>
          <w:color w:val="808080" w:themeColor="background1" w:themeShade="80"/>
          <w:sz w:val="22"/>
          <w:szCs w:val="22"/>
          <w:lang w:val="en-GB"/>
        </w:rPr>
        <w:t xml:space="preserve">followed the </w:t>
      </w:r>
      <w:r w:rsidR="00236821">
        <w:rPr>
          <w:rFonts w:ascii="Avenir Next" w:hAnsi="Avenir Next" w:cs="Arial"/>
          <w:color w:val="808080" w:themeColor="background1" w:themeShade="80"/>
          <w:sz w:val="22"/>
          <w:szCs w:val="22"/>
          <w:lang w:val="en-GB"/>
        </w:rPr>
        <w:t xml:space="preserve"> "</w:t>
      </w:r>
      <w:r w:rsidR="00236821" w:rsidRPr="00CC209E">
        <w:rPr>
          <w:rFonts w:ascii="Avenir Next" w:hAnsi="Avenir Next" w:cs="Arial"/>
          <w:color w:val="808080" w:themeColor="background1" w:themeShade="80"/>
          <w:sz w:val="22"/>
          <w:szCs w:val="22"/>
          <w:lang w:val="en-GB"/>
        </w:rPr>
        <w:t>Commencement Approach” instead of the “Filing Approach”</w:t>
      </w:r>
      <w:r w:rsidR="00236821">
        <w:rPr>
          <w:rFonts w:ascii="Avenir Next" w:hAnsi="Avenir Next" w:cs="Arial"/>
          <w:color w:val="808080" w:themeColor="background1" w:themeShade="80"/>
          <w:sz w:val="22"/>
          <w:szCs w:val="22"/>
          <w:lang w:val="en-GB"/>
        </w:rPr>
        <w:t>. The "</w:t>
      </w:r>
      <w:r w:rsidR="00236821" w:rsidRPr="00236821">
        <w:rPr>
          <w:rFonts w:ascii="Avenir Next" w:hAnsi="Avenir Next" w:cs="Arial"/>
          <w:color w:val="808080" w:themeColor="background1" w:themeShade="80"/>
          <w:sz w:val="22"/>
          <w:szCs w:val="22"/>
          <w:lang w:val="en-GB"/>
        </w:rPr>
        <w:t>Commencement Approach”</w:t>
      </w:r>
      <w:r w:rsidR="00236821">
        <w:rPr>
          <w:rFonts w:ascii="Avenir Next" w:hAnsi="Avenir Next" w:cs="Arial"/>
          <w:color w:val="808080" w:themeColor="background1" w:themeShade="80"/>
          <w:sz w:val="22"/>
          <w:szCs w:val="22"/>
          <w:lang w:val="en-GB"/>
        </w:rPr>
        <w:t xml:space="preserve"> seems to be the appropriate date.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w:t>
      </w:r>
      <w:r w:rsidR="00DE03AF" w:rsidRPr="000924EB">
        <w:rPr>
          <w:rFonts w:ascii="Avenir Next Demi Bold" w:hAnsi="Avenir Next Demi Bold" w:cs="Arial"/>
          <w:b/>
          <w:bCs/>
          <w:sz w:val="22"/>
          <w:szCs w:val="22"/>
          <w:highlight w:val="yellow"/>
          <w:lang w:val="en-GB"/>
        </w:rPr>
        <w:t>2</w:t>
      </w:r>
      <w:r w:rsidR="00DE03AF" w:rsidRPr="000924EB">
        <w:rPr>
          <w:rFonts w:ascii="Avenir Next Demi Bold" w:hAnsi="Avenir Next Demi Bold" w:cs="Arial"/>
          <w:b/>
          <w:bCs/>
          <w:sz w:val="22"/>
          <w:szCs w:val="22"/>
          <w:highlight w:val="yellow"/>
          <w:lang w:val="en-GB"/>
        </w:rPr>
        <w:tab/>
        <w:t>[</w:t>
      </w:r>
      <w:r w:rsidR="00D17FDC" w:rsidRPr="000924EB">
        <w:rPr>
          <w:rFonts w:ascii="Avenir Next Demi Bold" w:hAnsi="Avenir Next Demi Bold" w:cs="Arial"/>
          <w:b/>
          <w:bCs/>
          <w:sz w:val="22"/>
          <w:szCs w:val="22"/>
          <w:highlight w:val="yellow"/>
          <w:lang w:val="en-GB"/>
        </w:rPr>
        <w:t>m</w:t>
      </w:r>
      <w:r w:rsidR="00DE03AF" w:rsidRPr="000924EB">
        <w:rPr>
          <w:rFonts w:ascii="Avenir Next Demi Bold" w:hAnsi="Avenir Next Demi Bold" w:cs="Arial"/>
          <w:b/>
          <w:bCs/>
          <w:sz w:val="22"/>
          <w:szCs w:val="22"/>
          <w:highlight w:val="yellow"/>
          <w:lang w:val="en-GB"/>
        </w:rPr>
        <w:t xml:space="preserve">aximum </w:t>
      </w:r>
      <w:r w:rsidR="00ED6A32" w:rsidRPr="000924EB">
        <w:rPr>
          <w:rFonts w:ascii="Avenir Next Demi Bold" w:hAnsi="Avenir Next Demi Bold" w:cs="Arial"/>
          <w:b/>
          <w:bCs/>
          <w:sz w:val="22"/>
          <w:szCs w:val="22"/>
          <w:highlight w:val="yellow"/>
          <w:lang w:val="en-GB"/>
        </w:rPr>
        <w:t>3</w:t>
      </w:r>
      <w:r w:rsidR="00DE03AF" w:rsidRPr="000924EB">
        <w:rPr>
          <w:rFonts w:ascii="Avenir Next Demi Bold" w:hAnsi="Avenir Next Demi Bold" w:cs="Arial"/>
          <w:b/>
          <w:bCs/>
          <w:sz w:val="22"/>
          <w:szCs w:val="22"/>
          <w:highlight w:val="yellow"/>
          <w:lang w:val="en-GB"/>
        </w:rPr>
        <w:t xml:space="preserve"> marks]</w:t>
      </w:r>
      <w:r w:rsidR="00DE03AF" w:rsidRPr="007B497A">
        <w:rPr>
          <w:rFonts w:ascii="Avenir Next Demi Bold" w:hAnsi="Avenir Next Demi Bold" w:cs="Arial"/>
          <w:b/>
          <w:bCs/>
          <w:sz w:val="22"/>
          <w:szCs w:val="22"/>
          <w:lang w:val="en-GB"/>
        </w:rPr>
        <w:t xml:space="preserve">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7ACB0344" w:rsidR="00CB56CE" w:rsidRDefault="000924EB" w:rsidP="00707FC8">
      <w:pPr>
        <w:ind w:left="720" w:hanging="720"/>
        <w:jc w:val="both"/>
        <w:rPr>
          <w:rFonts w:ascii="Avenir Next" w:hAnsi="Avenir Next" w:cs="Arial"/>
          <w:color w:val="808080" w:themeColor="background1" w:themeShade="80"/>
          <w:sz w:val="22"/>
          <w:szCs w:val="22"/>
          <w:lang w:val="en-GB"/>
        </w:rPr>
      </w:pPr>
      <w:r w:rsidRPr="000924EB">
        <w:rPr>
          <w:rFonts w:ascii="Avenir Next" w:hAnsi="Avenir Next" w:cs="Arial"/>
          <w:color w:val="808080" w:themeColor="background1" w:themeShade="80"/>
          <w:sz w:val="22"/>
          <w:szCs w:val="22"/>
          <w:lang w:val="en-GB"/>
        </w:rPr>
        <w:t>Statement 1</w:t>
      </w:r>
      <w:r w:rsidRPr="000924EB">
        <w:rPr>
          <w:rFonts w:ascii="Avenir Next" w:hAnsi="Avenir Next" w:cs="Arial"/>
          <w:color w:val="808080" w:themeColor="background1" w:themeShade="80"/>
          <w:sz w:val="22"/>
          <w:szCs w:val="22"/>
          <w:lang w:val="en-GB"/>
        </w:rPr>
        <w:tab/>
        <w:t>“This Article lays down the requirements of notification of creditors.”</w:t>
      </w:r>
    </w:p>
    <w:p w14:paraId="59495039" w14:textId="56C1F358" w:rsidR="000924EB" w:rsidRDefault="009571EA" w:rsidP="002F5EFE">
      <w:pPr>
        <w:jc w:val="both"/>
        <w:rPr>
          <w:rFonts w:ascii="Avenir Next" w:hAnsi="Avenir Next" w:cs="Arial"/>
          <w:sz w:val="22"/>
          <w:szCs w:val="22"/>
          <w:lang w:val="en-GB"/>
        </w:rPr>
      </w:pPr>
      <w:r>
        <w:rPr>
          <w:rFonts w:ascii="Avenir Next" w:hAnsi="Avenir Next" w:cs="Arial"/>
          <w:sz w:val="22"/>
          <w:szCs w:val="22"/>
          <w:lang w:val="en-GB"/>
        </w:rPr>
        <w:lastRenderedPageBreak/>
        <w:t xml:space="preserve">Article 14 </w:t>
      </w:r>
      <w:r w:rsidR="007416E8">
        <w:rPr>
          <w:rFonts w:ascii="Avenir Next" w:hAnsi="Avenir Next" w:cs="Arial"/>
          <w:sz w:val="22"/>
          <w:szCs w:val="22"/>
          <w:lang w:val="en-GB"/>
        </w:rPr>
        <w:t>provides for</w:t>
      </w:r>
      <w:r w:rsidR="007416E8" w:rsidRPr="007416E8">
        <w:rPr>
          <w:rFonts w:ascii="Avenir Next" w:hAnsi="Avenir Next" w:cs="Arial"/>
          <w:sz w:val="22"/>
          <w:szCs w:val="22"/>
          <w:lang w:val="en-GB"/>
        </w:rPr>
        <w:t xml:space="preserve"> foreign creditors </w:t>
      </w:r>
      <w:r w:rsidR="007416E8">
        <w:rPr>
          <w:rFonts w:ascii="Avenir Next" w:hAnsi="Avenir Next" w:cs="Arial"/>
          <w:sz w:val="22"/>
          <w:szCs w:val="22"/>
          <w:lang w:val="en-GB"/>
        </w:rPr>
        <w:t>to</w:t>
      </w:r>
      <w:r w:rsidR="007416E8" w:rsidRPr="007416E8">
        <w:rPr>
          <w:rFonts w:ascii="Avenir Next" w:hAnsi="Avenir Next" w:cs="Arial"/>
          <w:sz w:val="22"/>
          <w:szCs w:val="22"/>
          <w:lang w:val="en-GB"/>
        </w:rPr>
        <w:t xml:space="preserve"> be notified any time that notification is required for local creditors in the enacting State</w:t>
      </w:r>
      <w:r w:rsidR="007416E8">
        <w:rPr>
          <w:rFonts w:ascii="Avenir Next" w:hAnsi="Avenir Next" w:cs="Arial"/>
          <w:sz w:val="22"/>
          <w:szCs w:val="22"/>
          <w:lang w:val="en-GB"/>
        </w:rPr>
        <w:t xml:space="preserve">. The equal treatment principle </w:t>
      </w:r>
      <w:r w:rsidR="006966E8">
        <w:rPr>
          <w:rFonts w:ascii="Avenir Next" w:hAnsi="Avenir Next" w:cs="Arial"/>
          <w:sz w:val="22"/>
          <w:szCs w:val="22"/>
          <w:lang w:val="en-GB"/>
        </w:rPr>
        <w:t xml:space="preserve">ensures timely notice by expeditious means.  Guidance as to what a notification to a foreign creditor  </w:t>
      </w:r>
      <w:r w:rsidR="006966E8" w:rsidRPr="006966E8">
        <w:rPr>
          <w:rFonts w:ascii="Avenir Next" w:hAnsi="Avenir Next" w:cs="Arial"/>
          <w:sz w:val="22"/>
          <w:szCs w:val="22"/>
          <w:lang w:val="en-GB"/>
        </w:rPr>
        <w:t>of commencement of a proceeding in the enacting State should include</w:t>
      </w:r>
      <w:r w:rsidR="006966E8">
        <w:rPr>
          <w:rFonts w:ascii="Avenir Next" w:hAnsi="Avenir Next" w:cs="Arial"/>
          <w:sz w:val="22"/>
          <w:szCs w:val="22"/>
          <w:lang w:val="en-GB"/>
        </w:rPr>
        <w:t xml:space="preserve"> is stated in para 3. </w:t>
      </w:r>
    </w:p>
    <w:p w14:paraId="69A15048" w14:textId="77777777" w:rsidR="006966E8" w:rsidRDefault="006966E8" w:rsidP="002F5EFE">
      <w:pPr>
        <w:jc w:val="both"/>
        <w:rPr>
          <w:rFonts w:ascii="Avenir Next" w:hAnsi="Avenir Next" w:cs="Arial"/>
          <w:sz w:val="22"/>
          <w:szCs w:val="22"/>
          <w:lang w:val="en-GB"/>
        </w:rPr>
      </w:pPr>
    </w:p>
    <w:p w14:paraId="44490595" w14:textId="6C91C7C6" w:rsidR="000924EB" w:rsidRDefault="000924EB" w:rsidP="002F5EFE">
      <w:pPr>
        <w:jc w:val="both"/>
        <w:rPr>
          <w:rFonts w:ascii="Avenir Next" w:hAnsi="Avenir Next" w:cs="Arial"/>
          <w:sz w:val="22"/>
          <w:szCs w:val="22"/>
          <w:lang w:val="en-GB"/>
        </w:rPr>
      </w:pPr>
      <w:r w:rsidRPr="000924EB">
        <w:rPr>
          <w:rFonts w:ascii="Avenir Next" w:hAnsi="Avenir Next" w:cs="Arial"/>
          <w:sz w:val="22"/>
          <w:szCs w:val="22"/>
          <w:lang w:val="en-GB"/>
        </w:rPr>
        <w:t>Statement 2</w:t>
      </w:r>
      <w:r w:rsidRPr="000924EB">
        <w:rPr>
          <w:rFonts w:ascii="Avenir Next" w:hAnsi="Avenir Next" w:cs="Arial"/>
          <w:sz w:val="22"/>
          <w:szCs w:val="22"/>
          <w:lang w:val="en-GB"/>
        </w:rPr>
        <w:tab/>
        <w:t>“This Article is referred to as the ‘Safe Conduct Rule’”.</w:t>
      </w:r>
    </w:p>
    <w:p w14:paraId="2FA9ED2B" w14:textId="108538E3" w:rsidR="006966E8" w:rsidRDefault="006966E8" w:rsidP="002F5EFE">
      <w:pPr>
        <w:jc w:val="both"/>
        <w:rPr>
          <w:rFonts w:ascii="Avenir Next" w:hAnsi="Avenir Next" w:cs="Arial"/>
          <w:sz w:val="22"/>
          <w:szCs w:val="22"/>
          <w:lang w:val="en-GB"/>
        </w:rPr>
      </w:pPr>
      <w:r>
        <w:rPr>
          <w:rFonts w:ascii="Avenir Next" w:hAnsi="Avenir Next" w:cs="Arial"/>
          <w:sz w:val="22"/>
          <w:szCs w:val="22"/>
          <w:lang w:val="en-GB"/>
        </w:rPr>
        <w:t xml:space="preserve">The aim of Article 10 is to ensure </w:t>
      </w:r>
      <w:r w:rsidRPr="006966E8">
        <w:rPr>
          <w:rFonts w:ascii="Avenir Next" w:hAnsi="Avenir Next" w:cs="Arial"/>
          <w:sz w:val="22"/>
          <w:szCs w:val="22"/>
          <w:lang w:val="en-GB"/>
        </w:rPr>
        <w:t>that the court in the enacting State does not assume jurisdiction over all the assets of the debtor on basis that the foreign representative has made an application for the recognition of a foreign proceeding.</w:t>
      </w:r>
    </w:p>
    <w:p w14:paraId="43A47D92" w14:textId="18721D36" w:rsidR="000924EB" w:rsidRDefault="000924EB" w:rsidP="000924EB">
      <w:pPr>
        <w:rPr>
          <w:rFonts w:ascii="Avenir Next" w:hAnsi="Avenir Next" w:cs="Arial"/>
          <w:sz w:val="22"/>
          <w:szCs w:val="22"/>
          <w:lang w:val="en-GB"/>
        </w:rPr>
      </w:pPr>
    </w:p>
    <w:p w14:paraId="1F540544" w14:textId="77777777" w:rsidR="000924EB" w:rsidRPr="00E2622D" w:rsidRDefault="000924EB" w:rsidP="000924EB">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61701DD3" w14:textId="68984BE1" w:rsidR="00867A8F" w:rsidRDefault="00B85525" w:rsidP="00B85525">
      <w:pPr>
        <w:jc w:val="both"/>
        <w:rPr>
          <w:rFonts w:ascii="Avenir Next" w:hAnsi="Avenir Next" w:cs="Arial"/>
          <w:sz w:val="22"/>
          <w:szCs w:val="22"/>
          <w:lang w:val="en-GB"/>
        </w:rPr>
      </w:pPr>
      <w:r>
        <w:rPr>
          <w:rFonts w:ascii="Avenir Next" w:hAnsi="Avenir Next" w:cs="Arial"/>
          <w:sz w:val="22"/>
          <w:szCs w:val="22"/>
          <w:lang w:val="en-GB"/>
        </w:rPr>
        <w:t xml:space="preserve">Article 31 </w:t>
      </w:r>
      <w:r w:rsidR="00C27B71">
        <w:rPr>
          <w:rFonts w:ascii="Avenir Next" w:hAnsi="Avenir Next" w:cs="Arial"/>
          <w:sz w:val="22"/>
          <w:szCs w:val="22"/>
          <w:lang w:val="en-GB"/>
        </w:rPr>
        <w:t xml:space="preserve">provides that the recognition of a foreign main proceeding is proof that the debtor is insolvent which is a rebuttable presumption. </w:t>
      </w:r>
    </w:p>
    <w:p w14:paraId="35A3E329" w14:textId="77777777" w:rsidR="00C27B71" w:rsidRPr="00E2622D" w:rsidRDefault="00C27B71" w:rsidP="00B85525">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3C7C4F">
        <w:rPr>
          <w:rFonts w:ascii="Avenir Next Demi Bold" w:hAnsi="Avenir Next Demi Bold" w:cs="Arial"/>
          <w:b/>
          <w:bCs/>
          <w:sz w:val="22"/>
          <w:szCs w:val="22"/>
          <w:highlight w:val="yellow"/>
          <w:lang w:val="en-GB"/>
        </w:rPr>
        <w:t xml:space="preserve">Question </w:t>
      </w:r>
      <w:r w:rsidR="00E6452F" w:rsidRPr="003C7C4F">
        <w:rPr>
          <w:rFonts w:ascii="Avenir Next Demi Bold" w:hAnsi="Avenir Next Demi Bold" w:cs="Arial"/>
          <w:b/>
          <w:bCs/>
          <w:sz w:val="22"/>
          <w:szCs w:val="22"/>
          <w:highlight w:val="yellow"/>
          <w:lang w:val="en-GB"/>
        </w:rPr>
        <w:t>2.3</w:t>
      </w:r>
      <w:r w:rsidR="00E6452F" w:rsidRPr="003C7C4F">
        <w:rPr>
          <w:rFonts w:ascii="Avenir Next Demi Bold" w:hAnsi="Avenir Next Demi Bold" w:cs="Arial"/>
          <w:b/>
          <w:bCs/>
          <w:sz w:val="22"/>
          <w:szCs w:val="22"/>
          <w:highlight w:val="yellow"/>
          <w:lang w:val="en-GB"/>
        </w:rPr>
        <w:tab/>
        <w:t>[</w:t>
      </w:r>
      <w:r w:rsidR="00067A88" w:rsidRPr="003C7C4F">
        <w:rPr>
          <w:rFonts w:ascii="Avenir Next Demi Bold" w:hAnsi="Avenir Next Demi Bold" w:cs="Arial"/>
          <w:b/>
          <w:bCs/>
          <w:sz w:val="22"/>
          <w:szCs w:val="22"/>
          <w:highlight w:val="yellow"/>
          <w:lang w:val="en-GB"/>
        </w:rPr>
        <w:t>2</w:t>
      </w:r>
      <w:r w:rsidR="00E6452F" w:rsidRPr="003C7C4F">
        <w:rPr>
          <w:rFonts w:ascii="Avenir Next Demi Bold" w:hAnsi="Avenir Next Demi Bold" w:cs="Arial"/>
          <w:b/>
          <w:bCs/>
          <w:sz w:val="22"/>
          <w:szCs w:val="22"/>
          <w:highlight w:val="yellow"/>
          <w:lang w:val="en-GB"/>
        </w:rPr>
        <w:t xml:space="preserve"> marks]</w:t>
      </w:r>
      <w:r w:rsidR="00E6452F" w:rsidRPr="00182648">
        <w:rPr>
          <w:rFonts w:ascii="Avenir Next Demi Bold" w:hAnsi="Avenir Next Demi Bold" w:cs="Arial"/>
          <w:b/>
          <w:bCs/>
          <w:sz w:val="22"/>
          <w:szCs w:val="22"/>
          <w:lang w:val="en-GB"/>
        </w:rPr>
        <w:t xml:space="preserve">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66CEB641" w:rsidR="00867A8F" w:rsidRPr="00B77352" w:rsidRDefault="00A10054" w:rsidP="00A10054">
      <w:pPr>
        <w:jc w:val="both"/>
        <w:rPr>
          <w:rFonts w:ascii="Avenir Next" w:hAnsi="Avenir Next" w:cs="Arial"/>
          <w:color w:val="808080" w:themeColor="background1" w:themeShade="80"/>
          <w:sz w:val="22"/>
          <w:szCs w:val="22"/>
          <w:lang w:val="en-GB"/>
        </w:rPr>
      </w:pPr>
      <w:r w:rsidRPr="00A10054">
        <w:rPr>
          <w:rFonts w:ascii="Avenir Next" w:hAnsi="Avenir Next" w:cs="Arial"/>
          <w:color w:val="808080" w:themeColor="background1" w:themeShade="80"/>
          <w:sz w:val="22"/>
          <w:szCs w:val="22"/>
          <w:lang w:val="en-GB"/>
        </w:rPr>
        <w:t>The English Court of Appeal</w:t>
      </w:r>
      <w:r>
        <w:rPr>
          <w:rFonts w:ascii="Avenir Next" w:hAnsi="Avenir Next" w:cs="Arial"/>
          <w:color w:val="808080" w:themeColor="background1" w:themeShade="80"/>
          <w:sz w:val="22"/>
          <w:szCs w:val="22"/>
          <w:lang w:val="en-GB"/>
        </w:rPr>
        <w:t xml:space="preserve"> (</w:t>
      </w:r>
      <w:r w:rsidRPr="00A10054">
        <w:rPr>
          <w:rFonts w:ascii="Avenir Next" w:hAnsi="Avenir Next" w:cs="Arial"/>
          <w:b/>
          <w:bCs/>
          <w:color w:val="808080" w:themeColor="background1" w:themeShade="80"/>
          <w:sz w:val="22"/>
          <w:szCs w:val="22"/>
          <w:lang w:val="en-GB"/>
        </w:rPr>
        <w:t>COA</w:t>
      </w:r>
      <w:r>
        <w:rPr>
          <w:rFonts w:ascii="Avenir Next" w:hAnsi="Avenir Next" w:cs="Arial"/>
          <w:color w:val="808080" w:themeColor="background1" w:themeShade="80"/>
          <w:sz w:val="22"/>
          <w:szCs w:val="22"/>
          <w:lang w:val="en-GB"/>
        </w:rPr>
        <w:t>)</w:t>
      </w:r>
      <w:r w:rsidRPr="00A1005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upheld the</w:t>
      </w:r>
      <w:r w:rsidR="00005B66">
        <w:rPr>
          <w:rFonts w:ascii="Avenir Next" w:hAnsi="Avenir Next" w:cs="Arial"/>
          <w:color w:val="808080" w:themeColor="background1" w:themeShade="80"/>
          <w:sz w:val="22"/>
          <w:szCs w:val="22"/>
          <w:lang w:val="en-GB"/>
        </w:rPr>
        <w:t xml:space="preserve"> first instance</w:t>
      </w:r>
      <w:r>
        <w:rPr>
          <w:rFonts w:ascii="Avenir Next" w:hAnsi="Avenir Next" w:cs="Arial"/>
          <w:color w:val="808080" w:themeColor="background1" w:themeShade="80"/>
          <w:sz w:val="22"/>
          <w:szCs w:val="22"/>
          <w:lang w:val="en-GB"/>
        </w:rPr>
        <w:t xml:space="preserve"> decision. The COA </w:t>
      </w:r>
      <w:r w:rsidRPr="00A10054">
        <w:rPr>
          <w:rFonts w:ascii="Avenir Next" w:hAnsi="Avenir Next" w:cs="Arial"/>
          <w:color w:val="808080" w:themeColor="background1" w:themeShade="80"/>
          <w:sz w:val="22"/>
          <w:szCs w:val="22"/>
          <w:lang w:val="en-GB"/>
        </w:rPr>
        <w:t>focussed on the jurisdictional issues</w:t>
      </w:r>
      <w:r w:rsidR="003B414F">
        <w:rPr>
          <w:rFonts w:ascii="Avenir Next" w:hAnsi="Avenir Next" w:cs="Arial"/>
          <w:color w:val="808080" w:themeColor="background1" w:themeShade="80"/>
          <w:sz w:val="22"/>
          <w:szCs w:val="22"/>
          <w:lang w:val="en-GB"/>
        </w:rPr>
        <w:t xml:space="preserve"> specifically</w:t>
      </w:r>
      <w:r w:rsidRPr="00A10054">
        <w:rPr>
          <w:rFonts w:ascii="Avenir Next" w:hAnsi="Avenir Next" w:cs="Arial"/>
          <w:color w:val="808080" w:themeColor="background1" w:themeShade="80"/>
          <w:sz w:val="22"/>
          <w:szCs w:val="22"/>
          <w:lang w:val="en-GB"/>
        </w:rPr>
        <w:t xml:space="preserve"> whether it should exercise its power to grant the indefinite Moratorium Continuation where </w:t>
      </w:r>
      <w:r w:rsidR="003B414F">
        <w:rPr>
          <w:rFonts w:ascii="Avenir Next" w:hAnsi="Avenir Next" w:cs="Arial"/>
          <w:color w:val="808080" w:themeColor="background1" w:themeShade="80"/>
          <w:sz w:val="22"/>
          <w:szCs w:val="22"/>
          <w:lang w:val="en-GB"/>
        </w:rPr>
        <w:t>it</w:t>
      </w:r>
      <w:r w:rsidRPr="00A10054">
        <w:rPr>
          <w:rFonts w:ascii="Avenir Next" w:hAnsi="Avenir Next" w:cs="Arial"/>
          <w:color w:val="808080" w:themeColor="background1" w:themeShade="80"/>
          <w:sz w:val="22"/>
          <w:szCs w:val="22"/>
          <w:lang w:val="en-GB"/>
        </w:rPr>
        <w:t xml:space="preserve"> would have the effect of preventing English creditors from enforcing their English law rights pursuant to the Gibbs rule and prolong the moratorium in spite of the fact that the Azeri restructuring had concluded.</w:t>
      </w:r>
      <w:r w:rsidR="00005B66">
        <w:rPr>
          <w:rFonts w:ascii="Avenir Next" w:hAnsi="Avenir Next" w:cs="Arial"/>
          <w:color w:val="808080" w:themeColor="background1" w:themeShade="80"/>
          <w:sz w:val="22"/>
          <w:szCs w:val="22"/>
          <w:lang w:val="en-GB"/>
        </w:rPr>
        <w:t xml:space="preserve"> </w:t>
      </w:r>
      <w:r w:rsidRPr="00A10054">
        <w:rPr>
          <w:rFonts w:ascii="Avenir Next" w:hAnsi="Avenir Next" w:cs="Arial"/>
          <w:color w:val="808080" w:themeColor="background1" w:themeShade="80"/>
          <w:sz w:val="22"/>
          <w:szCs w:val="22"/>
          <w:lang w:val="en-GB"/>
        </w:rPr>
        <w:t>The C</w:t>
      </w:r>
      <w:r w:rsidR="003B414F">
        <w:rPr>
          <w:rFonts w:ascii="Avenir Next" w:hAnsi="Avenir Next" w:cs="Arial"/>
          <w:color w:val="808080" w:themeColor="background1" w:themeShade="80"/>
          <w:sz w:val="22"/>
          <w:szCs w:val="22"/>
          <w:lang w:val="en-GB"/>
        </w:rPr>
        <w:t>OA</w:t>
      </w:r>
      <w:r w:rsidRPr="00A10054">
        <w:rPr>
          <w:rFonts w:ascii="Avenir Next" w:hAnsi="Avenir Next" w:cs="Arial"/>
          <w:color w:val="808080" w:themeColor="background1" w:themeShade="80"/>
          <w:sz w:val="22"/>
          <w:szCs w:val="22"/>
          <w:lang w:val="en-GB"/>
        </w:rPr>
        <w:t xml:space="preserve"> found for the English based creditors</w:t>
      </w:r>
      <w:r w:rsidR="001A1F0C">
        <w:rPr>
          <w:rFonts w:ascii="Avenir Next" w:hAnsi="Avenir Next" w:cs="Arial"/>
          <w:color w:val="808080" w:themeColor="background1" w:themeShade="80"/>
          <w:sz w:val="22"/>
          <w:szCs w:val="22"/>
          <w:lang w:val="en-GB"/>
        </w:rPr>
        <w:t xml:space="preserve"> </w:t>
      </w:r>
      <w:r w:rsidRPr="00A10054">
        <w:rPr>
          <w:rFonts w:ascii="Avenir Next" w:hAnsi="Avenir Next" w:cs="Arial"/>
          <w:color w:val="808080" w:themeColor="background1" w:themeShade="80"/>
          <w:sz w:val="22"/>
          <w:szCs w:val="22"/>
          <w:lang w:val="en-GB"/>
        </w:rPr>
        <w:t>and concluded that the IBA creditors no longer needed the moratorium in place as the purpose of the foreign proceeding had achieved its predominant purpose already.</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38048B">
        <w:rPr>
          <w:rFonts w:ascii="Avenir Next Demi Bold" w:hAnsi="Avenir Next Demi Bold" w:cs="Arial"/>
          <w:b/>
          <w:bCs/>
          <w:sz w:val="22"/>
          <w:szCs w:val="22"/>
          <w:highlight w:val="yellow"/>
          <w:lang w:val="en-GB"/>
        </w:rPr>
        <w:t>Question 2.4</w:t>
      </w:r>
      <w:r w:rsidRPr="0038048B">
        <w:rPr>
          <w:rFonts w:ascii="Avenir Next Demi Bold" w:hAnsi="Avenir Next Demi Bold" w:cs="Arial"/>
          <w:b/>
          <w:bCs/>
          <w:sz w:val="22"/>
          <w:szCs w:val="22"/>
          <w:highlight w:val="yellow"/>
          <w:lang w:val="en-GB"/>
        </w:rPr>
        <w:tab/>
        <w:t>[</w:t>
      </w:r>
      <w:r w:rsidR="00067A88" w:rsidRPr="0038048B">
        <w:rPr>
          <w:rFonts w:ascii="Avenir Next Demi Bold" w:hAnsi="Avenir Next Demi Bold" w:cs="Arial"/>
          <w:b/>
          <w:bCs/>
          <w:sz w:val="22"/>
          <w:szCs w:val="22"/>
          <w:highlight w:val="yellow"/>
          <w:lang w:val="en-GB"/>
        </w:rPr>
        <w:t>2</w:t>
      </w:r>
      <w:r w:rsidRPr="0038048B">
        <w:rPr>
          <w:rFonts w:ascii="Avenir Next Demi Bold" w:hAnsi="Avenir Next Demi Bold" w:cs="Arial"/>
          <w:b/>
          <w:bCs/>
          <w:sz w:val="22"/>
          <w:szCs w:val="22"/>
          <w:highlight w:val="yellow"/>
          <w:lang w:val="en-GB"/>
        </w:rPr>
        <w:t xml:space="preserve"> marks]</w:t>
      </w:r>
      <w:r w:rsidRPr="00C7161B">
        <w:rPr>
          <w:rFonts w:ascii="Avenir Next Demi Bold" w:hAnsi="Avenir Next Demi Bold" w:cs="Arial"/>
          <w:b/>
          <w:bCs/>
          <w:sz w:val="22"/>
          <w:szCs w:val="22"/>
          <w:lang w:val="en-GB"/>
        </w:rPr>
        <w:t xml:space="preserve">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64BF3061" w14:textId="77777777" w:rsidR="0038048B" w:rsidRPr="0038048B" w:rsidRDefault="0038048B" w:rsidP="0038048B">
      <w:pPr>
        <w:jc w:val="both"/>
        <w:rPr>
          <w:rFonts w:ascii="Avenir Next" w:hAnsi="Avenir Next" w:cs="Arial"/>
          <w:bCs/>
          <w:sz w:val="22"/>
          <w:szCs w:val="22"/>
          <w:lang w:val="en-GB"/>
        </w:rPr>
      </w:pPr>
    </w:p>
    <w:p w14:paraId="15AFE703" w14:textId="1D82DC34" w:rsidR="0038048B" w:rsidRPr="0038048B" w:rsidRDefault="004035EF" w:rsidP="003804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4035EF">
        <w:rPr>
          <w:rFonts w:ascii="Avenir Next" w:hAnsi="Avenir Next" w:cs="Arial"/>
          <w:color w:val="808080" w:themeColor="background1" w:themeShade="80"/>
          <w:sz w:val="22"/>
          <w:szCs w:val="22"/>
          <w:lang w:val="en-GB"/>
        </w:rPr>
        <w:t>rticle 29(a) of the MLCBI</w:t>
      </w:r>
      <w:r w:rsidRPr="004035E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requires</w:t>
      </w:r>
      <w:r w:rsidRPr="004035EF">
        <w:t xml:space="preserve"> </w:t>
      </w:r>
      <w:r w:rsidRPr="004035EF">
        <w:rPr>
          <w:rFonts w:ascii="Avenir Next" w:hAnsi="Avenir Next" w:cs="Arial"/>
          <w:color w:val="808080" w:themeColor="background1" w:themeShade="80"/>
          <w:sz w:val="22"/>
          <w:szCs w:val="22"/>
          <w:lang w:val="en-GB"/>
        </w:rPr>
        <w:t xml:space="preserve">the Court </w:t>
      </w:r>
      <w:r>
        <w:rPr>
          <w:rFonts w:ascii="Avenir Next" w:hAnsi="Avenir Next" w:cs="Arial"/>
          <w:color w:val="808080" w:themeColor="background1" w:themeShade="80"/>
          <w:sz w:val="22"/>
          <w:szCs w:val="22"/>
          <w:lang w:val="en-GB"/>
        </w:rPr>
        <w:t>to</w:t>
      </w:r>
      <w:r w:rsidRPr="004035EF">
        <w:rPr>
          <w:rFonts w:ascii="Avenir Next" w:hAnsi="Avenir Next" w:cs="Arial"/>
          <w:color w:val="808080" w:themeColor="background1" w:themeShade="80"/>
          <w:sz w:val="22"/>
          <w:szCs w:val="22"/>
          <w:lang w:val="en-GB"/>
        </w:rPr>
        <w:t xml:space="preserve"> ensure that any relief granted either on an interim basis under article 19 or post recognition under article 21 of the MLCBI</w:t>
      </w:r>
      <w:r w:rsidR="00EE729A">
        <w:rPr>
          <w:rFonts w:ascii="Avenir Next" w:hAnsi="Avenir Next" w:cs="Arial"/>
          <w:color w:val="808080" w:themeColor="background1" w:themeShade="80"/>
          <w:sz w:val="22"/>
          <w:szCs w:val="22"/>
          <w:lang w:val="en-GB"/>
        </w:rPr>
        <w:t xml:space="preserve"> </w:t>
      </w:r>
      <w:r w:rsidRPr="004035EF">
        <w:rPr>
          <w:rFonts w:ascii="Avenir Next" w:hAnsi="Avenir Next" w:cs="Arial"/>
          <w:color w:val="808080" w:themeColor="background1" w:themeShade="80"/>
          <w:sz w:val="22"/>
          <w:szCs w:val="22"/>
          <w:lang w:val="en-GB"/>
        </w:rPr>
        <w:t>are consistent with the domestic proceeding</w:t>
      </w:r>
      <w:r>
        <w:rPr>
          <w:rFonts w:ascii="Avenir Next" w:hAnsi="Avenir Next" w:cs="Arial"/>
          <w:color w:val="808080" w:themeColor="background1" w:themeShade="80"/>
          <w:sz w:val="22"/>
          <w:szCs w:val="22"/>
          <w:lang w:val="en-GB"/>
        </w:rPr>
        <w:t xml:space="preserve"> if </w:t>
      </w:r>
      <w:r w:rsidR="0038048B" w:rsidRPr="0038048B">
        <w:rPr>
          <w:rFonts w:ascii="Avenir Next" w:hAnsi="Avenir Next" w:cs="Arial"/>
          <w:color w:val="808080" w:themeColor="background1" w:themeShade="80"/>
          <w:sz w:val="22"/>
          <w:szCs w:val="22"/>
          <w:lang w:val="en-GB"/>
        </w:rPr>
        <w:t xml:space="preserve"> the domestic proceeding is ongoing and an application for recognition of the foreign main proceeding is subsequently granted</w:t>
      </w:r>
      <w:r>
        <w:rPr>
          <w:rFonts w:ascii="Avenir Next" w:hAnsi="Avenir Next" w:cs="Arial"/>
          <w:color w:val="808080" w:themeColor="background1" w:themeShade="80"/>
          <w:sz w:val="22"/>
          <w:szCs w:val="22"/>
          <w:lang w:val="en-GB"/>
        </w:rPr>
        <w:t>.</w:t>
      </w:r>
    </w:p>
    <w:p w14:paraId="183E158A" w14:textId="77777777" w:rsidR="0038048B" w:rsidRPr="0038048B" w:rsidRDefault="0038048B" w:rsidP="0038048B">
      <w:pPr>
        <w:ind w:left="720" w:hanging="720"/>
        <w:jc w:val="both"/>
        <w:rPr>
          <w:rFonts w:ascii="Avenir Next" w:hAnsi="Avenir Next" w:cs="Arial"/>
          <w:color w:val="808080" w:themeColor="background1" w:themeShade="80"/>
          <w:sz w:val="22"/>
          <w:szCs w:val="22"/>
          <w:lang w:val="en-GB"/>
        </w:rPr>
      </w:pPr>
    </w:p>
    <w:p w14:paraId="20CD127F" w14:textId="42A46302" w:rsidR="0038048B" w:rsidRPr="0038048B" w:rsidRDefault="004035EF" w:rsidP="003804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w:t>
      </w:r>
      <w:r w:rsidR="0038048B" w:rsidRPr="0038048B">
        <w:rPr>
          <w:rFonts w:ascii="Avenir Next" w:hAnsi="Avenir Next" w:cs="Arial"/>
          <w:color w:val="808080" w:themeColor="background1" w:themeShade="80"/>
          <w:sz w:val="22"/>
          <w:szCs w:val="22"/>
          <w:lang w:val="en-GB"/>
        </w:rPr>
        <w:t>oreign representative</w:t>
      </w:r>
      <w:r>
        <w:rPr>
          <w:rFonts w:ascii="Avenir Next" w:hAnsi="Avenir Next" w:cs="Arial"/>
          <w:color w:val="808080" w:themeColor="background1" w:themeShade="80"/>
          <w:sz w:val="22"/>
          <w:szCs w:val="22"/>
          <w:lang w:val="en-GB"/>
        </w:rPr>
        <w:t xml:space="preserve"> is required </w:t>
      </w:r>
      <w:r w:rsidR="0038048B" w:rsidRPr="0038048B">
        <w:rPr>
          <w:rFonts w:ascii="Avenir Next" w:hAnsi="Avenir Next" w:cs="Arial"/>
          <w:color w:val="808080" w:themeColor="background1" w:themeShade="80"/>
          <w:sz w:val="22"/>
          <w:szCs w:val="22"/>
          <w:lang w:val="en-GB"/>
        </w:rPr>
        <w:t xml:space="preserve"> to promptly inform the court in the enacting state of any material change in the status of recognised foreign proceeding their own appointment as a foreign representative as well as any other foreign proceeding involving the same debtor of which they are aware of subsequently become aware.</w:t>
      </w:r>
      <w:r>
        <w:rPr>
          <w:rFonts w:ascii="Avenir Next" w:hAnsi="Avenir Next" w:cs="Arial"/>
          <w:color w:val="808080" w:themeColor="background1" w:themeShade="80"/>
          <w:sz w:val="22"/>
          <w:szCs w:val="22"/>
          <w:lang w:val="en-GB"/>
        </w:rPr>
        <w:t xml:space="preserve"> This obligation is imposed on a foreign representative by </w:t>
      </w:r>
      <w:r w:rsidRPr="0038048B">
        <w:rPr>
          <w:rFonts w:ascii="Avenir Next" w:hAnsi="Avenir Next" w:cs="Arial"/>
          <w:color w:val="808080" w:themeColor="background1" w:themeShade="80"/>
          <w:sz w:val="22"/>
          <w:szCs w:val="22"/>
          <w:u w:val="single"/>
          <w:lang w:val="en-GB"/>
        </w:rPr>
        <w:t>Article 18</w:t>
      </w:r>
      <w:r w:rsidRPr="0038048B">
        <w:rPr>
          <w:rFonts w:ascii="Avenir Next" w:hAnsi="Avenir Next" w:cs="Arial"/>
          <w:color w:val="808080" w:themeColor="background1" w:themeShade="80"/>
          <w:sz w:val="22"/>
          <w:szCs w:val="22"/>
          <w:lang w:val="en-GB"/>
        </w:rPr>
        <w:t xml:space="preserve"> of the MLCBI</w:t>
      </w:r>
      <w:r>
        <w:rPr>
          <w:rFonts w:ascii="Avenir Next" w:hAnsi="Avenir Next" w:cs="Arial"/>
          <w:color w:val="808080" w:themeColor="background1" w:themeShade="80"/>
          <w:sz w:val="22"/>
          <w:szCs w:val="22"/>
          <w:lang w:val="en-GB"/>
        </w:rPr>
        <w:t>.</w:t>
      </w:r>
    </w:p>
    <w:p w14:paraId="18F91E21" w14:textId="4C1BE223" w:rsidR="00867A8F" w:rsidRPr="00B77352" w:rsidRDefault="00867A8F" w:rsidP="00867A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441FC4">
        <w:rPr>
          <w:rFonts w:ascii="Avenir Next Demi Bold" w:hAnsi="Avenir Next Demi Bold" w:cs="Arial"/>
          <w:b/>
          <w:bCs/>
          <w:sz w:val="22"/>
          <w:szCs w:val="22"/>
          <w:highlight w:val="yellow"/>
          <w:lang w:val="en-GB"/>
        </w:rPr>
        <w:t>QUESTION</w:t>
      </w:r>
      <w:r w:rsidR="00962045" w:rsidRPr="00441FC4">
        <w:rPr>
          <w:rFonts w:ascii="Avenir Next Demi Bold" w:hAnsi="Avenir Next Demi Bold" w:cs="Arial"/>
          <w:b/>
          <w:bCs/>
          <w:sz w:val="22"/>
          <w:szCs w:val="22"/>
          <w:highlight w:val="yellow"/>
          <w:lang w:val="en-GB"/>
        </w:rPr>
        <w:t xml:space="preserve"> 3 (essay-type questions) [15 marks</w:t>
      </w:r>
      <w:r w:rsidR="006A2646" w:rsidRPr="00441FC4">
        <w:rPr>
          <w:rFonts w:ascii="Avenir Next Demi Bold" w:hAnsi="Avenir Next Demi Bold" w:cs="Arial"/>
          <w:b/>
          <w:bCs/>
          <w:sz w:val="22"/>
          <w:szCs w:val="22"/>
          <w:highlight w:val="yellow"/>
          <w:lang w:val="en-GB"/>
        </w:rPr>
        <w:t xml:space="preserve"> in total</w:t>
      </w:r>
      <w:r w:rsidR="00962045" w:rsidRPr="00441FC4">
        <w:rPr>
          <w:rFonts w:ascii="Avenir Next Demi Bold" w:hAnsi="Avenir Next Demi Bold" w:cs="Arial"/>
          <w:b/>
          <w:bCs/>
          <w:sz w:val="22"/>
          <w:szCs w:val="22"/>
          <w:highlight w:val="yellow"/>
          <w:lang w:val="en-GB"/>
        </w:rPr>
        <w:t>]</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107A93">
        <w:rPr>
          <w:rFonts w:ascii="Avenir Next Demi Bold" w:hAnsi="Avenir Next Demi Bold" w:cs="Arial"/>
          <w:b/>
          <w:bCs/>
          <w:sz w:val="22"/>
          <w:szCs w:val="22"/>
          <w:highlight w:val="yellow"/>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0AAB4DC4" w:rsidR="00E27E3C"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68D308C1" w14:textId="0303C8EE" w:rsidR="00DD0C7C" w:rsidRPr="00DD0C7C" w:rsidRDefault="00DD0C7C" w:rsidP="00DD0C7C">
      <w:pPr>
        <w:jc w:val="both"/>
        <w:rPr>
          <w:rFonts w:ascii="Avenir Next" w:hAnsi="Avenir Next" w:cs="Arial"/>
          <w:color w:val="808080" w:themeColor="background1" w:themeShade="80"/>
          <w:sz w:val="22"/>
          <w:szCs w:val="22"/>
          <w:lang w:val="en-GB"/>
        </w:rPr>
      </w:pPr>
    </w:p>
    <w:p w14:paraId="43400CC1" w14:textId="181B55EA" w:rsidR="00DD0C7C" w:rsidRPr="00DD0C7C" w:rsidRDefault="00DD0C7C" w:rsidP="00DD0C7C">
      <w:pPr>
        <w:ind w:left="360"/>
        <w:jc w:val="both"/>
        <w:rPr>
          <w:rFonts w:ascii="Avenir Next" w:hAnsi="Avenir Next" w:cs="Arial"/>
          <w:color w:val="808080" w:themeColor="background1" w:themeShade="80"/>
          <w:sz w:val="22"/>
          <w:szCs w:val="22"/>
          <w:lang w:val="en-GB"/>
        </w:rPr>
      </w:pPr>
      <w:r w:rsidRPr="00DD0C7C">
        <w:rPr>
          <w:rFonts w:ascii="Avenir Next" w:hAnsi="Avenir Next" w:cs="Arial"/>
          <w:color w:val="808080" w:themeColor="background1" w:themeShade="80"/>
          <w:sz w:val="22"/>
          <w:szCs w:val="22"/>
          <w:lang w:val="en-GB"/>
        </w:rPr>
        <w:t>The below are the benefits that the foreign representative can obtain from the rights in State A</w:t>
      </w:r>
      <w:r>
        <w:rPr>
          <w:rFonts w:ascii="Avenir Next" w:hAnsi="Avenir Next" w:cs="Arial"/>
          <w:color w:val="808080" w:themeColor="background1" w:themeShade="80"/>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1E4EE4B" w14:textId="6E373C56" w:rsidR="008F628E" w:rsidRPr="002F5EFE" w:rsidRDefault="00641B16" w:rsidP="00641B16">
      <w:pPr>
        <w:pStyle w:val="ListParagraph"/>
        <w:numPr>
          <w:ilvl w:val="0"/>
          <w:numId w:val="15"/>
        </w:numPr>
        <w:jc w:val="both"/>
        <w:rPr>
          <w:rFonts w:ascii="Avenir Next" w:hAnsi="Avenir Next" w:cs="Arial"/>
          <w:color w:val="808080" w:themeColor="background1" w:themeShade="80"/>
          <w:sz w:val="22"/>
          <w:szCs w:val="22"/>
          <w:lang w:val="en-GB"/>
        </w:rPr>
      </w:pPr>
      <w:r w:rsidRPr="008F628E">
        <w:rPr>
          <w:rFonts w:ascii="Avenir Next" w:hAnsi="Avenir Next" w:cs="Arial"/>
          <w:color w:val="808080" w:themeColor="background1" w:themeShade="80"/>
          <w:sz w:val="22"/>
          <w:szCs w:val="22"/>
          <w:lang w:val="en-GB"/>
        </w:rPr>
        <w:t>T</w:t>
      </w:r>
      <w:r w:rsidRPr="008F628E">
        <w:rPr>
          <w:rFonts w:ascii="Avenir Next" w:hAnsi="Avenir Next" w:cs="Arial"/>
          <w:color w:val="808080" w:themeColor="background1" w:themeShade="80"/>
          <w:sz w:val="22"/>
          <w:szCs w:val="22"/>
          <w:lang w:val="en-GB"/>
        </w:rPr>
        <w:t>he foreign representative will have locus standi in State A and will be entitled to apply  to a court in that jurisdiction</w:t>
      </w:r>
      <w:r w:rsidRPr="008F628E">
        <w:rPr>
          <w:rFonts w:ascii="Avenir Next" w:hAnsi="Avenir Next" w:cs="Arial"/>
          <w:color w:val="808080" w:themeColor="background1" w:themeShade="80"/>
          <w:sz w:val="22"/>
          <w:szCs w:val="22"/>
          <w:lang w:val="en-GB"/>
        </w:rPr>
        <w:t xml:space="preserve"> as per A</w:t>
      </w:r>
      <w:r w:rsidRPr="008F628E">
        <w:rPr>
          <w:rFonts w:ascii="Avenir Next" w:hAnsi="Avenir Next" w:cs="Arial"/>
          <w:color w:val="808080" w:themeColor="background1" w:themeShade="80"/>
          <w:sz w:val="22"/>
          <w:szCs w:val="22"/>
          <w:lang w:val="en-GB"/>
        </w:rPr>
        <w:t>rticle 9.</w:t>
      </w:r>
      <w:r w:rsidRPr="008F628E">
        <w:rPr>
          <w:rFonts w:ascii="Avenir Next" w:hAnsi="Avenir Next" w:cs="Arial"/>
          <w:color w:val="808080" w:themeColor="background1" w:themeShade="80"/>
          <w:sz w:val="22"/>
          <w:szCs w:val="22"/>
          <w:lang w:val="en-GB"/>
        </w:rPr>
        <w:t xml:space="preserve"> If the </w:t>
      </w:r>
      <w:r w:rsidRPr="008F628E">
        <w:rPr>
          <w:rFonts w:ascii="Avenir Next" w:hAnsi="Avenir Next" w:cs="Arial"/>
          <w:color w:val="808080" w:themeColor="background1" w:themeShade="80"/>
          <w:sz w:val="22"/>
          <w:szCs w:val="22"/>
          <w:lang w:val="en-GB"/>
        </w:rPr>
        <w:t xml:space="preserve">application for recognition and the foreign representative fall within articles 2(a) and 2(d) of the MLCBI and the application is accompanied by the required documentation, in the absence of proof to the contrary, </w:t>
      </w:r>
      <w:r w:rsidR="008F628E" w:rsidRPr="008F628E">
        <w:rPr>
          <w:rFonts w:ascii="Avenir Next" w:hAnsi="Avenir Next" w:cs="Arial"/>
          <w:color w:val="808080" w:themeColor="background1" w:themeShade="80"/>
          <w:sz w:val="22"/>
          <w:szCs w:val="22"/>
          <w:lang w:val="en-GB"/>
        </w:rPr>
        <w:t xml:space="preserve">it will be presumed </w:t>
      </w:r>
      <w:r w:rsidRPr="008F628E">
        <w:rPr>
          <w:rFonts w:ascii="Avenir Next" w:hAnsi="Avenir Next" w:cs="Arial"/>
          <w:color w:val="808080" w:themeColor="background1" w:themeShade="80"/>
          <w:sz w:val="22"/>
          <w:szCs w:val="22"/>
          <w:lang w:val="en-GB"/>
        </w:rPr>
        <w:t>that the documents are authentic and the debtor's registered office is the same as its COMI.</w:t>
      </w:r>
      <w:r w:rsidR="008F628E" w:rsidRPr="008F628E">
        <w:rPr>
          <w:rFonts w:ascii="Avenir Next" w:hAnsi="Avenir Next" w:cs="Arial"/>
          <w:color w:val="808080" w:themeColor="background1" w:themeShade="80"/>
          <w:sz w:val="22"/>
          <w:szCs w:val="22"/>
          <w:lang w:val="en-GB"/>
        </w:rPr>
        <w:t xml:space="preserve"> </w:t>
      </w:r>
    </w:p>
    <w:p w14:paraId="58B0415E" w14:textId="77777777" w:rsidR="00641B16" w:rsidRPr="00641B16" w:rsidRDefault="00641B16" w:rsidP="00641B16">
      <w:pPr>
        <w:ind w:left="720" w:hanging="720"/>
        <w:jc w:val="both"/>
        <w:rPr>
          <w:rFonts w:ascii="Avenir Next" w:hAnsi="Avenir Next" w:cs="Arial"/>
          <w:color w:val="808080" w:themeColor="background1" w:themeShade="80"/>
          <w:sz w:val="22"/>
          <w:szCs w:val="22"/>
          <w:lang w:val="en-GB"/>
        </w:rPr>
      </w:pPr>
    </w:p>
    <w:p w14:paraId="7CC8966D" w14:textId="31E3D63D" w:rsidR="00641B16" w:rsidRPr="00CF7E90" w:rsidRDefault="00641B16" w:rsidP="00263DFA">
      <w:pPr>
        <w:pStyle w:val="ListParagraph"/>
        <w:numPr>
          <w:ilvl w:val="0"/>
          <w:numId w:val="15"/>
        </w:numPr>
        <w:jc w:val="both"/>
        <w:rPr>
          <w:rFonts w:ascii="Avenir Next" w:hAnsi="Avenir Next" w:cs="Arial"/>
          <w:color w:val="808080" w:themeColor="background1" w:themeShade="80"/>
          <w:sz w:val="22"/>
          <w:szCs w:val="22"/>
          <w:lang w:val="en-GB"/>
        </w:rPr>
      </w:pPr>
      <w:r w:rsidRPr="00CF7E90">
        <w:rPr>
          <w:rFonts w:ascii="Avenir Next" w:hAnsi="Avenir Next" w:cs="Arial"/>
          <w:color w:val="808080" w:themeColor="background1" w:themeShade="80"/>
          <w:sz w:val="22"/>
          <w:szCs w:val="22"/>
          <w:lang w:val="en-GB"/>
        </w:rPr>
        <w:t xml:space="preserve"> </w:t>
      </w:r>
      <w:r w:rsidR="00CF7E90" w:rsidRPr="00CF7E90">
        <w:rPr>
          <w:rFonts w:ascii="Avenir Next" w:hAnsi="Avenir Next" w:cs="Arial"/>
          <w:color w:val="808080" w:themeColor="background1" w:themeShade="80"/>
          <w:sz w:val="22"/>
          <w:szCs w:val="22"/>
          <w:lang w:val="en-GB"/>
        </w:rPr>
        <w:t>A</w:t>
      </w:r>
      <w:r w:rsidRPr="00CF7E90">
        <w:rPr>
          <w:rFonts w:ascii="Avenir Next" w:hAnsi="Avenir Next" w:cs="Arial"/>
          <w:color w:val="808080" w:themeColor="background1" w:themeShade="80"/>
          <w:sz w:val="22"/>
          <w:szCs w:val="22"/>
          <w:lang w:val="en-GB"/>
        </w:rPr>
        <w:t>rticle 20 of the MLCBI</w:t>
      </w:r>
      <w:r w:rsidR="00CF7E90" w:rsidRPr="00CF7E90">
        <w:rPr>
          <w:rFonts w:ascii="Avenir Next" w:hAnsi="Avenir Next" w:cs="Arial"/>
          <w:color w:val="808080" w:themeColor="background1" w:themeShade="80"/>
          <w:sz w:val="22"/>
          <w:szCs w:val="22"/>
          <w:lang w:val="en-GB"/>
        </w:rPr>
        <w:t xml:space="preserve"> allows for the</w:t>
      </w:r>
      <w:r w:rsidR="00CF7E90" w:rsidRPr="00CF7E90">
        <w:rPr>
          <w:rFonts w:ascii="Avenir Next" w:hAnsi="Avenir Next" w:cs="Arial"/>
          <w:color w:val="808080" w:themeColor="background1" w:themeShade="80"/>
          <w:sz w:val="22"/>
          <w:szCs w:val="22"/>
          <w:lang w:val="en-GB"/>
        </w:rPr>
        <w:t xml:space="preserve"> value of the debtors assets </w:t>
      </w:r>
      <w:r w:rsidR="00CF7E90" w:rsidRPr="00CF7E90">
        <w:rPr>
          <w:rFonts w:ascii="Avenir Next" w:hAnsi="Avenir Next" w:cs="Arial"/>
          <w:color w:val="808080" w:themeColor="background1" w:themeShade="80"/>
          <w:sz w:val="22"/>
          <w:szCs w:val="22"/>
          <w:lang w:val="en-GB"/>
        </w:rPr>
        <w:t xml:space="preserve">to be </w:t>
      </w:r>
      <w:r w:rsidR="00CF7E90" w:rsidRPr="00CF7E90">
        <w:rPr>
          <w:rFonts w:ascii="Avenir Next" w:hAnsi="Avenir Next" w:cs="Arial"/>
          <w:color w:val="808080" w:themeColor="background1" w:themeShade="80"/>
          <w:sz w:val="22"/>
          <w:szCs w:val="22"/>
          <w:lang w:val="en-GB"/>
        </w:rPr>
        <w:t>preserved</w:t>
      </w:r>
      <w:r w:rsidR="00CF7E90" w:rsidRPr="00CF7E90">
        <w:rPr>
          <w:rFonts w:ascii="Avenir Next" w:hAnsi="Avenir Next" w:cs="Arial"/>
          <w:color w:val="808080" w:themeColor="background1" w:themeShade="80"/>
          <w:sz w:val="22"/>
          <w:szCs w:val="22"/>
          <w:lang w:val="en-GB"/>
        </w:rPr>
        <w:t>. O</w:t>
      </w:r>
      <w:r w:rsidRPr="00CF7E90">
        <w:rPr>
          <w:rFonts w:ascii="Avenir Next" w:hAnsi="Avenir Next" w:cs="Arial"/>
          <w:color w:val="808080" w:themeColor="background1" w:themeShade="80"/>
          <w:sz w:val="22"/>
          <w:szCs w:val="22"/>
          <w:lang w:val="en-GB"/>
        </w:rPr>
        <w:t xml:space="preserve">nce the foreign proceeding is recognised in State A, it will automatically result in a moratorium on any proceedings involving the debtor or their assets and prohibit any transfer, encumbrance or disposal of their assets. </w:t>
      </w:r>
    </w:p>
    <w:p w14:paraId="363FC74A" w14:textId="77777777" w:rsidR="00641B16" w:rsidRPr="00641B16" w:rsidRDefault="00641B16" w:rsidP="00641B16">
      <w:pPr>
        <w:ind w:left="720" w:hanging="720"/>
        <w:jc w:val="both"/>
        <w:rPr>
          <w:rFonts w:ascii="Avenir Next" w:hAnsi="Avenir Next" w:cs="Arial"/>
          <w:color w:val="808080" w:themeColor="background1" w:themeShade="80"/>
          <w:sz w:val="22"/>
          <w:szCs w:val="22"/>
          <w:lang w:val="en-GB"/>
        </w:rPr>
      </w:pPr>
    </w:p>
    <w:p w14:paraId="47CD26BE" w14:textId="19E19FFA" w:rsidR="00641B16" w:rsidRPr="00CF7E90" w:rsidRDefault="008F628E" w:rsidP="00263DFA">
      <w:pPr>
        <w:pStyle w:val="ListParagraph"/>
        <w:numPr>
          <w:ilvl w:val="0"/>
          <w:numId w:val="15"/>
        </w:numPr>
        <w:jc w:val="both"/>
        <w:rPr>
          <w:rFonts w:ascii="Avenir Next" w:hAnsi="Avenir Next" w:cs="Arial"/>
          <w:color w:val="808080" w:themeColor="background1" w:themeShade="80"/>
          <w:sz w:val="22"/>
          <w:szCs w:val="22"/>
          <w:lang w:val="en-GB"/>
        </w:rPr>
      </w:pPr>
      <w:r w:rsidRPr="00CF7E90">
        <w:rPr>
          <w:rFonts w:ascii="Avenir Next" w:hAnsi="Avenir Next" w:cs="Arial"/>
          <w:color w:val="808080" w:themeColor="background1" w:themeShade="80"/>
          <w:sz w:val="22"/>
          <w:szCs w:val="22"/>
          <w:lang w:val="en-GB"/>
        </w:rPr>
        <w:t>T</w:t>
      </w:r>
      <w:r w:rsidR="00641B16" w:rsidRPr="00CF7E90">
        <w:rPr>
          <w:rFonts w:ascii="Avenir Next" w:hAnsi="Avenir Next" w:cs="Arial"/>
          <w:color w:val="808080" w:themeColor="background1" w:themeShade="80"/>
          <w:sz w:val="22"/>
          <w:szCs w:val="22"/>
          <w:lang w:val="en-GB"/>
        </w:rPr>
        <w:t xml:space="preserve">he foreign representative </w:t>
      </w:r>
      <w:r w:rsidRPr="00CF7E90">
        <w:rPr>
          <w:rFonts w:ascii="Avenir Next" w:hAnsi="Avenir Next" w:cs="Arial"/>
          <w:color w:val="808080" w:themeColor="background1" w:themeShade="80"/>
          <w:sz w:val="22"/>
          <w:szCs w:val="22"/>
          <w:lang w:val="en-GB"/>
        </w:rPr>
        <w:t xml:space="preserve">has the option </w:t>
      </w:r>
      <w:r w:rsidRPr="00CF7E90">
        <w:rPr>
          <w:rFonts w:ascii="Avenir Next" w:hAnsi="Avenir Next" w:cs="Arial"/>
          <w:color w:val="808080" w:themeColor="background1" w:themeShade="80"/>
          <w:sz w:val="22"/>
          <w:szCs w:val="22"/>
          <w:lang w:val="en-GB"/>
        </w:rPr>
        <w:t xml:space="preserve">seek interim relief pursuant to article 19 of the MLCBI </w:t>
      </w:r>
      <w:r w:rsidRPr="00CF7E90">
        <w:rPr>
          <w:rFonts w:ascii="Avenir Next" w:hAnsi="Avenir Next" w:cs="Arial"/>
          <w:color w:val="808080" w:themeColor="background1" w:themeShade="80"/>
          <w:sz w:val="22"/>
          <w:szCs w:val="22"/>
          <w:lang w:val="en-GB"/>
        </w:rPr>
        <w:t xml:space="preserve">if there </w:t>
      </w:r>
      <w:r w:rsidR="00641B16" w:rsidRPr="00CF7E90">
        <w:rPr>
          <w:rFonts w:ascii="Avenir Next" w:hAnsi="Avenir Next" w:cs="Arial"/>
          <w:color w:val="808080" w:themeColor="background1" w:themeShade="80"/>
          <w:sz w:val="22"/>
          <w:szCs w:val="22"/>
          <w:lang w:val="en-GB"/>
        </w:rPr>
        <w:t>is concern that there is a real and immediate risk of the debtor's assets being dissipate</w:t>
      </w:r>
      <w:r w:rsidRPr="00CF7E90">
        <w:rPr>
          <w:rFonts w:ascii="Avenir Next" w:hAnsi="Avenir Next" w:cs="Arial"/>
          <w:color w:val="808080" w:themeColor="background1" w:themeShade="80"/>
          <w:sz w:val="22"/>
          <w:szCs w:val="22"/>
          <w:lang w:val="en-GB"/>
        </w:rPr>
        <w:t>d while</w:t>
      </w:r>
      <w:r w:rsidR="00641B16" w:rsidRPr="00CF7E90">
        <w:rPr>
          <w:rFonts w:ascii="Avenir Next" w:hAnsi="Avenir Next" w:cs="Arial"/>
          <w:color w:val="808080" w:themeColor="background1" w:themeShade="80"/>
          <w:sz w:val="22"/>
          <w:szCs w:val="22"/>
          <w:lang w:val="en-GB"/>
        </w:rPr>
        <w:t xml:space="preserve"> the determination of their recognition application</w:t>
      </w:r>
      <w:r w:rsidRPr="00CF7E90">
        <w:rPr>
          <w:rFonts w:ascii="Avenir Next" w:hAnsi="Avenir Next" w:cs="Arial"/>
          <w:color w:val="808080" w:themeColor="background1" w:themeShade="80"/>
          <w:sz w:val="22"/>
          <w:szCs w:val="22"/>
          <w:lang w:val="en-GB"/>
        </w:rPr>
        <w:t xml:space="preserve"> is pending </w:t>
      </w:r>
      <w:r w:rsidR="00641B16" w:rsidRPr="00CF7E90">
        <w:rPr>
          <w:rFonts w:ascii="Avenir Next" w:hAnsi="Avenir Next" w:cs="Arial"/>
          <w:color w:val="808080" w:themeColor="background1" w:themeShade="80"/>
          <w:sz w:val="22"/>
          <w:szCs w:val="22"/>
          <w:lang w:val="en-GB"/>
        </w:rPr>
        <w:t xml:space="preserve">.  </w:t>
      </w:r>
    </w:p>
    <w:p w14:paraId="07C5CB4B" w14:textId="77777777" w:rsidR="008F628E" w:rsidRDefault="008F628E" w:rsidP="00867A8F">
      <w:pPr>
        <w:ind w:left="720" w:hanging="720"/>
        <w:jc w:val="both"/>
        <w:rPr>
          <w:rFonts w:ascii="Avenir Next" w:hAnsi="Avenir Next" w:cs="Arial"/>
          <w:color w:val="808080" w:themeColor="background1" w:themeShade="80"/>
          <w:sz w:val="22"/>
          <w:szCs w:val="22"/>
          <w:lang w:val="en-GB"/>
        </w:rPr>
      </w:pPr>
    </w:p>
    <w:p w14:paraId="08475351" w14:textId="18EB7D6D" w:rsidR="00867A8F" w:rsidRPr="00CF7E90" w:rsidRDefault="008F628E" w:rsidP="00263DFA">
      <w:pPr>
        <w:pStyle w:val="ListParagraph"/>
        <w:numPr>
          <w:ilvl w:val="0"/>
          <w:numId w:val="15"/>
        </w:numPr>
        <w:jc w:val="both"/>
        <w:rPr>
          <w:rFonts w:ascii="Avenir Next" w:hAnsi="Avenir Next" w:cs="Arial"/>
          <w:color w:val="808080" w:themeColor="background1" w:themeShade="80"/>
          <w:sz w:val="22"/>
          <w:szCs w:val="22"/>
          <w:lang w:val="en-GB"/>
        </w:rPr>
      </w:pPr>
      <w:r w:rsidRPr="00CF7E90">
        <w:rPr>
          <w:rFonts w:ascii="Avenir Next" w:hAnsi="Avenir Next" w:cs="Arial"/>
          <w:color w:val="808080" w:themeColor="background1" w:themeShade="80"/>
          <w:sz w:val="22"/>
          <w:szCs w:val="22"/>
          <w:lang w:val="en-GB"/>
        </w:rPr>
        <w:t>An application for recognition is required to be determined in the shortest possible timeframe as per Article 17.</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13C0C0F" w14:textId="0A1B4EA0" w:rsidR="0017257C" w:rsidRDefault="0017257C" w:rsidP="00107A93">
      <w:pPr>
        <w:ind w:left="720" w:hanging="720"/>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3B1E344F" w:rsidR="00817D57" w:rsidRPr="00994C6A" w:rsidRDefault="00817D57" w:rsidP="00707FC8">
      <w:pPr>
        <w:jc w:val="both"/>
        <w:rPr>
          <w:rFonts w:ascii="Avenir Next" w:hAnsi="Avenir Next" w:cs="Arial"/>
          <w:color w:val="808080" w:themeColor="background1" w:themeShade="80"/>
          <w:sz w:val="22"/>
          <w:szCs w:val="22"/>
          <w:lang w:val="en-GB"/>
        </w:rPr>
      </w:pPr>
    </w:p>
    <w:p w14:paraId="10C99C09" w14:textId="0EB372A6" w:rsidR="00994C6A" w:rsidRPr="00994C6A" w:rsidRDefault="00994C6A" w:rsidP="00707FC8">
      <w:pPr>
        <w:jc w:val="both"/>
        <w:rPr>
          <w:rFonts w:ascii="Avenir Next" w:hAnsi="Avenir Next" w:cs="Arial"/>
          <w:color w:val="808080" w:themeColor="background1" w:themeShade="80"/>
          <w:sz w:val="22"/>
          <w:szCs w:val="22"/>
          <w:lang w:val="en-GB"/>
        </w:rPr>
      </w:pPr>
      <w:r w:rsidRPr="00994C6A">
        <w:rPr>
          <w:rFonts w:ascii="Avenir Next" w:hAnsi="Avenir Next" w:cs="Arial"/>
          <w:color w:val="808080" w:themeColor="background1" w:themeShade="80"/>
          <w:sz w:val="22"/>
          <w:szCs w:val="22"/>
          <w:lang w:val="en-GB"/>
        </w:rPr>
        <w:t xml:space="preserve">The below are the </w:t>
      </w:r>
      <w:r w:rsidRPr="00994C6A">
        <w:rPr>
          <w:rFonts w:ascii="Avenir Next" w:hAnsi="Avenir Next" w:cs="Arial"/>
          <w:color w:val="808080" w:themeColor="background1" w:themeShade="80"/>
          <w:sz w:val="22"/>
          <w:szCs w:val="22"/>
          <w:lang w:val="en-GB"/>
        </w:rPr>
        <w:t>pre- and post-recognition relief can be considered in the context of the MLCBI</w:t>
      </w:r>
      <w:r w:rsidRPr="00994C6A">
        <w:rPr>
          <w:rFonts w:ascii="Avenir Next" w:hAnsi="Avenir Next" w:cs="Arial"/>
          <w:color w:val="808080" w:themeColor="background1" w:themeShade="80"/>
          <w:sz w:val="22"/>
          <w:szCs w:val="22"/>
          <w:lang w:val="en-GB"/>
        </w:rPr>
        <w:t>:</w:t>
      </w:r>
    </w:p>
    <w:p w14:paraId="1541F025" w14:textId="77777777" w:rsidR="00994C6A" w:rsidRPr="00E2622D" w:rsidRDefault="00994C6A" w:rsidP="00707FC8">
      <w:pPr>
        <w:jc w:val="both"/>
        <w:rPr>
          <w:rFonts w:ascii="Avenir Next" w:hAnsi="Avenir Next" w:cs="Arial"/>
          <w:sz w:val="22"/>
          <w:szCs w:val="22"/>
          <w:lang w:val="en-GB"/>
        </w:rPr>
      </w:pPr>
    </w:p>
    <w:p w14:paraId="37733AD6" w14:textId="129271E2" w:rsidR="00AA66B3" w:rsidRPr="00994C6A" w:rsidRDefault="00400A9C" w:rsidP="00994C6A">
      <w:pPr>
        <w:pStyle w:val="ListParagraph"/>
        <w:numPr>
          <w:ilvl w:val="0"/>
          <w:numId w:val="16"/>
        </w:numPr>
        <w:jc w:val="both"/>
        <w:rPr>
          <w:rFonts w:ascii="Avenir Next" w:hAnsi="Avenir Next" w:cs="Arial"/>
          <w:color w:val="808080" w:themeColor="background1" w:themeShade="80"/>
          <w:sz w:val="22"/>
          <w:szCs w:val="22"/>
          <w:lang w:val="en-GB"/>
        </w:rPr>
      </w:pPr>
      <w:r w:rsidRPr="00994C6A">
        <w:rPr>
          <w:rFonts w:ascii="Avenir Next" w:hAnsi="Avenir Next" w:cs="Arial"/>
          <w:color w:val="808080" w:themeColor="background1" w:themeShade="80"/>
          <w:sz w:val="22"/>
          <w:szCs w:val="22"/>
          <w:lang w:val="en-GB"/>
        </w:rPr>
        <w:t>R</w:t>
      </w:r>
      <w:r w:rsidRPr="00994C6A">
        <w:rPr>
          <w:rFonts w:ascii="Avenir Next" w:hAnsi="Avenir Next" w:cs="Arial"/>
          <w:color w:val="808080" w:themeColor="background1" w:themeShade="80"/>
          <w:sz w:val="22"/>
          <w:szCs w:val="22"/>
          <w:lang w:val="en-GB"/>
        </w:rPr>
        <w:t>ecogni</w:t>
      </w:r>
      <w:r w:rsidRPr="00994C6A">
        <w:rPr>
          <w:rFonts w:ascii="Avenir Next" w:hAnsi="Avenir Next" w:cs="Arial"/>
          <w:color w:val="808080" w:themeColor="background1" w:themeShade="80"/>
          <w:sz w:val="22"/>
          <w:szCs w:val="22"/>
          <w:lang w:val="en-GB"/>
        </w:rPr>
        <w:t>tion</w:t>
      </w:r>
      <w:r w:rsidRPr="00994C6A">
        <w:rPr>
          <w:rFonts w:ascii="Avenir Next" w:hAnsi="Avenir Next" w:cs="Arial"/>
          <w:color w:val="808080" w:themeColor="background1" w:themeShade="80"/>
          <w:sz w:val="22"/>
          <w:szCs w:val="22"/>
          <w:lang w:val="en-GB"/>
        </w:rPr>
        <w:t xml:space="preserve"> in State A</w:t>
      </w:r>
      <w:r w:rsidRPr="00994C6A">
        <w:rPr>
          <w:rFonts w:ascii="Avenir Next" w:hAnsi="Avenir Next" w:cs="Arial"/>
          <w:color w:val="808080" w:themeColor="background1" w:themeShade="80"/>
          <w:sz w:val="22"/>
          <w:szCs w:val="22"/>
          <w:lang w:val="en-GB"/>
        </w:rPr>
        <w:t xml:space="preserve"> of the foreign proceeding </w:t>
      </w:r>
      <w:r w:rsidRPr="00994C6A">
        <w:rPr>
          <w:rFonts w:ascii="Avenir Next" w:hAnsi="Avenir Next" w:cs="Arial"/>
          <w:color w:val="808080" w:themeColor="background1" w:themeShade="80"/>
          <w:sz w:val="22"/>
          <w:szCs w:val="22"/>
          <w:lang w:val="en-GB"/>
        </w:rPr>
        <w:t xml:space="preserve"> will automatically result in a moratorium on any proceedings involving the debtor or their assets (this includes arbitral tribunals) and prohibit any transfer, encumbrance or disposal of their assets</w:t>
      </w:r>
      <w:r w:rsidRPr="00994C6A">
        <w:rPr>
          <w:rFonts w:ascii="Avenir Next" w:hAnsi="Avenir Next" w:cs="Arial"/>
          <w:color w:val="808080" w:themeColor="background1" w:themeShade="80"/>
          <w:sz w:val="22"/>
          <w:szCs w:val="22"/>
          <w:lang w:val="en-GB"/>
        </w:rPr>
        <w:t xml:space="preserve"> as per Article 20</w:t>
      </w:r>
      <w:r w:rsidRPr="00994C6A">
        <w:rPr>
          <w:rFonts w:ascii="Avenir Next" w:hAnsi="Avenir Next" w:cs="Arial"/>
          <w:color w:val="808080" w:themeColor="background1" w:themeShade="80"/>
          <w:sz w:val="22"/>
          <w:szCs w:val="22"/>
          <w:lang w:val="en-GB"/>
        </w:rPr>
        <w:t xml:space="preserve">. </w:t>
      </w:r>
      <w:r w:rsidR="00AA66B3" w:rsidRPr="00994C6A">
        <w:rPr>
          <w:rFonts w:ascii="Avenir Next" w:hAnsi="Avenir Next" w:cs="Arial"/>
          <w:color w:val="808080" w:themeColor="background1" w:themeShade="80"/>
          <w:sz w:val="22"/>
          <w:szCs w:val="22"/>
          <w:lang w:val="en-GB"/>
        </w:rPr>
        <w:t>An</w:t>
      </w:r>
      <w:r w:rsidRPr="00994C6A">
        <w:rPr>
          <w:rFonts w:ascii="Avenir Next" w:hAnsi="Avenir Next" w:cs="Arial"/>
          <w:color w:val="808080" w:themeColor="background1" w:themeShade="80"/>
          <w:sz w:val="22"/>
          <w:szCs w:val="22"/>
          <w:lang w:val="en-GB"/>
        </w:rPr>
        <w:t xml:space="preserve"> individual action</w:t>
      </w:r>
      <w:r w:rsidR="00AA66B3" w:rsidRPr="00994C6A">
        <w:rPr>
          <w:rFonts w:ascii="Avenir Next" w:hAnsi="Avenir Next" w:cs="Arial"/>
          <w:color w:val="808080" w:themeColor="background1" w:themeShade="80"/>
          <w:sz w:val="22"/>
          <w:szCs w:val="22"/>
          <w:lang w:val="en-GB"/>
        </w:rPr>
        <w:t xml:space="preserve"> is not allowed to</w:t>
      </w:r>
      <w:r w:rsidRPr="00994C6A">
        <w:rPr>
          <w:rFonts w:ascii="Avenir Next" w:hAnsi="Avenir Next" w:cs="Arial"/>
          <w:color w:val="808080" w:themeColor="background1" w:themeShade="80"/>
          <w:sz w:val="22"/>
          <w:szCs w:val="22"/>
          <w:lang w:val="en-GB"/>
        </w:rPr>
        <w:t xml:space="preserve"> be brought wher</w:t>
      </w:r>
      <w:r w:rsidR="00AA66B3" w:rsidRPr="00994C6A">
        <w:rPr>
          <w:rFonts w:ascii="Avenir Next" w:hAnsi="Avenir Next" w:cs="Arial"/>
          <w:color w:val="808080" w:themeColor="background1" w:themeShade="80"/>
          <w:sz w:val="22"/>
          <w:szCs w:val="22"/>
          <w:lang w:val="en-GB"/>
        </w:rPr>
        <w:t>e it is</w:t>
      </w:r>
      <w:r w:rsidRPr="00994C6A">
        <w:rPr>
          <w:rFonts w:ascii="Avenir Next" w:hAnsi="Avenir Next" w:cs="Arial"/>
          <w:color w:val="808080" w:themeColor="background1" w:themeShade="80"/>
          <w:sz w:val="22"/>
          <w:szCs w:val="22"/>
          <w:lang w:val="en-GB"/>
        </w:rPr>
        <w:t xml:space="preserve"> necessary to preserve a claim against the debtor</w:t>
      </w:r>
      <w:r w:rsidR="00AA66B3" w:rsidRPr="00994C6A">
        <w:rPr>
          <w:rFonts w:ascii="Avenir Next" w:hAnsi="Avenir Next" w:cs="Arial"/>
          <w:color w:val="808080" w:themeColor="background1" w:themeShade="80"/>
          <w:sz w:val="22"/>
          <w:szCs w:val="22"/>
          <w:lang w:val="en-GB"/>
        </w:rPr>
        <w:t xml:space="preserve"> under </w:t>
      </w:r>
      <w:r w:rsidR="00AA66B3" w:rsidRPr="00994C6A">
        <w:rPr>
          <w:rFonts w:ascii="Avenir Next" w:hAnsi="Avenir Next" w:cs="Arial"/>
          <w:color w:val="808080" w:themeColor="background1" w:themeShade="80"/>
          <w:sz w:val="22"/>
          <w:szCs w:val="22"/>
          <w:lang w:val="en-GB"/>
        </w:rPr>
        <w:t>article 20.3</w:t>
      </w:r>
      <w:r w:rsidRPr="00994C6A">
        <w:rPr>
          <w:rFonts w:ascii="Avenir Next" w:hAnsi="Avenir Next" w:cs="Arial"/>
          <w:color w:val="808080" w:themeColor="background1" w:themeShade="80"/>
          <w:sz w:val="22"/>
          <w:szCs w:val="22"/>
          <w:lang w:val="en-GB"/>
        </w:rPr>
        <w:t>.</w:t>
      </w:r>
    </w:p>
    <w:p w14:paraId="1727AF84" w14:textId="68850835" w:rsidR="005E0FA3" w:rsidRDefault="005E0FA3" w:rsidP="00400A9C">
      <w:pPr>
        <w:jc w:val="both"/>
        <w:rPr>
          <w:rFonts w:ascii="Avenir Next" w:hAnsi="Avenir Next" w:cs="Arial"/>
          <w:color w:val="808080" w:themeColor="background1" w:themeShade="80"/>
          <w:sz w:val="22"/>
          <w:szCs w:val="22"/>
          <w:lang w:val="en-GB"/>
        </w:rPr>
      </w:pPr>
    </w:p>
    <w:p w14:paraId="5298CE5E" w14:textId="4EF872EB" w:rsidR="005E0FA3" w:rsidRPr="00994C6A" w:rsidRDefault="005E0FA3" w:rsidP="00994C6A">
      <w:pPr>
        <w:pStyle w:val="ListParagraph"/>
        <w:numPr>
          <w:ilvl w:val="0"/>
          <w:numId w:val="16"/>
        </w:numPr>
        <w:jc w:val="both"/>
        <w:rPr>
          <w:rFonts w:ascii="Avenir Next" w:hAnsi="Avenir Next" w:cs="Arial"/>
          <w:color w:val="808080" w:themeColor="background1" w:themeShade="80"/>
          <w:sz w:val="22"/>
          <w:szCs w:val="22"/>
          <w:lang w:val="en-GB"/>
        </w:rPr>
      </w:pPr>
      <w:r w:rsidRPr="00994C6A">
        <w:rPr>
          <w:rFonts w:ascii="Avenir Next" w:hAnsi="Avenir Next" w:cs="Arial"/>
          <w:color w:val="808080" w:themeColor="background1" w:themeShade="80"/>
          <w:sz w:val="22"/>
          <w:szCs w:val="22"/>
          <w:lang w:val="en-GB"/>
        </w:rPr>
        <w:t>If the foreign representative is of the opinion that there is a real and immediate risk of the debtor's assets being dissipated, the foreign representative could seek interim relief pursuant to article 19 of the MLCBI pending the determination of their recognition application which could result in a moratorium on any actions relating to the debtor's assets but would also allow the court to apply any of the discretionary reliefs available under article 21(1).  The interim relief must be extended</w:t>
      </w:r>
      <w:r w:rsidRPr="005E0FA3">
        <w:t xml:space="preserve"> </w:t>
      </w:r>
      <w:r w:rsidRPr="00994C6A">
        <w:rPr>
          <w:rFonts w:ascii="Avenir Next" w:hAnsi="Avenir Next" w:cs="Arial"/>
          <w:color w:val="808080" w:themeColor="background1" w:themeShade="80"/>
          <w:sz w:val="22"/>
          <w:szCs w:val="22"/>
          <w:lang w:val="en-GB"/>
        </w:rPr>
        <w:t>under article 21.1(f)  or it will be terminated once the application for relief is determined (article 19(2)).  The Court in State A can decide to refuse to grant interim relief if it would interfere with the administration of a foreign main proceeding.</w:t>
      </w:r>
    </w:p>
    <w:p w14:paraId="04F7A1F2" w14:textId="77777777" w:rsidR="00AA66B3" w:rsidRDefault="00AA66B3" w:rsidP="00400A9C">
      <w:pPr>
        <w:jc w:val="both"/>
        <w:rPr>
          <w:rFonts w:ascii="Avenir Next" w:hAnsi="Avenir Next" w:cs="Arial"/>
          <w:color w:val="808080" w:themeColor="background1" w:themeShade="80"/>
          <w:sz w:val="22"/>
          <w:szCs w:val="22"/>
          <w:lang w:val="en-GB"/>
        </w:rPr>
      </w:pPr>
    </w:p>
    <w:p w14:paraId="3E25C7D3" w14:textId="32DB460C" w:rsidR="00400A9C" w:rsidRPr="00994C6A" w:rsidRDefault="00AA66B3" w:rsidP="00994C6A">
      <w:pPr>
        <w:pStyle w:val="ListParagraph"/>
        <w:numPr>
          <w:ilvl w:val="0"/>
          <w:numId w:val="16"/>
        </w:numPr>
        <w:jc w:val="both"/>
        <w:rPr>
          <w:rFonts w:ascii="Avenir Next" w:hAnsi="Avenir Next" w:cs="Arial"/>
          <w:color w:val="808080" w:themeColor="background1" w:themeShade="80"/>
          <w:sz w:val="22"/>
          <w:szCs w:val="22"/>
          <w:lang w:val="en-GB"/>
        </w:rPr>
      </w:pPr>
      <w:r w:rsidRPr="00994C6A">
        <w:rPr>
          <w:rFonts w:ascii="Avenir Next" w:hAnsi="Avenir Next" w:cs="Arial"/>
          <w:color w:val="808080" w:themeColor="background1" w:themeShade="80"/>
          <w:sz w:val="22"/>
          <w:szCs w:val="22"/>
          <w:lang w:val="en-GB"/>
        </w:rPr>
        <w:t>T</w:t>
      </w:r>
      <w:r w:rsidR="00400A9C" w:rsidRPr="00994C6A">
        <w:rPr>
          <w:rFonts w:ascii="Avenir Next" w:hAnsi="Avenir Next" w:cs="Arial"/>
          <w:color w:val="808080" w:themeColor="background1" w:themeShade="80"/>
          <w:sz w:val="22"/>
          <w:szCs w:val="22"/>
          <w:lang w:val="en-GB"/>
        </w:rPr>
        <w:t>he court in State A will be able to exercise discretionary post-recognition powers to protect the assets of the debtor and the creditors' interests</w:t>
      </w:r>
      <w:r w:rsidRPr="00994C6A">
        <w:rPr>
          <w:rFonts w:ascii="Avenir Next" w:hAnsi="Avenir Next" w:cs="Arial"/>
          <w:color w:val="808080" w:themeColor="background1" w:themeShade="80"/>
          <w:sz w:val="22"/>
          <w:szCs w:val="22"/>
          <w:lang w:val="en-GB"/>
        </w:rPr>
        <w:t xml:space="preserve"> under article 21(1)</w:t>
      </w:r>
      <w:r w:rsidR="00400A9C" w:rsidRPr="00994C6A">
        <w:rPr>
          <w:rFonts w:ascii="Avenir Next" w:hAnsi="Avenir Next" w:cs="Arial"/>
          <w:color w:val="808080" w:themeColor="background1" w:themeShade="80"/>
          <w:sz w:val="22"/>
          <w:szCs w:val="22"/>
          <w:lang w:val="en-GB"/>
        </w:rPr>
        <w:t xml:space="preserve">.  </w:t>
      </w:r>
      <w:r w:rsidR="004B5BE6" w:rsidRPr="00994C6A">
        <w:rPr>
          <w:rFonts w:ascii="Avenir Next" w:hAnsi="Avenir Next" w:cs="Arial"/>
          <w:color w:val="808080" w:themeColor="background1" w:themeShade="80"/>
          <w:sz w:val="22"/>
          <w:szCs w:val="22"/>
          <w:lang w:val="en-GB"/>
        </w:rPr>
        <w:t>The court can also</w:t>
      </w:r>
      <w:r w:rsidR="00400A9C" w:rsidRPr="00994C6A">
        <w:rPr>
          <w:rFonts w:ascii="Avenir Next" w:hAnsi="Avenir Next" w:cs="Arial"/>
          <w:color w:val="808080" w:themeColor="background1" w:themeShade="80"/>
          <w:sz w:val="22"/>
          <w:szCs w:val="22"/>
          <w:lang w:val="en-GB"/>
        </w:rPr>
        <w:t xml:space="preserve"> orde</w:t>
      </w:r>
      <w:r w:rsidR="004B5BE6" w:rsidRPr="00994C6A">
        <w:rPr>
          <w:rFonts w:ascii="Avenir Next" w:hAnsi="Avenir Next" w:cs="Arial"/>
          <w:color w:val="808080" w:themeColor="background1" w:themeShade="80"/>
          <w:sz w:val="22"/>
          <w:szCs w:val="22"/>
          <w:lang w:val="en-GB"/>
        </w:rPr>
        <w:t xml:space="preserve">r </w:t>
      </w:r>
      <w:r w:rsidR="00400A9C" w:rsidRPr="00994C6A">
        <w:rPr>
          <w:rFonts w:ascii="Avenir Next" w:hAnsi="Avenir Next" w:cs="Arial"/>
          <w:color w:val="808080" w:themeColor="background1" w:themeShade="80"/>
          <w:sz w:val="22"/>
          <w:szCs w:val="22"/>
          <w:lang w:val="en-GB"/>
        </w:rPr>
        <w:t>the examination of witnesses, entrusting the administration of the assets of the debtor in State A to the foreign representative or another person, or granting any other relief available to domestic office holder</w:t>
      </w:r>
      <w:r w:rsidR="004B5BE6" w:rsidRPr="00994C6A">
        <w:rPr>
          <w:rFonts w:ascii="Avenir Next" w:hAnsi="Avenir Next" w:cs="Arial"/>
          <w:color w:val="808080" w:themeColor="background1" w:themeShade="80"/>
          <w:sz w:val="22"/>
          <w:szCs w:val="22"/>
          <w:lang w:val="en-GB"/>
        </w:rPr>
        <w:t xml:space="preserve"> under article</w:t>
      </w:r>
      <w:r w:rsidR="00065EA7" w:rsidRPr="00994C6A">
        <w:rPr>
          <w:rFonts w:ascii="Avenir Next" w:hAnsi="Avenir Next" w:cs="Arial"/>
          <w:color w:val="808080" w:themeColor="background1" w:themeShade="80"/>
          <w:sz w:val="22"/>
          <w:szCs w:val="22"/>
          <w:lang w:val="en-GB"/>
        </w:rPr>
        <w:t xml:space="preserve">. </w:t>
      </w:r>
      <w:r w:rsidR="00400A9C" w:rsidRPr="00994C6A">
        <w:rPr>
          <w:rFonts w:ascii="Avenir Next" w:hAnsi="Avenir Next" w:cs="Arial"/>
          <w:color w:val="808080" w:themeColor="background1" w:themeShade="80"/>
          <w:sz w:val="22"/>
          <w:szCs w:val="22"/>
          <w:lang w:val="en-GB"/>
        </w:rPr>
        <w:t xml:space="preserve"> </w:t>
      </w:r>
      <w:r w:rsidR="00065EA7" w:rsidRPr="00994C6A">
        <w:rPr>
          <w:rFonts w:ascii="Avenir Next" w:hAnsi="Avenir Next" w:cs="Arial"/>
          <w:color w:val="808080" w:themeColor="background1" w:themeShade="80"/>
          <w:sz w:val="22"/>
          <w:szCs w:val="22"/>
          <w:lang w:val="en-GB"/>
        </w:rPr>
        <w:t>T</w:t>
      </w:r>
      <w:r w:rsidR="00400A9C" w:rsidRPr="00994C6A">
        <w:rPr>
          <w:rFonts w:ascii="Avenir Next" w:hAnsi="Avenir Next" w:cs="Arial"/>
          <w:color w:val="808080" w:themeColor="background1" w:themeShade="80"/>
          <w:sz w:val="22"/>
          <w:szCs w:val="22"/>
          <w:lang w:val="en-GB"/>
        </w:rPr>
        <w:t>he court in State A must be satisfied that the interests of creditors in State A are adequately protected (article 21.2)</w:t>
      </w:r>
      <w:r w:rsidR="00065EA7" w:rsidRPr="00994C6A">
        <w:rPr>
          <w:rFonts w:ascii="Avenir Next" w:hAnsi="Avenir Next" w:cs="Arial"/>
          <w:color w:val="808080" w:themeColor="background1" w:themeShade="80"/>
          <w:sz w:val="22"/>
          <w:szCs w:val="22"/>
          <w:lang w:val="en-GB"/>
        </w:rPr>
        <w:t xml:space="preserve"> before </w:t>
      </w:r>
      <w:r w:rsidR="00065EA7" w:rsidRPr="00994C6A">
        <w:rPr>
          <w:rFonts w:ascii="Avenir Next" w:hAnsi="Avenir Next" w:cs="Arial"/>
          <w:color w:val="808080" w:themeColor="background1" w:themeShade="80"/>
          <w:sz w:val="22"/>
          <w:szCs w:val="22"/>
          <w:lang w:val="en-GB"/>
        </w:rPr>
        <w:t>entrust</w:t>
      </w:r>
      <w:r w:rsidR="00065EA7" w:rsidRPr="00994C6A">
        <w:rPr>
          <w:rFonts w:ascii="Avenir Next" w:hAnsi="Avenir Next" w:cs="Arial"/>
          <w:color w:val="808080" w:themeColor="background1" w:themeShade="80"/>
          <w:sz w:val="22"/>
          <w:szCs w:val="22"/>
          <w:lang w:val="en-GB"/>
        </w:rPr>
        <w:t xml:space="preserve">ing </w:t>
      </w:r>
      <w:r w:rsidR="00065EA7" w:rsidRPr="00994C6A">
        <w:rPr>
          <w:rFonts w:ascii="Avenir Next" w:hAnsi="Avenir Next" w:cs="Arial"/>
          <w:color w:val="808080" w:themeColor="background1" w:themeShade="80"/>
          <w:sz w:val="22"/>
          <w:szCs w:val="22"/>
          <w:lang w:val="en-GB"/>
        </w:rPr>
        <w:t>the administration of the debtor's assets to the foreign representative or any other person</w:t>
      </w:r>
      <w:r w:rsidR="00065EA7" w:rsidRPr="00994C6A">
        <w:rPr>
          <w:rFonts w:ascii="Avenir Next" w:hAnsi="Avenir Next" w:cs="Arial"/>
          <w:color w:val="808080" w:themeColor="background1" w:themeShade="80"/>
          <w:sz w:val="22"/>
          <w:szCs w:val="22"/>
          <w:lang w:val="en-GB"/>
        </w:rPr>
        <w:t xml:space="preserve"> </w:t>
      </w:r>
      <w:r w:rsidR="00400A9C" w:rsidRPr="00994C6A">
        <w:rPr>
          <w:rFonts w:ascii="Avenir Next" w:hAnsi="Avenir Next" w:cs="Arial"/>
          <w:color w:val="808080" w:themeColor="background1" w:themeShade="80"/>
          <w:sz w:val="22"/>
          <w:szCs w:val="22"/>
          <w:lang w:val="en-GB"/>
        </w:rPr>
        <w:t xml:space="preserve">.  </w:t>
      </w:r>
    </w:p>
    <w:p w14:paraId="0295EA71" w14:textId="6BBBAED9" w:rsidR="00400A9C" w:rsidRPr="00400A9C" w:rsidRDefault="00400A9C" w:rsidP="00DD0C7C">
      <w:pPr>
        <w:ind w:left="720" w:hanging="720"/>
        <w:jc w:val="both"/>
        <w:rPr>
          <w:rFonts w:ascii="Avenir Next" w:hAnsi="Avenir Next" w:cs="Arial"/>
          <w:sz w:val="22"/>
          <w:szCs w:val="22"/>
          <w:lang w:val="en-GB"/>
        </w:rPr>
      </w:pPr>
      <w:r>
        <w:rPr>
          <w:rFonts w:ascii="Avenir Next" w:hAnsi="Avenir Next" w:cs="Arial"/>
          <w:sz w:val="22"/>
          <w:szCs w:val="22"/>
          <w:lang w:val="en-GB"/>
        </w:rPr>
        <w:t xml:space="preserve"> </w:t>
      </w:r>
    </w:p>
    <w:p w14:paraId="59586374" w14:textId="4F384E6F" w:rsidR="00867A8F" w:rsidRPr="00B77352" w:rsidRDefault="00867A8F" w:rsidP="00AA66B3">
      <w:pPr>
        <w:jc w:val="both"/>
        <w:rPr>
          <w:rFonts w:ascii="Avenir Next" w:hAnsi="Avenir Next" w:cs="Arial"/>
          <w:color w:val="808080" w:themeColor="background1" w:themeShade="80"/>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47E6F057" w:rsidR="00D5244F" w:rsidRPr="00400A9C" w:rsidRDefault="004A2898" w:rsidP="002F5EFE">
      <w:pPr>
        <w:jc w:val="both"/>
        <w:rPr>
          <w:rFonts w:ascii="Avenir Next" w:hAnsi="Avenir Next" w:cs="Arial"/>
          <w:color w:val="808080" w:themeColor="background1" w:themeShade="80"/>
          <w:sz w:val="22"/>
          <w:szCs w:val="22"/>
          <w:lang w:val="en-GB"/>
        </w:rPr>
      </w:pPr>
      <w:proofErr w:type="spellStart"/>
      <w:r w:rsidRPr="00071DEB">
        <w:rPr>
          <w:rFonts w:ascii="Avenir Next" w:hAnsi="Avenir Next" w:cs="Arial"/>
          <w:color w:val="808080" w:themeColor="background1" w:themeShade="80"/>
          <w:sz w:val="22"/>
          <w:szCs w:val="22"/>
          <w:lang w:val="en-GB"/>
        </w:rPr>
        <w:t>Protasov</w:t>
      </w:r>
      <w:proofErr w:type="spellEnd"/>
      <w:r w:rsidRPr="00071DEB">
        <w:rPr>
          <w:rFonts w:ascii="Avenir Next" w:hAnsi="Avenir Next" w:cs="Arial"/>
          <w:color w:val="808080" w:themeColor="background1" w:themeShade="80"/>
          <w:sz w:val="22"/>
          <w:szCs w:val="22"/>
          <w:lang w:val="en-GB"/>
        </w:rPr>
        <w:t xml:space="preserve"> v </w:t>
      </w:r>
      <w:proofErr w:type="spellStart"/>
      <w:r w:rsidRPr="00071DEB">
        <w:rPr>
          <w:rFonts w:ascii="Avenir Next" w:hAnsi="Avenir Next" w:cs="Arial"/>
          <w:color w:val="808080" w:themeColor="background1" w:themeShade="80"/>
          <w:sz w:val="22"/>
          <w:szCs w:val="22"/>
          <w:lang w:val="en-GB"/>
        </w:rPr>
        <w:t>Derev</w:t>
      </w:r>
      <w:proofErr w:type="spellEnd"/>
      <w:r w:rsidRPr="00071DE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Pr="00071DEB">
        <w:rPr>
          <w:rFonts w:ascii="Avenir Next" w:hAnsi="Avenir Next" w:cs="Arial"/>
          <w:color w:val="808080" w:themeColor="background1" w:themeShade="80"/>
          <w:sz w:val="22"/>
          <w:szCs w:val="22"/>
          <w:lang w:val="en-GB"/>
        </w:rPr>
        <w:t>2021] EWHC 392 (CH)</w:t>
      </w:r>
      <w:r>
        <w:rPr>
          <w:rFonts w:ascii="Avenir Next" w:hAnsi="Avenir Next" w:cs="Arial"/>
          <w:color w:val="808080" w:themeColor="background1" w:themeShade="80"/>
          <w:sz w:val="22"/>
          <w:szCs w:val="22"/>
          <w:lang w:val="en-GB"/>
        </w:rPr>
        <w:t xml:space="preserve"> held that there was a restriction </w:t>
      </w:r>
      <w:r w:rsidRPr="004A2898">
        <w:rPr>
          <w:rFonts w:ascii="Avenir Next" w:hAnsi="Avenir Next" w:cs="Arial"/>
          <w:color w:val="808080" w:themeColor="background1" w:themeShade="80"/>
          <w:sz w:val="22"/>
          <w:szCs w:val="22"/>
          <w:lang w:val="en-GB"/>
        </w:rPr>
        <w:t>and limitations on its ability to continue with the freezing order post recognition</w:t>
      </w:r>
      <w:r w:rsidR="002F5EF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2F5EFE">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w:t>
      </w:r>
      <w:r w:rsidR="002F5EFE">
        <w:rPr>
          <w:rFonts w:ascii="Avenir Next" w:hAnsi="Avenir Next" w:cs="Arial"/>
          <w:color w:val="808080" w:themeColor="background1" w:themeShade="80"/>
          <w:sz w:val="22"/>
          <w:szCs w:val="22"/>
          <w:lang w:val="en-GB"/>
        </w:rPr>
        <w:t xml:space="preserve">intention of the </w:t>
      </w:r>
      <w:r w:rsidRPr="004A2898">
        <w:rPr>
          <w:rFonts w:ascii="Avenir Next" w:hAnsi="Avenir Next" w:cs="Arial"/>
          <w:color w:val="808080" w:themeColor="background1" w:themeShade="80"/>
          <w:sz w:val="22"/>
          <w:szCs w:val="22"/>
          <w:lang w:val="en-GB"/>
        </w:rPr>
        <w:t>MLCBI was to put the foreign representative in the same position as a domestic office holder and a continuance of the freezing order, was not justified</w:t>
      </w:r>
      <w:r w:rsidR="002F5EFE">
        <w:rPr>
          <w:rFonts w:ascii="Avenir Next" w:hAnsi="Avenir Next" w:cs="Arial"/>
          <w:color w:val="808080" w:themeColor="background1" w:themeShade="80"/>
          <w:sz w:val="22"/>
          <w:szCs w:val="22"/>
          <w:lang w:val="en-GB"/>
        </w:rPr>
        <w:t xml:space="preserve"> unless there </w:t>
      </w:r>
      <w:r w:rsidR="002F5EFE" w:rsidRPr="004A2898">
        <w:rPr>
          <w:rFonts w:ascii="Avenir Next" w:hAnsi="Avenir Next" w:cs="Arial"/>
          <w:color w:val="808080" w:themeColor="background1" w:themeShade="80"/>
          <w:sz w:val="22"/>
          <w:szCs w:val="22"/>
          <w:lang w:val="en-GB"/>
        </w:rPr>
        <w:t>exceptional reasons</w:t>
      </w:r>
      <w:r w:rsidR="002F5EFE">
        <w:rPr>
          <w:rFonts w:ascii="Avenir Next" w:hAnsi="Avenir Next" w:cs="Arial"/>
          <w:color w:val="808080" w:themeColor="background1" w:themeShade="80"/>
          <w:sz w:val="22"/>
          <w:szCs w:val="22"/>
          <w:lang w:val="en-GB"/>
        </w:rPr>
        <w:t xml:space="preserve"> to do so.</w:t>
      </w:r>
    </w:p>
    <w:p w14:paraId="39D4F571" w14:textId="77777777" w:rsidR="00867A8F" w:rsidRPr="00E2622D" w:rsidRDefault="00867A8F" w:rsidP="002F5EFE">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 xml:space="preserve">As of 13 August 2015, the </w:t>
      </w:r>
      <w:r w:rsidRPr="00E2622D">
        <w:rPr>
          <w:rFonts w:ascii="Avenir Next" w:hAnsi="Avenir Next" w:cs="Arial"/>
          <w:color w:val="000000"/>
          <w:sz w:val="22"/>
          <w:szCs w:val="22"/>
          <w:lang w:val="en-GB" w:eastAsia="en-GB"/>
        </w:rPr>
        <w:lastRenderedPageBreak/>
        <w:t>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263DF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263DF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263DF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263DFA">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4518FE33" w14:textId="7CA17E14" w:rsidR="00867A8F" w:rsidRPr="0004069E" w:rsidRDefault="008A7470" w:rsidP="00263DFA">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263DF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263DF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263DF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263DF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263DF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263DF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263DF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263DF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263DF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263DF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263DF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774889C0" w:rsidR="008A7470" w:rsidRDefault="008A7470" w:rsidP="00263DFA">
      <w:pPr>
        <w:pStyle w:val="ListParagraph"/>
        <w:numPr>
          <w:ilvl w:val="2"/>
          <w:numId w:val="15"/>
        </w:numPr>
        <w:jc w:val="both"/>
        <w:rPr>
          <w:rFonts w:ascii="Avenir Next" w:hAnsi="Avenir Next" w:cs="Arial"/>
          <w:color w:val="000000"/>
          <w:sz w:val="22"/>
          <w:szCs w:val="22"/>
          <w:lang w:val="en-GB" w:eastAsia="en-GB"/>
        </w:rPr>
      </w:pPr>
      <w:r w:rsidRPr="00AD3201">
        <w:rPr>
          <w:rFonts w:ascii="Avenir Next" w:hAnsi="Avenir Next" w:cs="Arial"/>
          <w:color w:val="000000"/>
          <w:sz w:val="22"/>
          <w:szCs w:val="22"/>
          <w:highlight w:val="yellow"/>
          <w:lang w:val="en-GB" w:eastAsia="en-GB"/>
        </w:rPr>
        <w:t>whether the Bank</w:t>
      </w:r>
      <w:r w:rsidR="008512FA" w:rsidRPr="00AD3201">
        <w:rPr>
          <w:rFonts w:ascii="Avenir Next" w:hAnsi="Avenir Next" w:cs="Arial"/>
          <w:color w:val="000000"/>
          <w:sz w:val="22"/>
          <w:szCs w:val="22"/>
          <w:highlight w:val="yellow"/>
          <w:lang w:val="en-GB" w:eastAsia="en-GB"/>
        </w:rPr>
        <w:t>’</w:t>
      </w:r>
      <w:r w:rsidRPr="00AD3201">
        <w:rPr>
          <w:rFonts w:ascii="Avenir Next" w:hAnsi="Avenir Next" w:cs="Arial"/>
          <w:color w:val="000000"/>
          <w:sz w:val="22"/>
          <w:szCs w:val="22"/>
          <w:highlight w:val="yellow"/>
          <w:lang w:val="en-GB" w:eastAsia="en-GB"/>
        </w:rPr>
        <w:t xml:space="preserve">s liquidation comprises a </w:t>
      </w:r>
      <w:r w:rsidR="008512FA" w:rsidRPr="00AD3201">
        <w:rPr>
          <w:rFonts w:ascii="Avenir Next" w:hAnsi="Avenir Next" w:cs="Arial"/>
          <w:color w:val="000000"/>
          <w:sz w:val="22"/>
          <w:szCs w:val="22"/>
          <w:highlight w:val="yellow"/>
          <w:lang w:val="en-GB" w:eastAsia="en-GB"/>
        </w:rPr>
        <w:t>“</w:t>
      </w:r>
      <w:r w:rsidRPr="00AD3201">
        <w:rPr>
          <w:rFonts w:ascii="Avenir Next" w:hAnsi="Avenir Next" w:cs="Arial"/>
          <w:color w:val="000000"/>
          <w:sz w:val="22"/>
          <w:szCs w:val="22"/>
          <w:highlight w:val="yellow"/>
          <w:lang w:val="en-GB" w:eastAsia="en-GB"/>
        </w:rPr>
        <w:t>foreign proceeding</w:t>
      </w:r>
      <w:r w:rsidR="008512FA" w:rsidRPr="00AD3201">
        <w:rPr>
          <w:rFonts w:ascii="Avenir Next" w:hAnsi="Avenir Next" w:cs="Arial"/>
          <w:color w:val="000000"/>
          <w:sz w:val="22"/>
          <w:szCs w:val="22"/>
          <w:highlight w:val="yellow"/>
          <w:lang w:val="en-GB" w:eastAsia="en-GB"/>
        </w:rPr>
        <w:t>”</w:t>
      </w:r>
      <w:r w:rsidRPr="00AD3201">
        <w:rPr>
          <w:rFonts w:ascii="Avenir Next" w:hAnsi="Avenir Next" w:cs="Arial"/>
          <w:color w:val="000000"/>
          <w:sz w:val="22"/>
          <w:szCs w:val="22"/>
          <w:highlight w:val="yellow"/>
          <w:lang w:val="en-GB" w:eastAsia="en-GB"/>
        </w:rPr>
        <w:t xml:space="preserve"> within the meaning of </w:t>
      </w:r>
      <w:r w:rsidR="00957951" w:rsidRPr="00AD3201">
        <w:rPr>
          <w:rFonts w:ascii="Avenir Next" w:hAnsi="Avenir Next" w:cs="Arial"/>
          <w:color w:val="000000"/>
          <w:sz w:val="22"/>
          <w:szCs w:val="22"/>
          <w:highlight w:val="yellow"/>
          <w:lang w:val="en-GB" w:eastAsia="en-GB"/>
        </w:rPr>
        <w:t xml:space="preserve">article </w:t>
      </w:r>
      <w:r w:rsidRPr="00AD3201">
        <w:rPr>
          <w:rFonts w:ascii="Avenir Next" w:hAnsi="Avenir Next" w:cs="Arial"/>
          <w:color w:val="000000"/>
          <w:sz w:val="22"/>
          <w:szCs w:val="22"/>
          <w:highlight w:val="yellow"/>
          <w:lang w:val="en-GB" w:eastAsia="en-GB"/>
        </w:rPr>
        <w:t>2(a) of the MLCBI</w:t>
      </w:r>
      <w:r w:rsidR="002F78CA" w:rsidRPr="00AD3201">
        <w:rPr>
          <w:rFonts w:ascii="Avenir Next" w:hAnsi="Avenir Next" w:cs="Arial"/>
          <w:color w:val="000000"/>
          <w:sz w:val="22"/>
          <w:szCs w:val="22"/>
          <w:highlight w:val="yellow"/>
          <w:lang w:val="en-GB" w:eastAsia="en-GB"/>
        </w:rPr>
        <w:t xml:space="preserve"> </w:t>
      </w:r>
      <w:r w:rsidR="002F78CA" w:rsidRPr="00AD3201">
        <w:rPr>
          <w:rFonts w:ascii="Avenir Next Demi Bold" w:hAnsi="Avenir Next Demi Bold" w:cs="Arial"/>
          <w:b/>
          <w:bCs/>
          <w:color w:val="000000"/>
          <w:sz w:val="22"/>
          <w:szCs w:val="22"/>
          <w:highlight w:val="yellow"/>
          <w:lang w:val="en-GB" w:eastAsia="en-GB"/>
        </w:rPr>
        <w:t>[maximum 10 marks]</w:t>
      </w:r>
      <w:r w:rsidRPr="00AD3201">
        <w:rPr>
          <w:rFonts w:ascii="Avenir Next" w:hAnsi="Avenir Next" w:cs="Arial"/>
          <w:color w:val="000000"/>
          <w:sz w:val="22"/>
          <w:szCs w:val="22"/>
          <w:highlight w:val="yellow"/>
          <w:lang w:val="en-GB" w:eastAsia="en-GB"/>
        </w:rPr>
        <w:t>; and</w:t>
      </w:r>
    </w:p>
    <w:p w14:paraId="719E6A7B" w14:textId="77777777" w:rsidR="00F55112" w:rsidRDefault="00F55112" w:rsidP="008022C7">
      <w:pPr>
        <w:jc w:val="both"/>
        <w:rPr>
          <w:rFonts w:ascii="Avenir Next" w:hAnsi="Avenir Next" w:cs="Arial"/>
          <w:color w:val="000000"/>
          <w:sz w:val="22"/>
          <w:szCs w:val="22"/>
          <w:lang w:val="en-GB" w:eastAsia="en-GB"/>
        </w:rPr>
      </w:pPr>
    </w:p>
    <w:p w14:paraId="3F1EECCC" w14:textId="2E427C1B" w:rsidR="008022C7" w:rsidRPr="0025363A" w:rsidRDefault="007961D9" w:rsidP="0025363A">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In order to determine whether </w:t>
      </w:r>
      <w:r w:rsidRPr="007961D9">
        <w:rPr>
          <w:rFonts w:ascii="Avenir Next" w:hAnsi="Avenir Next" w:cs="Arial"/>
          <w:color w:val="000000"/>
          <w:sz w:val="22"/>
          <w:szCs w:val="22"/>
          <w:lang w:val="en-GB" w:eastAsia="en-GB"/>
        </w:rPr>
        <w:t>the Bank’s liquidation comprises a “foreign proceeding” within the meaning of article 2(a) of the MLCBI</w:t>
      </w:r>
      <w:r>
        <w:rPr>
          <w:rFonts w:ascii="Avenir Next" w:hAnsi="Avenir Next" w:cs="Arial"/>
          <w:color w:val="000000"/>
          <w:sz w:val="22"/>
          <w:szCs w:val="22"/>
          <w:lang w:val="en-GB" w:eastAsia="en-GB"/>
        </w:rPr>
        <w:t xml:space="preserve">, </w:t>
      </w:r>
      <w:r w:rsidR="0025363A">
        <w:rPr>
          <w:rFonts w:ascii="Avenir Next" w:hAnsi="Avenir Next" w:cs="Arial"/>
          <w:color w:val="000000"/>
          <w:sz w:val="22"/>
          <w:szCs w:val="22"/>
          <w:lang w:val="en-GB" w:eastAsia="en-GB"/>
        </w:rPr>
        <w:t xml:space="preserve">it is necessary to </w:t>
      </w:r>
      <w:r w:rsidR="00F55112">
        <w:rPr>
          <w:rFonts w:ascii="Avenir Next" w:hAnsi="Avenir Next" w:cs="Arial"/>
          <w:color w:val="000000"/>
          <w:sz w:val="22"/>
          <w:szCs w:val="22"/>
          <w:lang w:val="en-GB" w:eastAsia="en-GB"/>
        </w:rPr>
        <w:t>determine</w:t>
      </w:r>
      <w:r w:rsidR="0025363A">
        <w:rPr>
          <w:rFonts w:ascii="Avenir Next" w:hAnsi="Avenir Next" w:cs="Arial"/>
          <w:color w:val="000000"/>
          <w:sz w:val="22"/>
          <w:szCs w:val="22"/>
          <w:lang w:val="en-GB" w:eastAsia="en-GB"/>
        </w:rPr>
        <w:t xml:space="preserve"> </w:t>
      </w:r>
      <w:r w:rsidR="00F55112" w:rsidRPr="0025363A">
        <w:rPr>
          <w:rFonts w:ascii="Avenir Next" w:hAnsi="Avenir Next" w:cs="Arial"/>
          <w:color w:val="000000"/>
          <w:sz w:val="22"/>
          <w:szCs w:val="22"/>
          <w:lang w:val="en-GB" w:eastAsia="en-GB"/>
        </w:rPr>
        <w:t xml:space="preserve">whether the </w:t>
      </w:r>
      <w:r w:rsidR="00F55112" w:rsidRPr="0025363A">
        <w:rPr>
          <w:rFonts w:ascii="Avenir Next" w:hAnsi="Avenir Next" w:cs="Arial"/>
          <w:color w:val="000000"/>
          <w:sz w:val="22"/>
          <w:szCs w:val="22"/>
          <w:lang w:val="en-GB" w:eastAsia="en-GB"/>
        </w:rPr>
        <w:t xml:space="preserve">Bank </w:t>
      </w:r>
      <w:r w:rsidR="00F55112" w:rsidRPr="0025363A">
        <w:rPr>
          <w:rFonts w:ascii="Avenir Next" w:hAnsi="Avenir Next" w:cs="Arial"/>
          <w:color w:val="000000"/>
          <w:sz w:val="22"/>
          <w:szCs w:val="22"/>
          <w:lang w:val="en-GB" w:eastAsia="en-GB"/>
        </w:rPr>
        <w:t>falls within the definition of</w:t>
      </w:r>
      <w:r w:rsidR="00F55112" w:rsidRPr="0025363A">
        <w:rPr>
          <w:rFonts w:ascii="Avenir Next" w:hAnsi="Avenir Next" w:cs="Arial"/>
          <w:color w:val="000000"/>
          <w:sz w:val="22"/>
          <w:szCs w:val="22"/>
          <w:lang w:val="en-GB" w:eastAsia="en-GB"/>
        </w:rPr>
        <w:t xml:space="preserve"> a third party credit institution within the meaning of regulation 36</w:t>
      </w:r>
      <w:r w:rsidR="00F55112" w:rsidRPr="0025363A">
        <w:rPr>
          <w:rFonts w:ascii="Avenir Next" w:hAnsi="Avenir Next" w:cs="Arial"/>
          <w:color w:val="000000"/>
          <w:sz w:val="22"/>
          <w:szCs w:val="22"/>
          <w:lang w:val="en-GB" w:eastAsia="en-GB"/>
        </w:rPr>
        <w:t xml:space="preserve"> </w:t>
      </w:r>
      <w:r w:rsidR="00F55112" w:rsidRPr="0025363A">
        <w:rPr>
          <w:rFonts w:ascii="Avenir Next" w:hAnsi="Avenir Next" w:cs="Arial"/>
          <w:color w:val="000000"/>
          <w:sz w:val="22"/>
          <w:szCs w:val="22"/>
          <w:lang w:val="en-GB" w:eastAsia="en-GB"/>
        </w:rPr>
        <w:t>of the Credit Institutions (Reorganisation and Winding Up) Regulations 2004</w:t>
      </w:r>
      <w:r w:rsidR="00F55112" w:rsidRPr="0025363A">
        <w:rPr>
          <w:rFonts w:ascii="Avenir Next" w:hAnsi="Avenir Next" w:cs="Arial"/>
          <w:color w:val="000000"/>
          <w:sz w:val="22"/>
          <w:szCs w:val="22"/>
          <w:lang w:val="en-GB" w:eastAsia="en-GB"/>
        </w:rPr>
        <w:t xml:space="preserve"> </w:t>
      </w:r>
      <w:r w:rsidR="0025363A">
        <w:rPr>
          <w:rFonts w:ascii="Avenir Next" w:hAnsi="Avenir Next" w:cs="Arial"/>
          <w:color w:val="000000"/>
          <w:sz w:val="22"/>
          <w:szCs w:val="22"/>
          <w:lang w:val="en-GB" w:eastAsia="en-GB"/>
        </w:rPr>
        <w:t>which I'm unable to determine.</w:t>
      </w:r>
      <w:r w:rsidR="00F55112" w:rsidRPr="0025363A">
        <w:rPr>
          <w:rFonts w:ascii="Avenir Next" w:hAnsi="Avenir Next" w:cs="Arial"/>
          <w:color w:val="000000"/>
          <w:sz w:val="22"/>
          <w:szCs w:val="22"/>
          <w:lang w:val="en-GB" w:eastAsia="en-GB"/>
        </w:rPr>
        <w:t xml:space="preserve">  </w:t>
      </w:r>
    </w:p>
    <w:p w14:paraId="19318A2B" w14:textId="1DA66441" w:rsidR="001D14E4" w:rsidRDefault="001D14E4" w:rsidP="008022C7">
      <w:pPr>
        <w:jc w:val="both"/>
        <w:rPr>
          <w:rFonts w:ascii="Avenir Next" w:hAnsi="Avenir Next" w:cs="Arial"/>
          <w:color w:val="000000"/>
          <w:sz w:val="22"/>
          <w:szCs w:val="22"/>
          <w:lang w:val="en-GB" w:eastAsia="en-GB"/>
        </w:rPr>
      </w:pPr>
    </w:p>
    <w:p w14:paraId="151AE231" w14:textId="77777777" w:rsidR="006E333B" w:rsidRDefault="007961D9" w:rsidP="007961D9">
      <w:pPr>
        <w:jc w:val="both"/>
        <w:rPr>
          <w:rFonts w:ascii="Avenir Next" w:hAnsi="Avenir Next" w:cs="Arial"/>
          <w:color w:val="000000"/>
          <w:sz w:val="22"/>
          <w:szCs w:val="22"/>
          <w:lang w:val="en-GB" w:eastAsia="en-GB"/>
        </w:rPr>
      </w:pPr>
      <w:r w:rsidRPr="0025363A">
        <w:rPr>
          <w:rFonts w:ascii="Avenir Next" w:hAnsi="Avenir Next" w:cs="Arial"/>
          <w:color w:val="000000"/>
          <w:sz w:val="22"/>
          <w:szCs w:val="22"/>
          <w:lang w:val="en-GB" w:eastAsia="en-GB"/>
        </w:rPr>
        <w:t xml:space="preserve">Article 2(a) of the MLCBI describes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w:t>
      </w:r>
      <w:r>
        <w:rPr>
          <w:rFonts w:ascii="Avenir Next" w:hAnsi="Avenir Next" w:cs="Arial"/>
          <w:color w:val="000000"/>
          <w:sz w:val="22"/>
          <w:szCs w:val="22"/>
          <w:lang w:val="en-GB" w:eastAsia="en-GB"/>
        </w:rPr>
        <w:t>T</w:t>
      </w:r>
      <w:r w:rsidRPr="007961D9">
        <w:rPr>
          <w:rFonts w:ascii="Avenir Next" w:hAnsi="Avenir Next" w:cs="Arial"/>
          <w:color w:val="000000"/>
          <w:sz w:val="22"/>
          <w:szCs w:val="22"/>
          <w:lang w:val="en-GB" w:eastAsia="en-GB"/>
        </w:rPr>
        <w:t xml:space="preserve">he liquidation of the Bank does not appear to be subject to </w:t>
      </w:r>
      <w:r w:rsidR="0025363A">
        <w:rPr>
          <w:rFonts w:ascii="Avenir Next" w:hAnsi="Avenir Next" w:cs="Arial"/>
          <w:color w:val="000000"/>
          <w:sz w:val="22"/>
          <w:szCs w:val="22"/>
          <w:lang w:val="en-GB" w:eastAsia="en-GB"/>
        </w:rPr>
        <w:t xml:space="preserve">any sort of  </w:t>
      </w:r>
      <w:r w:rsidRPr="007961D9">
        <w:rPr>
          <w:rFonts w:ascii="Avenir Next" w:hAnsi="Avenir Next" w:cs="Arial"/>
          <w:color w:val="000000"/>
          <w:sz w:val="22"/>
          <w:szCs w:val="22"/>
          <w:lang w:val="en-GB" w:eastAsia="en-GB"/>
        </w:rPr>
        <w:t>judicial oversight</w:t>
      </w:r>
      <w:r w:rsidR="00E53BA9">
        <w:rPr>
          <w:rFonts w:ascii="Avenir Next" w:hAnsi="Avenir Next" w:cs="Arial"/>
          <w:color w:val="000000"/>
          <w:sz w:val="22"/>
          <w:szCs w:val="22"/>
          <w:lang w:val="en-GB" w:eastAsia="en-GB"/>
        </w:rPr>
        <w:t xml:space="preserve"> but rather </w:t>
      </w:r>
      <w:r w:rsidR="0025363A">
        <w:rPr>
          <w:rFonts w:ascii="Avenir Next" w:hAnsi="Avenir Next" w:cs="Arial"/>
          <w:color w:val="000000"/>
          <w:sz w:val="22"/>
          <w:szCs w:val="22"/>
          <w:lang w:val="en-GB" w:eastAsia="en-GB"/>
        </w:rPr>
        <w:t xml:space="preserve">governed by a </w:t>
      </w:r>
      <w:r w:rsidRPr="007961D9">
        <w:rPr>
          <w:rFonts w:ascii="Avenir Next" w:hAnsi="Avenir Next" w:cs="Arial"/>
          <w:color w:val="000000"/>
          <w:sz w:val="22"/>
          <w:szCs w:val="22"/>
          <w:lang w:val="en-GB" w:eastAsia="en-GB"/>
        </w:rPr>
        <w:t xml:space="preserve">statutory process </w:t>
      </w:r>
      <w:r w:rsidR="0025363A">
        <w:rPr>
          <w:rFonts w:ascii="Avenir Next" w:hAnsi="Avenir Next" w:cs="Arial"/>
          <w:color w:val="000000"/>
          <w:sz w:val="22"/>
          <w:szCs w:val="22"/>
          <w:lang w:val="en-GB" w:eastAsia="en-GB"/>
        </w:rPr>
        <w:t xml:space="preserve">under </w:t>
      </w:r>
      <w:r w:rsidRPr="007961D9">
        <w:rPr>
          <w:rFonts w:ascii="Avenir Next" w:hAnsi="Avenir Next" w:cs="Arial"/>
          <w:color w:val="000000"/>
          <w:sz w:val="22"/>
          <w:szCs w:val="22"/>
          <w:lang w:val="en-GB" w:eastAsia="en-GB"/>
        </w:rPr>
        <w:t xml:space="preserve">Country A's laws </w:t>
      </w:r>
      <w:r w:rsidR="00E53BA9">
        <w:rPr>
          <w:rFonts w:ascii="Avenir Next" w:hAnsi="Avenir Next" w:cs="Arial"/>
          <w:color w:val="000000"/>
          <w:sz w:val="22"/>
          <w:szCs w:val="22"/>
          <w:lang w:val="en-GB" w:eastAsia="en-GB"/>
        </w:rPr>
        <w:t xml:space="preserve">. </w:t>
      </w:r>
      <w:r w:rsidRPr="007961D9">
        <w:rPr>
          <w:rFonts w:ascii="Avenir Next" w:hAnsi="Avenir Next" w:cs="Arial"/>
          <w:color w:val="000000"/>
          <w:sz w:val="22"/>
          <w:szCs w:val="22"/>
          <w:lang w:val="en-GB" w:eastAsia="en-GB"/>
        </w:rPr>
        <w:t>The domestic liquidation is</w:t>
      </w:r>
      <w:r w:rsidR="0025363A">
        <w:rPr>
          <w:rFonts w:ascii="Avenir Next" w:hAnsi="Avenir Next" w:cs="Arial"/>
          <w:color w:val="000000"/>
          <w:sz w:val="22"/>
          <w:szCs w:val="22"/>
          <w:lang w:val="en-GB" w:eastAsia="en-GB"/>
        </w:rPr>
        <w:t xml:space="preserve"> still</w:t>
      </w:r>
      <w:r w:rsidR="00E53BA9">
        <w:rPr>
          <w:rFonts w:ascii="Avenir Next" w:hAnsi="Avenir Next" w:cs="Arial"/>
          <w:color w:val="000000"/>
          <w:sz w:val="22"/>
          <w:szCs w:val="22"/>
          <w:lang w:val="en-GB" w:eastAsia="en-GB"/>
        </w:rPr>
        <w:t xml:space="preserve"> </w:t>
      </w:r>
      <w:r w:rsidRPr="007961D9">
        <w:rPr>
          <w:rFonts w:ascii="Avenir Next" w:hAnsi="Avenir Next" w:cs="Arial"/>
          <w:color w:val="000000"/>
          <w:sz w:val="22"/>
          <w:szCs w:val="22"/>
          <w:lang w:val="en-GB" w:eastAsia="en-GB"/>
        </w:rPr>
        <w:t>capable of constituting a foreign proceeding</w:t>
      </w:r>
      <w:r w:rsidR="0025363A">
        <w:rPr>
          <w:rFonts w:ascii="Avenir Next" w:hAnsi="Avenir Next" w:cs="Arial"/>
          <w:color w:val="000000"/>
          <w:sz w:val="22"/>
          <w:szCs w:val="22"/>
          <w:lang w:val="en-GB" w:eastAsia="en-GB"/>
        </w:rPr>
        <w:t xml:space="preserve"> </w:t>
      </w:r>
      <w:r w:rsidRPr="007961D9">
        <w:rPr>
          <w:rFonts w:ascii="Avenir Next" w:hAnsi="Avenir Next" w:cs="Arial"/>
          <w:color w:val="000000"/>
          <w:sz w:val="22"/>
          <w:szCs w:val="22"/>
          <w:lang w:val="en-GB" w:eastAsia="en-GB"/>
        </w:rPr>
        <w:t xml:space="preserve">but  the domestic legislation and the procedures </w:t>
      </w:r>
      <w:r w:rsidR="00E53BA9">
        <w:rPr>
          <w:rFonts w:ascii="Avenir Next" w:hAnsi="Avenir Next" w:cs="Arial"/>
          <w:color w:val="000000"/>
          <w:sz w:val="22"/>
          <w:szCs w:val="22"/>
          <w:lang w:val="en-GB" w:eastAsia="en-GB"/>
        </w:rPr>
        <w:t xml:space="preserve">used </w:t>
      </w:r>
      <w:r w:rsidRPr="007961D9">
        <w:rPr>
          <w:rFonts w:ascii="Avenir Next" w:hAnsi="Avenir Next" w:cs="Arial"/>
          <w:color w:val="000000"/>
          <w:sz w:val="22"/>
          <w:szCs w:val="22"/>
          <w:lang w:val="en-GB" w:eastAsia="en-GB"/>
        </w:rPr>
        <w:t>to liquidate the Bank and to realise value for the creditors</w:t>
      </w:r>
      <w:r w:rsidR="0025363A">
        <w:rPr>
          <w:rFonts w:ascii="Avenir Next" w:hAnsi="Avenir Next" w:cs="Arial"/>
          <w:color w:val="000000"/>
          <w:sz w:val="22"/>
          <w:szCs w:val="22"/>
          <w:lang w:val="en-GB" w:eastAsia="en-GB"/>
        </w:rPr>
        <w:t xml:space="preserve"> will need to be considered.</w:t>
      </w:r>
      <w:r w:rsidR="00263DFA">
        <w:rPr>
          <w:rFonts w:ascii="Avenir Next" w:hAnsi="Avenir Next" w:cs="Arial"/>
          <w:color w:val="000000"/>
          <w:sz w:val="22"/>
          <w:szCs w:val="22"/>
          <w:lang w:val="en-GB" w:eastAsia="en-GB"/>
        </w:rPr>
        <w:t xml:space="preserve"> </w:t>
      </w:r>
      <w:r w:rsidRPr="007961D9">
        <w:rPr>
          <w:rFonts w:ascii="Avenir Next" w:hAnsi="Avenir Next" w:cs="Arial"/>
          <w:color w:val="000000"/>
          <w:sz w:val="22"/>
          <w:szCs w:val="22"/>
          <w:lang w:val="en-GB" w:eastAsia="en-GB"/>
        </w:rPr>
        <w:t xml:space="preserve"> </w:t>
      </w:r>
      <w:r w:rsidR="00263DFA">
        <w:rPr>
          <w:rFonts w:ascii="Avenir Next" w:hAnsi="Avenir Next" w:cs="Arial"/>
          <w:color w:val="000000"/>
          <w:sz w:val="22"/>
          <w:szCs w:val="22"/>
          <w:lang w:val="en-GB" w:eastAsia="en-GB"/>
        </w:rPr>
        <w:t xml:space="preserve">I have </w:t>
      </w:r>
      <w:r w:rsidRPr="007961D9">
        <w:rPr>
          <w:rFonts w:ascii="Avenir Next" w:hAnsi="Avenir Next" w:cs="Arial"/>
          <w:color w:val="000000"/>
          <w:sz w:val="22"/>
          <w:szCs w:val="22"/>
          <w:lang w:val="en-GB" w:eastAsia="en-GB"/>
        </w:rPr>
        <w:t xml:space="preserve">considered art. 76 of the LBBA </w:t>
      </w:r>
      <w:r w:rsidR="00263DFA">
        <w:rPr>
          <w:rFonts w:ascii="Avenir Next" w:hAnsi="Avenir Next" w:cs="Arial"/>
          <w:color w:val="000000"/>
          <w:sz w:val="22"/>
          <w:szCs w:val="22"/>
          <w:lang w:val="en-GB" w:eastAsia="en-GB"/>
        </w:rPr>
        <w:t xml:space="preserve">which </w:t>
      </w:r>
      <w:r w:rsidRPr="007961D9">
        <w:rPr>
          <w:rFonts w:ascii="Avenir Next" w:hAnsi="Avenir Next" w:cs="Arial"/>
          <w:color w:val="000000"/>
          <w:sz w:val="22"/>
          <w:szCs w:val="22"/>
          <w:lang w:val="en-GB" w:eastAsia="en-GB"/>
        </w:rPr>
        <w:t>permit</w:t>
      </w:r>
      <w:r w:rsidR="00263DFA">
        <w:rPr>
          <w:rFonts w:ascii="Avenir Next" w:hAnsi="Avenir Next" w:cs="Arial"/>
          <w:color w:val="000000"/>
          <w:sz w:val="22"/>
          <w:szCs w:val="22"/>
          <w:lang w:val="en-GB" w:eastAsia="en-GB"/>
        </w:rPr>
        <w:t>s</w:t>
      </w:r>
      <w:r w:rsidRPr="007961D9">
        <w:rPr>
          <w:rFonts w:ascii="Avenir Next" w:hAnsi="Avenir Next" w:cs="Arial"/>
          <w:color w:val="000000"/>
          <w:sz w:val="22"/>
          <w:szCs w:val="22"/>
          <w:lang w:val="en-GB" w:eastAsia="en-GB"/>
        </w:rPr>
        <w:t xml:space="preserve"> the Bank to </w:t>
      </w:r>
      <w:r w:rsidRPr="007961D9">
        <w:rPr>
          <w:rFonts w:ascii="Avenir Next" w:hAnsi="Avenir Next" w:cs="Arial"/>
          <w:color w:val="000000"/>
          <w:sz w:val="22"/>
          <w:szCs w:val="22"/>
          <w:lang w:val="en-GB" w:eastAsia="en-GB"/>
        </w:rPr>
        <w:lastRenderedPageBreak/>
        <w:t>classified as insolvent</w:t>
      </w:r>
      <w:r w:rsidR="00263DFA">
        <w:rPr>
          <w:rFonts w:ascii="Avenir Next" w:hAnsi="Avenir Next" w:cs="Arial"/>
          <w:color w:val="000000"/>
          <w:sz w:val="22"/>
          <w:szCs w:val="22"/>
          <w:lang w:val="en-GB" w:eastAsia="en-GB"/>
        </w:rPr>
        <w:t>. A</w:t>
      </w:r>
      <w:r w:rsidRPr="007961D9">
        <w:rPr>
          <w:rFonts w:ascii="Avenir Next" w:hAnsi="Avenir Next" w:cs="Arial"/>
          <w:color w:val="000000"/>
          <w:sz w:val="22"/>
          <w:szCs w:val="22"/>
          <w:lang w:val="en-GB" w:eastAsia="en-GB"/>
        </w:rPr>
        <w:t>rts 3(3) and 3(7) of the DGF Law confirm</w:t>
      </w:r>
      <w:r w:rsidR="00263DFA">
        <w:rPr>
          <w:rFonts w:ascii="Avenir Next" w:hAnsi="Avenir Next" w:cs="Arial"/>
          <w:color w:val="000000"/>
          <w:sz w:val="22"/>
          <w:szCs w:val="22"/>
          <w:lang w:val="en-GB" w:eastAsia="en-GB"/>
        </w:rPr>
        <w:t>s</w:t>
      </w:r>
      <w:r w:rsidRPr="007961D9">
        <w:rPr>
          <w:rFonts w:ascii="Avenir Next" w:hAnsi="Avenir Next" w:cs="Arial"/>
          <w:color w:val="000000"/>
          <w:sz w:val="22"/>
          <w:szCs w:val="22"/>
          <w:lang w:val="en-GB" w:eastAsia="en-GB"/>
        </w:rPr>
        <w:t xml:space="preserve"> the independence of the DGF, the structured mechanism for winding down the affairs of the Bank</w:t>
      </w:r>
      <w:r w:rsidR="00263DFA">
        <w:rPr>
          <w:rFonts w:ascii="Avenir Next" w:hAnsi="Avenir Next" w:cs="Arial"/>
          <w:color w:val="000000"/>
          <w:sz w:val="22"/>
          <w:szCs w:val="22"/>
          <w:lang w:val="en-GB" w:eastAsia="en-GB"/>
        </w:rPr>
        <w:t>.</w:t>
      </w:r>
    </w:p>
    <w:p w14:paraId="74D43C81" w14:textId="77777777" w:rsidR="006E333B" w:rsidRDefault="006E333B" w:rsidP="007961D9">
      <w:pPr>
        <w:jc w:val="both"/>
        <w:rPr>
          <w:rFonts w:ascii="Avenir Next" w:hAnsi="Avenir Next" w:cs="Arial"/>
          <w:color w:val="000000"/>
          <w:sz w:val="22"/>
          <w:szCs w:val="22"/>
          <w:lang w:val="en-GB" w:eastAsia="en-GB"/>
        </w:rPr>
      </w:pPr>
    </w:p>
    <w:p w14:paraId="1360C864" w14:textId="7ED2945D" w:rsidR="007961D9" w:rsidRDefault="00263DFA" w:rsidP="008022C7">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 </w:t>
      </w:r>
      <w:r w:rsidR="006E333B">
        <w:rPr>
          <w:rFonts w:ascii="Avenir Next" w:hAnsi="Avenir Next" w:cs="Arial"/>
          <w:color w:val="000000"/>
          <w:sz w:val="22"/>
          <w:szCs w:val="22"/>
          <w:lang w:val="en-GB" w:eastAsia="en-GB"/>
        </w:rPr>
        <w:t xml:space="preserve">Given the above, </w:t>
      </w:r>
      <w:r w:rsidR="007961D9" w:rsidRPr="007961D9">
        <w:rPr>
          <w:rFonts w:ascii="Avenir Next" w:hAnsi="Avenir Next" w:cs="Arial"/>
          <w:color w:val="000000"/>
          <w:sz w:val="22"/>
          <w:szCs w:val="22"/>
          <w:lang w:val="en-GB" w:eastAsia="en-GB"/>
        </w:rPr>
        <w:t>the liquidation</w:t>
      </w:r>
      <w:r w:rsidR="00E53BA9">
        <w:rPr>
          <w:rFonts w:ascii="Avenir Next" w:hAnsi="Avenir Next" w:cs="Arial"/>
          <w:color w:val="000000"/>
          <w:sz w:val="22"/>
          <w:szCs w:val="22"/>
          <w:lang w:val="en-GB" w:eastAsia="en-GB"/>
        </w:rPr>
        <w:t xml:space="preserve"> </w:t>
      </w:r>
      <w:r w:rsidR="00E53BA9" w:rsidRPr="00E53BA9">
        <w:rPr>
          <w:rFonts w:ascii="Avenir Next" w:hAnsi="Avenir Next" w:cs="Arial"/>
          <w:color w:val="000000"/>
          <w:sz w:val="22"/>
          <w:szCs w:val="22"/>
          <w:lang w:val="en-GB" w:eastAsia="en-GB"/>
        </w:rPr>
        <w:t>qualifies as a 'foreign proceeding'</w:t>
      </w:r>
      <w:r w:rsidR="00E53BA9">
        <w:rPr>
          <w:rFonts w:ascii="Avenir Next" w:hAnsi="Avenir Next" w:cs="Arial"/>
          <w:color w:val="000000"/>
          <w:sz w:val="22"/>
          <w:szCs w:val="22"/>
          <w:lang w:val="en-GB" w:eastAsia="en-GB"/>
        </w:rPr>
        <w:t xml:space="preserve"> considering</w:t>
      </w:r>
      <w:r w:rsidR="006E333B">
        <w:rPr>
          <w:rFonts w:ascii="Avenir Next" w:hAnsi="Avenir Next" w:cs="Arial"/>
          <w:color w:val="000000"/>
          <w:sz w:val="22"/>
          <w:szCs w:val="22"/>
          <w:lang w:val="en-GB" w:eastAsia="en-GB"/>
        </w:rPr>
        <w:t>.</w:t>
      </w:r>
    </w:p>
    <w:p w14:paraId="09C2FB61" w14:textId="18326A5E" w:rsidR="00957951" w:rsidRPr="00E2622D" w:rsidRDefault="00957951" w:rsidP="0025363A">
      <w:pPr>
        <w:jc w:val="both"/>
        <w:rPr>
          <w:rFonts w:ascii="Avenir Next" w:hAnsi="Avenir Next" w:cs="Arial"/>
          <w:color w:val="000000"/>
          <w:sz w:val="22"/>
          <w:szCs w:val="22"/>
          <w:lang w:val="en-GB" w:eastAsia="en-GB"/>
        </w:rPr>
      </w:pPr>
    </w:p>
    <w:p w14:paraId="365AA1D6" w14:textId="72C01C22" w:rsidR="008A7470" w:rsidRPr="00AD3201" w:rsidRDefault="008A7470" w:rsidP="00263DFA">
      <w:pPr>
        <w:pStyle w:val="ListParagraph"/>
        <w:numPr>
          <w:ilvl w:val="2"/>
          <w:numId w:val="15"/>
        </w:numPr>
        <w:jc w:val="both"/>
        <w:rPr>
          <w:rFonts w:ascii="Avenir Next" w:hAnsi="Avenir Next" w:cs="Arial"/>
          <w:color w:val="000000"/>
          <w:sz w:val="22"/>
          <w:szCs w:val="22"/>
          <w:highlight w:val="yellow"/>
          <w:lang w:val="en-GB" w:eastAsia="en-GB"/>
        </w:rPr>
      </w:pPr>
      <w:r w:rsidRPr="00AD3201">
        <w:rPr>
          <w:rFonts w:ascii="Avenir Next" w:hAnsi="Avenir Next" w:cs="Arial"/>
          <w:color w:val="000000"/>
          <w:sz w:val="22"/>
          <w:szCs w:val="22"/>
          <w:highlight w:val="yellow"/>
          <w:lang w:val="en-GB" w:eastAsia="en-GB"/>
        </w:rPr>
        <w:t xml:space="preserve">whether the Applicants fall within the description of </w:t>
      </w:r>
      <w:r w:rsidR="008512FA" w:rsidRPr="00AD3201">
        <w:rPr>
          <w:rFonts w:ascii="Avenir Next" w:hAnsi="Avenir Next" w:cs="Arial"/>
          <w:color w:val="000000"/>
          <w:sz w:val="22"/>
          <w:szCs w:val="22"/>
          <w:highlight w:val="yellow"/>
          <w:lang w:val="en-GB" w:eastAsia="en-GB"/>
        </w:rPr>
        <w:t>“</w:t>
      </w:r>
      <w:r w:rsidRPr="00AD3201">
        <w:rPr>
          <w:rFonts w:ascii="Avenir Next" w:hAnsi="Avenir Next" w:cs="Arial"/>
          <w:color w:val="000000"/>
          <w:sz w:val="22"/>
          <w:szCs w:val="22"/>
          <w:highlight w:val="yellow"/>
          <w:lang w:val="en-GB" w:eastAsia="en-GB"/>
        </w:rPr>
        <w:t>foreign representatives</w:t>
      </w:r>
      <w:r w:rsidR="008512FA" w:rsidRPr="00AD3201">
        <w:rPr>
          <w:rFonts w:ascii="Avenir Next" w:hAnsi="Avenir Next" w:cs="Arial"/>
          <w:color w:val="000000"/>
          <w:sz w:val="22"/>
          <w:szCs w:val="22"/>
          <w:highlight w:val="yellow"/>
          <w:lang w:val="en-GB" w:eastAsia="en-GB"/>
        </w:rPr>
        <w:t>”</w:t>
      </w:r>
      <w:r w:rsidRPr="00AD3201">
        <w:rPr>
          <w:rFonts w:ascii="Avenir Next" w:hAnsi="Avenir Next" w:cs="Arial"/>
          <w:color w:val="000000"/>
          <w:sz w:val="22"/>
          <w:szCs w:val="22"/>
          <w:highlight w:val="yellow"/>
          <w:lang w:val="en-GB" w:eastAsia="en-GB"/>
        </w:rPr>
        <w:t xml:space="preserve"> as defined by article 2(d) of the MLCBI</w:t>
      </w:r>
      <w:r w:rsidR="002F78CA" w:rsidRPr="00AD3201">
        <w:rPr>
          <w:rFonts w:ascii="Avenir Next" w:hAnsi="Avenir Next" w:cs="Arial"/>
          <w:color w:val="000000"/>
          <w:sz w:val="22"/>
          <w:szCs w:val="22"/>
          <w:highlight w:val="yellow"/>
          <w:lang w:val="en-GB" w:eastAsia="en-GB"/>
        </w:rPr>
        <w:t xml:space="preserve"> </w:t>
      </w:r>
      <w:r w:rsidR="002F78CA" w:rsidRPr="00AD3201">
        <w:rPr>
          <w:rFonts w:ascii="Avenir Next Demi Bold" w:hAnsi="Avenir Next Demi Bold" w:cs="Arial"/>
          <w:b/>
          <w:bCs/>
          <w:color w:val="000000"/>
          <w:sz w:val="22"/>
          <w:szCs w:val="22"/>
          <w:highlight w:val="yellow"/>
          <w:lang w:val="en-GB" w:eastAsia="en-GB"/>
        </w:rPr>
        <w:t>[maximum 5 marks]</w:t>
      </w:r>
      <w:r w:rsidR="00957951" w:rsidRPr="00AD3201">
        <w:rPr>
          <w:rFonts w:ascii="Avenir Next" w:hAnsi="Avenir Next" w:cs="Arial"/>
          <w:color w:val="000000"/>
          <w:sz w:val="22"/>
          <w:szCs w:val="22"/>
          <w:highlight w:val="yellow"/>
          <w:lang w:val="en-GB" w:eastAsia="en-GB"/>
        </w:rPr>
        <w:t>.</w:t>
      </w:r>
    </w:p>
    <w:p w14:paraId="6384A523" w14:textId="5B31175B" w:rsidR="008022C7" w:rsidRDefault="008022C7" w:rsidP="008022C7">
      <w:pPr>
        <w:pStyle w:val="ListParagraph"/>
        <w:ind w:left="1080"/>
        <w:jc w:val="both"/>
        <w:rPr>
          <w:rFonts w:ascii="Avenir Next" w:hAnsi="Avenir Next" w:cs="Arial"/>
          <w:color w:val="000000"/>
          <w:sz w:val="22"/>
          <w:szCs w:val="22"/>
          <w:lang w:val="en-GB" w:eastAsia="en-GB"/>
        </w:rPr>
      </w:pPr>
    </w:p>
    <w:p w14:paraId="0559EFE1" w14:textId="66543AD7" w:rsidR="008022C7" w:rsidRPr="001D14E4" w:rsidRDefault="008022C7" w:rsidP="001D14E4">
      <w:pPr>
        <w:jc w:val="both"/>
        <w:rPr>
          <w:rFonts w:ascii="Avenir Next" w:hAnsi="Avenir Next" w:cs="Arial"/>
          <w:color w:val="000000"/>
          <w:sz w:val="22"/>
          <w:szCs w:val="22"/>
          <w:lang w:val="en-GB" w:eastAsia="en-GB"/>
        </w:rPr>
      </w:pPr>
    </w:p>
    <w:p w14:paraId="48623B79" w14:textId="6300D2DF" w:rsidR="008022C7" w:rsidRPr="00210A69" w:rsidRDefault="00210A69" w:rsidP="00210A69">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 applicants will fall under </w:t>
      </w:r>
      <w:r w:rsidRPr="00210A69">
        <w:rPr>
          <w:rFonts w:ascii="Avenir Next" w:hAnsi="Avenir Next" w:cs="Arial"/>
          <w:color w:val="000000"/>
          <w:sz w:val="22"/>
          <w:szCs w:val="22"/>
          <w:lang w:val="en-GB" w:eastAsia="en-GB"/>
        </w:rPr>
        <w:t>article 2(d) of the MLCBI</w:t>
      </w:r>
      <w:r>
        <w:rPr>
          <w:rFonts w:ascii="Avenir Next" w:hAnsi="Avenir Next" w:cs="Arial"/>
          <w:color w:val="000000"/>
          <w:sz w:val="22"/>
          <w:szCs w:val="22"/>
          <w:lang w:val="en-GB" w:eastAsia="en-GB"/>
        </w:rPr>
        <w:t>.</w:t>
      </w:r>
    </w:p>
    <w:p w14:paraId="6860756A" w14:textId="57855972" w:rsidR="008022C7" w:rsidRPr="00210A69" w:rsidRDefault="008022C7" w:rsidP="00210A69">
      <w:pPr>
        <w:jc w:val="both"/>
        <w:rPr>
          <w:rFonts w:ascii="Avenir Next" w:hAnsi="Avenir Next" w:cs="Arial"/>
          <w:color w:val="000000"/>
          <w:sz w:val="22"/>
          <w:szCs w:val="22"/>
          <w:lang w:val="en-GB" w:eastAsia="en-GB"/>
        </w:rPr>
      </w:pPr>
    </w:p>
    <w:p w14:paraId="31C54082" w14:textId="77777777" w:rsidR="008022C7" w:rsidRPr="008022C7" w:rsidRDefault="008022C7" w:rsidP="008022C7">
      <w:pPr>
        <w:pStyle w:val="ListParagraph"/>
        <w:ind w:left="108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E523D8"/>
    <w:multiLevelType w:val="multilevel"/>
    <w:tmpl w:val="DA7698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0E242E"/>
    <w:multiLevelType w:val="hybridMultilevel"/>
    <w:tmpl w:val="8306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40166377">
    <w:abstractNumId w:val="11"/>
  </w:num>
  <w:num w:numId="2" w16cid:durableId="1136528417">
    <w:abstractNumId w:val="10"/>
  </w:num>
  <w:num w:numId="3" w16cid:durableId="1062828697">
    <w:abstractNumId w:val="5"/>
  </w:num>
  <w:num w:numId="4" w16cid:durableId="914359681">
    <w:abstractNumId w:val="2"/>
  </w:num>
  <w:num w:numId="5" w16cid:durableId="679547292">
    <w:abstractNumId w:val="15"/>
  </w:num>
  <w:num w:numId="6" w16cid:durableId="1621644954">
    <w:abstractNumId w:val="14"/>
  </w:num>
  <w:num w:numId="7" w16cid:durableId="1562712861">
    <w:abstractNumId w:val="12"/>
  </w:num>
  <w:num w:numId="8" w16cid:durableId="1087074440">
    <w:abstractNumId w:val="3"/>
  </w:num>
  <w:num w:numId="9" w16cid:durableId="2064520423">
    <w:abstractNumId w:val="4"/>
  </w:num>
  <w:num w:numId="10" w16cid:durableId="155145304">
    <w:abstractNumId w:val="9"/>
  </w:num>
  <w:num w:numId="11" w16cid:durableId="1255481957">
    <w:abstractNumId w:val="0"/>
  </w:num>
  <w:num w:numId="12" w16cid:durableId="509373263">
    <w:abstractNumId w:val="7"/>
  </w:num>
  <w:num w:numId="13" w16cid:durableId="48579526">
    <w:abstractNumId w:val="8"/>
  </w:num>
  <w:num w:numId="14" w16cid:durableId="1103379818">
    <w:abstractNumId w:val="1"/>
  </w:num>
  <w:num w:numId="15" w16cid:durableId="992953365">
    <w:abstractNumId w:val="6"/>
  </w:num>
  <w:num w:numId="16" w16cid:durableId="91443735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1536"/>
    <w:rsid w:val="00001E0C"/>
    <w:rsid w:val="00005B66"/>
    <w:rsid w:val="000077DD"/>
    <w:rsid w:val="00010BA0"/>
    <w:rsid w:val="00011778"/>
    <w:rsid w:val="00020557"/>
    <w:rsid w:val="000232A1"/>
    <w:rsid w:val="000250C7"/>
    <w:rsid w:val="00025CCF"/>
    <w:rsid w:val="000300E0"/>
    <w:rsid w:val="0003114A"/>
    <w:rsid w:val="000352C1"/>
    <w:rsid w:val="0003619C"/>
    <w:rsid w:val="00037621"/>
    <w:rsid w:val="0004069E"/>
    <w:rsid w:val="00044D46"/>
    <w:rsid w:val="00045088"/>
    <w:rsid w:val="00045904"/>
    <w:rsid w:val="000464F7"/>
    <w:rsid w:val="0005141D"/>
    <w:rsid w:val="00060E02"/>
    <w:rsid w:val="00065166"/>
    <w:rsid w:val="00065EA7"/>
    <w:rsid w:val="00067A88"/>
    <w:rsid w:val="00070B92"/>
    <w:rsid w:val="00073474"/>
    <w:rsid w:val="00077D49"/>
    <w:rsid w:val="00082609"/>
    <w:rsid w:val="000851CC"/>
    <w:rsid w:val="000924EB"/>
    <w:rsid w:val="00093BE8"/>
    <w:rsid w:val="000A68ED"/>
    <w:rsid w:val="000B4FEB"/>
    <w:rsid w:val="000B5FF1"/>
    <w:rsid w:val="000B609F"/>
    <w:rsid w:val="000C147F"/>
    <w:rsid w:val="000C6BB9"/>
    <w:rsid w:val="000D32A9"/>
    <w:rsid w:val="000D55A8"/>
    <w:rsid w:val="000D6BB1"/>
    <w:rsid w:val="000E4841"/>
    <w:rsid w:val="000E6325"/>
    <w:rsid w:val="000F1677"/>
    <w:rsid w:val="000F3D6C"/>
    <w:rsid w:val="000F579C"/>
    <w:rsid w:val="00101707"/>
    <w:rsid w:val="00107A93"/>
    <w:rsid w:val="00114082"/>
    <w:rsid w:val="0011473D"/>
    <w:rsid w:val="00115C85"/>
    <w:rsid w:val="00123855"/>
    <w:rsid w:val="00126A4D"/>
    <w:rsid w:val="001374D8"/>
    <w:rsid w:val="00140E0A"/>
    <w:rsid w:val="0014171F"/>
    <w:rsid w:val="0014622C"/>
    <w:rsid w:val="00151F58"/>
    <w:rsid w:val="00152348"/>
    <w:rsid w:val="00152845"/>
    <w:rsid w:val="00152DBB"/>
    <w:rsid w:val="0015456D"/>
    <w:rsid w:val="0015549B"/>
    <w:rsid w:val="00155FA2"/>
    <w:rsid w:val="001578CB"/>
    <w:rsid w:val="00161F1B"/>
    <w:rsid w:val="00162829"/>
    <w:rsid w:val="001672E0"/>
    <w:rsid w:val="00167C32"/>
    <w:rsid w:val="001712E2"/>
    <w:rsid w:val="0017257C"/>
    <w:rsid w:val="00176079"/>
    <w:rsid w:val="0017652E"/>
    <w:rsid w:val="00180548"/>
    <w:rsid w:val="00180AC4"/>
    <w:rsid w:val="00180CCE"/>
    <w:rsid w:val="00182648"/>
    <w:rsid w:val="0018267A"/>
    <w:rsid w:val="00182779"/>
    <w:rsid w:val="001830DF"/>
    <w:rsid w:val="00190FD2"/>
    <w:rsid w:val="001966D9"/>
    <w:rsid w:val="001A1F0C"/>
    <w:rsid w:val="001A24E7"/>
    <w:rsid w:val="001A2B78"/>
    <w:rsid w:val="001A7E9A"/>
    <w:rsid w:val="001B0F70"/>
    <w:rsid w:val="001B5016"/>
    <w:rsid w:val="001C45FC"/>
    <w:rsid w:val="001D02C5"/>
    <w:rsid w:val="001D14E4"/>
    <w:rsid w:val="001D4862"/>
    <w:rsid w:val="001E25B9"/>
    <w:rsid w:val="001E49E0"/>
    <w:rsid w:val="001E60C3"/>
    <w:rsid w:val="001E7B5A"/>
    <w:rsid w:val="001F7412"/>
    <w:rsid w:val="00200FDD"/>
    <w:rsid w:val="00201874"/>
    <w:rsid w:val="00202133"/>
    <w:rsid w:val="0020264E"/>
    <w:rsid w:val="0020725B"/>
    <w:rsid w:val="00210A69"/>
    <w:rsid w:val="002175BA"/>
    <w:rsid w:val="0022599E"/>
    <w:rsid w:val="002305E8"/>
    <w:rsid w:val="0023198D"/>
    <w:rsid w:val="0023317E"/>
    <w:rsid w:val="00234F2C"/>
    <w:rsid w:val="00236821"/>
    <w:rsid w:val="00240B0E"/>
    <w:rsid w:val="0024116D"/>
    <w:rsid w:val="00241B44"/>
    <w:rsid w:val="00245EFB"/>
    <w:rsid w:val="00250E19"/>
    <w:rsid w:val="0025363A"/>
    <w:rsid w:val="0025386E"/>
    <w:rsid w:val="00257437"/>
    <w:rsid w:val="002638B0"/>
    <w:rsid w:val="00263DFA"/>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E678B"/>
    <w:rsid w:val="002F1956"/>
    <w:rsid w:val="002F3440"/>
    <w:rsid w:val="002F4EC0"/>
    <w:rsid w:val="002F5EFE"/>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48B"/>
    <w:rsid w:val="00380BAB"/>
    <w:rsid w:val="00382C98"/>
    <w:rsid w:val="0038533C"/>
    <w:rsid w:val="00386568"/>
    <w:rsid w:val="00387106"/>
    <w:rsid w:val="00391F3E"/>
    <w:rsid w:val="003948D5"/>
    <w:rsid w:val="00396821"/>
    <w:rsid w:val="00397D3A"/>
    <w:rsid w:val="003A051E"/>
    <w:rsid w:val="003A0D17"/>
    <w:rsid w:val="003A165E"/>
    <w:rsid w:val="003A2FEE"/>
    <w:rsid w:val="003B1310"/>
    <w:rsid w:val="003B170F"/>
    <w:rsid w:val="003B3C5F"/>
    <w:rsid w:val="003B414F"/>
    <w:rsid w:val="003C089D"/>
    <w:rsid w:val="003C4471"/>
    <w:rsid w:val="003C66B1"/>
    <w:rsid w:val="003C7C4F"/>
    <w:rsid w:val="003D0A6D"/>
    <w:rsid w:val="003E0B16"/>
    <w:rsid w:val="003E67D1"/>
    <w:rsid w:val="00400A9C"/>
    <w:rsid w:val="004035EF"/>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1FC4"/>
    <w:rsid w:val="00443403"/>
    <w:rsid w:val="00444284"/>
    <w:rsid w:val="00445CE6"/>
    <w:rsid w:val="00447FE6"/>
    <w:rsid w:val="004534C2"/>
    <w:rsid w:val="0045446F"/>
    <w:rsid w:val="0045683E"/>
    <w:rsid w:val="0047025B"/>
    <w:rsid w:val="00491675"/>
    <w:rsid w:val="00493855"/>
    <w:rsid w:val="0049508F"/>
    <w:rsid w:val="004A171E"/>
    <w:rsid w:val="004A2898"/>
    <w:rsid w:val="004A3BCD"/>
    <w:rsid w:val="004A57DD"/>
    <w:rsid w:val="004A7B51"/>
    <w:rsid w:val="004A7D71"/>
    <w:rsid w:val="004A7EF3"/>
    <w:rsid w:val="004B11FD"/>
    <w:rsid w:val="004B23A2"/>
    <w:rsid w:val="004B5BE6"/>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0F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1B16"/>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3B4"/>
    <w:rsid w:val="0069647C"/>
    <w:rsid w:val="006966E8"/>
    <w:rsid w:val="00697EA1"/>
    <w:rsid w:val="006A1850"/>
    <w:rsid w:val="006A2646"/>
    <w:rsid w:val="006A3DF0"/>
    <w:rsid w:val="006A6530"/>
    <w:rsid w:val="006B435A"/>
    <w:rsid w:val="006B4A77"/>
    <w:rsid w:val="006B4C64"/>
    <w:rsid w:val="006B4FFC"/>
    <w:rsid w:val="006D0E6E"/>
    <w:rsid w:val="006D6BD5"/>
    <w:rsid w:val="006E333B"/>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16E8"/>
    <w:rsid w:val="00751F66"/>
    <w:rsid w:val="007603F5"/>
    <w:rsid w:val="00764DB0"/>
    <w:rsid w:val="00766F8A"/>
    <w:rsid w:val="0076764D"/>
    <w:rsid w:val="0077498C"/>
    <w:rsid w:val="00777183"/>
    <w:rsid w:val="00784128"/>
    <w:rsid w:val="00784B4B"/>
    <w:rsid w:val="007854ED"/>
    <w:rsid w:val="00793173"/>
    <w:rsid w:val="007961D9"/>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22C7"/>
    <w:rsid w:val="0080454E"/>
    <w:rsid w:val="00804C32"/>
    <w:rsid w:val="00806302"/>
    <w:rsid w:val="00807119"/>
    <w:rsid w:val="00817D57"/>
    <w:rsid w:val="00822764"/>
    <w:rsid w:val="008241C4"/>
    <w:rsid w:val="0082483F"/>
    <w:rsid w:val="008264CB"/>
    <w:rsid w:val="008279C0"/>
    <w:rsid w:val="00835FD1"/>
    <w:rsid w:val="0084683C"/>
    <w:rsid w:val="008512FA"/>
    <w:rsid w:val="00851EFE"/>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8F628E"/>
    <w:rsid w:val="0090421A"/>
    <w:rsid w:val="00905A43"/>
    <w:rsid w:val="00907DC2"/>
    <w:rsid w:val="00912C79"/>
    <w:rsid w:val="009260A2"/>
    <w:rsid w:val="00942123"/>
    <w:rsid w:val="009505B4"/>
    <w:rsid w:val="00951031"/>
    <w:rsid w:val="0095207B"/>
    <w:rsid w:val="00954461"/>
    <w:rsid w:val="00956085"/>
    <w:rsid w:val="009571EA"/>
    <w:rsid w:val="00957951"/>
    <w:rsid w:val="00962045"/>
    <w:rsid w:val="00967EDA"/>
    <w:rsid w:val="00970897"/>
    <w:rsid w:val="00980314"/>
    <w:rsid w:val="009816D0"/>
    <w:rsid w:val="00991428"/>
    <w:rsid w:val="00992676"/>
    <w:rsid w:val="00994C6A"/>
    <w:rsid w:val="00996691"/>
    <w:rsid w:val="009A4880"/>
    <w:rsid w:val="009A7865"/>
    <w:rsid w:val="009B0723"/>
    <w:rsid w:val="009B07AD"/>
    <w:rsid w:val="009B0883"/>
    <w:rsid w:val="009B15E2"/>
    <w:rsid w:val="009B5832"/>
    <w:rsid w:val="009B6312"/>
    <w:rsid w:val="009B640D"/>
    <w:rsid w:val="009B7F45"/>
    <w:rsid w:val="009C0850"/>
    <w:rsid w:val="009C0B8E"/>
    <w:rsid w:val="009C1BC8"/>
    <w:rsid w:val="009C2442"/>
    <w:rsid w:val="009D0811"/>
    <w:rsid w:val="009D0EE1"/>
    <w:rsid w:val="009D30BB"/>
    <w:rsid w:val="009E2AEB"/>
    <w:rsid w:val="009E2E27"/>
    <w:rsid w:val="009E4DE3"/>
    <w:rsid w:val="00A047EE"/>
    <w:rsid w:val="00A10054"/>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66B3"/>
    <w:rsid w:val="00AA7BAA"/>
    <w:rsid w:val="00AB685C"/>
    <w:rsid w:val="00AB6C2D"/>
    <w:rsid w:val="00AC08F7"/>
    <w:rsid w:val="00AC3839"/>
    <w:rsid w:val="00AC7082"/>
    <w:rsid w:val="00AD3201"/>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5525"/>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27B71"/>
    <w:rsid w:val="00C33D50"/>
    <w:rsid w:val="00C35671"/>
    <w:rsid w:val="00C35B77"/>
    <w:rsid w:val="00C370D3"/>
    <w:rsid w:val="00C376EB"/>
    <w:rsid w:val="00C4003A"/>
    <w:rsid w:val="00C46EC1"/>
    <w:rsid w:val="00C504E5"/>
    <w:rsid w:val="00C53E2C"/>
    <w:rsid w:val="00C550C8"/>
    <w:rsid w:val="00C56B61"/>
    <w:rsid w:val="00C606C3"/>
    <w:rsid w:val="00C620F4"/>
    <w:rsid w:val="00C64B52"/>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CF7E90"/>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0C7C"/>
    <w:rsid w:val="00DD2E11"/>
    <w:rsid w:val="00DE03AF"/>
    <w:rsid w:val="00DE121C"/>
    <w:rsid w:val="00DE2A27"/>
    <w:rsid w:val="00DE3705"/>
    <w:rsid w:val="00DE6633"/>
    <w:rsid w:val="00DF6665"/>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3BA9"/>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E729A"/>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18A5"/>
    <w:rsid w:val="00F55112"/>
    <w:rsid w:val="00F55241"/>
    <w:rsid w:val="00F5524B"/>
    <w:rsid w:val="00F60538"/>
    <w:rsid w:val="00F61DD2"/>
    <w:rsid w:val="00F6523A"/>
    <w:rsid w:val="00F66AFF"/>
    <w:rsid w:val="00F67B38"/>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Major</cp:lastModifiedBy>
  <cp:revision>35</cp:revision>
  <cp:lastPrinted>2019-08-27T05:42:00Z</cp:lastPrinted>
  <dcterms:created xsi:type="dcterms:W3CDTF">2023-03-01T16:17:00Z</dcterms:created>
  <dcterms:modified xsi:type="dcterms:W3CDTF">2023-03-01T22:42:00Z</dcterms:modified>
</cp:coreProperties>
</file>