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1D0B89">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1D0B8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194A55" w:rsidRDefault="00436884" w:rsidP="001D0B89">
      <w:pPr>
        <w:pStyle w:val="ListParagraph"/>
        <w:numPr>
          <w:ilvl w:val="0"/>
          <w:numId w:val="1"/>
        </w:numPr>
        <w:ind w:left="426"/>
        <w:jc w:val="both"/>
        <w:rPr>
          <w:rFonts w:ascii="Avenir Next" w:hAnsi="Avenir Next" w:cs="Arial"/>
          <w:sz w:val="22"/>
          <w:szCs w:val="22"/>
          <w:highlight w:val="yellow"/>
          <w:lang w:val="en-GB"/>
        </w:rPr>
      </w:pPr>
      <w:r w:rsidRPr="00194A55">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1D0B8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1D0B8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1D0B8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1D0B8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194A55" w:rsidRDefault="00436884" w:rsidP="001D0B89">
      <w:pPr>
        <w:pStyle w:val="ListParagraph"/>
        <w:numPr>
          <w:ilvl w:val="0"/>
          <w:numId w:val="2"/>
        </w:numPr>
        <w:ind w:left="426"/>
        <w:jc w:val="both"/>
        <w:rPr>
          <w:rFonts w:ascii="Avenir Next" w:hAnsi="Avenir Next" w:cs="Arial"/>
          <w:sz w:val="22"/>
          <w:szCs w:val="22"/>
          <w:highlight w:val="yellow"/>
          <w:lang w:val="en-GB"/>
        </w:rPr>
      </w:pPr>
      <w:r w:rsidRPr="00194A55">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11A73823" w14:textId="77777777" w:rsidR="004A70EA" w:rsidRDefault="004A70E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788B3207" w14:textId="219FFC85"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1D0B8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1D0B8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1D0B89">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194A55" w:rsidRDefault="00853A74" w:rsidP="001D0B89">
      <w:pPr>
        <w:pStyle w:val="ListParagraph"/>
        <w:numPr>
          <w:ilvl w:val="0"/>
          <w:numId w:val="3"/>
        </w:numPr>
        <w:ind w:left="426"/>
        <w:jc w:val="both"/>
        <w:rPr>
          <w:rFonts w:ascii="Avenir Next" w:hAnsi="Avenir Next" w:cs="Arial"/>
          <w:sz w:val="22"/>
          <w:szCs w:val="22"/>
          <w:highlight w:val="yellow"/>
          <w:lang w:val="en-GB"/>
        </w:rPr>
      </w:pPr>
      <w:r w:rsidRPr="00194A55">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4A70EA" w:rsidRDefault="00436884" w:rsidP="001D0B89">
      <w:pPr>
        <w:pStyle w:val="ListParagraph"/>
        <w:numPr>
          <w:ilvl w:val="0"/>
          <w:numId w:val="4"/>
        </w:numPr>
        <w:ind w:left="426"/>
        <w:jc w:val="both"/>
        <w:rPr>
          <w:rFonts w:ascii="Avenir Next" w:hAnsi="Avenir Next" w:cs="Arial"/>
          <w:sz w:val="22"/>
          <w:szCs w:val="22"/>
          <w:highlight w:val="yellow"/>
          <w:lang w:val="en-GB"/>
        </w:rPr>
      </w:pPr>
      <w:r w:rsidRPr="004A70EA">
        <w:rPr>
          <w:rFonts w:ascii="Avenir Next" w:hAnsi="Avenir Next" w:cs="Arial"/>
          <w:sz w:val="22"/>
          <w:szCs w:val="22"/>
          <w:highlight w:val="yellow"/>
          <w:lang w:val="en-GB"/>
        </w:rPr>
        <w:t xml:space="preserve">The </w:t>
      </w:r>
      <w:r w:rsidRPr="004A70EA">
        <w:rPr>
          <w:rFonts w:ascii="Avenir Next" w:hAnsi="Avenir Next" w:cs="Arial"/>
          <w:i/>
          <w:iCs/>
          <w:sz w:val="22"/>
          <w:szCs w:val="22"/>
          <w:highlight w:val="yellow"/>
          <w:lang w:val="en-GB"/>
        </w:rPr>
        <w:t>locus standi</w:t>
      </w:r>
      <w:r w:rsidRPr="004A70EA">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1D0B89">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1D0B8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1D0B8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1D0B8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1D0B8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4A70EA" w:rsidRDefault="00C504E5" w:rsidP="001D0B89">
      <w:pPr>
        <w:pStyle w:val="ListParagraph"/>
        <w:numPr>
          <w:ilvl w:val="0"/>
          <w:numId w:val="5"/>
        </w:numPr>
        <w:ind w:left="426"/>
        <w:jc w:val="both"/>
        <w:rPr>
          <w:rFonts w:ascii="Avenir Next" w:hAnsi="Avenir Next" w:cs="Arial"/>
          <w:sz w:val="22"/>
          <w:szCs w:val="22"/>
          <w:highlight w:val="yellow"/>
          <w:lang w:val="en-GB"/>
        </w:rPr>
      </w:pPr>
      <w:r w:rsidRPr="004A70EA">
        <w:rPr>
          <w:rFonts w:ascii="Avenir Next" w:hAnsi="Avenir Next" w:cs="Arial"/>
          <w:sz w:val="22"/>
          <w:szCs w:val="22"/>
          <w:highlight w:val="yellow"/>
          <w:lang w:val="en-GB"/>
        </w:rPr>
        <w:t xml:space="preserve">Both the foreign main proceedings in South Africa and the foreign non-main proceedings in </w:t>
      </w:r>
      <w:r w:rsidR="004137C3" w:rsidRPr="004A70EA">
        <w:rPr>
          <w:rFonts w:ascii="Avenir Next" w:hAnsi="Avenir Next" w:cs="Arial"/>
          <w:sz w:val="22"/>
          <w:szCs w:val="22"/>
          <w:highlight w:val="yellow"/>
          <w:lang w:val="en-GB"/>
        </w:rPr>
        <w:t xml:space="preserve">Argentina </w:t>
      </w:r>
      <w:r w:rsidRPr="004A70EA">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1D0B8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D0B8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D0B8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D0B8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3A61B1" w:rsidRDefault="00B72F5F" w:rsidP="001D0B89">
      <w:pPr>
        <w:pStyle w:val="ListParagraph"/>
        <w:numPr>
          <w:ilvl w:val="0"/>
          <w:numId w:val="6"/>
        </w:numPr>
        <w:ind w:left="426"/>
        <w:jc w:val="both"/>
        <w:rPr>
          <w:rFonts w:ascii="Avenir Next" w:hAnsi="Avenir Next" w:cs="Arial"/>
          <w:sz w:val="22"/>
          <w:szCs w:val="22"/>
          <w:highlight w:val="yellow"/>
          <w:lang w:val="en-GB"/>
        </w:rPr>
      </w:pPr>
      <w:r w:rsidRPr="003A61B1">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3A61B1">
        <w:rPr>
          <w:rFonts w:ascii="Avenir Next" w:hAnsi="Avenir Next" w:cs="Arial"/>
          <w:sz w:val="22"/>
          <w:szCs w:val="22"/>
          <w:highlight w:val="yellow"/>
          <w:lang w:val="en-GB"/>
        </w:rPr>
        <w:t>will</w:t>
      </w:r>
      <w:r w:rsidRPr="003A61B1">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1D0B8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3A61B1" w:rsidRDefault="00436884" w:rsidP="001D0B89">
      <w:pPr>
        <w:pStyle w:val="ListParagraph"/>
        <w:numPr>
          <w:ilvl w:val="0"/>
          <w:numId w:val="7"/>
        </w:numPr>
        <w:ind w:left="426"/>
        <w:jc w:val="both"/>
        <w:rPr>
          <w:rFonts w:ascii="Avenir Next" w:hAnsi="Avenir Next" w:cs="Arial"/>
          <w:sz w:val="22"/>
          <w:szCs w:val="22"/>
          <w:highlight w:val="yellow"/>
          <w:lang w:val="en-GB"/>
        </w:rPr>
      </w:pPr>
      <w:r w:rsidRPr="003A61B1">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1D0B8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1D0B8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1D0B8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1D0B8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033156" w:rsidRDefault="00436884" w:rsidP="001D0B89">
      <w:pPr>
        <w:pStyle w:val="ListParagraph"/>
        <w:numPr>
          <w:ilvl w:val="0"/>
          <w:numId w:val="8"/>
        </w:numPr>
        <w:ind w:left="426"/>
        <w:jc w:val="both"/>
        <w:rPr>
          <w:rFonts w:ascii="Avenir Next" w:hAnsi="Avenir Next" w:cs="Arial"/>
          <w:sz w:val="22"/>
          <w:szCs w:val="22"/>
          <w:lang w:val="en-GB"/>
        </w:rPr>
      </w:pPr>
      <w:r w:rsidRPr="00033156">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033156" w:rsidRDefault="00436884" w:rsidP="001D0B89">
      <w:pPr>
        <w:pStyle w:val="ListParagraph"/>
        <w:numPr>
          <w:ilvl w:val="0"/>
          <w:numId w:val="8"/>
        </w:numPr>
        <w:ind w:left="426"/>
        <w:jc w:val="both"/>
        <w:rPr>
          <w:rFonts w:ascii="Avenir Next" w:hAnsi="Avenir Next" w:cs="Arial"/>
          <w:sz w:val="22"/>
          <w:szCs w:val="22"/>
          <w:highlight w:val="yellow"/>
          <w:lang w:val="en-GB"/>
        </w:rPr>
      </w:pPr>
      <w:r w:rsidRPr="00033156">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lastRenderedPageBreak/>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1D0B8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1D0B8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3A61B1" w:rsidRDefault="00436884" w:rsidP="001D0B89">
      <w:pPr>
        <w:pStyle w:val="ListParagraph"/>
        <w:numPr>
          <w:ilvl w:val="0"/>
          <w:numId w:val="9"/>
        </w:numPr>
        <w:ind w:left="426"/>
        <w:jc w:val="both"/>
        <w:rPr>
          <w:rFonts w:ascii="Avenir Next" w:hAnsi="Avenir Next" w:cs="Arial"/>
          <w:sz w:val="22"/>
          <w:szCs w:val="22"/>
          <w:highlight w:val="yellow"/>
          <w:lang w:val="en-GB"/>
        </w:rPr>
      </w:pPr>
      <w:r w:rsidRPr="003A61B1">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1D0B8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3A61B1" w:rsidRDefault="00436884" w:rsidP="001D0B89">
      <w:pPr>
        <w:pStyle w:val="ListParagraph"/>
        <w:numPr>
          <w:ilvl w:val="0"/>
          <w:numId w:val="10"/>
        </w:numPr>
        <w:ind w:left="426"/>
        <w:jc w:val="both"/>
        <w:rPr>
          <w:rFonts w:ascii="Avenir Next" w:hAnsi="Avenir Next" w:cs="Arial"/>
          <w:sz w:val="22"/>
          <w:szCs w:val="22"/>
          <w:highlight w:val="yellow"/>
          <w:lang w:val="en-GB"/>
        </w:rPr>
      </w:pPr>
      <w:r w:rsidRPr="003A61B1">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3A61B1">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1D0B89">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1D0B8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1D0B8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250752C" w14:textId="77777777" w:rsidR="004A70EA" w:rsidRDefault="004A70E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57214492"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FF28AB2" w14:textId="04B8C524" w:rsidR="00E54149" w:rsidRDefault="004A70EA" w:rsidP="004A70EA">
      <w:pPr>
        <w:jc w:val="both"/>
        <w:rPr>
          <w:rFonts w:ascii="Avenir Next" w:hAnsi="Avenir Next" w:cs="Arial"/>
          <w:color w:val="7B7B7B" w:themeColor="accent3" w:themeShade="BF"/>
          <w:sz w:val="22"/>
          <w:szCs w:val="22"/>
          <w:lang w:val="en-GB"/>
        </w:rPr>
      </w:pPr>
      <w:r w:rsidRPr="004A70EA">
        <w:rPr>
          <w:rFonts w:ascii="Avenir Next" w:hAnsi="Avenir Next" w:cs="Arial"/>
          <w:color w:val="7B7B7B" w:themeColor="accent3" w:themeShade="BF"/>
          <w:sz w:val="22"/>
          <w:szCs w:val="22"/>
          <w:lang w:val="en-GB"/>
        </w:rPr>
        <w:t xml:space="preserve">I note that article 17(2) does not provide a relevant date to assess COMI. </w:t>
      </w:r>
      <w:r w:rsidR="00E54149">
        <w:rPr>
          <w:rFonts w:ascii="Avenir Next" w:hAnsi="Avenir Next" w:cs="Arial"/>
          <w:color w:val="7B7B7B" w:themeColor="accent3" w:themeShade="BF"/>
          <w:sz w:val="22"/>
          <w:szCs w:val="22"/>
          <w:lang w:val="en-GB"/>
        </w:rPr>
        <w:t xml:space="preserve">The following various options have been canvassed by </w:t>
      </w:r>
      <w:r w:rsidR="003A36B3">
        <w:rPr>
          <w:rFonts w:ascii="Avenir Next" w:hAnsi="Avenir Next" w:cs="Arial"/>
          <w:color w:val="7B7B7B" w:themeColor="accent3" w:themeShade="BF"/>
          <w:sz w:val="22"/>
          <w:szCs w:val="22"/>
          <w:lang w:val="en-GB"/>
        </w:rPr>
        <w:t>C</w:t>
      </w:r>
      <w:r w:rsidR="00E54149">
        <w:rPr>
          <w:rFonts w:ascii="Avenir Next" w:hAnsi="Avenir Next" w:cs="Arial"/>
          <w:color w:val="7B7B7B" w:themeColor="accent3" w:themeShade="BF"/>
          <w:sz w:val="22"/>
          <w:szCs w:val="22"/>
          <w:lang w:val="en-GB"/>
        </w:rPr>
        <w:t>ourts of different countries:</w:t>
      </w:r>
      <w:r w:rsidR="00E54149">
        <w:rPr>
          <w:rStyle w:val="FootnoteReference"/>
          <w:rFonts w:ascii="Avenir Next" w:hAnsi="Avenir Next" w:cs="Arial"/>
          <w:color w:val="7B7B7B" w:themeColor="accent3" w:themeShade="BF"/>
          <w:sz w:val="22"/>
          <w:szCs w:val="22"/>
          <w:lang w:val="en-GB"/>
        </w:rPr>
        <w:footnoteReference w:id="1"/>
      </w:r>
      <w:r w:rsidR="00E54149">
        <w:rPr>
          <w:rFonts w:ascii="Avenir Next" w:hAnsi="Avenir Next" w:cs="Arial"/>
          <w:color w:val="7B7B7B" w:themeColor="accent3" w:themeShade="BF"/>
          <w:sz w:val="22"/>
          <w:szCs w:val="22"/>
          <w:lang w:val="en-GB"/>
        </w:rPr>
        <w:t xml:space="preserve"> </w:t>
      </w:r>
    </w:p>
    <w:p w14:paraId="44B28BF3" w14:textId="10AFD1BB" w:rsidR="00E54149" w:rsidRPr="00E54149" w:rsidRDefault="00E54149" w:rsidP="004A70EA">
      <w:pPr>
        <w:jc w:val="both"/>
        <w:rPr>
          <w:rFonts w:ascii="Avenir Next" w:hAnsi="Avenir Next" w:cs="Arial"/>
          <w:color w:val="7B7B7B" w:themeColor="accent3" w:themeShade="BF"/>
          <w:sz w:val="14"/>
          <w:szCs w:val="14"/>
          <w:lang w:val="en-GB"/>
        </w:rPr>
      </w:pPr>
    </w:p>
    <w:p w14:paraId="440DAE5A" w14:textId="748A787B" w:rsidR="00E54149" w:rsidRDefault="00E54149" w:rsidP="001D0B89">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date of commencement of the foreign main proceeding;</w:t>
      </w:r>
      <w:r w:rsidR="008F5BA1" w:rsidRPr="00F97CD6">
        <w:rPr>
          <w:rStyle w:val="FootnoteReference"/>
          <w:rFonts w:ascii="Avenir Next" w:hAnsi="Avenir Next" w:cs="Arial"/>
          <w:color w:val="7B7B7B" w:themeColor="accent3" w:themeShade="BF"/>
          <w:sz w:val="22"/>
          <w:szCs w:val="22"/>
          <w:lang w:val="en-GB"/>
        </w:rPr>
        <w:footnoteReference w:id="2"/>
      </w:r>
    </w:p>
    <w:p w14:paraId="3270A2BB" w14:textId="050E546A" w:rsidR="00E54149" w:rsidRDefault="00E54149" w:rsidP="001D0B89">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date of filing the recognition application;</w:t>
      </w:r>
      <w:r w:rsidR="008F5BA1">
        <w:rPr>
          <w:rStyle w:val="FootnoteReference"/>
          <w:rFonts w:ascii="Avenir Next" w:hAnsi="Avenir Next" w:cs="Arial"/>
          <w:color w:val="7B7B7B" w:themeColor="accent3" w:themeShade="BF"/>
          <w:sz w:val="22"/>
          <w:szCs w:val="22"/>
          <w:lang w:val="en-GB"/>
        </w:rPr>
        <w:footnoteReference w:id="3"/>
      </w:r>
      <w:r>
        <w:rPr>
          <w:rFonts w:ascii="Avenir Next" w:hAnsi="Avenir Next" w:cs="Arial"/>
          <w:color w:val="7B7B7B" w:themeColor="accent3" w:themeShade="BF"/>
          <w:sz w:val="22"/>
          <w:szCs w:val="22"/>
          <w:lang w:val="en-GB"/>
        </w:rPr>
        <w:t xml:space="preserve"> </w:t>
      </w:r>
    </w:p>
    <w:p w14:paraId="0E2B8436" w14:textId="3ED6F348" w:rsidR="00E54149" w:rsidRDefault="00E54149" w:rsidP="001D0B89">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date the court decides the application;</w:t>
      </w:r>
      <w:r w:rsidR="008F5BA1">
        <w:rPr>
          <w:rStyle w:val="FootnoteReference"/>
          <w:rFonts w:ascii="Avenir Next" w:hAnsi="Avenir Next" w:cs="Arial"/>
          <w:color w:val="7B7B7B" w:themeColor="accent3" w:themeShade="BF"/>
          <w:sz w:val="22"/>
          <w:szCs w:val="22"/>
          <w:lang w:val="en-GB"/>
        </w:rPr>
        <w:footnoteReference w:id="4"/>
      </w:r>
      <w:r>
        <w:rPr>
          <w:rFonts w:ascii="Avenir Next" w:hAnsi="Avenir Next" w:cs="Arial"/>
          <w:color w:val="7B7B7B" w:themeColor="accent3" w:themeShade="BF"/>
          <w:sz w:val="22"/>
          <w:szCs w:val="22"/>
          <w:lang w:val="en-GB"/>
        </w:rPr>
        <w:t xml:space="preserve"> or</w:t>
      </w:r>
    </w:p>
    <w:p w14:paraId="552B8C36" w14:textId="1D87BDF0" w:rsidR="00E54149" w:rsidRPr="00E54149" w:rsidRDefault="00E54149" w:rsidP="001D0B89">
      <w:pPr>
        <w:pStyle w:val="ListParagraph"/>
        <w:numPr>
          <w:ilvl w:val="0"/>
          <w:numId w:val="1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date decided by reference to the “</w:t>
      </w:r>
      <w:r w:rsidRPr="00E54149">
        <w:rPr>
          <w:rFonts w:ascii="Avenir Next" w:hAnsi="Avenir Next" w:cs="Arial"/>
          <w:i/>
          <w:iCs/>
          <w:color w:val="7B7B7B" w:themeColor="accent3" w:themeShade="BF"/>
          <w:sz w:val="22"/>
          <w:szCs w:val="22"/>
          <w:lang w:val="en-GB"/>
        </w:rPr>
        <w:t>operational history of the debtor</w:t>
      </w:r>
      <w:r>
        <w:rPr>
          <w:rFonts w:ascii="Avenir Next" w:hAnsi="Avenir Next" w:cs="Arial"/>
          <w:color w:val="7B7B7B" w:themeColor="accent3" w:themeShade="BF"/>
          <w:sz w:val="22"/>
          <w:szCs w:val="22"/>
          <w:lang w:val="en-GB"/>
        </w:rPr>
        <w:t>.”</w:t>
      </w:r>
      <w:r w:rsidR="008F5BA1">
        <w:rPr>
          <w:rStyle w:val="FootnoteReference"/>
          <w:rFonts w:ascii="Avenir Next" w:hAnsi="Avenir Next" w:cs="Arial"/>
          <w:color w:val="7B7B7B" w:themeColor="accent3" w:themeShade="BF"/>
          <w:sz w:val="22"/>
          <w:szCs w:val="22"/>
          <w:lang w:val="en-GB"/>
        </w:rPr>
        <w:footnoteReference w:id="5"/>
      </w:r>
    </w:p>
    <w:p w14:paraId="36E692BA" w14:textId="77777777" w:rsidR="00E54149" w:rsidRDefault="00E54149" w:rsidP="004A70EA">
      <w:pPr>
        <w:jc w:val="both"/>
        <w:rPr>
          <w:rFonts w:ascii="Avenir Next" w:hAnsi="Avenir Next" w:cs="Arial"/>
          <w:color w:val="7B7B7B" w:themeColor="accent3" w:themeShade="BF"/>
          <w:sz w:val="22"/>
          <w:szCs w:val="22"/>
          <w:lang w:val="en-GB"/>
        </w:rPr>
      </w:pPr>
    </w:p>
    <w:p w14:paraId="480B94EA" w14:textId="00EA7D56" w:rsidR="00F97CD6" w:rsidRDefault="004A70EA" w:rsidP="004A70EA">
      <w:pPr>
        <w:jc w:val="both"/>
        <w:rPr>
          <w:rFonts w:ascii="Avenir Next" w:hAnsi="Avenir Next" w:cs="Arial"/>
          <w:color w:val="7B7B7B" w:themeColor="accent3" w:themeShade="BF"/>
          <w:sz w:val="22"/>
          <w:szCs w:val="22"/>
          <w:lang w:val="en-GB"/>
        </w:rPr>
      </w:pPr>
      <w:r w:rsidRPr="004A70EA">
        <w:rPr>
          <w:rFonts w:ascii="Avenir Next" w:hAnsi="Avenir Next" w:cs="Arial"/>
          <w:color w:val="7B7B7B" w:themeColor="accent3" w:themeShade="BF"/>
          <w:sz w:val="22"/>
          <w:szCs w:val="22"/>
          <w:lang w:val="en-GB"/>
        </w:rPr>
        <w:t>The Guide to Enactment and Interpretation (</w:t>
      </w:r>
      <w:r w:rsidRPr="004A70EA">
        <w:rPr>
          <w:rFonts w:ascii="Avenir Next" w:hAnsi="Avenir Next" w:cs="Arial"/>
          <w:b/>
          <w:bCs/>
          <w:color w:val="7B7B7B" w:themeColor="accent3" w:themeShade="BF"/>
          <w:sz w:val="22"/>
          <w:szCs w:val="22"/>
          <w:lang w:val="en-GB"/>
        </w:rPr>
        <w:t>UNCITRAL Guide</w:t>
      </w:r>
      <w:r w:rsidRPr="004A70EA">
        <w:rPr>
          <w:rFonts w:ascii="Avenir Next" w:hAnsi="Avenir Next" w:cs="Arial"/>
          <w:color w:val="7B7B7B" w:themeColor="accent3" w:themeShade="BF"/>
          <w:sz w:val="22"/>
          <w:szCs w:val="22"/>
          <w:lang w:val="en-GB"/>
        </w:rPr>
        <w:t xml:space="preserve">) argues that the </w:t>
      </w:r>
      <w:r w:rsidR="00E54149">
        <w:rPr>
          <w:rFonts w:ascii="Avenir Next" w:hAnsi="Avenir Next" w:cs="Arial"/>
          <w:color w:val="7B7B7B" w:themeColor="accent3" w:themeShade="BF"/>
          <w:sz w:val="22"/>
          <w:szCs w:val="22"/>
          <w:lang w:val="en-GB"/>
        </w:rPr>
        <w:t xml:space="preserve">preferred </w:t>
      </w:r>
      <w:r w:rsidRPr="004A70EA">
        <w:rPr>
          <w:rFonts w:ascii="Avenir Next" w:hAnsi="Avenir Next" w:cs="Arial"/>
          <w:color w:val="7B7B7B" w:themeColor="accent3" w:themeShade="BF"/>
          <w:sz w:val="22"/>
          <w:szCs w:val="22"/>
          <w:lang w:val="en-GB"/>
        </w:rPr>
        <w:t>relevant date is at the date of commencement of the foreign proceedings.</w:t>
      </w:r>
      <w:r>
        <w:rPr>
          <w:rStyle w:val="FootnoteReference"/>
          <w:rFonts w:ascii="Avenir Next" w:hAnsi="Avenir Next" w:cs="Arial"/>
          <w:color w:val="7B7B7B" w:themeColor="accent3" w:themeShade="BF"/>
          <w:sz w:val="22"/>
          <w:szCs w:val="22"/>
          <w:lang w:val="en-GB"/>
        </w:rPr>
        <w:footnoteReference w:id="6"/>
      </w:r>
      <w:r w:rsidR="00E54149" w:rsidRPr="00E54149">
        <w:rPr>
          <w:rFonts w:ascii="Avenir Next" w:hAnsi="Avenir Next" w:cs="Arial"/>
          <w:color w:val="7B7B7B" w:themeColor="accent3" w:themeShade="BF"/>
          <w:sz w:val="22"/>
          <w:szCs w:val="22"/>
          <w:vertAlign w:val="superscript"/>
          <w:lang w:val="en-GB"/>
        </w:rPr>
        <w:t xml:space="preserve">, </w:t>
      </w:r>
      <w:r w:rsidR="00E54149">
        <w:rPr>
          <w:rStyle w:val="FootnoteReference"/>
          <w:rFonts w:ascii="Avenir Next" w:hAnsi="Avenir Next" w:cs="Arial"/>
          <w:color w:val="7B7B7B" w:themeColor="accent3" w:themeShade="BF"/>
          <w:sz w:val="22"/>
          <w:szCs w:val="22"/>
          <w:lang w:val="en-GB"/>
        </w:rPr>
        <w:footnoteReference w:id="7"/>
      </w:r>
      <w:r w:rsidRPr="004A70EA">
        <w:rPr>
          <w:rFonts w:ascii="Avenir Next" w:hAnsi="Avenir Next" w:cs="Arial"/>
          <w:color w:val="7B7B7B" w:themeColor="accent3" w:themeShade="BF"/>
          <w:sz w:val="22"/>
          <w:szCs w:val="22"/>
          <w:lang w:val="en-GB"/>
        </w:rPr>
        <w:t xml:space="preserve"> </w:t>
      </w:r>
    </w:p>
    <w:p w14:paraId="23DD134A" w14:textId="77777777" w:rsidR="00F97CD6" w:rsidRDefault="00F97CD6" w:rsidP="004A70EA">
      <w:pPr>
        <w:jc w:val="both"/>
        <w:rPr>
          <w:rFonts w:ascii="Avenir Next" w:hAnsi="Avenir Next" w:cs="Arial"/>
          <w:color w:val="7B7B7B" w:themeColor="accent3" w:themeShade="BF"/>
          <w:sz w:val="22"/>
          <w:szCs w:val="22"/>
          <w:lang w:val="en-GB"/>
        </w:rPr>
      </w:pPr>
    </w:p>
    <w:p w14:paraId="31BDFC94" w14:textId="6F23E733" w:rsidR="004A70EA" w:rsidRDefault="004A70EA" w:rsidP="004A70EA">
      <w:pPr>
        <w:jc w:val="both"/>
        <w:rPr>
          <w:rFonts w:ascii="Avenir Next" w:hAnsi="Avenir Next" w:cs="Arial"/>
          <w:color w:val="7B7B7B" w:themeColor="accent3" w:themeShade="BF"/>
          <w:sz w:val="22"/>
          <w:szCs w:val="22"/>
          <w:vertAlign w:val="superscript"/>
          <w:lang w:val="en-GB"/>
        </w:rPr>
      </w:pPr>
      <w:r w:rsidRPr="004A70EA">
        <w:rPr>
          <w:rFonts w:ascii="Avenir Next" w:hAnsi="Avenir Next" w:cs="Arial"/>
          <w:color w:val="7B7B7B" w:themeColor="accent3" w:themeShade="BF"/>
          <w:sz w:val="22"/>
          <w:szCs w:val="22"/>
          <w:lang w:val="en-GB"/>
        </w:rPr>
        <w:t>However, not all countries adopt this approach</w:t>
      </w:r>
      <w:r w:rsidR="008F5BA1">
        <w:rPr>
          <w:rFonts w:ascii="Avenir Next" w:hAnsi="Avenir Next" w:cs="Arial"/>
          <w:color w:val="7B7B7B" w:themeColor="accent3" w:themeShade="BF"/>
          <w:sz w:val="22"/>
          <w:szCs w:val="22"/>
          <w:lang w:val="en-GB"/>
        </w:rPr>
        <w:t xml:space="preserve"> and it depends on the jurisprudence of the enacting State that is deciding the recognition application</w:t>
      </w:r>
      <w:r w:rsidRPr="004A70EA">
        <w:rPr>
          <w:rFonts w:ascii="Avenir Next" w:hAnsi="Avenir Next" w:cs="Arial"/>
          <w:color w:val="7B7B7B" w:themeColor="accent3" w:themeShade="BF"/>
          <w:sz w:val="22"/>
          <w:szCs w:val="22"/>
          <w:lang w:val="en-GB"/>
        </w:rPr>
        <w:t>.</w:t>
      </w:r>
      <w:r w:rsidRPr="00F97CD6">
        <w:rPr>
          <w:rStyle w:val="FootnoteReference"/>
          <w:rFonts w:ascii="Avenir Next" w:hAnsi="Avenir Next" w:cs="Arial"/>
          <w:color w:val="7B7B7B" w:themeColor="accent3" w:themeShade="BF"/>
          <w:sz w:val="22"/>
          <w:szCs w:val="22"/>
          <w:lang w:val="en-GB"/>
        </w:rPr>
        <w:footnoteReference w:id="8"/>
      </w:r>
      <w:r w:rsidRPr="00F97CD6">
        <w:rPr>
          <w:rFonts w:ascii="Avenir Next" w:hAnsi="Avenir Next" w:cs="Arial"/>
          <w:color w:val="7B7B7B" w:themeColor="accent3" w:themeShade="BF"/>
          <w:sz w:val="22"/>
          <w:szCs w:val="22"/>
          <w:vertAlign w:val="superscript"/>
          <w:lang w:val="en-GB"/>
        </w:rPr>
        <w:t xml:space="preserve"> </w:t>
      </w:r>
    </w:p>
    <w:p w14:paraId="4F698A2F" w14:textId="1EE71441" w:rsidR="003A61B1" w:rsidRDefault="003A61B1" w:rsidP="004A70EA">
      <w:pPr>
        <w:jc w:val="both"/>
        <w:rPr>
          <w:rFonts w:ascii="Avenir Next" w:hAnsi="Avenir Next" w:cs="Arial"/>
          <w:color w:val="7B7B7B" w:themeColor="accent3" w:themeShade="BF"/>
          <w:sz w:val="22"/>
          <w:szCs w:val="22"/>
          <w:vertAlign w:val="superscript"/>
          <w:lang w:val="en-GB"/>
        </w:rPr>
      </w:pPr>
    </w:p>
    <w:p w14:paraId="2200B9A9" w14:textId="571DB0F0" w:rsidR="003A61B1" w:rsidRPr="004A70EA" w:rsidRDefault="003A61B1" w:rsidP="004A70EA">
      <w:pPr>
        <w:jc w:val="both"/>
        <w:rPr>
          <w:rFonts w:ascii="Avenir Next" w:hAnsi="Avenir Next" w:cs="Arial"/>
          <w:color w:val="7B7B7B" w:themeColor="accent3" w:themeShade="BF"/>
          <w:sz w:val="22"/>
          <w:szCs w:val="22"/>
          <w:lang w:val="en-GB"/>
        </w:rPr>
      </w:pPr>
      <w:r w:rsidRPr="003A61B1">
        <w:rPr>
          <w:rFonts w:ascii="Avenir Next" w:hAnsi="Avenir Next" w:cs="Arial"/>
          <w:color w:val="7B7B7B" w:themeColor="accent3" w:themeShade="BF"/>
          <w:sz w:val="22"/>
          <w:szCs w:val="22"/>
          <w:lang w:val="en-GB"/>
        </w:rPr>
        <w:t xml:space="preserve">If the </w:t>
      </w:r>
      <w:r>
        <w:rPr>
          <w:rFonts w:ascii="Avenir Next" w:hAnsi="Avenir Next" w:cs="Arial"/>
          <w:color w:val="7B7B7B" w:themeColor="accent3" w:themeShade="BF"/>
          <w:sz w:val="22"/>
          <w:szCs w:val="22"/>
          <w:lang w:val="en-GB"/>
        </w:rPr>
        <w:t xml:space="preserve">debtor changes their COMI between the periods described in (a) and (b) above, then </w:t>
      </w:r>
      <w:r w:rsidR="00E17D35">
        <w:rPr>
          <w:rFonts w:ascii="Avenir Next" w:hAnsi="Avenir Next" w:cs="Arial"/>
          <w:color w:val="7B7B7B" w:themeColor="accent3" w:themeShade="BF"/>
          <w:sz w:val="22"/>
          <w:szCs w:val="22"/>
          <w:lang w:val="en-GB"/>
        </w:rPr>
        <w:t>the European Court of Justice has held that (a) is still the preferred relevant date.</w:t>
      </w:r>
      <w:r w:rsidR="00E17D35">
        <w:rPr>
          <w:rStyle w:val="FootnoteReference"/>
          <w:rFonts w:ascii="Avenir Next" w:hAnsi="Avenir Next" w:cs="Arial"/>
          <w:color w:val="7B7B7B" w:themeColor="accent3" w:themeShade="BF"/>
          <w:sz w:val="22"/>
          <w:szCs w:val="22"/>
          <w:lang w:val="en-GB"/>
        </w:rPr>
        <w:footnoteReference w:id="9"/>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01125136" w:rsidR="00867A8F" w:rsidRDefault="00D00521" w:rsidP="00D005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relates to Article 14 of MLCBI, which provides for the requirements to notify foreign creditors of a proceeding under the enacting State’s laws.</w:t>
      </w:r>
    </w:p>
    <w:p w14:paraId="36C23DB7" w14:textId="77777777" w:rsidR="00E17D35" w:rsidRDefault="00E17D35" w:rsidP="00D00521">
      <w:pPr>
        <w:jc w:val="both"/>
        <w:rPr>
          <w:rFonts w:ascii="Avenir Next" w:hAnsi="Avenir Next" w:cs="Arial"/>
          <w:color w:val="808080" w:themeColor="background1" w:themeShade="80"/>
          <w:sz w:val="22"/>
          <w:szCs w:val="22"/>
          <w:lang w:val="en-GB"/>
        </w:rPr>
      </w:pPr>
    </w:p>
    <w:p w14:paraId="34FABCDB" w14:textId="6F99B73C" w:rsidR="00D00521" w:rsidRDefault="00D00521" w:rsidP="00D005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relates to Article 10 of MLCBI, which deals with ensuring that the enacting States’ courts do not assume jurisdiction over the debtor’s assets merely because the foreign representative made the recognition application.</w:t>
      </w:r>
      <w:r w:rsidR="00C36708">
        <w:rPr>
          <w:rStyle w:val="FootnoteReference"/>
          <w:rFonts w:ascii="Avenir Next" w:hAnsi="Avenir Next" w:cs="Arial"/>
          <w:color w:val="7B7B7B" w:themeColor="accent3" w:themeShade="BF"/>
          <w:sz w:val="22"/>
          <w:szCs w:val="22"/>
          <w:lang w:val="en-GB"/>
        </w:rPr>
        <w:footnoteReference w:id="10"/>
      </w:r>
    </w:p>
    <w:p w14:paraId="5AF2B038" w14:textId="2B5F306F" w:rsidR="00D00521" w:rsidRDefault="00D00521" w:rsidP="00D00521">
      <w:pPr>
        <w:jc w:val="both"/>
        <w:rPr>
          <w:rFonts w:ascii="Avenir Next" w:hAnsi="Avenir Next" w:cs="Arial"/>
          <w:color w:val="808080" w:themeColor="background1" w:themeShade="80"/>
          <w:sz w:val="22"/>
          <w:szCs w:val="22"/>
          <w:lang w:val="en-GB"/>
        </w:rPr>
      </w:pPr>
    </w:p>
    <w:p w14:paraId="7DD1CEDD" w14:textId="470590D6" w:rsidR="00D00521" w:rsidRPr="00B77352" w:rsidRDefault="00D00521" w:rsidP="00D0052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relates to Article 31 of the MLCBI, which creates a rebuttable presumption of insolvency </w:t>
      </w:r>
      <w:r w:rsidR="00C36708">
        <w:rPr>
          <w:rFonts w:ascii="Avenir Next" w:hAnsi="Avenir Next" w:cs="Arial"/>
          <w:color w:val="808080" w:themeColor="background1" w:themeShade="80"/>
          <w:sz w:val="22"/>
          <w:szCs w:val="22"/>
          <w:lang w:val="en-GB"/>
        </w:rPr>
        <w:t xml:space="preserve">proof </w:t>
      </w:r>
      <w:r>
        <w:rPr>
          <w:rFonts w:ascii="Avenir Next" w:hAnsi="Avenir Next" w:cs="Arial"/>
          <w:color w:val="808080" w:themeColor="background1" w:themeShade="80"/>
          <w:sz w:val="22"/>
          <w:szCs w:val="22"/>
          <w:lang w:val="en-GB"/>
        </w:rPr>
        <w:t xml:space="preserve">for foreign main proceedings.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108AB33C" w:rsidR="00867A8F" w:rsidRDefault="001721A9" w:rsidP="001721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IBA case</w:t>
      </w:r>
      <w:r>
        <w:rPr>
          <w:rStyle w:val="FootnoteReference"/>
          <w:rFonts w:ascii="Avenir Next" w:hAnsi="Avenir Next" w:cs="Arial"/>
          <w:color w:val="808080" w:themeColor="background1" w:themeShade="80"/>
          <w:sz w:val="22"/>
          <w:szCs w:val="22"/>
          <w:lang w:val="en-GB"/>
        </w:rPr>
        <w:footnoteReference w:id="11"/>
      </w:r>
      <w:r>
        <w:rPr>
          <w:rFonts w:ascii="Avenir Next" w:hAnsi="Avenir Next" w:cs="Arial"/>
          <w:color w:val="808080" w:themeColor="background1" w:themeShade="80"/>
          <w:sz w:val="22"/>
          <w:szCs w:val="22"/>
          <w:lang w:val="en-GB"/>
        </w:rPr>
        <w:t xml:space="preserve"> involved t</w:t>
      </w:r>
      <w:r w:rsidRPr="001721A9">
        <w:rPr>
          <w:rFonts w:ascii="Avenir Next" w:hAnsi="Avenir Next" w:cs="Arial"/>
          <w:color w:val="808080" w:themeColor="background1" w:themeShade="80"/>
          <w:sz w:val="22"/>
          <w:szCs w:val="22"/>
          <w:lang w:val="en-GB"/>
        </w:rPr>
        <w:t>he OJSC International Bank of Azerbaijan (</w:t>
      </w:r>
      <w:r w:rsidRPr="001721A9">
        <w:rPr>
          <w:rFonts w:ascii="Avenir Next" w:hAnsi="Avenir Next" w:cs="Arial"/>
          <w:b/>
          <w:bCs/>
          <w:color w:val="808080" w:themeColor="background1" w:themeShade="80"/>
          <w:sz w:val="22"/>
          <w:szCs w:val="22"/>
          <w:lang w:val="en-GB"/>
        </w:rPr>
        <w:t>IBA</w:t>
      </w:r>
      <w:r w:rsidRPr="001721A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which was the subject of a voluntary restructuring proceeding (</w:t>
      </w:r>
      <w:r w:rsidRPr="001721A9">
        <w:rPr>
          <w:rFonts w:ascii="Avenir Next" w:hAnsi="Avenir Next" w:cs="Arial"/>
          <w:b/>
          <w:bCs/>
          <w:color w:val="808080" w:themeColor="background1" w:themeShade="80"/>
          <w:sz w:val="22"/>
          <w:szCs w:val="22"/>
          <w:lang w:val="en-GB"/>
        </w:rPr>
        <w:t>VRP</w:t>
      </w:r>
      <w:r>
        <w:rPr>
          <w:rFonts w:ascii="Avenir Next" w:hAnsi="Avenir Next" w:cs="Arial"/>
          <w:color w:val="808080" w:themeColor="background1" w:themeShade="80"/>
          <w:sz w:val="22"/>
          <w:szCs w:val="22"/>
          <w:lang w:val="en-GB"/>
        </w:rPr>
        <w:t xml:space="preserve">) under </w:t>
      </w:r>
      <w:r w:rsidRPr="001721A9">
        <w:rPr>
          <w:rFonts w:ascii="Avenir Next" w:hAnsi="Avenir Next" w:cs="Arial"/>
          <w:color w:val="808080" w:themeColor="background1" w:themeShade="80"/>
          <w:sz w:val="22"/>
          <w:szCs w:val="22"/>
          <w:lang w:val="en-GB"/>
        </w:rPr>
        <w:t>Azerbaijan</w:t>
      </w:r>
      <w:r>
        <w:rPr>
          <w:rFonts w:ascii="Avenir Next" w:hAnsi="Avenir Next" w:cs="Arial"/>
          <w:color w:val="808080" w:themeColor="background1" w:themeShade="80"/>
          <w:sz w:val="22"/>
          <w:szCs w:val="22"/>
          <w:lang w:val="en-GB"/>
        </w:rPr>
        <w:t xml:space="preserve"> law. </w:t>
      </w:r>
      <w:r w:rsidR="009610EF">
        <w:rPr>
          <w:rFonts w:ascii="Avenir Next" w:hAnsi="Avenir Next" w:cs="Arial"/>
          <w:color w:val="808080" w:themeColor="background1" w:themeShade="80"/>
          <w:sz w:val="22"/>
          <w:szCs w:val="22"/>
          <w:lang w:val="en-GB"/>
        </w:rPr>
        <w:t xml:space="preserve">Azerbaijan law provides that all creditors are bound by the VRP. </w:t>
      </w:r>
      <w:r>
        <w:rPr>
          <w:rFonts w:ascii="Avenir Next" w:hAnsi="Avenir Next" w:cs="Arial"/>
          <w:color w:val="808080" w:themeColor="background1" w:themeShade="80"/>
          <w:sz w:val="22"/>
          <w:szCs w:val="22"/>
          <w:lang w:val="en-GB"/>
        </w:rPr>
        <w:t xml:space="preserve">The foreign restructuring representative had successfully applied for recognition of the VRP as a foreign main proceeding under the </w:t>
      </w:r>
      <w:r w:rsidRPr="00033156">
        <w:rPr>
          <w:rFonts w:ascii="Avenir Next" w:hAnsi="Avenir Next" w:cs="Arial"/>
          <w:i/>
          <w:iCs/>
          <w:color w:val="808080" w:themeColor="background1" w:themeShade="80"/>
          <w:sz w:val="22"/>
          <w:szCs w:val="22"/>
          <w:lang w:val="en-GB"/>
        </w:rPr>
        <w:t xml:space="preserve">United Kingdom’s Cross-Border Insolvency Regulations </w:t>
      </w:r>
      <w:r w:rsidR="009610EF">
        <w:rPr>
          <w:rFonts w:ascii="Avenir Next" w:hAnsi="Avenir Next" w:cs="Arial"/>
          <w:color w:val="808080" w:themeColor="background1" w:themeShade="80"/>
          <w:sz w:val="22"/>
          <w:szCs w:val="22"/>
          <w:lang w:val="en-GB"/>
        </w:rPr>
        <w:t>(</w:t>
      </w:r>
      <w:r w:rsidRPr="001721A9">
        <w:rPr>
          <w:rFonts w:ascii="Avenir Next" w:hAnsi="Avenir Next" w:cs="Arial"/>
          <w:color w:val="808080" w:themeColor="background1" w:themeShade="80"/>
          <w:sz w:val="22"/>
          <w:szCs w:val="22"/>
          <w:lang w:val="en-GB"/>
        </w:rPr>
        <w:t>2006</w:t>
      </w:r>
      <w:r w:rsidR="009610EF">
        <w:rPr>
          <w:rFonts w:ascii="Avenir Next" w:hAnsi="Avenir Next" w:cs="Arial"/>
          <w:color w:val="808080" w:themeColor="background1" w:themeShade="80"/>
          <w:sz w:val="22"/>
          <w:szCs w:val="22"/>
          <w:lang w:val="en-GB"/>
        </w:rPr>
        <w:t>), which had the effect of automatically staying specific enforcement actions in UK courts</w:t>
      </w:r>
      <w:r>
        <w:rPr>
          <w:rFonts w:ascii="Avenir Next" w:hAnsi="Avenir Next" w:cs="Arial"/>
          <w:color w:val="808080" w:themeColor="background1" w:themeShade="80"/>
          <w:sz w:val="22"/>
          <w:szCs w:val="22"/>
          <w:lang w:val="en-GB"/>
        </w:rPr>
        <w:t>.</w:t>
      </w:r>
    </w:p>
    <w:p w14:paraId="4E300D6F" w14:textId="24803910" w:rsidR="001721A9" w:rsidRDefault="001721A9" w:rsidP="001721A9">
      <w:pPr>
        <w:jc w:val="both"/>
        <w:rPr>
          <w:rFonts w:ascii="Avenir Next" w:hAnsi="Avenir Next" w:cs="Arial"/>
          <w:color w:val="808080" w:themeColor="background1" w:themeShade="80"/>
          <w:sz w:val="22"/>
          <w:szCs w:val="22"/>
          <w:lang w:val="en-GB"/>
        </w:rPr>
      </w:pPr>
    </w:p>
    <w:p w14:paraId="6619D734" w14:textId="113D66CC" w:rsidR="001721A9" w:rsidRDefault="009610EF" w:rsidP="001721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UK creditors applied for enforcement action in the UK and the foreign restructuring representative sought to enforce the automatic stays. The creditors relied on the </w:t>
      </w:r>
      <w:r w:rsidRPr="009610EF">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rule</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 being: if a creditor does not submit to a foreign proceeding/jurisdiction, it is not bound by the binding nature of the foreign stay. </w:t>
      </w:r>
    </w:p>
    <w:p w14:paraId="2C0D7FA9" w14:textId="1CE72FDE" w:rsidR="009610EF" w:rsidRDefault="009610EF" w:rsidP="001721A9">
      <w:pPr>
        <w:jc w:val="both"/>
        <w:rPr>
          <w:rFonts w:ascii="Avenir Next" w:hAnsi="Avenir Next" w:cs="Arial"/>
          <w:color w:val="808080" w:themeColor="background1" w:themeShade="80"/>
          <w:sz w:val="22"/>
          <w:szCs w:val="22"/>
          <w:lang w:val="en-GB"/>
        </w:rPr>
      </w:pPr>
    </w:p>
    <w:p w14:paraId="6C241756" w14:textId="7B498E97" w:rsidR="009610EF" w:rsidRDefault="009610EF" w:rsidP="001721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first instance, and then on Appeal, the court in </w:t>
      </w:r>
      <w:r w:rsidRPr="009610EF">
        <w:rPr>
          <w:rFonts w:ascii="Avenir Next" w:hAnsi="Avenir Next" w:cs="Arial"/>
          <w:i/>
          <w:iCs/>
          <w:color w:val="808080" w:themeColor="background1" w:themeShade="80"/>
          <w:sz w:val="22"/>
          <w:szCs w:val="22"/>
          <w:lang w:val="en-GB"/>
        </w:rPr>
        <w:t>IBA</w:t>
      </w:r>
      <w:r>
        <w:rPr>
          <w:rFonts w:ascii="Avenir Next" w:hAnsi="Avenir Next" w:cs="Arial"/>
          <w:color w:val="808080" w:themeColor="background1" w:themeShade="80"/>
          <w:sz w:val="22"/>
          <w:szCs w:val="22"/>
          <w:lang w:val="en-GB"/>
        </w:rPr>
        <w:t xml:space="preserve"> found in favour of the two UK creditors in that the automatic stay (or moratorium) was not required and should not continue indefinitely. Although specific to the facts of the case, the Court found that the stay was not required, given</w:t>
      </w:r>
      <w:r w:rsidR="00AC36CD">
        <w:rPr>
          <w:rFonts w:ascii="Avenir Next" w:hAnsi="Avenir Next" w:cs="Arial"/>
          <w:color w:val="808080" w:themeColor="background1" w:themeShade="80"/>
          <w:sz w:val="22"/>
          <w:szCs w:val="22"/>
          <w:lang w:val="en-GB"/>
        </w:rPr>
        <w:t xml:space="preserve"> (</w:t>
      </w:r>
      <w:r w:rsidR="00AC36CD">
        <w:rPr>
          <w:rFonts w:ascii="Avenir Next" w:hAnsi="Avenir Next" w:cs="Arial"/>
          <w:i/>
          <w:iCs/>
          <w:color w:val="808080" w:themeColor="background1" w:themeShade="80"/>
          <w:sz w:val="22"/>
          <w:szCs w:val="22"/>
          <w:lang w:val="en-GB"/>
        </w:rPr>
        <w:t>inter alia</w:t>
      </w:r>
      <w:r w:rsidR="00AC36C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45394B9E" w14:textId="4216C484" w:rsidR="009610EF" w:rsidRDefault="009610EF" w:rsidP="001721A9">
      <w:pPr>
        <w:jc w:val="both"/>
        <w:rPr>
          <w:rFonts w:ascii="Avenir Next" w:hAnsi="Avenir Next" w:cs="Arial"/>
          <w:color w:val="808080" w:themeColor="background1" w:themeShade="80"/>
          <w:sz w:val="22"/>
          <w:szCs w:val="22"/>
          <w:lang w:val="en-GB"/>
        </w:rPr>
      </w:pPr>
    </w:p>
    <w:p w14:paraId="7E7DC6CE" w14:textId="6358D49C" w:rsidR="009610EF" w:rsidRDefault="00AC36CD" w:rsidP="009610E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VRP was finalised and IBA had continued to trade in the ordinary course;</w:t>
      </w:r>
    </w:p>
    <w:p w14:paraId="61E162C7" w14:textId="75503405" w:rsidR="00AC36CD" w:rsidRDefault="00AC36CD" w:rsidP="009610E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stay was not required to protect IBA;</w:t>
      </w:r>
    </w:p>
    <w:p w14:paraId="20E8AD76" w14:textId="271A9186" w:rsidR="00AC36CD" w:rsidRDefault="00AC36CD" w:rsidP="009610E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was inconsistent with the MLCBI for a stay to continue beyond the foreign main proceedings; </w:t>
      </w:r>
    </w:p>
    <w:p w14:paraId="44A23522" w14:textId="77777777" w:rsidR="00AC36CD" w:rsidRDefault="00AC36CD" w:rsidP="009610E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IBA chose not to conduct a parallel VRP in the UK; and </w:t>
      </w:r>
    </w:p>
    <w:p w14:paraId="39A66464" w14:textId="5676D01B" w:rsidR="00AC36CD" w:rsidRPr="009610EF" w:rsidRDefault="00AC36CD" w:rsidP="009610EF">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was not a sufficient basis to disregard English law. </w:t>
      </w:r>
    </w:p>
    <w:p w14:paraId="2466950A" w14:textId="0E70572F" w:rsidR="009610EF" w:rsidRDefault="009610EF" w:rsidP="001721A9">
      <w:pPr>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41894352" w14:textId="7A99BB73" w:rsidR="00D84D61" w:rsidRDefault="00D84D61" w:rsidP="00D84D6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21 of the MLCBI grants power to the foreign representative to apply to the court of the enacting State to seek an automatic stay and moratorium on the domestic proceedings (amongst other relief). </w:t>
      </w:r>
    </w:p>
    <w:p w14:paraId="790E1784" w14:textId="77777777" w:rsidR="00D84D61" w:rsidRDefault="00D84D61" w:rsidP="00867A8F">
      <w:pPr>
        <w:ind w:left="720" w:hanging="720"/>
        <w:jc w:val="both"/>
        <w:rPr>
          <w:rFonts w:ascii="Avenir Next" w:hAnsi="Avenir Next" w:cs="Arial"/>
          <w:color w:val="808080" w:themeColor="background1" w:themeShade="80"/>
          <w:sz w:val="22"/>
          <w:szCs w:val="22"/>
          <w:lang w:val="en-GB"/>
        </w:rPr>
      </w:pPr>
    </w:p>
    <w:p w14:paraId="18F91E21" w14:textId="37B251C3" w:rsidR="00867A8F" w:rsidRPr="00B77352" w:rsidRDefault="00D84D61" w:rsidP="00D84D6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18 of the MLCBI expresses that the foreign representative has a positive (ongoing) obligation to notify the court of the enacting State in the event that there is a substantial change in the foreign main proceeding or the foreign representatives appointment or where another foreign proceeding is commenced.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414D82DE"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06233661" w:rsidR="00867A8F" w:rsidRDefault="007A61C3" w:rsidP="007A61C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access rights granted to the foreign representative under the Model Law appear to be aimed at providing the foreign representative with the same rights as the enacting State’s creditors. The rights available in State A that are preserved and can be benefitted from by the </w:t>
      </w:r>
      <w:r w:rsidR="00E35EDD">
        <w:rPr>
          <w:rFonts w:ascii="Avenir Next" w:hAnsi="Avenir Next" w:cs="Arial"/>
          <w:color w:val="808080" w:themeColor="background1" w:themeShade="80"/>
          <w:sz w:val="22"/>
          <w:szCs w:val="22"/>
          <w:lang w:val="en-GB"/>
        </w:rPr>
        <w:t>foreign representative are:</w:t>
      </w:r>
    </w:p>
    <w:p w14:paraId="0FE9DDB7" w14:textId="19EB767B" w:rsidR="00E35EDD" w:rsidRDefault="00E35EDD" w:rsidP="007A61C3">
      <w:pPr>
        <w:jc w:val="both"/>
        <w:rPr>
          <w:rFonts w:ascii="Avenir Next" w:hAnsi="Avenir Next" w:cs="Arial"/>
          <w:color w:val="808080" w:themeColor="background1" w:themeShade="80"/>
          <w:sz w:val="22"/>
          <w:szCs w:val="22"/>
          <w:lang w:val="en-GB"/>
        </w:rPr>
      </w:pPr>
    </w:p>
    <w:p w14:paraId="792CFB58" w14:textId="482B3A22" w:rsidR="00E35EDD" w:rsidRDefault="00E35EDD" w:rsidP="00E35ED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of the MLCBI, which grants the foreign representative with </w:t>
      </w:r>
      <w:r>
        <w:rPr>
          <w:rFonts w:ascii="Avenir Next" w:hAnsi="Avenir Next" w:cs="Arial"/>
          <w:i/>
          <w:iCs/>
          <w:color w:val="808080" w:themeColor="background1" w:themeShade="80"/>
          <w:sz w:val="22"/>
          <w:szCs w:val="22"/>
          <w:lang w:val="en-GB"/>
        </w:rPr>
        <w:t>locus standi</w:t>
      </w:r>
      <w:r>
        <w:rPr>
          <w:rFonts w:ascii="Avenir Next" w:hAnsi="Avenir Next" w:cs="Arial"/>
          <w:color w:val="808080" w:themeColor="background1" w:themeShade="80"/>
          <w:sz w:val="22"/>
          <w:szCs w:val="22"/>
          <w:lang w:val="en-GB"/>
        </w:rPr>
        <w:t>;</w:t>
      </w:r>
    </w:p>
    <w:p w14:paraId="3D620D68" w14:textId="0F082CAE" w:rsidR="00E35EDD" w:rsidRDefault="00E35EDD" w:rsidP="00E35ED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 of the MLCBI, which protects foreign assets of the Debtor from the enacting State’s court;</w:t>
      </w:r>
    </w:p>
    <w:p w14:paraId="1216DF28" w14:textId="48F1BBED" w:rsidR="00E35EDD" w:rsidRDefault="00E35EDD" w:rsidP="00E35ED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11 of the MLCBI, which grants the foreign representative with standing to commence domestic proceedings in the enacting State; and</w:t>
      </w:r>
    </w:p>
    <w:p w14:paraId="4C6F253F" w14:textId="6EAF39D6" w:rsidR="00E35EDD" w:rsidRDefault="00E35EDD" w:rsidP="00E35ED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12 of the MLCBI, which grants the foreign representative standing to participate in an already commenced domestic proceeding in the enacting State, subject to first being granted recognition as a foreign proceeding.</w:t>
      </w:r>
    </w:p>
    <w:p w14:paraId="534ABE07" w14:textId="137263E8" w:rsidR="00A972A6" w:rsidRDefault="00A972A6" w:rsidP="00A972A6">
      <w:pPr>
        <w:jc w:val="both"/>
        <w:rPr>
          <w:rFonts w:ascii="Avenir Next" w:hAnsi="Avenir Next" w:cs="Arial"/>
          <w:color w:val="808080" w:themeColor="background1" w:themeShade="80"/>
          <w:sz w:val="22"/>
          <w:szCs w:val="22"/>
          <w:lang w:val="en-GB"/>
        </w:rPr>
      </w:pPr>
    </w:p>
    <w:p w14:paraId="266F7A26" w14:textId="360AA6E7" w:rsidR="00A972A6" w:rsidRPr="00A972A6" w:rsidRDefault="00A972A6" w:rsidP="00A972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25 of the MLCBI, the courts of State A are mandatorily obligated to co-operate, and communicate, with the courts of the foreign representative (and the foreign representative themselves). Article 27 of the MLCBI also provides a non-prescriptive list of further types of co-operation expected. This list includes guidance on how to effectively, efficiently and safely communicate that co-operation.</w:t>
      </w:r>
      <w:r>
        <w:rPr>
          <w:rStyle w:val="FootnoteReference"/>
          <w:rFonts w:ascii="Avenir Next" w:hAnsi="Avenir Next" w:cs="Arial"/>
          <w:color w:val="7B7B7B" w:themeColor="accent3" w:themeShade="BF"/>
          <w:sz w:val="22"/>
          <w:szCs w:val="22"/>
          <w:lang w:val="en-GB"/>
        </w:rPr>
        <w:footnoteReference w:id="13"/>
      </w:r>
    </w:p>
    <w:p w14:paraId="51824301" w14:textId="7CC35C85" w:rsidR="00257437" w:rsidRDefault="00257437"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lastRenderedPageBreak/>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1C2B4B62" w14:textId="7E5AF79D" w:rsidR="00E30022" w:rsidRPr="00033156" w:rsidRDefault="00E30022" w:rsidP="00033156">
      <w:pPr>
        <w:jc w:val="both"/>
        <w:rPr>
          <w:rFonts w:ascii="Avenir Next" w:hAnsi="Avenir Next" w:cs="Arial"/>
          <w:color w:val="7B7B7B" w:themeColor="accent3" w:themeShade="BF"/>
          <w:sz w:val="22"/>
          <w:szCs w:val="22"/>
          <w:lang w:val="en-GB"/>
        </w:rPr>
      </w:pPr>
      <w:r w:rsidRPr="00033156">
        <w:rPr>
          <w:rFonts w:ascii="Avenir Next" w:hAnsi="Avenir Next" w:cs="Arial"/>
          <w:color w:val="7B7B7B" w:themeColor="accent3" w:themeShade="BF"/>
          <w:sz w:val="22"/>
          <w:szCs w:val="22"/>
          <w:lang w:val="en-GB"/>
        </w:rPr>
        <w:t>Pursuant to article 17(1) of the Model Law,</w:t>
      </w:r>
      <w:r>
        <w:rPr>
          <w:rStyle w:val="FootnoteReference"/>
          <w:rFonts w:ascii="Avenir Next" w:hAnsi="Avenir Next" w:cs="Arial"/>
          <w:color w:val="7B7B7B" w:themeColor="accent3" w:themeShade="BF"/>
          <w:sz w:val="22"/>
          <w:szCs w:val="22"/>
          <w:lang w:val="en-GB"/>
        </w:rPr>
        <w:footnoteReference w:id="14"/>
      </w:r>
      <w:r w:rsidRPr="00033156">
        <w:rPr>
          <w:rFonts w:ascii="Avenir Next" w:hAnsi="Avenir Next" w:cs="Arial"/>
          <w:color w:val="7B7B7B" w:themeColor="accent3" w:themeShade="BF"/>
          <w:sz w:val="22"/>
          <w:szCs w:val="22"/>
          <w:lang w:val="en-GB"/>
        </w:rPr>
        <w:t xml:space="preserve"> a foreign proceeding is to be recognised by a court of a signatory country, subject to the following conditions:</w:t>
      </w:r>
    </w:p>
    <w:p w14:paraId="43F7B449" w14:textId="77777777" w:rsidR="00E30022" w:rsidRDefault="00E30022" w:rsidP="00E30022">
      <w:pPr>
        <w:pStyle w:val="ListParagraph"/>
        <w:ind w:left="426"/>
        <w:jc w:val="both"/>
        <w:rPr>
          <w:rFonts w:ascii="Avenir Next" w:hAnsi="Avenir Next" w:cs="Arial"/>
          <w:color w:val="7B7B7B" w:themeColor="accent3" w:themeShade="BF"/>
          <w:sz w:val="22"/>
          <w:szCs w:val="22"/>
          <w:lang w:val="en-GB"/>
        </w:rPr>
      </w:pPr>
    </w:p>
    <w:p w14:paraId="10CC2B84" w14:textId="5186851F" w:rsidR="00E30022" w:rsidRDefault="00E30022" w:rsidP="00033156">
      <w:pPr>
        <w:pStyle w:val="ListParagraph"/>
        <w:numPr>
          <w:ilvl w:val="1"/>
          <w:numId w:val="18"/>
        </w:numPr>
        <w:ind w:left="708"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Public policy exceptions in article 6 do not apply, in that the recognition of the foreign proceeding is not “</w:t>
      </w:r>
      <w:r w:rsidRPr="00A7073A">
        <w:rPr>
          <w:rFonts w:ascii="Avenir Next" w:hAnsi="Avenir Next" w:cs="Arial"/>
          <w:i/>
          <w:iCs/>
          <w:color w:val="7B7B7B" w:themeColor="accent3" w:themeShade="BF"/>
          <w:sz w:val="22"/>
          <w:szCs w:val="22"/>
          <w:lang w:val="en-GB"/>
        </w:rPr>
        <w:t>manifestly contrary to the public policy of this State</w:t>
      </w:r>
      <w:r>
        <w:rPr>
          <w:rFonts w:ascii="Avenir Next" w:hAnsi="Avenir Next" w:cs="Arial"/>
          <w:color w:val="7B7B7B" w:themeColor="accent3" w:themeShade="BF"/>
          <w:sz w:val="22"/>
          <w:szCs w:val="22"/>
          <w:lang w:val="en-GB"/>
        </w:rPr>
        <w:t>.” The foreign representative would need to be satisfied that said exception does not apply (to their knowledge);</w:t>
      </w:r>
    </w:p>
    <w:p w14:paraId="03AE1603" w14:textId="77777777" w:rsidR="00E30022" w:rsidRDefault="00E30022" w:rsidP="00033156">
      <w:pPr>
        <w:pStyle w:val="ListParagraph"/>
        <w:ind w:left="708"/>
        <w:jc w:val="both"/>
        <w:rPr>
          <w:rFonts w:ascii="Avenir Next" w:hAnsi="Avenir Next" w:cs="Arial"/>
          <w:color w:val="7B7B7B" w:themeColor="accent3" w:themeShade="BF"/>
          <w:sz w:val="22"/>
          <w:szCs w:val="22"/>
          <w:lang w:val="en-GB"/>
        </w:rPr>
      </w:pPr>
    </w:p>
    <w:p w14:paraId="488F2743" w14:textId="585C3012" w:rsidR="00E30022" w:rsidRDefault="00E30022" w:rsidP="00033156">
      <w:pPr>
        <w:pStyle w:val="ListParagraph"/>
        <w:numPr>
          <w:ilvl w:val="1"/>
          <w:numId w:val="18"/>
        </w:numPr>
        <w:ind w:left="708"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foreign proceedings is (</w:t>
      </w:r>
      <w:r>
        <w:rPr>
          <w:rFonts w:ascii="Avenir Next" w:hAnsi="Avenir Next" w:cs="Arial"/>
          <w:i/>
          <w:iCs/>
          <w:color w:val="7B7B7B" w:themeColor="accent3" w:themeShade="BF"/>
          <w:sz w:val="22"/>
          <w:szCs w:val="22"/>
          <w:lang w:val="en-GB"/>
        </w:rPr>
        <w:t>inter alia</w:t>
      </w:r>
      <w:r>
        <w:rPr>
          <w:rFonts w:ascii="Avenir Next" w:hAnsi="Avenir Next" w:cs="Arial"/>
          <w:color w:val="7B7B7B" w:themeColor="accent3" w:themeShade="BF"/>
          <w:sz w:val="22"/>
          <w:szCs w:val="22"/>
          <w:lang w:val="en-GB"/>
        </w:rPr>
        <w:t xml:space="preserve">) a judicial proceeding in a foreign country for the purpose of liquidating and controlling the assets and affairs of a debtor (pursuant to article 2(a)). </w:t>
      </w:r>
      <w:r w:rsidR="004C17DD">
        <w:rPr>
          <w:rFonts w:ascii="Avenir Next" w:hAnsi="Avenir Next" w:cs="Arial"/>
          <w:color w:val="7B7B7B" w:themeColor="accent3" w:themeShade="BF"/>
          <w:sz w:val="22"/>
          <w:szCs w:val="22"/>
          <w:lang w:val="en-GB"/>
        </w:rPr>
        <w:t xml:space="preserve">The foreign representative would need to </w:t>
      </w:r>
      <w:r>
        <w:rPr>
          <w:rFonts w:ascii="Avenir Next" w:hAnsi="Avenir Next" w:cs="Arial"/>
          <w:color w:val="7B7B7B" w:themeColor="accent3" w:themeShade="BF"/>
          <w:sz w:val="22"/>
          <w:szCs w:val="22"/>
          <w:lang w:val="en-GB"/>
        </w:rPr>
        <w:t>seek a copy of the winding-up order</w:t>
      </w:r>
      <w:r w:rsidR="004C17DD">
        <w:rPr>
          <w:rFonts w:ascii="Avenir Next" w:hAnsi="Avenir Next" w:cs="Arial"/>
          <w:color w:val="7B7B7B" w:themeColor="accent3" w:themeShade="BF"/>
          <w:sz w:val="22"/>
          <w:szCs w:val="22"/>
          <w:lang w:val="en-GB"/>
        </w:rPr>
        <w:t xml:space="preserve"> (or other insolvency-related paperwork)</w:t>
      </w:r>
      <w:r>
        <w:rPr>
          <w:rFonts w:ascii="Avenir Next" w:hAnsi="Avenir Next" w:cs="Arial"/>
          <w:color w:val="7B7B7B" w:themeColor="accent3" w:themeShade="BF"/>
          <w:sz w:val="22"/>
          <w:szCs w:val="22"/>
          <w:lang w:val="en-GB"/>
        </w:rPr>
        <w:t xml:space="preserve"> from </w:t>
      </w:r>
      <w:r w:rsidR="004C17DD">
        <w:rPr>
          <w:rFonts w:ascii="Avenir Next" w:hAnsi="Avenir Next" w:cs="Arial"/>
          <w:color w:val="7B7B7B" w:themeColor="accent3" w:themeShade="BF"/>
          <w:sz w:val="22"/>
          <w:szCs w:val="22"/>
          <w:lang w:val="en-GB"/>
        </w:rPr>
        <w:t>State B</w:t>
      </w:r>
      <w:r>
        <w:rPr>
          <w:rFonts w:ascii="Avenir Next" w:hAnsi="Avenir Next" w:cs="Arial"/>
          <w:color w:val="7B7B7B" w:themeColor="accent3" w:themeShade="BF"/>
          <w:sz w:val="22"/>
          <w:szCs w:val="22"/>
          <w:lang w:val="en-GB"/>
        </w:rPr>
        <w:t>;</w:t>
      </w:r>
    </w:p>
    <w:p w14:paraId="36E21BB1" w14:textId="77777777" w:rsidR="00E30022" w:rsidRPr="003707AE" w:rsidRDefault="00E30022" w:rsidP="00033156">
      <w:pPr>
        <w:pStyle w:val="ListParagraph"/>
        <w:ind w:left="294"/>
        <w:rPr>
          <w:rFonts w:ascii="Avenir Next" w:hAnsi="Avenir Next" w:cs="Arial"/>
          <w:color w:val="7B7B7B" w:themeColor="accent3" w:themeShade="BF"/>
          <w:sz w:val="22"/>
          <w:szCs w:val="22"/>
          <w:lang w:val="en-GB"/>
        </w:rPr>
      </w:pPr>
    </w:p>
    <w:p w14:paraId="1B4D33CA" w14:textId="448588BA" w:rsidR="00E30022" w:rsidRDefault="00E30022" w:rsidP="00033156">
      <w:pPr>
        <w:pStyle w:val="ListParagraph"/>
        <w:numPr>
          <w:ilvl w:val="1"/>
          <w:numId w:val="18"/>
        </w:numPr>
        <w:ind w:left="708"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person applying for recognition is a foreign representative within the meaning of article 2(d). </w:t>
      </w:r>
      <w:r w:rsidR="004C17DD">
        <w:rPr>
          <w:rFonts w:ascii="Avenir Next" w:hAnsi="Avenir Next" w:cs="Arial"/>
          <w:color w:val="7B7B7B" w:themeColor="accent3" w:themeShade="BF"/>
          <w:sz w:val="22"/>
          <w:szCs w:val="22"/>
          <w:lang w:val="en-GB"/>
        </w:rPr>
        <w:t xml:space="preserve">The foreign representative would need to seek </w:t>
      </w:r>
      <w:r>
        <w:rPr>
          <w:rFonts w:ascii="Avenir Next" w:hAnsi="Avenir Next" w:cs="Arial"/>
          <w:color w:val="7B7B7B" w:themeColor="accent3" w:themeShade="BF"/>
          <w:sz w:val="22"/>
          <w:szCs w:val="22"/>
          <w:lang w:val="en-GB"/>
        </w:rPr>
        <w:t xml:space="preserve">all relevant licensing paperwork available from </w:t>
      </w:r>
      <w:r w:rsidR="004C17DD">
        <w:rPr>
          <w:rFonts w:ascii="Avenir Next" w:hAnsi="Avenir Next" w:cs="Arial"/>
          <w:color w:val="7B7B7B" w:themeColor="accent3" w:themeShade="BF"/>
          <w:sz w:val="22"/>
          <w:szCs w:val="22"/>
          <w:lang w:val="en-GB"/>
        </w:rPr>
        <w:t>State B</w:t>
      </w:r>
      <w:r>
        <w:rPr>
          <w:rFonts w:ascii="Avenir Next" w:hAnsi="Avenir Next" w:cs="Arial"/>
          <w:color w:val="7B7B7B" w:themeColor="accent3" w:themeShade="BF"/>
          <w:sz w:val="22"/>
          <w:szCs w:val="22"/>
          <w:lang w:val="en-GB"/>
        </w:rPr>
        <w:t xml:space="preserve">, or, if no such paperwork is available, conduct investigations into </w:t>
      </w:r>
      <w:r w:rsidR="004C17DD">
        <w:rPr>
          <w:rFonts w:ascii="Avenir Next" w:hAnsi="Avenir Next" w:cs="Arial"/>
          <w:color w:val="7B7B7B" w:themeColor="accent3" w:themeShade="BF"/>
          <w:sz w:val="22"/>
          <w:szCs w:val="22"/>
          <w:lang w:val="en-GB"/>
        </w:rPr>
        <w:t>State B’s</w:t>
      </w:r>
      <w:r>
        <w:rPr>
          <w:rFonts w:ascii="Avenir Next" w:hAnsi="Avenir Next" w:cs="Arial"/>
          <w:color w:val="7B7B7B" w:themeColor="accent3" w:themeShade="BF"/>
          <w:sz w:val="22"/>
          <w:szCs w:val="22"/>
          <w:lang w:val="en-GB"/>
        </w:rPr>
        <w:t xml:space="preserve"> regulatory and licensing obligations. I note that article 16(2) provides that </w:t>
      </w:r>
      <w:r w:rsidR="004C17DD">
        <w:rPr>
          <w:rFonts w:ascii="Avenir Next" w:hAnsi="Avenir Next" w:cs="Arial"/>
          <w:color w:val="7B7B7B" w:themeColor="accent3" w:themeShade="BF"/>
          <w:sz w:val="22"/>
          <w:szCs w:val="22"/>
          <w:lang w:val="en-GB"/>
        </w:rPr>
        <w:t>the State A’s</w:t>
      </w:r>
      <w:r>
        <w:rPr>
          <w:rFonts w:ascii="Avenir Next" w:hAnsi="Avenir Next" w:cs="Arial"/>
          <w:color w:val="7B7B7B" w:themeColor="accent3" w:themeShade="BF"/>
          <w:sz w:val="22"/>
          <w:szCs w:val="22"/>
          <w:lang w:val="en-GB"/>
        </w:rPr>
        <w:t xml:space="preserve"> court is entitled to presume that any licensing paperwork is authentic;</w:t>
      </w:r>
    </w:p>
    <w:p w14:paraId="7BC881BA" w14:textId="77777777" w:rsidR="00E30022" w:rsidRPr="007D2A7B" w:rsidRDefault="00E30022" w:rsidP="00033156">
      <w:pPr>
        <w:pStyle w:val="ListParagraph"/>
        <w:ind w:left="294"/>
        <w:rPr>
          <w:rFonts w:ascii="Avenir Next" w:hAnsi="Avenir Next" w:cs="Arial"/>
          <w:color w:val="7B7B7B" w:themeColor="accent3" w:themeShade="BF"/>
          <w:sz w:val="22"/>
          <w:szCs w:val="22"/>
          <w:lang w:val="en-GB"/>
        </w:rPr>
      </w:pPr>
    </w:p>
    <w:p w14:paraId="5625C95C" w14:textId="06E0C0C3" w:rsidR="00E30022" w:rsidRDefault="00E30022" w:rsidP="00033156">
      <w:pPr>
        <w:pStyle w:val="ListParagraph"/>
        <w:numPr>
          <w:ilvl w:val="1"/>
          <w:numId w:val="18"/>
        </w:numPr>
        <w:ind w:left="708"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4C17DD">
        <w:rPr>
          <w:rFonts w:ascii="Avenir Next" w:hAnsi="Avenir Next" w:cs="Arial"/>
          <w:color w:val="7B7B7B" w:themeColor="accent3" w:themeShade="BF"/>
          <w:sz w:val="22"/>
          <w:szCs w:val="22"/>
          <w:lang w:val="en-GB"/>
        </w:rPr>
        <w:t xml:space="preserve">foreign representative </w:t>
      </w:r>
      <w:r>
        <w:rPr>
          <w:rFonts w:ascii="Avenir Next" w:hAnsi="Avenir Next" w:cs="Arial"/>
          <w:color w:val="7B7B7B" w:themeColor="accent3" w:themeShade="BF"/>
          <w:sz w:val="22"/>
          <w:szCs w:val="22"/>
          <w:lang w:val="en-GB"/>
        </w:rPr>
        <w:t>is capable of providing (</w:t>
      </w:r>
      <w:r>
        <w:rPr>
          <w:rFonts w:ascii="Avenir Next" w:hAnsi="Avenir Next" w:cs="Arial"/>
          <w:i/>
          <w:iCs/>
          <w:color w:val="7B7B7B" w:themeColor="accent3" w:themeShade="BF"/>
          <w:sz w:val="22"/>
          <w:szCs w:val="22"/>
          <w:lang w:val="en-GB"/>
        </w:rPr>
        <w:t xml:space="preserve">inter </w:t>
      </w:r>
      <w:r w:rsidRPr="00796AF5">
        <w:rPr>
          <w:rFonts w:ascii="Avenir Next" w:hAnsi="Avenir Next" w:cs="Arial"/>
          <w:i/>
          <w:iCs/>
          <w:color w:val="7B7B7B" w:themeColor="accent3" w:themeShade="BF"/>
          <w:sz w:val="22"/>
          <w:szCs w:val="22"/>
          <w:lang w:val="en-GB"/>
        </w:rPr>
        <w:t>alia</w:t>
      </w:r>
      <w:r>
        <w:rPr>
          <w:rFonts w:ascii="Avenir Next" w:hAnsi="Avenir Next" w:cs="Arial"/>
          <w:color w:val="7B7B7B" w:themeColor="accent3" w:themeShade="BF"/>
          <w:sz w:val="22"/>
          <w:szCs w:val="22"/>
          <w:lang w:val="en-GB"/>
        </w:rPr>
        <w:t xml:space="preserve">) </w:t>
      </w:r>
      <w:r w:rsidRPr="00796AF5">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certified copy of the </w:t>
      </w:r>
      <w:r w:rsidR="004C17DD">
        <w:rPr>
          <w:rFonts w:ascii="Avenir Next" w:hAnsi="Avenir Next" w:cs="Arial"/>
          <w:color w:val="7B7B7B" w:themeColor="accent3" w:themeShade="BF"/>
          <w:sz w:val="22"/>
          <w:szCs w:val="22"/>
          <w:lang w:val="en-GB"/>
        </w:rPr>
        <w:t>State A</w:t>
      </w:r>
      <w:r>
        <w:rPr>
          <w:rFonts w:ascii="Avenir Next" w:hAnsi="Avenir Next" w:cs="Arial"/>
          <w:color w:val="7B7B7B" w:themeColor="accent3" w:themeShade="BF"/>
          <w:sz w:val="22"/>
          <w:szCs w:val="22"/>
          <w:lang w:val="en-GB"/>
        </w:rPr>
        <w:t xml:space="preserve"> winding-up order </w:t>
      </w:r>
      <w:r w:rsidR="004C17DD">
        <w:rPr>
          <w:rFonts w:ascii="Avenir Next" w:hAnsi="Avenir Next" w:cs="Arial"/>
          <w:color w:val="7B7B7B" w:themeColor="accent3" w:themeShade="BF"/>
          <w:sz w:val="22"/>
          <w:szCs w:val="22"/>
          <w:lang w:val="en-GB"/>
        </w:rPr>
        <w:t xml:space="preserve">(or similar) </w:t>
      </w:r>
      <w:r>
        <w:rPr>
          <w:rFonts w:ascii="Avenir Next" w:hAnsi="Avenir Next" w:cs="Arial"/>
          <w:color w:val="7B7B7B" w:themeColor="accent3" w:themeShade="BF"/>
          <w:sz w:val="22"/>
          <w:szCs w:val="22"/>
          <w:lang w:val="en-GB"/>
        </w:rPr>
        <w:t xml:space="preserve">within the meaning of article 15(2). I note the presumptions available to </w:t>
      </w:r>
      <w:r w:rsidR="004C17DD">
        <w:rPr>
          <w:rFonts w:ascii="Avenir Next" w:hAnsi="Avenir Next" w:cs="Arial"/>
          <w:color w:val="7B7B7B" w:themeColor="accent3" w:themeShade="BF"/>
          <w:sz w:val="22"/>
          <w:szCs w:val="22"/>
          <w:lang w:val="en-GB"/>
        </w:rPr>
        <w:t>State A</w:t>
      </w:r>
      <w:r w:rsidR="003F6E8F">
        <w:rPr>
          <w:rFonts w:ascii="Avenir Next" w:hAnsi="Avenir Next" w:cs="Arial"/>
          <w:color w:val="7B7B7B" w:themeColor="accent3" w:themeShade="BF"/>
          <w:sz w:val="22"/>
          <w:szCs w:val="22"/>
          <w:lang w:val="en-GB"/>
        </w:rPr>
        <w:t>’s</w:t>
      </w:r>
      <w:r w:rsidR="004C17D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court in relation to this requirement in article 16(1); and</w:t>
      </w:r>
    </w:p>
    <w:p w14:paraId="02AAB3F4" w14:textId="77777777" w:rsidR="00E30022" w:rsidRPr="0096467B" w:rsidRDefault="00E30022" w:rsidP="00033156">
      <w:pPr>
        <w:jc w:val="both"/>
        <w:rPr>
          <w:rFonts w:ascii="Avenir Next" w:hAnsi="Avenir Next" w:cs="Arial"/>
          <w:color w:val="7B7B7B" w:themeColor="accent3" w:themeShade="BF"/>
          <w:sz w:val="22"/>
          <w:szCs w:val="22"/>
          <w:lang w:val="en-GB"/>
        </w:rPr>
      </w:pPr>
    </w:p>
    <w:p w14:paraId="69C64FD6" w14:textId="3E7A147F" w:rsidR="00E30022" w:rsidRDefault="004C17DD" w:rsidP="00033156">
      <w:pPr>
        <w:pStyle w:val="ListParagraph"/>
        <w:numPr>
          <w:ilvl w:val="1"/>
          <w:numId w:val="18"/>
        </w:numPr>
        <w:ind w:left="708"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foreign representative </w:t>
      </w:r>
      <w:r w:rsidR="00E30022">
        <w:rPr>
          <w:rFonts w:ascii="Avenir Next" w:hAnsi="Avenir Next" w:cs="Arial"/>
          <w:color w:val="7B7B7B" w:themeColor="accent3" w:themeShade="BF"/>
          <w:sz w:val="22"/>
          <w:szCs w:val="22"/>
          <w:lang w:val="en-GB"/>
        </w:rPr>
        <w:t xml:space="preserve">has filed in the appropriate court in </w:t>
      </w:r>
      <w:r>
        <w:rPr>
          <w:rFonts w:ascii="Avenir Next" w:hAnsi="Avenir Next" w:cs="Arial"/>
          <w:color w:val="7B7B7B" w:themeColor="accent3" w:themeShade="BF"/>
          <w:sz w:val="22"/>
          <w:szCs w:val="22"/>
          <w:lang w:val="en-GB"/>
        </w:rPr>
        <w:t>State A</w:t>
      </w:r>
      <w:r w:rsidR="00E30022">
        <w:rPr>
          <w:rFonts w:ascii="Avenir Next" w:hAnsi="Avenir Next" w:cs="Arial"/>
          <w:color w:val="7B7B7B" w:themeColor="accent3" w:themeShade="BF"/>
          <w:sz w:val="22"/>
          <w:szCs w:val="22"/>
          <w:lang w:val="en-GB"/>
        </w:rPr>
        <w:t>, within the meaning of article 4.</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30569AE" w:rsidR="00867A8F" w:rsidRDefault="0019576D" w:rsidP="001957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21 of the MLCBI provides for the discretionary relief available to courts post-recognition, including the power to automatically stay proceedings or enforcement actions, protection of assets from transfer and the power to examine or take evidence. The list provided in article 21 is not to be read as an exhaustive or restrictive list,</w:t>
      </w:r>
      <w:r w:rsidR="003664D5">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however, the power to examine or take evidence has been </w:t>
      </w:r>
      <w:r w:rsidR="003664D5">
        <w:rPr>
          <w:rFonts w:ascii="Avenir Next" w:hAnsi="Avenir Next" w:cs="Arial"/>
          <w:color w:val="808080" w:themeColor="background1" w:themeShade="80"/>
          <w:sz w:val="22"/>
          <w:szCs w:val="22"/>
          <w:lang w:val="en-GB"/>
        </w:rPr>
        <w:t>limited to how said information may be used.</w:t>
      </w:r>
      <w:r w:rsidR="003664D5">
        <w:rPr>
          <w:rStyle w:val="FootnoteReference"/>
          <w:rFonts w:ascii="Avenir Next" w:hAnsi="Avenir Next" w:cs="Arial"/>
          <w:color w:val="808080" w:themeColor="background1" w:themeShade="80"/>
          <w:sz w:val="22"/>
          <w:szCs w:val="22"/>
          <w:lang w:val="en-GB"/>
        </w:rPr>
        <w:footnoteReference w:id="16"/>
      </w:r>
      <w:r w:rsidR="003664D5">
        <w:rPr>
          <w:rFonts w:ascii="Avenir Next" w:hAnsi="Avenir Next" w:cs="Arial"/>
          <w:color w:val="808080" w:themeColor="background1" w:themeShade="80"/>
          <w:sz w:val="22"/>
          <w:szCs w:val="22"/>
          <w:lang w:val="en-GB"/>
        </w:rPr>
        <w:t xml:space="preserve"> </w:t>
      </w:r>
    </w:p>
    <w:p w14:paraId="3FD3BDB2" w14:textId="39211E1F" w:rsidR="003664D5" w:rsidRDefault="003664D5" w:rsidP="0019576D">
      <w:pPr>
        <w:jc w:val="both"/>
        <w:rPr>
          <w:rFonts w:ascii="Avenir Next" w:hAnsi="Avenir Next" w:cs="Arial"/>
          <w:color w:val="808080" w:themeColor="background1" w:themeShade="80"/>
          <w:sz w:val="22"/>
          <w:szCs w:val="22"/>
          <w:lang w:val="en-GB"/>
        </w:rPr>
      </w:pPr>
    </w:p>
    <w:p w14:paraId="468D578A" w14:textId="2F53FDA0" w:rsidR="003664D5" w:rsidRDefault="003664D5" w:rsidP="001957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also requires a request / application by the foreign representative and that the power be necessary to protect the assets of the debtor or a creditor’s right/interest, subject to suitable protections for local creditors of the enacting State. </w:t>
      </w:r>
    </w:p>
    <w:p w14:paraId="6E3A906E" w14:textId="12CBD6D3" w:rsidR="0023310E" w:rsidRDefault="003664D5" w:rsidP="001957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19 provides for a pre-recognised foreign representative’s right to seek a granting of interim relief, upon application of the foreign representative. </w:t>
      </w:r>
      <w:r w:rsidR="0023310E">
        <w:rPr>
          <w:rFonts w:ascii="Avenir Next" w:hAnsi="Avenir Next" w:cs="Arial"/>
          <w:color w:val="808080" w:themeColor="background1" w:themeShade="80"/>
          <w:sz w:val="22"/>
          <w:szCs w:val="22"/>
          <w:lang w:val="en-GB"/>
        </w:rPr>
        <w:t>The court may only grant said relief to protect the Debtor’s assets or creditors and same must not interfere with the administration of a foreign main proceeding.</w:t>
      </w:r>
      <w:r w:rsidR="0023310E">
        <w:rPr>
          <w:rStyle w:val="FootnoteReference"/>
          <w:rFonts w:ascii="Avenir Next" w:hAnsi="Avenir Next" w:cs="Arial"/>
          <w:color w:val="808080" w:themeColor="background1" w:themeShade="80"/>
          <w:sz w:val="22"/>
          <w:szCs w:val="22"/>
          <w:lang w:val="en-GB"/>
        </w:rPr>
        <w:footnoteReference w:id="17"/>
      </w:r>
      <w:r w:rsidR="0023310E">
        <w:rPr>
          <w:rFonts w:ascii="Avenir Next" w:hAnsi="Avenir Next" w:cs="Arial"/>
          <w:color w:val="808080" w:themeColor="background1" w:themeShade="80"/>
          <w:sz w:val="22"/>
          <w:szCs w:val="22"/>
          <w:lang w:val="en-GB"/>
        </w:rPr>
        <w:t xml:space="preserve"> The relief can include (but is not limited to): </w:t>
      </w:r>
    </w:p>
    <w:p w14:paraId="1D6D26D7" w14:textId="7F77C006" w:rsidR="0023310E" w:rsidRDefault="0023310E" w:rsidP="0019576D">
      <w:pPr>
        <w:jc w:val="both"/>
        <w:rPr>
          <w:rFonts w:ascii="Avenir Next" w:hAnsi="Avenir Next" w:cs="Arial"/>
          <w:color w:val="808080" w:themeColor="background1" w:themeShade="80"/>
          <w:sz w:val="22"/>
          <w:szCs w:val="22"/>
          <w:lang w:val="en-GB"/>
        </w:rPr>
      </w:pPr>
    </w:p>
    <w:p w14:paraId="300E8FAE" w14:textId="5E35AF78" w:rsidR="0023310E" w:rsidRDefault="0023310E" w:rsidP="002331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 execution against assets;</w:t>
      </w:r>
    </w:p>
    <w:p w14:paraId="4A6610BE" w14:textId="407E8F9C" w:rsidR="0023310E" w:rsidRDefault="0023310E" w:rsidP="002331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Vest assets in the foreign representative for the purpose of preserving or realising same;</w:t>
      </w:r>
    </w:p>
    <w:p w14:paraId="5D37DA95" w14:textId="5545F60E" w:rsidR="0023310E" w:rsidRDefault="0023310E" w:rsidP="002331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Suspension of transfer/encumbrance rights;</w:t>
      </w:r>
    </w:p>
    <w:p w14:paraId="77FD4C20" w14:textId="12AC3E2F" w:rsidR="0023310E" w:rsidRDefault="0023310E" w:rsidP="002331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examine or take evidence; and</w:t>
      </w:r>
    </w:p>
    <w:p w14:paraId="0229B75B" w14:textId="05878BAC" w:rsidR="0023310E" w:rsidRDefault="0023310E" w:rsidP="0023310E">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other relief that may otherwise be available to a local representative. </w:t>
      </w:r>
    </w:p>
    <w:p w14:paraId="3C05F1B2" w14:textId="41A6C901" w:rsidR="003F6E8F" w:rsidRDefault="003F6E8F" w:rsidP="003F6E8F">
      <w:pPr>
        <w:jc w:val="both"/>
        <w:rPr>
          <w:rFonts w:ascii="Avenir Next" w:hAnsi="Avenir Next" w:cs="Arial"/>
          <w:color w:val="808080" w:themeColor="background1" w:themeShade="80"/>
          <w:sz w:val="22"/>
          <w:szCs w:val="22"/>
          <w:lang w:val="en-GB"/>
        </w:rPr>
      </w:pPr>
    </w:p>
    <w:p w14:paraId="3679F4F2" w14:textId="5F386DAC" w:rsidR="003F6E8F" w:rsidRPr="003F6E8F" w:rsidRDefault="003F6E8F" w:rsidP="003F6E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further potential restriction on article 19 is an English court decision, which held that pre-recognition relief could not continue through post-recognition, in the context of a worldwide freezing order.</w:t>
      </w:r>
      <w:r>
        <w:rPr>
          <w:rStyle w:val="FootnoteReference"/>
          <w:rFonts w:ascii="Avenir Next" w:hAnsi="Avenir Next" w:cs="Arial"/>
          <w:color w:val="808080" w:themeColor="background1" w:themeShade="80"/>
          <w:sz w:val="22"/>
          <w:szCs w:val="22"/>
          <w:lang w:val="en-GB"/>
        </w:rPr>
        <w:footnoteReference w:id="18"/>
      </w:r>
    </w:p>
    <w:p w14:paraId="4A0E319B" w14:textId="6F04BBA0"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268C72A4" w:rsidR="00867A8F" w:rsidRPr="00B77352" w:rsidRDefault="003F6E8F" w:rsidP="003E25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Pr="003E2541">
        <w:rPr>
          <w:rFonts w:ascii="Avenir Next" w:hAnsi="Avenir Next" w:cs="Arial"/>
          <w:i/>
          <w:iCs/>
          <w:color w:val="808080" w:themeColor="background1" w:themeShade="80"/>
          <w:sz w:val="22"/>
          <w:szCs w:val="22"/>
          <w:lang w:val="en-GB"/>
        </w:rPr>
        <w:t>Protasov</w:t>
      </w:r>
      <w:proofErr w:type="spellEnd"/>
      <w:r w:rsidRPr="003E2541">
        <w:rPr>
          <w:rFonts w:ascii="Avenir Next" w:hAnsi="Avenir Next" w:cs="Arial"/>
          <w:i/>
          <w:iCs/>
          <w:color w:val="808080" w:themeColor="background1" w:themeShade="80"/>
          <w:sz w:val="22"/>
          <w:szCs w:val="22"/>
          <w:lang w:val="en-GB"/>
        </w:rPr>
        <w:t xml:space="preserve"> v </w:t>
      </w:r>
      <w:proofErr w:type="spellStart"/>
      <w:r w:rsidRPr="003E2541">
        <w:rPr>
          <w:rFonts w:ascii="Avenir Next" w:hAnsi="Avenir Next" w:cs="Arial"/>
          <w:i/>
          <w:iCs/>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case</w:t>
      </w:r>
      <w:r>
        <w:rPr>
          <w:rStyle w:val="FootnoteReference"/>
          <w:rFonts w:ascii="Avenir Next" w:hAnsi="Avenir Next" w:cs="Arial"/>
          <w:color w:val="808080" w:themeColor="background1" w:themeShade="80"/>
          <w:sz w:val="22"/>
          <w:szCs w:val="22"/>
          <w:lang w:val="en-GB"/>
        </w:rPr>
        <w:footnoteReference w:id="19"/>
      </w:r>
      <w:r>
        <w:rPr>
          <w:rFonts w:ascii="Avenir Next" w:hAnsi="Avenir Next" w:cs="Arial"/>
          <w:color w:val="808080" w:themeColor="background1" w:themeShade="80"/>
          <w:sz w:val="22"/>
          <w:szCs w:val="22"/>
          <w:lang w:val="en-GB"/>
        </w:rPr>
        <w:t xml:space="preserve"> is authority for the proposition that </w:t>
      </w:r>
      <w:r w:rsidR="003E2541">
        <w:rPr>
          <w:rFonts w:ascii="Avenir Next" w:hAnsi="Avenir Next" w:cs="Arial"/>
          <w:color w:val="808080" w:themeColor="background1" w:themeShade="80"/>
          <w:sz w:val="22"/>
          <w:szCs w:val="22"/>
          <w:lang w:val="en-GB"/>
        </w:rPr>
        <w:t>pre-recognition relief (in the form of a worldwide freezing order) was not available to be continued post-recognition.  This was due to the Court’s view that the MLCBI was intended to put a foreign representative in the same shoes as a local representative (as far as possible). Given, the local bankruptcy regime offered other forms of protection, a worldwide freezing order was not required or justified.</w:t>
      </w:r>
      <w:r w:rsidR="003E2541">
        <w:rPr>
          <w:rStyle w:val="FootnoteReference"/>
          <w:rFonts w:ascii="Avenir Next" w:hAnsi="Avenir Next" w:cs="Arial"/>
          <w:color w:val="808080" w:themeColor="background1" w:themeShade="80"/>
          <w:sz w:val="22"/>
          <w:szCs w:val="22"/>
          <w:lang w:val="en-GB"/>
        </w:rPr>
        <w:footnoteReference w:id="20"/>
      </w:r>
      <w:r w:rsidR="003E2541">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1D0B8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1D0B8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1D0B8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1D0B8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1D0B8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1D0B8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1D0B8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1D0B8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1D0B8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1D0B8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1D0B8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74417807" w:rsidR="00957951" w:rsidRDefault="00957951" w:rsidP="00957951">
      <w:pPr>
        <w:ind w:left="720" w:hanging="720"/>
        <w:jc w:val="both"/>
        <w:rPr>
          <w:rFonts w:ascii="Avenir Next" w:hAnsi="Avenir Next" w:cs="Arial"/>
          <w:color w:val="000000"/>
          <w:sz w:val="22"/>
          <w:szCs w:val="22"/>
          <w:lang w:val="en-GB" w:eastAsia="en-GB"/>
        </w:rPr>
      </w:pPr>
    </w:p>
    <w:p w14:paraId="33EDF658" w14:textId="5B88CA76" w:rsidR="00EC7B7D" w:rsidRDefault="00395F11" w:rsidP="00395F11">
      <w:pPr>
        <w:pStyle w:val="ListParagraph"/>
        <w:numPr>
          <w:ilvl w:val="0"/>
          <w:numId w:val="20"/>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Foreign proceeding is defined in Article 2(a) of MLCBI</w:t>
      </w:r>
      <w:r w:rsidR="00C04D5E">
        <w:rPr>
          <w:rFonts w:ascii="Avenir Next" w:hAnsi="Avenir Next" w:cs="Arial"/>
          <w:color w:val="7B7B7B" w:themeColor="accent3" w:themeShade="BF"/>
          <w:sz w:val="22"/>
          <w:szCs w:val="22"/>
          <w:lang w:val="en-GB"/>
        </w:rPr>
        <w:t>. According to the Guide, the relevant time to assess whether the Bank’s liquidation comprises a foreign proceeding is at the time that the application for recognition is considered</w:t>
      </w:r>
      <w:r w:rsidR="00EC7B7D">
        <w:rPr>
          <w:rFonts w:ascii="Avenir Next" w:hAnsi="Avenir Next" w:cs="Arial"/>
          <w:color w:val="7B7B7B" w:themeColor="accent3" w:themeShade="BF"/>
          <w:sz w:val="22"/>
          <w:szCs w:val="22"/>
          <w:lang w:val="en-GB"/>
        </w:rPr>
        <w:t>.</w:t>
      </w:r>
      <w:r w:rsidR="00C04D5E">
        <w:rPr>
          <w:rStyle w:val="FootnoteReference"/>
          <w:rFonts w:ascii="Avenir Next" w:hAnsi="Avenir Next" w:cs="Arial"/>
          <w:color w:val="7B7B7B" w:themeColor="accent3" w:themeShade="BF"/>
          <w:sz w:val="22"/>
          <w:szCs w:val="22"/>
          <w:lang w:val="en-GB"/>
        </w:rPr>
        <w:footnoteReference w:id="21"/>
      </w:r>
      <w:r w:rsidR="00C04D5E">
        <w:rPr>
          <w:rFonts w:ascii="Avenir Next" w:hAnsi="Avenir Next" w:cs="Arial"/>
          <w:color w:val="7B7B7B" w:themeColor="accent3" w:themeShade="BF"/>
          <w:sz w:val="22"/>
          <w:szCs w:val="22"/>
          <w:lang w:val="en-GB"/>
        </w:rPr>
        <w:t xml:space="preserve"> </w:t>
      </w:r>
      <w:r w:rsidR="00EC7B7D">
        <w:rPr>
          <w:rFonts w:ascii="Avenir Next" w:hAnsi="Avenir Next" w:cs="Arial"/>
          <w:color w:val="7B7B7B" w:themeColor="accent3" w:themeShade="BF"/>
          <w:sz w:val="22"/>
          <w:szCs w:val="22"/>
          <w:lang w:val="en-GB"/>
        </w:rPr>
        <w:t>The factual matrix provides that “</w:t>
      </w:r>
      <w:r w:rsidR="00EC7B7D" w:rsidRPr="003B73B2">
        <w:rPr>
          <w:rFonts w:ascii="Avenir Next" w:hAnsi="Avenir Next" w:cs="Arial"/>
          <w:i/>
          <w:iCs/>
          <w:color w:val="7B7B7B" w:themeColor="accent3" w:themeShade="BF"/>
          <w:sz w:val="22"/>
          <w:szCs w:val="22"/>
          <w:lang w:val="en-GB"/>
        </w:rPr>
        <w:t>prior to any determination made in the English Proceedings … Ms G</w:t>
      </w:r>
      <w:r w:rsidR="003B73B2" w:rsidRPr="003B73B2">
        <w:rPr>
          <w:rStyle w:val="FootnoteReference"/>
          <w:rFonts w:ascii="Avenir Next" w:hAnsi="Avenir Next" w:cs="Arial"/>
          <w:i/>
          <w:iCs/>
          <w:color w:val="7B7B7B" w:themeColor="accent3" w:themeShade="BF"/>
          <w:sz w:val="22"/>
          <w:szCs w:val="22"/>
          <w:lang w:val="en-GB"/>
        </w:rPr>
        <w:footnoteReference w:id="22"/>
      </w:r>
      <w:r w:rsidR="00EC7B7D">
        <w:rPr>
          <w:rFonts w:ascii="Avenir Next" w:hAnsi="Avenir Next" w:cs="Arial"/>
          <w:color w:val="7B7B7B" w:themeColor="accent3" w:themeShade="BF"/>
          <w:sz w:val="22"/>
          <w:szCs w:val="22"/>
          <w:lang w:val="en-GB"/>
        </w:rPr>
        <w:t xml:space="preserve"> … [and] </w:t>
      </w:r>
      <w:r w:rsidR="00EC7B7D" w:rsidRPr="003B73B2">
        <w:rPr>
          <w:rFonts w:ascii="Avenir Next" w:hAnsi="Avenir Next" w:cs="Arial"/>
          <w:i/>
          <w:iCs/>
          <w:color w:val="7B7B7B" w:themeColor="accent3" w:themeShade="BF"/>
          <w:sz w:val="22"/>
          <w:szCs w:val="22"/>
          <w:lang w:val="en-GB"/>
        </w:rPr>
        <w:t>the DGF applied for recognition</w:t>
      </w:r>
      <w:r w:rsidR="00EC7B7D">
        <w:rPr>
          <w:rFonts w:ascii="Avenir Next" w:hAnsi="Avenir Next" w:cs="Arial"/>
          <w:color w:val="7B7B7B" w:themeColor="accent3" w:themeShade="BF"/>
          <w:sz w:val="22"/>
          <w:szCs w:val="22"/>
          <w:lang w:val="en-GB"/>
        </w:rPr>
        <w:t>” (which I assume means that the English Proceedings had already been filed by the time of Ms G’s and DGF’s application). The English Proceedings were commenced on 11 February 2021. I have, therefore, assumed in my answer that the relevant time to assess whether the Bank’s liquidation comprises a foreign proceeding is after 11 February 2021.</w:t>
      </w:r>
      <w:r w:rsidR="00EC7B7D">
        <w:rPr>
          <w:rStyle w:val="FootnoteReference"/>
          <w:rFonts w:ascii="Avenir Next" w:hAnsi="Avenir Next" w:cs="Arial"/>
          <w:color w:val="7B7B7B" w:themeColor="accent3" w:themeShade="BF"/>
          <w:sz w:val="22"/>
          <w:szCs w:val="22"/>
          <w:lang w:val="en-GB"/>
        </w:rPr>
        <w:footnoteReference w:id="23"/>
      </w:r>
      <w:r w:rsidR="00EC7B7D">
        <w:rPr>
          <w:rFonts w:ascii="Avenir Next" w:hAnsi="Avenir Next" w:cs="Arial"/>
          <w:color w:val="7B7B7B" w:themeColor="accent3" w:themeShade="BF"/>
          <w:sz w:val="22"/>
          <w:szCs w:val="22"/>
          <w:lang w:val="en-GB"/>
        </w:rPr>
        <w:t xml:space="preserve"> </w:t>
      </w:r>
    </w:p>
    <w:p w14:paraId="4EDE6835" w14:textId="77777777" w:rsidR="00EC7B7D" w:rsidRDefault="00EC7B7D" w:rsidP="00EC7B7D">
      <w:pPr>
        <w:pStyle w:val="ListParagraph"/>
        <w:ind w:left="426"/>
        <w:jc w:val="both"/>
        <w:rPr>
          <w:rFonts w:ascii="Avenir Next" w:hAnsi="Avenir Next" w:cs="Arial"/>
          <w:color w:val="7B7B7B" w:themeColor="accent3" w:themeShade="BF"/>
          <w:sz w:val="22"/>
          <w:szCs w:val="22"/>
          <w:lang w:val="en-GB"/>
        </w:rPr>
      </w:pPr>
    </w:p>
    <w:p w14:paraId="0F94998C" w14:textId="3E08661D" w:rsidR="00395F11" w:rsidRDefault="00C04D5E" w:rsidP="00395F11">
      <w:pPr>
        <w:pStyle w:val="ListParagraph"/>
        <w:numPr>
          <w:ilvl w:val="0"/>
          <w:numId w:val="20"/>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Foreign proceedings must have the </w:t>
      </w:r>
      <w:r w:rsidR="00395F11">
        <w:rPr>
          <w:rFonts w:ascii="Avenir Next" w:hAnsi="Avenir Next" w:cs="Arial"/>
          <w:color w:val="7B7B7B" w:themeColor="accent3" w:themeShade="BF"/>
          <w:sz w:val="22"/>
          <w:szCs w:val="22"/>
          <w:lang w:val="en-GB"/>
        </w:rPr>
        <w:t xml:space="preserve">following </w:t>
      </w:r>
      <w:r w:rsidR="00F06C92">
        <w:rPr>
          <w:rFonts w:ascii="Avenir Next" w:hAnsi="Avenir Next" w:cs="Arial"/>
          <w:color w:val="7B7B7B" w:themeColor="accent3" w:themeShade="BF"/>
          <w:sz w:val="22"/>
          <w:szCs w:val="22"/>
          <w:lang w:val="en-GB"/>
        </w:rPr>
        <w:t>cumulative</w:t>
      </w:r>
      <w:r w:rsidR="00F06C92">
        <w:rPr>
          <w:rStyle w:val="FootnoteReference"/>
          <w:rFonts w:ascii="Avenir Next" w:hAnsi="Avenir Next" w:cs="Arial"/>
          <w:color w:val="7B7B7B" w:themeColor="accent3" w:themeShade="BF"/>
          <w:sz w:val="22"/>
          <w:szCs w:val="22"/>
          <w:lang w:val="en-GB"/>
        </w:rPr>
        <w:footnoteReference w:id="24"/>
      </w:r>
      <w:r w:rsidR="00F06C92">
        <w:rPr>
          <w:rFonts w:ascii="Avenir Next" w:hAnsi="Avenir Next" w:cs="Arial"/>
          <w:color w:val="7B7B7B" w:themeColor="accent3" w:themeShade="BF"/>
          <w:sz w:val="22"/>
          <w:szCs w:val="22"/>
          <w:lang w:val="en-GB"/>
        </w:rPr>
        <w:t xml:space="preserve"> </w:t>
      </w:r>
      <w:r w:rsidR="00395F11">
        <w:rPr>
          <w:rFonts w:ascii="Avenir Next" w:hAnsi="Avenir Next" w:cs="Arial"/>
          <w:color w:val="7B7B7B" w:themeColor="accent3" w:themeShade="BF"/>
          <w:sz w:val="22"/>
          <w:szCs w:val="22"/>
          <w:lang w:val="en-GB"/>
        </w:rPr>
        <w:t>threshold elements:</w:t>
      </w:r>
    </w:p>
    <w:p w14:paraId="2037EC42" w14:textId="045C6EBF" w:rsidR="00395F11" w:rsidRDefault="00395F11" w:rsidP="00395F11">
      <w:pPr>
        <w:pStyle w:val="ListParagraph"/>
        <w:ind w:left="426"/>
        <w:jc w:val="both"/>
        <w:rPr>
          <w:rFonts w:ascii="Avenir Next" w:hAnsi="Avenir Next" w:cs="Arial"/>
          <w:color w:val="7B7B7B" w:themeColor="accent3" w:themeShade="BF"/>
          <w:sz w:val="22"/>
          <w:szCs w:val="22"/>
          <w:lang w:val="en-GB"/>
        </w:rPr>
      </w:pPr>
    </w:p>
    <w:p w14:paraId="50C80B47" w14:textId="77777777" w:rsidR="00917B6C"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w:t>
      </w:r>
      <w:r w:rsidR="00F06C92">
        <w:rPr>
          <w:rFonts w:ascii="Avenir Next" w:hAnsi="Avenir Next" w:cs="Arial"/>
          <w:color w:val="7B7B7B" w:themeColor="accent3" w:themeShade="BF"/>
          <w:sz w:val="22"/>
          <w:szCs w:val="22"/>
          <w:lang w:val="en-GB"/>
        </w:rPr>
        <w:t>judicial or administrative</w:t>
      </w:r>
      <w:r w:rsidR="00F06C92">
        <w:rPr>
          <w:rStyle w:val="FootnoteReference"/>
          <w:rFonts w:ascii="Avenir Next" w:hAnsi="Avenir Next" w:cs="Arial"/>
          <w:color w:val="7B7B7B" w:themeColor="accent3" w:themeShade="BF"/>
          <w:sz w:val="22"/>
          <w:szCs w:val="22"/>
          <w:lang w:val="en-GB"/>
        </w:rPr>
        <w:footnoteReference w:id="25"/>
      </w:r>
      <w:r w:rsidR="00F06C9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proceeding</w:t>
      </w:r>
      <w:r w:rsidR="00F06C92">
        <w:rPr>
          <w:rFonts w:ascii="Avenir Next" w:hAnsi="Avenir Next" w:cs="Arial"/>
          <w:color w:val="7B7B7B" w:themeColor="accent3" w:themeShade="BF"/>
          <w:sz w:val="22"/>
          <w:szCs w:val="22"/>
          <w:lang w:val="en-GB"/>
        </w:rPr>
        <w:t xml:space="preserve"> </w:t>
      </w:r>
      <w:r w:rsidR="00837DDA">
        <w:rPr>
          <w:rFonts w:ascii="Avenir Next" w:hAnsi="Avenir Next" w:cs="Arial"/>
          <w:color w:val="7B7B7B" w:themeColor="accent3" w:themeShade="BF"/>
          <w:sz w:val="22"/>
          <w:szCs w:val="22"/>
          <w:lang w:val="en-GB"/>
        </w:rPr>
        <w:t>(</w:t>
      </w:r>
      <w:r w:rsidR="00F06C92">
        <w:rPr>
          <w:rFonts w:ascii="Avenir Next" w:hAnsi="Avenir Next" w:cs="Arial"/>
          <w:color w:val="7B7B7B" w:themeColor="accent3" w:themeShade="BF"/>
          <w:sz w:val="22"/>
          <w:szCs w:val="22"/>
          <w:lang w:val="en-GB"/>
        </w:rPr>
        <w:t>which is not defined</w:t>
      </w:r>
      <w:r w:rsidR="00837DD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or interim proceeding</w:t>
      </w:r>
      <w:r w:rsidR="00C04D5E">
        <w:rPr>
          <w:rFonts w:ascii="Avenir Next" w:hAnsi="Avenir Next" w:cs="Arial"/>
          <w:color w:val="7B7B7B" w:themeColor="accent3" w:themeShade="BF"/>
          <w:sz w:val="22"/>
          <w:szCs w:val="22"/>
          <w:lang w:val="en-GB"/>
        </w:rPr>
        <w:t xml:space="preserve"> </w:t>
      </w:r>
      <w:r w:rsidR="00837DDA">
        <w:rPr>
          <w:rFonts w:ascii="Avenir Next" w:hAnsi="Avenir Next" w:cs="Arial"/>
          <w:color w:val="7B7B7B" w:themeColor="accent3" w:themeShade="BF"/>
          <w:sz w:val="22"/>
          <w:szCs w:val="22"/>
          <w:lang w:val="en-GB"/>
        </w:rPr>
        <w:t>(</w:t>
      </w:r>
      <w:r w:rsidR="00C04D5E">
        <w:rPr>
          <w:rFonts w:ascii="Avenir Next" w:hAnsi="Avenir Next" w:cs="Arial"/>
          <w:color w:val="7B7B7B" w:themeColor="accent3" w:themeShade="BF"/>
          <w:sz w:val="22"/>
          <w:szCs w:val="22"/>
          <w:lang w:val="en-GB"/>
        </w:rPr>
        <w:t>which includes a situation where the foreign representative is appointed on an interim basis, like a provisional liquidator appointment in Australia).</w:t>
      </w:r>
      <w:r w:rsidR="00C04D5E">
        <w:rPr>
          <w:rStyle w:val="FootnoteReference"/>
          <w:rFonts w:ascii="Avenir Next" w:hAnsi="Avenir Next" w:cs="Arial"/>
          <w:color w:val="7B7B7B" w:themeColor="accent3" w:themeShade="BF"/>
          <w:sz w:val="22"/>
          <w:szCs w:val="22"/>
          <w:lang w:val="en-GB"/>
        </w:rPr>
        <w:footnoteReference w:id="26"/>
      </w:r>
      <w:r>
        <w:rPr>
          <w:rFonts w:ascii="Avenir Next" w:hAnsi="Avenir Next" w:cs="Arial"/>
          <w:color w:val="7B7B7B" w:themeColor="accent3" w:themeShade="BF"/>
          <w:sz w:val="22"/>
          <w:szCs w:val="22"/>
          <w:lang w:val="en-GB"/>
        </w:rPr>
        <w:t xml:space="preserve"> </w:t>
      </w:r>
    </w:p>
    <w:p w14:paraId="3F9C5958" w14:textId="77777777" w:rsidR="00917B6C" w:rsidRDefault="00917B6C" w:rsidP="00917B6C">
      <w:pPr>
        <w:pStyle w:val="ListParagraph"/>
        <w:ind w:left="1134"/>
        <w:jc w:val="both"/>
        <w:rPr>
          <w:rFonts w:ascii="Avenir Next" w:hAnsi="Avenir Next" w:cs="Arial"/>
          <w:color w:val="7B7B7B" w:themeColor="accent3" w:themeShade="BF"/>
          <w:sz w:val="22"/>
          <w:szCs w:val="22"/>
          <w:lang w:val="en-GB"/>
        </w:rPr>
      </w:pPr>
    </w:p>
    <w:p w14:paraId="5CBF9A01" w14:textId="25657092" w:rsidR="00395F11" w:rsidRDefault="00F06C92" w:rsidP="00917B6C">
      <w:pPr>
        <w:pStyle w:val="ListParagraph"/>
        <w:ind w:left="113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proceedings is the LBBA, in that</w:t>
      </w:r>
      <w:r w:rsidR="00837DDA">
        <w:rPr>
          <w:rFonts w:ascii="Avenir Next" w:hAnsi="Avenir Next" w:cs="Arial"/>
          <w:color w:val="7B7B7B" w:themeColor="accent3" w:themeShade="BF"/>
          <w:sz w:val="22"/>
          <w:szCs w:val="22"/>
          <w:lang w:val="en-GB"/>
        </w:rPr>
        <w:t xml:space="preserve"> it</w:t>
      </w:r>
      <w:r>
        <w:rPr>
          <w:rFonts w:ascii="Avenir Next" w:hAnsi="Avenir Next" w:cs="Arial"/>
          <w:color w:val="7B7B7B" w:themeColor="accent3" w:themeShade="BF"/>
          <w:sz w:val="22"/>
          <w:szCs w:val="22"/>
          <w:lang w:val="en-GB"/>
        </w:rPr>
        <w:t xml:space="preserve"> is “</w:t>
      </w:r>
      <w:r w:rsidRPr="00F06C92">
        <w:rPr>
          <w:rFonts w:ascii="Avenir Next" w:hAnsi="Avenir Next" w:cs="Arial"/>
          <w:i/>
          <w:iCs/>
          <w:color w:val="7B7B7B" w:themeColor="accent3" w:themeShade="BF"/>
          <w:sz w:val="22"/>
          <w:szCs w:val="22"/>
          <w:lang w:val="en-GB"/>
        </w:rPr>
        <w:t>a statutory framework that constrains</w:t>
      </w:r>
      <w:r>
        <w:rPr>
          <w:rFonts w:ascii="Avenir Next" w:hAnsi="Avenir Next" w:cs="Arial"/>
          <w:color w:val="7B7B7B" w:themeColor="accent3" w:themeShade="BF"/>
          <w:sz w:val="22"/>
          <w:szCs w:val="22"/>
          <w:lang w:val="en-GB"/>
        </w:rPr>
        <w:t xml:space="preserve"> [the Bank’s] </w:t>
      </w:r>
      <w:r w:rsidRPr="00F06C92">
        <w:rPr>
          <w:rFonts w:ascii="Avenir Next" w:hAnsi="Avenir Next" w:cs="Arial"/>
          <w:i/>
          <w:iCs/>
          <w:color w:val="7B7B7B" w:themeColor="accent3" w:themeShade="BF"/>
          <w:sz w:val="22"/>
          <w:szCs w:val="22"/>
          <w:lang w:val="en-GB"/>
        </w:rPr>
        <w:t>actions and that regulates the final distribution of</w:t>
      </w:r>
      <w:r>
        <w:rPr>
          <w:rFonts w:ascii="Avenir Next" w:hAnsi="Avenir Next" w:cs="Arial"/>
          <w:color w:val="7B7B7B" w:themeColor="accent3" w:themeShade="BF"/>
          <w:sz w:val="22"/>
          <w:szCs w:val="22"/>
          <w:lang w:val="en-GB"/>
        </w:rPr>
        <w:t xml:space="preserve"> [the Bank’s] </w:t>
      </w:r>
      <w:r w:rsidRPr="00F06C92">
        <w:rPr>
          <w:rFonts w:ascii="Avenir Next" w:hAnsi="Avenir Next" w:cs="Arial"/>
          <w:i/>
          <w:iCs/>
          <w:color w:val="7B7B7B" w:themeColor="accent3" w:themeShade="BF"/>
          <w:sz w:val="22"/>
          <w:szCs w:val="22"/>
          <w:lang w:val="en-GB"/>
        </w:rPr>
        <w:t>assets</w:t>
      </w:r>
      <w:r w:rsidR="00837DD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27"/>
      </w:r>
      <w:r>
        <w:rPr>
          <w:rFonts w:ascii="Avenir Next" w:hAnsi="Avenir Next" w:cs="Arial"/>
          <w:color w:val="7B7B7B" w:themeColor="accent3" w:themeShade="BF"/>
          <w:sz w:val="22"/>
          <w:szCs w:val="22"/>
          <w:lang w:val="en-GB"/>
        </w:rPr>
        <w:t xml:space="preserve"> </w:t>
      </w:r>
    </w:p>
    <w:p w14:paraId="4D1684CB" w14:textId="77777777" w:rsidR="00395F11" w:rsidRDefault="00395F11" w:rsidP="00395F11">
      <w:pPr>
        <w:pStyle w:val="ListParagraph"/>
        <w:ind w:left="1134"/>
        <w:jc w:val="both"/>
        <w:rPr>
          <w:rFonts w:ascii="Avenir Next" w:hAnsi="Avenir Next" w:cs="Arial"/>
          <w:color w:val="7B7B7B" w:themeColor="accent3" w:themeShade="BF"/>
          <w:sz w:val="22"/>
          <w:szCs w:val="22"/>
          <w:lang w:val="en-GB"/>
        </w:rPr>
      </w:pPr>
    </w:p>
    <w:p w14:paraId="26636517" w14:textId="77777777" w:rsidR="00917B6C"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collective in nature</w:t>
      </w:r>
      <w:r w:rsidR="00837DDA">
        <w:rPr>
          <w:rFonts w:ascii="Avenir Next" w:hAnsi="Avenir Next" w:cs="Arial"/>
          <w:color w:val="7B7B7B" w:themeColor="accent3" w:themeShade="BF"/>
          <w:sz w:val="22"/>
          <w:szCs w:val="22"/>
          <w:lang w:val="en-GB"/>
        </w:rPr>
        <w:t>, in that the assets and liabilities of the Bank ought to be substantially dealt with in the procee</w:t>
      </w:r>
      <w:r w:rsidR="009431EC">
        <w:rPr>
          <w:rFonts w:ascii="Avenir Next" w:hAnsi="Avenir Next" w:cs="Arial"/>
          <w:color w:val="7B7B7B" w:themeColor="accent3" w:themeShade="BF"/>
          <w:sz w:val="22"/>
          <w:szCs w:val="22"/>
          <w:lang w:val="en-GB"/>
        </w:rPr>
        <w:t>dings (subject to English priority laws).</w:t>
      </w:r>
      <w:r w:rsidR="009431EC">
        <w:rPr>
          <w:rStyle w:val="FootnoteReference"/>
          <w:rFonts w:ascii="Avenir Next" w:hAnsi="Avenir Next" w:cs="Arial"/>
          <w:color w:val="7B7B7B" w:themeColor="accent3" w:themeShade="BF"/>
          <w:sz w:val="22"/>
          <w:szCs w:val="22"/>
          <w:lang w:val="en-GB"/>
        </w:rPr>
        <w:footnoteReference w:id="28"/>
      </w:r>
      <w:r>
        <w:rPr>
          <w:rFonts w:ascii="Avenir Next" w:hAnsi="Avenir Next" w:cs="Arial"/>
          <w:color w:val="7B7B7B" w:themeColor="accent3" w:themeShade="BF"/>
          <w:sz w:val="22"/>
          <w:szCs w:val="22"/>
          <w:lang w:val="en-GB"/>
        </w:rPr>
        <w:t xml:space="preserve"> </w:t>
      </w:r>
      <w:r w:rsidR="009431EC">
        <w:rPr>
          <w:rFonts w:ascii="Avenir Next" w:hAnsi="Avenir Next" w:cs="Arial"/>
          <w:color w:val="7B7B7B" w:themeColor="accent3" w:themeShade="BF"/>
          <w:sz w:val="22"/>
          <w:szCs w:val="22"/>
          <w:lang w:val="en-GB"/>
        </w:rPr>
        <w:t>I note that substantially does not mean all, however, the proceedings should not only deal with one class of creditors rights (like a receivership)</w:t>
      </w:r>
      <w:r w:rsidR="00917B6C">
        <w:rPr>
          <w:rFonts w:ascii="Avenir Next" w:hAnsi="Avenir Next" w:cs="Arial"/>
          <w:color w:val="7B7B7B" w:themeColor="accent3" w:themeShade="BF"/>
          <w:sz w:val="22"/>
          <w:szCs w:val="22"/>
          <w:lang w:val="en-GB"/>
        </w:rPr>
        <w:t>.</w:t>
      </w:r>
      <w:r w:rsidR="009431EC">
        <w:rPr>
          <w:rStyle w:val="FootnoteReference"/>
          <w:rFonts w:ascii="Avenir Next" w:hAnsi="Avenir Next" w:cs="Arial"/>
          <w:color w:val="7B7B7B" w:themeColor="accent3" w:themeShade="BF"/>
          <w:sz w:val="22"/>
          <w:szCs w:val="22"/>
          <w:lang w:val="en-GB"/>
        </w:rPr>
        <w:footnoteReference w:id="29"/>
      </w:r>
      <w:r w:rsidR="009431EC">
        <w:rPr>
          <w:rFonts w:ascii="Avenir Next" w:hAnsi="Avenir Next" w:cs="Arial"/>
          <w:color w:val="7B7B7B" w:themeColor="accent3" w:themeShade="BF"/>
          <w:sz w:val="22"/>
          <w:szCs w:val="22"/>
          <w:lang w:val="en-GB"/>
        </w:rPr>
        <w:t xml:space="preserve"> </w:t>
      </w:r>
    </w:p>
    <w:p w14:paraId="3A8D283A" w14:textId="77777777" w:rsidR="00917B6C" w:rsidRDefault="00917B6C" w:rsidP="00917B6C">
      <w:pPr>
        <w:pStyle w:val="ListParagraph"/>
        <w:ind w:left="1134"/>
        <w:jc w:val="both"/>
        <w:rPr>
          <w:rFonts w:ascii="Avenir Next" w:hAnsi="Avenir Next" w:cs="Arial"/>
          <w:color w:val="7B7B7B" w:themeColor="accent3" w:themeShade="BF"/>
          <w:sz w:val="22"/>
          <w:szCs w:val="22"/>
          <w:lang w:val="en-GB"/>
        </w:rPr>
      </w:pPr>
    </w:p>
    <w:p w14:paraId="6E5C2B51" w14:textId="631BB77A" w:rsidR="00395F11" w:rsidRDefault="00917B6C" w:rsidP="00917B6C">
      <w:pPr>
        <w:pStyle w:val="ListParagraph"/>
        <w:ind w:left="113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factual matrix provides that the relevant powers of DGF and Ms G include the powers to (</w:t>
      </w:r>
      <w:r>
        <w:rPr>
          <w:rFonts w:ascii="Avenir Next" w:hAnsi="Avenir Next" w:cs="Arial"/>
          <w:i/>
          <w:iCs/>
          <w:color w:val="7B7B7B" w:themeColor="accent3" w:themeShade="BF"/>
          <w:sz w:val="22"/>
          <w:szCs w:val="22"/>
          <w:lang w:val="en-GB"/>
        </w:rPr>
        <w:t>inter alia</w:t>
      </w:r>
      <w:r>
        <w:rPr>
          <w:rFonts w:ascii="Avenir Next" w:hAnsi="Avenir Next" w:cs="Arial"/>
          <w:color w:val="7B7B7B" w:themeColor="accent3" w:themeShade="BF"/>
          <w:sz w:val="22"/>
          <w:szCs w:val="22"/>
          <w:lang w:val="en-GB"/>
        </w:rPr>
        <w: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satisfy creditor claims; (ii) sell and deal with the Bank’s assets</w:t>
      </w:r>
      <w:r w:rsidR="00395F11">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(iii) distribute (presumably the assets to creditors); and (iv) such other powers as is necessary to finalise the liquidation of the Bank. I have presumed that these powers are sufficiently collective, given the assumed equal treatment of creditors, however, I note that the list of powers does not </w:t>
      </w:r>
      <w:r w:rsidR="00DB07F0">
        <w:rPr>
          <w:rFonts w:ascii="Avenir Next" w:hAnsi="Avenir Next" w:cs="Arial"/>
          <w:color w:val="7B7B7B" w:themeColor="accent3" w:themeShade="BF"/>
          <w:sz w:val="22"/>
          <w:szCs w:val="22"/>
          <w:lang w:val="en-GB"/>
        </w:rPr>
        <w:t xml:space="preserve">record the priority treatment. </w:t>
      </w:r>
    </w:p>
    <w:p w14:paraId="395AA88D" w14:textId="6600EBE8" w:rsidR="00EF4A94" w:rsidRDefault="00EF4A94" w:rsidP="00917B6C">
      <w:pPr>
        <w:pStyle w:val="ListParagraph"/>
        <w:ind w:left="1134"/>
        <w:jc w:val="both"/>
        <w:rPr>
          <w:rFonts w:ascii="Avenir Next" w:hAnsi="Avenir Next" w:cs="Arial"/>
          <w:color w:val="7B7B7B" w:themeColor="accent3" w:themeShade="BF"/>
          <w:sz w:val="22"/>
          <w:szCs w:val="22"/>
          <w:lang w:val="en-GB"/>
        </w:rPr>
      </w:pPr>
    </w:p>
    <w:p w14:paraId="4C671672" w14:textId="2B9BC345" w:rsidR="00EF4A94" w:rsidRDefault="00EF4A94" w:rsidP="00917B6C">
      <w:pPr>
        <w:pStyle w:val="ListParagraph"/>
        <w:ind w:left="113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also note that on 14 December 2020 (which I assume is a date materially before the recognition consideration by the UK court), the Bank’s liquidation was extended indefinitely due to the </w:t>
      </w:r>
      <w:r w:rsidR="009D18A9">
        <w:rPr>
          <w:rFonts w:ascii="Avenir Next" w:hAnsi="Avenir Next" w:cs="Arial"/>
          <w:color w:val="7B7B7B" w:themeColor="accent3" w:themeShade="BF"/>
          <w:sz w:val="22"/>
          <w:szCs w:val="22"/>
          <w:lang w:val="en-GB"/>
        </w:rPr>
        <w:t>liquidator’s</w:t>
      </w:r>
      <w:r>
        <w:rPr>
          <w:rFonts w:ascii="Avenir Next" w:hAnsi="Avenir Next" w:cs="Arial"/>
          <w:color w:val="7B7B7B" w:themeColor="accent3" w:themeShade="BF"/>
          <w:sz w:val="22"/>
          <w:szCs w:val="22"/>
          <w:lang w:val="en-GB"/>
        </w:rPr>
        <w:t xml:space="preserve"> problems with realising assets and paying creditors.</w:t>
      </w:r>
      <w:r w:rsidR="009D18A9">
        <w:rPr>
          <w:rFonts w:ascii="Avenir Next" w:hAnsi="Avenir Next" w:cs="Arial"/>
          <w:color w:val="7B7B7B" w:themeColor="accent3" w:themeShade="BF"/>
          <w:sz w:val="22"/>
          <w:szCs w:val="22"/>
          <w:lang w:val="en-GB"/>
        </w:rPr>
        <w:t xml:space="preserve"> An English Judge would look to the DGF and Ms G to put on further evidence as to what the </w:t>
      </w:r>
      <w:r w:rsidR="00B44479">
        <w:rPr>
          <w:rFonts w:ascii="Avenir Next" w:hAnsi="Avenir Next" w:cs="Arial"/>
          <w:color w:val="7B7B7B" w:themeColor="accent3" w:themeShade="BF"/>
          <w:sz w:val="22"/>
          <w:szCs w:val="22"/>
          <w:lang w:val="en-GB"/>
        </w:rPr>
        <w:t xml:space="preserve">legal and factual ramifications are of the so-called infinite liquidation and what steps they are undertaking to wind-up the affairs of the Bank. </w:t>
      </w:r>
    </w:p>
    <w:p w14:paraId="3A6CA049" w14:textId="77777777" w:rsidR="00395F11" w:rsidRPr="00395F11" w:rsidRDefault="00395F11" w:rsidP="00395F11">
      <w:pPr>
        <w:pStyle w:val="ListParagraph"/>
        <w:rPr>
          <w:rFonts w:ascii="Avenir Next" w:hAnsi="Avenir Next" w:cs="Arial"/>
          <w:color w:val="7B7B7B" w:themeColor="accent3" w:themeShade="BF"/>
          <w:sz w:val="22"/>
          <w:szCs w:val="22"/>
          <w:lang w:val="en-GB"/>
        </w:rPr>
      </w:pPr>
    </w:p>
    <w:p w14:paraId="21D615A1" w14:textId="2ED1AD3F" w:rsidR="00395F11"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foreign State </w:t>
      </w:r>
      <w:r w:rsidR="00DB07F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DB07F0">
        <w:rPr>
          <w:rFonts w:ascii="Avenir Next" w:hAnsi="Avenir Next" w:cs="Arial"/>
          <w:color w:val="7B7B7B" w:themeColor="accent3" w:themeShade="BF"/>
          <w:sz w:val="22"/>
          <w:szCs w:val="22"/>
          <w:lang w:val="en-GB"/>
        </w:rPr>
        <w:t>I have presumed that Country A is a foreign State of the United Kingdom</w:t>
      </w:r>
      <w:r>
        <w:rPr>
          <w:rFonts w:ascii="Avenir Next" w:hAnsi="Avenir Next" w:cs="Arial"/>
          <w:color w:val="7B7B7B" w:themeColor="accent3" w:themeShade="BF"/>
          <w:sz w:val="22"/>
          <w:szCs w:val="22"/>
          <w:lang w:val="en-GB"/>
        </w:rPr>
        <w:t>;</w:t>
      </w:r>
    </w:p>
    <w:p w14:paraId="5BDE9C07" w14:textId="77777777" w:rsidR="00395F11" w:rsidRPr="00395F11" w:rsidRDefault="00395F11" w:rsidP="00395F11">
      <w:pPr>
        <w:pStyle w:val="ListParagraph"/>
        <w:rPr>
          <w:rFonts w:ascii="Avenir Next" w:hAnsi="Avenir Next" w:cs="Arial"/>
          <w:color w:val="7B7B7B" w:themeColor="accent3" w:themeShade="BF"/>
          <w:sz w:val="22"/>
          <w:szCs w:val="22"/>
          <w:lang w:val="en-GB"/>
        </w:rPr>
      </w:pPr>
    </w:p>
    <w:p w14:paraId="2739C7DF" w14:textId="77777777" w:rsidR="00DB07F0"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authorised o</w:t>
      </w:r>
      <w:r w:rsidR="00DB07F0">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 conducted under a law relating to insolvency </w:t>
      </w:r>
      <w:r w:rsidR="00DB07F0">
        <w:rPr>
          <w:rFonts w:ascii="Avenir Next" w:hAnsi="Avenir Next" w:cs="Arial"/>
          <w:color w:val="7B7B7B" w:themeColor="accent3" w:themeShade="BF"/>
          <w:sz w:val="22"/>
          <w:szCs w:val="22"/>
          <w:lang w:val="en-GB"/>
        </w:rPr>
        <w:t>(and not a solvent winding-up).</w:t>
      </w:r>
      <w:r w:rsidR="00DB07F0">
        <w:rPr>
          <w:rStyle w:val="FootnoteReference"/>
          <w:rFonts w:ascii="Avenir Next" w:hAnsi="Avenir Next" w:cs="Arial"/>
          <w:color w:val="7B7B7B" w:themeColor="accent3" w:themeShade="BF"/>
          <w:sz w:val="22"/>
          <w:szCs w:val="22"/>
          <w:lang w:val="en-GB"/>
        </w:rPr>
        <w:footnoteReference w:id="30"/>
      </w:r>
      <w:r>
        <w:rPr>
          <w:rFonts w:ascii="Avenir Next" w:hAnsi="Avenir Next" w:cs="Arial"/>
          <w:color w:val="7B7B7B" w:themeColor="accent3" w:themeShade="BF"/>
          <w:sz w:val="22"/>
          <w:szCs w:val="22"/>
          <w:lang w:val="en-GB"/>
        </w:rPr>
        <w:t xml:space="preserve"> </w:t>
      </w:r>
      <w:r w:rsidR="00DB07F0">
        <w:rPr>
          <w:rFonts w:ascii="Avenir Next" w:hAnsi="Avenir Next" w:cs="Arial"/>
          <w:color w:val="7B7B7B" w:themeColor="accent3" w:themeShade="BF"/>
          <w:sz w:val="22"/>
          <w:szCs w:val="22"/>
          <w:lang w:val="en-GB"/>
        </w:rPr>
        <w:t>I have presumed that LBBA is an enacted law relating to insolvency, because (</w:t>
      </w:r>
      <w:r w:rsidR="00DB07F0">
        <w:rPr>
          <w:rFonts w:ascii="Avenir Next" w:hAnsi="Avenir Next" w:cs="Arial"/>
          <w:i/>
          <w:iCs/>
          <w:color w:val="7B7B7B" w:themeColor="accent3" w:themeShade="BF"/>
          <w:sz w:val="22"/>
          <w:szCs w:val="22"/>
          <w:lang w:val="en-GB"/>
        </w:rPr>
        <w:t>inter alia</w:t>
      </w:r>
      <w:r w:rsidR="00DB07F0">
        <w:rPr>
          <w:rFonts w:ascii="Avenir Next" w:hAnsi="Avenir Next" w:cs="Arial"/>
          <w:color w:val="7B7B7B" w:themeColor="accent3" w:themeShade="BF"/>
          <w:sz w:val="22"/>
          <w:szCs w:val="22"/>
          <w:lang w:val="en-GB"/>
        </w:rPr>
        <w:t>):</w:t>
      </w:r>
    </w:p>
    <w:p w14:paraId="6EB56DAE" w14:textId="77777777" w:rsidR="00DB07F0" w:rsidRPr="00DB07F0" w:rsidRDefault="00DB07F0" w:rsidP="00DB07F0">
      <w:pPr>
        <w:pStyle w:val="ListParagraph"/>
        <w:rPr>
          <w:rFonts w:ascii="Avenir Next" w:hAnsi="Avenir Next" w:cs="Arial"/>
          <w:color w:val="7B7B7B" w:themeColor="accent3" w:themeShade="BF"/>
          <w:sz w:val="22"/>
          <w:szCs w:val="22"/>
          <w:lang w:val="en-GB"/>
        </w:rPr>
      </w:pPr>
    </w:p>
    <w:p w14:paraId="3A63F325" w14:textId="56B97B5D" w:rsidR="00395F11" w:rsidRDefault="00DB07F0" w:rsidP="00DB07F0">
      <w:pPr>
        <w:pStyle w:val="ListParagraph"/>
        <w:numPr>
          <w:ilvl w:val="0"/>
          <w:numId w:val="17"/>
        </w:numPr>
        <w:ind w:left="1560"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 </w:t>
      </w:r>
      <w:r w:rsidR="00B44479">
        <w:rPr>
          <w:rFonts w:ascii="Avenir Next" w:hAnsi="Avenir Next" w:cs="Arial"/>
          <w:color w:val="7B7B7B" w:themeColor="accent3" w:themeShade="BF"/>
          <w:sz w:val="22"/>
          <w:szCs w:val="22"/>
          <w:lang w:val="en-GB"/>
        </w:rPr>
        <w:t>was</w:t>
      </w:r>
      <w:r>
        <w:rPr>
          <w:rFonts w:ascii="Avenir Next" w:hAnsi="Avenir Next" w:cs="Arial"/>
          <w:color w:val="7B7B7B" w:themeColor="accent3" w:themeShade="BF"/>
          <w:sz w:val="22"/>
          <w:szCs w:val="22"/>
          <w:lang w:val="en-GB"/>
        </w:rPr>
        <w:t xml:space="preserve"> automatically classified as insolvent under articles 76 or 77 of the LBBA;</w:t>
      </w:r>
    </w:p>
    <w:p w14:paraId="34AA7C9F" w14:textId="439E86D0" w:rsidR="00DB07F0" w:rsidRDefault="00DB07F0" w:rsidP="00DB07F0">
      <w:pPr>
        <w:pStyle w:val="ListParagraph"/>
        <w:numPr>
          <w:ilvl w:val="0"/>
          <w:numId w:val="17"/>
        </w:numPr>
        <w:ind w:left="1560"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DGF is responsible for the winding-up of insolvent banks in Country A;</w:t>
      </w:r>
    </w:p>
    <w:p w14:paraId="448F7A94" w14:textId="1C164B6E" w:rsidR="00DB07F0" w:rsidRDefault="00B44479" w:rsidP="00DB07F0">
      <w:pPr>
        <w:pStyle w:val="ListParagraph"/>
        <w:numPr>
          <w:ilvl w:val="0"/>
          <w:numId w:val="17"/>
        </w:numPr>
        <w:ind w:left="1560"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DB07F0">
        <w:rPr>
          <w:rFonts w:ascii="Avenir Next" w:hAnsi="Avenir Next" w:cs="Arial"/>
          <w:color w:val="7B7B7B" w:themeColor="accent3" w:themeShade="BF"/>
          <w:sz w:val="22"/>
          <w:szCs w:val="22"/>
          <w:lang w:val="en-GB"/>
        </w:rPr>
        <w:t>he effect of the LBBA is to withdraw the Bank from the banking system in Country A, so as to collect and distribute a deficient pool of assets to the Bank’s creditors;</w:t>
      </w:r>
    </w:p>
    <w:p w14:paraId="1D51CD1F" w14:textId="3EB7CA9E" w:rsidR="00DB07F0" w:rsidRDefault="00DB07F0" w:rsidP="00DB07F0">
      <w:pPr>
        <w:pStyle w:val="ListParagraph"/>
        <w:numPr>
          <w:ilvl w:val="0"/>
          <w:numId w:val="17"/>
        </w:numPr>
        <w:ind w:left="1560"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the time of the recognition application DGF and Ms G were the appointed liquidators of the Bank;</w:t>
      </w:r>
      <w:r w:rsidR="00B44479">
        <w:rPr>
          <w:rFonts w:ascii="Avenir Next" w:hAnsi="Avenir Next" w:cs="Arial"/>
          <w:color w:val="7B7B7B" w:themeColor="accent3" w:themeShade="BF"/>
          <w:sz w:val="22"/>
          <w:szCs w:val="22"/>
          <w:lang w:val="en-GB"/>
        </w:rPr>
        <w:t xml:space="preserve"> and</w:t>
      </w:r>
    </w:p>
    <w:p w14:paraId="3D58752E" w14:textId="6FAA6B54" w:rsidR="00DB07F0" w:rsidRDefault="00DB07F0" w:rsidP="00DB07F0">
      <w:pPr>
        <w:pStyle w:val="ListParagraph"/>
        <w:numPr>
          <w:ilvl w:val="0"/>
          <w:numId w:val="17"/>
        </w:numPr>
        <w:ind w:left="1560"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liabilities of $1.113 billion (USD) are greater than its assets of $823 million (USD)</w:t>
      </w:r>
      <w:r w:rsidR="00B44479">
        <w:rPr>
          <w:rFonts w:ascii="Avenir Next" w:hAnsi="Avenir Next" w:cs="Arial"/>
          <w:color w:val="7B7B7B" w:themeColor="accent3" w:themeShade="BF"/>
          <w:sz w:val="22"/>
          <w:szCs w:val="22"/>
          <w:lang w:val="en-GB"/>
        </w:rPr>
        <w:t>.</w:t>
      </w:r>
    </w:p>
    <w:p w14:paraId="656F1087" w14:textId="77777777" w:rsidR="00395F11" w:rsidRPr="00395F11" w:rsidRDefault="00395F11" w:rsidP="00395F11">
      <w:pPr>
        <w:pStyle w:val="ListParagraph"/>
        <w:rPr>
          <w:rFonts w:ascii="Avenir Next" w:hAnsi="Avenir Next" w:cs="Arial"/>
          <w:color w:val="7B7B7B" w:themeColor="accent3" w:themeShade="BF"/>
          <w:sz w:val="22"/>
          <w:szCs w:val="22"/>
          <w:lang w:val="en-GB"/>
        </w:rPr>
      </w:pPr>
    </w:p>
    <w:p w14:paraId="0DEEB2E0" w14:textId="553BFA93" w:rsidR="00395F11"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assets and</w:t>
      </w:r>
      <w:r w:rsidR="00B44479">
        <w:rPr>
          <w:rStyle w:val="FootnoteReference"/>
          <w:rFonts w:ascii="Avenir Next" w:hAnsi="Avenir Next" w:cs="Arial"/>
          <w:color w:val="7B7B7B" w:themeColor="accent3" w:themeShade="BF"/>
          <w:sz w:val="22"/>
          <w:szCs w:val="22"/>
          <w:lang w:val="en-GB"/>
        </w:rPr>
        <w:footnoteReference w:id="31"/>
      </w:r>
      <w:r>
        <w:rPr>
          <w:rFonts w:ascii="Avenir Next" w:hAnsi="Avenir Next" w:cs="Arial"/>
          <w:color w:val="7B7B7B" w:themeColor="accent3" w:themeShade="BF"/>
          <w:sz w:val="22"/>
          <w:szCs w:val="22"/>
          <w:lang w:val="en-GB"/>
        </w:rPr>
        <w:t xml:space="preserve"> affairs of the debtor are subject to control or supervision by a </w:t>
      </w:r>
      <w:r w:rsidR="008D5DC2">
        <w:rPr>
          <w:rFonts w:ascii="Avenir Next" w:hAnsi="Avenir Next" w:cs="Arial"/>
          <w:color w:val="7B7B7B" w:themeColor="accent3" w:themeShade="BF"/>
          <w:sz w:val="22"/>
          <w:szCs w:val="22"/>
          <w:lang w:val="en-GB"/>
        </w:rPr>
        <w:t>F</w:t>
      </w:r>
      <w:r>
        <w:rPr>
          <w:rFonts w:ascii="Avenir Next" w:hAnsi="Avenir Next" w:cs="Arial"/>
          <w:color w:val="7B7B7B" w:themeColor="accent3" w:themeShade="BF"/>
          <w:sz w:val="22"/>
          <w:szCs w:val="22"/>
          <w:lang w:val="en-GB"/>
        </w:rPr>
        <w:t xml:space="preserve">oreign </w:t>
      </w:r>
      <w:r w:rsidR="008D5DC2">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ourt </w:t>
      </w:r>
      <w:r w:rsidR="00B44479">
        <w:rPr>
          <w:rFonts w:ascii="Avenir Next" w:hAnsi="Avenir Next" w:cs="Arial"/>
          <w:color w:val="7B7B7B" w:themeColor="accent3" w:themeShade="BF"/>
          <w:sz w:val="22"/>
          <w:szCs w:val="22"/>
          <w:lang w:val="en-GB"/>
        </w:rPr>
        <w:t>(whether potential</w:t>
      </w:r>
      <w:r w:rsidR="00B44479">
        <w:rPr>
          <w:rStyle w:val="FootnoteReference"/>
          <w:rFonts w:ascii="Avenir Next" w:hAnsi="Avenir Next" w:cs="Arial"/>
          <w:color w:val="7B7B7B" w:themeColor="accent3" w:themeShade="BF"/>
          <w:sz w:val="22"/>
          <w:szCs w:val="22"/>
          <w:lang w:val="en-GB"/>
        </w:rPr>
        <w:footnoteReference w:id="32"/>
      </w:r>
      <w:r w:rsidR="00B44479">
        <w:rPr>
          <w:rFonts w:ascii="Avenir Next" w:hAnsi="Avenir Next" w:cs="Arial"/>
          <w:color w:val="7B7B7B" w:themeColor="accent3" w:themeShade="BF"/>
          <w:sz w:val="22"/>
          <w:szCs w:val="22"/>
          <w:lang w:val="en-GB"/>
        </w:rPr>
        <w:t xml:space="preserve"> or actual). </w:t>
      </w:r>
      <w:r w:rsidR="003B73B2">
        <w:rPr>
          <w:rFonts w:ascii="Avenir Next" w:hAnsi="Avenir Next" w:cs="Arial"/>
          <w:color w:val="7B7B7B" w:themeColor="accent3" w:themeShade="BF"/>
          <w:sz w:val="22"/>
          <w:szCs w:val="22"/>
          <w:lang w:val="en-GB"/>
        </w:rPr>
        <w:t>Foreign court is defined in article 2(e) of the MLCBI as “</w:t>
      </w:r>
      <w:r w:rsidR="003B73B2" w:rsidRPr="003B73B2">
        <w:rPr>
          <w:rFonts w:ascii="Avenir Next" w:hAnsi="Avenir Next" w:cs="Arial"/>
          <w:i/>
          <w:iCs/>
          <w:color w:val="7B7B7B" w:themeColor="accent3" w:themeShade="BF"/>
          <w:sz w:val="22"/>
          <w:szCs w:val="22"/>
          <w:lang w:val="en-GB"/>
        </w:rPr>
        <w:t>a judicial or other authority competent to control or supervise a foreign proceeding</w:t>
      </w:r>
      <w:r w:rsidR="003B73B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052D9B46" w14:textId="41AA86A6" w:rsidR="003B73B2" w:rsidRDefault="003B73B2" w:rsidP="003B73B2">
      <w:pPr>
        <w:pStyle w:val="ListParagraph"/>
        <w:ind w:left="1134"/>
        <w:jc w:val="both"/>
        <w:rPr>
          <w:rFonts w:ascii="Avenir Next" w:hAnsi="Avenir Next" w:cs="Arial"/>
          <w:color w:val="7B7B7B" w:themeColor="accent3" w:themeShade="BF"/>
          <w:sz w:val="22"/>
          <w:szCs w:val="22"/>
          <w:lang w:val="en-GB"/>
        </w:rPr>
      </w:pPr>
    </w:p>
    <w:p w14:paraId="45FC6D50" w14:textId="5550DDDF" w:rsidR="003B73B2" w:rsidRDefault="003B73B2" w:rsidP="003B73B2">
      <w:pPr>
        <w:pStyle w:val="ListParagraph"/>
        <w:ind w:left="113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factual matrix is not clear as to whether Country A has a court capable of controlling or supervising DGF and/or Ms G. The facts suggest that article 37 of LBBA grants Ms G and DGF with the power to file property and non-property claims with a </w:t>
      </w:r>
      <w:r>
        <w:rPr>
          <w:rFonts w:ascii="Avenir Next" w:hAnsi="Avenir Next" w:cs="Arial"/>
          <w:color w:val="7B7B7B" w:themeColor="accent3" w:themeShade="BF"/>
          <w:sz w:val="22"/>
          <w:szCs w:val="22"/>
          <w:lang w:val="en-GB"/>
        </w:rPr>
        <w:lastRenderedPageBreak/>
        <w:t>court (presumably in reference to a court in Country A, or any other court). An English Judge would look to the DGF and Ms G to put on further evidence as to what</w:t>
      </w:r>
      <w:r w:rsidR="008D5DC2">
        <w:rPr>
          <w:rFonts w:ascii="Avenir Next" w:hAnsi="Avenir Next" w:cs="Arial"/>
          <w:color w:val="7B7B7B" w:themeColor="accent3" w:themeShade="BF"/>
          <w:sz w:val="22"/>
          <w:szCs w:val="22"/>
          <w:lang w:val="en-GB"/>
        </w:rPr>
        <w:t xml:space="preserve"> is the judicial system in Country A, along with any relevant courts supervisory powers over their appointment. </w:t>
      </w:r>
    </w:p>
    <w:p w14:paraId="1A5C9ABE" w14:textId="6DA91F9F" w:rsidR="008D5DC2" w:rsidRDefault="008D5DC2" w:rsidP="003B73B2">
      <w:pPr>
        <w:pStyle w:val="ListParagraph"/>
        <w:ind w:left="1134"/>
        <w:jc w:val="both"/>
        <w:rPr>
          <w:rFonts w:ascii="Avenir Next" w:hAnsi="Avenir Next" w:cs="Arial"/>
          <w:color w:val="7B7B7B" w:themeColor="accent3" w:themeShade="BF"/>
          <w:sz w:val="22"/>
          <w:szCs w:val="22"/>
          <w:lang w:val="en-GB"/>
        </w:rPr>
      </w:pPr>
    </w:p>
    <w:p w14:paraId="6984BCF7" w14:textId="6D429931" w:rsidR="00605887" w:rsidRDefault="008D5DC2" w:rsidP="00605887">
      <w:pPr>
        <w:pStyle w:val="ListParagraph"/>
        <w:ind w:left="113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alternative, I note that DGF is an independent “institution,” separate from any other government agency and the Bank.</w:t>
      </w:r>
      <w:r>
        <w:rPr>
          <w:rStyle w:val="FootnoteReference"/>
          <w:rFonts w:ascii="Avenir Next" w:hAnsi="Avenir Next" w:cs="Arial"/>
          <w:color w:val="7B7B7B" w:themeColor="accent3" w:themeShade="BF"/>
          <w:sz w:val="22"/>
          <w:szCs w:val="22"/>
          <w:lang w:val="en-GB"/>
        </w:rPr>
        <w:footnoteReference w:id="33"/>
      </w:r>
      <w:r>
        <w:rPr>
          <w:rFonts w:ascii="Avenir Next" w:hAnsi="Avenir Next" w:cs="Arial"/>
          <w:color w:val="7B7B7B" w:themeColor="accent3" w:themeShade="BF"/>
          <w:sz w:val="22"/>
          <w:szCs w:val="22"/>
          <w:lang w:val="en-GB"/>
        </w:rPr>
        <w:t xml:space="preserve"> As article 2(e) of MLCBI anticipates including </w:t>
      </w:r>
      <w:r w:rsidR="00605887">
        <w:rPr>
          <w:rFonts w:ascii="Avenir Next" w:hAnsi="Avenir Next" w:cs="Arial"/>
          <w:color w:val="7B7B7B" w:themeColor="accent3" w:themeShade="BF"/>
          <w:sz w:val="22"/>
          <w:szCs w:val="22"/>
          <w:lang w:val="en-GB"/>
        </w:rPr>
        <w:t xml:space="preserve">non-judicial </w:t>
      </w:r>
      <w:r>
        <w:rPr>
          <w:rFonts w:ascii="Avenir Next" w:hAnsi="Avenir Next" w:cs="Arial"/>
          <w:color w:val="7B7B7B" w:themeColor="accent3" w:themeShade="BF"/>
          <w:sz w:val="22"/>
          <w:szCs w:val="22"/>
          <w:lang w:val="en-GB"/>
        </w:rPr>
        <w:t xml:space="preserve">authorities in the definition of a Foreign Court. </w:t>
      </w:r>
      <w:r w:rsidR="00605887">
        <w:rPr>
          <w:rFonts w:ascii="Avenir Next" w:hAnsi="Avenir Next" w:cs="Arial"/>
          <w:color w:val="7B7B7B" w:themeColor="accent3" w:themeShade="BF"/>
          <w:sz w:val="22"/>
          <w:szCs w:val="22"/>
          <w:lang w:val="en-GB"/>
        </w:rPr>
        <w:t xml:space="preserve">An English Judge would look to the DGF and Ms G to put on further evidence as to whether the DGF is a non-judicial authority capable of controlling/supervising the affairs of the Bank. </w:t>
      </w:r>
    </w:p>
    <w:p w14:paraId="1CC5FF97" w14:textId="77777777" w:rsidR="00395F11" w:rsidRPr="00395F11" w:rsidRDefault="00395F11" w:rsidP="00395F11">
      <w:pPr>
        <w:pStyle w:val="ListParagraph"/>
        <w:rPr>
          <w:rFonts w:ascii="Avenir Next" w:hAnsi="Avenir Next" w:cs="Arial"/>
          <w:color w:val="7B7B7B" w:themeColor="accent3" w:themeShade="BF"/>
          <w:sz w:val="22"/>
          <w:szCs w:val="22"/>
          <w:lang w:val="en-GB"/>
        </w:rPr>
      </w:pPr>
    </w:p>
    <w:p w14:paraId="15972C68" w14:textId="3144559E" w:rsidR="00395F11" w:rsidRDefault="00395F11"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proceeding is for the purpose of reorganisation</w:t>
      </w:r>
      <w:r w:rsidR="0060588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liquidation</w:t>
      </w:r>
      <w:r w:rsidR="00C04D5E">
        <w:rPr>
          <w:rFonts w:ascii="Avenir Next" w:hAnsi="Avenir Next" w:cs="Arial"/>
          <w:color w:val="7B7B7B" w:themeColor="accent3" w:themeShade="BF"/>
          <w:sz w:val="22"/>
          <w:szCs w:val="22"/>
          <w:lang w:val="en-GB"/>
        </w:rPr>
        <w:t xml:space="preserve"> </w:t>
      </w:r>
      <w:r w:rsidR="00605887">
        <w:rPr>
          <w:rFonts w:ascii="Avenir Next" w:hAnsi="Avenir Next" w:cs="Arial"/>
          <w:color w:val="7B7B7B" w:themeColor="accent3" w:themeShade="BF"/>
          <w:sz w:val="22"/>
          <w:szCs w:val="22"/>
          <w:lang w:val="en-GB"/>
        </w:rPr>
        <w:t>or dealing with financial distress.</w:t>
      </w:r>
      <w:r w:rsidR="00605887">
        <w:rPr>
          <w:rStyle w:val="FootnoteReference"/>
          <w:rFonts w:ascii="Avenir Next" w:hAnsi="Avenir Next" w:cs="Arial"/>
          <w:color w:val="7B7B7B" w:themeColor="accent3" w:themeShade="BF"/>
          <w:sz w:val="22"/>
          <w:szCs w:val="22"/>
          <w:lang w:val="en-GB"/>
        </w:rPr>
        <w:footnoteReference w:id="34"/>
      </w:r>
      <w:r w:rsidR="00605887">
        <w:rPr>
          <w:rFonts w:ascii="Avenir Next" w:hAnsi="Avenir Next" w:cs="Arial"/>
          <w:color w:val="7B7B7B" w:themeColor="accent3" w:themeShade="BF"/>
          <w:sz w:val="22"/>
          <w:szCs w:val="22"/>
          <w:lang w:val="en-GB"/>
        </w:rPr>
        <w:t xml:space="preserve"> DGF and Ms G were automatically appointed liquidators of the Bank, pursuant to article 77 of the LBBA</w:t>
      </w:r>
      <w:r w:rsidR="00C04D5E">
        <w:rPr>
          <w:rFonts w:ascii="Avenir Next" w:hAnsi="Avenir Next" w:cs="Arial"/>
          <w:color w:val="7B7B7B" w:themeColor="accent3" w:themeShade="BF"/>
          <w:sz w:val="22"/>
          <w:szCs w:val="22"/>
          <w:lang w:val="en-GB"/>
        </w:rPr>
        <w:t>; and</w:t>
      </w:r>
    </w:p>
    <w:p w14:paraId="3E4ABC61" w14:textId="77777777" w:rsidR="00C04D5E" w:rsidRPr="00C04D5E" w:rsidRDefault="00C04D5E" w:rsidP="00C04D5E">
      <w:pPr>
        <w:pStyle w:val="ListParagraph"/>
        <w:rPr>
          <w:rFonts w:ascii="Avenir Next" w:hAnsi="Avenir Next" w:cs="Arial"/>
          <w:color w:val="7B7B7B" w:themeColor="accent3" w:themeShade="BF"/>
          <w:sz w:val="22"/>
          <w:szCs w:val="22"/>
          <w:lang w:val="en-GB"/>
        </w:rPr>
      </w:pPr>
    </w:p>
    <w:p w14:paraId="5893EF28" w14:textId="210A5B62" w:rsidR="00C04D5E" w:rsidRDefault="00C04D5E" w:rsidP="00395F11">
      <w:pPr>
        <w:pStyle w:val="ListParagraph"/>
        <w:numPr>
          <w:ilvl w:val="1"/>
          <w:numId w:val="20"/>
        </w:numPr>
        <w:ind w:left="1134" w:hanging="708"/>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public policy exceptions in article 6 do not apply.</w:t>
      </w:r>
      <w:r w:rsidR="00605887">
        <w:rPr>
          <w:rFonts w:ascii="Avenir Next" w:hAnsi="Avenir Next" w:cs="Arial"/>
          <w:color w:val="7B7B7B" w:themeColor="accent3" w:themeShade="BF"/>
          <w:sz w:val="22"/>
          <w:szCs w:val="22"/>
          <w:lang w:val="en-GB"/>
        </w:rPr>
        <w:t xml:space="preserve"> I have assumed that the DGF Law or the foreign proceeding are not contrary to the English Laws public policy. An English Judge would look to the DGF and Ms G to put on further evidence about why an indefinite liquidation is not contrary to public policy.</w:t>
      </w:r>
    </w:p>
    <w:p w14:paraId="04356AB4" w14:textId="77777777" w:rsidR="003A61B1" w:rsidRPr="003A61B1" w:rsidRDefault="003A61B1" w:rsidP="003A61B1">
      <w:pPr>
        <w:pStyle w:val="ListParagraph"/>
        <w:rPr>
          <w:rFonts w:ascii="Avenir Next" w:hAnsi="Avenir Next" w:cs="Arial"/>
          <w:color w:val="7B7B7B" w:themeColor="accent3" w:themeShade="BF"/>
          <w:sz w:val="22"/>
          <w:szCs w:val="22"/>
          <w:lang w:val="en-GB"/>
        </w:rPr>
      </w:pPr>
    </w:p>
    <w:p w14:paraId="25608E07" w14:textId="05FB8FA4" w:rsidR="003A61B1" w:rsidRDefault="003A61B1" w:rsidP="003A61B1">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DGF and Ms G can satisfy the issues discussed above at paragraphs 2.2, 2.5 and 2.7, the Bank’s liquidation is a foreign proceeding within the meaning of Article 2(a) of the MLCBI.</w:t>
      </w:r>
    </w:p>
    <w:p w14:paraId="353EE7A8" w14:textId="4949EF19" w:rsidR="00D5775D" w:rsidRDefault="00D5775D" w:rsidP="00957951">
      <w:pPr>
        <w:ind w:left="720" w:hanging="720"/>
        <w:jc w:val="both"/>
        <w:rPr>
          <w:rFonts w:ascii="Avenir Next" w:hAnsi="Avenir Next" w:cs="Arial"/>
          <w:color w:val="000000"/>
          <w:sz w:val="22"/>
          <w:szCs w:val="22"/>
          <w:lang w:val="en-GB" w:eastAsia="en-GB"/>
        </w:rPr>
      </w:pPr>
    </w:p>
    <w:p w14:paraId="34666E78" w14:textId="58A8CA02" w:rsidR="00D5775D" w:rsidRDefault="00D5775D" w:rsidP="00957951">
      <w:pPr>
        <w:ind w:left="720" w:hanging="720"/>
        <w:jc w:val="both"/>
        <w:rPr>
          <w:rFonts w:ascii="Avenir Next" w:hAnsi="Avenir Next" w:cs="Arial"/>
          <w:color w:val="000000"/>
          <w:sz w:val="22"/>
          <w:szCs w:val="22"/>
          <w:lang w:val="en-GB" w:eastAsia="en-GB"/>
        </w:rPr>
      </w:pPr>
    </w:p>
    <w:p w14:paraId="5E5A9574" w14:textId="77777777" w:rsidR="00D5775D" w:rsidRPr="00E2622D" w:rsidRDefault="00D5775D"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671EE2A3" w:rsidR="0077498C" w:rsidRDefault="0077498C" w:rsidP="00707FC8">
      <w:pPr>
        <w:jc w:val="both"/>
        <w:rPr>
          <w:rFonts w:ascii="Avenir Next" w:hAnsi="Avenir Next" w:cs="Arial"/>
          <w:color w:val="000000" w:themeColor="text1"/>
          <w:sz w:val="22"/>
          <w:szCs w:val="22"/>
          <w:lang w:val="en-GB"/>
        </w:rPr>
      </w:pPr>
    </w:p>
    <w:p w14:paraId="207D7760" w14:textId="77777777" w:rsidR="00D62A82" w:rsidRDefault="00D62A82" w:rsidP="00464B4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Pr="00D62A82">
        <w:rPr>
          <w:rFonts w:ascii="Avenir Next" w:hAnsi="Avenir Next" w:cs="Arial"/>
          <w:color w:val="7B7B7B" w:themeColor="accent3" w:themeShade="BF"/>
          <w:sz w:val="22"/>
          <w:szCs w:val="22"/>
          <w:lang w:val="en-GB"/>
        </w:rPr>
        <w:t>Article 2(d)</w:t>
      </w:r>
      <w:r>
        <w:rPr>
          <w:rFonts w:ascii="Avenir Next" w:hAnsi="Avenir Next" w:cs="Arial"/>
          <w:color w:val="7B7B7B" w:themeColor="accent3" w:themeShade="BF"/>
          <w:sz w:val="22"/>
          <w:szCs w:val="22"/>
          <w:lang w:val="en-GB"/>
        </w:rPr>
        <w:t xml:space="preserve"> of MLCBI,</w:t>
      </w:r>
      <w:r w:rsidRPr="00D62A82">
        <w:rPr>
          <w:rFonts w:ascii="Avenir Next" w:hAnsi="Avenir Next" w:cs="Arial"/>
          <w:color w:val="7B7B7B" w:themeColor="accent3" w:themeShade="BF"/>
          <w:sz w:val="22"/>
          <w:szCs w:val="22"/>
          <w:lang w:val="en-GB"/>
        </w:rPr>
        <w:t xml:space="preserve"> Foreign </w:t>
      </w:r>
      <w:r>
        <w:rPr>
          <w:rFonts w:ascii="Avenir Next" w:hAnsi="Avenir Next" w:cs="Arial"/>
          <w:color w:val="7B7B7B" w:themeColor="accent3" w:themeShade="BF"/>
          <w:sz w:val="22"/>
          <w:szCs w:val="22"/>
          <w:lang w:val="en-GB"/>
        </w:rPr>
        <w:t>R</w:t>
      </w:r>
      <w:r w:rsidRPr="00D62A82">
        <w:rPr>
          <w:rFonts w:ascii="Avenir Next" w:hAnsi="Avenir Next" w:cs="Arial"/>
          <w:color w:val="7B7B7B" w:themeColor="accent3" w:themeShade="BF"/>
          <w:sz w:val="22"/>
          <w:szCs w:val="22"/>
          <w:lang w:val="en-GB"/>
        </w:rPr>
        <w:t>epresentative means</w:t>
      </w:r>
      <w:r>
        <w:rPr>
          <w:rFonts w:ascii="Avenir Next" w:hAnsi="Avenir Next" w:cs="Arial"/>
          <w:color w:val="7B7B7B" w:themeColor="accent3" w:themeShade="BF"/>
          <w:sz w:val="22"/>
          <w:szCs w:val="22"/>
          <w:lang w:val="en-GB"/>
        </w:rPr>
        <w:t>:</w:t>
      </w:r>
      <w:r w:rsidRPr="00D62A82">
        <w:rPr>
          <w:rFonts w:ascii="Avenir Next" w:hAnsi="Avenir Next" w:cs="Arial"/>
          <w:color w:val="7B7B7B" w:themeColor="accent3" w:themeShade="BF"/>
          <w:sz w:val="22"/>
          <w:szCs w:val="22"/>
          <w:lang w:val="en-GB"/>
        </w:rPr>
        <w:t xml:space="preserve"> </w:t>
      </w:r>
    </w:p>
    <w:p w14:paraId="68BA7706" w14:textId="77777777" w:rsidR="00D62A82" w:rsidRDefault="00D62A82" w:rsidP="00464B4A">
      <w:pPr>
        <w:jc w:val="both"/>
        <w:rPr>
          <w:rFonts w:ascii="Avenir Next" w:hAnsi="Avenir Next" w:cs="Arial"/>
          <w:color w:val="7B7B7B" w:themeColor="accent3" w:themeShade="BF"/>
          <w:sz w:val="22"/>
          <w:szCs w:val="22"/>
          <w:lang w:val="en-GB"/>
        </w:rPr>
      </w:pPr>
    </w:p>
    <w:p w14:paraId="3AF5C2CE" w14:textId="437594FF" w:rsidR="00D62A82" w:rsidRDefault="00D62A82" w:rsidP="00D62A82">
      <w:pPr>
        <w:pStyle w:val="ListParagraph"/>
        <w:numPr>
          <w:ilvl w:val="0"/>
          <w:numId w:val="21"/>
        </w:numPr>
        <w:jc w:val="both"/>
        <w:rPr>
          <w:rFonts w:ascii="Avenir Next" w:hAnsi="Avenir Next" w:cs="Arial"/>
          <w:color w:val="7B7B7B" w:themeColor="accent3" w:themeShade="BF"/>
          <w:sz w:val="22"/>
          <w:szCs w:val="22"/>
          <w:lang w:val="en-GB"/>
        </w:rPr>
      </w:pPr>
      <w:r w:rsidRPr="00D62A82">
        <w:rPr>
          <w:rFonts w:ascii="Avenir Next" w:hAnsi="Avenir Next" w:cs="Arial"/>
          <w:color w:val="7B7B7B" w:themeColor="accent3" w:themeShade="BF"/>
          <w:sz w:val="22"/>
          <w:szCs w:val="22"/>
          <w:lang w:val="en-GB"/>
        </w:rPr>
        <w:t>a person or body, including one appointed on an interim basis</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35"/>
      </w:r>
    </w:p>
    <w:p w14:paraId="254908E1" w14:textId="7DE67095" w:rsidR="00D62A82" w:rsidRDefault="00D62A82" w:rsidP="00D62A82">
      <w:pPr>
        <w:pStyle w:val="ListParagraph"/>
        <w:ind w:left="360"/>
        <w:jc w:val="both"/>
        <w:rPr>
          <w:rFonts w:ascii="Avenir Next" w:hAnsi="Avenir Next" w:cs="Arial"/>
          <w:color w:val="7B7B7B" w:themeColor="accent3" w:themeShade="BF"/>
          <w:sz w:val="22"/>
          <w:szCs w:val="22"/>
          <w:lang w:val="en-GB"/>
        </w:rPr>
      </w:pPr>
    </w:p>
    <w:p w14:paraId="6C6F904D" w14:textId="77777777" w:rsidR="00D9207E" w:rsidRDefault="00D9207E" w:rsidP="00D62A82">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Ms G is a person, and, on the facts, was appointed by DGF (equivalent to a special agency) presumably not on an interim basis.</w:t>
      </w:r>
    </w:p>
    <w:p w14:paraId="06483A35" w14:textId="77777777" w:rsidR="00D9207E" w:rsidRDefault="00D9207E" w:rsidP="00D62A82">
      <w:pPr>
        <w:pStyle w:val="ListParagraph"/>
        <w:ind w:left="360"/>
        <w:jc w:val="both"/>
        <w:rPr>
          <w:rFonts w:ascii="Avenir Next" w:hAnsi="Avenir Next" w:cs="Arial"/>
          <w:color w:val="7B7B7B" w:themeColor="accent3" w:themeShade="BF"/>
          <w:sz w:val="22"/>
          <w:szCs w:val="22"/>
          <w:lang w:val="en-GB"/>
        </w:rPr>
      </w:pPr>
    </w:p>
    <w:p w14:paraId="0C7A03F6" w14:textId="6F994229" w:rsidR="00D62A82" w:rsidRDefault="00D9207E" w:rsidP="00D62A82">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DGF is a governmental body responsible for the process of winding-up insolvency banks via liquidation.</w:t>
      </w:r>
    </w:p>
    <w:p w14:paraId="658C1EB8" w14:textId="4B83748D" w:rsidR="00D9207E" w:rsidRDefault="00D9207E" w:rsidP="00D62A82">
      <w:pPr>
        <w:pStyle w:val="ListParagraph"/>
        <w:ind w:left="360"/>
        <w:jc w:val="both"/>
        <w:rPr>
          <w:rFonts w:ascii="Avenir Next" w:hAnsi="Avenir Next" w:cs="Arial"/>
          <w:color w:val="7B7B7B" w:themeColor="accent3" w:themeShade="BF"/>
          <w:sz w:val="22"/>
          <w:szCs w:val="22"/>
          <w:lang w:val="en-GB"/>
        </w:rPr>
      </w:pPr>
    </w:p>
    <w:p w14:paraId="0D1B1ACB" w14:textId="5FD1F84A" w:rsidR="00D9207E" w:rsidRDefault="00D9207E" w:rsidP="00D62A82">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I believe that both applicants would meet element (a) of this definition.</w:t>
      </w:r>
    </w:p>
    <w:p w14:paraId="73E562E6" w14:textId="77777777" w:rsidR="00D62A82" w:rsidRDefault="00D62A82" w:rsidP="00D62A82">
      <w:pPr>
        <w:pStyle w:val="ListParagraph"/>
        <w:ind w:left="360"/>
        <w:jc w:val="both"/>
        <w:rPr>
          <w:rFonts w:ascii="Avenir Next" w:hAnsi="Avenir Next" w:cs="Arial"/>
          <w:color w:val="7B7B7B" w:themeColor="accent3" w:themeShade="BF"/>
          <w:sz w:val="22"/>
          <w:szCs w:val="22"/>
          <w:lang w:val="en-GB"/>
        </w:rPr>
      </w:pPr>
    </w:p>
    <w:p w14:paraId="48A38701" w14:textId="152F18D6" w:rsidR="00D62A82" w:rsidRDefault="00D62A82" w:rsidP="00D62A82">
      <w:pPr>
        <w:pStyle w:val="ListParagraph"/>
        <w:numPr>
          <w:ilvl w:val="0"/>
          <w:numId w:val="21"/>
        </w:numPr>
        <w:jc w:val="both"/>
        <w:rPr>
          <w:rFonts w:ascii="Avenir Next" w:hAnsi="Avenir Next" w:cs="Arial"/>
          <w:color w:val="7B7B7B" w:themeColor="accent3" w:themeShade="BF"/>
          <w:sz w:val="22"/>
          <w:szCs w:val="22"/>
          <w:lang w:val="en-GB"/>
        </w:rPr>
      </w:pPr>
      <w:r w:rsidRPr="00D62A82">
        <w:rPr>
          <w:rFonts w:ascii="Avenir Next" w:hAnsi="Avenir Next" w:cs="Arial"/>
          <w:color w:val="7B7B7B" w:themeColor="accent3" w:themeShade="BF"/>
          <w:sz w:val="22"/>
          <w:szCs w:val="22"/>
          <w:lang w:val="en-GB"/>
        </w:rPr>
        <w:t>authorised in a foreign proceeding</w:t>
      </w:r>
      <w:r>
        <w:rPr>
          <w:rFonts w:ascii="Avenir Next" w:hAnsi="Avenir Next" w:cs="Arial"/>
          <w:color w:val="7B7B7B" w:themeColor="accent3" w:themeShade="BF"/>
          <w:sz w:val="22"/>
          <w:szCs w:val="22"/>
          <w:lang w:val="en-GB"/>
        </w:rPr>
        <w:t>;</w:t>
      </w:r>
    </w:p>
    <w:p w14:paraId="4AD87713" w14:textId="6D5CE99E" w:rsidR="00D9207E" w:rsidRDefault="00D9207E" w:rsidP="00D9207E">
      <w:pPr>
        <w:pStyle w:val="ListParagraph"/>
        <w:ind w:left="360"/>
        <w:jc w:val="both"/>
        <w:rPr>
          <w:rFonts w:ascii="Avenir Next" w:hAnsi="Avenir Next" w:cs="Arial"/>
          <w:color w:val="7B7B7B" w:themeColor="accent3" w:themeShade="BF"/>
          <w:sz w:val="22"/>
          <w:szCs w:val="22"/>
          <w:lang w:val="en-GB"/>
        </w:rPr>
      </w:pPr>
    </w:p>
    <w:p w14:paraId="207B4ACF" w14:textId="53C7D4BD" w:rsidR="00D9207E" w:rsidRDefault="00D9207E" w:rsidP="00D9207E">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outlined in my answer 4.1.1, a</w:t>
      </w:r>
      <w:r w:rsidRPr="00D9207E">
        <w:rPr>
          <w:rFonts w:ascii="Avenir Next" w:hAnsi="Avenir Next" w:cs="Arial"/>
          <w:color w:val="7B7B7B" w:themeColor="accent3" w:themeShade="BF"/>
          <w:sz w:val="22"/>
          <w:szCs w:val="22"/>
          <w:lang w:val="en-GB"/>
        </w:rPr>
        <w:t>ssuming DGF and Ms G can satisfy the issues discussed above at paragraphs 2.2, 2.5 and 2.7</w:t>
      </w:r>
      <w:r>
        <w:rPr>
          <w:rFonts w:ascii="Avenir Next" w:hAnsi="Avenir Next" w:cs="Arial"/>
          <w:color w:val="7B7B7B" w:themeColor="accent3" w:themeShade="BF"/>
          <w:sz w:val="22"/>
          <w:szCs w:val="22"/>
          <w:lang w:val="en-GB"/>
        </w:rPr>
        <w:t xml:space="preserve"> (in answer 4.1.1)</w:t>
      </w:r>
      <w:r w:rsidRPr="00D9207E">
        <w:rPr>
          <w:rFonts w:ascii="Avenir Next" w:hAnsi="Avenir Next" w:cs="Arial"/>
          <w:color w:val="7B7B7B" w:themeColor="accent3" w:themeShade="BF"/>
          <w:sz w:val="22"/>
          <w:szCs w:val="22"/>
          <w:lang w:val="en-GB"/>
        </w:rPr>
        <w:t>, the Bank’s liquidation is a foreign proceeding within the meaning of Article 2(a) of the MLCBI</w:t>
      </w:r>
      <w:r>
        <w:rPr>
          <w:rFonts w:ascii="Avenir Next" w:hAnsi="Avenir Next" w:cs="Arial"/>
          <w:color w:val="7B7B7B" w:themeColor="accent3" w:themeShade="BF"/>
          <w:sz w:val="22"/>
          <w:szCs w:val="22"/>
          <w:lang w:val="en-GB"/>
        </w:rPr>
        <w:t>.</w:t>
      </w:r>
    </w:p>
    <w:p w14:paraId="34392EB4" w14:textId="10C17347" w:rsidR="00D9207E" w:rsidRDefault="00D9207E" w:rsidP="00D9207E">
      <w:pPr>
        <w:pStyle w:val="ListParagraph"/>
        <w:ind w:left="360"/>
        <w:jc w:val="both"/>
        <w:rPr>
          <w:rFonts w:ascii="Avenir Next" w:hAnsi="Avenir Next" w:cs="Arial"/>
          <w:color w:val="7B7B7B" w:themeColor="accent3" w:themeShade="BF"/>
          <w:sz w:val="22"/>
          <w:szCs w:val="22"/>
          <w:lang w:val="en-GB"/>
        </w:rPr>
      </w:pPr>
    </w:p>
    <w:p w14:paraId="687033FF" w14:textId="08740E5F" w:rsidR="00D9207E" w:rsidRDefault="00D9207E" w:rsidP="00D9207E">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Ms </w:t>
      </w:r>
      <w:r w:rsidR="00500653">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 xml:space="preserve"> and DGF are required to provide </w:t>
      </w:r>
      <w:r w:rsidR="00500653">
        <w:rPr>
          <w:rFonts w:ascii="Avenir Next" w:hAnsi="Avenir Next" w:cs="Arial"/>
          <w:color w:val="7B7B7B" w:themeColor="accent3" w:themeShade="BF"/>
          <w:sz w:val="22"/>
          <w:szCs w:val="22"/>
          <w:lang w:val="en-GB"/>
        </w:rPr>
        <w:t xml:space="preserve">certified copies of their delegated authority (in the case of Ms G) and all other </w:t>
      </w:r>
      <w:r w:rsidRPr="00D9207E">
        <w:rPr>
          <w:rFonts w:ascii="Avenir Next" w:hAnsi="Avenir Next" w:cs="Arial"/>
          <w:color w:val="7B7B7B" w:themeColor="accent3" w:themeShade="BF"/>
          <w:sz w:val="22"/>
          <w:szCs w:val="22"/>
          <w:lang w:val="en-GB"/>
        </w:rPr>
        <w:t>relevant licensing</w:t>
      </w:r>
      <w:r w:rsidR="00500653">
        <w:rPr>
          <w:rFonts w:ascii="Avenir Next" w:hAnsi="Avenir Next" w:cs="Arial"/>
          <w:color w:val="7B7B7B" w:themeColor="accent3" w:themeShade="BF"/>
          <w:sz w:val="22"/>
          <w:szCs w:val="22"/>
          <w:lang w:val="en-GB"/>
        </w:rPr>
        <w:t>/statutory</w:t>
      </w:r>
      <w:r w:rsidRPr="00D9207E">
        <w:rPr>
          <w:rFonts w:ascii="Avenir Next" w:hAnsi="Avenir Next" w:cs="Arial"/>
          <w:color w:val="7B7B7B" w:themeColor="accent3" w:themeShade="BF"/>
          <w:sz w:val="22"/>
          <w:szCs w:val="22"/>
          <w:lang w:val="en-GB"/>
        </w:rPr>
        <w:t xml:space="preserve"> paperwork available from the DGF</w:t>
      </w:r>
      <w:r w:rsidR="00500653">
        <w:rPr>
          <w:rFonts w:ascii="Avenir Next" w:hAnsi="Avenir Next" w:cs="Arial"/>
          <w:color w:val="7B7B7B" w:themeColor="accent3" w:themeShade="BF"/>
          <w:sz w:val="22"/>
          <w:szCs w:val="22"/>
          <w:lang w:val="en-GB"/>
        </w:rPr>
        <w:t>: Article15 of MLCBI.</w:t>
      </w:r>
      <w:r w:rsidRPr="00D9207E">
        <w:rPr>
          <w:rFonts w:ascii="Avenir Next" w:hAnsi="Avenir Next" w:cs="Arial"/>
          <w:color w:val="7B7B7B" w:themeColor="accent3" w:themeShade="BF"/>
          <w:sz w:val="22"/>
          <w:szCs w:val="22"/>
          <w:lang w:val="en-GB"/>
        </w:rPr>
        <w:t xml:space="preserve"> I note that article 16(2) provides that the English court is entitled to presume that any licensing paperwork is authentic.</w:t>
      </w:r>
    </w:p>
    <w:p w14:paraId="242D64A2" w14:textId="7C7A6C38" w:rsidR="00500653" w:rsidRDefault="00500653" w:rsidP="00D9207E">
      <w:pPr>
        <w:pStyle w:val="ListParagraph"/>
        <w:ind w:left="360"/>
        <w:jc w:val="both"/>
        <w:rPr>
          <w:rFonts w:ascii="Avenir Next" w:hAnsi="Avenir Next" w:cs="Arial"/>
          <w:color w:val="7B7B7B" w:themeColor="accent3" w:themeShade="BF"/>
          <w:sz w:val="22"/>
          <w:szCs w:val="22"/>
          <w:lang w:val="en-GB"/>
        </w:rPr>
      </w:pPr>
    </w:p>
    <w:p w14:paraId="4D1A19DE" w14:textId="6FF2DDF6" w:rsidR="00500653" w:rsidRDefault="00500653" w:rsidP="00500653">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factual matrix says that Ms G’s delegated authority stems from article 48(3) of the DGF Law. Article 35(1) of the DGF Law specifies a number of indicia (like relevant higher-level education and sufficient professional experience) that Ms G must meet in order to be an authorised delegate of DGF. Resolution 1513 only notes that Ms G is a “leading bank liquidation professional,” but does not address the other indicia of article 35(1) of the DGF Law. Article 15 of MLCBI requires that </w:t>
      </w:r>
      <w:r>
        <w:rPr>
          <w:rFonts w:ascii="Avenir Next" w:hAnsi="Avenir Next" w:cs="Arial"/>
          <w:color w:val="7B7B7B" w:themeColor="accent3" w:themeShade="BF"/>
          <w:sz w:val="22"/>
          <w:szCs w:val="22"/>
          <w:lang w:val="en-GB"/>
        </w:rPr>
        <w:t xml:space="preserve">Ms G provide certified copies of their delegated authority </w:t>
      </w:r>
      <w:r>
        <w:rPr>
          <w:rFonts w:ascii="Avenir Next" w:hAnsi="Avenir Next" w:cs="Arial"/>
          <w:color w:val="7B7B7B" w:themeColor="accent3" w:themeShade="BF"/>
          <w:sz w:val="22"/>
          <w:szCs w:val="22"/>
          <w:lang w:val="en-GB"/>
        </w:rPr>
        <w:t>or any</w:t>
      </w:r>
      <w:r>
        <w:rPr>
          <w:rFonts w:ascii="Avenir Next" w:hAnsi="Avenir Next" w:cs="Arial"/>
          <w:color w:val="7B7B7B" w:themeColor="accent3" w:themeShade="BF"/>
          <w:sz w:val="22"/>
          <w:szCs w:val="22"/>
          <w:lang w:val="en-GB"/>
        </w:rPr>
        <w:t xml:space="preserve"> other </w:t>
      </w:r>
      <w:r w:rsidRPr="00D9207E">
        <w:rPr>
          <w:rFonts w:ascii="Avenir Next" w:hAnsi="Avenir Next" w:cs="Arial"/>
          <w:color w:val="7B7B7B" w:themeColor="accent3" w:themeShade="BF"/>
          <w:sz w:val="22"/>
          <w:szCs w:val="22"/>
          <w:lang w:val="en-GB"/>
        </w:rPr>
        <w:t>relevant licensing</w:t>
      </w:r>
      <w:r>
        <w:rPr>
          <w:rFonts w:ascii="Avenir Next" w:hAnsi="Avenir Next" w:cs="Arial"/>
          <w:color w:val="7B7B7B" w:themeColor="accent3" w:themeShade="BF"/>
          <w:sz w:val="22"/>
          <w:szCs w:val="22"/>
          <w:lang w:val="en-GB"/>
        </w:rPr>
        <w:t>/statutory</w:t>
      </w:r>
      <w:r w:rsidRPr="00D9207E">
        <w:rPr>
          <w:rFonts w:ascii="Avenir Next" w:hAnsi="Avenir Next" w:cs="Arial"/>
          <w:color w:val="7B7B7B" w:themeColor="accent3" w:themeShade="BF"/>
          <w:sz w:val="22"/>
          <w:szCs w:val="22"/>
          <w:lang w:val="en-GB"/>
        </w:rPr>
        <w:t xml:space="preserve"> paperwork</w:t>
      </w:r>
      <w:r>
        <w:rPr>
          <w:rFonts w:ascii="Avenir Next" w:hAnsi="Avenir Next" w:cs="Arial"/>
          <w:color w:val="7B7B7B" w:themeColor="accent3" w:themeShade="BF"/>
          <w:sz w:val="22"/>
          <w:szCs w:val="22"/>
          <w:lang w:val="en-GB"/>
        </w:rPr>
        <w:t>.</w:t>
      </w:r>
      <w:r w:rsidRPr="00D9207E">
        <w:rPr>
          <w:rFonts w:ascii="Avenir Next" w:hAnsi="Avenir Next" w:cs="Arial"/>
          <w:color w:val="7B7B7B" w:themeColor="accent3" w:themeShade="BF"/>
          <w:sz w:val="22"/>
          <w:szCs w:val="22"/>
          <w:lang w:val="en-GB"/>
        </w:rPr>
        <w:t xml:space="preserve"> </w:t>
      </w:r>
    </w:p>
    <w:p w14:paraId="195A14F4" w14:textId="2FE28904" w:rsidR="00500653" w:rsidRDefault="00500653" w:rsidP="00500653">
      <w:pPr>
        <w:pStyle w:val="ListParagraph"/>
        <w:ind w:left="360"/>
        <w:jc w:val="both"/>
        <w:rPr>
          <w:rFonts w:ascii="Avenir Next" w:hAnsi="Avenir Next" w:cs="Arial"/>
          <w:color w:val="7B7B7B" w:themeColor="accent3" w:themeShade="BF"/>
          <w:sz w:val="22"/>
          <w:szCs w:val="22"/>
          <w:lang w:val="en-GB"/>
        </w:rPr>
      </w:pPr>
    </w:p>
    <w:p w14:paraId="20AF3705" w14:textId="533A09B9" w:rsidR="00500653" w:rsidRDefault="00500653" w:rsidP="00500653">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Accordingly, there is insufficient evidence to establish that Ms G is authorised by DGF, as Ms G’s affidavit appears silent on this issue. If Ms G filed the relevant paperwork required by article 15 of MLCBI, then </w:t>
      </w:r>
      <w:r w:rsidR="001430EF" w:rsidRPr="00D9207E">
        <w:rPr>
          <w:rFonts w:ascii="Avenir Next" w:hAnsi="Avenir Next" w:cs="Arial"/>
          <w:color w:val="7B7B7B" w:themeColor="accent3" w:themeShade="BF"/>
          <w:sz w:val="22"/>
          <w:szCs w:val="22"/>
          <w:lang w:val="en-GB"/>
        </w:rPr>
        <w:t>article 16(2) provides that the English court is entitled to presume that any licensing paperwork is authentic.</w:t>
      </w:r>
    </w:p>
    <w:p w14:paraId="7493D2A6" w14:textId="66051F57" w:rsidR="001430EF" w:rsidRDefault="001430EF" w:rsidP="00500653">
      <w:pPr>
        <w:pStyle w:val="ListParagraph"/>
        <w:ind w:left="360"/>
        <w:jc w:val="both"/>
        <w:rPr>
          <w:rFonts w:ascii="Avenir Next" w:hAnsi="Avenir Next" w:cs="Arial"/>
          <w:color w:val="7B7B7B" w:themeColor="accent3" w:themeShade="BF"/>
          <w:sz w:val="22"/>
          <w:szCs w:val="22"/>
          <w:lang w:val="en-GB"/>
        </w:rPr>
      </w:pPr>
    </w:p>
    <w:p w14:paraId="3A9C5A83" w14:textId="2FE8D04D" w:rsidR="001430EF" w:rsidRDefault="001430EF" w:rsidP="001430EF">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15 of MLCBI requires that </w:t>
      </w:r>
      <w:r>
        <w:rPr>
          <w:rFonts w:ascii="Avenir Next" w:hAnsi="Avenir Next" w:cs="Arial"/>
          <w:color w:val="7B7B7B" w:themeColor="accent3" w:themeShade="BF"/>
          <w:sz w:val="22"/>
          <w:szCs w:val="22"/>
          <w:lang w:val="en-GB"/>
        </w:rPr>
        <w:t>DGF</w:t>
      </w:r>
      <w:r>
        <w:rPr>
          <w:rFonts w:ascii="Avenir Next" w:hAnsi="Avenir Next" w:cs="Arial"/>
          <w:color w:val="7B7B7B" w:themeColor="accent3" w:themeShade="BF"/>
          <w:sz w:val="22"/>
          <w:szCs w:val="22"/>
          <w:lang w:val="en-GB"/>
        </w:rPr>
        <w:t xml:space="preserve"> provide certified copies of their </w:t>
      </w:r>
      <w:r>
        <w:rPr>
          <w:rFonts w:ascii="Avenir Next" w:hAnsi="Avenir Next" w:cs="Arial"/>
          <w:color w:val="7B7B7B" w:themeColor="accent3" w:themeShade="BF"/>
          <w:sz w:val="22"/>
          <w:szCs w:val="22"/>
          <w:lang w:val="en-GB"/>
        </w:rPr>
        <w:t>statutory</w:t>
      </w:r>
      <w:r>
        <w:rPr>
          <w:rFonts w:ascii="Avenir Next" w:hAnsi="Avenir Next" w:cs="Arial"/>
          <w:color w:val="7B7B7B" w:themeColor="accent3" w:themeShade="BF"/>
          <w:sz w:val="22"/>
          <w:szCs w:val="22"/>
          <w:lang w:val="en-GB"/>
        </w:rPr>
        <w:t xml:space="preserve"> authority or </w:t>
      </w:r>
      <w:r>
        <w:rPr>
          <w:rFonts w:ascii="Avenir Next" w:hAnsi="Avenir Next" w:cs="Arial"/>
          <w:color w:val="7B7B7B" w:themeColor="accent3" w:themeShade="BF"/>
          <w:sz w:val="22"/>
          <w:szCs w:val="22"/>
          <w:lang w:val="en-GB"/>
        </w:rPr>
        <w:t>other certificate of appointment</w:t>
      </w:r>
      <w:r>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No such information appears to have been provided on the facts, however, I note that article 77 of LBBA may come to the rescue in that DGF is automatically appointed liquidator to the Bank upon NB’s decision to record the Bank’s licence. The facts suggest that the NB’s decision is in evidence. </w:t>
      </w:r>
      <w:r>
        <w:rPr>
          <w:rFonts w:ascii="Avenir Next" w:hAnsi="Avenir Next" w:cs="Arial"/>
          <w:color w:val="7B7B7B" w:themeColor="accent3" w:themeShade="BF"/>
          <w:sz w:val="22"/>
          <w:szCs w:val="22"/>
          <w:lang w:val="en-GB"/>
        </w:rPr>
        <w:t xml:space="preserve">Accordingly, there is </w:t>
      </w:r>
      <w:r>
        <w:rPr>
          <w:rFonts w:ascii="Avenir Next" w:hAnsi="Avenir Next" w:cs="Arial"/>
          <w:color w:val="7B7B7B" w:themeColor="accent3" w:themeShade="BF"/>
          <w:sz w:val="22"/>
          <w:szCs w:val="22"/>
          <w:lang w:val="en-GB"/>
        </w:rPr>
        <w:t xml:space="preserve">likely </w:t>
      </w:r>
      <w:r>
        <w:rPr>
          <w:rFonts w:ascii="Avenir Next" w:hAnsi="Avenir Next" w:cs="Arial"/>
          <w:color w:val="7B7B7B" w:themeColor="accent3" w:themeShade="BF"/>
          <w:sz w:val="22"/>
          <w:szCs w:val="22"/>
          <w:lang w:val="en-GB"/>
        </w:rPr>
        <w:t xml:space="preserve">sufficient evidence to establish that </w:t>
      </w:r>
      <w:r>
        <w:rPr>
          <w:rFonts w:ascii="Avenir Next" w:hAnsi="Avenir Next" w:cs="Arial"/>
          <w:color w:val="7B7B7B" w:themeColor="accent3" w:themeShade="BF"/>
          <w:sz w:val="22"/>
          <w:szCs w:val="22"/>
          <w:lang w:val="en-GB"/>
        </w:rPr>
        <w:t>DGF is</w:t>
      </w:r>
      <w:r>
        <w:rPr>
          <w:rFonts w:ascii="Avenir Next" w:hAnsi="Avenir Next" w:cs="Arial"/>
          <w:color w:val="7B7B7B" w:themeColor="accent3" w:themeShade="BF"/>
          <w:sz w:val="22"/>
          <w:szCs w:val="22"/>
          <w:lang w:val="en-GB"/>
        </w:rPr>
        <w:t xml:space="preserve"> authorised. </w:t>
      </w:r>
    </w:p>
    <w:p w14:paraId="13C7CB3B" w14:textId="1B493839" w:rsidR="00500653" w:rsidRDefault="00500653" w:rsidP="00500653">
      <w:pPr>
        <w:pStyle w:val="ListParagraph"/>
        <w:ind w:left="360"/>
        <w:jc w:val="both"/>
        <w:rPr>
          <w:rFonts w:ascii="Avenir Next" w:hAnsi="Avenir Next" w:cs="Arial"/>
          <w:color w:val="7B7B7B" w:themeColor="accent3" w:themeShade="BF"/>
          <w:sz w:val="22"/>
          <w:szCs w:val="22"/>
          <w:lang w:val="en-GB"/>
        </w:rPr>
      </w:pPr>
    </w:p>
    <w:p w14:paraId="3F3F8303" w14:textId="31473172" w:rsidR="00D62A82" w:rsidRDefault="00D62A82" w:rsidP="00D62A82">
      <w:pPr>
        <w:pStyle w:val="ListParagraph"/>
        <w:numPr>
          <w:ilvl w:val="0"/>
          <w:numId w:val="21"/>
        </w:numPr>
        <w:jc w:val="both"/>
        <w:rPr>
          <w:rFonts w:ascii="Avenir Next" w:hAnsi="Avenir Next" w:cs="Arial"/>
          <w:color w:val="7B7B7B" w:themeColor="accent3" w:themeShade="BF"/>
          <w:sz w:val="22"/>
          <w:szCs w:val="22"/>
          <w:lang w:val="en-GB"/>
        </w:rPr>
      </w:pPr>
      <w:r w:rsidRPr="00D62A82">
        <w:rPr>
          <w:rFonts w:ascii="Avenir Next" w:hAnsi="Avenir Next" w:cs="Arial"/>
          <w:color w:val="7B7B7B" w:themeColor="accent3" w:themeShade="BF"/>
          <w:sz w:val="22"/>
          <w:szCs w:val="22"/>
          <w:lang w:val="en-GB"/>
        </w:rPr>
        <w:t>to administer the reorgani</w:t>
      </w:r>
      <w:r>
        <w:rPr>
          <w:rFonts w:ascii="Avenir Next" w:hAnsi="Avenir Next" w:cs="Arial"/>
          <w:color w:val="7B7B7B" w:themeColor="accent3" w:themeShade="BF"/>
          <w:sz w:val="22"/>
          <w:szCs w:val="22"/>
          <w:lang w:val="en-GB"/>
        </w:rPr>
        <w:t>s</w:t>
      </w:r>
      <w:r w:rsidRPr="00D62A82">
        <w:rPr>
          <w:rFonts w:ascii="Avenir Next" w:hAnsi="Avenir Next" w:cs="Arial"/>
          <w:color w:val="7B7B7B" w:themeColor="accent3" w:themeShade="BF"/>
          <w:sz w:val="22"/>
          <w:szCs w:val="22"/>
          <w:lang w:val="en-GB"/>
        </w:rPr>
        <w:t xml:space="preserve">ation or the liquidation of the debtor’s assets or affairs or to act as a representative of the foreign proceeding. </w:t>
      </w:r>
    </w:p>
    <w:p w14:paraId="1340B48A" w14:textId="345AC89B" w:rsidR="001430EF" w:rsidRDefault="001430EF" w:rsidP="001430EF">
      <w:pPr>
        <w:pStyle w:val="ListParagraph"/>
        <w:ind w:left="360"/>
        <w:jc w:val="both"/>
        <w:rPr>
          <w:rFonts w:ascii="Avenir Next" w:hAnsi="Avenir Next" w:cs="Arial"/>
          <w:color w:val="7B7B7B" w:themeColor="accent3" w:themeShade="BF"/>
          <w:sz w:val="22"/>
          <w:szCs w:val="22"/>
          <w:lang w:val="en-GB"/>
        </w:rPr>
      </w:pPr>
    </w:p>
    <w:p w14:paraId="19CEBE2C" w14:textId="207D474F" w:rsidR="001430EF" w:rsidRDefault="001430EF" w:rsidP="001430EF">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powers of Ms G are set out in articles 37 and 48(3) of the DGF Law (save for Resolution 1513). Those powers include the power to administer the liquidation of the Bank, but does not include the power to sell the Bank’s assets. As article 2(d) is intended to be broad and includes the phrase “or affairs”</w:t>
      </w:r>
      <w:r w:rsidR="00C82F77">
        <w:rPr>
          <w:rFonts w:ascii="Avenir Next" w:hAnsi="Avenir Next" w:cs="Arial"/>
          <w:color w:val="7B7B7B" w:themeColor="accent3" w:themeShade="BF"/>
          <w:sz w:val="22"/>
          <w:szCs w:val="22"/>
          <w:lang w:val="en-GB"/>
        </w:rPr>
        <w:t>, I believe that Ms G meets this element of the definition.</w:t>
      </w:r>
    </w:p>
    <w:p w14:paraId="012560A5" w14:textId="11F93D3C" w:rsidR="00C82F77" w:rsidRDefault="00C82F77" w:rsidP="001430EF">
      <w:pPr>
        <w:pStyle w:val="ListParagraph"/>
        <w:ind w:left="360"/>
        <w:jc w:val="both"/>
        <w:rPr>
          <w:rFonts w:ascii="Avenir Next" w:hAnsi="Avenir Next" w:cs="Arial"/>
          <w:color w:val="7B7B7B" w:themeColor="accent3" w:themeShade="BF"/>
          <w:sz w:val="22"/>
          <w:szCs w:val="22"/>
          <w:lang w:val="en-GB"/>
        </w:rPr>
      </w:pPr>
    </w:p>
    <w:p w14:paraId="717BE16A" w14:textId="278A402F" w:rsidR="00C82F77" w:rsidRDefault="00C82F77" w:rsidP="00C82F77">
      <w:pPr>
        <w:pStyle w:val="ListParagraph"/>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powers of DGF are set out in articles 37, 38, 47-52, 521 and 53 of the DGF Law (at least). Those powers include the power to administer the liquidation of the Bank, deal with the Bank’s assets or affairs and to act as a foreign representative. Therefore, </w:t>
      </w:r>
      <w:r>
        <w:rPr>
          <w:rFonts w:ascii="Avenir Next" w:hAnsi="Avenir Next" w:cs="Arial"/>
          <w:color w:val="7B7B7B" w:themeColor="accent3" w:themeShade="BF"/>
          <w:sz w:val="22"/>
          <w:szCs w:val="22"/>
          <w:lang w:val="en-GB"/>
        </w:rPr>
        <w:t xml:space="preserve">I believe that </w:t>
      </w:r>
      <w:r>
        <w:rPr>
          <w:rFonts w:ascii="Avenir Next" w:hAnsi="Avenir Next" w:cs="Arial"/>
          <w:color w:val="7B7B7B" w:themeColor="accent3" w:themeShade="BF"/>
          <w:sz w:val="22"/>
          <w:szCs w:val="22"/>
          <w:lang w:val="en-GB"/>
        </w:rPr>
        <w:t>DGF</w:t>
      </w:r>
      <w:r>
        <w:rPr>
          <w:rFonts w:ascii="Avenir Next" w:hAnsi="Avenir Next" w:cs="Arial"/>
          <w:color w:val="7B7B7B" w:themeColor="accent3" w:themeShade="BF"/>
          <w:sz w:val="22"/>
          <w:szCs w:val="22"/>
          <w:lang w:val="en-GB"/>
        </w:rPr>
        <w:t xml:space="preserve"> meets this element of the definition</w:t>
      </w:r>
      <w:r>
        <w:rPr>
          <w:rFonts w:ascii="Avenir Next" w:hAnsi="Avenir Next" w:cs="Arial"/>
          <w:color w:val="7B7B7B" w:themeColor="accent3" w:themeShade="BF"/>
          <w:sz w:val="22"/>
          <w:szCs w:val="22"/>
          <w:lang w:val="en-GB"/>
        </w:rPr>
        <w:t>.</w:t>
      </w:r>
    </w:p>
    <w:p w14:paraId="23B74ADC" w14:textId="650CF4DA" w:rsidR="00C82F77" w:rsidRDefault="00C82F77" w:rsidP="00C82F77">
      <w:pPr>
        <w:jc w:val="both"/>
        <w:rPr>
          <w:rFonts w:ascii="Avenir Next" w:hAnsi="Avenir Next" w:cs="Arial"/>
          <w:color w:val="7B7B7B" w:themeColor="accent3" w:themeShade="BF"/>
          <w:sz w:val="22"/>
          <w:szCs w:val="22"/>
          <w:lang w:val="en-GB"/>
        </w:rPr>
      </w:pPr>
    </w:p>
    <w:p w14:paraId="3D1A33AD" w14:textId="0FA60FB4" w:rsidR="00C82F77" w:rsidRDefault="00C82F77" w:rsidP="00C82F7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subject to Ms G coming up to proof on her delegated authority from the DGF (per element (b)), I believe that both Ms G and DGF meet the definition of a foreign representative under article 2(d) of the MLCBI.</w:t>
      </w:r>
    </w:p>
    <w:p w14:paraId="1570266B" w14:textId="77777777" w:rsidR="00C82F77" w:rsidRPr="00C82F77" w:rsidRDefault="00C82F77" w:rsidP="00C82F77">
      <w:pPr>
        <w:jc w:val="both"/>
        <w:rPr>
          <w:rFonts w:ascii="Avenir Next" w:hAnsi="Avenir Next" w:cs="Arial"/>
          <w:color w:val="7B7B7B" w:themeColor="accent3" w:themeShade="BF"/>
          <w:sz w:val="22"/>
          <w:szCs w:val="22"/>
          <w:lang w:val="en-GB"/>
        </w:rPr>
      </w:pPr>
    </w:p>
    <w:p w14:paraId="6F1037B2" w14:textId="77777777" w:rsidR="001430EF" w:rsidRPr="00D62A82" w:rsidRDefault="001430EF" w:rsidP="001430EF">
      <w:pPr>
        <w:pStyle w:val="ListParagraph"/>
        <w:ind w:left="360"/>
        <w:jc w:val="both"/>
        <w:rPr>
          <w:rFonts w:ascii="Avenir Next" w:hAnsi="Avenir Next" w:cs="Arial"/>
          <w:color w:val="7B7B7B" w:themeColor="accent3" w:themeShade="BF"/>
          <w:sz w:val="22"/>
          <w:szCs w:val="22"/>
          <w:lang w:val="en-GB"/>
        </w:rPr>
      </w:pPr>
    </w:p>
    <w:p w14:paraId="32C2290C" w14:textId="77777777" w:rsidR="00D62A82" w:rsidRDefault="00D62A82" w:rsidP="00464B4A">
      <w:pPr>
        <w:jc w:val="both"/>
        <w:rPr>
          <w:rFonts w:ascii="Avenir Next" w:hAnsi="Avenir Next" w:cs="Arial"/>
          <w:color w:val="7B7B7B" w:themeColor="accent3" w:themeShade="BF"/>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mbria"/>
    <w:charset w:val="00"/>
    <w:family w:val="swiss"/>
    <w:pitch w:val="variable"/>
    <w:sig w:usb0="8000002F" w:usb1="5000204A" w:usb2="00000000" w:usb3="00000000" w:csb0="0000009B" w:csb1="00000000"/>
  </w:font>
  <w:font w:name="Avenir Next">
    <w:altName w:val="Cambria"/>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E758BF5" w:rsidR="000300E0" w:rsidRPr="00B46CE2" w:rsidRDefault="002931D8" w:rsidP="000300E0">
    <w:pPr>
      <w:pStyle w:val="Footer"/>
      <w:ind w:right="360"/>
      <w:rPr>
        <w:rFonts w:ascii="Avenir Next" w:hAnsi="Avenir Next"/>
        <w:sz w:val="22"/>
        <w:szCs w:val="22"/>
      </w:rPr>
    </w:pPr>
    <w:r>
      <w:rPr>
        <w:rFonts w:ascii="Avenir Next" w:hAnsi="Avenir Next" w:cs="Arial"/>
        <w:sz w:val="22"/>
        <w:szCs w:val="22"/>
      </w:rPr>
      <w:t>202122-595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 w:id="1">
    <w:p w14:paraId="3FD307D9" w14:textId="430E0B21" w:rsidR="00E54149" w:rsidRPr="00E54149" w:rsidRDefault="00E54149">
      <w:pPr>
        <w:pStyle w:val="FootnoteText"/>
        <w:rPr>
          <w:lang w:val="en-AU"/>
        </w:rPr>
      </w:pPr>
      <w:r w:rsidRPr="00E54149">
        <w:rPr>
          <w:rStyle w:val="FootnoteReference"/>
          <w:sz w:val="18"/>
          <w:szCs w:val="18"/>
        </w:rPr>
        <w:footnoteRef/>
      </w:r>
      <w:r w:rsidRPr="00E54149">
        <w:rPr>
          <w:sz w:val="18"/>
          <w:szCs w:val="18"/>
        </w:rPr>
        <w:t xml:space="preserve"> </w:t>
      </w:r>
      <w:r w:rsidRPr="00E54149">
        <w:rPr>
          <w:i/>
          <w:iCs/>
          <w:sz w:val="18"/>
          <w:szCs w:val="18"/>
          <w:lang w:val="en-AU"/>
        </w:rPr>
        <w:t>Re: Zetta Jet Pte Ltd and Others (Asia Aviation Holdings Pte Ltd, intervener)</w:t>
      </w:r>
      <w:r w:rsidRPr="00E54149">
        <w:rPr>
          <w:sz w:val="18"/>
          <w:szCs w:val="18"/>
          <w:lang w:val="en-AU"/>
        </w:rPr>
        <w:t xml:space="preserve"> [2019] SGHC 53 [39-61], CLOUT 1816. </w:t>
      </w:r>
    </w:p>
  </w:footnote>
  <w:footnote w:id="2">
    <w:p w14:paraId="1201AA96" w14:textId="7F3CFBA5" w:rsidR="008F5BA1" w:rsidRPr="000F65BB" w:rsidRDefault="008F5BA1" w:rsidP="008F5BA1">
      <w:pPr>
        <w:pStyle w:val="FootnoteText"/>
        <w:rPr>
          <w:sz w:val="18"/>
          <w:szCs w:val="18"/>
          <w:lang w:val="en-AU"/>
        </w:rPr>
      </w:pPr>
      <w:r w:rsidRPr="000F65BB">
        <w:rPr>
          <w:rStyle w:val="FootnoteReference"/>
          <w:sz w:val="18"/>
          <w:szCs w:val="18"/>
        </w:rPr>
        <w:footnoteRef/>
      </w:r>
      <w:r w:rsidRPr="000F65BB">
        <w:rPr>
          <w:sz w:val="18"/>
          <w:szCs w:val="18"/>
        </w:rPr>
        <w:t xml:space="preserve"> </w:t>
      </w:r>
      <w:r w:rsidRPr="000F65BB">
        <w:rPr>
          <w:sz w:val="18"/>
          <w:szCs w:val="18"/>
          <w:lang w:val="en-AU"/>
        </w:rPr>
        <w:t xml:space="preserve">The United States (see page 11 of </w:t>
      </w:r>
      <w:r w:rsidRPr="000F65BB">
        <w:rPr>
          <w:i/>
          <w:iCs/>
          <w:sz w:val="18"/>
          <w:szCs w:val="18"/>
          <w:lang w:val="en-AU"/>
        </w:rPr>
        <w:t xml:space="preserve">In re Paul </w:t>
      </w:r>
      <w:proofErr w:type="spellStart"/>
      <w:r w:rsidRPr="000F65BB">
        <w:rPr>
          <w:i/>
          <w:iCs/>
          <w:sz w:val="18"/>
          <w:szCs w:val="18"/>
          <w:lang w:val="en-AU"/>
        </w:rPr>
        <w:t>Zeital</w:t>
      </w:r>
      <w:proofErr w:type="spellEnd"/>
      <w:r w:rsidRPr="000F65BB">
        <w:rPr>
          <w:i/>
          <w:iCs/>
          <w:sz w:val="18"/>
          <w:szCs w:val="18"/>
          <w:lang w:val="en-AU"/>
        </w:rPr>
        <w:t xml:space="preserve"> </w:t>
      </w:r>
      <w:proofErr w:type="spellStart"/>
      <w:r w:rsidRPr="000F65BB">
        <w:rPr>
          <w:i/>
          <w:iCs/>
          <w:sz w:val="18"/>
          <w:szCs w:val="18"/>
          <w:lang w:val="en-AU"/>
        </w:rPr>
        <w:t>Kemsley</w:t>
      </w:r>
      <w:proofErr w:type="spellEnd"/>
      <w:r w:rsidRPr="000F65BB">
        <w:rPr>
          <w:sz w:val="18"/>
          <w:szCs w:val="18"/>
          <w:lang w:val="en-AU"/>
        </w:rPr>
        <w:t xml:space="preserve"> [2013] Case No 12-13570 (JMP), U.S. Bankruptcy Court) and the United Kingdom (</w:t>
      </w:r>
      <w:r w:rsidRPr="000F65BB">
        <w:rPr>
          <w:i/>
          <w:iCs/>
          <w:sz w:val="18"/>
          <w:szCs w:val="18"/>
          <w:lang w:val="en-AU"/>
        </w:rPr>
        <w:t xml:space="preserve">Re </w:t>
      </w:r>
      <w:proofErr w:type="spellStart"/>
      <w:r w:rsidRPr="000F65BB">
        <w:rPr>
          <w:i/>
          <w:iCs/>
          <w:sz w:val="18"/>
          <w:szCs w:val="18"/>
          <w:lang w:val="en-AU"/>
        </w:rPr>
        <w:t>Videology</w:t>
      </w:r>
      <w:proofErr w:type="spellEnd"/>
      <w:r w:rsidRPr="000F65BB">
        <w:rPr>
          <w:i/>
          <w:iCs/>
          <w:sz w:val="18"/>
          <w:szCs w:val="18"/>
          <w:lang w:val="en-AU"/>
        </w:rPr>
        <w:t xml:space="preserve"> Ltd</w:t>
      </w:r>
      <w:r w:rsidRPr="000F65BB">
        <w:rPr>
          <w:sz w:val="18"/>
          <w:szCs w:val="18"/>
          <w:lang w:val="en-AU"/>
        </w:rPr>
        <w:t xml:space="preserve"> [2018] EWHC 2186 (Ch)) positions appear to follow the UNCITRAL Guide on this issue. The Australian position on this issue is still not decided (see for instance</w:t>
      </w:r>
      <w:r w:rsidRPr="000F65BB">
        <w:rPr>
          <w:sz w:val="18"/>
          <w:szCs w:val="18"/>
        </w:rPr>
        <w:t xml:space="preserve"> </w:t>
      </w:r>
      <w:r w:rsidRPr="000F65BB">
        <w:rPr>
          <w:i/>
          <w:iCs/>
          <w:sz w:val="18"/>
          <w:szCs w:val="18"/>
          <w:lang w:val="en-AU"/>
        </w:rPr>
        <w:t xml:space="preserve">Kapila, in the matter of </w:t>
      </w:r>
      <w:proofErr w:type="spellStart"/>
      <w:r w:rsidRPr="000F65BB">
        <w:rPr>
          <w:i/>
          <w:iCs/>
          <w:sz w:val="18"/>
          <w:szCs w:val="18"/>
          <w:lang w:val="en-AU"/>
        </w:rPr>
        <w:t>Edelsten</w:t>
      </w:r>
      <w:proofErr w:type="spellEnd"/>
      <w:r w:rsidRPr="000F65BB">
        <w:rPr>
          <w:sz w:val="18"/>
          <w:szCs w:val="18"/>
          <w:lang w:val="en-AU"/>
        </w:rPr>
        <w:t xml:space="preserve"> [2014] FCA 1112, 39 and </w:t>
      </w:r>
      <w:r w:rsidRPr="000F65BB">
        <w:rPr>
          <w:i/>
          <w:iCs/>
          <w:sz w:val="18"/>
          <w:szCs w:val="18"/>
          <w:lang w:val="en-AU"/>
        </w:rPr>
        <w:t xml:space="preserve">In the matter of </w:t>
      </w:r>
      <w:proofErr w:type="spellStart"/>
      <w:r w:rsidRPr="000F65BB">
        <w:rPr>
          <w:i/>
          <w:iCs/>
          <w:sz w:val="18"/>
          <w:szCs w:val="18"/>
          <w:lang w:val="en-AU"/>
        </w:rPr>
        <w:t>Hydrodec</w:t>
      </w:r>
      <w:proofErr w:type="spellEnd"/>
      <w:r w:rsidRPr="000F65BB">
        <w:rPr>
          <w:i/>
          <w:iCs/>
          <w:sz w:val="18"/>
          <w:szCs w:val="18"/>
          <w:lang w:val="en-AU"/>
        </w:rPr>
        <w:t xml:space="preserve"> Group Plc</w:t>
      </w:r>
      <w:r w:rsidRPr="000F65BB">
        <w:rPr>
          <w:sz w:val="18"/>
          <w:szCs w:val="18"/>
          <w:lang w:val="en-AU"/>
        </w:rPr>
        <w:t xml:space="preserve"> [2021] NSWSC 755, 139</w:t>
      </w:r>
      <w:r>
        <w:rPr>
          <w:sz w:val="18"/>
          <w:szCs w:val="18"/>
          <w:lang w:val="en-AU"/>
        </w:rPr>
        <w:t>)</w:t>
      </w:r>
      <w:r w:rsidRPr="000F65BB">
        <w:rPr>
          <w:sz w:val="18"/>
          <w:szCs w:val="18"/>
          <w:lang w:val="en-AU"/>
        </w:rPr>
        <w:t>.</w:t>
      </w:r>
    </w:p>
  </w:footnote>
  <w:footnote w:id="3">
    <w:p w14:paraId="11C91950" w14:textId="0AA89861" w:rsidR="008F5BA1" w:rsidRPr="008F5BA1" w:rsidRDefault="008F5BA1">
      <w:pPr>
        <w:pStyle w:val="FootnoteText"/>
        <w:rPr>
          <w:lang w:val="en-AU"/>
        </w:rPr>
      </w:pPr>
      <w:r w:rsidRPr="008F5BA1">
        <w:rPr>
          <w:rStyle w:val="FootnoteReference"/>
          <w:sz w:val="18"/>
          <w:szCs w:val="18"/>
        </w:rPr>
        <w:footnoteRef/>
      </w:r>
      <w:r w:rsidRPr="008F5BA1">
        <w:rPr>
          <w:sz w:val="18"/>
          <w:szCs w:val="18"/>
        </w:rPr>
        <w:t xml:space="preserve"> Some Courts in the United States of America and Australia have preferred this date. See for instance: </w:t>
      </w:r>
      <w:r w:rsidRPr="008F5BA1">
        <w:rPr>
          <w:i/>
          <w:iCs/>
          <w:sz w:val="18"/>
          <w:szCs w:val="18"/>
        </w:rPr>
        <w:t>Gainsford, in the matter of Tannenbaum v Tannenbaum</w:t>
      </w:r>
      <w:r w:rsidRPr="008F5BA1">
        <w:rPr>
          <w:sz w:val="18"/>
          <w:szCs w:val="18"/>
        </w:rPr>
        <w:t xml:space="preserve"> [2012] FCA 904, 44; </w:t>
      </w:r>
      <w:proofErr w:type="spellStart"/>
      <w:r w:rsidRPr="008F5BA1">
        <w:rPr>
          <w:i/>
          <w:iCs/>
          <w:sz w:val="18"/>
          <w:szCs w:val="18"/>
        </w:rPr>
        <w:t>Betcorp</w:t>
      </w:r>
      <w:proofErr w:type="spellEnd"/>
      <w:r w:rsidRPr="008F5BA1">
        <w:rPr>
          <w:i/>
          <w:iCs/>
          <w:sz w:val="18"/>
          <w:szCs w:val="18"/>
        </w:rPr>
        <w:t xml:space="preserve"> Limited</w:t>
      </w:r>
      <w:r w:rsidRPr="008F5BA1">
        <w:rPr>
          <w:sz w:val="18"/>
          <w:szCs w:val="18"/>
        </w:rPr>
        <w:t xml:space="preserve"> 400 B.R. 266, 290-291 (</w:t>
      </w:r>
      <w:proofErr w:type="spellStart"/>
      <w:r w:rsidRPr="008F5BA1">
        <w:rPr>
          <w:sz w:val="18"/>
          <w:szCs w:val="18"/>
        </w:rPr>
        <w:t>Bankr</w:t>
      </w:r>
      <w:proofErr w:type="spellEnd"/>
      <w:r w:rsidRPr="008F5BA1">
        <w:rPr>
          <w:sz w:val="18"/>
          <w:szCs w:val="18"/>
        </w:rPr>
        <w:t xml:space="preserve">. D. Nev. 2009). </w:t>
      </w:r>
    </w:p>
  </w:footnote>
  <w:footnote w:id="4">
    <w:p w14:paraId="573FDCFC" w14:textId="561BB9D6" w:rsidR="008F5BA1" w:rsidRPr="008F5BA1" w:rsidRDefault="008F5BA1">
      <w:pPr>
        <w:pStyle w:val="FootnoteText"/>
        <w:rPr>
          <w:sz w:val="18"/>
          <w:szCs w:val="18"/>
          <w:lang w:val="en-AU"/>
        </w:rPr>
      </w:pPr>
      <w:r w:rsidRPr="008F5BA1">
        <w:rPr>
          <w:rStyle w:val="FootnoteReference"/>
          <w:sz w:val="18"/>
          <w:szCs w:val="18"/>
        </w:rPr>
        <w:footnoteRef/>
      </w:r>
      <w:r w:rsidRPr="008F5BA1">
        <w:rPr>
          <w:sz w:val="18"/>
          <w:szCs w:val="18"/>
        </w:rPr>
        <w:t xml:space="preserve"> </w:t>
      </w:r>
      <w:r w:rsidRPr="008F5BA1">
        <w:rPr>
          <w:i/>
          <w:iCs/>
          <w:sz w:val="18"/>
          <w:szCs w:val="18"/>
        </w:rPr>
        <w:t xml:space="preserve">Morning Mist Holdings Ltd v </w:t>
      </w:r>
      <w:proofErr w:type="spellStart"/>
      <w:r w:rsidRPr="008F5BA1">
        <w:rPr>
          <w:i/>
          <w:iCs/>
          <w:sz w:val="18"/>
          <w:szCs w:val="18"/>
        </w:rPr>
        <w:t>Krys</w:t>
      </w:r>
      <w:proofErr w:type="spellEnd"/>
      <w:r w:rsidRPr="008F5BA1">
        <w:rPr>
          <w:i/>
          <w:iCs/>
          <w:sz w:val="18"/>
          <w:szCs w:val="18"/>
        </w:rPr>
        <w:t xml:space="preserve"> (In re Fairfield Sentry Ltd)</w:t>
      </w:r>
      <w:r w:rsidRPr="008F5BA1">
        <w:rPr>
          <w:sz w:val="18"/>
          <w:szCs w:val="18"/>
        </w:rPr>
        <w:t>, 714 F.3d 127, 133 (2d Cir. Apr. 16, 2013).</w:t>
      </w:r>
    </w:p>
  </w:footnote>
  <w:footnote w:id="5">
    <w:p w14:paraId="7B8E5EE6" w14:textId="19534715" w:rsidR="008F5BA1" w:rsidRPr="008F5BA1" w:rsidRDefault="008F5BA1">
      <w:pPr>
        <w:pStyle w:val="FootnoteText"/>
        <w:rPr>
          <w:lang w:val="en-AU"/>
        </w:rPr>
      </w:pPr>
      <w:r w:rsidRPr="008F5BA1">
        <w:rPr>
          <w:rStyle w:val="FootnoteReference"/>
          <w:sz w:val="18"/>
          <w:szCs w:val="18"/>
        </w:rPr>
        <w:footnoteRef/>
      </w:r>
      <w:r w:rsidRPr="008F5BA1">
        <w:rPr>
          <w:sz w:val="18"/>
          <w:szCs w:val="18"/>
        </w:rPr>
        <w:t xml:space="preserve"> </w:t>
      </w:r>
      <w:r w:rsidRPr="008F5BA1">
        <w:rPr>
          <w:i/>
          <w:iCs/>
          <w:sz w:val="18"/>
          <w:szCs w:val="18"/>
        </w:rPr>
        <w:t>British-American Insurance Co., Ltd.</w:t>
      </w:r>
      <w:r w:rsidRPr="008F5BA1">
        <w:rPr>
          <w:sz w:val="18"/>
          <w:szCs w:val="18"/>
        </w:rPr>
        <w:t xml:space="preserve"> 425 B.R. 884, 910 (</w:t>
      </w:r>
      <w:proofErr w:type="spellStart"/>
      <w:r w:rsidRPr="008F5BA1">
        <w:rPr>
          <w:sz w:val="18"/>
          <w:szCs w:val="18"/>
        </w:rPr>
        <w:t>Bankr</w:t>
      </w:r>
      <w:proofErr w:type="spellEnd"/>
      <w:r w:rsidRPr="008F5BA1">
        <w:rPr>
          <w:sz w:val="18"/>
          <w:szCs w:val="18"/>
        </w:rPr>
        <w:t xml:space="preserve">. </w:t>
      </w:r>
      <w:proofErr w:type="spellStart"/>
      <w:r w:rsidRPr="008F5BA1">
        <w:rPr>
          <w:sz w:val="18"/>
          <w:szCs w:val="18"/>
        </w:rPr>
        <w:t>S.D.Fla</w:t>
      </w:r>
      <w:proofErr w:type="spellEnd"/>
      <w:r w:rsidRPr="008F5BA1">
        <w:rPr>
          <w:sz w:val="18"/>
          <w:szCs w:val="18"/>
        </w:rPr>
        <w:t>. 2010).</w:t>
      </w:r>
    </w:p>
  </w:footnote>
  <w:footnote w:id="6">
    <w:p w14:paraId="608F84FE" w14:textId="77777777" w:rsidR="004A70EA" w:rsidRPr="000F65BB" w:rsidRDefault="004A70EA" w:rsidP="004A70EA">
      <w:pPr>
        <w:pStyle w:val="FootnoteText"/>
        <w:rPr>
          <w:sz w:val="18"/>
          <w:szCs w:val="18"/>
          <w:lang w:val="en-AU"/>
        </w:rPr>
      </w:pPr>
      <w:r w:rsidRPr="000F65BB">
        <w:rPr>
          <w:rStyle w:val="FootnoteReference"/>
          <w:sz w:val="18"/>
          <w:szCs w:val="18"/>
        </w:rPr>
        <w:footnoteRef/>
      </w:r>
      <w:r w:rsidRPr="000F65BB">
        <w:rPr>
          <w:sz w:val="18"/>
          <w:szCs w:val="18"/>
        </w:rPr>
        <w:t xml:space="preserve"> 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paragraphs 31 and 157-160.</w:t>
      </w:r>
    </w:p>
  </w:footnote>
  <w:footnote w:id="7">
    <w:p w14:paraId="0953CC93" w14:textId="331EFC28" w:rsidR="00E54149" w:rsidRPr="00E54149" w:rsidRDefault="00E54149">
      <w:pPr>
        <w:pStyle w:val="FootnoteText"/>
        <w:rPr>
          <w:lang w:val="en-AU"/>
        </w:rPr>
      </w:pPr>
      <w:r w:rsidRPr="00E54149">
        <w:rPr>
          <w:rStyle w:val="FootnoteReference"/>
          <w:sz w:val="18"/>
          <w:szCs w:val="18"/>
        </w:rPr>
        <w:footnoteRef/>
      </w:r>
      <w:r w:rsidRPr="00E54149">
        <w:rPr>
          <w:sz w:val="18"/>
          <w:szCs w:val="18"/>
        </w:rPr>
        <w:t xml:space="preserve"> </w:t>
      </w:r>
      <w:r w:rsidRPr="00E54149">
        <w:rPr>
          <w:i/>
          <w:iCs/>
          <w:sz w:val="18"/>
          <w:szCs w:val="18"/>
        </w:rPr>
        <w:t xml:space="preserve">In re </w:t>
      </w:r>
      <w:proofErr w:type="spellStart"/>
      <w:r w:rsidRPr="00E54149">
        <w:rPr>
          <w:i/>
          <w:iCs/>
          <w:sz w:val="18"/>
          <w:szCs w:val="18"/>
          <w:lang w:val="en-AU"/>
        </w:rPr>
        <w:t>Kemsley</w:t>
      </w:r>
      <w:proofErr w:type="spellEnd"/>
      <w:r w:rsidRPr="00E54149">
        <w:rPr>
          <w:sz w:val="18"/>
          <w:szCs w:val="18"/>
          <w:lang w:val="en-AU"/>
        </w:rPr>
        <w:t>, 489 B.R. 346, 359-360 (</w:t>
      </w:r>
      <w:proofErr w:type="spellStart"/>
      <w:r w:rsidRPr="00E54149">
        <w:rPr>
          <w:sz w:val="18"/>
          <w:szCs w:val="18"/>
          <w:lang w:val="en-AU"/>
        </w:rPr>
        <w:t>Bankr</w:t>
      </w:r>
      <w:proofErr w:type="spellEnd"/>
      <w:r w:rsidRPr="00E54149">
        <w:rPr>
          <w:sz w:val="18"/>
          <w:szCs w:val="18"/>
          <w:lang w:val="en-AU"/>
        </w:rPr>
        <w:t xml:space="preserve">. S.D.N.Y. 2013), CLOUT 1274 citing </w:t>
      </w:r>
      <w:r w:rsidRPr="00E54149">
        <w:rPr>
          <w:i/>
          <w:iCs/>
          <w:sz w:val="18"/>
          <w:szCs w:val="18"/>
          <w:lang w:val="en-AU"/>
        </w:rPr>
        <w:t>Millennium Global Emerging Credit Master Fund Ltd</w:t>
      </w:r>
      <w:r w:rsidRPr="00E54149">
        <w:rPr>
          <w:sz w:val="18"/>
          <w:szCs w:val="18"/>
          <w:lang w:val="en-AU"/>
        </w:rPr>
        <w:t>, 458 B.R. 63, 72 (</w:t>
      </w:r>
      <w:proofErr w:type="spellStart"/>
      <w:r w:rsidRPr="00E54149">
        <w:rPr>
          <w:sz w:val="18"/>
          <w:szCs w:val="18"/>
          <w:lang w:val="en-AU"/>
        </w:rPr>
        <w:t>Bankr</w:t>
      </w:r>
      <w:proofErr w:type="spellEnd"/>
      <w:r w:rsidRPr="00E54149">
        <w:rPr>
          <w:sz w:val="18"/>
          <w:szCs w:val="18"/>
          <w:lang w:val="en-AU"/>
        </w:rPr>
        <w:t>. S.D.N.Y 2011).</w:t>
      </w:r>
    </w:p>
  </w:footnote>
  <w:footnote w:id="8">
    <w:p w14:paraId="4E8B37E5" w14:textId="77777777" w:rsidR="004A70EA" w:rsidRPr="007A488E" w:rsidRDefault="004A70EA" w:rsidP="004A70EA">
      <w:pPr>
        <w:pStyle w:val="FootnoteText"/>
        <w:rPr>
          <w:lang w:val="en-AU"/>
        </w:rPr>
      </w:pPr>
      <w:r w:rsidRPr="000F65BB">
        <w:rPr>
          <w:rStyle w:val="FootnoteReference"/>
          <w:sz w:val="18"/>
          <w:szCs w:val="18"/>
        </w:rPr>
        <w:footnoteRef/>
      </w:r>
      <w:r w:rsidRPr="000F65BB">
        <w:rPr>
          <w:sz w:val="18"/>
          <w:szCs w:val="18"/>
        </w:rPr>
        <w:t xml:space="preserve"> </w:t>
      </w:r>
      <w:r w:rsidRPr="000F65BB">
        <w:rPr>
          <w:sz w:val="18"/>
          <w:szCs w:val="18"/>
          <w:lang w:val="en-AU"/>
        </w:rPr>
        <w:t>Nicki Gunn, Hugh Raisin and Amelia Kelly, “</w:t>
      </w:r>
      <w:r w:rsidRPr="000F65BB">
        <w:rPr>
          <w:i/>
          <w:iCs/>
          <w:sz w:val="18"/>
          <w:szCs w:val="18"/>
          <w:lang w:val="en-AU"/>
        </w:rPr>
        <w:t>A Saad compromise? Different interpretations of the model law promoting inconsistency in a law meant to remove it</w:t>
      </w:r>
      <w:r w:rsidRPr="000F65BB">
        <w:rPr>
          <w:sz w:val="18"/>
          <w:szCs w:val="18"/>
          <w:lang w:val="en-AU"/>
        </w:rPr>
        <w:t>” &lt;https://www.dlapiper.com/ko/korea/insights/publications/2019/12/global-insight-issue-31/a-saad-compromise/&gt;</w:t>
      </w:r>
      <w:r>
        <w:rPr>
          <w:sz w:val="18"/>
          <w:szCs w:val="18"/>
          <w:lang w:val="en-AU"/>
        </w:rPr>
        <w:t xml:space="preserve"> (accessed 15/10/2022)</w:t>
      </w:r>
      <w:r w:rsidRPr="000F65BB">
        <w:rPr>
          <w:sz w:val="18"/>
          <w:szCs w:val="18"/>
          <w:lang w:val="en-AU"/>
        </w:rPr>
        <w:t>.</w:t>
      </w:r>
    </w:p>
  </w:footnote>
  <w:footnote w:id="9">
    <w:p w14:paraId="2919BBC9" w14:textId="050A8EBB" w:rsidR="00E17D35" w:rsidRPr="00E17D35" w:rsidRDefault="00E17D35">
      <w:pPr>
        <w:pStyle w:val="FootnoteText"/>
        <w:rPr>
          <w:lang w:val="en-AU"/>
        </w:rPr>
      </w:pPr>
      <w:r w:rsidRPr="00E17D35">
        <w:rPr>
          <w:rStyle w:val="FootnoteReference"/>
          <w:sz w:val="18"/>
          <w:szCs w:val="18"/>
        </w:rPr>
        <w:footnoteRef/>
      </w:r>
      <w:r w:rsidRPr="00E17D35">
        <w:rPr>
          <w:sz w:val="18"/>
          <w:szCs w:val="18"/>
        </w:rPr>
        <w:t xml:space="preserve"> </w:t>
      </w:r>
      <w:r w:rsidRPr="00E17D35">
        <w:rPr>
          <w:i/>
          <w:iCs/>
          <w:sz w:val="18"/>
          <w:szCs w:val="18"/>
        </w:rPr>
        <w:t xml:space="preserve">Susanne </w:t>
      </w:r>
      <w:proofErr w:type="spellStart"/>
      <w:r w:rsidRPr="00E17D35">
        <w:rPr>
          <w:i/>
          <w:iCs/>
          <w:sz w:val="18"/>
          <w:szCs w:val="18"/>
        </w:rPr>
        <w:t>Staubitz</w:t>
      </w:r>
      <w:proofErr w:type="spellEnd"/>
      <w:r w:rsidRPr="00E17D35">
        <w:rPr>
          <w:i/>
          <w:iCs/>
          <w:sz w:val="18"/>
          <w:szCs w:val="18"/>
        </w:rPr>
        <w:t>-Schreiber Case C-1/04</w:t>
      </w:r>
      <w:r w:rsidRPr="00E17D35">
        <w:rPr>
          <w:sz w:val="18"/>
          <w:szCs w:val="18"/>
        </w:rPr>
        <w:t xml:space="preserve"> [2006] ECR 1-701.</w:t>
      </w:r>
    </w:p>
  </w:footnote>
  <w:footnote w:id="10">
    <w:p w14:paraId="14F835D8" w14:textId="77777777" w:rsidR="00C36708" w:rsidRPr="000F65BB" w:rsidRDefault="00C36708" w:rsidP="00C36708">
      <w:pPr>
        <w:pStyle w:val="FootnoteText"/>
        <w:rPr>
          <w:sz w:val="18"/>
          <w:szCs w:val="18"/>
          <w:lang w:val="en-AU"/>
        </w:rPr>
      </w:pPr>
      <w:r w:rsidRPr="000F65BB">
        <w:rPr>
          <w:rStyle w:val="FootnoteReference"/>
          <w:sz w:val="18"/>
          <w:szCs w:val="18"/>
        </w:rPr>
        <w:footnoteRef/>
      </w:r>
      <w:r w:rsidRPr="000F65BB">
        <w:rPr>
          <w:sz w:val="18"/>
          <w:szCs w:val="18"/>
        </w:rPr>
        <w:t xml:space="preserve"> 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 xml:space="preserve">paragraphs </w:t>
      </w:r>
      <w:r>
        <w:rPr>
          <w:sz w:val="18"/>
          <w:szCs w:val="18"/>
          <w:lang w:val="en-AU"/>
        </w:rPr>
        <w:t>109 to 111</w:t>
      </w:r>
      <w:r w:rsidRPr="000F65BB">
        <w:rPr>
          <w:sz w:val="18"/>
          <w:szCs w:val="18"/>
          <w:lang w:val="en-AU"/>
        </w:rPr>
        <w:t>.</w:t>
      </w:r>
    </w:p>
  </w:footnote>
  <w:footnote w:id="11">
    <w:p w14:paraId="06D85F8B" w14:textId="3A6680B2" w:rsidR="001721A9" w:rsidRPr="001721A9" w:rsidRDefault="001721A9">
      <w:pPr>
        <w:pStyle w:val="FootnoteText"/>
        <w:rPr>
          <w:sz w:val="18"/>
          <w:szCs w:val="18"/>
          <w:lang w:val="en-AU"/>
        </w:rPr>
      </w:pPr>
      <w:r w:rsidRPr="001721A9">
        <w:rPr>
          <w:rStyle w:val="FootnoteReference"/>
          <w:sz w:val="18"/>
          <w:szCs w:val="18"/>
        </w:rPr>
        <w:footnoteRef/>
      </w:r>
      <w:r w:rsidRPr="001721A9">
        <w:rPr>
          <w:sz w:val="18"/>
          <w:szCs w:val="18"/>
        </w:rPr>
        <w:t xml:space="preserve"> </w:t>
      </w:r>
      <w:proofErr w:type="spellStart"/>
      <w:r w:rsidRPr="001721A9">
        <w:rPr>
          <w:i/>
          <w:iCs/>
          <w:sz w:val="18"/>
          <w:szCs w:val="18"/>
        </w:rPr>
        <w:t>Bakhshiyeva</w:t>
      </w:r>
      <w:proofErr w:type="spellEnd"/>
      <w:r w:rsidRPr="001721A9">
        <w:rPr>
          <w:i/>
          <w:iCs/>
          <w:sz w:val="18"/>
          <w:szCs w:val="18"/>
        </w:rPr>
        <w:t xml:space="preserve"> v Sberbank of Russia</w:t>
      </w:r>
      <w:r w:rsidRPr="001721A9">
        <w:rPr>
          <w:sz w:val="18"/>
          <w:szCs w:val="18"/>
        </w:rPr>
        <w:t xml:space="preserve"> [2018] EWCA Civ 2802.</w:t>
      </w:r>
    </w:p>
  </w:footnote>
  <w:footnote w:id="12">
    <w:p w14:paraId="1A3DDC51" w14:textId="446DFC11" w:rsidR="009610EF" w:rsidRPr="009610EF" w:rsidRDefault="009610EF">
      <w:pPr>
        <w:pStyle w:val="FootnoteText"/>
        <w:rPr>
          <w:lang w:val="en-AU"/>
        </w:rPr>
      </w:pPr>
      <w:r w:rsidRPr="009610EF">
        <w:rPr>
          <w:rStyle w:val="FootnoteReference"/>
          <w:sz w:val="18"/>
          <w:szCs w:val="18"/>
        </w:rPr>
        <w:footnoteRef/>
      </w:r>
      <w:r w:rsidRPr="009610EF">
        <w:rPr>
          <w:sz w:val="18"/>
          <w:szCs w:val="18"/>
        </w:rPr>
        <w:t xml:space="preserve"> </w:t>
      </w:r>
      <w:r w:rsidRPr="009610EF">
        <w:rPr>
          <w:i/>
          <w:iCs/>
          <w:sz w:val="18"/>
          <w:szCs w:val="18"/>
        </w:rPr>
        <w:t xml:space="preserve">Antony Gibbs &amp; Sons v La Société </w:t>
      </w:r>
      <w:proofErr w:type="spellStart"/>
      <w:r w:rsidRPr="009610EF">
        <w:rPr>
          <w:i/>
          <w:iCs/>
          <w:sz w:val="18"/>
          <w:szCs w:val="18"/>
        </w:rPr>
        <w:t>Industrielle</w:t>
      </w:r>
      <w:proofErr w:type="spellEnd"/>
      <w:r w:rsidRPr="009610EF">
        <w:rPr>
          <w:i/>
          <w:iCs/>
          <w:sz w:val="18"/>
          <w:szCs w:val="18"/>
        </w:rPr>
        <w:t xml:space="preserve"> et Commerciale des </w:t>
      </w:r>
      <w:proofErr w:type="spellStart"/>
      <w:r w:rsidRPr="009610EF">
        <w:rPr>
          <w:i/>
          <w:iCs/>
          <w:sz w:val="18"/>
          <w:szCs w:val="18"/>
        </w:rPr>
        <w:t>Métaux</w:t>
      </w:r>
      <w:proofErr w:type="spellEnd"/>
      <w:r w:rsidRPr="009610EF">
        <w:rPr>
          <w:sz w:val="18"/>
          <w:szCs w:val="18"/>
        </w:rPr>
        <w:t xml:space="preserve"> (1890) LR 25 QBD 399.</w:t>
      </w:r>
    </w:p>
  </w:footnote>
  <w:footnote w:id="13">
    <w:p w14:paraId="19EBB693" w14:textId="3C1A7D06" w:rsidR="00A972A6" w:rsidRPr="000F65BB" w:rsidRDefault="00A972A6" w:rsidP="00A972A6">
      <w:pPr>
        <w:pStyle w:val="FootnoteText"/>
        <w:rPr>
          <w:sz w:val="18"/>
          <w:szCs w:val="18"/>
          <w:lang w:val="en-AU"/>
        </w:rPr>
      </w:pPr>
      <w:r w:rsidRPr="000F65BB">
        <w:rPr>
          <w:rStyle w:val="FootnoteReference"/>
          <w:sz w:val="18"/>
          <w:szCs w:val="18"/>
        </w:rPr>
        <w:footnoteRef/>
      </w:r>
      <w:r w:rsidRPr="000F65BB">
        <w:rPr>
          <w:sz w:val="18"/>
          <w:szCs w:val="18"/>
        </w:rPr>
        <w:t xml:space="preserve"> 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paragraphs</w:t>
      </w:r>
      <w:r>
        <w:rPr>
          <w:sz w:val="18"/>
          <w:szCs w:val="18"/>
          <w:lang w:val="en-AU"/>
        </w:rPr>
        <w:t xml:space="preserve"> 192-193</w:t>
      </w:r>
      <w:r w:rsidRPr="000F65BB">
        <w:rPr>
          <w:sz w:val="18"/>
          <w:szCs w:val="18"/>
          <w:lang w:val="en-AU"/>
        </w:rPr>
        <w:t>.</w:t>
      </w:r>
    </w:p>
  </w:footnote>
  <w:footnote w:id="14">
    <w:p w14:paraId="77F1A76C" w14:textId="77777777" w:rsidR="00E30022" w:rsidRPr="00C05A69" w:rsidRDefault="00E30022" w:rsidP="00E30022">
      <w:pPr>
        <w:pStyle w:val="FootnoteText"/>
        <w:rPr>
          <w:sz w:val="18"/>
          <w:szCs w:val="18"/>
          <w:lang w:val="en-AU"/>
        </w:rPr>
      </w:pPr>
      <w:r w:rsidRPr="00C05A69">
        <w:rPr>
          <w:rStyle w:val="FootnoteReference"/>
          <w:sz w:val="18"/>
          <w:szCs w:val="18"/>
        </w:rPr>
        <w:footnoteRef/>
      </w:r>
      <w:r w:rsidRPr="00C05A69">
        <w:rPr>
          <w:sz w:val="18"/>
          <w:szCs w:val="18"/>
        </w:rPr>
        <w:t xml:space="preserve"> United Nations Commission on International Trade Law (UNCITRAL): </w:t>
      </w:r>
      <w:r w:rsidRPr="00C05A69">
        <w:rPr>
          <w:i/>
          <w:iCs/>
          <w:sz w:val="18"/>
          <w:szCs w:val="18"/>
        </w:rPr>
        <w:t>Model Law on Cross-Border Insolvency</w:t>
      </w:r>
      <w:r w:rsidRPr="00C05A69">
        <w:rPr>
          <w:sz w:val="18"/>
          <w:szCs w:val="18"/>
        </w:rPr>
        <w:t xml:space="preserve"> (1997).</w:t>
      </w:r>
    </w:p>
  </w:footnote>
  <w:footnote w:id="15">
    <w:p w14:paraId="5BED0021" w14:textId="4F6AE5F9" w:rsidR="003664D5" w:rsidRPr="003664D5" w:rsidRDefault="003664D5">
      <w:pPr>
        <w:pStyle w:val="FootnoteText"/>
        <w:rPr>
          <w:lang w:val="en-AU"/>
        </w:rPr>
      </w:pPr>
      <w:r w:rsidRPr="003664D5">
        <w:rPr>
          <w:rStyle w:val="FootnoteReference"/>
          <w:sz w:val="18"/>
          <w:szCs w:val="18"/>
        </w:rPr>
        <w:footnoteRef/>
      </w:r>
      <w:r w:rsidRPr="003664D5">
        <w:rPr>
          <w:sz w:val="18"/>
          <w:szCs w:val="18"/>
        </w:rPr>
        <w:t xml:space="preserve"> </w:t>
      </w:r>
      <w:r w:rsidRPr="000F65BB">
        <w:rPr>
          <w:sz w:val="18"/>
          <w:szCs w:val="18"/>
        </w:rPr>
        <w:t xml:space="preserve">Guide to Enactment and Interpretation of the UNCITRAL Model Law on Cross-Border Insolvency, Part </w:t>
      </w:r>
      <w:r>
        <w:rPr>
          <w:sz w:val="18"/>
          <w:szCs w:val="18"/>
        </w:rPr>
        <w:t>T</w:t>
      </w:r>
      <w:r w:rsidRPr="000F65BB">
        <w:rPr>
          <w:sz w:val="18"/>
          <w:szCs w:val="18"/>
        </w:rPr>
        <w:t xml:space="preserve">wo, </w:t>
      </w:r>
      <w:r w:rsidRPr="000F65BB">
        <w:rPr>
          <w:sz w:val="18"/>
          <w:szCs w:val="18"/>
          <w:lang w:val="en-AU"/>
        </w:rPr>
        <w:t>paragraph</w:t>
      </w:r>
      <w:r>
        <w:rPr>
          <w:sz w:val="18"/>
          <w:szCs w:val="18"/>
          <w:lang w:val="en-AU"/>
        </w:rPr>
        <w:t xml:space="preserve"> 189.</w:t>
      </w:r>
    </w:p>
  </w:footnote>
  <w:footnote w:id="16">
    <w:p w14:paraId="11B42B74" w14:textId="1BC25DCC" w:rsidR="003664D5" w:rsidRPr="003664D5" w:rsidRDefault="003664D5">
      <w:pPr>
        <w:pStyle w:val="FootnoteText"/>
        <w:rPr>
          <w:sz w:val="18"/>
          <w:szCs w:val="18"/>
          <w:lang w:val="en-AU"/>
        </w:rPr>
      </w:pPr>
      <w:r w:rsidRPr="003664D5">
        <w:rPr>
          <w:rStyle w:val="FootnoteReference"/>
          <w:sz w:val="18"/>
          <w:szCs w:val="18"/>
        </w:rPr>
        <w:footnoteRef/>
      </w:r>
      <w:r w:rsidRPr="003664D5">
        <w:rPr>
          <w:sz w:val="18"/>
          <w:szCs w:val="18"/>
        </w:rPr>
        <w:t xml:space="preserve"> </w:t>
      </w:r>
      <w:r w:rsidRPr="003664D5">
        <w:rPr>
          <w:i/>
          <w:iCs/>
          <w:sz w:val="18"/>
          <w:szCs w:val="18"/>
        </w:rPr>
        <w:t xml:space="preserve">Al Jaber and </w:t>
      </w:r>
      <w:proofErr w:type="spellStart"/>
      <w:r w:rsidRPr="003664D5">
        <w:rPr>
          <w:i/>
          <w:iCs/>
          <w:sz w:val="18"/>
          <w:szCs w:val="18"/>
        </w:rPr>
        <w:t>Ors</w:t>
      </w:r>
      <w:proofErr w:type="spellEnd"/>
      <w:r w:rsidRPr="003664D5">
        <w:rPr>
          <w:i/>
          <w:iCs/>
          <w:sz w:val="18"/>
          <w:szCs w:val="18"/>
        </w:rPr>
        <w:t xml:space="preserve"> v Mitchell and </w:t>
      </w:r>
      <w:proofErr w:type="spellStart"/>
      <w:r w:rsidRPr="003664D5">
        <w:rPr>
          <w:i/>
          <w:iCs/>
          <w:sz w:val="18"/>
          <w:szCs w:val="18"/>
        </w:rPr>
        <w:t>Ors</w:t>
      </w:r>
      <w:proofErr w:type="spellEnd"/>
      <w:r>
        <w:rPr>
          <w:sz w:val="18"/>
          <w:szCs w:val="18"/>
        </w:rPr>
        <w:t xml:space="preserve"> [2021] EWCA Civ 1190. </w:t>
      </w:r>
    </w:p>
  </w:footnote>
  <w:footnote w:id="17">
    <w:p w14:paraId="30FD13CD" w14:textId="49DA9230" w:rsidR="0023310E" w:rsidRPr="0023310E" w:rsidRDefault="0023310E">
      <w:pPr>
        <w:pStyle w:val="FootnoteText"/>
        <w:rPr>
          <w:lang w:val="en-AU"/>
        </w:rPr>
      </w:pPr>
      <w:r w:rsidRPr="0023310E">
        <w:rPr>
          <w:rStyle w:val="FootnoteReference"/>
          <w:sz w:val="18"/>
          <w:szCs w:val="18"/>
        </w:rPr>
        <w:footnoteRef/>
      </w:r>
      <w:r w:rsidRPr="0023310E">
        <w:rPr>
          <w:sz w:val="18"/>
          <w:szCs w:val="18"/>
        </w:rPr>
        <w:t xml:space="preserve"> </w:t>
      </w:r>
      <w:r w:rsidRPr="0023310E">
        <w:rPr>
          <w:sz w:val="18"/>
          <w:szCs w:val="18"/>
          <w:lang w:val="en-AU"/>
        </w:rPr>
        <w:t>Article 19(4) of the MLCBI.</w:t>
      </w:r>
    </w:p>
  </w:footnote>
  <w:footnote w:id="18">
    <w:p w14:paraId="6F6787E1" w14:textId="133DC29D" w:rsidR="003F6E8F" w:rsidRPr="003F6E8F" w:rsidRDefault="003F6E8F">
      <w:pPr>
        <w:pStyle w:val="FootnoteText"/>
        <w:rPr>
          <w:sz w:val="18"/>
          <w:szCs w:val="18"/>
          <w:lang w:val="en-AU"/>
        </w:rPr>
      </w:pPr>
      <w:r w:rsidRPr="003F6E8F">
        <w:rPr>
          <w:rStyle w:val="FootnoteReference"/>
          <w:sz w:val="18"/>
          <w:szCs w:val="18"/>
        </w:rPr>
        <w:footnoteRef/>
      </w:r>
      <w:r w:rsidRPr="003F6E8F">
        <w:rPr>
          <w:sz w:val="18"/>
          <w:szCs w:val="18"/>
        </w:rPr>
        <w:t xml:space="preserve"> </w:t>
      </w:r>
      <w:r w:rsidRPr="003F6E8F">
        <w:rPr>
          <w:i/>
          <w:iCs/>
          <w:sz w:val="18"/>
          <w:szCs w:val="18"/>
          <w:lang w:val="en-AU"/>
        </w:rPr>
        <w:t xml:space="preserve">Igor </w:t>
      </w:r>
      <w:proofErr w:type="spellStart"/>
      <w:r w:rsidRPr="003F6E8F">
        <w:rPr>
          <w:i/>
          <w:iCs/>
          <w:sz w:val="18"/>
          <w:szCs w:val="18"/>
          <w:lang w:val="en-AU"/>
        </w:rPr>
        <w:t>Vitalievich</w:t>
      </w:r>
      <w:proofErr w:type="spellEnd"/>
      <w:r w:rsidRPr="003F6E8F">
        <w:rPr>
          <w:i/>
          <w:iCs/>
          <w:sz w:val="18"/>
          <w:szCs w:val="18"/>
          <w:lang w:val="en-AU"/>
        </w:rPr>
        <w:t xml:space="preserve"> </w:t>
      </w:r>
      <w:proofErr w:type="spellStart"/>
      <w:r w:rsidRPr="003F6E8F">
        <w:rPr>
          <w:i/>
          <w:iCs/>
          <w:sz w:val="18"/>
          <w:szCs w:val="18"/>
          <w:lang w:val="en-AU"/>
        </w:rPr>
        <w:t>Protasov</w:t>
      </w:r>
      <w:proofErr w:type="spellEnd"/>
      <w:r w:rsidRPr="003F6E8F">
        <w:rPr>
          <w:i/>
          <w:iCs/>
          <w:sz w:val="18"/>
          <w:szCs w:val="18"/>
          <w:lang w:val="en-AU"/>
        </w:rPr>
        <w:t xml:space="preserve"> v </w:t>
      </w:r>
      <w:proofErr w:type="spellStart"/>
      <w:r w:rsidRPr="003F6E8F">
        <w:rPr>
          <w:i/>
          <w:iCs/>
          <w:sz w:val="18"/>
          <w:szCs w:val="18"/>
          <w:lang w:val="en-AU"/>
        </w:rPr>
        <w:t>Khadzhi</w:t>
      </w:r>
      <w:proofErr w:type="spellEnd"/>
      <w:r w:rsidRPr="003F6E8F">
        <w:rPr>
          <w:i/>
          <w:iCs/>
          <w:sz w:val="18"/>
          <w:szCs w:val="18"/>
          <w:lang w:val="en-AU"/>
        </w:rPr>
        <w:t xml:space="preserve">-Murat </w:t>
      </w:r>
      <w:proofErr w:type="spellStart"/>
      <w:r w:rsidRPr="003F6E8F">
        <w:rPr>
          <w:i/>
          <w:iCs/>
          <w:sz w:val="18"/>
          <w:szCs w:val="18"/>
          <w:lang w:val="en-AU"/>
        </w:rPr>
        <w:t>Derev</w:t>
      </w:r>
      <w:proofErr w:type="spellEnd"/>
      <w:r w:rsidRPr="003F6E8F">
        <w:rPr>
          <w:sz w:val="18"/>
          <w:szCs w:val="18"/>
          <w:lang w:val="en-AU"/>
        </w:rPr>
        <w:t xml:space="preserve"> [2021] EWHC 392.</w:t>
      </w:r>
    </w:p>
  </w:footnote>
  <w:footnote w:id="19">
    <w:p w14:paraId="127F6481" w14:textId="07A4433C" w:rsidR="003F6E8F" w:rsidRPr="003F6E8F" w:rsidRDefault="003F6E8F">
      <w:pPr>
        <w:pStyle w:val="FootnoteText"/>
        <w:rPr>
          <w:lang w:val="en-AU"/>
        </w:rPr>
      </w:pPr>
      <w:r w:rsidRPr="003F6E8F">
        <w:rPr>
          <w:rStyle w:val="FootnoteReference"/>
          <w:sz w:val="18"/>
          <w:szCs w:val="18"/>
        </w:rPr>
        <w:footnoteRef/>
      </w:r>
      <w:r w:rsidRPr="003F6E8F">
        <w:rPr>
          <w:sz w:val="18"/>
          <w:szCs w:val="18"/>
        </w:rPr>
        <w:t xml:space="preserve"> </w:t>
      </w:r>
      <w:r w:rsidRPr="003F6E8F">
        <w:rPr>
          <w:sz w:val="18"/>
          <w:szCs w:val="18"/>
          <w:lang w:val="en-AU"/>
        </w:rPr>
        <w:t>Ibid.</w:t>
      </w:r>
    </w:p>
  </w:footnote>
  <w:footnote w:id="20">
    <w:p w14:paraId="7516C6A1" w14:textId="799C7189" w:rsidR="003E2541" w:rsidRPr="003E2541" w:rsidRDefault="003E2541">
      <w:pPr>
        <w:pStyle w:val="FootnoteText"/>
        <w:rPr>
          <w:lang w:val="en-AU"/>
        </w:rPr>
      </w:pPr>
      <w:r w:rsidRPr="003E2541">
        <w:rPr>
          <w:rStyle w:val="FootnoteReference"/>
          <w:sz w:val="18"/>
          <w:szCs w:val="18"/>
        </w:rPr>
        <w:footnoteRef/>
      </w:r>
      <w:r w:rsidRPr="003E2541">
        <w:rPr>
          <w:sz w:val="18"/>
          <w:szCs w:val="18"/>
        </w:rPr>
        <w:t xml:space="preserve"> </w:t>
      </w:r>
      <w:r w:rsidRPr="003E2541">
        <w:rPr>
          <w:sz w:val="18"/>
          <w:szCs w:val="18"/>
          <w:lang w:val="en-AU"/>
        </w:rPr>
        <w:t>Ibid, 45-52.</w:t>
      </w:r>
    </w:p>
  </w:footnote>
  <w:footnote w:id="21">
    <w:p w14:paraId="3502EC7A" w14:textId="6F65143A" w:rsidR="00C04D5E" w:rsidRPr="00C04D5E" w:rsidRDefault="00C04D5E">
      <w:pPr>
        <w:pStyle w:val="FootnoteText"/>
        <w:rPr>
          <w:lang w:val="en-AU"/>
        </w:rPr>
      </w:pPr>
      <w:r w:rsidRPr="00C04D5E">
        <w:rPr>
          <w:rStyle w:val="FootnoteReference"/>
          <w:sz w:val="18"/>
          <w:szCs w:val="18"/>
        </w:rPr>
        <w:footnoteRef/>
      </w:r>
      <w:r w:rsidRPr="00C04D5E">
        <w:rPr>
          <w:sz w:val="18"/>
          <w:szCs w:val="18"/>
        </w:rPr>
        <w:t xml:space="preserve"> Guide to Enactment and Interpretation of the UNCITRAL Model Law on Cross-Border Insolvency, Part Two, </w:t>
      </w:r>
      <w:r w:rsidRPr="00C04D5E">
        <w:rPr>
          <w:sz w:val="18"/>
          <w:szCs w:val="18"/>
          <w:lang w:val="en-AU"/>
        </w:rPr>
        <w:t>paragraph</w:t>
      </w:r>
      <w:r>
        <w:rPr>
          <w:sz w:val="18"/>
          <w:szCs w:val="18"/>
          <w:lang w:val="en-AU"/>
        </w:rPr>
        <w:t xml:space="preserve"> 66.</w:t>
      </w:r>
    </w:p>
  </w:footnote>
  <w:footnote w:id="22">
    <w:p w14:paraId="29CC041C" w14:textId="27DA3B3A" w:rsidR="003B73B2" w:rsidRPr="003B73B2" w:rsidRDefault="003B73B2">
      <w:pPr>
        <w:pStyle w:val="FootnoteText"/>
        <w:rPr>
          <w:lang w:val="en-AU"/>
        </w:rPr>
      </w:pPr>
      <w:r w:rsidRPr="003B73B2">
        <w:rPr>
          <w:rStyle w:val="FootnoteReference"/>
          <w:sz w:val="18"/>
          <w:szCs w:val="18"/>
        </w:rPr>
        <w:footnoteRef/>
      </w:r>
      <w:r w:rsidRPr="003B73B2">
        <w:rPr>
          <w:sz w:val="18"/>
          <w:szCs w:val="18"/>
        </w:rPr>
        <w:t xml:space="preserve"> </w:t>
      </w:r>
      <w:r w:rsidRPr="003B73B2">
        <w:rPr>
          <w:sz w:val="18"/>
          <w:szCs w:val="18"/>
          <w:lang w:val="en-AU"/>
        </w:rPr>
        <w:t>The factual matrix appears to swap between Ms C and Ms G. I have assumed throughout my answer that Ms G was the correct reference.</w:t>
      </w:r>
    </w:p>
  </w:footnote>
  <w:footnote w:id="23">
    <w:p w14:paraId="648F50FE" w14:textId="22F9F139" w:rsidR="00EC7B7D" w:rsidRPr="00EC7B7D" w:rsidRDefault="00EC7B7D">
      <w:pPr>
        <w:pStyle w:val="FootnoteText"/>
        <w:rPr>
          <w:lang w:val="en-AU"/>
        </w:rPr>
      </w:pPr>
      <w:r w:rsidRPr="00EC7B7D">
        <w:rPr>
          <w:rStyle w:val="FootnoteReference"/>
          <w:sz w:val="18"/>
          <w:szCs w:val="18"/>
        </w:rPr>
        <w:footnoteRef/>
      </w:r>
      <w:r w:rsidRPr="00EC7B7D">
        <w:rPr>
          <w:sz w:val="18"/>
          <w:szCs w:val="18"/>
        </w:rPr>
        <w:t xml:space="preserve"> </w:t>
      </w:r>
      <w:r w:rsidRPr="00EC7B7D">
        <w:rPr>
          <w:sz w:val="18"/>
          <w:szCs w:val="18"/>
          <w:lang w:val="en-AU"/>
        </w:rPr>
        <w:t>I note that my answer may materially change if this assumption is incorrect, as the relevant time could be any time prior to this date. This is because the factual matrix does not record a date of when the English Judge is determining this question.</w:t>
      </w:r>
    </w:p>
  </w:footnote>
  <w:footnote w:id="24">
    <w:p w14:paraId="63424073" w14:textId="2F2B2492" w:rsidR="00F06C92" w:rsidRPr="00F06C92" w:rsidRDefault="00F06C92">
      <w:pPr>
        <w:pStyle w:val="FootnoteText"/>
        <w:rPr>
          <w:lang w:val="en-AU"/>
        </w:rPr>
      </w:pPr>
      <w:r w:rsidRPr="00F06C92">
        <w:rPr>
          <w:rStyle w:val="FootnoteReference"/>
          <w:sz w:val="18"/>
          <w:szCs w:val="18"/>
        </w:rPr>
        <w:footnoteRef/>
      </w:r>
      <w:r w:rsidRPr="00F06C92">
        <w:rPr>
          <w:sz w:val="18"/>
          <w:szCs w:val="18"/>
        </w:rPr>
        <w:t xml:space="preserve"> </w:t>
      </w:r>
      <w:r w:rsidRPr="00F06C92">
        <w:rPr>
          <w:sz w:val="18"/>
          <w:szCs w:val="18"/>
          <w:lang w:val="en-AU"/>
        </w:rPr>
        <w:t>UNCITRAL Digest on Caselaw under the MLCBI – February 2021, page 5.</w:t>
      </w:r>
    </w:p>
  </w:footnote>
  <w:footnote w:id="25">
    <w:p w14:paraId="0637733B" w14:textId="067CC3D7" w:rsidR="00F06C92" w:rsidRPr="00F06C92" w:rsidRDefault="00F06C92">
      <w:pPr>
        <w:pStyle w:val="FootnoteText"/>
        <w:rPr>
          <w:lang w:val="en-AU"/>
        </w:rPr>
      </w:pPr>
      <w:r w:rsidRPr="00F06C92">
        <w:rPr>
          <w:rStyle w:val="FootnoteReference"/>
          <w:sz w:val="18"/>
          <w:szCs w:val="18"/>
        </w:rPr>
        <w:footnoteRef/>
      </w:r>
      <w:r w:rsidRPr="00F06C92">
        <w:rPr>
          <w:sz w:val="18"/>
          <w:szCs w:val="18"/>
        </w:rPr>
        <w:t xml:space="preserve"> </w:t>
      </w:r>
      <w:r w:rsidRPr="00F06C92">
        <w:rPr>
          <w:sz w:val="18"/>
          <w:szCs w:val="18"/>
          <w:lang w:val="en-AU"/>
        </w:rPr>
        <w:t>UNCITRAL Digest on Caselaw under the MLCBI – February 2021, page 5</w:t>
      </w:r>
      <w:r w:rsidR="00837DDA">
        <w:rPr>
          <w:sz w:val="18"/>
          <w:szCs w:val="18"/>
          <w:lang w:val="en-AU"/>
        </w:rPr>
        <w:t xml:space="preserve"> and the U</w:t>
      </w:r>
      <w:r w:rsidR="00837DDA" w:rsidRPr="00837DDA">
        <w:rPr>
          <w:sz w:val="18"/>
          <w:szCs w:val="18"/>
          <w:lang w:val="en-AU"/>
        </w:rPr>
        <w:t>NCITRAL Model Law on Cross-Border Insolvency: The Judicial Perspective</w:t>
      </w:r>
      <w:r w:rsidR="00837DDA">
        <w:rPr>
          <w:sz w:val="18"/>
          <w:szCs w:val="18"/>
          <w:lang w:val="en-AU"/>
        </w:rPr>
        <w:t xml:space="preserve"> (2022), paragraph 38.</w:t>
      </w:r>
    </w:p>
  </w:footnote>
  <w:footnote w:id="26">
    <w:p w14:paraId="48BFF214" w14:textId="3BE96E13" w:rsidR="00C04D5E" w:rsidRPr="00C04D5E" w:rsidRDefault="00C04D5E" w:rsidP="00C04D5E">
      <w:pPr>
        <w:pStyle w:val="FootnoteText"/>
        <w:rPr>
          <w:sz w:val="18"/>
          <w:szCs w:val="18"/>
          <w:lang w:val="en-AU"/>
        </w:rPr>
      </w:pPr>
      <w:r w:rsidRPr="00C04D5E">
        <w:rPr>
          <w:rStyle w:val="FootnoteReference"/>
          <w:sz w:val="18"/>
          <w:szCs w:val="18"/>
        </w:rPr>
        <w:footnoteRef/>
      </w:r>
      <w:r w:rsidRPr="00C04D5E">
        <w:rPr>
          <w:sz w:val="18"/>
          <w:szCs w:val="18"/>
        </w:rPr>
        <w:t xml:space="preserve"> </w:t>
      </w:r>
      <w:r w:rsidR="00F06C92" w:rsidRPr="00C04D5E">
        <w:rPr>
          <w:sz w:val="18"/>
          <w:szCs w:val="18"/>
        </w:rPr>
        <w:t>Guide to Enactment and Interpretation of the UNCITRAL Model Law on Cross-Border Insolvency, Part Two</w:t>
      </w:r>
      <w:r w:rsidRPr="00C04D5E">
        <w:rPr>
          <w:sz w:val="18"/>
          <w:szCs w:val="18"/>
        </w:rPr>
        <w:t xml:space="preserve">, </w:t>
      </w:r>
      <w:r w:rsidRPr="00C04D5E">
        <w:rPr>
          <w:sz w:val="18"/>
          <w:szCs w:val="18"/>
          <w:lang w:val="en-AU"/>
        </w:rPr>
        <w:t>paragraph</w:t>
      </w:r>
      <w:r>
        <w:rPr>
          <w:sz w:val="18"/>
          <w:szCs w:val="18"/>
          <w:lang w:val="en-AU"/>
        </w:rPr>
        <w:t xml:space="preserve"> 79</w:t>
      </w:r>
      <w:r w:rsidRPr="00C04D5E">
        <w:rPr>
          <w:sz w:val="18"/>
          <w:szCs w:val="18"/>
          <w:lang w:val="en-AU"/>
        </w:rPr>
        <w:t>.</w:t>
      </w:r>
    </w:p>
  </w:footnote>
  <w:footnote w:id="27">
    <w:p w14:paraId="740233D3" w14:textId="1B491E4C" w:rsidR="00F06C92" w:rsidRPr="00F06C92" w:rsidRDefault="00F06C92">
      <w:pPr>
        <w:pStyle w:val="FootnoteText"/>
        <w:rPr>
          <w:lang w:val="en-AU"/>
        </w:rPr>
      </w:pPr>
      <w:r w:rsidRPr="00837DDA">
        <w:rPr>
          <w:rStyle w:val="FootnoteReference"/>
          <w:sz w:val="18"/>
          <w:szCs w:val="18"/>
        </w:rPr>
        <w:footnoteRef/>
      </w:r>
      <w:r w:rsidRPr="00837DDA">
        <w:rPr>
          <w:sz w:val="18"/>
          <w:szCs w:val="18"/>
        </w:rPr>
        <w:t xml:space="preserve"> </w:t>
      </w:r>
      <w:r w:rsidR="00837DDA" w:rsidRPr="00837DDA">
        <w:rPr>
          <w:i/>
          <w:iCs/>
          <w:sz w:val="18"/>
          <w:szCs w:val="18"/>
          <w:lang w:val="en-AU"/>
        </w:rPr>
        <w:t>Irish Bank Resolution Corporation (IBRC) Limited</w:t>
      </w:r>
      <w:r w:rsidR="00837DDA" w:rsidRPr="00837DDA">
        <w:rPr>
          <w:sz w:val="18"/>
          <w:szCs w:val="18"/>
          <w:lang w:val="en-AU"/>
        </w:rPr>
        <w:t>, 538 B.R. 692, 697 (D. Del 2015).</w:t>
      </w:r>
    </w:p>
  </w:footnote>
  <w:footnote w:id="28">
    <w:p w14:paraId="75EA01A4" w14:textId="7453EE26" w:rsidR="009431EC" w:rsidRPr="009431EC" w:rsidRDefault="009431EC">
      <w:pPr>
        <w:pStyle w:val="FootnoteText"/>
        <w:rPr>
          <w:sz w:val="18"/>
          <w:szCs w:val="18"/>
          <w:lang w:val="en-AU"/>
        </w:rPr>
      </w:pPr>
      <w:r w:rsidRPr="009431EC">
        <w:rPr>
          <w:rStyle w:val="FootnoteReference"/>
          <w:sz w:val="18"/>
          <w:szCs w:val="18"/>
        </w:rPr>
        <w:footnoteRef/>
      </w:r>
      <w:r w:rsidRPr="009431EC">
        <w:rPr>
          <w:sz w:val="18"/>
          <w:szCs w:val="18"/>
        </w:rPr>
        <w:t xml:space="preserve"> </w:t>
      </w:r>
      <w:r w:rsidRPr="00C04D5E">
        <w:rPr>
          <w:sz w:val="18"/>
          <w:szCs w:val="18"/>
        </w:rPr>
        <w:t xml:space="preserve">Guide to Enactment and Interpretation of the UNCITRAL Model Law on Cross-Border Insolvency, Part Two, </w:t>
      </w:r>
      <w:r w:rsidRPr="00C04D5E">
        <w:rPr>
          <w:sz w:val="18"/>
          <w:szCs w:val="18"/>
          <w:lang w:val="en-AU"/>
        </w:rPr>
        <w:t>paragraph</w:t>
      </w:r>
      <w:r>
        <w:rPr>
          <w:sz w:val="18"/>
          <w:szCs w:val="18"/>
          <w:lang w:val="en-AU"/>
        </w:rPr>
        <w:t xml:space="preserve"> 70.</w:t>
      </w:r>
    </w:p>
  </w:footnote>
  <w:footnote w:id="29">
    <w:p w14:paraId="273AF7DB" w14:textId="7E88BE64" w:rsidR="009431EC" w:rsidRPr="009431EC" w:rsidRDefault="009431EC">
      <w:pPr>
        <w:pStyle w:val="FootnoteText"/>
        <w:rPr>
          <w:lang w:val="en-AU"/>
        </w:rPr>
      </w:pPr>
      <w:r w:rsidRPr="009431EC">
        <w:rPr>
          <w:rStyle w:val="FootnoteReference"/>
          <w:sz w:val="18"/>
          <w:szCs w:val="18"/>
        </w:rPr>
        <w:footnoteRef/>
      </w:r>
      <w:r w:rsidRPr="009431EC">
        <w:rPr>
          <w:sz w:val="18"/>
          <w:szCs w:val="18"/>
        </w:rPr>
        <w:t xml:space="preserve"> </w:t>
      </w:r>
      <w:r w:rsidRPr="009431EC">
        <w:rPr>
          <w:sz w:val="18"/>
          <w:szCs w:val="18"/>
          <w:lang w:val="en-AU"/>
        </w:rPr>
        <w:t>Gold &amp; Honey, Ltd (In re) 410 B.R. 357 (</w:t>
      </w:r>
      <w:proofErr w:type="spellStart"/>
      <w:r w:rsidRPr="009431EC">
        <w:rPr>
          <w:sz w:val="18"/>
          <w:szCs w:val="18"/>
          <w:lang w:val="en-AU"/>
        </w:rPr>
        <w:t>Bankr</w:t>
      </w:r>
      <w:proofErr w:type="spellEnd"/>
      <w:r w:rsidRPr="009431EC">
        <w:rPr>
          <w:sz w:val="18"/>
          <w:szCs w:val="18"/>
          <w:lang w:val="en-AU"/>
        </w:rPr>
        <w:t>. E.D.N.Y. 2009).</w:t>
      </w:r>
    </w:p>
  </w:footnote>
  <w:footnote w:id="30">
    <w:p w14:paraId="4833F690" w14:textId="494A8613" w:rsidR="00DB07F0" w:rsidRPr="00DB07F0" w:rsidRDefault="00DB07F0">
      <w:pPr>
        <w:pStyle w:val="FootnoteText"/>
        <w:rPr>
          <w:sz w:val="18"/>
          <w:szCs w:val="18"/>
          <w:lang w:val="en-AU"/>
        </w:rPr>
      </w:pPr>
      <w:r w:rsidRPr="00DB07F0">
        <w:rPr>
          <w:rStyle w:val="FootnoteReference"/>
          <w:sz w:val="18"/>
          <w:szCs w:val="18"/>
        </w:rPr>
        <w:footnoteRef/>
      </w:r>
      <w:r w:rsidRPr="00DB07F0">
        <w:rPr>
          <w:sz w:val="18"/>
          <w:szCs w:val="18"/>
        </w:rPr>
        <w:t xml:space="preserve"> Guide to Enactment and Interpretation of the UNCITRAL Model Law on Cross-Border Insolvency, Part Two, </w:t>
      </w:r>
      <w:r w:rsidRPr="00DB07F0">
        <w:rPr>
          <w:sz w:val="18"/>
          <w:szCs w:val="18"/>
          <w:lang w:val="en-AU"/>
        </w:rPr>
        <w:t>paragraph 73.</w:t>
      </w:r>
    </w:p>
  </w:footnote>
  <w:footnote w:id="31">
    <w:p w14:paraId="117307A3" w14:textId="6A66FD50" w:rsidR="00B44479" w:rsidRPr="00B44479" w:rsidRDefault="00B44479">
      <w:pPr>
        <w:pStyle w:val="FootnoteText"/>
        <w:rPr>
          <w:lang w:val="en-AU"/>
        </w:rPr>
      </w:pPr>
      <w:r w:rsidRPr="00B44479">
        <w:rPr>
          <w:rStyle w:val="FootnoteReference"/>
          <w:sz w:val="18"/>
          <w:szCs w:val="18"/>
        </w:rPr>
        <w:footnoteRef/>
      </w:r>
      <w:r w:rsidRPr="00B44479">
        <w:rPr>
          <w:sz w:val="18"/>
          <w:szCs w:val="18"/>
        </w:rPr>
        <w:t xml:space="preserve"> </w:t>
      </w:r>
      <w:r>
        <w:rPr>
          <w:sz w:val="18"/>
          <w:szCs w:val="18"/>
        </w:rPr>
        <w:t xml:space="preserve">In the context that ‘and’ is a key word – see: </w:t>
      </w:r>
      <w:r w:rsidRPr="009431EC">
        <w:rPr>
          <w:sz w:val="18"/>
          <w:szCs w:val="18"/>
          <w:lang w:val="en-AU"/>
        </w:rPr>
        <w:t>Gold &amp; Honey, Ltd (In re) 410 B.R. 357 (</w:t>
      </w:r>
      <w:proofErr w:type="spellStart"/>
      <w:r w:rsidRPr="009431EC">
        <w:rPr>
          <w:sz w:val="18"/>
          <w:szCs w:val="18"/>
          <w:lang w:val="en-AU"/>
        </w:rPr>
        <w:t>Bankr</w:t>
      </w:r>
      <w:proofErr w:type="spellEnd"/>
      <w:r w:rsidRPr="009431EC">
        <w:rPr>
          <w:sz w:val="18"/>
          <w:szCs w:val="18"/>
          <w:lang w:val="en-AU"/>
        </w:rPr>
        <w:t>. E.D.N.Y. 2009)</w:t>
      </w:r>
      <w:r>
        <w:rPr>
          <w:sz w:val="18"/>
          <w:szCs w:val="18"/>
          <w:lang w:val="en-AU"/>
        </w:rPr>
        <w:t>, p. 371</w:t>
      </w:r>
      <w:r w:rsidRPr="009431EC">
        <w:rPr>
          <w:sz w:val="18"/>
          <w:szCs w:val="18"/>
          <w:lang w:val="en-AU"/>
        </w:rPr>
        <w:t>.</w:t>
      </w:r>
    </w:p>
  </w:footnote>
  <w:footnote w:id="32">
    <w:p w14:paraId="7CE62CD3" w14:textId="6F1D1B15" w:rsidR="00B44479" w:rsidRPr="00B44479" w:rsidRDefault="00B44479">
      <w:pPr>
        <w:pStyle w:val="FootnoteText"/>
        <w:rPr>
          <w:lang w:val="en-AU"/>
        </w:rPr>
      </w:pPr>
      <w:r w:rsidRPr="00B44479">
        <w:rPr>
          <w:rStyle w:val="FootnoteReference"/>
          <w:sz w:val="18"/>
          <w:szCs w:val="18"/>
        </w:rPr>
        <w:footnoteRef/>
      </w:r>
      <w:r w:rsidRPr="00B44479">
        <w:rPr>
          <w:sz w:val="18"/>
          <w:szCs w:val="18"/>
        </w:rPr>
        <w:t xml:space="preserve"> </w:t>
      </w:r>
      <w:r w:rsidRPr="00B44479">
        <w:rPr>
          <w:sz w:val="18"/>
          <w:szCs w:val="18"/>
          <w:lang w:val="en-AU"/>
        </w:rPr>
        <w:t xml:space="preserve">See </w:t>
      </w:r>
      <w:r w:rsidRPr="00B44479">
        <w:rPr>
          <w:i/>
          <w:iCs/>
          <w:sz w:val="18"/>
          <w:szCs w:val="18"/>
          <w:lang w:val="en-AU"/>
        </w:rPr>
        <w:t>ABC Learning Centres Limited</w:t>
      </w:r>
      <w:r w:rsidRPr="00B44479">
        <w:rPr>
          <w:sz w:val="18"/>
          <w:szCs w:val="18"/>
          <w:lang w:val="en-AU"/>
        </w:rPr>
        <w:t xml:space="preserve"> (in re) 728 F.3d 301 (3d Cir. 2013). cert. denied, 571 U.S. 1198 (2014)</w:t>
      </w:r>
      <w:r>
        <w:rPr>
          <w:sz w:val="18"/>
          <w:szCs w:val="18"/>
          <w:lang w:val="en-AU"/>
        </w:rPr>
        <w:t>,</w:t>
      </w:r>
      <w:r w:rsidR="003B73B2">
        <w:rPr>
          <w:sz w:val="18"/>
          <w:szCs w:val="18"/>
          <w:lang w:val="en-AU"/>
        </w:rPr>
        <w:t xml:space="preserve"> pp 331-332,</w:t>
      </w:r>
      <w:r>
        <w:rPr>
          <w:sz w:val="18"/>
          <w:szCs w:val="18"/>
          <w:lang w:val="en-AU"/>
        </w:rPr>
        <w:t xml:space="preserve"> which acknowledged that day-to-day control by a foreign court is not required</w:t>
      </w:r>
      <w:r w:rsidR="003B73B2">
        <w:rPr>
          <w:sz w:val="18"/>
          <w:szCs w:val="18"/>
          <w:lang w:val="en-AU"/>
        </w:rPr>
        <w:t xml:space="preserve"> as long as the relevant foreign law (in this case, Australian law) gave the Australian courts a controlling and supervisory role/right.</w:t>
      </w:r>
    </w:p>
  </w:footnote>
  <w:footnote w:id="33">
    <w:p w14:paraId="6336A5ED" w14:textId="1E602E29" w:rsidR="008D5DC2" w:rsidRPr="008D5DC2" w:rsidRDefault="008D5DC2">
      <w:pPr>
        <w:pStyle w:val="FootnoteText"/>
        <w:rPr>
          <w:lang w:val="en-AU"/>
        </w:rPr>
      </w:pPr>
      <w:r w:rsidRPr="008D5DC2">
        <w:rPr>
          <w:rStyle w:val="FootnoteReference"/>
          <w:sz w:val="18"/>
          <w:szCs w:val="18"/>
        </w:rPr>
        <w:footnoteRef/>
      </w:r>
      <w:r w:rsidRPr="008D5DC2">
        <w:rPr>
          <w:sz w:val="18"/>
          <w:szCs w:val="18"/>
        </w:rPr>
        <w:t xml:space="preserve"> </w:t>
      </w:r>
      <w:r w:rsidRPr="008D5DC2">
        <w:rPr>
          <w:sz w:val="18"/>
          <w:szCs w:val="18"/>
          <w:lang w:val="en-AU"/>
        </w:rPr>
        <w:t>Articles 3(3) and 3(7) of DGF Law.</w:t>
      </w:r>
    </w:p>
  </w:footnote>
  <w:footnote w:id="34">
    <w:p w14:paraId="2C05E401" w14:textId="5FDC03F9" w:rsidR="00605887" w:rsidRPr="00605887" w:rsidRDefault="00605887">
      <w:pPr>
        <w:pStyle w:val="FootnoteText"/>
        <w:rPr>
          <w:lang w:val="en-AU"/>
        </w:rPr>
      </w:pPr>
      <w:r w:rsidRPr="00605887">
        <w:rPr>
          <w:rStyle w:val="FootnoteReference"/>
          <w:sz w:val="18"/>
          <w:szCs w:val="18"/>
        </w:rPr>
        <w:footnoteRef/>
      </w:r>
      <w:r w:rsidRPr="00605887">
        <w:rPr>
          <w:sz w:val="18"/>
          <w:szCs w:val="18"/>
        </w:rPr>
        <w:t xml:space="preserve"> </w:t>
      </w:r>
      <w:r w:rsidRPr="00605887">
        <w:rPr>
          <w:i/>
          <w:iCs/>
          <w:sz w:val="18"/>
          <w:szCs w:val="18"/>
          <w:lang w:val="en-AU"/>
        </w:rPr>
        <w:t>In the matter of Sturgeon Central Asia Balanced Fund Ltd</w:t>
      </w:r>
      <w:r w:rsidRPr="00605887">
        <w:rPr>
          <w:sz w:val="18"/>
          <w:szCs w:val="18"/>
          <w:lang w:val="en-AU"/>
        </w:rPr>
        <w:t xml:space="preserve"> [2020] EWHC 123 (Ch), 6.</w:t>
      </w:r>
    </w:p>
  </w:footnote>
  <w:footnote w:id="35">
    <w:p w14:paraId="10E1DB73" w14:textId="706FDF5A" w:rsidR="00D62A82" w:rsidRPr="00D9207E" w:rsidRDefault="00D62A82">
      <w:pPr>
        <w:pStyle w:val="FootnoteText"/>
        <w:rPr>
          <w:sz w:val="18"/>
          <w:szCs w:val="18"/>
          <w:lang w:val="en-AU"/>
        </w:rPr>
      </w:pPr>
      <w:r w:rsidRPr="00D9207E">
        <w:rPr>
          <w:rStyle w:val="FootnoteReference"/>
          <w:sz w:val="18"/>
          <w:szCs w:val="18"/>
        </w:rPr>
        <w:footnoteRef/>
      </w:r>
      <w:r w:rsidRPr="00D9207E">
        <w:rPr>
          <w:sz w:val="18"/>
          <w:szCs w:val="18"/>
        </w:rPr>
        <w:t xml:space="preserve"> </w:t>
      </w:r>
      <w:r w:rsidRPr="00D9207E">
        <w:rPr>
          <w:sz w:val="18"/>
          <w:szCs w:val="18"/>
          <w:lang w:val="en-AU"/>
        </w:rPr>
        <w:t xml:space="preserve">This part of the definition is said to be intentionally broad to </w:t>
      </w:r>
      <w:r w:rsidR="00D9207E" w:rsidRPr="00D9207E">
        <w:rPr>
          <w:sz w:val="18"/>
          <w:szCs w:val="18"/>
          <w:lang w:val="en-AU"/>
        </w:rPr>
        <w:t xml:space="preserve">include appointments through a special agency: </w:t>
      </w:r>
      <w:r w:rsidR="00D9207E" w:rsidRPr="00D9207E">
        <w:rPr>
          <w:sz w:val="18"/>
          <w:szCs w:val="18"/>
        </w:rPr>
        <w:t xml:space="preserve">Guide to Enactment and Interpretation of the UNCITRAL Model Law on Cross-Border Insolvency, Part Two, </w:t>
      </w:r>
      <w:r w:rsidR="00D9207E" w:rsidRPr="00D9207E">
        <w:rPr>
          <w:sz w:val="18"/>
          <w:szCs w:val="18"/>
          <w:lang w:val="en-AU"/>
        </w:rPr>
        <w:t xml:space="preserve">paragraph </w:t>
      </w:r>
      <w:r w:rsidR="00D9207E" w:rsidRPr="00D9207E">
        <w:rPr>
          <w:sz w:val="18"/>
          <w:szCs w:val="18"/>
          <w:lang w:val="en-AU"/>
        </w:rPr>
        <w:t>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AA11DA"/>
    <w:multiLevelType w:val="hybridMultilevel"/>
    <w:tmpl w:val="A0AEBB9A"/>
    <w:lvl w:ilvl="0" w:tplc="59767F1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411128"/>
    <w:multiLevelType w:val="hybridMultilevel"/>
    <w:tmpl w:val="5912999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1B3B90"/>
    <w:multiLevelType w:val="hybridMultilevel"/>
    <w:tmpl w:val="DC8A24D4"/>
    <w:lvl w:ilvl="0" w:tplc="EEF012C2">
      <w:start w:val="18"/>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D73DDC"/>
    <w:multiLevelType w:val="hybridMultilevel"/>
    <w:tmpl w:val="3FA8656E"/>
    <w:lvl w:ilvl="0" w:tplc="748A406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D9630E"/>
    <w:multiLevelType w:val="hybridMultilevel"/>
    <w:tmpl w:val="52BA1AC6"/>
    <w:lvl w:ilvl="0" w:tplc="EC9002B0">
      <w:numFmt w:val="bullet"/>
      <w:lvlText w:val=""/>
      <w:lvlJc w:val="left"/>
      <w:pPr>
        <w:ind w:left="360" w:hanging="360"/>
      </w:pPr>
      <w:rPr>
        <w:rFonts w:ascii="Symbol" w:eastAsia="Times New Roman" w:hAnsi="Symbol" w:cs="Arial" w:hint="default"/>
        <w:color w:val="7B7B7B" w:themeColor="accent3"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C74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4459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8782619">
    <w:abstractNumId w:val="15"/>
  </w:num>
  <w:num w:numId="2" w16cid:durableId="1496455494">
    <w:abstractNumId w:val="12"/>
  </w:num>
  <w:num w:numId="3" w16cid:durableId="461196043">
    <w:abstractNumId w:val="6"/>
  </w:num>
  <w:num w:numId="4" w16cid:durableId="783620586">
    <w:abstractNumId w:val="2"/>
  </w:num>
  <w:num w:numId="5" w16cid:durableId="1890871998">
    <w:abstractNumId w:val="19"/>
  </w:num>
  <w:num w:numId="6" w16cid:durableId="1785229098">
    <w:abstractNumId w:val="18"/>
  </w:num>
  <w:num w:numId="7" w16cid:durableId="1450858065">
    <w:abstractNumId w:val="16"/>
  </w:num>
  <w:num w:numId="8" w16cid:durableId="943734186">
    <w:abstractNumId w:val="4"/>
  </w:num>
  <w:num w:numId="9" w16cid:durableId="1473251820">
    <w:abstractNumId w:val="5"/>
  </w:num>
  <w:num w:numId="10" w16cid:durableId="319043943">
    <w:abstractNumId w:val="10"/>
  </w:num>
  <w:num w:numId="11" w16cid:durableId="1452287624">
    <w:abstractNumId w:val="0"/>
  </w:num>
  <w:num w:numId="12" w16cid:durableId="1898008972">
    <w:abstractNumId w:val="8"/>
  </w:num>
  <w:num w:numId="13" w16cid:durableId="1494370361">
    <w:abstractNumId w:val="9"/>
  </w:num>
  <w:num w:numId="14" w16cid:durableId="1344820102">
    <w:abstractNumId w:val="1"/>
  </w:num>
  <w:num w:numId="15" w16cid:durableId="1705908143">
    <w:abstractNumId w:val="13"/>
  </w:num>
  <w:num w:numId="16" w16cid:durableId="356153980">
    <w:abstractNumId w:val="7"/>
  </w:num>
  <w:num w:numId="17" w16cid:durableId="393937438">
    <w:abstractNumId w:val="11"/>
  </w:num>
  <w:num w:numId="18" w16cid:durableId="1628311406">
    <w:abstractNumId w:val="20"/>
  </w:num>
  <w:num w:numId="19" w16cid:durableId="451557379">
    <w:abstractNumId w:val="14"/>
  </w:num>
  <w:num w:numId="20" w16cid:durableId="521864961">
    <w:abstractNumId w:val="17"/>
  </w:num>
  <w:num w:numId="21" w16cid:durableId="32574311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3156"/>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30EF"/>
    <w:rsid w:val="0014622C"/>
    <w:rsid w:val="00151F58"/>
    <w:rsid w:val="00152348"/>
    <w:rsid w:val="00152845"/>
    <w:rsid w:val="0015456D"/>
    <w:rsid w:val="0015549B"/>
    <w:rsid w:val="00155FA2"/>
    <w:rsid w:val="001578CB"/>
    <w:rsid w:val="00161F1B"/>
    <w:rsid w:val="00162829"/>
    <w:rsid w:val="001672E0"/>
    <w:rsid w:val="00167C32"/>
    <w:rsid w:val="001721A9"/>
    <w:rsid w:val="0017257C"/>
    <w:rsid w:val="00176079"/>
    <w:rsid w:val="0017652E"/>
    <w:rsid w:val="00180548"/>
    <w:rsid w:val="00180AC4"/>
    <w:rsid w:val="00180CCE"/>
    <w:rsid w:val="00182648"/>
    <w:rsid w:val="0018267A"/>
    <w:rsid w:val="00182779"/>
    <w:rsid w:val="001830DF"/>
    <w:rsid w:val="00190FD2"/>
    <w:rsid w:val="00194A55"/>
    <w:rsid w:val="0019576D"/>
    <w:rsid w:val="001966D9"/>
    <w:rsid w:val="001A24E7"/>
    <w:rsid w:val="001A2B78"/>
    <w:rsid w:val="001A7E9A"/>
    <w:rsid w:val="001B0F70"/>
    <w:rsid w:val="001B5016"/>
    <w:rsid w:val="001C45FC"/>
    <w:rsid w:val="001D02C5"/>
    <w:rsid w:val="001D0B89"/>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0E"/>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31D8"/>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64D5"/>
    <w:rsid w:val="0036760B"/>
    <w:rsid w:val="0037465A"/>
    <w:rsid w:val="0037544E"/>
    <w:rsid w:val="00380BAB"/>
    <w:rsid w:val="00382C98"/>
    <w:rsid w:val="0038533C"/>
    <w:rsid w:val="00386568"/>
    <w:rsid w:val="00387106"/>
    <w:rsid w:val="00391F3E"/>
    <w:rsid w:val="003948D5"/>
    <w:rsid w:val="00395F11"/>
    <w:rsid w:val="00396821"/>
    <w:rsid w:val="00397D3A"/>
    <w:rsid w:val="003A051E"/>
    <w:rsid w:val="003A2FEE"/>
    <w:rsid w:val="003A36B3"/>
    <w:rsid w:val="003A61B1"/>
    <w:rsid w:val="003B1310"/>
    <w:rsid w:val="003B170F"/>
    <w:rsid w:val="003B3C5F"/>
    <w:rsid w:val="003B73B2"/>
    <w:rsid w:val="003C089D"/>
    <w:rsid w:val="003C4471"/>
    <w:rsid w:val="003C66B1"/>
    <w:rsid w:val="003D0A6D"/>
    <w:rsid w:val="003E0B16"/>
    <w:rsid w:val="003E2541"/>
    <w:rsid w:val="003E67D1"/>
    <w:rsid w:val="003F6E8F"/>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4B4A"/>
    <w:rsid w:val="0047025B"/>
    <w:rsid w:val="00491675"/>
    <w:rsid w:val="00493855"/>
    <w:rsid w:val="0049508F"/>
    <w:rsid w:val="004A171E"/>
    <w:rsid w:val="004A57DD"/>
    <w:rsid w:val="004A70EA"/>
    <w:rsid w:val="004A7B51"/>
    <w:rsid w:val="004A7D71"/>
    <w:rsid w:val="004A7EF3"/>
    <w:rsid w:val="004B11FD"/>
    <w:rsid w:val="004B23A2"/>
    <w:rsid w:val="004C17DD"/>
    <w:rsid w:val="004C183F"/>
    <w:rsid w:val="004C4E97"/>
    <w:rsid w:val="004D1A5A"/>
    <w:rsid w:val="004D2FFF"/>
    <w:rsid w:val="004D3721"/>
    <w:rsid w:val="004D64F9"/>
    <w:rsid w:val="004E0549"/>
    <w:rsid w:val="004E2E92"/>
    <w:rsid w:val="004E30B0"/>
    <w:rsid w:val="004E622C"/>
    <w:rsid w:val="004F5FDF"/>
    <w:rsid w:val="00500653"/>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05887"/>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2093"/>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A61C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37DDA"/>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D5DC2"/>
    <w:rsid w:val="008E2DFA"/>
    <w:rsid w:val="008E3339"/>
    <w:rsid w:val="008E549B"/>
    <w:rsid w:val="008F18EF"/>
    <w:rsid w:val="008F20FC"/>
    <w:rsid w:val="008F2B24"/>
    <w:rsid w:val="008F5BA1"/>
    <w:rsid w:val="008F5FFE"/>
    <w:rsid w:val="0090421A"/>
    <w:rsid w:val="00905A43"/>
    <w:rsid w:val="00907DC2"/>
    <w:rsid w:val="00912C79"/>
    <w:rsid w:val="00917B6C"/>
    <w:rsid w:val="009260A2"/>
    <w:rsid w:val="00942123"/>
    <w:rsid w:val="009431EC"/>
    <w:rsid w:val="00951031"/>
    <w:rsid w:val="0095207B"/>
    <w:rsid w:val="00954461"/>
    <w:rsid w:val="00956085"/>
    <w:rsid w:val="00957951"/>
    <w:rsid w:val="009610EF"/>
    <w:rsid w:val="00962045"/>
    <w:rsid w:val="00967EDA"/>
    <w:rsid w:val="00970897"/>
    <w:rsid w:val="00980314"/>
    <w:rsid w:val="009816D0"/>
    <w:rsid w:val="00991428"/>
    <w:rsid w:val="00992676"/>
    <w:rsid w:val="009941F9"/>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18A9"/>
    <w:rsid w:val="009D30BB"/>
    <w:rsid w:val="009E2AEB"/>
    <w:rsid w:val="009E2E2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972A6"/>
    <w:rsid w:val="00AA3A42"/>
    <w:rsid w:val="00AA5311"/>
    <w:rsid w:val="00AA7BAA"/>
    <w:rsid w:val="00AB685C"/>
    <w:rsid w:val="00AB6C2D"/>
    <w:rsid w:val="00AC08F7"/>
    <w:rsid w:val="00AC36CD"/>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4479"/>
    <w:rsid w:val="00B46CE2"/>
    <w:rsid w:val="00B60190"/>
    <w:rsid w:val="00B61419"/>
    <w:rsid w:val="00B72F5F"/>
    <w:rsid w:val="00B736DF"/>
    <w:rsid w:val="00B74FBD"/>
    <w:rsid w:val="00B77352"/>
    <w:rsid w:val="00B82586"/>
    <w:rsid w:val="00B829A3"/>
    <w:rsid w:val="00B86DB1"/>
    <w:rsid w:val="00B87869"/>
    <w:rsid w:val="00BA0E44"/>
    <w:rsid w:val="00BA47C5"/>
    <w:rsid w:val="00BA690F"/>
    <w:rsid w:val="00BB0F2B"/>
    <w:rsid w:val="00BD0D57"/>
    <w:rsid w:val="00BE1A50"/>
    <w:rsid w:val="00BF50F7"/>
    <w:rsid w:val="00C02F29"/>
    <w:rsid w:val="00C04D5E"/>
    <w:rsid w:val="00C10C13"/>
    <w:rsid w:val="00C17111"/>
    <w:rsid w:val="00C20747"/>
    <w:rsid w:val="00C20AFE"/>
    <w:rsid w:val="00C22A25"/>
    <w:rsid w:val="00C23B79"/>
    <w:rsid w:val="00C33D50"/>
    <w:rsid w:val="00C35671"/>
    <w:rsid w:val="00C35B77"/>
    <w:rsid w:val="00C36708"/>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0379"/>
    <w:rsid w:val="00C82D87"/>
    <w:rsid w:val="00C82F7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70DC"/>
    <w:rsid w:val="00D00521"/>
    <w:rsid w:val="00D148DC"/>
    <w:rsid w:val="00D17FDC"/>
    <w:rsid w:val="00D444C5"/>
    <w:rsid w:val="00D45AEA"/>
    <w:rsid w:val="00D5244F"/>
    <w:rsid w:val="00D52E4F"/>
    <w:rsid w:val="00D56A37"/>
    <w:rsid w:val="00D57202"/>
    <w:rsid w:val="00D5775D"/>
    <w:rsid w:val="00D62A82"/>
    <w:rsid w:val="00D6386E"/>
    <w:rsid w:val="00D63EFD"/>
    <w:rsid w:val="00D64826"/>
    <w:rsid w:val="00D80DF2"/>
    <w:rsid w:val="00D84752"/>
    <w:rsid w:val="00D84D61"/>
    <w:rsid w:val="00D85AB0"/>
    <w:rsid w:val="00D86B3B"/>
    <w:rsid w:val="00D8748A"/>
    <w:rsid w:val="00D9207E"/>
    <w:rsid w:val="00D93196"/>
    <w:rsid w:val="00D94A4D"/>
    <w:rsid w:val="00D97A93"/>
    <w:rsid w:val="00DA1083"/>
    <w:rsid w:val="00DA26C8"/>
    <w:rsid w:val="00DB07F0"/>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17D35"/>
    <w:rsid w:val="00E25B22"/>
    <w:rsid w:val="00E2622D"/>
    <w:rsid w:val="00E26E19"/>
    <w:rsid w:val="00E27E3C"/>
    <w:rsid w:val="00E30022"/>
    <w:rsid w:val="00E31DF3"/>
    <w:rsid w:val="00E32814"/>
    <w:rsid w:val="00E33448"/>
    <w:rsid w:val="00E33486"/>
    <w:rsid w:val="00E34181"/>
    <w:rsid w:val="00E35EDD"/>
    <w:rsid w:val="00E450A4"/>
    <w:rsid w:val="00E506BE"/>
    <w:rsid w:val="00E54149"/>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B7D"/>
    <w:rsid w:val="00EC7F95"/>
    <w:rsid w:val="00ED0BC4"/>
    <w:rsid w:val="00ED3771"/>
    <w:rsid w:val="00ED4AB7"/>
    <w:rsid w:val="00ED6A32"/>
    <w:rsid w:val="00EE4971"/>
    <w:rsid w:val="00EF090E"/>
    <w:rsid w:val="00EF4A94"/>
    <w:rsid w:val="00F033DA"/>
    <w:rsid w:val="00F06C92"/>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97CD6"/>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19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Hudson</cp:lastModifiedBy>
  <cp:revision>4</cp:revision>
  <cp:lastPrinted>2023-02-28T20:45:00Z</cp:lastPrinted>
  <dcterms:created xsi:type="dcterms:W3CDTF">2023-03-01T21:11:00Z</dcterms:created>
  <dcterms:modified xsi:type="dcterms:W3CDTF">2023-03-01T22:25:00Z</dcterms:modified>
</cp:coreProperties>
</file>