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ED380A" w:rsidRDefault="00D66F96" w:rsidP="005B7C95">
      <w:pPr>
        <w:pStyle w:val="ListParagraph"/>
        <w:numPr>
          <w:ilvl w:val="0"/>
          <w:numId w:val="26"/>
        </w:numPr>
        <w:ind w:left="426"/>
        <w:jc w:val="both"/>
        <w:rPr>
          <w:rFonts w:ascii="Avenir Next" w:hAnsi="Avenir Next" w:cs="Arial"/>
          <w:sz w:val="22"/>
          <w:szCs w:val="22"/>
          <w:highlight w:val="yellow"/>
          <w:lang w:val="en-GB"/>
        </w:rPr>
      </w:pPr>
      <w:r w:rsidRPr="00ED380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ED380A"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ED380A">
        <w:rPr>
          <w:rFonts w:ascii="Avenir Next" w:hAnsi="Avenir Next" w:cs="Arial"/>
          <w:iCs/>
          <w:sz w:val="22"/>
          <w:szCs w:val="22"/>
          <w:highlight w:val="yellow"/>
          <w:lang w:val="en-GB"/>
        </w:rPr>
        <w:t>t</w:t>
      </w:r>
      <w:r w:rsidR="00302D76" w:rsidRPr="00ED380A">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3779E3"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3779E3">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3779E3" w:rsidRDefault="00971896" w:rsidP="003C4BCB">
      <w:pPr>
        <w:pStyle w:val="ListParagraph"/>
        <w:numPr>
          <w:ilvl w:val="0"/>
          <w:numId w:val="5"/>
        </w:numPr>
        <w:ind w:left="426"/>
        <w:jc w:val="both"/>
        <w:rPr>
          <w:rFonts w:ascii="Avenir Next" w:hAnsi="Avenir Next" w:cs="Arial"/>
          <w:sz w:val="22"/>
          <w:szCs w:val="22"/>
          <w:highlight w:val="yellow"/>
          <w:lang w:val="en-GB"/>
        </w:rPr>
      </w:pPr>
      <w:r w:rsidRPr="003779E3">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3779E3">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3779E3" w:rsidRDefault="00CA7069" w:rsidP="008E3C96">
      <w:pPr>
        <w:pStyle w:val="ListParagraph"/>
        <w:numPr>
          <w:ilvl w:val="0"/>
          <w:numId w:val="28"/>
        </w:numPr>
        <w:ind w:left="426"/>
        <w:jc w:val="both"/>
        <w:rPr>
          <w:rFonts w:ascii="Avenir Next" w:hAnsi="Avenir Next" w:cs="Arial"/>
          <w:sz w:val="22"/>
          <w:szCs w:val="22"/>
          <w:highlight w:val="yellow"/>
          <w:lang w:val="en-GB"/>
        </w:rPr>
      </w:pPr>
      <w:r w:rsidRPr="003779E3">
        <w:rPr>
          <w:rFonts w:ascii="Avenir Next" w:hAnsi="Avenir Next" w:cs="Arial"/>
          <w:sz w:val="22"/>
          <w:szCs w:val="22"/>
          <w:highlight w:val="yellow"/>
          <w:lang w:val="en-GB"/>
        </w:rPr>
        <w:t>Article 31 EIR Recast (“</w:t>
      </w:r>
      <w:r w:rsidRPr="003779E3">
        <w:rPr>
          <w:rFonts w:ascii="Avenir Next" w:hAnsi="Avenir Next" w:cs="Arial"/>
          <w:bCs/>
          <w:sz w:val="22"/>
          <w:szCs w:val="22"/>
          <w:highlight w:val="yellow"/>
          <w:lang w:val="en-GB"/>
        </w:rPr>
        <w:t>Honouring of an obligation to a debtor”</w:t>
      </w:r>
      <w:r w:rsidRPr="003779E3">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8A216A">
        <w:rPr>
          <w:rFonts w:ascii="Avenir Next" w:hAnsi="Avenir Next" w:cs="Arial"/>
          <w:sz w:val="22"/>
          <w:szCs w:val="22"/>
          <w:highlight w:val="yellow"/>
          <w:lang w:val="en-GB"/>
        </w:rPr>
        <w:t xml:space="preserve">Each Member State will define </w:t>
      </w:r>
      <w:r w:rsidR="001A68CC" w:rsidRPr="008A216A">
        <w:rPr>
          <w:rFonts w:ascii="Avenir Next" w:hAnsi="Avenir Next" w:cs="Arial"/>
          <w:sz w:val="22"/>
          <w:szCs w:val="22"/>
          <w:highlight w:val="yellow"/>
          <w:lang w:val="en-GB"/>
        </w:rPr>
        <w:t>“</w:t>
      </w:r>
      <w:r w:rsidRPr="008A216A">
        <w:rPr>
          <w:rFonts w:ascii="Avenir Next" w:hAnsi="Avenir Next" w:cs="Arial"/>
          <w:sz w:val="22"/>
          <w:szCs w:val="22"/>
          <w:highlight w:val="yellow"/>
          <w:lang w:val="en-GB"/>
        </w:rPr>
        <w:t>insolvency</w:t>
      </w:r>
      <w:r w:rsidR="001A68CC" w:rsidRPr="008A216A">
        <w:rPr>
          <w:rFonts w:ascii="Avenir Next" w:hAnsi="Avenir Next" w:cs="Arial"/>
          <w:sz w:val="22"/>
          <w:szCs w:val="22"/>
          <w:highlight w:val="yellow"/>
          <w:lang w:val="en-GB"/>
        </w:rPr>
        <w:t>”</w:t>
      </w:r>
      <w:r w:rsidRPr="008A216A">
        <w:rPr>
          <w:rFonts w:ascii="Avenir Next" w:hAnsi="Avenir Next" w:cs="Arial"/>
          <w:sz w:val="22"/>
          <w:szCs w:val="22"/>
          <w:highlight w:val="yellow"/>
          <w:lang w:val="en-GB"/>
        </w:rPr>
        <w:t xml:space="preserve"> in national legislation</w:t>
      </w:r>
      <w:r w:rsidRPr="008E3C96">
        <w:rPr>
          <w:rFonts w:ascii="Avenir Next" w:hAnsi="Avenir Next" w:cs="Arial"/>
          <w:sz w:val="22"/>
          <w:szCs w:val="22"/>
          <w:lang w:val="en-GB"/>
        </w:rPr>
        <w:t>.</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ListParagraph"/>
        <w:numPr>
          <w:ilvl w:val="0"/>
          <w:numId w:val="8"/>
        </w:numPr>
        <w:ind w:left="426"/>
        <w:jc w:val="both"/>
        <w:rPr>
          <w:rFonts w:ascii="Avenir Next" w:hAnsi="Avenir Next" w:cs="Arial"/>
          <w:sz w:val="22"/>
          <w:szCs w:val="22"/>
          <w:lang w:val="en-GB"/>
        </w:rPr>
      </w:pPr>
      <w:r w:rsidRPr="008A216A">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8E3C96">
        <w:rPr>
          <w:rFonts w:ascii="Avenir Next" w:hAnsi="Avenir Next" w:cs="Arial"/>
          <w:sz w:val="22"/>
          <w:szCs w:val="22"/>
          <w:lang w:val="en-GB"/>
        </w:rPr>
        <w:t xml:space="preserve">.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ED4E85" w:rsidRDefault="00C15FA2" w:rsidP="008E3C96">
      <w:pPr>
        <w:pStyle w:val="ListParagraph"/>
        <w:numPr>
          <w:ilvl w:val="0"/>
          <w:numId w:val="29"/>
        </w:numPr>
        <w:ind w:left="426"/>
        <w:jc w:val="both"/>
        <w:rPr>
          <w:rFonts w:ascii="Avenir Next" w:hAnsi="Avenir Next" w:cs="Arial"/>
          <w:sz w:val="22"/>
          <w:szCs w:val="22"/>
          <w:lang w:val="en-GB"/>
        </w:rPr>
      </w:pPr>
      <w:r w:rsidRPr="00ED4E85">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ED4E85" w:rsidRDefault="00C15FA2" w:rsidP="008E3C96">
      <w:pPr>
        <w:pStyle w:val="ListParagraph"/>
        <w:numPr>
          <w:ilvl w:val="0"/>
          <w:numId w:val="29"/>
        </w:numPr>
        <w:ind w:left="426"/>
        <w:jc w:val="both"/>
        <w:rPr>
          <w:rFonts w:ascii="Avenir Next" w:hAnsi="Avenir Next" w:cs="Arial"/>
          <w:sz w:val="22"/>
          <w:szCs w:val="22"/>
          <w:highlight w:val="yellow"/>
          <w:lang w:val="en-GB"/>
        </w:rPr>
      </w:pPr>
      <w:r w:rsidRPr="00ED4E85">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C3301A" w:rsidRDefault="00EC242E" w:rsidP="008E3C96">
      <w:pPr>
        <w:pStyle w:val="ListParagraph"/>
        <w:numPr>
          <w:ilvl w:val="0"/>
          <w:numId w:val="30"/>
        </w:numPr>
        <w:ind w:left="426"/>
        <w:jc w:val="both"/>
        <w:rPr>
          <w:rFonts w:ascii="Avenir Next" w:hAnsi="Avenir Next" w:cs="Arial"/>
          <w:sz w:val="22"/>
          <w:szCs w:val="22"/>
          <w:highlight w:val="yellow"/>
          <w:lang w:val="en-GB"/>
        </w:rPr>
      </w:pPr>
      <w:r w:rsidRPr="00C3301A">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w:t>
      </w:r>
      <w:r w:rsidRPr="00F60665">
        <w:rPr>
          <w:rFonts w:ascii="Avenir Next" w:hAnsi="Avenir Next" w:cs="Arial"/>
          <w:sz w:val="22"/>
          <w:szCs w:val="22"/>
          <w:lang w:val="en-GB"/>
        </w:rPr>
        <w:t xml:space="preserve">cross-border dispute, the main proceedings before the German court </w:t>
      </w:r>
      <w:r w:rsidR="00857862" w:rsidRPr="00F60665">
        <w:rPr>
          <w:rFonts w:ascii="Avenir Next" w:hAnsi="Avenir Next" w:cs="Arial"/>
          <w:sz w:val="22"/>
          <w:szCs w:val="22"/>
          <w:lang w:val="en-GB"/>
        </w:rPr>
        <w:t>concerns</w:t>
      </w:r>
      <w:r w:rsidRPr="00F60665">
        <w:rPr>
          <w:rFonts w:ascii="Avenir Next" w:hAnsi="Avenir Next" w:cs="Arial"/>
          <w:sz w:val="22"/>
          <w:szCs w:val="22"/>
          <w:lang w:val="en-GB"/>
        </w:rPr>
        <w:t xml:space="preserve"> Schatz GmbH (registered in Germany) and Canetier SARL (registered in France). The case </w:t>
      </w:r>
      <w:r w:rsidR="00857862" w:rsidRPr="00F60665">
        <w:rPr>
          <w:rFonts w:ascii="Avenir Next" w:hAnsi="Avenir Next" w:cs="Arial"/>
          <w:sz w:val="22"/>
          <w:szCs w:val="22"/>
          <w:lang w:val="en-GB"/>
        </w:rPr>
        <w:t>deals with</w:t>
      </w:r>
      <w:r w:rsidRPr="00F60665">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sidRPr="00F60665">
        <w:rPr>
          <w:rFonts w:ascii="Avenir Next" w:hAnsi="Avenir Next" w:cs="Arial"/>
          <w:sz w:val="22"/>
          <w:szCs w:val="22"/>
          <w:lang w:val="en-GB"/>
        </w:rPr>
        <w:t>should</w:t>
      </w:r>
      <w:r w:rsidRPr="00F60665">
        <w:rPr>
          <w:rFonts w:ascii="Avenir Next" w:hAnsi="Avenir Next" w:cs="Arial"/>
          <w:sz w:val="22"/>
          <w:szCs w:val="22"/>
          <w:lang w:val="en-GB"/>
        </w:rPr>
        <w:t xml:space="preserve"> be set aside because Canetier SARL must have been aware that Schatz GmbH was facing insolvency at the time the payments</w:t>
      </w:r>
      <w:r w:rsidRPr="008E3C96">
        <w:rPr>
          <w:rFonts w:ascii="Avenir Next" w:hAnsi="Avenir Next" w:cs="Arial"/>
          <w:sz w:val="22"/>
          <w:szCs w:val="22"/>
          <w:lang w:val="en-GB"/>
        </w:rPr>
        <w:t xml:space="preserve">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F60665" w:rsidRDefault="00EC242E" w:rsidP="00EC242E">
      <w:pPr>
        <w:pStyle w:val="ListParagraph"/>
        <w:numPr>
          <w:ilvl w:val="0"/>
          <w:numId w:val="9"/>
        </w:numPr>
        <w:ind w:left="426"/>
        <w:jc w:val="both"/>
        <w:rPr>
          <w:rFonts w:ascii="Avenir Next" w:hAnsi="Avenir Next" w:cs="Arial"/>
          <w:sz w:val="22"/>
          <w:szCs w:val="22"/>
          <w:lang w:val="en-GB"/>
        </w:rPr>
      </w:pPr>
      <w:r w:rsidRPr="00F60665">
        <w:rPr>
          <w:rFonts w:ascii="Avenir Next" w:hAnsi="Avenir Next" w:cs="Arial"/>
          <w:sz w:val="22"/>
          <w:szCs w:val="22"/>
          <w:lang w:val="en-GB"/>
        </w:rPr>
        <w:lastRenderedPageBreak/>
        <w:t xml:space="preserve">The insolvency practitioner will always succeed in his claim if he can clearly prove that under the </w:t>
      </w:r>
      <w:r w:rsidRPr="00F60665">
        <w:rPr>
          <w:rFonts w:ascii="Avenir Next" w:hAnsi="Avenir Next" w:cs="Arial"/>
          <w:i/>
          <w:sz w:val="22"/>
          <w:szCs w:val="22"/>
          <w:lang w:val="en-GB"/>
        </w:rPr>
        <w:t>lex concursus</w:t>
      </w:r>
      <w:r w:rsidRPr="00F60665">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40090620"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Canetier SARL can prove that the </w:t>
      </w:r>
      <w:r w:rsidRPr="008E3C96">
        <w:rPr>
          <w:rFonts w:ascii="Avenir Next" w:hAnsi="Avenir Next" w:cs="Arial"/>
          <w:i/>
          <w:sz w:val="22"/>
          <w:szCs w:val="22"/>
          <w:lang w:val="en-GB"/>
        </w:rPr>
        <w:t>lex causae</w:t>
      </w:r>
      <w:r w:rsidRPr="008E3C96">
        <w:rPr>
          <w:rFonts w:ascii="Avenir Next" w:hAnsi="Avenir Next" w:cs="Arial"/>
          <w:sz w:val="22"/>
          <w:szCs w:val="22"/>
          <w:lang w:val="en-GB"/>
        </w:rPr>
        <w:t xml:space="preserve"> (including its general provisions and insolvency rules) does not allow any means of challenging the contested </w:t>
      </w:r>
      <w:r w:rsidR="00AA3E9E" w:rsidRPr="008E3C96">
        <w:rPr>
          <w:rFonts w:ascii="Avenir Next" w:hAnsi="Avenir Next" w:cs="Arial"/>
          <w:sz w:val="22"/>
          <w:szCs w:val="22"/>
          <w:lang w:val="en-GB"/>
        </w:rPr>
        <w:t>transactions and</w:t>
      </w:r>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F60665" w:rsidRDefault="00054E15" w:rsidP="00054E15">
      <w:pPr>
        <w:pStyle w:val="ListParagraph"/>
        <w:numPr>
          <w:ilvl w:val="0"/>
          <w:numId w:val="9"/>
        </w:numPr>
        <w:ind w:left="426"/>
        <w:jc w:val="both"/>
        <w:rPr>
          <w:rFonts w:ascii="Avenir Next" w:hAnsi="Avenir Next" w:cs="Arial"/>
          <w:sz w:val="22"/>
          <w:szCs w:val="22"/>
          <w:highlight w:val="yellow"/>
          <w:lang w:val="en-GB"/>
        </w:rPr>
      </w:pPr>
      <w:r w:rsidRPr="00F60665">
        <w:rPr>
          <w:rFonts w:ascii="Avenir Next" w:hAnsi="Avenir Next" w:cs="Arial"/>
          <w:sz w:val="22"/>
          <w:szCs w:val="22"/>
          <w:highlight w:val="yellow"/>
          <w:lang w:val="en-GB"/>
        </w:rPr>
        <w:t xml:space="preserve">The contested payments </w:t>
      </w:r>
      <w:r w:rsidR="00FC235E" w:rsidRPr="00F60665">
        <w:rPr>
          <w:rFonts w:ascii="Avenir Next" w:hAnsi="Avenir Next" w:cs="Arial"/>
          <w:sz w:val="22"/>
          <w:szCs w:val="22"/>
          <w:highlight w:val="yellow"/>
          <w:lang w:val="en-GB"/>
        </w:rPr>
        <w:t>will</w:t>
      </w:r>
      <w:r w:rsidRPr="00F60665">
        <w:rPr>
          <w:rFonts w:ascii="Avenir Next" w:hAnsi="Avenir Next" w:cs="Arial"/>
          <w:sz w:val="22"/>
          <w:szCs w:val="22"/>
          <w:highlight w:val="yellow"/>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w:t>
      </w:r>
      <w:r w:rsidRPr="003039FE">
        <w:rPr>
          <w:rFonts w:ascii="Avenir Next" w:hAnsi="Avenir Next" w:cs="Arial"/>
          <w:sz w:val="22"/>
          <w:szCs w:val="22"/>
          <w:lang w:val="en-GB"/>
        </w:rPr>
        <w:t>Recast. Indicate the name of the provision / concept (as well as the relevant EIR Recast article), addressed</w:t>
      </w:r>
      <w:r w:rsidRPr="008E3C96">
        <w:rPr>
          <w:rFonts w:ascii="Avenir Next" w:hAnsi="Avenir Next" w:cs="Arial"/>
          <w:sz w:val="22"/>
          <w:szCs w:val="22"/>
          <w:lang w:val="en-GB"/>
        </w:rPr>
        <w:t xml:space="preserve">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791F46D1" w14:textId="52278BFC" w:rsidR="00334A88" w:rsidRPr="009223BE" w:rsidRDefault="00ED4E85" w:rsidP="00334A88">
      <w:pPr>
        <w:pStyle w:val="ListParagraph"/>
        <w:numPr>
          <w:ilvl w:val="0"/>
          <w:numId w:val="31"/>
        </w:numPr>
        <w:jc w:val="both"/>
        <w:rPr>
          <w:rFonts w:ascii="Avenir Next" w:hAnsi="Avenir Next" w:cs="Arial"/>
          <w:sz w:val="22"/>
          <w:szCs w:val="22"/>
        </w:rPr>
      </w:pPr>
      <w:r w:rsidRPr="00ED4E85">
        <w:rPr>
          <w:rFonts w:ascii="Avenir Next" w:hAnsi="Avenir Next" w:cs="Arial"/>
          <w:color w:val="7B7B7B" w:themeColor="accent3" w:themeShade="BF"/>
          <w:sz w:val="22"/>
          <w:szCs w:val="22"/>
        </w:rPr>
        <w:t xml:space="preserve">This is the registered office presumption. Recital 30 EIR Recast provides </w:t>
      </w:r>
      <w:r>
        <w:rPr>
          <w:rFonts w:ascii="Avenir Next" w:hAnsi="Avenir Next" w:cs="Arial"/>
          <w:color w:val="7B7B7B" w:themeColor="accent3" w:themeShade="BF"/>
          <w:sz w:val="22"/>
          <w:szCs w:val="22"/>
        </w:rPr>
        <w:t xml:space="preserve">that the presumption should be rebuttable. </w:t>
      </w:r>
      <w:r w:rsidR="000B6180">
        <w:rPr>
          <w:rFonts w:ascii="Avenir Next" w:hAnsi="Avenir Next" w:cs="Arial"/>
          <w:color w:val="7B7B7B" w:themeColor="accent3" w:themeShade="BF"/>
          <w:sz w:val="22"/>
          <w:szCs w:val="22"/>
        </w:rPr>
        <w:t>The presumption is set out in Article 3(1), which provides that the registered office shall be presumed to be the centre of its main interests “in the absence of proof to the contrary”</w:t>
      </w:r>
    </w:p>
    <w:p w14:paraId="523217AA" w14:textId="77777777" w:rsidR="009223BE" w:rsidRPr="00334A88" w:rsidRDefault="009223BE" w:rsidP="009223BE">
      <w:pPr>
        <w:pStyle w:val="ListParagraph"/>
        <w:jc w:val="both"/>
        <w:rPr>
          <w:rFonts w:ascii="Avenir Next" w:hAnsi="Avenir Next" w:cs="Arial"/>
          <w:sz w:val="22"/>
          <w:szCs w:val="22"/>
        </w:rPr>
      </w:pPr>
    </w:p>
    <w:p w14:paraId="73AC5F8D" w14:textId="10BE9543" w:rsidR="000B6180" w:rsidRPr="00334A88" w:rsidRDefault="003303BB" w:rsidP="00334A88">
      <w:pPr>
        <w:pStyle w:val="ListParagraph"/>
        <w:numPr>
          <w:ilvl w:val="0"/>
          <w:numId w:val="31"/>
        </w:numPr>
        <w:jc w:val="both"/>
        <w:rPr>
          <w:rFonts w:ascii="Avenir Next" w:hAnsi="Avenir Next" w:cs="Arial"/>
          <w:color w:val="7F7F7F" w:themeColor="text1" w:themeTint="80"/>
          <w:sz w:val="22"/>
          <w:szCs w:val="22"/>
        </w:rPr>
      </w:pPr>
      <w:r w:rsidRPr="00334A88">
        <w:rPr>
          <w:rFonts w:ascii="Avenir Next" w:hAnsi="Avenir Next" w:cs="Arial"/>
          <w:color w:val="7F7F7F" w:themeColor="text1" w:themeTint="80"/>
          <w:sz w:val="22"/>
          <w:szCs w:val="22"/>
        </w:rPr>
        <w:t xml:space="preserve">This is the objective of business rescue of economically viable businesses. </w:t>
      </w:r>
      <w:r w:rsidR="000B6180" w:rsidRPr="00334A88">
        <w:rPr>
          <w:rFonts w:ascii="Avenir Next" w:hAnsi="Avenir Next" w:cs="Arial"/>
          <w:color w:val="7F7F7F" w:themeColor="text1" w:themeTint="80"/>
          <w:sz w:val="22"/>
          <w:szCs w:val="22"/>
        </w:rPr>
        <w:t xml:space="preserve">Recital 10 provides that the scope of the EIR should extend to proceedings which promote the rescue of economically viable but distressed </w:t>
      </w:r>
      <w:r w:rsidR="00AA3E9E" w:rsidRPr="00334A88">
        <w:rPr>
          <w:rFonts w:ascii="Avenir Next" w:hAnsi="Avenir Next" w:cs="Arial"/>
          <w:color w:val="7F7F7F" w:themeColor="text1" w:themeTint="80"/>
          <w:sz w:val="22"/>
          <w:szCs w:val="22"/>
        </w:rPr>
        <w:t>businesses,</w:t>
      </w:r>
      <w:r w:rsidR="000B6180" w:rsidRPr="00334A88">
        <w:rPr>
          <w:rFonts w:ascii="Avenir Next" w:hAnsi="Avenir Next" w:cs="Arial"/>
          <w:color w:val="7F7F7F" w:themeColor="text1" w:themeTint="80"/>
          <w:sz w:val="22"/>
          <w:szCs w:val="22"/>
        </w:rPr>
        <w:t xml:space="preserve"> and which should give a second chance to entrepreneurs. </w:t>
      </w:r>
      <w:r w:rsidR="00AA3E9E" w:rsidRPr="00334A88">
        <w:rPr>
          <w:rFonts w:ascii="Avenir Next" w:hAnsi="Avenir Next" w:cs="Arial"/>
          <w:color w:val="7F7F7F" w:themeColor="text1" w:themeTint="80"/>
          <w:sz w:val="22"/>
          <w:szCs w:val="22"/>
        </w:rPr>
        <w:t>Recital</w:t>
      </w:r>
      <w:r w:rsidR="000B6180" w:rsidRPr="00334A88">
        <w:rPr>
          <w:rFonts w:ascii="Avenir Next" w:hAnsi="Avenir Next" w:cs="Arial"/>
          <w:color w:val="7F7F7F" w:themeColor="text1" w:themeTint="80"/>
          <w:sz w:val="22"/>
          <w:szCs w:val="22"/>
        </w:rPr>
        <w:t xml:space="preserve"> 10 notes that the Regulation should extend to restructuring proceedings where there is on</w:t>
      </w:r>
      <w:r w:rsidR="003039FE">
        <w:rPr>
          <w:rFonts w:ascii="Avenir Next" w:hAnsi="Avenir Next" w:cs="Arial"/>
          <w:color w:val="7F7F7F" w:themeColor="text1" w:themeTint="80"/>
          <w:sz w:val="22"/>
          <w:szCs w:val="22"/>
        </w:rPr>
        <w:t>l</w:t>
      </w:r>
      <w:r w:rsidR="000B6180" w:rsidRPr="00334A88">
        <w:rPr>
          <w:rFonts w:ascii="Avenir Next" w:hAnsi="Avenir Next" w:cs="Arial"/>
          <w:color w:val="7F7F7F" w:themeColor="text1" w:themeTint="80"/>
          <w:sz w:val="22"/>
          <w:szCs w:val="22"/>
        </w:rPr>
        <w:t>y a likelihood of insolvency. Article 1 also clearly states that the scope of the Regulation includes proceedings aimed at rescu</w:t>
      </w:r>
      <w:r w:rsidRPr="00334A88">
        <w:rPr>
          <w:rFonts w:ascii="Avenir Next" w:hAnsi="Avenir Next" w:cs="Arial"/>
          <w:color w:val="7F7F7F" w:themeColor="text1" w:themeTint="80"/>
          <w:sz w:val="22"/>
          <w:szCs w:val="22"/>
        </w:rPr>
        <w:t xml:space="preserve">e and </w:t>
      </w:r>
      <w:r w:rsidR="00AA3E9E" w:rsidRPr="00334A88">
        <w:rPr>
          <w:rFonts w:ascii="Avenir Next" w:hAnsi="Avenir Next" w:cs="Arial"/>
          <w:color w:val="7F7F7F" w:themeColor="text1" w:themeTint="80"/>
          <w:sz w:val="22"/>
          <w:szCs w:val="22"/>
        </w:rPr>
        <w:t>provides</w:t>
      </w:r>
      <w:r w:rsidRPr="00334A88">
        <w:rPr>
          <w:rFonts w:ascii="Avenir Next" w:hAnsi="Avenir Next" w:cs="Arial"/>
          <w:color w:val="7F7F7F" w:themeColor="text1" w:themeTint="80"/>
          <w:sz w:val="22"/>
          <w:szCs w:val="22"/>
        </w:rPr>
        <w:t xml:space="preserve"> that, “Where the proceedings referred to in this paragraph may be commenced in situations where there is only a likelihood of insolvency, their </w:t>
      </w:r>
      <w:r w:rsidRPr="00334A88">
        <w:rPr>
          <w:rFonts w:ascii="Avenir Next" w:hAnsi="Avenir Next" w:cs="Arial"/>
          <w:color w:val="7F7F7F" w:themeColor="text1" w:themeTint="80"/>
          <w:sz w:val="22"/>
          <w:szCs w:val="22"/>
        </w:rPr>
        <w:lastRenderedPageBreak/>
        <w:t xml:space="preserve">purpose shall be to avoid the debtor’s insolvency or the cessation of the debtor’s business activities.”  </w:t>
      </w:r>
      <w:r w:rsidR="000B6180" w:rsidRPr="00334A88">
        <w:rPr>
          <w:rFonts w:ascii="Avenir Next" w:hAnsi="Avenir Next" w:cs="Arial"/>
          <w:color w:val="7F7F7F" w:themeColor="text1" w:themeTint="80"/>
          <w:sz w:val="22"/>
          <w:szCs w:val="22"/>
        </w:rPr>
        <w:t xml:space="preserv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4EFB01F" w14:textId="66C2BBC8" w:rsidR="00351E54" w:rsidRDefault="003303BB" w:rsidP="00351E54">
      <w:pPr>
        <w:pStyle w:val="ListParagraph"/>
        <w:numPr>
          <w:ilvl w:val="0"/>
          <w:numId w:val="32"/>
        </w:numPr>
        <w:jc w:val="both"/>
        <w:rPr>
          <w:rFonts w:ascii="Avenir Next" w:hAnsi="Avenir Next" w:cs="Arial"/>
          <w:color w:val="7B7B7B" w:themeColor="accent3" w:themeShade="BF"/>
          <w:sz w:val="22"/>
          <w:szCs w:val="22"/>
          <w:lang w:val="en-GB"/>
        </w:rPr>
      </w:pPr>
      <w:r w:rsidRPr="00351E54">
        <w:rPr>
          <w:rFonts w:ascii="Avenir Next" w:hAnsi="Avenir Next" w:cs="Arial"/>
          <w:color w:val="7B7B7B" w:themeColor="accent3" w:themeShade="BF"/>
          <w:sz w:val="22"/>
          <w:szCs w:val="22"/>
          <w:lang w:val="en-GB"/>
        </w:rPr>
        <w:t xml:space="preserve">The possibility of opening secondary proceedings in a Member State where the Debtor has an establishment </w:t>
      </w:r>
      <w:r w:rsidR="00351E54">
        <w:rPr>
          <w:rFonts w:ascii="Avenir Next" w:hAnsi="Avenir Next" w:cs="Arial"/>
          <w:color w:val="7B7B7B" w:themeColor="accent3" w:themeShade="BF"/>
          <w:sz w:val="22"/>
          <w:szCs w:val="22"/>
          <w:lang w:val="en-GB"/>
        </w:rPr>
        <w:t xml:space="preserve">(Article 3(2)-(4)) </w:t>
      </w:r>
      <w:r w:rsidRPr="00351E54">
        <w:rPr>
          <w:rFonts w:ascii="Avenir Next" w:hAnsi="Avenir Next" w:cs="Arial"/>
          <w:color w:val="7B7B7B" w:themeColor="accent3" w:themeShade="BF"/>
          <w:sz w:val="22"/>
          <w:szCs w:val="22"/>
          <w:lang w:val="en-GB"/>
        </w:rPr>
        <w:t>ancillary to main proceedings</w:t>
      </w:r>
      <w:r w:rsidR="003039FE">
        <w:rPr>
          <w:rFonts w:ascii="Avenir Next" w:hAnsi="Avenir Next" w:cs="Arial"/>
          <w:color w:val="7B7B7B" w:themeColor="accent3" w:themeShade="BF"/>
          <w:sz w:val="22"/>
          <w:szCs w:val="22"/>
          <w:lang w:val="en-GB"/>
        </w:rPr>
        <w:t>,</w:t>
      </w:r>
      <w:r w:rsidRPr="00351E54">
        <w:rPr>
          <w:rFonts w:ascii="Avenir Next" w:hAnsi="Avenir Next" w:cs="Arial"/>
          <w:color w:val="7B7B7B" w:themeColor="accent3" w:themeShade="BF"/>
          <w:sz w:val="22"/>
          <w:szCs w:val="22"/>
          <w:lang w:val="en-GB"/>
        </w:rPr>
        <w:t xml:space="preserve"> which are initiated at the debtor’s centre of main interests. This is an example of modified universalism as the main proceedings have universal scope and encompass all of the Debtor’s assets throughout the EU and secondary proceedings, which only </w:t>
      </w:r>
      <w:r w:rsidR="00351E54" w:rsidRPr="00351E54">
        <w:rPr>
          <w:rFonts w:ascii="Avenir Next" w:hAnsi="Avenir Next" w:cs="Arial"/>
          <w:color w:val="7B7B7B" w:themeColor="accent3" w:themeShade="BF"/>
          <w:sz w:val="22"/>
          <w:szCs w:val="22"/>
          <w:lang w:val="en-GB"/>
        </w:rPr>
        <w:t>cover assets within the relevant geographical area and therefore protect local interests.</w:t>
      </w:r>
    </w:p>
    <w:p w14:paraId="57AADE7E" w14:textId="77777777" w:rsidR="009223BE" w:rsidRPr="00351E54" w:rsidRDefault="009223BE" w:rsidP="009223BE">
      <w:pPr>
        <w:pStyle w:val="ListParagraph"/>
        <w:jc w:val="both"/>
        <w:rPr>
          <w:rFonts w:ascii="Avenir Next" w:hAnsi="Avenir Next" w:cs="Arial"/>
          <w:color w:val="7B7B7B" w:themeColor="accent3" w:themeShade="BF"/>
          <w:sz w:val="22"/>
          <w:szCs w:val="22"/>
          <w:lang w:val="en-GB"/>
        </w:rPr>
      </w:pPr>
    </w:p>
    <w:p w14:paraId="06AD6F15" w14:textId="77777777" w:rsidR="009223BE" w:rsidRDefault="003303BB" w:rsidP="009223BE">
      <w:pPr>
        <w:pStyle w:val="ListParagraph"/>
        <w:numPr>
          <w:ilvl w:val="0"/>
          <w:numId w:val="32"/>
        </w:numPr>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 xml:space="preserve">The Regulation provides for co-ordination between </w:t>
      </w:r>
      <w:r w:rsidR="00351E54" w:rsidRPr="009223BE">
        <w:rPr>
          <w:rFonts w:ascii="Avenir Next" w:hAnsi="Avenir Next" w:cs="Arial"/>
          <w:color w:val="7B7B7B" w:themeColor="accent3" w:themeShade="BF"/>
          <w:sz w:val="22"/>
          <w:szCs w:val="22"/>
          <w:lang w:val="en-GB"/>
        </w:rPr>
        <w:t>Courts</w:t>
      </w:r>
      <w:r w:rsidR="00460C8C" w:rsidRPr="009223BE">
        <w:rPr>
          <w:rFonts w:ascii="Avenir Next" w:hAnsi="Avenir Next" w:cs="Arial"/>
          <w:color w:val="7B7B7B" w:themeColor="accent3" w:themeShade="BF"/>
          <w:sz w:val="22"/>
          <w:szCs w:val="22"/>
          <w:lang w:val="en-GB"/>
        </w:rPr>
        <w:t xml:space="preserve">, </w:t>
      </w:r>
      <w:r w:rsidR="00351E54" w:rsidRPr="009223BE">
        <w:rPr>
          <w:rFonts w:ascii="Avenir Next" w:hAnsi="Avenir Next" w:cs="Arial"/>
          <w:color w:val="7B7B7B" w:themeColor="accent3" w:themeShade="BF"/>
          <w:sz w:val="22"/>
          <w:szCs w:val="22"/>
          <w:lang w:val="en-GB"/>
        </w:rPr>
        <w:t>insolvency practitioners</w:t>
      </w:r>
      <w:r w:rsidR="00460C8C" w:rsidRPr="009223BE">
        <w:rPr>
          <w:rFonts w:ascii="Avenir Next" w:hAnsi="Avenir Next" w:cs="Arial"/>
          <w:color w:val="7B7B7B" w:themeColor="accent3" w:themeShade="BF"/>
          <w:sz w:val="22"/>
          <w:szCs w:val="22"/>
          <w:lang w:val="en-GB"/>
        </w:rPr>
        <w:t xml:space="preserve"> and both Courts and insolvency practitioners. This emphasis on exchange of information and co-operation emphasises the notion of trust between Member States whilst nevertheless upholding the application of the </w:t>
      </w:r>
      <w:r w:rsidR="00460C8C" w:rsidRPr="009223BE">
        <w:rPr>
          <w:rFonts w:ascii="Avenir Next" w:hAnsi="Avenir Next" w:cs="Arial"/>
          <w:i/>
          <w:iCs/>
          <w:color w:val="7B7B7B" w:themeColor="accent3" w:themeShade="BF"/>
          <w:sz w:val="22"/>
          <w:szCs w:val="22"/>
          <w:lang w:val="en-GB"/>
        </w:rPr>
        <w:t>lex concursus</w:t>
      </w:r>
      <w:r w:rsidR="00460C8C" w:rsidRPr="009223BE">
        <w:rPr>
          <w:rFonts w:ascii="Avenir Next" w:hAnsi="Avenir Next" w:cs="Arial"/>
          <w:color w:val="7B7B7B" w:themeColor="accent3" w:themeShade="BF"/>
          <w:sz w:val="22"/>
          <w:szCs w:val="22"/>
          <w:lang w:val="en-GB"/>
        </w:rPr>
        <w:t>.</w:t>
      </w:r>
    </w:p>
    <w:p w14:paraId="468B1EC4" w14:textId="77777777" w:rsidR="009223BE" w:rsidRPr="009223BE" w:rsidRDefault="009223BE" w:rsidP="009223BE">
      <w:pPr>
        <w:pStyle w:val="ListParagraph"/>
        <w:rPr>
          <w:rFonts w:ascii="Avenir Next" w:hAnsi="Avenir Next" w:cs="Arial"/>
          <w:color w:val="7B7B7B" w:themeColor="accent3" w:themeShade="BF"/>
          <w:sz w:val="22"/>
          <w:szCs w:val="22"/>
          <w:lang w:val="en-GB"/>
        </w:rPr>
      </w:pPr>
    </w:p>
    <w:p w14:paraId="7CF47469" w14:textId="75A99B08" w:rsidR="003303BB" w:rsidRPr="009223BE" w:rsidRDefault="00351E54" w:rsidP="009223BE">
      <w:pPr>
        <w:pStyle w:val="ListParagraph"/>
        <w:numPr>
          <w:ilvl w:val="0"/>
          <w:numId w:val="32"/>
        </w:numPr>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 xml:space="preserve"> </w:t>
      </w:r>
      <w:r w:rsidR="002C0C59" w:rsidRPr="009223BE">
        <w:rPr>
          <w:rFonts w:ascii="Avenir Next" w:hAnsi="Avenir Next" w:cs="Arial"/>
          <w:color w:val="7B7B7B" w:themeColor="accent3" w:themeShade="BF"/>
          <w:sz w:val="22"/>
          <w:szCs w:val="22"/>
          <w:lang w:val="en-GB"/>
        </w:rPr>
        <w:t xml:space="preserve">The Regulation provides </w:t>
      </w:r>
      <w:r w:rsidR="00334A88" w:rsidRPr="009223BE">
        <w:rPr>
          <w:rFonts w:ascii="Avenir Next" w:hAnsi="Avenir Next" w:cs="Arial"/>
          <w:color w:val="7B7B7B" w:themeColor="accent3" w:themeShade="BF"/>
          <w:sz w:val="22"/>
          <w:szCs w:val="22"/>
          <w:lang w:val="en-GB"/>
        </w:rPr>
        <w:t>a substantial framework for group insolvencies</w:t>
      </w:r>
      <w:r w:rsidR="00460C8C" w:rsidRPr="009223BE">
        <w:rPr>
          <w:rFonts w:ascii="Avenir Next" w:hAnsi="Avenir Next" w:cs="Arial"/>
          <w:color w:val="7B7B7B" w:themeColor="accent3" w:themeShade="BF"/>
          <w:sz w:val="22"/>
          <w:szCs w:val="22"/>
          <w:lang w:val="en-GB"/>
        </w:rPr>
        <w:t xml:space="preserve"> (Articles 61-77)</w:t>
      </w:r>
      <w:r w:rsidR="00334A88" w:rsidRPr="009223BE">
        <w:rPr>
          <w:rFonts w:ascii="Avenir Next" w:hAnsi="Avenir Next" w:cs="Arial"/>
          <w:color w:val="7B7B7B" w:themeColor="accent3" w:themeShade="BF"/>
          <w:sz w:val="22"/>
          <w:szCs w:val="22"/>
          <w:lang w:val="en-GB"/>
        </w:rPr>
        <w:t>; this highlights the approach to modified universalism because the members of corporate groups might be based across Member States with confusingly intermingled assets</w:t>
      </w:r>
      <w:r w:rsidR="00460C8C" w:rsidRPr="009223BE">
        <w:rPr>
          <w:rFonts w:ascii="Avenir Next" w:hAnsi="Avenir Next" w:cs="Arial"/>
          <w:color w:val="7B7B7B" w:themeColor="accent3" w:themeShade="BF"/>
          <w:sz w:val="22"/>
          <w:szCs w:val="22"/>
          <w:lang w:val="en-GB"/>
        </w:rPr>
        <w:t>.</w:t>
      </w:r>
      <w:r w:rsidR="00334A88" w:rsidRPr="009223BE">
        <w:rPr>
          <w:rFonts w:ascii="Avenir Next" w:hAnsi="Avenir Next" w:cs="Arial"/>
          <w:color w:val="7B7B7B" w:themeColor="accent3" w:themeShade="BF"/>
          <w:sz w:val="22"/>
          <w:szCs w:val="22"/>
          <w:lang w:val="en-GB"/>
        </w:rPr>
        <w:t xml:space="preserve"> </w:t>
      </w:r>
      <w:r w:rsidR="00460C8C" w:rsidRPr="009223BE">
        <w:rPr>
          <w:rFonts w:ascii="Avenir Next" w:hAnsi="Avenir Next" w:cs="Arial"/>
          <w:color w:val="7B7B7B" w:themeColor="accent3" w:themeShade="BF"/>
          <w:sz w:val="22"/>
          <w:szCs w:val="22"/>
          <w:lang w:val="en-GB"/>
        </w:rPr>
        <w:t>A</w:t>
      </w:r>
      <w:r w:rsidR="00334A88" w:rsidRPr="009223BE">
        <w:rPr>
          <w:rFonts w:ascii="Avenir Next" w:hAnsi="Avenir Next" w:cs="Arial"/>
          <w:color w:val="7B7B7B" w:themeColor="accent3" w:themeShade="BF"/>
          <w:sz w:val="22"/>
          <w:szCs w:val="22"/>
          <w:lang w:val="en-GB"/>
        </w:rPr>
        <w:t xml:space="preserve"> universal approach would be detrimental to creditors and impossible to enforce, given that national laws differ widely on issues of priority and ranking of claims. Instead, whilst only voluntary, the</w:t>
      </w:r>
      <w:r w:rsidR="00460C8C" w:rsidRPr="009223BE">
        <w:rPr>
          <w:rFonts w:ascii="Avenir Next" w:hAnsi="Avenir Next" w:cs="Arial"/>
          <w:color w:val="7B7B7B" w:themeColor="accent3" w:themeShade="BF"/>
          <w:sz w:val="22"/>
          <w:szCs w:val="22"/>
          <w:lang w:val="en-GB"/>
        </w:rPr>
        <w:t xml:space="preserve">re are a number of powers included in those provisions, including merging the assets of various members of the group and appointing a single insolvency practitioner, aimed at simplifying and unifying the processes which would otherwise be involved. </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0FC7FFF7" w14:textId="77777777" w:rsidR="009223BE" w:rsidRDefault="009223BE" w:rsidP="009223BE">
      <w:pPr>
        <w:jc w:val="both"/>
        <w:rPr>
          <w:rFonts w:ascii="Avenir Next" w:hAnsi="Avenir Next" w:cs="Arial"/>
          <w:color w:val="7B7B7B" w:themeColor="accent3" w:themeShade="BF"/>
          <w:sz w:val="22"/>
          <w:szCs w:val="22"/>
          <w:lang w:val="en-GB"/>
        </w:rPr>
      </w:pPr>
    </w:p>
    <w:p w14:paraId="2A02F0FE" w14:textId="77777777" w:rsidR="009223BE" w:rsidRDefault="009223BE" w:rsidP="009223BE">
      <w:pPr>
        <w:jc w:val="both"/>
        <w:rPr>
          <w:rFonts w:ascii="Avenir Next" w:hAnsi="Avenir Next" w:cs="Arial"/>
          <w:color w:val="7B7B7B" w:themeColor="accent3" w:themeShade="BF"/>
          <w:sz w:val="22"/>
          <w:szCs w:val="22"/>
          <w:lang w:val="en-GB"/>
        </w:rPr>
      </w:pPr>
    </w:p>
    <w:p w14:paraId="3D7AF961" w14:textId="77777777" w:rsidR="009223BE" w:rsidRDefault="009223BE" w:rsidP="009223BE">
      <w:pPr>
        <w:jc w:val="both"/>
        <w:rPr>
          <w:rFonts w:ascii="Avenir Next" w:hAnsi="Avenir Next" w:cs="Arial"/>
          <w:color w:val="7B7B7B" w:themeColor="accent3" w:themeShade="BF"/>
          <w:sz w:val="22"/>
          <w:szCs w:val="22"/>
          <w:lang w:val="en-GB"/>
        </w:rPr>
      </w:pPr>
    </w:p>
    <w:p w14:paraId="25BFF9C4" w14:textId="2CD55DDA" w:rsidR="009223BE" w:rsidRDefault="002C0C59" w:rsidP="009223BE">
      <w:pPr>
        <w:pStyle w:val="ListParagraph"/>
        <w:numPr>
          <w:ilvl w:val="0"/>
          <w:numId w:val="44"/>
        </w:numPr>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 xml:space="preserve">Recital 48 provides that the efficient administration of the insolvent estate and effective realisation of assets requires co-operation between </w:t>
      </w:r>
      <w:r w:rsidR="00137C74" w:rsidRPr="009223BE">
        <w:rPr>
          <w:rFonts w:ascii="Avenir Next" w:hAnsi="Avenir Next" w:cs="Arial"/>
          <w:color w:val="7B7B7B" w:themeColor="accent3" w:themeShade="BF"/>
          <w:sz w:val="22"/>
          <w:szCs w:val="22"/>
          <w:lang w:val="en-GB"/>
        </w:rPr>
        <w:t>the actors involved</w:t>
      </w:r>
      <w:r w:rsidRPr="009223BE">
        <w:rPr>
          <w:rFonts w:ascii="Avenir Next" w:hAnsi="Avenir Next" w:cs="Arial"/>
          <w:color w:val="7B7B7B" w:themeColor="accent3" w:themeShade="BF"/>
          <w:sz w:val="22"/>
          <w:szCs w:val="22"/>
          <w:lang w:val="en-GB"/>
        </w:rPr>
        <w:t xml:space="preserve"> in all concurrent proceedings</w:t>
      </w:r>
      <w:r w:rsidR="009223BE" w:rsidRPr="009223BE">
        <w:rPr>
          <w:rFonts w:ascii="Avenir Next" w:hAnsi="Avenir Next" w:cs="Arial"/>
          <w:color w:val="7B7B7B" w:themeColor="accent3" w:themeShade="BF"/>
          <w:sz w:val="22"/>
          <w:szCs w:val="22"/>
          <w:lang w:val="en-GB"/>
        </w:rPr>
        <w:t>.</w:t>
      </w:r>
    </w:p>
    <w:p w14:paraId="107E2C8B"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50CD9ABC" w14:textId="7AB5F25D" w:rsidR="009223BE" w:rsidRDefault="002C0C59" w:rsidP="009223BE">
      <w:pPr>
        <w:pStyle w:val="ListParagraph"/>
        <w:numPr>
          <w:ilvl w:val="0"/>
          <w:numId w:val="44"/>
        </w:numPr>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Articles 41</w:t>
      </w:r>
      <w:r w:rsidR="00137C74" w:rsidRPr="009223BE">
        <w:rPr>
          <w:rFonts w:ascii="Avenir Next" w:hAnsi="Avenir Next" w:cs="Arial"/>
          <w:color w:val="7B7B7B" w:themeColor="accent3" w:themeShade="BF"/>
          <w:sz w:val="22"/>
          <w:szCs w:val="22"/>
          <w:lang w:val="en-GB"/>
        </w:rPr>
        <w:t xml:space="preserve"> to 44 </w:t>
      </w:r>
      <w:r w:rsidRPr="009223BE">
        <w:rPr>
          <w:rFonts w:ascii="Avenir Next" w:hAnsi="Avenir Next" w:cs="Arial"/>
          <w:color w:val="7B7B7B" w:themeColor="accent3" w:themeShade="BF"/>
          <w:sz w:val="22"/>
          <w:szCs w:val="22"/>
          <w:lang w:val="en-GB"/>
        </w:rPr>
        <w:t>set out in detail the framework of co-operation between insolvency practitioners, between Courts and between insolvency practitioners and Courts in relation to main and secondary proceedings</w:t>
      </w:r>
      <w:r w:rsidR="009223BE" w:rsidRPr="009223BE">
        <w:rPr>
          <w:rFonts w:ascii="Avenir Next" w:hAnsi="Avenir Next" w:cs="Arial"/>
          <w:color w:val="7B7B7B" w:themeColor="accent3" w:themeShade="BF"/>
          <w:sz w:val="22"/>
          <w:szCs w:val="22"/>
          <w:lang w:val="en-GB"/>
        </w:rPr>
        <w:t>.</w:t>
      </w:r>
    </w:p>
    <w:p w14:paraId="311FD259"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51F7221D" w14:textId="05816A09" w:rsidR="002C0C59" w:rsidRPr="009223BE" w:rsidRDefault="002C0C59" w:rsidP="009223BE">
      <w:pPr>
        <w:pStyle w:val="ListParagraph"/>
        <w:numPr>
          <w:ilvl w:val="0"/>
          <w:numId w:val="44"/>
        </w:numPr>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 xml:space="preserve">Articles 56 to 59 set out </w:t>
      </w:r>
      <w:r w:rsidR="00137C74" w:rsidRPr="009223BE">
        <w:rPr>
          <w:rFonts w:ascii="Avenir Next" w:hAnsi="Avenir Next" w:cs="Arial"/>
          <w:color w:val="7B7B7B" w:themeColor="accent3" w:themeShade="BF"/>
          <w:sz w:val="22"/>
          <w:szCs w:val="22"/>
          <w:lang w:val="en-GB"/>
        </w:rPr>
        <w:t xml:space="preserve">in detail </w:t>
      </w:r>
      <w:r w:rsidRPr="009223BE">
        <w:rPr>
          <w:rFonts w:ascii="Avenir Next" w:hAnsi="Avenir Next" w:cs="Arial"/>
          <w:color w:val="7B7B7B" w:themeColor="accent3" w:themeShade="BF"/>
          <w:sz w:val="22"/>
          <w:szCs w:val="22"/>
          <w:lang w:val="en-GB"/>
        </w:rPr>
        <w:t>the framework of co-operation between insolvency practitioners, between Courts and between insolvency practitioners and Courts in relation insolvency proceedings concerning a member of a group of companies.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5FDE7639" w:rsidR="009954B2" w:rsidRPr="00460C8C" w:rsidRDefault="00137C74" w:rsidP="00137C74">
      <w:pPr>
        <w:pStyle w:val="ListParagraph"/>
        <w:numPr>
          <w:ilvl w:val="0"/>
          <w:numId w:val="33"/>
        </w:numPr>
        <w:jc w:val="both"/>
        <w:rPr>
          <w:rFonts w:ascii="Avenir Next" w:hAnsi="Avenir Next" w:cs="Arial"/>
          <w:color w:val="7F7F7F" w:themeColor="text1" w:themeTint="80"/>
          <w:sz w:val="22"/>
          <w:szCs w:val="22"/>
          <w:lang w:val="en-GB"/>
        </w:rPr>
      </w:pPr>
      <w:r w:rsidRPr="00460C8C">
        <w:rPr>
          <w:rFonts w:ascii="Avenir Next" w:hAnsi="Avenir Next" w:cs="Arial"/>
          <w:color w:val="7F7F7F" w:themeColor="text1" w:themeTint="80"/>
          <w:sz w:val="22"/>
          <w:szCs w:val="22"/>
          <w:lang w:val="en-GB"/>
        </w:rPr>
        <w:t xml:space="preserve">Synthetic secondary proceedings or undertakings. This is an undertaking provided by the insolvency practitioner in main proceedings pursuant to Article 36 that protects the general interests of local creditors, </w:t>
      </w:r>
      <w:r w:rsidR="003039FE" w:rsidRPr="00460C8C">
        <w:rPr>
          <w:rFonts w:ascii="Avenir Next" w:hAnsi="Avenir Next" w:cs="Arial"/>
          <w:color w:val="7F7F7F" w:themeColor="text1" w:themeTint="80"/>
          <w:sz w:val="22"/>
          <w:szCs w:val="22"/>
          <w:lang w:val="en-GB"/>
        </w:rPr>
        <w:t>i.e.,</w:t>
      </w:r>
      <w:r w:rsidRPr="00460C8C">
        <w:rPr>
          <w:rFonts w:ascii="Avenir Next" w:hAnsi="Avenir Next" w:cs="Arial"/>
          <w:color w:val="7F7F7F" w:themeColor="text1" w:themeTint="80"/>
          <w:sz w:val="22"/>
          <w:szCs w:val="22"/>
          <w:lang w:val="en-GB"/>
        </w:rPr>
        <w:t xml:space="preserve"> </w:t>
      </w:r>
      <w:r w:rsidR="003039FE">
        <w:rPr>
          <w:rFonts w:ascii="Avenir Next" w:hAnsi="Avenir Next" w:cs="Arial"/>
          <w:color w:val="7F7F7F" w:themeColor="text1" w:themeTint="80"/>
          <w:sz w:val="22"/>
          <w:szCs w:val="22"/>
          <w:lang w:val="en-GB"/>
        </w:rPr>
        <w:t>providing</w:t>
      </w:r>
      <w:r w:rsidRPr="00460C8C">
        <w:rPr>
          <w:rFonts w:ascii="Avenir Next" w:hAnsi="Avenir Next" w:cs="Arial"/>
          <w:color w:val="7F7F7F" w:themeColor="text1" w:themeTint="80"/>
          <w:sz w:val="22"/>
          <w:szCs w:val="22"/>
          <w:lang w:val="en-GB"/>
        </w:rPr>
        <w:t xml:space="preserve"> that local creditors will receive as a minimum as much as they would if secondary proceedings were opened. If the Court asked to open secondary proceedings is satisfied that the undertaking is sufficient to protect local interests</w:t>
      </w:r>
      <w:r w:rsidR="003039FE">
        <w:rPr>
          <w:rFonts w:ascii="Avenir Next" w:hAnsi="Avenir Next" w:cs="Arial"/>
          <w:color w:val="7F7F7F" w:themeColor="text1" w:themeTint="80"/>
          <w:sz w:val="22"/>
          <w:szCs w:val="22"/>
          <w:lang w:val="en-GB"/>
        </w:rPr>
        <w:t>,</w:t>
      </w:r>
      <w:r w:rsidRPr="00460C8C">
        <w:rPr>
          <w:rFonts w:ascii="Avenir Next" w:hAnsi="Avenir Next" w:cs="Arial"/>
          <w:color w:val="7F7F7F" w:themeColor="text1" w:themeTint="80"/>
          <w:sz w:val="22"/>
          <w:szCs w:val="22"/>
          <w:lang w:val="en-GB"/>
        </w:rPr>
        <w:t xml:space="preserve"> it shall not open secondary proceedings (Article 38</w:t>
      </w:r>
      <w:r w:rsidR="008804A2" w:rsidRPr="00460C8C">
        <w:rPr>
          <w:rFonts w:ascii="Avenir Next" w:hAnsi="Avenir Next" w:cs="Arial"/>
          <w:color w:val="7F7F7F" w:themeColor="text1" w:themeTint="80"/>
          <w:sz w:val="22"/>
          <w:szCs w:val="22"/>
          <w:lang w:val="en-GB"/>
        </w:rPr>
        <w:t>(2)</w:t>
      </w:r>
      <w:r w:rsidRPr="00460C8C">
        <w:rPr>
          <w:rFonts w:ascii="Avenir Next" w:hAnsi="Avenir Next" w:cs="Arial"/>
          <w:color w:val="7F7F7F" w:themeColor="text1" w:themeTint="80"/>
          <w:sz w:val="22"/>
          <w:szCs w:val="22"/>
          <w:lang w:val="en-GB"/>
        </w:rPr>
        <w:t xml:space="preserve">). This avoids secondary proceedings being opened on acceptance of a sufficient undertaking. </w:t>
      </w:r>
    </w:p>
    <w:p w14:paraId="1889FF97" w14:textId="77777777" w:rsidR="00137C74" w:rsidRPr="00460C8C" w:rsidRDefault="00137C74" w:rsidP="00137C74">
      <w:pPr>
        <w:pStyle w:val="ListParagraph"/>
        <w:jc w:val="both"/>
        <w:rPr>
          <w:rFonts w:ascii="Avenir Next" w:hAnsi="Avenir Next" w:cs="Arial"/>
          <w:color w:val="7F7F7F" w:themeColor="text1" w:themeTint="80"/>
          <w:sz w:val="22"/>
          <w:szCs w:val="22"/>
          <w:lang w:val="en-GB"/>
        </w:rPr>
      </w:pPr>
    </w:p>
    <w:p w14:paraId="77BAE235" w14:textId="03BD9F67" w:rsidR="00137C74" w:rsidRPr="00460C8C" w:rsidRDefault="00137C74" w:rsidP="00137C74">
      <w:pPr>
        <w:pStyle w:val="ListParagraph"/>
        <w:numPr>
          <w:ilvl w:val="0"/>
          <w:numId w:val="33"/>
        </w:numPr>
        <w:jc w:val="both"/>
        <w:rPr>
          <w:rFonts w:ascii="Avenir Next" w:hAnsi="Avenir Next" w:cs="Arial"/>
          <w:color w:val="7F7F7F" w:themeColor="text1" w:themeTint="80"/>
          <w:sz w:val="22"/>
          <w:szCs w:val="22"/>
          <w:lang w:val="en-GB"/>
        </w:rPr>
      </w:pPr>
      <w:r w:rsidRPr="00460C8C">
        <w:rPr>
          <w:rFonts w:ascii="Avenir Next" w:hAnsi="Avenir Next" w:cs="Arial"/>
          <w:color w:val="7F7F7F" w:themeColor="text1" w:themeTint="80"/>
          <w:sz w:val="22"/>
          <w:szCs w:val="22"/>
          <w:lang w:val="en-GB"/>
        </w:rPr>
        <w:t xml:space="preserve">Stays of the opening of secondary insolvency proceedings. On the request of the insolvency practitioner or debtor in possession, the Court </w:t>
      </w:r>
      <w:r w:rsidR="008804A2" w:rsidRPr="00460C8C">
        <w:rPr>
          <w:rFonts w:ascii="Avenir Next" w:hAnsi="Avenir Next" w:cs="Arial"/>
          <w:color w:val="7F7F7F" w:themeColor="text1" w:themeTint="80"/>
          <w:sz w:val="22"/>
          <w:szCs w:val="22"/>
          <w:lang w:val="en-GB"/>
        </w:rPr>
        <w:t>seised of the request to open secondary proceedings has a discretion to stay secondary proceedings for a period of three months (Article 38(3)). The stay must be lifted if negotiations during the stay result in a restructuring plan. The Court has a discretion to lift or retain the stay if negotiations are unlikely to be successful or the insolvency practitioner or debtor in possession has disposed of or moved assets from the territory of the Member State where the stay was given.</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50657">
        <w:rPr>
          <w:rFonts w:ascii="Avenir Next" w:hAnsi="Avenir Next" w:cs="Arial"/>
          <w:i/>
          <w:iCs/>
          <w:sz w:val="22"/>
          <w:szCs w:val="22"/>
          <w:lang w:val="en-GB"/>
        </w:rPr>
        <w:t>In addition to the correctness, completeness (including references to case law, if applicable) and originality of your answers</w:t>
      </w:r>
      <w:r w:rsidR="00364836" w:rsidRPr="00850657">
        <w:rPr>
          <w:rFonts w:ascii="Avenir Next" w:hAnsi="Avenir Next" w:cs="Arial"/>
          <w:i/>
          <w:iCs/>
          <w:sz w:val="22"/>
          <w:szCs w:val="22"/>
          <w:lang w:val="en-GB"/>
        </w:rPr>
        <w:t xml:space="preserve"> to the questions below</w:t>
      </w:r>
      <w:r w:rsidRPr="00850657">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5857AFA9" w14:textId="6BE77510" w:rsidR="00AB1DB6" w:rsidRDefault="00334A88" w:rsidP="00AB1DB6">
      <w:pPr>
        <w:jc w:val="both"/>
        <w:rPr>
          <w:rFonts w:ascii="Avenir Next" w:hAnsi="Avenir Next" w:cs="Arial"/>
          <w:color w:val="7B7B7B" w:themeColor="accent3" w:themeShade="BF"/>
          <w:sz w:val="22"/>
          <w:szCs w:val="22"/>
          <w:lang w:val="en-GB"/>
        </w:rPr>
      </w:pPr>
      <w:r w:rsidRPr="00AB1DB6">
        <w:rPr>
          <w:rFonts w:ascii="Avenir Next" w:hAnsi="Avenir Next" w:cs="Arial"/>
          <w:color w:val="7B7B7B" w:themeColor="accent3" w:themeShade="BF"/>
          <w:sz w:val="22"/>
          <w:szCs w:val="22"/>
          <w:lang w:val="en-GB"/>
        </w:rPr>
        <w:t xml:space="preserve">The </w:t>
      </w:r>
      <w:r w:rsidR="000279EC" w:rsidRPr="00AB1DB6">
        <w:rPr>
          <w:rFonts w:ascii="Avenir Next" w:hAnsi="Avenir Next" w:cs="Arial"/>
          <w:color w:val="7B7B7B" w:themeColor="accent3" w:themeShade="BF"/>
          <w:sz w:val="22"/>
          <w:szCs w:val="22"/>
          <w:lang w:val="en-GB"/>
        </w:rPr>
        <w:t xml:space="preserve">European Commission identified the lack of any harmonised approach to restructuring as a flaw in the EIR 2000; the availability </w:t>
      </w:r>
      <w:r w:rsidR="00C00E7F" w:rsidRPr="00AB1DB6">
        <w:rPr>
          <w:rFonts w:ascii="Avenir Next" w:hAnsi="Avenir Next" w:cs="Arial"/>
          <w:color w:val="7B7B7B" w:themeColor="accent3" w:themeShade="BF"/>
          <w:sz w:val="22"/>
          <w:szCs w:val="22"/>
          <w:lang w:val="en-GB"/>
        </w:rPr>
        <w:t>and legal framework of restructuring plans adopted in Member States differed significantly (</w:t>
      </w:r>
      <w:r w:rsidR="00C00E7F" w:rsidRPr="00AB1DB6">
        <w:rPr>
          <w:rFonts w:ascii="Avenir Next" w:hAnsi="Avenir Next" w:cs="Arial"/>
          <w:color w:val="7B7B7B" w:themeColor="accent3" w:themeShade="BF"/>
          <w:sz w:val="22"/>
          <w:szCs w:val="22"/>
        </w:rPr>
        <w:t>A new European approach to business failure and insolvency</w:t>
      </w:r>
      <w:r w:rsidR="00C00E7F" w:rsidRPr="00AB1DB6">
        <w:rPr>
          <w:rFonts w:ascii="Avenir Next" w:hAnsi="Avenir Next" w:cs="Arial"/>
          <w:color w:val="7B7B7B" w:themeColor="accent3" w:themeShade="BF"/>
          <w:sz w:val="22"/>
          <w:szCs w:val="22"/>
          <w:lang w:val="en-GB"/>
        </w:rPr>
        <w:t xml:space="preserve"> </w:t>
      </w:r>
      <w:hyperlink r:id="rId9" w:history="1">
        <w:r w:rsidR="00C00E7F" w:rsidRPr="00AB1DB6">
          <w:rPr>
            <w:rStyle w:val="Hyperlink"/>
            <w:rFonts w:ascii="Avenir Next" w:hAnsi="Avenir Next" w:cs="Arial"/>
            <w:sz w:val="22"/>
            <w:szCs w:val="22"/>
            <w:lang w:val="en-GB"/>
          </w:rPr>
          <w:t>https://eur-lex.europa.eu/LexUriServ/LexUriServ.do?uri=COM:2012:0742:FIN:En:PDF</w:t>
        </w:r>
      </w:hyperlink>
      <w:r w:rsidR="00C00E7F" w:rsidRPr="00AB1DB6">
        <w:rPr>
          <w:rFonts w:ascii="Avenir Next" w:hAnsi="Avenir Next" w:cs="Arial"/>
          <w:color w:val="7B7B7B" w:themeColor="accent3" w:themeShade="BF"/>
          <w:sz w:val="22"/>
          <w:szCs w:val="22"/>
          <w:lang w:val="en-GB"/>
        </w:rPr>
        <w:t xml:space="preserve"> p.7 accessed March 2023)</w:t>
      </w:r>
      <w:r w:rsidR="000279EC" w:rsidRPr="00AB1DB6">
        <w:rPr>
          <w:rFonts w:ascii="Avenir Next" w:hAnsi="Avenir Next" w:cs="Arial"/>
          <w:color w:val="7B7B7B" w:themeColor="accent3" w:themeShade="BF"/>
          <w:sz w:val="22"/>
          <w:szCs w:val="22"/>
          <w:lang w:val="en-GB"/>
        </w:rPr>
        <w:t xml:space="preserve"> The </w:t>
      </w:r>
      <w:r w:rsidRPr="00AB1DB6">
        <w:rPr>
          <w:rFonts w:ascii="Avenir Next" w:hAnsi="Avenir Next" w:cs="Arial"/>
          <w:color w:val="7B7B7B" w:themeColor="accent3" w:themeShade="BF"/>
          <w:sz w:val="22"/>
          <w:szCs w:val="22"/>
          <w:lang w:val="en-GB"/>
        </w:rPr>
        <w:t xml:space="preserve">EIR 2000 was limited to </w:t>
      </w:r>
      <w:r w:rsidRPr="00AB1DB6">
        <w:rPr>
          <w:rFonts w:ascii="Avenir Next" w:hAnsi="Avenir Next" w:cs="Arial"/>
          <w:color w:val="7B7B7B" w:themeColor="accent3" w:themeShade="BF"/>
          <w:sz w:val="22"/>
          <w:szCs w:val="22"/>
        </w:rPr>
        <w:t xml:space="preserve">collective insolvency proceedings “which entail the partial or total divestment of a debtor and the appointment of a liquidator.”  </w:t>
      </w:r>
      <w:r w:rsidRPr="00AB1DB6">
        <w:rPr>
          <w:rFonts w:ascii="Avenir Next" w:hAnsi="Avenir Next" w:cs="Arial"/>
          <w:color w:val="7B7B7B" w:themeColor="accent3" w:themeShade="BF"/>
          <w:sz w:val="22"/>
          <w:szCs w:val="22"/>
          <w:lang w:val="en-GB"/>
        </w:rPr>
        <w:t xml:space="preserve">(Article 1). It did not, therefore, further the aims of rescue and restructuring, which are key objectives of the Regulation. </w:t>
      </w:r>
    </w:p>
    <w:p w14:paraId="2982DD33" w14:textId="1C6CC712" w:rsidR="00AB1DB6" w:rsidRDefault="00AB1DB6" w:rsidP="00AB1DB6">
      <w:pPr>
        <w:jc w:val="both"/>
        <w:rPr>
          <w:rFonts w:ascii="Avenir Next" w:hAnsi="Avenir Next" w:cs="Arial"/>
          <w:color w:val="7B7B7B" w:themeColor="accent3" w:themeShade="BF"/>
          <w:sz w:val="22"/>
          <w:szCs w:val="22"/>
          <w:lang w:val="en-GB"/>
        </w:rPr>
      </w:pPr>
    </w:p>
    <w:p w14:paraId="141DB357" w14:textId="0B257507" w:rsidR="00AB1DB6" w:rsidRPr="00AB1DB6" w:rsidRDefault="00AB1DB6" w:rsidP="00AB1DB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Executive Summary produced by the European Commission expressed concern that rescue-orientated procedures were not adequately reflected in the EIR framework, even though the benefits were “widely recognised”</w:t>
      </w:r>
      <w:r w:rsidR="009223BE">
        <w:rPr>
          <w:rFonts w:ascii="Avenir Next" w:hAnsi="Avenir Next" w:cs="Arial"/>
          <w:color w:val="7B7B7B" w:themeColor="accent3" w:themeShade="BF"/>
          <w:sz w:val="22"/>
          <w:szCs w:val="22"/>
          <w:lang w:val="en-GB"/>
        </w:rPr>
        <w:t>. The effect of this was to prevent recognition of negotiation and rescue attempts</w:t>
      </w:r>
      <w:r>
        <w:rPr>
          <w:rFonts w:ascii="Avenir Next" w:hAnsi="Avenir Next" w:cs="Arial"/>
          <w:color w:val="7B7B7B" w:themeColor="accent3" w:themeShade="BF"/>
          <w:sz w:val="22"/>
          <w:szCs w:val="22"/>
          <w:lang w:val="en-GB"/>
        </w:rPr>
        <w:t xml:space="preserve"> (as considered in Omar, Paul, Upstreaming Rescue </w:t>
      </w:r>
      <w:hyperlink r:id="rId10" w:history="1">
        <w:r w:rsidRPr="00411AD1">
          <w:rPr>
            <w:rStyle w:val="Hyperlink"/>
            <w:rFonts w:ascii="Avenir Next" w:hAnsi="Avenir Next" w:cs="Arial"/>
            <w:sz w:val="22"/>
            <w:szCs w:val="22"/>
            <w:lang w:val="en-GB"/>
          </w:rPr>
          <w:t>https://irep.ntu.ac.uk/id/eprint/27262/1/4626_Omar.pdf</w:t>
        </w:r>
      </w:hyperlink>
      <w:r>
        <w:rPr>
          <w:rFonts w:ascii="Avenir Next" w:hAnsi="Avenir Next" w:cs="Arial"/>
          <w:color w:val="7B7B7B" w:themeColor="accent3" w:themeShade="BF"/>
          <w:sz w:val="22"/>
          <w:szCs w:val="22"/>
          <w:lang w:val="en-GB"/>
        </w:rPr>
        <w:t xml:space="preserve">  p.63 accessed March 2023).  </w:t>
      </w:r>
      <w:r w:rsidR="009223BE">
        <w:rPr>
          <w:rFonts w:ascii="Avenir Next" w:hAnsi="Avenir Next" w:cs="Arial"/>
          <w:color w:val="7B7B7B" w:themeColor="accent3" w:themeShade="BF"/>
          <w:sz w:val="22"/>
          <w:szCs w:val="22"/>
          <w:lang w:val="en-GB"/>
        </w:rPr>
        <w:t xml:space="preserve">A solution included Annex A, which vastly expands the “insolvency proceedings” which fall within the Regulation to include restructuring and rescue procedures. </w:t>
      </w:r>
    </w:p>
    <w:p w14:paraId="75EC42F6" w14:textId="77777777" w:rsidR="00C00E7F" w:rsidRDefault="00C00E7F" w:rsidP="00C00E7F">
      <w:pPr>
        <w:pStyle w:val="ListParagraph"/>
        <w:jc w:val="both"/>
        <w:rPr>
          <w:rFonts w:ascii="Avenir Next" w:hAnsi="Avenir Next" w:cs="Arial"/>
          <w:color w:val="7B7B7B" w:themeColor="accent3" w:themeShade="BF"/>
          <w:sz w:val="22"/>
          <w:szCs w:val="22"/>
          <w:lang w:val="en-GB"/>
        </w:rPr>
      </w:pPr>
    </w:p>
    <w:p w14:paraId="7FE3B447" w14:textId="43E66E53" w:rsidR="00C00E7F" w:rsidRPr="00AB1DB6" w:rsidRDefault="00C00E7F" w:rsidP="00AB1DB6">
      <w:pPr>
        <w:jc w:val="both"/>
        <w:rPr>
          <w:rFonts w:ascii="Avenir Next" w:hAnsi="Avenir Next" w:cs="Arial"/>
          <w:color w:val="7B7B7B" w:themeColor="accent3" w:themeShade="BF"/>
          <w:sz w:val="22"/>
          <w:szCs w:val="22"/>
          <w:lang w:val="en-GB"/>
        </w:rPr>
      </w:pPr>
      <w:r w:rsidRPr="00AB1DB6">
        <w:rPr>
          <w:rFonts w:ascii="Avenir Next" w:hAnsi="Avenir Next" w:cs="Arial"/>
          <w:color w:val="7B7B7B" w:themeColor="accent3" w:themeShade="BF"/>
          <w:sz w:val="22"/>
          <w:szCs w:val="22"/>
          <w:lang w:val="en-GB"/>
        </w:rPr>
        <w:t>The definition of “centre of main interests” also came under scrutiny by the European Commission which was concerned about fraudulent forum shopping. It was recommended that the Regulation include a formal definition, including the ability of third parties to ascertain it (</w:t>
      </w:r>
      <w:r w:rsidRPr="00AB1DB6">
        <w:rPr>
          <w:rFonts w:ascii="Avenir Next" w:hAnsi="Avenir Next" w:cs="Arial"/>
          <w:color w:val="7B7B7B" w:themeColor="accent3" w:themeShade="BF"/>
          <w:sz w:val="22"/>
          <w:szCs w:val="22"/>
          <w:lang w:val="en-GB"/>
        </w:rPr>
        <w:t>R</w:t>
      </w:r>
      <w:r w:rsidRPr="00AB1DB6">
        <w:rPr>
          <w:rFonts w:ascii="Avenir Next" w:hAnsi="Avenir Next" w:cs="Arial"/>
          <w:color w:val="7B7B7B" w:themeColor="accent3" w:themeShade="BF"/>
          <w:sz w:val="22"/>
          <w:szCs w:val="22"/>
          <w:lang w:val="en-GB"/>
        </w:rPr>
        <w:t>eport</w:t>
      </w:r>
      <w:r w:rsidRPr="00AB1DB6">
        <w:rPr>
          <w:rFonts w:ascii="Avenir Next" w:hAnsi="Avenir Next" w:cs="Arial"/>
          <w:color w:val="7B7B7B" w:themeColor="accent3" w:themeShade="BF"/>
          <w:sz w:val="22"/>
          <w:szCs w:val="22"/>
          <w:lang w:val="en-GB"/>
        </w:rPr>
        <w:t> with recommendations to the Commission on insolvency proceedings in the context of EU company law</w:t>
      </w:r>
      <w:r w:rsidRPr="00AB1DB6">
        <w:rPr>
          <w:rFonts w:ascii="Avenir Next" w:hAnsi="Avenir Next" w:cs="Arial"/>
          <w:color w:val="7B7B7B" w:themeColor="accent3" w:themeShade="BF"/>
          <w:sz w:val="22"/>
          <w:szCs w:val="22"/>
          <w:lang w:val="en-GB"/>
        </w:rPr>
        <w:t xml:space="preserve"> </w:t>
      </w:r>
      <w:hyperlink r:id="rId11" w:history="1">
        <w:r w:rsidRPr="00AB1DB6">
          <w:rPr>
            <w:rStyle w:val="Hyperlink"/>
            <w:rFonts w:ascii="Avenir Next" w:hAnsi="Avenir Next" w:cs="Arial"/>
            <w:sz w:val="22"/>
            <w:szCs w:val="22"/>
            <w:lang w:val="en-GB"/>
          </w:rPr>
          <w:t>https://www.europarl.europa.eu/doceo/document/A-7-2011-0355_EN.html#_section3</w:t>
        </w:r>
      </w:hyperlink>
      <w:r w:rsidRPr="00AB1DB6">
        <w:rPr>
          <w:rFonts w:ascii="Avenir Next" w:hAnsi="Avenir Next" w:cs="Arial"/>
          <w:color w:val="7B7B7B" w:themeColor="accent3" w:themeShade="BF"/>
          <w:sz w:val="22"/>
          <w:szCs w:val="22"/>
          <w:lang w:val="en-GB"/>
        </w:rPr>
        <w:t xml:space="preserve"> Recommendation 2.2, accessed March 2023) The Regulation tightened the concept of COMI </w:t>
      </w:r>
      <w:r w:rsidR="00AB1DB6" w:rsidRPr="00AB1DB6">
        <w:rPr>
          <w:rFonts w:ascii="Avenir Next" w:hAnsi="Avenir Next" w:cs="Arial"/>
          <w:color w:val="7B7B7B" w:themeColor="accent3" w:themeShade="BF"/>
          <w:sz w:val="22"/>
          <w:szCs w:val="22"/>
          <w:lang w:val="en-GB"/>
        </w:rPr>
        <w:t>by requiring third party ascertainability and including temporal restrictions which help to prevent forum shopping.</w:t>
      </w:r>
    </w:p>
    <w:p w14:paraId="1838A0A2" w14:textId="49B36789" w:rsidR="008804A2" w:rsidRPr="008E3C96" w:rsidRDefault="008804A2" w:rsidP="002A37BB">
      <w:pPr>
        <w:jc w:val="both"/>
        <w:rPr>
          <w:rFonts w:ascii="Avenir Next" w:hAnsi="Avenir Next" w:cs="Arial"/>
          <w:sz w:val="22"/>
          <w:szCs w:val="22"/>
        </w:rPr>
      </w:pP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107B076E" w:rsidR="003D4A79" w:rsidRDefault="003D4A79" w:rsidP="003D4A79">
      <w:pPr>
        <w:jc w:val="both"/>
        <w:rPr>
          <w:rFonts w:ascii="Avenir Next" w:hAnsi="Avenir Next" w:cs="Arial"/>
          <w:sz w:val="22"/>
          <w:szCs w:val="22"/>
          <w:lang w:val="en-GB"/>
        </w:rPr>
      </w:pPr>
    </w:p>
    <w:p w14:paraId="03CD29BF" w14:textId="119479C1" w:rsidR="009223BE" w:rsidRPr="009223BE" w:rsidRDefault="000C1D1F" w:rsidP="009223BE">
      <w:pPr>
        <w:pStyle w:val="ListParagraph"/>
        <w:numPr>
          <w:ilvl w:val="0"/>
          <w:numId w:val="42"/>
        </w:numPr>
        <w:jc w:val="both"/>
        <w:rPr>
          <w:rFonts w:ascii="Avenir Next" w:hAnsi="Avenir Next" w:cs="Arial"/>
          <w:sz w:val="22"/>
          <w:szCs w:val="22"/>
          <w:lang w:val="en-GB"/>
        </w:rPr>
      </w:pPr>
      <w:r w:rsidRPr="009223BE">
        <w:rPr>
          <w:rFonts w:ascii="Avenir Next" w:hAnsi="Avenir Next" w:cs="Arial"/>
          <w:color w:val="7B7B7B" w:themeColor="accent3" w:themeShade="BF"/>
          <w:sz w:val="22"/>
          <w:szCs w:val="22"/>
          <w:lang w:val="en-GB"/>
        </w:rPr>
        <w:t>Epe</w:t>
      </w:r>
      <w:r w:rsidR="00F13289" w:rsidRPr="009223BE">
        <w:rPr>
          <w:rFonts w:ascii="Avenir Next" w:hAnsi="Avenir Next" w:cs="Arial"/>
          <w:color w:val="7B7B7B" w:themeColor="accent3" w:themeShade="BF"/>
          <w:sz w:val="22"/>
          <w:szCs w:val="22"/>
          <w:lang w:val="en-GB"/>
        </w:rPr>
        <w:t>o</w:t>
      </w:r>
      <w:r w:rsidRPr="009223BE">
        <w:rPr>
          <w:rFonts w:ascii="Avenir Next" w:hAnsi="Avenir Next" w:cs="Arial"/>
          <w:color w:val="7B7B7B" w:themeColor="accent3" w:themeShade="BF"/>
          <w:sz w:val="22"/>
          <w:szCs w:val="22"/>
          <w:lang w:val="en-GB"/>
        </w:rPr>
        <w:t xml:space="preserve">glou describes the EIR Recast as being hampered by the disparity of national insolvency legislation, leading to her conclusion that it is “an ambitious yet modest attempt for an efficient and rescue-friendly EU insolvency regime.” </w:t>
      </w:r>
      <w:r w:rsidR="00195688" w:rsidRPr="009223BE">
        <w:rPr>
          <w:rFonts w:ascii="Avenir Next" w:hAnsi="Avenir Next" w:cs="Arial"/>
          <w:color w:val="7B7B7B" w:themeColor="accent3" w:themeShade="BF"/>
          <w:sz w:val="22"/>
          <w:szCs w:val="22"/>
          <w:lang w:val="en-GB"/>
        </w:rPr>
        <w:t>(</w:t>
      </w:r>
      <w:r w:rsidR="00195688" w:rsidRPr="009223BE">
        <w:rPr>
          <w:rFonts w:ascii="Avenir Next" w:hAnsi="Avenir Next" w:cs="Arial"/>
          <w:i/>
          <w:iCs/>
          <w:color w:val="7B7B7B" w:themeColor="accent3" w:themeShade="BF"/>
          <w:sz w:val="22"/>
          <w:szCs w:val="22"/>
        </w:rPr>
        <w:t xml:space="preserve">Epeoglou, Maria-Thomais; (2017) The Recast European Insolvency Regulation: A Missed Opportunity for Restructuring Business in Europe. UCL Journal of Law and </w:t>
      </w:r>
      <w:r w:rsidR="00AA3E9E" w:rsidRPr="009223BE">
        <w:rPr>
          <w:rFonts w:ascii="Avenir Next" w:hAnsi="Avenir Next" w:cs="Arial"/>
          <w:i/>
          <w:iCs/>
          <w:color w:val="7B7B7B" w:themeColor="accent3" w:themeShade="BF"/>
          <w:sz w:val="22"/>
          <w:szCs w:val="22"/>
        </w:rPr>
        <w:t>Jurisprudence,</w:t>
      </w:r>
      <w:r w:rsidR="00195688" w:rsidRPr="009223BE">
        <w:rPr>
          <w:rFonts w:ascii="Avenir Next" w:hAnsi="Avenir Next" w:cs="Arial"/>
          <w:color w:val="7B7B7B" w:themeColor="accent3" w:themeShade="BF"/>
          <w:sz w:val="22"/>
          <w:szCs w:val="22"/>
        </w:rPr>
        <w:t xml:space="preserve"> 6 (1</w:t>
      </w:r>
      <w:r w:rsidR="00AA3E9E" w:rsidRPr="009223BE">
        <w:rPr>
          <w:rFonts w:ascii="Avenir Next" w:hAnsi="Avenir Next" w:cs="Arial"/>
          <w:color w:val="7B7B7B" w:themeColor="accent3" w:themeShade="BF"/>
          <w:sz w:val="22"/>
          <w:szCs w:val="22"/>
        </w:rPr>
        <w:t>),</w:t>
      </w:r>
      <w:r w:rsidR="00195688" w:rsidRPr="009223BE">
        <w:rPr>
          <w:rFonts w:ascii="Avenir Next" w:hAnsi="Avenir Next" w:cs="Arial"/>
          <w:color w:val="7B7B7B" w:themeColor="accent3" w:themeShade="BF"/>
          <w:sz w:val="22"/>
          <w:szCs w:val="22"/>
        </w:rPr>
        <w:t xml:space="preserve"> Article 2. Accessed March 2023</w:t>
      </w:r>
      <w:r w:rsidR="00195688" w:rsidRPr="009223BE">
        <w:rPr>
          <w:rFonts w:ascii="Avenir Next" w:hAnsi="Avenir Next" w:cs="Arial"/>
          <w:color w:val="7B7B7B" w:themeColor="accent3" w:themeShade="BF"/>
          <w:sz w:val="22"/>
          <w:szCs w:val="22"/>
          <w:lang w:val="en-GB"/>
        </w:rPr>
        <w:t>)</w:t>
      </w:r>
      <w:r w:rsidR="00195688" w:rsidRPr="009223BE">
        <w:rPr>
          <w:rFonts w:ascii="Avenir Next" w:hAnsi="Avenir Next" w:cs="Arial"/>
          <w:color w:val="7B7B7B" w:themeColor="accent3" w:themeShade="BF"/>
          <w:sz w:val="22"/>
          <w:szCs w:val="22"/>
          <w:lang w:val="en-GB"/>
        </w:rPr>
        <w:t>.</w:t>
      </w:r>
    </w:p>
    <w:p w14:paraId="272F7A04" w14:textId="77777777" w:rsidR="009223BE" w:rsidRPr="009223BE" w:rsidRDefault="009223BE" w:rsidP="009223BE">
      <w:pPr>
        <w:pStyle w:val="ListParagraph"/>
        <w:jc w:val="both"/>
        <w:rPr>
          <w:rFonts w:ascii="Avenir Next" w:hAnsi="Avenir Next" w:cs="Arial"/>
          <w:sz w:val="22"/>
          <w:szCs w:val="22"/>
          <w:lang w:val="en-GB"/>
        </w:rPr>
      </w:pPr>
    </w:p>
    <w:p w14:paraId="543F6C15" w14:textId="77777777" w:rsidR="009223BE" w:rsidRDefault="00195688" w:rsidP="009223BE">
      <w:pPr>
        <w:pStyle w:val="ListParagraph"/>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In the article (p.50), Epeoglou particularly identifies the provisions relating to group co-ordination, describing them as a “blunt sword” in light of its non-binding nature.</w:t>
      </w:r>
      <w:r w:rsidR="009223BE">
        <w:rPr>
          <w:rFonts w:ascii="Avenir Next" w:hAnsi="Avenir Next" w:cs="Arial"/>
          <w:color w:val="7B7B7B" w:themeColor="accent3" w:themeShade="BF"/>
          <w:sz w:val="22"/>
          <w:szCs w:val="22"/>
          <w:lang w:val="en-GB"/>
        </w:rPr>
        <w:t xml:space="preserve"> </w:t>
      </w:r>
    </w:p>
    <w:p w14:paraId="5BD4A1D3"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6DABD59A" w14:textId="77777777" w:rsidR="009223BE" w:rsidRDefault="00F13289" w:rsidP="009223BE">
      <w:pPr>
        <w:pStyle w:val="ListParagraph"/>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lastRenderedPageBreak/>
        <w:t xml:space="preserve">Recital 56 provides that </w:t>
      </w:r>
      <w:r w:rsidR="005936FA" w:rsidRPr="009223BE">
        <w:rPr>
          <w:rFonts w:ascii="Avenir Next" w:hAnsi="Avenir Next" w:cs="Arial"/>
          <w:color w:val="7B7B7B" w:themeColor="accent3" w:themeShade="BF"/>
          <w:sz w:val="22"/>
          <w:szCs w:val="22"/>
          <w:lang w:val="en-GB"/>
        </w:rPr>
        <w:t xml:space="preserve">group coordination proceedings are voluntary. </w:t>
      </w:r>
      <w:r w:rsidRPr="009223BE">
        <w:rPr>
          <w:rFonts w:ascii="Avenir Next" w:hAnsi="Avenir Next" w:cs="Arial"/>
          <w:color w:val="7B7B7B" w:themeColor="accent3" w:themeShade="BF"/>
          <w:sz w:val="22"/>
          <w:szCs w:val="22"/>
          <w:lang w:val="en-GB"/>
        </w:rPr>
        <w:t xml:space="preserve">Article 64 provides that </w:t>
      </w:r>
      <w:r w:rsidR="005936FA" w:rsidRPr="009223BE">
        <w:rPr>
          <w:rFonts w:ascii="Avenir Next" w:hAnsi="Avenir Next" w:cs="Arial"/>
          <w:color w:val="7B7B7B" w:themeColor="accent3" w:themeShade="BF"/>
          <w:sz w:val="22"/>
          <w:szCs w:val="22"/>
          <w:lang w:val="en-GB"/>
        </w:rPr>
        <w:t>an insolvency practitioner appointed in respect of any group member may object to inclusion in group coordination proceedings or a proposed coordinator without any limitation on that objection (save for obtaining any relevant approval (Article 64(3))</w:t>
      </w:r>
      <w:r w:rsidRPr="009223BE">
        <w:rPr>
          <w:rFonts w:ascii="Avenir Next" w:hAnsi="Avenir Next" w:cs="Arial"/>
          <w:color w:val="7B7B7B" w:themeColor="accent3" w:themeShade="BF"/>
          <w:sz w:val="22"/>
          <w:szCs w:val="22"/>
          <w:lang w:val="en-GB"/>
        </w:rPr>
        <w:t xml:space="preserve">. Article 70 </w:t>
      </w:r>
      <w:r w:rsidR="005936FA" w:rsidRPr="009223BE">
        <w:rPr>
          <w:rFonts w:ascii="Avenir Next" w:hAnsi="Avenir Next" w:cs="Arial"/>
          <w:color w:val="7B7B7B" w:themeColor="accent3" w:themeShade="BF"/>
          <w:sz w:val="22"/>
          <w:szCs w:val="22"/>
          <w:lang w:val="en-GB"/>
        </w:rPr>
        <w:t>provides that an insolvency practitioner may object to the coordinator’s proposals, again without any limitation on that objection. It can be seen that these provisions render the group coordination provisions weak.</w:t>
      </w:r>
      <w:r w:rsidR="009223BE">
        <w:rPr>
          <w:rFonts w:ascii="Avenir Next" w:hAnsi="Avenir Next" w:cs="Arial"/>
          <w:color w:val="7B7B7B" w:themeColor="accent3" w:themeShade="BF"/>
          <w:sz w:val="22"/>
          <w:szCs w:val="22"/>
          <w:lang w:val="en-GB"/>
        </w:rPr>
        <w:t xml:space="preserve"> </w:t>
      </w:r>
    </w:p>
    <w:p w14:paraId="34A78330"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30AA1EE9" w14:textId="66CC3842" w:rsidR="009223BE" w:rsidRDefault="005936FA" w:rsidP="009223BE">
      <w:pPr>
        <w:pStyle w:val="ListParagraph"/>
        <w:jc w:val="both"/>
        <w:rPr>
          <w:rFonts w:ascii="Avenir Next" w:hAnsi="Avenir Next" w:cs="Arial"/>
          <w:color w:val="7B7B7B" w:themeColor="accent3" w:themeShade="BF"/>
          <w:sz w:val="22"/>
          <w:szCs w:val="22"/>
          <w:lang w:val="en-GB"/>
        </w:rPr>
      </w:pPr>
      <w:r w:rsidRPr="009223BE">
        <w:rPr>
          <w:rFonts w:ascii="Avenir Next" w:hAnsi="Avenir Next" w:cs="Arial"/>
          <w:color w:val="7B7B7B" w:themeColor="accent3" w:themeShade="BF"/>
          <w:sz w:val="22"/>
          <w:szCs w:val="22"/>
          <w:lang w:val="en-GB"/>
        </w:rPr>
        <w:t xml:space="preserve">A number of </w:t>
      </w:r>
      <w:r w:rsidR="00976E30" w:rsidRPr="009223BE">
        <w:rPr>
          <w:rFonts w:ascii="Avenir Next" w:hAnsi="Avenir Next" w:cs="Arial"/>
          <w:color w:val="7B7B7B" w:themeColor="accent3" w:themeShade="BF"/>
          <w:sz w:val="22"/>
          <w:szCs w:val="22"/>
          <w:lang w:val="en-GB"/>
        </w:rPr>
        <w:t>solution</w:t>
      </w:r>
      <w:r w:rsidRPr="009223BE">
        <w:rPr>
          <w:rFonts w:ascii="Avenir Next" w:hAnsi="Avenir Next" w:cs="Arial"/>
          <w:color w:val="7B7B7B" w:themeColor="accent3" w:themeShade="BF"/>
          <w:sz w:val="22"/>
          <w:szCs w:val="22"/>
          <w:lang w:val="en-GB"/>
        </w:rPr>
        <w:t>s</w:t>
      </w:r>
      <w:r w:rsidR="00976E30" w:rsidRPr="009223BE">
        <w:rPr>
          <w:rFonts w:ascii="Avenir Next" w:hAnsi="Avenir Next" w:cs="Arial"/>
          <w:color w:val="7B7B7B" w:themeColor="accent3" w:themeShade="BF"/>
          <w:sz w:val="22"/>
          <w:szCs w:val="22"/>
          <w:lang w:val="en-GB"/>
        </w:rPr>
        <w:t xml:space="preserve"> </w:t>
      </w:r>
      <w:r w:rsidRPr="009223BE">
        <w:rPr>
          <w:rFonts w:ascii="Avenir Next" w:hAnsi="Avenir Next" w:cs="Arial"/>
          <w:color w:val="7B7B7B" w:themeColor="accent3" w:themeShade="BF"/>
          <w:sz w:val="22"/>
          <w:szCs w:val="22"/>
          <w:lang w:val="en-GB"/>
        </w:rPr>
        <w:t>to this problem are</w:t>
      </w:r>
      <w:r w:rsidR="00976E30" w:rsidRPr="009223BE">
        <w:rPr>
          <w:rFonts w:ascii="Avenir Next" w:hAnsi="Avenir Next" w:cs="Arial"/>
          <w:color w:val="7B7B7B" w:themeColor="accent3" w:themeShade="BF"/>
          <w:sz w:val="22"/>
          <w:szCs w:val="22"/>
          <w:lang w:val="en-GB"/>
        </w:rPr>
        <w:t xml:space="preserve"> explored by Professors Wessels and Madaus (</w:t>
      </w:r>
      <w:r w:rsidR="00976E30" w:rsidRPr="009223BE">
        <w:rPr>
          <w:rFonts w:ascii="Avenir Next" w:hAnsi="Avenir Next" w:cs="Arial"/>
          <w:i/>
          <w:iCs/>
          <w:color w:val="7B7B7B" w:themeColor="accent3" w:themeShade="BF"/>
          <w:sz w:val="22"/>
          <w:szCs w:val="22"/>
          <w:lang w:val="en-GB"/>
        </w:rPr>
        <w:t>Wessels and Madaus, Instrument of the European Law Institute - Rescue of Business</w:t>
      </w:r>
      <w:r w:rsidR="00976E30" w:rsidRPr="009223BE">
        <w:rPr>
          <w:rFonts w:ascii="Avenir Next" w:hAnsi="Avenir Next" w:cs="Arial"/>
          <w:i/>
          <w:iCs/>
          <w:color w:val="7B7B7B" w:themeColor="accent3" w:themeShade="BF"/>
          <w:sz w:val="22"/>
          <w:szCs w:val="22"/>
          <w:lang w:val="en-GB"/>
        </w:rPr>
        <w:t xml:space="preserve"> </w:t>
      </w:r>
      <w:r w:rsidR="00976E30" w:rsidRPr="009223BE">
        <w:rPr>
          <w:rFonts w:ascii="Avenir Next" w:hAnsi="Avenir Next" w:cs="Arial"/>
          <w:i/>
          <w:iCs/>
          <w:color w:val="7B7B7B" w:themeColor="accent3" w:themeShade="BF"/>
          <w:sz w:val="22"/>
          <w:szCs w:val="22"/>
          <w:lang w:val="en-GB"/>
        </w:rPr>
        <w:t>in Insolvency Law, 2017</w:t>
      </w:r>
      <w:r w:rsidRPr="009223BE">
        <w:rPr>
          <w:rFonts w:ascii="Avenir Next" w:hAnsi="Avenir Next" w:cs="Arial"/>
          <w:color w:val="7B7B7B" w:themeColor="accent3" w:themeShade="BF"/>
          <w:sz w:val="22"/>
          <w:szCs w:val="22"/>
          <w:lang w:val="en-GB"/>
        </w:rPr>
        <w:t>. Accessed March 2023</w:t>
      </w:r>
      <w:r w:rsidR="00976E30" w:rsidRPr="009223BE">
        <w:rPr>
          <w:rFonts w:ascii="Avenir Next" w:hAnsi="Avenir Next" w:cs="Arial"/>
          <w:i/>
          <w:iCs/>
          <w:color w:val="7B7B7B" w:themeColor="accent3" w:themeShade="BF"/>
          <w:sz w:val="22"/>
          <w:szCs w:val="22"/>
          <w:lang w:val="en-GB"/>
        </w:rPr>
        <w:t>)</w:t>
      </w:r>
      <w:r w:rsidRPr="009223BE">
        <w:rPr>
          <w:rFonts w:ascii="Avenir Next" w:hAnsi="Avenir Next" w:cs="Arial"/>
          <w:color w:val="7B7B7B" w:themeColor="accent3" w:themeShade="BF"/>
          <w:sz w:val="22"/>
          <w:szCs w:val="22"/>
          <w:lang w:val="en-GB"/>
        </w:rPr>
        <w:t xml:space="preserve"> </w:t>
      </w:r>
      <w:r w:rsidR="00976E30" w:rsidRPr="009223BE">
        <w:rPr>
          <w:rFonts w:ascii="Avenir Next" w:hAnsi="Avenir Next" w:cs="Arial"/>
          <w:color w:val="7B7B7B" w:themeColor="accent3" w:themeShade="BF"/>
          <w:sz w:val="22"/>
          <w:szCs w:val="22"/>
          <w:lang w:val="en-GB"/>
        </w:rPr>
        <w:t>at Part 9 (p.360)</w:t>
      </w:r>
      <w:r w:rsidRPr="009223BE">
        <w:rPr>
          <w:rFonts w:ascii="Avenir Next" w:hAnsi="Avenir Next" w:cs="Arial"/>
          <w:color w:val="7B7B7B" w:themeColor="accent3" w:themeShade="BF"/>
          <w:sz w:val="22"/>
          <w:szCs w:val="22"/>
          <w:lang w:val="en-GB"/>
        </w:rPr>
        <w:t>.</w:t>
      </w:r>
      <w:r w:rsidR="00976E30" w:rsidRPr="009223BE">
        <w:rPr>
          <w:rFonts w:ascii="Avenir Next" w:hAnsi="Avenir Next" w:cs="Arial"/>
          <w:color w:val="7B7B7B" w:themeColor="accent3" w:themeShade="BF"/>
          <w:sz w:val="22"/>
          <w:szCs w:val="22"/>
          <w:lang w:val="en-GB"/>
        </w:rPr>
        <w:t xml:space="preserve"> Notably, the Court deciding on a request to open insolvency proceedings in respect of </w:t>
      </w:r>
      <w:r w:rsidR="00F13289" w:rsidRPr="009223BE">
        <w:rPr>
          <w:rFonts w:ascii="Avenir Next" w:hAnsi="Avenir Next" w:cs="Arial"/>
          <w:color w:val="7B7B7B" w:themeColor="accent3" w:themeShade="BF"/>
          <w:sz w:val="22"/>
          <w:szCs w:val="22"/>
          <w:lang w:val="en-GB"/>
        </w:rPr>
        <w:t>a member of a corporate group “</w:t>
      </w:r>
      <w:r w:rsidR="00F13289" w:rsidRPr="009223BE">
        <w:rPr>
          <w:rFonts w:ascii="Avenir Next" w:hAnsi="Avenir Next" w:cs="Arial"/>
          <w:i/>
          <w:iCs/>
          <w:color w:val="7B7B7B" w:themeColor="accent3" w:themeShade="BF"/>
          <w:sz w:val="22"/>
          <w:szCs w:val="22"/>
          <w:lang w:val="en-GB"/>
        </w:rPr>
        <w:t xml:space="preserve">should </w:t>
      </w:r>
      <w:r w:rsidR="00F13289" w:rsidRPr="009223BE">
        <w:rPr>
          <w:rFonts w:ascii="Avenir Next" w:hAnsi="Avenir Next" w:cs="Arial"/>
          <w:color w:val="7B7B7B" w:themeColor="accent3" w:themeShade="BF"/>
          <w:sz w:val="22"/>
          <w:szCs w:val="22"/>
          <w:lang w:val="en-GB"/>
        </w:rPr>
        <w:t xml:space="preserve">verify whether a co-ordinated strategy is being considered for some or all of the members of the </w:t>
      </w:r>
      <w:r w:rsidR="00AA3E9E" w:rsidRPr="009223BE">
        <w:rPr>
          <w:rFonts w:ascii="Avenir Next" w:hAnsi="Avenir Next" w:cs="Arial"/>
          <w:color w:val="7B7B7B" w:themeColor="accent3" w:themeShade="BF"/>
          <w:sz w:val="22"/>
          <w:szCs w:val="22"/>
          <w:lang w:val="en-GB"/>
        </w:rPr>
        <w:t>group”</w:t>
      </w:r>
      <w:r w:rsidR="00F13289" w:rsidRPr="009223BE">
        <w:rPr>
          <w:rFonts w:ascii="Avenir Next" w:hAnsi="Avenir Next" w:cs="Arial"/>
          <w:i/>
          <w:iCs/>
          <w:color w:val="7B7B7B" w:themeColor="accent3" w:themeShade="BF"/>
          <w:sz w:val="22"/>
          <w:szCs w:val="22"/>
          <w:lang w:val="en-GB"/>
        </w:rPr>
        <w:t xml:space="preserve"> </w:t>
      </w:r>
      <w:r w:rsidR="00F13289" w:rsidRPr="009223BE">
        <w:rPr>
          <w:rFonts w:ascii="Avenir Next" w:hAnsi="Avenir Next" w:cs="Arial"/>
          <w:color w:val="7B7B7B" w:themeColor="accent3" w:themeShade="BF"/>
          <w:sz w:val="22"/>
          <w:szCs w:val="22"/>
          <w:lang w:val="en-GB"/>
        </w:rPr>
        <w:t>(</w:t>
      </w:r>
      <w:r w:rsidR="00AA3E9E" w:rsidRPr="009223BE">
        <w:rPr>
          <w:rFonts w:ascii="Avenir Next" w:hAnsi="Avenir Next" w:cs="Arial"/>
          <w:color w:val="7B7B7B" w:themeColor="accent3" w:themeShade="BF"/>
          <w:sz w:val="22"/>
          <w:szCs w:val="22"/>
          <w:lang w:val="en-GB"/>
        </w:rPr>
        <w:t>i.e.,</w:t>
      </w:r>
      <w:r w:rsidR="00F13289" w:rsidRPr="009223BE">
        <w:rPr>
          <w:rFonts w:ascii="Avenir Next" w:hAnsi="Avenir Next" w:cs="Arial"/>
          <w:color w:val="7B7B7B" w:themeColor="accent3" w:themeShade="BF"/>
          <w:sz w:val="22"/>
          <w:szCs w:val="22"/>
          <w:lang w:val="en-GB"/>
        </w:rPr>
        <w:t xml:space="preserve"> under a mandatory provision). This places a mandatory burden of verification and co-ordination on the Courts seised of the request such that a particular jurisdiction is tasked with some degree of responsibility.</w:t>
      </w:r>
    </w:p>
    <w:p w14:paraId="42D60262"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4FC0B31C" w14:textId="4419CFE8" w:rsidR="00F13289" w:rsidRPr="009223BE" w:rsidRDefault="00F13289" w:rsidP="009223BE">
      <w:pPr>
        <w:pStyle w:val="ListParagraph"/>
        <w:jc w:val="both"/>
        <w:rPr>
          <w:rFonts w:ascii="Avenir Next" w:hAnsi="Avenir Next" w:cs="Arial"/>
          <w:sz w:val="22"/>
          <w:szCs w:val="22"/>
          <w:lang w:val="en-GB"/>
        </w:rPr>
      </w:pPr>
      <w:r w:rsidRPr="009223BE">
        <w:rPr>
          <w:rFonts w:ascii="Avenir Next" w:hAnsi="Avenir Next" w:cs="Arial"/>
          <w:color w:val="7B7B7B" w:themeColor="accent3" w:themeShade="BF"/>
          <w:sz w:val="22"/>
          <w:szCs w:val="22"/>
          <w:lang w:val="en-GB"/>
        </w:rPr>
        <w:t>The Report goes on to suggest that European and national leg</w:t>
      </w:r>
      <w:r w:rsidR="00AA3E9E">
        <w:rPr>
          <w:rFonts w:ascii="Avenir Next" w:hAnsi="Avenir Next" w:cs="Arial"/>
          <w:color w:val="7B7B7B" w:themeColor="accent3" w:themeShade="BF"/>
          <w:sz w:val="22"/>
          <w:szCs w:val="22"/>
          <w:lang w:val="en-GB"/>
        </w:rPr>
        <w:t>i</w:t>
      </w:r>
      <w:r w:rsidRPr="009223BE">
        <w:rPr>
          <w:rFonts w:ascii="Avenir Next" w:hAnsi="Avenir Next" w:cs="Arial"/>
          <w:color w:val="7B7B7B" w:themeColor="accent3" w:themeShade="BF"/>
          <w:sz w:val="22"/>
          <w:szCs w:val="22"/>
          <w:lang w:val="en-GB"/>
        </w:rPr>
        <w:t xml:space="preserve">slators should provide that the </w:t>
      </w:r>
      <w:r w:rsidR="00AA3E9E" w:rsidRPr="009223BE">
        <w:rPr>
          <w:rFonts w:ascii="Avenir Next" w:hAnsi="Avenir Next" w:cs="Arial"/>
          <w:color w:val="7B7B7B" w:themeColor="accent3" w:themeShade="BF"/>
          <w:sz w:val="22"/>
          <w:szCs w:val="22"/>
          <w:lang w:val="en-GB"/>
        </w:rPr>
        <w:t>Courts have</w:t>
      </w:r>
      <w:r w:rsidRPr="009223BE">
        <w:rPr>
          <w:rFonts w:ascii="Avenir Next" w:hAnsi="Avenir Next" w:cs="Arial"/>
          <w:color w:val="7B7B7B" w:themeColor="accent3" w:themeShade="BF"/>
          <w:sz w:val="22"/>
          <w:szCs w:val="22"/>
          <w:lang w:val="en-GB"/>
        </w:rPr>
        <w:t xml:space="preserve"> a power aimed at disentangling the complex assets and liability structures of members of a group, namely the consolidation of assets (recommendation 9.12). It suggests that this could lead to the creation of a group restructuring plan, which would be extremely time and cost-saving in cases of groups with comingled assets. </w:t>
      </w:r>
    </w:p>
    <w:p w14:paraId="0EFBE98C" w14:textId="77777777" w:rsidR="005936FA" w:rsidRPr="005936FA" w:rsidRDefault="005936FA" w:rsidP="005936FA">
      <w:pPr>
        <w:pStyle w:val="ListParagraph"/>
        <w:ind w:left="1080"/>
        <w:jc w:val="both"/>
        <w:rPr>
          <w:rFonts w:ascii="Avenir Next" w:hAnsi="Avenir Next" w:cs="Arial"/>
          <w:i/>
          <w:iCs/>
          <w:color w:val="7B7B7B" w:themeColor="accent3" w:themeShade="BF"/>
          <w:sz w:val="22"/>
          <w:szCs w:val="22"/>
          <w:lang w:val="en-GB"/>
        </w:rPr>
      </w:pPr>
    </w:p>
    <w:p w14:paraId="24CB376E" w14:textId="1837ED10" w:rsidR="009223BE" w:rsidRPr="009223BE" w:rsidRDefault="00474073" w:rsidP="009223BE">
      <w:pPr>
        <w:pStyle w:val="ListParagraph"/>
        <w:numPr>
          <w:ilvl w:val="0"/>
          <w:numId w:val="42"/>
        </w:numPr>
        <w:jc w:val="both"/>
        <w:rPr>
          <w:rFonts w:ascii="Avenir Next" w:hAnsi="Avenir Next" w:cs="Arial"/>
          <w:i/>
          <w:iCs/>
          <w:color w:val="7B7B7B" w:themeColor="accent3" w:themeShade="BF"/>
          <w:sz w:val="22"/>
          <w:szCs w:val="22"/>
          <w:lang w:val="en-GB"/>
        </w:rPr>
      </w:pPr>
      <w:r w:rsidRPr="003039FE">
        <w:rPr>
          <w:rFonts w:ascii="Avenir Next" w:hAnsi="Avenir Next" w:cs="Arial"/>
          <w:color w:val="7B7B7B" w:themeColor="accent3" w:themeShade="BF"/>
          <w:sz w:val="22"/>
          <w:szCs w:val="22"/>
          <w:lang w:val="en-GB"/>
        </w:rPr>
        <w:t>Epeoglou also criticises the ‘Centre of Main Interests’ concept for being uncertain and therefore “vulnerable to manipulation” (</w:t>
      </w:r>
      <w:r w:rsidRPr="003039FE">
        <w:rPr>
          <w:rFonts w:ascii="Avenir Next" w:hAnsi="Avenir Next" w:cs="Arial"/>
          <w:i/>
          <w:iCs/>
          <w:color w:val="7B7B7B" w:themeColor="accent3" w:themeShade="BF"/>
          <w:sz w:val="22"/>
          <w:szCs w:val="22"/>
        </w:rPr>
        <w:t xml:space="preserve">Epeoglou, Maria-Thomais; (2017) The Recast European Insolvency Regulation: A Missed Opportunity for Restructuring Business in Europe. UCL Journal of Law and </w:t>
      </w:r>
      <w:r w:rsidR="00AA3E9E" w:rsidRPr="003039FE">
        <w:rPr>
          <w:rFonts w:ascii="Avenir Next" w:hAnsi="Avenir Next" w:cs="Arial"/>
          <w:i/>
          <w:iCs/>
          <w:color w:val="7B7B7B" w:themeColor="accent3" w:themeShade="BF"/>
          <w:sz w:val="22"/>
          <w:szCs w:val="22"/>
        </w:rPr>
        <w:t>Jurisprudence,</w:t>
      </w:r>
      <w:r w:rsidRPr="003039FE">
        <w:rPr>
          <w:rFonts w:ascii="Avenir Next" w:hAnsi="Avenir Next" w:cs="Arial"/>
          <w:color w:val="7B7B7B" w:themeColor="accent3" w:themeShade="BF"/>
          <w:sz w:val="22"/>
          <w:szCs w:val="22"/>
        </w:rPr>
        <w:t xml:space="preserve"> 6 (1</w:t>
      </w:r>
      <w:r w:rsidR="00AA3E9E" w:rsidRPr="003039FE">
        <w:rPr>
          <w:rFonts w:ascii="Avenir Next" w:hAnsi="Avenir Next" w:cs="Arial"/>
          <w:color w:val="7B7B7B" w:themeColor="accent3" w:themeShade="BF"/>
          <w:sz w:val="22"/>
          <w:szCs w:val="22"/>
        </w:rPr>
        <w:t>),</w:t>
      </w:r>
      <w:r w:rsidRPr="003039FE">
        <w:rPr>
          <w:rFonts w:ascii="Avenir Next" w:hAnsi="Avenir Next" w:cs="Arial"/>
          <w:color w:val="7B7B7B" w:themeColor="accent3" w:themeShade="BF"/>
          <w:sz w:val="22"/>
          <w:szCs w:val="22"/>
        </w:rPr>
        <w:t xml:space="preserve"> Article 2. </w:t>
      </w:r>
      <w:r w:rsidRPr="003039FE">
        <w:rPr>
          <w:rFonts w:ascii="Avenir Next" w:hAnsi="Avenir Next" w:cs="Arial"/>
          <w:color w:val="7B7B7B" w:themeColor="accent3" w:themeShade="BF"/>
          <w:sz w:val="22"/>
          <w:szCs w:val="22"/>
          <w:lang w:val="en-GB"/>
        </w:rPr>
        <w:t xml:space="preserve">at p. 43-44. </w:t>
      </w:r>
      <w:r w:rsidRPr="003039FE">
        <w:rPr>
          <w:rFonts w:ascii="Avenir Next" w:hAnsi="Avenir Next" w:cs="Arial"/>
          <w:color w:val="7B7B7B" w:themeColor="accent3" w:themeShade="BF"/>
          <w:sz w:val="22"/>
          <w:szCs w:val="22"/>
        </w:rPr>
        <w:t>Accessed March 2023</w:t>
      </w:r>
      <w:r w:rsidRPr="003039FE">
        <w:rPr>
          <w:rFonts w:ascii="Avenir Next" w:hAnsi="Avenir Next" w:cs="Arial"/>
          <w:color w:val="7B7B7B" w:themeColor="accent3" w:themeShade="BF"/>
          <w:sz w:val="22"/>
          <w:szCs w:val="22"/>
          <w:lang w:val="en-GB"/>
        </w:rPr>
        <w:t>).</w:t>
      </w:r>
    </w:p>
    <w:p w14:paraId="435B5CFD" w14:textId="77777777" w:rsidR="009223BE" w:rsidRPr="009223BE" w:rsidRDefault="009223BE" w:rsidP="009223BE">
      <w:pPr>
        <w:pStyle w:val="ListParagraph"/>
        <w:jc w:val="both"/>
        <w:rPr>
          <w:rFonts w:ascii="Avenir Next" w:hAnsi="Avenir Next" w:cs="Arial"/>
          <w:i/>
          <w:iCs/>
          <w:color w:val="7B7B7B" w:themeColor="accent3" w:themeShade="BF"/>
          <w:sz w:val="22"/>
          <w:szCs w:val="22"/>
          <w:lang w:val="en-GB"/>
        </w:rPr>
      </w:pPr>
    </w:p>
    <w:p w14:paraId="198138E4" w14:textId="53F2CDBA" w:rsidR="00474073" w:rsidRPr="009223BE" w:rsidRDefault="00474073" w:rsidP="009223BE">
      <w:pPr>
        <w:pStyle w:val="ListParagraph"/>
        <w:jc w:val="both"/>
        <w:rPr>
          <w:rFonts w:ascii="Avenir Next" w:hAnsi="Avenir Next" w:cs="Arial"/>
          <w:i/>
          <w:iCs/>
          <w:color w:val="7B7B7B" w:themeColor="accent3" w:themeShade="BF"/>
          <w:sz w:val="22"/>
          <w:szCs w:val="22"/>
          <w:lang w:val="en-GB"/>
        </w:rPr>
      </w:pPr>
      <w:r w:rsidRPr="009223BE">
        <w:rPr>
          <w:rFonts w:ascii="Avenir Next" w:hAnsi="Avenir Next" w:cs="Arial"/>
          <w:color w:val="7B7B7B" w:themeColor="accent3" w:themeShade="BF"/>
          <w:sz w:val="22"/>
          <w:szCs w:val="22"/>
          <w:lang w:val="en-GB"/>
        </w:rPr>
        <w:t>Epeoglou notes that the solution is not as simple as replacing COMI with the incorporation doctrine (as proposed by commentators referenced in the article, p.44) as it is likely to be equally vulnerable to forum shopping and manipulation.</w:t>
      </w:r>
      <w:r w:rsidR="001B672D" w:rsidRPr="009223BE">
        <w:rPr>
          <w:rFonts w:ascii="Avenir Next" w:hAnsi="Avenir Next" w:cs="Arial"/>
          <w:color w:val="7B7B7B" w:themeColor="accent3" w:themeShade="BF"/>
          <w:sz w:val="22"/>
          <w:szCs w:val="22"/>
          <w:lang w:val="en-GB"/>
        </w:rPr>
        <w:t xml:space="preserve"> Nonetheless, Epeoglou considers that the incorporation theory or more flexible approach to the choice of COMI would favour the key objective of business rescue, by increasing rescue options by way of “COMI shifting” (</w:t>
      </w:r>
      <w:r w:rsidR="001B672D" w:rsidRPr="009223BE">
        <w:rPr>
          <w:rFonts w:ascii="Avenir Next" w:hAnsi="Avenir Next" w:cs="Arial"/>
          <w:i/>
          <w:iCs/>
          <w:color w:val="7B7B7B" w:themeColor="accent3" w:themeShade="BF"/>
          <w:sz w:val="22"/>
          <w:szCs w:val="22"/>
          <w:lang w:val="en-GB"/>
        </w:rPr>
        <w:t>idem</w:t>
      </w:r>
      <w:r w:rsidR="001B672D" w:rsidRPr="009223BE">
        <w:rPr>
          <w:rFonts w:ascii="Avenir Next" w:hAnsi="Avenir Next" w:cs="Arial"/>
          <w:color w:val="7B7B7B" w:themeColor="accent3" w:themeShade="BF"/>
          <w:sz w:val="22"/>
          <w:szCs w:val="22"/>
          <w:lang w:val="en-GB"/>
        </w:rPr>
        <w:t>, p.45).</w:t>
      </w:r>
      <w:r w:rsidR="00850657" w:rsidRPr="009223BE">
        <w:rPr>
          <w:rFonts w:ascii="Avenir Next" w:hAnsi="Avenir Next" w:cs="Arial"/>
          <w:color w:val="7B7B7B" w:themeColor="accent3" w:themeShade="BF"/>
          <w:sz w:val="22"/>
          <w:szCs w:val="22"/>
          <w:lang w:val="en-GB"/>
        </w:rPr>
        <w:t xml:space="preserve"> On the other hand, Epeoglou considers that legal certainty could contribute to business rescue by allowing for more certainty in rescue plans without fear of COMI relocation. An increased degree of certainty in respect of the rebutting of the COMI presumption, including requirements rather than mere guidelines </w:t>
      </w:r>
      <w:r w:rsidR="007318C4" w:rsidRPr="009223BE">
        <w:rPr>
          <w:rFonts w:ascii="Avenir Next" w:hAnsi="Avenir Next" w:cs="Arial"/>
          <w:color w:val="7B7B7B" w:themeColor="accent3" w:themeShade="BF"/>
          <w:sz w:val="22"/>
          <w:szCs w:val="22"/>
          <w:lang w:val="en-GB"/>
        </w:rPr>
        <w:t xml:space="preserve">set out in recital 30 (which are not binding) </w:t>
      </w:r>
      <w:r w:rsidR="00850657" w:rsidRPr="009223BE">
        <w:rPr>
          <w:rFonts w:ascii="Avenir Next" w:hAnsi="Avenir Next" w:cs="Arial"/>
          <w:color w:val="7B7B7B" w:themeColor="accent3" w:themeShade="BF"/>
          <w:sz w:val="22"/>
          <w:szCs w:val="22"/>
          <w:lang w:val="en-GB"/>
        </w:rPr>
        <w:t xml:space="preserve">in respect of rebutting </w:t>
      </w:r>
      <w:r w:rsidR="00243F24" w:rsidRPr="009223BE">
        <w:rPr>
          <w:rFonts w:ascii="Avenir Next" w:hAnsi="Avenir Next" w:cs="Arial"/>
          <w:color w:val="7B7B7B" w:themeColor="accent3" w:themeShade="BF"/>
          <w:sz w:val="22"/>
          <w:szCs w:val="22"/>
          <w:lang w:val="en-GB"/>
        </w:rPr>
        <w:t xml:space="preserve">the </w:t>
      </w:r>
      <w:r w:rsidR="00EF665C" w:rsidRPr="009223BE">
        <w:rPr>
          <w:rFonts w:ascii="Avenir Next" w:hAnsi="Avenir Next" w:cs="Arial"/>
          <w:color w:val="7B7B7B" w:themeColor="accent3" w:themeShade="BF"/>
          <w:sz w:val="22"/>
          <w:szCs w:val="22"/>
          <w:lang w:val="en-GB"/>
        </w:rPr>
        <w:t>COMI</w:t>
      </w:r>
      <w:r w:rsidR="00850657" w:rsidRPr="009223BE">
        <w:rPr>
          <w:rFonts w:ascii="Avenir Next" w:hAnsi="Avenir Next" w:cs="Arial"/>
          <w:color w:val="7B7B7B" w:themeColor="accent3" w:themeShade="BF"/>
          <w:sz w:val="22"/>
          <w:szCs w:val="22"/>
          <w:lang w:val="en-GB"/>
        </w:rPr>
        <w:t xml:space="preserve"> presumption, would surely further the overall aim of modified universalism and permit proper rescue planning as well as decrease abusive forum shopping. </w:t>
      </w:r>
    </w:p>
    <w:p w14:paraId="6532B732" w14:textId="77777777" w:rsidR="00195688" w:rsidRPr="00195688" w:rsidRDefault="00195688" w:rsidP="00976E30">
      <w:pPr>
        <w:pStyle w:val="ListParagraph"/>
        <w:ind w:left="1080"/>
        <w:jc w:val="both"/>
        <w:rPr>
          <w:rFonts w:ascii="Avenir Next" w:hAnsi="Avenir Next" w:cs="Arial"/>
          <w:sz w:val="22"/>
          <w:szCs w:val="22"/>
          <w:lang w:val="en-GB"/>
        </w:rPr>
      </w:pPr>
    </w:p>
    <w:p w14:paraId="61E9A040" w14:textId="77777777" w:rsidR="000C1D1F" w:rsidRDefault="000C1D1F" w:rsidP="000C1D1F">
      <w:pPr>
        <w:jc w:val="both"/>
        <w:rPr>
          <w:rFonts w:ascii="Avenir Next" w:hAnsi="Avenir Next" w:cs="Arial"/>
          <w:color w:val="7B7B7B" w:themeColor="accent3" w:themeShade="BF"/>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774624ED" w14:textId="73C82137" w:rsidR="0059532A" w:rsidRDefault="0059532A" w:rsidP="0059532A">
      <w:pPr>
        <w:pStyle w:val="ListParagraph"/>
        <w:numPr>
          <w:ilvl w:val="0"/>
          <w:numId w:val="40"/>
        </w:numPr>
        <w:jc w:val="both"/>
        <w:rPr>
          <w:rFonts w:ascii="Avenir Next" w:hAnsi="Avenir Next" w:cs="Arial"/>
          <w:color w:val="7B7B7B" w:themeColor="accent3" w:themeShade="BF"/>
          <w:sz w:val="22"/>
          <w:szCs w:val="22"/>
          <w:lang w:val="en-GB"/>
        </w:rPr>
      </w:pPr>
      <w:r w:rsidRPr="0059532A">
        <w:rPr>
          <w:rFonts w:ascii="Avenir Next" w:hAnsi="Avenir Next" w:cs="Arial"/>
          <w:color w:val="7B7B7B" w:themeColor="accent3" w:themeShade="BF"/>
          <w:sz w:val="22"/>
          <w:szCs w:val="22"/>
          <w:lang w:val="en-GB"/>
        </w:rPr>
        <w:t xml:space="preserve">The two instruments differ in that they are intended to co-exist and in that the chief aim of the Directive was to effect harmonisation, whereas the Regulation did not </w:t>
      </w:r>
      <w:r w:rsidR="009223BE">
        <w:rPr>
          <w:rFonts w:ascii="Avenir Next" w:hAnsi="Avenir Next" w:cs="Arial"/>
          <w:color w:val="7B7B7B" w:themeColor="accent3" w:themeShade="BF"/>
          <w:sz w:val="22"/>
          <w:szCs w:val="22"/>
          <w:lang w:val="en-GB"/>
        </w:rPr>
        <w:t>achieve this</w:t>
      </w:r>
      <w:r w:rsidRPr="0059532A">
        <w:rPr>
          <w:rFonts w:ascii="Avenir Next" w:hAnsi="Avenir Next" w:cs="Arial"/>
          <w:color w:val="7B7B7B" w:themeColor="accent3" w:themeShade="BF"/>
          <w:sz w:val="22"/>
          <w:szCs w:val="22"/>
          <w:lang w:val="en-GB"/>
        </w:rPr>
        <w:t>. One of the harmonising powers provided for in t</w:t>
      </w:r>
      <w:r w:rsidR="00243F24" w:rsidRPr="0059532A">
        <w:rPr>
          <w:rFonts w:ascii="Avenir Next" w:hAnsi="Avenir Next" w:cs="Arial"/>
          <w:color w:val="7B7B7B" w:themeColor="accent3" w:themeShade="BF"/>
          <w:sz w:val="22"/>
          <w:szCs w:val="22"/>
          <w:lang w:val="en-GB"/>
        </w:rPr>
        <w:t xml:space="preserve">he Directive provides </w:t>
      </w:r>
      <w:r w:rsidRPr="0059532A">
        <w:rPr>
          <w:rFonts w:ascii="Avenir Next" w:hAnsi="Avenir Next" w:cs="Arial"/>
          <w:color w:val="7B7B7B" w:themeColor="accent3" w:themeShade="BF"/>
          <w:sz w:val="22"/>
          <w:szCs w:val="22"/>
          <w:lang w:val="en-GB"/>
        </w:rPr>
        <w:t xml:space="preserve">is the creation of </w:t>
      </w:r>
      <w:r w:rsidR="00243F24" w:rsidRPr="0059532A">
        <w:rPr>
          <w:rFonts w:ascii="Avenir Next" w:hAnsi="Avenir Next" w:cs="Arial"/>
          <w:color w:val="7B7B7B" w:themeColor="accent3" w:themeShade="BF"/>
          <w:sz w:val="22"/>
          <w:szCs w:val="22"/>
          <w:lang w:val="en-GB"/>
        </w:rPr>
        <w:t>early warning systems to creditors</w:t>
      </w:r>
      <w:r w:rsidRPr="0059532A">
        <w:rPr>
          <w:rFonts w:ascii="Avenir Next" w:hAnsi="Avenir Next" w:cs="Arial"/>
          <w:color w:val="7B7B7B" w:themeColor="accent3" w:themeShade="BF"/>
          <w:sz w:val="22"/>
          <w:szCs w:val="22"/>
          <w:lang w:val="en-GB"/>
        </w:rPr>
        <w:t>, enabling access to early</w:t>
      </w:r>
      <w:r w:rsidR="00C00E7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stage restructuring processes and, as a result, increasing the prospects of success of such processes. </w:t>
      </w:r>
    </w:p>
    <w:p w14:paraId="2B64B95A" w14:textId="77777777" w:rsidR="009223BE" w:rsidRDefault="009223BE" w:rsidP="009223BE">
      <w:pPr>
        <w:pStyle w:val="ListParagraph"/>
        <w:jc w:val="both"/>
        <w:rPr>
          <w:rFonts w:ascii="Avenir Next" w:hAnsi="Avenir Next" w:cs="Arial"/>
          <w:color w:val="7B7B7B" w:themeColor="accent3" w:themeShade="BF"/>
          <w:sz w:val="22"/>
          <w:szCs w:val="22"/>
          <w:lang w:val="en-GB"/>
        </w:rPr>
      </w:pPr>
    </w:p>
    <w:p w14:paraId="698653F8" w14:textId="082BD9CE" w:rsidR="0059532A" w:rsidRPr="0059532A" w:rsidRDefault="0059532A" w:rsidP="0059532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example of the harmonisation in practice can be seen by the concept of a harmonised stay on creditor action, which shares common values with the French </w:t>
      </w:r>
      <w:r>
        <w:rPr>
          <w:rFonts w:ascii="Avenir Next" w:hAnsi="Avenir Next" w:cs="Arial"/>
          <w:i/>
          <w:iCs/>
          <w:color w:val="7B7B7B" w:themeColor="accent3" w:themeShade="BF"/>
          <w:sz w:val="22"/>
          <w:szCs w:val="22"/>
          <w:lang w:val="en-GB"/>
        </w:rPr>
        <w:t xml:space="preserve">sauvegarde </w:t>
      </w:r>
      <w:r>
        <w:rPr>
          <w:rFonts w:ascii="Avenir Next" w:hAnsi="Avenir Next" w:cs="Arial"/>
          <w:color w:val="7B7B7B" w:themeColor="accent3" w:themeShade="BF"/>
          <w:sz w:val="22"/>
          <w:szCs w:val="22"/>
          <w:lang w:val="en-GB"/>
        </w:rPr>
        <w:t xml:space="preserve">process. Whilst the Regulation refers to </w:t>
      </w:r>
      <w:r>
        <w:rPr>
          <w:rFonts w:ascii="Avenir Next" w:hAnsi="Avenir Next" w:cs="Arial"/>
          <w:i/>
          <w:iCs/>
          <w:color w:val="7B7B7B" w:themeColor="accent3" w:themeShade="BF"/>
          <w:sz w:val="22"/>
          <w:szCs w:val="22"/>
          <w:lang w:val="en-GB"/>
        </w:rPr>
        <w:t xml:space="preserve">sauvegarde </w:t>
      </w:r>
      <w:r>
        <w:rPr>
          <w:rFonts w:ascii="Avenir Next" w:hAnsi="Avenir Next" w:cs="Arial"/>
          <w:color w:val="7B7B7B" w:themeColor="accent3" w:themeShade="BF"/>
          <w:sz w:val="22"/>
          <w:szCs w:val="22"/>
          <w:lang w:val="en-GB"/>
        </w:rPr>
        <w:t xml:space="preserve">in Annex A as an “insolvency process”, the Directive introduces the concept to all Member States. </w:t>
      </w:r>
      <w:r w:rsidRPr="0059532A">
        <w:rPr>
          <w:rFonts w:ascii="Avenir Next" w:hAnsi="Avenir Next" w:cs="Arial"/>
          <w:color w:val="7B7B7B" w:themeColor="accent3" w:themeShade="BF"/>
          <w:sz w:val="22"/>
          <w:szCs w:val="22"/>
          <w:lang w:val="en-GB"/>
        </w:rPr>
        <w:t xml:space="preserve"> </w:t>
      </w:r>
    </w:p>
    <w:p w14:paraId="4E83D7AF" w14:textId="272638E1" w:rsidR="00DF75F8" w:rsidRPr="008E3C96" w:rsidRDefault="00DF75F8"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013522"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Bella </w:t>
      </w:r>
      <w:r w:rsidRPr="00013522">
        <w:rPr>
          <w:rFonts w:ascii="Avenir Next" w:hAnsi="Avenir Next" w:cs="Arial"/>
          <w:sz w:val="22"/>
          <w:szCs w:val="22"/>
          <w:lang w:val="en-GB"/>
        </w:rPr>
        <w:t>SARL is a French-registered company selling cosmetic products. The company ha</w:t>
      </w:r>
      <w:r w:rsidR="002A10A2" w:rsidRPr="00013522">
        <w:rPr>
          <w:rFonts w:ascii="Avenir Next" w:hAnsi="Avenir Next" w:cs="Arial"/>
          <w:sz w:val="22"/>
          <w:szCs w:val="22"/>
          <w:lang w:val="en-GB"/>
        </w:rPr>
        <w:t>d</w:t>
      </w:r>
      <w:r w:rsidRPr="00013522">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sidRPr="00013522">
        <w:rPr>
          <w:rFonts w:ascii="Avenir Next" w:hAnsi="Avenir Next" w:cs="Arial"/>
          <w:sz w:val="22"/>
          <w:szCs w:val="22"/>
          <w:lang w:val="en-GB"/>
        </w:rPr>
        <w:t xml:space="preserve"> and</w:t>
      </w:r>
      <w:r w:rsidRPr="00013522">
        <w:rPr>
          <w:rFonts w:ascii="Avenir Next" w:hAnsi="Avenir Next" w:cs="Arial"/>
          <w:sz w:val="22"/>
          <w:szCs w:val="22"/>
          <w:lang w:val="en-GB"/>
        </w:rPr>
        <w:t xml:space="preserve"> most of its customers are also located in these countries, yet some online purchases </w:t>
      </w:r>
      <w:r w:rsidR="00AC4C4F" w:rsidRPr="00013522">
        <w:rPr>
          <w:rFonts w:ascii="Avenir Next" w:hAnsi="Avenir Next" w:cs="Arial"/>
          <w:sz w:val="22"/>
          <w:szCs w:val="22"/>
          <w:lang w:val="en-GB"/>
        </w:rPr>
        <w:t xml:space="preserve">are </w:t>
      </w:r>
      <w:r w:rsidRPr="00013522">
        <w:rPr>
          <w:rFonts w:ascii="Avenir Next" w:hAnsi="Avenir Next" w:cs="Arial"/>
          <w:sz w:val="22"/>
          <w:szCs w:val="22"/>
          <w:lang w:val="en-GB"/>
        </w:rPr>
        <w:t xml:space="preserve">coming </w:t>
      </w:r>
      <w:r w:rsidR="00AC4C4F" w:rsidRPr="00013522">
        <w:rPr>
          <w:rFonts w:ascii="Avenir Next" w:hAnsi="Avenir Next" w:cs="Arial"/>
          <w:sz w:val="22"/>
          <w:szCs w:val="22"/>
          <w:lang w:val="en-GB"/>
        </w:rPr>
        <w:t xml:space="preserve">mainly </w:t>
      </w:r>
      <w:r w:rsidRPr="00013522">
        <w:rPr>
          <w:rFonts w:ascii="Avenir Next" w:hAnsi="Avenir Next" w:cs="Arial"/>
          <w:sz w:val="22"/>
          <w:szCs w:val="22"/>
          <w:lang w:val="en-GB"/>
        </w:rPr>
        <w:t xml:space="preserve">from the Netherlands and Poland. </w:t>
      </w:r>
    </w:p>
    <w:p w14:paraId="598E6E46" w14:textId="77777777" w:rsidR="00CE4206" w:rsidRPr="00013522"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013522">
        <w:rPr>
          <w:rFonts w:ascii="Avenir Next" w:hAnsi="Avenir Next" w:cs="Arial"/>
          <w:sz w:val="22"/>
          <w:szCs w:val="22"/>
          <w:lang w:val="en-GB"/>
        </w:rPr>
        <w:t>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w:t>
      </w:r>
      <w:r w:rsidRPr="008E3C96">
        <w:rPr>
          <w:rFonts w:ascii="Avenir Next" w:hAnsi="Avenir Next" w:cs="Arial"/>
          <w:sz w:val="22"/>
          <w:szCs w:val="22"/>
          <w:lang w:val="en-GB"/>
        </w:rPr>
        <w:t xml:space="preserve">. </w:t>
      </w:r>
    </w:p>
    <w:p w14:paraId="7F3238DB" w14:textId="77777777" w:rsidR="00CE4206" w:rsidRPr="008E3C96" w:rsidRDefault="00CE4206" w:rsidP="002A37BB">
      <w:pPr>
        <w:jc w:val="both"/>
        <w:rPr>
          <w:rFonts w:ascii="Avenir Next" w:hAnsi="Avenir Next" w:cs="Arial"/>
          <w:sz w:val="22"/>
          <w:szCs w:val="22"/>
          <w:lang w:val="en-GB"/>
        </w:rPr>
      </w:pPr>
    </w:p>
    <w:p w14:paraId="5C3A3BA4" w14:textId="497FC54C"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r w:rsidR="00AA3E9E" w:rsidRPr="00013522">
        <w:rPr>
          <w:rFonts w:ascii="Avenir Next" w:hAnsi="Avenir Next" w:cs="Arial"/>
          <w:sz w:val="22"/>
          <w:szCs w:val="22"/>
          <w:lang w:val="en-GB"/>
        </w:rPr>
        <w:t>difficulty yet</w:t>
      </w:r>
      <w:r w:rsidR="003D17A2" w:rsidRPr="00013522">
        <w:rPr>
          <w:rFonts w:ascii="Avenir Next" w:hAnsi="Avenir Next" w:cs="Arial"/>
          <w:sz w:val="22"/>
          <w:szCs w:val="22"/>
          <w:lang w:val="en-GB"/>
        </w:rPr>
        <w:t xml:space="preserve"> managed to keep afloat for another few years. On 20 June 2017, it filed a petition to open safeguard proceedings in the Strasbourg High Court in France.</w:t>
      </w:r>
      <w:r w:rsidR="003D17A2"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013522">
        <w:rPr>
          <w:rFonts w:ascii="Avenir Next" w:hAnsi="Avenir Next" w:cs="Arial"/>
          <w:sz w:val="22"/>
          <w:szCs w:val="22"/>
          <w:lang w:val="en-GB"/>
        </w:rPr>
        <w:lastRenderedPageBreak/>
        <w:t xml:space="preserve">Assume that </w:t>
      </w:r>
      <w:r w:rsidR="003D17A2" w:rsidRPr="00013522">
        <w:rPr>
          <w:rFonts w:ascii="Avenir Next" w:hAnsi="Avenir Next" w:cs="Arial"/>
          <w:sz w:val="22"/>
          <w:szCs w:val="22"/>
          <w:lang w:val="en-GB"/>
        </w:rPr>
        <w:t>the timeline is slightly different and</w:t>
      </w:r>
      <w:r w:rsidR="004F4245" w:rsidRPr="00013522">
        <w:rPr>
          <w:rFonts w:ascii="Avenir Next" w:hAnsi="Avenir Next" w:cs="Arial"/>
          <w:sz w:val="22"/>
          <w:szCs w:val="22"/>
          <w:lang w:val="en-GB"/>
        </w:rPr>
        <w:t>,</w:t>
      </w:r>
      <w:r w:rsidR="003D17A2" w:rsidRPr="00013522">
        <w:rPr>
          <w:rFonts w:ascii="Avenir Next" w:hAnsi="Avenir Next" w:cs="Arial"/>
          <w:sz w:val="22"/>
          <w:szCs w:val="22"/>
          <w:lang w:val="en-GB"/>
        </w:rPr>
        <w:t xml:space="preserve"> therefore, assume that it is not the EIR 2015 </w:t>
      </w:r>
      <w:r w:rsidR="004F4245" w:rsidRPr="00013522">
        <w:rPr>
          <w:rFonts w:ascii="Avenir Next" w:hAnsi="Avenir Next" w:cs="Arial"/>
          <w:sz w:val="22"/>
          <w:szCs w:val="22"/>
          <w:lang w:val="en-GB"/>
        </w:rPr>
        <w:t>that</w:t>
      </w:r>
      <w:r w:rsidR="003D17A2" w:rsidRPr="00013522">
        <w:rPr>
          <w:rFonts w:ascii="Avenir Next" w:hAnsi="Avenir Next" w:cs="Arial"/>
          <w:sz w:val="22"/>
          <w:szCs w:val="22"/>
          <w:lang w:val="en-GB"/>
        </w:rPr>
        <w:t xml:space="preserve"> applies but the EIR 2000.</w:t>
      </w:r>
      <w:r w:rsidR="003D17A2" w:rsidRPr="008E3C96">
        <w:rPr>
          <w:rFonts w:ascii="Avenir Next" w:hAnsi="Avenir Next" w:cs="Arial"/>
          <w:sz w:val="22"/>
          <w:szCs w:val="22"/>
          <w:lang w:val="en-GB"/>
        </w:rPr>
        <w:t xml:space="preserve">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248233BB" w14:textId="77777777" w:rsidR="0085634A" w:rsidRDefault="0085634A" w:rsidP="002A37BB">
      <w:pPr>
        <w:jc w:val="both"/>
        <w:rPr>
          <w:rFonts w:ascii="Avenir Next" w:hAnsi="Avenir Next" w:cs="Arial"/>
          <w:color w:val="7B7B7B" w:themeColor="accent3" w:themeShade="BF"/>
          <w:sz w:val="22"/>
          <w:szCs w:val="22"/>
          <w:lang w:val="en-GB"/>
        </w:rPr>
      </w:pPr>
    </w:p>
    <w:p w14:paraId="2943D50D" w14:textId="230911F2" w:rsidR="0085634A" w:rsidRDefault="00247F8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French safeguarding proceedings (</w:t>
      </w:r>
      <w:r w:rsidRPr="00C00E7F">
        <w:rPr>
          <w:rFonts w:ascii="Avenir Next" w:hAnsi="Avenir Next" w:cs="Arial"/>
          <w:i/>
          <w:iCs/>
          <w:color w:val="7B7B7B" w:themeColor="accent3" w:themeShade="BF"/>
          <w:sz w:val="22"/>
          <w:szCs w:val="22"/>
          <w:lang w:val="en-GB"/>
        </w:rPr>
        <w:t>sauvegarde</w:t>
      </w:r>
      <w:r>
        <w:rPr>
          <w:rFonts w:ascii="Avenir Next" w:hAnsi="Avenir Next" w:cs="Arial"/>
          <w:color w:val="7B7B7B" w:themeColor="accent3" w:themeShade="BF"/>
          <w:sz w:val="22"/>
          <w:szCs w:val="22"/>
          <w:lang w:val="en-GB"/>
        </w:rPr>
        <w:t xml:space="preserve">) are voluntary court-administered proceedings that can be commenced when a company is still solvent. </w:t>
      </w:r>
      <w:r w:rsidR="0085634A">
        <w:rPr>
          <w:rFonts w:ascii="Avenir Next" w:hAnsi="Avenir Next" w:cs="Arial"/>
          <w:color w:val="7B7B7B" w:themeColor="accent3" w:themeShade="BF"/>
          <w:sz w:val="22"/>
          <w:szCs w:val="22"/>
          <w:lang w:val="en-GB"/>
        </w:rPr>
        <w:t>It involves freezing past due receivables and stays individual legal proceedings against the debtor  (</w:t>
      </w:r>
      <w:hyperlink r:id="rId12" w:history="1">
        <w:r w:rsidR="0085634A" w:rsidRPr="00411AD1">
          <w:rPr>
            <w:rStyle w:val="Hyperlink"/>
            <w:rFonts w:ascii="Avenir Next" w:hAnsi="Avenir Next" w:cs="Arial"/>
            <w:sz w:val="22"/>
            <w:szCs w:val="22"/>
            <w:lang w:val="en-GB"/>
          </w:rPr>
          <w:t>https://www.simmons-simmons.com/en/publications/ck0bffdht7iez0b94wf4kl9ft/280519-what-creditors-should-know-about-the-rallye-holding-companies-safeguard-proceedings</w:t>
        </w:r>
      </w:hyperlink>
      <w:r w:rsidR="0085634A">
        <w:rPr>
          <w:rFonts w:ascii="Avenir Next" w:hAnsi="Avenir Next" w:cs="Arial"/>
          <w:color w:val="7B7B7B" w:themeColor="accent3" w:themeShade="BF"/>
          <w:sz w:val="22"/>
          <w:szCs w:val="22"/>
          <w:lang w:val="en-GB"/>
        </w:rPr>
        <w:t xml:space="preserve"> accessed March 2023).</w:t>
      </w:r>
    </w:p>
    <w:p w14:paraId="2E83CC84" w14:textId="77777777" w:rsidR="0085634A" w:rsidRDefault="0085634A" w:rsidP="002A37BB">
      <w:pPr>
        <w:jc w:val="both"/>
        <w:rPr>
          <w:rFonts w:ascii="Avenir Next" w:hAnsi="Avenir Next" w:cs="Arial"/>
          <w:color w:val="7B7B7B" w:themeColor="accent3" w:themeShade="BF"/>
          <w:sz w:val="22"/>
          <w:szCs w:val="22"/>
          <w:lang w:val="en-GB"/>
        </w:rPr>
      </w:pPr>
    </w:p>
    <w:p w14:paraId="0D37BBBB" w14:textId="077423CE" w:rsidR="002F75A3" w:rsidRDefault="0085634A"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Article 1 of the EIR 2000 </w:t>
      </w:r>
      <w:r>
        <w:rPr>
          <w:rFonts w:ascii="Avenir Next" w:hAnsi="Avenir Next" w:cs="Arial"/>
          <w:color w:val="7B7B7B" w:themeColor="accent3" w:themeShade="BF"/>
          <w:sz w:val="22"/>
          <w:szCs w:val="22"/>
        </w:rPr>
        <w:t>provides that it</w:t>
      </w:r>
      <w:r w:rsidRPr="0085634A">
        <w:rPr>
          <w:rFonts w:ascii="Avenir Next" w:hAnsi="Avenir Next" w:cs="Arial"/>
          <w:color w:val="7B7B7B" w:themeColor="accent3" w:themeShade="BF"/>
          <w:sz w:val="22"/>
          <w:szCs w:val="22"/>
        </w:rPr>
        <w:t xml:space="preserve"> shall apply to collective insolvency proceedings </w:t>
      </w:r>
      <w:r>
        <w:rPr>
          <w:rFonts w:ascii="Avenir Next" w:hAnsi="Avenir Next" w:cs="Arial"/>
          <w:color w:val="7B7B7B" w:themeColor="accent3" w:themeShade="BF"/>
          <w:sz w:val="22"/>
          <w:szCs w:val="22"/>
        </w:rPr>
        <w:t>“</w:t>
      </w:r>
      <w:r w:rsidRPr="0085634A">
        <w:rPr>
          <w:rFonts w:ascii="Avenir Next" w:hAnsi="Avenir Next" w:cs="Arial"/>
          <w:color w:val="7B7B7B" w:themeColor="accent3" w:themeShade="BF"/>
          <w:sz w:val="22"/>
          <w:szCs w:val="22"/>
        </w:rPr>
        <w:t>which entail the partial or total divestment of a debtor and the appointment of a liquidator.</w:t>
      </w:r>
      <w:r>
        <w:rPr>
          <w:rFonts w:ascii="Avenir Next" w:hAnsi="Avenir Next" w:cs="Arial"/>
          <w:color w:val="7B7B7B" w:themeColor="accent3" w:themeShade="BF"/>
          <w:sz w:val="22"/>
          <w:szCs w:val="22"/>
        </w:rPr>
        <w:t xml:space="preserve">”  </w:t>
      </w:r>
      <w:r w:rsidRPr="00C00E7F">
        <w:rPr>
          <w:rFonts w:ascii="Avenir Next" w:hAnsi="Avenir Next" w:cs="Arial"/>
          <w:i/>
          <w:iCs/>
          <w:color w:val="7B7B7B" w:themeColor="accent3" w:themeShade="BF"/>
          <w:sz w:val="22"/>
          <w:szCs w:val="22"/>
        </w:rPr>
        <w:t>Sauvegarde</w:t>
      </w:r>
      <w:r>
        <w:rPr>
          <w:rFonts w:ascii="Avenir Next" w:hAnsi="Avenir Next" w:cs="Arial"/>
          <w:color w:val="7B7B7B" w:themeColor="accent3" w:themeShade="BF"/>
          <w:sz w:val="22"/>
          <w:szCs w:val="22"/>
        </w:rPr>
        <w:t xml:space="preserve"> proceedings do not anticipate the appointment of a liquidator. Nor do they entail the divestment of the debtor’s assets. As such, the proceedings do not fall within the scope of Article 1 EIR 2000. </w:t>
      </w:r>
    </w:p>
    <w:p w14:paraId="0D8E486A" w14:textId="267CD54A" w:rsidR="00E93F81" w:rsidRDefault="00E93F81" w:rsidP="002A37BB">
      <w:pPr>
        <w:jc w:val="both"/>
        <w:rPr>
          <w:rFonts w:ascii="Avenir Next" w:hAnsi="Avenir Next" w:cs="Arial"/>
          <w:color w:val="7B7B7B" w:themeColor="accent3" w:themeShade="BF"/>
          <w:sz w:val="22"/>
          <w:szCs w:val="22"/>
        </w:rPr>
      </w:pPr>
    </w:p>
    <w:p w14:paraId="1E0F3600" w14:textId="2D0F9630" w:rsidR="00E93F81" w:rsidRDefault="00E93F81"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Notably, the EIR 2000 contains a list of proceedings which fall within </w:t>
      </w:r>
      <w:r w:rsidR="00334A88">
        <w:rPr>
          <w:rFonts w:ascii="Avenir Next" w:hAnsi="Avenir Next" w:cs="Arial"/>
          <w:color w:val="7B7B7B" w:themeColor="accent3" w:themeShade="BF"/>
          <w:sz w:val="22"/>
          <w:szCs w:val="22"/>
        </w:rPr>
        <w:t>its scope</w:t>
      </w:r>
      <w:r>
        <w:rPr>
          <w:rFonts w:ascii="Avenir Next" w:hAnsi="Avenir Next" w:cs="Arial"/>
          <w:color w:val="7B7B7B" w:themeColor="accent3" w:themeShade="BF"/>
          <w:sz w:val="22"/>
          <w:szCs w:val="22"/>
        </w:rPr>
        <w:t xml:space="preserve">; the </w:t>
      </w:r>
      <w:r w:rsidRPr="00334A88">
        <w:rPr>
          <w:rFonts w:ascii="Avenir Next" w:hAnsi="Avenir Next" w:cs="Arial"/>
          <w:i/>
          <w:iCs/>
          <w:color w:val="7B7B7B" w:themeColor="accent3" w:themeShade="BF"/>
          <w:sz w:val="22"/>
          <w:szCs w:val="22"/>
        </w:rPr>
        <w:t>sauvegarde</w:t>
      </w:r>
      <w:r>
        <w:rPr>
          <w:rFonts w:ascii="Avenir Next" w:hAnsi="Avenir Next" w:cs="Arial"/>
          <w:color w:val="7B7B7B" w:themeColor="accent3" w:themeShade="BF"/>
          <w:sz w:val="22"/>
          <w:szCs w:val="22"/>
        </w:rPr>
        <w:t xml:space="preserve"> proceedings are not listed. </w:t>
      </w:r>
    </w:p>
    <w:p w14:paraId="17F0B396" w14:textId="08264947" w:rsidR="00E93F81" w:rsidRDefault="00E93F81" w:rsidP="002A37BB">
      <w:pPr>
        <w:jc w:val="both"/>
        <w:rPr>
          <w:rFonts w:ascii="Avenir Next" w:hAnsi="Avenir Next" w:cs="Arial"/>
          <w:color w:val="7B7B7B" w:themeColor="accent3" w:themeShade="BF"/>
          <w:sz w:val="22"/>
          <w:szCs w:val="22"/>
        </w:rPr>
      </w:pPr>
    </w:p>
    <w:p w14:paraId="2B6DB7AF" w14:textId="096D527D" w:rsidR="001F0E0A" w:rsidRDefault="0001352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T</w:t>
      </w:r>
      <w:r w:rsidR="005A3856">
        <w:rPr>
          <w:rFonts w:ascii="Avenir Next" w:hAnsi="Avenir Next" w:cs="Arial"/>
          <w:color w:val="7B7B7B" w:themeColor="accent3" w:themeShade="BF"/>
          <w:sz w:val="22"/>
          <w:szCs w:val="22"/>
        </w:rPr>
        <w:t xml:space="preserve">he jurisdiction of the courts which can open insolvency proceedings will also extend to related actions. This has been the case long before the EIR 2000; an example of the CJEU ruling on this issue can be seen in the case of </w:t>
      </w:r>
      <w:r w:rsidR="005A3856" w:rsidRPr="00D679E9">
        <w:rPr>
          <w:rFonts w:ascii="Avenir Next" w:hAnsi="Avenir Next" w:cs="Arial"/>
          <w:i/>
          <w:iCs/>
          <w:color w:val="7B7B7B" w:themeColor="accent3" w:themeShade="BF"/>
          <w:sz w:val="22"/>
          <w:szCs w:val="22"/>
        </w:rPr>
        <w:t>Henri Gourdain v Franz Nadler</w:t>
      </w:r>
      <w:r w:rsidR="005A3856">
        <w:rPr>
          <w:rFonts w:ascii="Avenir Next" w:hAnsi="Avenir Next" w:cs="Arial"/>
          <w:color w:val="7B7B7B" w:themeColor="accent3" w:themeShade="BF"/>
          <w:sz w:val="22"/>
          <w:szCs w:val="22"/>
        </w:rPr>
        <w:t xml:space="preserve"> </w:t>
      </w:r>
      <w:r w:rsidR="005A3856" w:rsidRPr="005A3856">
        <w:rPr>
          <w:rFonts w:ascii="Avenir Next" w:hAnsi="Avenir Next" w:cs="Arial"/>
          <w:color w:val="7B7B7B" w:themeColor="accent3" w:themeShade="BF"/>
          <w:sz w:val="22"/>
          <w:szCs w:val="22"/>
          <w:lang w:val="en-GB"/>
        </w:rPr>
        <w:t>Case C-133/78, ECLI:EU:C:1979:49 (Feb. 22, 1979)</w:t>
      </w:r>
      <w:r w:rsidR="005A3856">
        <w:rPr>
          <w:rFonts w:ascii="Avenir Next" w:hAnsi="Avenir Next" w:cs="Arial"/>
          <w:color w:val="7B7B7B" w:themeColor="accent3" w:themeShade="BF"/>
          <w:sz w:val="22"/>
          <w:szCs w:val="22"/>
          <w:lang w:val="en-GB"/>
        </w:rPr>
        <w:t xml:space="preserve">. The issue in the case was whether an order against the manager of a company </w:t>
      </w:r>
      <w:r w:rsidR="001F0E0A">
        <w:rPr>
          <w:rFonts w:ascii="Avenir Next" w:hAnsi="Avenir Next" w:cs="Arial"/>
          <w:color w:val="7B7B7B" w:themeColor="accent3" w:themeShade="BF"/>
          <w:sz w:val="22"/>
          <w:szCs w:val="22"/>
          <w:lang w:val="en-GB"/>
        </w:rPr>
        <w:t xml:space="preserve">to pay into the assets of a company in liquidation under Article 99 of the French Law fell within the scope of </w:t>
      </w:r>
    </w:p>
    <w:p w14:paraId="42023477" w14:textId="77777777" w:rsidR="00AA3E9E" w:rsidRDefault="00AA3E9E" w:rsidP="002A37BB">
      <w:pPr>
        <w:jc w:val="both"/>
        <w:rPr>
          <w:rFonts w:ascii="Avenir Next" w:hAnsi="Avenir Next" w:cs="Arial"/>
          <w:color w:val="7B7B7B" w:themeColor="accent3" w:themeShade="BF"/>
          <w:sz w:val="22"/>
          <w:szCs w:val="22"/>
          <w:lang w:val="en-GB"/>
        </w:rPr>
      </w:pPr>
    </w:p>
    <w:p w14:paraId="5E132DD7" w14:textId="59FC53E7" w:rsidR="005A3856" w:rsidRDefault="001F0E0A" w:rsidP="001F0E0A">
      <w:pPr>
        <w:pStyle w:val="ListParagraph"/>
        <w:numPr>
          <w:ilvl w:val="0"/>
          <w:numId w:val="39"/>
        </w:numPr>
        <w:jc w:val="both"/>
        <w:rPr>
          <w:rFonts w:ascii="Avenir Next" w:hAnsi="Avenir Next" w:cs="Arial"/>
          <w:color w:val="7B7B7B" w:themeColor="accent3" w:themeShade="BF"/>
          <w:sz w:val="22"/>
          <w:szCs w:val="22"/>
          <w:lang w:val="en-GB"/>
        </w:rPr>
      </w:pPr>
      <w:r w:rsidRPr="001F0E0A">
        <w:rPr>
          <w:rFonts w:ascii="Avenir Next" w:hAnsi="Avenir Next" w:cs="Arial"/>
          <w:color w:val="7B7B7B" w:themeColor="accent3" w:themeShade="BF"/>
          <w:sz w:val="22"/>
          <w:szCs w:val="22"/>
          <w:lang w:val="en-GB"/>
        </w:rPr>
        <w:t>Article 1(2) of the 1968 Convention providing that the Convention shall not apply to bankruptcy, proceedings relating to the winding up of insolvent companies or other legal persons, judicial arrangements, compositions and analogous proceedings (as summarised at p.742 of the judgment)</w:t>
      </w:r>
      <w:r>
        <w:rPr>
          <w:rFonts w:ascii="Avenir Next" w:hAnsi="Avenir Next" w:cs="Arial"/>
          <w:color w:val="7B7B7B" w:themeColor="accent3" w:themeShade="BF"/>
          <w:sz w:val="22"/>
          <w:szCs w:val="22"/>
          <w:lang w:val="en-GB"/>
        </w:rPr>
        <w:t xml:space="preserve"> or </w:t>
      </w:r>
    </w:p>
    <w:p w14:paraId="1BF7AF25" w14:textId="348E4313" w:rsidR="001F0E0A" w:rsidRDefault="001F0E0A" w:rsidP="001F0E0A">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1(1) of the 1968 Convention and was instead a “judgment given in a </w:t>
      </w:r>
      <w:r w:rsidR="00AA3E9E">
        <w:rPr>
          <w:rFonts w:ascii="Avenir Next" w:hAnsi="Avenir Next" w:cs="Arial"/>
          <w:color w:val="7B7B7B" w:themeColor="accent3" w:themeShade="BF"/>
          <w:sz w:val="22"/>
          <w:szCs w:val="22"/>
          <w:lang w:val="en-GB"/>
        </w:rPr>
        <w:t>ci</w:t>
      </w:r>
      <w:r>
        <w:rPr>
          <w:rFonts w:ascii="Avenir Next" w:hAnsi="Avenir Next" w:cs="Arial"/>
          <w:color w:val="7B7B7B" w:themeColor="accent3" w:themeShade="BF"/>
          <w:sz w:val="22"/>
          <w:szCs w:val="22"/>
          <w:lang w:val="en-GB"/>
        </w:rPr>
        <w:t xml:space="preserve">vil and commercial matter.” </w:t>
      </w:r>
    </w:p>
    <w:p w14:paraId="50AFF596" w14:textId="77777777" w:rsidR="00AA3E9E" w:rsidRPr="001F0E0A" w:rsidRDefault="00AA3E9E" w:rsidP="00AA3E9E">
      <w:pPr>
        <w:pStyle w:val="ListParagraph"/>
        <w:ind w:left="1080"/>
        <w:jc w:val="both"/>
        <w:rPr>
          <w:rFonts w:ascii="Avenir Next" w:hAnsi="Avenir Next" w:cs="Arial"/>
          <w:color w:val="7B7B7B" w:themeColor="accent3" w:themeShade="BF"/>
          <w:sz w:val="22"/>
          <w:szCs w:val="22"/>
          <w:lang w:val="en-GB"/>
        </w:rPr>
      </w:pPr>
    </w:p>
    <w:p w14:paraId="241878DA" w14:textId="03E18EE6" w:rsidR="0085634A" w:rsidRDefault="001F0E0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held that the order fell within Article 1(2); </w:t>
      </w:r>
      <w:r w:rsidR="00D679E9">
        <w:rPr>
          <w:rFonts w:ascii="Avenir Next" w:hAnsi="Avenir Next" w:cs="Arial"/>
          <w:color w:val="7B7B7B" w:themeColor="accent3" w:themeShade="BF"/>
          <w:sz w:val="22"/>
          <w:szCs w:val="22"/>
          <w:lang w:val="en-GB"/>
        </w:rPr>
        <w:t xml:space="preserve">an order </w:t>
      </w:r>
      <w:r>
        <w:rPr>
          <w:rFonts w:ascii="Avenir Next" w:hAnsi="Avenir Next" w:cs="Arial"/>
          <w:color w:val="7B7B7B" w:themeColor="accent3" w:themeShade="BF"/>
          <w:sz w:val="22"/>
          <w:szCs w:val="22"/>
          <w:lang w:val="en-GB"/>
        </w:rPr>
        <w:t>under Article 99 of the French Law</w:t>
      </w:r>
      <w:r w:rsidR="00D679E9">
        <w:rPr>
          <w:rFonts w:ascii="Avenir Next" w:hAnsi="Avenir Next" w:cs="Arial"/>
          <w:color w:val="7B7B7B" w:themeColor="accent3" w:themeShade="BF"/>
          <w:sz w:val="22"/>
          <w:szCs w:val="22"/>
          <w:lang w:val="en-GB"/>
        </w:rPr>
        <w:t xml:space="preserve"> was for the benefit of the general body of creditors.  </w:t>
      </w:r>
    </w:p>
    <w:p w14:paraId="62C599BA" w14:textId="77777777" w:rsidR="001F0E0A" w:rsidRDefault="001F0E0A" w:rsidP="002A37BB">
      <w:pPr>
        <w:jc w:val="both"/>
        <w:rPr>
          <w:rFonts w:ascii="Avenir Next" w:hAnsi="Avenir Next" w:cs="Arial"/>
          <w:color w:val="7B7B7B" w:themeColor="accent3" w:themeShade="BF"/>
          <w:sz w:val="22"/>
          <w:szCs w:val="22"/>
          <w:lang w:val="en-GB"/>
        </w:rPr>
      </w:pPr>
    </w:p>
    <w:p w14:paraId="6A1454FF" w14:textId="38F5ADFF" w:rsidR="00247F82" w:rsidRDefault="008150E1" w:rsidP="008150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referred to that decision in </w:t>
      </w:r>
      <w:r w:rsidRPr="00C00E7F">
        <w:rPr>
          <w:rFonts w:ascii="Avenir Next" w:hAnsi="Avenir Next" w:cs="Arial"/>
          <w:i/>
          <w:iCs/>
          <w:color w:val="7B7B7B" w:themeColor="accent3" w:themeShade="BF"/>
          <w:sz w:val="22"/>
          <w:szCs w:val="22"/>
          <w:lang w:val="en-GB"/>
        </w:rPr>
        <w:t>Christopher Seagon v Deko Marty</w:t>
      </w:r>
      <w:r w:rsidRPr="00C00E7F">
        <w:rPr>
          <w:rFonts w:ascii="Avenir Next" w:hAnsi="Avenir Next" w:cs="Arial"/>
          <w:i/>
          <w:iCs/>
          <w:color w:val="7B7B7B" w:themeColor="accent3" w:themeShade="BF"/>
          <w:sz w:val="22"/>
          <w:szCs w:val="22"/>
          <w:lang w:val="en-GB"/>
        </w:rPr>
        <w:t xml:space="preserve"> </w:t>
      </w:r>
      <w:r w:rsidRPr="00C00E7F">
        <w:rPr>
          <w:rFonts w:ascii="Avenir Next" w:hAnsi="Avenir Next" w:cs="Arial"/>
          <w:i/>
          <w:iCs/>
          <w:color w:val="7B7B7B" w:themeColor="accent3" w:themeShade="BF"/>
          <w:sz w:val="22"/>
          <w:szCs w:val="22"/>
          <w:lang w:val="en-GB"/>
        </w:rPr>
        <w:t>Belgium NV</w:t>
      </w:r>
      <w:r>
        <w:rPr>
          <w:rFonts w:ascii="Avenir Next" w:hAnsi="Avenir Next" w:cs="Arial"/>
          <w:color w:val="7B7B7B" w:themeColor="accent3" w:themeShade="BF"/>
          <w:sz w:val="22"/>
          <w:szCs w:val="22"/>
          <w:lang w:val="en-GB"/>
        </w:rPr>
        <w:t xml:space="preserve"> </w:t>
      </w:r>
      <w:r w:rsidRPr="008150E1">
        <w:rPr>
          <w:rFonts w:ascii="Avenir Next" w:hAnsi="Avenir Next" w:cs="Arial"/>
          <w:color w:val="7B7B7B" w:themeColor="accent3" w:themeShade="BF"/>
          <w:sz w:val="22"/>
          <w:szCs w:val="22"/>
          <w:lang w:val="en-GB"/>
        </w:rPr>
        <w:t>Case C-339/07, ECLI:EU:C:2009:83 (Feb. 12, 2009)</w:t>
      </w:r>
      <w:r>
        <w:rPr>
          <w:rFonts w:ascii="Avenir Next" w:hAnsi="Avenir Next" w:cs="Arial"/>
          <w:color w:val="7B7B7B" w:themeColor="accent3" w:themeShade="BF"/>
          <w:sz w:val="22"/>
          <w:szCs w:val="22"/>
          <w:lang w:val="en-GB"/>
        </w:rPr>
        <w:t xml:space="preserve">, noting that recital 6 of the EIR 2000 provides </w:t>
      </w:r>
      <w:r>
        <w:rPr>
          <w:rFonts w:ascii="Avenir Next" w:hAnsi="Avenir Next" w:cs="Arial"/>
          <w:color w:val="7B7B7B" w:themeColor="accent3" w:themeShade="BF"/>
          <w:sz w:val="22"/>
          <w:szCs w:val="22"/>
          <w:lang w:val="en-GB"/>
        </w:rPr>
        <w:lastRenderedPageBreak/>
        <w:t xml:space="preserve">that </w:t>
      </w:r>
      <w:r w:rsidR="00334A88">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is limited to “judgments which are delivered directly on the basis of the insolvency proceedings and are closely connected with such proceedings.” </w:t>
      </w:r>
    </w:p>
    <w:p w14:paraId="22C9C6A9" w14:textId="008FFA3A" w:rsidR="00437154" w:rsidRDefault="00437154" w:rsidP="008150E1">
      <w:pPr>
        <w:jc w:val="both"/>
        <w:rPr>
          <w:rFonts w:ascii="Avenir Next" w:hAnsi="Avenir Next" w:cs="Arial"/>
          <w:color w:val="7B7B7B" w:themeColor="accent3" w:themeShade="BF"/>
          <w:sz w:val="22"/>
          <w:szCs w:val="22"/>
          <w:lang w:val="en-GB"/>
        </w:rPr>
      </w:pPr>
    </w:p>
    <w:p w14:paraId="2E7F23E4" w14:textId="721A6DB8" w:rsidR="00013522" w:rsidRDefault="00013522" w:rsidP="008150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in this case, the purpose of the intended proceedings is to rescue the company, which is not anticipated by the EIR 2000. There are no main proceedings in place </w:t>
      </w:r>
      <w:r w:rsidR="00334A88">
        <w:rPr>
          <w:rFonts w:ascii="Avenir Next" w:hAnsi="Avenir Next" w:cs="Arial"/>
          <w:color w:val="7B7B7B" w:themeColor="accent3" w:themeShade="BF"/>
          <w:sz w:val="22"/>
          <w:szCs w:val="22"/>
          <w:lang w:val="en-GB"/>
        </w:rPr>
        <w:t xml:space="preserve">(as this is a pre-insolvency proceeding) </w:t>
      </w:r>
      <w:r>
        <w:rPr>
          <w:rFonts w:ascii="Avenir Next" w:hAnsi="Avenir Next" w:cs="Arial"/>
          <w:color w:val="7B7B7B" w:themeColor="accent3" w:themeShade="BF"/>
          <w:sz w:val="22"/>
          <w:szCs w:val="22"/>
          <w:lang w:val="en-GB"/>
        </w:rPr>
        <w:t xml:space="preserve">which might mean that the scope of the </w:t>
      </w:r>
      <w:r w:rsidR="00334A88">
        <w:rPr>
          <w:rFonts w:ascii="Avenir Next" w:hAnsi="Avenir Next" w:cs="Arial"/>
          <w:color w:val="7B7B7B" w:themeColor="accent3" w:themeShade="BF"/>
          <w:sz w:val="22"/>
          <w:szCs w:val="22"/>
          <w:lang w:val="en-GB"/>
        </w:rPr>
        <w:t>EIR 2000</w:t>
      </w:r>
      <w:r>
        <w:rPr>
          <w:rFonts w:ascii="Avenir Next" w:hAnsi="Avenir Next" w:cs="Arial"/>
          <w:color w:val="7B7B7B" w:themeColor="accent3" w:themeShade="BF"/>
          <w:sz w:val="22"/>
          <w:szCs w:val="22"/>
          <w:lang w:val="en-GB"/>
        </w:rPr>
        <w:t xml:space="preserve"> was extended to those proceedings.  </w:t>
      </w:r>
    </w:p>
    <w:p w14:paraId="0AB22ABA" w14:textId="77777777" w:rsidR="00247F82" w:rsidRPr="008E3C96" w:rsidRDefault="00247F82"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19634051" w14:textId="563A8547" w:rsidR="00E93F81"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w:t>
      </w:r>
      <w:r w:rsidRPr="00013522">
        <w:rPr>
          <w:rFonts w:ascii="Avenir Next" w:hAnsi="Avenir Next" w:cs="Arial"/>
          <w:sz w:val="22"/>
          <w:szCs w:val="22"/>
          <w:lang w:val="en-GB"/>
        </w:rPr>
        <w:t>address the EIR Recast’s scope and</w:t>
      </w:r>
      <w:r w:rsidRPr="008E3C96">
        <w:rPr>
          <w:rFonts w:ascii="Avenir Next" w:hAnsi="Avenir Next" w:cs="Arial"/>
          <w:sz w:val="22"/>
          <w:szCs w:val="22"/>
          <w:lang w:val="en-GB"/>
        </w:rPr>
        <w:t xml:space="preserve">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7E9BA9F8" w14:textId="77777777" w:rsidR="005A3856" w:rsidRPr="008E3C96" w:rsidRDefault="005A3856" w:rsidP="002A37BB">
      <w:pPr>
        <w:jc w:val="both"/>
        <w:rPr>
          <w:rFonts w:ascii="Avenir Next" w:hAnsi="Avenir Next" w:cs="Arial"/>
          <w:sz w:val="22"/>
          <w:szCs w:val="22"/>
          <w:lang w:val="en-GB"/>
        </w:rPr>
      </w:pPr>
    </w:p>
    <w:p w14:paraId="0A9FCA0B" w14:textId="77777777" w:rsidR="00437154" w:rsidRDefault="0085634A"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Recital 10 of the EIR Recast provide that the Regulation extends to proceedings at a stage in which there is only a likelihood of insolvency, including proceedings which leave the debtor in control of its assets and affairs. </w:t>
      </w:r>
    </w:p>
    <w:p w14:paraId="16E09A19" w14:textId="77777777" w:rsidR="00437154" w:rsidRDefault="00437154" w:rsidP="002A37BB">
      <w:pPr>
        <w:autoSpaceDE w:val="0"/>
        <w:autoSpaceDN w:val="0"/>
        <w:adjustRightInd w:val="0"/>
        <w:jc w:val="both"/>
        <w:rPr>
          <w:rFonts w:ascii="Avenir Next" w:hAnsi="Avenir Next" w:cs="Arial"/>
          <w:color w:val="7B7B7B" w:themeColor="accent3" w:themeShade="BF"/>
          <w:sz w:val="22"/>
          <w:szCs w:val="22"/>
          <w:lang w:val="en-GB"/>
        </w:rPr>
      </w:pPr>
    </w:p>
    <w:p w14:paraId="0E7D1A59" w14:textId="6BDC2E69" w:rsidR="00437154" w:rsidRDefault="0043715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Annex A expressly provides that </w:t>
      </w:r>
      <w:r w:rsidRPr="00E93F81">
        <w:rPr>
          <w:rFonts w:ascii="Avenir Next" w:hAnsi="Avenir Next" w:cs="Arial"/>
          <w:i/>
          <w:iCs/>
          <w:color w:val="7B7B7B" w:themeColor="accent3" w:themeShade="BF"/>
          <w:sz w:val="22"/>
          <w:szCs w:val="22"/>
          <w:lang w:val="en-GB"/>
        </w:rPr>
        <w:t>sauvegarde</w:t>
      </w:r>
      <w:r>
        <w:rPr>
          <w:rFonts w:ascii="Avenir Next" w:hAnsi="Avenir Next" w:cs="Arial"/>
          <w:color w:val="7B7B7B" w:themeColor="accent3" w:themeShade="BF"/>
          <w:sz w:val="22"/>
          <w:szCs w:val="22"/>
          <w:lang w:val="en-GB"/>
        </w:rPr>
        <w:t xml:space="preserve"> proceedings fall within </w:t>
      </w:r>
      <w:r w:rsidR="00E93F81">
        <w:rPr>
          <w:rFonts w:ascii="Avenir Next" w:hAnsi="Avenir Next" w:cs="Arial"/>
          <w:color w:val="7B7B7B" w:themeColor="accent3" w:themeShade="BF"/>
          <w:sz w:val="22"/>
          <w:szCs w:val="22"/>
          <w:lang w:val="en-GB"/>
        </w:rPr>
        <w:t xml:space="preserve">the definition of “insolvency proceedings” in </w:t>
      </w:r>
      <w:r>
        <w:rPr>
          <w:rFonts w:ascii="Avenir Next" w:hAnsi="Avenir Next" w:cs="Arial"/>
          <w:color w:val="7B7B7B" w:themeColor="accent3" w:themeShade="BF"/>
          <w:sz w:val="22"/>
          <w:szCs w:val="22"/>
          <w:lang w:val="en-GB"/>
        </w:rPr>
        <w:t>Article 2(4)</w:t>
      </w:r>
      <w:r w:rsidR="00E93F81">
        <w:rPr>
          <w:rFonts w:ascii="Avenir Next" w:hAnsi="Avenir Next" w:cs="Arial"/>
          <w:color w:val="7B7B7B" w:themeColor="accent3" w:themeShade="BF"/>
          <w:sz w:val="22"/>
          <w:szCs w:val="22"/>
          <w:lang w:val="en-GB"/>
        </w:rPr>
        <w:t xml:space="preserve">. The effect of this is that, under Recital 9 of the EIR Recast, the Regulation does apply to those proceedings without further examination as to whether the conditions set out in the </w:t>
      </w:r>
      <w:r w:rsidR="00334A88">
        <w:rPr>
          <w:rFonts w:ascii="Avenir Next" w:hAnsi="Avenir Next" w:cs="Arial"/>
          <w:color w:val="7B7B7B" w:themeColor="accent3" w:themeShade="BF"/>
          <w:sz w:val="22"/>
          <w:szCs w:val="22"/>
          <w:lang w:val="en-GB"/>
        </w:rPr>
        <w:t>R</w:t>
      </w:r>
      <w:r w:rsidR="00E93F81">
        <w:rPr>
          <w:rFonts w:ascii="Avenir Next" w:hAnsi="Avenir Next" w:cs="Arial"/>
          <w:color w:val="7B7B7B" w:themeColor="accent3" w:themeShade="BF"/>
          <w:sz w:val="22"/>
          <w:szCs w:val="22"/>
          <w:lang w:val="en-GB"/>
        </w:rPr>
        <w:t xml:space="preserve">egulation are met. </w:t>
      </w:r>
    </w:p>
    <w:p w14:paraId="76AF9FD9" w14:textId="77777777" w:rsidR="00437154" w:rsidRDefault="00437154" w:rsidP="002A37BB">
      <w:pPr>
        <w:autoSpaceDE w:val="0"/>
        <w:autoSpaceDN w:val="0"/>
        <w:adjustRightInd w:val="0"/>
        <w:jc w:val="both"/>
        <w:rPr>
          <w:rFonts w:ascii="Avenir Next" w:hAnsi="Avenir Next" w:cs="Arial"/>
          <w:color w:val="7B7B7B" w:themeColor="accent3" w:themeShade="BF"/>
          <w:sz w:val="22"/>
          <w:szCs w:val="22"/>
          <w:lang w:val="en-GB"/>
        </w:rPr>
      </w:pPr>
    </w:p>
    <w:p w14:paraId="439E9A7D" w14:textId="50C6BF23" w:rsidR="00B54E36" w:rsidRDefault="00C72BA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the EIR Recast does apply to safeguard proceedings, unlike the EIR 2000</w:t>
      </w:r>
      <w:r w:rsidR="00E93F81">
        <w:rPr>
          <w:rFonts w:ascii="Avenir Next" w:hAnsi="Avenir Next" w:cs="Arial"/>
          <w:color w:val="7B7B7B" w:themeColor="accent3" w:themeShade="BF"/>
          <w:sz w:val="22"/>
          <w:szCs w:val="22"/>
          <w:lang w:val="en-GB"/>
        </w:rPr>
        <w:t xml:space="preserve">, and will enjoy automatic recognition in other member states. </w:t>
      </w:r>
    </w:p>
    <w:p w14:paraId="454A23E5" w14:textId="01B7C007" w:rsidR="00C72BA2" w:rsidRDefault="00C72BA2" w:rsidP="002A37BB">
      <w:pPr>
        <w:autoSpaceDE w:val="0"/>
        <w:autoSpaceDN w:val="0"/>
        <w:adjustRightInd w:val="0"/>
        <w:jc w:val="both"/>
        <w:rPr>
          <w:rFonts w:ascii="Avenir Next" w:hAnsi="Avenir Next" w:cs="Arial"/>
          <w:color w:val="7B7B7B" w:themeColor="accent3" w:themeShade="BF"/>
          <w:sz w:val="22"/>
          <w:szCs w:val="22"/>
          <w:lang w:val="en-GB"/>
        </w:rPr>
      </w:pPr>
    </w:p>
    <w:p w14:paraId="06491B87" w14:textId="7FE146D6" w:rsidR="00B54E36" w:rsidRDefault="0001352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question then is whether main proceedings may be opened in France. </w:t>
      </w:r>
      <w:r w:rsidR="00B54E36">
        <w:rPr>
          <w:rFonts w:ascii="Avenir Next" w:hAnsi="Avenir Next" w:cs="Arial"/>
          <w:color w:val="7B7B7B" w:themeColor="accent3" w:themeShade="BF"/>
          <w:sz w:val="22"/>
          <w:szCs w:val="22"/>
          <w:lang w:val="en-GB"/>
        </w:rPr>
        <w:t xml:space="preserve">Article 3(1) provides that the courts of the Member State in which the debtor’s centre of main interests is located has jurisdiction to open main insolvency proceedings. </w:t>
      </w:r>
    </w:p>
    <w:p w14:paraId="66190D3C" w14:textId="77777777" w:rsidR="00B54E36" w:rsidRDefault="00B54E36" w:rsidP="002A37BB">
      <w:pPr>
        <w:autoSpaceDE w:val="0"/>
        <w:autoSpaceDN w:val="0"/>
        <w:adjustRightInd w:val="0"/>
        <w:jc w:val="both"/>
        <w:rPr>
          <w:rFonts w:ascii="Avenir Next" w:hAnsi="Avenir Next" w:cs="Arial"/>
          <w:color w:val="7B7B7B" w:themeColor="accent3" w:themeShade="BF"/>
          <w:sz w:val="22"/>
          <w:szCs w:val="22"/>
          <w:lang w:val="en-GB"/>
        </w:rPr>
      </w:pPr>
    </w:p>
    <w:p w14:paraId="69400C3C" w14:textId="4F4D5DEC" w:rsidR="0085634A" w:rsidRDefault="007318C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centre of main interests is a place where the debtor conducts the administration of its interests on a regular basis and is ascertainable by third parties (Article 3(1)). </w:t>
      </w:r>
    </w:p>
    <w:p w14:paraId="0E0B6ED1" w14:textId="77777777" w:rsidR="00B54E36" w:rsidRDefault="00B54E36" w:rsidP="002A37BB">
      <w:pPr>
        <w:autoSpaceDE w:val="0"/>
        <w:autoSpaceDN w:val="0"/>
        <w:adjustRightInd w:val="0"/>
        <w:jc w:val="both"/>
        <w:rPr>
          <w:rFonts w:ascii="Avenir Next" w:hAnsi="Avenir Next" w:cs="Arial"/>
          <w:color w:val="7B7B7B" w:themeColor="accent3" w:themeShade="BF"/>
          <w:sz w:val="22"/>
          <w:szCs w:val="22"/>
          <w:lang w:val="en-GB"/>
        </w:rPr>
      </w:pPr>
    </w:p>
    <w:p w14:paraId="0246C50A" w14:textId="6A1DA337" w:rsidR="00C72BA2" w:rsidRDefault="007318C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presumption that the debtor’s COMI is the place in which it has been registered, </w:t>
      </w:r>
      <w:r w:rsidR="00C72BA2">
        <w:rPr>
          <w:rFonts w:ascii="Avenir Next" w:hAnsi="Avenir Next" w:cs="Arial"/>
          <w:color w:val="7B7B7B" w:themeColor="accent3" w:themeShade="BF"/>
          <w:sz w:val="22"/>
          <w:szCs w:val="22"/>
          <w:lang w:val="en-GB"/>
        </w:rPr>
        <w:t>which is</w:t>
      </w:r>
      <w:r>
        <w:rPr>
          <w:rFonts w:ascii="Avenir Next" w:hAnsi="Avenir Next" w:cs="Arial"/>
          <w:color w:val="7B7B7B" w:themeColor="accent3" w:themeShade="BF"/>
          <w:sz w:val="22"/>
          <w:szCs w:val="22"/>
          <w:lang w:val="en-GB"/>
        </w:rPr>
        <w:t xml:space="preserve"> France</w:t>
      </w:r>
      <w:r w:rsidR="00C72BA2">
        <w:rPr>
          <w:rFonts w:ascii="Avenir Next" w:hAnsi="Avenir Next" w:cs="Arial"/>
          <w:color w:val="7B7B7B" w:themeColor="accent3" w:themeShade="BF"/>
          <w:sz w:val="22"/>
          <w:szCs w:val="22"/>
          <w:lang w:val="en-GB"/>
        </w:rPr>
        <w:t xml:space="preserve"> in this case</w:t>
      </w:r>
      <w:r>
        <w:rPr>
          <w:rFonts w:ascii="Avenir Next" w:hAnsi="Avenir Next" w:cs="Arial"/>
          <w:color w:val="7B7B7B" w:themeColor="accent3" w:themeShade="BF"/>
          <w:sz w:val="22"/>
          <w:szCs w:val="22"/>
          <w:lang w:val="en-GB"/>
        </w:rPr>
        <w:t xml:space="preserve">. However, that presumption can be rebutted if there is objective proof to the contrary (Article 3(1)). </w:t>
      </w:r>
    </w:p>
    <w:p w14:paraId="38D78618" w14:textId="77777777" w:rsidR="00C72BA2" w:rsidRDefault="00C72BA2" w:rsidP="002A37BB">
      <w:pPr>
        <w:autoSpaceDE w:val="0"/>
        <w:autoSpaceDN w:val="0"/>
        <w:adjustRightInd w:val="0"/>
        <w:jc w:val="both"/>
        <w:rPr>
          <w:rFonts w:ascii="Avenir Next" w:hAnsi="Avenir Next" w:cs="Arial"/>
          <w:color w:val="7B7B7B" w:themeColor="accent3" w:themeShade="BF"/>
          <w:sz w:val="22"/>
          <w:szCs w:val="22"/>
          <w:lang w:val="en-GB"/>
        </w:rPr>
      </w:pPr>
    </w:p>
    <w:p w14:paraId="767AB1DD" w14:textId="47BEF0CB" w:rsidR="007318C4" w:rsidRDefault="007318C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Recital 30 provides that it should be possible to rebut the presumption where the company’s central administration is located in a Member State other than </w:t>
      </w:r>
      <w:r w:rsidR="00C72BA2">
        <w:rPr>
          <w:rFonts w:ascii="Avenir Next" w:hAnsi="Avenir Next" w:cs="Arial"/>
          <w:color w:val="7B7B7B" w:themeColor="accent3" w:themeShade="BF"/>
          <w:sz w:val="22"/>
          <w:szCs w:val="22"/>
          <w:lang w:val="en-GB"/>
        </w:rPr>
        <w:t xml:space="preserve">that of its registered office. In this case, </w:t>
      </w:r>
      <w:r w:rsidR="00AA3E9E">
        <w:rPr>
          <w:rFonts w:ascii="Avenir Next" w:hAnsi="Avenir Next" w:cs="Arial"/>
          <w:color w:val="7B7B7B" w:themeColor="accent3" w:themeShade="BF"/>
          <w:sz w:val="22"/>
          <w:szCs w:val="22"/>
          <w:lang w:val="en-GB"/>
        </w:rPr>
        <w:t>the company’s</w:t>
      </w:r>
      <w:r w:rsidR="00C72BA2">
        <w:rPr>
          <w:rFonts w:ascii="Avenir Next" w:hAnsi="Avenir Next" w:cs="Arial"/>
          <w:color w:val="7B7B7B" w:themeColor="accent3" w:themeShade="BF"/>
          <w:sz w:val="22"/>
          <w:szCs w:val="22"/>
          <w:lang w:val="en-GB"/>
        </w:rPr>
        <w:t xml:space="preserve"> central administration appears to be located at the site of Bella SARL’s main warehouse in Ireland, although it has smaller warehouses throughout Europe. </w:t>
      </w:r>
      <w:r w:rsidR="00B54E36">
        <w:rPr>
          <w:rFonts w:ascii="Avenir Next" w:hAnsi="Avenir Next" w:cs="Arial"/>
          <w:color w:val="7B7B7B" w:themeColor="accent3" w:themeShade="BF"/>
          <w:sz w:val="22"/>
          <w:szCs w:val="22"/>
          <w:lang w:val="en-GB"/>
        </w:rPr>
        <w:t xml:space="preserve">It can be assumed that the location of Bella SARL’s main warehouse is a factor which would be readily ascertainable by third parties. It is also, presumably, the </w:t>
      </w:r>
      <w:r w:rsidR="00B54E36">
        <w:rPr>
          <w:rFonts w:ascii="Avenir Next" w:hAnsi="Avenir Next" w:cs="Arial"/>
          <w:color w:val="7B7B7B" w:themeColor="accent3" w:themeShade="BF"/>
          <w:sz w:val="22"/>
          <w:szCs w:val="22"/>
          <w:lang w:val="en-GB"/>
        </w:rPr>
        <w:lastRenderedPageBreak/>
        <w:t xml:space="preserve">location of the majority of the company’s assets and, most likely, the biggest concentration of its workforce. </w:t>
      </w:r>
    </w:p>
    <w:p w14:paraId="1AE5D759" w14:textId="77777777" w:rsidR="00C72BA2" w:rsidRDefault="00C72BA2" w:rsidP="002A37BB">
      <w:pPr>
        <w:autoSpaceDE w:val="0"/>
        <w:autoSpaceDN w:val="0"/>
        <w:adjustRightInd w:val="0"/>
        <w:jc w:val="both"/>
        <w:rPr>
          <w:rFonts w:ascii="Avenir Next" w:hAnsi="Avenir Next" w:cs="Arial"/>
          <w:color w:val="7B7B7B" w:themeColor="accent3" w:themeShade="BF"/>
          <w:sz w:val="22"/>
          <w:szCs w:val="22"/>
          <w:lang w:val="en-GB"/>
        </w:rPr>
      </w:pPr>
    </w:p>
    <w:p w14:paraId="22D71707" w14:textId="77777777" w:rsidR="00B54E36" w:rsidRDefault="00C72BA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Recital 30 further provides that ascertaining the actual centre of management and supervision and the management of its interests requires a comprehensive assessment of all the relevant factors in a manner that is ascertainable by third parties. In this case, the fact that the company has </w:t>
      </w:r>
      <w:r w:rsidR="00B54E36">
        <w:rPr>
          <w:rFonts w:ascii="Avenir Next" w:hAnsi="Avenir Next" w:cs="Arial"/>
          <w:color w:val="7B7B7B" w:themeColor="accent3" w:themeShade="BF"/>
          <w:sz w:val="22"/>
          <w:szCs w:val="22"/>
          <w:lang w:val="en-GB"/>
        </w:rPr>
        <w:t xml:space="preserve">a bank account in Spain and </w:t>
      </w:r>
      <w:r>
        <w:rPr>
          <w:rFonts w:ascii="Avenir Next" w:hAnsi="Avenir Next" w:cs="Arial"/>
          <w:color w:val="7B7B7B" w:themeColor="accent3" w:themeShade="BF"/>
          <w:sz w:val="22"/>
          <w:szCs w:val="22"/>
          <w:lang w:val="en-GB"/>
        </w:rPr>
        <w:t xml:space="preserve">signed memoranda of sale in Spain would not appear to be ascertainable by third parties and is not, therefore, relevant to the test. </w:t>
      </w:r>
    </w:p>
    <w:p w14:paraId="4D453400" w14:textId="77777777" w:rsidR="00B54E36" w:rsidRDefault="00B54E36" w:rsidP="002A37BB">
      <w:pPr>
        <w:autoSpaceDE w:val="0"/>
        <w:autoSpaceDN w:val="0"/>
        <w:adjustRightInd w:val="0"/>
        <w:jc w:val="both"/>
        <w:rPr>
          <w:rFonts w:ascii="Avenir Next" w:hAnsi="Avenir Next" w:cs="Arial"/>
          <w:color w:val="7B7B7B" w:themeColor="accent3" w:themeShade="BF"/>
          <w:sz w:val="22"/>
          <w:szCs w:val="22"/>
          <w:lang w:val="en-GB"/>
        </w:rPr>
      </w:pPr>
    </w:p>
    <w:p w14:paraId="0D1E0B40" w14:textId="1FD5D8F0" w:rsidR="00C72BA2" w:rsidRDefault="00C72BA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Bella SARL has customers throughout Europe. Its online purchases are mainly made by Polish and Dutch customers, however that does not appear to be directly relevant to the test</w:t>
      </w:r>
      <w:r w:rsidR="009223BE">
        <w:rPr>
          <w:rFonts w:ascii="Avenir Next" w:hAnsi="Avenir Next" w:cs="Arial"/>
          <w:color w:val="7B7B7B" w:themeColor="accent3" w:themeShade="BF"/>
          <w:sz w:val="22"/>
          <w:szCs w:val="22"/>
          <w:lang w:val="en-GB"/>
        </w:rPr>
        <w:t>, given that it does not affect third party ascertainability</w:t>
      </w:r>
      <w:r>
        <w:rPr>
          <w:rFonts w:ascii="Avenir Next" w:hAnsi="Avenir Next" w:cs="Arial"/>
          <w:color w:val="7B7B7B" w:themeColor="accent3" w:themeShade="BF"/>
          <w:sz w:val="22"/>
          <w:szCs w:val="22"/>
          <w:lang w:val="en-GB"/>
        </w:rPr>
        <w:t xml:space="preserve">. Whilst the company opened its first store in 2010 in France, that should not indicate to third parties that this is the centre of management of the company’s interests, given that it is now, more than a decade later, a Europe-wide business. </w:t>
      </w:r>
    </w:p>
    <w:p w14:paraId="61FF7FF3" w14:textId="39E42C38" w:rsidR="00C72BA2" w:rsidRDefault="00C72BA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In all the circumstances, the registered office presumption should be rebuttable here in favour of the COMI being based in Ireland. </w:t>
      </w:r>
    </w:p>
    <w:p w14:paraId="491024E7" w14:textId="77777777" w:rsidR="0085634A" w:rsidRDefault="0085634A" w:rsidP="002A37BB">
      <w:pPr>
        <w:autoSpaceDE w:val="0"/>
        <w:autoSpaceDN w:val="0"/>
        <w:adjustRightInd w:val="0"/>
        <w:jc w:val="both"/>
        <w:rPr>
          <w:rFonts w:ascii="Avenir Next" w:hAnsi="Avenir Next" w:cs="Arial"/>
          <w:color w:val="7B7B7B" w:themeColor="accent3" w:themeShade="BF"/>
          <w:sz w:val="22"/>
          <w:szCs w:val="22"/>
          <w:lang w:val="en-GB"/>
        </w:rPr>
      </w:pPr>
    </w:p>
    <w:p w14:paraId="279EC317" w14:textId="77777777" w:rsidR="0085634A" w:rsidRPr="008E3C96" w:rsidRDefault="0085634A" w:rsidP="002A37BB">
      <w:pPr>
        <w:autoSpaceDE w:val="0"/>
        <w:autoSpaceDN w:val="0"/>
        <w:adjustRightInd w:val="0"/>
        <w:jc w:val="both"/>
        <w:rPr>
          <w:rFonts w:ascii="Avenir Next" w:hAnsi="Avenir Next" w:cs="Arial"/>
          <w:sz w:val="22"/>
          <w:szCs w:val="22"/>
          <w:lang w:val="en-GB"/>
        </w:rPr>
      </w:pP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37F9AC0" w:rsidR="002D0021"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616091D0" w14:textId="77777777" w:rsidR="009223BE" w:rsidRDefault="009223BE" w:rsidP="002A37BB">
      <w:pPr>
        <w:jc w:val="both"/>
        <w:rPr>
          <w:rFonts w:ascii="Avenir Next" w:hAnsi="Avenir Next" w:cs="Arial"/>
          <w:sz w:val="22"/>
          <w:szCs w:val="22"/>
          <w:lang w:val="en-GB"/>
        </w:rPr>
      </w:pPr>
    </w:p>
    <w:p w14:paraId="77CE8695" w14:textId="07923263" w:rsidR="0077498C" w:rsidRDefault="00B54E3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Secondary proceedings may be opened in parallel to main proceedings (Recital 23) and may be opened in any country in which the debtor has an establishment (Article 3(2) EIR Recast). </w:t>
      </w:r>
      <w:r w:rsidR="00540424">
        <w:rPr>
          <w:rFonts w:ascii="Avenir Next" w:hAnsi="Avenir Next" w:cs="Arial"/>
          <w:color w:val="7B7B7B" w:themeColor="accent3" w:themeShade="BF"/>
          <w:sz w:val="22"/>
          <w:szCs w:val="22"/>
          <w:lang w:val="en-GB"/>
        </w:rPr>
        <w:t xml:space="preserve">Establishment means “any place of operations where a debtor carried out or has carried out in the 3-month period prior to the request to open main proceedings a non-transitory economic activity with human activity and assets” (Article 2(10)). </w:t>
      </w:r>
      <w:r>
        <w:rPr>
          <w:rFonts w:ascii="Avenir Next" w:hAnsi="Avenir Next" w:cs="Arial"/>
          <w:color w:val="7B7B7B" w:themeColor="accent3" w:themeShade="BF"/>
          <w:sz w:val="22"/>
          <w:szCs w:val="22"/>
          <w:lang w:val="en-GB"/>
        </w:rPr>
        <w:t xml:space="preserve"> </w:t>
      </w:r>
    </w:p>
    <w:p w14:paraId="0EA3BED5" w14:textId="7DBD7124" w:rsidR="00540424" w:rsidRDefault="0054042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The facts of the case provide very little information about Bella SARL’s activities or presence in Italy. It can be supposed that it may have a bank account in Italy, as it has a warehouse there and likely a number of workers (although the presence of a bank account alone will not suffice). It can be supposed that its presence there is not transitory and that it has either leased or owns its warehouse. Just as the company’s main warehouse is ascertainable by third parties, its warehouse in Italy is also an ascertainable quality. As such, this is evidence of an external business activity by the company in Italy and is likely to be sufficient to satisfy “establishment” for the purpose of secondary proceedings.</w:t>
      </w:r>
    </w:p>
    <w:p w14:paraId="67AA7E44" w14:textId="12BAF137" w:rsidR="00540424" w:rsidRDefault="00540424" w:rsidP="002A37BB">
      <w:pPr>
        <w:jc w:val="both"/>
        <w:rPr>
          <w:rFonts w:ascii="Avenir Next" w:hAnsi="Avenir Next" w:cs="Arial"/>
          <w:color w:val="7B7B7B" w:themeColor="accent3" w:themeShade="BF"/>
          <w:sz w:val="22"/>
          <w:szCs w:val="22"/>
          <w:lang w:val="en-GB"/>
        </w:rPr>
      </w:pPr>
    </w:p>
    <w:p w14:paraId="28C47DC9" w14:textId="0B062809" w:rsidR="00540424" w:rsidRPr="00540424" w:rsidRDefault="0054042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an abuse that the bank wishes to commence those proceedings to protect its interests in the distribution; the </w:t>
      </w:r>
      <w:r w:rsidRPr="00540424">
        <w:rPr>
          <w:rFonts w:ascii="Avenir Next" w:hAnsi="Avenir Next" w:cs="Arial"/>
          <w:color w:val="7B7B7B" w:themeColor="accent3" w:themeShade="BF"/>
          <w:sz w:val="22"/>
          <w:szCs w:val="22"/>
          <w:lang w:val="en-GB"/>
        </w:rPr>
        <w:t>Virgós-Schmit Report</w:t>
      </w:r>
      <w:r>
        <w:rPr>
          <w:rFonts w:ascii="Avenir Next" w:hAnsi="Avenir Next" w:cs="Arial"/>
          <w:color w:val="7B7B7B" w:themeColor="accent3" w:themeShade="BF"/>
          <w:sz w:val="22"/>
          <w:szCs w:val="22"/>
          <w:lang w:val="en-GB"/>
        </w:rPr>
        <w:t xml:space="preserve"> notes that it “makes sense for creditors who cannot rely on the recognition of their rights (or their preferential rank) in proceedings in another…State (to open secondary proceedings) (at para.32).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9727" w14:textId="77777777" w:rsidR="00231406" w:rsidRDefault="00231406" w:rsidP="00241B44">
      <w:r>
        <w:separator/>
      </w:r>
    </w:p>
  </w:endnote>
  <w:endnote w:type="continuationSeparator" w:id="0">
    <w:p w14:paraId="3EF8926E" w14:textId="77777777" w:rsidR="00231406" w:rsidRDefault="002314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339F77C5" w:rsidR="00D509A5" w:rsidRPr="00E36039" w:rsidRDefault="00ED380A" w:rsidP="009B4976">
    <w:pPr>
      <w:pStyle w:val="Footer"/>
      <w:ind w:right="360"/>
      <w:rPr>
        <w:rFonts w:ascii="Avenir Next" w:hAnsi="Avenir Next" w:cs="Arial"/>
        <w:sz w:val="22"/>
        <w:szCs w:val="22"/>
        <w:lang w:val="en-GB"/>
      </w:rPr>
    </w:pPr>
    <w:r>
      <w:rPr>
        <w:rFonts w:ascii="Avenir Next" w:hAnsi="Avenir Next" w:cs="Arial"/>
        <w:sz w:val="22"/>
        <w:szCs w:val="22"/>
        <w:lang w:val="en-GB"/>
      </w:rPr>
      <w:t>202223-963</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6A65" w14:textId="77777777" w:rsidR="00231406" w:rsidRDefault="00231406" w:rsidP="00241B44">
      <w:r>
        <w:separator/>
      </w:r>
    </w:p>
  </w:footnote>
  <w:footnote w:type="continuationSeparator" w:id="0">
    <w:p w14:paraId="21DC789F" w14:textId="77777777" w:rsidR="00231406" w:rsidRDefault="002314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883"/>
    <w:multiLevelType w:val="hybridMultilevel"/>
    <w:tmpl w:val="5D98F780"/>
    <w:lvl w:ilvl="0" w:tplc="40D203E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4D18CF"/>
    <w:multiLevelType w:val="hybridMultilevel"/>
    <w:tmpl w:val="837CC506"/>
    <w:lvl w:ilvl="0" w:tplc="FFFFFFFF">
      <w:start w:val="1"/>
      <w:numFmt w:val="decimal"/>
      <w:lvlText w:val="%1."/>
      <w:lvlJc w:val="left"/>
      <w:pPr>
        <w:ind w:left="1080" w:hanging="360"/>
      </w:pPr>
      <w:rPr>
        <w:rFonts w:hint="default"/>
        <w:color w:val="7B7B7B" w:themeColor="accent3" w:themeShade="BF"/>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1803F9"/>
    <w:multiLevelType w:val="hybridMultilevel"/>
    <w:tmpl w:val="0E649176"/>
    <w:lvl w:ilvl="0" w:tplc="F676CB2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B625A12"/>
    <w:multiLevelType w:val="hybridMultilevel"/>
    <w:tmpl w:val="68B663FA"/>
    <w:lvl w:ilvl="0" w:tplc="166A2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64CA2"/>
    <w:multiLevelType w:val="hybridMultilevel"/>
    <w:tmpl w:val="2F228A30"/>
    <w:lvl w:ilvl="0" w:tplc="0994C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6B5827"/>
    <w:multiLevelType w:val="hybridMultilevel"/>
    <w:tmpl w:val="37C4D62A"/>
    <w:lvl w:ilvl="0" w:tplc="CFDA655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97520"/>
    <w:multiLevelType w:val="hybridMultilevel"/>
    <w:tmpl w:val="CE5AEB92"/>
    <w:lvl w:ilvl="0" w:tplc="3970F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D5150D1"/>
    <w:multiLevelType w:val="hybridMultilevel"/>
    <w:tmpl w:val="8B6ADFFE"/>
    <w:lvl w:ilvl="0" w:tplc="1B2E274A">
      <w:start w:val="1"/>
      <w:numFmt w:val="decimal"/>
      <w:lvlText w:val="(%1)"/>
      <w:lvlJc w:val="left"/>
      <w:pPr>
        <w:ind w:left="7920" w:hanging="7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C6344"/>
    <w:multiLevelType w:val="hybridMultilevel"/>
    <w:tmpl w:val="FFA4C004"/>
    <w:lvl w:ilvl="0" w:tplc="D43CA176">
      <w:start w:val="1"/>
      <w:numFmt w:val="decimal"/>
      <w:lvlText w:val="%1."/>
      <w:lvlJc w:val="left"/>
      <w:pPr>
        <w:ind w:left="1080" w:hanging="360"/>
      </w:pPr>
      <w:rPr>
        <w:rFonts w:ascii="Avenir Next" w:eastAsia="Times New Roman" w:hAnsi="Avenir Next" w:cs="Arial"/>
        <w:color w:val="7B7B7B" w:themeColor="accent3"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BD16A7"/>
    <w:multiLevelType w:val="hybridMultilevel"/>
    <w:tmpl w:val="9594E0FE"/>
    <w:lvl w:ilvl="0" w:tplc="E78CA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8783E3D"/>
    <w:multiLevelType w:val="hybridMultilevel"/>
    <w:tmpl w:val="5164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29E22CC"/>
    <w:multiLevelType w:val="hybridMultilevel"/>
    <w:tmpl w:val="BA225DD0"/>
    <w:lvl w:ilvl="0" w:tplc="4BB24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D2083E"/>
    <w:multiLevelType w:val="hybridMultilevel"/>
    <w:tmpl w:val="DDAA51E6"/>
    <w:lvl w:ilvl="0" w:tplc="F2065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C3B6E"/>
    <w:multiLevelType w:val="hybridMultilevel"/>
    <w:tmpl w:val="748EE24E"/>
    <w:lvl w:ilvl="0" w:tplc="F676CB2C">
      <w:start w:val="1"/>
      <w:numFmt w:val="decimal"/>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4226360">
    <w:abstractNumId w:val="13"/>
  </w:num>
  <w:num w:numId="2" w16cid:durableId="315377849">
    <w:abstractNumId w:val="31"/>
  </w:num>
  <w:num w:numId="3" w16cid:durableId="1667132350">
    <w:abstractNumId w:val="18"/>
  </w:num>
  <w:num w:numId="4" w16cid:durableId="1279675613">
    <w:abstractNumId w:val="38"/>
  </w:num>
  <w:num w:numId="5" w16cid:durableId="1675574437">
    <w:abstractNumId w:val="30"/>
  </w:num>
  <w:num w:numId="6" w16cid:durableId="919097982">
    <w:abstractNumId w:val="34"/>
  </w:num>
  <w:num w:numId="7" w16cid:durableId="1177505522">
    <w:abstractNumId w:val="7"/>
  </w:num>
  <w:num w:numId="8" w16cid:durableId="360010905">
    <w:abstractNumId w:val="28"/>
  </w:num>
  <w:num w:numId="9" w16cid:durableId="524053672">
    <w:abstractNumId w:val="24"/>
  </w:num>
  <w:num w:numId="10" w16cid:durableId="1618368003">
    <w:abstractNumId w:val="16"/>
  </w:num>
  <w:num w:numId="11" w16cid:durableId="1024940570">
    <w:abstractNumId w:val="29"/>
  </w:num>
  <w:num w:numId="12" w16cid:durableId="1523399560">
    <w:abstractNumId w:val="3"/>
  </w:num>
  <w:num w:numId="13" w16cid:durableId="223957306">
    <w:abstractNumId w:val="11"/>
  </w:num>
  <w:num w:numId="14" w16cid:durableId="1480608229">
    <w:abstractNumId w:val="21"/>
  </w:num>
  <w:num w:numId="15" w16cid:durableId="1125081681">
    <w:abstractNumId w:val="17"/>
  </w:num>
  <w:num w:numId="16" w16cid:durableId="1710760298">
    <w:abstractNumId w:val="10"/>
  </w:num>
  <w:num w:numId="17" w16cid:durableId="2049643083">
    <w:abstractNumId w:val="13"/>
  </w:num>
  <w:num w:numId="18" w16cid:durableId="770395378">
    <w:abstractNumId w:val="4"/>
  </w:num>
  <w:num w:numId="19" w16cid:durableId="999583426">
    <w:abstractNumId w:val="1"/>
  </w:num>
  <w:num w:numId="20" w16cid:durableId="809178295">
    <w:abstractNumId w:val="6"/>
  </w:num>
  <w:num w:numId="21" w16cid:durableId="892040405">
    <w:abstractNumId w:val="1"/>
  </w:num>
  <w:num w:numId="22" w16cid:durableId="342325845">
    <w:abstractNumId w:val="8"/>
  </w:num>
  <w:num w:numId="23" w16cid:durableId="545408270">
    <w:abstractNumId w:val="32"/>
  </w:num>
  <w:num w:numId="24" w16cid:durableId="1536965596">
    <w:abstractNumId w:val="35"/>
  </w:num>
  <w:num w:numId="25" w16cid:durableId="641540314">
    <w:abstractNumId w:val="5"/>
  </w:num>
  <w:num w:numId="26" w16cid:durableId="1992518306">
    <w:abstractNumId w:val="39"/>
  </w:num>
  <w:num w:numId="27" w16cid:durableId="1303273716">
    <w:abstractNumId w:val="9"/>
  </w:num>
  <w:num w:numId="28" w16cid:durableId="447353939">
    <w:abstractNumId w:val="2"/>
  </w:num>
  <w:num w:numId="29" w16cid:durableId="602611948">
    <w:abstractNumId w:val="12"/>
  </w:num>
  <w:num w:numId="30" w16cid:durableId="229075901">
    <w:abstractNumId w:val="37"/>
  </w:num>
  <w:num w:numId="31" w16cid:durableId="2061899734">
    <w:abstractNumId w:val="0"/>
  </w:num>
  <w:num w:numId="32" w16cid:durableId="1936278072">
    <w:abstractNumId w:val="23"/>
  </w:num>
  <w:num w:numId="33" w16cid:durableId="100415937">
    <w:abstractNumId w:val="22"/>
  </w:num>
  <w:num w:numId="34" w16cid:durableId="533272120">
    <w:abstractNumId w:val="25"/>
  </w:num>
  <w:num w:numId="35" w16cid:durableId="96220457">
    <w:abstractNumId w:val="33"/>
  </w:num>
  <w:num w:numId="36" w16cid:durableId="136148180">
    <w:abstractNumId w:val="26"/>
  </w:num>
  <w:num w:numId="37" w16cid:durableId="2826266">
    <w:abstractNumId w:val="14"/>
  </w:num>
  <w:num w:numId="38" w16cid:durableId="516236580">
    <w:abstractNumId w:val="19"/>
  </w:num>
  <w:num w:numId="39" w16cid:durableId="1109661990">
    <w:abstractNumId w:val="20"/>
  </w:num>
  <w:num w:numId="40" w16cid:durableId="1819495948">
    <w:abstractNumId w:val="40"/>
  </w:num>
  <w:num w:numId="41" w16cid:durableId="103429839">
    <w:abstractNumId w:val="27"/>
  </w:num>
  <w:num w:numId="42" w16cid:durableId="570966163">
    <w:abstractNumId w:val="15"/>
  </w:num>
  <w:num w:numId="43" w16cid:durableId="540553865">
    <w:abstractNumId w:val="41"/>
  </w:num>
  <w:num w:numId="44" w16cid:durableId="4561514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3522"/>
    <w:rsid w:val="00016162"/>
    <w:rsid w:val="00020557"/>
    <w:rsid w:val="000250C7"/>
    <w:rsid w:val="00026F16"/>
    <w:rsid w:val="000279EC"/>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B6180"/>
    <w:rsid w:val="000C1D1F"/>
    <w:rsid w:val="000C6BB5"/>
    <w:rsid w:val="000D55A8"/>
    <w:rsid w:val="000E4841"/>
    <w:rsid w:val="000F1677"/>
    <w:rsid w:val="000F3D6C"/>
    <w:rsid w:val="000F4A14"/>
    <w:rsid w:val="00101707"/>
    <w:rsid w:val="00113E29"/>
    <w:rsid w:val="0011473D"/>
    <w:rsid w:val="0011548B"/>
    <w:rsid w:val="00115C85"/>
    <w:rsid w:val="00123855"/>
    <w:rsid w:val="00126A4D"/>
    <w:rsid w:val="0013600C"/>
    <w:rsid w:val="00137C74"/>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5688"/>
    <w:rsid w:val="001966D9"/>
    <w:rsid w:val="001A68CC"/>
    <w:rsid w:val="001A7E9A"/>
    <w:rsid w:val="001B0F70"/>
    <w:rsid w:val="001B5016"/>
    <w:rsid w:val="001B672D"/>
    <w:rsid w:val="001B6DDC"/>
    <w:rsid w:val="001C45FC"/>
    <w:rsid w:val="001D0469"/>
    <w:rsid w:val="001D4862"/>
    <w:rsid w:val="001D6E1C"/>
    <w:rsid w:val="001E25B9"/>
    <w:rsid w:val="001E49E0"/>
    <w:rsid w:val="001E5F8A"/>
    <w:rsid w:val="001E7B5A"/>
    <w:rsid w:val="001F0E0A"/>
    <w:rsid w:val="001F7412"/>
    <w:rsid w:val="00202DFE"/>
    <w:rsid w:val="00203720"/>
    <w:rsid w:val="0020725B"/>
    <w:rsid w:val="002110F1"/>
    <w:rsid w:val="00222FB5"/>
    <w:rsid w:val="00231406"/>
    <w:rsid w:val="0024116D"/>
    <w:rsid w:val="00241B44"/>
    <w:rsid w:val="00241FA3"/>
    <w:rsid w:val="00243F24"/>
    <w:rsid w:val="00244C44"/>
    <w:rsid w:val="00245EFB"/>
    <w:rsid w:val="00247F82"/>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0C59"/>
    <w:rsid w:val="002C13C8"/>
    <w:rsid w:val="002C3547"/>
    <w:rsid w:val="002D0021"/>
    <w:rsid w:val="002D3473"/>
    <w:rsid w:val="002E4CF1"/>
    <w:rsid w:val="002F1956"/>
    <w:rsid w:val="002F3440"/>
    <w:rsid w:val="002F75A3"/>
    <w:rsid w:val="00302D76"/>
    <w:rsid w:val="003039FE"/>
    <w:rsid w:val="00303C2F"/>
    <w:rsid w:val="003144EF"/>
    <w:rsid w:val="003252C2"/>
    <w:rsid w:val="00326292"/>
    <w:rsid w:val="00326415"/>
    <w:rsid w:val="003303BB"/>
    <w:rsid w:val="00330937"/>
    <w:rsid w:val="00330F31"/>
    <w:rsid w:val="00331480"/>
    <w:rsid w:val="00334648"/>
    <w:rsid w:val="00334A88"/>
    <w:rsid w:val="0033768C"/>
    <w:rsid w:val="00337938"/>
    <w:rsid w:val="00340769"/>
    <w:rsid w:val="00341AA6"/>
    <w:rsid w:val="0034705B"/>
    <w:rsid w:val="00351E54"/>
    <w:rsid w:val="003525B6"/>
    <w:rsid w:val="00361A0A"/>
    <w:rsid w:val="00364836"/>
    <w:rsid w:val="003650E5"/>
    <w:rsid w:val="0036565C"/>
    <w:rsid w:val="0036625E"/>
    <w:rsid w:val="00366415"/>
    <w:rsid w:val="0037465A"/>
    <w:rsid w:val="00375D11"/>
    <w:rsid w:val="003779E3"/>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154"/>
    <w:rsid w:val="00437297"/>
    <w:rsid w:val="00437AB3"/>
    <w:rsid w:val="00444284"/>
    <w:rsid w:val="0044574C"/>
    <w:rsid w:val="00445CE6"/>
    <w:rsid w:val="004534C2"/>
    <w:rsid w:val="0045446F"/>
    <w:rsid w:val="0045683E"/>
    <w:rsid w:val="00457CA3"/>
    <w:rsid w:val="00460C8C"/>
    <w:rsid w:val="00465BFF"/>
    <w:rsid w:val="00470681"/>
    <w:rsid w:val="00474073"/>
    <w:rsid w:val="00477C72"/>
    <w:rsid w:val="00491675"/>
    <w:rsid w:val="00493855"/>
    <w:rsid w:val="00495E79"/>
    <w:rsid w:val="0049649C"/>
    <w:rsid w:val="004A0692"/>
    <w:rsid w:val="004A57DD"/>
    <w:rsid w:val="004A7B51"/>
    <w:rsid w:val="004A7D71"/>
    <w:rsid w:val="004A7EF3"/>
    <w:rsid w:val="004B11FD"/>
    <w:rsid w:val="004B23A2"/>
    <w:rsid w:val="004C021E"/>
    <w:rsid w:val="004C0D03"/>
    <w:rsid w:val="004C0D33"/>
    <w:rsid w:val="004C4D68"/>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424"/>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936FA"/>
    <w:rsid w:val="0059532A"/>
    <w:rsid w:val="005A0CCA"/>
    <w:rsid w:val="005A3856"/>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18C4"/>
    <w:rsid w:val="007333CC"/>
    <w:rsid w:val="0073399A"/>
    <w:rsid w:val="00745D6F"/>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50E1"/>
    <w:rsid w:val="0082424D"/>
    <w:rsid w:val="0082483F"/>
    <w:rsid w:val="008279C0"/>
    <w:rsid w:val="00835422"/>
    <w:rsid w:val="00841051"/>
    <w:rsid w:val="008500BD"/>
    <w:rsid w:val="00850657"/>
    <w:rsid w:val="0085634A"/>
    <w:rsid w:val="00857862"/>
    <w:rsid w:val="00860723"/>
    <w:rsid w:val="00864593"/>
    <w:rsid w:val="0086548F"/>
    <w:rsid w:val="008723F3"/>
    <w:rsid w:val="00874240"/>
    <w:rsid w:val="008804A2"/>
    <w:rsid w:val="00881DE6"/>
    <w:rsid w:val="008837A6"/>
    <w:rsid w:val="0089145D"/>
    <w:rsid w:val="0089362E"/>
    <w:rsid w:val="00894C1D"/>
    <w:rsid w:val="00897A78"/>
    <w:rsid w:val="008A216A"/>
    <w:rsid w:val="008A299C"/>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223BE"/>
    <w:rsid w:val="00935A21"/>
    <w:rsid w:val="00942123"/>
    <w:rsid w:val="0095207B"/>
    <w:rsid w:val="00962045"/>
    <w:rsid w:val="00967219"/>
    <w:rsid w:val="00971896"/>
    <w:rsid w:val="00976E30"/>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3E9E"/>
    <w:rsid w:val="00AA55B5"/>
    <w:rsid w:val="00AB1DB6"/>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4E36"/>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0E7F"/>
    <w:rsid w:val="00C02F29"/>
    <w:rsid w:val="00C15FA2"/>
    <w:rsid w:val="00C20AFE"/>
    <w:rsid w:val="00C22A25"/>
    <w:rsid w:val="00C3301A"/>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2BA2"/>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679E9"/>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3F81"/>
    <w:rsid w:val="00E9597C"/>
    <w:rsid w:val="00EA0913"/>
    <w:rsid w:val="00EA5B00"/>
    <w:rsid w:val="00EB146B"/>
    <w:rsid w:val="00EB45AC"/>
    <w:rsid w:val="00EB5CA4"/>
    <w:rsid w:val="00EC00F9"/>
    <w:rsid w:val="00EC242E"/>
    <w:rsid w:val="00ED0BC4"/>
    <w:rsid w:val="00ED20E8"/>
    <w:rsid w:val="00ED380A"/>
    <w:rsid w:val="00ED472A"/>
    <w:rsid w:val="00ED4E85"/>
    <w:rsid w:val="00ED54B6"/>
    <w:rsid w:val="00EE4971"/>
    <w:rsid w:val="00EF090E"/>
    <w:rsid w:val="00EF665C"/>
    <w:rsid w:val="00F033DA"/>
    <w:rsid w:val="00F13289"/>
    <w:rsid w:val="00F13FB1"/>
    <w:rsid w:val="00F27CD8"/>
    <w:rsid w:val="00F30351"/>
    <w:rsid w:val="00F3323E"/>
    <w:rsid w:val="00F341F4"/>
    <w:rsid w:val="00F34F9D"/>
    <w:rsid w:val="00F35CCE"/>
    <w:rsid w:val="00F5524B"/>
    <w:rsid w:val="00F60538"/>
    <w:rsid w:val="00F60665"/>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C00E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195688"/>
    <w:rPr>
      <w:color w:val="605E5C"/>
      <w:shd w:val="clear" w:color="auto" w:fill="E1DFDD"/>
    </w:rPr>
  </w:style>
  <w:style w:type="character" w:customStyle="1" w:styleId="Heading1Char">
    <w:name w:val="Heading 1 Char"/>
    <w:basedOn w:val="DefaultParagraphFont"/>
    <w:link w:val="Heading1"/>
    <w:uiPriority w:val="9"/>
    <w:rsid w:val="00C00E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612198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mmons-simmons.com/en/publications/ck0bffdht7iez0b94wf4kl9ft/280519-what-creditors-should-know-about-the-rallye-holding-companies-safeguard-proceed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doceo/document/A-7-2011-0355_EN.html#_section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ep.ntu.ac.uk/id/eprint/27262/1/4626_Omar.pdf" TargetMode="External"/><Relationship Id="rId4" Type="http://schemas.openxmlformats.org/officeDocument/2006/relationships/settings" Target="settings.xml"/><Relationship Id="rId9" Type="http://schemas.openxmlformats.org/officeDocument/2006/relationships/hyperlink" Target="https://eur-lex.europa.eu/LexUriServ/LexUriServ.do?uri=COM:2012:0742:FIN: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C</cp:lastModifiedBy>
  <cp:revision>4</cp:revision>
  <cp:lastPrinted>2019-08-27T05:42:00Z</cp:lastPrinted>
  <dcterms:created xsi:type="dcterms:W3CDTF">2023-03-01T10:13:00Z</dcterms:created>
  <dcterms:modified xsi:type="dcterms:W3CDTF">2023-03-01T22:07:00Z</dcterms:modified>
</cp:coreProperties>
</file>