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6925C1">
        <w:rPr>
          <w:rFonts w:ascii="Avenir Next" w:hAnsi="Avenir Next" w:cs="Arial"/>
          <w:sz w:val="22"/>
          <w:szCs w:val="22"/>
          <w:lang w:val="en-GB"/>
        </w:rPr>
        <w:lastRenderedPageBreak/>
        <w:t xml:space="preserve">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8C4D75" w:rsidRDefault="00AE5B6F" w:rsidP="00B04033">
      <w:pPr>
        <w:pStyle w:val="ListParagraph"/>
        <w:numPr>
          <w:ilvl w:val="0"/>
          <w:numId w:val="1"/>
        </w:numPr>
        <w:ind w:left="426"/>
        <w:jc w:val="both"/>
        <w:rPr>
          <w:rFonts w:ascii="Avenir Next" w:hAnsi="Avenir Next" w:cs="Arial"/>
          <w:sz w:val="22"/>
          <w:szCs w:val="22"/>
          <w:highlight w:val="yellow"/>
          <w:lang w:val="en-GB"/>
        </w:rPr>
      </w:pPr>
      <w:r w:rsidRPr="008C4D75">
        <w:rPr>
          <w:rFonts w:ascii="Avenir Next" w:hAnsi="Avenir Next" w:cs="Arial"/>
          <w:sz w:val="22"/>
          <w:szCs w:val="22"/>
          <w:highlight w:val="yellow"/>
          <w:lang w:val="en-GB"/>
        </w:rPr>
        <w:t>w</w:t>
      </w:r>
      <w:r w:rsidR="00C91062" w:rsidRPr="008C4D75">
        <w:rPr>
          <w:rFonts w:ascii="Avenir Next" w:hAnsi="Avenir Next" w:cs="Arial"/>
          <w:sz w:val="22"/>
          <w:szCs w:val="22"/>
          <w:highlight w:val="yellow"/>
          <w:lang w:val="en-GB"/>
        </w:rPr>
        <w:t>ithin 8 weeks of the commencement of the administration</w:t>
      </w:r>
      <w:r w:rsidR="00763348" w:rsidRPr="008C4D75">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8C4D75" w:rsidRDefault="00E443D7" w:rsidP="00B04033">
      <w:pPr>
        <w:pStyle w:val="ListParagraph"/>
        <w:numPr>
          <w:ilvl w:val="0"/>
          <w:numId w:val="2"/>
        </w:numPr>
        <w:ind w:left="426"/>
        <w:jc w:val="both"/>
        <w:rPr>
          <w:rFonts w:ascii="Avenir Next" w:hAnsi="Avenir Next" w:cs="Arial"/>
          <w:sz w:val="22"/>
          <w:szCs w:val="22"/>
          <w:highlight w:val="yellow"/>
          <w:lang w:val="en-GB"/>
        </w:rPr>
      </w:pPr>
      <w:r w:rsidRPr="008C4D75">
        <w:rPr>
          <w:rFonts w:ascii="Avenir Next" w:hAnsi="Avenir Next" w:cs="Arial"/>
          <w:sz w:val="22"/>
          <w:szCs w:val="22"/>
          <w:highlight w:val="yellow"/>
          <w:lang w:val="en-GB"/>
        </w:rPr>
        <w:t>One year</w:t>
      </w:r>
      <w:r w:rsidR="00763348" w:rsidRPr="008C4D75">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8C4D75" w:rsidRDefault="00AE5B6F" w:rsidP="00B04033">
      <w:pPr>
        <w:pStyle w:val="ListParagraph"/>
        <w:numPr>
          <w:ilvl w:val="0"/>
          <w:numId w:val="3"/>
        </w:numPr>
        <w:ind w:left="426"/>
        <w:jc w:val="both"/>
        <w:rPr>
          <w:rFonts w:ascii="Avenir Next" w:hAnsi="Avenir Next" w:cs="Arial"/>
          <w:sz w:val="22"/>
          <w:szCs w:val="22"/>
          <w:highlight w:val="yellow"/>
          <w:lang w:val="en-GB"/>
        </w:rPr>
      </w:pPr>
      <w:r w:rsidRPr="008C4D75">
        <w:rPr>
          <w:rFonts w:ascii="Avenir Next" w:hAnsi="Avenir Next" w:cs="Arial"/>
          <w:sz w:val="22"/>
          <w:szCs w:val="22"/>
          <w:highlight w:val="yellow"/>
          <w:lang w:val="en-GB"/>
        </w:rPr>
        <w:t>T</w:t>
      </w:r>
      <w:r w:rsidR="008D1616" w:rsidRPr="008C4D75">
        <w:rPr>
          <w:rFonts w:ascii="Avenir Next" w:hAnsi="Avenir Next" w:cs="Arial"/>
          <w:sz w:val="22"/>
          <w:szCs w:val="22"/>
          <w:highlight w:val="yellow"/>
          <w:lang w:val="en-GB"/>
        </w:rPr>
        <w:t>he company is, or is likely to become, unable to pay their debts, as defined under s</w:t>
      </w:r>
      <w:r w:rsidR="00E833F4" w:rsidRPr="008C4D75">
        <w:rPr>
          <w:rFonts w:ascii="Avenir Next" w:hAnsi="Avenir Next" w:cs="Arial"/>
          <w:sz w:val="22"/>
          <w:szCs w:val="22"/>
          <w:highlight w:val="yellow"/>
          <w:lang w:val="en-GB"/>
        </w:rPr>
        <w:t>ection</w:t>
      </w:r>
      <w:r w:rsidR="008D1616" w:rsidRPr="008C4D75">
        <w:rPr>
          <w:rFonts w:ascii="Avenir Next" w:hAnsi="Avenir Next" w:cs="Arial"/>
          <w:sz w:val="22"/>
          <w:szCs w:val="22"/>
          <w:highlight w:val="yellow"/>
          <w:lang w:val="en-GB"/>
        </w:rPr>
        <w:t xml:space="preserve"> 123 of the Insolvency Act 1986</w:t>
      </w:r>
      <w:r w:rsidR="00763348" w:rsidRPr="008C4D75">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23464541" w14:textId="77777777" w:rsidR="008C4D75" w:rsidRDefault="008C4D75" w:rsidP="00C55824">
      <w:pPr>
        <w:jc w:val="both"/>
        <w:rPr>
          <w:rFonts w:ascii="Avenir Next Demi Bold" w:hAnsi="Avenir Next Demi Bold" w:cs="Arial"/>
          <w:b/>
          <w:bCs/>
          <w:sz w:val="22"/>
          <w:szCs w:val="22"/>
        </w:rPr>
      </w:pPr>
    </w:p>
    <w:p w14:paraId="5099C7EB" w14:textId="61555FBA"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8C4D75" w:rsidRDefault="00C91062" w:rsidP="00B04033">
      <w:pPr>
        <w:pStyle w:val="ListParagraph"/>
        <w:numPr>
          <w:ilvl w:val="0"/>
          <w:numId w:val="4"/>
        </w:numPr>
        <w:ind w:left="426"/>
        <w:jc w:val="both"/>
        <w:rPr>
          <w:rFonts w:ascii="Avenir Next" w:hAnsi="Avenir Next" w:cs="Arial"/>
          <w:sz w:val="22"/>
          <w:szCs w:val="22"/>
          <w:highlight w:val="yellow"/>
          <w:lang w:val="en-GB"/>
        </w:rPr>
      </w:pPr>
      <w:r w:rsidRPr="008C4D75">
        <w:rPr>
          <w:rFonts w:ascii="Avenir Next" w:hAnsi="Avenir Next" w:cs="Arial"/>
          <w:sz w:val="22"/>
          <w:szCs w:val="22"/>
          <w:highlight w:val="yellow"/>
          <w:lang w:val="en-GB"/>
        </w:rPr>
        <w:t>The administrator</w:t>
      </w:r>
      <w:r w:rsidR="00763348" w:rsidRPr="008C4D75">
        <w:rPr>
          <w:rFonts w:ascii="Avenir Next" w:hAnsi="Avenir Next" w:cs="Arial"/>
          <w:sz w:val="22"/>
          <w:szCs w:val="22"/>
          <w:highlight w:val="yellow"/>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8C4D75" w:rsidRDefault="00BA1CFD" w:rsidP="00B04033">
      <w:pPr>
        <w:pStyle w:val="ListParagraph"/>
        <w:numPr>
          <w:ilvl w:val="0"/>
          <w:numId w:val="5"/>
        </w:numPr>
        <w:ind w:left="426"/>
        <w:jc w:val="both"/>
        <w:rPr>
          <w:rFonts w:ascii="Avenir Next" w:hAnsi="Avenir Next" w:cs="Arial"/>
          <w:sz w:val="22"/>
          <w:szCs w:val="22"/>
          <w:highlight w:val="yellow"/>
          <w:lang w:val="en-GB"/>
        </w:rPr>
      </w:pPr>
      <w:r w:rsidRPr="008C4D75">
        <w:rPr>
          <w:rFonts w:ascii="Avenir Next" w:hAnsi="Avenir Next" w:cs="Arial"/>
          <w:sz w:val="22"/>
          <w:szCs w:val="22"/>
          <w:highlight w:val="yellow"/>
          <w:lang w:val="en-GB"/>
        </w:rPr>
        <w:t>Administration</w:t>
      </w:r>
      <w:r w:rsidR="00763348" w:rsidRPr="008C4D75">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211FBD1" w14:textId="77777777" w:rsidR="008C4D75" w:rsidRDefault="008C4D75" w:rsidP="00C55824">
      <w:pPr>
        <w:autoSpaceDE w:val="0"/>
        <w:autoSpaceDN w:val="0"/>
        <w:adjustRightInd w:val="0"/>
        <w:jc w:val="both"/>
        <w:rPr>
          <w:rFonts w:ascii="Avenir Next Demi Bold" w:hAnsi="Avenir Next Demi Bold" w:cs="Arial"/>
          <w:b/>
          <w:bCs/>
          <w:sz w:val="22"/>
          <w:szCs w:val="22"/>
        </w:rPr>
      </w:pPr>
    </w:p>
    <w:p w14:paraId="462DBC77" w14:textId="3467ED93"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8C4D75" w:rsidRDefault="001F3C98" w:rsidP="00B04033">
      <w:pPr>
        <w:pStyle w:val="ListParagraph"/>
        <w:numPr>
          <w:ilvl w:val="0"/>
          <w:numId w:val="6"/>
        </w:numPr>
        <w:ind w:left="426"/>
        <w:jc w:val="both"/>
        <w:rPr>
          <w:rFonts w:ascii="Avenir Next" w:hAnsi="Avenir Next" w:cs="Arial"/>
          <w:sz w:val="22"/>
          <w:szCs w:val="22"/>
          <w:highlight w:val="yellow"/>
          <w:lang w:val="en-GB"/>
        </w:rPr>
      </w:pPr>
      <w:r w:rsidRPr="008C4D75">
        <w:rPr>
          <w:rFonts w:ascii="Avenir Next" w:hAnsi="Avenir Next" w:cs="Arial"/>
          <w:sz w:val="22"/>
          <w:szCs w:val="22"/>
          <w:highlight w:val="yellow"/>
          <w:lang w:val="en-GB"/>
        </w:rPr>
        <w:t xml:space="preserve">GBP </w:t>
      </w:r>
      <w:r w:rsidR="00BA1CFD" w:rsidRPr="008C4D75">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A92CB4" w:rsidRDefault="00BA1CFD" w:rsidP="00B04033">
      <w:pPr>
        <w:pStyle w:val="ListParagraph"/>
        <w:numPr>
          <w:ilvl w:val="0"/>
          <w:numId w:val="7"/>
        </w:numPr>
        <w:ind w:left="426"/>
        <w:jc w:val="both"/>
        <w:rPr>
          <w:rFonts w:ascii="Avenir Next" w:hAnsi="Avenir Next" w:cs="Arial"/>
          <w:sz w:val="22"/>
          <w:szCs w:val="22"/>
          <w:highlight w:val="yellow"/>
          <w:lang w:val="en-GB"/>
        </w:rPr>
      </w:pPr>
      <w:r w:rsidRPr="00A92CB4">
        <w:rPr>
          <w:rFonts w:ascii="Avenir Next" w:hAnsi="Avenir Next" w:cs="Arial"/>
          <w:sz w:val="22"/>
          <w:szCs w:val="22"/>
          <w:highlight w:val="yellow"/>
          <w:lang w:val="en-GB"/>
        </w:rPr>
        <w:t>Wrongful trading</w:t>
      </w:r>
      <w:r w:rsidR="00763348" w:rsidRPr="00A92CB4">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8C4D75" w:rsidRDefault="00876F56" w:rsidP="00B04033">
      <w:pPr>
        <w:pStyle w:val="ListParagraph"/>
        <w:numPr>
          <w:ilvl w:val="0"/>
          <w:numId w:val="8"/>
        </w:numPr>
        <w:ind w:left="426"/>
        <w:jc w:val="both"/>
        <w:rPr>
          <w:rFonts w:ascii="Avenir Next" w:hAnsi="Avenir Next" w:cs="Arial"/>
          <w:sz w:val="22"/>
          <w:szCs w:val="22"/>
          <w:highlight w:val="yellow"/>
          <w:lang w:val="en-GB"/>
        </w:rPr>
      </w:pPr>
      <w:r w:rsidRPr="008C4D75">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8C4D75" w:rsidRDefault="00E833F4" w:rsidP="00B04033">
      <w:pPr>
        <w:pStyle w:val="ListParagraph"/>
        <w:numPr>
          <w:ilvl w:val="0"/>
          <w:numId w:val="9"/>
        </w:numPr>
        <w:ind w:left="426"/>
        <w:jc w:val="both"/>
        <w:rPr>
          <w:rFonts w:ascii="Avenir Next" w:hAnsi="Avenir Next" w:cs="Arial"/>
          <w:sz w:val="22"/>
          <w:szCs w:val="22"/>
          <w:highlight w:val="yellow"/>
          <w:lang w:val="en-GB"/>
        </w:rPr>
      </w:pPr>
      <w:r w:rsidRPr="008C4D75">
        <w:rPr>
          <w:rFonts w:ascii="Avenir Next" w:hAnsi="Avenir Next" w:cs="Arial"/>
          <w:sz w:val="22"/>
          <w:szCs w:val="22"/>
          <w:highlight w:val="yellow"/>
          <w:lang w:val="en-GB"/>
        </w:rPr>
        <w:t>A</w:t>
      </w:r>
      <w:r w:rsidR="000D10C6" w:rsidRPr="008C4D75">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8C4D75" w:rsidRDefault="0020204E" w:rsidP="00B04033">
      <w:pPr>
        <w:pStyle w:val="ListParagraph"/>
        <w:numPr>
          <w:ilvl w:val="0"/>
          <w:numId w:val="10"/>
        </w:numPr>
        <w:ind w:left="426"/>
        <w:jc w:val="both"/>
        <w:rPr>
          <w:rFonts w:ascii="Avenir Next" w:hAnsi="Avenir Next" w:cs="Arial"/>
          <w:sz w:val="22"/>
          <w:szCs w:val="22"/>
          <w:lang w:val="en-GB"/>
        </w:rPr>
      </w:pPr>
      <w:r w:rsidRPr="008C4D75">
        <w:rPr>
          <w:rFonts w:ascii="Avenir Next" w:hAnsi="Avenir Next" w:cs="Arial"/>
          <w:sz w:val="22"/>
          <w:szCs w:val="22"/>
          <w:lang w:val="en-GB"/>
        </w:rPr>
        <w:t>12 months</w:t>
      </w:r>
      <w:r w:rsidR="00763348" w:rsidRPr="008C4D75">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8C4D75" w:rsidRDefault="0020204E" w:rsidP="00B04033">
      <w:pPr>
        <w:pStyle w:val="ListParagraph"/>
        <w:numPr>
          <w:ilvl w:val="0"/>
          <w:numId w:val="10"/>
        </w:numPr>
        <w:ind w:left="426"/>
        <w:jc w:val="both"/>
        <w:rPr>
          <w:rFonts w:ascii="Avenir Next" w:hAnsi="Avenir Next" w:cs="Arial"/>
          <w:sz w:val="22"/>
          <w:szCs w:val="22"/>
          <w:highlight w:val="yellow"/>
          <w:lang w:val="en-GB"/>
        </w:rPr>
      </w:pPr>
      <w:r w:rsidRPr="008C4D75">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5487A9F" w14:textId="77777777" w:rsidR="008C4D75" w:rsidRDefault="008C4D75" w:rsidP="002A37BB">
      <w:pPr>
        <w:jc w:val="both"/>
        <w:rPr>
          <w:rFonts w:ascii="Avenir Next Demi Bold" w:hAnsi="Avenir Next Demi Bold" w:cs="Arial"/>
          <w:b/>
          <w:bCs/>
          <w:sz w:val="22"/>
          <w:szCs w:val="22"/>
          <w:lang w:val="en-GB"/>
        </w:rPr>
      </w:pPr>
    </w:p>
    <w:p w14:paraId="0EFEF811" w14:textId="77777777" w:rsidR="008C4D75" w:rsidRDefault="008C4D75" w:rsidP="002A37BB">
      <w:pPr>
        <w:jc w:val="both"/>
        <w:rPr>
          <w:rFonts w:ascii="Avenir Next Demi Bold" w:hAnsi="Avenir Next Demi Bold" w:cs="Arial"/>
          <w:b/>
          <w:bCs/>
          <w:sz w:val="22"/>
          <w:szCs w:val="22"/>
          <w:lang w:val="en-GB"/>
        </w:rPr>
      </w:pPr>
    </w:p>
    <w:p w14:paraId="1FB99069" w14:textId="77777777" w:rsidR="008C4D75" w:rsidRDefault="008C4D75" w:rsidP="002A37BB">
      <w:pPr>
        <w:jc w:val="both"/>
        <w:rPr>
          <w:rFonts w:ascii="Avenir Next Demi Bold" w:hAnsi="Avenir Next Demi Bold" w:cs="Arial"/>
          <w:b/>
          <w:bCs/>
          <w:sz w:val="22"/>
          <w:szCs w:val="22"/>
          <w:lang w:val="en-GB"/>
        </w:rPr>
      </w:pPr>
    </w:p>
    <w:p w14:paraId="4FC20A3B" w14:textId="7B6D0083"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273F2404" w14:textId="77777777" w:rsidR="00E63621" w:rsidRPr="00E63621" w:rsidRDefault="00E63621" w:rsidP="00E63621">
      <w:pPr>
        <w:spacing w:after="160" w:line="259" w:lineRule="auto"/>
        <w:jc w:val="both"/>
        <w:rPr>
          <w:rFonts w:ascii="Arial" w:hAnsi="Arial" w:cs="Arial"/>
          <w:sz w:val="22"/>
          <w:szCs w:val="22"/>
        </w:rPr>
      </w:pPr>
      <w:r w:rsidRPr="00E63621">
        <w:rPr>
          <w:rFonts w:ascii="Arial" w:hAnsi="Arial" w:cs="Arial"/>
          <w:sz w:val="22"/>
          <w:szCs w:val="22"/>
        </w:rPr>
        <w:t xml:space="preserve">The following people may bring an action in respect of the below provisions: </w:t>
      </w:r>
    </w:p>
    <w:p w14:paraId="3C556799" w14:textId="77777777" w:rsidR="00E63621" w:rsidRPr="00E63621" w:rsidRDefault="00E63621" w:rsidP="00E63621">
      <w:pPr>
        <w:pStyle w:val="ListParagraph"/>
        <w:numPr>
          <w:ilvl w:val="0"/>
          <w:numId w:val="19"/>
        </w:numPr>
        <w:spacing w:after="160" w:line="259" w:lineRule="auto"/>
        <w:jc w:val="both"/>
        <w:rPr>
          <w:rFonts w:ascii="Arial" w:hAnsi="Arial" w:cs="Arial"/>
          <w:sz w:val="22"/>
          <w:szCs w:val="22"/>
        </w:rPr>
      </w:pPr>
      <w:r w:rsidRPr="00E63621">
        <w:rPr>
          <w:rFonts w:ascii="Arial" w:hAnsi="Arial" w:cs="Arial"/>
          <w:b/>
          <w:sz w:val="22"/>
          <w:szCs w:val="22"/>
        </w:rPr>
        <w:t>Section 423 of Insolvency Act 1986</w:t>
      </w:r>
      <w:r w:rsidRPr="00E63621">
        <w:rPr>
          <w:rFonts w:ascii="Arial" w:hAnsi="Arial" w:cs="Arial"/>
          <w:sz w:val="22"/>
          <w:szCs w:val="22"/>
        </w:rPr>
        <w:t xml:space="preserve"> – there are several people who can bring an action under section 423 of the Insolvency Act 1986 for transactions designed to defraud creditors such as:</w:t>
      </w:r>
    </w:p>
    <w:p w14:paraId="337430A0" w14:textId="77777777" w:rsidR="00E63621" w:rsidRPr="00E63621" w:rsidRDefault="00E63621" w:rsidP="00E63621">
      <w:pPr>
        <w:pStyle w:val="ListParagraph"/>
        <w:numPr>
          <w:ilvl w:val="3"/>
          <w:numId w:val="20"/>
        </w:numPr>
        <w:spacing w:after="160" w:line="259" w:lineRule="auto"/>
        <w:jc w:val="both"/>
        <w:rPr>
          <w:rFonts w:ascii="Arial" w:hAnsi="Arial" w:cs="Arial"/>
          <w:sz w:val="22"/>
          <w:szCs w:val="22"/>
        </w:rPr>
      </w:pPr>
      <w:r w:rsidRPr="00E63621">
        <w:rPr>
          <w:rFonts w:ascii="Arial" w:hAnsi="Arial" w:cs="Arial"/>
          <w:sz w:val="22"/>
          <w:szCs w:val="22"/>
        </w:rPr>
        <w:t>In instances where the company is in liquidation or administration, the official receiver, liquidator, administration or any victim of the transaction (like a creditor);</w:t>
      </w:r>
    </w:p>
    <w:p w14:paraId="0B7A2E03" w14:textId="77777777" w:rsidR="00E63621" w:rsidRPr="00E63621" w:rsidRDefault="00E63621" w:rsidP="00E63621">
      <w:pPr>
        <w:pStyle w:val="ListParagraph"/>
        <w:numPr>
          <w:ilvl w:val="3"/>
          <w:numId w:val="20"/>
        </w:numPr>
        <w:spacing w:after="160" w:line="259" w:lineRule="auto"/>
        <w:jc w:val="both"/>
        <w:rPr>
          <w:rFonts w:ascii="Arial" w:hAnsi="Arial" w:cs="Arial"/>
          <w:sz w:val="22"/>
          <w:szCs w:val="22"/>
        </w:rPr>
      </w:pPr>
      <w:r w:rsidRPr="00E63621">
        <w:rPr>
          <w:rFonts w:ascii="Arial" w:hAnsi="Arial" w:cs="Arial"/>
          <w:sz w:val="22"/>
          <w:szCs w:val="22"/>
        </w:rPr>
        <w:t>Where victims are bound by a CVA, the supervisor of the CVA or any victim of the transaction involving the CVA despite being bound to the arrangement or not; and</w:t>
      </w:r>
    </w:p>
    <w:p w14:paraId="6943F24B" w14:textId="77777777" w:rsidR="00E63621" w:rsidRPr="00E63621" w:rsidRDefault="00E63621" w:rsidP="00E63621">
      <w:pPr>
        <w:pStyle w:val="ListParagraph"/>
        <w:numPr>
          <w:ilvl w:val="3"/>
          <w:numId w:val="20"/>
        </w:numPr>
        <w:spacing w:after="160" w:line="259" w:lineRule="auto"/>
        <w:jc w:val="both"/>
        <w:rPr>
          <w:rFonts w:ascii="Arial" w:hAnsi="Arial" w:cs="Arial"/>
          <w:sz w:val="22"/>
          <w:szCs w:val="22"/>
        </w:rPr>
      </w:pPr>
      <w:r w:rsidRPr="00E63621">
        <w:rPr>
          <w:rFonts w:ascii="Arial" w:hAnsi="Arial" w:cs="Arial"/>
          <w:sz w:val="22"/>
          <w:szCs w:val="22"/>
        </w:rPr>
        <w:t>The victim of a transaction in any other case.</w:t>
      </w:r>
    </w:p>
    <w:p w14:paraId="5084D282" w14:textId="597B9D70" w:rsidR="00E63621" w:rsidRPr="00E63621" w:rsidRDefault="00E63621" w:rsidP="00E63621">
      <w:pPr>
        <w:pStyle w:val="ListParagraph"/>
        <w:numPr>
          <w:ilvl w:val="0"/>
          <w:numId w:val="19"/>
        </w:numPr>
        <w:spacing w:after="160" w:line="259" w:lineRule="auto"/>
        <w:jc w:val="both"/>
        <w:rPr>
          <w:rFonts w:ascii="Arial" w:hAnsi="Arial" w:cs="Arial"/>
          <w:sz w:val="22"/>
          <w:szCs w:val="22"/>
        </w:rPr>
      </w:pPr>
      <w:r w:rsidRPr="00E63621">
        <w:rPr>
          <w:rFonts w:ascii="Arial" w:hAnsi="Arial" w:cs="Arial"/>
          <w:b/>
          <w:sz w:val="22"/>
          <w:szCs w:val="22"/>
        </w:rPr>
        <w:t>Section 6 of Company Directors Disqualification Act 1986</w:t>
      </w:r>
      <w:r w:rsidRPr="00E63621">
        <w:rPr>
          <w:rFonts w:ascii="Arial" w:hAnsi="Arial" w:cs="Arial"/>
          <w:sz w:val="22"/>
          <w:szCs w:val="22"/>
        </w:rPr>
        <w:t xml:space="preserve"> – the Secretary of State, liquidator, administrator and the Official Receiver, in situations where he may come across any evidence of unfit behavior by the directors of the company, an action can be taken to disqualify the directors to prevent further involvement in the management of the company.</w:t>
      </w:r>
    </w:p>
    <w:p w14:paraId="6477C980" w14:textId="52114AE1" w:rsidR="00E63621" w:rsidRPr="00E63621" w:rsidRDefault="00E63621" w:rsidP="00E63621">
      <w:pPr>
        <w:pStyle w:val="ListParagraph"/>
        <w:numPr>
          <w:ilvl w:val="0"/>
          <w:numId w:val="19"/>
        </w:numPr>
        <w:spacing w:after="160" w:line="259" w:lineRule="auto"/>
        <w:jc w:val="both"/>
        <w:rPr>
          <w:rFonts w:ascii="Arial" w:hAnsi="Arial" w:cs="Arial"/>
          <w:sz w:val="22"/>
          <w:szCs w:val="22"/>
        </w:rPr>
      </w:pPr>
      <w:r w:rsidRPr="00E63621">
        <w:rPr>
          <w:rFonts w:ascii="Arial" w:hAnsi="Arial" w:cs="Arial"/>
          <w:b/>
          <w:sz w:val="22"/>
          <w:szCs w:val="22"/>
        </w:rPr>
        <w:t>Section 246ZB of Insolvency Act 1986</w:t>
      </w:r>
      <w:r w:rsidRPr="00E63621">
        <w:rPr>
          <w:rFonts w:ascii="Arial" w:hAnsi="Arial" w:cs="Arial"/>
          <w:sz w:val="22"/>
          <w:szCs w:val="22"/>
        </w:rPr>
        <w:t>- since this section deals with wrongful trading in an administration, the administrator is the only one who can bring an action against the directors of the insolvent company for wrongful trading and hence, making them liable for some of the company’s debts and liabilities. The equivalent in a liquidation would be for the liquidator to bring an action under section 214 of the Insolvency Act 1986.</w:t>
      </w:r>
    </w:p>
    <w:p w14:paraId="5FE49CAB" w14:textId="49D6A519" w:rsidR="00E63621" w:rsidRPr="00E63621" w:rsidRDefault="00E63621" w:rsidP="00E63621">
      <w:pPr>
        <w:pStyle w:val="ListParagraph"/>
        <w:numPr>
          <w:ilvl w:val="0"/>
          <w:numId w:val="19"/>
        </w:numPr>
        <w:spacing w:after="160" w:line="259" w:lineRule="auto"/>
        <w:jc w:val="both"/>
        <w:rPr>
          <w:rFonts w:ascii="Arial" w:hAnsi="Arial" w:cs="Arial"/>
          <w:sz w:val="22"/>
          <w:szCs w:val="22"/>
        </w:rPr>
      </w:pPr>
      <w:r w:rsidRPr="00E63621">
        <w:rPr>
          <w:rFonts w:ascii="Arial" w:hAnsi="Arial" w:cs="Arial"/>
          <w:sz w:val="22"/>
          <w:szCs w:val="22"/>
        </w:rPr>
        <w:t xml:space="preserve">However, a </w:t>
      </w:r>
      <w:proofErr w:type="spellStart"/>
      <w:r w:rsidRPr="00E63621">
        <w:rPr>
          <w:rFonts w:ascii="Arial" w:hAnsi="Arial" w:cs="Arial"/>
          <w:sz w:val="22"/>
          <w:szCs w:val="22"/>
        </w:rPr>
        <w:t>defence</w:t>
      </w:r>
      <w:proofErr w:type="spellEnd"/>
      <w:r w:rsidRPr="00E63621">
        <w:rPr>
          <w:rFonts w:ascii="Arial" w:hAnsi="Arial" w:cs="Arial"/>
          <w:sz w:val="22"/>
          <w:szCs w:val="22"/>
        </w:rPr>
        <w:t xml:space="preserve"> is available to directors accused of wrongful trading which is if the director took every step with a view to minimize the potential loss to the company’s creditors (assuming he knew there was no reasonable prospect of the company avoiding insolvent liquidation/administration) and he knew or ought to have known that the insolvent winding-up/administration was inevitable. Burden of proof is on the administrator, or liquidators (if a liquidation) or person bringing action to prove that the direction knew or ought to have known there was no reasonable prospect of avoiding insolvent liquidation. If this is proven, the burden will be on the director in question to show he took every step to minimize the loss to creditors. </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4BC2A83E" w14:textId="5D9312E3" w:rsidR="00E63621" w:rsidRPr="00E63621" w:rsidRDefault="00E63621" w:rsidP="00E63621">
      <w:pPr>
        <w:spacing w:after="160" w:line="259" w:lineRule="auto"/>
        <w:jc w:val="both"/>
        <w:rPr>
          <w:rFonts w:ascii="Arial" w:hAnsi="Arial" w:cs="Arial"/>
          <w:sz w:val="22"/>
          <w:szCs w:val="22"/>
        </w:rPr>
      </w:pPr>
      <w:r w:rsidRPr="00E63621">
        <w:rPr>
          <w:rFonts w:ascii="Arial" w:hAnsi="Arial" w:cs="Arial"/>
          <w:sz w:val="22"/>
          <w:szCs w:val="22"/>
        </w:rPr>
        <w:t>Five debts that do not form part of payment holiday when a com</w:t>
      </w:r>
      <w:r w:rsidR="007C2629">
        <w:rPr>
          <w:rFonts w:ascii="Arial" w:hAnsi="Arial" w:cs="Arial"/>
          <w:sz w:val="22"/>
          <w:szCs w:val="22"/>
        </w:rPr>
        <w:t>pany is subject to a Moratorium under Part A1 of the Insolvency Act1 1986 a</w:t>
      </w:r>
      <w:r w:rsidRPr="00E63621">
        <w:rPr>
          <w:rFonts w:ascii="Arial" w:hAnsi="Arial" w:cs="Arial"/>
          <w:sz w:val="22"/>
          <w:szCs w:val="22"/>
        </w:rPr>
        <w:t>re as follows:</w:t>
      </w:r>
    </w:p>
    <w:p w14:paraId="05BD3DAD" w14:textId="2367B21D" w:rsidR="00E63621" w:rsidRPr="00E63621" w:rsidRDefault="00E63621" w:rsidP="00E63621">
      <w:pPr>
        <w:pStyle w:val="ListParagraph"/>
        <w:numPr>
          <w:ilvl w:val="0"/>
          <w:numId w:val="21"/>
        </w:numPr>
        <w:spacing w:after="160" w:line="259" w:lineRule="auto"/>
        <w:jc w:val="both"/>
        <w:rPr>
          <w:rFonts w:ascii="Arial" w:hAnsi="Arial" w:cs="Arial"/>
          <w:sz w:val="22"/>
          <w:szCs w:val="22"/>
        </w:rPr>
      </w:pPr>
      <w:r w:rsidRPr="00E63621">
        <w:rPr>
          <w:rFonts w:ascii="Arial" w:hAnsi="Arial" w:cs="Arial"/>
          <w:sz w:val="22"/>
          <w:szCs w:val="22"/>
        </w:rPr>
        <w:t>Debts owed to employees or financial services debts;</w:t>
      </w:r>
    </w:p>
    <w:p w14:paraId="47F3BF95" w14:textId="4A6E9E5E" w:rsidR="00E63621" w:rsidRPr="00E63621" w:rsidRDefault="00E63621" w:rsidP="00E63621">
      <w:pPr>
        <w:numPr>
          <w:ilvl w:val="0"/>
          <w:numId w:val="21"/>
        </w:numPr>
        <w:shd w:val="clear" w:color="auto" w:fill="FFFFFF"/>
        <w:spacing w:before="100" w:beforeAutospacing="1" w:after="100" w:afterAutospacing="1"/>
        <w:rPr>
          <w:rFonts w:ascii="Arial" w:hAnsi="Arial" w:cs="Arial"/>
          <w:sz w:val="22"/>
          <w:szCs w:val="22"/>
        </w:rPr>
      </w:pPr>
      <w:r w:rsidRPr="00E63621">
        <w:rPr>
          <w:rFonts w:ascii="Arial" w:hAnsi="Arial" w:cs="Arial"/>
          <w:sz w:val="22"/>
          <w:szCs w:val="22"/>
        </w:rPr>
        <w:t>the monitor’s fees and expenses;</w:t>
      </w:r>
    </w:p>
    <w:p w14:paraId="6D0997A2" w14:textId="69565276" w:rsidR="00E63621" w:rsidRPr="00E63621" w:rsidRDefault="00E63621" w:rsidP="00E63621">
      <w:pPr>
        <w:numPr>
          <w:ilvl w:val="0"/>
          <w:numId w:val="21"/>
        </w:numPr>
        <w:shd w:val="clear" w:color="auto" w:fill="FFFFFF"/>
        <w:spacing w:before="100" w:beforeAutospacing="1" w:after="100" w:afterAutospacing="1"/>
        <w:rPr>
          <w:rFonts w:ascii="Arial" w:hAnsi="Arial" w:cs="Arial"/>
          <w:sz w:val="22"/>
          <w:szCs w:val="22"/>
        </w:rPr>
      </w:pPr>
      <w:r w:rsidRPr="00E63621">
        <w:rPr>
          <w:rFonts w:ascii="Arial" w:hAnsi="Arial" w:cs="Arial"/>
          <w:sz w:val="22"/>
          <w:szCs w:val="22"/>
        </w:rPr>
        <w:t>any goods and services supplied during the moratorium;</w:t>
      </w:r>
    </w:p>
    <w:p w14:paraId="240B2042" w14:textId="09C8022E" w:rsidR="00E63621" w:rsidRPr="00E63621" w:rsidRDefault="00E63621" w:rsidP="00E63621">
      <w:pPr>
        <w:numPr>
          <w:ilvl w:val="0"/>
          <w:numId w:val="21"/>
        </w:numPr>
        <w:shd w:val="clear" w:color="auto" w:fill="FFFFFF"/>
        <w:spacing w:before="100" w:beforeAutospacing="1" w:after="100" w:afterAutospacing="1"/>
        <w:rPr>
          <w:rFonts w:ascii="Arial" w:hAnsi="Arial" w:cs="Arial"/>
          <w:sz w:val="22"/>
          <w:szCs w:val="22"/>
        </w:rPr>
      </w:pPr>
      <w:r w:rsidRPr="00E63621">
        <w:rPr>
          <w:rFonts w:ascii="Arial" w:hAnsi="Arial" w:cs="Arial"/>
          <w:sz w:val="22"/>
          <w:szCs w:val="22"/>
        </w:rPr>
        <w:t>rent payments during the moratorium period;</w:t>
      </w:r>
    </w:p>
    <w:p w14:paraId="171CD570" w14:textId="4A690886" w:rsidR="00E63621" w:rsidRPr="00E63621" w:rsidRDefault="00E63621" w:rsidP="00E63621">
      <w:pPr>
        <w:numPr>
          <w:ilvl w:val="0"/>
          <w:numId w:val="21"/>
        </w:numPr>
        <w:shd w:val="clear" w:color="auto" w:fill="FFFFFF"/>
        <w:spacing w:before="100" w:beforeAutospacing="1" w:after="100" w:afterAutospacing="1"/>
        <w:rPr>
          <w:rFonts w:ascii="Arial" w:hAnsi="Arial" w:cs="Arial"/>
          <w:sz w:val="22"/>
          <w:szCs w:val="22"/>
        </w:rPr>
      </w:pPr>
      <w:r w:rsidRPr="00E63621">
        <w:rPr>
          <w:rFonts w:ascii="Arial" w:hAnsi="Arial" w:cs="Arial"/>
          <w:sz w:val="22"/>
          <w:szCs w:val="22"/>
        </w:rPr>
        <w:lastRenderedPageBreak/>
        <w:t>wages and salaries</w:t>
      </w:r>
      <w:r w:rsidR="007B496E">
        <w:rPr>
          <w:rFonts w:ascii="Arial" w:hAnsi="Arial" w:cs="Arial"/>
          <w:sz w:val="22"/>
          <w:szCs w:val="22"/>
        </w:rPr>
        <w:t xml:space="preserve"> from employment contracts</w:t>
      </w:r>
      <w:r w:rsidRPr="00E63621">
        <w:rPr>
          <w:rFonts w:ascii="Arial" w:hAnsi="Arial" w:cs="Arial"/>
          <w:sz w:val="22"/>
          <w:szCs w:val="22"/>
        </w:rPr>
        <w:t xml:space="preserve">; </w:t>
      </w:r>
      <w:r w:rsidR="004627F1">
        <w:rPr>
          <w:rFonts w:ascii="Arial" w:hAnsi="Arial" w:cs="Arial"/>
          <w:sz w:val="22"/>
          <w:szCs w:val="22"/>
        </w:rPr>
        <w:t>and</w:t>
      </w:r>
      <w:bookmarkStart w:id="0" w:name="_GoBack"/>
      <w:bookmarkEnd w:id="0"/>
    </w:p>
    <w:p w14:paraId="1D745CDB" w14:textId="5844DF3A" w:rsidR="00EA3B38" w:rsidRPr="00E63621" w:rsidRDefault="00E63621" w:rsidP="00E63621">
      <w:pPr>
        <w:numPr>
          <w:ilvl w:val="0"/>
          <w:numId w:val="21"/>
        </w:numPr>
        <w:shd w:val="clear" w:color="auto" w:fill="FFFFFF"/>
        <w:spacing w:before="100" w:beforeAutospacing="1" w:after="100" w:afterAutospacing="1"/>
        <w:rPr>
          <w:rFonts w:ascii="Arial" w:hAnsi="Arial" w:cs="Arial"/>
          <w:sz w:val="22"/>
          <w:szCs w:val="22"/>
        </w:rPr>
      </w:pPr>
      <w:r w:rsidRPr="00E63621">
        <w:rPr>
          <w:rFonts w:ascii="Arial" w:hAnsi="Arial" w:cs="Arial"/>
          <w:sz w:val="22"/>
          <w:szCs w:val="22"/>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692700E" w:rsidR="00241FA3" w:rsidRPr="00DD462B" w:rsidRDefault="00DD462B" w:rsidP="002A37BB">
      <w:pPr>
        <w:jc w:val="both"/>
        <w:rPr>
          <w:rFonts w:ascii="Arial" w:hAnsi="Arial" w:cs="Arial"/>
          <w:b/>
          <w:i/>
          <w:sz w:val="22"/>
          <w:szCs w:val="22"/>
        </w:rPr>
      </w:pPr>
      <w:r w:rsidRPr="00DD462B">
        <w:rPr>
          <w:rFonts w:ascii="Arial" w:hAnsi="Arial" w:cs="Arial"/>
          <w:b/>
          <w:i/>
          <w:sz w:val="22"/>
          <w:szCs w:val="22"/>
        </w:rPr>
        <w:t>Al</w:t>
      </w:r>
      <w:r>
        <w:rPr>
          <w:rFonts w:ascii="Arial" w:hAnsi="Arial" w:cs="Arial"/>
          <w:b/>
          <w:i/>
          <w:sz w:val="22"/>
          <w:szCs w:val="22"/>
        </w:rPr>
        <w:t>l sections referenced below are sections</w:t>
      </w:r>
      <w:r w:rsidRPr="00DD462B">
        <w:rPr>
          <w:rFonts w:ascii="Arial" w:hAnsi="Arial" w:cs="Arial"/>
          <w:b/>
          <w:i/>
          <w:sz w:val="22"/>
          <w:szCs w:val="22"/>
        </w:rPr>
        <w:t xml:space="preserve"> </w:t>
      </w:r>
      <w:r>
        <w:rPr>
          <w:rFonts w:ascii="Arial" w:hAnsi="Arial" w:cs="Arial"/>
          <w:b/>
          <w:i/>
          <w:sz w:val="22"/>
          <w:szCs w:val="22"/>
        </w:rPr>
        <w:t>laid out in</w:t>
      </w:r>
      <w:r w:rsidRPr="00DD462B">
        <w:rPr>
          <w:rFonts w:ascii="Arial" w:hAnsi="Arial" w:cs="Arial"/>
          <w:b/>
          <w:i/>
          <w:sz w:val="22"/>
          <w:szCs w:val="22"/>
        </w:rPr>
        <w:t xml:space="preserve"> the Insolvency Act 1986.</w:t>
      </w:r>
    </w:p>
    <w:p w14:paraId="255ECAA6" w14:textId="77777777" w:rsidR="00DD462B" w:rsidRPr="00E63621" w:rsidRDefault="00DD462B" w:rsidP="002A37BB">
      <w:pPr>
        <w:jc w:val="both"/>
        <w:rPr>
          <w:rFonts w:ascii="Arial" w:hAnsi="Arial" w:cs="Arial"/>
          <w:sz w:val="22"/>
          <w:szCs w:val="22"/>
        </w:rPr>
      </w:pPr>
    </w:p>
    <w:p w14:paraId="2F869141" w14:textId="77777777" w:rsidR="0094291D" w:rsidRDefault="00E63621" w:rsidP="00E63621">
      <w:pPr>
        <w:spacing w:after="160" w:line="259" w:lineRule="auto"/>
        <w:jc w:val="both"/>
        <w:rPr>
          <w:rFonts w:ascii="Arial" w:hAnsi="Arial" w:cs="Arial"/>
          <w:color w:val="FF0000"/>
          <w:sz w:val="22"/>
        </w:rPr>
      </w:pPr>
      <w:r w:rsidRPr="0094291D">
        <w:rPr>
          <w:rFonts w:ascii="Arial" w:hAnsi="Arial" w:cs="Arial"/>
          <w:sz w:val="22"/>
        </w:rPr>
        <w:t>Yes, an administrator can require suppliers of goods or services to continue to supply those goods and services during the administration because the appointment of an administrator does not automatically terminate the contracts for a supply of goods and services involving the company. Under section 233 of the Insolvency Act 1986, communication</w:t>
      </w:r>
      <w:r w:rsidR="0094291D" w:rsidRPr="0094291D">
        <w:rPr>
          <w:rFonts w:ascii="Arial" w:hAnsi="Arial" w:cs="Arial"/>
          <w:sz w:val="22"/>
        </w:rPr>
        <w:t>s</w:t>
      </w:r>
      <w:r w:rsidRPr="0094291D">
        <w:rPr>
          <w:rFonts w:ascii="Arial" w:hAnsi="Arial" w:cs="Arial"/>
          <w:sz w:val="22"/>
        </w:rPr>
        <w:t xml:space="preserve">, services and the supply of electricity, water and gas are prohibited from requiring payment of outstanding debts in order to secure a new or continued supply of such services to the company in an administration. However, this section allows suppliers to specify that the administrator may be required to personally guarantee payment of charges </w:t>
      </w:r>
      <w:r w:rsidR="0094291D" w:rsidRPr="0094291D">
        <w:rPr>
          <w:rFonts w:ascii="Arial" w:hAnsi="Arial" w:cs="Arial"/>
          <w:sz w:val="22"/>
        </w:rPr>
        <w:t>for</w:t>
      </w:r>
      <w:r w:rsidRPr="0094291D">
        <w:rPr>
          <w:rFonts w:ascii="Arial" w:hAnsi="Arial" w:cs="Arial"/>
          <w:sz w:val="22"/>
        </w:rPr>
        <w:t xml:space="preserve"> such services or supplies. Section 233A prevents suppliers relying on insolvency related terms in a contract of supply which would otherwise give the supplier the option to terminate the supply, </w:t>
      </w:r>
      <w:r w:rsidR="0094291D">
        <w:rPr>
          <w:rFonts w:ascii="Arial" w:hAnsi="Arial" w:cs="Arial"/>
          <w:sz w:val="22"/>
        </w:rPr>
        <w:t>change</w:t>
      </w:r>
      <w:r w:rsidRPr="0094291D">
        <w:rPr>
          <w:rFonts w:ascii="Arial" w:hAnsi="Arial" w:cs="Arial"/>
          <w:sz w:val="22"/>
        </w:rPr>
        <w:t xml:space="preserve"> the terms of such services or demand higher payments should the services</w:t>
      </w:r>
      <w:r w:rsidR="0094291D">
        <w:rPr>
          <w:rFonts w:ascii="Arial" w:hAnsi="Arial" w:cs="Arial"/>
          <w:sz w:val="22"/>
        </w:rPr>
        <w:t xml:space="preserve"> or supplies</w:t>
      </w:r>
      <w:r w:rsidRPr="0094291D">
        <w:rPr>
          <w:rFonts w:ascii="Arial" w:hAnsi="Arial" w:cs="Arial"/>
          <w:sz w:val="22"/>
        </w:rPr>
        <w:t xml:space="preserve"> be continued</w:t>
      </w:r>
      <w:r w:rsidRPr="0094291D">
        <w:rPr>
          <w:rFonts w:ascii="Arial" w:hAnsi="Arial" w:cs="Arial"/>
          <w:color w:val="FF0000"/>
          <w:sz w:val="22"/>
        </w:rPr>
        <w:t xml:space="preserve">. </w:t>
      </w:r>
    </w:p>
    <w:p w14:paraId="50CD78B9" w14:textId="7ADD744F" w:rsidR="00E63621" w:rsidRPr="000E252B" w:rsidRDefault="00E63621" w:rsidP="00E63621">
      <w:pPr>
        <w:spacing w:after="160" w:line="259" w:lineRule="auto"/>
        <w:jc w:val="both"/>
        <w:rPr>
          <w:rFonts w:ascii="Arial" w:hAnsi="Arial" w:cs="Arial"/>
          <w:sz w:val="22"/>
        </w:rPr>
      </w:pPr>
      <w:r w:rsidRPr="000E252B">
        <w:rPr>
          <w:rFonts w:ascii="Arial" w:hAnsi="Arial" w:cs="Arial"/>
          <w:sz w:val="22"/>
        </w:rPr>
        <w:t xml:space="preserve">Section 233B </w:t>
      </w:r>
      <w:r w:rsidR="0094291D" w:rsidRPr="000E252B">
        <w:rPr>
          <w:rFonts w:ascii="Arial" w:hAnsi="Arial" w:cs="Arial"/>
          <w:sz w:val="22"/>
        </w:rPr>
        <w:t>prevents suppliers of goods or services from including clauses which allow them to terminate or doing other things under the contract of the company if the receiving debtor company</w:t>
      </w:r>
      <w:r w:rsidR="002719E7" w:rsidRPr="000E252B">
        <w:rPr>
          <w:rFonts w:ascii="Arial" w:hAnsi="Arial" w:cs="Arial"/>
          <w:sz w:val="22"/>
        </w:rPr>
        <w:t xml:space="preserve"> of such goods or services enters a formal insolvency procedure; hence, these provisions of contracts relating to the goods or services supplied are ineffective or have very little effect when a debtor company enters an insolvency procedure because this section not only prevents suppliers from terminating the supply of goods or services but also stops them from  including conditions of payment of arrears for the continued supply of goods and services as well as being able to increase the prices of such. This section also takes away the </w:t>
      </w:r>
      <w:r w:rsidR="0094291D" w:rsidRPr="000E252B">
        <w:rPr>
          <w:rFonts w:ascii="Arial" w:hAnsi="Arial" w:cs="Arial"/>
          <w:sz w:val="22"/>
        </w:rPr>
        <w:t xml:space="preserve">option </w:t>
      </w:r>
      <w:r w:rsidR="002719E7" w:rsidRPr="000E252B">
        <w:rPr>
          <w:rFonts w:ascii="Arial" w:hAnsi="Arial" w:cs="Arial"/>
          <w:sz w:val="22"/>
        </w:rPr>
        <w:t xml:space="preserve">for a supplier to be able </w:t>
      </w:r>
      <w:r w:rsidR="0094291D" w:rsidRPr="000E252B">
        <w:rPr>
          <w:rFonts w:ascii="Arial" w:hAnsi="Arial" w:cs="Arial"/>
          <w:sz w:val="22"/>
        </w:rPr>
        <w:t xml:space="preserve">to stipulate </w:t>
      </w:r>
      <w:r w:rsidR="00A3771E">
        <w:rPr>
          <w:rFonts w:ascii="Arial" w:hAnsi="Arial" w:cs="Arial"/>
          <w:sz w:val="22"/>
        </w:rPr>
        <w:t xml:space="preserve">that </w:t>
      </w:r>
      <w:r w:rsidR="0094291D" w:rsidRPr="000E252B">
        <w:rPr>
          <w:rFonts w:ascii="Arial" w:hAnsi="Arial" w:cs="Arial"/>
          <w:sz w:val="22"/>
        </w:rPr>
        <w:t xml:space="preserve">a personal guarantee </w:t>
      </w:r>
      <w:r w:rsidR="00A3771E">
        <w:rPr>
          <w:rFonts w:ascii="Arial" w:hAnsi="Arial" w:cs="Arial"/>
          <w:sz w:val="22"/>
        </w:rPr>
        <w:t xml:space="preserve">is needed </w:t>
      </w:r>
      <w:r w:rsidR="0094291D" w:rsidRPr="000E252B">
        <w:rPr>
          <w:rFonts w:ascii="Arial" w:hAnsi="Arial" w:cs="Arial"/>
          <w:sz w:val="22"/>
        </w:rPr>
        <w:t>from the administrator.</w:t>
      </w:r>
      <w:r w:rsidR="002719E7" w:rsidRPr="000E252B">
        <w:rPr>
          <w:rFonts w:ascii="Arial" w:hAnsi="Arial" w:cs="Arial"/>
          <w:sz w:val="22"/>
        </w:rPr>
        <w:t xml:space="preserve"> Any c</w:t>
      </w:r>
      <w:r w:rsidRPr="000E252B">
        <w:rPr>
          <w:rFonts w:ascii="Arial" w:hAnsi="Arial" w:cs="Arial"/>
          <w:sz w:val="22"/>
        </w:rPr>
        <w:t>ontracts under section 233B can only be terminated if the administrator consents to such action or by court order, upon an application whereby the court is satisfied that continuing such contracts would cause hardship for the suppliers.</w:t>
      </w:r>
      <w:r w:rsidR="00FE693C">
        <w:rPr>
          <w:rStyle w:val="FootnoteReference"/>
          <w:rFonts w:ascii="Arial" w:hAnsi="Arial" w:cs="Arial"/>
          <w:sz w:val="22"/>
        </w:rPr>
        <w:footnoteReference w:id="1"/>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6A7C29B" w14:textId="6B2AC99C" w:rsidR="00E63621" w:rsidRPr="009A0808" w:rsidRDefault="00E63621" w:rsidP="00E63621">
      <w:pPr>
        <w:spacing w:after="160" w:line="259" w:lineRule="auto"/>
        <w:jc w:val="both"/>
        <w:rPr>
          <w:rFonts w:ascii="Arial" w:hAnsi="Arial" w:cs="Arial"/>
          <w:sz w:val="22"/>
        </w:rPr>
      </w:pPr>
      <w:r w:rsidRPr="009A0808">
        <w:rPr>
          <w:rFonts w:ascii="Arial" w:hAnsi="Arial" w:cs="Arial"/>
          <w:sz w:val="22"/>
        </w:rPr>
        <w:t>The order of priority of payment</w:t>
      </w:r>
      <w:r w:rsidR="000A7C1E" w:rsidRPr="009A0808">
        <w:rPr>
          <w:rStyle w:val="FootnoteReference"/>
          <w:rFonts w:ascii="Arial" w:hAnsi="Arial" w:cs="Arial"/>
          <w:sz w:val="22"/>
        </w:rPr>
        <w:footnoteReference w:id="2"/>
      </w:r>
      <w:r w:rsidRPr="009A0808">
        <w:rPr>
          <w:rFonts w:ascii="Arial" w:hAnsi="Arial" w:cs="Arial"/>
          <w:sz w:val="22"/>
        </w:rPr>
        <w:t xml:space="preserve"> in a liquidation is as follows:</w:t>
      </w:r>
    </w:p>
    <w:p w14:paraId="5CE1968A" w14:textId="77777777" w:rsidR="00E63621" w:rsidRPr="009A0808" w:rsidRDefault="00E63621" w:rsidP="00E63621">
      <w:pPr>
        <w:pStyle w:val="ListParagraph"/>
        <w:numPr>
          <w:ilvl w:val="0"/>
          <w:numId w:val="23"/>
        </w:numPr>
        <w:spacing w:after="160" w:line="259" w:lineRule="auto"/>
        <w:jc w:val="both"/>
        <w:rPr>
          <w:rFonts w:ascii="Arial" w:hAnsi="Arial" w:cs="Arial"/>
          <w:sz w:val="22"/>
        </w:rPr>
      </w:pPr>
      <w:r w:rsidRPr="009A0808">
        <w:rPr>
          <w:rFonts w:ascii="Arial" w:hAnsi="Arial" w:cs="Arial"/>
          <w:sz w:val="22"/>
        </w:rPr>
        <w:lastRenderedPageBreak/>
        <w:t>Holders of fixed charges paid first outside of formal insolvency from proceeds of the sale of assets which were subject to fixed charges.</w:t>
      </w:r>
    </w:p>
    <w:p w14:paraId="55590AFE" w14:textId="759353E6" w:rsidR="00E63621" w:rsidRPr="009A0808" w:rsidRDefault="00E63621" w:rsidP="00E63621">
      <w:pPr>
        <w:pStyle w:val="ListParagraph"/>
        <w:numPr>
          <w:ilvl w:val="0"/>
          <w:numId w:val="23"/>
        </w:numPr>
        <w:spacing w:after="160" w:line="259" w:lineRule="auto"/>
        <w:jc w:val="both"/>
        <w:rPr>
          <w:rFonts w:ascii="Arial" w:hAnsi="Arial" w:cs="Arial"/>
          <w:sz w:val="22"/>
        </w:rPr>
      </w:pPr>
      <w:r w:rsidRPr="009A0808">
        <w:rPr>
          <w:rFonts w:ascii="Arial" w:hAnsi="Arial" w:cs="Arial"/>
          <w:sz w:val="22"/>
        </w:rPr>
        <w:t>Expenses of the liquidation procedure (remuneration of officeholder). These being those expenses properly incurred by the liquidator in preserving, realized or getting in the assets of the company including conduct of legal proceedings; any amount payable to people assisting with the statement of affair; the cost of security; disbursement in the court of winding-up like members incurring on the liquidation committee; remuneration of any person employed by the liquidator to perform a service; liquidator’s remuneration; corporation tax; any other expenses incurred by the liquidation in carrying out his functions.</w:t>
      </w:r>
    </w:p>
    <w:p w14:paraId="54078A77" w14:textId="460A3860" w:rsidR="00E63621" w:rsidRPr="009A0808" w:rsidRDefault="00E63621" w:rsidP="00E63621">
      <w:pPr>
        <w:pStyle w:val="ListParagraph"/>
        <w:numPr>
          <w:ilvl w:val="0"/>
          <w:numId w:val="23"/>
        </w:numPr>
        <w:spacing w:after="160" w:line="259" w:lineRule="auto"/>
        <w:jc w:val="both"/>
        <w:rPr>
          <w:rFonts w:ascii="Arial" w:hAnsi="Arial" w:cs="Arial"/>
          <w:sz w:val="22"/>
        </w:rPr>
      </w:pPr>
      <w:r w:rsidRPr="009A0808">
        <w:rPr>
          <w:rFonts w:ascii="Arial" w:hAnsi="Arial" w:cs="Arial"/>
          <w:sz w:val="22"/>
        </w:rPr>
        <w:t>Preferential creditors (claims from employees owed by employers &amp; taxation debts owed to Government w</w:t>
      </w:r>
      <w:r w:rsidR="008C35C6" w:rsidRPr="009A0808">
        <w:rPr>
          <w:rFonts w:ascii="Arial" w:hAnsi="Arial" w:cs="Arial"/>
          <w:sz w:val="22"/>
        </w:rPr>
        <w:t>hich the company has collected)</w:t>
      </w:r>
      <w:r w:rsidRPr="009A0808">
        <w:rPr>
          <w:rFonts w:ascii="Arial" w:hAnsi="Arial" w:cs="Arial"/>
          <w:sz w:val="22"/>
        </w:rPr>
        <w:t>.</w:t>
      </w:r>
    </w:p>
    <w:p w14:paraId="4057C90D" w14:textId="7700E6CD" w:rsidR="00E63621" w:rsidRPr="009A0808" w:rsidRDefault="00E63621" w:rsidP="00E63621">
      <w:pPr>
        <w:pStyle w:val="ListParagraph"/>
        <w:numPr>
          <w:ilvl w:val="0"/>
          <w:numId w:val="23"/>
        </w:numPr>
        <w:spacing w:after="160" w:line="259" w:lineRule="auto"/>
        <w:jc w:val="both"/>
        <w:rPr>
          <w:rFonts w:ascii="Arial" w:hAnsi="Arial" w:cs="Arial"/>
          <w:sz w:val="22"/>
        </w:rPr>
      </w:pPr>
      <w:r w:rsidRPr="009A0808">
        <w:rPr>
          <w:rFonts w:ascii="Arial" w:hAnsi="Arial" w:cs="Arial"/>
          <w:sz w:val="22"/>
        </w:rPr>
        <w:t>Floating charges (subject to any prescribed part ded</w:t>
      </w:r>
      <w:r w:rsidR="000C6049">
        <w:rPr>
          <w:rFonts w:ascii="Arial" w:hAnsi="Arial" w:cs="Arial"/>
          <w:sz w:val="22"/>
        </w:rPr>
        <w:t xml:space="preserve">uction under section 176A) </w:t>
      </w:r>
      <w:r w:rsidRPr="009A0808">
        <w:rPr>
          <w:rFonts w:ascii="Arial" w:hAnsi="Arial" w:cs="Arial"/>
          <w:sz w:val="22"/>
        </w:rPr>
        <w:t xml:space="preserve">– however if the company is subject to a moratorium the floating charge won’t </w:t>
      </w:r>
      <w:proofErr w:type="spellStart"/>
      <w:r w:rsidRPr="009A0808">
        <w:rPr>
          <w:rFonts w:ascii="Arial" w:hAnsi="Arial" w:cs="Arial"/>
          <w:sz w:val="22"/>
        </w:rPr>
        <w:t>crystallise</w:t>
      </w:r>
      <w:proofErr w:type="spellEnd"/>
      <w:r w:rsidRPr="009A0808">
        <w:rPr>
          <w:rFonts w:ascii="Arial" w:hAnsi="Arial" w:cs="Arial"/>
          <w:sz w:val="22"/>
        </w:rPr>
        <w:t xml:space="preserve">. </w:t>
      </w:r>
    </w:p>
    <w:p w14:paraId="02C8DF0E" w14:textId="77777777" w:rsidR="00E63621" w:rsidRPr="009A0808" w:rsidRDefault="00E63621" w:rsidP="00E63621">
      <w:pPr>
        <w:pStyle w:val="ListParagraph"/>
        <w:numPr>
          <w:ilvl w:val="0"/>
          <w:numId w:val="23"/>
        </w:numPr>
        <w:spacing w:after="160" w:line="259" w:lineRule="auto"/>
        <w:jc w:val="both"/>
        <w:rPr>
          <w:rFonts w:ascii="Arial" w:hAnsi="Arial" w:cs="Arial"/>
          <w:sz w:val="22"/>
        </w:rPr>
      </w:pPr>
      <w:r w:rsidRPr="009A0808">
        <w:rPr>
          <w:rFonts w:ascii="Arial" w:hAnsi="Arial" w:cs="Arial"/>
          <w:sz w:val="22"/>
        </w:rPr>
        <w:t>Unsecured creditors (those without the benefit of security/ title to assets – ordinary trade suppliers and taxation liabilities that weren’t preferential). They enjoy the right to vote on the approval of administrator’s proposals, or the approval of a CVA; who is appointed as a liquidator; and house office holders are paid. These creditors are paid out last which means there’s a risk of them being paid little to nothing.</w:t>
      </w:r>
    </w:p>
    <w:p w14:paraId="6F21BBB4" w14:textId="77777777" w:rsidR="00E63621" w:rsidRPr="009A0808" w:rsidRDefault="00E63621" w:rsidP="00E63621">
      <w:pPr>
        <w:pStyle w:val="ListParagraph"/>
        <w:numPr>
          <w:ilvl w:val="0"/>
          <w:numId w:val="23"/>
        </w:numPr>
        <w:spacing w:after="160" w:line="259" w:lineRule="auto"/>
        <w:jc w:val="both"/>
        <w:rPr>
          <w:rFonts w:ascii="Arial" w:hAnsi="Arial" w:cs="Arial"/>
          <w:sz w:val="22"/>
        </w:rPr>
      </w:pPr>
      <w:r w:rsidRPr="009A0808">
        <w:rPr>
          <w:rFonts w:ascii="Arial" w:hAnsi="Arial" w:cs="Arial"/>
          <w:sz w:val="22"/>
        </w:rPr>
        <w:t xml:space="preserve">After payment of liabilities, if any surplus of solvent company is paid to members according to their rights under the company’s articles of association. This wouldn’t be the case in this scenario as the company is in liquidation; so, it will be highly unlikely that there will be any assets or money left over to give to shareholders. </w:t>
      </w:r>
    </w:p>
    <w:p w14:paraId="7C2ADB41" w14:textId="71C30A57" w:rsidR="00E63621" w:rsidRPr="009A0808" w:rsidRDefault="00E63621" w:rsidP="00E63621">
      <w:pPr>
        <w:pStyle w:val="ListParagraph"/>
        <w:numPr>
          <w:ilvl w:val="0"/>
          <w:numId w:val="23"/>
        </w:numPr>
        <w:spacing w:after="160" w:line="259" w:lineRule="auto"/>
        <w:jc w:val="both"/>
        <w:rPr>
          <w:rFonts w:ascii="Arial" w:hAnsi="Arial" w:cs="Arial"/>
          <w:sz w:val="22"/>
        </w:rPr>
      </w:pPr>
      <w:r w:rsidRPr="009A0808">
        <w:rPr>
          <w:rFonts w:ascii="Arial" w:hAnsi="Arial" w:cs="Arial"/>
          <w:sz w:val="22"/>
        </w:rPr>
        <w:t xml:space="preserve">However, the above order of priority would slightly change if the company was subject to a Part A1 Moratorium under the Insolvency Act 1986.Pursuant to </w:t>
      </w:r>
      <w:r w:rsidR="000C6049">
        <w:rPr>
          <w:rFonts w:ascii="Arial" w:hAnsi="Arial" w:cs="Arial"/>
          <w:sz w:val="22"/>
        </w:rPr>
        <w:t xml:space="preserve">section 174A, </w:t>
      </w:r>
      <w:r w:rsidRPr="009A0808">
        <w:rPr>
          <w:rFonts w:ascii="Arial" w:hAnsi="Arial" w:cs="Arial"/>
          <w:sz w:val="22"/>
        </w:rPr>
        <w:t>the unpaid pre-moratorium / moratorium debts like debts owed to employees (wages/ salary for holiday pay sick pay, contributions to occupational pension schemes) or financial services like Bank debts (except accelerated debt in the financial service contract) would be given super priority which are paid in priority even before the liquidator’s fees and expenses. Certain unsecured debts form super priority like director’s remuneration owing to him months before the moratorium (pre-moratorium debts) because this procedure is a debtor-in possession procedure which allows the directors to still control the management of the company. Another pre-moratorium debt which may be paid in priority are debts payable for the goods or services supplied during the moratorium.</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 xml:space="preserve">ompany’s key suppliers. The supplier demanded immediate payment of all sums </w:t>
      </w:r>
      <w:r w:rsidRPr="006E0D3B">
        <w:rPr>
          <w:rFonts w:ascii="Avenir Next" w:hAnsi="Avenir Next" w:cs="Arial"/>
          <w:sz w:val="22"/>
          <w:szCs w:val="22"/>
          <w:lang w:val="en-GB"/>
        </w:rPr>
        <w:lastRenderedPageBreak/>
        <w:t>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5E45B986" w:rsidR="007E2919"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2273343C" w14:textId="77777777" w:rsidR="009A0808" w:rsidRDefault="009A0808" w:rsidP="009A0808">
      <w:pPr>
        <w:jc w:val="both"/>
        <w:rPr>
          <w:rFonts w:ascii="Arial" w:hAnsi="Arial" w:cs="Arial"/>
          <w:b/>
          <w:i/>
          <w:sz w:val="22"/>
          <w:szCs w:val="22"/>
        </w:rPr>
      </w:pPr>
    </w:p>
    <w:p w14:paraId="36792B88" w14:textId="3D8495CA" w:rsidR="009A0808" w:rsidRPr="00DD462B" w:rsidRDefault="009A0808" w:rsidP="009A0808">
      <w:pPr>
        <w:jc w:val="both"/>
        <w:rPr>
          <w:rFonts w:ascii="Arial" w:hAnsi="Arial" w:cs="Arial"/>
          <w:b/>
          <w:i/>
          <w:sz w:val="22"/>
          <w:szCs w:val="22"/>
        </w:rPr>
      </w:pPr>
      <w:r w:rsidRPr="00DD462B">
        <w:rPr>
          <w:rFonts w:ascii="Arial" w:hAnsi="Arial" w:cs="Arial"/>
          <w:b/>
          <w:i/>
          <w:sz w:val="22"/>
          <w:szCs w:val="22"/>
        </w:rPr>
        <w:t>Al</w:t>
      </w:r>
      <w:r>
        <w:rPr>
          <w:rFonts w:ascii="Arial" w:hAnsi="Arial" w:cs="Arial"/>
          <w:b/>
          <w:i/>
          <w:sz w:val="22"/>
          <w:szCs w:val="22"/>
        </w:rPr>
        <w:t>l sections referenced below are sections</w:t>
      </w:r>
      <w:r w:rsidRPr="00DD462B">
        <w:rPr>
          <w:rFonts w:ascii="Arial" w:hAnsi="Arial" w:cs="Arial"/>
          <w:b/>
          <w:i/>
          <w:sz w:val="22"/>
          <w:szCs w:val="22"/>
        </w:rPr>
        <w:t xml:space="preserve"> </w:t>
      </w:r>
      <w:r>
        <w:rPr>
          <w:rFonts w:ascii="Arial" w:hAnsi="Arial" w:cs="Arial"/>
          <w:b/>
          <w:i/>
          <w:sz w:val="22"/>
          <w:szCs w:val="22"/>
        </w:rPr>
        <w:t>laid out in</w:t>
      </w:r>
      <w:r w:rsidRPr="00DD462B">
        <w:rPr>
          <w:rFonts w:ascii="Arial" w:hAnsi="Arial" w:cs="Arial"/>
          <w:b/>
          <w:i/>
          <w:sz w:val="22"/>
          <w:szCs w:val="22"/>
        </w:rPr>
        <w:t xml:space="preserve"> the Insolvency Act 1986.</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1AC90B93" w14:textId="41382559" w:rsidR="00E15828" w:rsidRPr="00436C1C" w:rsidRDefault="00E15828" w:rsidP="00E15828">
      <w:pPr>
        <w:pStyle w:val="ListParagraph"/>
        <w:numPr>
          <w:ilvl w:val="0"/>
          <w:numId w:val="24"/>
        </w:numPr>
        <w:spacing w:after="160" w:line="259" w:lineRule="auto"/>
        <w:jc w:val="both"/>
        <w:rPr>
          <w:rFonts w:ascii="Arial" w:hAnsi="Arial" w:cs="Arial"/>
          <w:sz w:val="22"/>
          <w:szCs w:val="22"/>
        </w:rPr>
      </w:pPr>
      <w:r w:rsidRPr="00436C1C">
        <w:rPr>
          <w:rFonts w:ascii="Arial" w:hAnsi="Arial" w:cs="Arial"/>
          <w:b/>
          <w:sz w:val="22"/>
          <w:szCs w:val="22"/>
        </w:rPr>
        <w:t>Floating charge</w:t>
      </w:r>
      <w:r w:rsidRPr="00436C1C">
        <w:rPr>
          <w:rFonts w:ascii="Arial" w:hAnsi="Arial" w:cs="Arial"/>
          <w:sz w:val="22"/>
          <w:szCs w:val="22"/>
        </w:rPr>
        <w:t xml:space="preserve"> – Section 176A applies to a company with a floating charge created on or after 15 September 2003 and the company has gone into liquidation. The liquidator is under a duty to make a prescribed part of company’s net property available for the satisfaction of unsecured debts and must not distribute any of this prescribed part to a floating charge holding except insofar as it is in excess of the amount required to satisfy all unsecured debts.</w:t>
      </w:r>
      <w:r w:rsidR="009A0808">
        <w:rPr>
          <w:rStyle w:val="FootnoteReference"/>
          <w:rFonts w:ascii="Arial" w:hAnsi="Arial" w:cs="Arial"/>
          <w:sz w:val="22"/>
          <w:szCs w:val="22"/>
        </w:rPr>
        <w:footnoteReference w:id="3"/>
      </w:r>
      <w:r w:rsidRPr="00436C1C">
        <w:rPr>
          <w:rFonts w:ascii="Arial" w:hAnsi="Arial" w:cs="Arial"/>
          <w:sz w:val="22"/>
          <w:szCs w:val="22"/>
        </w:rPr>
        <w:t xml:space="preserve"> Section 245 can be used by the liquidator to prevent pre-existing unsecured creditors from obtaining security of a floating charge on the company’s assets shortly before the </w:t>
      </w:r>
      <w:proofErr w:type="spellStart"/>
      <w:r w:rsidRPr="00436C1C">
        <w:rPr>
          <w:rFonts w:ascii="Arial" w:hAnsi="Arial" w:cs="Arial"/>
          <w:sz w:val="22"/>
          <w:szCs w:val="22"/>
        </w:rPr>
        <w:t>Marbley</w:t>
      </w:r>
      <w:proofErr w:type="spellEnd"/>
      <w:r w:rsidRPr="00436C1C">
        <w:rPr>
          <w:rFonts w:ascii="Arial" w:hAnsi="Arial" w:cs="Arial"/>
          <w:sz w:val="22"/>
          <w:szCs w:val="22"/>
        </w:rPr>
        <w:t xml:space="preserve"> Q Limited enters liquidation. This section would render the floating charge given by </w:t>
      </w:r>
      <w:proofErr w:type="spellStart"/>
      <w:r w:rsidRPr="00436C1C">
        <w:rPr>
          <w:rFonts w:ascii="Arial" w:hAnsi="Arial" w:cs="Arial"/>
          <w:sz w:val="22"/>
          <w:szCs w:val="22"/>
        </w:rPr>
        <w:t>Marbley</w:t>
      </w:r>
      <w:proofErr w:type="spellEnd"/>
      <w:r w:rsidRPr="00436C1C">
        <w:rPr>
          <w:rFonts w:ascii="Arial" w:hAnsi="Arial" w:cs="Arial"/>
          <w:sz w:val="22"/>
          <w:szCs w:val="22"/>
        </w:rPr>
        <w:t xml:space="preserve"> Q Limited plc invalid since it was given at a relevant time, that being within 12 months prior to the company going into liquidation and the company was unable to pay its debts. The debenture was granted prior to the company going into compulsory liquidation and therefore, falls within the relevant time. The company was, at the time of the creation of the charge,</w:t>
      </w:r>
      <w:r w:rsidR="00AA13B0">
        <w:rPr>
          <w:rFonts w:ascii="Arial" w:hAnsi="Arial" w:cs="Arial"/>
          <w:sz w:val="22"/>
          <w:szCs w:val="22"/>
        </w:rPr>
        <w:t xml:space="preserve"> the</w:t>
      </w:r>
      <w:r w:rsidRPr="00436C1C">
        <w:rPr>
          <w:rFonts w:ascii="Arial" w:hAnsi="Arial" w:cs="Arial"/>
          <w:sz w:val="22"/>
          <w:szCs w:val="22"/>
        </w:rPr>
        <w:t xml:space="preserve"> company was unable to pay its debts in accordance with s123 of the I</w:t>
      </w:r>
      <w:r w:rsidR="00AA13B0">
        <w:rPr>
          <w:rFonts w:ascii="Arial" w:hAnsi="Arial" w:cs="Arial"/>
          <w:sz w:val="22"/>
          <w:szCs w:val="22"/>
        </w:rPr>
        <w:t xml:space="preserve">nsolvency </w:t>
      </w:r>
      <w:r w:rsidRPr="00436C1C">
        <w:rPr>
          <w:rFonts w:ascii="Arial" w:hAnsi="Arial" w:cs="Arial"/>
          <w:sz w:val="22"/>
          <w:szCs w:val="22"/>
        </w:rPr>
        <w:t>A</w:t>
      </w:r>
      <w:r w:rsidR="00AA13B0">
        <w:rPr>
          <w:rFonts w:ascii="Arial" w:hAnsi="Arial" w:cs="Arial"/>
          <w:sz w:val="22"/>
          <w:szCs w:val="22"/>
        </w:rPr>
        <w:t>ct</w:t>
      </w:r>
      <w:r w:rsidRPr="00436C1C">
        <w:rPr>
          <w:rFonts w:ascii="Arial" w:hAnsi="Arial" w:cs="Arial"/>
          <w:sz w:val="22"/>
          <w:szCs w:val="22"/>
        </w:rPr>
        <w:t xml:space="preserve"> 1986 as this debenture was only granted by the company to avoid the bank from demanding repayment of the loans the company owed, having fallen behind on payments. </w:t>
      </w:r>
    </w:p>
    <w:p w14:paraId="2DCDB3A9" w14:textId="77777777" w:rsidR="00E15828" w:rsidRPr="00436C1C" w:rsidRDefault="00E15828" w:rsidP="00E15828">
      <w:pPr>
        <w:pStyle w:val="ListParagraph"/>
        <w:numPr>
          <w:ilvl w:val="0"/>
          <w:numId w:val="24"/>
        </w:numPr>
        <w:spacing w:after="160" w:line="259" w:lineRule="auto"/>
        <w:jc w:val="both"/>
        <w:rPr>
          <w:rFonts w:ascii="Arial" w:hAnsi="Arial" w:cs="Arial"/>
          <w:sz w:val="22"/>
          <w:szCs w:val="22"/>
        </w:rPr>
      </w:pPr>
      <w:r w:rsidRPr="00436C1C">
        <w:rPr>
          <w:rFonts w:ascii="Arial" w:hAnsi="Arial" w:cs="Arial"/>
          <w:sz w:val="22"/>
          <w:szCs w:val="22"/>
        </w:rPr>
        <w:t>No new consideration or fresh funding was given by the bank in respect of this floating charge so it doesn’t qualify for the exception. If another loan was being given to the company than the floating charge could be valid for that new loan. Funds must be advanced at the same time as this section does not allow the bank to create a debenture on old debts. Where there is no more than a renegotiation of existing debt arrangement and no material brought to company from renegotiation there is no new consideration.</w:t>
      </w:r>
    </w:p>
    <w:p w14:paraId="47722925" w14:textId="77777777" w:rsidR="00E15828" w:rsidRPr="00436C1C" w:rsidRDefault="00E15828" w:rsidP="00E15828">
      <w:pPr>
        <w:pStyle w:val="ListParagraph"/>
        <w:numPr>
          <w:ilvl w:val="0"/>
          <w:numId w:val="24"/>
        </w:numPr>
        <w:spacing w:after="160" w:line="259" w:lineRule="auto"/>
        <w:jc w:val="both"/>
        <w:rPr>
          <w:rFonts w:ascii="Arial" w:hAnsi="Arial" w:cs="Arial"/>
          <w:sz w:val="22"/>
          <w:szCs w:val="22"/>
        </w:rPr>
      </w:pPr>
      <w:r w:rsidRPr="00436C1C">
        <w:rPr>
          <w:rFonts w:ascii="Arial" w:hAnsi="Arial" w:cs="Arial"/>
          <w:sz w:val="22"/>
          <w:szCs w:val="22"/>
        </w:rPr>
        <w:t xml:space="preserve">Hence, this floating charge is caught by section 245 and is a transaction that can be attacked by the liquidator can for its invalidity to the fact that the company has gone into liquidation and was on the verge of being insolvent at the time of the transaction or was actually insolvent and therefore, shouldn’t have been entered into. Although the floating charge may be invalid, the company’s debt remains.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lastRenderedPageBreak/>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4EF2E89E" w14:textId="77777777" w:rsidR="00E15828" w:rsidRPr="00122918" w:rsidRDefault="00E15828" w:rsidP="00E15828">
      <w:pPr>
        <w:pStyle w:val="ListParagraph"/>
        <w:numPr>
          <w:ilvl w:val="0"/>
          <w:numId w:val="25"/>
        </w:numPr>
        <w:spacing w:after="160" w:line="259" w:lineRule="auto"/>
        <w:jc w:val="both"/>
        <w:rPr>
          <w:rFonts w:ascii="Arial" w:hAnsi="Arial" w:cs="Arial"/>
          <w:sz w:val="22"/>
        </w:rPr>
      </w:pPr>
      <w:r w:rsidRPr="00122918">
        <w:rPr>
          <w:rFonts w:ascii="Arial" w:hAnsi="Arial" w:cs="Arial"/>
          <w:b/>
          <w:sz w:val="22"/>
        </w:rPr>
        <w:t>Undervalue transaction</w:t>
      </w:r>
      <w:r w:rsidRPr="00122918">
        <w:rPr>
          <w:rFonts w:ascii="Arial" w:hAnsi="Arial" w:cs="Arial"/>
          <w:sz w:val="22"/>
        </w:rPr>
        <w:t xml:space="preserve"> – the liquidator can attack the transaction made to Rita Perkins under section 238 of the Companies Act 1981, as it was a transaction entered into prior to the company going into liquidation and was at an undervalue. More specifically, section 238(3) applies to these facts because the Company initially bought the machines for 25k a year before (hence the machines couldn’t have depreciated that much over 12 months) which Rita would have known and yet she entered into the transaction with the company for the sale of the same machines for 10k which is significantly less than the value of the consideration provided by the company. this transaction occurred in July 2022 which qualifies it to have happened at a relevant time, that being within 2 years prior to the commencement of the liquidation which happened on the presentation of the winding-up petition on October 14, 2022. </w:t>
      </w:r>
    </w:p>
    <w:p w14:paraId="429015FA" w14:textId="77777777" w:rsidR="00E15828" w:rsidRPr="00122918" w:rsidRDefault="00E15828" w:rsidP="00E15828">
      <w:pPr>
        <w:pStyle w:val="ListParagraph"/>
        <w:numPr>
          <w:ilvl w:val="0"/>
          <w:numId w:val="25"/>
        </w:numPr>
        <w:spacing w:after="160" w:line="259" w:lineRule="auto"/>
        <w:jc w:val="both"/>
        <w:rPr>
          <w:rFonts w:ascii="Arial" w:hAnsi="Arial" w:cs="Arial"/>
          <w:sz w:val="22"/>
        </w:rPr>
      </w:pPr>
      <w:r w:rsidRPr="00122918">
        <w:rPr>
          <w:rFonts w:ascii="Arial" w:hAnsi="Arial" w:cs="Arial"/>
          <w:sz w:val="22"/>
        </w:rPr>
        <w:t xml:space="preserve">On top of this, it was clear to Rita (as a director of the Company) at that time the company was unable to pay its debts as they fell due within the meaning of section 123, as it continued to suffer cash flow problems and having not only fallen behind on bank payments in relation to the loan from </w:t>
      </w:r>
      <w:proofErr w:type="spellStart"/>
      <w:r w:rsidRPr="00122918">
        <w:rPr>
          <w:rFonts w:ascii="Arial" w:hAnsi="Arial" w:cs="Arial"/>
          <w:sz w:val="22"/>
        </w:rPr>
        <w:t>Fretus</w:t>
      </w:r>
      <w:proofErr w:type="spellEnd"/>
      <w:r w:rsidRPr="00122918">
        <w:rPr>
          <w:rFonts w:ascii="Arial" w:hAnsi="Arial" w:cs="Arial"/>
          <w:sz w:val="22"/>
        </w:rPr>
        <w:t xml:space="preserve"> Bank plc but also the Company was unable to pay the debts owed to Hard and Fast ltd which demanded payments of sums owed before the winding-up order was made. This transaction obviously didn’t take the company’s financial position any better and could potentially be seen as [stopping creditors from getting a cut – since she sold it to herself].  There’s a presumption that the company had to have been insolvent or become insolvent as a result of the transaction which was clear in from the facts as the director were aware of the cash flow issues. </w:t>
      </w:r>
    </w:p>
    <w:p w14:paraId="6E855158" w14:textId="2847758F" w:rsidR="00E15828" w:rsidRPr="00122918" w:rsidRDefault="00E15828" w:rsidP="00E15828">
      <w:pPr>
        <w:pStyle w:val="ListParagraph"/>
        <w:numPr>
          <w:ilvl w:val="0"/>
          <w:numId w:val="25"/>
        </w:numPr>
        <w:spacing w:after="160" w:line="259" w:lineRule="auto"/>
        <w:jc w:val="both"/>
        <w:rPr>
          <w:rFonts w:ascii="Arial" w:hAnsi="Arial" w:cs="Arial"/>
          <w:sz w:val="22"/>
        </w:rPr>
      </w:pPr>
      <w:r w:rsidRPr="00122918">
        <w:rPr>
          <w:rFonts w:ascii="Arial" w:hAnsi="Arial" w:cs="Arial"/>
          <w:sz w:val="22"/>
        </w:rPr>
        <w:t xml:space="preserve">There’s an available </w:t>
      </w:r>
      <w:proofErr w:type="spellStart"/>
      <w:r w:rsidRPr="00122918">
        <w:rPr>
          <w:rFonts w:ascii="Arial" w:hAnsi="Arial" w:cs="Arial"/>
          <w:sz w:val="22"/>
        </w:rPr>
        <w:t>defence</w:t>
      </w:r>
      <w:proofErr w:type="spellEnd"/>
      <w:r w:rsidRPr="00122918">
        <w:rPr>
          <w:rFonts w:ascii="Arial" w:hAnsi="Arial" w:cs="Arial"/>
          <w:sz w:val="22"/>
        </w:rPr>
        <w:t xml:space="preserve"> for Rita which is if she satisfies the court that the transaction was entered into by the Company in good faith and for the purpose of carrying on its business, and at the time there were reasonable grounds for believing that the transaction would benefit the company.</w:t>
      </w:r>
      <w:r w:rsidR="00AA13B0">
        <w:rPr>
          <w:rStyle w:val="FootnoteReference"/>
          <w:rFonts w:ascii="Arial" w:hAnsi="Arial" w:cs="Arial"/>
          <w:sz w:val="22"/>
        </w:rPr>
        <w:footnoteReference w:id="4"/>
      </w:r>
      <w:r w:rsidRPr="00122918">
        <w:rPr>
          <w:rFonts w:ascii="Arial" w:hAnsi="Arial" w:cs="Arial"/>
          <w:sz w:val="22"/>
        </w:rPr>
        <w:t xml:space="preserve"> However, I cannot see the court being satisfied of this defense on the facts. It’s unlikely that she entered into the transaction in good faith, as the Company is a marble company so, selling its marble cutting machines would not be for the purpose of carrying on the business the Company does because it does not sell marble machines, it sells marble and obviously needs the machines to carry out the business. Hence, Rita, as a director, could not have believed selling the machines would benefit the Company in reducing the number of machines the Company has to operate its business.</w:t>
      </w:r>
    </w:p>
    <w:p w14:paraId="76F0E8CD" w14:textId="6B065F5D" w:rsidR="00E15828" w:rsidRPr="00122918" w:rsidRDefault="00E15828" w:rsidP="00E15828">
      <w:pPr>
        <w:pStyle w:val="ListParagraph"/>
        <w:numPr>
          <w:ilvl w:val="0"/>
          <w:numId w:val="25"/>
        </w:numPr>
        <w:spacing w:after="160" w:line="259" w:lineRule="auto"/>
        <w:jc w:val="both"/>
        <w:rPr>
          <w:rFonts w:ascii="Arial" w:hAnsi="Arial" w:cs="Arial"/>
          <w:sz w:val="22"/>
        </w:rPr>
      </w:pPr>
      <w:r w:rsidRPr="00122918">
        <w:rPr>
          <w:rFonts w:ascii="Arial" w:hAnsi="Arial" w:cs="Arial"/>
          <w:sz w:val="22"/>
        </w:rPr>
        <w:t xml:space="preserve">There may also be a possible action for the liquidator to bring under section 423 to defraud creditors because the Company did enter into a transaction at an undervalue with Rita (a connected person) and received significantly less consideration that the company had provided and this transaction would have been putting the Company’s assets (marble cutting machines) beyond the reach of creditors who would most likely make claims against the company since debts were owed by the company. </w:t>
      </w:r>
    </w:p>
    <w:p w14:paraId="131FE99A" w14:textId="77777777" w:rsidR="00E15828" w:rsidRDefault="00E15828" w:rsidP="00E15828">
      <w:pPr>
        <w:pStyle w:val="ListParagraph"/>
        <w:ind w:left="1080"/>
        <w:jc w:val="both"/>
      </w:pP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BD0563" w14:textId="77777777" w:rsidR="00E15828" w:rsidRDefault="007E2919" w:rsidP="00E15828">
      <w:pPr>
        <w:rPr>
          <w:rFonts w:ascii="Avenir Next" w:hAnsi="Avenir Next" w:cs="Arial"/>
          <w:b/>
          <w:sz w:val="22"/>
          <w:szCs w:val="22"/>
        </w:rPr>
      </w:pPr>
      <w:r w:rsidRPr="006925C1">
        <w:rPr>
          <w:rFonts w:ascii="Avenir Next" w:hAnsi="Avenir Next" w:cs="Arial"/>
          <w:b/>
          <w:sz w:val="22"/>
          <w:szCs w:val="22"/>
        </w:rPr>
        <w:t xml:space="preserve"> </w:t>
      </w:r>
    </w:p>
    <w:p w14:paraId="70C6A8B6" w14:textId="7E56BBD2" w:rsidR="00126A4D" w:rsidRPr="00122918" w:rsidRDefault="00E15828" w:rsidP="00E15828">
      <w:pPr>
        <w:pStyle w:val="ListParagraph"/>
        <w:numPr>
          <w:ilvl w:val="0"/>
          <w:numId w:val="27"/>
        </w:numPr>
        <w:jc w:val="both"/>
        <w:rPr>
          <w:rFonts w:ascii="Arial" w:hAnsi="Arial" w:cs="Arial"/>
          <w:b/>
          <w:sz w:val="22"/>
          <w:szCs w:val="22"/>
        </w:rPr>
      </w:pPr>
      <w:r w:rsidRPr="00122918">
        <w:rPr>
          <w:rFonts w:ascii="Arial" w:hAnsi="Arial" w:cs="Arial"/>
          <w:b/>
          <w:sz w:val="22"/>
          <w:szCs w:val="22"/>
        </w:rPr>
        <w:t>Dispositions</w:t>
      </w:r>
      <w:r w:rsidRPr="00122918">
        <w:rPr>
          <w:rFonts w:ascii="Arial" w:hAnsi="Arial" w:cs="Arial"/>
          <w:sz w:val="22"/>
          <w:szCs w:val="22"/>
        </w:rPr>
        <w:t xml:space="preserve"> – The liquidator can potentially bring an action against Rita, as a director of the Company, under section 127 for the disposition of the company’s assets, that being payments of money to a creditor. This section avoids any disposition of the Company’s property in a compulsory liquidation made after the commencement of winding up unless </w:t>
      </w:r>
      <w:r w:rsidRPr="00122918">
        <w:rPr>
          <w:rFonts w:ascii="Arial" w:hAnsi="Arial" w:cs="Arial"/>
          <w:sz w:val="22"/>
          <w:szCs w:val="22"/>
        </w:rPr>
        <w:lastRenderedPageBreak/>
        <w:t>the court</w:t>
      </w:r>
      <w:r w:rsidR="00AA13B0">
        <w:rPr>
          <w:rFonts w:ascii="Arial" w:hAnsi="Arial" w:cs="Arial"/>
          <w:sz w:val="22"/>
          <w:szCs w:val="22"/>
        </w:rPr>
        <w:t xml:space="preserve"> orders otherwise</w:t>
      </w:r>
      <w:r w:rsidRPr="00122918">
        <w:rPr>
          <w:rFonts w:ascii="Arial" w:hAnsi="Arial" w:cs="Arial"/>
          <w:sz w:val="22"/>
          <w:szCs w:val="22"/>
        </w:rPr>
        <w:t xml:space="preserve">. The petition was issued don 14 December 2022 which is the date the winding-up proceedings commenced. So any disposition made after that date will be void. While it’s possible for </w:t>
      </w:r>
      <w:proofErr w:type="spellStart"/>
      <w:r w:rsidRPr="00122918">
        <w:rPr>
          <w:rFonts w:ascii="Arial" w:hAnsi="Arial" w:cs="Arial"/>
          <w:sz w:val="22"/>
          <w:szCs w:val="22"/>
        </w:rPr>
        <w:t>Marbley</w:t>
      </w:r>
      <w:proofErr w:type="spellEnd"/>
      <w:r w:rsidRPr="00122918">
        <w:rPr>
          <w:rFonts w:ascii="Arial" w:hAnsi="Arial" w:cs="Arial"/>
          <w:sz w:val="22"/>
          <w:szCs w:val="22"/>
        </w:rPr>
        <w:t xml:space="preserve"> Q Limited to continue carrying out business or trading for the purpose of defending the winding-up petition, since the winding-up order was made it will avoid the dispositions of the company- that being the payments GBP 8000 and 3000 made to the Company’s key suppliers, Hard and Fast Ltd. in the interim period. While the directors may have authorized these payments because the continued supply of marble was seen as essential by the company, these transactions are void under to section 127 since the winding-up order was made. </w:t>
      </w:r>
    </w:p>
    <w:p w14:paraId="42D80320" w14:textId="674F9CAB" w:rsidR="00E15828" w:rsidRPr="00122918" w:rsidRDefault="00E15828" w:rsidP="00E15828">
      <w:pPr>
        <w:pStyle w:val="ListParagraph"/>
        <w:numPr>
          <w:ilvl w:val="0"/>
          <w:numId w:val="27"/>
        </w:numPr>
        <w:spacing w:after="160" w:line="259" w:lineRule="auto"/>
        <w:jc w:val="both"/>
        <w:rPr>
          <w:rFonts w:ascii="Arial" w:hAnsi="Arial" w:cs="Arial"/>
          <w:sz w:val="22"/>
          <w:szCs w:val="22"/>
        </w:rPr>
      </w:pPr>
      <w:r w:rsidRPr="00122918">
        <w:rPr>
          <w:rFonts w:ascii="Arial" w:hAnsi="Arial" w:cs="Arial"/>
          <w:sz w:val="22"/>
          <w:szCs w:val="22"/>
        </w:rPr>
        <w:t>However, the court has the discretionary power to declare this d</w:t>
      </w:r>
      <w:r w:rsidR="00AA13B0">
        <w:rPr>
          <w:rFonts w:ascii="Arial" w:hAnsi="Arial" w:cs="Arial"/>
          <w:sz w:val="22"/>
          <w:szCs w:val="22"/>
        </w:rPr>
        <w:t>i</w:t>
      </w:r>
      <w:r w:rsidRPr="00122918">
        <w:rPr>
          <w:rFonts w:ascii="Arial" w:hAnsi="Arial" w:cs="Arial"/>
          <w:sz w:val="22"/>
          <w:szCs w:val="22"/>
        </w:rPr>
        <w:t>sposition shall not be void under a validation order. This order will only be made in relation to an insolvent company where the circumstances indicate that the disposition will be or has been made for the general body of unsecured creditors.</w:t>
      </w:r>
      <w:r w:rsidRPr="00122918">
        <w:rPr>
          <w:rStyle w:val="FootnoteReference"/>
          <w:rFonts w:ascii="Arial" w:hAnsi="Arial" w:cs="Arial"/>
          <w:sz w:val="22"/>
          <w:szCs w:val="22"/>
        </w:rPr>
        <w:footnoteReference w:id="5"/>
      </w:r>
      <w:r w:rsidR="00AA13B0">
        <w:rPr>
          <w:rFonts w:ascii="Arial" w:hAnsi="Arial" w:cs="Arial"/>
          <w:sz w:val="22"/>
          <w:szCs w:val="22"/>
        </w:rPr>
        <w:t xml:space="preserve"> Since the insolvent </w:t>
      </w:r>
      <w:proofErr w:type="spellStart"/>
      <w:r w:rsidR="00AA13B0">
        <w:rPr>
          <w:rFonts w:ascii="Arial" w:hAnsi="Arial" w:cs="Arial"/>
          <w:sz w:val="22"/>
          <w:szCs w:val="22"/>
        </w:rPr>
        <w:t>Marbley</w:t>
      </w:r>
      <w:proofErr w:type="spellEnd"/>
      <w:r w:rsidRPr="00122918">
        <w:rPr>
          <w:rFonts w:ascii="Arial" w:hAnsi="Arial" w:cs="Arial"/>
          <w:sz w:val="22"/>
          <w:szCs w:val="22"/>
        </w:rPr>
        <w:t xml:space="preserve"> Q Limited made payments on cash on delivery and saw it as necessary to ensure the continued supply of marble being received to enable the company to continue its business (as it is a marble cutting company, its money is made off the sale of marble), where it could have been for the benefit of the company or in the best interest of creditors, the court may sanction such disposition. These payments appear to have been made in good faith as it was money owed for supplies and needed for continued supplies for the benefit of the company to continue in operation and so, may be authorized or validated by the court if it sees fit. However, the court may be of the opinion that such payments were made just to the benefit of the one creditor (Hard and Fast Ltd) owed and to the detriment of the other creditors (such as the bank which was most likely owed way more in respect of the loa</w:t>
      </w:r>
      <w:r w:rsidR="0070159F">
        <w:rPr>
          <w:rFonts w:ascii="Arial" w:hAnsi="Arial" w:cs="Arial"/>
          <w:sz w:val="22"/>
          <w:szCs w:val="22"/>
        </w:rPr>
        <w:t>ns),</w:t>
      </w:r>
      <w:r w:rsidRPr="00122918">
        <w:rPr>
          <w:rFonts w:ascii="Arial" w:hAnsi="Arial" w:cs="Arial"/>
          <w:sz w:val="22"/>
          <w:szCs w:val="22"/>
        </w:rPr>
        <w:t xml:space="preserve"> and the court will most likely be refused to grant a validation order.</w:t>
      </w:r>
    </w:p>
    <w:p w14:paraId="79071ABA" w14:textId="77777777" w:rsidR="00E15828" w:rsidRPr="00E15828" w:rsidRDefault="00E15828" w:rsidP="00122918">
      <w:pPr>
        <w:pStyle w:val="ListParagraph"/>
        <w:ind w:left="360"/>
        <w:jc w:val="both"/>
        <w:rPr>
          <w:rFonts w:ascii="Avenir Next" w:hAnsi="Avenir Next" w:cs="Arial"/>
          <w:b/>
          <w:sz w:val="22"/>
          <w:szCs w:val="22"/>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DAAD5" w14:textId="77777777" w:rsidR="005704DE" w:rsidRDefault="005704DE" w:rsidP="00241B44">
      <w:r>
        <w:separator/>
      </w:r>
    </w:p>
  </w:endnote>
  <w:endnote w:type="continuationSeparator" w:id="0">
    <w:p w14:paraId="40AC71D0" w14:textId="77777777" w:rsidR="005704DE" w:rsidRDefault="005704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4582768B"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4627F1">
          <w:rPr>
            <w:rStyle w:val="PageNumber"/>
            <w:rFonts w:ascii="Avenir Next" w:hAnsi="Avenir Next" w:cs="Arial"/>
            <w:noProof/>
            <w:sz w:val="22"/>
            <w:szCs w:val="22"/>
          </w:rPr>
          <w:t>7</w:t>
        </w:r>
        <w:r w:rsidRPr="00A84235">
          <w:rPr>
            <w:rStyle w:val="PageNumber"/>
            <w:rFonts w:ascii="Avenir Next" w:hAnsi="Avenir Next" w:cs="Arial"/>
            <w:sz w:val="22"/>
            <w:szCs w:val="22"/>
          </w:rPr>
          <w:fldChar w:fldCharType="end"/>
        </w:r>
      </w:p>
    </w:sdtContent>
  </w:sdt>
  <w:p w14:paraId="30F05E79" w14:textId="30B0704C" w:rsidR="00241FA3" w:rsidRPr="00A84235" w:rsidRDefault="007C2A85" w:rsidP="009B4976">
    <w:pPr>
      <w:pStyle w:val="Footer"/>
      <w:ind w:right="360"/>
      <w:rPr>
        <w:rFonts w:ascii="Avenir Next" w:hAnsi="Avenir Next" w:cs="Arial"/>
        <w:sz w:val="22"/>
        <w:szCs w:val="22"/>
        <w:lang w:val="en-GB"/>
      </w:rPr>
    </w:pPr>
    <w:r w:rsidRPr="007C2A85">
      <w:rPr>
        <w:rFonts w:ascii="Avenir Next" w:hAnsi="Avenir Next" w:cs="Arial"/>
        <w:sz w:val="22"/>
        <w:szCs w:val="22"/>
        <w:lang w:val="en-GB"/>
      </w:rPr>
      <w:t>202223-946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FD3D7" w14:textId="77777777" w:rsidR="005704DE" w:rsidRDefault="005704DE" w:rsidP="00241B44">
      <w:r>
        <w:separator/>
      </w:r>
    </w:p>
  </w:footnote>
  <w:footnote w:type="continuationSeparator" w:id="0">
    <w:p w14:paraId="7B4C6C08" w14:textId="77777777" w:rsidR="005704DE" w:rsidRDefault="005704DE" w:rsidP="00241B44">
      <w:r>
        <w:continuationSeparator/>
      </w:r>
    </w:p>
  </w:footnote>
  <w:footnote w:id="1">
    <w:p w14:paraId="1CC3E82C" w14:textId="4BC26D61" w:rsidR="00FE693C" w:rsidRDefault="00FE693C">
      <w:pPr>
        <w:pStyle w:val="FootnoteText"/>
      </w:pPr>
      <w:r>
        <w:rPr>
          <w:rStyle w:val="FootnoteReference"/>
        </w:rPr>
        <w:footnoteRef/>
      </w:r>
      <w:r>
        <w:t xml:space="preserve"> </w:t>
      </w:r>
      <w:r w:rsidRPr="008C3C4D">
        <w:t xml:space="preserve">Professor </w:t>
      </w:r>
      <w:r>
        <w:t xml:space="preserve">Peter </w:t>
      </w:r>
      <w:proofErr w:type="gramStart"/>
      <w:r>
        <w:t>A</w:t>
      </w:r>
      <w:proofErr w:type="gramEnd"/>
      <w:r>
        <w:t xml:space="preserve"> Walton</w:t>
      </w:r>
      <w:r w:rsidRPr="008C3C4D">
        <w:t xml:space="preserve">, Module </w:t>
      </w:r>
      <w:r>
        <w:t>3B</w:t>
      </w:r>
      <w:r w:rsidRPr="008C3C4D">
        <w:t xml:space="preserve"> Guidance Text, Insolvency</w:t>
      </w:r>
      <w:r>
        <w:t xml:space="preserve"> System of the United Kingdom (England and Wales)</w:t>
      </w:r>
      <w:r w:rsidRPr="008C3C4D">
        <w:t xml:space="preserve"> Law 2022/2023</w:t>
      </w:r>
      <w:r>
        <w:t>, p 21</w:t>
      </w:r>
    </w:p>
  </w:footnote>
  <w:footnote w:id="2">
    <w:p w14:paraId="63855251" w14:textId="02E12C47" w:rsidR="000A7C1E" w:rsidRDefault="000A7C1E" w:rsidP="000A7C1E">
      <w:pPr>
        <w:pStyle w:val="FootnoteText"/>
      </w:pPr>
      <w:r>
        <w:rPr>
          <w:rStyle w:val="FootnoteReference"/>
        </w:rPr>
        <w:footnoteRef/>
      </w:r>
      <w:r w:rsidR="00FE693C">
        <w:t>Ibid.</w:t>
      </w:r>
      <w:r w:rsidRPr="008C3C4D">
        <w:t xml:space="preserve">, </w:t>
      </w:r>
      <w:r>
        <w:t>p5</w:t>
      </w:r>
    </w:p>
  </w:footnote>
  <w:footnote w:id="3">
    <w:p w14:paraId="2ED902ED" w14:textId="10E5AEA9" w:rsidR="009A0808" w:rsidRDefault="009A0808">
      <w:pPr>
        <w:pStyle w:val="FootnoteText"/>
      </w:pPr>
      <w:r>
        <w:rPr>
          <w:rStyle w:val="FootnoteReference"/>
        </w:rPr>
        <w:footnoteRef/>
      </w:r>
      <w:r>
        <w:t xml:space="preserve"> </w:t>
      </w:r>
      <w:r w:rsidR="00AA13B0">
        <w:t>Ibid. p 54</w:t>
      </w:r>
    </w:p>
  </w:footnote>
  <w:footnote w:id="4">
    <w:p w14:paraId="5875B0F6" w14:textId="3E829D2D" w:rsidR="00AA13B0" w:rsidRDefault="00AA13B0">
      <w:pPr>
        <w:pStyle w:val="FootnoteText"/>
      </w:pPr>
      <w:r>
        <w:rPr>
          <w:rStyle w:val="FootnoteReference"/>
        </w:rPr>
        <w:footnoteRef/>
      </w:r>
      <w:r>
        <w:t xml:space="preserve"> Ibid. p67</w:t>
      </w:r>
    </w:p>
  </w:footnote>
  <w:footnote w:id="5">
    <w:p w14:paraId="73FCB7E4" w14:textId="45E660D0" w:rsidR="00E15828" w:rsidRDefault="00E15828" w:rsidP="00E15828">
      <w:pPr>
        <w:pStyle w:val="FootnoteText"/>
      </w:pPr>
      <w:r>
        <w:rPr>
          <w:rStyle w:val="FootnoteReference"/>
        </w:rPr>
        <w:footnoteRef/>
      </w:r>
      <w:r>
        <w:t xml:space="preserve"> </w:t>
      </w:r>
      <w:r w:rsidR="008C3C4D" w:rsidRPr="008C3C4D">
        <w:t xml:space="preserve">Professor </w:t>
      </w:r>
      <w:r w:rsidR="008C3C4D">
        <w:t xml:space="preserve">Peter </w:t>
      </w:r>
      <w:proofErr w:type="gramStart"/>
      <w:r w:rsidR="008C3C4D">
        <w:t>A</w:t>
      </w:r>
      <w:proofErr w:type="gramEnd"/>
      <w:r w:rsidR="008C3C4D">
        <w:t xml:space="preserve"> Walton</w:t>
      </w:r>
      <w:r w:rsidR="008C3C4D" w:rsidRPr="008C3C4D">
        <w:t xml:space="preserve">, Module </w:t>
      </w:r>
      <w:r w:rsidR="008C3C4D">
        <w:t>3B</w:t>
      </w:r>
      <w:r w:rsidR="008C3C4D" w:rsidRPr="008C3C4D">
        <w:t xml:space="preserve"> Guidance Text, Insolvency</w:t>
      </w:r>
      <w:r w:rsidR="008C3C4D">
        <w:t xml:space="preserve"> System of the United Kingdom (England and Wales)</w:t>
      </w:r>
      <w:r w:rsidR="008C3C4D" w:rsidRPr="008C3C4D">
        <w:t xml:space="preserve"> Law 2022/2023, </w:t>
      </w:r>
      <w:r w:rsidR="008C3C4D" w:rsidRPr="00954D83">
        <w:t>p</w:t>
      </w:r>
      <w:r w:rsidR="00954D83" w:rsidRPr="00954D83">
        <w:t>65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245EB"/>
    <w:multiLevelType w:val="hybridMultilevel"/>
    <w:tmpl w:val="FBF69F3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AD716CF"/>
    <w:multiLevelType w:val="hybridMultilevel"/>
    <w:tmpl w:val="50B822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133585"/>
    <w:multiLevelType w:val="hybridMultilevel"/>
    <w:tmpl w:val="AAE21A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68238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FD0E1A"/>
    <w:multiLevelType w:val="hybridMultilevel"/>
    <w:tmpl w:val="51082C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27792"/>
    <w:multiLevelType w:val="hybridMultilevel"/>
    <w:tmpl w:val="F5C08A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12446"/>
    <w:multiLevelType w:val="hybridMultilevel"/>
    <w:tmpl w:val="ADAAE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0" w15:restartNumberingAfterBreak="0">
    <w:nsid w:val="66CA1D0E"/>
    <w:multiLevelType w:val="hybridMultilevel"/>
    <w:tmpl w:val="C67E7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3D3398"/>
    <w:multiLevelType w:val="hybridMultilevel"/>
    <w:tmpl w:val="86E0C5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04DB5"/>
    <w:multiLevelType w:val="hybridMultilevel"/>
    <w:tmpl w:val="8DA2129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1"/>
  </w:num>
  <w:num w:numId="3">
    <w:abstractNumId w:val="0"/>
  </w:num>
  <w:num w:numId="4">
    <w:abstractNumId w:val="14"/>
  </w:num>
  <w:num w:numId="5">
    <w:abstractNumId w:val="17"/>
  </w:num>
  <w:num w:numId="6">
    <w:abstractNumId w:val="2"/>
  </w:num>
  <w:num w:numId="7">
    <w:abstractNumId w:val="18"/>
  </w:num>
  <w:num w:numId="8">
    <w:abstractNumId w:val="24"/>
  </w:num>
  <w:num w:numId="9">
    <w:abstractNumId w:val="15"/>
  </w:num>
  <w:num w:numId="10">
    <w:abstractNumId w:val="25"/>
  </w:num>
  <w:num w:numId="11">
    <w:abstractNumId w:val="10"/>
  </w:num>
  <w:num w:numId="12">
    <w:abstractNumId w:val="22"/>
  </w:num>
  <w:num w:numId="13">
    <w:abstractNumId w:val="16"/>
  </w:num>
  <w:num w:numId="14">
    <w:abstractNumId w:val="9"/>
  </w:num>
  <w:num w:numId="15">
    <w:abstractNumId w:val="19"/>
  </w:num>
  <w:num w:numId="16">
    <w:abstractNumId w:val="23"/>
  </w:num>
  <w:num w:numId="17">
    <w:abstractNumId w:val="12"/>
  </w:num>
  <w:num w:numId="18">
    <w:abstractNumId w:val="20"/>
  </w:num>
  <w:num w:numId="19">
    <w:abstractNumId w:val="26"/>
  </w:num>
  <w:num w:numId="20">
    <w:abstractNumId w:val="6"/>
  </w:num>
  <w:num w:numId="21">
    <w:abstractNumId w:val="7"/>
  </w:num>
  <w:num w:numId="22">
    <w:abstractNumId w:val="5"/>
  </w:num>
  <w:num w:numId="23">
    <w:abstractNumId w:val="3"/>
  </w:num>
  <w:num w:numId="24">
    <w:abstractNumId w:val="21"/>
  </w:num>
  <w:num w:numId="25">
    <w:abstractNumId w:val="4"/>
  </w:num>
  <w:num w:numId="26">
    <w:abstractNumId w:val="13"/>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A7C1E"/>
    <w:rsid w:val="000B5FF1"/>
    <w:rsid w:val="000B609F"/>
    <w:rsid w:val="000C6049"/>
    <w:rsid w:val="000D10C6"/>
    <w:rsid w:val="000D55A8"/>
    <w:rsid w:val="000E252B"/>
    <w:rsid w:val="000E4841"/>
    <w:rsid w:val="000F1677"/>
    <w:rsid w:val="000F3D6C"/>
    <w:rsid w:val="00101694"/>
    <w:rsid w:val="00101707"/>
    <w:rsid w:val="00102CC9"/>
    <w:rsid w:val="0010593A"/>
    <w:rsid w:val="0011473D"/>
    <w:rsid w:val="00115C85"/>
    <w:rsid w:val="00122918"/>
    <w:rsid w:val="00123855"/>
    <w:rsid w:val="00126A4D"/>
    <w:rsid w:val="0014171F"/>
    <w:rsid w:val="0014622C"/>
    <w:rsid w:val="00152348"/>
    <w:rsid w:val="0015456D"/>
    <w:rsid w:val="00155FA2"/>
    <w:rsid w:val="00161F1B"/>
    <w:rsid w:val="00161F70"/>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19E7"/>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2F7CD8"/>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6C1C"/>
    <w:rsid w:val="00437297"/>
    <w:rsid w:val="00444284"/>
    <w:rsid w:val="00445CE6"/>
    <w:rsid w:val="004534C2"/>
    <w:rsid w:val="0045446F"/>
    <w:rsid w:val="0045683E"/>
    <w:rsid w:val="00461F95"/>
    <w:rsid w:val="004627F1"/>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04DE"/>
    <w:rsid w:val="00575B2D"/>
    <w:rsid w:val="005833D0"/>
    <w:rsid w:val="005846F3"/>
    <w:rsid w:val="0058622F"/>
    <w:rsid w:val="00592F82"/>
    <w:rsid w:val="005A0CCA"/>
    <w:rsid w:val="005A1083"/>
    <w:rsid w:val="005A6FF2"/>
    <w:rsid w:val="005A726D"/>
    <w:rsid w:val="005B6284"/>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0A30"/>
    <w:rsid w:val="00621A17"/>
    <w:rsid w:val="00627CC9"/>
    <w:rsid w:val="00627E7B"/>
    <w:rsid w:val="00630542"/>
    <w:rsid w:val="00632E44"/>
    <w:rsid w:val="0063381C"/>
    <w:rsid w:val="00634622"/>
    <w:rsid w:val="00636808"/>
    <w:rsid w:val="00641515"/>
    <w:rsid w:val="00646517"/>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159F"/>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496E"/>
    <w:rsid w:val="007B5C89"/>
    <w:rsid w:val="007C1FCC"/>
    <w:rsid w:val="007C2629"/>
    <w:rsid w:val="007C2A85"/>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929BC"/>
    <w:rsid w:val="008A4DF2"/>
    <w:rsid w:val="008A6CFE"/>
    <w:rsid w:val="008B5333"/>
    <w:rsid w:val="008B58D5"/>
    <w:rsid w:val="008B6223"/>
    <w:rsid w:val="008B72B8"/>
    <w:rsid w:val="008C35C6"/>
    <w:rsid w:val="008C3C4D"/>
    <w:rsid w:val="008C4D75"/>
    <w:rsid w:val="008C66E0"/>
    <w:rsid w:val="008D1616"/>
    <w:rsid w:val="008E3339"/>
    <w:rsid w:val="008F20FC"/>
    <w:rsid w:val="008F5FFE"/>
    <w:rsid w:val="00905A43"/>
    <w:rsid w:val="00912C79"/>
    <w:rsid w:val="00921B8C"/>
    <w:rsid w:val="00924DAF"/>
    <w:rsid w:val="00931D14"/>
    <w:rsid w:val="00942123"/>
    <w:rsid w:val="0094291D"/>
    <w:rsid w:val="009452DF"/>
    <w:rsid w:val="00951AA8"/>
    <w:rsid w:val="0095207B"/>
    <w:rsid w:val="00954D83"/>
    <w:rsid w:val="00955AF6"/>
    <w:rsid w:val="00962045"/>
    <w:rsid w:val="00980E61"/>
    <w:rsid w:val="00991428"/>
    <w:rsid w:val="00992676"/>
    <w:rsid w:val="009954B2"/>
    <w:rsid w:val="00996691"/>
    <w:rsid w:val="009A0808"/>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3771E"/>
    <w:rsid w:val="00A407EF"/>
    <w:rsid w:val="00A46B4C"/>
    <w:rsid w:val="00A5117B"/>
    <w:rsid w:val="00A56D34"/>
    <w:rsid w:val="00A60074"/>
    <w:rsid w:val="00A6627C"/>
    <w:rsid w:val="00A71019"/>
    <w:rsid w:val="00A81029"/>
    <w:rsid w:val="00A84235"/>
    <w:rsid w:val="00A845F5"/>
    <w:rsid w:val="00A92CB4"/>
    <w:rsid w:val="00A96489"/>
    <w:rsid w:val="00AA13B0"/>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01B2"/>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01D70"/>
    <w:rsid w:val="00D148DC"/>
    <w:rsid w:val="00D17FDC"/>
    <w:rsid w:val="00D21D8C"/>
    <w:rsid w:val="00D53719"/>
    <w:rsid w:val="00D63EFD"/>
    <w:rsid w:val="00D816BB"/>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462B"/>
    <w:rsid w:val="00DE03AF"/>
    <w:rsid w:val="00DE121C"/>
    <w:rsid w:val="00DE6633"/>
    <w:rsid w:val="00DE6814"/>
    <w:rsid w:val="00DF75F8"/>
    <w:rsid w:val="00DF7A3A"/>
    <w:rsid w:val="00E00C00"/>
    <w:rsid w:val="00E07C5A"/>
    <w:rsid w:val="00E15828"/>
    <w:rsid w:val="00E15BA9"/>
    <w:rsid w:val="00E26E19"/>
    <w:rsid w:val="00E31DF3"/>
    <w:rsid w:val="00E443D7"/>
    <w:rsid w:val="00E450A4"/>
    <w:rsid w:val="00E506BE"/>
    <w:rsid w:val="00E55547"/>
    <w:rsid w:val="00E6302B"/>
    <w:rsid w:val="00E63621"/>
    <w:rsid w:val="00E6452F"/>
    <w:rsid w:val="00E64F45"/>
    <w:rsid w:val="00E6742D"/>
    <w:rsid w:val="00E71CB0"/>
    <w:rsid w:val="00E77C3D"/>
    <w:rsid w:val="00E833F4"/>
    <w:rsid w:val="00E8573E"/>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693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B4EFA0-C326-4F1B-A88D-C32B7839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55</cp:revision>
  <cp:lastPrinted>2019-08-27T05:42:00Z</cp:lastPrinted>
  <dcterms:created xsi:type="dcterms:W3CDTF">2023-03-01T16:32:00Z</dcterms:created>
  <dcterms:modified xsi:type="dcterms:W3CDTF">2023-03-01T22:00:00Z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