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proofErr w:type="spellStart"/>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proofErr w:type="spellEnd"/>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669E896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431DCD">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431DCD">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3F2733" w:rsidRDefault="00436884" w:rsidP="00431DCD">
      <w:pPr>
        <w:pStyle w:val="ListParagraph"/>
        <w:numPr>
          <w:ilvl w:val="0"/>
          <w:numId w:val="1"/>
        </w:numPr>
        <w:ind w:left="426"/>
        <w:jc w:val="both"/>
        <w:rPr>
          <w:rFonts w:ascii="Avenir Next" w:hAnsi="Avenir Next" w:cs="Arial"/>
          <w:sz w:val="22"/>
          <w:szCs w:val="22"/>
          <w:highlight w:val="yellow"/>
          <w:lang w:val="en-GB"/>
        </w:rPr>
      </w:pPr>
      <w:r w:rsidRPr="003F2733">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431DCD">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431DCD">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431DCD">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431DCD">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3F2733" w:rsidRDefault="00436884" w:rsidP="00431DCD">
      <w:pPr>
        <w:pStyle w:val="ListParagraph"/>
        <w:numPr>
          <w:ilvl w:val="0"/>
          <w:numId w:val="2"/>
        </w:numPr>
        <w:ind w:left="426"/>
        <w:jc w:val="both"/>
        <w:rPr>
          <w:rFonts w:ascii="Avenir Next" w:hAnsi="Avenir Next" w:cs="Arial"/>
          <w:sz w:val="22"/>
          <w:szCs w:val="22"/>
          <w:highlight w:val="yellow"/>
          <w:lang w:val="en-GB"/>
        </w:rPr>
      </w:pPr>
      <w:r w:rsidRPr="003F2733">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431DCD">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431DCD">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B77352" w:rsidRDefault="00853A74" w:rsidP="00431DCD">
      <w:pPr>
        <w:pStyle w:val="ListParagraph"/>
        <w:numPr>
          <w:ilvl w:val="0"/>
          <w:numId w:val="3"/>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3F2733" w:rsidRDefault="00853A74" w:rsidP="00431DCD">
      <w:pPr>
        <w:pStyle w:val="ListParagraph"/>
        <w:numPr>
          <w:ilvl w:val="0"/>
          <w:numId w:val="3"/>
        </w:numPr>
        <w:ind w:left="426"/>
        <w:jc w:val="both"/>
        <w:rPr>
          <w:rFonts w:ascii="Avenir Next" w:hAnsi="Avenir Next" w:cs="Arial"/>
          <w:sz w:val="22"/>
          <w:szCs w:val="22"/>
          <w:highlight w:val="yellow"/>
          <w:lang w:val="en-GB"/>
        </w:rPr>
      </w:pPr>
      <w:r w:rsidRPr="003F2733">
        <w:rPr>
          <w:rFonts w:ascii="Avenir Next" w:hAnsi="Avenir Next" w:cs="Arial"/>
          <w:sz w:val="22"/>
          <w:szCs w:val="22"/>
          <w:highlight w:val="yellow"/>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431DCD">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 xml:space="preserve">locus </w:t>
      </w:r>
      <w:proofErr w:type="spellStart"/>
      <w:r w:rsidRPr="00E2622D">
        <w:rPr>
          <w:rFonts w:ascii="Avenir Next" w:hAnsi="Avenir Next" w:cs="Arial"/>
          <w:i/>
          <w:iCs/>
          <w:sz w:val="22"/>
          <w:szCs w:val="22"/>
          <w:lang w:val="en-GB"/>
        </w:rPr>
        <w:t>standi</w:t>
      </w:r>
      <w:proofErr w:type="spellEnd"/>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3F2733" w:rsidRDefault="00436884" w:rsidP="00431DCD">
      <w:pPr>
        <w:pStyle w:val="ListParagraph"/>
        <w:numPr>
          <w:ilvl w:val="0"/>
          <w:numId w:val="4"/>
        </w:numPr>
        <w:ind w:left="426"/>
        <w:jc w:val="both"/>
        <w:rPr>
          <w:rFonts w:ascii="Avenir Next" w:hAnsi="Avenir Next" w:cs="Arial"/>
          <w:sz w:val="22"/>
          <w:szCs w:val="22"/>
          <w:highlight w:val="yellow"/>
          <w:lang w:val="en-GB"/>
        </w:rPr>
      </w:pPr>
      <w:r w:rsidRPr="003F2733">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431DCD">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431DCD">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431DCD">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431DCD">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3F2733" w:rsidRDefault="00C504E5" w:rsidP="00431DCD">
      <w:pPr>
        <w:pStyle w:val="ListParagraph"/>
        <w:numPr>
          <w:ilvl w:val="0"/>
          <w:numId w:val="5"/>
        </w:numPr>
        <w:ind w:left="426"/>
        <w:jc w:val="both"/>
        <w:rPr>
          <w:rFonts w:ascii="Avenir Next" w:hAnsi="Avenir Next" w:cs="Arial"/>
          <w:sz w:val="22"/>
          <w:szCs w:val="22"/>
          <w:highlight w:val="yellow"/>
          <w:lang w:val="en-GB"/>
        </w:rPr>
      </w:pPr>
      <w:r w:rsidRPr="003F2733">
        <w:rPr>
          <w:rFonts w:ascii="Avenir Next" w:hAnsi="Avenir Next" w:cs="Arial"/>
          <w:sz w:val="22"/>
          <w:szCs w:val="22"/>
          <w:highlight w:val="yellow"/>
          <w:lang w:val="en-GB"/>
        </w:rPr>
        <w:t xml:space="preserve">Both the foreign main proceedings in South Africa and the foreign non-main proceedings in </w:t>
      </w:r>
      <w:r w:rsidR="004137C3" w:rsidRPr="003F2733">
        <w:rPr>
          <w:rFonts w:ascii="Avenir Next" w:hAnsi="Avenir Next" w:cs="Arial"/>
          <w:sz w:val="22"/>
          <w:szCs w:val="22"/>
          <w:highlight w:val="yellow"/>
          <w:lang w:val="en-GB"/>
        </w:rPr>
        <w:t xml:space="preserve">Argentina </w:t>
      </w:r>
      <w:r w:rsidRPr="003F2733">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431DCD">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431DCD">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431DCD">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431DCD">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3F2733" w:rsidRDefault="00B72F5F" w:rsidP="00431DCD">
      <w:pPr>
        <w:pStyle w:val="ListParagraph"/>
        <w:numPr>
          <w:ilvl w:val="0"/>
          <w:numId w:val="6"/>
        </w:numPr>
        <w:ind w:left="426"/>
        <w:jc w:val="both"/>
        <w:rPr>
          <w:rFonts w:ascii="Avenir Next" w:hAnsi="Avenir Next" w:cs="Arial"/>
          <w:sz w:val="22"/>
          <w:szCs w:val="22"/>
          <w:highlight w:val="yellow"/>
          <w:lang w:val="en-GB"/>
        </w:rPr>
      </w:pPr>
      <w:r w:rsidRPr="003F2733">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3F2733">
        <w:rPr>
          <w:rFonts w:ascii="Avenir Next" w:hAnsi="Avenir Next" w:cs="Arial"/>
          <w:sz w:val="22"/>
          <w:szCs w:val="22"/>
          <w:highlight w:val="yellow"/>
          <w:lang w:val="en-GB"/>
        </w:rPr>
        <w:t>will</w:t>
      </w:r>
      <w:r w:rsidRPr="003F2733">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3F2733" w:rsidRDefault="00436884" w:rsidP="00431DCD">
      <w:pPr>
        <w:pStyle w:val="ListParagraph"/>
        <w:numPr>
          <w:ilvl w:val="0"/>
          <w:numId w:val="7"/>
        </w:numPr>
        <w:ind w:left="426"/>
        <w:jc w:val="both"/>
        <w:rPr>
          <w:rFonts w:ascii="Avenir Next" w:hAnsi="Avenir Next" w:cs="Arial"/>
          <w:sz w:val="22"/>
          <w:szCs w:val="22"/>
          <w:highlight w:val="yellow"/>
          <w:lang w:val="en-GB"/>
        </w:rPr>
      </w:pPr>
      <w:r w:rsidRPr="003F2733">
        <w:rPr>
          <w:rFonts w:ascii="Avenir Next" w:hAnsi="Avenir Next" w:cs="Arial"/>
          <w:sz w:val="22"/>
          <w:szCs w:val="22"/>
          <w:highlight w:val="yellow"/>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B77352" w:rsidRDefault="00436884" w:rsidP="00431DCD">
      <w:pPr>
        <w:pStyle w:val="ListParagraph"/>
        <w:numPr>
          <w:ilvl w:val="0"/>
          <w:numId w:val="7"/>
        </w:numPr>
        <w:ind w:left="426"/>
        <w:jc w:val="both"/>
        <w:rPr>
          <w:rFonts w:ascii="Avenir Next" w:hAnsi="Avenir Next" w:cs="Arial"/>
          <w:sz w:val="22"/>
          <w:szCs w:val="22"/>
          <w:lang w:val="en-GB"/>
        </w:rPr>
      </w:pPr>
      <w:r w:rsidRPr="00B77352">
        <w:rPr>
          <w:rFonts w:ascii="Avenir Next" w:hAnsi="Avenir Next"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431DCD">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rsidP="00431DCD">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rsidP="00431DCD">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431DCD">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431DCD">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3F2733" w:rsidRDefault="00436884" w:rsidP="00431DCD">
      <w:pPr>
        <w:pStyle w:val="ListParagraph"/>
        <w:numPr>
          <w:ilvl w:val="0"/>
          <w:numId w:val="8"/>
        </w:numPr>
        <w:ind w:left="426"/>
        <w:jc w:val="both"/>
        <w:rPr>
          <w:rFonts w:ascii="Avenir Next" w:hAnsi="Avenir Next" w:cs="Arial"/>
          <w:sz w:val="22"/>
          <w:szCs w:val="22"/>
          <w:highlight w:val="yellow"/>
          <w:lang w:val="en-GB"/>
        </w:rPr>
      </w:pPr>
      <w:r w:rsidRPr="003F2733">
        <w:rPr>
          <w:rFonts w:ascii="Avenir Next" w:hAnsi="Avenir Next" w:cs="Arial"/>
          <w:sz w:val="22"/>
          <w:szCs w:val="22"/>
          <w:highlight w:val="yellow"/>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431DCD">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431DCD">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3F2733" w:rsidRDefault="00436884" w:rsidP="00431DCD">
      <w:pPr>
        <w:pStyle w:val="ListParagraph"/>
        <w:numPr>
          <w:ilvl w:val="0"/>
          <w:numId w:val="9"/>
        </w:numPr>
        <w:ind w:left="426"/>
        <w:jc w:val="both"/>
        <w:rPr>
          <w:rFonts w:ascii="Avenir Next" w:hAnsi="Avenir Next" w:cs="Arial"/>
          <w:sz w:val="22"/>
          <w:szCs w:val="22"/>
          <w:highlight w:val="yellow"/>
          <w:lang w:val="en-GB"/>
        </w:rPr>
      </w:pPr>
      <w:r w:rsidRPr="003F2733">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431DCD">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3F2733" w:rsidRDefault="00436884" w:rsidP="00431DCD">
      <w:pPr>
        <w:pStyle w:val="ListParagraph"/>
        <w:numPr>
          <w:ilvl w:val="0"/>
          <w:numId w:val="10"/>
        </w:numPr>
        <w:ind w:left="426"/>
        <w:jc w:val="both"/>
        <w:rPr>
          <w:rFonts w:ascii="Avenir Next" w:hAnsi="Avenir Next" w:cs="Arial"/>
          <w:sz w:val="22"/>
          <w:szCs w:val="22"/>
          <w:highlight w:val="yellow"/>
          <w:lang w:val="en-GB"/>
        </w:rPr>
      </w:pPr>
      <w:r w:rsidRPr="003F2733">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3F2733">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431DCD">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431DCD">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rsidP="00431DCD">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53FEF72D" w14:textId="35427A09" w:rsidR="003F2733" w:rsidRPr="003F2733" w:rsidRDefault="003F2733" w:rsidP="003F2733">
      <w:pPr>
        <w:spacing w:after="160" w:line="259" w:lineRule="auto"/>
        <w:jc w:val="both"/>
        <w:rPr>
          <w:rFonts w:ascii="Arial" w:hAnsi="Arial" w:cs="Arial"/>
          <w:sz w:val="22"/>
        </w:rPr>
      </w:pPr>
      <w:r w:rsidRPr="003F2733">
        <w:rPr>
          <w:rFonts w:ascii="Arial" w:hAnsi="Arial" w:cs="Arial"/>
          <w:sz w:val="22"/>
        </w:rPr>
        <w:t xml:space="preserve">The appropriate date for determining the debtor’s </w:t>
      </w:r>
      <w:r w:rsidRPr="003F2733">
        <w:rPr>
          <w:rFonts w:ascii="Arial" w:hAnsi="Arial" w:cs="Arial"/>
          <w:b/>
          <w:sz w:val="22"/>
        </w:rPr>
        <w:t>COMI</w:t>
      </w:r>
      <w:r w:rsidRPr="003F2733">
        <w:rPr>
          <w:rFonts w:ascii="Arial" w:hAnsi="Arial" w:cs="Arial"/>
          <w:sz w:val="22"/>
        </w:rPr>
        <w:t xml:space="preserve"> is the date of commencement of the foreign proceeding. Even if the COMI of the debtor has moved around the time of the commencement of the foreign proceedings, this new location may not be readily ascertainable to creditors or other third parties; hence, it will be harder to establish. This is contrary to the view taken in the US, which determines the debtor’s COMI from the activities at or around the time the Chapter 15 petition is filed.</w:t>
      </w:r>
      <w:r w:rsidRPr="003F2733">
        <w:rPr>
          <w:rStyle w:val="FootnoteReference"/>
          <w:rFonts w:ascii="Arial" w:hAnsi="Arial" w:cs="Arial"/>
          <w:sz w:val="22"/>
        </w:rPr>
        <w:footnoteReference w:id="1"/>
      </w:r>
      <w:r w:rsidRPr="003F2733">
        <w:rPr>
          <w:rFonts w:ascii="Arial" w:hAnsi="Arial" w:cs="Arial"/>
          <w:sz w:val="22"/>
        </w:rPr>
        <w:t xml:space="preserve"> Despite the different approaches, courts may take into consideration the period between commencement of a winding-up proceeding and when the petition is file to ensure that a the Debtor’s COMI hasn’t been manipulated in bad faith. </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407575FE" w14:textId="026D668B" w:rsidR="00214202" w:rsidRPr="00257AD2" w:rsidRDefault="00214202" w:rsidP="00214202">
      <w:pPr>
        <w:rPr>
          <w:b/>
          <w:i/>
        </w:rPr>
      </w:pPr>
      <w:r w:rsidRPr="00214202">
        <w:rPr>
          <w:rFonts w:ascii="Arial" w:hAnsi="Arial" w:cs="Arial"/>
          <w:b/>
          <w:i/>
          <w:sz w:val="22"/>
          <w:szCs w:val="22"/>
        </w:rPr>
        <w:lastRenderedPageBreak/>
        <w:t>ALL references to articles below are references to articles of the Model Law on Cross-Border Insolvency</w:t>
      </w:r>
      <w:r w:rsidRPr="00257AD2">
        <w:rPr>
          <w:b/>
          <w:i/>
        </w:rPr>
        <w:t>.</w:t>
      </w:r>
    </w:p>
    <w:p w14:paraId="282DA8D5" w14:textId="77777777" w:rsidR="00214202" w:rsidRDefault="00214202" w:rsidP="003F2733">
      <w:pPr>
        <w:spacing w:after="160" w:line="259" w:lineRule="auto"/>
        <w:jc w:val="both"/>
        <w:rPr>
          <w:rFonts w:ascii="Arial" w:hAnsi="Arial" w:cs="Arial"/>
          <w:sz w:val="22"/>
        </w:rPr>
      </w:pPr>
    </w:p>
    <w:p w14:paraId="2084782E" w14:textId="78F9F4B4" w:rsidR="003F2733" w:rsidRPr="00214202" w:rsidRDefault="003F2733" w:rsidP="003F2733">
      <w:pPr>
        <w:spacing w:after="160" w:line="259" w:lineRule="auto"/>
        <w:jc w:val="both"/>
        <w:rPr>
          <w:rFonts w:ascii="Arial" w:hAnsi="Arial" w:cs="Arial"/>
          <w:sz w:val="22"/>
        </w:rPr>
      </w:pPr>
      <w:r w:rsidRPr="00214202">
        <w:rPr>
          <w:rFonts w:ascii="Arial" w:hAnsi="Arial" w:cs="Arial"/>
          <w:sz w:val="22"/>
        </w:rPr>
        <w:t xml:space="preserve">The </w:t>
      </w:r>
      <w:r w:rsidRPr="00214202">
        <w:rPr>
          <w:rFonts w:ascii="Arial" w:hAnsi="Arial" w:cs="Arial"/>
          <w:b/>
          <w:sz w:val="22"/>
        </w:rPr>
        <w:t>name of the provisions</w:t>
      </w:r>
      <w:r w:rsidRPr="00214202">
        <w:rPr>
          <w:rFonts w:ascii="Arial" w:hAnsi="Arial" w:cs="Arial"/>
          <w:sz w:val="22"/>
        </w:rPr>
        <w:t xml:space="preserve"> and Model Law articles of the below statements are as follows:</w:t>
      </w:r>
    </w:p>
    <w:p w14:paraId="15034518" w14:textId="77777777" w:rsidR="003F2733" w:rsidRPr="003F2733" w:rsidRDefault="003F2733" w:rsidP="00431DCD">
      <w:pPr>
        <w:pStyle w:val="ListParagraph"/>
        <w:numPr>
          <w:ilvl w:val="1"/>
          <w:numId w:val="15"/>
        </w:numPr>
        <w:spacing w:after="160" w:line="259" w:lineRule="auto"/>
        <w:jc w:val="both"/>
        <w:rPr>
          <w:rFonts w:ascii="Arial" w:hAnsi="Arial" w:cs="Arial"/>
          <w:b/>
          <w:sz w:val="22"/>
          <w:szCs w:val="22"/>
        </w:rPr>
      </w:pPr>
      <w:r w:rsidRPr="003F2733">
        <w:rPr>
          <w:rFonts w:ascii="Arial" w:hAnsi="Arial" w:cs="Arial"/>
          <w:b/>
          <w:sz w:val="22"/>
          <w:szCs w:val="22"/>
        </w:rPr>
        <w:t>Statement 1</w:t>
      </w:r>
      <w:r w:rsidRPr="003F2733">
        <w:rPr>
          <w:rFonts w:ascii="Arial" w:hAnsi="Arial" w:cs="Arial"/>
          <w:sz w:val="22"/>
          <w:szCs w:val="22"/>
        </w:rPr>
        <w:t xml:space="preserve"> – Article 14 – the concept of this article is inform creditors of the commencement of local insolvency proceedings regarding the debtor in the enacting state and the time-limit for which creditors have to file claims in the relevant proceedings.  This ensures one creditor doesn’t gain an unfair </w:t>
      </w:r>
      <w:r w:rsidRPr="003F2733">
        <w:rPr>
          <w:rFonts w:ascii="Arial" w:hAnsi="Arial" w:cs="Arial"/>
          <w:b/>
          <w:sz w:val="22"/>
          <w:szCs w:val="22"/>
        </w:rPr>
        <w:t>advantage over others.</w:t>
      </w:r>
    </w:p>
    <w:p w14:paraId="397E6F07" w14:textId="77777777" w:rsidR="003F2733" w:rsidRPr="003F2733" w:rsidRDefault="003F2733" w:rsidP="00431DCD">
      <w:pPr>
        <w:pStyle w:val="ListParagraph"/>
        <w:numPr>
          <w:ilvl w:val="1"/>
          <w:numId w:val="15"/>
        </w:numPr>
        <w:spacing w:after="160" w:line="259" w:lineRule="auto"/>
        <w:jc w:val="both"/>
        <w:rPr>
          <w:rFonts w:ascii="Arial" w:hAnsi="Arial" w:cs="Arial"/>
          <w:sz w:val="22"/>
          <w:szCs w:val="22"/>
        </w:rPr>
      </w:pPr>
      <w:r w:rsidRPr="003F2733">
        <w:rPr>
          <w:rFonts w:ascii="Arial" w:hAnsi="Arial" w:cs="Arial"/>
          <w:b/>
          <w:sz w:val="22"/>
          <w:szCs w:val="22"/>
        </w:rPr>
        <w:t>Statement 2</w:t>
      </w:r>
      <w:r w:rsidRPr="003F2733">
        <w:rPr>
          <w:rFonts w:ascii="Arial" w:hAnsi="Arial" w:cs="Arial"/>
          <w:sz w:val="22"/>
          <w:szCs w:val="22"/>
        </w:rPr>
        <w:t xml:space="preserve"> – Article 10 – the safe conduct rule is a concept that prevents the court in the enacting state from assuming jurisdiction over all of the debtor’s assets solely on the ground that a recognition application of a foreign proceedings was made by the foreign representative. </w:t>
      </w:r>
    </w:p>
    <w:p w14:paraId="3A528B41" w14:textId="43A198CA" w:rsidR="00CB56CE" w:rsidRPr="003F2733" w:rsidRDefault="003F2733" w:rsidP="00431DCD">
      <w:pPr>
        <w:pStyle w:val="ListParagraph"/>
        <w:numPr>
          <w:ilvl w:val="1"/>
          <w:numId w:val="15"/>
        </w:numPr>
        <w:spacing w:after="160" w:line="259" w:lineRule="auto"/>
        <w:jc w:val="both"/>
        <w:rPr>
          <w:rFonts w:ascii="Arial" w:hAnsi="Arial" w:cs="Arial"/>
          <w:sz w:val="22"/>
          <w:szCs w:val="22"/>
        </w:rPr>
      </w:pPr>
      <w:r w:rsidRPr="003F2733">
        <w:rPr>
          <w:rFonts w:ascii="Arial" w:hAnsi="Arial" w:cs="Arial"/>
          <w:b/>
          <w:sz w:val="22"/>
          <w:szCs w:val="22"/>
        </w:rPr>
        <w:t>Statement 3</w:t>
      </w:r>
      <w:r w:rsidRPr="003F2733">
        <w:rPr>
          <w:rFonts w:ascii="Arial" w:hAnsi="Arial" w:cs="Arial"/>
          <w:sz w:val="22"/>
          <w:szCs w:val="22"/>
        </w:rPr>
        <w:t xml:space="preserve"> – Article 16(3) – this article relates to the rebuttable presumption that a debtor’s COMI (an undefined term) is the registered office of the debtor is the debtor is a company and its habitual address if the debtor is an individual.</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608A1409" w14:textId="77777777" w:rsidR="003F2733" w:rsidRPr="003F2733" w:rsidRDefault="003F2733" w:rsidP="003F2733">
      <w:pPr>
        <w:spacing w:after="160" w:line="259" w:lineRule="auto"/>
        <w:jc w:val="both"/>
        <w:rPr>
          <w:rFonts w:ascii="Arial" w:hAnsi="Arial" w:cs="Arial"/>
          <w:sz w:val="22"/>
        </w:rPr>
      </w:pPr>
      <w:r w:rsidRPr="003F2733">
        <w:rPr>
          <w:rFonts w:ascii="Arial" w:hAnsi="Arial" w:cs="Arial"/>
          <w:sz w:val="22"/>
        </w:rPr>
        <w:t>The court is of the opinion that, when balancing interests under Article 22 for such relief, the court should not exercise such power to grant relief under article 21 where it would prevent creditors from enforcing their rights and/or prolong the stay after the end of reconstruction.</w:t>
      </w:r>
      <w:r w:rsidRPr="003F2733">
        <w:rPr>
          <w:rStyle w:val="FootnoteReference"/>
          <w:rFonts w:ascii="Arial" w:hAnsi="Arial" w:cs="Arial"/>
          <w:sz w:val="22"/>
        </w:rPr>
        <w:footnoteReference w:id="2"/>
      </w:r>
      <w:r w:rsidRPr="003F2733">
        <w:rPr>
          <w:rFonts w:ascii="Arial" w:hAnsi="Arial" w:cs="Arial"/>
          <w:sz w:val="22"/>
        </w:rPr>
        <w:t xml:space="preserve"> This relief can only be granted by the court under article 21 if the stay is necessary for the protection of creditors’ interests and the stay would’ve been appropriate to achieve such protection for them.</w:t>
      </w:r>
      <w:r w:rsidRPr="003F2733">
        <w:rPr>
          <w:rStyle w:val="FootnoteReference"/>
          <w:rFonts w:ascii="Arial" w:hAnsi="Arial" w:cs="Arial"/>
          <w:sz w:val="22"/>
        </w:rPr>
        <w:footnoteReference w:id="3"/>
      </w:r>
      <w:r w:rsidRPr="003F2733">
        <w:rPr>
          <w:rFonts w:ascii="Arial" w:hAnsi="Arial" w:cs="Arial"/>
          <w:sz w:val="22"/>
        </w:rPr>
        <w:t xml:space="preserve"> In the IBA case, further protection was not needed  in that instance for the restructuring to achieve its purpose. Hence, article 21 shouldn’t be used to override creditors rights. Once proceedings end or a foreign representative no longer has its office, then the need for further orders in support of foreign proceedings and previous relief shall cease to exist.</w:t>
      </w:r>
    </w:p>
    <w:p w14:paraId="7D075261" w14:textId="27CDFBCB"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214202" w:rsidRDefault="0041139B" w:rsidP="00707FC8">
      <w:pPr>
        <w:jc w:val="both"/>
        <w:rPr>
          <w:rFonts w:ascii="Avenir Next" w:hAnsi="Avenir Next" w:cs="Arial"/>
          <w:bCs/>
          <w:sz w:val="24"/>
          <w:szCs w:val="22"/>
          <w:lang w:val="en-GB"/>
        </w:rPr>
      </w:pPr>
    </w:p>
    <w:p w14:paraId="1FDE44ED" w14:textId="77777777" w:rsidR="00214202" w:rsidRPr="00247B3E" w:rsidRDefault="00214202" w:rsidP="00214202">
      <w:pPr>
        <w:spacing w:after="160" w:line="259" w:lineRule="auto"/>
        <w:jc w:val="both"/>
        <w:rPr>
          <w:rFonts w:ascii="Arial" w:hAnsi="Arial" w:cs="Arial"/>
          <w:color w:val="FF0000"/>
          <w:sz w:val="22"/>
        </w:rPr>
      </w:pPr>
      <w:r w:rsidRPr="00247B3E">
        <w:rPr>
          <w:rFonts w:ascii="Arial" w:hAnsi="Arial" w:cs="Arial"/>
          <w:sz w:val="22"/>
        </w:rPr>
        <w:t xml:space="preserve">As per Article 29(a), the court shall seek cooperation and coordination under articles 25-27 and shall ensure that any relief granted under article 19 or article 21 must be consistent with the domestic insolvency proceeding. From the time the recognition application in foreign proceedings is filed, the foreign representative has an ongoing duty under Article 18 to inform </w:t>
      </w:r>
      <w:r w:rsidRPr="00247B3E">
        <w:rPr>
          <w:rFonts w:ascii="Arial" w:hAnsi="Arial" w:cs="Arial"/>
          <w:sz w:val="22"/>
        </w:rPr>
        <w:lastRenderedPageBreak/>
        <w:t>the court in the enacting state of: (1) any other proceedings commencing against/regarding the same debtor; or (2) any material changes in regards to the status of foreign proceedings recognized or the representative’s appointment.</w:t>
      </w:r>
      <w:r w:rsidRPr="00247B3E">
        <w:rPr>
          <w:rStyle w:val="FootnoteReference"/>
          <w:rFonts w:ascii="Arial" w:hAnsi="Arial" w:cs="Arial"/>
          <w:sz w:val="22"/>
        </w:rPr>
        <w:footnoteReference w:id="4"/>
      </w:r>
      <w:r w:rsidRPr="00247B3E">
        <w:rPr>
          <w:rFonts w:ascii="Arial" w:hAnsi="Arial" w:cs="Arial"/>
          <w:sz w:val="22"/>
        </w:rPr>
        <w:t xml:space="preserve"> This duty not only updates the court on any developments but also allows the court to obtain more information regarding the debtor’s affairs globally to figure out whether it needs to modify or terminate any relief granted to avoid it from being inconsistent with the domestic proceeding. </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68D3C41D" w14:textId="2E450ACF" w:rsidR="000920F8" w:rsidRDefault="000920F8" w:rsidP="000920F8">
      <w:pPr>
        <w:jc w:val="both"/>
        <w:rPr>
          <w:rFonts w:ascii="Arial" w:hAnsi="Arial" w:cs="Arial"/>
          <w:sz w:val="22"/>
        </w:rPr>
      </w:pPr>
      <w:r w:rsidRPr="000920F8">
        <w:rPr>
          <w:rFonts w:ascii="Arial" w:hAnsi="Arial" w:cs="Arial"/>
          <w:sz w:val="22"/>
        </w:rPr>
        <w:t>Under article 9, the foreign representative has access rights giving him standing (direct access) in the courts in an enacting state without the foreign proceedings opened in the foreign state being recognized by the enacting state. Also, the foreign representative has standing to open domestic insolvency proceedings in the enacting state under article 11 once the requirements for opening proceedings have been met requirements. The is beneficial to the foreign representative because it not only saves time and costs in cross-border insolvencies but provides the platform for him to seek breathing space to implement appropriate measures to deal with the liquidation, protect assets from being dissipated, properly raise any breaches involving the company and find the necessary solutions that will be in the best interests of the debtor, creditors and other interested parties. Upon recognition, the foreign representative will be able to: (1) participate in insolvency proceedings conducted in the enacting state A under article 12; (2) initiate any actions in the enacting state to prevent detrimental acts to creditors (article 23); and (3) intervene in any local proceedings to which the company is a party (article 24). This access also allows the foreign representative and enacting state court the opportunity to be able to coordinate with the other foreign courts any relief that may be necessary for optimal disposition of the insolvency.</w:t>
      </w:r>
    </w:p>
    <w:p w14:paraId="29BC6877" w14:textId="498C67A3" w:rsidR="000920F8" w:rsidRDefault="000920F8" w:rsidP="000920F8">
      <w:pPr>
        <w:jc w:val="both"/>
        <w:rPr>
          <w:rFonts w:ascii="Arial" w:hAnsi="Arial" w:cs="Arial"/>
          <w:sz w:val="22"/>
        </w:rPr>
      </w:pPr>
    </w:p>
    <w:p w14:paraId="51824301" w14:textId="278C23C0" w:rsidR="00257437" w:rsidRPr="00072658" w:rsidRDefault="000920F8" w:rsidP="000920F8">
      <w:pPr>
        <w:jc w:val="both"/>
        <w:rPr>
          <w:rFonts w:ascii="Arial" w:hAnsi="Arial" w:cs="Arial"/>
          <w:sz w:val="22"/>
        </w:rPr>
      </w:pPr>
      <w:r w:rsidRPr="00072658">
        <w:rPr>
          <w:rFonts w:ascii="Arial" w:hAnsi="Arial" w:cs="Arial"/>
          <w:sz w:val="22"/>
        </w:rPr>
        <w:t xml:space="preserve">Cross-border cooperation between the courts or with the foreign representative under articles 25-27 is a huge benefit to foreign representative to make the insolvency process more efficient by directly communicating with foreign courts, under Article 25(1), to request information or assistance regarding the protection, realization and distribution of assets of the debtor or any other forms suitable under Article 27. The enacting state court must be cooperative with the foreign representative in dealing with matters involving the debtor under Article 1. Since it isn’t dependent upon a recognition application and with some jurisdictions having outdated insolvency regimes, cooperation between foreign courts or a foreign representative not only promotes efficiency in cross-border insolvencies and enables the representative or courts to achieve the best outcomes but it also allows courts to be more consistent in their treatment of </w:t>
      </w:r>
      <w:r w:rsidRPr="00072658">
        <w:rPr>
          <w:rFonts w:ascii="Arial" w:hAnsi="Arial" w:cs="Arial"/>
          <w:sz w:val="22"/>
        </w:rPr>
        <w:lastRenderedPageBreak/>
        <w:t>stakeholders in various jurisdictions. The cooperation of the foreign courts would ensure that there’s transparency and predictability in these proceedings and makes it easier for the foreign representative or courts to use the insolvency legislation relevant to the issue; hence, making it an almost seamless process.</w:t>
      </w:r>
    </w:p>
    <w:p w14:paraId="46444009" w14:textId="77777777" w:rsidR="000920F8" w:rsidRPr="000920F8" w:rsidRDefault="000920F8" w:rsidP="000920F8">
      <w:pPr>
        <w:jc w:val="both"/>
        <w:rPr>
          <w:rFonts w:ascii="Arial" w:hAnsi="Arial" w:cs="Arial"/>
          <w:color w:val="FF0000"/>
          <w:sz w:val="22"/>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016FD962" w14:textId="77777777" w:rsidR="000920F8" w:rsidRPr="000920F8" w:rsidRDefault="000920F8" w:rsidP="000920F8">
      <w:pPr>
        <w:jc w:val="both"/>
        <w:rPr>
          <w:rFonts w:ascii="Arial" w:hAnsi="Arial" w:cs="Arial"/>
          <w:color w:val="FF0000"/>
          <w:sz w:val="22"/>
        </w:rPr>
      </w:pPr>
      <w:r w:rsidRPr="000920F8">
        <w:rPr>
          <w:rFonts w:ascii="Arial" w:hAnsi="Arial" w:cs="Arial"/>
          <w:sz w:val="22"/>
        </w:rPr>
        <w:t xml:space="preserve">There are many </w:t>
      </w:r>
      <w:r w:rsidRPr="000920F8">
        <w:rPr>
          <w:rFonts w:ascii="Arial" w:hAnsi="Arial" w:cs="Arial"/>
          <w:b/>
          <w:sz w:val="22"/>
        </w:rPr>
        <w:t>requirements</w:t>
      </w:r>
      <w:r w:rsidRPr="000920F8">
        <w:rPr>
          <w:rFonts w:ascii="Arial" w:hAnsi="Arial" w:cs="Arial"/>
          <w:sz w:val="22"/>
        </w:rPr>
        <w:t xml:space="preserve"> for the courts to consider in order before a </w:t>
      </w:r>
      <w:r w:rsidRPr="000920F8">
        <w:rPr>
          <w:rFonts w:ascii="Arial" w:hAnsi="Arial" w:cs="Arial"/>
          <w:b/>
          <w:sz w:val="22"/>
        </w:rPr>
        <w:t>recognition</w:t>
      </w:r>
      <w:r w:rsidRPr="000920F8">
        <w:rPr>
          <w:rFonts w:ascii="Arial" w:hAnsi="Arial" w:cs="Arial"/>
          <w:sz w:val="22"/>
        </w:rPr>
        <w:t xml:space="preserve"> application can be successfully granted. As per article 15(2), these evidential requirements must be satisfied in order for recognition to be granted successfully.   </w:t>
      </w:r>
      <w:r w:rsidRPr="000920F8">
        <w:rPr>
          <w:rFonts w:ascii="Arial" w:hAnsi="Arial" w:cs="Arial"/>
          <w:color w:val="FF0000"/>
          <w:sz w:val="22"/>
        </w:rPr>
        <w:t>Articles for:</w:t>
      </w:r>
    </w:p>
    <w:p w14:paraId="3AF3287E" w14:textId="77777777" w:rsidR="000920F8" w:rsidRPr="000920F8" w:rsidRDefault="000920F8" w:rsidP="00431DCD">
      <w:pPr>
        <w:pStyle w:val="ListParagraph"/>
        <w:numPr>
          <w:ilvl w:val="0"/>
          <w:numId w:val="16"/>
        </w:numPr>
        <w:spacing w:after="160" w:line="259" w:lineRule="auto"/>
        <w:jc w:val="both"/>
        <w:rPr>
          <w:rFonts w:ascii="Arial" w:hAnsi="Arial" w:cs="Arial"/>
          <w:sz w:val="22"/>
        </w:rPr>
      </w:pPr>
      <w:r w:rsidRPr="000920F8">
        <w:rPr>
          <w:rFonts w:ascii="Arial" w:hAnsi="Arial" w:cs="Arial"/>
          <w:b/>
          <w:sz w:val="22"/>
        </w:rPr>
        <w:t>Evidence</w:t>
      </w:r>
      <w:r w:rsidRPr="000920F8">
        <w:rPr>
          <w:rFonts w:ascii="Arial" w:hAnsi="Arial" w:cs="Arial"/>
          <w:sz w:val="22"/>
        </w:rPr>
        <w:t xml:space="preserve"> </w:t>
      </w:r>
      <w:r w:rsidRPr="000920F8">
        <w:rPr>
          <w:rFonts w:ascii="Arial" w:hAnsi="Arial" w:cs="Arial"/>
          <w:color w:val="FF0000"/>
          <w:sz w:val="22"/>
        </w:rPr>
        <w:t xml:space="preserve">– </w:t>
      </w:r>
      <w:r w:rsidRPr="000920F8">
        <w:rPr>
          <w:rFonts w:ascii="Arial" w:hAnsi="Arial" w:cs="Arial"/>
          <w:sz w:val="22"/>
        </w:rPr>
        <w:t xml:space="preserve">the evidential requirements for recognition under Article 15(2) have to be satisfied before an order can be granted for recognition of foreign proceedings. Under this article, a recognition application would have to be accompanied by: (1) a certified copy of the decision commencing foreign proceedings or appointment of the foreign representative; or (2) a certificate from the foreign court affirming the existence of a foreign representative’s appointment or the existence of some foreign proceeding; or (3) any other absence which the court deems acceptable to confirm the existence of the existence of a foreign proceeding and the appointment of the foreign representative. As laid out in Article 16, the court is entitled to presume that these documents accompanying the application are true to form and are authentic court documents indicating that there is a foreign proceeding within the meaning of article 2(a) and a validly appointed foreign representative within the meaning of article 2(d). The court will then </w:t>
      </w:r>
      <w:proofErr w:type="spellStart"/>
      <w:r w:rsidRPr="000920F8">
        <w:rPr>
          <w:rFonts w:ascii="Arial" w:hAnsi="Arial" w:cs="Arial"/>
          <w:sz w:val="22"/>
        </w:rPr>
        <w:t>analyse</w:t>
      </w:r>
      <w:proofErr w:type="spellEnd"/>
      <w:r w:rsidRPr="000920F8">
        <w:rPr>
          <w:rFonts w:ascii="Arial" w:hAnsi="Arial" w:cs="Arial"/>
          <w:sz w:val="22"/>
        </w:rPr>
        <w:t xml:space="preserve"> whether the proceeding meets the requirements set out, and once these requirements have been satisfied, a decision for recognition of a foreign proceeding shall follow under Article 17.</w:t>
      </w:r>
    </w:p>
    <w:p w14:paraId="1D6543D7" w14:textId="77777777" w:rsidR="000920F8" w:rsidRPr="000920F8" w:rsidRDefault="000920F8" w:rsidP="00431DCD">
      <w:pPr>
        <w:pStyle w:val="ListParagraph"/>
        <w:numPr>
          <w:ilvl w:val="0"/>
          <w:numId w:val="16"/>
        </w:numPr>
        <w:spacing w:after="160" w:line="259" w:lineRule="auto"/>
        <w:jc w:val="both"/>
        <w:rPr>
          <w:rFonts w:ascii="Arial" w:hAnsi="Arial" w:cs="Arial"/>
          <w:color w:val="FF0000"/>
          <w:sz w:val="22"/>
        </w:rPr>
      </w:pPr>
      <w:r w:rsidRPr="000920F8">
        <w:rPr>
          <w:rFonts w:ascii="Arial" w:hAnsi="Arial" w:cs="Arial"/>
          <w:b/>
          <w:sz w:val="22"/>
        </w:rPr>
        <w:t>restrictions</w:t>
      </w:r>
      <w:r w:rsidRPr="000920F8">
        <w:rPr>
          <w:rFonts w:ascii="Arial" w:hAnsi="Arial" w:cs="Arial"/>
          <w:color w:val="FF0000"/>
          <w:sz w:val="22"/>
        </w:rPr>
        <w:t xml:space="preserve">- </w:t>
      </w:r>
      <w:r w:rsidRPr="000920F8">
        <w:rPr>
          <w:rFonts w:ascii="Arial" w:hAnsi="Arial" w:cs="Arial"/>
          <w:sz w:val="22"/>
        </w:rPr>
        <w:t>however, some restrictions to this procedure can be seen under Article 6 which allows the court to refuse recognition of a foreign proceedings where it would be “manifestly contrary to the public policy”</w:t>
      </w:r>
      <w:r w:rsidRPr="000920F8">
        <w:rPr>
          <w:rStyle w:val="FootnoteReference"/>
          <w:rFonts w:ascii="Arial" w:hAnsi="Arial" w:cs="Arial"/>
          <w:sz w:val="22"/>
        </w:rPr>
        <w:footnoteReference w:id="5"/>
      </w:r>
      <w:r w:rsidRPr="000920F8">
        <w:rPr>
          <w:rFonts w:ascii="Arial" w:hAnsi="Arial" w:cs="Arial"/>
          <w:sz w:val="22"/>
        </w:rPr>
        <w:t xml:space="preserve"> of the State in which recognition is sought. Although this exception should rarely be the reason for refusing a recognition application, it may be a valid reason for limiting relief. </w:t>
      </w:r>
    </w:p>
    <w:p w14:paraId="50E85AC8" w14:textId="194F21F3" w:rsidR="000920F8" w:rsidRDefault="000920F8" w:rsidP="00431DCD">
      <w:pPr>
        <w:pStyle w:val="ListParagraph"/>
        <w:numPr>
          <w:ilvl w:val="0"/>
          <w:numId w:val="16"/>
        </w:numPr>
        <w:spacing w:after="160" w:line="259" w:lineRule="auto"/>
        <w:jc w:val="both"/>
        <w:rPr>
          <w:rFonts w:ascii="Arial" w:hAnsi="Arial" w:cs="Arial"/>
          <w:color w:val="FF0000"/>
          <w:sz w:val="22"/>
        </w:rPr>
      </w:pPr>
      <w:r w:rsidRPr="000920F8">
        <w:rPr>
          <w:rFonts w:ascii="Arial" w:hAnsi="Arial" w:cs="Arial"/>
          <w:b/>
          <w:sz w:val="22"/>
        </w:rPr>
        <w:t>Exclusions</w:t>
      </w:r>
      <w:r w:rsidRPr="000920F8">
        <w:rPr>
          <w:rFonts w:ascii="Arial" w:hAnsi="Arial" w:cs="Arial"/>
          <w:color w:val="FF0000"/>
          <w:sz w:val="22"/>
        </w:rPr>
        <w:t xml:space="preserve">- </w:t>
      </w:r>
      <w:r w:rsidRPr="000920F8">
        <w:rPr>
          <w:rFonts w:ascii="Arial" w:hAnsi="Arial" w:cs="Arial"/>
          <w:sz w:val="22"/>
        </w:rPr>
        <w:t>Under Article 1(2), the court will have to bear in mind that recognition cannot be granted in relation to entities a part of the exclusions list like a bank or insurance companies, as the model law does not apply to these kinds of proceedings. These excluded entities will most be governed by or require a special insolvency regime.  However, the enacting state should be care not to limit the right for recognition solely on the basis of the insolvency being subject to a special regulatory regime.</w:t>
      </w:r>
      <w:r w:rsidRPr="000920F8">
        <w:rPr>
          <w:rStyle w:val="FootnoteReference"/>
          <w:rFonts w:ascii="Arial" w:hAnsi="Arial" w:cs="Arial"/>
          <w:sz w:val="22"/>
        </w:rPr>
        <w:footnoteReference w:id="6"/>
      </w:r>
      <w:r w:rsidRPr="000920F8">
        <w:rPr>
          <w:rFonts w:ascii="Arial" w:hAnsi="Arial" w:cs="Arial"/>
          <w:sz w:val="22"/>
        </w:rPr>
        <w:t xml:space="preserve"> </w:t>
      </w:r>
    </w:p>
    <w:p w14:paraId="0BD63714" w14:textId="77777777" w:rsidR="00072658" w:rsidRPr="000920F8" w:rsidRDefault="00072658" w:rsidP="00072658">
      <w:pPr>
        <w:pStyle w:val="ListParagraph"/>
        <w:spacing w:after="160" w:line="259" w:lineRule="auto"/>
        <w:jc w:val="both"/>
        <w:rPr>
          <w:rFonts w:ascii="Arial" w:hAnsi="Arial" w:cs="Arial"/>
          <w:color w:val="FF0000"/>
          <w:sz w:val="22"/>
        </w:rPr>
      </w:pPr>
    </w:p>
    <w:p w14:paraId="7CEF9606" w14:textId="43A07D35" w:rsidR="000920F8" w:rsidRPr="000920F8" w:rsidRDefault="000920F8" w:rsidP="00431DCD">
      <w:pPr>
        <w:pStyle w:val="ListParagraph"/>
        <w:numPr>
          <w:ilvl w:val="0"/>
          <w:numId w:val="16"/>
        </w:numPr>
        <w:spacing w:after="160" w:line="259" w:lineRule="auto"/>
        <w:jc w:val="both"/>
        <w:rPr>
          <w:rFonts w:ascii="Arial" w:hAnsi="Arial" w:cs="Arial"/>
          <w:sz w:val="22"/>
        </w:rPr>
      </w:pPr>
      <w:r w:rsidRPr="000920F8">
        <w:rPr>
          <w:rFonts w:ascii="Arial" w:hAnsi="Arial" w:cs="Arial"/>
          <w:b/>
          <w:sz w:val="22"/>
        </w:rPr>
        <w:t>Limitations</w:t>
      </w:r>
      <w:r w:rsidR="00072658">
        <w:rPr>
          <w:rFonts w:ascii="Arial" w:hAnsi="Arial" w:cs="Arial"/>
          <w:b/>
          <w:sz w:val="22"/>
        </w:rPr>
        <w:t>-</w:t>
      </w:r>
      <w:r w:rsidRPr="000920F8">
        <w:rPr>
          <w:rFonts w:ascii="Arial" w:hAnsi="Arial" w:cs="Arial"/>
          <w:color w:val="FF0000"/>
          <w:sz w:val="22"/>
        </w:rPr>
        <w:t xml:space="preserve"> </w:t>
      </w:r>
      <w:r w:rsidRPr="000920F8">
        <w:rPr>
          <w:rFonts w:ascii="Arial" w:hAnsi="Arial" w:cs="Arial"/>
          <w:sz w:val="22"/>
        </w:rPr>
        <w:t xml:space="preserve">Before deciding whether to recognize a foreign proceeding, the court is limited to jurisdictional pre-conditions under article 2(a) but this was satisfied as assumed. Also, the jurisdictional limitation over foreign representatives under Article 10 has the potential of shielding the foreign representative to the extent necessary to </w:t>
      </w:r>
      <w:r w:rsidRPr="000920F8">
        <w:rPr>
          <w:rFonts w:ascii="Arial" w:hAnsi="Arial" w:cs="Arial"/>
          <w:sz w:val="22"/>
        </w:rPr>
        <w:lastRenderedPageBreak/>
        <w:t>make court access meaningful (for the purpose of requesting recognition) but wouldn’t expose the entire estate under the foreign representative’s supervision to the jurisdiction of those courts.</w:t>
      </w:r>
    </w:p>
    <w:p w14:paraId="713C0C0F" w14:textId="7E661620" w:rsidR="0017257C" w:rsidRPr="000920F8" w:rsidRDefault="000920F8" w:rsidP="00431DCD">
      <w:pPr>
        <w:pStyle w:val="ListParagraph"/>
        <w:numPr>
          <w:ilvl w:val="0"/>
          <w:numId w:val="16"/>
        </w:numPr>
        <w:spacing w:after="160" w:line="259" w:lineRule="auto"/>
        <w:jc w:val="both"/>
        <w:rPr>
          <w:rFonts w:ascii="Arial" w:hAnsi="Arial" w:cs="Arial"/>
          <w:sz w:val="22"/>
        </w:rPr>
      </w:pPr>
      <w:r w:rsidRPr="000920F8">
        <w:rPr>
          <w:rFonts w:ascii="Arial" w:hAnsi="Arial" w:cs="Arial"/>
          <w:sz w:val="22"/>
        </w:rPr>
        <w:t xml:space="preserve">Another limitation can be seen in the case of Rubin v </w:t>
      </w:r>
      <w:proofErr w:type="spellStart"/>
      <w:r w:rsidRPr="000920F8">
        <w:rPr>
          <w:rFonts w:ascii="Arial" w:hAnsi="Arial" w:cs="Arial"/>
          <w:sz w:val="22"/>
        </w:rPr>
        <w:t>Eurofinance</w:t>
      </w:r>
      <w:proofErr w:type="spellEnd"/>
      <w:r w:rsidRPr="000920F8">
        <w:rPr>
          <w:rFonts w:ascii="Arial" w:hAnsi="Arial" w:cs="Arial"/>
          <w:sz w:val="22"/>
        </w:rPr>
        <w:t xml:space="preserve"> SA</w:t>
      </w:r>
      <w:r w:rsidR="00925C10">
        <w:rPr>
          <w:rStyle w:val="FootnoteReference"/>
          <w:rFonts w:ascii="Arial" w:hAnsi="Arial" w:cs="Arial"/>
          <w:sz w:val="22"/>
        </w:rPr>
        <w:footnoteReference w:id="7"/>
      </w:r>
      <w:r w:rsidRPr="000920F8">
        <w:rPr>
          <w:rFonts w:ascii="Arial" w:hAnsi="Arial" w:cs="Arial"/>
          <w:sz w:val="22"/>
        </w:rPr>
        <w:t xml:space="preserve"> whereby the English court had to rule on whether to recognize and enforce a US judgement based on insolvency avoidance powers obtained in default of appearance in the UK. In approaching the issue as one of pure policy, the court refused to grant recognition related to in </w:t>
      </w:r>
      <w:proofErr w:type="spellStart"/>
      <w:r w:rsidRPr="000920F8">
        <w:rPr>
          <w:rFonts w:ascii="Arial" w:hAnsi="Arial" w:cs="Arial"/>
          <w:sz w:val="22"/>
        </w:rPr>
        <w:t>personam</w:t>
      </w:r>
      <w:proofErr w:type="spellEnd"/>
      <w:r w:rsidRPr="000920F8">
        <w:rPr>
          <w:rFonts w:ascii="Arial" w:hAnsi="Arial" w:cs="Arial"/>
          <w:sz w:val="22"/>
        </w:rPr>
        <w:t xml:space="preserve"> default judgment. There are limits to recognition in cases of </w:t>
      </w:r>
      <w:r w:rsidRPr="00925C10">
        <w:rPr>
          <w:rFonts w:ascii="Arial" w:hAnsi="Arial" w:cs="Arial"/>
          <w:sz w:val="22"/>
        </w:rPr>
        <w:t>default judgment as this is not covered by the Model law.</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5DE550BF" w14:textId="48B33E4E" w:rsidR="000920F8" w:rsidRPr="000920F8" w:rsidRDefault="000920F8" w:rsidP="000920F8">
      <w:pPr>
        <w:jc w:val="both"/>
        <w:rPr>
          <w:rFonts w:ascii="Arial" w:hAnsi="Arial" w:cs="Arial"/>
          <w:sz w:val="22"/>
        </w:rPr>
      </w:pPr>
      <w:r w:rsidRPr="000920F8">
        <w:rPr>
          <w:rFonts w:ascii="Arial" w:hAnsi="Arial" w:cs="Arial"/>
          <w:sz w:val="22"/>
        </w:rPr>
        <w:t>Article 19 provides pre-recognition relief that may be given at the discretion</w:t>
      </w:r>
      <w:r w:rsidR="00925C10">
        <w:rPr>
          <w:rFonts w:ascii="Arial" w:hAnsi="Arial" w:cs="Arial"/>
          <w:sz w:val="22"/>
        </w:rPr>
        <w:t xml:space="preserve"> of the court.</w:t>
      </w:r>
      <w:r w:rsidRPr="000920F8">
        <w:rPr>
          <w:rFonts w:ascii="Arial" w:hAnsi="Arial" w:cs="Arial"/>
          <w:sz w:val="22"/>
        </w:rPr>
        <w:t xml:space="preserve"> The court in the enacting state must be satisfied that the interests of the creditors and other parties are adequately protected.</w:t>
      </w:r>
      <w:r w:rsidRPr="000920F8">
        <w:rPr>
          <w:rStyle w:val="FootnoteReference"/>
          <w:rFonts w:ascii="Arial" w:hAnsi="Arial" w:cs="Arial"/>
          <w:sz w:val="22"/>
        </w:rPr>
        <w:footnoteReference w:id="8"/>
      </w:r>
      <w:r w:rsidRPr="000920F8">
        <w:rPr>
          <w:rFonts w:ascii="Arial" w:hAnsi="Arial" w:cs="Arial"/>
          <w:sz w:val="22"/>
        </w:rPr>
        <w:t xml:space="preserve"> Court given power to subject relief to condition it considers appropriate and further modify/terminate the relief at the request of the foreign rep or an affected person.</w:t>
      </w:r>
    </w:p>
    <w:p w14:paraId="4157966A" w14:textId="3F2811C1" w:rsidR="000920F8" w:rsidRPr="00072658" w:rsidRDefault="000920F8" w:rsidP="00431DCD">
      <w:pPr>
        <w:pStyle w:val="ListParagraph"/>
        <w:numPr>
          <w:ilvl w:val="0"/>
          <w:numId w:val="16"/>
        </w:numPr>
        <w:spacing w:after="160" w:line="259" w:lineRule="auto"/>
        <w:jc w:val="both"/>
        <w:rPr>
          <w:rFonts w:ascii="Arial" w:hAnsi="Arial" w:cs="Arial"/>
          <w:sz w:val="22"/>
        </w:rPr>
      </w:pPr>
      <w:r w:rsidRPr="000920F8">
        <w:rPr>
          <w:rFonts w:ascii="Arial" w:hAnsi="Arial" w:cs="Arial"/>
          <w:b/>
          <w:sz w:val="22"/>
        </w:rPr>
        <w:t>Restrictions</w:t>
      </w:r>
      <w:r w:rsidRPr="000920F8">
        <w:rPr>
          <w:rFonts w:ascii="Arial" w:hAnsi="Arial" w:cs="Arial"/>
          <w:sz w:val="22"/>
        </w:rPr>
        <w:t xml:space="preserve"> – This relief is only available in collective proceedings which may be urgently </w:t>
      </w:r>
      <w:r w:rsidRPr="00072658">
        <w:rPr>
          <w:rFonts w:ascii="Arial" w:hAnsi="Arial" w:cs="Arial"/>
          <w:sz w:val="22"/>
        </w:rPr>
        <w:t>needed for the protection of a debtor’s assets or the interests of creditor. Hence this pre-recognition relief is restricted to urgent and prov</w:t>
      </w:r>
      <w:r w:rsidR="00925C10" w:rsidRPr="00072658">
        <w:rPr>
          <w:rFonts w:ascii="Arial" w:hAnsi="Arial" w:cs="Arial"/>
          <w:sz w:val="22"/>
        </w:rPr>
        <w:t>isional measures. Also, there m</w:t>
      </w:r>
      <w:r w:rsidRPr="00072658">
        <w:rPr>
          <w:rFonts w:ascii="Arial" w:hAnsi="Arial" w:cs="Arial"/>
          <w:sz w:val="22"/>
        </w:rPr>
        <w:t>u</w:t>
      </w:r>
      <w:r w:rsidR="00925C10" w:rsidRPr="00072658">
        <w:rPr>
          <w:rFonts w:ascii="Arial" w:hAnsi="Arial" w:cs="Arial"/>
          <w:sz w:val="22"/>
        </w:rPr>
        <w:t>s</w:t>
      </w:r>
      <w:r w:rsidRPr="00072658">
        <w:rPr>
          <w:rFonts w:ascii="Arial" w:hAnsi="Arial" w:cs="Arial"/>
          <w:sz w:val="22"/>
        </w:rPr>
        <w:t>t be a recognition application pending for this type of relief to be granted. If there’s no pending recognition application, the court doesn’t have authority to consider such a request.</w:t>
      </w:r>
      <w:r w:rsidR="00925C10" w:rsidRPr="00072658">
        <w:rPr>
          <w:rStyle w:val="FootnoteReference"/>
          <w:rFonts w:ascii="Arial" w:hAnsi="Arial" w:cs="Arial"/>
          <w:sz w:val="22"/>
        </w:rPr>
        <w:footnoteReference w:id="9"/>
      </w:r>
      <w:r w:rsidRPr="00072658">
        <w:rPr>
          <w:rFonts w:ascii="Arial" w:hAnsi="Arial" w:cs="Arial"/>
          <w:sz w:val="22"/>
        </w:rPr>
        <w:t xml:space="preserve"> </w:t>
      </w:r>
      <w:r w:rsidR="00072658">
        <w:rPr>
          <w:rFonts w:ascii="Arial" w:hAnsi="Arial" w:cs="Arial"/>
          <w:sz w:val="22"/>
        </w:rPr>
        <w:t>Also, if the court is of the opinion that granting such relief would interfere with the administration of a foreign main proceeding, then it refuse to grant such relief as per Article 19(4).</w:t>
      </w:r>
      <w:r w:rsidR="00072658">
        <w:rPr>
          <w:rStyle w:val="FootnoteReference"/>
          <w:rFonts w:ascii="Arial" w:hAnsi="Arial" w:cs="Arial"/>
          <w:sz w:val="22"/>
        </w:rPr>
        <w:footnoteReference w:id="10"/>
      </w:r>
    </w:p>
    <w:p w14:paraId="583230FB" w14:textId="77777777" w:rsidR="000920F8" w:rsidRPr="00072658" w:rsidRDefault="000920F8" w:rsidP="00431DCD">
      <w:pPr>
        <w:pStyle w:val="ListParagraph"/>
        <w:numPr>
          <w:ilvl w:val="0"/>
          <w:numId w:val="16"/>
        </w:numPr>
        <w:spacing w:after="160" w:line="259" w:lineRule="auto"/>
        <w:jc w:val="both"/>
        <w:rPr>
          <w:rFonts w:ascii="Arial" w:hAnsi="Arial" w:cs="Arial"/>
          <w:sz w:val="22"/>
        </w:rPr>
      </w:pPr>
      <w:r w:rsidRPr="00072658">
        <w:rPr>
          <w:rFonts w:ascii="Arial" w:hAnsi="Arial" w:cs="Arial"/>
          <w:b/>
          <w:sz w:val="22"/>
        </w:rPr>
        <w:t>Limitations</w:t>
      </w:r>
      <w:r w:rsidRPr="00072658">
        <w:rPr>
          <w:rFonts w:ascii="Arial" w:hAnsi="Arial" w:cs="Arial"/>
          <w:sz w:val="22"/>
        </w:rPr>
        <w:t xml:space="preserve"> – relief under article 19 terminates when the recognition application is decided upon; however, the court has the opportunity to extend such measure under article 21 to prevent confusion between the reliefs given before and after recognition.</w:t>
      </w:r>
    </w:p>
    <w:p w14:paraId="188DEA2C" w14:textId="75A36F28" w:rsidR="000920F8" w:rsidRPr="000920F8" w:rsidRDefault="000920F8" w:rsidP="00431DCD">
      <w:pPr>
        <w:pStyle w:val="ListParagraph"/>
        <w:numPr>
          <w:ilvl w:val="0"/>
          <w:numId w:val="16"/>
        </w:numPr>
        <w:spacing w:after="160" w:line="259" w:lineRule="auto"/>
        <w:jc w:val="both"/>
        <w:rPr>
          <w:rFonts w:ascii="Arial" w:hAnsi="Arial" w:cs="Arial"/>
          <w:color w:val="FF0000"/>
          <w:sz w:val="22"/>
        </w:rPr>
      </w:pPr>
      <w:r w:rsidRPr="00072658">
        <w:rPr>
          <w:rFonts w:ascii="Arial" w:hAnsi="Arial" w:cs="Arial"/>
          <w:b/>
          <w:sz w:val="22"/>
        </w:rPr>
        <w:t>Conditions</w:t>
      </w:r>
      <w:r w:rsidR="00D53BE6">
        <w:rPr>
          <w:rFonts w:ascii="Arial" w:hAnsi="Arial" w:cs="Arial"/>
          <w:sz w:val="22"/>
        </w:rPr>
        <w:t xml:space="preserve"> – </w:t>
      </w:r>
      <w:r w:rsidR="00222700" w:rsidRPr="00072658">
        <w:rPr>
          <w:rFonts w:ascii="Arial" w:hAnsi="Arial" w:cs="Arial"/>
          <w:sz w:val="22"/>
        </w:rPr>
        <w:t xml:space="preserve">the court is able to create </w:t>
      </w:r>
      <w:r w:rsidRPr="00072658">
        <w:rPr>
          <w:rFonts w:ascii="Arial" w:hAnsi="Arial" w:cs="Arial"/>
          <w:sz w:val="22"/>
        </w:rPr>
        <w:t>conditions it considers appropriate</w:t>
      </w:r>
      <w:r w:rsidR="00222700" w:rsidRPr="00072658">
        <w:rPr>
          <w:rFonts w:ascii="Arial" w:hAnsi="Arial" w:cs="Arial"/>
          <w:sz w:val="22"/>
        </w:rPr>
        <w:t xml:space="preserve"> before making a decision on a recognition application</w:t>
      </w:r>
      <w:r w:rsidR="00072658" w:rsidRPr="00072658">
        <w:rPr>
          <w:rFonts w:ascii="Arial" w:hAnsi="Arial" w:cs="Arial"/>
          <w:sz w:val="22"/>
        </w:rPr>
        <w:t>. A</w:t>
      </w:r>
      <w:r w:rsidRPr="00072658">
        <w:rPr>
          <w:rFonts w:ascii="Arial" w:hAnsi="Arial" w:cs="Arial"/>
          <w:sz w:val="22"/>
        </w:rPr>
        <w:t xml:space="preserve">ny provisions in force in the enacting state A </w:t>
      </w:r>
      <w:r w:rsidR="00072658" w:rsidRPr="00072658">
        <w:rPr>
          <w:rFonts w:ascii="Arial" w:hAnsi="Arial" w:cs="Arial"/>
          <w:sz w:val="22"/>
        </w:rPr>
        <w:t>which stipulate the</w:t>
      </w:r>
      <w:r w:rsidRPr="00072658">
        <w:rPr>
          <w:rFonts w:ascii="Arial" w:hAnsi="Arial" w:cs="Arial"/>
          <w:sz w:val="22"/>
        </w:rPr>
        <w:t xml:space="preserve"> type of notice to be given by either the foreign representative or the foreign court shall be used. Protection of all interested persons is connected to provisions in national laws of notification requirements (like general publicity requirements). These provisions are designed to notify interested parties that foreign proceeding has been recognized </w:t>
      </w:r>
      <w:r w:rsidRPr="000920F8">
        <w:rPr>
          <w:rFonts w:ascii="Arial" w:hAnsi="Arial" w:cs="Arial"/>
          <w:sz w:val="22"/>
        </w:rPr>
        <w:t>and notifications that court, under its own procedural rules, has to issue to persons directly affected by recognition or relief granted.</w:t>
      </w:r>
      <w:r w:rsidRPr="000920F8">
        <w:rPr>
          <w:rStyle w:val="FootnoteReference"/>
          <w:rFonts w:ascii="Arial" w:hAnsi="Arial" w:cs="Arial"/>
          <w:sz w:val="22"/>
        </w:rPr>
        <w:footnoteReference w:id="11"/>
      </w:r>
      <w:r w:rsidRPr="00EE45E9">
        <w:rPr>
          <w:rFonts w:ascii="Arial" w:hAnsi="Arial" w:cs="Arial"/>
          <w:sz w:val="22"/>
        </w:rPr>
        <w:t>Also, in order to foster such coordination of pre-recognition relief with any foreign main proceeding,</w:t>
      </w:r>
      <w:r w:rsidR="00EE45E9" w:rsidRPr="00EE45E9">
        <w:rPr>
          <w:rFonts w:ascii="Arial" w:hAnsi="Arial" w:cs="Arial"/>
          <w:sz w:val="22"/>
        </w:rPr>
        <w:t xml:space="preserve"> there is a requirement for the</w:t>
      </w:r>
      <w:r w:rsidRPr="00EE45E9">
        <w:rPr>
          <w:rFonts w:ascii="Arial" w:hAnsi="Arial" w:cs="Arial"/>
          <w:sz w:val="22"/>
        </w:rPr>
        <w:t xml:space="preserve"> the foreign representative applying for recognition, </w:t>
      </w:r>
      <w:r w:rsidR="00EE45E9" w:rsidRPr="00EE45E9">
        <w:rPr>
          <w:rFonts w:ascii="Arial" w:hAnsi="Arial" w:cs="Arial"/>
          <w:sz w:val="22"/>
        </w:rPr>
        <w:t>under</w:t>
      </w:r>
      <w:r w:rsidRPr="00EE45E9">
        <w:rPr>
          <w:rFonts w:ascii="Arial" w:hAnsi="Arial" w:cs="Arial"/>
          <w:sz w:val="22"/>
        </w:rPr>
        <w:t xml:space="preserve"> article 15</w:t>
      </w:r>
      <w:r w:rsidR="00925C10" w:rsidRPr="00EE45E9">
        <w:rPr>
          <w:rFonts w:ascii="Arial" w:hAnsi="Arial" w:cs="Arial"/>
          <w:sz w:val="22"/>
        </w:rPr>
        <w:t>(3)</w:t>
      </w:r>
      <w:r w:rsidRPr="00EE45E9">
        <w:rPr>
          <w:rFonts w:ascii="Arial" w:hAnsi="Arial" w:cs="Arial"/>
          <w:sz w:val="22"/>
        </w:rPr>
        <w:t xml:space="preserve"> to attach to the application for recognition a statement </w:t>
      </w:r>
      <w:r w:rsidRPr="00EE45E9">
        <w:rPr>
          <w:rFonts w:ascii="Arial" w:hAnsi="Arial" w:cs="Arial"/>
          <w:sz w:val="22"/>
        </w:rPr>
        <w:lastRenderedPageBreak/>
        <w:t>identifying all foreign proceedings with respect to the debtor that are known to the foreign representative at that time.</w:t>
      </w:r>
      <w:r w:rsidR="00EE45E9" w:rsidRPr="00EE45E9">
        <w:rPr>
          <w:rStyle w:val="FootnoteReference"/>
          <w:rFonts w:ascii="Arial" w:hAnsi="Arial" w:cs="Arial"/>
          <w:sz w:val="22"/>
        </w:rPr>
        <w:footnoteReference w:id="12"/>
      </w:r>
    </w:p>
    <w:p w14:paraId="175D5D6C" w14:textId="263DFA0D" w:rsidR="000920F8" w:rsidRPr="000920F8" w:rsidRDefault="000920F8" w:rsidP="000920F8">
      <w:pPr>
        <w:jc w:val="both"/>
        <w:rPr>
          <w:rFonts w:ascii="Arial" w:hAnsi="Arial" w:cs="Arial"/>
          <w:sz w:val="22"/>
        </w:rPr>
      </w:pPr>
      <w:r w:rsidRPr="00072658">
        <w:rPr>
          <w:rFonts w:ascii="Arial" w:hAnsi="Arial" w:cs="Arial"/>
          <w:sz w:val="22"/>
        </w:rPr>
        <w:t xml:space="preserve">Article 21 provides post recognition relief which is discretionary relief that </w:t>
      </w:r>
      <w:r w:rsidR="00072658" w:rsidRPr="00072658">
        <w:rPr>
          <w:rFonts w:ascii="Arial" w:hAnsi="Arial" w:cs="Arial"/>
          <w:sz w:val="22"/>
        </w:rPr>
        <w:t>the court may grant upon recogniti</w:t>
      </w:r>
      <w:r w:rsidR="00072658">
        <w:rPr>
          <w:rFonts w:ascii="Arial" w:hAnsi="Arial" w:cs="Arial"/>
          <w:sz w:val="22"/>
        </w:rPr>
        <w:t>on,</w:t>
      </w:r>
      <w:r w:rsidRPr="00072658">
        <w:rPr>
          <w:rFonts w:ascii="Arial" w:hAnsi="Arial" w:cs="Arial"/>
          <w:sz w:val="22"/>
        </w:rPr>
        <w:t xml:space="preserve"> </w:t>
      </w:r>
      <w:r w:rsidR="00072658" w:rsidRPr="00072658">
        <w:rPr>
          <w:rFonts w:ascii="Arial" w:hAnsi="Arial" w:cs="Arial"/>
          <w:sz w:val="22"/>
        </w:rPr>
        <w:t>in accordance</w:t>
      </w:r>
      <w:r w:rsidR="00072658">
        <w:rPr>
          <w:rFonts w:ascii="Arial" w:hAnsi="Arial" w:cs="Arial"/>
          <w:sz w:val="22"/>
        </w:rPr>
        <w:t xml:space="preserve"> with</w:t>
      </w:r>
      <w:r w:rsidRPr="00072658">
        <w:rPr>
          <w:rFonts w:ascii="Arial" w:hAnsi="Arial" w:cs="Arial"/>
          <w:sz w:val="22"/>
        </w:rPr>
        <w:t xml:space="preserve"> Article 21(1) for the protection of local interests, assets and proceedings as well. Relief may be given to any conditions the court finds appropriate under the enacting state. </w:t>
      </w:r>
      <w:r w:rsidR="00EE45E9">
        <w:rPr>
          <w:rFonts w:ascii="Arial" w:hAnsi="Arial" w:cs="Arial"/>
          <w:sz w:val="22"/>
        </w:rPr>
        <w:t>Several safeguards are designed to ensure the protection of local interest creditors before assets are turned over to the foreign representative such as</w:t>
      </w:r>
      <w:r w:rsidRPr="000920F8">
        <w:rPr>
          <w:rFonts w:ascii="Arial" w:hAnsi="Arial" w:cs="Arial"/>
          <w:sz w:val="22"/>
        </w:rPr>
        <w:t>: the general statement of</w:t>
      </w:r>
      <w:r w:rsidRPr="000920F8">
        <w:rPr>
          <w:rFonts w:ascii="Arial" w:hAnsi="Arial" w:cs="Arial"/>
          <w:color w:val="FF0000"/>
          <w:sz w:val="22"/>
        </w:rPr>
        <w:t xml:space="preserve"> </w:t>
      </w:r>
      <w:r w:rsidRPr="000920F8">
        <w:rPr>
          <w:rFonts w:ascii="Arial" w:hAnsi="Arial" w:cs="Arial"/>
          <w:sz w:val="22"/>
        </w:rPr>
        <w:t>the principle of protection of local interests in article 22, paragraph 1; the provision in article 21, paragraph 2, that the court should not authorize the turnover of assets until it is assured that the local creditors’ interests are protected. Under article 22, paragraph 2, the court may subject the relief that it grants to conditions it considers appropriate.</w:t>
      </w:r>
      <w:r w:rsidR="00EE45E9">
        <w:rPr>
          <w:rStyle w:val="FootnoteReference"/>
          <w:rFonts w:ascii="Arial" w:hAnsi="Arial" w:cs="Arial"/>
          <w:sz w:val="22"/>
        </w:rPr>
        <w:footnoteReference w:id="13"/>
      </w:r>
    </w:p>
    <w:p w14:paraId="685E1593" w14:textId="77777777" w:rsidR="000920F8" w:rsidRDefault="000920F8" w:rsidP="000920F8">
      <w:pPr>
        <w:autoSpaceDE w:val="0"/>
        <w:autoSpaceDN w:val="0"/>
        <w:adjustRightInd w:val="0"/>
        <w:jc w:val="both"/>
        <w:rPr>
          <w:rFonts w:ascii="Arial" w:hAnsi="Arial" w:cs="Arial"/>
          <w:sz w:val="22"/>
        </w:rPr>
      </w:pPr>
    </w:p>
    <w:p w14:paraId="4A0E319B" w14:textId="0DFC81D7" w:rsidR="00867A8F" w:rsidRPr="000920F8" w:rsidRDefault="000920F8" w:rsidP="000920F8">
      <w:pPr>
        <w:autoSpaceDE w:val="0"/>
        <w:autoSpaceDN w:val="0"/>
        <w:adjustRightInd w:val="0"/>
        <w:jc w:val="both"/>
        <w:rPr>
          <w:rFonts w:cstheme="minorHAnsi"/>
        </w:rPr>
      </w:pPr>
      <w:r w:rsidRPr="000920F8">
        <w:rPr>
          <w:rFonts w:ascii="Arial" w:hAnsi="Arial" w:cs="Arial"/>
          <w:sz w:val="22"/>
        </w:rPr>
        <w:t>Another factor taken into account is whether the foreign recognition is of foreign mai</w:t>
      </w:r>
      <w:r w:rsidR="00222700">
        <w:rPr>
          <w:rFonts w:ascii="Arial" w:hAnsi="Arial" w:cs="Arial"/>
          <w:sz w:val="22"/>
        </w:rPr>
        <w:t xml:space="preserve">n or </w:t>
      </w:r>
      <w:r w:rsidRPr="000920F8">
        <w:rPr>
          <w:rFonts w:ascii="Arial" w:hAnsi="Arial" w:cs="Arial"/>
          <w:sz w:val="22"/>
        </w:rPr>
        <w:t xml:space="preserve">non-main proceedings because non-main interest is typically narrower than a main seeking control of assets. </w:t>
      </w:r>
      <w:r w:rsidRPr="000920F8">
        <w:rPr>
          <w:rFonts w:ascii="Arial" w:hAnsi="Arial" w:cs="Arial"/>
          <w:sz w:val="22"/>
          <w:szCs w:val="22"/>
        </w:rPr>
        <w:t>Relief given to non-main is limited to assets in the relief granted to a foreign non-main proceeding should be limited to assets that are to be administered in that non-main proceeding.  Any information sought concerning debtor’s assets or affairs the relief must concern information required in that non-main proceeding. Such relief should not give too much power to the representative of non-main to interfere with the administration of main proceedings.</w:t>
      </w:r>
      <w:r w:rsidRPr="004769B7">
        <w:rPr>
          <w:rFonts w:cstheme="minorHAnsi"/>
        </w:rPr>
        <w:t xml:space="preserve"> </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6841A1DE" w14:textId="73DD37A5" w:rsidR="00D5244F" w:rsidRDefault="00BA1FA3" w:rsidP="00056B52">
      <w:pPr>
        <w:spacing w:after="160" w:line="259" w:lineRule="auto"/>
        <w:jc w:val="both"/>
        <w:rPr>
          <w:rFonts w:ascii="Avenir Next" w:hAnsi="Avenir Next" w:cs="Arial"/>
          <w:b/>
          <w:sz w:val="22"/>
          <w:szCs w:val="22"/>
          <w:lang w:val="en-GB"/>
        </w:rPr>
      </w:pPr>
      <w:r w:rsidRPr="00BA1FA3">
        <w:rPr>
          <w:rFonts w:ascii="Arial" w:hAnsi="Arial" w:cs="Arial"/>
          <w:sz w:val="22"/>
          <w:szCs w:val="22"/>
          <w:lang w:val="en-GB"/>
        </w:rPr>
        <w:t xml:space="preserve">The reason why a worldwide freezing order granted as a pre-recognition interim relief ex article 19 is unlikely to continue post-recognition ex article 12 was discussed in the case of </w:t>
      </w:r>
      <w:r w:rsidRPr="00BA1FA3">
        <w:rPr>
          <w:rFonts w:ascii="Arial" w:hAnsi="Arial" w:cs="Arial"/>
          <w:i/>
          <w:sz w:val="22"/>
          <w:szCs w:val="22"/>
        </w:rPr>
        <w:t xml:space="preserve">Igor </w:t>
      </w:r>
      <w:proofErr w:type="spellStart"/>
      <w:r w:rsidRPr="00BA1FA3">
        <w:rPr>
          <w:rFonts w:ascii="Arial" w:hAnsi="Arial" w:cs="Arial"/>
          <w:i/>
          <w:sz w:val="22"/>
          <w:szCs w:val="22"/>
        </w:rPr>
        <w:t>Vitalievich</w:t>
      </w:r>
      <w:proofErr w:type="spellEnd"/>
      <w:r w:rsidRPr="00BA1FA3">
        <w:rPr>
          <w:rFonts w:ascii="Arial" w:hAnsi="Arial" w:cs="Arial"/>
          <w:i/>
          <w:sz w:val="22"/>
          <w:szCs w:val="22"/>
        </w:rPr>
        <w:t xml:space="preserve"> </w:t>
      </w:r>
      <w:proofErr w:type="spellStart"/>
      <w:r w:rsidRPr="00BA1FA3">
        <w:rPr>
          <w:rFonts w:ascii="Arial" w:hAnsi="Arial" w:cs="Arial"/>
          <w:i/>
          <w:sz w:val="22"/>
          <w:szCs w:val="22"/>
        </w:rPr>
        <w:t>Protasov</w:t>
      </w:r>
      <w:proofErr w:type="spellEnd"/>
      <w:r w:rsidRPr="00BA1FA3">
        <w:rPr>
          <w:rFonts w:ascii="Arial" w:hAnsi="Arial" w:cs="Arial"/>
          <w:i/>
          <w:sz w:val="22"/>
          <w:szCs w:val="22"/>
        </w:rPr>
        <w:t xml:space="preserve"> and </w:t>
      </w:r>
      <w:proofErr w:type="spellStart"/>
      <w:r w:rsidRPr="00BA1FA3">
        <w:rPr>
          <w:rFonts w:ascii="Arial" w:hAnsi="Arial" w:cs="Arial"/>
          <w:i/>
          <w:sz w:val="22"/>
          <w:szCs w:val="22"/>
        </w:rPr>
        <w:t>Khadzgu</w:t>
      </w:r>
      <w:proofErr w:type="spellEnd"/>
      <w:r w:rsidRPr="00BA1FA3">
        <w:rPr>
          <w:rFonts w:ascii="Arial" w:hAnsi="Arial" w:cs="Arial"/>
          <w:i/>
          <w:sz w:val="22"/>
          <w:szCs w:val="22"/>
        </w:rPr>
        <w:t xml:space="preserve">-Murat </w:t>
      </w:r>
      <w:proofErr w:type="spellStart"/>
      <w:r w:rsidRPr="00BA1FA3">
        <w:rPr>
          <w:rFonts w:ascii="Arial" w:hAnsi="Arial" w:cs="Arial"/>
          <w:i/>
          <w:sz w:val="22"/>
          <w:szCs w:val="22"/>
        </w:rPr>
        <w:t>Derev</w:t>
      </w:r>
      <w:proofErr w:type="spellEnd"/>
      <w:r w:rsidRPr="00BA1FA3">
        <w:rPr>
          <w:rFonts w:ascii="Arial" w:hAnsi="Arial" w:cs="Arial"/>
          <w:sz w:val="22"/>
          <w:szCs w:val="22"/>
        </w:rPr>
        <w:t>.</w:t>
      </w:r>
      <w:r>
        <w:rPr>
          <w:rStyle w:val="FootnoteReference"/>
          <w:rFonts w:ascii="Arial" w:hAnsi="Arial" w:cs="Arial"/>
          <w:sz w:val="22"/>
          <w:szCs w:val="22"/>
        </w:rPr>
        <w:footnoteReference w:id="14"/>
      </w:r>
      <w:r w:rsidRPr="00BA1FA3">
        <w:rPr>
          <w:rFonts w:ascii="Arial" w:hAnsi="Arial" w:cs="Arial"/>
          <w:sz w:val="22"/>
          <w:szCs w:val="22"/>
        </w:rPr>
        <w:t xml:space="preserve"> It was decided here, that the English bankruptcy regime offers other forms of protection which meant that relief in the form of freezing order wasn’t warranted. In other words, the court won’t continue to grant post recognition relief in instances where it’s most likely not going to be needed anymore, as there may be another regime in place offering such protection or even greater protection that the initial relief granted.</w:t>
      </w: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w:t>
      </w:r>
      <w:r w:rsidRPr="00925C10">
        <w:rPr>
          <w:rFonts w:ascii="Avenir Next" w:hAnsi="Avenir Next" w:cs="Arial"/>
          <w:color w:val="000000"/>
          <w:sz w:val="22"/>
          <w:szCs w:val="22"/>
          <w:lang w:val="en-GB" w:eastAsia="en-GB"/>
        </w:rPr>
        <w:t xml:space="preserve">registered office is situated in Country A, which </w:t>
      </w:r>
      <w:r w:rsidRPr="00925C10">
        <w:rPr>
          <w:rFonts w:ascii="Avenir Next Demi Bold" w:hAnsi="Avenir Next Demi Bold" w:cs="Arial"/>
          <w:b/>
          <w:bCs/>
          <w:color w:val="000000"/>
          <w:sz w:val="22"/>
          <w:szCs w:val="22"/>
          <w:u w:val="single"/>
          <w:lang w:val="en-GB" w:eastAsia="en-GB"/>
        </w:rPr>
        <w:t>has not</w:t>
      </w:r>
      <w:r w:rsidRPr="00925C10">
        <w:rPr>
          <w:rFonts w:ascii="Avenir Next" w:hAnsi="Avenir Next" w:cs="Arial"/>
          <w:color w:val="000000"/>
          <w:sz w:val="22"/>
          <w:szCs w:val="22"/>
          <w:lang w:val="en-GB" w:eastAsia="en-GB"/>
        </w:rPr>
        <w:t xml:space="preserve"> adopted the MLCBI.</w:t>
      </w:r>
      <w:bookmarkStart w:id="6" w:name="para21"/>
      <w:bookmarkEnd w:id="5"/>
      <w:r w:rsidR="00D97A93" w:rsidRPr="00925C10">
        <w:rPr>
          <w:rFonts w:ascii="Avenir Next" w:hAnsi="Avenir Next" w:cs="Arial"/>
          <w:color w:val="000000"/>
          <w:sz w:val="22"/>
          <w:szCs w:val="22"/>
          <w:lang w:val="en-GB" w:eastAsia="en-GB"/>
        </w:rPr>
        <w:t xml:space="preserve"> </w:t>
      </w:r>
      <w:r w:rsidRPr="00925C10">
        <w:rPr>
          <w:rFonts w:ascii="Avenir Next" w:hAnsi="Avenir Next" w:cs="Arial"/>
          <w:color w:val="000000"/>
          <w:sz w:val="22"/>
          <w:szCs w:val="22"/>
          <w:lang w:val="en-GB" w:eastAsia="en-GB"/>
        </w:rPr>
        <w:t>As of 13 August 2015, the Bank</w:t>
      </w:r>
      <w:r w:rsidR="008512FA" w:rsidRPr="00925C10">
        <w:rPr>
          <w:rFonts w:ascii="Avenir Next" w:hAnsi="Avenir Next" w:cs="Arial"/>
          <w:color w:val="000000"/>
          <w:sz w:val="22"/>
          <w:szCs w:val="22"/>
          <w:lang w:val="en-GB" w:eastAsia="en-GB"/>
        </w:rPr>
        <w:t>’</w:t>
      </w:r>
      <w:r w:rsidRPr="00925C10">
        <w:rPr>
          <w:rFonts w:ascii="Avenir Next" w:hAnsi="Avenir Next" w:cs="Arial"/>
          <w:color w:val="000000"/>
          <w:sz w:val="22"/>
          <w:szCs w:val="22"/>
          <w:lang w:val="en-GB" w:eastAsia="en-GB"/>
        </w:rPr>
        <w:t>s majority ultimate beneficial owner was Mr Z</w:t>
      </w:r>
      <w:r w:rsidR="00EC7F95" w:rsidRPr="00925C10">
        <w:rPr>
          <w:rFonts w:ascii="Avenir Next" w:hAnsi="Avenir Next" w:cs="Arial"/>
          <w:color w:val="000000"/>
          <w:sz w:val="22"/>
          <w:szCs w:val="22"/>
          <w:lang w:val="en-GB" w:eastAsia="en-GB"/>
        </w:rPr>
        <w:t>,</w:t>
      </w:r>
      <w:r w:rsidRPr="00925C10">
        <w:rPr>
          <w:rFonts w:ascii="Avenir Next" w:hAnsi="Avenir Next" w:cs="Arial"/>
          <w:color w:val="000000"/>
          <w:sz w:val="22"/>
          <w:szCs w:val="22"/>
          <w:lang w:val="en-GB" w:eastAsia="en-GB"/>
        </w:rPr>
        <w:t xml:space="preserve"> who held approximately 95% of the Bank</w:t>
      </w:r>
      <w:r w:rsidR="008512FA" w:rsidRPr="00925C10">
        <w:rPr>
          <w:rFonts w:ascii="Avenir Next" w:hAnsi="Avenir Next" w:cs="Arial"/>
          <w:color w:val="000000"/>
          <w:sz w:val="22"/>
          <w:szCs w:val="22"/>
          <w:lang w:val="en-GB" w:eastAsia="en-GB"/>
        </w:rPr>
        <w:t>’</w:t>
      </w:r>
      <w:r w:rsidRPr="00925C10">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925C10"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 xml:space="preserve">The Bank </w:t>
      </w:r>
      <w:r w:rsidRPr="00925C10">
        <w:rPr>
          <w:rFonts w:ascii="Avenir Next" w:hAnsi="Avenir Next" w:cs="Arial"/>
          <w:color w:val="000000"/>
          <w:sz w:val="22"/>
          <w:szCs w:val="22"/>
          <w:lang w:val="en-GB" w:eastAsia="en-GB"/>
        </w:rPr>
        <w:t>entered provisional administration on 17 September 2015 and liquidation on 17 December 2015.</w:t>
      </w:r>
      <w:bookmarkStart w:id="8" w:name="para23"/>
      <w:bookmarkEnd w:id="7"/>
      <w:r w:rsidR="00EC7F95" w:rsidRPr="00925C10">
        <w:rPr>
          <w:rFonts w:ascii="Avenir Next" w:hAnsi="Avenir Next" w:cs="Arial"/>
          <w:color w:val="000000"/>
          <w:sz w:val="22"/>
          <w:szCs w:val="22"/>
          <w:lang w:val="en-GB" w:eastAsia="en-GB"/>
        </w:rPr>
        <w:t xml:space="preserve"> </w:t>
      </w:r>
      <w:r w:rsidRPr="00925C10">
        <w:rPr>
          <w:rFonts w:ascii="Avenir Next" w:hAnsi="Avenir Next" w:cs="Arial"/>
          <w:color w:val="000000"/>
          <w:sz w:val="22"/>
          <w:szCs w:val="22"/>
          <w:lang w:val="en-GB" w:eastAsia="en-GB"/>
        </w:rPr>
        <w:t>Investigations into the Bank have revealed that it appears to have been potentially involved in a multi-</w:t>
      </w:r>
      <w:proofErr w:type="gramStart"/>
      <w:r w:rsidRPr="00925C10">
        <w:rPr>
          <w:rFonts w:ascii="Avenir Next" w:hAnsi="Avenir Next" w:cs="Arial"/>
          <w:color w:val="000000"/>
          <w:sz w:val="22"/>
          <w:szCs w:val="22"/>
          <w:lang w:val="en-GB" w:eastAsia="en-GB"/>
        </w:rPr>
        <w:t>million dollar</w:t>
      </w:r>
      <w:proofErr w:type="gramEnd"/>
      <w:r w:rsidRPr="00925C10">
        <w:rPr>
          <w:rFonts w:ascii="Avenir Next" w:hAnsi="Avenir Next" w:cs="Arial"/>
          <w:color w:val="000000"/>
          <w:sz w:val="22"/>
          <w:szCs w:val="22"/>
          <w:lang w:val="en-GB" w:eastAsia="en-GB"/>
        </w:rPr>
        <w:t xml:space="preserve"> fraud resulting in monies being sent to many overseas companies, including entities incorporated and registered in England.</w:t>
      </w:r>
      <w:bookmarkStart w:id="9" w:name="para24"/>
      <w:bookmarkEnd w:id="8"/>
    </w:p>
    <w:p w14:paraId="4F3772DB" w14:textId="4F53EAC2" w:rsidR="008A7470" w:rsidRPr="00925C10" w:rsidRDefault="008A7470" w:rsidP="007C3FE5">
      <w:pPr>
        <w:jc w:val="both"/>
        <w:rPr>
          <w:rFonts w:ascii="Avenir Next" w:hAnsi="Avenir Next" w:cs="Arial"/>
          <w:color w:val="000000"/>
          <w:sz w:val="22"/>
          <w:szCs w:val="22"/>
          <w:lang w:val="en-GB" w:eastAsia="en-GB"/>
        </w:rPr>
      </w:pPr>
      <w:r w:rsidRPr="00925C10">
        <w:rPr>
          <w:rFonts w:ascii="Avenir Next" w:hAnsi="Avenir Next" w:cs="Arial"/>
          <w:color w:val="000000"/>
          <w:sz w:val="22"/>
          <w:szCs w:val="22"/>
          <w:lang w:val="en-GB" w:eastAsia="en-GB"/>
        </w:rPr>
        <w:t xml:space="preserve">Proceedings were </w:t>
      </w:r>
      <w:r w:rsidR="004137C3" w:rsidRPr="00925C10">
        <w:rPr>
          <w:rFonts w:ascii="Avenir Next" w:hAnsi="Avenir Next" w:cs="Arial"/>
          <w:color w:val="000000"/>
          <w:sz w:val="22"/>
          <w:szCs w:val="22"/>
          <w:lang w:val="en-GB" w:eastAsia="en-GB"/>
        </w:rPr>
        <w:t xml:space="preserve">commenced </w:t>
      </w:r>
      <w:r w:rsidRPr="00925C10">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925C10"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925C10">
        <w:rPr>
          <w:rFonts w:ascii="Avenir Next" w:hAnsi="Avenir Next" w:cs="Arial"/>
          <w:color w:val="000000"/>
          <w:sz w:val="22"/>
          <w:szCs w:val="22"/>
          <w:lang w:val="en-GB" w:eastAsia="en-GB"/>
        </w:rPr>
        <w:t>An affidavit (the Affidavit) sets out a detailed summary of the legislation of Country A</w:t>
      </w:r>
      <w:r w:rsidR="008512FA" w:rsidRPr="00925C10">
        <w:rPr>
          <w:rFonts w:ascii="Avenir Next" w:hAnsi="Avenir Next" w:cs="Arial"/>
          <w:color w:val="000000"/>
          <w:sz w:val="22"/>
          <w:szCs w:val="22"/>
          <w:lang w:val="en-GB" w:eastAsia="en-GB"/>
        </w:rPr>
        <w:t>’</w:t>
      </w:r>
      <w:r w:rsidR="00346B16" w:rsidRPr="00925C10">
        <w:rPr>
          <w:rFonts w:ascii="Avenir Next" w:hAnsi="Avenir Next" w:cs="Arial"/>
          <w:color w:val="000000"/>
          <w:sz w:val="22"/>
          <w:szCs w:val="22"/>
          <w:lang w:val="en-GB" w:eastAsia="en-GB"/>
        </w:rPr>
        <w:t>s</w:t>
      </w:r>
      <w:r w:rsidRPr="00925C10">
        <w:rPr>
          <w:rFonts w:ascii="Avenir Next" w:hAnsi="Avenir Next" w:cs="Arial"/>
          <w:color w:val="000000"/>
          <w:sz w:val="22"/>
          <w:szCs w:val="22"/>
          <w:lang w:val="en-GB" w:eastAsia="en-GB"/>
        </w:rPr>
        <w:t xml:space="preserve"> specific insolvency procedure for Banks. The</w:t>
      </w:r>
      <w:r w:rsidRPr="00E2622D">
        <w:rPr>
          <w:rFonts w:ascii="Avenir Next" w:hAnsi="Avenir Next" w:cs="Arial"/>
          <w:color w:val="000000"/>
          <w:sz w:val="22"/>
          <w:szCs w:val="22"/>
          <w:lang w:val="en-GB" w:eastAsia="en-GB"/>
        </w:rPr>
        <w:t xml:space="preserv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925C10">
        <w:rPr>
          <w:rFonts w:ascii="Avenir Next" w:hAnsi="Avenir Next" w:cs="Arial"/>
          <w:color w:val="000000"/>
          <w:sz w:val="22"/>
          <w:szCs w:val="22"/>
          <w:lang w:val="en-GB" w:eastAsia="en-GB"/>
        </w:rPr>
        <w:t xml:space="preserve">The NB may classify a bank as </w:t>
      </w:r>
      <w:r w:rsidR="008512FA" w:rsidRPr="00925C10">
        <w:rPr>
          <w:rFonts w:ascii="Avenir Next" w:hAnsi="Avenir Next" w:cs="Arial"/>
          <w:color w:val="000000"/>
          <w:sz w:val="22"/>
          <w:szCs w:val="22"/>
          <w:lang w:val="en-GB" w:eastAsia="en-GB"/>
        </w:rPr>
        <w:t>“</w:t>
      </w:r>
      <w:r w:rsidRPr="00925C10">
        <w:rPr>
          <w:rFonts w:ascii="Avenir Next" w:hAnsi="Avenir Next" w:cs="Arial"/>
          <w:color w:val="000000"/>
          <w:sz w:val="22"/>
          <w:szCs w:val="22"/>
          <w:lang w:val="en-GB" w:eastAsia="en-GB"/>
        </w:rPr>
        <w:t>troubled</w:t>
      </w:r>
      <w:r w:rsidR="008512FA" w:rsidRPr="00925C10">
        <w:rPr>
          <w:rFonts w:ascii="Avenir Next" w:hAnsi="Avenir Next" w:cs="Arial"/>
          <w:color w:val="000000"/>
          <w:sz w:val="22"/>
          <w:szCs w:val="22"/>
          <w:lang w:val="en-GB" w:eastAsia="en-GB"/>
        </w:rPr>
        <w:t>”</w:t>
      </w:r>
      <w:r w:rsidRPr="00925C10">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 xml:space="preserve">The NB is obliged to classify a </w:t>
      </w:r>
      <w:r w:rsidRPr="00925C10">
        <w:rPr>
          <w:rFonts w:ascii="Avenir Next" w:hAnsi="Avenir Next" w:cs="Arial"/>
          <w:color w:val="000000"/>
          <w:sz w:val="22"/>
          <w:szCs w:val="22"/>
          <w:lang w:val="en-GB" w:eastAsia="en-GB"/>
        </w:rPr>
        <w:t>bank as insolvent if it meets the criteria set out in article 76 of the LBBA</w:t>
      </w:r>
      <w:r w:rsidR="00860E61" w:rsidRPr="00925C10">
        <w:rPr>
          <w:rFonts w:ascii="Avenir Next" w:hAnsi="Avenir Next" w:cs="Arial"/>
          <w:color w:val="000000"/>
          <w:sz w:val="22"/>
          <w:szCs w:val="22"/>
          <w:lang w:val="en-GB" w:eastAsia="en-GB"/>
        </w:rPr>
        <w:t>,</w:t>
      </w:r>
      <w:r w:rsidRPr="00925C10">
        <w:rPr>
          <w:rFonts w:ascii="Avenir Next" w:hAnsi="Avenir Next" w:cs="Arial"/>
          <w:color w:val="000000"/>
          <w:sz w:val="22"/>
          <w:szCs w:val="22"/>
          <w:lang w:val="en-GB" w:eastAsia="en-GB"/>
        </w:rPr>
        <w:t xml:space="preserve"> which include</w:t>
      </w:r>
      <w:r w:rsidR="00860E61" w:rsidRPr="00925C10">
        <w:rPr>
          <w:rFonts w:ascii="Avenir Next" w:hAnsi="Avenir Next" w:cs="Arial"/>
          <w:color w:val="000000"/>
          <w:sz w:val="22"/>
          <w:szCs w:val="22"/>
          <w:lang w:val="en-GB" w:eastAsia="en-GB"/>
        </w:rPr>
        <w:t>s</w:t>
      </w:r>
      <w:r w:rsidRPr="00925C10">
        <w:rPr>
          <w:rFonts w:ascii="Avenir Next" w:hAnsi="Avenir Next" w:cs="Arial"/>
          <w:color w:val="000000"/>
          <w:sz w:val="22"/>
          <w:szCs w:val="22"/>
          <w:lang w:val="en-GB" w:eastAsia="en-GB"/>
        </w:rPr>
        <w:t>:</w:t>
      </w:r>
      <w:bookmarkEnd w:id="13"/>
    </w:p>
    <w:p w14:paraId="609677EF" w14:textId="08F672A0" w:rsidR="008A7470" w:rsidRPr="00E2622D" w:rsidRDefault="008A7470" w:rsidP="00431DCD">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431DCD">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431DCD">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w:t>
      </w:r>
      <w:r w:rsidRPr="00925C10">
        <w:rPr>
          <w:rFonts w:ascii="Avenir Next" w:hAnsi="Avenir Next" w:cs="Arial"/>
          <w:color w:val="000000"/>
          <w:sz w:val="22"/>
          <w:szCs w:val="22"/>
          <w:lang w:val="en-GB" w:eastAsia="en-GB"/>
        </w:rPr>
        <w:t xml:space="preserve">Article 77 </w:t>
      </w:r>
      <w:r w:rsidR="0050682B" w:rsidRPr="00925C10">
        <w:rPr>
          <w:rFonts w:ascii="Avenir Next" w:hAnsi="Avenir Next" w:cs="Arial"/>
          <w:color w:val="000000"/>
          <w:sz w:val="22"/>
          <w:szCs w:val="22"/>
          <w:lang w:val="en-GB" w:eastAsia="en-GB"/>
        </w:rPr>
        <w:t xml:space="preserve">of the </w:t>
      </w:r>
      <w:r w:rsidRPr="00925C10">
        <w:rPr>
          <w:rFonts w:ascii="Avenir Next" w:hAnsi="Avenir Next" w:cs="Arial"/>
          <w:color w:val="000000"/>
          <w:sz w:val="22"/>
          <w:szCs w:val="22"/>
          <w:lang w:val="en-GB" w:eastAsia="en-GB"/>
        </w:rPr>
        <w:t>LBBA accordingly provides that a bank can be liquidated by the NB directly</w:t>
      </w:r>
      <w:r w:rsidR="00860E61" w:rsidRPr="00925C10">
        <w:rPr>
          <w:rFonts w:ascii="Avenir Next" w:hAnsi="Avenir Next" w:cs="Arial"/>
          <w:color w:val="000000"/>
          <w:sz w:val="22"/>
          <w:szCs w:val="22"/>
          <w:lang w:val="en-GB" w:eastAsia="en-GB"/>
        </w:rPr>
        <w:t>,</w:t>
      </w:r>
      <w:r w:rsidRPr="00925C10">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rsidP="00431DCD">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431DCD">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925C10"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Liquidation follows </w:t>
      </w:r>
      <w:r w:rsidRPr="00925C10">
        <w:rPr>
          <w:rFonts w:ascii="Avenir Next" w:hAnsi="Avenir Next" w:cs="Arial"/>
          <w:color w:val="000000"/>
          <w:sz w:val="22"/>
          <w:szCs w:val="22"/>
          <w:lang w:val="en-GB" w:eastAsia="en-GB"/>
        </w:rPr>
        <w:t>provisional administration. The DGF is obliged to commence liquidation proceedings against a bank on or before the next working day after the NB</w:t>
      </w:r>
      <w:r w:rsidR="008512FA" w:rsidRPr="00925C10">
        <w:rPr>
          <w:rFonts w:ascii="Avenir Next" w:hAnsi="Avenir Next" w:cs="Arial"/>
          <w:color w:val="000000"/>
          <w:sz w:val="22"/>
          <w:szCs w:val="22"/>
          <w:lang w:val="en-GB" w:eastAsia="en-GB"/>
        </w:rPr>
        <w:t>’</w:t>
      </w:r>
      <w:r w:rsidRPr="00925C10">
        <w:rPr>
          <w:rFonts w:ascii="Avenir Next" w:hAnsi="Avenir Next" w:cs="Arial"/>
          <w:color w:val="000000"/>
          <w:sz w:val="22"/>
          <w:szCs w:val="22"/>
          <w:lang w:val="en-GB" w:eastAsia="en-GB"/>
        </w:rPr>
        <w:t>s decision to revoke the bank</w:t>
      </w:r>
      <w:r w:rsidR="008512FA" w:rsidRPr="00925C10">
        <w:rPr>
          <w:rFonts w:ascii="Avenir Next" w:hAnsi="Avenir Next" w:cs="Arial"/>
          <w:color w:val="000000"/>
          <w:sz w:val="22"/>
          <w:szCs w:val="22"/>
          <w:lang w:val="en-GB" w:eastAsia="en-GB"/>
        </w:rPr>
        <w:t>’</w:t>
      </w:r>
      <w:r w:rsidRPr="00925C10">
        <w:rPr>
          <w:rFonts w:ascii="Avenir Next" w:hAnsi="Avenir Next" w:cs="Arial"/>
          <w:color w:val="000000"/>
          <w:sz w:val="22"/>
          <w:szCs w:val="22"/>
          <w:lang w:val="en-GB" w:eastAsia="en-GB"/>
        </w:rPr>
        <w:t>s licence.</w:t>
      </w:r>
      <w:bookmarkStart w:id="18" w:name="para33"/>
      <w:bookmarkEnd w:id="17"/>
    </w:p>
    <w:p w14:paraId="263A140B" w14:textId="77777777" w:rsidR="0040710D" w:rsidRPr="00925C10"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925C10">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925C10">
        <w:rPr>
          <w:rFonts w:ascii="Avenir Next" w:hAnsi="Avenir Next" w:cs="Arial"/>
          <w:color w:val="000000"/>
          <w:sz w:val="22"/>
          <w:szCs w:val="22"/>
          <w:lang w:val="en-GB" w:eastAsia="en-GB"/>
        </w:rPr>
        <w:t>’</w:t>
      </w:r>
      <w:r w:rsidRPr="00925C10">
        <w:rPr>
          <w:rFonts w:ascii="Avenir Next" w:hAnsi="Avenir Next" w:cs="Arial"/>
          <w:color w:val="000000"/>
          <w:sz w:val="22"/>
          <w:szCs w:val="22"/>
          <w:lang w:val="en-GB" w:eastAsia="en-GB"/>
        </w:rPr>
        <w:t>s decision to revoke the bank</w:t>
      </w:r>
      <w:r w:rsidR="008512FA" w:rsidRPr="00925C10">
        <w:rPr>
          <w:rFonts w:ascii="Avenir Next" w:hAnsi="Avenir Next" w:cs="Arial"/>
          <w:color w:val="000000"/>
          <w:sz w:val="22"/>
          <w:szCs w:val="22"/>
          <w:lang w:val="en-GB" w:eastAsia="en-GB"/>
        </w:rPr>
        <w:t>’</w:t>
      </w:r>
      <w:r w:rsidRPr="00925C10">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431DCD">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431DCD">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431DCD">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431DCD">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431DCD">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431DCD">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925C10" w:rsidRDefault="008A7470" w:rsidP="006B4FFC">
      <w:pPr>
        <w:jc w:val="both"/>
        <w:rPr>
          <w:rFonts w:ascii="Avenir Next" w:hAnsi="Avenir Next" w:cs="Arial"/>
          <w:color w:val="000000"/>
          <w:sz w:val="22"/>
          <w:szCs w:val="22"/>
          <w:lang w:val="en-GB" w:eastAsia="en-GB"/>
        </w:rPr>
      </w:pPr>
      <w:bookmarkStart w:id="21" w:name="para36"/>
      <w:r w:rsidRPr="00925C10">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925C10" w:rsidRDefault="006B4FFC" w:rsidP="006B4FFC">
      <w:pPr>
        <w:jc w:val="both"/>
        <w:rPr>
          <w:rFonts w:ascii="Avenir Next" w:hAnsi="Avenir Next" w:cs="Arial"/>
          <w:color w:val="000000"/>
          <w:sz w:val="22"/>
          <w:szCs w:val="22"/>
          <w:lang w:val="en-GB" w:eastAsia="en-GB"/>
        </w:rPr>
      </w:pPr>
    </w:p>
    <w:p w14:paraId="09753855" w14:textId="62E6C3A9" w:rsidR="008A7470" w:rsidRPr="00925C10" w:rsidRDefault="008A7470" w:rsidP="006B4FFC">
      <w:pPr>
        <w:jc w:val="both"/>
        <w:rPr>
          <w:rFonts w:ascii="Avenir Next" w:hAnsi="Avenir Next" w:cs="Arial"/>
          <w:color w:val="000000"/>
          <w:sz w:val="22"/>
          <w:szCs w:val="22"/>
          <w:lang w:val="en-GB" w:eastAsia="en-GB"/>
        </w:rPr>
      </w:pPr>
      <w:r w:rsidRPr="00925C10">
        <w:rPr>
          <w:rFonts w:ascii="Avenir Next" w:hAnsi="Avenir Next" w:cs="Arial"/>
          <w:color w:val="000000"/>
          <w:sz w:val="22"/>
          <w:szCs w:val="22"/>
          <w:lang w:val="en-GB" w:eastAsia="en-GB"/>
        </w:rPr>
        <w:t xml:space="preserve">However, article 48(3) of the DGF Law empowers the DGF to delegate its powers to an </w:t>
      </w:r>
      <w:r w:rsidR="008512FA" w:rsidRPr="00925C10">
        <w:rPr>
          <w:rFonts w:ascii="Avenir Next" w:hAnsi="Avenir Next" w:cs="Arial"/>
          <w:color w:val="000000"/>
          <w:sz w:val="22"/>
          <w:szCs w:val="22"/>
          <w:lang w:val="en-GB" w:eastAsia="en-GB"/>
        </w:rPr>
        <w:t>“</w:t>
      </w:r>
      <w:r w:rsidRPr="00925C10">
        <w:rPr>
          <w:rFonts w:ascii="Avenir Next" w:hAnsi="Avenir Next" w:cs="Arial"/>
          <w:color w:val="000000"/>
          <w:sz w:val="22"/>
          <w:szCs w:val="22"/>
          <w:lang w:val="en-GB" w:eastAsia="en-GB"/>
        </w:rPr>
        <w:t>authorised officer</w:t>
      </w:r>
      <w:r w:rsidR="008512FA" w:rsidRPr="00925C10">
        <w:rPr>
          <w:rFonts w:ascii="Avenir Next" w:hAnsi="Avenir Next" w:cs="Arial"/>
          <w:color w:val="000000"/>
          <w:sz w:val="22"/>
          <w:szCs w:val="22"/>
          <w:lang w:val="en-GB" w:eastAsia="en-GB"/>
        </w:rPr>
        <w:t>”</w:t>
      </w:r>
      <w:r w:rsidRPr="00925C10">
        <w:rPr>
          <w:rFonts w:ascii="Avenir Next" w:hAnsi="Avenir Next" w:cs="Arial"/>
          <w:color w:val="000000"/>
          <w:sz w:val="22"/>
          <w:szCs w:val="22"/>
          <w:lang w:val="en-GB" w:eastAsia="en-GB"/>
        </w:rPr>
        <w:t xml:space="preserve"> or </w:t>
      </w:r>
      <w:r w:rsidR="008512FA" w:rsidRPr="00925C10">
        <w:rPr>
          <w:rFonts w:ascii="Avenir Next" w:hAnsi="Avenir Next" w:cs="Arial"/>
          <w:color w:val="000000"/>
          <w:sz w:val="22"/>
          <w:szCs w:val="22"/>
          <w:lang w:val="en-GB" w:eastAsia="en-GB"/>
        </w:rPr>
        <w:t>“</w:t>
      </w:r>
      <w:r w:rsidRPr="00925C10">
        <w:rPr>
          <w:rFonts w:ascii="Avenir Next" w:hAnsi="Avenir Next" w:cs="Arial"/>
          <w:color w:val="000000"/>
          <w:sz w:val="22"/>
          <w:szCs w:val="22"/>
          <w:lang w:val="en-GB" w:eastAsia="en-GB"/>
        </w:rPr>
        <w:t>authorised person</w:t>
      </w:r>
      <w:r w:rsidR="008512FA" w:rsidRPr="00925C10">
        <w:rPr>
          <w:rFonts w:ascii="Avenir Next" w:hAnsi="Avenir Next" w:cs="Arial"/>
          <w:color w:val="000000"/>
          <w:sz w:val="22"/>
          <w:szCs w:val="22"/>
          <w:lang w:val="en-GB" w:eastAsia="en-GB"/>
        </w:rPr>
        <w:t>”</w:t>
      </w:r>
      <w:r w:rsidRPr="00925C10">
        <w:rPr>
          <w:rFonts w:ascii="Avenir Next" w:hAnsi="Avenir Next" w:cs="Arial"/>
          <w:color w:val="000000"/>
          <w:sz w:val="22"/>
          <w:szCs w:val="22"/>
          <w:lang w:val="en-GB" w:eastAsia="en-GB"/>
        </w:rPr>
        <w:t xml:space="preserve">. The </w:t>
      </w:r>
      <w:r w:rsidR="008512FA" w:rsidRPr="00925C10">
        <w:rPr>
          <w:rFonts w:ascii="Avenir Next" w:hAnsi="Avenir Next" w:cs="Arial"/>
          <w:color w:val="000000"/>
          <w:sz w:val="22"/>
          <w:szCs w:val="22"/>
          <w:lang w:val="en-GB" w:eastAsia="en-GB"/>
        </w:rPr>
        <w:t>“</w:t>
      </w:r>
      <w:r w:rsidRPr="00925C10">
        <w:rPr>
          <w:rFonts w:ascii="Avenir Next" w:hAnsi="Avenir Next" w:cs="Arial"/>
          <w:color w:val="000000"/>
          <w:sz w:val="22"/>
          <w:szCs w:val="22"/>
          <w:lang w:val="en-GB" w:eastAsia="en-GB"/>
        </w:rPr>
        <w:t>Fund</w:t>
      </w:r>
      <w:r w:rsidR="008512FA" w:rsidRPr="00925C10">
        <w:rPr>
          <w:rFonts w:ascii="Avenir Next" w:hAnsi="Avenir Next" w:cs="Arial"/>
          <w:color w:val="000000"/>
          <w:sz w:val="22"/>
          <w:szCs w:val="22"/>
          <w:lang w:val="en-GB" w:eastAsia="en-GB"/>
        </w:rPr>
        <w:t>’</w:t>
      </w:r>
      <w:r w:rsidRPr="00925C10">
        <w:rPr>
          <w:rFonts w:ascii="Avenir Next" w:hAnsi="Avenir Next" w:cs="Arial"/>
          <w:color w:val="000000"/>
          <w:sz w:val="22"/>
          <w:szCs w:val="22"/>
          <w:lang w:val="en-GB" w:eastAsia="en-GB"/>
        </w:rPr>
        <w:t>s authorised person</w:t>
      </w:r>
      <w:r w:rsidR="008512FA" w:rsidRPr="00925C10">
        <w:rPr>
          <w:rFonts w:ascii="Avenir Next" w:hAnsi="Avenir Next" w:cs="Arial"/>
          <w:color w:val="000000"/>
          <w:sz w:val="22"/>
          <w:szCs w:val="22"/>
          <w:lang w:val="en-GB" w:eastAsia="en-GB"/>
        </w:rPr>
        <w:t>”</w:t>
      </w:r>
      <w:r w:rsidRPr="00925C10">
        <w:rPr>
          <w:rFonts w:ascii="Avenir Next" w:hAnsi="Avenir Next" w:cs="Arial"/>
          <w:color w:val="000000"/>
          <w:sz w:val="22"/>
          <w:szCs w:val="22"/>
          <w:lang w:val="en-GB" w:eastAsia="en-GB"/>
        </w:rPr>
        <w:t xml:space="preserve"> is defined by article 2(</w:t>
      </w:r>
      <w:proofErr w:type="gramStart"/>
      <w:r w:rsidRPr="00925C10">
        <w:rPr>
          <w:rFonts w:ascii="Avenir Next" w:hAnsi="Avenir Next" w:cs="Arial"/>
          <w:color w:val="000000"/>
          <w:sz w:val="22"/>
          <w:szCs w:val="22"/>
          <w:lang w:val="en-GB" w:eastAsia="en-GB"/>
        </w:rPr>
        <w:t>1)(</w:t>
      </w:r>
      <w:proofErr w:type="gramEnd"/>
      <w:r w:rsidRPr="00925C10">
        <w:rPr>
          <w:rFonts w:ascii="Avenir Next" w:hAnsi="Avenir Next" w:cs="Arial"/>
          <w:color w:val="000000"/>
          <w:sz w:val="22"/>
          <w:szCs w:val="22"/>
          <w:lang w:val="en-GB" w:eastAsia="en-GB"/>
        </w:rPr>
        <w:t xml:space="preserve">17) of the DGF </w:t>
      </w:r>
      <w:r w:rsidR="002F78CA" w:rsidRPr="00925C10">
        <w:rPr>
          <w:rFonts w:ascii="Avenir Next" w:hAnsi="Avenir Next" w:cs="Arial"/>
          <w:color w:val="000000"/>
          <w:sz w:val="22"/>
          <w:szCs w:val="22"/>
          <w:lang w:val="en-GB" w:eastAsia="en-GB"/>
        </w:rPr>
        <w:t>L</w:t>
      </w:r>
      <w:r w:rsidRPr="00925C10">
        <w:rPr>
          <w:rFonts w:ascii="Avenir Next" w:hAnsi="Avenir Next" w:cs="Arial"/>
          <w:color w:val="000000"/>
          <w:sz w:val="22"/>
          <w:szCs w:val="22"/>
          <w:lang w:val="en-GB" w:eastAsia="en-GB"/>
        </w:rPr>
        <w:t xml:space="preserve">aw as: </w:t>
      </w:r>
      <w:r w:rsidR="008512FA" w:rsidRPr="00925C10">
        <w:rPr>
          <w:rFonts w:ascii="Avenir Next" w:hAnsi="Avenir Next" w:cs="Arial"/>
          <w:i/>
          <w:iCs/>
          <w:color w:val="000000"/>
          <w:sz w:val="22"/>
          <w:szCs w:val="22"/>
          <w:lang w:val="en-GB" w:eastAsia="en-GB"/>
        </w:rPr>
        <w:t>“</w:t>
      </w:r>
      <w:r w:rsidRPr="00925C10">
        <w:rPr>
          <w:rFonts w:ascii="Avenir Next" w:hAnsi="Avenir Next" w:cs="Arial"/>
          <w:i/>
          <w:iCs/>
          <w:color w:val="000000"/>
          <w:sz w:val="22"/>
          <w:szCs w:val="22"/>
          <w:lang w:val="en-GB" w:eastAsia="en-GB"/>
        </w:rPr>
        <w:t>an employee of the Fund, who on behalf of the Fund and within the powers provided for by this Law and</w:t>
      </w:r>
      <w:r w:rsidR="003427B9" w:rsidRPr="00925C10">
        <w:rPr>
          <w:rFonts w:ascii="Avenir Next" w:hAnsi="Avenir Next" w:cs="Arial"/>
          <w:i/>
          <w:iCs/>
          <w:color w:val="000000"/>
          <w:sz w:val="22"/>
          <w:szCs w:val="22"/>
          <w:lang w:val="en-GB" w:eastAsia="en-GB"/>
        </w:rPr>
        <w:t xml:space="preserve"> </w:t>
      </w:r>
      <w:r w:rsidRPr="00925C10">
        <w:rPr>
          <w:rFonts w:ascii="Avenir Next" w:hAnsi="Avenir Next" w:cs="Arial"/>
          <w:i/>
          <w:iCs/>
          <w:color w:val="000000"/>
          <w:sz w:val="22"/>
          <w:szCs w:val="22"/>
          <w:lang w:val="en-GB" w:eastAsia="en-GB"/>
        </w:rPr>
        <w:t>/</w:t>
      </w:r>
      <w:r w:rsidR="003427B9" w:rsidRPr="00925C10">
        <w:rPr>
          <w:rFonts w:ascii="Avenir Next" w:hAnsi="Avenir Next" w:cs="Arial"/>
          <w:i/>
          <w:iCs/>
          <w:color w:val="000000"/>
          <w:sz w:val="22"/>
          <w:szCs w:val="22"/>
          <w:lang w:val="en-GB" w:eastAsia="en-GB"/>
        </w:rPr>
        <w:t xml:space="preserve"> </w:t>
      </w:r>
      <w:r w:rsidRPr="00925C10">
        <w:rPr>
          <w:rFonts w:ascii="Avenir Next" w:hAnsi="Avenir Next" w:cs="Arial"/>
          <w:i/>
          <w:iCs/>
          <w:color w:val="000000"/>
          <w:sz w:val="22"/>
          <w:szCs w:val="22"/>
          <w:lang w:val="en-GB" w:eastAsia="en-GB"/>
        </w:rPr>
        <w:t>or delegated by the Fund, performs actions to ensure the bank</w:t>
      </w:r>
      <w:r w:rsidR="008512FA" w:rsidRPr="00925C10">
        <w:rPr>
          <w:rFonts w:ascii="Avenir Next" w:hAnsi="Avenir Next" w:cs="Arial"/>
          <w:i/>
          <w:iCs/>
          <w:color w:val="000000"/>
          <w:sz w:val="22"/>
          <w:szCs w:val="22"/>
          <w:lang w:val="en-GB" w:eastAsia="en-GB"/>
        </w:rPr>
        <w:t>’</w:t>
      </w:r>
      <w:r w:rsidRPr="00925C10">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925C10">
        <w:rPr>
          <w:rFonts w:ascii="Avenir Next" w:hAnsi="Avenir Next" w:cs="Arial"/>
          <w:i/>
          <w:iCs/>
          <w:color w:val="000000"/>
          <w:sz w:val="22"/>
          <w:szCs w:val="22"/>
          <w:lang w:val="en-GB" w:eastAsia="en-GB"/>
        </w:rPr>
        <w:t>”</w:t>
      </w:r>
      <w:r w:rsidRPr="00925C10">
        <w:rPr>
          <w:rFonts w:ascii="Avenir Next" w:hAnsi="Avenir Next" w:cs="Arial"/>
          <w:color w:val="000000"/>
          <w:sz w:val="22"/>
          <w:szCs w:val="22"/>
          <w:lang w:val="en-GB" w:eastAsia="en-GB"/>
        </w:rPr>
        <w:t>.</w:t>
      </w:r>
    </w:p>
    <w:p w14:paraId="53D09A8A" w14:textId="77777777" w:rsidR="006B4FFC" w:rsidRPr="00925C10"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925C10">
        <w:rPr>
          <w:rFonts w:ascii="Avenir Next" w:hAnsi="Avenir Next" w:cs="Arial"/>
          <w:color w:val="000000"/>
          <w:sz w:val="22"/>
          <w:szCs w:val="22"/>
          <w:lang w:val="en-GB" w:eastAsia="en-GB"/>
        </w:rPr>
        <w:lastRenderedPageBreak/>
        <w:t xml:space="preserve">Article 35(1) of the DGF Law specifies that an authorised person, must have: </w:t>
      </w:r>
      <w:r w:rsidR="008512FA" w:rsidRPr="00925C10">
        <w:rPr>
          <w:rFonts w:ascii="Avenir Next" w:hAnsi="Avenir Next" w:cs="Arial"/>
          <w:color w:val="000000"/>
          <w:sz w:val="22"/>
          <w:szCs w:val="22"/>
          <w:lang w:val="en-GB" w:eastAsia="en-GB"/>
        </w:rPr>
        <w:t>“</w:t>
      </w:r>
      <w:r w:rsidRPr="00925C10">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Pr="00E2622D">
        <w:rPr>
          <w:rFonts w:ascii="Avenir Next" w:hAnsi="Avenir Next" w:cs="Arial"/>
          <w:i/>
          <w:iCs/>
          <w:color w:val="000000"/>
          <w:sz w:val="22"/>
          <w:szCs w:val="22"/>
          <w:lang w:val="en-GB" w:eastAsia="en-GB"/>
        </w:rPr>
        <w:t>.</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431DCD">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431DCD">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431DCD">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431DCD">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431DCD">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B3488C" w:rsidRDefault="008A7470" w:rsidP="00424D07">
      <w:pPr>
        <w:jc w:val="both"/>
        <w:rPr>
          <w:rFonts w:ascii="Avenir Next" w:hAnsi="Avenir Next" w:cs="Arial"/>
          <w:color w:val="000000"/>
          <w:sz w:val="22"/>
          <w:szCs w:val="22"/>
          <w:lang w:val="en-GB" w:eastAsia="en-GB"/>
        </w:rPr>
      </w:pPr>
      <w:bookmarkStart w:id="25" w:name="para39"/>
      <w:r w:rsidRPr="00B3488C">
        <w:rPr>
          <w:rFonts w:ascii="Avenir Next" w:hAnsi="Avenir Next" w:cs="Arial"/>
          <w:color w:val="000000"/>
          <w:sz w:val="22"/>
          <w:szCs w:val="22"/>
          <w:lang w:val="en-GB" w:eastAsia="en-GB"/>
        </w:rPr>
        <w:t>Despite initially appearing to improve, by September 2015 the Bank</w:t>
      </w:r>
      <w:r w:rsidR="008512FA" w:rsidRPr="00B3488C">
        <w:rPr>
          <w:rFonts w:ascii="Avenir Next" w:hAnsi="Avenir Next" w:cs="Arial"/>
          <w:color w:val="000000"/>
          <w:sz w:val="22"/>
          <w:szCs w:val="22"/>
          <w:lang w:val="en-GB" w:eastAsia="en-GB"/>
        </w:rPr>
        <w:t>’</w:t>
      </w:r>
      <w:r w:rsidRPr="00B3488C">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B3488C" w:rsidRDefault="00424D07" w:rsidP="00424D07">
      <w:pPr>
        <w:jc w:val="both"/>
        <w:rPr>
          <w:rFonts w:ascii="Avenir Next" w:hAnsi="Avenir Next" w:cs="Arial"/>
          <w:color w:val="000000"/>
          <w:sz w:val="22"/>
          <w:szCs w:val="22"/>
          <w:lang w:val="en-GB" w:eastAsia="en-GB"/>
        </w:rPr>
      </w:pPr>
    </w:p>
    <w:p w14:paraId="7E962B78" w14:textId="70259619" w:rsidR="008A7470" w:rsidRPr="00B3488C" w:rsidRDefault="008A7470" w:rsidP="00424D07">
      <w:pPr>
        <w:jc w:val="both"/>
        <w:rPr>
          <w:rFonts w:ascii="Avenir Next" w:hAnsi="Avenir Next" w:cs="Arial"/>
          <w:color w:val="000000"/>
          <w:sz w:val="22"/>
          <w:szCs w:val="22"/>
          <w:lang w:val="en-GB" w:eastAsia="en-GB"/>
        </w:rPr>
      </w:pPr>
      <w:r w:rsidRPr="00B3488C">
        <w:rPr>
          <w:rFonts w:ascii="Avenir Next" w:hAnsi="Avenir Next" w:cs="Arial"/>
          <w:color w:val="000000"/>
          <w:sz w:val="22"/>
          <w:szCs w:val="22"/>
          <w:lang w:val="en-GB" w:eastAsia="en-GB"/>
        </w:rPr>
        <w:t>Three months later, on 17 December 2015, the NB formally revoked the Bank</w:t>
      </w:r>
      <w:r w:rsidR="008512FA" w:rsidRPr="00B3488C">
        <w:rPr>
          <w:rFonts w:ascii="Avenir Next" w:hAnsi="Avenir Next" w:cs="Arial"/>
          <w:color w:val="000000"/>
          <w:sz w:val="22"/>
          <w:szCs w:val="22"/>
          <w:lang w:val="en-GB" w:eastAsia="en-GB"/>
        </w:rPr>
        <w:t>’</w:t>
      </w:r>
      <w:r w:rsidRPr="00B3488C">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B3488C">
        <w:rPr>
          <w:rFonts w:ascii="Avenir Next" w:hAnsi="Avenir Next" w:cs="Arial"/>
          <w:color w:val="000000"/>
          <w:sz w:val="22"/>
          <w:szCs w:val="22"/>
          <w:lang w:val="en-GB" w:eastAsia="en-GB"/>
        </w:rPr>
        <w:t>’</w:t>
      </w:r>
      <w:r w:rsidRPr="00B3488C">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B3488C"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B3488C">
        <w:rPr>
          <w:rFonts w:ascii="Avenir Next" w:hAnsi="Avenir Next" w:cs="Arial"/>
          <w:color w:val="000000"/>
          <w:sz w:val="22"/>
          <w:szCs w:val="22"/>
          <w:lang w:val="en-GB" w:eastAsia="en-GB"/>
        </w:rPr>
        <w:lastRenderedPageBreak/>
        <w:t>Ms G</w:t>
      </w:r>
      <w:r w:rsidR="008512FA" w:rsidRPr="00B3488C">
        <w:rPr>
          <w:rFonts w:ascii="Avenir Next" w:hAnsi="Avenir Next" w:cs="Arial"/>
          <w:color w:val="000000"/>
          <w:sz w:val="22"/>
          <w:szCs w:val="22"/>
          <w:lang w:val="en-GB" w:eastAsia="en-GB"/>
        </w:rPr>
        <w:t>’</w:t>
      </w:r>
      <w:r w:rsidRPr="00B3488C">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B3488C">
        <w:rPr>
          <w:rFonts w:ascii="Avenir Next" w:hAnsi="Avenir Next" w:cs="Arial"/>
          <w:color w:val="000000"/>
          <w:sz w:val="22"/>
          <w:szCs w:val="22"/>
          <w:lang w:val="en-GB" w:eastAsia="en-GB"/>
        </w:rPr>
        <w:t>“</w:t>
      </w:r>
      <w:r w:rsidRPr="00B3488C">
        <w:rPr>
          <w:rFonts w:ascii="Avenir Next" w:hAnsi="Avenir Next" w:cs="Arial"/>
          <w:color w:val="000000"/>
          <w:sz w:val="22"/>
          <w:szCs w:val="22"/>
          <w:lang w:val="en-GB" w:eastAsia="en-GB"/>
        </w:rPr>
        <w:t>leading bank liquidation professional</w:t>
      </w:r>
      <w:r w:rsidR="008512FA" w:rsidRPr="00B3488C">
        <w:rPr>
          <w:rFonts w:ascii="Avenir Next" w:hAnsi="Avenir Next" w:cs="Arial"/>
          <w:color w:val="000000"/>
          <w:sz w:val="22"/>
          <w:szCs w:val="22"/>
          <w:lang w:val="en-GB" w:eastAsia="en-GB"/>
        </w:rPr>
        <w:t>”</w:t>
      </w:r>
      <w:r w:rsidRPr="00B3488C">
        <w:rPr>
          <w:rFonts w:ascii="Avenir Next" w:hAnsi="Avenir Next" w:cs="Arial"/>
          <w:color w:val="000000"/>
          <w:sz w:val="22"/>
          <w:szCs w:val="22"/>
          <w:lang w:val="en-GB" w:eastAsia="en-GB"/>
        </w:rPr>
        <w:t>. It delegates to her all liquidation powers in respect of the Bank set out in the DGF Law and in particular</w:t>
      </w:r>
      <w:r w:rsidRPr="00E2622D">
        <w:rPr>
          <w:rFonts w:ascii="Avenir Next" w:hAnsi="Avenir Next" w:cs="Arial"/>
          <w:color w:val="000000"/>
          <w:sz w:val="22"/>
          <w:szCs w:val="22"/>
          <w:lang w:val="en-GB" w:eastAsia="en-GB"/>
        </w:rPr>
        <w:t xml:space="preserve">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12F8981C" w14:textId="77777777" w:rsidR="00FA69A8" w:rsidRDefault="00FA69A8" w:rsidP="00FA69A8">
      <w:pPr>
        <w:jc w:val="both"/>
      </w:pPr>
    </w:p>
    <w:p w14:paraId="25988477" w14:textId="61AF18A6" w:rsidR="000A4E89" w:rsidRPr="00B933AE" w:rsidRDefault="00FA69A8" w:rsidP="000A4E89">
      <w:pPr>
        <w:spacing w:after="160" w:line="259" w:lineRule="auto"/>
        <w:jc w:val="both"/>
        <w:rPr>
          <w:rFonts w:ascii="Arial" w:hAnsi="Arial" w:cs="Arial"/>
          <w:sz w:val="22"/>
          <w:szCs w:val="22"/>
        </w:rPr>
      </w:pPr>
      <w:r w:rsidRPr="00B933AE">
        <w:rPr>
          <w:rFonts w:ascii="Arial" w:hAnsi="Arial" w:cs="Arial"/>
          <w:sz w:val="22"/>
          <w:szCs w:val="22"/>
        </w:rPr>
        <w:t xml:space="preserve">There are various elements that must be satisfied before the proceedings involving the Bank before it can be recognized in England as a foreign proceeding.  The DGF </w:t>
      </w:r>
      <w:r w:rsidR="000A4E89" w:rsidRPr="00B933AE">
        <w:rPr>
          <w:rFonts w:ascii="Arial" w:hAnsi="Arial" w:cs="Arial"/>
          <w:sz w:val="22"/>
          <w:szCs w:val="22"/>
        </w:rPr>
        <w:t>commenced</w:t>
      </w:r>
      <w:r w:rsidRPr="00B933AE">
        <w:rPr>
          <w:rFonts w:ascii="Arial" w:hAnsi="Arial" w:cs="Arial"/>
          <w:sz w:val="22"/>
          <w:szCs w:val="22"/>
        </w:rPr>
        <w:t xml:space="preserve"> a compulsory winding-up or liquidation proceeding (a judicial proceeding) on 18 December 2015, the day after the Bank’s banking </w:t>
      </w:r>
      <w:proofErr w:type="spellStart"/>
      <w:r w:rsidRPr="00B933AE">
        <w:rPr>
          <w:rFonts w:ascii="Arial" w:hAnsi="Arial" w:cs="Arial"/>
          <w:sz w:val="22"/>
          <w:szCs w:val="22"/>
        </w:rPr>
        <w:t>licence</w:t>
      </w:r>
      <w:proofErr w:type="spellEnd"/>
      <w:r w:rsidRPr="00B933AE">
        <w:rPr>
          <w:rFonts w:ascii="Arial" w:hAnsi="Arial" w:cs="Arial"/>
          <w:sz w:val="22"/>
          <w:szCs w:val="22"/>
        </w:rPr>
        <w:t xml:space="preserve"> was formally revoked</w:t>
      </w:r>
      <w:r w:rsidR="00E71499" w:rsidRPr="00B933AE">
        <w:rPr>
          <w:rFonts w:ascii="Arial" w:hAnsi="Arial" w:cs="Arial"/>
          <w:sz w:val="22"/>
          <w:szCs w:val="22"/>
        </w:rPr>
        <w:t xml:space="preserve"> in Country A (which is a foreign state)</w:t>
      </w:r>
      <w:r w:rsidRPr="00B933AE">
        <w:rPr>
          <w:rFonts w:ascii="Arial" w:hAnsi="Arial" w:cs="Arial"/>
          <w:sz w:val="22"/>
          <w:szCs w:val="22"/>
        </w:rPr>
        <w:t>.</w:t>
      </w:r>
      <w:r w:rsidR="000A4E89" w:rsidRPr="00B933AE">
        <w:rPr>
          <w:rFonts w:ascii="Arial" w:hAnsi="Arial" w:cs="Arial"/>
          <w:sz w:val="22"/>
          <w:szCs w:val="22"/>
        </w:rPr>
        <w:t xml:space="preserve"> The DGF being obliged to commence liquidation proceedings soon after, this liquidation (by virtue of decisions made by the NB) also satisfies the evidential requirement under article 15(a) confirming the foreign insolvency proceeding and the automatic appointment of the DGF in Country A, as liquidator, dealing with the Bank’s liquidation (Article 77 of the LBBA) which was a judicial proceeding. </w:t>
      </w:r>
      <w:r w:rsidR="00265E10" w:rsidRPr="00B933AE">
        <w:rPr>
          <w:rFonts w:ascii="Arial" w:hAnsi="Arial" w:cs="Arial"/>
          <w:sz w:val="22"/>
          <w:szCs w:val="22"/>
        </w:rPr>
        <w:t>So, DGF providing a copy of order made after commencing liquidation proceedings against the Bank or even the order making the liquidation indefinite would be sufficient proof of a foreign proceeding existing.</w:t>
      </w:r>
      <w:r w:rsidR="006F4E9E" w:rsidRPr="00B933AE">
        <w:rPr>
          <w:rFonts w:ascii="Arial" w:hAnsi="Arial" w:cs="Arial"/>
          <w:sz w:val="22"/>
          <w:szCs w:val="22"/>
        </w:rPr>
        <w:t xml:space="preserve"> The appointment under Article 77 of the LBBA once the </w:t>
      </w:r>
      <w:proofErr w:type="spellStart"/>
      <w:r w:rsidR="006F4E9E" w:rsidRPr="00B933AE">
        <w:rPr>
          <w:rFonts w:ascii="Arial" w:hAnsi="Arial" w:cs="Arial"/>
          <w:sz w:val="22"/>
          <w:szCs w:val="22"/>
        </w:rPr>
        <w:t>licence</w:t>
      </w:r>
      <w:proofErr w:type="spellEnd"/>
      <w:r w:rsidR="006F4E9E" w:rsidRPr="00B933AE">
        <w:rPr>
          <w:rFonts w:ascii="Arial" w:hAnsi="Arial" w:cs="Arial"/>
          <w:sz w:val="22"/>
          <w:szCs w:val="22"/>
        </w:rPr>
        <w:t xml:space="preserve"> was revoked, would also be sufficient evidence of the DGF’s appointment as liquidator in the foreign proceeding, as the appointment was validly authorized by the NB and acknowledged by the court.</w:t>
      </w:r>
      <w:r w:rsidR="00265E10" w:rsidRPr="00B933AE">
        <w:rPr>
          <w:rFonts w:ascii="Arial" w:hAnsi="Arial" w:cs="Arial"/>
          <w:sz w:val="22"/>
          <w:szCs w:val="22"/>
        </w:rPr>
        <w:t xml:space="preserve"> </w:t>
      </w:r>
    </w:p>
    <w:p w14:paraId="710581DC" w14:textId="25C42235" w:rsidR="000A4E89" w:rsidRPr="00B933AE" w:rsidRDefault="00FA69A8" w:rsidP="000A4E89">
      <w:pPr>
        <w:spacing w:after="160" w:line="259" w:lineRule="auto"/>
        <w:jc w:val="both"/>
        <w:rPr>
          <w:rFonts w:ascii="Arial" w:hAnsi="Arial" w:cs="Arial"/>
          <w:sz w:val="22"/>
          <w:szCs w:val="22"/>
        </w:rPr>
      </w:pPr>
      <w:r w:rsidRPr="00B933AE">
        <w:rPr>
          <w:rFonts w:ascii="Arial" w:hAnsi="Arial" w:cs="Arial"/>
          <w:sz w:val="22"/>
          <w:szCs w:val="22"/>
        </w:rPr>
        <w:t>As per article 2(a), this proceeding in Country A appears to be a collective proceeding relating to insolvency law because all of assets and affairs of the</w:t>
      </w:r>
      <w:r w:rsidR="00F7246D" w:rsidRPr="00B933AE">
        <w:rPr>
          <w:rFonts w:ascii="Arial" w:hAnsi="Arial" w:cs="Arial"/>
          <w:sz w:val="22"/>
          <w:szCs w:val="22"/>
        </w:rPr>
        <w:t xml:space="preserve"> debtor</w:t>
      </w:r>
      <w:r w:rsidRPr="00B933AE">
        <w:rPr>
          <w:rFonts w:ascii="Arial" w:hAnsi="Arial" w:cs="Arial"/>
          <w:sz w:val="22"/>
          <w:szCs w:val="22"/>
        </w:rPr>
        <w:t xml:space="preserve"> Bank are being dealt within the proceeding </w:t>
      </w:r>
      <w:r w:rsidR="00265E10" w:rsidRPr="00B933AE">
        <w:rPr>
          <w:rFonts w:ascii="Arial" w:hAnsi="Arial" w:cs="Arial"/>
          <w:sz w:val="22"/>
          <w:szCs w:val="22"/>
        </w:rPr>
        <w:t xml:space="preserve">to achieve a global solution for all stakeholders </w:t>
      </w:r>
      <w:r w:rsidRPr="00B933AE">
        <w:rPr>
          <w:rFonts w:ascii="Arial" w:hAnsi="Arial" w:cs="Arial"/>
          <w:sz w:val="22"/>
          <w:szCs w:val="22"/>
        </w:rPr>
        <w:t xml:space="preserve">and </w:t>
      </w:r>
      <w:r w:rsidR="00265E10" w:rsidRPr="00B933AE">
        <w:rPr>
          <w:rFonts w:ascii="Arial" w:hAnsi="Arial" w:cs="Arial"/>
          <w:sz w:val="22"/>
          <w:szCs w:val="22"/>
        </w:rPr>
        <w:t>the assets being</w:t>
      </w:r>
      <w:r w:rsidRPr="00B933AE">
        <w:rPr>
          <w:rFonts w:ascii="Arial" w:hAnsi="Arial" w:cs="Arial"/>
          <w:sz w:val="22"/>
          <w:szCs w:val="22"/>
        </w:rPr>
        <w:t xml:space="preserve"> subject</w:t>
      </w:r>
      <w:r w:rsidR="00265E10" w:rsidRPr="00B933AE">
        <w:rPr>
          <w:rFonts w:ascii="Arial" w:hAnsi="Arial" w:cs="Arial"/>
          <w:sz w:val="22"/>
          <w:szCs w:val="22"/>
        </w:rPr>
        <w:t>ed</w:t>
      </w:r>
      <w:r w:rsidRPr="00B933AE">
        <w:rPr>
          <w:rFonts w:ascii="Arial" w:hAnsi="Arial" w:cs="Arial"/>
          <w:sz w:val="22"/>
          <w:szCs w:val="22"/>
        </w:rPr>
        <w:t xml:space="preserve"> to the control or supervision of the court in State A. </w:t>
      </w:r>
      <w:r w:rsidR="00A1126D" w:rsidRPr="00B933AE">
        <w:rPr>
          <w:rFonts w:ascii="Arial" w:hAnsi="Arial" w:cs="Arial"/>
          <w:sz w:val="22"/>
          <w:szCs w:val="22"/>
        </w:rPr>
        <w:t xml:space="preserve">This proceeding would affect all creditors </w:t>
      </w:r>
      <w:r w:rsidR="00A1126D" w:rsidRPr="00B933AE">
        <w:rPr>
          <w:rFonts w:ascii="Arial" w:hAnsi="Arial" w:cs="Arial"/>
          <w:sz w:val="22"/>
          <w:szCs w:val="22"/>
        </w:rPr>
        <w:lastRenderedPageBreak/>
        <w:t xml:space="preserve">if it realized assets for the general benefit of all creditors. The rights and obligations of all creditors must be taken into account, not just those of the petitioning creditor. </w:t>
      </w:r>
      <w:r w:rsidRPr="00B933AE">
        <w:rPr>
          <w:rFonts w:ascii="Arial" w:hAnsi="Arial" w:cs="Arial"/>
          <w:sz w:val="22"/>
          <w:szCs w:val="22"/>
        </w:rPr>
        <w:t xml:space="preserve">The Bank’s assets are being supervised or preserved by the DGF </w:t>
      </w:r>
      <w:r w:rsidR="00C12B86" w:rsidRPr="00B933AE">
        <w:rPr>
          <w:rFonts w:ascii="Arial" w:hAnsi="Arial" w:cs="Arial"/>
          <w:sz w:val="22"/>
          <w:szCs w:val="22"/>
        </w:rPr>
        <w:t xml:space="preserve">in the proceeding </w:t>
      </w:r>
      <w:r w:rsidRPr="00B933AE">
        <w:rPr>
          <w:rFonts w:ascii="Arial" w:hAnsi="Arial" w:cs="Arial"/>
          <w:sz w:val="22"/>
          <w:szCs w:val="22"/>
        </w:rPr>
        <w:t>which automatically became the liquidator, under article 77 of DBBA, for the purpose of liquidation. The bank’s financial position</w:t>
      </w:r>
      <w:r w:rsidR="00C12B86" w:rsidRPr="00B933AE">
        <w:rPr>
          <w:rFonts w:ascii="Arial" w:hAnsi="Arial" w:cs="Arial"/>
          <w:sz w:val="22"/>
          <w:szCs w:val="22"/>
        </w:rPr>
        <w:t xml:space="preserve"> continued to deteriorate so</w:t>
      </w:r>
      <w:r w:rsidR="00F7246D" w:rsidRPr="00B933AE">
        <w:rPr>
          <w:rFonts w:ascii="Arial" w:hAnsi="Arial" w:cs="Arial"/>
          <w:sz w:val="22"/>
          <w:szCs w:val="22"/>
        </w:rPr>
        <w:t>,</w:t>
      </w:r>
      <w:r w:rsidR="00C12B86" w:rsidRPr="00B933AE">
        <w:rPr>
          <w:rFonts w:ascii="Arial" w:hAnsi="Arial" w:cs="Arial"/>
          <w:sz w:val="22"/>
          <w:szCs w:val="22"/>
        </w:rPr>
        <w:t xml:space="preserve"> this</w:t>
      </w:r>
      <w:r w:rsidRPr="00B933AE">
        <w:rPr>
          <w:rFonts w:ascii="Arial" w:hAnsi="Arial" w:cs="Arial"/>
          <w:sz w:val="22"/>
          <w:szCs w:val="22"/>
        </w:rPr>
        <w:t xml:space="preserve"> proceeding can be defined broadly </w:t>
      </w:r>
      <w:r w:rsidR="00C12B86" w:rsidRPr="00B933AE">
        <w:rPr>
          <w:rFonts w:ascii="Arial" w:hAnsi="Arial" w:cs="Arial"/>
          <w:sz w:val="22"/>
          <w:szCs w:val="22"/>
        </w:rPr>
        <w:t>as a proceeding</w:t>
      </w:r>
      <w:r w:rsidRPr="00B933AE">
        <w:rPr>
          <w:rFonts w:ascii="Arial" w:hAnsi="Arial" w:cs="Arial"/>
          <w:sz w:val="22"/>
          <w:szCs w:val="22"/>
        </w:rPr>
        <w:t xml:space="preserve"> involving the bank as debtor that is in severed financial distress or insolvent</w:t>
      </w:r>
      <w:r w:rsidR="00F7246D" w:rsidRPr="00B933AE">
        <w:rPr>
          <w:rFonts w:ascii="Arial" w:hAnsi="Arial" w:cs="Arial"/>
          <w:sz w:val="22"/>
          <w:szCs w:val="22"/>
        </w:rPr>
        <w:t xml:space="preserve"> – hence, the liquidation is being authorized or conducted under a law relating to insolvency</w:t>
      </w:r>
      <w:r w:rsidRPr="00B933AE">
        <w:rPr>
          <w:rFonts w:ascii="Arial" w:hAnsi="Arial" w:cs="Arial"/>
          <w:sz w:val="22"/>
          <w:szCs w:val="22"/>
        </w:rPr>
        <w:t>. It is collective in nature as all of the assets and liabilities of the Bank are being dealt with in the proceeding which does relate to insolvency law (the LBBA of Country A)</w:t>
      </w:r>
      <w:r w:rsidR="00F7246D" w:rsidRPr="00B933AE">
        <w:rPr>
          <w:rFonts w:ascii="Arial" w:hAnsi="Arial" w:cs="Arial"/>
          <w:sz w:val="22"/>
          <w:szCs w:val="22"/>
        </w:rPr>
        <w:t xml:space="preserve"> and are subject to the control or supervision of by the court in Country A</w:t>
      </w:r>
      <w:r w:rsidRPr="00B933AE">
        <w:rPr>
          <w:rFonts w:ascii="Arial" w:hAnsi="Arial" w:cs="Arial"/>
          <w:sz w:val="22"/>
          <w:szCs w:val="22"/>
        </w:rPr>
        <w:t xml:space="preserve">. </w:t>
      </w:r>
    </w:p>
    <w:p w14:paraId="224D70FD" w14:textId="1F56CF42" w:rsidR="00FA69A8" w:rsidRPr="00B933AE" w:rsidRDefault="000A4E89" w:rsidP="000A4E89">
      <w:pPr>
        <w:spacing w:after="160" w:line="259" w:lineRule="auto"/>
        <w:jc w:val="both"/>
        <w:rPr>
          <w:rFonts w:ascii="Arial" w:hAnsi="Arial" w:cs="Arial"/>
          <w:sz w:val="22"/>
          <w:szCs w:val="22"/>
        </w:rPr>
      </w:pPr>
      <w:r w:rsidRPr="00B933AE">
        <w:rPr>
          <w:rFonts w:ascii="Arial" w:hAnsi="Arial" w:cs="Arial"/>
          <w:sz w:val="22"/>
          <w:szCs w:val="22"/>
        </w:rPr>
        <w:t>With the liquidation being extended to an indefinite date, t</w:t>
      </w:r>
      <w:r w:rsidR="00FA69A8" w:rsidRPr="00B933AE">
        <w:rPr>
          <w:rFonts w:ascii="Arial" w:hAnsi="Arial" w:cs="Arial"/>
          <w:sz w:val="22"/>
          <w:szCs w:val="22"/>
        </w:rPr>
        <w:t xml:space="preserve">his leaves the DGF as liquidator to proceed with its duties to administer the Bank’s assets and affairs that are not only in Country A but those that may be in foreign jurisdictions as well. </w:t>
      </w:r>
      <w:r w:rsidRPr="00B933AE">
        <w:rPr>
          <w:rFonts w:ascii="Arial" w:hAnsi="Arial" w:cs="Arial"/>
          <w:sz w:val="22"/>
          <w:szCs w:val="22"/>
        </w:rPr>
        <w:t>Therefore,</w:t>
      </w:r>
      <w:r w:rsidR="00F7246D" w:rsidRPr="00B933AE">
        <w:rPr>
          <w:rFonts w:ascii="Arial" w:hAnsi="Arial" w:cs="Arial"/>
          <w:sz w:val="22"/>
          <w:szCs w:val="22"/>
        </w:rPr>
        <w:t xml:space="preserve"> not only are</w:t>
      </w:r>
      <w:r w:rsidRPr="00B933AE">
        <w:rPr>
          <w:rFonts w:ascii="Arial" w:hAnsi="Arial" w:cs="Arial"/>
          <w:sz w:val="22"/>
          <w:szCs w:val="22"/>
        </w:rPr>
        <w:t xml:space="preserve"> all of the Bank’s assets are under the control or supervision by the court in Country A, </w:t>
      </w:r>
      <w:r w:rsidR="00F7246D" w:rsidRPr="00B933AE">
        <w:rPr>
          <w:rFonts w:ascii="Arial" w:hAnsi="Arial" w:cs="Arial"/>
          <w:sz w:val="22"/>
          <w:szCs w:val="22"/>
        </w:rPr>
        <w:t>but this gives</w:t>
      </w:r>
      <w:r w:rsidRPr="00B933AE">
        <w:rPr>
          <w:rFonts w:ascii="Arial" w:hAnsi="Arial" w:cs="Arial"/>
          <w:sz w:val="22"/>
          <w:szCs w:val="22"/>
        </w:rPr>
        <w:t xml:space="preserve"> the Liquidator</w:t>
      </w:r>
      <w:r w:rsidR="00F7246D" w:rsidRPr="00B933AE">
        <w:rPr>
          <w:rFonts w:ascii="Arial" w:hAnsi="Arial" w:cs="Arial"/>
          <w:sz w:val="22"/>
          <w:szCs w:val="22"/>
        </w:rPr>
        <w:t>,</w:t>
      </w:r>
      <w:r w:rsidRPr="00B933AE">
        <w:rPr>
          <w:rFonts w:ascii="Arial" w:hAnsi="Arial" w:cs="Arial"/>
          <w:sz w:val="22"/>
          <w:szCs w:val="22"/>
        </w:rPr>
        <w:t xml:space="preserve"> having acquired full powers of a liquidator</w:t>
      </w:r>
      <w:r w:rsidR="00F7246D" w:rsidRPr="00B933AE">
        <w:rPr>
          <w:rFonts w:ascii="Arial" w:hAnsi="Arial" w:cs="Arial"/>
          <w:sz w:val="22"/>
          <w:szCs w:val="22"/>
        </w:rPr>
        <w:t>, an opportunity</w:t>
      </w:r>
      <w:r w:rsidRPr="00B933AE">
        <w:rPr>
          <w:rFonts w:ascii="Arial" w:hAnsi="Arial" w:cs="Arial"/>
          <w:sz w:val="22"/>
          <w:szCs w:val="22"/>
        </w:rPr>
        <w:t xml:space="preserve"> to investigate the affairs of the Bank, </w:t>
      </w:r>
      <w:proofErr w:type="spellStart"/>
      <w:r w:rsidRPr="00B933AE">
        <w:rPr>
          <w:rFonts w:ascii="Arial" w:hAnsi="Arial" w:cs="Arial"/>
          <w:sz w:val="22"/>
          <w:szCs w:val="22"/>
        </w:rPr>
        <w:t>realise</w:t>
      </w:r>
      <w:proofErr w:type="spellEnd"/>
      <w:r w:rsidRPr="00B933AE">
        <w:rPr>
          <w:rFonts w:ascii="Arial" w:hAnsi="Arial" w:cs="Arial"/>
          <w:sz w:val="22"/>
          <w:szCs w:val="22"/>
        </w:rPr>
        <w:t xml:space="preserve"> assets or preserve as the case may be. </w:t>
      </w:r>
      <w:r w:rsidR="00FA69A8" w:rsidRPr="00B933AE">
        <w:rPr>
          <w:rFonts w:ascii="Arial" w:hAnsi="Arial" w:cs="Arial"/>
          <w:sz w:val="22"/>
          <w:szCs w:val="22"/>
        </w:rPr>
        <w:t>Having been formally classified as troubled (articled 75 LBBA) by the NB on 19 January 2015 and the NB resolution records is evidence of a foreign proceeding existing under article 15(2)(c) regarding the Bank, having been in breach of its duties under article 76 (</w:t>
      </w:r>
      <w:proofErr w:type="spellStart"/>
      <w:r w:rsidR="00FA69A8" w:rsidRPr="00B933AE">
        <w:rPr>
          <w:rFonts w:ascii="Arial" w:hAnsi="Arial" w:cs="Arial"/>
          <w:sz w:val="22"/>
          <w:szCs w:val="22"/>
        </w:rPr>
        <w:t>i</w:t>
      </w:r>
      <w:proofErr w:type="spellEnd"/>
      <w:r w:rsidR="00FA69A8" w:rsidRPr="00B933AE">
        <w:rPr>
          <w:rFonts w:ascii="Arial" w:hAnsi="Arial" w:cs="Arial"/>
          <w:sz w:val="22"/>
          <w:szCs w:val="22"/>
        </w:rPr>
        <w:t>)of the LBBA in Country A. Despite that Bank making slight improvements</w:t>
      </w:r>
      <w:r w:rsidRPr="00B933AE">
        <w:rPr>
          <w:rFonts w:ascii="Arial" w:hAnsi="Arial" w:cs="Arial"/>
          <w:sz w:val="22"/>
          <w:szCs w:val="22"/>
        </w:rPr>
        <w:t xml:space="preserve"> in its financial position</w:t>
      </w:r>
      <w:r w:rsidR="00FA69A8" w:rsidRPr="00B933AE">
        <w:rPr>
          <w:rFonts w:ascii="Arial" w:hAnsi="Arial" w:cs="Arial"/>
          <w:sz w:val="22"/>
          <w:szCs w:val="22"/>
        </w:rPr>
        <w:t xml:space="preserve">, </w:t>
      </w:r>
      <w:r w:rsidRPr="00B933AE">
        <w:rPr>
          <w:rFonts w:ascii="Arial" w:hAnsi="Arial" w:cs="Arial"/>
          <w:color w:val="000000"/>
          <w:sz w:val="22"/>
          <w:szCs w:val="22"/>
          <w:lang w:val="en-GB" w:eastAsia="en-GB"/>
        </w:rPr>
        <w:t xml:space="preserve">it has started to deteriorate the Bank was firstly classified as insolvent under article 76 or the LBBA and was removed from the market. </w:t>
      </w:r>
      <w:r w:rsidRPr="00B933AE">
        <w:rPr>
          <w:rFonts w:ascii="Arial" w:hAnsi="Arial" w:cs="Arial"/>
          <w:sz w:val="22"/>
          <w:szCs w:val="22"/>
        </w:rPr>
        <w:t>T</w:t>
      </w:r>
      <w:r w:rsidR="00FA69A8" w:rsidRPr="00B933AE">
        <w:rPr>
          <w:rFonts w:ascii="Arial" w:hAnsi="Arial" w:cs="Arial"/>
          <w:sz w:val="22"/>
          <w:szCs w:val="22"/>
        </w:rPr>
        <w:t>he failure to comply with the NB’s orders as per article 76(iii) of the LBBA, showed that the Bank had clearly been insolvent</w:t>
      </w:r>
      <w:r w:rsidR="002F68D4" w:rsidRPr="00B933AE">
        <w:rPr>
          <w:rFonts w:ascii="Arial" w:hAnsi="Arial" w:cs="Arial"/>
          <w:sz w:val="22"/>
          <w:szCs w:val="22"/>
        </w:rPr>
        <w:t xml:space="preserve"> or severely financially distressed</w:t>
      </w:r>
      <w:r w:rsidRPr="00B933AE">
        <w:rPr>
          <w:rFonts w:ascii="Arial" w:hAnsi="Arial" w:cs="Arial"/>
          <w:sz w:val="22"/>
          <w:szCs w:val="22"/>
        </w:rPr>
        <w:t xml:space="preserve">, having first been declared as troubled, having breached the minimum capital requirements </w:t>
      </w:r>
      <w:r w:rsidRPr="00B933AE">
        <w:rPr>
          <w:rFonts w:ascii="Arial" w:hAnsi="Arial" w:cs="Arial"/>
          <w:color w:val="000000"/>
          <w:sz w:val="22"/>
          <w:szCs w:val="22"/>
          <w:lang w:val="en-GB" w:eastAsia="en-GB"/>
        </w:rPr>
        <w:t>and a critically low balance of funds held with the NB to name a few; hence, satisfying the criteria of this proceedings being one relating to the law of insolvency.</w:t>
      </w:r>
    </w:p>
    <w:p w14:paraId="401755D3" w14:textId="461A6FC7" w:rsidR="00FA69A8" w:rsidRPr="00B933AE" w:rsidRDefault="00FA69A8" w:rsidP="00FA69A8">
      <w:pPr>
        <w:jc w:val="both"/>
        <w:rPr>
          <w:rFonts w:ascii="Arial" w:hAnsi="Arial" w:cs="Arial"/>
          <w:color w:val="000000"/>
          <w:sz w:val="22"/>
          <w:szCs w:val="22"/>
          <w:lang w:val="en-GB" w:eastAsia="en-GB"/>
        </w:rPr>
      </w:pPr>
    </w:p>
    <w:p w14:paraId="79D97325" w14:textId="474FA745" w:rsidR="00FA69A8" w:rsidRPr="00B933AE" w:rsidRDefault="00FA69A8" w:rsidP="00FA69A8">
      <w:pPr>
        <w:jc w:val="both"/>
        <w:rPr>
          <w:rFonts w:ascii="Arial" w:hAnsi="Arial" w:cs="Arial"/>
          <w:sz w:val="22"/>
          <w:szCs w:val="22"/>
        </w:rPr>
      </w:pPr>
      <w:r w:rsidRPr="00B933AE">
        <w:rPr>
          <w:rFonts w:ascii="Arial" w:hAnsi="Arial" w:cs="Arial"/>
          <w:sz w:val="22"/>
          <w:szCs w:val="22"/>
        </w:rPr>
        <w:t xml:space="preserve">Since the registered office </w:t>
      </w:r>
      <w:r w:rsidR="002F68D4" w:rsidRPr="00B933AE">
        <w:rPr>
          <w:rFonts w:ascii="Arial" w:hAnsi="Arial" w:cs="Arial"/>
          <w:sz w:val="22"/>
          <w:szCs w:val="22"/>
        </w:rPr>
        <w:t xml:space="preserve">(COMI) </w:t>
      </w:r>
      <w:r w:rsidRPr="00B933AE">
        <w:rPr>
          <w:rFonts w:ascii="Arial" w:hAnsi="Arial" w:cs="Arial"/>
          <w:sz w:val="22"/>
          <w:szCs w:val="22"/>
        </w:rPr>
        <w:t>of the Bank is in Country A, this should be recognized as a foreign main proceeding in the English Courts. The fact that country A has not adopted the MLCBI still leaves a chance of the proceedings being recognized on the principle of comity. It should be noted that there’s no reciprocity requirement in respect of recognition applications. Therefore, it is unlikely that the foreign proceeding in Country A will be denied recognition by the English court solely on the basis of that country probably won’t provide equivalent relief to an English insolvency representative or from the English Courts.</w:t>
      </w:r>
      <w:r w:rsidRPr="00B933AE">
        <w:rPr>
          <w:rStyle w:val="FootnoteReference"/>
          <w:rFonts w:ascii="Arial" w:hAnsi="Arial" w:cs="Arial"/>
          <w:sz w:val="22"/>
          <w:szCs w:val="22"/>
        </w:rPr>
        <w:footnoteReference w:id="15"/>
      </w:r>
    </w:p>
    <w:p w14:paraId="262346A8" w14:textId="35872EC4" w:rsidR="00FA69A8" w:rsidRPr="00B933AE" w:rsidRDefault="00FA69A8" w:rsidP="00FA69A8">
      <w:pPr>
        <w:jc w:val="both"/>
        <w:rPr>
          <w:rFonts w:ascii="Arial" w:hAnsi="Arial" w:cs="Arial"/>
          <w:sz w:val="22"/>
          <w:szCs w:val="22"/>
        </w:rPr>
      </w:pPr>
      <w:r w:rsidRPr="00B933AE">
        <w:rPr>
          <w:rFonts w:ascii="Arial" w:hAnsi="Arial" w:cs="Arial"/>
          <w:sz w:val="22"/>
          <w:szCs w:val="22"/>
        </w:rPr>
        <w:t>Also, the proceeding involves assets (various establishments or entities) registered in England which makes it viable for recognition by the English court to ensure that all assets and affairs of the bank are dealt with in the liquidation. Foreign non-main proceedings were commenced in the High Court of England and Wales(Chancery) against various defendants on 11 February 2021 in respect of these establishments.</w:t>
      </w:r>
    </w:p>
    <w:p w14:paraId="1E19DFE9" w14:textId="77D8D6ED" w:rsidR="000A4E89" w:rsidRPr="00B933AE" w:rsidRDefault="000A4E89" w:rsidP="00FA69A8">
      <w:pPr>
        <w:jc w:val="both"/>
        <w:rPr>
          <w:rFonts w:ascii="Arial" w:hAnsi="Arial" w:cs="Arial"/>
          <w:sz w:val="22"/>
          <w:szCs w:val="22"/>
        </w:rPr>
      </w:pPr>
    </w:p>
    <w:p w14:paraId="54BA2A3F" w14:textId="50FBCE74" w:rsidR="000A4E89" w:rsidRPr="00B933AE" w:rsidRDefault="000A4E89" w:rsidP="000A4E89">
      <w:pPr>
        <w:jc w:val="both"/>
        <w:rPr>
          <w:rFonts w:ascii="Arial" w:hAnsi="Arial" w:cs="Arial"/>
          <w:sz w:val="22"/>
          <w:szCs w:val="22"/>
        </w:rPr>
      </w:pPr>
      <w:r w:rsidRPr="00B933AE">
        <w:rPr>
          <w:rFonts w:ascii="Arial" w:hAnsi="Arial" w:cs="Arial"/>
          <w:sz w:val="22"/>
          <w:szCs w:val="22"/>
        </w:rPr>
        <w:t xml:space="preserve">It’s fine for the English court to presume the authenticity of resolution, formal notice of the revocation of the Bank’s banking </w:t>
      </w:r>
      <w:proofErr w:type="spellStart"/>
      <w:r w:rsidRPr="00B933AE">
        <w:rPr>
          <w:rFonts w:ascii="Arial" w:hAnsi="Arial" w:cs="Arial"/>
          <w:sz w:val="22"/>
          <w:szCs w:val="22"/>
        </w:rPr>
        <w:t>licence</w:t>
      </w:r>
      <w:proofErr w:type="spellEnd"/>
      <w:r w:rsidRPr="00B933AE">
        <w:rPr>
          <w:rFonts w:ascii="Arial" w:hAnsi="Arial" w:cs="Arial"/>
          <w:sz w:val="22"/>
          <w:szCs w:val="22"/>
        </w:rPr>
        <w:t xml:space="preserve"> under article 16 and the order which may have been made in relation to the extension of the liquidation indefinitely  on 14 December 2020 in order to perhaps find solution for all stakeholders (having an amended list of creditors’ claims totaling approximately USD 1.113 billion and estimated deficiency exceeding USD 823 million) in this collective proceeding being subject to the scrutiny of the English court.</w:t>
      </w:r>
    </w:p>
    <w:p w14:paraId="4533D1A6" w14:textId="77777777" w:rsidR="00B933AE" w:rsidRDefault="00B933AE" w:rsidP="0087516E">
      <w:pPr>
        <w:jc w:val="both"/>
        <w:rPr>
          <w:rFonts w:ascii="Arial" w:hAnsi="Arial" w:cs="Arial"/>
          <w:sz w:val="22"/>
          <w:szCs w:val="22"/>
        </w:rPr>
      </w:pPr>
    </w:p>
    <w:p w14:paraId="5DC26BFA" w14:textId="612E3854" w:rsidR="0087516E" w:rsidRPr="00B933AE" w:rsidRDefault="0087516E" w:rsidP="0087516E">
      <w:pPr>
        <w:jc w:val="both"/>
        <w:rPr>
          <w:rFonts w:ascii="Arial" w:hAnsi="Arial" w:cs="Arial"/>
          <w:sz w:val="22"/>
          <w:szCs w:val="22"/>
        </w:rPr>
      </w:pPr>
      <w:r w:rsidRPr="00B933AE">
        <w:rPr>
          <w:rFonts w:ascii="Arial" w:hAnsi="Arial" w:cs="Arial"/>
          <w:sz w:val="22"/>
          <w:szCs w:val="22"/>
        </w:rPr>
        <w:t xml:space="preserve">Under Article 15 of the MLCBI, the DGF could provide a copy of the petition commencing the foreign proceeding in Country A or even the order made in the judicial proceeding for the </w:t>
      </w:r>
      <w:r w:rsidRPr="00B933AE">
        <w:rPr>
          <w:rFonts w:ascii="Arial" w:hAnsi="Arial" w:cs="Arial"/>
          <w:sz w:val="22"/>
          <w:szCs w:val="22"/>
        </w:rPr>
        <w:lastRenderedPageBreak/>
        <w:t xml:space="preserve">purpose of proving its existence for the English Court. Other evidence for proof of foreign proceeding existing could be the NB formal </w:t>
      </w:r>
      <w:r w:rsidR="001B5CA0" w:rsidRPr="00B933AE">
        <w:rPr>
          <w:rFonts w:ascii="Arial" w:hAnsi="Arial" w:cs="Arial"/>
          <w:sz w:val="22"/>
          <w:szCs w:val="22"/>
        </w:rPr>
        <w:t>notice</w:t>
      </w:r>
      <w:r w:rsidRPr="00B933AE">
        <w:rPr>
          <w:rFonts w:ascii="Arial" w:hAnsi="Arial" w:cs="Arial"/>
          <w:sz w:val="22"/>
          <w:szCs w:val="22"/>
        </w:rPr>
        <w:t xml:space="preserve"> revoking the banking </w:t>
      </w:r>
      <w:proofErr w:type="spellStart"/>
      <w:r w:rsidRPr="00B933AE">
        <w:rPr>
          <w:rFonts w:ascii="Arial" w:hAnsi="Arial" w:cs="Arial"/>
          <w:sz w:val="22"/>
          <w:szCs w:val="22"/>
        </w:rPr>
        <w:t>licence</w:t>
      </w:r>
      <w:proofErr w:type="spellEnd"/>
      <w:r w:rsidRPr="00B933AE">
        <w:rPr>
          <w:rFonts w:ascii="Arial" w:hAnsi="Arial" w:cs="Arial"/>
          <w:sz w:val="22"/>
          <w:szCs w:val="22"/>
        </w:rPr>
        <w:t xml:space="preserve"> and obviously Article 77 of the LBBA which automatically appointed DGF as the liquidator in this instance. If there are any other proceedings known to the DGF or </w:t>
      </w:r>
      <w:proofErr w:type="spellStart"/>
      <w:r w:rsidRPr="00B933AE">
        <w:rPr>
          <w:rFonts w:ascii="Arial" w:hAnsi="Arial" w:cs="Arial"/>
          <w:sz w:val="22"/>
          <w:szCs w:val="22"/>
        </w:rPr>
        <w:t>Mrs</w:t>
      </w:r>
      <w:proofErr w:type="spellEnd"/>
      <w:r w:rsidRPr="00B933AE">
        <w:rPr>
          <w:rFonts w:ascii="Arial" w:hAnsi="Arial" w:cs="Arial"/>
          <w:sz w:val="22"/>
          <w:szCs w:val="22"/>
        </w:rPr>
        <w:t xml:space="preserve"> G, they should be attached as part of the recognition application. </w:t>
      </w:r>
    </w:p>
    <w:p w14:paraId="7F9C5B70" w14:textId="6D44DAB3" w:rsidR="00FA69A8" w:rsidRPr="00B933AE" w:rsidRDefault="00FA69A8" w:rsidP="00957951">
      <w:pPr>
        <w:ind w:left="720" w:hanging="720"/>
        <w:jc w:val="both"/>
        <w:rPr>
          <w:rFonts w:ascii="Arial" w:hAnsi="Arial" w:cs="Arial"/>
          <w:color w:val="000000"/>
          <w:sz w:val="22"/>
          <w:szCs w:val="22"/>
          <w:lang w:val="en-GB" w:eastAsia="en-GB"/>
        </w:rPr>
      </w:pPr>
    </w:p>
    <w:p w14:paraId="26DAA8A1" w14:textId="46B65FB6" w:rsidR="00D40632" w:rsidRPr="00B933AE" w:rsidRDefault="00525967" w:rsidP="00D40632">
      <w:pPr>
        <w:jc w:val="both"/>
        <w:rPr>
          <w:rFonts w:ascii="Arial" w:hAnsi="Arial" w:cs="Arial"/>
          <w:sz w:val="22"/>
          <w:szCs w:val="22"/>
        </w:rPr>
      </w:pPr>
      <w:r>
        <w:rPr>
          <w:rFonts w:ascii="Arial" w:hAnsi="Arial" w:cs="Arial"/>
          <w:sz w:val="22"/>
          <w:szCs w:val="22"/>
        </w:rPr>
        <w:t>With the court able to presume that all documentation provided by the DGF or Mrs. G on behalf of the DGF in relation to the foreign liquidation proceedings in Country A are authentic under Article 16 MLCBI, this includes those documents provided in respect of the appointment of DGF as liquidator under the LBBA laws in Country A. Having said this</w:t>
      </w:r>
      <w:r w:rsidR="000A4E89" w:rsidRPr="00B933AE">
        <w:rPr>
          <w:rFonts w:ascii="Arial" w:hAnsi="Arial" w:cs="Arial"/>
          <w:sz w:val="22"/>
          <w:szCs w:val="22"/>
        </w:rPr>
        <w:t>, this proceeding</w:t>
      </w:r>
      <w:r w:rsidR="00A37152" w:rsidRPr="00B933AE">
        <w:rPr>
          <w:rFonts w:ascii="Arial" w:hAnsi="Arial" w:cs="Arial"/>
          <w:sz w:val="22"/>
          <w:szCs w:val="22"/>
        </w:rPr>
        <w:t xml:space="preserve"> </w:t>
      </w:r>
      <w:r w:rsidR="00F7246D" w:rsidRPr="00B933AE">
        <w:rPr>
          <w:rFonts w:ascii="Arial" w:hAnsi="Arial" w:cs="Arial"/>
          <w:sz w:val="22"/>
          <w:szCs w:val="22"/>
        </w:rPr>
        <w:t>commenced</w:t>
      </w:r>
      <w:r w:rsidR="00A37152" w:rsidRPr="00B933AE">
        <w:rPr>
          <w:rFonts w:ascii="Arial" w:hAnsi="Arial" w:cs="Arial"/>
          <w:sz w:val="22"/>
          <w:szCs w:val="22"/>
        </w:rPr>
        <w:t xml:space="preserve"> by the DGF in Country A in respect of the Bank’s liquidation should be eligible for recognition under article 17 MLCBI by the English Court</w:t>
      </w:r>
      <w:r w:rsidR="00F7246D" w:rsidRPr="00B933AE">
        <w:rPr>
          <w:rFonts w:ascii="Arial" w:hAnsi="Arial" w:cs="Arial"/>
          <w:sz w:val="22"/>
          <w:szCs w:val="22"/>
        </w:rPr>
        <w:t>,</w:t>
      </w:r>
      <w:r w:rsidR="00A37152" w:rsidRPr="00B933AE">
        <w:rPr>
          <w:rFonts w:ascii="Arial" w:hAnsi="Arial" w:cs="Arial"/>
          <w:sz w:val="22"/>
          <w:szCs w:val="22"/>
        </w:rPr>
        <w:t xml:space="preserve"> as it satisfies </w:t>
      </w:r>
      <w:r w:rsidR="000A4E89" w:rsidRPr="00B933AE">
        <w:rPr>
          <w:rFonts w:ascii="Arial" w:hAnsi="Arial" w:cs="Arial"/>
          <w:sz w:val="22"/>
          <w:szCs w:val="22"/>
        </w:rPr>
        <w:t xml:space="preserve">the criteria of </w:t>
      </w:r>
      <w:r w:rsidR="00A37152" w:rsidRPr="00B933AE">
        <w:rPr>
          <w:rFonts w:ascii="Arial" w:hAnsi="Arial" w:cs="Arial"/>
          <w:sz w:val="22"/>
          <w:szCs w:val="22"/>
        </w:rPr>
        <w:t xml:space="preserve">a </w:t>
      </w:r>
      <w:r w:rsidR="000A4E89" w:rsidRPr="00B933AE">
        <w:rPr>
          <w:rFonts w:ascii="Arial" w:hAnsi="Arial" w:cs="Arial"/>
          <w:sz w:val="22"/>
          <w:szCs w:val="22"/>
        </w:rPr>
        <w:t>foreign proceedings within the meani</w:t>
      </w:r>
      <w:r w:rsidR="00D40632" w:rsidRPr="00B933AE">
        <w:rPr>
          <w:rFonts w:ascii="Arial" w:hAnsi="Arial" w:cs="Arial"/>
          <w:sz w:val="22"/>
          <w:szCs w:val="22"/>
        </w:rPr>
        <w:t xml:space="preserve">ng of Article 2(a) of the MLCBI and </w:t>
      </w:r>
      <w:r w:rsidR="00F7246D" w:rsidRPr="00B933AE">
        <w:rPr>
          <w:rFonts w:ascii="Arial" w:hAnsi="Arial" w:cs="Arial"/>
          <w:sz w:val="22"/>
          <w:szCs w:val="22"/>
        </w:rPr>
        <w:t>would qualify</w:t>
      </w:r>
      <w:r w:rsidR="00D40632" w:rsidRPr="00B933AE">
        <w:rPr>
          <w:rFonts w:ascii="Arial" w:hAnsi="Arial" w:cs="Arial"/>
          <w:sz w:val="22"/>
          <w:szCs w:val="22"/>
        </w:rPr>
        <w:t xml:space="preserve"> as a foreign proceeding</w:t>
      </w:r>
      <w:r w:rsidR="000F66D5" w:rsidRPr="00B933AE">
        <w:rPr>
          <w:rFonts w:ascii="Arial" w:hAnsi="Arial" w:cs="Arial"/>
          <w:sz w:val="22"/>
          <w:szCs w:val="22"/>
        </w:rPr>
        <w:t xml:space="preserve"> recognition application</w:t>
      </w:r>
      <w:r w:rsidR="00D40632" w:rsidRPr="00B933AE">
        <w:rPr>
          <w:rFonts w:ascii="Arial" w:hAnsi="Arial" w:cs="Arial"/>
          <w:sz w:val="22"/>
          <w:szCs w:val="22"/>
        </w:rPr>
        <w:t xml:space="preserve"> under the requirements set out in Article 15(2) of the MLCBI.</w:t>
      </w:r>
    </w:p>
    <w:p w14:paraId="46C73D82" w14:textId="2328D988" w:rsidR="00FA69A8" w:rsidRDefault="00FA69A8" w:rsidP="00A1126D">
      <w:pPr>
        <w:jc w:val="both"/>
        <w:rPr>
          <w:rFonts w:ascii="Avenir Next" w:hAnsi="Avenir Next" w:cs="Arial"/>
          <w:color w:val="000000"/>
          <w:sz w:val="22"/>
          <w:szCs w:val="22"/>
          <w:lang w:val="en-GB" w:eastAsia="en-GB"/>
        </w:rPr>
      </w:pPr>
    </w:p>
    <w:p w14:paraId="7BDDA36C" w14:textId="0BBA640B" w:rsidR="00FA69A8" w:rsidRDefault="00FA69A8" w:rsidP="00957951">
      <w:pPr>
        <w:ind w:left="720" w:hanging="720"/>
        <w:jc w:val="both"/>
        <w:rPr>
          <w:rFonts w:ascii="Avenir Next" w:hAnsi="Avenir Next" w:cs="Arial"/>
          <w:color w:val="000000"/>
          <w:sz w:val="22"/>
          <w:szCs w:val="22"/>
          <w:lang w:val="en-GB" w:eastAsia="en-GB"/>
        </w:rPr>
      </w:pPr>
    </w:p>
    <w:p w14:paraId="365AA1D6" w14:textId="4B2B0FB9"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1FFFA1EC" w14:textId="77777777" w:rsidR="000A4E89" w:rsidRDefault="000A4E89" w:rsidP="000A4E89">
      <w:pPr>
        <w:spacing w:after="160" w:line="259" w:lineRule="auto"/>
        <w:jc w:val="both"/>
        <w:rPr>
          <w:color w:val="FF0000"/>
        </w:rPr>
      </w:pPr>
    </w:p>
    <w:p w14:paraId="5D3D93C2" w14:textId="2124E8B1" w:rsidR="000A4E89" w:rsidRPr="00C93FE5" w:rsidRDefault="000A4E89" w:rsidP="000A4E89">
      <w:pPr>
        <w:spacing w:after="160" w:line="259" w:lineRule="auto"/>
        <w:jc w:val="both"/>
        <w:rPr>
          <w:rFonts w:ascii="Arial" w:hAnsi="Arial" w:cs="Arial"/>
          <w:sz w:val="22"/>
        </w:rPr>
      </w:pPr>
      <w:r w:rsidRPr="00C93FE5">
        <w:rPr>
          <w:rFonts w:ascii="Arial" w:hAnsi="Arial" w:cs="Arial"/>
          <w:sz w:val="22"/>
        </w:rPr>
        <w:t>The following elements of foreign representative which will need to be satisfied are:</w:t>
      </w:r>
    </w:p>
    <w:p w14:paraId="133DC682" w14:textId="133F5A77" w:rsidR="000A4E89" w:rsidRPr="00C93FE5" w:rsidRDefault="000A4E89" w:rsidP="000A4E89">
      <w:pPr>
        <w:jc w:val="both"/>
        <w:rPr>
          <w:rFonts w:ascii="Arial" w:hAnsi="Arial" w:cs="Arial"/>
          <w:sz w:val="22"/>
        </w:rPr>
      </w:pPr>
      <w:r w:rsidRPr="00C93FE5">
        <w:rPr>
          <w:rFonts w:ascii="Arial" w:hAnsi="Arial" w:cs="Arial"/>
          <w:b/>
          <w:sz w:val="22"/>
        </w:rPr>
        <w:t>Person/body appointed on an interim basis</w:t>
      </w:r>
      <w:r w:rsidRPr="00C93FE5">
        <w:rPr>
          <w:rFonts w:ascii="Arial" w:hAnsi="Arial" w:cs="Arial"/>
          <w:sz w:val="22"/>
        </w:rPr>
        <w:t xml:space="preserve">- the DGF is a governmental body which was </w:t>
      </w:r>
      <w:r w:rsidR="0087516E" w:rsidRPr="00C93FE5">
        <w:rPr>
          <w:rFonts w:ascii="Arial" w:hAnsi="Arial" w:cs="Arial"/>
          <w:sz w:val="22"/>
        </w:rPr>
        <w:t xml:space="preserve">automatically </w:t>
      </w:r>
      <w:r w:rsidRPr="00C93FE5">
        <w:rPr>
          <w:rFonts w:ascii="Arial" w:hAnsi="Arial" w:cs="Arial"/>
          <w:sz w:val="22"/>
        </w:rPr>
        <w:t>appointed upon the Bank</w:t>
      </w:r>
      <w:r w:rsidR="0087516E" w:rsidRPr="00C93FE5">
        <w:rPr>
          <w:rFonts w:ascii="Arial" w:hAnsi="Arial" w:cs="Arial"/>
          <w:sz w:val="22"/>
        </w:rPr>
        <w:t xml:space="preserve"> losing it</w:t>
      </w:r>
      <w:r w:rsidR="001B5CA0" w:rsidRPr="00C93FE5">
        <w:rPr>
          <w:rFonts w:ascii="Arial" w:hAnsi="Arial" w:cs="Arial"/>
          <w:sz w:val="22"/>
        </w:rPr>
        <w:t xml:space="preserve">s banking </w:t>
      </w:r>
      <w:proofErr w:type="spellStart"/>
      <w:r w:rsidR="001B5CA0" w:rsidRPr="00C93FE5">
        <w:rPr>
          <w:rFonts w:ascii="Arial" w:hAnsi="Arial" w:cs="Arial"/>
          <w:sz w:val="22"/>
        </w:rPr>
        <w:t>licence</w:t>
      </w:r>
      <w:proofErr w:type="spellEnd"/>
      <w:r w:rsidR="001B5CA0" w:rsidRPr="00C93FE5">
        <w:rPr>
          <w:rFonts w:ascii="Arial" w:hAnsi="Arial" w:cs="Arial"/>
          <w:sz w:val="22"/>
        </w:rPr>
        <w:t xml:space="preserve"> as per </w:t>
      </w:r>
      <w:proofErr w:type="spellStart"/>
      <w:r w:rsidR="001B5CA0" w:rsidRPr="00C93FE5">
        <w:rPr>
          <w:rFonts w:ascii="Arial" w:hAnsi="Arial" w:cs="Arial"/>
          <w:sz w:val="22"/>
        </w:rPr>
        <w:t>Aricle</w:t>
      </w:r>
      <w:proofErr w:type="spellEnd"/>
      <w:r w:rsidR="001B5CA0" w:rsidRPr="00C93FE5">
        <w:rPr>
          <w:rFonts w:ascii="Arial" w:hAnsi="Arial" w:cs="Arial"/>
          <w:sz w:val="22"/>
        </w:rPr>
        <w:t xml:space="preserve"> 77 of the LBBA, having commenced liquidation proceedings shortly after</w:t>
      </w:r>
      <w:r w:rsidR="002F68D4" w:rsidRPr="00C93FE5">
        <w:rPr>
          <w:rFonts w:ascii="Arial" w:hAnsi="Arial" w:cs="Arial"/>
          <w:sz w:val="22"/>
        </w:rPr>
        <w:t xml:space="preserve"> against the Bank</w:t>
      </w:r>
      <w:r w:rsidR="00C93FE5" w:rsidRPr="00C93FE5">
        <w:rPr>
          <w:rFonts w:ascii="Arial" w:hAnsi="Arial" w:cs="Arial"/>
          <w:sz w:val="22"/>
        </w:rPr>
        <w:t>. It is primarily</w:t>
      </w:r>
      <w:r w:rsidRPr="00C93FE5">
        <w:rPr>
          <w:rFonts w:ascii="Arial" w:hAnsi="Arial" w:cs="Arial"/>
          <w:sz w:val="22"/>
        </w:rPr>
        <w:t xml:space="preserve"> responsible for </w:t>
      </w:r>
      <w:r w:rsidR="002F68D4" w:rsidRPr="00C93FE5">
        <w:rPr>
          <w:rFonts w:ascii="Arial" w:hAnsi="Arial" w:cs="Arial"/>
          <w:sz w:val="22"/>
        </w:rPr>
        <w:t xml:space="preserve">the management of assets and affairs </w:t>
      </w:r>
      <w:r w:rsidR="00C93FE5" w:rsidRPr="00C93FE5">
        <w:rPr>
          <w:rFonts w:ascii="Arial" w:hAnsi="Arial" w:cs="Arial"/>
          <w:sz w:val="22"/>
        </w:rPr>
        <w:t>belonging to the B</w:t>
      </w:r>
      <w:r w:rsidR="002F68D4" w:rsidRPr="00C93FE5">
        <w:rPr>
          <w:rFonts w:ascii="Arial" w:hAnsi="Arial" w:cs="Arial"/>
          <w:sz w:val="22"/>
        </w:rPr>
        <w:t>ank.</w:t>
      </w:r>
      <w:r w:rsidR="00C93FE5" w:rsidRPr="00C93FE5">
        <w:rPr>
          <w:rFonts w:ascii="Arial" w:hAnsi="Arial" w:cs="Arial"/>
          <w:sz w:val="22"/>
        </w:rPr>
        <w:t xml:space="preserve"> As mentioned above, the law (LBBA) in Country A setting out the automatic appointment of the DGF would be sufficient proof as well for the foreign representative’s recognition. </w:t>
      </w:r>
    </w:p>
    <w:p w14:paraId="317232FA" w14:textId="77777777" w:rsidR="002F68D4" w:rsidRPr="00C93FE5" w:rsidRDefault="002F68D4" w:rsidP="000A4E89">
      <w:pPr>
        <w:jc w:val="both"/>
        <w:rPr>
          <w:rFonts w:ascii="Arial" w:hAnsi="Arial" w:cs="Arial"/>
          <w:b/>
          <w:sz w:val="22"/>
        </w:rPr>
      </w:pPr>
    </w:p>
    <w:p w14:paraId="72CE80B8" w14:textId="5956475E" w:rsidR="000A4E89" w:rsidRPr="00C93FE5" w:rsidRDefault="000A4E89" w:rsidP="00C93FE5">
      <w:pPr>
        <w:jc w:val="both"/>
        <w:rPr>
          <w:rFonts w:ascii="Arial" w:hAnsi="Arial" w:cs="Arial"/>
          <w:sz w:val="22"/>
        </w:rPr>
      </w:pPr>
      <w:r w:rsidRPr="00C93FE5">
        <w:rPr>
          <w:rFonts w:ascii="Arial" w:hAnsi="Arial" w:cs="Arial"/>
          <w:b/>
          <w:sz w:val="22"/>
        </w:rPr>
        <w:t xml:space="preserve">Authorized in a foreign proceeding </w:t>
      </w:r>
      <w:r w:rsidRPr="00C93FE5">
        <w:rPr>
          <w:rFonts w:ascii="Arial" w:hAnsi="Arial" w:cs="Arial"/>
          <w:sz w:val="22"/>
        </w:rPr>
        <w:t xml:space="preserve">– once the DGF commenced liquidation proceedings </w:t>
      </w:r>
      <w:r w:rsidR="002F68D4" w:rsidRPr="00C93FE5">
        <w:rPr>
          <w:rFonts w:ascii="Arial" w:hAnsi="Arial" w:cs="Arial"/>
          <w:sz w:val="22"/>
        </w:rPr>
        <w:t xml:space="preserve">in State A </w:t>
      </w:r>
      <w:r w:rsidRPr="00C93FE5">
        <w:rPr>
          <w:rFonts w:ascii="Arial" w:hAnsi="Arial" w:cs="Arial"/>
          <w:sz w:val="22"/>
        </w:rPr>
        <w:t>under article 77 of the LBBA, the DGF automatically became the liquidator of the Bank upon the revocation and acquired full powers of a liquidator; hence the DGF was properly appointed as liquidator of the insolvent bank in accordance with the LBBA laws of Country A and not done necessarily by the court. Under the Model Law, it doesn’t specify that a foreign representative muse be authorized by the foreign court.</w:t>
      </w:r>
      <w:r w:rsidR="006F4E9E" w:rsidRPr="00C93FE5">
        <w:rPr>
          <w:rFonts w:ascii="Arial" w:hAnsi="Arial" w:cs="Arial"/>
          <w:sz w:val="22"/>
        </w:rPr>
        <w:t xml:space="preserve"> Th</w:t>
      </w:r>
      <w:r w:rsidR="002F68D4" w:rsidRPr="00C93FE5">
        <w:rPr>
          <w:rFonts w:ascii="Arial" w:hAnsi="Arial" w:cs="Arial"/>
          <w:sz w:val="22"/>
        </w:rPr>
        <w:t xml:space="preserve">is would have been authorized in the </w:t>
      </w:r>
      <w:r w:rsidR="006F4E9E" w:rsidRPr="00C93FE5">
        <w:rPr>
          <w:rFonts w:ascii="Arial" w:hAnsi="Arial" w:cs="Arial"/>
          <w:sz w:val="22"/>
        </w:rPr>
        <w:t>by the NB under the LBBA Act and</w:t>
      </w:r>
      <w:r w:rsidR="002F68D4" w:rsidRPr="00C93FE5">
        <w:rPr>
          <w:rFonts w:ascii="Arial" w:hAnsi="Arial" w:cs="Arial"/>
          <w:sz w:val="22"/>
        </w:rPr>
        <w:t xml:space="preserve"> the court has acknowledged DGF’s role as liquidator</w:t>
      </w:r>
      <w:r w:rsidR="00B933AE" w:rsidRPr="00C93FE5">
        <w:rPr>
          <w:rFonts w:ascii="Arial" w:hAnsi="Arial" w:cs="Arial"/>
          <w:sz w:val="22"/>
        </w:rPr>
        <w:t xml:space="preserve"> in the course of the proceeding</w:t>
      </w:r>
      <w:r w:rsidR="002F68D4" w:rsidRPr="00C93FE5">
        <w:rPr>
          <w:rFonts w:ascii="Arial" w:hAnsi="Arial" w:cs="Arial"/>
          <w:sz w:val="22"/>
        </w:rPr>
        <w:t xml:space="preserve"> for the purpose of the liquidation and allows it to continue the investigation of the assets and affairs of the Bank.</w:t>
      </w:r>
      <w:r w:rsidR="00C93FE5" w:rsidRPr="00C93FE5">
        <w:rPr>
          <w:rFonts w:ascii="Arial" w:hAnsi="Arial" w:cs="Arial"/>
          <w:sz w:val="22"/>
        </w:rPr>
        <w:t xml:space="preserve"> Hence, the court in Country A acknowledges such appointment of the DGF as liquidator.</w:t>
      </w:r>
    </w:p>
    <w:p w14:paraId="101BCD6F" w14:textId="77777777" w:rsidR="00C93FE5" w:rsidRPr="00C93FE5" w:rsidRDefault="00C93FE5" w:rsidP="004D1F8D">
      <w:pPr>
        <w:jc w:val="both"/>
        <w:rPr>
          <w:rFonts w:ascii="Arial" w:hAnsi="Arial" w:cs="Arial"/>
          <w:b/>
          <w:sz w:val="22"/>
        </w:rPr>
      </w:pPr>
    </w:p>
    <w:p w14:paraId="2BC8E69E" w14:textId="7E793914" w:rsidR="00C93FE5" w:rsidRPr="00C93FE5" w:rsidRDefault="000A4E89" w:rsidP="004D1F8D">
      <w:pPr>
        <w:jc w:val="both"/>
        <w:rPr>
          <w:rFonts w:ascii="Arial" w:hAnsi="Arial" w:cs="Arial"/>
          <w:sz w:val="22"/>
        </w:rPr>
      </w:pPr>
      <w:r w:rsidRPr="00C93FE5">
        <w:rPr>
          <w:rFonts w:ascii="Arial" w:hAnsi="Arial" w:cs="Arial"/>
          <w:b/>
          <w:sz w:val="22"/>
        </w:rPr>
        <w:t>To administer the liquidation of the debtor’s assets or affairs or to act as a representative of the foreign proceeding</w:t>
      </w:r>
      <w:r w:rsidRPr="00C93FE5">
        <w:rPr>
          <w:rFonts w:ascii="Arial" w:hAnsi="Arial" w:cs="Arial"/>
          <w:sz w:val="22"/>
        </w:rPr>
        <w:t xml:space="preserve"> – The DGF is appointed to administer the assets and affairs of the Bank as well as to be the representative is any jurisdiction in which recognition is needed. The appointment of Mrs. C and then replacing her with Mrs. G would equate to them being authorized officers, delegated by the DGF and can also be seen as a valid appointment under article 48(3) of the DGF which allows the DGF to delegate its liquidation powers to an authorized officer.  Mrs. G is an employee of the DGF is a competent individual, who is allowed to perform actions to ensure that bank’s withdrawal from the market during the liquidation. Also she is a leading bank liquidation professional so she has the expertise in dealing with liquidation and therefore, is a good representative for investigating the affairs of the Bank. She effectively is controlling or trying to preserve or </w:t>
      </w:r>
      <w:proofErr w:type="spellStart"/>
      <w:r w:rsidRPr="00C93FE5">
        <w:rPr>
          <w:rFonts w:ascii="Arial" w:hAnsi="Arial" w:cs="Arial"/>
          <w:sz w:val="22"/>
        </w:rPr>
        <w:t>realise</w:t>
      </w:r>
      <w:proofErr w:type="spellEnd"/>
      <w:r w:rsidRPr="00C93FE5">
        <w:rPr>
          <w:rFonts w:ascii="Arial" w:hAnsi="Arial" w:cs="Arial"/>
          <w:sz w:val="22"/>
        </w:rPr>
        <w:t xml:space="preserve"> assets belonging to the Bank for the purpose of the liquidation by virtue of being delegated these roles by the DGF under article 48(3) of the DGF Law, although she does not have powers for selling the assets of the Bank but DGF retains this power and can engage in any sale of any </w:t>
      </w:r>
      <w:r w:rsidRPr="00C93FE5">
        <w:rPr>
          <w:rFonts w:ascii="Arial" w:hAnsi="Arial" w:cs="Arial"/>
          <w:sz w:val="22"/>
        </w:rPr>
        <w:lastRenderedPageBreak/>
        <w:t>assets so that creditors can be paid out of the proceeds of such sales if need be.</w:t>
      </w:r>
      <w:r w:rsidR="00C93FE5" w:rsidRPr="00C93FE5">
        <w:rPr>
          <w:rFonts w:ascii="Arial" w:hAnsi="Arial" w:cs="Arial"/>
          <w:sz w:val="22"/>
        </w:rPr>
        <w:t xml:space="preserve"> If there are any other proceedings known to the DGF or </w:t>
      </w:r>
      <w:proofErr w:type="spellStart"/>
      <w:r w:rsidR="00C93FE5" w:rsidRPr="00C93FE5">
        <w:rPr>
          <w:rFonts w:ascii="Arial" w:hAnsi="Arial" w:cs="Arial"/>
          <w:sz w:val="22"/>
        </w:rPr>
        <w:t>Mrs</w:t>
      </w:r>
      <w:proofErr w:type="spellEnd"/>
      <w:r w:rsidR="00C93FE5" w:rsidRPr="00C93FE5">
        <w:rPr>
          <w:rFonts w:ascii="Arial" w:hAnsi="Arial" w:cs="Arial"/>
          <w:sz w:val="22"/>
        </w:rPr>
        <w:t xml:space="preserve"> G, they should be attached as part of the recognition application.</w:t>
      </w:r>
    </w:p>
    <w:p w14:paraId="6F29BC47" w14:textId="77777777" w:rsidR="00C93FE5" w:rsidRPr="00C93FE5" w:rsidRDefault="00C93FE5" w:rsidP="004D1F8D">
      <w:pPr>
        <w:jc w:val="both"/>
        <w:rPr>
          <w:rFonts w:ascii="Arial" w:hAnsi="Arial" w:cs="Arial"/>
          <w:sz w:val="22"/>
        </w:rPr>
      </w:pPr>
    </w:p>
    <w:p w14:paraId="69C9E3BC" w14:textId="372F6898" w:rsidR="003C1EDB" w:rsidRPr="00C93FE5" w:rsidRDefault="000A4E89" w:rsidP="004D1F8D">
      <w:pPr>
        <w:jc w:val="both"/>
        <w:rPr>
          <w:rFonts w:ascii="Arial" w:hAnsi="Arial" w:cs="Arial"/>
          <w:sz w:val="22"/>
        </w:rPr>
      </w:pPr>
      <w:r w:rsidRPr="00C93FE5">
        <w:rPr>
          <w:rFonts w:ascii="Arial" w:hAnsi="Arial" w:cs="Arial"/>
          <w:sz w:val="22"/>
        </w:rPr>
        <w:t xml:space="preserve">Hence, the English court should recognize the Applicants, that being DGF and Mrs. G (on DGF’s behalf), as foreign representatives properly </w:t>
      </w:r>
      <w:r w:rsidR="00EA6D49">
        <w:rPr>
          <w:rFonts w:ascii="Arial" w:hAnsi="Arial" w:cs="Arial"/>
          <w:sz w:val="22"/>
        </w:rPr>
        <w:t xml:space="preserve">appointed and </w:t>
      </w:r>
      <w:bookmarkStart w:id="28" w:name="_GoBack"/>
      <w:bookmarkEnd w:id="28"/>
      <w:r w:rsidRPr="00C93FE5">
        <w:rPr>
          <w:rFonts w:ascii="Arial" w:hAnsi="Arial" w:cs="Arial"/>
          <w:sz w:val="22"/>
        </w:rPr>
        <w:t xml:space="preserve">authorized to represent the Bank in foreign proceedings </w:t>
      </w:r>
      <w:r w:rsidR="0004449D" w:rsidRPr="00C93FE5">
        <w:rPr>
          <w:rFonts w:ascii="Arial" w:hAnsi="Arial" w:cs="Arial"/>
          <w:sz w:val="22"/>
        </w:rPr>
        <w:t xml:space="preserve">within the meaning of article 2(d) </w:t>
      </w:r>
      <w:r w:rsidRPr="00C93FE5">
        <w:rPr>
          <w:rFonts w:ascii="Arial" w:hAnsi="Arial" w:cs="Arial"/>
          <w:sz w:val="22"/>
        </w:rPr>
        <w:t>and to administer th</w:t>
      </w:r>
      <w:r w:rsidR="0004449D" w:rsidRPr="00C93FE5">
        <w:rPr>
          <w:rFonts w:ascii="Arial" w:hAnsi="Arial" w:cs="Arial"/>
          <w:sz w:val="22"/>
        </w:rPr>
        <w:t>e assets and affairs of the Bank</w:t>
      </w:r>
      <w:r w:rsidR="003C1EDB" w:rsidRPr="00C93FE5">
        <w:rPr>
          <w:rFonts w:ascii="Arial" w:hAnsi="Arial" w:cs="Arial"/>
          <w:sz w:val="22"/>
        </w:rPr>
        <w:t>; having qualified</w:t>
      </w:r>
      <w:r w:rsidR="000F66D5" w:rsidRPr="00C93FE5">
        <w:rPr>
          <w:rFonts w:ascii="Arial" w:hAnsi="Arial" w:cs="Arial"/>
          <w:sz w:val="22"/>
        </w:rPr>
        <w:t xml:space="preserve"> through proof of the LBBA provisions of the automatic appointment as liquidator of the Bank once the banking </w:t>
      </w:r>
      <w:proofErr w:type="spellStart"/>
      <w:r w:rsidR="000F66D5" w:rsidRPr="00C93FE5">
        <w:rPr>
          <w:rFonts w:ascii="Arial" w:hAnsi="Arial" w:cs="Arial"/>
          <w:sz w:val="22"/>
        </w:rPr>
        <w:t>licence</w:t>
      </w:r>
      <w:proofErr w:type="spellEnd"/>
      <w:r w:rsidR="000F66D5" w:rsidRPr="00C93FE5">
        <w:rPr>
          <w:rFonts w:ascii="Arial" w:hAnsi="Arial" w:cs="Arial"/>
          <w:sz w:val="22"/>
        </w:rPr>
        <w:t xml:space="preserve"> was revoke</w:t>
      </w:r>
      <w:r w:rsidR="00C93FE5" w:rsidRPr="00C93FE5">
        <w:rPr>
          <w:rFonts w:ascii="Arial" w:hAnsi="Arial" w:cs="Arial"/>
          <w:sz w:val="22"/>
        </w:rPr>
        <w:t>d</w:t>
      </w:r>
      <w:r w:rsidR="000F66D5" w:rsidRPr="00C93FE5">
        <w:rPr>
          <w:rFonts w:ascii="Arial" w:hAnsi="Arial" w:cs="Arial"/>
          <w:sz w:val="22"/>
        </w:rPr>
        <w:t xml:space="preserve"> for the purpose of commencing </w:t>
      </w:r>
      <w:r w:rsidR="00C93FE5" w:rsidRPr="00C93FE5">
        <w:rPr>
          <w:rFonts w:ascii="Arial" w:hAnsi="Arial" w:cs="Arial"/>
          <w:sz w:val="22"/>
        </w:rPr>
        <w:t xml:space="preserve">a </w:t>
      </w:r>
      <w:r w:rsidR="000F66D5" w:rsidRPr="00C93FE5">
        <w:rPr>
          <w:rFonts w:ascii="Arial" w:hAnsi="Arial" w:cs="Arial"/>
          <w:sz w:val="22"/>
        </w:rPr>
        <w:t xml:space="preserve">liquidation proceeding, </w:t>
      </w:r>
      <w:r w:rsidR="003C1EDB" w:rsidRPr="00C93FE5">
        <w:rPr>
          <w:rFonts w:ascii="Arial" w:hAnsi="Arial" w:cs="Arial"/>
          <w:sz w:val="22"/>
        </w:rPr>
        <w:t>under the requirements set out in Article 15(2) of the MLCBI.</w:t>
      </w:r>
      <w:r w:rsidR="00C93FE5" w:rsidRPr="00C93FE5">
        <w:rPr>
          <w:rFonts w:ascii="Arial" w:hAnsi="Arial" w:cs="Arial"/>
          <w:sz w:val="22"/>
        </w:rPr>
        <w:t xml:space="preserve"> </w:t>
      </w:r>
    </w:p>
    <w:p w14:paraId="34A9A661" w14:textId="77777777" w:rsidR="00C93FE5" w:rsidRDefault="00C93FE5" w:rsidP="008A7470">
      <w:pPr>
        <w:jc w:val="both"/>
        <w:rPr>
          <w:color w:val="FF0000"/>
        </w:rPr>
      </w:pPr>
    </w:p>
    <w:p w14:paraId="61FFC9F1" w14:textId="08E42D47"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A6DF3B4" w:rsidR="00A153F7" w:rsidRPr="00E2622D" w:rsidRDefault="00A153F7" w:rsidP="00707FC8">
      <w:pPr>
        <w:jc w:val="both"/>
        <w:rPr>
          <w:rFonts w:ascii="Avenir Next" w:hAnsi="Avenir Next" w:cs="Arial"/>
          <w:sz w:val="22"/>
          <w:szCs w:val="22"/>
          <w:lang w:val="en-GB"/>
        </w:rPr>
      </w:pP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9069A" w14:textId="77777777" w:rsidR="00901690" w:rsidRDefault="00901690" w:rsidP="00241B44">
      <w:r>
        <w:separator/>
      </w:r>
    </w:p>
  </w:endnote>
  <w:endnote w:type="continuationSeparator" w:id="0">
    <w:p w14:paraId="53453F2C" w14:textId="77777777" w:rsidR="00901690" w:rsidRDefault="0090169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Avenir Next">
    <w:altName w:val="Corbel"/>
    <w:charset w:val="00"/>
    <w:family w:val="swiss"/>
    <w:pitch w:val="variable"/>
    <w:sig w:usb0="00000001" w:usb1="5000204A" w:usb2="00000000" w:usb3="00000000" w:csb0="0000009B"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68880920"/>
      <w:docPartObj>
        <w:docPartGallery w:val="Page Numbers (Bottom of Page)"/>
        <w:docPartUnique/>
      </w:docPartObj>
    </w:sdtPr>
    <w:sdtEndPr>
      <w:rPr>
        <w:rStyle w:val="PageNumber"/>
      </w:rPr>
    </w:sdtEndPr>
    <w:sdtContent>
      <w:p w14:paraId="75DFA1A2" w14:textId="6BA13D30" w:rsidR="00072658" w:rsidRDefault="00072658"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072658" w:rsidRDefault="00072658" w:rsidP="00A70BB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A9987" w14:textId="6E59C970" w:rsidR="00072658" w:rsidRPr="000300E0" w:rsidRDefault="00072658" w:rsidP="00072658">
    <w:pPr>
      <w:pStyle w:val="Footer"/>
      <w:framePr w:wrap="none" w:vAnchor="text" w:hAnchor="margin" w:xAlign="right" w:y="1"/>
      <w:rPr>
        <w:rStyle w:val="PageNumber"/>
        <w:rFonts w:ascii="Avenir Next" w:hAnsi="Avenir Next"/>
        <w:sz w:val="22"/>
        <w:szCs w:val="22"/>
      </w:rPr>
    </w:pPr>
  </w:p>
  <w:p w14:paraId="6BA38AA4" w14:textId="0591D1DD" w:rsidR="00072658" w:rsidRDefault="00072658" w:rsidP="000300E0">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6495926"/>
      <w:docPartObj>
        <w:docPartGallery w:val="Page Numbers (Bottom of Page)"/>
        <w:docPartUnique/>
      </w:docPartObj>
    </w:sdtPr>
    <w:sdtEndPr>
      <w:rPr>
        <w:rStyle w:val="PageNumber"/>
      </w:rPr>
    </w:sdtEndPr>
    <w:sdtContent>
      <w:p w14:paraId="1F7F18A2" w14:textId="560E059B" w:rsidR="00072658" w:rsidRDefault="00072658" w:rsidP="000726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72658" w:rsidRPr="000300E0" w:rsidRDefault="00072658" w:rsidP="000300E0">
    <w:pPr>
      <w:pStyle w:val="Footer"/>
      <w:ind w:right="360"/>
      <w:rPr>
        <w:rFonts w:ascii="Avenir Next" w:hAnsi="Avenir Next" w:cs="Arial"/>
        <w:sz w:val="22"/>
        <w:szCs w:val="22"/>
      </w:rPr>
    </w:pPr>
  </w:p>
  <w:p w14:paraId="01028C96" w14:textId="77777777" w:rsidR="00072658" w:rsidRDefault="00072658">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E5745" w14:textId="2232CA1A" w:rsidR="00072658" w:rsidRPr="00B46CE2" w:rsidRDefault="00072658" w:rsidP="000300E0">
    <w:pPr>
      <w:pStyle w:val="Footer"/>
      <w:ind w:right="360"/>
      <w:rPr>
        <w:rFonts w:ascii="Avenir Next" w:hAnsi="Avenir Next"/>
        <w:sz w:val="22"/>
        <w:szCs w:val="22"/>
      </w:rPr>
    </w:pPr>
    <w:r>
      <w:rPr>
        <w:rFonts w:ascii="Avenir Next" w:hAnsi="Avenir Next"/>
        <w:sz w:val="22"/>
        <w:szCs w:val="22"/>
      </w:rPr>
      <w:t>202223-946</w:t>
    </w:r>
    <w:r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4211552C" w:rsidR="00072658" w:rsidRPr="000300E0" w:rsidRDefault="00072658"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00EA6D49">
          <w:rPr>
            <w:rStyle w:val="PageNumber"/>
            <w:rFonts w:ascii="Avenir Next" w:hAnsi="Avenir Next"/>
            <w:noProof/>
            <w:sz w:val="22"/>
            <w:szCs w:val="22"/>
          </w:rPr>
          <w:t>18</w:t>
        </w:r>
        <w:r w:rsidRPr="000300E0">
          <w:rPr>
            <w:rStyle w:val="PageNumber"/>
            <w:rFonts w:ascii="Avenir Next" w:hAnsi="Avenir Next"/>
            <w:sz w:val="22"/>
            <w:szCs w:val="22"/>
          </w:rPr>
          <w:fldChar w:fldCharType="end"/>
        </w:r>
      </w:p>
    </w:sdtContent>
  </w:sdt>
  <w:p w14:paraId="4C5B12BE" w14:textId="77777777" w:rsidR="00072658" w:rsidRPr="000300E0" w:rsidRDefault="00072658"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072658" w:rsidRDefault="0007265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B8207" w14:textId="77777777" w:rsidR="00901690" w:rsidRDefault="00901690" w:rsidP="00241B44">
      <w:r>
        <w:separator/>
      </w:r>
    </w:p>
  </w:footnote>
  <w:footnote w:type="continuationSeparator" w:id="0">
    <w:p w14:paraId="4EAA4FE3" w14:textId="77777777" w:rsidR="00901690" w:rsidRDefault="00901690" w:rsidP="00241B44">
      <w:r>
        <w:continuationSeparator/>
      </w:r>
    </w:p>
  </w:footnote>
  <w:footnote w:id="1">
    <w:p w14:paraId="775D5D86" w14:textId="6FDFD15C" w:rsidR="00072658" w:rsidRDefault="00072658" w:rsidP="003F2733">
      <w:pPr>
        <w:pStyle w:val="FootnoteText"/>
      </w:pPr>
      <w:r>
        <w:rPr>
          <w:rStyle w:val="FootnoteReference"/>
        </w:rPr>
        <w:footnoteRef/>
      </w:r>
      <w:r>
        <w:t xml:space="preserve"> Morning Mist Holdings Ltd v </w:t>
      </w:r>
      <w:proofErr w:type="spellStart"/>
      <w:r>
        <w:t>Krys</w:t>
      </w:r>
      <w:proofErr w:type="spellEnd"/>
      <w:r>
        <w:t xml:space="preserve"> (Matter of Fairfield Sentry Ltd) (2</w:t>
      </w:r>
      <w:r w:rsidRPr="00FF171C">
        <w:rPr>
          <w:vertAlign w:val="superscript"/>
        </w:rPr>
        <w:t>nd</w:t>
      </w:r>
      <w:r>
        <w:t xml:space="preserve"> Cir Appeals Apr. 16, 2013)</w:t>
      </w:r>
      <w:r w:rsidRPr="00F67D5C">
        <w:rPr>
          <w:color w:val="FF0000"/>
        </w:rPr>
        <w:t xml:space="preserve"> </w:t>
      </w:r>
    </w:p>
  </w:footnote>
  <w:footnote w:id="2">
    <w:p w14:paraId="2C2F7756" w14:textId="69E2EE9E" w:rsidR="00072658" w:rsidRDefault="00072658" w:rsidP="003F2733">
      <w:pPr>
        <w:pStyle w:val="FootnoteText"/>
      </w:pPr>
      <w:r>
        <w:rPr>
          <w:rStyle w:val="FootnoteReference"/>
        </w:rPr>
        <w:footnoteRef/>
      </w:r>
      <w:r w:rsidR="00247B3E">
        <w:t xml:space="preserve"> [2108] EWCA </w:t>
      </w:r>
      <w:proofErr w:type="spellStart"/>
      <w:r w:rsidR="00247B3E">
        <w:t>Civ</w:t>
      </w:r>
      <w:proofErr w:type="spellEnd"/>
      <w:r w:rsidR="00247B3E">
        <w:t xml:space="preserve"> 2802 (the IBA case appeal)</w:t>
      </w:r>
    </w:p>
  </w:footnote>
  <w:footnote w:id="3">
    <w:p w14:paraId="3401DE75" w14:textId="5869BE13" w:rsidR="00072658" w:rsidRDefault="00072658" w:rsidP="003F2733">
      <w:pPr>
        <w:pStyle w:val="FootnoteText"/>
      </w:pPr>
      <w:r>
        <w:rPr>
          <w:rStyle w:val="FootnoteReference"/>
        </w:rPr>
        <w:footnoteRef/>
      </w:r>
      <w:r>
        <w:t xml:space="preserve"> </w:t>
      </w:r>
      <w:r w:rsidR="00247B3E" w:rsidRPr="008C3C4D">
        <w:t xml:space="preserve">Professor </w:t>
      </w:r>
      <w:r w:rsidR="00247B3E">
        <w:t>Peter J M Declercq</w:t>
      </w:r>
      <w:r w:rsidR="00247B3E" w:rsidRPr="008C3C4D">
        <w:t xml:space="preserve">, Module </w:t>
      </w:r>
      <w:r w:rsidR="00247B3E">
        <w:t>2A</w:t>
      </w:r>
      <w:r w:rsidR="00247B3E" w:rsidRPr="008C3C4D">
        <w:t xml:space="preserve"> Guidance Text, </w:t>
      </w:r>
      <w:r w:rsidR="00247B3E">
        <w:t xml:space="preserve">UNCITRAL Model Laws Relating to Insolvency, </w:t>
      </w:r>
      <w:r w:rsidR="00247B3E" w:rsidRPr="008C3C4D">
        <w:t>2022/2023,</w:t>
      </w:r>
      <w:r w:rsidR="00247B3E">
        <w:t xml:space="preserve"> p</w:t>
      </w:r>
      <w:r>
        <w:t xml:space="preserve"> 40</w:t>
      </w:r>
    </w:p>
  </w:footnote>
  <w:footnote w:id="4">
    <w:p w14:paraId="2D070400" w14:textId="4809C2F1" w:rsidR="00072658" w:rsidRDefault="00072658" w:rsidP="00214202">
      <w:pPr>
        <w:pStyle w:val="FootnoteText"/>
      </w:pPr>
      <w:r>
        <w:rPr>
          <w:rStyle w:val="FootnoteReference"/>
        </w:rPr>
        <w:footnoteRef/>
      </w:r>
      <w:r>
        <w:t xml:space="preserve"> The Judicial Perspective, p17, para 14 also emphasized the continuing duty of disclosure the foreign representative has.; see Digest of Case Law, </w:t>
      </w:r>
      <w:proofErr w:type="spellStart"/>
      <w:r>
        <w:t>Ch</w:t>
      </w:r>
      <w:proofErr w:type="spellEnd"/>
      <w:r>
        <w:t xml:space="preserve"> III, Recognition of a foreign proceedings and relief, paras 2-3</w:t>
      </w:r>
    </w:p>
  </w:footnote>
  <w:footnote w:id="5">
    <w:p w14:paraId="64D32200" w14:textId="0FA23210" w:rsidR="00072658" w:rsidRDefault="00072658" w:rsidP="00072658">
      <w:pPr>
        <w:pStyle w:val="FootnoteText"/>
      </w:pPr>
      <w:r>
        <w:rPr>
          <w:rStyle w:val="FootnoteReference"/>
        </w:rPr>
        <w:footnoteRef/>
      </w:r>
      <w:r>
        <w:t xml:space="preserve"> UNCITRAL Model Law on Cross-Border Insolvency with Guide to Enactment and Interpretation, p19</w:t>
      </w:r>
    </w:p>
  </w:footnote>
  <w:footnote w:id="6">
    <w:p w14:paraId="12CC5988" w14:textId="1A3B10DE" w:rsidR="00072658" w:rsidRDefault="00072658" w:rsidP="000920F8">
      <w:pPr>
        <w:pStyle w:val="FootnoteText"/>
      </w:pPr>
      <w:r>
        <w:rPr>
          <w:rStyle w:val="FootnoteReference"/>
        </w:rPr>
        <w:footnoteRef/>
      </w:r>
      <w:r>
        <w:t xml:space="preserve"> </w:t>
      </w:r>
      <w:r>
        <w:rPr>
          <w:rFonts w:ascii="Book Antiqua" w:hAnsi="Book Antiqua"/>
          <w:i/>
          <w:iCs/>
          <w:color w:val="000000"/>
          <w:spacing w:val="-3"/>
          <w:lang w:val="en-GB"/>
        </w:rPr>
        <w:t>UNCITRAL Guide to Enactment pp36-37 at paras 57-61</w:t>
      </w:r>
    </w:p>
  </w:footnote>
  <w:footnote w:id="7">
    <w:p w14:paraId="2D6BCDF3" w14:textId="642FCDA2" w:rsidR="00072658" w:rsidRDefault="00072658">
      <w:pPr>
        <w:pStyle w:val="FootnoteText"/>
      </w:pPr>
      <w:r>
        <w:rPr>
          <w:rStyle w:val="FootnoteReference"/>
        </w:rPr>
        <w:footnoteRef/>
      </w:r>
      <w:r>
        <w:t xml:space="preserve"> [2010] UKSC 46</w:t>
      </w:r>
    </w:p>
  </w:footnote>
  <w:footnote w:id="8">
    <w:p w14:paraId="69E6973B" w14:textId="71153AF6" w:rsidR="00072658" w:rsidRDefault="00072658" w:rsidP="000920F8">
      <w:pPr>
        <w:pStyle w:val="FootnoteText"/>
      </w:pPr>
      <w:r>
        <w:rPr>
          <w:rStyle w:val="FootnoteReference"/>
        </w:rPr>
        <w:footnoteRef/>
      </w:r>
      <w:r>
        <w:t xml:space="preserve"> UNCITRAL Model Law on Cross-Border Insolvency with Guide to Enactment and Interpretation, p 30 </w:t>
      </w:r>
    </w:p>
  </w:footnote>
  <w:footnote w:id="9">
    <w:p w14:paraId="1CD0DDA6" w14:textId="216FE137" w:rsidR="00072658" w:rsidRDefault="00072658">
      <w:pPr>
        <w:pStyle w:val="FootnoteText"/>
      </w:pPr>
      <w:r>
        <w:rPr>
          <w:rStyle w:val="FootnoteReference"/>
        </w:rPr>
        <w:footnoteRef/>
      </w:r>
      <w:r>
        <w:t xml:space="preserve"> </w:t>
      </w:r>
      <w:r>
        <w:rPr>
          <w:rFonts w:ascii="Book Antiqua" w:hAnsi="Book Antiqua"/>
          <w:i/>
          <w:iCs/>
          <w:color w:val="000000"/>
          <w:spacing w:val="-3"/>
          <w:lang w:val="en-GB"/>
        </w:rPr>
        <w:t xml:space="preserve">UNCITRAL Guide to Enactment p 81 </w:t>
      </w:r>
    </w:p>
  </w:footnote>
  <w:footnote w:id="10">
    <w:p w14:paraId="7F3DDF2B" w14:textId="0B66EC85" w:rsidR="00072658" w:rsidRDefault="00072658" w:rsidP="00072658">
      <w:pPr>
        <w:pStyle w:val="FootnoteText"/>
      </w:pPr>
      <w:r>
        <w:rPr>
          <w:rStyle w:val="FootnoteReference"/>
        </w:rPr>
        <w:footnoteRef/>
      </w:r>
      <w:r>
        <w:t xml:space="preserve"> UNCITRAL Model Law on Cross-Border Insolvency with Guide to Enactment and Interpretation, p33</w:t>
      </w:r>
    </w:p>
  </w:footnote>
  <w:footnote w:id="11">
    <w:p w14:paraId="4E44AA3E" w14:textId="1F14FE00" w:rsidR="00072658" w:rsidRPr="00BE3DA7" w:rsidRDefault="00072658" w:rsidP="000920F8">
      <w:pPr>
        <w:autoSpaceDE w:val="0"/>
        <w:autoSpaceDN w:val="0"/>
        <w:adjustRightInd w:val="0"/>
        <w:rPr>
          <w:rFonts w:cstheme="minorHAnsi"/>
        </w:rPr>
      </w:pPr>
      <w:r>
        <w:rPr>
          <w:rStyle w:val="FootnoteReference"/>
        </w:rPr>
        <w:footnoteRef/>
      </w:r>
      <w:r>
        <w:rPr>
          <w:rFonts w:ascii="Book Antiqua" w:hAnsi="Book Antiqua"/>
          <w:i/>
          <w:iCs/>
          <w:color w:val="000000"/>
          <w:spacing w:val="-3"/>
          <w:lang w:val="en-GB"/>
        </w:rPr>
        <w:t>UNCITRAL Guide to Enactment</w:t>
      </w:r>
      <w:r>
        <w:t xml:space="preserve"> </w:t>
      </w:r>
      <w:r>
        <w:rPr>
          <w:rFonts w:cstheme="minorHAnsi"/>
        </w:rPr>
        <w:t>P</w:t>
      </w:r>
      <w:r w:rsidRPr="00BE3DA7">
        <w:rPr>
          <w:rFonts w:cstheme="minorHAnsi"/>
        </w:rPr>
        <w:t xml:space="preserve"> 91</w:t>
      </w:r>
    </w:p>
    <w:p w14:paraId="3B43F75F" w14:textId="77777777" w:rsidR="00072658" w:rsidRDefault="00072658" w:rsidP="000920F8">
      <w:pPr>
        <w:pStyle w:val="FootnoteText"/>
      </w:pPr>
    </w:p>
  </w:footnote>
  <w:footnote w:id="12">
    <w:p w14:paraId="25A55074" w14:textId="66D84CB5" w:rsidR="00072658" w:rsidRDefault="00072658" w:rsidP="00EE45E9">
      <w:pPr>
        <w:pStyle w:val="FootnoteText"/>
      </w:pPr>
      <w:r>
        <w:rPr>
          <w:rStyle w:val="FootnoteReference"/>
        </w:rPr>
        <w:footnoteRef/>
      </w:r>
      <w:r>
        <w:t xml:space="preserve"> UNCITRAL Model Law on Cross-Border Insolvency with Guide to Enactment and Interpretation, 81</w:t>
      </w:r>
    </w:p>
  </w:footnote>
  <w:footnote w:id="13">
    <w:p w14:paraId="15455EB8" w14:textId="41973156" w:rsidR="00072658" w:rsidRDefault="00072658" w:rsidP="00DA0A69">
      <w:pPr>
        <w:pStyle w:val="FootnoteText"/>
      </w:pPr>
      <w:r>
        <w:rPr>
          <w:rStyle w:val="FootnoteReference"/>
        </w:rPr>
        <w:footnoteRef/>
      </w:r>
      <w:r>
        <w:t xml:space="preserve"> UNCITRAL Model Law on Cross-Border Insolvency with Guide to Enactment and Interpretation, p88</w:t>
      </w:r>
    </w:p>
  </w:footnote>
  <w:footnote w:id="14">
    <w:p w14:paraId="6240194F" w14:textId="3CB81EE2" w:rsidR="00072658" w:rsidRDefault="00072658">
      <w:pPr>
        <w:pStyle w:val="FootnoteText"/>
      </w:pPr>
      <w:r>
        <w:rPr>
          <w:rStyle w:val="FootnoteReference"/>
        </w:rPr>
        <w:footnoteRef/>
      </w:r>
      <w:r>
        <w:t xml:space="preserve"> Order of 24 February 2021 by </w:t>
      </w:r>
      <w:proofErr w:type="spellStart"/>
      <w:r>
        <w:t>Mr</w:t>
      </w:r>
      <w:proofErr w:type="spellEnd"/>
      <w:r>
        <w:t xml:space="preserve"> Justice Adam Johnson, [2021] EWHC 392 (CH) (the </w:t>
      </w:r>
      <w:proofErr w:type="spellStart"/>
      <w:r>
        <w:t>Protasov</w:t>
      </w:r>
      <w:proofErr w:type="spellEnd"/>
      <w:r>
        <w:t xml:space="preserve"> v </w:t>
      </w:r>
      <w:proofErr w:type="spellStart"/>
      <w:r>
        <w:t>Derev</w:t>
      </w:r>
      <w:proofErr w:type="spellEnd"/>
      <w:r>
        <w:t xml:space="preserve"> Case).</w:t>
      </w:r>
    </w:p>
  </w:footnote>
  <w:footnote w:id="15">
    <w:p w14:paraId="325A6A62" w14:textId="77777777" w:rsidR="00072658" w:rsidRDefault="00072658" w:rsidP="00FA69A8">
      <w:pPr>
        <w:pStyle w:val="FootnoteText"/>
      </w:pPr>
      <w:r>
        <w:rPr>
          <w:rStyle w:val="FootnoteReference"/>
        </w:rPr>
        <w:footnoteRef/>
      </w:r>
      <w:r>
        <w:t xml:space="preserve"> The Judicial Perspective, p18, para 47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0B23396"/>
    <w:multiLevelType w:val="multilevel"/>
    <w:tmpl w:val="2B7A3CFA"/>
    <w:lvl w:ilvl="0">
      <w:start w:val="1"/>
      <w:numFmt w:val="decimal"/>
      <w:lvlText w:val="%1."/>
      <w:lvlJc w:val="left"/>
      <w:pPr>
        <w:ind w:left="360" w:hanging="360"/>
      </w:pPr>
      <w:rPr>
        <w:rFonts w:hint="default"/>
      </w:rPr>
    </w:lvl>
    <w:lvl w:ilvl="1">
      <w:start w:val="1"/>
      <w:numFmt w:val="bullet"/>
      <w:lvlText w:val=""/>
      <w:lvlJc w:val="left"/>
      <w:pPr>
        <w:ind w:left="630" w:hanging="360"/>
      </w:pPr>
      <w:rPr>
        <w:rFonts w:ascii="Wingdings" w:hAnsi="Wingding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8F3FC3"/>
    <w:multiLevelType w:val="hybridMultilevel"/>
    <w:tmpl w:val="48AC7166"/>
    <w:lvl w:ilvl="0" w:tplc="B98E1A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10"/>
  </w:num>
  <w:num w:numId="3">
    <w:abstractNumId w:val="5"/>
  </w:num>
  <w:num w:numId="4">
    <w:abstractNumId w:val="2"/>
  </w:num>
  <w:num w:numId="5">
    <w:abstractNumId w:val="15"/>
  </w:num>
  <w:num w:numId="6">
    <w:abstractNumId w:val="14"/>
  </w:num>
  <w:num w:numId="7">
    <w:abstractNumId w:val="12"/>
  </w:num>
  <w:num w:numId="8">
    <w:abstractNumId w:val="3"/>
  </w:num>
  <w:num w:numId="9">
    <w:abstractNumId w:val="4"/>
  </w:num>
  <w:num w:numId="10">
    <w:abstractNumId w:val="9"/>
  </w:num>
  <w:num w:numId="11">
    <w:abstractNumId w:val="0"/>
  </w:num>
  <w:num w:numId="12">
    <w:abstractNumId w:val="6"/>
  </w:num>
  <w:num w:numId="13">
    <w:abstractNumId w:val="7"/>
  </w:num>
  <w:num w:numId="14">
    <w:abstractNumId w:val="1"/>
  </w:num>
  <w:num w:numId="15">
    <w:abstractNumId w:val="8"/>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E0C"/>
    <w:rsid w:val="000077DD"/>
    <w:rsid w:val="00010BA0"/>
    <w:rsid w:val="00011778"/>
    <w:rsid w:val="00020557"/>
    <w:rsid w:val="000232A1"/>
    <w:rsid w:val="000250C7"/>
    <w:rsid w:val="00025CCF"/>
    <w:rsid w:val="000300E0"/>
    <w:rsid w:val="0003114A"/>
    <w:rsid w:val="000352C1"/>
    <w:rsid w:val="0003619C"/>
    <w:rsid w:val="00037621"/>
    <w:rsid w:val="0004449D"/>
    <w:rsid w:val="00044D46"/>
    <w:rsid w:val="00045088"/>
    <w:rsid w:val="00045904"/>
    <w:rsid w:val="000464F7"/>
    <w:rsid w:val="0005141D"/>
    <w:rsid w:val="00056B52"/>
    <w:rsid w:val="00060E02"/>
    <w:rsid w:val="00065166"/>
    <w:rsid w:val="00067A88"/>
    <w:rsid w:val="00070B92"/>
    <w:rsid w:val="00072658"/>
    <w:rsid w:val="00073474"/>
    <w:rsid w:val="00077D49"/>
    <w:rsid w:val="00082609"/>
    <w:rsid w:val="000851CC"/>
    <w:rsid w:val="00085A17"/>
    <w:rsid w:val="000920F8"/>
    <w:rsid w:val="00093BE8"/>
    <w:rsid w:val="000A4E89"/>
    <w:rsid w:val="000A68ED"/>
    <w:rsid w:val="000B4FEB"/>
    <w:rsid w:val="000B5FF1"/>
    <w:rsid w:val="000B609F"/>
    <w:rsid w:val="000C147F"/>
    <w:rsid w:val="000C6BB9"/>
    <w:rsid w:val="000D32A9"/>
    <w:rsid w:val="000D55A8"/>
    <w:rsid w:val="000E4841"/>
    <w:rsid w:val="000E6325"/>
    <w:rsid w:val="000F1677"/>
    <w:rsid w:val="000F3D6C"/>
    <w:rsid w:val="000F579C"/>
    <w:rsid w:val="000F66D5"/>
    <w:rsid w:val="00101707"/>
    <w:rsid w:val="00114082"/>
    <w:rsid w:val="0011473D"/>
    <w:rsid w:val="00115C85"/>
    <w:rsid w:val="00123855"/>
    <w:rsid w:val="00126A4D"/>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B5CA0"/>
    <w:rsid w:val="001C45FC"/>
    <w:rsid w:val="001D02C5"/>
    <w:rsid w:val="001D4862"/>
    <w:rsid w:val="001E25B9"/>
    <w:rsid w:val="001E49E0"/>
    <w:rsid w:val="001E60C3"/>
    <w:rsid w:val="001E7B5A"/>
    <w:rsid w:val="001F7412"/>
    <w:rsid w:val="00200FDD"/>
    <w:rsid w:val="00201874"/>
    <w:rsid w:val="00202133"/>
    <w:rsid w:val="0020264E"/>
    <w:rsid w:val="0020725B"/>
    <w:rsid w:val="00214202"/>
    <w:rsid w:val="002175BA"/>
    <w:rsid w:val="00222700"/>
    <w:rsid w:val="0022599E"/>
    <w:rsid w:val="002305E8"/>
    <w:rsid w:val="0023198D"/>
    <w:rsid w:val="0023317E"/>
    <w:rsid w:val="00234F2C"/>
    <w:rsid w:val="00240B0E"/>
    <w:rsid w:val="0024116D"/>
    <w:rsid w:val="00241B44"/>
    <w:rsid w:val="00245EFB"/>
    <w:rsid w:val="00247B3E"/>
    <w:rsid w:val="00250E19"/>
    <w:rsid w:val="0025386E"/>
    <w:rsid w:val="00257437"/>
    <w:rsid w:val="002638B0"/>
    <w:rsid w:val="00264FFF"/>
    <w:rsid w:val="002650D7"/>
    <w:rsid w:val="002654E8"/>
    <w:rsid w:val="00265E10"/>
    <w:rsid w:val="0026647A"/>
    <w:rsid w:val="002668D3"/>
    <w:rsid w:val="002675BE"/>
    <w:rsid w:val="0027299F"/>
    <w:rsid w:val="00276913"/>
    <w:rsid w:val="0028135B"/>
    <w:rsid w:val="00282480"/>
    <w:rsid w:val="00284EBE"/>
    <w:rsid w:val="0029433F"/>
    <w:rsid w:val="00294829"/>
    <w:rsid w:val="00294F3B"/>
    <w:rsid w:val="0029690F"/>
    <w:rsid w:val="002A1EEC"/>
    <w:rsid w:val="002A2A60"/>
    <w:rsid w:val="002B1C45"/>
    <w:rsid w:val="002C13C8"/>
    <w:rsid w:val="002C3547"/>
    <w:rsid w:val="002D0021"/>
    <w:rsid w:val="002D3473"/>
    <w:rsid w:val="002D50DA"/>
    <w:rsid w:val="002D5C95"/>
    <w:rsid w:val="002E00F8"/>
    <w:rsid w:val="002E1BB5"/>
    <w:rsid w:val="002E2322"/>
    <w:rsid w:val="002E38E2"/>
    <w:rsid w:val="002F1956"/>
    <w:rsid w:val="002F3440"/>
    <w:rsid w:val="002F4EC0"/>
    <w:rsid w:val="002F68D4"/>
    <w:rsid w:val="002F71BE"/>
    <w:rsid w:val="002F75A3"/>
    <w:rsid w:val="002F78CA"/>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089D"/>
    <w:rsid w:val="003C1EDB"/>
    <w:rsid w:val="003C4471"/>
    <w:rsid w:val="003C66B1"/>
    <w:rsid w:val="003D0A6D"/>
    <w:rsid w:val="003E0B16"/>
    <w:rsid w:val="003E67D1"/>
    <w:rsid w:val="003F2733"/>
    <w:rsid w:val="00405DC1"/>
    <w:rsid w:val="0040710D"/>
    <w:rsid w:val="0041139B"/>
    <w:rsid w:val="004137C3"/>
    <w:rsid w:val="00413D3A"/>
    <w:rsid w:val="00415F1F"/>
    <w:rsid w:val="0042108F"/>
    <w:rsid w:val="00422242"/>
    <w:rsid w:val="00424D07"/>
    <w:rsid w:val="00430FED"/>
    <w:rsid w:val="00431DC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C396A"/>
    <w:rsid w:val="004C4E97"/>
    <w:rsid w:val="004D1A5A"/>
    <w:rsid w:val="004D1F8D"/>
    <w:rsid w:val="004D2FFF"/>
    <w:rsid w:val="004D3721"/>
    <w:rsid w:val="004D64F9"/>
    <w:rsid w:val="004E0549"/>
    <w:rsid w:val="004E2E92"/>
    <w:rsid w:val="004E30B0"/>
    <w:rsid w:val="004E622C"/>
    <w:rsid w:val="004F5FDF"/>
    <w:rsid w:val="0050157D"/>
    <w:rsid w:val="00506803"/>
    <w:rsid w:val="0050682B"/>
    <w:rsid w:val="00507AAC"/>
    <w:rsid w:val="005177FE"/>
    <w:rsid w:val="0052263B"/>
    <w:rsid w:val="00524728"/>
    <w:rsid w:val="00525967"/>
    <w:rsid w:val="00530003"/>
    <w:rsid w:val="00530E88"/>
    <w:rsid w:val="005331CA"/>
    <w:rsid w:val="0053353F"/>
    <w:rsid w:val="00533739"/>
    <w:rsid w:val="00537970"/>
    <w:rsid w:val="00540B44"/>
    <w:rsid w:val="00540E3A"/>
    <w:rsid w:val="00544127"/>
    <w:rsid w:val="00544273"/>
    <w:rsid w:val="005463A9"/>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5C55"/>
    <w:rsid w:val="0058622F"/>
    <w:rsid w:val="00587461"/>
    <w:rsid w:val="00590023"/>
    <w:rsid w:val="00592F82"/>
    <w:rsid w:val="00595BC8"/>
    <w:rsid w:val="005A0CCA"/>
    <w:rsid w:val="005A726D"/>
    <w:rsid w:val="005B67AC"/>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2CE3"/>
    <w:rsid w:val="006F4E9E"/>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93173"/>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41C4"/>
    <w:rsid w:val="0082483F"/>
    <w:rsid w:val="008264CB"/>
    <w:rsid w:val="008279C0"/>
    <w:rsid w:val="00835FD1"/>
    <w:rsid w:val="0084683C"/>
    <w:rsid w:val="008512FA"/>
    <w:rsid w:val="00853A74"/>
    <w:rsid w:val="00857763"/>
    <w:rsid w:val="00860E61"/>
    <w:rsid w:val="00867A8F"/>
    <w:rsid w:val="00871E33"/>
    <w:rsid w:val="008723F3"/>
    <w:rsid w:val="0087516E"/>
    <w:rsid w:val="00881DE6"/>
    <w:rsid w:val="008837A6"/>
    <w:rsid w:val="0089145D"/>
    <w:rsid w:val="008A0C6E"/>
    <w:rsid w:val="008A46CF"/>
    <w:rsid w:val="008A4DF2"/>
    <w:rsid w:val="008A6CFE"/>
    <w:rsid w:val="008A7470"/>
    <w:rsid w:val="008B04B9"/>
    <w:rsid w:val="008B1A08"/>
    <w:rsid w:val="008B2DE3"/>
    <w:rsid w:val="008B5333"/>
    <w:rsid w:val="008B6223"/>
    <w:rsid w:val="008C66E0"/>
    <w:rsid w:val="008E2DFA"/>
    <w:rsid w:val="008E3339"/>
    <w:rsid w:val="008E549B"/>
    <w:rsid w:val="008F18EF"/>
    <w:rsid w:val="008F20FC"/>
    <w:rsid w:val="008F2B24"/>
    <w:rsid w:val="008F5FFE"/>
    <w:rsid w:val="00901690"/>
    <w:rsid w:val="0090421A"/>
    <w:rsid w:val="00905A43"/>
    <w:rsid w:val="00907DC2"/>
    <w:rsid w:val="00912C79"/>
    <w:rsid w:val="00925C10"/>
    <w:rsid w:val="009260A2"/>
    <w:rsid w:val="00942123"/>
    <w:rsid w:val="00951031"/>
    <w:rsid w:val="0095207B"/>
    <w:rsid w:val="00954461"/>
    <w:rsid w:val="00956085"/>
    <w:rsid w:val="00957951"/>
    <w:rsid w:val="00962045"/>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DC2"/>
    <w:rsid w:val="009E2E27"/>
    <w:rsid w:val="009E4DE3"/>
    <w:rsid w:val="00A047EE"/>
    <w:rsid w:val="00A074A3"/>
    <w:rsid w:val="00A1126D"/>
    <w:rsid w:val="00A114EA"/>
    <w:rsid w:val="00A153F7"/>
    <w:rsid w:val="00A2274A"/>
    <w:rsid w:val="00A235B7"/>
    <w:rsid w:val="00A27A7A"/>
    <w:rsid w:val="00A37152"/>
    <w:rsid w:val="00A407EF"/>
    <w:rsid w:val="00A46B4C"/>
    <w:rsid w:val="00A5117B"/>
    <w:rsid w:val="00A54000"/>
    <w:rsid w:val="00A54689"/>
    <w:rsid w:val="00A60074"/>
    <w:rsid w:val="00A6627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3FEA"/>
    <w:rsid w:val="00AD7BBD"/>
    <w:rsid w:val="00AF228E"/>
    <w:rsid w:val="00B04137"/>
    <w:rsid w:val="00B1112C"/>
    <w:rsid w:val="00B11D19"/>
    <w:rsid w:val="00B12936"/>
    <w:rsid w:val="00B14819"/>
    <w:rsid w:val="00B17AA9"/>
    <w:rsid w:val="00B32DE4"/>
    <w:rsid w:val="00B33578"/>
    <w:rsid w:val="00B3488C"/>
    <w:rsid w:val="00B370C3"/>
    <w:rsid w:val="00B411AE"/>
    <w:rsid w:val="00B46CE2"/>
    <w:rsid w:val="00B60190"/>
    <w:rsid w:val="00B61419"/>
    <w:rsid w:val="00B72F5F"/>
    <w:rsid w:val="00B736DF"/>
    <w:rsid w:val="00B74FBD"/>
    <w:rsid w:val="00B77352"/>
    <w:rsid w:val="00B82586"/>
    <w:rsid w:val="00B829A3"/>
    <w:rsid w:val="00B86DB1"/>
    <w:rsid w:val="00B87869"/>
    <w:rsid w:val="00B933AE"/>
    <w:rsid w:val="00BA0E44"/>
    <w:rsid w:val="00BA1FA3"/>
    <w:rsid w:val="00BA47C5"/>
    <w:rsid w:val="00BB0F2B"/>
    <w:rsid w:val="00BD0D57"/>
    <w:rsid w:val="00BE1A50"/>
    <w:rsid w:val="00BF50F7"/>
    <w:rsid w:val="00C02F29"/>
    <w:rsid w:val="00C10C13"/>
    <w:rsid w:val="00C12B86"/>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3FE5"/>
    <w:rsid w:val="00C963D3"/>
    <w:rsid w:val="00CA6E0D"/>
    <w:rsid w:val="00CB2CBB"/>
    <w:rsid w:val="00CB56CE"/>
    <w:rsid w:val="00CB7CAC"/>
    <w:rsid w:val="00CC0EA0"/>
    <w:rsid w:val="00CC5335"/>
    <w:rsid w:val="00CC5BA4"/>
    <w:rsid w:val="00CC70BB"/>
    <w:rsid w:val="00CD3420"/>
    <w:rsid w:val="00CD4998"/>
    <w:rsid w:val="00CE1035"/>
    <w:rsid w:val="00CF2819"/>
    <w:rsid w:val="00CF4F9D"/>
    <w:rsid w:val="00CF70DC"/>
    <w:rsid w:val="00D148DC"/>
    <w:rsid w:val="00D17FDC"/>
    <w:rsid w:val="00D40632"/>
    <w:rsid w:val="00D444C5"/>
    <w:rsid w:val="00D45AEA"/>
    <w:rsid w:val="00D5244F"/>
    <w:rsid w:val="00D52E4F"/>
    <w:rsid w:val="00D53BE6"/>
    <w:rsid w:val="00D56A37"/>
    <w:rsid w:val="00D57202"/>
    <w:rsid w:val="00D6386E"/>
    <w:rsid w:val="00D63EFD"/>
    <w:rsid w:val="00D64826"/>
    <w:rsid w:val="00D80DF2"/>
    <w:rsid w:val="00D84752"/>
    <w:rsid w:val="00D85AB0"/>
    <w:rsid w:val="00D86B3B"/>
    <w:rsid w:val="00D8748A"/>
    <w:rsid w:val="00D93196"/>
    <w:rsid w:val="00D94A4D"/>
    <w:rsid w:val="00D97A93"/>
    <w:rsid w:val="00DA0A69"/>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321"/>
    <w:rsid w:val="00E31DF3"/>
    <w:rsid w:val="00E32814"/>
    <w:rsid w:val="00E33448"/>
    <w:rsid w:val="00E33486"/>
    <w:rsid w:val="00E34181"/>
    <w:rsid w:val="00E450A4"/>
    <w:rsid w:val="00E506BE"/>
    <w:rsid w:val="00E55547"/>
    <w:rsid w:val="00E57410"/>
    <w:rsid w:val="00E6302B"/>
    <w:rsid w:val="00E6452F"/>
    <w:rsid w:val="00E64619"/>
    <w:rsid w:val="00E64F45"/>
    <w:rsid w:val="00E6742D"/>
    <w:rsid w:val="00E71499"/>
    <w:rsid w:val="00E71CB0"/>
    <w:rsid w:val="00E73529"/>
    <w:rsid w:val="00E77C3D"/>
    <w:rsid w:val="00E82E22"/>
    <w:rsid w:val="00E850FE"/>
    <w:rsid w:val="00E909F0"/>
    <w:rsid w:val="00E90D47"/>
    <w:rsid w:val="00E93993"/>
    <w:rsid w:val="00E9597C"/>
    <w:rsid w:val="00EA0913"/>
    <w:rsid w:val="00EA0A2F"/>
    <w:rsid w:val="00EA6D31"/>
    <w:rsid w:val="00EA6D49"/>
    <w:rsid w:val="00EB146B"/>
    <w:rsid w:val="00EB45AC"/>
    <w:rsid w:val="00EC2AEA"/>
    <w:rsid w:val="00EC7B11"/>
    <w:rsid w:val="00EC7F95"/>
    <w:rsid w:val="00ED0BC4"/>
    <w:rsid w:val="00ED3771"/>
    <w:rsid w:val="00ED4AB7"/>
    <w:rsid w:val="00ED6A32"/>
    <w:rsid w:val="00EE45E9"/>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7246D"/>
    <w:rsid w:val="00F83E76"/>
    <w:rsid w:val="00F87BEA"/>
    <w:rsid w:val="00F90A57"/>
    <w:rsid w:val="00F97C5B"/>
    <w:rsid w:val="00FA05D2"/>
    <w:rsid w:val="00FA359A"/>
    <w:rsid w:val="00FA3D50"/>
    <w:rsid w:val="00FA69A8"/>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F5F67-85E0-4BE1-BCA5-4F4D63E1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7620</Words>
  <Characters>43437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lastModifiedBy>
  <cp:revision>7</cp:revision>
  <cp:lastPrinted>2019-08-27T05:42:00Z</cp:lastPrinted>
  <dcterms:created xsi:type="dcterms:W3CDTF">2023-03-01T21:37:00Z</dcterms:created>
  <dcterms:modified xsi:type="dcterms:W3CDTF">2023-03-01T22:03:00Z</dcterms:modified>
</cp:coreProperties>
</file>