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0105F9" w:rsidRDefault="00CE0ECD" w:rsidP="00B77B19">
      <w:pPr>
        <w:pStyle w:val="AODocTxt"/>
        <w:numPr>
          <w:ilvl w:val="0"/>
          <w:numId w:val="14"/>
        </w:numPr>
        <w:spacing w:before="0" w:line="240" w:lineRule="auto"/>
        <w:ind w:left="426"/>
        <w:rPr>
          <w:rFonts w:ascii="Avenir Next" w:hAnsi="Avenir Next"/>
          <w:highlight w:val="yellow"/>
        </w:rPr>
      </w:pPr>
      <w:r w:rsidRPr="000105F9">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0105F9">
        <w:rPr>
          <w:rFonts w:ascii="Avenir Next" w:hAnsi="Avenir Next"/>
          <w:highlight w:val="yellow"/>
        </w:rPr>
        <w:t>(b)</w:t>
      </w:r>
      <w:r w:rsidRPr="000105F9">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F0FDB" w:rsidRDefault="00CE0ECD" w:rsidP="00097D56">
      <w:pPr>
        <w:pStyle w:val="AODocTxt"/>
        <w:numPr>
          <w:ilvl w:val="0"/>
          <w:numId w:val="16"/>
        </w:numPr>
        <w:spacing w:before="0" w:line="240" w:lineRule="auto"/>
        <w:ind w:left="426"/>
        <w:rPr>
          <w:rFonts w:ascii="Avenir Next" w:hAnsi="Avenir Next"/>
          <w:highlight w:val="yellow"/>
        </w:rPr>
      </w:pPr>
      <w:r w:rsidRPr="00CF0FDB">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CF0FDB" w:rsidRDefault="00CE0ECD" w:rsidP="00097D56">
      <w:pPr>
        <w:pStyle w:val="AODocTxt"/>
        <w:numPr>
          <w:ilvl w:val="0"/>
          <w:numId w:val="16"/>
        </w:numPr>
        <w:spacing w:before="0" w:line="240" w:lineRule="auto"/>
        <w:ind w:left="426"/>
        <w:rPr>
          <w:rFonts w:ascii="Avenir Next" w:hAnsi="Avenir Next"/>
        </w:rPr>
      </w:pPr>
      <w:r w:rsidRPr="00CF0FDB">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0105F9" w:rsidRDefault="00CE0ECD" w:rsidP="00A82B32">
      <w:pPr>
        <w:pStyle w:val="AODocTxt"/>
        <w:numPr>
          <w:ilvl w:val="0"/>
          <w:numId w:val="18"/>
        </w:numPr>
        <w:spacing w:before="0" w:line="240" w:lineRule="auto"/>
        <w:ind w:left="426"/>
        <w:rPr>
          <w:rFonts w:ascii="Avenir Next" w:hAnsi="Avenir Next"/>
          <w:highlight w:val="yellow"/>
        </w:rPr>
      </w:pPr>
      <w:r w:rsidRPr="000105F9">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7785CFB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637E1A9C" w14:textId="77777777" w:rsidR="000105F9" w:rsidRDefault="000105F9" w:rsidP="000105F9">
      <w:pPr>
        <w:pStyle w:val="AODocTxt"/>
        <w:spacing w:before="0" w:line="240" w:lineRule="auto"/>
        <w:ind w:left="426"/>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0105F9" w:rsidRDefault="00CE0ECD" w:rsidP="00E421C6">
      <w:pPr>
        <w:pStyle w:val="AODocTxt"/>
        <w:numPr>
          <w:ilvl w:val="0"/>
          <w:numId w:val="20"/>
        </w:numPr>
        <w:spacing w:before="0" w:line="240" w:lineRule="auto"/>
        <w:ind w:left="426"/>
        <w:rPr>
          <w:rFonts w:ascii="Avenir Next" w:hAnsi="Avenir Next"/>
          <w:highlight w:val="yellow"/>
        </w:rPr>
      </w:pPr>
      <w:r w:rsidRPr="000105F9">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5E4E1B" w:rsidRDefault="00CE0ECD" w:rsidP="00E421C6">
      <w:pPr>
        <w:pStyle w:val="AODocTxt"/>
        <w:numPr>
          <w:ilvl w:val="0"/>
          <w:numId w:val="22"/>
        </w:numPr>
        <w:spacing w:before="0" w:line="240" w:lineRule="auto"/>
        <w:ind w:left="426"/>
        <w:rPr>
          <w:rFonts w:ascii="Avenir Next" w:hAnsi="Avenir Next"/>
          <w:highlight w:val="yellow"/>
        </w:rPr>
      </w:pPr>
      <w:r w:rsidRPr="005E4E1B">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Pr="005E4E1B" w:rsidRDefault="00CE0ECD" w:rsidP="000346E7">
      <w:pPr>
        <w:pStyle w:val="AODocTxt"/>
        <w:numPr>
          <w:ilvl w:val="0"/>
          <w:numId w:val="24"/>
        </w:numPr>
        <w:spacing w:before="0" w:line="240" w:lineRule="auto"/>
        <w:ind w:left="426"/>
        <w:rPr>
          <w:rFonts w:ascii="Avenir Next" w:hAnsi="Avenir Next"/>
        </w:rPr>
      </w:pPr>
      <w:r w:rsidRPr="005E4E1B">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AD502D" w:rsidRDefault="00CE0ECD" w:rsidP="000346E7">
      <w:pPr>
        <w:pStyle w:val="AODocTxt"/>
        <w:numPr>
          <w:ilvl w:val="0"/>
          <w:numId w:val="24"/>
        </w:numPr>
        <w:spacing w:before="0" w:line="240" w:lineRule="auto"/>
        <w:ind w:left="426"/>
        <w:rPr>
          <w:rFonts w:ascii="Avenir Next" w:hAnsi="Avenir Next"/>
        </w:rPr>
      </w:pPr>
      <w:r w:rsidRPr="00AD502D">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AD502D" w:rsidRDefault="00CE0ECD" w:rsidP="000346E7">
      <w:pPr>
        <w:pStyle w:val="AODocTxt"/>
        <w:numPr>
          <w:ilvl w:val="0"/>
          <w:numId w:val="24"/>
        </w:numPr>
        <w:spacing w:before="0" w:line="240" w:lineRule="auto"/>
        <w:ind w:left="426"/>
        <w:rPr>
          <w:rFonts w:ascii="Avenir Next" w:hAnsi="Avenir Next"/>
          <w:highlight w:val="yellow"/>
        </w:rPr>
      </w:pPr>
      <w:r w:rsidRPr="00AD502D">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AD502D" w:rsidRDefault="00CE0ECD" w:rsidP="004830F8">
      <w:pPr>
        <w:pStyle w:val="AODocTxt"/>
        <w:numPr>
          <w:ilvl w:val="0"/>
          <w:numId w:val="26"/>
        </w:numPr>
        <w:spacing w:before="0" w:line="240" w:lineRule="auto"/>
        <w:ind w:left="426"/>
        <w:rPr>
          <w:rFonts w:ascii="Avenir Next" w:hAnsi="Avenir Next"/>
          <w:highlight w:val="yellow"/>
        </w:rPr>
      </w:pPr>
      <w:r w:rsidRPr="00AD502D">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70A931DF" w:rsidR="00CE0ECD" w:rsidRPr="00AD502D" w:rsidRDefault="00CE0ECD" w:rsidP="004830F8">
      <w:pPr>
        <w:pStyle w:val="AODocTxt"/>
        <w:numPr>
          <w:ilvl w:val="0"/>
          <w:numId w:val="26"/>
        </w:numPr>
        <w:spacing w:before="0" w:line="240" w:lineRule="auto"/>
        <w:ind w:left="426"/>
        <w:rPr>
          <w:rFonts w:ascii="Avenir Next" w:hAnsi="Avenir Next"/>
        </w:rPr>
      </w:pPr>
      <w:r w:rsidRPr="00AD502D">
        <w:rPr>
          <w:rFonts w:ascii="Avenir Next" w:hAnsi="Avenir Next"/>
        </w:rPr>
        <w:t xml:space="preserve">On the filing of a voluntary petition but not on the filing of an involuntary petition. </w:t>
      </w:r>
    </w:p>
    <w:p w14:paraId="25EB25DC" w14:textId="77777777" w:rsidR="005E4E1B" w:rsidRDefault="005E4E1B" w:rsidP="005E4E1B">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D96109" w:rsidRDefault="00CE0ECD" w:rsidP="004830F8">
      <w:pPr>
        <w:pStyle w:val="AODocTxt"/>
        <w:numPr>
          <w:ilvl w:val="0"/>
          <w:numId w:val="28"/>
        </w:numPr>
        <w:spacing w:before="0" w:line="240" w:lineRule="auto"/>
        <w:ind w:left="426"/>
        <w:rPr>
          <w:rFonts w:ascii="Avenir Next" w:hAnsi="Avenir Next"/>
        </w:rPr>
      </w:pPr>
      <w:r w:rsidRPr="00D9610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D96109" w:rsidRDefault="00CE0ECD" w:rsidP="004830F8">
      <w:pPr>
        <w:pStyle w:val="AODocTxt"/>
        <w:numPr>
          <w:ilvl w:val="0"/>
          <w:numId w:val="28"/>
        </w:numPr>
        <w:spacing w:before="0" w:line="240" w:lineRule="auto"/>
        <w:ind w:left="426"/>
        <w:rPr>
          <w:rFonts w:ascii="Avenir Next" w:hAnsi="Avenir Next"/>
          <w:highlight w:val="yellow"/>
        </w:rPr>
      </w:pPr>
      <w:r w:rsidRPr="00D96109">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D96109" w:rsidRDefault="00CE0ECD" w:rsidP="00AA0280">
      <w:pPr>
        <w:pStyle w:val="AODocTxt"/>
        <w:numPr>
          <w:ilvl w:val="0"/>
          <w:numId w:val="30"/>
        </w:numPr>
        <w:spacing w:before="0" w:line="240" w:lineRule="auto"/>
        <w:ind w:left="426"/>
        <w:rPr>
          <w:rFonts w:ascii="Avenir Next" w:hAnsi="Avenir Next"/>
          <w:highlight w:val="yellow"/>
        </w:rPr>
      </w:pPr>
      <w:r w:rsidRPr="00D96109">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3AD8C18" w:rsidR="00E41578" w:rsidRPr="00E41578" w:rsidRDefault="00D9610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permits a creditor, who simultaneously holds a claim against a debtor and owes money to the debtor to net out the obligations against one another. Setoff is not permitted in a number of circumstances because it can improve the position of a creditor as compared to other unsecured creditors who are not owed money by the debtor. This is because setoff decreases the obligation the creditor owes to the estate by the full amount owed by the debtor, rather than the lesser amount the debtor would pay on the unsecured claim.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2C19BFCA" w14:textId="77777777" w:rsidR="0077792C" w:rsidRDefault="0077792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for a filing for a bankruptcy court, the following rules should be considered: </w:t>
      </w:r>
    </w:p>
    <w:p w14:paraId="3F95AB88" w14:textId="0850DFFE" w:rsidR="0077792C" w:rsidRDefault="0077792C" w:rsidP="007779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77792C">
        <w:rPr>
          <w:rFonts w:ascii="Avenir Next" w:hAnsi="Avenir Next" w:cs="Arial"/>
          <w:color w:val="7B7B7B" w:themeColor="accent3" w:themeShade="BF"/>
          <w:sz w:val="22"/>
          <w:szCs w:val="22"/>
          <w:lang w:val="en-GB"/>
        </w:rPr>
        <w:t>he Federal Rules of Bankruptcy Procedure (the “</w:t>
      </w:r>
      <w:r w:rsidRPr="0077792C">
        <w:rPr>
          <w:rFonts w:ascii="Avenir Next" w:hAnsi="Avenir Next" w:cs="Arial"/>
          <w:b/>
          <w:color w:val="7B7B7B" w:themeColor="accent3" w:themeShade="BF"/>
          <w:sz w:val="22"/>
          <w:szCs w:val="22"/>
          <w:lang w:val="en-GB"/>
        </w:rPr>
        <w:t>Bankruptcy Rules</w:t>
      </w:r>
      <w:r w:rsidRPr="0077792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which</w:t>
      </w:r>
      <w:r w:rsidRPr="0077792C">
        <w:rPr>
          <w:rFonts w:ascii="Avenir Next" w:hAnsi="Avenir Next" w:cs="Arial"/>
          <w:color w:val="7B7B7B" w:themeColor="accent3" w:themeShade="BF"/>
          <w:sz w:val="22"/>
          <w:szCs w:val="22"/>
          <w:lang w:val="en-GB"/>
        </w:rPr>
        <w:t xml:space="preserve"> govern proce</w:t>
      </w:r>
      <w:r>
        <w:rPr>
          <w:rFonts w:ascii="Avenir Next" w:hAnsi="Avenir Next" w:cs="Arial"/>
          <w:color w:val="7B7B7B" w:themeColor="accent3" w:themeShade="BF"/>
          <w:sz w:val="22"/>
          <w:szCs w:val="22"/>
          <w:lang w:val="en-GB"/>
        </w:rPr>
        <w:t>dure in bankruptcy proceedings;</w:t>
      </w:r>
    </w:p>
    <w:p w14:paraId="11AC80D4" w14:textId="59642212" w:rsidR="0077792C" w:rsidRDefault="0077792C" w:rsidP="007779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Pr="0077792C">
        <w:rPr>
          <w:rFonts w:ascii="Avenir Next" w:hAnsi="Avenir Next" w:cs="Arial"/>
          <w:color w:val="7B7B7B" w:themeColor="accent3" w:themeShade="BF"/>
          <w:sz w:val="22"/>
          <w:szCs w:val="22"/>
          <w:lang w:val="en-GB"/>
        </w:rPr>
        <w:t xml:space="preserve"> Federal Rules of Civil Procedure, including in relation to litigation of disputed issues in contested or adverse proceedings</w:t>
      </w:r>
      <w:r>
        <w:rPr>
          <w:rFonts w:ascii="Avenir Next" w:hAnsi="Avenir Next" w:cs="Arial"/>
          <w:color w:val="7B7B7B" w:themeColor="accent3" w:themeShade="BF"/>
          <w:sz w:val="22"/>
          <w:szCs w:val="22"/>
          <w:lang w:val="en-GB"/>
        </w:rPr>
        <w:t xml:space="preserve">, incorporated by reference into the Bankruptcy Rules; </w:t>
      </w:r>
    </w:p>
    <w:p w14:paraId="717C03BF" w14:textId="563568F4" w:rsidR="0077792C" w:rsidRDefault="0077792C" w:rsidP="007779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circuit within which the proceeding is being hear, and the specific federal law that arises in that circuit; </w:t>
      </w:r>
    </w:p>
    <w:p w14:paraId="4253AD1B" w14:textId="254C90BE" w:rsidR="0077792C" w:rsidRDefault="0077792C" w:rsidP="007779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Pr="0077792C">
        <w:rPr>
          <w:rFonts w:ascii="Avenir Next" w:hAnsi="Avenir Next" w:cs="Arial"/>
          <w:color w:val="7B7B7B" w:themeColor="accent3" w:themeShade="BF"/>
          <w:sz w:val="22"/>
          <w:szCs w:val="22"/>
          <w:lang w:val="en-GB"/>
        </w:rPr>
        <w:t xml:space="preserve"> local rules of procedure </w:t>
      </w:r>
      <w:r>
        <w:rPr>
          <w:rFonts w:ascii="Avenir Next" w:hAnsi="Avenir Next" w:cs="Arial"/>
          <w:color w:val="7B7B7B" w:themeColor="accent3" w:themeShade="BF"/>
          <w:sz w:val="22"/>
          <w:szCs w:val="22"/>
          <w:lang w:val="en-GB"/>
        </w:rPr>
        <w:t>of each bankruptcy court; and</w:t>
      </w:r>
    </w:p>
    <w:p w14:paraId="4EC1CD7D" w14:textId="667DE677" w:rsidR="00622C36" w:rsidRPr="0077792C" w:rsidRDefault="0077792C" w:rsidP="00454BAB">
      <w:pPr>
        <w:pStyle w:val="ListParagraph"/>
        <w:numPr>
          <w:ilvl w:val="0"/>
          <w:numId w:val="32"/>
        </w:numPr>
        <w:jc w:val="both"/>
        <w:rPr>
          <w:rFonts w:ascii="Avenir Next" w:hAnsi="Avenir Next"/>
        </w:rPr>
      </w:pPr>
      <w:r w:rsidRPr="0077792C">
        <w:rPr>
          <w:rFonts w:ascii="Avenir Next" w:hAnsi="Avenir Next" w:cs="Arial"/>
          <w:color w:val="7B7B7B" w:themeColor="accent3" w:themeShade="BF"/>
          <w:sz w:val="22"/>
          <w:szCs w:val="22"/>
          <w:lang w:val="en-GB"/>
        </w:rPr>
        <w:t xml:space="preserve">the personal practices issued by each judge, sometimes referred to a Chambers Procedures. </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78B12CCD" w:rsidR="003A5537" w:rsidRDefault="00A209BC" w:rsidP="004F3206">
      <w:pPr>
        <w:jc w:val="both"/>
        <w:rPr>
          <w:rFonts w:ascii="Avenir Next" w:hAnsi="Avenir Next"/>
        </w:rPr>
      </w:pPr>
      <w:r>
        <w:rPr>
          <w:rFonts w:ascii="Avenir Next" w:hAnsi="Avenir Next" w:cs="Arial"/>
          <w:color w:val="7B7B7B" w:themeColor="accent3" w:themeShade="BF"/>
          <w:sz w:val="22"/>
          <w:szCs w:val="22"/>
          <w:lang w:val="en-GB"/>
        </w:rPr>
        <w:t xml:space="preserve">The absolute priority rule requires </w:t>
      </w:r>
      <w:r w:rsidR="004F3206">
        <w:rPr>
          <w:rFonts w:ascii="Avenir Next" w:hAnsi="Avenir Next" w:cs="Arial"/>
          <w:color w:val="7B7B7B" w:themeColor="accent3" w:themeShade="BF"/>
          <w:sz w:val="22"/>
          <w:szCs w:val="22"/>
          <w:lang w:val="en-GB"/>
        </w:rPr>
        <w:t xml:space="preserve">the claims of a class of creditors to be paid in full prior to the satisfaction of any claim of any creditors in a subordinated or junior class. In chapter 7 proceedings, this rule cannot be deviated from. This means that no creditor or a class of creditors may receive less under a reorganisation plan than it would in a chapter 7 liquidation, within which the claims of such creditors would be paid in accordance with statutory priorities. In chapter 11 proceedings, deviation </w:t>
      </w:r>
      <w:r w:rsidR="004F3206">
        <w:rPr>
          <w:rFonts w:ascii="Avenir Next" w:hAnsi="Avenir Next" w:cs="Arial"/>
          <w:color w:val="7B7B7B" w:themeColor="accent3" w:themeShade="BF"/>
          <w:sz w:val="22"/>
          <w:szCs w:val="22"/>
          <w:lang w:val="en-GB"/>
        </w:rPr>
        <w:lastRenderedPageBreak/>
        <w:t xml:space="preserve">from the rule of absolute priority is permitted with the consent of affected creditors. For example, senior creditors may consent to receiving less than would be received in accordance with the absolute priority rule in order to secure approval of a chapter 11 plan from junior creditors (who would otherwise receive less under the absolute priority rule).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2CFA5D20" w14:textId="77777777" w:rsidR="00E956C6" w:rsidRDefault="00F6543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Debtor in possession financing (“</w:t>
      </w:r>
      <w:r>
        <w:rPr>
          <w:rFonts w:ascii="Avenir Next" w:hAnsi="Avenir Next" w:cs="Arial"/>
          <w:b/>
          <w:color w:val="7B7B7B" w:themeColor="accent3" w:themeShade="BF"/>
          <w:sz w:val="22"/>
          <w:szCs w:val="22"/>
          <w:lang w:val="en-GB"/>
        </w:rPr>
        <w:t>DIP Financing</w:t>
      </w:r>
      <w:r>
        <w:rPr>
          <w:rFonts w:ascii="Avenir Next" w:hAnsi="Avenir Next" w:cs="Arial"/>
          <w:color w:val="7B7B7B" w:themeColor="accent3" w:themeShade="BF"/>
          <w:sz w:val="22"/>
          <w:szCs w:val="22"/>
          <w:lang w:val="en-GB"/>
        </w:rPr>
        <w:t>”) is permitted under the Bankruptcy Code in order to provide incentives to lenders to extend credit to the debtor. DIP Financing can be obtained in various ways but is usually dependent upon</w:t>
      </w:r>
      <w:r w:rsidR="00E956C6">
        <w:rPr>
          <w:rFonts w:ascii="Avenir Next" w:hAnsi="Avenir Next" w:cs="Arial"/>
          <w:color w:val="7B7B7B" w:themeColor="accent3" w:themeShade="BF"/>
          <w:sz w:val="22"/>
          <w:szCs w:val="22"/>
          <w:lang w:val="en-GB"/>
        </w:rPr>
        <w:t xml:space="preserve"> whether the debtor’s estate has any unencumbered assets or encumbered assets with sufficient equity value to support a junior lien of debt. </w:t>
      </w:r>
    </w:p>
    <w:p w14:paraId="1C37C999" w14:textId="77777777" w:rsidR="00E956C6" w:rsidRDefault="00E956C6" w:rsidP="00E41578">
      <w:pPr>
        <w:jc w:val="both"/>
        <w:rPr>
          <w:rFonts w:ascii="Avenir Next" w:hAnsi="Avenir Next" w:cs="Arial"/>
          <w:color w:val="7B7B7B" w:themeColor="accent3" w:themeShade="BF"/>
          <w:sz w:val="22"/>
          <w:szCs w:val="22"/>
          <w:lang w:val="en-GB"/>
        </w:rPr>
      </w:pPr>
    </w:p>
    <w:p w14:paraId="3B82BAA0" w14:textId="02F6D6BD" w:rsidR="003A5537" w:rsidRDefault="00E956C6" w:rsidP="00E956C6">
      <w:pPr>
        <w:jc w:val="both"/>
        <w:rPr>
          <w:rFonts w:ascii="Avenir Next" w:hAnsi="Avenir Next"/>
        </w:rPr>
      </w:pPr>
      <w:r>
        <w:rPr>
          <w:rFonts w:ascii="Avenir Next" w:hAnsi="Avenir Next" w:cs="Arial"/>
          <w:color w:val="7B7B7B" w:themeColor="accent3" w:themeShade="BF"/>
          <w:sz w:val="22"/>
          <w:szCs w:val="22"/>
          <w:lang w:val="en-GB"/>
        </w:rPr>
        <w:t xml:space="preserve">A priming lien is a form of DIP Financing, typically available where this is not possible to obtain alternative forms of DIP Financing. A court may grant a ‘priming lien’ that is senior or equal to a pre-petition lien on the debtor’s estate. In order to obtain the post-petition financing, the debtor is required to demonstrate that the interests of the secured creditor being primed are adequately protected. The risk of being primed often incentivised existing creditors to extend further credit to the debtor. It also provides junior creditors with an opportunity to ‘roll-up’ their position by refinancing previous unsecured debtor into a new priming lien. Before granting approval to a ‘roll-up’ the court will assess whether any other source of funds that does not contain a ‘roll-up’ provision exist and whether substantial credit is being made available to the debtor to justify the ‘roll-up’. </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52ACB3D2" w14:textId="521A041F" w:rsidR="007F0BBB" w:rsidRDefault="007F0BB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of a preference claim are as follows: </w:t>
      </w:r>
    </w:p>
    <w:p w14:paraId="4B1CEA7C" w14:textId="2A9DA3B8" w:rsidR="007F0BBB" w:rsidRDefault="007F0BBB" w:rsidP="007F0BB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of an interest of the debtor in property; </w:t>
      </w:r>
    </w:p>
    <w:p w14:paraId="7F5F1E31" w14:textId="76BF88FF" w:rsidR="007F0BBB" w:rsidRDefault="007F0BBB" w:rsidP="007F0BB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or for the benefit of a creditor</w:t>
      </w:r>
      <w:r w:rsidR="004F145F">
        <w:rPr>
          <w:rFonts w:ascii="Avenir Next" w:hAnsi="Avenir Next" w:cs="Arial"/>
          <w:color w:val="7B7B7B" w:themeColor="accent3" w:themeShade="BF"/>
          <w:sz w:val="22"/>
          <w:szCs w:val="22"/>
          <w:lang w:val="en-GB"/>
        </w:rPr>
        <w:t xml:space="preserve"> (the “</w:t>
      </w:r>
      <w:r w:rsidR="004F145F">
        <w:rPr>
          <w:rFonts w:ascii="Avenir Next" w:hAnsi="Avenir Next" w:cs="Arial"/>
          <w:b/>
          <w:color w:val="7B7B7B" w:themeColor="accent3" w:themeShade="BF"/>
          <w:sz w:val="22"/>
          <w:szCs w:val="22"/>
          <w:lang w:val="en-GB"/>
        </w:rPr>
        <w:t>recipient creditor</w:t>
      </w:r>
      <w:r w:rsidR="004F145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5AFF8B3F" w14:textId="32AF3DEA" w:rsidR="007F0BBB" w:rsidRDefault="007F0BBB" w:rsidP="007F0BB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or on account of an antecedent debt owed by the debtor before such transfer was made</w:t>
      </w:r>
      <w:r w:rsidR="004F145F">
        <w:rPr>
          <w:rFonts w:ascii="Avenir Next" w:hAnsi="Avenir Next" w:cs="Arial"/>
          <w:color w:val="7B7B7B" w:themeColor="accent3" w:themeShade="BF"/>
          <w:sz w:val="22"/>
          <w:szCs w:val="22"/>
          <w:lang w:val="en-GB"/>
        </w:rPr>
        <w:t xml:space="preserve">; </w:t>
      </w:r>
    </w:p>
    <w:p w14:paraId="0D759F97" w14:textId="444E8AF5" w:rsidR="004F145F" w:rsidRDefault="004F145F" w:rsidP="007F0BB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when the debtor is insolvent; and </w:t>
      </w:r>
    </w:p>
    <w:p w14:paraId="2E8633C8" w14:textId="1845A4F3" w:rsidR="004F145F" w:rsidRDefault="004F145F" w:rsidP="007F0BB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during the suspect period; </w:t>
      </w:r>
    </w:p>
    <w:p w14:paraId="42D5BA25" w14:textId="448E00AF" w:rsidR="004F145F" w:rsidRDefault="004F145F" w:rsidP="007F0BB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enables the creditor to receive more than it would have in a chapter 7 liquidation. </w:t>
      </w:r>
    </w:p>
    <w:p w14:paraId="16BD046E" w14:textId="009A0A9B" w:rsidR="004F145F" w:rsidRDefault="004F145F" w:rsidP="004F145F">
      <w:pPr>
        <w:jc w:val="both"/>
        <w:rPr>
          <w:rFonts w:ascii="Avenir Next" w:hAnsi="Avenir Next" w:cs="Arial"/>
          <w:color w:val="7B7B7B" w:themeColor="accent3" w:themeShade="BF"/>
          <w:sz w:val="22"/>
          <w:szCs w:val="22"/>
          <w:lang w:val="en-GB"/>
        </w:rPr>
      </w:pPr>
    </w:p>
    <w:p w14:paraId="30957DCE" w14:textId="2DCEEC2E" w:rsidR="004F145F" w:rsidRDefault="004F145F" w:rsidP="004F14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rebuttable presumption that the debtor is insolvent on and 90 days prior to the petition date. The suspect period is 90 days prior to the petition date for third parties and one year prior to the petition date for insiders. Insiders include any officer, director, controlling person, general partner, partnership affiliates and insiders of affiliates of the debtor. From the period between 91 days to one year prior to the petition date there is no presumption of insolvency. </w:t>
      </w:r>
    </w:p>
    <w:p w14:paraId="764771B5" w14:textId="153B1E95" w:rsidR="004F145F" w:rsidRDefault="004F145F" w:rsidP="004F145F">
      <w:pPr>
        <w:jc w:val="both"/>
        <w:rPr>
          <w:rFonts w:ascii="Avenir Next" w:hAnsi="Avenir Next" w:cs="Arial"/>
          <w:color w:val="7B7B7B" w:themeColor="accent3" w:themeShade="BF"/>
          <w:sz w:val="22"/>
          <w:szCs w:val="22"/>
          <w:lang w:val="en-GB"/>
        </w:rPr>
      </w:pPr>
    </w:p>
    <w:p w14:paraId="1810FDCB" w14:textId="6D9168AD" w:rsidR="004F145F" w:rsidRPr="004F145F" w:rsidRDefault="004F145F" w:rsidP="004F14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is only an avoidable preference if it results in the recipient creditor receiving</w:t>
      </w:r>
      <w:r w:rsidR="00455584">
        <w:rPr>
          <w:rFonts w:ascii="Avenir Next" w:hAnsi="Avenir Next" w:cs="Arial"/>
          <w:color w:val="7B7B7B" w:themeColor="accent3" w:themeShade="BF"/>
          <w:sz w:val="22"/>
          <w:szCs w:val="22"/>
          <w:lang w:val="en-GB"/>
        </w:rPr>
        <w:t xml:space="preserve"> more value than it would otherwise receive in a chapter 7 liquidation had the transfer not occurred. </w:t>
      </w:r>
    </w:p>
    <w:p w14:paraId="6FF7B5CD" w14:textId="657839A5" w:rsidR="007F0BBB" w:rsidRDefault="007F0BBB" w:rsidP="00E41578">
      <w:pPr>
        <w:jc w:val="both"/>
        <w:rPr>
          <w:rFonts w:ascii="Avenir Next" w:hAnsi="Avenir Next" w:cs="Arial"/>
          <w:color w:val="7B7B7B" w:themeColor="accent3" w:themeShade="BF"/>
          <w:sz w:val="22"/>
          <w:szCs w:val="22"/>
          <w:lang w:val="en-GB"/>
        </w:rPr>
      </w:pPr>
    </w:p>
    <w:p w14:paraId="7281D2BD" w14:textId="5ECFE2AB" w:rsidR="004F145F" w:rsidRDefault="004F145F" w:rsidP="004F14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the transfer is ‘restored’ (i.e. returned to the debtor’s estate), the recipient creditor holds an unsecured claim equal to the value returned to the debtor’s estate.</w:t>
      </w:r>
    </w:p>
    <w:p w14:paraId="6E0AEA7F" w14:textId="77777777" w:rsidR="004F145F" w:rsidRDefault="004F145F" w:rsidP="004F145F">
      <w:pPr>
        <w:jc w:val="both"/>
        <w:rPr>
          <w:rFonts w:ascii="Avenir Next" w:hAnsi="Avenir Next" w:cs="Arial"/>
          <w:color w:val="7B7B7B" w:themeColor="accent3" w:themeShade="BF"/>
          <w:sz w:val="22"/>
          <w:szCs w:val="22"/>
          <w:lang w:val="en-GB"/>
        </w:rPr>
      </w:pPr>
    </w:p>
    <w:p w14:paraId="2AF5EADA" w14:textId="1D7A36FB" w:rsidR="004F145F" w:rsidRDefault="004F145F" w:rsidP="004F14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need to show any fault of either party and the recipient creditor is not penalised. The purpose of preference avoidance is </w:t>
      </w:r>
      <w:r w:rsidR="00455584">
        <w:rPr>
          <w:rFonts w:ascii="Avenir Next" w:hAnsi="Avenir Next" w:cs="Arial"/>
          <w:color w:val="7B7B7B" w:themeColor="accent3" w:themeShade="BF"/>
          <w:sz w:val="22"/>
          <w:szCs w:val="22"/>
          <w:lang w:val="en-GB"/>
        </w:rPr>
        <w:t xml:space="preserve">to equalise treatment among creditors in the </w:t>
      </w:r>
      <w:r>
        <w:rPr>
          <w:rFonts w:ascii="Avenir Next" w:hAnsi="Avenir Next" w:cs="Arial"/>
          <w:color w:val="7B7B7B" w:themeColor="accent3" w:themeShade="BF"/>
          <w:sz w:val="22"/>
          <w:szCs w:val="22"/>
          <w:lang w:val="en-GB"/>
        </w:rPr>
        <w:t xml:space="preserve">same class and </w:t>
      </w:r>
      <w:r>
        <w:rPr>
          <w:rFonts w:ascii="Avenir Next" w:hAnsi="Avenir Next" w:cs="Arial"/>
          <w:color w:val="7B7B7B" w:themeColor="accent3" w:themeShade="BF"/>
          <w:sz w:val="22"/>
          <w:szCs w:val="22"/>
          <w:lang w:val="en-GB"/>
        </w:rPr>
        <w:lastRenderedPageBreak/>
        <w:t xml:space="preserve">disincentive value destruction of a distressed debtor, for example where creditors asset strip a debtor’s estate. </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4CA14A7D" w:rsidR="00E41578" w:rsidRDefault="00D5444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federal court system, established under Article III of the US Constitution, consists of trial-</w:t>
      </w:r>
      <w:r w:rsidR="00D27A74">
        <w:rPr>
          <w:rFonts w:ascii="Avenir Next" w:hAnsi="Avenir Next" w:cs="Arial"/>
          <w:color w:val="7B7B7B" w:themeColor="accent3" w:themeShade="BF"/>
          <w:sz w:val="22"/>
          <w:szCs w:val="22"/>
          <w:lang w:val="en-GB"/>
        </w:rPr>
        <w:t>level</w:t>
      </w:r>
      <w:r>
        <w:rPr>
          <w:rFonts w:ascii="Avenir Next" w:hAnsi="Avenir Next" w:cs="Arial"/>
          <w:color w:val="7B7B7B" w:themeColor="accent3" w:themeShade="BF"/>
          <w:sz w:val="22"/>
          <w:szCs w:val="22"/>
          <w:lang w:val="en-GB"/>
        </w:rPr>
        <w:t xml:space="preserve"> district courts, regional courts of appeal known as ‘circuits’ and the US Supreme Court. The b</w:t>
      </w:r>
      <w:r w:rsidR="00670384">
        <w:rPr>
          <w:rFonts w:ascii="Avenir Next" w:hAnsi="Avenir Next" w:cs="Arial"/>
          <w:color w:val="7B7B7B" w:themeColor="accent3" w:themeShade="BF"/>
          <w:sz w:val="22"/>
          <w:szCs w:val="22"/>
          <w:lang w:val="en-GB"/>
        </w:rPr>
        <w:t xml:space="preserve">ankruptcy courts </w:t>
      </w:r>
      <w:r>
        <w:rPr>
          <w:rFonts w:ascii="Avenir Next" w:hAnsi="Avenir Next" w:cs="Arial"/>
          <w:color w:val="7B7B7B" w:themeColor="accent3" w:themeShade="BF"/>
          <w:sz w:val="22"/>
          <w:szCs w:val="22"/>
          <w:lang w:val="en-GB"/>
        </w:rPr>
        <w:t>were not part of the original federal court system but established</w:t>
      </w:r>
      <w:r w:rsidR="00670384">
        <w:rPr>
          <w:rFonts w:ascii="Avenir Next" w:hAnsi="Avenir Next" w:cs="Arial"/>
          <w:color w:val="7B7B7B" w:themeColor="accent3" w:themeShade="BF"/>
          <w:sz w:val="22"/>
          <w:szCs w:val="22"/>
          <w:lang w:val="en-GB"/>
        </w:rPr>
        <w:t xml:space="preserve"> by</w:t>
      </w:r>
      <w:r>
        <w:rPr>
          <w:rFonts w:ascii="Avenir Next" w:hAnsi="Avenir Next" w:cs="Arial"/>
          <w:color w:val="7B7B7B" w:themeColor="accent3" w:themeShade="BF"/>
          <w:sz w:val="22"/>
          <w:szCs w:val="22"/>
          <w:lang w:val="en-GB"/>
        </w:rPr>
        <w:t xml:space="preserve"> federal  legislation, specifically the 1978 Bankruptcy Code.</w:t>
      </w:r>
      <w:r w:rsidR="00670384">
        <w:rPr>
          <w:rFonts w:ascii="Avenir Next" w:hAnsi="Avenir Next" w:cs="Arial"/>
          <w:color w:val="7B7B7B" w:themeColor="accent3" w:themeShade="BF"/>
          <w:sz w:val="22"/>
          <w:szCs w:val="22"/>
          <w:lang w:val="en-GB"/>
        </w:rPr>
        <w:t xml:space="preserve"> As a result, bankruptcy judges are</w:t>
      </w:r>
      <w:r>
        <w:rPr>
          <w:rFonts w:ascii="Avenir Next" w:hAnsi="Avenir Next" w:cs="Arial"/>
          <w:color w:val="7B7B7B" w:themeColor="accent3" w:themeShade="BF"/>
          <w:sz w:val="22"/>
          <w:szCs w:val="22"/>
          <w:lang w:val="en-GB"/>
        </w:rPr>
        <w:t xml:space="preserve"> appointed by courts of appeal (</w:t>
      </w:r>
      <w:r w:rsidR="00670384">
        <w:rPr>
          <w:rFonts w:ascii="Avenir Next" w:hAnsi="Avenir Next" w:cs="Arial"/>
          <w:color w:val="7B7B7B" w:themeColor="accent3" w:themeShade="BF"/>
          <w:sz w:val="22"/>
          <w:szCs w:val="22"/>
          <w:lang w:val="en-GB"/>
        </w:rPr>
        <w:t>rather than the president</w:t>
      </w:r>
      <w:r>
        <w:rPr>
          <w:rFonts w:ascii="Avenir Next" w:hAnsi="Avenir Next" w:cs="Arial"/>
          <w:color w:val="7B7B7B" w:themeColor="accent3" w:themeShade="BF"/>
          <w:sz w:val="22"/>
          <w:szCs w:val="22"/>
          <w:lang w:val="en-GB"/>
        </w:rPr>
        <w:t xml:space="preserve">); do not have </w:t>
      </w:r>
      <w:r w:rsidR="00670384">
        <w:rPr>
          <w:rFonts w:ascii="Avenir Next" w:hAnsi="Avenir Next" w:cs="Arial"/>
          <w:color w:val="7B7B7B" w:themeColor="accent3" w:themeShade="BF"/>
          <w:sz w:val="22"/>
          <w:szCs w:val="22"/>
          <w:lang w:val="en-GB"/>
        </w:rPr>
        <w:t>lifetime tenure</w:t>
      </w:r>
      <w:r w:rsidR="00A37733">
        <w:rPr>
          <w:rFonts w:ascii="Avenir Next" w:hAnsi="Avenir Next" w:cs="Arial"/>
          <w:color w:val="7B7B7B" w:themeColor="accent3" w:themeShade="BF"/>
          <w:sz w:val="22"/>
          <w:szCs w:val="22"/>
          <w:lang w:val="en-GB"/>
        </w:rPr>
        <w:t>;</w:t>
      </w:r>
      <w:r w:rsidR="00670384">
        <w:rPr>
          <w:rFonts w:ascii="Avenir Next" w:hAnsi="Avenir Next" w:cs="Arial"/>
          <w:color w:val="7B7B7B" w:themeColor="accent3" w:themeShade="BF"/>
          <w:sz w:val="22"/>
          <w:szCs w:val="22"/>
          <w:lang w:val="en-GB"/>
        </w:rPr>
        <w:t xml:space="preserve"> and have limited jurisdiction</w:t>
      </w:r>
      <w:r w:rsidR="00A37733">
        <w:rPr>
          <w:rFonts w:ascii="Avenir Next" w:hAnsi="Avenir Next" w:cs="Arial"/>
          <w:color w:val="7B7B7B" w:themeColor="accent3" w:themeShade="BF"/>
          <w:sz w:val="22"/>
          <w:szCs w:val="22"/>
          <w:lang w:val="en-GB"/>
        </w:rPr>
        <w:t xml:space="preserve"> to enter final orders on non-core bankruptcy issues. </w:t>
      </w:r>
    </w:p>
    <w:p w14:paraId="0974AB28" w14:textId="661385AF" w:rsidR="00A37733" w:rsidRDefault="00A37733" w:rsidP="00E41578">
      <w:pPr>
        <w:jc w:val="both"/>
        <w:rPr>
          <w:rFonts w:ascii="Avenir Next" w:hAnsi="Avenir Next" w:cs="Arial"/>
          <w:color w:val="7B7B7B" w:themeColor="accent3" w:themeShade="BF"/>
          <w:sz w:val="22"/>
          <w:szCs w:val="22"/>
          <w:lang w:val="en-GB"/>
        </w:rPr>
      </w:pPr>
    </w:p>
    <w:p w14:paraId="15FC7E0B" w14:textId="0B93841A" w:rsidR="00A37733" w:rsidRPr="00D27A74" w:rsidRDefault="00D27A7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final order is a final judgement that resolves all issues in dispute. </w:t>
      </w:r>
      <w:r w:rsidR="00A37733">
        <w:rPr>
          <w:rFonts w:ascii="Avenir Next" w:hAnsi="Avenir Next" w:cs="Arial"/>
          <w:color w:val="7B7B7B" w:themeColor="accent3" w:themeShade="BF"/>
          <w:sz w:val="22"/>
          <w:szCs w:val="22"/>
          <w:lang w:val="en-GB"/>
        </w:rPr>
        <w:t xml:space="preserve">The 1978 Bankruptcy Code distinguishes between ‘core’ and ‘non-core’ proceedings. Parties must distinguish in their pleadings whether the matter at issue is ‘core’ or ‘non-core’ in order for the bankruptcy court to determine the scope of its jurisdiction and the power to render a final order. A non-exhaustive list of ‘core’ proceedings includes, for example, (i) matters concerning the administration of the estate; (ii) orders to turn over property to the state; (iii) proceedings to determine, avoid, or recover preferences; and (iv) counterclaims by the estate against persons filing claims against the estate. </w:t>
      </w:r>
      <w:r>
        <w:rPr>
          <w:rFonts w:ascii="Avenir Next" w:hAnsi="Avenir Next" w:cs="Arial"/>
          <w:color w:val="7B7B7B" w:themeColor="accent3" w:themeShade="BF"/>
          <w:sz w:val="22"/>
          <w:szCs w:val="22"/>
          <w:lang w:val="en-GB"/>
        </w:rPr>
        <w:t>A</w:t>
      </w:r>
      <w:r w:rsidR="00A37733">
        <w:rPr>
          <w:rFonts w:ascii="Avenir Next" w:hAnsi="Avenir Next" w:cs="Arial"/>
          <w:color w:val="7B7B7B" w:themeColor="accent3" w:themeShade="BF"/>
          <w:sz w:val="22"/>
          <w:szCs w:val="22"/>
          <w:lang w:val="en-GB"/>
        </w:rPr>
        <w:t xml:space="preserve"> bankruptcy court may hear non-core proceedings if they are sufficiently related to a bankruptcy proceeding. </w:t>
      </w:r>
      <w:r>
        <w:rPr>
          <w:rFonts w:ascii="Avenir Next" w:hAnsi="Avenir Next" w:cs="Arial"/>
          <w:color w:val="7B7B7B" w:themeColor="accent3" w:themeShade="BF"/>
          <w:sz w:val="22"/>
          <w:szCs w:val="22"/>
          <w:lang w:val="en-GB"/>
        </w:rPr>
        <w:t xml:space="preserve">It is permitted to make a final order over non-core proceedings (subject to </w:t>
      </w:r>
      <w:r>
        <w:rPr>
          <w:rFonts w:ascii="Avenir Next" w:hAnsi="Avenir Next" w:cs="Arial"/>
          <w:i/>
          <w:color w:val="7B7B7B" w:themeColor="accent3" w:themeShade="BF"/>
          <w:sz w:val="22"/>
          <w:szCs w:val="22"/>
          <w:lang w:val="en-GB"/>
        </w:rPr>
        <w:t>Stern v Marshall</w:t>
      </w:r>
      <w:r>
        <w:rPr>
          <w:rFonts w:ascii="Avenir Next" w:hAnsi="Avenir Next" w:cs="Arial"/>
          <w:color w:val="7B7B7B" w:themeColor="accent3" w:themeShade="BF"/>
          <w:sz w:val="22"/>
          <w:szCs w:val="22"/>
          <w:lang w:val="en-GB"/>
        </w:rPr>
        <w:t xml:space="preserve">) but may only issue proposed findings of fact and conclusions of law for non-core proceedings. </w:t>
      </w:r>
    </w:p>
    <w:p w14:paraId="125797C2" w14:textId="0270CFFE" w:rsidR="00670384" w:rsidRDefault="00670384" w:rsidP="00E41578">
      <w:pPr>
        <w:jc w:val="both"/>
        <w:rPr>
          <w:rFonts w:ascii="Avenir Next" w:hAnsi="Avenir Next" w:cs="Arial"/>
          <w:color w:val="7B7B7B" w:themeColor="accent3" w:themeShade="BF"/>
          <w:sz w:val="22"/>
          <w:szCs w:val="22"/>
          <w:lang w:val="en-GB"/>
        </w:rPr>
      </w:pPr>
    </w:p>
    <w:p w14:paraId="4680A27D" w14:textId="6C4EE6E5" w:rsidR="006E3611" w:rsidRDefault="00670384" w:rsidP="006E36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2011, the </w:t>
      </w:r>
      <w:r w:rsidR="00A37733">
        <w:rPr>
          <w:rFonts w:ascii="Avenir Next" w:hAnsi="Avenir Next" w:cs="Arial"/>
          <w:color w:val="7B7B7B" w:themeColor="accent3" w:themeShade="BF"/>
          <w:sz w:val="22"/>
          <w:szCs w:val="22"/>
          <w:lang w:val="en-GB"/>
        </w:rPr>
        <w:t xml:space="preserve">US </w:t>
      </w:r>
      <w:r>
        <w:rPr>
          <w:rFonts w:ascii="Avenir Next" w:hAnsi="Avenir Next" w:cs="Arial"/>
          <w:color w:val="7B7B7B" w:themeColor="accent3" w:themeShade="BF"/>
          <w:sz w:val="22"/>
          <w:szCs w:val="22"/>
          <w:lang w:val="en-GB"/>
        </w:rPr>
        <w:t>Supreme Court</w:t>
      </w:r>
      <w:r w:rsidR="00A37733">
        <w:rPr>
          <w:rFonts w:ascii="Avenir Next" w:hAnsi="Avenir Next" w:cs="Arial"/>
          <w:color w:val="7B7B7B" w:themeColor="accent3" w:themeShade="BF"/>
          <w:sz w:val="22"/>
          <w:szCs w:val="22"/>
          <w:lang w:val="en-GB"/>
        </w:rPr>
        <w:t xml:space="preserve"> held</w:t>
      </w:r>
      <w:r>
        <w:rPr>
          <w:rFonts w:ascii="Avenir Next" w:hAnsi="Avenir Next" w:cs="Arial"/>
          <w:color w:val="7B7B7B" w:themeColor="accent3" w:themeShade="BF"/>
          <w:sz w:val="22"/>
          <w:szCs w:val="22"/>
          <w:lang w:val="en-GB"/>
        </w:rPr>
        <w:t xml:space="preserve"> in </w:t>
      </w:r>
      <w:r>
        <w:rPr>
          <w:rFonts w:ascii="Avenir Next" w:hAnsi="Avenir Next" w:cs="Arial"/>
          <w:i/>
          <w:color w:val="7B7B7B" w:themeColor="accent3" w:themeShade="BF"/>
          <w:sz w:val="22"/>
          <w:szCs w:val="22"/>
          <w:lang w:val="en-GB"/>
        </w:rPr>
        <w:t>Stern v Marshall</w:t>
      </w:r>
      <w:r>
        <w:rPr>
          <w:rFonts w:ascii="Avenir Next" w:hAnsi="Avenir Next" w:cs="Arial"/>
          <w:color w:val="7B7B7B" w:themeColor="accent3" w:themeShade="BF"/>
          <w:sz w:val="22"/>
          <w:szCs w:val="22"/>
          <w:lang w:val="en-GB"/>
        </w:rPr>
        <w:t xml:space="preserve"> </w:t>
      </w:r>
      <w:r w:rsidR="00A37733">
        <w:rPr>
          <w:rFonts w:ascii="Avenir Next" w:hAnsi="Avenir Next" w:cs="Arial"/>
          <w:color w:val="7B7B7B" w:themeColor="accent3" w:themeShade="BF"/>
          <w:sz w:val="22"/>
          <w:szCs w:val="22"/>
          <w:lang w:val="en-GB"/>
        </w:rPr>
        <w:t xml:space="preserve">that the bankruptcy court’s issuance of a final order over a state law claim </w:t>
      </w:r>
      <w:r w:rsidR="00DA2049">
        <w:rPr>
          <w:rFonts w:ascii="Avenir Next" w:hAnsi="Avenir Next" w:cs="Arial"/>
          <w:color w:val="7B7B7B" w:themeColor="accent3" w:themeShade="BF"/>
          <w:sz w:val="22"/>
          <w:szCs w:val="22"/>
          <w:lang w:val="en-GB"/>
        </w:rPr>
        <w:t xml:space="preserve">was unconstitutional under Article III. </w:t>
      </w:r>
      <w:r w:rsidR="00D27A74">
        <w:rPr>
          <w:rFonts w:ascii="Avenir Next" w:hAnsi="Avenir Next" w:cs="Arial"/>
          <w:color w:val="7B7B7B" w:themeColor="accent3" w:themeShade="BF"/>
          <w:sz w:val="22"/>
          <w:szCs w:val="22"/>
          <w:lang w:val="en-GB"/>
        </w:rPr>
        <w:t>However, a</w:t>
      </w:r>
      <w:r w:rsidR="00DA2049">
        <w:rPr>
          <w:rFonts w:ascii="Avenir Next" w:hAnsi="Avenir Next" w:cs="Arial"/>
          <w:color w:val="7B7B7B" w:themeColor="accent3" w:themeShade="BF"/>
          <w:sz w:val="22"/>
          <w:szCs w:val="22"/>
          <w:lang w:val="en-GB"/>
        </w:rPr>
        <w:t xml:space="preserve"> bankruptcy court may exercise a district court’s delegated authority to enter a final order on a motion challenging the validity of a petition</w:t>
      </w:r>
      <w:r w:rsidR="00D27A74">
        <w:rPr>
          <w:rFonts w:ascii="Avenir Next" w:hAnsi="Avenir Next" w:cs="Arial"/>
          <w:color w:val="7B7B7B" w:themeColor="accent3" w:themeShade="BF"/>
          <w:sz w:val="22"/>
          <w:szCs w:val="22"/>
          <w:lang w:val="en-GB"/>
        </w:rPr>
        <w:t xml:space="preserve"> because of a district court’s exclusive jurisdiction to adjudicate a petition commencing bankruptcy proceedings</w:t>
      </w:r>
      <w:r w:rsidR="00DA2049">
        <w:rPr>
          <w:rFonts w:ascii="Avenir Next" w:hAnsi="Avenir Next" w:cs="Arial"/>
          <w:color w:val="7B7B7B" w:themeColor="accent3" w:themeShade="BF"/>
          <w:sz w:val="22"/>
          <w:szCs w:val="22"/>
          <w:lang w:val="en-GB"/>
        </w:rPr>
        <w:t xml:space="preserve">. In </w:t>
      </w:r>
      <w:r w:rsidR="00DA2049">
        <w:rPr>
          <w:rFonts w:ascii="Avenir Next" w:hAnsi="Avenir Next" w:cs="Arial"/>
          <w:i/>
          <w:color w:val="7B7B7B" w:themeColor="accent3" w:themeShade="BF"/>
          <w:sz w:val="22"/>
          <w:szCs w:val="22"/>
          <w:lang w:val="en-GB"/>
        </w:rPr>
        <w:t>Executive Benefits Ins Agency v Arkinson</w:t>
      </w:r>
      <w:r w:rsidR="00DA2049">
        <w:rPr>
          <w:rFonts w:ascii="Avenir Next" w:hAnsi="Avenir Next" w:cs="Arial"/>
          <w:color w:val="7B7B7B" w:themeColor="accent3" w:themeShade="BF"/>
          <w:sz w:val="22"/>
          <w:szCs w:val="22"/>
          <w:lang w:val="en-GB"/>
        </w:rPr>
        <w:t xml:space="preserve">, the US Supreme Court held that bankruptcy judges may determine core proceedings over which they lack constitutional authority by issuing a report and recommendation for review by the district court (i.e. the same procedure as in non-core proceedings) or may issue final orders </w:t>
      </w:r>
      <w:r w:rsidR="006E3611">
        <w:rPr>
          <w:rFonts w:ascii="Avenir Next" w:hAnsi="Avenir Next" w:cs="Arial"/>
          <w:color w:val="7B7B7B" w:themeColor="accent3" w:themeShade="BF"/>
          <w:sz w:val="22"/>
          <w:szCs w:val="22"/>
          <w:lang w:val="en-GB"/>
        </w:rPr>
        <w:t xml:space="preserve">with the consent of the parties. As a result, the Bankruptcy Rules now require </w:t>
      </w:r>
      <w:r w:rsidR="00DA2049">
        <w:rPr>
          <w:rFonts w:ascii="Avenir Next" w:hAnsi="Avenir Next" w:cs="Arial"/>
          <w:color w:val="7B7B7B" w:themeColor="accent3" w:themeShade="BF"/>
          <w:sz w:val="22"/>
          <w:szCs w:val="22"/>
          <w:lang w:val="en-GB"/>
        </w:rPr>
        <w:t xml:space="preserve">parties </w:t>
      </w:r>
      <w:r w:rsidR="006E3611">
        <w:rPr>
          <w:rFonts w:ascii="Avenir Next" w:hAnsi="Avenir Next" w:cs="Arial"/>
          <w:color w:val="7B7B7B" w:themeColor="accent3" w:themeShade="BF"/>
          <w:sz w:val="22"/>
          <w:szCs w:val="22"/>
          <w:lang w:val="en-GB"/>
        </w:rPr>
        <w:t>to</w:t>
      </w:r>
      <w:r w:rsidR="00DA2049">
        <w:rPr>
          <w:rFonts w:ascii="Avenir Next" w:hAnsi="Avenir Next" w:cs="Arial"/>
          <w:color w:val="7B7B7B" w:themeColor="accent3" w:themeShade="BF"/>
          <w:sz w:val="22"/>
          <w:szCs w:val="22"/>
          <w:lang w:val="en-GB"/>
        </w:rPr>
        <w:t xml:space="preserve"> state in pleadings whether the consent to the entry of final orders or judgment by the bankruptcy court</w:t>
      </w:r>
      <w:r w:rsidR="006E3611">
        <w:rPr>
          <w:rFonts w:ascii="Avenir Next" w:hAnsi="Avenir Next" w:cs="Arial"/>
          <w:color w:val="7B7B7B" w:themeColor="accent3" w:themeShade="BF"/>
          <w:sz w:val="22"/>
          <w:szCs w:val="22"/>
          <w:lang w:val="en-GB"/>
        </w:rPr>
        <w:t xml:space="preserve">. If parties do not comply with this requirement, the court may deem the party to have consented to its exercise of jurisdiction. </w:t>
      </w:r>
    </w:p>
    <w:p w14:paraId="564665EE" w14:textId="77777777" w:rsidR="006E3611" w:rsidRDefault="006E3611" w:rsidP="006E3611">
      <w:pPr>
        <w:jc w:val="both"/>
        <w:rPr>
          <w:rFonts w:ascii="Avenir Next" w:hAnsi="Avenir Next" w:cs="Arial"/>
          <w:color w:val="7B7B7B" w:themeColor="accent3" w:themeShade="BF"/>
          <w:sz w:val="22"/>
          <w:szCs w:val="22"/>
          <w:lang w:val="en-GB"/>
        </w:rPr>
      </w:pPr>
    </w:p>
    <w:p w14:paraId="44434425" w14:textId="294DB9D8" w:rsidR="00DA2049" w:rsidRDefault="006E3611" w:rsidP="006E36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Appeals from bankruptcy court decisions are generally heard by the district court for the district in which the bankruptcy court sits. However, the First, Sixth, Ninth and Tenth Circuits have elected to establish Bankruptcy Appellate Panels, although parties may request that the appeal be heard by a district court instead. Following the district court or Bankruptcy Appellate Panel, there is a second appeal right to the circuit’s court of appeal. Where an appeal raises a question of law as to the which there is no controlling decision of the circuit of the US Supreme Court; required resolving conflicting controlling decisions; or an immediate appeal may materially advance the progress of a case, an appeal from the bankruptcy court may be directed to the court of appeals. </w:t>
      </w:r>
    </w:p>
    <w:p w14:paraId="25DF5F09" w14:textId="0389B5CE" w:rsidR="006E3611" w:rsidRDefault="006E3611" w:rsidP="006E3611">
      <w:pPr>
        <w:jc w:val="both"/>
        <w:rPr>
          <w:rFonts w:ascii="Avenir Next" w:hAnsi="Avenir Next" w:cs="Arial"/>
          <w:color w:val="7B7B7B" w:themeColor="accent3" w:themeShade="BF"/>
          <w:sz w:val="22"/>
          <w:szCs w:val="22"/>
          <w:lang w:val="en-GB"/>
        </w:rPr>
      </w:pPr>
    </w:p>
    <w:p w14:paraId="37B4DE3A" w14:textId="34A807B8" w:rsidR="00E01803" w:rsidRDefault="006E3611" w:rsidP="000B6C26">
      <w:pPr>
        <w:jc w:val="both"/>
        <w:rPr>
          <w:rFonts w:ascii="Avenir Next" w:hAnsi="Avenir Next"/>
        </w:rPr>
      </w:pPr>
      <w:r>
        <w:rPr>
          <w:rFonts w:ascii="Avenir Next" w:hAnsi="Avenir Next" w:cs="Arial"/>
          <w:color w:val="7B7B7B" w:themeColor="accent3" w:themeShade="BF"/>
          <w:sz w:val="22"/>
          <w:szCs w:val="22"/>
          <w:lang w:val="en-GB"/>
        </w:rPr>
        <w:t xml:space="preserve">Where the bankruptcy court did not have authority to enter a final order, the district court of Bankruptcy Appellate Panel reviews each findings of fact and conclusions of law which a party has objected to. </w:t>
      </w:r>
      <w:r w:rsidR="000B6C26">
        <w:rPr>
          <w:rFonts w:ascii="Avenir Next" w:hAnsi="Avenir Next" w:cs="Arial"/>
          <w:color w:val="7B7B7B" w:themeColor="accent3" w:themeShade="BF"/>
          <w:sz w:val="22"/>
          <w:szCs w:val="22"/>
          <w:lang w:val="en-GB"/>
        </w:rPr>
        <w:t xml:space="preserve">In reviewing an order of a district court or Bankruptcy Appellate Panel, the court of appeal reviews conclusions of law and abuse of discretion for findings of fact. </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53A698E2" w14:textId="73D85BB7" w:rsidR="00006A85" w:rsidRDefault="00006A85" w:rsidP="00D27A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w:t>
      </w:r>
      <w:r w:rsidR="00D27A74" w:rsidRPr="00D27A74">
        <w:rPr>
          <w:rFonts w:ascii="Avenir Next" w:hAnsi="Avenir Next" w:cs="Arial"/>
          <w:color w:val="7B7B7B" w:themeColor="accent3" w:themeShade="BF"/>
          <w:sz w:val="22"/>
          <w:szCs w:val="22"/>
          <w:lang w:val="en-GB"/>
        </w:rPr>
        <w:t>recogniti</w:t>
      </w:r>
      <w:r>
        <w:rPr>
          <w:rFonts w:ascii="Avenir Next" w:hAnsi="Avenir Next" w:cs="Arial"/>
          <w:color w:val="7B7B7B" w:themeColor="accent3" w:themeShade="BF"/>
          <w:sz w:val="22"/>
          <w:szCs w:val="22"/>
          <w:lang w:val="en-GB"/>
        </w:rPr>
        <w:t>on of a foreign main proceeding</w:t>
      </w:r>
      <w:r w:rsidR="00D27A7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B8500C">
        <w:rPr>
          <w:rFonts w:ascii="Avenir Next" w:hAnsi="Avenir Next" w:cs="Arial"/>
          <w:color w:val="7B7B7B" w:themeColor="accent3" w:themeShade="BF"/>
          <w:sz w:val="22"/>
          <w:szCs w:val="22"/>
          <w:lang w:val="en-GB"/>
        </w:rPr>
        <w:t xml:space="preserve">pursuant to </w:t>
      </w:r>
      <w:r w:rsidR="00612780">
        <w:rPr>
          <w:rFonts w:ascii="Avenir Next" w:hAnsi="Avenir Next" w:cs="Arial"/>
          <w:color w:val="7B7B7B" w:themeColor="accent3" w:themeShade="BF"/>
          <w:sz w:val="22"/>
          <w:szCs w:val="22"/>
          <w:lang w:val="en-GB"/>
        </w:rPr>
        <w:t>section</w:t>
      </w:r>
      <w:r w:rsidR="00B8500C">
        <w:rPr>
          <w:rFonts w:ascii="Avenir Next" w:hAnsi="Avenir Next" w:cs="Arial"/>
          <w:color w:val="7B7B7B" w:themeColor="accent3" w:themeShade="BF"/>
          <w:sz w:val="22"/>
          <w:szCs w:val="22"/>
          <w:lang w:val="en-GB"/>
        </w:rPr>
        <w:t xml:space="preserve"> 152o of</w:t>
      </w:r>
      <w:r>
        <w:rPr>
          <w:rFonts w:ascii="Avenir Next" w:hAnsi="Avenir Next" w:cs="Arial"/>
          <w:color w:val="7B7B7B" w:themeColor="accent3" w:themeShade="BF"/>
          <w:sz w:val="22"/>
          <w:szCs w:val="22"/>
          <w:lang w:val="en-GB"/>
        </w:rPr>
        <w:t xml:space="preserve"> Bankruptcy Code</w:t>
      </w:r>
      <w:r w:rsidR="00B8500C">
        <w:rPr>
          <w:rFonts w:ascii="Avenir Next" w:hAnsi="Avenir Next" w:cs="Arial"/>
          <w:color w:val="7B7B7B" w:themeColor="accent3" w:themeShade="BF"/>
          <w:sz w:val="22"/>
          <w:szCs w:val="22"/>
          <w:lang w:val="en-GB"/>
        </w:rPr>
        <w:t>, the following relief may be granted</w:t>
      </w:r>
      <w:r>
        <w:rPr>
          <w:rFonts w:ascii="Avenir Next" w:hAnsi="Avenir Next" w:cs="Arial"/>
          <w:color w:val="7B7B7B" w:themeColor="accent3" w:themeShade="BF"/>
          <w:sz w:val="22"/>
          <w:szCs w:val="22"/>
          <w:lang w:val="en-GB"/>
        </w:rPr>
        <w:t xml:space="preserve"> with respect to the debtor and the debtor’s property within the territorial jurisdiction of the US:</w:t>
      </w:r>
    </w:p>
    <w:p w14:paraId="3176A3F4" w14:textId="74CCC3B1" w:rsidR="00E01803" w:rsidRDefault="00006A85" w:rsidP="00006A85">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automati</w:t>
      </w:r>
      <w:r w:rsidR="00B8500C">
        <w:rPr>
          <w:rFonts w:ascii="Avenir Next" w:hAnsi="Avenir Next" w:cs="Arial"/>
          <w:color w:val="7B7B7B" w:themeColor="accent3" w:themeShade="BF"/>
          <w:sz w:val="22"/>
          <w:szCs w:val="22"/>
          <w:lang w:val="en-GB"/>
        </w:rPr>
        <w:t>c stay against creditor action;</w:t>
      </w:r>
    </w:p>
    <w:p w14:paraId="6568D22C" w14:textId="4EE5FBAD" w:rsidR="00006A85" w:rsidRDefault="00006A85" w:rsidP="00006A85">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operation of the debtor’s business in the ordinary court by the foreign representative; </w:t>
      </w:r>
    </w:p>
    <w:p w14:paraId="4BD1C14E" w14:textId="0D43AD2A" w:rsidR="00006A85" w:rsidRDefault="00006A85" w:rsidP="00006A85">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sale, transfer or use of property outside the ordinary course; and </w:t>
      </w:r>
    </w:p>
    <w:p w14:paraId="7856CB4B" w14:textId="18DF17E4" w:rsidR="00006A85" w:rsidRPr="00006A85" w:rsidRDefault="00006A85" w:rsidP="00006A85">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avoidance of post-petition transfers and post-petition perfection of security interests. </w:t>
      </w:r>
    </w:p>
    <w:p w14:paraId="17827C29" w14:textId="18928740" w:rsidR="00006A85" w:rsidRDefault="00006A85" w:rsidP="00D27A74">
      <w:pPr>
        <w:jc w:val="both"/>
        <w:rPr>
          <w:rFonts w:ascii="Avenir Next" w:hAnsi="Avenir Next" w:cs="Arial"/>
          <w:color w:val="7B7B7B" w:themeColor="accent3" w:themeShade="BF"/>
          <w:sz w:val="22"/>
          <w:szCs w:val="22"/>
          <w:lang w:val="en-GB"/>
        </w:rPr>
      </w:pPr>
    </w:p>
    <w:p w14:paraId="3598E681" w14:textId="48B69966" w:rsidR="002139B8" w:rsidRDefault="002139B8" w:rsidP="00D27A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relief in (a) to (d) above may be granted on a discretionary basis following recognition of a foreign non-main proceeding. </w:t>
      </w:r>
    </w:p>
    <w:p w14:paraId="2027A6F6" w14:textId="42986D27" w:rsidR="002139B8" w:rsidRDefault="002139B8" w:rsidP="00D27A74">
      <w:pPr>
        <w:jc w:val="both"/>
        <w:rPr>
          <w:rFonts w:ascii="Avenir Next" w:hAnsi="Avenir Next" w:cs="Arial"/>
          <w:color w:val="7B7B7B" w:themeColor="accent3" w:themeShade="BF"/>
          <w:sz w:val="22"/>
          <w:szCs w:val="22"/>
          <w:lang w:val="en-GB"/>
        </w:rPr>
      </w:pPr>
    </w:p>
    <w:p w14:paraId="485B58B9" w14:textId="0E5C27BA" w:rsidR="00006A85" w:rsidRDefault="002139B8" w:rsidP="00D27A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to the relief in (a) to (d) above, the following additional relief may be granted on a discretionary basis pursuant to </w:t>
      </w:r>
      <w:r w:rsidR="00612780">
        <w:rPr>
          <w:rFonts w:ascii="Avenir Next" w:hAnsi="Avenir Next" w:cs="Arial"/>
          <w:color w:val="7B7B7B" w:themeColor="accent3" w:themeShade="BF"/>
          <w:sz w:val="22"/>
          <w:szCs w:val="22"/>
          <w:lang w:val="en-GB"/>
        </w:rPr>
        <w:t>section</w:t>
      </w:r>
      <w:r>
        <w:rPr>
          <w:rFonts w:ascii="Avenir Next" w:hAnsi="Avenir Next" w:cs="Arial"/>
          <w:color w:val="7B7B7B" w:themeColor="accent3" w:themeShade="BF"/>
          <w:sz w:val="22"/>
          <w:szCs w:val="22"/>
          <w:lang w:val="en-GB"/>
        </w:rPr>
        <w:t xml:space="preserve"> 1521</w:t>
      </w:r>
      <w:r w:rsidR="00B8500C">
        <w:rPr>
          <w:rFonts w:ascii="Avenir Next" w:hAnsi="Avenir Next" w:cs="Arial"/>
          <w:color w:val="7B7B7B" w:themeColor="accent3" w:themeShade="BF"/>
          <w:sz w:val="22"/>
          <w:szCs w:val="22"/>
          <w:lang w:val="en-GB"/>
        </w:rPr>
        <w:t xml:space="preserve"> of the Bankruptcy Code</w:t>
      </w:r>
      <w:r>
        <w:rPr>
          <w:rFonts w:ascii="Avenir Next" w:hAnsi="Avenir Next" w:cs="Arial"/>
          <w:color w:val="7B7B7B" w:themeColor="accent3" w:themeShade="BF"/>
          <w:sz w:val="22"/>
          <w:szCs w:val="22"/>
          <w:lang w:val="en-GB"/>
        </w:rPr>
        <w:t xml:space="preserve">: </w:t>
      </w:r>
    </w:p>
    <w:p w14:paraId="07DF8F50" w14:textId="2B8C825A" w:rsidR="002139B8" w:rsidRDefault="002139B8" w:rsidP="002139B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authorisation of discovery regarding the debtor’s assets and affairs; </w:t>
      </w:r>
    </w:p>
    <w:p w14:paraId="48717EA0" w14:textId="79FD4A26" w:rsidR="002139B8" w:rsidRDefault="002139B8" w:rsidP="002139B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the administration of the debtor’s US assets to the foreign representative or other person; </w:t>
      </w:r>
    </w:p>
    <w:p w14:paraId="6E43CF8A" w14:textId="3DADFB09" w:rsidR="002139B8" w:rsidRDefault="002139B8" w:rsidP="002139B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extension of provisional relief; and </w:t>
      </w:r>
    </w:p>
    <w:p w14:paraId="640E0417" w14:textId="2B9EBF9E" w:rsidR="002139B8" w:rsidRDefault="002139B8" w:rsidP="002139B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relief “necessary to effectuate the purposes of chapter 15 and to protect the assets of the debtor or the interests of creditors”. </w:t>
      </w:r>
    </w:p>
    <w:p w14:paraId="0429E48C" w14:textId="4571827D" w:rsidR="002139B8" w:rsidRDefault="002139B8" w:rsidP="002139B8">
      <w:pPr>
        <w:jc w:val="both"/>
        <w:rPr>
          <w:rFonts w:ascii="Avenir Next" w:hAnsi="Avenir Next" w:cs="Arial"/>
          <w:color w:val="7B7B7B" w:themeColor="accent3" w:themeShade="BF"/>
          <w:sz w:val="22"/>
          <w:szCs w:val="22"/>
          <w:lang w:val="en-GB"/>
        </w:rPr>
      </w:pPr>
    </w:p>
    <w:p w14:paraId="6948F7AF" w14:textId="2308A876" w:rsidR="002139B8" w:rsidRPr="002139B8" w:rsidRDefault="002139B8" w:rsidP="002139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00612780">
        <w:rPr>
          <w:rFonts w:ascii="Avenir Next" w:hAnsi="Avenir Next" w:cs="Arial"/>
          <w:color w:val="7B7B7B" w:themeColor="accent3" w:themeShade="BF"/>
          <w:sz w:val="22"/>
          <w:szCs w:val="22"/>
          <w:lang w:val="en-GB"/>
        </w:rPr>
        <w:t>section</w:t>
      </w:r>
      <w:r>
        <w:rPr>
          <w:rFonts w:ascii="Avenir Next" w:hAnsi="Avenir Next" w:cs="Arial"/>
          <w:color w:val="7B7B7B" w:themeColor="accent3" w:themeShade="BF"/>
          <w:sz w:val="22"/>
          <w:szCs w:val="22"/>
          <w:lang w:val="en-GB"/>
        </w:rPr>
        <w:t xml:space="preserve"> 1521 (c)</w:t>
      </w:r>
      <w:r w:rsidR="00B8500C">
        <w:rPr>
          <w:rFonts w:ascii="Avenir Next" w:hAnsi="Avenir Next" w:cs="Arial"/>
          <w:color w:val="7B7B7B" w:themeColor="accent3" w:themeShade="BF"/>
          <w:sz w:val="22"/>
          <w:szCs w:val="22"/>
          <w:lang w:val="en-GB"/>
        </w:rPr>
        <w:t xml:space="preserve"> of the Bankruptcy Code</w:t>
      </w:r>
      <w:r>
        <w:rPr>
          <w:rFonts w:ascii="Avenir Next" w:hAnsi="Avenir Next" w:cs="Arial"/>
          <w:color w:val="7B7B7B" w:themeColor="accent3" w:themeShade="BF"/>
          <w:sz w:val="22"/>
          <w:szCs w:val="22"/>
          <w:lang w:val="en-GB"/>
        </w:rPr>
        <w:t xml:space="preserve">, in determining whether to grant discretionary relief in a foreign non-main proceeding, the bankruptcy court must be satisfied that that it is appropriate under US law for the assets in question to be administered in the foreign non-main proceeding. </w:t>
      </w:r>
    </w:p>
    <w:p w14:paraId="2EA7C117" w14:textId="3F22E2BB" w:rsidR="002139B8" w:rsidRDefault="002139B8" w:rsidP="002139B8">
      <w:pPr>
        <w:jc w:val="both"/>
        <w:rPr>
          <w:rFonts w:ascii="Avenir Next" w:hAnsi="Avenir Next" w:cs="Arial"/>
          <w:color w:val="7B7B7B" w:themeColor="accent3" w:themeShade="BF"/>
          <w:sz w:val="22"/>
          <w:szCs w:val="22"/>
          <w:lang w:val="en-GB"/>
        </w:rPr>
      </w:pPr>
    </w:p>
    <w:p w14:paraId="14EDD505" w14:textId="7CC1CD44" w:rsidR="00B8500C" w:rsidRDefault="002139B8" w:rsidP="002139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w:t>
      </w:r>
      <w:r w:rsidR="00B8500C">
        <w:rPr>
          <w:rFonts w:ascii="Avenir Next" w:hAnsi="Avenir Next" w:cs="Arial"/>
          <w:color w:val="7B7B7B" w:themeColor="accent3" w:themeShade="BF"/>
          <w:sz w:val="22"/>
          <w:szCs w:val="22"/>
          <w:lang w:val="en-GB"/>
        </w:rPr>
        <w:t xml:space="preserve">pursuant to </w:t>
      </w:r>
      <w:r w:rsidR="00612780">
        <w:rPr>
          <w:rFonts w:ascii="Avenir Next" w:hAnsi="Avenir Next" w:cs="Arial"/>
          <w:color w:val="7B7B7B" w:themeColor="accent3" w:themeShade="BF"/>
          <w:sz w:val="22"/>
          <w:szCs w:val="22"/>
          <w:lang w:val="en-GB"/>
        </w:rPr>
        <w:t>section</w:t>
      </w:r>
      <w:r w:rsidR="00B8500C">
        <w:rPr>
          <w:rFonts w:ascii="Avenir Next" w:hAnsi="Avenir Next" w:cs="Arial"/>
          <w:color w:val="7B7B7B" w:themeColor="accent3" w:themeShade="BF"/>
          <w:sz w:val="22"/>
          <w:szCs w:val="22"/>
          <w:lang w:val="en-GB"/>
        </w:rPr>
        <w:t xml:space="preserve"> 1522 (c) of the Bankruptcy Code </w:t>
      </w:r>
      <w:r>
        <w:rPr>
          <w:rFonts w:ascii="Avenir Next" w:hAnsi="Avenir Next" w:cs="Arial"/>
          <w:color w:val="7B7B7B" w:themeColor="accent3" w:themeShade="BF"/>
          <w:sz w:val="22"/>
          <w:szCs w:val="22"/>
          <w:lang w:val="en-GB"/>
        </w:rPr>
        <w:t>a bankruptcy court may modify or terminate</w:t>
      </w:r>
      <w:r w:rsidR="00B8500C">
        <w:rPr>
          <w:rFonts w:ascii="Avenir Next" w:hAnsi="Avenir Next" w:cs="Arial"/>
          <w:color w:val="7B7B7B" w:themeColor="accent3" w:themeShade="BF"/>
          <w:sz w:val="22"/>
          <w:szCs w:val="22"/>
          <w:lang w:val="en-GB"/>
        </w:rPr>
        <w:t xml:space="preserve"> the</w:t>
      </w:r>
      <w:r>
        <w:rPr>
          <w:rFonts w:ascii="Avenir Next" w:hAnsi="Avenir Next" w:cs="Arial"/>
          <w:color w:val="7B7B7B" w:themeColor="accent3" w:themeShade="BF"/>
          <w:sz w:val="22"/>
          <w:szCs w:val="22"/>
          <w:lang w:val="en-GB"/>
        </w:rPr>
        <w:t xml:space="preserve"> discretionary relief granted pursuant to Pursuant to </w:t>
      </w:r>
      <w:r w:rsidR="00612780">
        <w:rPr>
          <w:rFonts w:ascii="Avenir Next" w:hAnsi="Avenir Next" w:cs="Arial"/>
          <w:color w:val="7B7B7B" w:themeColor="accent3" w:themeShade="BF"/>
          <w:sz w:val="22"/>
          <w:szCs w:val="22"/>
          <w:lang w:val="en-GB"/>
        </w:rPr>
        <w:t>section</w:t>
      </w:r>
      <w:r>
        <w:rPr>
          <w:rFonts w:ascii="Avenir Next" w:hAnsi="Avenir Next" w:cs="Arial"/>
          <w:color w:val="7B7B7B" w:themeColor="accent3" w:themeShade="BF"/>
          <w:sz w:val="22"/>
          <w:szCs w:val="22"/>
          <w:lang w:val="en-GB"/>
        </w:rPr>
        <w:t xml:space="preserve"> 1521</w:t>
      </w:r>
      <w:r w:rsidR="00B8500C">
        <w:rPr>
          <w:rFonts w:ascii="Avenir Next" w:hAnsi="Avenir Next" w:cs="Arial"/>
          <w:color w:val="7B7B7B" w:themeColor="accent3" w:themeShade="BF"/>
          <w:sz w:val="22"/>
          <w:szCs w:val="22"/>
          <w:lang w:val="en-GB"/>
        </w:rPr>
        <w:t xml:space="preserve">, provided the interests of the creditors and other interest entities, including the debtor, are sufficiently protected. A bankruptcy court also have the discretion, pursuant to </w:t>
      </w:r>
      <w:r w:rsidR="00612780">
        <w:rPr>
          <w:rFonts w:ascii="Avenir Next" w:hAnsi="Avenir Next" w:cs="Arial"/>
          <w:color w:val="7B7B7B" w:themeColor="accent3" w:themeShade="BF"/>
          <w:sz w:val="22"/>
          <w:szCs w:val="22"/>
          <w:lang w:val="en-GB"/>
        </w:rPr>
        <w:t>section</w:t>
      </w:r>
      <w:r w:rsidR="00B8500C">
        <w:rPr>
          <w:rFonts w:ascii="Avenir Next" w:hAnsi="Avenir Next" w:cs="Arial"/>
          <w:color w:val="7B7B7B" w:themeColor="accent3" w:themeShade="BF"/>
          <w:sz w:val="22"/>
          <w:szCs w:val="22"/>
          <w:lang w:val="en-GB"/>
        </w:rPr>
        <w:t xml:space="preserve"> 1522 (b) of the Bankruptcy Code, to subject discretionary relief to conditions it considers appropriate, including for example, requiring security to be given or a bond to be filed. </w:t>
      </w:r>
    </w:p>
    <w:p w14:paraId="580FAD89" w14:textId="77777777" w:rsidR="00B8500C" w:rsidRDefault="00B8500C" w:rsidP="002139B8">
      <w:pPr>
        <w:jc w:val="both"/>
        <w:rPr>
          <w:rFonts w:ascii="Avenir Next" w:hAnsi="Avenir Next" w:cs="Arial"/>
          <w:color w:val="7B7B7B" w:themeColor="accent3" w:themeShade="BF"/>
          <w:sz w:val="22"/>
          <w:szCs w:val="22"/>
          <w:lang w:val="en-GB"/>
        </w:rPr>
      </w:pPr>
    </w:p>
    <w:p w14:paraId="05E068BA" w14:textId="773E1F47" w:rsidR="00006A85" w:rsidRPr="00D27A74" w:rsidRDefault="002139B8" w:rsidP="00D27A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00612780">
        <w:rPr>
          <w:rFonts w:ascii="Avenir Next" w:hAnsi="Avenir Next" w:cs="Arial"/>
          <w:color w:val="7B7B7B" w:themeColor="accent3" w:themeShade="BF"/>
          <w:sz w:val="22"/>
          <w:szCs w:val="22"/>
          <w:lang w:val="en-GB"/>
        </w:rPr>
        <w:t>section</w:t>
      </w:r>
      <w:r>
        <w:rPr>
          <w:rFonts w:ascii="Avenir Next" w:hAnsi="Avenir Next" w:cs="Arial"/>
          <w:color w:val="7B7B7B" w:themeColor="accent3" w:themeShade="BF"/>
          <w:sz w:val="22"/>
          <w:szCs w:val="22"/>
          <w:lang w:val="en-GB"/>
        </w:rPr>
        <w:t xml:space="preserve"> 1507 (b)</w:t>
      </w:r>
      <w:r w:rsidR="00B8500C">
        <w:rPr>
          <w:rFonts w:ascii="Avenir Next" w:hAnsi="Avenir Next" w:cs="Arial"/>
          <w:color w:val="7B7B7B" w:themeColor="accent3" w:themeShade="BF"/>
          <w:sz w:val="22"/>
          <w:szCs w:val="22"/>
          <w:lang w:val="en-GB"/>
        </w:rPr>
        <w:t xml:space="preserve"> of the Bankruptcy Code</w:t>
      </w:r>
      <w:r>
        <w:rPr>
          <w:rFonts w:ascii="Avenir Next" w:hAnsi="Avenir Next" w:cs="Arial"/>
          <w:color w:val="7B7B7B" w:themeColor="accent3" w:themeShade="BF"/>
          <w:sz w:val="22"/>
          <w:szCs w:val="22"/>
          <w:lang w:val="en-GB"/>
        </w:rPr>
        <w:t xml:space="preserve">, subject to certain limitations, a bankruptcy court may provide other assistance pursuant to either the Bankruptcy Code or other statute in accordance with the principles of comity and the values of the Bankruptcy Code. </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7CE671CA" w14:textId="77777777" w:rsidR="00454BAB" w:rsidRDefault="00454BAB" w:rsidP="00454B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of a Delaware corporation owe </w:t>
      </w:r>
      <w:r w:rsidRPr="00454BAB">
        <w:rPr>
          <w:rFonts w:ascii="Avenir Next" w:hAnsi="Avenir Next" w:cs="Arial"/>
          <w:color w:val="7B7B7B" w:themeColor="accent3" w:themeShade="BF"/>
          <w:sz w:val="22"/>
          <w:szCs w:val="22"/>
          <w:lang w:val="en-GB"/>
        </w:rPr>
        <w:t>a fiduciary duty of loyalty to the corporation’s best interests; and</w:t>
      </w:r>
      <w:r>
        <w:rPr>
          <w:rFonts w:ascii="Avenir Next" w:hAnsi="Avenir Next" w:cs="Arial"/>
          <w:color w:val="7B7B7B" w:themeColor="accent3" w:themeShade="BF"/>
          <w:sz w:val="22"/>
          <w:szCs w:val="22"/>
          <w:lang w:val="en-GB"/>
        </w:rPr>
        <w:t xml:space="preserve"> </w:t>
      </w:r>
      <w:r w:rsidRPr="00454BAB">
        <w:rPr>
          <w:rFonts w:ascii="Avenir Next" w:hAnsi="Avenir Next" w:cs="Arial"/>
          <w:color w:val="7B7B7B" w:themeColor="accent3" w:themeShade="BF"/>
          <w:sz w:val="22"/>
          <w:szCs w:val="22"/>
          <w:lang w:val="en-GB"/>
        </w:rPr>
        <w:t xml:space="preserve">a duty of care in educated decision-making. </w:t>
      </w:r>
      <w:r>
        <w:rPr>
          <w:rFonts w:ascii="Avenir Next" w:hAnsi="Avenir Next" w:cs="Arial"/>
          <w:color w:val="7B7B7B" w:themeColor="accent3" w:themeShade="BF"/>
          <w:sz w:val="22"/>
          <w:szCs w:val="22"/>
          <w:lang w:val="en-GB"/>
        </w:rPr>
        <w:t xml:space="preserve">These duties are owed to the corporation and its shareholders at all times (including in circumstances where the corporation is potentially insolvency). </w:t>
      </w:r>
    </w:p>
    <w:p w14:paraId="4F69A52F" w14:textId="7C57C7D7" w:rsidR="00454BAB" w:rsidRPr="00454BAB" w:rsidRDefault="00454BAB" w:rsidP="00454B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contrast to other jurisdictions, </w:t>
      </w:r>
      <w:r w:rsidR="00CE0E4D">
        <w:rPr>
          <w:rFonts w:ascii="Avenir Next" w:hAnsi="Avenir Next" w:cs="Arial"/>
          <w:color w:val="7B7B7B" w:themeColor="accent3" w:themeShade="BF"/>
          <w:sz w:val="22"/>
          <w:szCs w:val="22"/>
          <w:lang w:val="en-GB"/>
        </w:rPr>
        <w:t xml:space="preserve">the Delaware Supreme Court has confirmed that </w:t>
      </w:r>
      <w:r>
        <w:rPr>
          <w:rFonts w:ascii="Avenir Next" w:hAnsi="Avenir Next" w:cs="Arial"/>
          <w:color w:val="7B7B7B" w:themeColor="accent3" w:themeShade="BF"/>
          <w:sz w:val="22"/>
          <w:szCs w:val="22"/>
          <w:lang w:val="en-GB"/>
        </w:rPr>
        <w:t>no duty is owed to the corporation’s creditors at any time, including where a corporation may be operating ‘in the zone of insolvency’</w:t>
      </w:r>
      <w:r w:rsidR="00CE0E4D">
        <w:rPr>
          <w:rFonts w:ascii="Avenir Next" w:hAnsi="Avenir Next" w:cs="Arial"/>
          <w:color w:val="7B7B7B" w:themeColor="accent3" w:themeShade="BF"/>
          <w:sz w:val="22"/>
          <w:szCs w:val="22"/>
          <w:lang w:val="en-GB"/>
        </w:rPr>
        <w:t xml:space="preserve"> </w:t>
      </w:r>
      <w:r w:rsidR="00CE0E4D">
        <w:rPr>
          <w:rFonts w:ascii="Avenir Next" w:hAnsi="Avenir Next" w:cs="Arial"/>
          <w:color w:val="7B7B7B" w:themeColor="accent3" w:themeShade="BF"/>
          <w:sz w:val="22"/>
          <w:szCs w:val="22"/>
          <w:lang w:val="en-GB"/>
        </w:rPr>
        <w:t>(</w:t>
      </w:r>
      <w:r w:rsidR="00CE0E4D">
        <w:rPr>
          <w:rFonts w:ascii="Avenir Next" w:hAnsi="Avenir Next" w:cs="Arial"/>
          <w:i/>
          <w:color w:val="7B7B7B" w:themeColor="accent3" w:themeShade="BF"/>
          <w:sz w:val="22"/>
          <w:szCs w:val="22"/>
          <w:lang w:val="en-GB"/>
        </w:rPr>
        <w:t>North Am Catholic Educational Programming Foundation, Inc v Gheewalla</w:t>
      </w:r>
      <w:r w:rsidR="00CE0E4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As a result, individual creditors of an insolvent corporation have no direct claim for breach of fiduciary duty against corporate directors. Therefore, there is no concept of wrongful trading or deepening insolvency under US law. </w:t>
      </w:r>
    </w:p>
    <w:p w14:paraId="77B7471E" w14:textId="77777777" w:rsidR="00454BAB" w:rsidRPr="00454BAB" w:rsidRDefault="00454BAB" w:rsidP="00454BAB">
      <w:pPr>
        <w:jc w:val="both"/>
        <w:rPr>
          <w:rFonts w:ascii="Avenir Next" w:hAnsi="Avenir Next" w:cs="Arial"/>
          <w:color w:val="7B7B7B" w:themeColor="accent3" w:themeShade="BF"/>
          <w:sz w:val="22"/>
          <w:szCs w:val="22"/>
          <w:lang w:val="en-GB"/>
        </w:rPr>
      </w:pPr>
    </w:p>
    <w:p w14:paraId="053B5120" w14:textId="25A74291" w:rsidR="00454BAB" w:rsidRDefault="00E2521A" w:rsidP="00454B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Absent of gross negligence, the</w:t>
      </w:r>
      <w:r w:rsidR="00454BAB">
        <w:rPr>
          <w:rFonts w:ascii="Avenir Next" w:hAnsi="Avenir Next" w:cs="Arial"/>
          <w:color w:val="7B7B7B" w:themeColor="accent3" w:themeShade="BF"/>
          <w:sz w:val="22"/>
          <w:szCs w:val="22"/>
          <w:lang w:val="en-GB"/>
        </w:rPr>
        <w:t xml:space="preserve"> business judgment rule protects directors from liability for errors of judgment. Under the business judgment rule, there is a rebuttable presumption that directors acted in good faith on the ba</w:t>
      </w:r>
      <w:r>
        <w:rPr>
          <w:rFonts w:ascii="Avenir Next" w:hAnsi="Avenir Next" w:cs="Arial"/>
          <w:color w:val="7B7B7B" w:themeColor="accent3" w:themeShade="BF"/>
          <w:sz w:val="22"/>
          <w:szCs w:val="22"/>
          <w:lang w:val="en-GB"/>
        </w:rPr>
        <w:t xml:space="preserve">sis of reasonable information. The presumption is rebuttable by proving: </w:t>
      </w:r>
    </w:p>
    <w:p w14:paraId="1CB189CC" w14:textId="473FAFBB" w:rsidR="00E2521A" w:rsidRDefault="00E2521A" w:rsidP="00E2521A">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majority of the board were not reasonably informed; </w:t>
      </w:r>
    </w:p>
    <w:p w14:paraId="71457116" w14:textId="0E7AC5B3" w:rsidR="00E2521A" w:rsidRDefault="00E2521A" w:rsidP="00E2521A">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majority of the board did not reasonably believe that their decision was in the corporation’s best interest; or</w:t>
      </w:r>
    </w:p>
    <w:p w14:paraId="16FF16FB" w14:textId="38512AEA" w:rsidR="00E2521A" w:rsidRDefault="00E2521A" w:rsidP="00E2521A">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majority of the board were not acting in good faith. </w:t>
      </w:r>
    </w:p>
    <w:p w14:paraId="1CE82E93" w14:textId="6C291129" w:rsidR="00E2521A" w:rsidRDefault="00E2521A" w:rsidP="00E2521A">
      <w:pPr>
        <w:jc w:val="both"/>
        <w:rPr>
          <w:rFonts w:ascii="Avenir Next" w:hAnsi="Avenir Next" w:cs="Arial"/>
          <w:color w:val="7B7B7B" w:themeColor="accent3" w:themeShade="BF"/>
          <w:sz w:val="22"/>
          <w:szCs w:val="22"/>
          <w:lang w:val="en-GB"/>
        </w:rPr>
      </w:pPr>
    </w:p>
    <w:p w14:paraId="06324B53" w14:textId="77777777" w:rsidR="00E2521A" w:rsidRDefault="00E2521A" w:rsidP="00E252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rule does not apply where: </w:t>
      </w:r>
    </w:p>
    <w:p w14:paraId="1035F84D" w14:textId="77777777" w:rsidR="00E2521A" w:rsidRDefault="00E2521A" w:rsidP="00E2521A">
      <w:pPr>
        <w:pStyle w:val="ListParagraph"/>
        <w:numPr>
          <w:ilvl w:val="0"/>
          <w:numId w:val="40"/>
        </w:numPr>
        <w:jc w:val="both"/>
        <w:rPr>
          <w:rFonts w:ascii="Avenir Next" w:hAnsi="Avenir Next" w:cs="Arial"/>
          <w:color w:val="7B7B7B" w:themeColor="accent3" w:themeShade="BF"/>
          <w:sz w:val="22"/>
          <w:szCs w:val="22"/>
          <w:lang w:val="en-GB"/>
        </w:rPr>
      </w:pPr>
      <w:r w:rsidRPr="00E2521A">
        <w:rPr>
          <w:rFonts w:ascii="Avenir Next" w:hAnsi="Avenir Next" w:cs="Arial"/>
          <w:color w:val="7B7B7B" w:themeColor="accent3" w:themeShade="BF"/>
          <w:sz w:val="22"/>
          <w:szCs w:val="22"/>
          <w:lang w:val="en-GB"/>
        </w:rPr>
        <w:t xml:space="preserve">a majority of the board is not independent; </w:t>
      </w:r>
    </w:p>
    <w:p w14:paraId="3218AF01" w14:textId="77777777" w:rsidR="00E2521A" w:rsidRDefault="00E2521A" w:rsidP="00E2521A">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majority of the board is not disinterest (i.e. have an interest in the transaction); or</w:t>
      </w:r>
    </w:p>
    <w:p w14:paraId="7E8435C5" w14:textId="3FC2B508" w:rsidR="00E2521A" w:rsidRDefault="00E2521A" w:rsidP="00E2521A">
      <w:pPr>
        <w:pStyle w:val="ListParagraph"/>
        <w:numPr>
          <w:ilvl w:val="0"/>
          <w:numId w:val="40"/>
        </w:numPr>
        <w:jc w:val="both"/>
        <w:rPr>
          <w:rFonts w:ascii="Avenir Next" w:hAnsi="Avenir Next" w:cs="Arial"/>
          <w:color w:val="7B7B7B" w:themeColor="accent3" w:themeShade="BF"/>
          <w:sz w:val="22"/>
          <w:szCs w:val="22"/>
          <w:lang w:val="en-GB"/>
        </w:rPr>
      </w:pPr>
      <w:r w:rsidRPr="00E2521A">
        <w:rPr>
          <w:rFonts w:ascii="Avenir Next" w:hAnsi="Avenir Next" w:cs="Arial"/>
          <w:color w:val="7B7B7B" w:themeColor="accent3" w:themeShade="BF"/>
          <w:sz w:val="22"/>
          <w:szCs w:val="22"/>
          <w:lang w:val="en-GB"/>
        </w:rPr>
        <w:t xml:space="preserve"> where a controlling shareholder is present on both sides of the transaction</w:t>
      </w:r>
      <w:r>
        <w:rPr>
          <w:rFonts w:ascii="Avenir Next" w:hAnsi="Avenir Next" w:cs="Arial"/>
          <w:color w:val="7B7B7B" w:themeColor="accent3" w:themeShade="BF"/>
          <w:sz w:val="22"/>
          <w:szCs w:val="22"/>
          <w:lang w:val="en-GB"/>
        </w:rPr>
        <w:t xml:space="preserve">. </w:t>
      </w:r>
    </w:p>
    <w:p w14:paraId="2BA7C042" w14:textId="0678B406" w:rsidR="00E2521A" w:rsidRDefault="00E2521A" w:rsidP="00E2521A">
      <w:pPr>
        <w:jc w:val="both"/>
        <w:rPr>
          <w:rFonts w:ascii="Avenir Next" w:hAnsi="Avenir Next" w:cs="Arial"/>
          <w:color w:val="7B7B7B" w:themeColor="accent3" w:themeShade="BF"/>
          <w:sz w:val="22"/>
          <w:szCs w:val="22"/>
          <w:lang w:val="en-GB"/>
        </w:rPr>
      </w:pPr>
    </w:p>
    <w:p w14:paraId="4A07A2C3" w14:textId="52DDE7EF" w:rsidR="00E01803" w:rsidRDefault="00E2521A" w:rsidP="00E2521A">
      <w:pPr>
        <w:jc w:val="both"/>
        <w:rPr>
          <w:rFonts w:ascii="Avenir Next" w:hAnsi="Avenir Next"/>
        </w:rPr>
      </w:pPr>
      <w:r>
        <w:rPr>
          <w:rFonts w:ascii="Avenir Next" w:hAnsi="Avenir Next" w:cs="Arial"/>
          <w:color w:val="7B7B7B" w:themeColor="accent3" w:themeShade="BF"/>
          <w:sz w:val="22"/>
          <w:szCs w:val="22"/>
          <w:lang w:val="en-GB"/>
        </w:rPr>
        <w:t>If any of the circumstances in (a) to (c) above are present, the transaction will be void unless the entire fairness standard is satisfied. This</w:t>
      </w:r>
      <w:r w:rsidR="008A289E">
        <w:rPr>
          <w:rFonts w:ascii="Avenir Next" w:hAnsi="Avenir Next" w:cs="Arial"/>
          <w:color w:val="7B7B7B" w:themeColor="accent3" w:themeShade="BF"/>
          <w:sz w:val="22"/>
          <w:szCs w:val="22"/>
          <w:lang w:val="en-GB"/>
        </w:rPr>
        <w:t xml:space="preserve"> onerous</w:t>
      </w:r>
      <w:r>
        <w:rPr>
          <w:rFonts w:ascii="Avenir Next" w:hAnsi="Avenir Next" w:cs="Arial"/>
          <w:color w:val="7B7B7B" w:themeColor="accent3" w:themeShade="BF"/>
          <w:sz w:val="22"/>
          <w:szCs w:val="22"/>
          <w:lang w:val="en-GB"/>
        </w:rPr>
        <w:t xml:space="preserve"> standard shifts the burden of proof to the directors to demonstrate that the transaction was entirely fair to the corporation and shareholders (including the price and structure of the transaction). </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467B33D6" w:rsidR="00F03051" w:rsidRDefault="0027472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qualify as a petitioning creditor in an involuntary proceeding, </w:t>
      </w:r>
      <w:r w:rsidR="008A289E">
        <w:rPr>
          <w:rFonts w:ascii="Avenir Next" w:hAnsi="Avenir Next" w:cs="Arial"/>
          <w:color w:val="7B7B7B" w:themeColor="accent3" w:themeShade="BF"/>
          <w:sz w:val="22"/>
          <w:szCs w:val="22"/>
          <w:lang w:val="en-GB"/>
        </w:rPr>
        <w:t xml:space="preserve">the creditor must have a claim against the debtor that fulfils </w:t>
      </w:r>
      <w:r>
        <w:rPr>
          <w:rFonts w:ascii="Avenir Next" w:hAnsi="Avenir Next" w:cs="Arial"/>
          <w:color w:val="7B7B7B" w:themeColor="accent3" w:themeShade="BF"/>
          <w:sz w:val="22"/>
          <w:szCs w:val="22"/>
          <w:lang w:val="en-GB"/>
        </w:rPr>
        <w:t>th</w:t>
      </w:r>
      <w:r w:rsidR="008A289E">
        <w:rPr>
          <w:rFonts w:ascii="Avenir Next" w:hAnsi="Avenir Next" w:cs="Arial"/>
          <w:color w:val="7B7B7B" w:themeColor="accent3" w:themeShade="BF"/>
          <w:sz w:val="22"/>
          <w:szCs w:val="22"/>
          <w:lang w:val="en-GB"/>
        </w:rPr>
        <w:t>e following requirements</w:t>
      </w:r>
      <w:r>
        <w:rPr>
          <w:rFonts w:ascii="Avenir Next" w:hAnsi="Avenir Next" w:cs="Arial"/>
          <w:color w:val="7B7B7B" w:themeColor="accent3" w:themeShade="BF"/>
          <w:sz w:val="22"/>
          <w:szCs w:val="22"/>
          <w:lang w:val="en-GB"/>
        </w:rPr>
        <w:t xml:space="preserve">: </w:t>
      </w:r>
    </w:p>
    <w:p w14:paraId="66394C84" w14:textId="53D4909D" w:rsidR="00274729" w:rsidRDefault="00274729" w:rsidP="00F03051">
      <w:pPr>
        <w:jc w:val="both"/>
        <w:rPr>
          <w:rFonts w:ascii="Avenir Next" w:hAnsi="Avenir Next" w:cs="Arial"/>
          <w:color w:val="7B7B7B" w:themeColor="accent3" w:themeShade="BF"/>
          <w:sz w:val="22"/>
          <w:szCs w:val="22"/>
          <w:lang w:val="en-GB"/>
        </w:rPr>
      </w:pPr>
    </w:p>
    <w:p w14:paraId="1CBCC375" w14:textId="1C7A43FD" w:rsidR="00274729" w:rsidRDefault="008A289E" w:rsidP="00274729">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non-contingent; </w:t>
      </w:r>
    </w:p>
    <w:p w14:paraId="198F06BF" w14:textId="0480A085" w:rsidR="008A289E" w:rsidRDefault="008A289E" w:rsidP="00274729">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the subject of bona fide dispute as to liability or amount; </w:t>
      </w:r>
    </w:p>
    <w:p w14:paraId="559ACAC8" w14:textId="7762323A" w:rsidR="008A289E" w:rsidRDefault="008A289E" w:rsidP="00274729">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under secured, separately or in aggregate with all other petitioning creditors’ claims, in an amount of at least USD 16,750; and </w:t>
      </w:r>
    </w:p>
    <w:p w14:paraId="0D2DE371" w14:textId="6C5B2321" w:rsidR="008A289E" w:rsidRDefault="008A289E" w:rsidP="00274729">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is generally not paying its debts as they become due </w:t>
      </w:r>
      <w:r w:rsidRPr="008A289E">
        <w:rPr>
          <w:rFonts w:ascii="Avenir Next" w:hAnsi="Avenir Next" w:cs="Arial"/>
          <w:color w:val="7B7B7B" w:themeColor="accent3" w:themeShade="BF"/>
          <w:sz w:val="22"/>
          <w:szCs w:val="22"/>
          <w:u w:val="single"/>
          <w:lang w:val="en-GB"/>
        </w:rPr>
        <w:t>or</w:t>
      </w:r>
      <w:r>
        <w:rPr>
          <w:rFonts w:ascii="Avenir Next" w:hAnsi="Avenir Next" w:cs="Arial"/>
          <w:color w:val="7B7B7B" w:themeColor="accent3" w:themeShade="BF"/>
          <w:sz w:val="22"/>
          <w:szCs w:val="22"/>
          <w:lang w:val="en-GB"/>
        </w:rPr>
        <w:t xml:space="preserve">, that within 120 days of the petition date, a custodian (other than a trustee, receiver, or an agent appointed or authorised to take charge of less than substantially all of the property of the debtor for the purpose of enforcing a lien against such property) was appointed or took possession. </w:t>
      </w:r>
    </w:p>
    <w:p w14:paraId="7F5FAD02" w14:textId="4B20A8BC" w:rsidR="008A289E" w:rsidRDefault="008A289E" w:rsidP="008A289E">
      <w:pPr>
        <w:jc w:val="both"/>
        <w:rPr>
          <w:rFonts w:ascii="Avenir Next" w:hAnsi="Avenir Next" w:cs="Arial"/>
          <w:color w:val="7B7B7B" w:themeColor="accent3" w:themeShade="BF"/>
          <w:sz w:val="22"/>
          <w:szCs w:val="22"/>
          <w:lang w:val="en-GB"/>
        </w:rPr>
      </w:pPr>
    </w:p>
    <w:p w14:paraId="5B618E47" w14:textId="77777777" w:rsidR="008A289E" w:rsidRDefault="008A289E" w:rsidP="008A28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non-contingent claim is a claim that is not dependent upon the occurrence of a future event. For example, a debt that is due and owing is typically non-contingent. However, a guarantee is a contingent claim as is required the guaranteed obligation to be in default; and for the guarantee to be called upon. </w:t>
      </w:r>
    </w:p>
    <w:p w14:paraId="24D85FD5" w14:textId="77777777" w:rsidR="008A289E" w:rsidRDefault="008A289E" w:rsidP="008A289E">
      <w:pPr>
        <w:jc w:val="both"/>
        <w:rPr>
          <w:rFonts w:ascii="Avenir Next" w:hAnsi="Avenir Next" w:cs="Arial"/>
          <w:color w:val="7B7B7B" w:themeColor="accent3" w:themeShade="BF"/>
          <w:sz w:val="22"/>
          <w:szCs w:val="22"/>
          <w:lang w:val="en-GB"/>
        </w:rPr>
      </w:pPr>
    </w:p>
    <w:p w14:paraId="3EF6116F" w14:textId="09989E3C" w:rsidR="008A289E" w:rsidRDefault="008A289E" w:rsidP="008A28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bona fide dispute exists if there is an objectively reasonable basis for a dispute as a matter of fact or law. </w:t>
      </w:r>
      <w:r w:rsidR="00EE3BBB">
        <w:rPr>
          <w:rFonts w:ascii="Avenir Next" w:hAnsi="Avenir Next" w:cs="Arial"/>
          <w:color w:val="7B7B7B" w:themeColor="accent3" w:themeShade="BF"/>
          <w:sz w:val="22"/>
          <w:szCs w:val="22"/>
          <w:lang w:val="en-GB"/>
        </w:rPr>
        <w:t xml:space="preserve">The debtor’s mere objection that the debt is not owed or the amount claimed by the creditor is incorrect is insufficient to claim a bona fide dispute exists. </w:t>
      </w:r>
    </w:p>
    <w:p w14:paraId="3EFB188C" w14:textId="19B3E68D" w:rsidR="00EE3BBB" w:rsidRDefault="00EE3BBB" w:rsidP="008A289E">
      <w:pPr>
        <w:jc w:val="both"/>
        <w:rPr>
          <w:rFonts w:ascii="Avenir Next" w:hAnsi="Avenir Next" w:cs="Arial"/>
          <w:color w:val="7B7B7B" w:themeColor="accent3" w:themeShade="BF"/>
          <w:sz w:val="22"/>
          <w:szCs w:val="22"/>
          <w:lang w:val="en-GB"/>
        </w:rPr>
      </w:pPr>
    </w:p>
    <w:p w14:paraId="25A0731C" w14:textId="2B6B14CC" w:rsidR="00EE3BBB" w:rsidRDefault="00EE3BBB" w:rsidP="008A28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 bona fide disputed claim is carved out of the required threshold in its entirety. For example, where a portion of the disputed amount claimed is undisputed, a creditor cannot use the undisputed portion to reach the requisite threshold. However, if the creditor has multiple claims against the debtor, a dispute in respect to one claim does not disqualify undisputed claims held by the same creditor from meeting the petitioning creditor requirements. </w:t>
      </w:r>
    </w:p>
    <w:p w14:paraId="79E160E9" w14:textId="02B44801" w:rsidR="00EE3BBB" w:rsidRDefault="00EE3BBB" w:rsidP="008A289E">
      <w:pPr>
        <w:jc w:val="both"/>
        <w:rPr>
          <w:rFonts w:ascii="Avenir Next" w:hAnsi="Avenir Next" w:cs="Arial"/>
          <w:color w:val="7B7B7B" w:themeColor="accent3" w:themeShade="BF"/>
          <w:sz w:val="22"/>
          <w:szCs w:val="22"/>
          <w:lang w:val="en-GB"/>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09125074" w14:textId="19017936" w:rsidR="00A96019" w:rsidRPr="00A96019" w:rsidRDefault="00A96019" w:rsidP="00A96019">
      <w:pPr>
        <w:jc w:val="both"/>
        <w:rPr>
          <w:rFonts w:ascii="Avenir Next" w:hAnsi="Avenir Next"/>
        </w:rPr>
      </w:pPr>
    </w:p>
    <w:p w14:paraId="1747F499" w14:textId="13762BE2" w:rsidR="00F03051" w:rsidRDefault="009A3720" w:rsidP="00A9601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w:t>
      </w:r>
      <w:r w:rsidR="00A96019">
        <w:rPr>
          <w:rFonts w:ascii="Avenir Next" w:hAnsi="Avenir Next" w:cs="Arial"/>
          <w:color w:val="7B7B7B" w:themeColor="accent3" w:themeShade="BF"/>
          <w:sz w:val="22"/>
          <w:szCs w:val="22"/>
          <w:lang w:val="en-GB"/>
        </w:rPr>
        <w:t xml:space="preserve">hapter 11 petition filed by Speculation Inc </w:t>
      </w:r>
      <w:r>
        <w:rPr>
          <w:rFonts w:ascii="Avenir Next" w:hAnsi="Avenir Next" w:cs="Arial"/>
          <w:color w:val="7B7B7B" w:themeColor="accent3" w:themeShade="BF"/>
          <w:sz w:val="22"/>
          <w:szCs w:val="22"/>
          <w:lang w:val="en-GB"/>
        </w:rPr>
        <w:t>(the “</w:t>
      </w:r>
      <w:r w:rsidRPr="009A3720">
        <w:rPr>
          <w:rFonts w:ascii="Avenir Next" w:hAnsi="Avenir Next" w:cs="Arial"/>
          <w:b/>
          <w:color w:val="7B7B7B" w:themeColor="accent3" w:themeShade="BF"/>
          <w:sz w:val="22"/>
          <w:szCs w:val="22"/>
          <w:lang w:val="en-GB"/>
        </w:rPr>
        <w:t>debtor</w:t>
      </w:r>
      <w:r>
        <w:rPr>
          <w:rFonts w:ascii="Avenir Next" w:hAnsi="Avenir Next" w:cs="Arial"/>
          <w:color w:val="7B7B7B" w:themeColor="accent3" w:themeShade="BF"/>
          <w:sz w:val="22"/>
          <w:szCs w:val="22"/>
          <w:lang w:val="en-GB"/>
        </w:rPr>
        <w:t xml:space="preserve">”) </w:t>
      </w:r>
      <w:r w:rsidR="00A96019" w:rsidRPr="009A3720">
        <w:rPr>
          <w:rFonts w:ascii="Avenir Next" w:hAnsi="Avenir Next" w:cs="Arial"/>
          <w:color w:val="7B7B7B" w:themeColor="accent3" w:themeShade="BF"/>
          <w:sz w:val="22"/>
          <w:szCs w:val="22"/>
          <w:lang w:val="en-GB"/>
        </w:rPr>
        <w:t>would</w:t>
      </w:r>
      <w:r w:rsidR="00A96019">
        <w:rPr>
          <w:rFonts w:ascii="Avenir Next" w:hAnsi="Avenir Next" w:cs="Arial"/>
          <w:color w:val="7B7B7B" w:themeColor="accent3" w:themeShade="BF"/>
          <w:sz w:val="22"/>
          <w:szCs w:val="22"/>
          <w:lang w:val="en-GB"/>
        </w:rPr>
        <w:t xml:space="preserve"> be a voluntary proceeding. The dat</w:t>
      </w:r>
      <w:r>
        <w:rPr>
          <w:rFonts w:ascii="Avenir Next" w:hAnsi="Avenir Next" w:cs="Arial"/>
          <w:color w:val="7B7B7B" w:themeColor="accent3" w:themeShade="BF"/>
          <w:sz w:val="22"/>
          <w:szCs w:val="22"/>
          <w:lang w:val="en-GB"/>
        </w:rPr>
        <w:t>e that the petition was filed is</w:t>
      </w:r>
      <w:r w:rsidR="00A96019">
        <w:rPr>
          <w:rFonts w:ascii="Avenir Next" w:hAnsi="Avenir Next" w:cs="Arial"/>
          <w:color w:val="7B7B7B" w:themeColor="accent3" w:themeShade="BF"/>
          <w:sz w:val="22"/>
          <w:szCs w:val="22"/>
          <w:lang w:val="en-GB"/>
        </w:rPr>
        <w:t xml:space="preserve"> the “</w:t>
      </w:r>
      <w:r w:rsidR="00A96019">
        <w:rPr>
          <w:rFonts w:ascii="Avenir Next" w:hAnsi="Avenir Next" w:cs="Arial"/>
          <w:b/>
          <w:color w:val="7B7B7B" w:themeColor="accent3" w:themeShade="BF"/>
          <w:sz w:val="22"/>
          <w:szCs w:val="22"/>
          <w:lang w:val="en-GB"/>
        </w:rPr>
        <w:t xml:space="preserve">petition </w:t>
      </w:r>
      <w:r w:rsidR="00A96019" w:rsidRPr="00A96019">
        <w:rPr>
          <w:rFonts w:ascii="Avenir Next" w:hAnsi="Avenir Next" w:cs="Arial"/>
          <w:b/>
          <w:color w:val="7B7B7B" w:themeColor="accent3" w:themeShade="BF"/>
          <w:sz w:val="22"/>
          <w:szCs w:val="22"/>
          <w:lang w:val="en-GB"/>
        </w:rPr>
        <w:t>date</w:t>
      </w:r>
      <w:r w:rsidR="00A9601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chapter 11 proceedings, the debtor may remain ‘in possession’ and continue to operate in the ordinary course of business, reorganise or liquidate. </w:t>
      </w:r>
      <w:r w:rsidR="0021557D">
        <w:rPr>
          <w:rFonts w:ascii="Avenir Next" w:hAnsi="Avenir Next" w:cs="Arial"/>
          <w:color w:val="7B7B7B" w:themeColor="accent3" w:themeShade="BF"/>
          <w:sz w:val="22"/>
          <w:szCs w:val="22"/>
          <w:lang w:val="en-GB"/>
        </w:rPr>
        <w:t xml:space="preserve">On and from the petition date, </w:t>
      </w:r>
      <w:r>
        <w:rPr>
          <w:rFonts w:ascii="Avenir Next" w:hAnsi="Avenir Next" w:cs="Arial"/>
          <w:color w:val="7B7B7B" w:themeColor="accent3" w:themeShade="BF"/>
          <w:sz w:val="22"/>
          <w:szCs w:val="22"/>
          <w:lang w:val="en-GB"/>
        </w:rPr>
        <w:t>the debtor also</w:t>
      </w:r>
      <w:r w:rsidR="0021557D">
        <w:rPr>
          <w:rFonts w:ascii="Avenir Next" w:hAnsi="Avenir Next" w:cs="Arial"/>
          <w:color w:val="7B7B7B" w:themeColor="accent3" w:themeShade="BF"/>
          <w:sz w:val="22"/>
          <w:szCs w:val="22"/>
          <w:lang w:val="en-GB"/>
        </w:rPr>
        <w:t xml:space="preserve"> enjoys </w:t>
      </w:r>
      <w:r>
        <w:rPr>
          <w:rFonts w:ascii="Avenir Next" w:hAnsi="Avenir Next" w:cs="Arial"/>
          <w:color w:val="7B7B7B" w:themeColor="accent3" w:themeShade="BF"/>
          <w:sz w:val="22"/>
          <w:szCs w:val="22"/>
          <w:lang w:val="en-GB"/>
        </w:rPr>
        <w:t xml:space="preserve">certain debtor-friendly aspects. </w:t>
      </w:r>
      <w:r w:rsidR="0021557D">
        <w:rPr>
          <w:rFonts w:ascii="Avenir Next" w:hAnsi="Avenir Next" w:cs="Arial"/>
          <w:color w:val="7B7B7B" w:themeColor="accent3" w:themeShade="BF"/>
          <w:sz w:val="22"/>
          <w:szCs w:val="22"/>
          <w:lang w:val="en-GB"/>
        </w:rPr>
        <w:t xml:space="preserve"> </w:t>
      </w:r>
    </w:p>
    <w:p w14:paraId="7FA60521" w14:textId="72229967" w:rsidR="00A96019" w:rsidRDefault="00A96019" w:rsidP="00A96019">
      <w:pPr>
        <w:jc w:val="both"/>
        <w:rPr>
          <w:rFonts w:ascii="Avenir Next" w:hAnsi="Avenir Next" w:cs="Arial"/>
          <w:color w:val="7B7B7B" w:themeColor="accent3" w:themeShade="BF"/>
          <w:sz w:val="22"/>
          <w:szCs w:val="22"/>
          <w:lang w:val="en-GB"/>
        </w:rPr>
      </w:pPr>
    </w:p>
    <w:p w14:paraId="3463EE38" w14:textId="41D61D2C" w:rsidR="00A96019" w:rsidRDefault="00A96019" w:rsidP="00A96019">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presumed that the DOJ’s investigation commenced prior to the petition date. </w:t>
      </w:r>
      <w:r w:rsidR="009A3720">
        <w:rPr>
          <w:rFonts w:ascii="Avenir Next" w:hAnsi="Avenir Next" w:cs="Arial"/>
          <w:color w:val="7B7B7B" w:themeColor="accent3" w:themeShade="BF"/>
          <w:sz w:val="22"/>
          <w:szCs w:val="22"/>
          <w:lang w:val="en-GB"/>
        </w:rPr>
        <w:t xml:space="preserve">From the petition date, a worldwide automatic stay of any proceeding against the debtor or its property is imposed in order to provide the debtor with a breathing space within which to propose a reorganisation plan. </w:t>
      </w:r>
      <w:r w:rsidR="00BD7F3D">
        <w:rPr>
          <w:rFonts w:ascii="Avenir Next" w:hAnsi="Avenir Next" w:cs="Arial"/>
          <w:color w:val="7B7B7B" w:themeColor="accent3" w:themeShade="BF"/>
          <w:sz w:val="22"/>
          <w:szCs w:val="22"/>
          <w:lang w:val="en-GB"/>
        </w:rPr>
        <w:t xml:space="preserve">However, the automatic stay is subject to certain statutory exceptions, including regulatory investigations. </w:t>
      </w:r>
      <w:r w:rsidR="009A3720">
        <w:rPr>
          <w:rFonts w:ascii="Avenir Next" w:hAnsi="Avenir Next" w:cs="Arial"/>
          <w:color w:val="7B7B7B" w:themeColor="accent3" w:themeShade="BF"/>
          <w:sz w:val="22"/>
          <w:szCs w:val="22"/>
          <w:lang w:val="en-GB"/>
        </w:rPr>
        <w:t xml:space="preserve">Therefore the DOJ’s investigation into insider trading would </w:t>
      </w:r>
      <w:r w:rsidR="00BD7F3D">
        <w:rPr>
          <w:rFonts w:ascii="Avenir Next" w:hAnsi="Avenir Next" w:cs="Arial"/>
          <w:color w:val="7B7B7B" w:themeColor="accent3" w:themeShade="BF"/>
          <w:sz w:val="22"/>
          <w:szCs w:val="22"/>
          <w:lang w:val="en-GB"/>
        </w:rPr>
        <w:t>be entitled to continue</w:t>
      </w:r>
      <w:r w:rsidR="009A3720">
        <w:rPr>
          <w:rFonts w:ascii="Avenir Next" w:hAnsi="Avenir Next" w:cs="Arial"/>
          <w:color w:val="7B7B7B" w:themeColor="accent3" w:themeShade="BF"/>
          <w:sz w:val="22"/>
          <w:szCs w:val="22"/>
          <w:lang w:val="en-GB"/>
        </w:rPr>
        <w:t xml:space="preserve">. </w:t>
      </w:r>
    </w:p>
    <w:p w14:paraId="08C549EF" w14:textId="488E86D0" w:rsidR="00A96019" w:rsidRDefault="009A3720" w:rsidP="00A96019">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margin is a pre-petition date claim and t</w:t>
      </w:r>
      <w:r w:rsidR="00A96019">
        <w:rPr>
          <w:rFonts w:ascii="Avenir Next" w:hAnsi="Avenir Next" w:cs="Arial"/>
          <w:color w:val="7B7B7B" w:themeColor="accent3" w:themeShade="BF"/>
          <w:sz w:val="22"/>
          <w:szCs w:val="22"/>
          <w:lang w:val="en-GB"/>
        </w:rPr>
        <w:t>he broker is a secured creditor</w:t>
      </w:r>
      <w:r>
        <w:rPr>
          <w:rFonts w:ascii="Avenir Next" w:hAnsi="Avenir Next" w:cs="Arial"/>
          <w:color w:val="7B7B7B" w:themeColor="accent3" w:themeShade="BF"/>
          <w:sz w:val="22"/>
          <w:szCs w:val="22"/>
          <w:lang w:val="en-GB"/>
        </w:rPr>
        <w:t>,</w:t>
      </w:r>
      <w:r w:rsidR="00A96019">
        <w:rPr>
          <w:rFonts w:ascii="Avenir Next" w:hAnsi="Avenir Next" w:cs="Arial"/>
          <w:color w:val="7B7B7B" w:themeColor="accent3" w:themeShade="BF"/>
          <w:sz w:val="22"/>
          <w:szCs w:val="22"/>
          <w:lang w:val="en-GB"/>
        </w:rPr>
        <w:t xml:space="preserve"> as the margin loan is secured via the shares </w:t>
      </w:r>
      <w:r>
        <w:rPr>
          <w:rFonts w:ascii="Avenir Next" w:hAnsi="Avenir Next" w:cs="Arial"/>
          <w:color w:val="7B7B7B" w:themeColor="accent3" w:themeShade="BF"/>
          <w:sz w:val="22"/>
          <w:szCs w:val="22"/>
          <w:lang w:val="en-GB"/>
        </w:rPr>
        <w:t>the broker</w:t>
      </w:r>
      <w:r w:rsidR="00A96019">
        <w:rPr>
          <w:rFonts w:ascii="Avenir Next" w:hAnsi="Avenir Next" w:cs="Arial"/>
          <w:color w:val="7B7B7B" w:themeColor="accent3" w:themeShade="BF"/>
          <w:sz w:val="22"/>
          <w:szCs w:val="22"/>
          <w:lang w:val="en-GB"/>
        </w:rPr>
        <w:t xml:space="preserve"> purchases. </w:t>
      </w:r>
      <w:r>
        <w:rPr>
          <w:rFonts w:ascii="Avenir Next" w:hAnsi="Avenir Next" w:cs="Arial"/>
          <w:color w:val="7B7B7B" w:themeColor="accent3" w:themeShade="BF"/>
          <w:sz w:val="22"/>
          <w:szCs w:val="22"/>
          <w:lang w:val="en-GB"/>
        </w:rPr>
        <w:t xml:space="preserve">The automatic stay discussed above protects the property of the debtor’s estate from creditor enforcement actions with respect to pre-petition date claims. </w:t>
      </w:r>
      <w:r w:rsidR="006B31B9">
        <w:rPr>
          <w:rFonts w:ascii="Avenir Next" w:hAnsi="Avenir Next" w:cs="Arial"/>
          <w:color w:val="7B7B7B" w:themeColor="accent3" w:themeShade="BF"/>
          <w:sz w:val="22"/>
          <w:szCs w:val="22"/>
          <w:lang w:val="en-GB"/>
        </w:rPr>
        <w:t xml:space="preserve">Any act to obtain possession or control of the property of the debtor’s estate is expressly prohibited. </w:t>
      </w:r>
      <w:r w:rsidR="00BD7F3D">
        <w:rPr>
          <w:rFonts w:ascii="Avenir Next" w:hAnsi="Avenir Next" w:cs="Arial"/>
          <w:color w:val="7B7B7B" w:themeColor="accent3" w:themeShade="BF"/>
          <w:sz w:val="22"/>
          <w:szCs w:val="22"/>
          <w:lang w:val="en-GB"/>
        </w:rPr>
        <w:t xml:space="preserve">Any legal transfer of ownership of the shares from the debtor to the broker would be void. Further, any attempt to collection on the pre-petition claim by the debtor, for example the issue of demand notice or acceleration notice, would constitute contempt of court. </w:t>
      </w:r>
    </w:p>
    <w:p w14:paraId="20FD18DE" w14:textId="748C010D" w:rsidR="00A96019" w:rsidRDefault="00BD7F3D" w:rsidP="00A96019">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debtor</w:t>
      </w:r>
      <w:r w:rsidR="00A96019">
        <w:rPr>
          <w:rFonts w:ascii="Avenir Next" w:hAnsi="Avenir Next" w:cs="Arial"/>
          <w:color w:val="7B7B7B" w:themeColor="accent3" w:themeShade="BF"/>
          <w:sz w:val="22"/>
          <w:szCs w:val="22"/>
          <w:lang w:val="en-GB"/>
        </w:rPr>
        <w:t xml:space="preserve"> is in rent arrears. The landlord to the lease </w:t>
      </w:r>
      <w:r>
        <w:rPr>
          <w:rFonts w:ascii="Avenir Next" w:hAnsi="Avenir Next" w:cs="Arial"/>
          <w:color w:val="7B7B7B" w:themeColor="accent3" w:themeShade="BF"/>
          <w:sz w:val="22"/>
          <w:szCs w:val="22"/>
          <w:lang w:val="en-GB"/>
        </w:rPr>
        <w:t>is a</w:t>
      </w:r>
      <w:r w:rsidR="00A96019">
        <w:rPr>
          <w:rFonts w:ascii="Avenir Next" w:hAnsi="Avenir Next" w:cs="Arial"/>
          <w:color w:val="7B7B7B" w:themeColor="accent3" w:themeShade="BF"/>
          <w:sz w:val="22"/>
          <w:szCs w:val="22"/>
          <w:lang w:val="en-GB"/>
        </w:rPr>
        <w:t xml:space="preserve">n unsecured creditor. </w:t>
      </w:r>
      <w:r>
        <w:rPr>
          <w:rFonts w:ascii="Avenir Next" w:hAnsi="Avenir Next" w:cs="Arial"/>
          <w:color w:val="7B7B7B" w:themeColor="accent3" w:themeShade="BF"/>
          <w:sz w:val="22"/>
          <w:szCs w:val="22"/>
          <w:lang w:val="en-GB"/>
        </w:rPr>
        <w:t xml:space="preserve">If the lease has expired, the landlord would be entitled to evict the debtor from the non-residential property under the statutory exception to the automatic stay. </w:t>
      </w:r>
      <w:r w:rsidR="004E637E">
        <w:rPr>
          <w:rFonts w:ascii="Avenir Next" w:hAnsi="Avenir Next" w:cs="Arial"/>
          <w:color w:val="7B7B7B" w:themeColor="accent3" w:themeShade="BF"/>
          <w:sz w:val="22"/>
          <w:szCs w:val="22"/>
          <w:lang w:val="en-GB"/>
        </w:rPr>
        <w:t xml:space="preserve">Otherwise, the landlord will be prevented from taking any action to collection the rent arrears, which constitutes a pre-petition date claim. </w:t>
      </w:r>
    </w:p>
    <w:p w14:paraId="4C97212D" w14:textId="1EEB5048" w:rsidR="00A96019" w:rsidRPr="00A96019" w:rsidRDefault="00A96019" w:rsidP="00A96019">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employee’s claim </w:t>
      </w:r>
      <w:r w:rsidR="0073217A">
        <w:rPr>
          <w:rFonts w:ascii="Avenir Next" w:hAnsi="Avenir Next" w:cs="Arial"/>
          <w:color w:val="7B7B7B" w:themeColor="accent3" w:themeShade="BF"/>
          <w:sz w:val="22"/>
          <w:szCs w:val="22"/>
          <w:lang w:val="en-GB"/>
        </w:rPr>
        <w:t xml:space="preserve">against the debtor would be unsecured. Capped amounts (per employee) of claims for wages and benefits due within 180 days before the earlier of the debtor’s cessation of business or petition date rank the debtor’s administrative expenses and expenses incurred in the ordinary course of business. The employees claim as unsecured would also rank behind the claims of secured creditors.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4F8A761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00612780">
        <w:rPr>
          <w:rFonts w:ascii="Avenir Next" w:hAnsi="Avenir Next"/>
        </w:rPr>
        <w:t xml:space="preserve">is </w:t>
      </w:r>
      <w:r w:rsidRPr="00E01803">
        <w:rPr>
          <w:rFonts w:ascii="Avenir Next" w:hAnsi="Avenir Next"/>
        </w:rPr>
        <w:t>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01789EEE" w:rsidR="00F03051" w:rsidRDefault="0073217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requirements of recognition are minimal. Pursuant to section 101(23) of the Bankruptcy Code,  Stella’s foreign representative must establish that a foreign court or administrative proceeding with respect to the debtor is pending and that the foreign representative is empowered to act by the proceeding. </w:t>
      </w:r>
    </w:p>
    <w:p w14:paraId="0B75B1E2" w14:textId="464F3828" w:rsidR="0073217A" w:rsidRDefault="0073217A" w:rsidP="00F03051">
      <w:pPr>
        <w:jc w:val="both"/>
        <w:rPr>
          <w:rFonts w:ascii="Avenir Next" w:hAnsi="Avenir Next" w:cs="Arial"/>
          <w:color w:val="7B7B7B" w:themeColor="accent3" w:themeShade="BF"/>
          <w:sz w:val="22"/>
          <w:szCs w:val="22"/>
          <w:lang w:val="en-GB"/>
        </w:rPr>
      </w:pPr>
    </w:p>
    <w:p w14:paraId="682A1F36" w14:textId="733B882D" w:rsidR="0073217A" w:rsidRDefault="0073217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1010(23) of the Bankruptcy Code, a foreign proceeding is defined ‘as 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 </w:t>
      </w:r>
      <w:r w:rsidR="00383A47">
        <w:rPr>
          <w:rFonts w:ascii="Avenir Next" w:hAnsi="Avenir Next" w:cs="Arial"/>
          <w:color w:val="7B7B7B" w:themeColor="accent3" w:themeShade="BF"/>
          <w:sz w:val="22"/>
          <w:szCs w:val="22"/>
          <w:lang w:val="en-GB"/>
        </w:rPr>
        <w:t xml:space="preserve">An English scheme of arrangement has been, and a US bankruptcy court in respect of Stella’s English scheme of arrangement relating to the Eurobonds would be, granted recognition under chapter 15 pursuant to this definition. A bankruptcy court may refuse to grant recognition where such recognition would be manifestly contrary to US public policy. However, this exception is very narrow and more likely applicable to specific assistance granted rather than the mere act of recognition. </w:t>
      </w:r>
    </w:p>
    <w:p w14:paraId="682A1F36" w14:textId="733B882D" w:rsidR="00383A47" w:rsidRDefault="00383A47" w:rsidP="00F03051">
      <w:pPr>
        <w:jc w:val="both"/>
        <w:rPr>
          <w:rFonts w:ascii="Avenir Next" w:hAnsi="Avenir Next" w:cs="Arial"/>
          <w:color w:val="7B7B7B" w:themeColor="accent3" w:themeShade="BF"/>
          <w:sz w:val="22"/>
          <w:szCs w:val="22"/>
          <w:lang w:val="en-GB"/>
        </w:rPr>
      </w:pPr>
    </w:p>
    <w:p w14:paraId="4DE41D55" w14:textId="1AA4CB5F" w:rsidR="00383A47" w:rsidRDefault="00383A4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characterisation of a foreign proceeding as either a foreign main proceeding or a foreign non-main proceeding has an impact on the scope of relief available to Stella following recognition under chapter 15. </w:t>
      </w:r>
    </w:p>
    <w:p w14:paraId="3F1AAA7E" w14:textId="08500963" w:rsidR="00383A47" w:rsidRDefault="00383A47" w:rsidP="00F03051">
      <w:pPr>
        <w:jc w:val="both"/>
        <w:rPr>
          <w:rFonts w:ascii="Avenir Next" w:hAnsi="Avenir Next" w:cs="Arial"/>
          <w:color w:val="7B7B7B" w:themeColor="accent3" w:themeShade="BF"/>
          <w:sz w:val="22"/>
          <w:szCs w:val="22"/>
          <w:lang w:val="en-GB"/>
        </w:rPr>
      </w:pPr>
    </w:p>
    <w:p w14:paraId="0184BEDC" w14:textId="2BB043AD" w:rsidR="00383A47" w:rsidRDefault="00383A4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foreign main proceeding is a foreign proceeding commenced in a debtor’s centre of main interest (COMI). There is a rebuttable presumption that a debtor’s COMI is its place of incorporation. Other factors to consider when determining a debtor’s COMI include the location of the debtor’s headquarters; the location of management; the location of primary assets; the location of a majority of debtor’s creditors or a majority of the creditors that will be affected by the relief requested by the foreign representative; and the jurisdiction whose law will apply to most disputes. Pursuant the presumption under section 1516(c) of the Bankruptcy Code, </w:t>
      </w:r>
      <w:r>
        <w:rPr>
          <w:rFonts w:ascii="Avenir Next" w:hAnsi="Avenir Next" w:cs="Arial"/>
          <w:color w:val="7B7B7B" w:themeColor="accent3" w:themeShade="BF"/>
          <w:sz w:val="22"/>
          <w:szCs w:val="22"/>
          <w:lang w:val="en-GB"/>
        </w:rPr>
        <w:t>Stella’s COMI would be France, being its place of incorporation with its headquarters also in Paris.</w:t>
      </w:r>
      <w:r w:rsidR="001F0F9D">
        <w:rPr>
          <w:rFonts w:ascii="Avenir Next" w:hAnsi="Avenir Next" w:cs="Arial"/>
          <w:color w:val="7B7B7B" w:themeColor="accent3" w:themeShade="BF"/>
          <w:sz w:val="22"/>
          <w:szCs w:val="22"/>
          <w:lang w:val="en-GB"/>
        </w:rPr>
        <w:t xml:space="preserve"> On this basis, the English scheme of arrangement would unlikely be classed as a foreign main proceeding. </w:t>
      </w:r>
    </w:p>
    <w:p w14:paraId="05AF46C9" w14:textId="3FDFB4BF" w:rsidR="00383A47" w:rsidRDefault="00383A47" w:rsidP="00F03051">
      <w:pPr>
        <w:jc w:val="both"/>
        <w:rPr>
          <w:rFonts w:ascii="Avenir Next" w:hAnsi="Avenir Next" w:cs="Arial"/>
          <w:color w:val="7B7B7B" w:themeColor="accent3" w:themeShade="BF"/>
          <w:sz w:val="22"/>
          <w:szCs w:val="22"/>
          <w:lang w:val="en-GB"/>
        </w:rPr>
      </w:pPr>
    </w:p>
    <w:p w14:paraId="0441AB9B" w14:textId="4C15DB87" w:rsidR="00383A47" w:rsidRPr="00E41578" w:rsidRDefault="001F0F9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foreign proceeding will be a foreign non-main proceeding if a debtor has an establishment in the jurisdiction prior to the commencement of chapter 15 proceedings (i.e. the petition date). An establishment is a place where the debtor carries out non-transitory economic activity. Stella has retail stored in England, which is sufficient to objectively evidence an establishment. Therefore, it is likely the English scheme of arrangement would be classed as a foreign non-main proceeding.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0D85A0F7" w14:textId="686D3527" w:rsidR="00427C2A" w:rsidRDefault="00F830C8" w:rsidP="00CF0F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license to manufacture is an executory contract. </w:t>
      </w:r>
      <w:r w:rsidR="0031522A">
        <w:rPr>
          <w:rFonts w:ascii="Avenir Next" w:hAnsi="Avenir Next" w:cs="Arial"/>
          <w:color w:val="7B7B7B" w:themeColor="accent3" w:themeShade="BF"/>
          <w:sz w:val="22"/>
          <w:szCs w:val="22"/>
          <w:lang w:val="en-GB"/>
        </w:rPr>
        <w:t xml:space="preserve">A contract is executory if there are material unperformed obligations on both sides. </w:t>
      </w:r>
    </w:p>
    <w:p w14:paraId="5B7E8D51" w14:textId="666E7731" w:rsidR="00F03051" w:rsidRPr="00E01803" w:rsidRDefault="00F03051" w:rsidP="000778B1">
      <w:pPr>
        <w:pStyle w:val="AODocTxt"/>
        <w:spacing w:before="0" w:line="240" w:lineRule="auto"/>
        <w:rPr>
          <w:rFonts w:ascii="Avenir Next" w:hAnsi="Avenir Next"/>
        </w:rPr>
      </w:pPr>
    </w:p>
    <w:p w14:paraId="165BD383" w14:textId="78C1200B" w:rsid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23F74BE5" w14:textId="241EC30D" w:rsidR="00F830C8" w:rsidRDefault="00F830C8" w:rsidP="003C3388">
      <w:pPr>
        <w:pStyle w:val="AODocTxt"/>
        <w:spacing w:before="0" w:line="240" w:lineRule="auto"/>
        <w:ind w:left="720" w:hanging="720"/>
        <w:rPr>
          <w:rFonts w:ascii="Avenir Next" w:hAnsi="Avenir Next"/>
        </w:rPr>
      </w:pPr>
    </w:p>
    <w:p w14:paraId="4B333C12" w14:textId="7C0AD57B" w:rsidR="00F830C8" w:rsidRDefault="00F830C8" w:rsidP="00F830C8">
      <w:pPr>
        <w:jc w:val="both"/>
        <w:rPr>
          <w:rFonts w:ascii="Avenir Next" w:hAnsi="Avenir Next"/>
        </w:rPr>
      </w:pPr>
      <w:r>
        <w:rPr>
          <w:rFonts w:ascii="Avenir Next" w:hAnsi="Avenir Next" w:cs="Arial"/>
          <w:color w:val="7B7B7B" w:themeColor="accent3" w:themeShade="BF"/>
          <w:sz w:val="22"/>
          <w:szCs w:val="22"/>
          <w:lang w:val="en-GB"/>
        </w:rPr>
        <w:t xml:space="preserve">The Bankruptcy Code abrogates contractual provisions that restrict assignment or assumption, in order to enable the debtor to achieve a higher value for its assets than if such provisions were enforced. </w:t>
      </w:r>
      <w:r>
        <w:rPr>
          <w:rFonts w:ascii="Avenir Next" w:hAnsi="Avenir Next" w:cs="Arial"/>
          <w:color w:val="7B7B7B" w:themeColor="accent3" w:themeShade="BF"/>
          <w:sz w:val="22"/>
          <w:szCs w:val="22"/>
          <w:lang w:val="en-GB"/>
        </w:rPr>
        <w:t xml:space="preserve">However, a counterparty’s consent is required where substantive non-bankruptcy law </w:t>
      </w:r>
      <w:r>
        <w:rPr>
          <w:rFonts w:ascii="Avenir Next" w:hAnsi="Avenir Next" w:cs="Arial"/>
          <w:color w:val="7B7B7B" w:themeColor="accent3" w:themeShade="BF"/>
          <w:sz w:val="22"/>
          <w:szCs w:val="22"/>
          <w:lang w:val="en-GB"/>
        </w:rPr>
        <w:t xml:space="preserve">provides that a counterparty cannot be compelled to accept performance from a transferee. </w:t>
      </w:r>
      <w:r>
        <w:rPr>
          <w:rFonts w:ascii="Avenir Next" w:hAnsi="Avenir Next" w:cs="Arial"/>
          <w:color w:val="7B7B7B" w:themeColor="accent3" w:themeShade="BF"/>
          <w:sz w:val="22"/>
          <w:szCs w:val="22"/>
          <w:lang w:val="en-GB"/>
        </w:rPr>
        <w:t xml:space="preserve">In </w:t>
      </w:r>
      <w:r>
        <w:rPr>
          <w:rFonts w:ascii="Avenir Next" w:hAnsi="Avenir Next" w:cs="Arial"/>
          <w:i/>
          <w:color w:val="7B7B7B" w:themeColor="accent3" w:themeShade="BF"/>
          <w:sz w:val="22"/>
          <w:szCs w:val="22"/>
          <w:lang w:val="en-GB"/>
        </w:rPr>
        <w:t>Trump Entertainment Resorts, Inc</w:t>
      </w:r>
      <w:r>
        <w:rPr>
          <w:rFonts w:ascii="Avenir Next" w:hAnsi="Avenir Next" w:cs="Arial"/>
          <w:color w:val="7B7B7B" w:themeColor="accent3" w:themeShade="BF"/>
          <w:sz w:val="22"/>
          <w:szCs w:val="22"/>
          <w:lang w:val="en-GB"/>
        </w:rPr>
        <w:t xml:space="preserve">, the bankruptcy court held that federal trademark law “generally banks assignment of trademark licenses absent the licensor’s consent.’ </w:t>
      </w:r>
      <w:r>
        <w:rPr>
          <w:rFonts w:ascii="Avenir Next" w:hAnsi="Avenir Next" w:cs="Arial"/>
          <w:color w:val="7B7B7B" w:themeColor="accent3" w:themeShade="BF"/>
          <w:sz w:val="22"/>
          <w:szCs w:val="22"/>
          <w:lang w:val="en-GB"/>
        </w:rPr>
        <w:t xml:space="preserve">Therefore, </w:t>
      </w:r>
      <w:r>
        <w:rPr>
          <w:rFonts w:ascii="Avenir Next" w:hAnsi="Avenir Next" w:cs="Arial"/>
          <w:color w:val="7B7B7B" w:themeColor="accent3" w:themeShade="BF"/>
          <w:sz w:val="22"/>
          <w:szCs w:val="22"/>
          <w:lang w:val="en-GB"/>
        </w:rPr>
        <w:t xml:space="preserve">ToyCo’s consent would be required to transfer the license as part of a 363 sale. </w:t>
      </w:r>
    </w:p>
    <w:p w14:paraId="4B2D97CC" w14:textId="77777777" w:rsidR="00F830C8" w:rsidRPr="00E01803" w:rsidRDefault="00F830C8" w:rsidP="003C3388">
      <w:pPr>
        <w:pStyle w:val="AODocTxt"/>
        <w:spacing w:before="0" w:line="240" w:lineRule="auto"/>
        <w:ind w:left="720" w:hanging="720"/>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Pr="00427C2A" w:rsidRDefault="00E01803" w:rsidP="00427C2A">
      <w:pPr>
        <w:jc w:val="both"/>
        <w:rPr>
          <w:rFonts w:ascii="Avenir Next" w:hAnsi="Avenir Next" w:cs="Arial"/>
          <w:color w:val="7B7B7B" w:themeColor="accent3" w:themeShade="BF"/>
          <w:sz w:val="22"/>
          <w:szCs w:val="22"/>
          <w:lang w:val="en-GB"/>
        </w:rPr>
      </w:pPr>
    </w:p>
    <w:p w14:paraId="509EB067" w14:textId="00096C5F" w:rsidR="00427C2A" w:rsidRPr="00427C2A" w:rsidRDefault="00427C2A" w:rsidP="00427C2A">
      <w:pPr>
        <w:jc w:val="both"/>
        <w:rPr>
          <w:rFonts w:ascii="Avenir Next" w:hAnsi="Avenir Next" w:cs="Arial"/>
          <w:color w:val="7B7B7B" w:themeColor="accent3" w:themeShade="BF"/>
          <w:sz w:val="22"/>
          <w:szCs w:val="22"/>
          <w:lang w:val="en-GB"/>
        </w:rPr>
      </w:pPr>
      <w:r w:rsidRPr="00427C2A">
        <w:rPr>
          <w:rFonts w:ascii="Avenir Next" w:hAnsi="Avenir Next" w:cs="Arial"/>
          <w:color w:val="7B7B7B" w:themeColor="accent3" w:themeShade="BF"/>
          <w:sz w:val="22"/>
          <w:szCs w:val="22"/>
          <w:lang w:val="en-GB"/>
        </w:rPr>
        <w:t>Notwithstanding any non-assignment provision in the lease, it may be transferred as part of a 363 sale without Land Corp’s consent</w:t>
      </w:r>
      <w:r w:rsidR="00657787">
        <w:rPr>
          <w:rFonts w:ascii="Avenir Next" w:hAnsi="Avenir Next" w:cs="Arial"/>
          <w:color w:val="7B7B7B" w:themeColor="accent3" w:themeShade="BF"/>
          <w:sz w:val="22"/>
          <w:szCs w:val="22"/>
          <w:lang w:val="en-GB"/>
        </w:rPr>
        <w:t xml:space="preserve"> as it is unexpired (with 7 years remaining)</w:t>
      </w:r>
      <w:r w:rsidRPr="00427C2A">
        <w:rPr>
          <w:rFonts w:ascii="Avenir Next" w:hAnsi="Avenir Next" w:cs="Arial"/>
          <w:color w:val="7B7B7B" w:themeColor="accent3" w:themeShade="BF"/>
          <w:sz w:val="22"/>
          <w:szCs w:val="22"/>
          <w:lang w:val="en-GB"/>
        </w:rPr>
        <w:t xml:space="preserve">. If GameMart was in rent arrears, any outstanding default would need to be cured. </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54BAB" w:rsidRDefault="00454BAB" w:rsidP="00241B44">
      <w:r>
        <w:separator/>
      </w:r>
    </w:p>
  </w:endnote>
  <w:endnote w:type="continuationSeparator" w:id="0">
    <w:p w14:paraId="19EBBA65" w14:textId="77777777" w:rsidR="00454BAB" w:rsidRDefault="00454B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54BAB" w:rsidRPr="00FC7B47" w:rsidRDefault="00454BA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54BAB" w:rsidRPr="00FC7B47" w:rsidRDefault="00454BA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2CE3B9BB" w:rsidR="00454BAB" w:rsidRPr="00CE0ECD" w:rsidRDefault="00454BAB" w:rsidP="00454BAB">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AD674E">
          <w:rPr>
            <w:rStyle w:val="PageNumber"/>
            <w:rFonts w:ascii="Avenir Next" w:hAnsi="Avenir Next" w:cs="Arial"/>
            <w:noProof/>
            <w:sz w:val="22"/>
            <w:szCs w:val="22"/>
          </w:rPr>
          <w:t>8</w:t>
        </w:r>
        <w:r w:rsidRPr="00494B81">
          <w:rPr>
            <w:rStyle w:val="PageNumber"/>
            <w:rFonts w:ascii="Avenir Next" w:hAnsi="Avenir Next" w:cs="Arial"/>
            <w:sz w:val="22"/>
            <w:szCs w:val="22"/>
          </w:rPr>
          <w:fldChar w:fldCharType="end"/>
        </w:r>
      </w:p>
    </w:sdtContent>
  </w:sdt>
  <w:p w14:paraId="30F05E79" w14:textId="27843364" w:rsidR="00454BAB" w:rsidRPr="00494B81" w:rsidRDefault="00AD502D" w:rsidP="009B4976">
    <w:pPr>
      <w:pStyle w:val="Footer"/>
      <w:ind w:right="360"/>
      <w:rPr>
        <w:rFonts w:ascii="Avenir Next" w:hAnsi="Avenir Next" w:cs="Arial"/>
        <w:sz w:val="22"/>
        <w:szCs w:val="22"/>
        <w:lang w:val="en-GB"/>
      </w:rPr>
    </w:pPr>
    <w:bookmarkStart w:id="1" w:name="_GoBack"/>
    <w:r w:rsidRPr="00AD502D">
      <w:rPr>
        <w:rFonts w:ascii="Avenir Next" w:hAnsi="Avenir Next" w:cs="Arial"/>
        <w:sz w:val="22"/>
        <w:szCs w:val="22"/>
        <w:lang w:val="en-GB"/>
      </w:rPr>
      <w:t>202223-983</w:t>
    </w:r>
    <w:r w:rsidR="00454BAB" w:rsidRPr="00494B81">
      <w:rPr>
        <w:rFonts w:ascii="Avenir Next" w:hAnsi="Avenir Next" w:cs="Arial"/>
        <w:sz w:val="22"/>
        <w:szCs w:val="22"/>
        <w:lang w:val="en-GB"/>
      </w:rPr>
      <w:t>.assessment3A</w: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B655" w14:textId="77777777" w:rsidR="00612780" w:rsidRDefault="006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54BAB" w:rsidRDefault="00454BAB" w:rsidP="00241B44">
      <w:r>
        <w:separator/>
      </w:r>
    </w:p>
  </w:footnote>
  <w:footnote w:type="continuationSeparator" w:id="0">
    <w:p w14:paraId="7B051F4E" w14:textId="77777777" w:rsidR="00454BAB" w:rsidRDefault="00454BA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D98F" w14:textId="77777777" w:rsidR="00612780" w:rsidRDefault="00612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8679" w14:textId="77777777" w:rsidR="00612780" w:rsidRDefault="00612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D85B" w14:textId="77777777" w:rsidR="00612780" w:rsidRDefault="0061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25D8C"/>
    <w:multiLevelType w:val="hybridMultilevel"/>
    <w:tmpl w:val="078CED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D23A5"/>
    <w:multiLevelType w:val="hybridMultilevel"/>
    <w:tmpl w:val="5FC807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7B132A"/>
    <w:multiLevelType w:val="hybridMultilevel"/>
    <w:tmpl w:val="B4A00B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30885"/>
    <w:multiLevelType w:val="hybridMultilevel"/>
    <w:tmpl w:val="09685E14"/>
    <w:lvl w:ilvl="0" w:tplc="D480C6A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172901"/>
    <w:multiLevelType w:val="hybridMultilevel"/>
    <w:tmpl w:val="9F564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E0E90"/>
    <w:multiLevelType w:val="hybridMultilevel"/>
    <w:tmpl w:val="A94C7C56"/>
    <w:lvl w:ilvl="0" w:tplc="D480C6A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462CB"/>
    <w:multiLevelType w:val="hybridMultilevel"/>
    <w:tmpl w:val="7FD2FC34"/>
    <w:lvl w:ilvl="0" w:tplc="08090017">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969B8"/>
    <w:multiLevelType w:val="hybridMultilevel"/>
    <w:tmpl w:val="F814BF04"/>
    <w:lvl w:ilvl="0" w:tplc="D480C6A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01E76"/>
    <w:multiLevelType w:val="hybridMultilevel"/>
    <w:tmpl w:val="7EAE6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443050"/>
    <w:multiLevelType w:val="hybridMultilevel"/>
    <w:tmpl w:val="3D728C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4948A1"/>
    <w:multiLevelType w:val="hybridMultilevel"/>
    <w:tmpl w:val="1EF4E216"/>
    <w:lvl w:ilvl="0" w:tplc="D480C6AE">
      <w:start w:val="1"/>
      <w:numFmt w:val="bullet"/>
      <w:lvlRestart w:val="0"/>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F42B7"/>
    <w:multiLevelType w:val="hybridMultilevel"/>
    <w:tmpl w:val="710C4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1"/>
  </w:num>
  <w:num w:numId="3">
    <w:abstractNumId w:val="4"/>
  </w:num>
  <w:num w:numId="4">
    <w:abstractNumId w:val="10"/>
  </w:num>
  <w:num w:numId="5">
    <w:abstractNumId w:val="12"/>
  </w:num>
  <w:num w:numId="6">
    <w:abstractNumId w:val="38"/>
  </w:num>
  <w:num w:numId="7">
    <w:abstractNumId w:val="5"/>
  </w:num>
  <w:num w:numId="8">
    <w:abstractNumId w:val="40"/>
  </w:num>
  <w:num w:numId="9">
    <w:abstractNumId w:val="13"/>
  </w:num>
  <w:num w:numId="10">
    <w:abstractNumId w:val="29"/>
  </w:num>
  <w:num w:numId="11">
    <w:abstractNumId w:val="15"/>
  </w:num>
  <w:num w:numId="12">
    <w:abstractNumId w:val="24"/>
  </w:num>
  <w:num w:numId="13">
    <w:abstractNumId w:val="0"/>
  </w:num>
  <w:num w:numId="14">
    <w:abstractNumId w:val="11"/>
  </w:num>
  <w:num w:numId="15">
    <w:abstractNumId w:val="19"/>
  </w:num>
  <w:num w:numId="16">
    <w:abstractNumId w:val="9"/>
  </w:num>
  <w:num w:numId="17">
    <w:abstractNumId w:val="3"/>
  </w:num>
  <w:num w:numId="18">
    <w:abstractNumId w:val="2"/>
  </w:num>
  <w:num w:numId="19">
    <w:abstractNumId w:val="32"/>
  </w:num>
  <w:num w:numId="20">
    <w:abstractNumId w:val="8"/>
  </w:num>
  <w:num w:numId="21">
    <w:abstractNumId w:val="28"/>
  </w:num>
  <w:num w:numId="22">
    <w:abstractNumId w:val="41"/>
  </w:num>
  <w:num w:numId="23">
    <w:abstractNumId w:val="14"/>
  </w:num>
  <w:num w:numId="24">
    <w:abstractNumId w:val="33"/>
  </w:num>
  <w:num w:numId="25">
    <w:abstractNumId w:val="20"/>
  </w:num>
  <w:num w:numId="26">
    <w:abstractNumId w:val="22"/>
  </w:num>
  <w:num w:numId="27">
    <w:abstractNumId w:val="16"/>
  </w:num>
  <w:num w:numId="28">
    <w:abstractNumId w:val="39"/>
  </w:num>
  <w:num w:numId="29">
    <w:abstractNumId w:val="1"/>
  </w:num>
  <w:num w:numId="30">
    <w:abstractNumId w:val="18"/>
  </w:num>
  <w:num w:numId="31">
    <w:abstractNumId w:val="23"/>
  </w:num>
  <w:num w:numId="32">
    <w:abstractNumId w:val="34"/>
  </w:num>
  <w:num w:numId="33">
    <w:abstractNumId w:val="17"/>
  </w:num>
  <w:num w:numId="34">
    <w:abstractNumId w:val="27"/>
  </w:num>
  <w:num w:numId="35">
    <w:abstractNumId w:val="21"/>
  </w:num>
  <w:num w:numId="36">
    <w:abstractNumId w:val="6"/>
  </w:num>
  <w:num w:numId="37">
    <w:abstractNumId w:val="25"/>
  </w:num>
  <w:num w:numId="38">
    <w:abstractNumId w:val="37"/>
  </w:num>
  <w:num w:numId="39">
    <w:abstractNumId w:val="35"/>
  </w:num>
  <w:num w:numId="40">
    <w:abstractNumId w:val="30"/>
  </w:num>
  <w:num w:numId="41">
    <w:abstractNumId w:val="7"/>
  </w:num>
  <w:num w:numId="42">
    <w:abstractNumId w:val="42"/>
  </w:num>
  <w:num w:numId="4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True"/>
    <w:docVar w:name="DocIDDate" w:val="True"/>
    <w:docVar w:name="DocIDLibrary" w:val="True"/>
    <w:docVar w:name="DocIDTime" w:val="True"/>
    <w:docVar w:name="DocIDType" w:val="AllPages"/>
  </w:docVars>
  <w:rsids>
    <w:rsidRoot w:val="00045088"/>
    <w:rsid w:val="00006A85"/>
    <w:rsid w:val="000105F9"/>
    <w:rsid w:val="00010BA0"/>
    <w:rsid w:val="00017C46"/>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B6C26"/>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0F9D"/>
    <w:rsid w:val="001F7412"/>
    <w:rsid w:val="00202DFE"/>
    <w:rsid w:val="0020725B"/>
    <w:rsid w:val="002110F1"/>
    <w:rsid w:val="002139B8"/>
    <w:rsid w:val="0021557D"/>
    <w:rsid w:val="00223917"/>
    <w:rsid w:val="0024116D"/>
    <w:rsid w:val="00241B44"/>
    <w:rsid w:val="00241FA3"/>
    <w:rsid w:val="00245EFB"/>
    <w:rsid w:val="0025386E"/>
    <w:rsid w:val="00256B74"/>
    <w:rsid w:val="002638B0"/>
    <w:rsid w:val="0026647A"/>
    <w:rsid w:val="002668D3"/>
    <w:rsid w:val="0027299F"/>
    <w:rsid w:val="00274729"/>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1522A"/>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3A47"/>
    <w:rsid w:val="0038411A"/>
    <w:rsid w:val="0038533C"/>
    <w:rsid w:val="00386568"/>
    <w:rsid w:val="00390B57"/>
    <w:rsid w:val="003948D5"/>
    <w:rsid w:val="00396821"/>
    <w:rsid w:val="00397D3A"/>
    <w:rsid w:val="003A0249"/>
    <w:rsid w:val="003A051E"/>
    <w:rsid w:val="003A5537"/>
    <w:rsid w:val="003A75F4"/>
    <w:rsid w:val="003B170F"/>
    <w:rsid w:val="003B3C5F"/>
    <w:rsid w:val="003B7184"/>
    <w:rsid w:val="003B7876"/>
    <w:rsid w:val="003C3388"/>
    <w:rsid w:val="003C4471"/>
    <w:rsid w:val="003C53FE"/>
    <w:rsid w:val="003D0A6D"/>
    <w:rsid w:val="003E0B16"/>
    <w:rsid w:val="003E67D1"/>
    <w:rsid w:val="00404329"/>
    <w:rsid w:val="00405DC1"/>
    <w:rsid w:val="00415F1F"/>
    <w:rsid w:val="0042108F"/>
    <w:rsid w:val="004248F6"/>
    <w:rsid w:val="004273B0"/>
    <w:rsid w:val="00427C2A"/>
    <w:rsid w:val="00430FED"/>
    <w:rsid w:val="00434A8C"/>
    <w:rsid w:val="00437297"/>
    <w:rsid w:val="00444284"/>
    <w:rsid w:val="00445CE6"/>
    <w:rsid w:val="004534C2"/>
    <w:rsid w:val="0045446F"/>
    <w:rsid w:val="00454BAB"/>
    <w:rsid w:val="00455018"/>
    <w:rsid w:val="00455584"/>
    <w:rsid w:val="0045683E"/>
    <w:rsid w:val="00475535"/>
    <w:rsid w:val="00477C72"/>
    <w:rsid w:val="004830F8"/>
    <w:rsid w:val="00484B73"/>
    <w:rsid w:val="00491675"/>
    <w:rsid w:val="00491F86"/>
    <w:rsid w:val="00493855"/>
    <w:rsid w:val="00494B81"/>
    <w:rsid w:val="00495E79"/>
    <w:rsid w:val="004A57DD"/>
    <w:rsid w:val="004A7B51"/>
    <w:rsid w:val="004A7D71"/>
    <w:rsid w:val="004A7EF3"/>
    <w:rsid w:val="004B11FD"/>
    <w:rsid w:val="004B23A2"/>
    <w:rsid w:val="004D1A5A"/>
    <w:rsid w:val="004D2FFF"/>
    <w:rsid w:val="004D3721"/>
    <w:rsid w:val="004D416B"/>
    <w:rsid w:val="004D4255"/>
    <w:rsid w:val="004D64F9"/>
    <w:rsid w:val="004E3A6B"/>
    <w:rsid w:val="004E5AF5"/>
    <w:rsid w:val="004E622C"/>
    <w:rsid w:val="004E637E"/>
    <w:rsid w:val="004F145F"/>
    <w:rsid w:val="004F3206"/>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4E1B"/>
    <w:rsid w:val="005E6076"/>
    <w:rsid w:val="005E7008"/>
    <w:rsid w:val="005F026D"/>
    <w:rsid w:val="005F2AEA"/>
    <w:rsid w:val="005F2D0B"/>
    <w:rsid w:val="005F4B31"/>
    <w:rsid w:val="00610388"/>
    <w:rsid w:val="00610AC7"/>
    <w:rsid w:val="0061188A"/>
    <w:rsid w:val="00612780"/>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57787"/>
    <w:rsid w:val="006639DB"/>
    <w:rsid w:val="006661EF"/>
    <w:rsid w:val="00670384"/>
    <w:rsid w:val="00677AEB"/>
    <w:rsid w:val="00680EF2"/>
    <w:rsid w:val="00687A1D"/>
    <w:rsid w:val="00697EA1"/>
    <w:rsid w:val="006A2646"/>
    <w:rsid w:val="006A6530"/>
    <w:rsid w:val="006B31B9"/>
    <w:rsid w:val="006B3571"/>
    <w:rsid w:val="006B435A"/>
    <w:rsid w:val="006B4C64"/>
    <w:rsid w:val="006C65F4"/>
    <w:rsid w:val="006D6BD5"/>
    <w:rsid w:val="006E3611"/>
    <w:rsid w:val="006E481A"/>
    <w:rsid w:val="006E5298"/>
    <w:rsid w:val="006F4A78"/>
    <w:rsid w:val="006F734A"/>
    <w:rsid w:val="00700D83"/>
    <w:rsid w:val="00704852"/>
    <w:rsid w:val="007074E9"/>
    <w:rsid w:val="00713DA4"/>
    <w:rsid w:val="00714BF1"/>
    <w:rsid w:val="00717C2C"/>
    <w:rsid w:val="00721383"/>
    <w:rsid w:val="0073158B"/>
    <w:rsid w:val="0073217A"/>
    <w:rsid w:val="007333CC"/>
    <w:rsid w:val="0073399A"/>
    <w:rsid w:val="007603F5"/>
    <w:rsid w:val="00764DB0"/>
    <w:rsid w:val="0076764D"/>
    <w:rsid w:val="0077498C"/>
    <w:rsid w:val="0077792C"/>
    <w:rsid w:val="00777C53"/>
    <w:rsid w:val="007809BC"/>
    <w:rsid w:val="00784128"/>
    <w:rsid w:val="00787BCC"/>
    <w:rsid w:val="00793173"/>
    <w:rsid w:val="007964F7"/>
    <w:rsid w:val="007A2A33"/>
    <w:rsid w:val="007B0809"/>
    <w:rsid w:val="007B5C89"/>
    <w:rsid w:val="007C1FCC"/>
    <w:rsid w:val="007C6201"/>
    <w:rsid w:val="007D0192"/>
    <w:rsid w:val="007D7C92"/>
    <w:rsid w:val="007E1154"/>
    <w:rsid w:val="007E4FA5"/>
    <w:rsid w:val="007E6BA4"/>
    <w:rsid w:val="007F0BBB"/>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289E"/>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A3720"/>
    <w:rsid w:val="009A6A56"/>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09BC"/>
    <w:rsid w:val="00A2274A"/>
    <w:rsid w:val="00A235B7"/>
    <w:rsid w:val="00A27A7A"/>
    <w:rsid w:val="00A3165E"/>
    <w:rsid w:val="00A34ABE"/>
    <w:rsid w:val="00A37733"/>
    <w:rsid w:val="00A407EF"/>
    <w:rsid w:val="00A46B4C"/>
    <w:rsid w:val="00A5117B"/>
    <w:rsid w:val="00A56D34"/>
    <w:rsid w:val="00A60074"/>
    <w:rsid w:val="00A6627C"/>
    <w:rsid w:val="00A71019"/>
    <w:rsid w:val="00A81029"/>
    <w:rsid w:val="00A82B32"/>
    <w:rsid w:val="00A94F58"/>
    <w:rsid w:val="00A95463"/>
    <w:rsid w:val="00A96019"/>
    <w:rsid w:val="00A96489"/>
    <w:rsid w:val="00AA0280"/>
    <w:rsid w:val="00AA7BE3"/>
    <w:rsid w:val="00AB1B65"/>
    <w:rsid w:val="00AB2425"/>
    <w:rsid w:val="00AB685C"/>
    <w:rsid w:val="00AB6C2D"/>
    <w:rsid w:val="00AC08F7"/>
    <w:rsid w:val="00AC3839"/>
    <w:rsid w:val="00AC7082"/>
    <w:rsid w:val="00AD4BE8"/>
    <w:rsid w:val="00AD502D"/>
    <w:rsid w:val="00AD674E"/>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500C"/>
    <w:rsid w:val="00B86DB1"/>
    <w:rsid w:val="00B87869"/>
    <w:rsid w:val="00B9639B"/>
    <w:rsid w:val="00BB0F2B"/>
    <w:rsid w:val="00BD4A58"/>
    <w:rsid w:val="00BD7337"/>
    <w:rsid w:val="00BD7F3D"/>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4D"/>
    <w:rsid w:val="00CE0ECD"/>
    <w:rsid w:val="00CE1035"/>
    <w:rsid w:val="00CE6E50"/>
    <w:rsid w:val="00CF0FDB"/>
    <w:rsid w:val="00CF2819"/>
    <w:rsid w:val="00CF4F9D"/>
    <w:rsid w:val="00CF70DC"/>
    <w:rsid w:val="00D041E0"/>
    <w:rsid w:val="00D04AFE"/>
    <w:rsid w:val="00D06A30"/>
    <w:rsid w:val="00D121ED"/>
    <w:rsid w:val="00D14336"/>
    <w:rsid w:val="00D148DC"/>
    <w:rsid w:val="00D17FDC"/>
    <w:rsid w:val="00D21021"/>
    <w:rsid w:val="00D21D8C"/>
    <w:rsid w:val="00D27A74"/>
    <w:rsid w:val="00D316F2"/>
    <w:rsid w:val="00D34584"/>
    <w:rsid w:val="00D53719"/>
    <w:rsid w:val="00D54443"/>
    <w:rsid w:val="00D61CC1"/>
    <w:rsid w:val="00D63EFD"/>
    <w:rsid w:val="00D84752"/>
    <w:rsid w:val="00D86B3B"/>
    <w:rsid w:val="00D8748A"/>
    <w:rsid w:val="00D93196"/>
    <w:rsid w:val="00D9565D"/>
    <w:rsid w:val="00D96109"/>
    <w:rsid w:val="00DA0DC0"/>
    <w:rsid w:val="00DA1D45"/>
    <w:rsid w:val="00DA2049"/>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521A"/>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6C6"/>
    <w:rsid w:val="00E9597C"/>
    <w:rsid w:val="00EA0913"/>
    <w:rsid w:val="00EA5B00"/>
    <w:rsid w:val="00EA78AC"/>
    <w:rsid w:val="00EB146B"/>
    <w:rsid w:val="00EB45AC"/>
    <w:rsid w:val="00EC441F"/>
    <w:rsid w:val="00EC4755"/>
    <w:rsid w:val="00ED0BC4"/>
    <w:rsid w:val="00ED447D"/>
    <w:rsid w:val="00ED738F"/>
    <w:rsid w:val="00ED74BC"/>
    <w:rsid w:val="00EE3BBB"/>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543B"/>
    <w:rsid w:val="00F66AFF"/>
    <w:rsid w:val="00F71433"/>
    <w:rsid w:val="00F830C8"/>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DocID">
    <w:name w:val="DocID"/>
    <w:basedOn w:val="DefaultParagraphFont"/>
    <w:rsid w:val="007964F7"/>
    <w:rPr>
      <w:rFonts w:ascii="Times New Roman" w:hAnsi="Times New Roman" w:cs="Times New Roman"/>
      <w:b w:val="0"/>
      <w:i w:val="0"/>
      <w:caps w:val="0"/>
      <w:vanish w:val="0"/>
      <w:color w:val="000000"/>
      <w:sz w:val="14"/>
      <w:szCs w:val="2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6043168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6008823">
      <w:bodyDiv w:val="1"/>
      <w:marLeft w:val="0"/>
      <w:marRight w:val="0"/>
      <w:marTop w:val="0"/>
      <w:marBottom w:val="0"/>
      <w:divBdr>
        <w:top w:val="none" w:sz="0" w:space="0" w:color="auto"/>
        <w:left w:val="none" w:sz="0" w:space="0" w:color="auto"/>
        <w:bottom w:val="none" w:sz="0" w:space="0" w:color="auto"/>
        <w:right w:val="none" w:sz="0" w:space="0" w:color="auto"/>
      </w:divBdr>
    </w:div>
    <w:div w:id="195100727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6666-CFD2-4063-A7CE-52A1FD0A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Potter, Chloe</cp:lastModifiedBy>
  <cp:revision>2</cp:revision>
  <cp:lastPrinted>2019-08-27T05:42:00Z</cp:lastPrinted>
  <dcterms:created xsi:type="dcterms:W3CDTF">2023-03-01T20:11:00Z</dcterms:created>
  <dcterms:modified xsi:type="dcterms:W3CDTF">2023-03-01T20:11:00Z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52191782</vt:lpwstr>
  </property>
  <property fmtid="{D5CDD505-2E9C-101B-9397-08002B2CF9AE}" pid="3" name="DocumentVersion">
    <vt:lpwstr>2</vt:lpwstr>
  </property>
  <property fmtid="{D5CDD505-2E9C-101B-9397-08002B2CF9AE}" pid="4" name="ClientNumber">
    <vt:lpwstr>093331</vt:lpwstr>
  </property>
  <property fmtid="{D5CDD505-2E9C-101B-9397-08002B2CF9AE}" pid="5" name="MatterNumber">
    <vt:lpwstr>9760</vt:lpwstr>
  </property>
  <property fmtid="{D5CDD505-2E9C-101B-9397-08002B2CF9AE}" pid="6" name="ClientName">
    <vt:lpwstr>Personal Charge</vt:lpwstr>
  </property>
  <property fmtid="{D5CDD505-2E9C-101B-9397-08002B2CF9AE}" pid="7" name="MatterName">
    <vt:lpwstr>Potter, Chloe</vt:lpwstr>
  </property>
  <property fmtid="{D5CDD505-2E9C-101B-9397-08002B2CF9AE}" pid="8" name="DatabaseName">
    <vt:lpwstr>ACTIVE</vt:lpwstr>
  </property>
  <property fmtid="{D5CDD505-2E9C-101B-9397-08002B2CF9AE}" pid="9" name="TypistName">
    <vt:lpwstr>19760</vt:lpwstr>
  </property>
  <property fmtid="{D5CDD505-2E9C-101B-9397-08002B2CF9AE}" pid="10" name="AuthorName">
    <vt:lpwstr>19760</vt:lpwstr>
  </property>
  <property fmtid="{D5CDD505-2E9C-101B-9397-08002B2CF9AE}" pid="11" name="InUseBy">
    <vt:lpwstr>19760</vt:lpwstr>
  </property>
  <property fmtid="{D5CDD505-2E9C-101B-9397-08002B2CF9AE}" pid="12" name="EditDate">
    <vt:lpwstr>24/02/2023 17:38:55</vt:lpwstr>
  </property>
  <property fmtid="{D5CDD505-2E9C-101B-9397-08002B2CF9AE}" pid="13" name="EditTime">
    <vt:lpwstr/>
  </property>
  <property fmtid="{D5CDD505-2E9C-101B-9397-08002B2CF9AE}" pid="14" name="IsiManageWork">
    <vt:lpwstr>True</vt:lpwstr>
  </property>
  <property fmtid="{D5CDD505-2E9C-101B-9397-08002B2CF9AE}" pid="15" name="DocID">
    <vt:lpwstr>093331-9760-19760-ACTIVE.52191782.2</vt:lpwstr>
  </property>
</Properties>
</file>