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12001" w:rsidRDefault="00AE5B6F" w:rsidP="00B04033">
      <w:pPr>
        <w:pStyle w:val="ListParagraph"/>
        <w:numPr>
          <w:ilvl w:val="0"/>
          <w:numId w:val="1"/>
        </w:numPr>
        <w:ind w:left="426"/>
        <w:jc w:val="both"/>
        <w:rPr>
          <w:rFonts w:ascii="Avenir Next" w:hAnsi="Avenir Next" w:cs="Arial"/>
          <w:sz w:val="22"/>
          <w:szCs w:val="22"/>
          <w:lang w:val="en-GB"/>
        </w:rPr>
      </w:pPr>
      <w:r w:rsidRPr="006970B4">
        <w:rPr>
          <w:rFonts w:ascii="Avenir Next" w:hAnsi="Avenir Next" w:cs="Arial"/>
          <w:sz w:val="22"/>
          <w:szCs w:val="22"/>
          <w:highlight w:val="yellow"/>
          <w:lang w:val="en-GB"/>
        </w:rPr>
        <w:t>w</w:t>
      </w:r>
      <w:r w:rsidR="00C91062" w:rsidRPr="006970B4">
        <w:rPr>
          <w:rFonts w:ascii="Avenir Next" w:hAnsi="Avenir Next" w:cs="Arial"/>
          <w:sz w:val="22"/>
          <w:szCs w:val="22"/>
          <w:highlight w:val="yellow"/>
          <w:lang w:val="en-GB"/>
        </w:rPr>
        <w:t>ithin 8 weeks of the commencement of the administration</w:t>
      </w:r>
      <w:r w:rsidR="00763348" w:rsidRPr="006970B4">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C570DF" w:rsidRDefault="00E443D7" w:rsidP="00B04033">
      <w:pPr>
        <w:pStyle w:val="ListParagraph"/>
        <w:numPr>
          <w:ilvl w:val="0"/>
          <w:numId w:val="2"/>
        </w:numPr>
        <w:ind w:left="426"/>
        <w:jc w:val="both"/>
        <w:rPr>
          <w:rFonts w:ascii="Avenir Next" w:hAnsi="Avenir Next" w:cs="Arial"/>
          <w:sz w:val="22"/>
          <w:szCs w:val="22"/>
          <w:lang w:val="en-GB"/>
        </w:rPr>
      </w:pPr>
      <w:r w:rsidRPr="00C570DF">
        <w:rPr>
          <w:rFonts w:ascii="Avenir Next" w:hAnsi="Avenir Next" w:cs="Arial"/>
          <w:sz w:val="22"/>
          <w:szCs w:val="22"/>
          <w:lang w:val="en-GB"/>
        </w:rPr>
        <w:t>One year and 20 business days</w:t>
      </w:r>
      <w:r w:rsidR="00763348" w:rsidRPr="00C570DF">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5E66FDA0" w14:textId="693CE71B" w:rsidR="0038410E" w:rsidRPr="00C570DF" w:rsidRDefault="00E443D7" w:rsidP="00067356">
      <w:pPr>
        <w:pStyle w:val="ListParagraph"/>
        <w:numPr>
          <w:ilvl w:val="0"/>
          <w:numId w:val="2"/>
        </w:numPr>
        <w:ind w:left="426"/>
        <w:jc w:val="both"/>
        <w:rPr>
          <w:rFonts w:ascii="Avenir Next" w:hAnsi="Avenir Next" w:cs="Arial"/>
          <w:sz w:val="22"/>
          <w:szCs w:val="22"/>
          <w:highlight w:val="yellow"/>
          <w:lang w:val="en-GB"/>
        </w:rPr>
      </w:pPr>
      <w:r w:rsidRPr="00C570DF">
        <w:rPr>
          <w:rFonts w:ascii="Avenir Next" w:hAnsi="Avenir Next" w:cs="Arial"/>
          <w:sz w:val="22"/>
          <w:szCs w:val="22"/>
          <w:highlight w:val="yellow"/>
          <w:lang w:val="en-GB"/>
        </w:rPr>
        <w:t>One year</w:t>
      </w:r>
      <w:r w:rsidR="00763348" w:rsidRPr="00C570DF">
        <w:rPr>
          <w:rFonts w:ascii="Avenir Next" w:hAnsi="Avenir Next" w:cs="Arial"/>
          <w:sz w:val="22"/>
          <w:szCs w:val="22"/>
          <w:highlight w:val="yellow"/>
          <w:lang w:val="en-GB"/>
        </w:rPr>
        <w:t>.</w:t>
      </w: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986FD5" w:rsidRDefault="00C55824" w:rsidP="00C55824">
      <w:pPr>
        <w:jc w:val="both"/>
        <w:rPr>
          <w:rFonts w:ascii="Avenir Next" w:hAnsi="Avenir Next" w:cs="Arial"/>
          <w:strike/>
          <w:sz w:val="22"/>
          <w:szCs w:val="22"/>
          <w:lang w:val="en-GB"/>
        </w:rPr>
      </w:pPr>
    </w:p>
    <w:p w14:paraId="631A3E32" w14:textId="5AAAC6E1" w:rsidR="008D1616" w:rsidRPr="004E2275" w:rsidRDefault="00AE5B6F" w:rsidP="00B04033">
      <w:pPr>
        <w:pStyle w:val="ListParagraph"/>
        <w:numPr>
          <w:ilvl w:val="0"/>
          <w:numId w:val="3"/>
        </w:numPr>
        <w:ind w:left="426"/>
        <w:jc w:val="both"/>
        <w:rPr>
          <w:rFonts w:ascii="Avenir Next" w:hAnsi="Avenir Next" w:cs="Arial"/>
          <w:sz w:val="22"/>
          <w:szCs w:val="22"/>
          <w:lang w:val="en-GB"/>
        </w:rPr>
      </w:pPr>
      <w:r w:rsidRPr="004E2275">
        <w:rPr>
          <w:rFonts w:ascii="Avenir Next" w:hAnsi="Avenir Next" w:cs="Arial"/>
          <w:sz w:val="22"/>
          <w:szCs w:val="22"/>
          <w:lang w:val="en-GB"/>
        </w:rPr>
        <w:t>T</w:t>
      </w:r>
      <w:r w:rsidR="008D1616" w:rsidRPr="004E2275">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4E2275">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4E2275" w:rsidRDefault="00AE5B6F" w:rsidP="00B04033">
      <w:pPr>
        <w:pStyle w:val="ListParagraph"/>
        <w:numPr>
          <w:ilvl w:val="0"/>
          <w:numId w:val="3"/>
        </w:numPr>
        <w:ind w:left="426"/>
        <w:jc w:val="both"/>
        <w:rPr>
          <w:rFonts w:ascii="Avenir Next" w:hAnsi="Avenir Next" w:cs="Arial"/>
          <w:sz w:val="22"/>
          <w:szCs w:val="22"/>
          <w:lang w:val="en-GB"/>
        </w:rPr>
      </w:pPr>
      <w:r w:rsidRPr="004E2275">
        <w:rPr>
          <w:rFonts w:ascii="Avenir Next" w:hAnsi="Avenir Next" w:cs="Arial"/>
          <w:sz w:val="22"/>
          <w:szCs w:val="22"/>
          <w:lang w:val="en-GB"/>
        </w:rPr>
        <w:t>A</w:t>
      </w:r>
      <w:r w:rsidR="008D1616" w:rsidRPr="004E2275">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4E2275">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4E2275" w:rsidRDefault="00AE5B6F" w:rsidP="00B04033">
      <w:pPr>
        <w:pStyle w:val="ListParagraph"/>
        <w:numPr>
          <w:ilvl w:val="0"/>
          <w:numId w:val="3"/>
        </w:numPr>
        <w:ind w:left="426"/>
        <w:jc w:val="both"/>
        <w:rPr>
          <w:rFonts w:ascii="Avenir Next" w:hAnsi="Avenir Next" w:cs="Arial"/>
          <w:sz w:val="22"/>
          <w:szCs w:val="22"/>
          <w:highlight w:val="yellow"/>
          <w:lang w:val="en-GB"/>
        </w:rPr>
      </w:pPr>
      <w:r w:rsidRPr="004E2275">
        <w:rPr>
          <w:rFonts w:ascii="Avenir Next" w:hAnsi="Avenir Next" w:cs="Arial"/>
          <w:sz w:val="22"/>
          <w:szCs w:val="22"/>
          <w:highlight w:val="yellow"/>
          <w:lang w:val="en-GB"/>
        </w:rPr>
        <w:t>T</w:t>
      </w:r>
      <w:r w:rsidR="008D1616" w:rsidRPr="004E2275">
        <w:rPr>
          <w:rFonts w:ascii="Avenir Next" w:hAnsi="Avenir Next" w:cs="Arial"/>
          <w:sz w:val="22"/>
          <w:szCs w:val="22"/>
          <w:highlight w:val="yellow"/>
          <w:lang w:val="en-GB"/>
        </w:rPr>
        <w:t>he company is, or is likely to become, unable to pay their debts, as defined under s</w:t>
      </w:r>
      <w:r w:rsidR="00E833F4" w:rsidRPr="004E2275">
        <w:rPr>
          <w:rFonts w:ascii="Avenir Next" w:hAnsi="Avenir Next" w:cs="Arial"/>
          <w:sz w:val="22"/>
          <w:szCs w:val="22"/>
          <w:highlight w:val="yellow"/>
          <w:lang w:val="en-GB"/>
        </w:rPr>
        <w:t>ection</w:t>
      </w:r>
      <w:r w:rsidR="008D1616" w:rsidRPr="004E2275">
        <w:rPr>
          <w:rFonts w:ascii="Avenir Next" w:hAnsi="Avenir Next" w:cs="Arial"/>
          <w:sz w:val="22"/>
          <w:szCs w:val="22"/>
          <w:highlight w:val="yellow"/>
          <w:lang w:val="en-GB"/>
        </w:rPr>
        <w:t xml:space="preserve"> 123 of the Insolvency Act 1986</w:t>
      </w:r>
      <w:r w:rsidR="00763348" w:rsidRPr="004E2275">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B63433">
        <w:rPr>
          <w:rFonts w:ascii="Avenir Next Demi Bold" w:hAnsi="Avenir Next Demi Bold" w:cs="Arial"/>
          <w:b/>
          <w:bCs/>
          <w:sz w:val="22"/>
          <w:szCs w:val="22"/>
        </w:rPr>
        <w:t>Question 1.4</w:t>
      </w:r>
      <w:r w:rsidRPr="00A84235">
        <w:rPr>
          <w:rFonts w:ascii="Avenir Next Demi Bold" w:hAnsi="Avenir Next Demi Bold" w:cs="Arial"/>
          <w:b/>
          <w:bCs/>
          <w:sz w:val="22"/>
          <w:szCs w:val="22"/>
        </w:rPr>
        <w:t xml:space="preserve">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E257BB" w:rsidRDefault="00C91062" w:rsidP="00B04033">
      <w:pPr>
        <w:pStyle w:val="ListParagraph"/>
        <w:numPr>
          <w:ilvl w:val="0"/>
          <w:numId w:val="4"/>
        </w:numPr>
        <w:ind w:left="426"/>
        <w:jc w:val="both"/>
        <w:rPr>
          <w:rFonts w:ascii="Avenir Next" w:hAnsi="Avenir Next" w:cs="Arial"/>
          <w:sz w:val="22"/>
          <w:szCs w:val="22"/>
          <w:lang w:val="en-GB"/>
        </w:rPr>
      </w:pPr>
      <w:r w:rsidRPr="00E257BB">
        <w:rPr>
          <w:rFonts w:ascii="Avenir Next" w:hAnsi="Avenir Next" w:cs="Arial"/>
          <w:sz w:val="22"/>
          <w:szCs w:val="22"/>
          <w:lang w:val="en-GB"/>
        </w:rPr>
        <w:t>The administrator</w:t>
      </w:r>
      <w:r w:rsidR="00763348" w:rsidRPr="00E257BB">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E257BB" w:rsidRDefault="00C91062" w:rsidP="00B04033">
      <w:pPr>
        <w:pStyle w:val="ListParagraph"/>
        <w:numPr>
          <w:ilvl w:val="0"/>
          <w:numId w:val="4"/>
        </w:numPr>
        <w:ind w:left="426"/>
        <w:jc w:val="both"/>
        <w:rPr>
          <w:rFonts w:ascii="Avenir Next" w:hAnsi="Avenir Next" w:cs="Arial"/>
          <w:sz w:val="22"/>
          <w:szCs w:val="22"/>
          <w:highlight w:val="yellow"/>
          <w:lang w:val="en-GB"/>
        </w:rPr>
      </w:pPr>
      <w:r w:rsidRPr="00E257BB">
        <w:rPr>
          <w:rFonts w:ascii="Avenir Next" w:hAnsi="Avenir Next" w:cs="Arial"/>
          <w:sz w:val="22"/>
          <w:szCs w:val="22"/>
          <w:highlight w:val="yellow"/>
          <w:lang w:val="en-GB"/>
        </w:rPr>
        <w:t>The purchaser</w:t>
      </w:r>
      <w:r w:rsidR="00763348" w:rsidRPr="00E257BB">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B036B6" w:rsidRDefault="00BA1CFD" w:rsidP="00B04033">
      <w:pPr>
        <w:pStyle w:val="ListParagraph"/>
        <w:numPr>
          <w:ilvl w:val="0"/>
          <w:numId w:val="5"/>
        </w:numPr>
        <w:ind w:left="426"/>
        <w:jc w:val="both"/>
        <w:rPr>
          <w:rFonts w:ascii="Avenir Next" w:hAnsi="Avenir Next" w:cs="Arial"/>
          <w:sz w:val="22"/>
          <w:szCs w:val="22"/>
          <w:highlight w:val="yellow"/>
          <w:lang w:val="en-GB"/>
        </w:rPr>
      </w:pPr>
      <w:r w:rsidRPr="00B036B6">
        <w:rPr>
          <w:rFonts w:ascii="Avenir Next" w:hAnsi="Avenir Next" w:cs="Arial"/>
          <w:sz w:val="22"/>
          <w:szCs w:val="22"/>
          <w:highlight w:val="yellow"/>
          <w:lang w:val="en-GB"/>
        </w:rPr>
        <w:t>Administration</w:t>
      </w:r>
      <w:r w:rsidR="00763348" w:rsidRPr="00B036B6">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F2453D" w:rsidRDefault="001F3C98" w:rsidP="00B04033">
      <w:pPr>
        <w:pStyle w:val="ListParagraph"/>
        <w:numPr>
          <w:ilvl w:val="0"/>
          <w:numId w:val="6"/>
        </w:numPr>
        <w:ind w:left="426"/>
        <w:jc w:val="both"/>
        <w:rPr>
          <w:rFonts w:ascii="Avenir Next" w:hAnsi="Avenir Next" w:cs="Arial"/>
          <w:sz w:val="22"/>
          <w:szCs w:val="22"/>
          <w:highlight w:val="yellow"/>
          <w:lang w:val="en-GB"/>
        </w:rPr>
      </w:pPr>
      <w:r w:rsidRPr="00F2453D">
        <w:rPr>
          <w:rFonts w:ascii="Avenir Next" w:hAnsi="Avenir Next" w:cs="Arial"/>
          <w:sz w:val="22"/>
          <w:szCs w:val="22"/>
          <w:highlight w:val="yellow"/>
          <w:lang w:val="en-GB"/>
        </w:rPr>
        <w:t xml:space="preserve">GBP </w:t>
      </w:r>
      <w:r w:rsidR="00BA1CFD" w:rsidRPr="00F2453D">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B63433">
        <w:rPr>
          <w:rFonts w:ascii="Avenir Next Demi Bold" w:hAnsi="Avenir Next Demi Bold" w:cs="Arial"/>
          <w:b/>
          <w:bCs/>
          <w:sz w:val="22"/>
          <w:szCs w:val="22"/>
        </w:rPr>
        <w:t>Question 1.7</w:t>
      </w:r>
      <w:r w:rsidRPr="00A84235">
        <w:rPr>
          <w:rFonts w:ascii="Avenir Next Demi Bold" w:hAnsi="Avenir Next Demi Bold" w:cs="Arial"/>
          <w:b/>
          <w:bCs/>
          <w:sz w:val="22"/>
          <w:szCs w:val="22"/>
        </w:rPr>
        <w:t xml:space="preserve">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501084" w:rsidRDefault="00BA1CFD" w:rsidP="00B04033">
      <w:pPr>
        <w:pStyle w:val="ListParagraph"/>
        <w:numPr>
          <w:ilvl w:val="0"/>
          <w:numId w:val="7"/>
        </w:numPr>
        <w:ind w:left="426"/>
        <w:jc w:val="both"/>
        <w:rPr>
          <w:rFonts w:ascii="Avenir Next" w:hAnsi="Avenir Next" w:cs="Arial"/>
          <w:sz w:val="22"/>
          <w:szCs w:val="22"/>
          <w:lang w:val="en-GB"/>
        </w:rPr>
      </w:pPr>
      <w:r w:rsidRPr="00501084">
        <w:rPr>
          <w:rFonts w:ascii="Avenir Next" w:hAnsi="Avenir Next" w:cs="Arial"/>
          <w:sz w:val="22"/>
          <w:szCs w:val="22"/>
          <w:lang w:val="en-GB"/>
        </w:rPr>
        <w:t>Wrongful trading</w:t>
      </w:r>
      <w:r w:rsidR="00763348" w:rsidRPr="00501084">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501084" w:rsidRDefault="00BA1CFD" w:rsidP="00B04033">
      <w:pPr>
        <w:pStyle w:val="ListParagraph"/>
        <w:numPr>
          <w:ilvl w:val="0"/>
          <w:numId w:val="7"/>
        </w:numPr>
        <w:ind w:left="426"/>
        <w:jc w:val="both"/>
        <w:rPr>
          <w:rFonts w:ascii="Avenir Next" w:hAnsi="Avenir Next" w:cs="Arial"/>
          <w:sz w:val="22"/>
          <w:szCs w:val="22"/>
          <w:highlight w:val="yellow"/>
          <w:lang w:val="en-GB"/>
        </w:rPr>
      </w:pPr>
      <w:r w:rsidRPr="00501084">
        <w:rPr>
          <w:rFonts w:ascii="Avenir Next" w:hAnsi="Avenir Next" w:cs="Arial"/>
          <w:sz w:val="22"/>
          <w:szCs w:val="22"/>
          <w:highlight w:val="yellow"/>
          <w:lang w:val="en-GB"/>
        </w:rPr>
        <w:t>Breach of fiduciary duty</w:t>
      </w:r>
      <w:r w:rsidR="00763348" w:rsidRPr="00501084">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AB5DB7" w:rsidRDefault="00876F56" w:rsidP="00B04033">
      <w:pPr>
        <w:pStyle w:val="ListParagraph"/>
        <w:numPr>
          <w:ilvl w:val="0"/>
          <w:numId w:val="8"/>
        </w:numPr>
        <w:ind w:left="426"/>
        <w:jc w:val="both"/>
        <w:rPr>
          <w:rFonts w:ascii="Avenir Next" w:hAnsi="Avenir Next" w:cs="Arial"/>
          <w:sz w:val="22"/>
          <w:szCs w:val="22"/>
          <w:highlight w:val="yellow"/>
          <w:lang w:val="en-GB"/>
        </w:rPr>
      </w:pPr>
      <w:r w:rsidRPr="00AB5DB7">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FD1A0C" w:rsidRDefault="00E833F4" w:rsidP="00B04033">
      <w:pPr>
        <w:pStyle w:val="ListParagraph"/>
        <w:numPr>
          <w:ilvl w:val="0"/>
          <w:numId w:val="9"/>
        </w:numPr>
        <w:ind w:left="426"/>
        <w:jc w:val="both"/>
        <w:rPr>
          <w:rFonts w:ascii="Avenir Next" w:hAnsi="Avenir Next" w:cs="Arial"/>
          <w:sz w:val="22"/>
          <w:szCs w:val="22"/>
          <w:highlight w:val="yellow"/>
          <w:lang w:val="en-GB"/>
        </w:rPr>
      </w:pPr>
      <w:r w:rsidRPr="00FD1A0C">
        <w:rPr>
          <w:rFonts w:ascii="Avenir Next" w:hAnsi="Avenir Next" w:cs="Arial"/>
          <w:sz w:val="22"/>
          <w:szCs w:val="22"/>
          <w:highlight w:val="yellow"/>
          <w:lang w:val="en-GB"/>
        </w:rPr>
        <w:t>A</w:t>
      </w:r>
      <w:r w:rsidR="000D10C6" w:rsidRPr="00FD1A0C">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733A12" w:rsidRDefault="000D10C6" w:rsidP="00AE5B6F">
      <w:pPr>
        <w:pStyle w:val="ListParagraph"/>
        <w:numPr>
          <w:ilvl w:val="0"/>
          <w:numId w:val="9"/>
        </w:numPr>
        <w:ind w:left="426"/>
        <w:jc w:val="both"/>
        <w:rPr>
          <w:rFonts w:ascii="Avenir Next" w:hAnsi="Avenir Next" w:cs="Arial"/>
          <w:sz w:val="22"/>
          <w:szCs w:val="22"/>
          <w:lang w:val="en-GB"/>
        </w:rPr>
      </w:pPr>
      <w:r w:rsidRPr="00733A12">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230F89" w:rsidRDefault="0020204E" w:rsidP="00B04033">
      <w:pPr>
        <w:pStyle w:val="ListParagraph"/>
        <w:numPr>
          <w:ilvl w:val="0"/>
          <w:numId w:val="10"/>
        </w:numPr>
        <w:ind w:left="426"/>
        <w:jc w:val="both"/>
        <w:rPr>
          <w:rFonts w:ascii="Avenir Next" w:hAnsi="Avenir Next" w:cs="Arial"/>
          <w:sz w:val="22"/>
          <w:szCs w:val="22"/>
          <w:lang w:val="en-GB"/>
        </w:rPr>
      </w:pPr>
      <w:r w:rsidRPr="00230F89">
        <w:rPr>
          <w:rFonts w:ascii="Avenir Next" w:hAnsi="Avenir Next" w:cs="Arial"/>
          <w:sz w:val="22"/>
          <w:szCs w:val="22"/>
          <w:lang w:val="en-GB"/>
        </w:rPr>
        <w:t>12 months</w:t>
      </w:r>
      <w:r w:rsidR="00763348" w:rsidRPr="00230F89">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84745E" w:rsidRDefault="0020204E" w:rsidP="00B04033">
      <w:pPr>
        <w:pStyle w:val="ListParagraph"/>
        <w:numPr>
          <w:ilvl w:val="0"/>
          <w:numId w:val="10"/>
        </w:numPr>
        <w:ind w:left="426"/>
        <w:jc w:val="both"/>
        <w:rPr>
          <w:rFonts w:ascii="Avenir Next" w:hAnsi="Avenir Next" w:cs="Arial"/>
          <w:sz w:val="22"/>
          <w:szCs w:val="22"/>
          <w:highlight w:val="yellow"/>
          <w:lang w:val="en-GB"/>
        </w:rPr>
      </w:pPr>
      <w:r w:rsidRPr="0084745E">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22C610C9" w14:textId="6BD868C9" w:rsidR="00DE03AF" w:rsidRDefault="0080441E" w:rsidP="002A37BB">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6838DBE8" w14:textId="77777777" w:rsidR="003D5C6F" w:rsidRPr="003D5C6F" w:rsidRDefault="003D5C6F" w:rsidP="002A37BB">
      <w:pPr>
        <w:jc w:val="both"/>
        <w:rPr>
          <w:rFonts w:ascii="Avenir Next" w:hAnsi="Avenir Next" w:cs="Arial"/>
          <w:sz w:val="22"/>
          <w:szCs w:val="22"/>
          <w:lang w:val="en-GB"/>
        </w:rPr>
      </w:pPr>
    </w:p>
    <w:p w14:paraId="0DE4409D" w14:textId="705A4E8B" w:rsidR="00B55D88" w:rsidRDefault="00B55D88" w:rsidP="002A37BB">
      <w:pPr>
        <w:jc w:val="both"/>
        <w:rPr>
          <w:rFonts w:ascii="Avenir Next" w:hAnsi="Avenir Next" w:cs="Arial"/>
          <w:sz w:val="22"/>
          <w:szCs w:val="22"/>
        </w:rPr>
      </w:pPr>
      <w:r>
        <w:rPr>
          <w:rFonts w:ascii="Avenir Next" w:hAnsi="Avenir Next" w:cs="Arial"/>
          <w:sz w:val="22"/>
          <w:szCs w:val="22"/>
        </w:rPr>
        <w:t>Under section 423 of the Insolvency Act 1986</w:t>
      </w:r>
      <w:r w:rsidR="005C1A0A">
        <w:rPr>
          <w:rFonts w:ascii="Avenir Next" w:hAnsi="Avenir Next" w:cs="Arial"/>
          <w:sz w:val="22"/>
          <w:szCs w:val="22"/>
        </w:rPr>
        <w:t>, the following parties can bring actions: (</w:t>
      </w:r>
      <w:r w:rsidR="00267585">
        <w:rPr>
          <w:rFonts w:ascii="Avenir Next" w:hAnsi="Avenir Next" w:cs="Arial"/>
          <w:sz w:val="22"/>
          <w:szCs w:val="22"/>
        </w:rPr>
        <w:t xml:space="preserve">i) </w:t>
      </w:r>
      <w:r w:rsidR="00C752E9">
        <w:rPr>
          <w:rFonts w:ascii="Avenir Next" w:hAnsi="Avenir Next" w:cs="Arial"/>
          <w:sz w:val="22"/>
          <w:szCs w:val="22"/>
        </w:rPr>
        <w:t>the official receiver, the liquidator, the administrator and (with</w:t>
      </w:r>
      <w:r w:rsidR="003D5C6F">
        <w:rPr>
          <w:rFonts w:ascii="Avenir Next" w:hAnsi="Avenir Next" w:cs="Arial"/>
          <w:sz w:val="22"/>
          <w:szCs w:val="22"/>
        </w:rPr>
        <w:t xml:space="preserve"> permission of the court) any victim of the transaction, e.g. a creditor, </w:t>
      </w:r>
      <w:r w:rsidR="00267585">
        <w:rPr>
          <w:rFonts w:ascii="Avenir Next" w:hAnsi="Avenir Next" w:cs="Arial"/>
          <w:sz w:val="22"/>
          <w:szCs w:val="22"/>
        </w:rPr>
        <w:t>where the company is in administration o</w:t>
      </w:r>
      <w:r w:rsidR="00C752E9">
        <w:rPr>
          <w:rFonts w:ascii="Avenir Next" w:hAnsi="Avenir Next" w:cs="Arial"/>
          <w:sz w:val="22"/>
          <w:szCs w:val="22"/>
        </w:rPr>
        <w:t>r being wound up</w:t>
      </w:r>
      <w:r w:rsidR="003D5C6F">
        <w:rPr>
          <w:rFonts w:ascii="Avenir Next" w:hAnsi="Avenir Next" w:cs="Arial"/>
          <w:sz w:val="22"/>
          <w:szCs w:val="22"/>
        </w:rPr>
        <w:t>; (ii)</w:t>
      </w:r>
      <w:r w:rsidR="0016077B">
        <w:rPr>
          <w:rFonts w:ascii="Avenir Next" w:hAnsi="Avenir Next" w:cs="Arial"/>
          <w:sz w:val="22"/>
          <w:szCs w:val="22"/>
        </w:rPr>
        <w:t xml:space="preserve"> the supervisor of a Company Voluntary Arrangement (“CVA”) </w:t>
      </w:r>
      <w:r w:rsidR="007F7FC9">
        <w:rPr>
          <w:rFonts w:ascii="Avenir Next" w:hAnsi="Avenir Next" w:cs="Arial"/>
          <w:sz w:val="22"/>
          <w:szCs w:val="22"/>
        </w:rPr>
        <w:t>where a victim is bound by a CVA, or any victim of the transaction (whether bound by the CVA or otherwise)</w:t>
      </w:r>
      <w:r w:rsidR="003C0842">
        <w:rPr>
          <w:rFonts w:ascii="Avenir Next" w:hAnsi="Avenir Next" w:cs="Arial"/>
          <w:sz w:val="22"/>
          <w:szCs w:val="22"/>
        </w:rPr>
        <w:t xml:space="preserve"> and; (iii) a victim of the transaction, in any other case.</w:t>
      </w:r>
    </w:p>
    <w:p w14:paraId="53841724" w14:textId="0D78A89B" w:rsidR="00D7620E" w:rsidRDefault="00D7620E" w:rsidP="002A37BB">
      <w:pPr>
        <w:jc w:val="both"/>
        <w:rPr>
          <w:rFonts w:ascii="Avenir Next" w:hAnsi="Avenir Next" w:cs="Arial"/>
          <w:sz w:val="22"/>
          <w:szCs w:val="22"/>
        </w:rPr>
      </w:pPr>
    </w:p>
    <w:p w14:paraId="68E904B1" w14:textId="5BA9DC17" w:rsidR="00D7620E" w:rsidRDefault="00D7620E" w:rsidP="002A37BB">
      <w:pPr>
        <w:jc w:val="both"/>
        <w:rPr>
          <w:rFonts w:ascii="Avenir Next" w:hAnsi="Avenir Next" w:cs="Arial"/>
          <w:sz w:val="22"/>
          <w:szCs w:val="22"/>
        </w:rPr>
      </w:pPr>
      <w:r>
        <w:rPr>
          <w:rFonts w:ascii="Avenir Next" w:hAnsi="Avenir Next" w:cs="Arial"/>
          <w:sz w:val="22"/>
          <w:szCs w:val="22"/>
        </w:rPr>
        <w:t xml:space="preserve">Under section 6 of the Company Directors Disqualification Act 1986, </w:t>
      </w:r>
      <w:r w:rsidR="00930485">
        <w:rPr>
          <w:rFonts w:ascii="Avenir Next" w:hAnsi="Avenir Next" w:cs="Arial"/>
          <w:sz w:val="22"/>
          <w:szCs w:val="22"/>
        </w:rPr>
        <w:t>Official Receivers</w:t>
      </w:r>
      <w:r w:rsidR="00A17ECD">
        <w:rPr>
          <w:rFonts w:ascii="Avenir Next" w:hAnsi="Avenir Next" w:cs="Arial"/>
          <w:sz w:val="22"/>
          <w:szCs w:val="22"/>
        </w:rPr>
        <w:t xml:space="preserve"> may bring an action to disqualif</w:t>
      </w:r>
      <w:r w:rsidR="00BE532B">
        <w:rPr>
          <w:rFonts w:ascii="Avenir Next" w:hAnsi="Avenir Next" w:cs="Arial"/>
          <w:sz w:val="22"/>
          <w:szCs w:val="22"/>
        </w:rPr>
        <w:t>y directors from being involved in the management of a company for up to 15 years.</w:t>
      </w:r>
      <w:r w:rsidR="00F77F95">
        <w:rPr>
          <w:rFonts w:ascii="Avenir Next" w:hAnsi="Avenir Next" w:cs="Arial"/>
          <w:sz w:val="22"/>
          <w:szCs w:val="22"/>
        </w:rPr>
        <w:t xml:space="preserve"> Under this Act, </w:t>
      </w:r>
      <w:r w:rsidR="00CF3509">
        <w:rPr>
          <w:rFonts w:ascii="Avenir Next" w:hAnsi="Avenir Next" w:cs="Arial"/>
          <w:sz w:val="22"/>
          <w:szCs w:val="22"/>
        </w:rPr>
        <w:t>liquidators and administrators can also report any directors deemed to be ‘unfit’ to be directors.</w:t>
      </w:r>
    </w:p>
    <w:p w14:paraId="1EC9E388" w14:textId="422A9A32" w:rsidR="00263C5A" w:rsidRDefault="00263C5A" w:rsidP="002A37BB">
      <w:pPr>
        <w:jc w:val="both"/>
        <w:rPr>
          <w:rFonts w:ascii="Avenir Next" w:hAnsi="Avenir Next" w:cs="Arial"/>
          <w:sz w:val="22"/>
          <w:szCs w:val="22"/>
        </w:rPr>
      </w:pPr>
    </w:p>
    <w:p w14:paraId="776A3612" w14:textId="26A73240" w:rsidR="00263C5A" w:rsidRDefault="00263C5A" w:rsidP="002A37BB">
      <w:pPr>
        <w:jc w:val="both"/>
        <w:rPr>
          <w:rFonts w:ascii="Avenir Next" w:hAnsi="Avenir Next" w:cs="Arial"/>
          <w:sz w:val="22"/>
          <w:szCs w:val="22"/>
        </w:rPr>
      </w:pPr>
      <w:r>
        <w:rPr>
          <w:rFonts w:ascii="Avenir Next" w:hAnsi="Avenir Next" w:cs="Arial"/>
          <w:sz w:val="22"/>
          <w:szCs w:val="22"/>
        </w:rPr>
        <w:t xml:space="preserve">Under section 246ZB of the Insolvency Act </w:t>
      </w:r>
      <w:r w:rsidR="00553BE8">
        <w:rPr>
          <w:rFonts w:ascii="Avenir Next" w:hAnsi="Avenir Next" w:cs="Arial"/>
          <w:sz w:val="22"/>
          <w:szCs w:val="22"/>
        </w:rPr>
        <w:t>1986 (“the Act”)</w:t>
      </w:r>
      <w:r w:rsidR="00841EB0">
        <w:rPr>
          <w:rFonts w:ascii="Avenir Next" w:hAnsi="Avenir Next" w:cs="Arial"/>
          <w:sz w:val="22"/>
          <w:szCs w:val="22"/>
        </w:rPr>
        <w:t xml:space="preserve">, </w:t>
      </w:r>
      <w:r w:rsidR="000C59B8">
        <w:rPr>
          <w:rFonts w:ascii="Avenir Next" w:hAnsi="Avenir Next" w:cs="Arial"/>
          <w:sz w:val="22"/>
          <w:szCs w:val="22"/>
        </w:rPr>
        <w:t xml:space="preserve">administrators may bring an action, in addition to liquidators </w:t>
      </w:r>
      <w:r w:rsidR="000E1E46">
        <w:rPr>
          <w:rFonts w:ascii="Avenir Next" w:hAnsi="Avenir Next" w:cs="Arial"/>
          <w:sz w:val="22"/>
          <w:szCs w:val="22"/>
        </w:rPr>
        <w:t xml:space="preserve">who </w:t>
      </w:r>
      <w:r w:rsidR="000E1E46" w:rsidRPr="007040D9">
        <w:rPr>
          <w:rFonts w:ascii="Avenir Next" w:hAnsi="Avenir Next" w:cs="Arial"/>
          <w:sz w:val="22"/>
          <w:szCs w:val="22"/>
        </w:rPr>
        <w:t xml:space="preserve">historically were </w:t>
      </w:r>
      <w:r w:rsidR="002F30FF" w:rsidRPr="007040D9">
        <w:rPr>
          <w:rFonts w:ascii="Avenir Next" w:hAnsi="Avenir Next" w:cs="Arial"/>
          <w:sz w:val="22"/>
          <w:szCs w:val="22"/>
        </w:rPr>
        <w:t xml:space="preserve">the only parties able to </w:t>
      </w:r>
      <w:r w:rsidR="007040D9" w:rsidRPr="007040D9">
        <w:rPr>
          <w:rFonts w:ascii="Avenir Next" w:hAnsi="Avenir Next" w:cs="Arial"/>
          <w:sz w:val="22"/>
          <w:szCs w:val="22"/>
        </w:rPr>
        <w:t>bring wrongful trading and fraudulent trading actions</w:t>
      </w:r>
      <w:r w:rsidR="007040D9">
        <w:rPr>
          <w:rFonts w:ascii="Avenir Next" w:hAnsi="Avenir Next" w:cs="Arial"/>
          <w:sz w:val="22"/>
          <w:szCs w:val="22"/>
        </w:rPr>
        <w:t>, under sections 214 and 213 of the Act.</w:t>
      </w:r>
      <w:r w:rsidR="006D2FB6">
        <w:rPr>
          <w:rFonts w:ascii="Avenir Next" w:hAnsi="Avenir Next" w:cs="Arial"/>
          <w:sz w:val="22"/>
          <w:szCs w:val="22"/>
        </w:rPr>
        <w:t xml:space="preserve"> Administrators were granted powers to bring actions under the new section 246ZB of the Act </w:t>
      </w:r>
      <w:r w:rsidR="00BB7098">
        <w:rPr>
          <w:rFonts w:ascii="Avenir Next" w:hAnsi="Avenir Next" w:cs="Arial"/>
          <w:sz w:val="22"/>
          <w:szCs w:val="22"/>
        </w:rPr>
        <w:t>following the introduction of the Small Business, Enterprise and Employment Act 2015.</w:t>
      </w:r>
    </w:p>
    <w:p w14:paraId="06AE9EFC" w14:textId="77777777" w:rsidR="00B55D88" w:rsidRDefault="00B55D88"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1B195690" w:rsidR="00EA3B38" w:rsidRDefault="00C212AF" w:rsidP="00EA3B38">
      <w:pPr>
        <w:jc w:val="both"/>
        <w:rPr>
          <w:rFonts w:ascii="Avenir Next" w:hAnsi="Avenir Next" w:cs="Arial"/>
          <w:sz w:val="22"/>
          <w:szCs w:val="22"/>
        </w:rPr>
      </w:pPr>
      <w:r w:rsidRPr="00D85778">
        <w:rPr>
          <w:rFonts w:ascii="Avenir Next" w:hAnsi="Avenir Next" w:cs="Arial"/>
          <w:sz w:val="22"/>
          <w:szCs w:val="22"/>
        </w:rPr>
        <w:t>Under</w:t>
      </w:r>
      <w:r w:rsidR="00B26DF9">
        <w:rPr>
          <w:rFonts w:ascii="Avenir Next" w:hAnsi="Avenir Next" w:cs="Arial"/>
          <w:sz w:val="22"/>
          <w:szCs w:val="22"/>
        </w:rPr>
        <w:t xml:space="preserve"> Part A1 of the Act, </w:t>
      </w:r>
      <w:r w:rsidR="00396651">
        <w:rPr>
          <w:rFonts w:ascii="Avenir Next" w:hAnsi="Avenir Next" w:cs="Arial"/>
          <w:sz w:val="22"/>
          <w:szCs w:val="22"/>
        </w:rPr>
        <w:t>the following debts do not form part of the payment holiday:</w:t>
      </w:r>
    </w:p>
    <w:p w14:paraId="361A98F9" w14:textId="356B46F3" w:rsidR="00396651" w:rsidRDefault="00396651" w:rsidP="00EA3B38">
      <w:pPr>
        <w:jc w:val="both"/>
        <w:rPr>
          <w:rFonts w:ascii="Avenir Next" w:hAnsi="Avenir Next" w:cs="Arial"/>
          <w:sz w:val="22"/>
          <w:szCs w:val="22"/>
        </w:rPr>
      </w:pPr>
    </w:p>
    <w:p w14:paraId="6F8D9E7C" w14:textId="228C15DD" w:rsidR="00396651" w:rsidRDefault="00396651" w:rsidP="00396651">
      <w:pPr>
        <w:pStyle w:val="ListParagraph"/>
        <w:numPr>
          <w:ilvl w:val="0"/>
          <w:numId w:val="18"/>
        </w:numPr>
        <w:jc w:val="both"/>
        <w:rPr>
          <w:rFonts w:ascii="Avenir Next" w:hAnsi="Avenir Next" w:cs="Arial"/>
          <w:sz w:val="22"/>
          <w:szCs w:val="22"/>
        </w:rPr>
      </w:pPr>
      <w:r>
        <w:rPr>
          <w:rFonts w:ascii="Avenir Next" w:hAnsi="Avenir Next" w:cs="Arial"/>
          <w:sz w:val="22"/>
          <w:szCs w:val="22"/>
        </w:rPr>
        <w:t>The monitor’s remuneration or expenses;</w:t>
      </w:r>
    </w:p>
    <w:p w14:paraId="2FC6E973" w14:textId="1DCFE5B3" w:rsidR="006235D6" w:rsidRDefault="006235D6" w:rsidP="006235D6">
      <w:pPr>
        <w:pStyle w:val="ListParagraph"/>
        <w:numPr>
          <w:ilvl w:val="0"/>
          <w:numId w:val="18"/>
        </w:numPr>
        <w:jc w:val="both"/>
        <w:rPr>
          <w:rFonts w:ascii="Avenir Next" w:hAnsi="Avenir Next" w:cs="Arial"/>
          <w:sz w:val="22"/>
          <w:szCs w:val="22"/>
        </w:rPr>
      </w:pPr>
      <w:r>
        <w:rPr>
          <w:rFonts w:ascii="Avenir Next" w:hAnsi="Avenir Next" w:cs="Arial"/>
          <w:sz w:val="22"/>
          <w:szCs w:val="22"/>
        </w:rPr>
        <w:t>Services or goods provided during the Moratorium;</w:t>
      </w:r>
    </w:p>
    <w:p w14:paraId="044E6ED4" w14:textId="5AA93E5D" w:rsidR="002866D0" w:rsidRDefault="002866D0" w:rsidP="002866D0">
      <w:pPr>
        <w:pStyle w:val="ListParagraph"/>
        <w:numPr>
          <w:ilvl w:val="0"/>
          <w:numId w:val="18"/>
        </w:numPr>
        <w:jc w:val="both"/>
        <w:rPr>
          <w:rFonts w:ascii="Avenir Next" w:hAnsi="Avenir Next" w:cs="Arial"/>
          <w:sz w:val="22"/>
          <w:szCs w:val="22"/>
        </w:rPr>
      </w:pPr>
      <w:r>
        <w:rPr>
          <w:rFonts w:ascii="Avenir Next" w:hAnsi="Avenir Next" w:cs="Arial"/>
          <w:sz w:val="22"/>
          <w:szCs w:val="22"/>
        </w:rPr>
        <w:t>Rent in respect of the period of the Moratorium;</w:t>
      </w:r>
    </w:p>
    <w:p w14:paraId="29CA4A88" w14:textId="1764C8CD" w:rsidR="002866D0" w:rsidRDefault="002866D0" w:rsidP="002866D0">
      <w:pPr>
        <w:pStyle w:val="ListParagraph"/>
        <w:numPr>
          <w:ilvl w:val="0"/>
          <w:numId w:val="18"/>
        </w:numPr>
        <w:jc w:val="both"/>
        <w:rPr>
          <w:rFonts w:ascii="Avenir Next" w:hAnsi="Avenir Next" w:cs="Arial"/>
          <w:sz w:val="22"/>
          <w:szCs w:val="22"/>
        </w:rPr>
      </w:pPr>
      <w:r>
        <w:rPr>
          <w:rFonts w:ascii="Avenir Next" w:hAnsi="Avenir Next" w:cs="Arial"/>
          <w:sz w:val="22"/>
          <w:szCs w:val="22"/>
        </w:rPr>
        <w:t xml:space="preserve">Wages or salaries </w:t>
      </w:r>
      <w:r w:rsidR="00A93DA0">
        <w:rPr>
          <w:rFonts w:ascii="Avenir Next" w:hAnsi="Avenir Next" w:cs="Arial"/>
          <w:sz w:val="22"/>
          <w:szCs w:val="22"/>
        </w:rPr>
        <w:t xml:space="preserve">arising under a contract or employment; </w:t>
      </w:r>
    </w:p>
    <w:p w14:paraId="10782962" w14:textId="1C20A91F" w:rsidR="00A93DA0" w:rsidRDefault="00A93DA0" w:rsidP="002866D0">
      <w:pPr>
        <w:pStyle w:val="ListParagraph"/>
        <w:numPr>
          <w:ilvl w:val="0"/>
          <w:numId w:val="18"/>
        </w:numPr>
        <w:jc w:val="both"/>
        <w:rPr>
          <w:rFonts w:ascii="Avenir Next" w:hAnsi="Avenir Next" w:cs="Arial"/>
          <w:sz w:val="22"/>
          <w:szCs w:val="22"/>
        </w:rPr>
      </w:pPr>
      <w:r>
        <w:rPr>
          <w:rFonts w:ascii="Avenir Next" w:hAnsi="Avenir Next" w:cs="Arial"/>
          <w:sz w:val="22"/>
          <w:szCs w:val="22"/>
        </w:rPr>
        <w:t>Redundancy payments; and</w:t>
      </w:r>
    </w:p>
    <w:p w14:paraId="2C04D557" w14:textId="60DC0E40" w:rsidR="00A93DA0" w:rsidRPr="002866D0" w:rsidRDefault="00A93DA0" w:rsidP="002866D0">
      <w:pPr>
        <w:pStyle w:val="ListParagraph"/>
        <w:numPr>
          <w:ilvl w:val="0"/>
          <w:numId w:val="18"/>
        </w:numPr>
        <w:jc w:val="both"/>
        <w:rPr>
          <w:rFonts w:ascii="Avenir Next" w:hAnsi="Avenir Next" w:cs="Arial"/>
          <w:sz w:val="22"/>
          <w:szCs w:val="22"/>
        </w:rPr>
      </w:pPr>
      <w:r>
        <w:rPr>
          <w:rFonts w:ascii="Avenir Next" w:hAnsi="Avenir Next" w:cs="Arial"/>
          <w:sz w:val="22"/>
          <w:szCs w:val="22"/>
        </w:rPr>
        <w:t xml:space="preserve">Liabilities or other debts that arise </w:t>
      </w:r>
      <w:r w:rsidR="00E45502">
        <w:rPr>
          <w:rFonts w:ascii="Avenir Next" w:hAnsi="Avenir Next" w:cs="Arial"/>
          <w:sz w:val="22"/>
          <w:szCs w:val="22"/>
        </w:rPr>
        <w:t>under a contract or other instrument that involve “financial services”, e.g. lending, financial leasing or providing guarantees.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3937AC66" w:rsidR="00EA3B38" w:rsidRDefault="00F07ED8" w:rsidP="00EA3B38">
      <w:pPr>
        <w:jc w:val="both"/>
        <w:rPr>
          <w:rFonts w:ascii="Avenir Next" w:hAnsi="Avenir Next" w:cs="Arial"/>
          <w:sz w:val="22"/>
          <w:szCs w:val="22"/>
        </w:rPr>
      </w:pPr>
      <w:r w:rsidRPr="00F07ED8">
        <w:rPr>
          <w:rFonts w:ascii="Avenir Next" w:hAnsi="Avenir Next" w:cs="Arial"/>
          <w:sz w:val="22"/>
          <w:szCs w:val="22"/>
        </w:rPr>
        <w:t xml:space="preserve">An administrator </w:t>
      </w:r>
      <w:r>
        <w:rPr>
          <w:rFonts w:ascii="Avenir Next" w:hAnsi="Avenir Next" w:cs="Arial"/>
          <w:sz w:val="22"/>
          <w:szCs w:val="22"/>
        </w:rPr>
        <w:t>who wishes to continue to operate the business of the company in administration</w:t>
      </w:r>
      <w:r w:rsidR="004F7896">
        <w:rPr>
          <w:rFonts w:ascii="Avenir Next" w:hAnsi="Avenir Next" w:cs="Arial"/>
          <w:sz w:val="22"/>
          <w:szCs w:val="22"/>
        </w:rPr>
        <w:t xml:space="preserve"> is permitted to retain certain essential supplies under Section 233 of the Act. These essential supplies </w:t>
      </w:r>
      <w:r w:rsidR="004F7896">
        <w:rPr>
          <w:rFonts w:ascii="Avenir Next" w:hAnsi="Avenir Next" w:cs="Arial"/>
          <w:sz w:val="22"/>
          <w:szCs w:val="22"/>
        </w:rPr>
        <w:lastRenderedPageBreak/>
        <w:t xml:space="preserve">encompass the following: supply of gas, electricity, water and communication services. </w:t>
      </w:r>
      <w:r w:rsidR="00EB3A06">
        <w:rPr>
          <w:rFonts w:ascii="Avenir Next" w:hAnsi="Avenir Next" w:cs="Arial"/>
          <w:sz w:val="22"/>
          <w:szCs w:val="22"/>
        </w:rPr>
        <w:t>‘Communication services’ are defined as including the supply of goods and services such as computer hardware and software, point of sale terminals</w:t>
      </w:r>
      <w:r w:rsidR="00D0749C">
        <w:rPr>
          <w:rFonts w:ascii="Avenir Next" w:hAnsi="Avenir Next" w:cs="Arial"/>
          <w:sz w:val="22"/>
          <w:szCs w:val="22"/>
        </w:rPr>
        <w:t xml:space="preserve">, information, advice, and technical assistance, data storage and processing and website hosting. Suppliers of these goods and services </w:t>
      </w:r>
      <w:r w:rsidR="00863E39">
        <w:rPr>
          <w:rFonts w:ascii="Avenir Next" w:hAnsi="Avenir Next" w:cs="Arial"/>
          <w:sz w:val="22"/>
          <w:szCs w:val="22"/>
        </w:rPr>
        <w:t xml:space="preserve">are not permitted under the Act to require payment of outstanding debts </w:t>
      </w:r>
      <w:r w:rsidR="000267F1">
        <w:rPr>
          <w:rFonts w:ascii="Avenir Next" w:hAnsi="Avenir Next" w:cs="Arial"/>
          <w:sz w:val="22"/>
          <w:szCs w:val="22"/>
        </w:rPr>
        <w:t xml:space="preserve">in order to secure a new or continued supply to the company in administration. Notwithstanding this, section 233 of the Act </w:t>
      </w:r>
      <w:r w:rsidR="00806C4D">
        <w:rPr>
          <w:rFonts w:ascii="Avenir Next" w:hAnsi="Avenir Next" w:cs="Arial"/>
          <w:sz w:val="22"/>
          <w:szCs w:val="22"/>
        </w:rPr>
        <w:t>allows for suppliers to stipulate that the administrator must provide a personal guarantee of payment of charges in respect of the supply of these goods and services.</w:t>
      </w:r>
    </w:p>
    <w:p w14:paraId="27DDA21E" w14:textId="7CA1234D" w:rsidR="00842456" w:rsidRDefault="00842456" w:rsidP="00EA3B38">
      <w:pPr>
        <w:jc w:val="both"/>
        <w:rPr>
          <w:rFonts w:ascii="Avenir Next" w:hAnsi="Avenir Next" w:cs="Arial"/>
          <w:sz w:val="22"/>
          <w:szCs w:val="22"/>
        </w:rPr>
      </w:pPr>
    </w:p>
    <w:p w14:paraId="4CD428F9" w14:textId="0D8F4DF6" w:rsidR="00842456" w:rsidRDefault="005D7EA6" w:rsidP="00EA3B38">
      <w:pPr>
        <w:jc w:val="both"/>
        <w:rPr>
          <w:rFonts w:ascii="Avenir Next" w:hAnsi="Avenir Next" w:cs="Arial"/>
          <w:sz w:val="22"/>
          <w:szCs w:val="22"/>
        </w:rPr>
      </w:pPr>
      <w:r>
        <w:rPr>
          <w:rFonts w:ascii="Avenir Next" w:hAnsi="Avenir Next" w:cs="Arial"/>
          <w:sz w:val="22"/>
          <w:szCs w:val="22"/>
        </w:rPr>
        <w:t xml:space="preserve">Further to this, under section 233A of the Act, a supplier of goods and services </w:t>
      </w:r>
      <w:r w:rsidR="001A4EBF">
        <w:rPr>
          <w:rFonts w:ascii="Avenir Next" w:hAnsi="Avenir Next" w:cs="Arial"/>
          <w:sz w:val="22"/>
          <w:szCs w:val="22"/>
        </w:rPr>
        <w:t xml:space="preserve">to a company in administration </w:t>
      </w:r>
      <w:r w:rsidR="00F738A8">
        <w:rPr>
          <w:rFonts w:ascii="Avenir Next" w:hAnsi="Avenir Next" w:cs="Arial"/>
          <w:sz w:val="22"/>
          <w:szCs w:val="22"/>
        </w:rPr>
        <w:t xml:space="preserve">is generally unable to rely upon an ‘insolvency-related term’ in a contract of supply that would otherwise </w:t>
      </w:r>
      <w:r w:rsidR="007E68DB">
        <w:rPr>
          <w:rFonts w:ascii="Avenir Next" w:hAnsi="Avenir Next" w:cs="Arial"/>
          <w:sz w:val="22"/>
          <w:szCs w:val="22"/>
        </w:rPr>
        <w:t xml:space="preserve">enable the supplier to terminate the supply, alter the terms of the supply or </w:t>
      </w:r>
      <w:r w:rsidR="00E6562D">
        <w:rPr>
          <w:rFonts w:ascii="Avenir Next" w:hAnsi="Avenir Next" w:cs="Arial"/>
          <w:sz w:val="22"/>
          <w:szCs w:val="22"/>
        </w:rPr>
        <w:t>demand higher payment for the continued supply.</w:t>
      </w:r>
      <w:r w:rsidR="00EF1C74">
        <w:rPr>
          <w:rFonts w:ascii="Avenir Next" w:hAnsi="Avenir Next" w:cs="Arial"/>
          <w:sz w:val="22"/>
          <w:szCs w:val="22"/>
        </w:rPr>
        <w:t xml:space="preserve"> Section 233B added under the 2020 Act has further expanded the protections for insolvent companies against supplier</w:t>
      </w:r>
      <w:r w:rsidR="0059413B">
        <w:rPr>
          <w:rFonts w:ascii="Avenir Next" w:hAnsi="Avenir Next" w:cs="Arial"/>
          <w:sz w:val="22"/>
          <w:szCs w:val="22"/>
        </w:rPr>
        <w:t>s</w:t>
      </w:r>
      <w:r w:rsidR="00EF1C74">
        <w:rPr>
          <w:rFonts w:ascii="Avenir Next" w:hAnsi="Avenir Next" w:cs="Arial"/>
          <w:sz w:val="22"/>
          <w:szCs w:val="22"/>
        </w:rPr>
        <w:t xml:space="preserve"> </w:t>
      </w:r>
      <w:r w:rsidR="00D23363">
        <w:rPr>
          <w:rFonts w:ascii="Avenir Next" w:hAnsi="Avenir Next" w:cs="Arial"/>
          <w:sz w:val="22"/>
          <w:szCs w:val="22"/>
        </w:rPr>
        <w:t xml:space="preserve">by prohibiting </w:t>
      </w:r>
      <w:r w:rsidR="0059413B">
        <w:rPr>
          <w:rFonts w:ascii="Avenir Next" w:hAnsi="Avenir Next" w:cs="Arial"/>
          <w:sz w:val="22"/>
          <w:szCs w:val="22"/>
        </w:rPr>
        <w:t xml:space="preserve">clauses which enable the supplier of goods or services to terminate or “do any other thing” related to the </w:t>
      </w:r>
      <w:r w:rsidR="00A42BA1">
        <w:rPr>
          <w:rFonts w:ascii="Avenir Next" w:hAnsi="Avenir Next" w:cs="Arial"/>
          <w:sz w:val="22"/>
          <w:szCs w:val="22"/>
        </w:rPr>
        <w:t>initial supply contract if the company enters a formal insolvency procedure.</w:t>
      </w:r>
      <w:r w:rsidR="005923B1">
        <w:rPr>
          <w:rFonts w:ascii="Avenir Next" w:hAnsi="Avenir Next" w:cs="Arial"/>
          <w:sz w:val="22"/>
          <w:szCs w:val="22"/>
        </w:rPr>
        <w:t xml:space="preserve"> </w:t>
      </w:r>
      <w:r w:rsidR="002E62F6">
        <w:rPr>
          <w:rFonts w:ascii="Avenir Next" w:hAnsi="Avenir Next" w:cs="Arial"/>
          <w:sz w:val="22"/>
          <w:szCs w:val="22"/>
        </w:rPr>
        <w:t xml:space="preserve">Section 233B further prevents suppliers from making it a condition of continued supply of goods or services </w:t>
      </w:r>
      <w:r w:rsidR="00A40114">
        <w:rPr>
          <w:rFonts w:ascii="Avenir Next" w:hAnsi="Avenir Next" w:cs="Arial"/>
          <w:sz w:val="22"/>
          <w:szCs w:val="22"/>
        </w:rPr>
        <w:t>that pre-insolvency arrears are paid and from making any additional changes to the contract such as raising prices. Under Section 233B, a supplier can also not insist on a personal guarantee from the administrator as it can under section 233.</w:t>
      </w:r>
      <w:r w:rsidR="003F3330">
        <w:rPr>
          <w:rFonts w:ascii="Avenir Next" w:hAnsi="Avenir Next" w:cs="Arial"/>
          <w:sz w:val="22"/>
          <w:szCs w:val="22"/>
        </w:rPr>
        <w:t xml:space="preserve"> Section 233B complements the existing sections 233 and 233A of the Act</w:t>
      </w:r>
      <w:r w:rsidR="0037121F">
        <w:rPr>
          <w:rFonts w:ascii="Avenir Next" w:hAnsi="Avenir Next" w:cs="Arial"/>
          <w:sz w:val="22"/>
          <w:szCs w:val="22"/>
        </w:rPr>
        <w:t>, and it also opens up the restriction on termination to all other suppliers</w:t>
      </w:r>
      <w:r w:rsidR="006B3BA9">
        <w:rPr>
          <w:rFonts w:ascii="Avenir Next" w:hAnsi="Avenir Next" w:cs="Arial"/>
          <w:sz w:val="22"/>
          <w:szCs w:val="22"/>
        </w:rPr>
        <w:t xml:space="preserve">, with some exceptions </w:t>
      </w:r>
      <w:r w:rsidR="005C79F0">
        <w:rPr>
          <w:rFonts w:ascii="Avenir Next" w:hAnsi="Avenir Next" w:cs="Arial"/>
          <w:sz w:val="22"/>
          <w:szCs w:val="22"/>
        </w:rPr>
        <w:t>e.g., banks, insurers, recognized investment exchanges and clearing houses.</w:t>
      </w:r>
    </w:p>
    <w:p w14:paraId="4865407E" w14:textId="77777777" w:rsidR="003222AC" w:rsidRPr="00F07ED8" w:rsidRDefault="003222AC" w:rsidP="00EA3B38">
      <w:pPr>
        <w:jc w:val="both"/>
        <w:rPr>
          <w:rFonts w:ascii="Avenir Next" w:hAnsi="Avenir Next" w:cs="Arial"/>
          <w:sz w:val="22"/>
          <w:szCs w:val="22"/>
        </w:rPr>
      </w:pP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69B4CA70"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w:t>
      </w:r>
      <w:r w:rsidR="00F70126" w:rsidRPr="00B05D01">
        <w:rPr>
          <w:rFonts w:ascii="Avenir Next" w:hAnsi="Avenir Next" w:cs="Arial"/>
          <w:sz w:val="22"/>
          <w:szCs w:val="22"/>
          <w:lang w:val="en-GB"/>
        </w:rPr>
        <w:t xml:space="preserve">and explain the nature of </w:t>
      </w:r>
      <w:r w:rsidR="00311816" w:rsidRPr="00B05D01">
        <w:rPr>
          <w:rFonts w:ascii="Avenir Next" w:hAnsi="Avenir Next" w:cs="Arial"/>
          <w:sz w:val="22"/>
          <w:szCs w:val="22"/>
          <w:lang w:val="en-GB"/>
        </w:rPr>
        <w:t>the rights enjoyed</w:t>
      </w:r>
      <w:r w:rsidR="00311816" w:rsidRPr="006925C1">
        <w:rPr>
          <w:rFonts w:ascii="Avenir Next" w:hAnsi="Avenir Next" w:cs="Arial"/>
          <w:sz w:val="22"/>
          <w:szCs w:val="22"/>
          <w:lang w:val="en-GB"/>
        </w:rPr>
        <w:t xml:space="preserve">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w:t>
      </w:r>
      <w:r w:rsidR="00871C74" w:rsidRPr="00A20681">
        <w:rPr>
          <w:rFonts w:ascii="Avenir Next" w:hAnsi="Avenir Next" w:cs="Arial"/>
          <w:sz w:val="22"/>
          <w:szCs w:val="22"/>
          <w:lang w:val="en-GB"/>
        </w:rPr>
        <w:t>How would this priority change if the company had been subject to a Moratorium under Part A1 of the Insolvency Act 1986 during the 12</w:t>
      </w:r>
      <w:r w:rsidR="00FA0D95">
        <w:rPr>
          <w:rFonts w:ascii="Avenir Next" w:hAnsi="Avenir Next" w:cs="Arial"/>
          <w:sz w:val="22"/>
          <w:szCs w:val="22"/>
          <w:lang w:val="en-GB"/>
        </w:rPr>
        <w:t>-</w:t>
      </w:r>
      <w:r w:rsidR="00871C74" w:rsidRPr="00A20681">
        <w:rPr>
          <w:rFonts w:ascii="Avenir Next" w:hAnsi="Avenir Next" w:cs="Arial"/>
          <w:sz w:val="22"/>
          <w:szCs w:val="22"/>
          <w:lang w:val="en-GB"/>
        </w:rPr>
        <w:t>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29DDC195" w:rsidR="00EA3B38" w:rsidRDefault="009801D7" w:rsidP="00EA3B38">
      <w:pPr>
        <w:jc w:val="both"/>
        <w:rPr>
          <w:rFonts w:ascii="Avenir Next" w:hAnsi="Avenir Next" w:cs="Arial"/>
          <w:sz w:val="22"/>
          <w:szCs w:val="22"/>
        </w:rPr>
      </w:pPr>
      <w:r w:rsidRPr="009801D7">
        <w:rPr>
          <w:rFonts w:ascii="Avenir Next" w:hAnsi="Avenir Next" w:cs="Arial"/>
          <w:sz w:val="22"/>
          <w:szCs w:val="22"/>
        </w:rPr>
        <w:t xml:space="preserve">The </w:t>
      </w:r>
      <w:r>
        <w:rPr>
          <w:rFonts w:ascii="Avenir Next" w:hAnsi="Avenir Next" w:cs="Arial"/>
          <w:sz w:val="22"/>
          <w:szCs w:val="22"/>
        </w:rPr>
        <w:t xml:space="preserve">priority of payments in a liquidation </w:t>
      </w:r>
      <w:r w:rsidR="001C27D8">
        <w:rPr>
          <w:rFonts w:ascii="Avenir Next" w:hAnsi="Avenir Next" w:cs="Arial"/>
          <w:sz w:val="22"/>
          <w:szCs w:val="22"/>
        </w:rPr>
        <w:t xml:space="preserve">is as follows: (i) holders of fixed </w:t>
      </w:r>
      <w:r w:rsidR="00C46976">
        <w:rPr>
          <w:rFonts w:ascii="Avenir Next" w:hAnsi="Avenir Next" w:cs="Arial"/>
          <w:sz w:val="22"/>
          <w:szCs w:val="22"/>
        </w:rPr>
        <w:t>charges will be paid first</w:t>
      </w:r>
      <w:r w:rsidR="006C48EA">
        <w:rPr>
          <w:rFonts w:ascii="Avenir Next" w:hAnsi="Avenir Next" w:cs="Arial"/>
          <w:sz w:val="22"/>
          <w:szCs w:val="22"/>
        </w:rPr>
        <w:t>,</w:t>
      </w:r>
      <w:r w:rsidR="00C46976">
        <w:rPr>
          <w:rFonts w:ascii="Avenir Next" w:hAnsi="Avenir Next" w:cs="Arial"/>
          <w:sz w:val="22"/>
          <w:szCs w:val="22"/>
        </w:rPr>
        <w:t xml:space="preserve"> usually outside of any formal insolvency</w:t>
      </w:r>
      <w:r w:rsidR="006C48EA">
        <w:rPr>
          <w:rFonts w:ascii="Avenir Next" w:hAnsi="Avenir Next" w:cs="Arial"/>
          <w:sz w:val="22"/>
          <w:szCs w:val="22"/>
        </w:rPr>
        <w:t xml:space="preserve">, with the proceeds from the sale of the assets over which they hold fixed charges; (ii) </w:t>
      </w:r>
      <w:r w:rsidR="00854E67">
        <w:rPr>
          <w:rFonts w:ascii="Avenir Next" w:hAnsi="Avenir Next" w:cs="Arial"/>
          <w:sz w:val="22"/>
          <w:szCs w:val="22"/>
        </w:rPr>
        <w:t xml:space="preserve">any expenses of the liquidation, including liquidators’ remuneration; (iii) preferential creditors </w:t>
      </w:r>
      <w:r w:rsidR="00D5131C">
        <w:rPr>
          <w:rFonts w:ascii="Avenir Next" w:hAnsi="Avenir Next" w:cs="Arial"/>
          <w:sz w:val="22"/>
          <w:szCs w:val="22"/>
        </w:rPr>
        <w:t xml:space="preserve">(in practice, </w:t>
      </w:r>
      <w:r w:rsidR="0067043C">
        <w:rPr>
          <w:rFonts w:ascii="Avenir Next" w:hAnsi="Avenir Next" w:cs="Arial"/>
          <w:sz w:val="22"/>
          <w:szCs w:val="22"/>
        </w:rPr>
        <w:t xml:space="preserve">this creditor class is restricted to </w:t>
      </w:r>
      <w:r w:rsidR="00E141D2">
        <w:rPr>
          <w:rFonts w:ascii="Avenir Next" w:hAnsi="Avenir Next" w:cs="Arial"/>
          <w:sz w:val="22"/>
          <w:szCs w:val="22"/>
        </w:rPr>
        <w:t xml:space="preserve">generally modest claims from (e.g.) employees who are owed monies </w:t>
      </w:r>
      <w:r w:rsidR="002D7B16">
        <w:rPr>
          <w:rFonts w:ascii="Avenir Next" w:hAnsi="Avenir Next" w:cs="Arial"/>
          <w:sz w:val="22"/>
          <w:szCs w:val="22"/>
        </w:rPr>
        <w:t xml:space="preserve">from their insolvent employers, taxation debts owed to the Government; (iv) holders of floating charges </w:t>
      </w:r>
      <w:r w:rsidR="00604BD8">
        <w:rPr>
          <w:rFonts w:ascii="Avenir Next" w:hAnsi="Avenir Next" w:cs="Arial"/>
          <w:sz w:val="22"/>
          <w:szCs w:val="22"/>
        </w:rPr>
        <w:t>(subject to any part deduction under section 176A of the Act; (v) unsecured creditors, being those without the benefit of any security or title to assets</w:t>
      </w:r>
      <w:r w:rsidR="002F450E">
        <w:rPr>
          <w:rFonts w:ascii="Avenir Next" w:hAnsi="Avenir Next" w:cs="Arial"/>
          <w:sz w:val="22"/>
          <w:szCs w:val="22"/>
        </w:rPr>
        <w:t>, (e.g.) ordinary trade suppliers and non-preferential tax</w:t>
      </w:r>
      <w:r w:rsidR="009A41C3">
        <w:rPr>
          <w:rFonts w:ascii="Avenir Next" w:hAnsi="Avenir Next" w:cs="Arial"/>
          <w:sz w:val="22"/>
          <w:szCs w:val="22"/>
        </w:rPr>
        <w:t>ation liabilities</w:t>
      </w:r>
      <w:r w:rsidR="00982766">
        <w:rPr>
          <w:rFonts w:ascii="Avenir Next" w:hAnsi="Avenir Next" w:cs="Arial"/>
          <w:sz w:val="22"/>
          <w:szCs w:val="22"/>
        </w:rPr>
        <w:t xml:space="preserve">. If, at the conclusion of the insolvency proceedings, the company is found to ultimately be solvent i.e., that there is surplus cash following settlement of all liabilities, this surplus will be returned to the </w:t>
      </w:r>
      <w:r w:rsidR="003A5A43">
        <w:rPr>
          <w:rFonts w:ascii="Avenir Next" w:hAnsi="Avenir Next" w:cs="Arial"/>
          <w:sz w:val="22"/>
          <w:szCs w:val="22"/>
        </w:rPr>
        <w:t>member of the company according to their rights under the company’s articles of association.</w:t>
      </w:r>
    </w:p>
    <w:p w14:paraId="3B5828CD" w14:textId="402218BD" w:rsidR="003A5A43" w:rsidRDefault="003A5A43" w:rsidP="00EA3B38">
      <w:pPr>
        <w:jc w:val="both"/>
        <w:rPr>
          <w:rFonts w:ascii="Avenir Next" w:hAnsi="Avenir Next" w:cs="Arial"/>
          <w:sz w:val="22"/>
          <w:szCs w:val="22"/>
        </w:rPr>
      </w:pPr>
    </w:p>
    <w:p w14:paraId="771BE372" w14:textId="5E4D32AE" w:rsidR="003A5A43" w:rsidRPr="009801D7" w:rsidRDefault="00F13B24" w:rsidP="00EA3B38">
      <w:pPr>
        <w:jc w:val="both"/>
        <w:rPr>
          <w:rFonts w:ascii="Avenir Next" w:hAnsi="Avenir Next" w:cs="Arial"/>
          <w:sz w:val="22"/>
          <w:szCs w:val="22"/>
        </w:rPr>
      </w:pPr>
      <w:r>
        <w:rPr>
          <w:rFonts w:ascii="Avenir Next" w:hAnsi="Avenir Next" w:cs="Arial"/>
          <w:sz w:val="22"/>
          <w:szCs w:val="22"/>
        </w:rPr>
        <w:t xml:space="preserve">With regards to the rights enjoyed by each class of creditor or expense, </w:t>
      </w:r>
      <w:r w:rsidR="00D20ADA">
        <w:rPr>
          <w:rFonts w:ascii="Avenir Next" w:hAnsi="Avenir Next" w:cs="Arial"/>
          <w:sz w:val="22"/>
          <w:szCs w:val="22"/>
        </w:rPr>
        <w:t xml:space="preserve">secured creditors are given primacy under the insolvency regime. Unsecured creditors do however have a number of significant rights under the legislation. For example, </w:t>
      </w:r>
      <w:r w:rsidR="00D231E7">
        <w:rPr>
          <w:rFonts w:ascii="Avenir Next" w:hAnsi="Avenir Next" w:cs="Arial"/>
          <w:sz w:val="22"/>
          <w:szCs w:val="22"/>
        </w:rPr>
        <w:t>unsecured creditors often have the opportunity to vote on the following: (i) whether to approve an administrator’s proposals; (ii) wh</w:t>
      </w:r>
      <w:r w:rsidR="0041048C">
        <w:rPr>
          <w:rFonts w:ascii="Avenir Next" w:hAnsi="Avenir Next" w:cs="Arial"/>
          <w:sz w:val="22"/>
          <w:szCs w:val="22"/>
        </w:rPr>
        <w:t xml:space="preserve">ether to approve a proposal for a company voluntary arrangement (“CVA”); (iii) how an office-holder is to be paid; and (iv) </w:t>
      </w:r>
      <w:r w:rsidR="00D95114">
        <w:rPr>
          <w:rFonts w:ascii="Avenir Next" w:hAnsi="Avenir Next" w:cs="Arial"/>
          <w:sz w:val="22"/>
          <w:szCs w:val="22"/>
        </w:rPr>
        <w:t>who is appointed as liquidator.</w:t>
      </w:r>
    </w:p>
    <w:p w14:paraId="3DAA6780" w14:textId="20926FFB" w:rsidR="00962045" w:rsidRDefault="00962045" w:rsidP="002A37BB">
      <w:pPr>
        <w:jc w:val="both"/>
        <w:rPr>
          <w:rFonts w:ascii="Avenir Next" w:hAnsi="Avenir Next" w:cs="Arial"/>
          <w:sz w:val="22"/>
          <w:szCs w:val="22"/>
          <w:shd w:val="clear" w:color="auto" w:fill="FFFFFF"/>
        </w:rPr>
      </w:pPr>
    </w:p>
    <w:p w14:paraId="2CDEAE60" w14:textId="0A7E0FC7" w:rsidR="00A20681" w:rsidRDefault="00A20681"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lastRenderedPageBreak/>
        <w:t>If the company had been subject to a Moratorium under</w:t>
      </w:r>
      <w:r w:rsidRPr="00A20681">
        <w:rPr>
          <w:rFonts w:ascii="Avenir Next" w:hAnsi="Avenir Next" w:cs="Arial"/>
          <w:sz w:val="22"/>
          <w:szCs w:val="22"/>
          <w:lang w:val="en-GB"/>
        </w:rPr>
        <w:t xml:space="preserve"> Part A1 of the Insolvency Act 1986 during the 12</w:t>
      </w:r>
      <w:r w:rsidR="00FA0D95">
        <w:rPr>
          <w:rFonts w:ascii="Avenir Next" w:hAnsi="Avenir Next" w:cs="Arial"/>
          <w:sz w:val="22"/>
          <w:szCs w:val="22"/>
          <w:lang w:val="en-GB"/>
        </w:rPr>
        <w:t>-</w:t>
      </w:r>
      <w:r w:rsidRPr="00A20681">
        <w:rPr>
          <w:rFonts w:ascii="Avenir Next" w:hAnsi="Avenir Next" w:cs="Arial"/>
          <w:sz w:val="22"/>
          <w:szCs w:val="22"/>
          <w:lang w:val="en-GB"/>
        </w:rPr>
        <w:t>week period prior to the commencement of the liquidation</w:t>
      </w:r>
      <w:r w:rsidR="0031251A">
        <w:rPr>
          <w:rFonts w:ascii="Avenir Next" w:hAnsi="Avenir Next" w:cs="Arial"/>
          <w:sz w:val="22"/>
          <w:szCs w:val="22"/>
          <w:lang w:val="en-GB"/>
        </w:rPr>
        <w:t>, the priority of payments in the subsequent administration or liquidation may differ from the priority of payments that existed prior to the Moratorium.</w:t>
      </w:r>
      <w:r w:rsidR="008E1D13">
        <w:rPr>
          <w:rFonts w:ascii="Avenir Next" w:hAnsi="Avenir Next" w:cs="Arial"/>
          <w:sz w:val="22"/>
          <w:szCs w:val="22"/>
          <w:lang w:val="en-GB"/>
        </w:rPr>
        <w:t xml:space="preserve"> Under Section 174A of the Act, debts that are not part of the payment holiday under the Moratorium, such as debts owed to employees or ‘financial services’ debts </w:t>
      </w:r>
      <w:r w:rsidR="004A4713">
        <w:rPr>
          <w:rFonts w:ascii="Avenir Next" w:hAnsi="Avenir Next" w:cs="Arial"/>
          <w:sz w:val="22"/>
          <w:szCs w:val="22"/>
          <w:lang w:val="en-GB"/>
        </w:rPr>
        <w:t xml:space="preserve">are, in the subsequent liquidation, paid in priority to even the liquidators’ remuneration and disbursements. These unsecured creditors are therefore </w:t>
      </w:r>
      <w:r w:rsidR="00764358">
        <w:rPr>
          <w:rFonts w:ascii="Avenir Next" w:hAnsi="Avenir Next" w:cs="Arial"/>
          <w:sz w:val="22"/>
          <w:szCs w:val="22"/>
          <w:lang w:val="en-GB"/>
        </w:rPr>
        <w:t xml:space="preserve">given a form of “super priority” in the subsequent liquidation. </w:t>
      </w:r>
      <w:r w:rsidR="000475ED">
        <w:rPr>
          <w:rFonts w:ascii="Avenir Next" w:hAnsi="Avenir Next" w:cs="Arial"/>
          <w:sz w:val="22"/>
          <w:szCs w:val="22"/>
          <w:lang w:val="en-GB"/>
        </w:rPr>
        <w:t>An example of this is</w:t>
      </w:r>
      <w:r w:rsidR="008B2E05">
        <w:rPr>
          <w:rFonts w:ascii="Avenir Next" w:hAnsi="Avenir Next" w:cs="Arial"/>
          <w:sz w:val="22"/>
          <w:szCs w:val="22"/>
          <w:lang w:val="en-GB"/>
        </w:rPr>
        <w:t xml:space="preserve"> the payment of the wages of a director who has not been paid for months leading up to the Moratorium</w:t>
      </w:r>
      <w:r w:rsidR="00A50DBD">
        <w:rPr>
          <w:rFonts w:ascii="Avenir Next" w:hAnsi="Avenir Next" w:cs="Arial"/>
          <w:sz w:val="22"/>
          <w:szCs w:val="22"/>
          <w:lang w:val="en-GB"/>
        </w:rPr>
        <w:t xml:space="preserve">. If the Moratorium results in an unsuccessful rescue attempt and the company enters liquidation, this pre-Moratorium unsecured debt of the director’s wages </w:t>
      </w:r>
      <w:r w:rsidR="00801F57">
        <w:rPr>
          <w:rFonts w:ascii="Avenir Next" w:hAnsi="Avenir Next" w:cs="Arial"/>
          <w:sz w:val="22"/>
          <w:szCs w:val="22"/>
          <w:lang w:val="en-GB"/>
        </w:rPr>
        <w:t>will be given “super</w:t>
      </w:r>
      <w:r w:rsidR="000475ED">
        <w:rPr>
          <w:rFonts w:ascii="Avenir Next" w:hAnsi="Avenir Next" w:cs="Arial"/>
          <w:sz w:val="22"/>
          <w:szCs w:val="22"/>
          <w:lang w:val="en-GB"/>
        </w:rPr>
        <w:t xml:space="preserve"> </w:t>
      </w:r>
      <w:r w:rsidR="00801F57">
        <w:rPr>
          <w:rFonts w:ascii="Avenir Next" w:hAnsi="Avenir Next" w:cs="Arial"/>
          <w:sz w:val="22"/>
          <w:szCs w:val="22"/>
          <w:lang w:val="en-GB"/>
        </w:rPr>
        <w:t xml:space="preserve">priority” in the liquidation. </w:t>
      </w:r>
      <w:r w:rsidR="000475ED">
        <w:rPr>
          <w:rFonts w:ascii="Avenir Next" w:hAnsi="Avenir Next" w:cs="Arial"/>
          <w:sz w:val="22"/>
          <w:szCs w:val="22"/>
          <w:lang w:val="en-GB"/>
        </w:rPr>
        <w:t xml:space="preserve">A further example of this “super priority” is </w:t>
      </w:r>
      <w:r w:rsidR="00FB2884">
        <w:rPr>
          <w:rFonts w:ascii="Avenir Next" w:hAnsi="Avenir Next" w:cs="Arial"/>
          <w:sz w:val="22"/>
          <w:szCs w:val="22"/>
          <w:lang w:val="en-GB"/>
        </w:rPr>
        <w:t xml:space="preserve">unsecured (or secured) pre-Moratorium bank debt </w:t>
      </w:r>
      <w:r w:rsidR="00666D7C">
        <w:rPr>
          <w:rFonts w:ascii="Avenir Next" w:hAnsi="Avenir Next" w:cs="Arial"/>
          <w:sz w:val="22"/>
          <w:szCs w:val="22"/>
          <w:lang w:val="en-GB"/>
        </w:rPr>
        <w:t>that falls under the definition of “financial services”, albeit there is an exception preventing such liabilities being granted “super priority</w:t>
      </w:r>
      <w:r w:rsidR="00A20518">
        <w:rPr>
          <w:rFonts w:ascii="Avenir Next" w:hAnsi="Avenir Next" w:cs="Arial"/>
          <w:sz w:val="22"/>
          <w:szCs w:val="22"/>
          <w:lang w:val="en-GB"/>
        </w:rPr>
        <w:t xml:space="preserve">” where the debt is accelerated debt, i.e., debt that fell due </w:t>
      </w:r>
      <w:r w:rsidR="00CF4E7B">
        <w:rPr>
          <w:rFonts w:ascii="Avenir Next" w:hAnsi="Avenir Next" w:cs="Arial"/>
          <w:sz w:val="22"/>
          <w:szCs w:val="22"/>
          <w:lang w:val="en-GB"/>
        </w:rPr>
        <w:t>by way of the operation of, or exercise of rights under, an early termination provision or acceleration in the financial services contract.</w:t>
      </w:r>
    </w:p>
    <w:p w14:paraId="18889B24" w14:textId="4BB46694" w:rsidR="007E701C" w:rsidRDefault="007E701C" w:rsidP="002A37BB">
      <w:pPr>
        <w:jc w:val="both"/>
        <w:rPr>
          <w:rFonts w:ascii="Avenir Next" w:hAnsi="Avenir Next" w:cs="Arial"/>
          <w:sz w:val="22"/>
          <w:szCs w:val="22"/>
          <w:shd w:val="clear" w:color="auto" w:fill="FFFFFF"/>
        </w:rPr>
      </w:pPr>
    </w:p>
    <w:p w14:paraId="62D025F0" w14:textId="77777777" w:rsidR="007E701C" w:rsidRPr="006925C1" w:rsidRDefault="007E701C"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237771F" w14:textId="0FE10B20" w:rsidR="00EA3B38" w:rsidRDefault="003C7AD2" w:rsidP="00EA3B38">
      <w:pPr>
        <w:jc w:val="both"/>
        <w:rPr>
          <w:rFonts w:ascii="Avenir Next" w:hAnsi="Avenir Next" w:cs="Arial"/>
          <w:sz w:val="22"/>
          <w:szCs w:val="22"/>
        </w:rPr>
      </w:pPr>
      <w:r>
        <w:rPr>
          <w:rFonts w:ascii="Avenir Next" w:hAnsi="Avenir Next" w:cs="Arial"/>
          <w:sz w:val="22"/>
          <w:szCs w:val="22"/>
        </w:rPr>
        <w:lastRenderedPageBreak/>
        <w:t>Fretus Bank plc holds a floating charge</w:t>
      </w:r>
      <w:r w:rsidR="0074580A">
        <w:rPr>
          <w:rFonts w:ascii="Avenir Next" w:hAnsi="Avenir Next" w:cs="Arial"/>
          <w:sz w:val="22"/>
          <w:szCs w:val="22"/>
        </w:rPr>
        <w:t xml:space="preserve"> over the whole of the Company’s undertaking </w:t>
      </w:r>
      <w:r w:rsidR="00CB0F57">
        <w:rPr>
          <w:rFonts w:ascii="Avenir Next" w:hAnsi="Avenir Next" w:cs="Arial"/>
          <w:sz w:val="22"/>
          <w:szCs w:val="22"/>
        </w:rPr>
        <w:t xml:space="preserve">in the form of a debenture </w:t>
      </w:r>
      <w:r w:rsidR="0074580A">
        <w:rPr>
          <w:rFonts w:ascii="Avenir Next" w:hAnsi="Avenir Next" w:cs="Arial"/>
          <w:sz w:val="22"/>
          <w:szCs w:val="22"/>
        </w:rPr>
        <w:t>as of February 20</w:t>
      </w:r>
      <w:r w:rsidR="0074580A" w:rsidRPr="00642457">
        <w:rPr>
          <w:rFonts w:ascii="Avenir Next" w:hAnsi="Avenir Next" w:cs="Arial"/>
          <w:sz w:val="22"/>
          <w:szCs w:val="22"/>
        </w:rPr>
        <w:t>22.</w:t>
      </w:r>
      <w:r w:rsidR="00460E41" w:rsidRPr="00642457">
        <w:rPr>
          <w:rFonts w:ascii="Avenir Next" w:hAnsi="Avenir Next" w:cs="Arial"/>
          <w:sz w:val="22"/>
          <w:szCs w:val="22"/>
        </w:rPr>
        <w:t xml:space="preserve"> The issue at hand is</w:t>
      </w:r>
      <w:r w:rsidR="00C005FF" w:rsidRPr="00642457">
        <w:rPr>
          <w:rFonts w:ascii="Avenir Next" w:hAnsi="Avenir Next" w:cs="Arial"/>
          <w:sz w:val="22"/>
          <w:szCs w:val="22"/>
        </w:rPr>
        <w:t xml:space="preserve"> as</w:t>
      </w:r>
      <w:r w:rsidR="00460E41" w:rsidRPr="00642457">
        <w:rPr>
          <w:rFonts w:ascii="Avenir Next" w:hAnsi="Avenir Next" w:cs="Arial"/>
          <w:sz w:val="22"/>
          <w:szCs w:val="22"/>
        </w:rPr>
        <w:t xml:space="preserve"> to when the floating charge over the Company’s undertaking crystallises</w:t>
      </w:r>
      <w:r w:rsidR="00C005FF" w:rsidRPr="00642457">
        <w:rPr>
          <w:rFonts w:ascii="Avenir Next" w:hAnsi="Avenir Next" w:cs="Arial"/>
          <w:sz w:val="22"/>
          <w:szCs w:val="22"/>
        </w:rPr>
        <w:t>.</w:t>
      </w:r>
      <w:r w:rsidR="00C005FF">
        <w:rPr>
          <w:rFonts w:ascii="Avenir Next" w:hAnsi="Avenir Next" w:cs="Arial"/>
          <w:sz w:val="22"/>
          <w:szCs w:val="22"/>
        </w:rPr>
        <w:t xml:space="preserve"> </w:t>
      </w:r>
    </w:p>
    <w:p w14:paraId="47748931" w14:textId="5CBFE9FA" w:rsidR="00837300" w:rsidRDefault="00837300" w:rsidP="00EA3B38">
      <w:pPr>
        <w:jc w:val="both"/>
        <w:rPr>
          <w:rFonts w:ascii="Avenir Next" w:hAnsi="Avenir Next" w:cs="Arial"/>
          <w:sz w:val="22"/>
          <w:szCs w:val="22"/>
        </w:rPr>
      </w:pPr>
    </w:p>
    <w:p w14:paraId="497FF91B" w14:textId="184FC7D2" w:rsidR="00837300" w:rsidRDefault="00267F33" w:rsidP="00EA3B38">
      <w:pPr>
        <w:jc w:val="both"/>
        <w:rPr>
          <w:rFonts w:ascii="Avenir Next" w:hAnsi="Avenir Next" w:cs="Arial"/>
          <w:sz w:val="22"/>
          <w:szCs w:val="22"/>
        </w:rPr>
      </w:pPr>
      <w:r>
        <w:rPr>
          <w:rFonts w:ascii="Avenir Next" w:hAnsi="Avenir Next" w:cs="Arial"/>
          <w:sz w:val="22"/>
          <w:szCs w:val="22"/>
        </w:rPr>
        <w:t xml:space="preserve">With regards to priority of payments, </w:t>
      </w:r>
      <w:r w:rsidR="00C07599">
        <w:rPr>
          <w:rFonts w:ascii="Avenir Next" w:hAnsi="Avenir Next" w:cs="Arial"/>
          <w:sz w:val="22"/>
          <w:szCs w:val="22"/>
        </w:rPr>
        <w:t>holders of floating charges are typically paid following the settlement of (i) debts owed to holders of fixed charges; (ii) expenses of the liquidation; and (iii) preferential creditors.</w:t>
      </w:r>
    </w:p>
    <w:p w14:paraId="47B1709F" w14:textId="7D3A597A" w:rsidR="007114A4" w:rsidRDefault="007114A4" w:rsidP="00EA3B38">
      <w:pPr>
        <w:jc w:val="both"/>
        <w:rPr>
          <w:rFonts w:ascii="Avenir Next" w:hAnsi="Avenir Next" w:cs="Arial"/>
          <w:sz w:val="22"/>
          <w:szCs w:val="22"/>
        </w:rPr>
      </w:pPr>
    </w:p>
    <w:p w14:paraId="428795BB" w14:textId="4AA76EEA" w:rsidR="007114A4" w:rsidRDefault="007114A4" w:rsidP="00EA3B38">
      <w:pPr>
        <w:jc w:val="both"/>
        <w:rPr>
          <w:rFonts w:ascii="Avenir Next" w:hAnsi="Avenir Next" w:cs="Arial"/>
          <w:sz w:val="22"/>
          <w:szCs w:val="22"/>
        </w:rPr>
      </w:pPr>
      <w:r>
        <w:rPr>
          <w:rFonts w:ascii="Avenir Next" w:hAnsi="Avenir Next" w:cs="Arial"/>
          <w:sz w:val="22"/>
          <w:szCs w:val="22"/>
        </w:rPr>
        <w:t xml:space="preserve">A floating charge over the ‘whole of the Company’s undertaking’ </w:t>
      </w:r>
      <w:r w:rsidR="00E3594C">
        <w:rPr>
          <w:rFonts w:ascii="Avenir Next" w:hAnsi="Avenir Next" w:cs="Arial"/>
          <w:sz w:val="22"/>
          <w:szCs w:val="22"/>
        </w:rPr>
        <w:t xml:space="preserve">can be interpreted as including all of Marbley Q Limited’s </w:t>
      </w:r>
      <w:r w:rsidR="00056C4F">
        <w:rPr>
          <w:rFonts w:ascii="Avenir Next" w:hAnsi="Avenir Next" w:cs="Arial"/>
          <w:sz w:val="22"/>
          <w:szCs w:val="22"/>
        </w:rPr>
        <w:t>property both present and future, including the right to carry on the business of the Company.</w:t>
      </w:r>
    </w:p>
    <w:p w14:paraId="1A7DFE28" w14:textId="6E8BFF92" w:rsidR="000A0FE0" w:rsidRDefault="000A0FE0" w:rsidP="00EA3B38">
      <w:pPr>
        <w:jc w:val="both"/>
        <w:rPr>
          <w:rFonts w:ascii="Avenir Next" w:hAnsi="Avenir Next" w:cs="Arial"/>
          <w:sz w:val="22"/>
          <w:szCs w:val="22"/>
        </w:rPr>
      </w:pPr>
    </w:p>
    <w:p w14:paraId="0BD88957" w14:textId="2454CB1E" w:rsidR="000A0FE0" w:rsidRDefault="000A0FE0" w:rsidP="00EA3B38">
      <w:pPr>
        <w:jc w:val="both"/>
        <w:rPr>
          <w:rFonts w:ascii="Avenir Next" w:hAnsi="Avenir Next" w:cs="Arial"/>
          <w:sz w:val="22"/>
          <w:szCs w:val="22"/>
        </w:rPr>
      </w:pPr>
      <w:r>
        <w:rPr>
          <w:rFonts w:ascii="Avenir Next" w:hAnsi="Avenir Next" w:cs="Arial"/>
          <w:sz w:val="22"/>
          <w:szCs w:val="22"/>
        </w:rPr>
        <w:t xml:space="preserve">Marbley Q Limited </w:t>
      </w:r>
      <w:r w:rsidR="00DC7DB7">
        <w:rPr>
          <w:rFonts w:ascii="Avenir Next" w:hAnsi="Avenir Next" w:cs="Arial"/>
          <w:sz w:val="22"/>
          <w:szCs w:val="22"/>
        </w:rPr>
        <w:t xml:space="preserve">(the “Company”) </w:t>
      </w:r>
      <w:r>
        <w:rPr>
          <w:rFonts w:ascii="Avenir Next" w:hAnsi="Avenir Next" w:cs="Arial"/>
          <w:sz w:val="22"/>
          <w:szCs w:val="22"/>
        </w:rPr>
        <w:t>granted the debenture to Fretus Bank plc in February 2022, which is prior to the discounted sale of the marble cutting machines to Rita Perkins</w:t>
      </w:r>
      <w:r w:rsidR="00DC7DB7">
        <w:rPr>
          <w:rFonts w:ascii="Avenir Next" w:hAnsi="Avenir Next" w:cs="Arial"/>
          <w:sz w:val="22"/>
          <w:szCs w:val="22"/>
        </w:rPr>
        <w:t xml:space="preserve"> and the payment of the Company’s outstanding liabilities of GBP 8,000 to Hard and Fast Ltd.</w:t>
      </w:r>
      <w:r w:rsidR="00DF3EE2">
        <w:rPr>
          <w:rFonts w:ascii="Avenir Next" w:hAnsi="Avenir Next" w:cs="Arial"/>
          <w:sz w:val="22"/>
          <w:szCs w:val="22"/>
        </w:rPr>
        <w:t xml:space="preserve"> The debenture contained a floating charge over ‘the whole of the Company’s undertaking’</w:t>
      </w:r>
      <w:r w:rsidR="007C6672">
        <w:rPr>
          <w:rFonts w:ascii="Avenir Next" w:hAnsi="Avenir Next" w:cs="Arial"/>
          <w:sz w:val="22"/>
          <w:szCs w:val="22"/>
        </w:rPr>
        <w:t xml:space="preserve"> meaning that </w:t>
      </w:r>
      <w:r w:rsidR="00AE37F5">
        <w:rPr>
          <w:rFonts w:ascii="Avenir Next" w:hAnsi="Avenir Next" w:cs="Arial"/>
          <w:sz w:val="22"/>
          <w:szCs w:val="22"/>
        </w:rPr>
        <w:t xml:space="preserve">Fretus Bank plc may be entitled to payment </w:t>
      </w:r>
      <w:r w:rsidR="00DA6719">
        <w:rPr>
          <w:rFonts w:ascii="Avenir Next" w:hAnsi="Avenir Next" w:cs="Arial"/>
          <w:sz w:val="22"/>
          <w:szCs w:val="22"/>
        </w:rPr>
        <w:t>if it can be determined that the floating charge it had over the whole of the Company’s undertaking had crystallised before these transactions took place.</w:t>
      </w:r>
      <w:r w:rsidR="00FB1CD1">
        <w:rPr>
          <w:rFonts w:ascii="Avenir Next" w:hAnsi="Avenir Next" w:cs="Arial"/>
          <w:sz w:val="22"/>
          <w:szCs w:val="22"/>
        </w:rPr>
        <w:t xml:space="preserve"> If the crystallization of the floating charge occurred prior to the </w:t>
      </w:r>
      <w:r w:rsidR="00584822">
        <w:rPr>
          <w:rFonts w:ascii="Avenir Next" w:hAnsi="Avenir Next" w:cs="Arial"/>
          <w:sz w:val="22"/>
          <w:szCs w:val="22"/>
        </w:rPr>
        <w:t xml:space="preserve">sale of the marble-cutting machines to Rita Perkins, this was incorrectly sold </w:t>
      </w:r>
      <w:r w:rsidR="009D63D0">
        <w:rPr>
          <w:rFonts w:ascii="Avenir Next" w:hAnsi="Avenir Next" w:cs="Arial"/>
          <w:sz w:val="22"/>
          <w:szCs w:val="22"/>
        </w:rPr>
        <w:t xml:space="preserve">to Ms. Perkins as Fretus Bank plc’s floating charge would have been converted into a fixed charge and any asset (the marble-cutting machines) subject to a fixed charge cannot be dealt with by the debtor (the Company) </w:t>
      </w:r>
      <w:r w:rsidR="000524CD">
        <w:rPr>
          <w:rFonts w:ascii="Avenir Next" w:hAnsi="Avenir Next" w:cs="Arial"/>
          <w:sz w:val="22"/>
          <w:szCs w:val="22"/>
        </w:rPr>
        <w:t xml:space="preserve">without the consent of the secured creditor (now Fretus Bank plc). If the crystallization had not yet occurred at this time, then the Company was free to </w:t>
      </w:r>
      <w:r w:rsidR="00D50416">
        <w:rPr>
          <w:rFonts w:ascii="Avenir Next" w:hAnsi="Avenir Next" w:cs="Arial"/>
          <w:sz w:val="22"/>
          <w:szCs w:val="22"/>
        </w:rPr>
        <w:t>sell the Company’s asset in the normal course of business and without the consent of Fretus Bank plc.</w:t>
      </w:r>
    </w:p>
    <w:p w14:paraId="2E114044" w14:textId="66DB3017" w:rsidR="0083387A" w:rsidRDefault="0083387A" w:rsidP="00EA3B38">
      <w:pPr>
        <w:jc w:val="both"/>
        <w:rPr>
          <w:rFonts w:ascii="Avenir Next" w:hAnsi="Avenir Next" w:cs="Arial"/>
          <w:sz w:val="22"/>
          <w:szCs w:val="22"/>
        </w:rPr>
      </w:pPr>
    </w:p>
    <w:p w14:paraId="01D0D5D3" w14:textId="231CAA54" w:rsidR="0083387A" w:rsidRDefault="0083387A" w:rsidP="00EA3B38">
      <w:pPr>
        <w:jc w:val="both"/>
        <w:rPr>
          <w:rFonts w:ascii="Avenir Next" w:hAnsi="Avenir Next" w:cs="Arial"/>
          <w:sz w:val="22"/>
          <w:szCs w:val="22"/>
        </w:rPr>
      </w:pPr>
      <w:r>
        <w:rPr>
          <w:rFonts w:ascii="Avenir Next" w:hAnsi="Avenir Next" w:cs="Arial"/>
          <w:sz w:val="22"/>
          <w:szCs w:val="22"/>
        </w:rPr>
        <w:t xml:space="preserve">A </w:t>
      </w:r>
      <w:r w:rsidR="0091704D">
        <w:rPr>
          <w:rFonts w:ascii="Avenir Next" w:hAnsi="Avenir Next" w:cs="Arial"/>
          <w:sz w:val="22"/>
          <w:szCs w:val="22"/>
        </w:rPr>
        <w:t xml:space="preserve">qualifying </w:t>
      </w:r>
      <w:r>
        <w:rPr>
          <w:rFonts w:ascii="Avenir Next" w:hAnsi="Avenir Next" w:cs="Arial"/>
          <w:sz w:val="22"/>
          <w:szCs w:val="22"/>
        </w:rPr>
        <w:t xml:space="preserve">floating charge holder is </w:t>
      </w:r>
      <w:r w:rsidR="0091704D">
        <w:rPr>
          <w:rFonts w:ascii="Avenir Next" w:hAnsi="Avenir Next" w:cs="Arial"/>
          <w:sz w:val="22"/>
          <w:szCs w:val="22"/>
        </w:rPr>
        <w:t xml:space="preserve">entitled to </w:t>
      </w:r>
      <w:r w:rsidR="00A75D5D">
        <w:rPr>
          <w:rFonts w:ascii="Avenir Next" w:hAnsi="Avenir Next" w:cs="Arial"/>
          <w:sz w:val="22"/>
          <w:szCs w:val="22"/>
        </w:rPr>
        <w:t xml:space="preserve">apply for an administration order for the Company </w:t>
      </w:r>
      <w:r w:rsidR="002B09BE">
        <w:rPr>
          <w:rFonts w:ascii="Avenir Next" w:hAnsi="Avenir Next" w:cs="Arial"/>
          <w:sz w:val="22"/>
          <w:szCs w:val="22"/>
        </w:rPr>
        <w:t xml:space="preserve">when it believes the Company is unable to pay its debts, provided that the court is satisfied that the floating charge holder would be </w:t>
      </w:r>
      <w:r w:rsidR="00EA4702">
        <w:rPr>
          <w:rFonts w:ascii="Avenir Next" w:hAnsi="Avenir Next" w:cs="Arial"/>
          <w:sz w:val="22"/>
          <w:szCs w:val="22"/>
        </w:rPr>
        <w:t>able to appoint an administrator out-of-court, so some evidence of insolvency is needed.</w:t>
      </w:r>
      <w:r w:rsidR="007A1664">
        <w:rPr>
          <w:rFonts w:ascii="Avenir Next" w:hAnsi="Avenir Next" w:cs="Arial"/>
          <w:sz w:val="22"/>
          <w:szCs w:val="22"/>
        </w:rPr>
        <w:t xml:space="preserve"> From the detail provided in the question, it is clear that </w:t>
      </w:r>
      <w:r w:rsidR="0053001B">
        <w:rPr>
          <w:rFonts w:ascii="Avenir Next" w:hAnsi="Avenir Next" w:cs="Arial"/>
          <w:sz w:val="22"/>
          <w:szCs w:val="22"/>
        </w:rPr>
        <w:t>the Company was suffering from cashflow insolvency issues as early as July 2022, when it sold the marble-cutting machines to a director at a heavily discounted price.</w:t>
      </w:r>
      <w:r w:rsidR="00013237">
        <w:rPr>
          <w:rFonts w:ascii="Avenir Next" w:hAnsi="Avenir Next" w:cs="Arial"/>
          <w:sz w:val="22"/>
          <w:szCs w:val="22"/>
        </w:rPr>
        <w:t xml:space="preserve"> Fretus Bank plc can also be defined as a ‘qualifying floating charge holder’</w:t>
      </w:r>
      <w:r w:rsidR="00A25280">
        <w:rPr>
          <w:rFonts w:ascii="Avenir Next" w:hAnsi="Avenir Next" w:cs="Arial"/>
          <w:sz w:val="22"/>
          <w:szCs w:val="22"/>
        </w:rPr>
        <w:t xml:space="preserve"> as they hold a floating charge over the whole or substantially the whole of Marbley Q Limited’s </w:t>
      </w:r>
      <w:r w:rsidR="006562FD">
        <w:rPr>
          <w:rFonts w:ascii="Avenir Next" w:hAnsi="Avenir Next" w:cs="Arial"/>
          <w:sz w:val="22"/>
          <w:szCs w:val="22"/>
        </w:rPr>
        <w:t>property, both present and future.</w:t>
      </w:r>
    </w:p>
    <w:p w14:paraId="1DBF0AF2" w14:textId="4513A2C1" w:rsidR="006562FD" w:rsidRDefault="006562FD" w:rsidP="00EA3B38">
      <w:pPr>
        <w:jc w:val="both"/>
        <w:rPr>
          <w:rFonts w:ascii="Avenir Next" w:hAnsi="Avenir Next" w:cs="Arial"/>
          <w:sz w:val="22"/>
          <w:szCs w:val="22"/>
        </w:rPr>
      </w:pPr>
    </w:p>
    <w:p w14:paraId="1D57B2D6" w14:textId="34CF9273" w:rsidR="006562FD" w:rsidRPr="003C7AD2" w:rsidRDefault="006562FD" w:rsidP="00EA3B38">
      <w:pPr>
        <w:jc w:val="both"/>
        <w:rPr>
          <w:rFonts w:ascii="Avenir Next" w:hAnsi="Avenir Next" w:cs="Arial"/>
          <w:sz w:val="22"/>
          <w:szCs w:val="22"/>
        </w:rPr>
      </w:pPr>
      <w:r>
        <w:rPr>
          <w:rFonts w:ascii="Avenir Next" w:hAnsi="Avenir Next" w:cs="Arial"/>
          <w:sz w:val="22"/>
          <w:szCs w:val="22"/>
        </w:rPr>
        <w:t xml:space="preserve">As it could be </w:t>
      </w:r>
      <w:r w:rsidR="00D92AE8">
        <w:rPr>
          <w:rFonts w:ascii="Avenir Next" w:hAnsi="Avenir Next" w:cs="Arial"/>
          <w:sz w:val="22"/>
          <w:szCs w:val="22"/>
        </w:rPr>
        <w:t xml:space="preserve">determined that Marbley Q Limited was experiencing </w:t>
      </w:r>
      <w:r w:rsidR="005D5531">
        <w:rPr>
          <w:rFonts w:ascii="Avenir Next" w:hAnsi="Avenir Next" w:cs="Arial"/>
          <w:sz w:val="22"/>
          <w:szCs w:val="22"/>
        </w:rPr>
        <w:t>an inability</w:t>
      </w:r>
      <w:r w:rsidR="00580939">
        <w:rPr>
          <w:rFonts w:ascii="Avenir Next" w:hAnsi="Avenir Next" w:cs="Arial"/>
          <w:sz w:val="22"/>
          <w:szCs w:val="22"/>
        </w:rPr>
        <w:t xml:space="preserve"> to meet its debts as they fall due as early as July 2022 when they sold the machinery to Rita Perkins, Fretus Bank plc would have been entitled to </w:t>
      </w:r>
      <w:r w:rsidR="00DE1324">
        <w:rPr>
          <w:rFonts w:ascii="Avenir Next" w:hAnsi="Avenir Next" w:cs="Arial"/>
          <w:sz w:val="22"/>
          <w:szCs w:val="22"/>
        </w:rPr>
        <w:t>appointment an administrator to realise its fixed charge in the Company.</w:t>
      </w:r>
      <w:r w:rsidR="006D0CDA">
        <w:rPr>
          <w:rFonts w:ascii="Avenir Next" w:hAnsi="Avenir Next" w:cs="Arial"/>
          <w:sz w:val="22"/>
          <w:szCs w:val="22"/>
        </w:rPr>
        <w:t xml:space="preserve"> Fretus Bank plc would have had to apply for the appointment of the administrator out-of-court, under the changes introduced by the Enterprise Act 2002.</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78CA5A7B" w14:textId="5FEB63E3" w:rsidR="007E2919"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w:t>
      </w:r>
      <w:r w:rsidR="00C07599">
        <w:rPr>
          <w:rFonts w:ascii="Avenir Next" w:hAnsi="Avenir Next" w:cs="Arial"/>
          <w:sz w:val="22"/>
          <w:szCs w:val="22"/>
        </w:rPr>
        <w:t xml:space="preserve"> and</w:t>
      </w:r>
    </w:p>
    <w:p w14:paraId="176B52AF" w14:textId="77777777" w:rsidR="00940C0D" w:rsidRPr="00940C0D" w:rsidRDefault="00940C0D" w:rsidP="009C2240">
      <w:pPr>
        <w:jc w:val="center"/>
        <w:rPr>
          <w:rFonts w:ascii="Avenir Next" w:hAnsi="Avenir Next" w:cs="Arial"/>
          <w:sz w:val="22"/>
          <w:szCs w:val="22"/>
        </w:rPr>
      </w:pPr>
    </w:p>
    <w:p w14:paraId="07962D63" w14:textId="33C1F133" w:rsidR="00EA3B38" w:rsidRDefault="0029687D" w:rsidP="00EA3B38">
      <w:pPr>
        <w:jc w:val="both"/>
        <w:rPr>
          <w:rFonts w:ascii="Avenir Next" w:hAnsi="Avenir Next" w:cs="Arial"/>
          <w:sz w:val="22"/>
          <w:szCs w:val="22"/>
        </w:rPr>
      </w:pPr>
      <w:r w:rsidRPr="0029687D">
        <w:rPr>
          <w:rFonts w:ascii="Avenir Next" w:hAnsi="Avenir Next" w:cs="Arial"/>
          <w:sz w:val="22"/>
          <w:szCs w:val="22"/>
        </w:rPr>
        <w:t xml:space="preserve">The marble cutting </w:t>
      </w:r>
      <w:r>
        <w:rPr>
          <w:rFonts w:ascii="Avenir Next" w:hAnsi="Avenir Next" w:cs="Arial"/>
          <w:sz w:val="22"/>
          <w:szCs w:val="22"/>
        </w:rPr>
        <w:t xml:space="preserve">machines were sold to </w:t>
      </w:r>
      <w:r w:rsidR="004E294B">
        <w:rPr>
          <w:rFonts w:ascii="Avenir Next" w:hAnsi="Avenir Next" w:cs="Arial"/>
          <w:sz w:val="22"/>
          <w:szCs w:val="22"/>
        </w:rPr>
        <w:t xml:space="preserve">the Company’s director prior to the filing of the creditor’s winding up petition in October 2022 and subsequently the winding up order. </w:t>
      </w:r>
      <w:r w:rsidR="00ED0621">
        <w:rPr>
          <w:rFonts w:ascii="Avenir Next" w:hAnsi="Avenir Next" w:cs="Arial"/>
          <w:sz w:val="22"/>
          <w:szCs w:val="22"/>
        </w:rPr>
        <w:t xml:space="preserve">Following the filing of the winding up order, the Company’s powers of dealing with its property would have been significantly limited. </w:t>
      </w:r>
      <w:r w:rsidR="0015784C">
        <w:rPr>
          <w:rFonts w:ascii="Avenir Next" w:hAnsi="Avenir Next" w:cs="Arial"/>
          <w:sz w:val="22"/>
          <w:szCs w:val="22"/>
        </w:rPr>
        <w:t>However, as these machines were sold to the director in July 2022, this is not applicable in this case.</w:t>
      </w:r>
    </w:p>
    <w:p w14:paraId="324F08E5" w14:textId="1D150B17" w:rsidR="0015784C" w:rsidRDefault="0015784C" w:rsidP="00EA3B38">
      <w:pPr>
        <w:jc w:val="both"/>
        <w:rPr>
          <w:rFonts w:ascii="Avenir Next" w:hAnsi="Avenir Next" w:cs="Arial"/>
          <w:sz w:val="22"/>
          <w:szCs w:val="22"/>
        </w:rPr>
      </w:pPr>
    </w:p>
    <w:p w14:paraId="4B573949" w14:textId="30648E33" w:rsidR="0015784C" w:rsidRDefault="00B27A52" w:rsidP="00EA3B38">
      <w:pPr>
        <w:jc w:val="both"/>
        <w:rPr>
          <w:rFonts w:ascii="Avenir Next" w:hAnsi="Avenir Next" w:cs="Arial"/>
          <w:sz w:val="22"/>
          <w:szCs w:val="22"/>
        </w:rPr>
      </w:pPr>
      <w:r>
        <w:rPr>
          <w:rFonts w:ascii="Avenir Next" w:hAnsi="Avenir Next" w:cs="Arial"/>
          <w:sz w:val="22"/>
          <w:szCs w:val="22"/>
        </w:rPr>
        <w:lastRenderedPageBreak/>
        <w:t>Notwithstanding this, the machines were sold to a director of the Company at a heavily discounted price</w:t>
      </w:r>
      <w:r w:rsidR="0099597B">
        <w:rPr>
          <w:rFonts w:ascii="Avenir Next" w:hAnsi="Avenir Next" w:cs="Arial"/>
          <w:sz w:val="22"/>
          <w:szCs w:val="22"/>
        </w:rPr>
        <w:t xml:space="preserve"> (a total discount of GBP15,000 from their purchase price a year previous).</w:t>
      </w:r>
      <w:r w:rsidR="000441EF">
        <w:rPr>
          <w:rFonts w:ascii="Avenir Next" w:hAnsi="Avenir Next" w:cs="Arial"/>
          <w:sz w:val="22"/>
          <w:szCs w:val="22"/>
        </w:rPr>
        <w:t xml:space="preserve"> As Rita Perkins would have been an unsecured creditor of the Company, being a director of the Company, </w:t>
      </w:r>
      <w:r w:rsidR="006A6EE2">
        <w:rPr>
          <w:rFonts w:ascii="Avenir Next" w:hAnsi="Avenir Next" w:cs="Arial"/>
          <w:sz w:val="22"/>
          <w:szCs w:val="22"/>
        </w:rPr>
        <w:t xml:space="preserve">this transaction falls under the remit of the </w:t>
      </w:r>
      <w:r w:rsidR="005E1043">
        <w:rPr>
          <w:rFonts w:ascii="Avenir Next" w:hAnsi="Avenir Next" w:cs="Arial"/>
          <w:sz w:val="22"/>
          <w:szCs w:val="22"/>
        </w:rPr>
        <w:t xml:space="preserve">transactions at undervalue provision under section 238 of the Act.  </w:t>
      </w:r>
    </w:p>
    <w:p w14:paraId="604A0565" w14:textId="12BDD600" w:rsidR="005E1043" w:rsidRDefault="005E1043" w:rsidP="00EA3B38">
      <w:pPr>
        <w:jc w:val="both"/>
        <w:rPr>
          <w:rFonts w:ascii="Avenir Next" w:hAnsi="Avenir Next" w:cs="Arial"/>
          <w:sz w:val="22"/>
          <w:szCs w:val="22"/>
        </w:rPr>
      </w:pPr>
    </w:p>
    <w:p w14:paraId="17C77D78" w14:textId="0A73956F" w:rsidR="005E1043" w:rsidRDefault="00DA493C" w:rsidP="00EA3B38">
      <w:pPr>
        <w:jc w:val="both"/>
        <w:rPr>
          <w:rFonts w:ascii="Avenir Next" w:hAnsi="Avenir Next" w:cs="Arial"/>
          <w:sz w:val="22"/>
          <w:szCs w:val="22"/>
        </w:rPr>
      </w:pPr>
      <w:r>
        <w:rPr>
          <w:rFonts w:ascii="Avenir Next" w:hAnsi="Avenir Next" w:cs="Arial"/>
          <w:sz w:val="22"/>
          <w:szCs w:val="22"/>
        </w:rPr>
        <w:t>Under the Act, all unsecured creditors must be treated fairly and equally</w:t>
      </w:r>
      <w:r w:rsidR="008F6064">
        <w:rPr>
          <w:rFonts w:ascii="Avenir Next" w:hAnsi="Avenir Next" w:cs="Arial"/>
          <w:sz w:val="22"/>
          <w:szCs w:val="22"/>
        </w:rPr>
        <w:t xml:space="preserve">. The Act permits that therefore, certain transactions that were entered into shortly before the </w:t>
      </w:r>
      <w:r w:rsidR="00034CAC">
        <w:rPr>
          <w:rFonts w:ascii="Avenir Next" w:hAnsi="Avenir Next" w:cs="Arial"/>
          <w:sz w:val="22"/>
          <w:szCs w:val="22"/>
        </w:rPr>
        <w:t xml:space="preserve">Company </w:t>
      </w:r>
      <w:r w:rsidR="00134BDA">
        <w:rPr>
          <w:rFonts w:ascii="Avenir Next" w:hAnsi="Avenir Next" w:cs="Arial"/>
          <w:sz w:val="22"/>
          <w:szCs w:val="22"/>
        </w:rPr>
        <w:t>was placed</w:t>
      </w:r>
      <w:r w:rsidR="00034CAC">
        <w:rPr>
          <w:rFonts w:ascii="Avenir Next" w:hAnsi="Avenir Next" w:cs="Arial"/>
          <w:sz w:val="22"/>
          <w:szCs w:val="22"/>
        </w:rPr>
        <w:t xml:space="preserve"> into formal insolvency (in December 2022), are open to </w:t>
      </w:r>
      <w:r w:rsidR="006E0E37">
        <w:rPr>
          <w:rFonts w:ascii="Avenir Next" w:hAnsi="Avenir Next" w:cs="Arial"/>
          <w:sz w:val="22"/>
          <w:szCs w:val="22"/>
        </w:rPr>
        <w:t>scrutiny by the liquidators. Under section 238 of the Act, an administrator or liquidator may attack a transaction that was entered into prior to the Company entering administration/liquidation where the transaction was at an undervalue. This is the case with regards to the sale of the machinery to Ms. Perkins.</w:t>
      </w:r>
      <w:r w:rsidR="003E36A5">
        <w:rPr>
          <w:rFonts w:ascii="Avenir Next" w:hAnsi="Avenir Next" w:cs="Arial"/>
          <w:sz w:val="22"/>
          <w:szCs w:val="22"/>
        </w:rPr>
        <w:t xml:space="preserve"> The sale of the machinery to Ms. Perkins would fall under the category of ‘a transaction with another person for a consideration which, in money or money’s worth, was, at the date </w:t>
      </w:r>
      <w:r w:rsidR="005C42BB">
        <w:rPr>
          <w:rFonts w:ascii="Avenir Next" w:hAnsi="Avenir Next" w:cs="Arial"/>
          <w:sz w:val="22"/>
          <w:szCs w:val="22"/>
        </w:rPr>
        <w:t>of the transaction, significantly less than the value, in money or money’s worth, of the consideration provided by the company’, under section 238 of the Act.</w:t>
      </w:r>
    </w:p>
    <w:p w14:paraId="3899B458" w14:textId="7BA860B1" w:rsidR="006E0E37" w:rsidRDefault="006E0E37" w:rsidP="00EA3B38">
      <w:pPr>
        <w:jc w:val="both"/>
        <w:rPr>
          <w:rFonts w:ascii="Avenir Next" w:hAnsi="Avenir Next" w:cs="Arial"/>
          <w:sz w:val="22"/>
          <w:szCs w:val="22"/>
        </w:rPr>
      </w:pPr>
    </w:p>
    <w:p w14:paraId="2AEBBA57" w14:textId="77777777" w:rsidR="00F37DC9" w:rsidRDefault="00AD53E2" w:rsidP="00EA3B38">
      <w:pPr>
        <w:jc w:val="both"/>
        <w:rPr>
          <w:rFonts w:ascii="Avenir Next" w:hAnsi="Avenir Next" w:cs="Arial"/>
          <w:sz w:val="22"/>
          <w:szCs w:val="22"/>
        </w:rPr>
      </w:pPr>
      <w:r>
        <w:rPr>
          <w:rFonts w:ascii="Avenir Next" w:hAnsi="Avenir Next" w:cs="Arial"/>
          <w:sz w:val="22"/>
          <w:szCs w:val="22"/>
        </w:rPr>
        <w:t>In order to dispute the transaction, it must have taken place at a ‘relevant time’ which is during the two</w:t>
      </w:r>
      <w:r w:rsidR="00D63A1B">
        <w:rPr>
          <w:rFonts w:ascii="Avenir Next" w:hAnsi="Avenir Next" w:cs="Arial"/>
          <w:sz w:val="22"/>
          <w:szCs w:val="22"/>
        </w:rPr>
        <w:t>-</w:t>
      </w:r>
      <w:r>
        <w:rPr>
          <w:rFonts w:ascii="Avenir Next" w:hAnsi="Avenir Next" w:cs="Arial"/>
          <w:sz w:val="22"/>
          <w:szCs w:val="22"/>
        </w:rPr>
        <w:t xml:space="preserve">year period prior to the commencement of the liquidation or administration. </w:t>
      </w:r>
      <w:r w:rsidR="00D63A1B">
        <w:rPr>
          <w:rFonts w:ascii="Avenir Next" w:hAnsi="Avenir Next" w:cs="Arial"/>
          <w:sz w:val="22"/>
          <w:szCs w:val="22"/>
        </w:rPr>
        <w:t xml:space="preserve">The term ‘transaction’ encompasses any gift, agreement or arrangement. </w:t>
      </w:r>
      <w:r w:rsidR="00D3335E">
        <w:rPr>
          <w:rFonts w:ascii="Avenir Next" w:hAnsi="Avenir Next" w:cs="Arial"/>
          <w:sz w:val="22"/>
          <w:szCs w:val="22"/>
        </w:rPr>
        <w:t xml:space="preserve">In this case it can be determined that the sale of the machinery to Ms. Perkins was for a price significantly less than </w:t>
      </w:r>
      <w:r w:rsidR="00D935A5">
        <w:rPr>
          <w:rFonts w:ascii="Avenir Next" w:hAnsi="Avenir Next" w:cs="Arial"/>
          <w:sz w:val="22"/>
          <w:szCs w:val="22"/>
        </w:rPr>
        <w:t>the consideration provided by the Company. At the time of the sale in July, it can further be determined that the Company was already experiencing cashflow insolvency issues, as that was one of their reasons for making the sale to Ms. Perkins.</w:t>
      </w:r>
    </w:p>
    <w:p w14:paraId="4876D7F0" w14:textId="77777777" w:rsidR="00F37DC9" w:rsidRDefault="00F37DC9" w:rsidP="00EA3B38">
      <w:pPr>
        <w:jc w:val="both"/>
        <w:rPr>
          <w:rFonts w:ascii="Avenir Next" w:hAnsi="Avenir Next" w:cs="Arial"/>
          <w:sz w:val="22"/>
          <w:szCs w:val="22"/>
        </w:rPr>
      </w:pPr>
    </w:p>
    <w:p w14:paraId="05926682" w14:textId="4988BCA1" w:rsidR="006E0E37" w:rsidRDefault="00086FF5" w:rsidP="00EA3B38">
      <w:pPr>
        <w:jc w:val="both"/>
        <w:rPr>
          <w:rFonts w:ascii="Avenir Next" w:hAnsi="Avenir Next" w:cs="Arial"/>
          <w:sz w:val="22"/>
          <w:szCs w:val="22"/>
        </w:rPr>
      </w:pPr>
      <w:r>
        <w:rPr>
          <w:rFonts w:ascii="Avenir Next" w:hAnsi="Avenir Next" w:cs="Arial"/>
          <w:sz w:val="22"/>
          <w:szCs w:val="22"/>
        </w:rPr>
        <w:t xml:space="preserve">The sale was with a connected person, being a director of the Company. </w:t>
      </w:r>
      <w:r w:rsidR="00F37DC9">
        <w:rPr>
          <w:rFonts w:ascii="Avenir Next" w:hAnsi="Avenir Next" w:cs="Arial"/>
          <w:sz w:val="22"/>
          <w:szCs w:val="22"/>
        </w:rPr>
        <w:t xml:space="preserve">Under section 238 of the Act, whether or not the transaction was with a connected person, it is a prerequisite of liability </w:t>
      </w:r>
      <w:r w:rsidR="0022374F">
        <w:rPr>
          <w:rFonts w:ascii="Avenir Next" w:hAnsi="Avenir Next" w:cs="Arial"/>
          <w:sz w:val="22"/>
          <w:szCs w:val="22"/>
        </w:rPr>
        <w:t>that at the time the transaction took place, either the Company had an inability to pay its debts as they fell due within the meaning of section 123 or that the Company became unable to pay its debts within the meaning of section 123 as a consequence of the transaction. With respect to a transaction with a connected person (which is the case in this particular instance) the Company is presumed to have been insolvent, or to have become insolvent as a result of the transaction, unless evidence to the contrary is provided.</w:t>
      </w:r>
    </w:p>
    <w:p w14:paraId="1DB93D1D" w14:textId="666A4618" w:rsidR="003B5496" w:rsidRDefault="003B5496" w:rsidP="00EA3B38">
      <w:pPr>
        <w:jc w:val="both"/>
        <w:rPr>
          <w:rFonts w:ascii="Avenir Next" w:hAnsi="Avenir Next" w:cs="Arial"/>
          <w:sz w:val="22"/>
          <w:szCs w:val="22"/>
        </w:rPr>
      </w:pPr>
    </w:p>
    <w:p w14:paraId="160FE847" w14:textId="796892E4" w:rsidR="003B5496" w:rsidRPr="0029687D" w:rsidRDefault="003B5496" w:rsidP="00EA3B38">
      <w:pPr>
        <w:jc w:val="both"/>
        <w:rPr>
          <w:rFonts w:ascii="Avenir Next" w:hAnsi="Avenir Next" w:cs="Arial"/>
          <w:sz w:val="22"/>
          <w:szCs w:val="22"/>
        </w:rPr>
      </w:pPr>
      <w:r>
        <w:rPr>
          <w:rFonts w:ascii="Avenir Next" w:hAnsi="Avenir Next" w:cs="Arial"/>
          <w:sz w:val="22"/>
          <w:szCs w:val="22"/>
        </w:rPr>
        <w:t>The liquidators</w:t>
      </w:r>
      <w:r w:rsidR="00483F29">
        <w:rPr>
          <w:rFonts w:ascii="Avenir Next" w:hAnsi="Avenir Next" w:cs="Arial"/>
          <w:sz w:val="22"/>
          <w:szCs w:val="22"/>
        </w:rPr>
        <w:t xml:space="preserve"> in this case</w:t>
      </w:r>
      <w:r>
        <w:rPr>
          <w:rFonts w:ascii="Avenir Next" w:hAnsi="Avenir Next" w:cs="Arial"/>
          <w:sz w:val="22"/>
          <w:szCs w:val="22"/>
        </w:rPr>
        <w:t xml:space="preserve"> have the authority to petition the court to make an order restoring the position of the Company </w:t>
      </w:r>
      <w:r w:rsidR="00483F29">
        <w:rPr>
          <w:rFonts w:ascii="Avenir Next" w:hAnsi="Avenir Next" w:cs="Arial"/>
          <w:sz w:val="22"/>
          <w:szCs w:val="22"/>
        </w:rPr>
        <w:t>had the sale never have taken place.</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4539C39C" w:rsidR="007E2919"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34431279" w:rsidR="00B04033" w:rsidRPr="006925C1" w:rsidRDefault="00B04033" w:rsidP="00B04033">
      <w:pPr>
        <w:rPr>
          <w:rFonts w:ascii="Avenir Next" w:hAnsi="Avenir Next" w:cs="Arial"/>
          <w:b/>
          <w:sz w:val="22"/>
          <w:szCs w:val="22"/>
        </w:rPr>
      </w:pPr>
    </w:p>
    <w:p w14:paraId="6F38B806" w14:textId="01925572" w:rsidR="009452DF" w:rsidRDefault="0081252A" w:rsidP="009452DF">
      <w:pPr>
        <w:jc w:val="both"/>
        <w:rPr>
          <w:rFonts w:ascii="Avenir Next" w:hAnsi="Avenir Next" w:cs="Arial"/>
          <w:sz w:val="22"/>
          <w:szCs w:val="22"/>
        </w:rPr>
      </w:pPr>
      <w:r>
        <w:rPr>
          <w:rFonts w:ascii="Avenir Next" w:hAnsi="Avenir Next" w:cs="Arial"/>
          <w:sz w:val="22"/>
          <w:szCs w:val="22"/>
        </w:rPr>
        <w:t>Hard and Fast Ltd</w:t>
      </w:r>
      <w:r w:rsidR="00EC2267">
        <w:rPr>
          <w:rFonts w:ascii="Avenir Next" w:hAnsi="Avenir Next" w:cs="Arial"/>
          <w:sz w:val="22"/>
          <w:szCs w:val="22"/>
        </w:rPr>
        <w:t xml:space="preserve">. </w:t>
      </w:r>
      <w:r w:rsidR="00B91EB7">
        <w:rPr>
          <w:rFonts w:ascii="Avenir Next" w:hAnsi="Avenir Next" w:cs="Arial"/>
          <w:sz w:val="22"/>
          <w:szCs w:val="22"/>
        </w:rPr>
        <w:t>demanded immediate payment of the remaining sums owed to them in September, one month prior to the filing of the winding up petition and subsequent winding up order in October.</w:t>
      </w:r>
      <w:r w:rsidR="00777415">
        <w:rPr>
          <w:rFonts w:ascii="Avenir Next" w:hAnsi="Avenir Next" w:cs="Arial"/>
          <w:sz w:val="22"/>
          <w:szCs w:val="22"/>
        </w:rPr>
        <w:t xml:space="preserve"> As this demand was prior to the Company’s winding up, there was no </w:t>
      </w:r>
      <w:r w:rsidR="00C8084F">
        <w:rPr>
          <w:rFonts w:ascii="Avenir Next" w:hAnsi="Avenir Next" w:cs="Arial"/>
          <w:sz w:val="22"/>
          <w:szCs w:val="22"/>
        </w:rPr>
        <w:t>M</w:t>
      </w:r>
      <w:r w:rsidR="00777415">
        <w:rPr>
          <w:rFonts w:ascii="Avenir Next" w:hAnsi="Avenir Next" w:cs="Arial"/>
          <w:sz w:val="22"/>
          <w:szCs w:val="22"/>
        </w:rPr>
        <w:t xml:space="preserve">oratorium </w:t>
      </w:r>
      <w:r w:rsidR="00C8084F">
        <w:rPr>
          <w:rFonts w:ascii="Avenir Next" w:hAnsi="Avenir Next" w:cs="Arial"/>
          <w:sz w:val="22"/>
          <w:szCs w:val="22"/>
        </w:rPr>
        <w:t>on claims and therefore Hard and Fast Ltd. were entitled to request payment of their outstanding balance.</w:t>
      </w:r>
      <w:r w:rsidR="007E3063">
        <w:rPr>
          <w:rFonts w:ascii="Avenir Next" w:hAnsi="Avenir Next" w:cs="Arial"/>
          <w:sz w:val="22"/>
          <w:szCs w:val="22"/>
        </w:rPr>
        <w:t xml:space="preserve"> However, the priority of payment of creditors must be taken into account by the liquidators</w:t>
      </w:r>
      <w:r w:rsidR="00D760E5">
        <w:rPr>
          <w:rFonts w:ascii="Avenir Next" w:hAnsi="Avenir Next" w:cs="Arial"/>
          <w:sz w:val="22"/>
          <w:szCs w:val="22"/>
        </w:rPr>
        <w:t xml:space="preserve"> regarding payment of the GBP 8,000.</w:t>
      </w:r>
    </w:p>
    <w:p w14:paraId="076B4BA9" w14:textId="3A423AA2" w:rsidR="008F3A61" w:rsidRDefault="008F3A61" w:rsidP="009452DF">
      <w:pPr>
        <w:jc w:val="both"/>
        <w:rPr>
          <w:rFonts w:ascii="Avenir Next" w:hAnsi="Avenir Next" w:cs="Arial"/>
          <w:sz w:val="22"/>
          <w:szCs w:val="22"/>
        </w:rPr>
      </w:pPr>
    </w:p>
    <w:p w14:paraId="19D02116" w14:textId="229106BA" w:rsidR="008F3A61" w:rsidRDefault="00C8084F" w:rsidP="009452DF">
      <w:pPr>
        <w:jc w:val="both"/>
        <w:rPr>
          <w:rFonts w:ascii="Avenir Next" w:hAnsi="Avenir Next" w:cs="Arial"/>
          <w:sz w:val="22"/>
          <w:szCs w:val="22"/>
        </w:rPr>
      </w:pPr>
      <w:r>
        <w:rPr>
          <w:rFonts w:ascii="Avenir Next" w:hAnsi="Avenir Next" w:cs="Arial"/>
          <w:sz w:val="22"/>
          <w:szCs w:val="22"/>
        </w:rPr>
        <w:t xml:space="preserve">Regarding the continued supply of marble to the Company to the sum of GBP </w:t>
      </w:r>
      <w:r w:rsidR="00260A99">
        <w:rPr>
          <w:rFonts w:ascii="Avenir Next" w:hAnsi="Avenir Next" w:cs="Arial"/>
          <w:sz w:val="22"/>
          <w:szCs w:val="22"/>
        </w:rPr>
        <w:t>3</w:t>
      </w:r>
      <w:r>
        <w:rPr>
          <w:rFonts w:ascii="Avenir Next" w:hAnsi="Avenir Next" w:cs="Arial"/>
          <w:sz w:val="22"/>
          <w:szCs w:val="22"/>
        </w:rPr>
        <w:t xml:space="preserve">,000 </w:t>
      </w:r>
      <w:r w:rsidR="00260A99">
        <w:rPr>
          <w:rFonts w:ascii="Avenir Next" w:hAnsi="Avenir Next" w:cs="Arial"/>
          <w:sz w:val="22"/>
          <w:szCs w:val="22"/>
        </w:rPr>
        <w:t xml:space="preserve">up to October 2022, the question arises as to whether the marble is deemed as an ‘essential supply’ under Section 233 of the Act. </w:t>
      </w:r>
      <w:r w:rsidR="008F3A61">
        <w:rPr>
          <w:rFonts w:ascii="Avenir Next" w:hAnsi="Avenir Next" w:cs="Arial"/>
          <w:sz w:val="22"/>
          <w:szCs w:val="22"/>
        </w:rPr>
        <w:t xml:space="preserve">Under Section 233 of the Act, </w:t>
      </w:r>
      <w:r w:rsidR="008D6488">
        <w:rPr>
          <w:rFonts w:ascii="Avenir Next" w:hAnsi="Avenir Next" w:cs="Arial"/>
          <w:sz w:val="22"/>
          <w:szCs w:val="22"/>
        </w:rPr>
        <w:t xml:space="preserve">suppliers of what are deemed ‘essential supplies’ </w:t>
      </w:r>
      <w:r w:rsidR="00E30DD2">
        <w:rPr>
          <w:rFonts w:ascii="Avenir Next" w:hAnsi="Avenir Next" w:cs="Arial"/>
          <w:sz w:val="22"/>
          <w:szCs w:val="22"/>
        </w:rPr>
        <w:t>(e.g.</w:t>
      </w:r>
      <w:r w:rsidR="00E33DFF">
        <w:rPr>
          <w:rFonts w:ascii="Avenir Next" w:hAnsi="Avenir Next" w:cs="Arial"/>
          <w:sz w:val="22"/>
          <w:szCs w:val="22"/>
        </w:rPr>
        <w:t>,</w:t>
      </w:r>
      <w:r w:rsidR="00E30DD2">
        <w:rPr>
          <w:rFonts w:ascii="Avenir Next" w:hAnsi="Avenir Next" w:cs="Arial"/>
          <w:sz w:val="22"/>
          <w:szCs w:val="22"/>
        </w:rPr>
        <w:t xml:space="preserve"> gas, electricity, water and communications services) are not permitted to require payment of </w:t>
      </w:r>
      <w:r w:rsidR="00E30DD2">
        <w:rPr>
          <w:rFonts w:ascii="Avenir Next" w:hAnsi="Avenir Next" w:cs="Arial"/>
          <w:sz w:val="22"/>
          <w:szCs w:val="22"/>
        </w:rPr>
        <w:lastRenderedPageBreak/>
        <w:t xml:space="preserve">outstanding debts in order to secure </w:t>
      </w:r>
      <w:r w:rsidR="00777415">
        <w:rPr>
          <w:rFonts w:ascii="Avenir Next" w:hAnsi="Avenir Next" w:cs="Arial"/>
          <w:sz w:val="22"/>
          <w:szCs w:val="22"/>
        </w:rPr>
        <w:t xml:space="preserve">new or continued supply. </w:t>
      </w:r>
      <w:r w:rsidR="00C36D09">
        <w:rPr>
          <w:rFonts w:ascii="Avenir Next" w:hAnsi="Avenir Next" w:cs="Arial"/>
          <w:sz w:val="22"/>
          <w:szCs w:val="22"/>
        </w:rPr>
        <w:t xml:space="preserve">Although the Company </w:t>
      </w:r>
      <w:r w:rsidR="008B6A38">
        <w:rPr>
          <w:rFonts w:ascii="Avenir Next" w:hAnsi="Avenir Next" w:cs="Arial"/>
          <w:sz w:val="22"/>
          <w:szCs w:val="22"/>
        </w:rPr>
        <w:t>itself deemed the marble as ‘essential’ for continued operation of its busines</w:t>
      </w:r>
      <w:r w:rsidR="00601782">
        <w:rPr>
          <w:rFonts w:ascii="Avenir Next" w:hAnsi="Avenir Next" w:cs="Arial"/>
          <w:sz w:val="22"/>
          <w:szCs w:val="22"/>
        </w:rPr>
        <w:t>s, marble would not be deemed an ‘essential supply’ under the Act.</w:t>
      </w:r>
    </w:p>
    <w:p w14:paraId="139C9764" w14:textId="7968A2DA" w:rsidR="00F25CA6" w:rsidRDefault="00F25CA6" w:rsidP="009452DF">
      <w:pPr>
        <w:jc w:val="both"/>
        <w:rPr>
          <w:rFonts w:ascii="Avenir Next" w:hAnsi="Avenir Next" w:cs="Arial"/>
          <w:sz w:val="22"/>
          <w:szCs w:val="22"/>
        </w:rPr>
      </w:pPr>
    </w:p>
    <w:p w14:paraId="3E3C88FF" w14:textId="6B91B8C5" w:rsidR="00F25CA6" w:rsidRPr="0081252A" w:rsidRDefault="00F25CA6" w:rsidP="009452DF">
      <w:pPr>
        <w:jc w:val="both"/>
        <w:rPr>
          <w:rFonts w:ascii="Avenir Next" w:hAnsi="Avenir Next" w:cs="Arial"/>
          <w:sz w:val="22"/>
          <w:szCs w:val="22"/>
        </w:rPr>
      </w:pPr>
      <w:r>
        <w:rPr>
          <w:rFonts w:ascii="Avenir Next" w:hAnsi="Avenir Next" w:cs="Arial"/>
          <w:sz w:val="22"/>
          <w:szCs w:val="22"/>
        </w:rPr>
        <w:t xml:space="preserve">However, Section 233B </w:t>
      </w:r>
      <w:r w:rsidR="00CE4A41">
        <w:rPr>
          <w:rFonts w:ascii="Avenir Next" w:hAnsi="Avenir Next" w:cs="Arial"/>
          <w:sz w:val="22"/>
          <w:szCs w:val="22"/>
        </w:rPr>
        <w:t>of the Act</w:t>
      </w:r>
      <w:r w:rsidR="00D036BE">
        <w:rPr>
          <w:rFonts w:ascii="Avenir Next" w:hAnsi="Avenir Next" w:cs="Arial"/>
          <w:sz w:val="22"/>
          <w:szCs w:val="22"/>
        </w:rPr>
        <w:t xml:space="preserve"> introduced some further </w:t>
      </w:r>
      <w:r w:rsidR="00F20CCF">
        <w:rPr>
          <w:rFonts w:ascii="Avenir Next" w:hAnsi="Avenir Next" w:cs="Arial"/>
          <w:sz w:val="22"/>
          <w:szCs w:val="22"/>
        </w:rPr>
        <w:t>provisions related to suppliers</w:t>
      </w:r>
      <w:r w:rsidR="003E6D7C">
        <w:rPr>
          <w:rFonts w:ascii="Avenir Next" w:hAnsi="Avenir Next" w:cs="Arial"/>
          <w:sz w:val="22"/>
          <w:szCs w:val="22"/>
        </w:rPr>
        <w:t xml:space="preserve"> that complement the existing Sections 233 and 233A of the Act.</w:t>
      </w:r>
      <w:r w:rsidR="00377FD9">
        <w:rPr>
          <w:rFonts w:ascii="Avenir Next" w:hAnsi="Avenir Next" w:cs="Arial"/>
          <w:sz w:val="22"/>
          <w:szCs w:val="22"/>
        </w:rPr>
        <w:t xml:space="preserve"> Section 233B prevents suppliers from terminating a supply </w:t>
      </w:r>
      <w:r w:rsidR="00A750A5">
        <w:rPr>
          <w:rFonts w:ascii="Avenir Next" w:hAnsi="Avenir Next" w:cs="Arial"/>
          <w:sz w:val="22"/>
          <w:szCs w:val="22"/>
        </w:rPr>
        <w:t xml:space="preserve">upon the Company’s insolvency </w:t>
      </w:r>
      <w:r w:rsidR="00A326B8">
        <w:rPr>
          <w:rFonts w:ascii="Avenir Next" w:hAnsi="Avenir Next" w:cs="Arial"/>
          <w:sz w:val="22"/>
          <w:szCs w:val="22"/>
        </w:rPr>
        <w:t xml:space="preserve">but also prevents the suppliers from demanding that pre-insolvency arrears are paid as a condition of continued supply </w:t>
      </w:r>
      <w:r w:rsidR="000043BC">
        <w:rPr>
          <w:rFonts w:ascii="Avenir Next" w:hAnsi="Avenir Next" w:cs="Arial"/>
          <w:sz w:val="22"/>
          <w:szCs w:val="22"/>
        </w:rPr>
        <w:t>and from making any other changes to the supply contract such as raising prices.</w:t>
      </w:r>
      <w:r w:rsidR="000C767B">
        <w:rPr>
          <w:rFonts w:ascii="Avenir Next" w:hAnsi="Avenir Next" w:cs="Arial"/>
          <w:sz w:val="22"/>
          <w:szCs w:val="22"/>
        </w:rPr>
        <w:t xml:space="preserve"> As the Company was not in compulsory liquidation in July 2022 when Hard and Fast Ltd. </w:t>
      </w:r>
      <w:r w:rsidR="00293C08">
        <w:rPr>
          <w:rFonts w:ascii="Avenir Next" w:hAnsi="Avenir Next" w:cs="Arial"/>
          <w:sz w:val="22"/>
          <w:szCs w:val="22"/>
        </w:rPr>
        <w:t xml:space="preserve">demanded payment of its outstanding debts and mandated a cash on delivery basis for further supplies, </w:t>
      </w:r>
      <w:r w:rsidR="00CD2D58">
        <w:rPr>
          <w:rFonts w:ascii="Avenir Next" w:hAnsi="Avenir Next" w:cs="Arial"/>
          <w:sz w:val="22"/>
          <w:szCs w:val="22"/>
        </w:rPr>
        <w:t xml:space="preserve">this provision under Section 233B may not apply. Notwithstanding this, Section 233B also included </w:t>
      </w:r>
      <w:r w:rsidR="00C76788">
        <w:rPr>
          <w:rFonts w:ascii="Avenir Next" w:hAnsi="Avenir Next" w:cs="Arial"/>
          <w:sz w:val="22"/>
          <w:szCs w:val="22"/>
        </w:rPr>
        <w:t xml:space="preserve">all other suppliers (with some limited exceptions such as banks, insurers and recognized investment exchanges and clearing houses) </w:t>
      </w:r>
      <w:r w:rsidR="0015078F">
        <w:rPr>
          <w:rFonts w:ascii="Avenir Next" w:hAnsi="Avenir Next" w:cs="Arial"/>
          <w:sz w:val="22"/>
          <w:szCs w:val="22"/>
        </w:rPr>
        <w:t xml:space="preserve">in the restriction on termination of supply to companies </w:t>
      </w:r>
      <w:r w:rsidR="00A350ED">
        <w:rPr>
          <w:rFonts w:ascii="Avenir Next" w:hAnsi="Avenir Next" w:cs="Arial"/>
          <w:sz w:val="22"/>
          <w:szCs w:val="22"/>
        </w:rPr>
        <w:t>and so Hard and Fast Ltd.</w:t>
      </w:r>
      <w:r w:rsidR="008E73CD">
        <w:rPr>
          <w:rFonts w:ascii="Avenir Next" w:hAnsi="Avenir Next" w:cs="Arial"/>
          <w:sz w:val="22"/>
          <w:szCs w:val="22"/>
        </w:rPr>
        <w:t xml:space="preserve">, under this provision, </w:t>
      </w:r>
      <w:r w:rsidR="002056A9">
        <w:rPr>
          <w:rFonts w:ascii="Avenir Next" w:hAnsi="Avenir Next" w:cs="Arial"/>
          <w:sz w:val="22"/>
          <w:szCs w:val="22"/>
        </w:rPr>
        <w:t>should not have been able to demand a cash on delivery basis for continued supply</w:t>
      </w:r>
      <w:r w:rsidR="002E0CF7">
        <w:rPr>
          <w:rFonts w:ascii="Avenir Next" w:hAnsi="Avenir Next" w:cs="Arial"/>
          <w:sz w:val="22"/>
          <w:szCs w:val="22"/>
        </w:rPr>
        <w:t xml:space="preserve"> and should also have been treated amongst the other creditors pari-passu regarding payment of its outstanding debt.</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1734" w14:textId="77777777" w:rsidR="00545918" w:rsidRDefault="00545918" w:rsidP="00241B44">
      <w:r>
        <w:separator/>
      </w:r>
    </w:p>
  </w:endnote>
  <w:endnote w:type="continuationSeparator" w:id="0">
    <w:p w14:paraId="23333001" w14:textId="77777777" w:rsidR="00545918" w:rsidRDefault="0054591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DF726CC" w:rsidR="00241FA3" w:rsidRPr="00A84235" w:rsidRDefault="00BC47A7" w:rsidP="009B4976">
    <w:pPr>
      <w:pStyle w:val="Footer"/>
      <w:ind w:right="360"/>
      <w:rPr>
        <w:rFonts w:ascii="Avenir Next" w:hAnsi="Avenir Next" w:cs="Arial"/>
        <w:sz w:val="22"/>
        <w:szCs w:val="22"/>
        <w:lang w:val="en-GB"/>
      </w:rPr>
    </w:pPr>
    <w:r>
      <w:rPr>
        <w:rFonts w:ascii="Avenir Next" w:hAnsi="Avenir Next" w:cs="Arial"/>
        <w:sz w:val="22"/>
        <w:szCs w:val="22"/>
        <w:lang w:val="en-GB"/>
      </w:rPr>
      <w:t>202223-904</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6C88" w14:textId="77777777" w:rsidR="00545918" w:rsidRDefault="00545918" w:rsidP="00241B44">
      <w:r>
        <w:separator/>
      </w:r>
    </w:p>
  </w:footnote>
  <w:footnote w:type="continuationSeparator" w:id="0">
    <w:p w14:paraId="69E5C829" w14:textId="77777777" w:rsidR="00545918" w:rsidRDefault="0054591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A457B"/>
    <w:multiLevelType w:val="hybridMultilevel"/>
    <w:tmpl w:val="A0229EE8"/>
    <w:lvl w:ilvl="0" w:tplc="662C14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11"/>
  </w:num>
  <w:num w:numId="6">
    <w:abstractNumId w:val="2"/>
  </w:num>
  <w:num w:numId="7">
    <w:abstractNumId w:val="12"/>
  </w:num>
  <w:num w:numId="8">
    <w:abstractNumId w:val="16"/>
  </w:num>
  <w:num w:numId="9">
    <w:abstractNumId w:val="9"/>
  </w:num>
  <w:num w:numId="10">
    <w:abstractNumId w:val="17"/>
  </w:num>
  <w:num w:numId="11">
    <w:abstractNumId w:val="6"/>
  </w:num>
  <w:num w:numId="12">
    <w:abstractNumId w:val="14"/>
  </w:num>
  <w:num w:numId="13">
    <w:abstractNumId w:val="10"/>
  </w:num>
  <w:num w:numId="14">
    <w:abstractNumId w:val="4"/>
  </w:num>
  <w:num w:numId="15">
    <w:abstractNumId w:val="13"/>
  </w:num>
  <w:num w:numId="16">
    <w:abstractNumId w:val="15"/>
  </w:num>
  <w:num w:numId="17">
    <w:abstractNumId w:val="7"/>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3BC"/>
    <w:rsid w:val="00005F73"/>
    <w:rsid w:val="00010BA0"/>
    <w:rsid w:val="00013237"/>
    <w:rsid w:val="00020557"/>
    <w:rsid w:val="00021FC2"/>
    <w:rsid w:val="000250C7"/>
    <w:rsid w:val="000267F1"/>
    <w:rsid w:val="00026F16"/>
    <w:rsid w:val="00034CAC"/>
    <w:rsid w:val="00037621"/>
    <w:rsid w:val="000441EF"/>
    <w:rsid w:val="00044D46"/>
    <w:rsid w:val="00045088"/>
    <w:rsid w:val="00045904"/>
    <w:rsid w:val="000475ED"/>
    <w:rsid w:val="000502FD"/>
    <w:rsid w:val="000524CD"/>
    <w:rsid w:val="00056C4F"/>
    <w:rsid w:val="00065166"/>
    <w:rsid w:val="00067356"/>
    <w:rsid w:val="00082609"/>
    <w:rsid w:val="000851CC"/>
    <w:rsid w:val="00086FF5"/>
    <w:rsid w:val="00087F21"/>
    <w:rsid w:val="00093BE8"/>
    <w:rsid w:val="000A0FE0"/>
    <w:rsid w:val="000A407B"/>
    <w:rsid w:val="000A68ED"/>
    <w:rsid w:val="000B5FF1"/>
    <w:rsid w:val="000B609F"/>
    <w:rsid w:val="000C59B8"/>
    <w:rsid w:val="000C767B"/>
    <w:rsid w:val="000D10C6"/>
    <w:rsid w:val="000D55A8"/>
    <w:rsid w:val="000E1E46"/>
    <w:rsid w:val="000E4841"/>
    <w:rsid w:val="000F1677"/>
    <w:rsid w:val="000F3D6C"/>
    <w:rsid w:val="00101694"/>
    <w:rsid w:val="00101707"/>
    <w:rsid w:val="00102CC9"/>
    <w:rsid w:val="0010593A"/>
    <w:rsid w:val="0011473D"/>
    <w:rsid w:val="00115C85"/>
    <w:rsid w:val="00123855"/>
    <w:rsid w:val="00126A4D"/>
    <w:rsid w:val="00134BDA"/>
    <w:rsid w:val="0014171F"/>
    <w:rsid w:val="0014622C"/>
    <w:rsid w:val="0015078F"/>
    <w:rsid w:val="00152348"/>
    <w:rsid w:val="0015456D"/>
    <w:rsid w:val="00155FA2"/>
    <w:rsid w:val="0015784C"/>
    <w:rsid w:val="0016077B"/>
    <w:rsid w:val="00161F1B"/>
    <w:rsid w:val="00162829"/>
    <w:rsid w:val="00180548"/>
    <w:rsid w:val="00180AC4"/>
    <w:rsid w:val="00180CCE"/>
    <w:rsid w:val="0018267A"/>
    <w:rsid w:val="00182779"/>
    <w:rsid w:val="00182788"/>
    <w:rsid w:val="001830DF"/>
    <w:rsid w:val="001966D9"/>
    <w:rsid w:val="0019782F"/>
    <w:rsid w:val="001A007A"/>
    <w:rsid w:val="001A38E4"/>
    <w:rsid w:val="001A4EBF"/>
    <w:rsid w:val="001A7E9A"/>
    <w:rsid w:val="001B0F70"/>
    <w:rsid w:val="001B5016"/>
    <w:rsid w:val="001C27D8"/>
    <w:rsid w:val="001C45FC"/>
    <w:rsid w:val="001D0469"/>
    <w:rsid w:val="001D29C0"/>
    <w:rsid w:val="001D4862"/>
    <w:rsid w:val="001E25B9"/>
    <w:rsid w:val="001E49E0"/>
    <w:rsid w:val="001E7B5A"/>
    <w:rsid w:val="001F3C98"/>
    <w:rsid w:val="001F7412"/>
    <w:rsid w:val="0020090A"/>
    <w:rsid w:val="0020204E"/>
    <w:rsid w:val="00202DFE"/>
    <w:rsid w:val="002056A9"/>
    <w:rsid w:val="0020725B"/>
    <w:rsid w:val="002110F1"/>
    <w:rsid w:val="00212001"/>
    <w:rsid w:val="0021734B"/>
    <w:rsid w:val="0022374F"/>
    <w:rsid w:val="00230F89"/>
    <w:rsid w:val="002356EA"/>
    <w:rsid w:val="0024116D"/>
    <w:rsid w:val="00241B44"/>
    <w:rsid w:val="00241FA3"/>
    <w:rsid w:val="00245EFB"/>
    <w:rsid w:val="0025386E"/>
    <w:rsid w:val="00260A99"/>
    <w:rsid w:val="002638B0"/>
    <w:rsid w:val="00263C5A"/>
    <w:rsid w:val="0026647A"/>
    <w:rsid w:val="002668D3"/>
    <w:rsid w:val="00267585"/>
    <w:rsid w:val="00267F33"/>
    <w:rsid w:val="0027299F"/>
    <w:rsid w:val="00284EBE"/>
    <w:rsid w:val="002866D0"/>
    <w:rsid w:val="002903A7"/>
    <w:rsid w:val="00293C08"/>
    <w:rsid w:val="0029433F"/>
    <w:rsid w:val="00294829"/>
    <w:rsid w:val="0029687D"/>
    <w:rsid w:val="0029690F"/>
    <w:rsid w:val="00297C8A"/>
    <w:rsid w:val="002A191D"/>
    <w:rsid w:val="002A2A60"/>
    <w:rsid w:val="002A37BB"/>
    <w:rsid w:val="002B09BE"/>
    <w:rsid w:val="002B1C45"/>
    <w:rsid w:val="002C13C8"/>
    <w:rsid w:val="002C3547"/>
    <w:rsid w:val="002C46CB"/>
    <w:rsid w:val="002D0021"/>
    <w:rsid w:val="002D299D"/>
    <w:rsid w:val="002D3473"/>
    <w:rsid w:val="002D7B16"/>
    <w:rsid w:val="002E0CF7"/>
    <w:rsid w:val="002E62F6"/>
    <w:rsid w:val="002F1956"/>
    <w:rsid w:val="002F30FF"/>
    <w:rsid w:val="002F3440"/>
    <w:rsid w:val="002F450E"/>
    <w:rsid w:val="002F75A3"/>
    <w:rsid w:val="002F77D6"/>
    <w:rsid w:val="00303C2F"/>
    <w:rsid w:val="003040C1"/>
    <w:rsid w:val="00311816"/>
    <w:rsid w:val="0031251A"/>
    <w:rsid w:val="003144EF"/>
    <w:rsid w:val="00314F32"/>
    <w:rsid w:val="003222AC"/>
    <w:rsid w:val="00326292"/>
    <w:rsid w:val="00326415"/>
    <w:rsid w:val="00330937"/>
    <w:rsid w:val="00330F31"/>
    <w:rsid w:val="00334648"/>
    <w:rsid w:val="0033768C"/>
    <w:rsid w:val="00337938"/>
    <w:rsid w:val="00340769"/>
    <w:rsid w:val="00341AA6"/>
    <w:rsid w:val="0034673C"/>
    <w:rsid w:val="00361A0A"/>
    <w:rsid w:val="00364836"/>
    <w:rsid w:val="0036565C"/>
    <w:rsid w:val="0036625E"/>
    <w:rsid w:val="0037121F"/>
    <w:rsid w:val="0037465A"/>
    <w:rsid w:val="00377FD9"/>
    <w:rsid w:val="00382C98"/>
    <w:rsid w:val="0038410E"/>
    <w:rsid w:val="0038533C"/>
    <w:rsid w:val="00386568"/>
    <w:rsid w:val="00390B57"/>
    <w:rsid w:val="003948D5"/>
    <w:rsid w:val="00396651"/>
    <w:rsid w:val="00396821"/>
    <w:rsid w:val="00397D3A"/>
    <w:rsid w:val="003A051E"/>
    <w:rsid w:val="003A4482"/>
    <w:rsid w:val="003A5A43"/>
    <w:rsid w:val="003B170F"/>
    <w:rsid w:val="003B3C5F"/>
    <w:rsid w:val="003B5496"/>
    <w:rsid w:val="003C0842"/>
    <w:rsid w:val="003C4471"/>
    <w:rsid w:val="003C7AD2"/>
    <w:rsid w:val="003D0A6D"/>
    <w:rsid w:val="003D5C6F"/>
    <w:rsid w:val="003E0B16"/>
    <w:rsid w:val="003E1BBF"/>
    <w:rsid w:val="003E36A5"/>
    <w:rsid w:val="003E67D1"/>
    <w:rsid w:val="003E6D7C"/>
    <w:rsid w:val="003F3330"/>
    <w:rsid w:val="00404329"/>
    <w:rsid w:val="00405DC1"/>
    <w:rsid w:val="0041048C"/>
    <w:rsid w:val="00415F1F"/>
    <w:rsid w:val="0042108F"/>
    <w:rsid w:val="00430FED"/>
    <w:rsid w:val="00434A8C"/>
    <w:rsid w:val="00435114"/>
    <w:rsid w:val="00437297"/>
    <w:rsid w:val="00444284"/>
    <w:rsid w:val="00445CE6"/>
    <w:rsid w:val="004534C2"/>
    <w:rsid w:val="0045446F"/>
    <w:rsid w:val="0045683E"/>
    <w:rsid w:val="00460E41"/>
    <w:rsid w:val="00461F95"/>
    <w:rsid w:val="00462814"/>
    <w:rsid w:val="004746FE"/>
    <w:rsid w:val="00474C2B"/>
    <w:rsid w:val="00477C72"/>
    <w:rsid w:val="00483F29"/>
    <w:rsid w:val="00491675"/>
    <w:rsid w:val="00493855"/>
    <w:rsid w:val="00495E79"/>
    <w:rsid w:val="004A2D83"/>
    <w:rsid w:val="004A4713"/>
    <w:rsid w:val="004A57DD"/>
    <w:rsid w:val="004A7B51"/>
    <w:rsid w:val="004A7D71"/>
    <w:rsid w:val="004A7EF3"/>
    <w:rsid w:val="004B11FD"/>
    <w:rsid w:val="004B23A2"/>
    <w:rsid w:val="004D1A5A"/>
    <w:rsid w:val="004D2FFF"/>
    <w:rsid w:val="004D3721"/>
    <w:rsid w:val="004D64F9"/>
    <w:rsid w:val="004E2275"/>
    <w:rsid w:val="004E294B"/>
    <w:rsid w:val="004E3A6B"/>
    <w:rsid w:val="004E622C"/>
    <w:rsid w:val="004F5FDF"/>
    <w:rsid w:val="004F7896"/>
    <w:rsid w:val="00501084"/>
    <w:rsid w:val="005177FE"/>
    <w:rsid w:val="00520242"/>
    <w:rsid w:val="0052263B"/>
    <w:rsid w:val="00524728"/>
    <w:rsid w:val="0053001B"/>
    <w:rsid w:val="005331CA"/>
    <w:rsid w:val="00537970"/>
    <w:rsid w:val="00540E3A"/>
    <w:rsid w:val="00544127"/>
    <w:rsid w:val="00545918"/>
    <w:rsid w:val="005463A9"/>
    <w:rsid w:val="00553BE8"/>
    <w:rsid w:val="00553EB2"/>
    <w:rsid w:val="00560534"/>
    <w:rsid w:val="0056391B"/>
    <w:rsid w:val="005650E2"/>
    <w:rsid w:val="00567AD7"/>
    <w:rsid w:val="00575B2D"/>
    <w:rsid w:val="00580939"/>
    <w:rsid w:val="005833D0"/>
    <w:rsid w:val="005846F3"/>
    <w:rsid w:val="00584822"/>
    <w:rsid w:val="0058622F"/>
    <w:rsid w:val="005923B1"/>
    <w:rsid w:val="00592F82"/>
    <w:rsid w:val="0059413B"/>
    <w:rsid w:val="005A0CCA"/>
    <w:rsid w:val="005A1083"/>
    <w:rsid w:val="005A6FF2"/>
    <w:rsid w:val="005A726D"/>
    <w:rsid w:val="005B5AB9"/>
    <w:rsid w:val="005B67AC"/>
    <w:rsid w:val="005B79F4"/>
    <w:rsid w:val="005C1A0A"/>
    <w:rsid w:val="005C42BB"/>
    <w:rsid w:val="005C79F0"/>
    <w:rsid w:val="005D09BD"/>
    <w:rsid w:val="005D16DD"/>
    <w:rsid w:val="005D43E0"/>
    <w:rsid w:val="005D5531"/>
    <w:rsid w:val="005D58A3"/>
    <w:rsid w:val="005D78AF"/>
    <w:rsid w:val="005D7EA6"/>
    <w:rsid w:val="005E1043"/>
    <w:rsid w:val="005E1B79"/>
    <w:rsid w:val="005E6076"/>
    <w:rsid w:val="005E7008"/>
    <w:rsid w:val="005F026D"/>
    <w:rsid w:val="005F2AEA"/>
    <w:rsid w:val="005F2D0B"/>
    <w:rsid w:val="005F4B31"/>
    <w:rsid w:val="00601782"/>
    <w:rsid w:val="006039EB"/>
    <w:rsid w:val="00604BD8"/>
    <w:rsid w:val="00610388"/>
    <w:rsid w:val="00610AC7"/>
    <w:rsid w:val="00612CA5"/>
    <w:rsid w:val="006153EC"/>
    <w:rsid w:val="00621A17"/>
    <w:rsid w:val="006235D6"/>
    <w:rsid w:val="00627CC9"/>
    <w:rsid w:val="00627D51"/>
    <w:rsid w:val="00627E7B"/>
    <w:rsid w:val="00630542"/>
    <w:rsid w:val="00632E44"/>
    <w:rsid w:val="0063381C"/>
    <w:rsid w:val="00634622"/>
    <w:rsid w:val="00636808"/>
    <w:rsid w:val="00641515"/>
    <w:rsid w:val="00642457"/>
    <w:rsid w:val="00654C2F"/>
    <w:rsid w:val="006562FD"/>
    <w:rsid w:val="00657087"/>
    <w:rsid w:val="006624AB"/>
    <w:rsid w:val="006639DB"/>
    <w:rsid w:val="006661EF"/>
    <w:rsid w:val="00666D7C"/>
    <w:rsid w:val="0067043C"/>
    <w:rsid w:val="00677AEB"/>
    <w:rsid w:val="00680EF2"/>
    <w:rsid w:val="00687A1D"/>
    <w:rsid w:val="006925C1"/>
    <w:rsid w:val="006970B4"/>
    <w:rsid w:val="00697EA1"/>
    <w:rsid w:val="006A2646"/>
    <w:rsid w:val="006A6530"/>
    <w:rsid w:val="006A6EE2"/>
    <w:rsid w:val="006B3BA9"/>
    <w:rsid w:val="006B435A"/>
    <w:rsid w:val="006B4C64"/>
    <w:rsid w:val="006C48EA"/>
    <w:rsid w:val="006D0CDA"/>
    <w:rsid w:val="006D282B"/>
    <w:rsid w:val="006D2FB6"/>
    <w:rsid w:val="006D6BD5"/>
    <w:rsid w:val="006E0D3B"/>
    <w:rsid w:val="006E0E37"/>
    <w:rsid w:val="006E481A"/>
    <w:rsid w:val="006E5298"/>
    <w:rsid w:val="006F4A78"/>
    <w:rsid w:val="006F734A"/>
    <w:rsid w:val="00700D83"/>
    <w:rsid w:val="007040D9"/>
    <w:rsid w:val="00704852"/>
    <w:rsid w:val="0070524B"/>
    <w:rsid w:val="007074E9"/>
    <w:rsid w:val="007114A4"/>
    <w:rsid w:val="00713DA4"/>
    <w:rsid w:val="00714BF1"/>
    <w:rsid w:val="00721383"/>
    <w:rsid w:val="0073158B"/>
    <w:rsid w:val="007333CC"/>
    <w:rsid w:val="0073399A"/>
    <w:rsid w:val="00733A12"/>
    <w:rsid w:val="00740DAD"/>
    <w:rsid w:val="00742AF3"/>
    <w:rsid w:val="0074580A"/>
    <w:rsid w:val="007603F5"/>
    <w:rsid w:val="00763348"/>
    <w:rsid w:val="00764358"/>
    <w:rsid w:val="00764DB0"/>
    <w:rsid w:val="00766D86"/>
    <w:rsid w:val="0076764D"/>
    <w:rsid w:val="0077498C"/>
    <w:rsid w:val="00777415"/>
    <w:rsid w:val="007809BC"/>
    <w:rsid w:val="00784128"/>
    <w:rsid w:val="00787BCC"/>
    <w:rsid w:val="00793173"/>
    <w:rsid w:val="007A1664"/>
    <w:rsid w:val="007A2A33"/>
    <w:rsid w:val="007A5171"/>
    <w:rsid w:val="007B5C89"/>
    <w:rsid w:val="007C1FCC"/>
    <w:rsid w:val="007C6201"/>
    <w:rsid w:val="007C6672"/>
    <w:rsid w:val="007C7A8E"/>
    <w:rsid w:val="007D7C92"/>
    <w:rsid w:val="007E1154"/>
    <w:rsid w:val="007E2919"/>
    <w:rsid w:val="007E3063"/>
    <w:rsid w:val="007E41B7"/>
    <w:rsid w:val="007E46A8"/>
    <w:rsid w:val="007E68DB"/>
    <w:rsid w:val="007E6BA4"/>
    <w:rsid w:val="007E701C"/>
    <w:rsid w:val="007F41F8"/>
    <w:rsid w:val="007F659B"/>
    <w:rsid w:val="007F7FC9"/>
    <w:rsid w:val="00801F57"/>
    <w:rsid w:val="0080441E"/>
    <w:rsid w:val="0080454E"/>
    <w:rsid w:val="00804C32"/>
    <w:rsid w:val="00806302"/>
    <w:rsid w:val="00806C4D"/>
    <w:rsid w:val="00807119"/>
    <w:rsid w:val="0081252A"/>
    <w:rsid w:val="0082483F"/>
    <w:rsid w:val="008279C0"/>
    <w:rsid w:val="0083387A"/>
    <w:rsid w:val="00837300"/>
    <w:rsid w:val="00841EB0"/>
    <w:rsid w:val="00842456"/>
    <w:rsid w:val="008453AC"/>
    <w:rsid w:val="0084745E"/>
    <w:rsid w:val="00854E67"/>
    <w:rsid w:val="0086213E"/>
    <w:rsid w:val="00863E39"/>
    <w:rsid w:val="00867701"/>
    <w:rsid w:val="00871C74"/>
    <w:rsid w:val="008723F3"/>
    <w:rsid w:val="00876F56"/>
    <w:rsid w:val="008807E2"/>
    <w:rsid w:val="008818BE"/>
    <w:rsid w:val="00881DE6"/>
    <w:rsid w:val="008837A6"/>
    <w:rsid w:val="0088478C"/>
    <w:rsid w:val="0089145D"/>
    <w:rsid w:val="00891690"/>
    <w:rsid w:val="008A4DF2"/>
    <w:rsid w:val="008A6CFE"/>
    <w:rsid w:val="008B2E05"/>
    <w:rsid w:val="008B5333"/>
    <w:rsid w:val="008B58D5"/>
    <w:rsid w:val="008B6223"/>
    <w:rsid w:val="008B6A38"/>
    <w:rsid w:val="008B72B8"/>
    <w:rsid w:val="008C66E0"/>
    <w:rsid w:val="008D02DF"/>
    <w:rsid w:val="008D1616"/>
    <w:rsid w:val="008D6488"/>
    <w:rsid w:val="008E1D13"/>
    <w:rsid w:val="008E3339"/>
    <w:rsid w:val="008E73CD"/>
    <w:rsid w:val="008F20FC"/>
    <w:rsid w:val="008F3A61"/>
    <w:rsid w:val="008F5FFE"/>
    <w:rsid w:val="008F6064"/>
    <w:rsid w:val="00905A43"/>
    <w:rsid w:val="00912C79"/>
    <w:rsid w:val="0091704D"/>
    <w:rsid w:val="00921B8C"/>
    <w:rsid w:val="00924DAF"/>
    <w:rsid w:val="00930485"/>
    <w:rsid w:val="00931D14"/>
    <w:rsid w:val="00940C0D"/>
    <w:rsid w:val="00942123"/>
    <w:rsid w:val="009452DF"/>
    <w:rsid w:val="00951AA8"/>
    <w:rsid w:val="0095207B"/>
    <w:rsid w:val="00962045"/>
    <w:rsid w:val="009801D7"/>
    <w:rsid w:val="00980E61"/>
    <w:rsid w:val="00982766"/>
    <w:rsid w:val="00986FD5"/>
    <w:rsid w:val="00991428"/>
    <w:rsid w:val="00992676"/>
    <w:rsid w:val="009954B2"/>
    <w:rsid w:val="0099597B"/>
    <w:rsid w:val="00996691"/>
    <w:rsid w:val="009A2CCB"/>
    <w:rsid w:val="009A3AB7"/>
    <w:rsid w:val="009A41C3"/>
    <w:rsid w:val="009B0723"/>
    <w:rsid w:val="009B07AD"/>
    <w:rsid w:val="009B0883"/>
    <w:rsid w:val="009B15E2"/>
    <w:rsid w:val="009B4976"/>
    <w:rsid w:val="009C0B8E"/>
    <w:rsid w:val="009C1BC8"/>
    <w:rsid w:val="009C2240"/>
    <w:rsid w:val="009C2442"/>
    <w:rsid w:val="009D0811"/>
    <w:rsid w:val="009D0EE1"/>
    <w:rsid w:val="009D3AF0"/>
    <w:rsid w:val="009D63D0"/>
    <w:rsid w:val="009E2AEB"/>
    <w:rsid w:val="009E2E27"/>
    <w:rsid w:val="009E45DF"/>
    <w:rsid w:val="009E4DE3"/>
    <w:rsid w:val="009F275E"/>
    <w:rsid w:val="00A047EE"/>
    <w:rsid w:val="00A17ECD"/>
    <w:rsid w:val="00A20518"/>
    <w:rsid w:val="00A20681"/>
    <w:rsid w:val="00A2274A"/>
    <w:rsid w:val="00A235B7"/>
    <w:rsid w:val="00A25280"/>
    <w:rsid w:val="00A27A7A"/>
    <w:rsid w:val="00A326B8"/>
    <w:rsid w:val="00A34ABE"/>
    <w:rsid w:val="00A350ED"/>
    <w:rsid w:val="00A40114"/>
    <w:rsid w:val="00A407EF"/>
    <w:rsid w:val="00A42BA1"/>
    <w:rsid w:val="00A46B4C"/>
    <w:rsid w:val="00A50DBD"/>
    <w:rsid w:val="00A5117B"/>
    <w:rsid w:val="00A56D34"/>
    <w:rsid w:val="00A60074"/>
    <w:rsid w:val="00A6627C"/>
    <w:rsid w:val="00A71019"/>
    <w:rsid w:val="00A750A5"/>
    <w:rsid w:val="00A75D5D"/>
    <w:rsid w:val="00A81029"/>
    <w:rsid w:val="00A84235"/>
    <w:rsid w:val="00A845F5"/>
    <w:rsid w:val="00A93DA0"/>
    <w:rsid w:val="00A96489"/>
    <w:rsid w:val="00AA2435"/>
    <w:rsid w:val="00AB2425"/>
    <w:rsid w:val="00AB5DB7"/>
    <w:rsid w:val="00AB685C"/>
    <w:rsid w:val="00AB6C2D"/>
    <w:rsid w:val="00AC08F7"/>
    <w:rsid w:val="00AC317D"/>
    <w:rsid w:val="00AC3839"/>
    <w:rsid w:val="00AC7082"/>
    <w:rsid w:val="00AD4BE8"/>
    <w:rsid w:val="00AD53E2"/>
    <w:rsid w:val="00AE37F5"/>
    <w:rsid w:val="00AE5B6F"/>
    <w:rsid w:val="00AF228E"/>
    <w:rsid w:val="00B016A8"/>
    <w:rsid w:val="00B036B6"/>
    <w:rsid w:val="00B04033"/>
    <w:rsid w:val="00B05D01"/>
    <w:rsid w:val="00B14819"/>
    <w:rsid w:val="00B155E7"/>
    <w:rsid w:val="00B15E2F"/>
    <w:rsid w:val="00B16A1B"/>
    <w:rsid w:val="00B17AA9"/>
    <w:rsid w:val="00B26DF9"/>
    <w:rsid w:val="00B27A52"/>
    <w:rsid w:val="00B44713"/>
    <w:rsid w:val="00B455E5"/>
    <w:rsid w:val="00B51B95"/>
    <w:rsid w:val="00B55D88"/>
    <w:rsid w:val="00B56103"/>
    <w:rsid w:val="00B604A1"/>
    <w:rsid w:val="00B62F87"/>
    <w:rsid w:val="00B63433"/>
    <w:rsid w:val="00B64929"/>
    <w:rsid w:val="00B736DF"/>
    <w:rsid w:val="00B743D6"/>
    <w:rsid w:val="00B74FBD"/>
    <w:rsid w:val="00B77F46"/>
    <w:rsid w:val="00B82586"/>
    <w:rsid w:val="00B829A3"/>
    <w:rsid w:val="00B86DB1"/>
    <w:rsid w:val="00B87869"/>
    <w:rsid w:val="00B91EB7"/>
    <w:rsid w:val="00B9639B"/>
    <w:rsid w:val="00BA1CFD"/>
    <w:rsid w:val="00BB0F2B"/>
    <w:rsid w:val="00BB7098"/>
    <w:rsid w:val="00BC47A7"/>
    <w:rsid w:val="00BD66F3"/>
    <w:rsid w:val="00BE4FF3"/>
    <w:rsid w:val="00BE532B"/>
    <w:rsid w:val="00BF2C93"/>
    <w:rsid w:val="00BF50F7"/>
    <w:rsid w:val="00C005FF"/>
    <w:rsid w:val="00C02F29"/>
    <w:rsid w:val="00C07599"/>
    <w:rsid w:val="00C17718"/>
    <w:rsid w:val="00C20AFE"/>
    <w:rsid w:val="00C212AF"/>
    <w:rsid w:val="00C22A25"/>
    <w:rsid w:val="00C305F5"/>
    <w:rsid w:val="00C35671"/>
    <w:rsid w:val="00C35B77"/>
    <w:rsid w:val="00C36D09"/>
    <w:rsid w:val="00C376EB"/>
    <w:rsid w:val="00C46976"/>
    <w:rsid w:val="00C46A92"/>
    <w:rsid w:val="00C46EC1"/>
    <w:rsid w:val="00C52796"/>
    <w:rsid w:val="00C53E2C"/>
    <w:rsid w:val="00C550C8"/>
    <w:rsid w:val="00C55824"/>
    <w:rsid w:val="00C56B61"/>
    <w:rsid w:val="00C570DF"/>
    <w:rsid w:val="00C606C3"/>
    <w:rsid w:val="00C620F4"/>
    <w:rsid w:val="00C63E4F"/>
    <w:rsid w:val="00C72848"/>
    <w:rsid w:val="00C752E9"/>
    <w:rsid w:val="00C76788"/>
    <w:rsid w:val="00C7736C"/>
    <w:rsid w:val="00C8084F"/>
    <w:rsid w:val="00C81BEE"/>
    <w:rsid w:val="00C82D87"/>
    <w:rsid w:val="00C8712A"/>
    <w:rsid w:val="00C902C8"/>
    <w:rsid w:val="00C91062"/>
    <w:rsid w:val="00C919D1"/>
    <w:rsid w:val="00C963D3"/>
    <w:rsid w:val="00CB0F57"/>
    <w:rsid w:val="00CB1983"/>
    <w:rsid w:val="00CB2CBB"/>
    <w:rsid w:val="00CB7CAC"/>
    <w:rsid w:val="00CC5335"/>
    <w:rsid w:val="00CC5BA4"/>
    <w:rsid w:val="00CD2D58"/>
    <w:rsid w:val="00CD4998"/>
    <w:rsid w:val="00CE1035"/>
    <w:rsid w:val="00CE4A41"/>
    <w:rsid w:val="00CE6E50"/>
    <w:rsid w:val="00CF2819"/>
    <w:rsid w:val="00CF3509"/>
    <w:rsid w:val="00CF4E7B"/>
    <w:rsid w:val="00CF4F9D"/>
    <w:rsid w:val="00CF70DC"/>
    <w:rsid w:val="00D01697"/>
    <w:rsid w:val="00D036BE"/>
    <w:rsid w:val="00D0749C"/>
    <w:rsid w:val="00D148DC"/>
    <w:rsid w:val="00D17FDC"/>
    <w:rsid w:val="00D20ADA"/>
    <w:rsid w:val="00D21D8C"/>
    <w:rsid w:val="00D231E7"/>
    <w:rsid w:val="00D23363"/>
    <w:rsid w:val="00D3335E"/>
    <w:rsid w:val="00D50416"/>
    <w:rsid w:val="00D5131C"/>
    <w:rsid w:val="00D53719"/>
    <w:rsid w:val="00D63A1B"/>
    <w:rsid w:val="00D63EFD"/>
    <w:rsid w:val="00D760E5"/>
    <w:rsid w:val="00D7620E"/>
    <w:rsid w:val="00D84752"/>
    <w:rsid w:val="00D85778"/>
    <w:rsid w:val="00D86B3B"/>
    <w:rsid w:val="00D8748A"/>
    <w:rsid w:val="00D92AE8"/>
    <w:rsid w:val="00D93196"/>
    <w:rsid w:val="00D935A5"/>
    <w:rsid w:val="00D95114"/>
    <w:rsid w:val="00DA0DC0"/>
    <w:rsid w:val="00DA493C"/>
    <w:rsid w:val="00DA6719"/>
    <w:rsid w:val="00DB243C"/>
    <w:rsid w:val="00DB482A"/>
    <w:rsid w:val="00DB48EA"/>
    <w:rsid w:val="00DB50FB"/>
    <w:rsid w:val="00DB5313"/>
    <w:rsid w:val="00DB56F2"/>
    <w:rsid w:val="00DB6EF5"/>
    <w:rsid w:val="00DC3089"/>
    <w:rsid w:val="00DC4420"/>
    <w:rsid w:val="00DC5BE9"/>
    <w:rsid w:val="00DC7DB7"/>
    <w:rsid w:val="00DD0802"/>
    <w:rsid w:val="00DD2E11"/>
    <w:rsid w:val="00DE03AF"/>
    <w:rsid w:val="00DE121C"/>
    <w:rsid w:val="00DE1324"/>
    <w:rsid w:val="00DE6633"/>
    <w:rsid w:val="00DF3EE2"/>
    <w:rsid w:val="00DF75F8"/>
    <w:rsid w:val="00DF7A3A"/>
    <w:rsid w:val="00E00C00"/>
    <w:rsid w:val="00E07C5A"/>
    <w:rsid w:val="00E141D2"/>
    <w:rsid w:val="00E15BA9"/>
    <w:rsid w:val="00E257BB"/>
    <w:rsid w:val="00E26E19"/>
    <w:rsid w:val="00E30DD2"/>
    <w:rsid w:val="00E31DF3"/>
    <w:rsid w:val="00E33DFF"/>
    <w:rsid w:val="00E3594C"/>
    <w:rsid w:val="00E443D7"/>
    <w:rsid w:val="00E450A4"/>
    <w:rsid w:val="00E45502"/>
    <w:rsid w:val="00E506BE"/>
    <w:rsid w:val="00E55547"/>
    <w:rsid w:val="00E6302B"/>
    <w:rsid w:val="00E6452F"/>
    <w:rsid w:val="00E64F45"/>
    <w:rsid w:val="00E6562D"/>
    <w:rsid w:val="00E6742D"/>
    <w:rsid w:val="00E71CB0"/>
    <w:rsid w:val="00E77C3D"/>
    <w:rsid w:val="00E833F4"/>
    <w:rsid w:val="00E90991"/>
    <w:rsid w:val="00E909F0"/>
    <w:rsid w:val="00E90D47"/>
    <w:rsid w:val="00E93993"/>
    <w:rsid w:val="00E94797"/>
    <w:rsid w:val="00E9597C"/>
    <w:rsid w:val="00EA0913"/>
    <w:rsid w:val="00EA3B38"/>
    <w:rsid w:val="00EA4702"/>
    <w:rsid w:val="00EA5B00"/>
    <w:rsid w:val="00EB146B"/>
    <w:rsid w:val="00EB3A06"/>
    <w:rsid w:val="00EB45AC"/>
    <w:rsid w:val="00EC2267"/>
    <w:rsid w:val="00EC441F"/>
    <w:rsid w:val="00EC4755"/>
    <w:rsid w:val="00ED0621"/>
    <w:rsid w:val="00ED0BC4"/>
    <w:rsid w:val="00ED447D"/>
    <w:rsid w:val="00EE4971"/>
    <w:rsid w:val="00EE6CB0"/>
    <w:rsid w:val="00EF090E"/>
    <w:rsid w:val="00EF1C74"/>
    <w:rsid w:val="00EF5572"/>
    <w:rsid w:val="00F01D7D"/>
    <w:rsid w:val="00F033DA"/>
    <w:rsid w:val="00F07ED8"/>
    <w:rsid w:val="00F13691"/>
    <w:rsid w:val="00F13B24"/>
    <w:rsid w:val="00F13FB1"/>
    <w:rsid w:val="00F20CCF"/>
    <w:rsid w:val="00F2453D"/>
    <w:rsid w:val="00F253AE"/>
    <w:rsid w:val="00F25CA6"/>
    <w:rsid w:val="00F27CD8"/>
    <w:rsid w:val="00F30351"/>
    <w:rsid w:val="00F3323E"/>
    <w:rsid w:val="00F341F4"/>
    <w:rsid w:val="00F34F9D"/>
    <w:rsid w:val="00F35CCE"/>
    <w:rsid w:val="00F37DC9"/>
    <w:rsid w:val="00F41146"/>
    <w:rsid w:val="00F5524B"/>
    <w:rsid w:val="00F60538"/>
    <w:rsid w:val="00F61DD2"/>
    <w:rsid w:val="00F62E7A"/>
    <w:rsid w:val="00F65548"/>
    <w:rsid w:val="00F66AFF"/>
    <w:rsid w:val="00F70126"/>
    <w:rsid w:val="00F71433"/>
    <w:rsid w:val="00F738A8"/>
    <w:rsid w:val="00F77F95"/>
    <w:rsid w:val="00F82300"/>
    <w:rsid w:val="00F87B04"/>
    <w:rsid w:val="00F97C5B"/>
    <w:rsid w:val="00FA0D95"/>
    <w:rsid w:val="00FA12B9"/>
    <w:rsid w:val="00FA3D50"/>
    <w:rsid w:val="00FA417D"/>
    <w:rsid w:val="00FB1CD1"/>
    <w:rsid w:val="00FB2884"/>
    <w:rsid w:val="00FB31D6"/>
    <w:rsid w:val="00FB7FBD"/>
    <w:rsid w:val="00FC374A"/>
    <w:rsid w:val="00FC74C8"/>
    <w:rsid w:val="00FC7B47"/>
    <w:rsid w:val="00FD035C"/>
    <w:rsid w:val="00FD1A0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2893</TotalTime>
  <Pages>11</Pages>
  <Words>4089</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Kenna</cp:lastModifiedBy>
  <cp:revision>187</cp:revision>
  <cp:lastPrinted>2019-08-27T05:42:00Z</cp:lastPrinted>
  <dcterms:created xsi:type="dcterms:W3CDTF">2023-02-25T19:33:00Z</dcterms:created>
  <dcterms:modified xsi:type="dcterms:W3CDTF">2023-03-01T19:19:00Z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MSIP_Label_ea60d57e-af5b-4752-ac57-3e4f28ca11dc_Enabled">
    <vt:lpwstr>true</vt:lpwstr>
  </property>
  <property fmtid="{D5CDD505-2E9C-101B-9397-08002B2CF9AE}" pid="4" name="MSIP_Label_ea60d57e-af5b-4752-ac57-3e4f28ca11dc_SetDate">
    <vt:lpwstr>2022-11-24T19:42:11Z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2b775741-8f95-4122-8ed6-4ec01c8ca549</vt:lpwstr>
  </property>
  <property fmtid="{D5CDD505-2E9C-101B-9397-08002B2CF9AE}" pid="9" name="MSIP_Label_ea60d57e-af5b-4752-ac57-3e4f28ca11dc_ContentBits">
    <vt:lpwstr>0</vt:lpwstr>
  </property>
</Properties>
</file>