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7F1F71">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8E3C96">
        <w:rPr>
          <w:rFonts w:ascii="Avenir Next" w:hAnsi="Avenir Next" w:cs="Arial"/>
          <w:sz w:val="22"/>
          <w:szCs w:val="22"/>
          <w:lang w:val="en-GB"/>
        </w:rPr>
        <w:t>.</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E116B6"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E116B6">
        <w:rPr>
          <w:rFonts w:ascii="Avenir Next" w:hAnsi="Avenir Next" w:cs="Arial"/>
          <w:iCs/>
          <w:sz w:val="22"/>
          <w:szCs w:val="22"/>
          <w:highlight w:val="yellow"/>
          <w:lang w:val="en-GB"/>
        </w:rPr>
        <w:t>t</w:t>
      </w:r>
      <w:r w:rsidR="00302D76" w:rsidRPr="00E116B6">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EB44F8"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EB44F8">
        <w:rPr>
          <w:rFonts w:ascii="Avenir Next" w:hAnsi="Avenir Next" w:cs="Arial"/>
          <w:iCs/>
          <w:sz w:val="22"/>
          <w:szCs w:val="22"/>
          <w:highlight w:val="yellow"/>
          <w:lang w:val="en-GB"/>
        </w:rPr>
        <w:t xml:space="preserve">The EIR 2000 was generally regarded as a successful instrument </w:t>
      </w:r>
      <w:proofErr w:type="gramStart"/>
      <w:r w:rsidRPr="00EB44F8">
        <w:rPr>
          <w:rFonts w:ascii="Avenir Next" w:hAnsi="Avenir Next" w:cs="Arial"/>
          <w:iCs/>
          <w:sz w:val="22"/>
          <w:szCs w:val="22"/>
          <w:highlight w:val="yellow"/>
          <w:lang w:val="en-GB"/>
        </w:rPr>
        <w:t>in the area of</w:t>
      </w:r>
      <w:proofErr w:type="gramEnd"/>
      <w:r w:rsidRPr="00EB44F8">
        <w:rPr>
          <w:rFonts w:ascii="Avenir Next" w:hAnsi="Avenir Next" w:cs="Arial"/>
          <w:iCs/>
          <w:sz w:val="22"/>
          <w:szCs w:val="22"/>
          <w:highlight w:val="yellow"/>
          <w:lang w:val="en-GB"/>
        </w:rPr>
        <w:t xml:space="preserve"> European insolvency law by the EU institutions, practitioners and academics. However, </w:t>
      </w:r>
      <w:proofErr w:type="gramStart"/>
      <w:r w:rsidRPr="00EB44F8">
        <w:rPr>
          <w:rFonts w:ascii="Avenir Next" w:hAnsi="Avenir Next" w:cs="Arial"/>
          <w:iCs/>
          <w:sz w:val="22"/>
          <w:szCs w:val="22"/>
          <w:highlight w:val="yellow"/>
          <w:lang w:val="en-GB"/>
        </w:rPr>
        <w:t>a number of</w:t>
      </w:r>
      <w:proofErr w:type="gramEnd"/>
      <w:r w:rsidRPr="00EB44F8">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3904E0" w:rsidRDefault="00971896" w:rsidP="003C4BCB">
      <w:pPr>
        <w:pStyle w:val="ListParagraph"/>
        <w:numPr>
          <w:ilvl w:val="0"/>
          <w:numId w:val="5"/>
        </w:numPr>
        <w:ind w:left="426"/>
        <w:jc w:val="both"/>
        <w:rPr>
          <w:rFonts w:ascii="Avenir Next" w:hAnsi="Avenir Next" w:cs="Arial"/>
          <w:sz w:val="22"/>
          <w:szCs w:val="22"/>
          <w:highlight w:val="yellow"/>
          <w:lang w:val="en-GB"/>
        </w:rPr>
      </w:pPr>
      <w:r w:rsidRPr="003904E0">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3904E0">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3904E0" w:rsidRDefault="00874240" w:rsidP="003C4BCB">
      <w:pPr>
        <w:pStyle w:val="ListParagraph"/>
        <w:numPr>
          <w:ilvl w:val="0"/>
          <w:numId w:val="5"/>
        </w:numPr>
        <w:ind w:left="426"/>
        <w:jc w:val="both"/>
        <w:rPr>
          <w:rFonts w:ascii="Avenir Next" w:hAnsi="Avenir Next" w:cs="Arial"/>
          <w:sz w:val="22"/>
          <w:szCs w:val="22"/>
          <w:lang w:val="en-GB"/>
        </w:rPr>
      </w:pPr>
      <w:r w:rsidRPr="003904E0">
        <w:rPr>
          <w:rFonts w:ascii="Avenir Next" w:hAnsi="Avenir Next" w:cs="Arial"/>
          <w:sz w:val="22"/>
          <w:szCs w:val="22"/>
          <w:lang w:val="en-GB"/>
        </w:rPr>
        <w:t xml:space="preserve">It is incorrect to say that the EIR Recast </w:t>
      </w:r>
      <w:r w:rsidR="006F0106" w:rsidRPr="003904E0">
        <w:rPr>
          <w:rFonts w:ascii="Avenir Next" w:hAnsi="Avenir Next" w:cs="Arial"/>
          <w:sz w:val="22"/>
          <w:szCs w:val="22"/>
          <w:lang w:val="en-GB"/>
        </w:rPr>
        <w:t xml:space="preserve">has not overhauled the </w:t>
      </w:r>
      <w:r w:rsidR="006F0106" w:rsidRPr="003904E0">
        <w:rPr>
          <w:rFonts w:ascii="Avenir Next" w:hAnsi="Avenir Next" w:cs="Arial"/>
          <w:i/>
          <w:iCs/>
          <w:sz w:val="22"/>
          <w:szCs w:val="22"/>
          <w:lang w:val="en-GB"/>
        </w:rPr>
        <w:t>status quo</w:t>
      </w:r>
      <w:r w:rsidR="006F0106" w:rsidRPr="003904E0">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EA14B3" w:rsidRDefault="00302D76" w:rsidP="008E3C96">
      <w:pPr>
        <w:pStyle w:val="ListParagraph"/>
        <w:numPr>
          <w:ilvl w:val="0"/>
          <w:numId w:val="28"/>
        </w:numPr>
        <w:ind w:left="426"/>
        <w:jc w:val="both"/>
        <w:rPr>
          <w:rFonts w:ascii="Avenir Next" w:hAnsi="Avenir Next" w:cs="Arial"/>
          <w:sz w:val="22"/>
          <w:szCs w:val="22"/>
          <w:highlight w:val="yellow"/>
          <w:lang w:val="en-GB"/>
        </w:rPr>
      </w:pPr>
      <w:r w:rsidRPr="00EA14B3">
        <w:rPr>
          <w:rFonts w:ascii="Avenir Next" w:hAnsi="Avenir Next" w:cs="Arial"/>
          <w:sz w:val="22"/>
          <w:szCs w:val="22"/>
          <w:highlight w:val="yellow"/>
          <w:lang w:val="en-GB"/>
        </w:rPr>
        <w:t>Article 18 EIR Recast (“</w:t>
      </w:r>
      <w:r w:rsidRPr="00EA14B3">
        <w:rPr>
          <w:rFonts w:ascii="Avenir Next" w:hAnsi="Avenir Next" w:cs="Arial"/>
          <w:bCs/>
          <w:sz w:val="22"/>
          <w:szCs w:val="22"/>
          <w:highlight w:val="yellow"/>
          <w:lang w:val="en-GB"/>
        </w:rPr>
        <w:t>Effects of insolvency proceedings on pending lawsuits or arbitral proceedings”</w:t>
      </w:r>
      <w:r w:rsidRPr="00EA14B3">
        <w:rPr>
          <w:rFonts w:ascii="Avenir Next" w:hAnsi="Avenir Next" w:cs="Arial"/>
          <w:sz w:val="22"/>
          <w:szCs w:val="22"/>
          <w:highlight w:val="yellow"/>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5B0260">
        <w:rPr>
          <w:rFonts w:ascii="Avenir Next Demi Bold" w:hAnsi="Avenir Next Demi Bold" w:cs="Arial"/>
          <w:b/>
          <w:bCs/>
          <w:sz w:val="22"/>
          <w:szCs w:val="22"/>
        </w:rPr>
        <w:t>Question 1.6</w:t>
      </w:r>
      <w:r w:rsidRPr="006723E9">
        <w:rPr>
          <w:rFonts w:ascii="Avenir Next Demi Bold" w:hAnsi="Avenir Next Demi Bold" w:cs="Arial"/>
          <w:b/>
          <w:bCs/>
          <w:sz w:val="22"/>
          <w:szCs w:val="22"/>
        </w:rPr>
        <w:t xml:space="preserve">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147417" w:rsidRDefault="00113E29" w:rsidP="00FB6122">
      <w:pPr>
        <w:pStyle w:val="ListParagraph"/>
        <w:numPr>
          <w:ilvl w:val="0"/>
          <w:numId w:val="7"/>
        </w:numPr>
        <w:ind w:left="426"/>
        <w:jc w:val="both"/>
        <w:rPr>
          <w:rFonts w:ascii="Avenir Next" w:hAnsi="Avenir Next" w:cs="Arial"/>
          <w:sz w:val="22"/>
          <w:szCs w:val="22"/>
          <w:lang w:val="en-GB"/>
        </w:rPr>
      </w:pPr>
      <w:r w:rsidRPr="00147417">
        <w:rPr>
          <w:rFonts w:ascii="Avenir Next" w:hAnsi="Avenir Next" w:cs="Arial"/>
          <w:sz w:val="22"/>
          <w:szCs w:val="22"/>
          <w:lang w:val="en-GB"/>
        </w:rPr>
        <w:t xml:space="preserve">The </w:t>
      </w:r>
      <w:r w:rsidR="00782DF0" w:rsidRPr="00147417">
        <w:rPr>
          <w:rFonts w:ascii="Avenir Next" w:hAnsi="Avenir Next" w:cs="Arial"/>
          <w:sz w:val="22"/>
          <w:szCs w:val="22"/>
          <w:lang w:val="en-GB"/>
        </w:rPr>
        <w:t xml:space="preserve">ECJ has provided a definition of </w:t>
      </w:r>
      <w:r w:rsidR="001A68CC" w:rsidRPr="00147417">
        <w:rPr>
          <w:rFonts w:ascii="Avenir Next" w:hAnsi="Avenir Next" w:cs="Arial"/>
          <w:sz w:val="22"/>
          <w:szCs w:val="22"/>
          <w:lang w:val="en-GB"/>
        </w:rPr>
        <w:t>“</w:t>
      </w:r>
      <w:r w:rsidR="00782DF0" w:rsidRPr="00147417">
        <w:rPr>
          <w:rFonts w:ascii="Avenir Next" w:hAnsi="Avenir Next" w:cs="Arial"/>
          <w:sz w:val="22"/>
          <w:szCs w:val="22"/>
          <w:lang w:val="en-GB"/>
        </w:rPr>
        <w:t>insolvency</w:t>
      </w:r>
      <w:r w:rsidR="001A68CC" w:rsidRPr="00147417">
        <w:rPr>
          <w:rFonts w:ascii="Avenir Next" w:hAnsi="Avenir Next" w:cs="Arial"/>
          <w:sz w:val="22"/>
          <w:szCs w:val="22"/>
          <w:lang w:val="en-GB"/>
        </w:rPr>
        <w:t>”</w:t>
      </w:r>
      <w:r w:rsidR="00782DF0" w:rsidRPr="00147417">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D4045" w:rsidRDefault="00CA7069" w:rsidP="003C4BCB">
      <w:pPr>
        <w:pStyle w:val="ListParagraph"/>
        <w:numPr>
          <w:ilvl w:val="0"/>
          <w:numId w:val="7"/>
        </w:numPr>
        <w:ind w:left="426"/>
        <w:jc w:val="both"/>
        <w:rPr>
          <w:rFonts w:ascii="Avenir Next" w:hAnsi="Avenir Next" w:cs="Arial"/>
          <w:sz w:val="22"/>
          <w:szCs w:val="22"/>
          <w:highlight w:val="yellow"/>
          <w:lang w:val="en-GB"/>
        </w:rPr>
      </w:pPr>
      <w:r w:rsidRPr="008D4045">
        <w:rPr>
          <w:rFonts w:ascii="Avenir Next" w:hAnsi="Avenir Next" w:cs="Arial"/>
          <w:sz w:val="22"/>
          <w:szCs w:val="22"/>
          <w:highlight w:val="yellow"/>
          <w:lang w:val="en-GB"/>
        </w:rPr>
        <w:t xml:space="preserve">Each Member State will define </w:t>
      </w:r>
      <w:r w:rsidR="001A68CC" w:rsidRPr="008D4045">
        <w:rPr>
          <w:rFonts w:ascii="Avenir Next" w:hAnsi="Avenir Next" w:cs="Arial"/>
          <w:sz w:val="22"/>
          <w:szCs w:val="22"/>
          <w:highlight w:val="yellow"/>
          <w:lang w:val="en-GB"/>
        </w:rPr>
        <w:t>“</w:t>
      </w:r>
      <w:r w:rsidRPr="008D4045">
        <w:rPr>
          <w:rFonts w:ascii="Avenir Next" w:hAnsi="Avenir Next" w:cs="Arial"/>
          <w:sz w:val="22"/>
          <w:szCs w:val="22"/>
          <w:highlight w:val="yellow"/>
          <w:lang w:val="en-GB"/>
        </w:rPr>
        <w:t>insolvency</w:t>
      </w:r>
      <w:r w:rsidR="001A68CC" w:rsidRPr="008D4045">
        <w:rPr>
          <w:rFonts w:ascii="Avenir Next" w:hAnsi="Avenir Next" w:cs="Arial"/>
          <w:sz w:val="22"/>
          <w:szCs w:val="22"/>
          <w:highlight w:val="yellow"/>
          <w:lang w:val="en-GB"/>
        </w:rPr>
        <w:t>”</w:t>
      </w:r>
      <w:r w:rsidRPr="008D4045">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7C7B23" w:rsidRDefault="00CA7069" w:rsidP="00CA7069">
      <w:pPr>
        <w:pStyle w:val="ListParagraph"/>
        <w:numPr>
          <w:ilvl w:val="0"/>
          <w:numId w:val="8"/>
        </w:numPr>
        <w:ind w:left="426"/>
        <w:jc w:val="both"/>
        <w:rPr>
          <w:rFonts w:ascii="Avenir Next" w:hAnsi="Avenir Next" w:cs="Arial"/>
          <w:sz w:val="22"/>
          <w:szCs w:val="22"/>
          <w:highlight w:val="yellow"/>
          <w:lang w:val="en-GB"/>
        </w:rPr>
      </w:pPr>
      <w:r w:rsidRPr="007C7B2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A87C5C" w:rsidRDefault="0034705B" w:rsidP="003C4BCB">
      <w:pPr>
        <w:pStyle w:val="ListParagraph"/>
        <w:numPr>
          <w:ilvl w:val="0"/>
          <w:numId w:val="8"/>
        </w:numPr>
        <w:ind w:left="426"/>
        <w:jc w:val="both"/>
        <w:rPr>
          <w:rFonts w:ascii="Avenir Next" w:hAnsi="Avenir Next" w:cs="Arial"/>
          <w:sz w:val="22"/>
          <w:szCs w:val="22"/>
          <w:lang w:val="en-GB"/>
        </w:rPr>
      </w:pPr>
      <w:r w:rsidRPr="00A87C5C">
        <w:rPr>
          <w:rFonts w:ascii="Avenir Next" w:hAnsi="Avenir Next" w:cs="Arial"/>
          <w:sz w:val="22"/>
          <w:szCs w:val="22"/>
          <w:lang w:val="en-GB"/>
        </w:rPr>
        <w:t>“</w:t>
      </w:r>
      <w:r w:rsidR="00F814B4" w:rsidRPr="00A87C5C">
        <w:rPr>
          <w:rFonts w:ascii="Avenir Next" w:hAnsi="Avenir Next" w:cs="Arial"/>
          <w:sz w:val="22"/>
          <w:szCs w:val="22"/>
          <w:lang w:val="en-GB"/>
        </w:rPr>
        <w:t>Synthetic proceedings</w:t>
      </w:r>
      <w:r w:rsidRPr="00A87C5C">
        <w:rPr>
          <w:rFonts w:ascii="Avenir Next" w:hAnsi="Avenir Next" w:cs="Arial"/>
          <w:sz w:val="22"/>
          <w:szCs w:val="22"/>
          <w:lang w:val="en-GB"/>
        </w:rPr>
        <w:t>”</w:t>
      </w:r>
      <w:r w:rsidR="00F814B4" w:rsidRPr="00A87C5C">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382AB7" w:rsidRDefault="00C15FA2" w:rsidP="008E3C96">
      <w:pPr>
        <w:pStyle w:val="ListParagraph"/>
        <w:numPr>
          <w:ilvl w:val="0"/>
          <w:numId w:val="29"/>
        </w:numPr>
        <w:ind w:left="426"/>
        <w:jc w:val="both"/>
        <w:rPr>
          <w:rFonts w:ascii="Avenir Next" w:hAnsi="Avenir Next" w:cs="Arial"/>
          <w:sz w:val="22"/>
          <w:szCs w:val="22"/>
          <w:highlight w:val="yellow"/>
          <w:lang w:val="en-GB"/>
        </w:rPr>
      </w:pPr>
      <w:r w:rsidRPr="00382AB7">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1B6C78" w:rsidRDefault="00EC242E" w:rsidP="008E3C96">
      <w:pPr>
        <w:pStyle w:val="ListParagraph"/>
        <w:numPr>
          <w:ilvl w:val="0"/>
          <w:numId w:val="30"/>
        </w:numPr>
        <w:ind w:left="426"/>
        <w:jc w:val="both"/>
        <w:rPr>
          <w:rFonts w:ascii="Avenir Next" w:hAnsi="Avenir Next" w:cs="Arial"/>
          <w:sz w:val="22"/>
          <w:szCs w:val="22"/>
          <w:highlight w:val="yellow"/>
          <w:lang w:val="en-GB"/>
        </w:rPr>
      </w:pPr>
      <w:r w:rsidRPr="001B6C78">
        <w:rPr>
          <w:rFonts w:ascii="Avenir Next" w:hAnsi="Avenir Next" w:cs="Arial"/>
          <w:sz w:val="22"/>
          <w:szCs w:val="22"/>
          <w:highlight w:val="yellow"/>
          <w:lang w:val="en-GB"/>
        </w:rPr>
        <w:t xml:space="preserve">The rule applied by the court, which has opened insolvency proceedings (originating court), is unknown or does not have an </w:t>
      </w:r>
      <w:r w:rsidR="00857862" w:rsidRPr="001B6C78">
        <w:rPr>
          <w:rFonts w:ascii="Avenir Next" w:hAnsi="Avenir Next" w:cs="Arial"/>
          <w:sz w:val="22"/>
          <w:szCs w:val="22"/>
          <w:highlight w:val="yellow"/>
          <w:lang w:val="en-GB"/>
        </w:rPr>
        <w:t>equivalent</w:t>
      </w:r>
      <w:r w:rsidRPr="001B6C78">
        <w:rPr>
          <w:rFonts w:ascii="Avenir Next" w:hAnsi="Avenir Next" w:cs="Arial"/>
          <w:sz w:val="22"/>
          <w:szCs w:val="22"/>
          <w:highlight w:val="yellow"/>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EB23D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FE23CB" w:rsidRDefault="00EC242E" w:rsidP="00EC242E">
      <w:pPr>
        <w:pStyle w:val="ListParagraph"/>
        <w:numPr>
          <w:ilvl w:val="0"/>
          <w:numId w:val="9"/>
        </w:numPr>
        <w:ind w:left="426"/>
        <w:jc w:val="both"/>
        <w:rPr>
          <w:rFonts w:ascii="Avenir Next" w:hAnsi="Avenir Next" w:cs="Arial"/>
          <w:sz w:val="22"/>
          <w:szCs w:val="22"/>
          <w:lang w:val="en-GB"/>
        </w:rPr>
      </w:pPr>
      <w:r w:rsidRPr="00FE23CB">
        <w:rPr>
          <w:rFonts w:ascii="Avenir Next" w:hAnsi="Avenir Next" w:cs="Arial"/>
          <w:sz w:val="22"/>
          <w:szCs w:val="22"/>
          <w:lang w:val="en-GB"/>
        </w:rPr>
        <w:t xml:space="preserve">The contested transactions cannot be avoided if </w:t>
      </w:r>
      <w:proofErr w:type="spellStart"/>
      <w:r w:rsidRPr="00FE23CB">
        <w:rPr>
          <w:rFonts w:ascii="Avenir Next" w:hAnsi="Avenir Next" w:cs="Arial"/>
          <w:sz w:val="22"/>
          <w:szCs w:val="22"/>
          <w:lang w:val="en-GB"/>
        </w:rPr>
        <w:t>Canetier</w:t>
      </w:r>
      <w:proofErr w:type="spellEnd"/>
      <w:r w:rsidRPr="00FE23CB">
        <w:rPr>
          <w:rFonts w:ascii="Avenir Next" w:hAnsi="Avenir Next" w:cs="Arial"/>
          <w:sz w:val="22"/>
          <w:szCs w:val="22"/>
          <w:lang w:val="en-GB"/>
        </w:rPr>
        <w:t xml:space="preserve"> SARL can prove that the </w:t>
      </w:r>
      <w:r w:rsidRPr="00FE23CB">
        <w:rPr>
          <w:rFonts w:ascii="Avenir Next" w:hAnsi="Avenir Next" w:cs="Arial"/>
          <w:i/>
          <w:sz w:val="22"/>
          <w:szCs w:val="22"/>
          <w:lang w:val="en-GB"/>
        </w:rPr>
        <w:t xml:space="preserve">lex </w:t>
      </w:r>
      <w:proofErr w:type="spellStart"/>
      <w:r w:rsidRPr="00FE23CB">
        <w:rPr>
          <w:rFonts w:ascii="Avenir Next" w:hAnsi="Avenir Next" w:cs="Arial"/>
          <w:i/>
          <w:sz w:val="22"/>
          <w:szCs w:val="22"/>
          <w:lang w:val="en-GB"/>
        </w:rPr>
        <w:t>causae</w:t>
      </w:r>
      <w:proofErr w:type="spellEnd"/>
      <w:r w:rsidRPr="00FE23CB">
        <w:rPr>
          <w:rFonts w:ascii="Avenir Next" w:hAnsi="Avenir Next" w:cs="Arial"/>
          <w:sz w:val="22"/>
          <w:szCs w:val="22"/>
          <w:lang w:val="en-GB"/>
        </w:rPr>
        <w:t xml:space="preserve"> (including its general provisions and insolvency rules) does not allow any means of challenging the contested </w:t>
      </w:r>
      <w:proofErr w:type="gramStart"/>
      <w:r w:rsidRPr="00FE23CB">
        <w:rPr>
          <w:rFonts w:ascii="Avenir Next" w:hAnsi="Avenir Next" w:cs="Arial"/>
          <w:sz w:val="22"/>
          <w:szCs w:val="22"/>
          <w:lang w:val="en-GB"/>
        </w:rPr>
        <w:t>transactions, and</w:t>
      </w:r>
      <w:proofErr w:type="gramEnd"/>
      <w:r w:rsidRPr="00FE23CB">
        <w:rPr>
          <w:rFonts w:ascii="Avenir Next" w:hAnsi="Avenir Next" w:cs="Arial"/>
          <w:sz w:val="22"/>
          <w:szCs w:val="22"/>
          <w:lang w:val="en-GB"/>
        </w:rPr>
        <w:t xml:space="preserve"> provided that the parties did not choose that law for abusive or fraudulent ends.</w:t>
      </w:r>
    </w:p>
    <w:p w14:paraId="2DC65C69" w14:textId="77777777" w:rsidR="00EC242E" w:rsidRPr="00832F60" w:rsidRDefault="00EC242E" w:rsidP="00EC242E">
      <w:pPr>
        <w:pStyle w:val="ListParagraph"/>
        <w:ind w:left="426"/>
        <w:jc w:val="both"/>
        <w:rPr>
          <w:rFonts w:ascii="Avenir Next" w:hAnsi="Avenir Next" w:cs="Arial"/>
          <w:sz w:val="22"/>
          <w:szCs w:val="22"/>
          <w:lang w:val="en-GB"/>
        </w:rPr>
      </w:pPr>
    </w:p>
    <w:p w14:paraId="22DD9FEF" w14:textId="18795AB2" w:rsidR="00054E15" w:rsidRPr="00FE23CB" w:rsidRDefault="00054E15" w:rsidP="00054E15">
      <w:pPr>
        <w:pStyle w:val="ListParagraph"/>
        <w:numPr>
          <w:ilvl w:val="0"/>
          <w:numId w:val="9"/>
        </w:numPr>
        <w:ind w:left="426"/>
        <w:jc w:val="both"/>
        <w:rPr>
          <w:rFonts w:ascii="Avenir Next" w:hAnsi="Avenir Next" w:cs="Arial"/>
          <w:sz w:val="22"/>
          <w:szCs w:val="22"/>
          <w:highlight w:val="yellow"/>
          <w:lang w:val="en-GB"/>
        </w:rPr>
      </w:pPr>
      <w:r w:rsidRPr="00FE23CB">
        <w:rPr>
          <w:rFonts w:ascii="Avenir Next" w:hAnsi="Avenir Next" w:cs="Arial"/>
          <w:sz w:val="22"/>
          <w:szCs w:val="22"/>
          <w:highlight w:val="yellow"/>
          <w:lang w:val="en-GB"/>
        </w:rPr>
        <w:t xml:space="preserve">The contested payments </w:t>
      </w:r>
      <w:r w:rsidR="00FC235E" w:rsidRPr="00FE23CB">
        <w:rPr>
          <w:rFonts w:ascii="Avenir Next" w:hAnsi="Avenir Next" w:cs="Arial"/>
          <w:sz w:val="22"/>
          <w:szCs w:val="22"/>
          <w:highlight w:val="yellow"/>
          <w:lang w:val="en-GB"/>
        </w:rPr>
        <w:t>will</w:t>
      </w:r>
      <w:r w:rsidRPr="00FE23CB">
        <w:rPr>
          <w:rFonts w:ascii="Avenir Next" w:hAnsi="Avenir Next" w:cs="Arial"/>
          <w:sz w:val="22"/>
          <w:szCs w:val="22"/>
          <w:highlight w:val="yellow"/>
          <w:lang w:val="en-GB"/>
        </w:rPr>
        <w:t xml:space="preserve"> not be avoided if </w:t>
      </w:r>
      <w:proofErr w:type="spellStart"/>
      <w:r w:rsidRPr="00FE23CB">
        <w:rPr>
          <w:rFonts w:ascii="Avenir Next" w:hAnsi="Avenir Next" w:cs="Arial"/>
          <w:sz w:val="22"/>
          <w:szCs w:val="22"/>
          <w:highlight w:val="yellow"/>
          <w:lang w:val="en-GB"/>
        </w:rPr>
        <w:t>Canetier</w:t>
      </w:r>
      <w:proofErr w:type="spellEnd"/>
      <w:r w:rsidRPr="00FE23CB">
        <w:rPr>
          <w:rFonts w:ascii="Avenir Next" w:hAnsi="Avenir Next" w:cs="Arial"/>
          <w:sz w:val="22"/>
          <w:szCs w:val="22"/>
          <w:highlight w:val="yellow"/>
          <w:lang w:val="en-GB"/>
        </w:rPr>
        <w:t xml:space="preserve"> SARL proves that such transactions cannot be challenged </w:t>
      </w:r>
      <w:proofErr w:type="gramStart"/>
      <w:r w:rsidRPr="00FE23CB">
        <w:rPr>
          <w:rFonts w:ascii="Avenir Next" w:hAnsi="Avenir Next" w:cs="Arial"/>
          <w:sz w:val="22"/>
          <w:szCs w:val="22"/>
          <w:highlight w:val="yellow"/>
          <w:lang w:val="en-GB"/>
        </w:rPr>
        <w:t>on the basis of</w:t>
      </w:r>
      <w:proofErr w:type="gramEnd"/>
      <w:r w:rsidRPr="00FE23CB">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1A1815C0" w14:textId="4AC099AC" w:rsidR="00C27121" w:rsidRDefault="00FE1DBA" w:rsidP="00636C15">
      <w:pPr>
        <w:ind w:left="720" w:hanging="720"/>
        <w:jc w:val="both"/>
        <w:rPr>
          <w:rFonts w:ascii="Avenir Next" w:hAnsi="Avenir Next" w:cs="Arial"/>
          <w:sz w:val="22"/>
          <w:szCs w:val="22"/>
          <w:lang w:val="en-GB"/>
        </w:rPr>
      </w:pPr>
      <w:r w:rsidRPr="00C27121">
        <w:rPr>
          <w:rFonts w:ascii="Avenir Next" w:hAnsi="Avenir Next" w:cs="Arial"/>
          <w:sz w:val="22"/>
          <w:szCs w:val="22"/>
          <w:lang w:val="en-GB"/>
        </w:rPr>
        <w:t xml:space="preserve">Statement 1 is referring to </w:t>
      </w:r>
      <w:r w:rsidR="00590EC2" w:rsidRPr="00C27121">
        <w:rPr>
          <w:rFonts w:ascii="Avenir Next" w:hAnsi="Avenir Next" w:cs="Arial"/>
          <w:sz w:val="22"/>
          <w:szCs w:val="22"/>
          <w:lang w:val="en-GB"/>
        </w:rPr>
        <w:t xml:space="preserve">the COMI presumptions introduced under the EIR Recast </w:t>
      </w:r>
      <w:r w:rsidR="007F2AA5" w:rsidRPr="00C27121">
        <w:rPr>
          <w:rFonts w:ascii="Avenir Next" w:hAnsi="Avenir Next" w:cs="Arial"/>
          <w:sz w:val="22"/>
          <w:szCs w:val="22"/>
          <w:lang w:val="en-GB"/>
        </w:rPr>
        <w:t>in Article</w:t>
      </w:r>
    </w:p>
    <w:p w14:paraId="1D401686" w14:textId="4307B784" w:rsidR="00C27121" w:rsidRDefault="007F2AA5" w:rsidP="00636C15">
      <w:pPr>
        <w:ind w:left="720" w:hanging="720"/>
        <w:jc w:val="both"/>
        <w:rPr>
          <w:rFonts w:ascii="Avenir Next" w:hAnsi="Avenir Next" w:cs="Arial"/>
          <w:sz w:val="22"/>
          <w:szCs w:val="22"/>
          <w:lang w:val="en-GB"/>
        </w:rPr>
      </w:pPr>
      <w:r w:rsidRPr="00C27121">
        <w:rPr>
          <w:rFonts w:ascii="Avenir Next" w:hAnsi="Avenir Next" w:cs="Arial"/>
          <w:sz w:val="22"/>
          <w:szCs w:val="22"/>
          <w:lang w:val="en-GB"/>
        </w:rPr>
        <w:t>3(1).</w:t>
      </w:r>
      <w:r w:rsidR="00C27121" w:rsidRPr="00C27121">
        <w:rPr>
          <w:rFonts w:ascii="Avenir Next" w:hAnsi="Avenir Next" w:cs="Arial"/>
          <w:sz w:val="22"/>
          <w:szCs w:val="22"/>
          <w:lang w:val="en-GB"/>
        </w:rPr>
        <w:t xml:space="preserve"> One of the main COMI location presumptions included in Article 3(1) is the registered</w:t>
      </w:r>
    </w:p>
    <w:p w14:paraId="61CD8858" w14:textId="77777777" w:rsidR="00861260" w:rsidRDefault="00C27121" w:rsidP="00636C15">
      <w:pPr>
        <w:ind w:left="720" w:hanging="720"/>
        <w:jc w:val="both"/>
        <w:rPr>
          <w:rFonts w:ascii="Avenir Next" w:hAnsi="Avenir Next" w:cs="Arial"/>
          <w:sz w:val="22"/>
          <w:szCs w:val="22"/>
          <w:lang w:val="en-GB"/>
        </w:rPr>
      </w:pPr>
      <w:r w:rsidRPr="00C27121">
        <w:rPr>
          <w:rFonts w:ascii="Avenir Next" w:hAnsi="Avenir Next" w:cs="Arial"/>
          <w:sz w:val="22"/>
          <w:szCs w:val="22"/>
          <w:lang w:val="en-GB"/>
        </w:rPr>
        <w:t>office presumption.</w:t>
      </w:r>
      <w:r w:rsidR="00FD6290">
        <w:rPr>
          <w:rFonts w:ascii="Avenir Next" w:hAnsi="Avenir Next" w:cs="Arial"/>
          <w:sz w:val="22"/>
          <w:szCs w:val="22"/>
          <w:lang w:val="en-GB"/>
        </w:rPr>
        <w:t xml:space="preserve"> </w:t>
      </w:r>
      <w:proofErr w:type="gramStart"/>
      <w:r w:rsidR="00861260">
        <w:rPr>
          <w:rFonts w:ascii="Avenir Next" w:hAnsi="Avenir Next" w:cs="Arial"/>
          <w:sz w:val="22"/>
          <w:szCs w:val="22"/>
          <w:lang w:val="en-GB"/>
        </w:rPr>
        <w:t>With regard to</w:t>
      </w:r>
      <w:proofErr w:type="gramEnd"/>
      <w:r w:rsidR="00861260">
        <w:rPr>
          <w:rFonts w:ascii="Avenir Next" w:hAnsi="Avenir Next" w:cs="Arial"/>
          <w:sz w:val="22"/>
          <w:szCs w:val="22"/>
          <w:lang w:val="en-GB"/>
        </w:rPr>
        <w:t xml:space="preserve"> a company or legal person, the place of the registered office is</w:t>
      </w:r>
    </w:p>
    <w:p w14:paraId="5C7DD9F3" w14:textId="52C4C52F" w:rsidR="00636C15" w:rsidRPr="00C27121" w:rsidRDefault="00861260" w:rsidP="00636C15">
      <w:pPr>
        <w:ind w:left="720" w:hanging="720"/>
        <w:jc w:val="both"/>
        <w:rPr>
          <w:rFonts w:ascii="Avenir Next" w:hAnsi="Avenir Next" w:cs="Arial"/>
          <w:sz w:val="22"/>
          <w:szCs w:val="22"/>
          <w:lang w:val="en-GB"/>
        </w:rPr>
      </w:pPr>
      <w:r>
        <w:rPr>
          <w:rFonts w:ascii="Avenir Next" w:hAnsi="Avenir Next" w:cs="Arial"/>
          <w:sz w:val="22"/>
          <w:szCs w:val="22"/>
          <w:lang w:val="en-GB"/>
        </w:rPr>
        <w:t>presumed to be the place of COMI, under Article 3(1) of the EIR Recast.</w:t>
      </w:r>
    </w:p>
    <w:p w14:paraId="30EE2CFA" w14:textId="3C40326F" w:rsidR="00FC1383" w:rsidRDefault="00FC1383" w:rsidP="00636C15">
      <w:pPr>
        <w:ind w:left="720" w:hanging="720"/>
        <w:jc w:val="both"/>
        <w:rPr>
          <w:rFonts w:ascii="Avenir Next" w:hAnsi="Avenir Next" w:cs="Arial"/>
          <w:sz w:val="22"/>
          <w:szCs w:val="22"/>
        </w:rPr>
      </w:pPr>
    </w:p>
    <w:p w14:paraId="0E42929B" w14:textId="79DA3EC7" w:rsidR="00212685" w:rsidRDefault="00FC1383" w:rsidP="00636C15">
      <w:pPr>
        <w:ind w:left="720" w:hanging="720"/>
        <w:jc w:val="both"/>
        <w:rPr>
          <w:rFonts w:ascii="Avenir Next" w:hAnsi="Avenir Next" w:cs="Arial"/>
          <w:sz w:val="22"/>
          <w:szCs w:val="22"/>
          <w:lang w:val="en-GB"/>
        </w:rPr>
      </w:pPr>
      <w:r w:rsidRPr="00212685">
        <w:rPr>
          <w:rFonts w:ascii="Avenir Next" w:hAnsi="Avenir Next" w:cs="Arial"/>
          <w:sz w:val="22"/>
          <w:szCs w:val="22"/>
          <w:lang w:val="en-GB"/>
        </w:rPr>
        <w:t xml:space="preserve">Statement 2 is referring to </w:t>
      </w:r>
      <w:r w:rsidR="006E464D" w:rsidRPr="00212685">
        <w:rPr>
          <w:rFonts w:ascii="Avenir Next" w:hAnsi="Avenir Next" w:cs="Arial"/>
          <w:sz w:val="22"/>
          <w:szCs w:val="22"/>
          <w:lang w:val="en-GB"/>
        </w:rPr>
        <w:t xml:space="preserve">the provision for </w:t>
      </w:r>
      <w:r w:rsidR="00D1757B">
        <w:rPr>
          <w:rFonts w:ascii="Avenir Next" w:hAnsi="Avenir Next" w:cs="Arial"/>
          <w:sz w:val="22"/>
          <w:szCs w:val="22"/>
          <w:lang w:val="en-GB"/>
        </w:rPr>
        <w:t xml:space="preserve">the </w:t>
      </w:r>
      <w:r w:rsidR="006E464D" w:rsidRPr="00212685">
        <w:rPr>
          <w:rFonts w:ascii="Avenir Next" w:hAnsi="Avenir Next" w:cs="Arial"/>
          <w:sz w:val="22"/>
          <w:szCs w:val="22"/>
          <w:lang w:val="en-GB"/>
        </w:rPr>
        <w:t>restructuring of financial distressed but economically</w:t>
      </w:r>
    </w:p>
    <w:p w14:paraId="5802D201" w14:textId="77777777" w:rsidR="00CB1926" w:rsidRDefault="006E464D" w:rsidP="00636C15">
      <w:pPr>
        <w:ind w:left="720" w:hanging="720"/>
        <w:jc w:val="both"/>
        <w:rPr>
          <w:rFonts w:ascii="Avenir Next" w:hAnsi="Avenir Next" w:cs="Arial"/>
          <w:sz w:val="22"/>
          <w:szCs w:val="22"/>
          <w:lang w:val="en-GB"/>
        </w:rPr>
      </w:pPr>
      <w:r w:rsidRPr="00212685">
        <w:rPr>
          <w:rFonts w:ascii="Avenir Next" w:hAnsi="Avenir Next" w:cs="Arial"/>
          <w:sz w:val="22"/>
          <w:szCs w:val="22"/>
          <w:lang w:val="en-GB"/>
        </w:rPr>
        <w:t>viable businesses</w:t>
      </w:r>
      <w:r w:rsidRPr="00CB1926">
        <w:rPr>
          <w:rFonts w:ascii="Avenir Next" w:hAnsi="Avenir Next" w:cs="Arial"/>
          <w:sz w:val="22"/>
          <w:szCs w:val="22"/>
          <w:lang w:val="en-GB"/>
        </w:rPr>
        <w:t xml:space="preserve"> under Art</w:t>
      </w:r>
      <w:r w:rsidR="00212685" w:rsidRPr="00CB1926">
        <w:rPr>
          <w:rFonts w:ascii="Avenir Next" w:hAnsi="Avenir Next" w:cs="Arial"/>
          <w:sz w:val="22"/>
          <w:szCs w:val="22"/>
          <w:lang w:val="en-GB"/>
        </w:rPr>
        <w:t>icle 1 of the EIR Recast.</w:t>
      </w:r>
      <w:r w:rsidR="009441E0" w:rsidRPr="00CB1926">
        <w:rPr>
          <w:rFonts w:ascii="Avenir Next" w:hAnsi="Avenir Next" w:cs="Arial"/>
          <w:sz w:val="22"/>
          <w:szCs w:val="22"/>
          <w:lang w:val="en-GB"/>
        </w:rPr>
        <w:t xml:space="preserve"> Article 1 provides for </w:t>
      </w:r>
      <w:r w:rsidR="00A501C4" w:rsidRPr="00CB1926">
        <w:rPr>
          <w:rFonts w:ascii="Avenir Next" w:hAnsi="Avenir Next" w:cs="Arial"/>
          <w:sz w:val="22"/>
          <w:szCs w:val="22"/>
          <w:lang w:val="en-GB"/>
        </w:rPr>
        <w:t>restructuring of a debtor at</w:t>
      </w:r>
    </w:p>
    <w:p w14:paraId="7E7443FB" w14:textId="77777777" w:rsidR="00CB1926" w:rsidRDefault="00A501C4" w:rsidP="00636C15">
      <w:pPr>
        <w:ind w:left="720" w:hanging="720"/>
        <w:jc w:val="both"/>
        <w:rPr>
          <w:rFonts w:ascii="Avenir Next" w:hAnsi="Avenir Next" w:cs="Arial"/>
          <w:sz w:val="22"/>
          <w:szCs w:val="22"/>
        </w:rPr>
      </w:pPr>
      <w:r w:rsidRPr="00CB1926">
        <w:rPr>
          <w:rFonts w:ascii="Avenir Next" w:hAnsi="Avenir Next" w:cs="Arial"/>
          <w:sz w:val="22"/>
          <w:szCs w:val="22"/>
          <w:lang w:val="en-GB"/>
        </w:rPr>
        <w:t>a stage where only a likelihood of insolvency exists</w:t>
      </w:r>
      <w:r w:rsidR="00CB1926" w:rsidRPr="00CB1926">
        <w:rPr>
          <w:rFonts w:ascii="Avenir Next" w:hAnsi="Avenir Next" w:cs="Arial"/>
          <w:sz w:val="22"/>
          <w:szCs w:val="22"/>
          <w:lang w:val="en-GB"/>
        </w:rPr>
        <w:t xml:space="preserve">, and for proceedings which allow for the debtor </w:t>
      </w:r>
      <w:r w:rsidR="00CB1926">
        <w:rPr>
          <w:rFonts w:ascii="Avenir Next" w:hAnsi="Avenir Next" w:cs="Arial"/>
          <w:sz w:val="22"/>
          <w:szCs w:val="22"/>
        </w:rPr>
        <w:t>to</w:t>
      </w:r>
    </w:p>
    <w:p w14:paraId="05DBAE56" w14:textId="3A703A2B" w:rsidR="00FC1383" w:rsidRPr="00FE1DBA" w:rsidRDefault="00CB1926" w:rsidP="00636C15">
      <w:pPr>
        <w:ind w:left="720" w:hanging="720"/>
        <w:jc w:val="both"/>
        <w:rPr>
          <w:rFonts w:ascii="Avenir Next" w:hAnsi="Avenir Next" w:cs="Arial"/>
          <w:sz w:val="22"/>
          <w:szCs w:val="22"/>
        </w:rPr>
      </w:pPr>
      <w:r>
        <w:rPr>
          <w:rFonts w:ascii="Avenir Next" w:hAnsi="Avenir Next" w:cs="Arial"/>
          <w:sz w:val="22"/>
          <w:szCs w:val="22"/>
        </w:rPr>
        <w:t>retain full or partial control of its assets and affairs (Recital 10).</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F29165" w14:textId="60CABF64" w:rsidR="00061425" w:rsidRDefault="001F1CD0" w:rsidP="00061425">
      <w:pPr>
        <w:jc w:val="both"/>
        <w:rPr>
          <w:rFonts w:ascii="Avenir Next" w:hAnsi="Avenir Next" w:cs="Arial"/>
          <w:sz w:val="22"/>
          <w:szCs w:val="22"/>
          <w:lang w:val="en-GB"/>
        </w:rPr>
      </w:pPr>
      <w:r w:rsidRPr="006957B2">
        <w:rPr>
          <w:rFonts w:ascii="Avenir Next" w:hAnsi="Avenir Next" w:cs="Arial"/>
          <w:sz w:val="22"/>
          <w:szCs w:val="22"/>
          <w:lang w:val="en-GB"/>
        </w:rPr>
        <w:t>The first provision from the EIR Recast which highlights the modified universalism approach that the</w:t>
      </w:r>
      <w:r w:rsidR="006957B2" w:rsidRPr="006957B2">
        <w:rPr>
          <w:rFonts w:ascii="Avenir Next" w:hAnsi="Avenir Next" w:cs="Arial"/>
          <w:sz w:val="22"/>
          <w:szCs w:val="22"/>
          <w:lang w:val="en-GB"/>
        </w:rPr>
        <w:t xml:space="preserve"> </w:t>
      </w:r>
      <w:r w:rsidRPr="006957B2">
        <w:rPr>
          <w:rFonts w:ascii="Avenir Next" w:hAnsi="Avenir Next" w:cs="Arial"/>
          <w:sz w:val="22"/>
          <w:szCs w:val="22"/>
          <w:lang w:val="en-GB"/>
        </w:rPr>
        <w:t xml:space="preserve">EIR Recast has adopted is </w:t>
      </w:r>
      <w:proofErr w:type="gramStart"/>
      <w:r w:rsidR="004D2134" w:rsidRPr="006957B2">
        <w:rPr>
          <w:rFonts w:ascii="Avenir Next" w:hAnsi="Avenir Next" w:cs="Arial"/>
          <w:sz w:val="22"/>
          <w:szCs w:val="22"/>
          <w:lang w:val="en-GB"/>
        </w:rPr>
        <w:t>in regard to</w:t>
      </w:r>
      <w:proofErr w:type="gramEnd"/>
      <w:r w:rsidR="004D2134" w:rsidRPr="006957B2">
        <w:rPr>
          <w:rFonts w:ascii="Avenir Next" w:hAnsi="Avenir Next" w:cs="Arial"/>
          <w:sz w:val="22"/>
          <w:szCs w:val="22"/>
          <w:lang w:val="en-GB"/>
        </w:rPr>
        <w:t xml:space="preserve"> main insolvency proceedings and a debto</w:t>
      </w:r>
      <w:r w:rsidR="009C180F">
        <w:rPr>
          <w:rFonts w:ascii="Avenir Next" w:hAnsi="Avenir Next" w:cs="Arial"/>
          <w:sz w:val="22"/>
          <w:szCs w:val="22"/>
          <w:lang w:val="en-GB"/>
        </w:rPr>
        <w:t>r</w:t>
      </w:r>
      <w:r w:rsidR="004D2134" w:rsidRPr="006957B2">
        <w:rPr>
          <w:rFonts w:ascii="Avenir Next" w:hAnsi="Avenir Next" w:cs="Arial"/>
          <w:sz w:val="22"/>
          <w:szCs w:val="22"/>
          <w:lang w:val="en-GB"/>
        </w:rPr>
        <w:t>’</w:t>
      </w:r>
      <w:r w:rsidR="009C180F">
        <w:rPr>
          <w:rFonts w:ascii="Avenir Next" w:hAnsi="Avenir Next" w:cs="Arial"/>
          <w:sz w:val="22"/>
          <w:szCs w:val="22"/>
          <w:lang w:val="en-GB"/>
        </w:rPr>
        <w:t>s</w:t>
      </w:r>
      <w:r w:rsidR="004D2134" w:rsidRPr="006957B2">
        <w:rPr>
          <w:rFonts w:ascii="Avenir Next" w:hAnsi="Avenir Next" w:cs="Arial"/>
          <w:sz w:val="22"/>
          <w:szCs w:val="22"/>
          <w:lang w:val="en-GB"/>
        </w:rPr>
        <w:t xml:space="preserve"> centre of main interests</w:t>
      </w:r>
      <w:r w:rsidR="008879EC" w:rsidRPr="006957B2">
        <w:rPr>
          <w:rFonts w:ascii="Avenir Next" w:hAnsi="Avenir Next" w:cs="Arial"/>
          <w:sz w:val="22"/>
          <w:szCs w:val="22"/>
          <w:lang w:val="en-GB"/>
        </w:rPr>
        <w:t xml:space="preserve"> (“COMI”)</w:t>
      </w:r>
      <w:r w:rsidR="004D2134" w:rsidRPr="006957B2">
        <w:rPr>
          <w:rFonts w:ascii="Avenir Next" w:hAnsi="Avenir Next" w:cs="Arial"/>
          <w:sz w:val="22"/>
          <w:szCs w:val="22"/>
          <w:lang w:val="en-GB"/>
        </w:rPr>
        <w:t>.</w:t>
      </w:r>
      <w:r w:rsidR="008879EC" w:rsidRPr="006957B2">
        <w:rPr>
          <w:rFonts w:ascii="Avenir Next" w:hAnsi="Avenir Next" w:cs="Arial"/>
          <w:sz w:val="22"/>
          <w:szCs w:val="22"/>
          <w:lang w:val="en-GB"/>
        </w:rPr>
        <w:t xml:space="preserve"> </w:t>
      </w:r>
      <w:r w:rsidR="006A619A">
        <w:rPr>
          <w:rFonts w:ascii="Avenir Next" w:hAnsi="Avenir Next" w:cs="Arial"/>
          <w:sz w:val="22"/>
          <w:szCs w:val="22"/>
          <w:lang w:val="en-GB"/>
        </w:rPr>
        <w:t>Article 3(1) of the EIR Recast</w:t>
      </w:r>
      <w:r w:rsidR="00F642A7">
        <w:rPr>
          <w:rFonts w:ascii="Avenir Next" w:hAnsi="Avenir Next" w:cs="Arial"/>
          <w:sz w:val="22"/>
          <w:szCs w:val="22"/>
          <w:lang w:val="en-GB"/>
        </w:rPr>
        <w:t xml:space="preserve"> states that the courts of the Member State </w:t>
      </w:r>
      <w:r w:rsidR="00DA4E95">
        <w:rPr>
          <w:rFonts w:ascii="Avenir Next" w:hAnsi="Avenir Next" w:cs="Arial"/>
          <w:sz w:val="22"/>
          <w:szCs w:val="22"/>
          <w:lang w:val="en-GB"/>
        </w:rPr>
        <w:t>in which the debtor</w:t>
      </w:r>
      <w:r w:rsidR="009C180F">
        <w:rPr>
          <w:rFonts w:ascii="Avenir Next" w:hAnsi="Avenir Next" w:cs="Arial"/>
          <w:sz w:val="22"/>
          <w:szCs w:val="22"/>
          <w:lang w:val="en-GB"/>
        </w:rPr>
        <w:t>’s</w:t>
      </w:r>
      <w:r w:rsidR="00DA4E95">
        <w:rPr>
          <w:rFonts w:ascii="Avenir Next" w:hAnsi="Avenir Next" w:cs="Arial"/>
          <w:sz w:val="22"/>
          <w:szCs w:val="22"/>
          <w:lang w:val="en-GB"/>
        </w:rPr>
        <w:t xml:space="preserve"> COMI is located </w:t>
      </w:r>
      <w:r w:rsidR="008A57CC">
        <w:rPr>
          <w:rFonts w:ascii="Avenir Next" w:hAnsi="Avenir Next" w:cs="Arial"/>
          <w:sz w:val="22"/>
          <w:szCs w:val="22"/>
          <w:lang w:val="en-GB"/>
        </w:rPr>
        <w:t xml:space="preserve">have the jurisdiction to open the main insolvency proceedings. These main insolvency proceedings have universal scope </w:t>
      </w:r>
      <w:r w:rsidR="009C180F">
        <w:rPr>
          <w:rFonts w:ascii="Avenir Next" w:hAnsi="Avenir Next" w:cs="Arial"/>
          <w:sz w:val="22"/>
          <w:szCs w:val="22"/>
          <w:lang w:val="en-GB"/>
        </w:rPr>
        <w:t>and aim to encompass all the debtor’s assets.</w:t>
      </w:r>
      <w:r w:rsidR="00061425" w:rsidRPr="00061425">
        <w:rPr>
          <w:rFonts w:ascii="Avenir Next" w:hAnsi="Avenir Next" w:cs="Arial"/>
          <w:sz w:val="22"/>
          <w:szCs w:val="22"/>
          <w:lang w:val="en-GB"/>
        </w:rPr>
        <w:t xml:space="preserve"> </w:t>
      </w:r>
      <w:r w:rsidR="00061425" w:rsidRPr="006957B2">
        <w:rPr>
          <w:rFonts w:ascii="Avenir Next" w:hAnsi="Avenir Next" w:cs="Arial"/>
          <w:sz w:val="22"/>
          <w:szCs w:val="22"/>
          <w:lang w:val="en-GB"/>
        </w:rPr>
        <w:t xml:space="preserve">Under the EIR Recast, the COMI shall be the place where the debtor carries out the administration of its interests on a regular basis and which can be verified by third parties. </w:t>
      </w:r>
    </w:p>
    <w:p w14:paraId="1C31B0E0" w14:textId="72C092C0" w:rsidR="00061425" w:rsidRDefault="00061425" w:rsidP="006957B2">
      <w:pPr>
        <w:jc w:val="both"/>
        <w:rPr>
          <w:rFonts w:ascii="Avenir Next" w:hAnsi="Avenir Next" w:cs="Arial"/>
          <w:sz w:val="22"/>
          <w:szCs w:val="22"/>
          <w:lang w:val="en-GB"/>
        </w:rPr>
      </w:pPr>
    </w:p>
    <w:p w14:paraId="16020928" w14:textId="402A228E" w:rsidR="006A619A" w:rsidRDefault="00083AAB" w:rsidP="006957B2">
      <w:pPr>
        <w:jc w:val="both"/>
        <w:rPr>
          <w:rFonts w:ascii="Avenir Next" w:hAnsi="Avenir Next" w:cs="Arial"/>
          <w:sz w:val="22"/>
          <w:szCs w:val="22"/>
          <w:lang w:val="en-GB"/>
        </w:rPr>
      </w:pPr>
      <w:r>
        <w:rPr>
          <w:rFonts w:ascii="Avenir Next" w:hAnsi="Avenir Next" w:cs="Arial"/>
          <w:sz w:val="22"/>
          <w:szCs w:val="22"/>
          <w:lang w:val="en-GB"/>
        </w:rPr>
        <w:t>The concept of modified universalism comes into play under the EIR Recast in that</w:t>
      </w:r>
      <w:r w:rsidR="009C3974">
        <w:rPr>
          <w:rFonts w:ascii="Avenir Next" w:hAnsi="Avenir Next" w:cs="Arial"/>
          <w:sz w:val="22"/>
          <w:szCs w:val="22"/>
          <w:lang w:val="en-GB"/>
        </w:rPr>
        <w:t xml:space="preserve">, at the same time, the EIR Recast allows for the opening of secondary proceedings </w:t>
      </w:r>
      <w:r w:rsidR="002C3A23">
        <w:rPr>
          <w:rFonts w:ascii="Avenir Next" w:hAnsi="Avenir Next" w:cs="Arial"/>
          <w:sz w:val="22"/>
          <w:szCs w:val="22"/>
          <w:lang w:val="en-GB"/>
        </w:rPr>
        <w:t xml:space="preserve">– running in parallel to the main proceedings </w:t>
      </w:r>
      <w:r w:rsidR="00811643">
        <w:rPr>
          <w:rFonts w:ascii="Avenir Next" w:hAnsi="Avenir Next" w:cs="Arial"/>
          <w:sz w:val="22"/>
          <w:szCs w:val="22"/>
          <w:lang w:val="en-GB"/>
        </w:rPr>
        <w:t>–</w:t>
      </w:r>
      <w:r w:rsidR="002C3A23">
        <w:rPr>
          <w:rFonts w:ascii="Avenir Next" w:hAnsi="Avenir Next" w:cs="Arial"/>
          <w:sz w:val="22"/>
          <w:szCs w:val="22"/>
          <w:lang w:val="en-GB"/>
        </w:rPr>
        <w:t xml:space="preserve"> </w:t>
      </w:r>
      <w:r w:rsidR="00811643">
        <w:rPr>
          <w:rFonts w:ascii="Avenir Next" w:hAnsi="Avenir Next" w:cs="Arial"/>
          <w:sz w:val="22"/>
          <w:szCs w:val="22"/>
          <w:lang w:val="en-GB"/>
        </w:rPr>
        <w:t xml:space="preserve">to produce effects only on assets situated within the Member State of the secondary proceedings. These secondary proceedings </w:t>
      </w:r>
      <w:r w:rsidR="0031751C">
        <w:rPr>
          <w:rFonts w:ascii="Avenir Next" w:hAnsi="Avenir Next" w:cs="Arial"/>
          <w:sz w:val="22"/>
          <w:szCs w:val="22"/>
          <w:lang w:val="en-GB"/>
        </w:rPr>
        <w:t xml:space="preserve">aim to protect the diversity of interests, mitigate difficulties that arise from differences in national laws and </w:t>
      </w:r>
      <w:r w:rsidR="00805403">
        <w:rPr>
          <w:rFonts w:ascii="Avenir Next" w:hAnsi="Avenir Next" w:cs="Arial"/>
          <w:sz w:val="22"/>
          <w:szCs w:val="22"/>
          <w:lang w:val="en-GB"/>
        </w:rPr>
        <w:t>promote the effective administration of complex insolvency estates.</w:t>
      </w:r>
      <w:r w:rsidR="006B6CC5">
        <w:rPr>
          <w:rFonts w:ascii="Avenir Next" w:hAnsi="Avenir Next" w:cs="Arial"/>
          <w:sz w:val="22"/>
          <w:szCs w:val="22"/>
          <w:lang w:val="en-GB"/>
        </w:rPr>
        <w:t xml:space="preserve"> Seconding insolvency proceedings can be opened in any country </w:t>
      </w:r>
      <w:r w:rsidR="00DE42E6">
        <w:rPr>
          <w:rFonts w:ascii="Avenir Next" w:hAnsi="Avenir Next" w:cs="Arial"/>
          <w:sz w:val="22"/>
          <w:szCs w:val="22"/>
          <w:lang w:val="en-GB"/>
        </w:rPr>
        <w:t>where a debtor has an establishment (Article 3(2) EIR Recast) and there can be as many secondary proceedings as there are debtors’ establishments across the Member States.</w:t>
      </w:r>
      <w:r w:rsidR="0057102A">
        <w:rPr>
          <w:rFonts w:ascii="Avenir Next" w:hAnsi="Avenir Next" w:cs="Arial"/>
          <w:sz w:val="22"/>
          <w:szCs w:val="22"/>
          <w:lang w:val="en-GB"/>
        </w:rPr>
        <w:t xml:space="preserve"> This is another example of mod</w:t>
      </w:r>
      <w:r w:rsidR="002C2583">
        <w:rPr>
          <w:rFonts w:ascii="Avenir Next" w:hAnsi="Avenir Next" w:cs="Arial"/>
          <w:sz w:val="22"/>
          <w:szCs w:val="22"/>
          <w:lang w:val="en-GB"/>
        </w:rPr>
        <w:t>ified universalism under the EIR Recast.</w:t>
      </w:r>
    </w:p>
    <w:p w14:paraId="2B7C8086" w14:textId="625B4D79" w:rsidR="002C2583" w:rsidRDefault="002C2583" w:rsidP="006957B2">
      <w:pPr>
        <w:jc w:val="both"/>
        <w:rPr>
          <w:rFonts w:ascii="Avenir Next" w:hAnsi="Avenir Next" w:cs="Arial"/>
          <w:sz w:val="22"/>
          <w:szCs w:val="22"/>
          <w:lang w:val="en-GB"/>
        </w:rPr>
      </w:pPr>
    </w:p>
    <w:p w14:paraId="63B80F05" w14:textId="76338149" w:rsidR="002C2583" w:rsidRDefault="002C2583" w:rsidP="006957B2">
      <w:pPr>
        <w:jc w:val="both"/>
        <w:rPr>
          <w:rFonts w:ascii="Avenir Next" w:hAnsi="Avenir Next" w:cs="Arial"/>
          <w:sz w:val="22"/>
          <w:szCs w:val="22"/>
          <w:lang w:val="en-GB"/>
        </w:rPr>
      </w:pPr>
      <w:r>
        <w:rPr>
          <w:rFonts w:ascii="Avenir Next" w:hAnsi="Avenir Next" w:cs="Arial"/>
          <w:sz w:val="22"/>
          <w:szCs w:val="22"/>
          <w:lang w:val="en-GB"/>
        </w:rPr>
        <w:t xml:space="preserve">Finally, </w:t>
      </w:r>
      <w:r w:rsidR="00745EDD">
        <w:rPr>
          <w:rFonts w:ascii="Avenir Next" w:hAnsi="Avenir Next" w:cs="Arial"/>
          <w:sz w:val="22"/>
          <w:szCs w:val="22"/>
          <w:lang w:val="en-GB"/>
        </w:rPr>
        <w:t>another example of modified universalism under the EIR Recast is</w:t>
      </w:r>
      <w:r w:rsidR="008F7B69">
        <w:rPr>
          <w:rFonts w:ascii="Avenir Next" w:hAnsi="Avenir Next" w:cs="Arial"/>
          <w:sz w:val="22"/>
          <w:szCs w:val="22"/>
          <w:lang w:val="en-GB"/>
        </w:rPr>
        <w:t xml:space="preserve"> Annex A (“Insolvency proceedings referred to in </w:t>
      </w:r>
      <w:proofErr w:type="gramStart"/>
      <w:r w:rsidR="008F7B69">
        <w:rPr>
          <w:rFonts w:ascii="Avenir Next" w:hAnsi="Avenir Next" w:cs="Arial"/>
          <w:sz w:val="22"/>
          <w:szCs w:val="22"/>
          <w:lang w:val="en-GB"/>
        </w:rPr>
        <w:t>point(</w:t>
      </w:r>
      <w:proofErr w:type="gramEnd"/>
      <w:r w:rsidR="008F7B69">
        <w:rPr>
          <w:rFonts w:ascii="Avenir Next" w:hAnsi="Avenir Next" w:cs="Arial"/>
          <w:sz w:val="22"/>
          <w:szCs w:val="22"/>
          <w:lang w:val="en-GB"/>
        </w:rPr>
        <w:t xml:space="preserve">4) of Article 2”). Annex A provides a list of 112 </w:t>
      </w:r>
      <w:r w:rsidR="006A765F">
        <w:rPr>
          <w:rFonts w:ascii="Avenir Next" w:hAnsi="Avenir Next" w:cs="Arial"/>
          <w:sz w:val="22"/>
          <w:szCs w:val="22"/>
          <w:lang w:val="en-GB"/>
        </w:rPr>
        <w:t xml:space="preserve">national insolvency </w:t>
      </w:r>
      <w:r w:rsidR="008F7B69">
        <w:rPr>
          <w:rFonts w:ascii="Avenir Next" w:hAnsi="Avenir Next" w:cs="Arial"/>
          <w:sz w:val="22"/>
          <w:szCs w:val="22"/>
          <w:lang w:val="en-GB"/>
        </w:rPr>
        <w:t xml:space="preserve">procedures </w:t>
      </w:r>
      <w:r w:rsidR="006A765F">
        <w:rPr>
          <w:rFonts w:ascii="Avenir Next" w:hAnsi="Avenir Next" w:cs="Arial"/>
          <w:sz w:val="22"/>
          <w:szCs w:val="22"/>
          <w:lang w:val="en-GB"/>
        </w:rPr>
        <w:t xml:space="preserve">taken from the 27 Member States. Under Recital 9 of the EIR Recast, </w:t>
      </w:r>
      <w:proofErr w:type="gramStart"/>
      <w:r w:rsidR="00561D2A">
        <w:rPr>
          <w:rFonts w:ascii="Avenir Next" w:hAnsi="Avenir Next" w:cs="Arial"/>
          <w:sz w:val="22"/>
          <w:szCs w:val="22"/>
          <w:lang w:val="en-GB"/>
        </w:rPr>
        <w:t>with regard to</w:t>
      </w:r>
      <w:proofErr w:type="gramEnd"/>
      <w:r w:rsidR="00561D2A">
        <w:rPr>
          <w:rFonts w:ascii="Avenir Next" w:hAnsi="Avenir Next" w:cs="Arial"/>
          <w:sz w:val="22"/>
          <w:szCs w:val="22"/>
          <w:lang w:val="en-GB"/>
        </w:rPr>
        <w:t xml:space="preserve"> the national procedures listed in Annex A, it is explained that the EIR Recast will apply without any further scrutiny by the courts of another Member State as to whether the conditions set out in the regulation are met. </w:t>
      </w:r>
      <w:r w:rsidR="00462986">
        <w:rPr>
          <w:rFonts w:ascii="Avenir Next" w:hAnsi="Avenir Next" w:cs="Arial"/>
          <w:sz w:val="22"/>
          <w:szCs w:val="22"/>
          <w:lang w:val="en-GB"/>
        </w:rPr>
        <w:t xml:space="preserve">This is reflective of a modified universalism approach </w:t>
      </w:r>
      <w:r w:rsidR="005820B4">
        <w:rPr>
          <w:rFonts w:ascii="Avenir Next" w:hAnsi="Avenir Next" w:cs="Arial"/>
          <w:sz w:val="22"/>
          <w:szCs w:val="22"/>
          <w:lang w:val="en-GB"/>
        </w:rPr>
        <w:t>under the EIR Recast.</w:t>
      </w:r>
    </w:p>
    <w:p w14:paraId="6948B395" w14:textId="65A1604F" w:rsidR="00E90991" w:rsidRPr="008E3C96" w:rsidRDefault="00E90991" w:rsidP="00D71FFC">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4F051265" w14:textId="48B37DA6" w:rsidR="006723E9"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w:t>
      </w:r>
      <w:r w:rsidR="00C35F52" w:rsidRPr="008E3C96">
        <w:rPr>
          <w:rFonts w:ascii="Avenir Next" w:hAnsi="Avenir Next" w:cs="Arial"/>
          <w:sz w:val="22"/>
          <w:szCs w:val="22"/>
          <w:lang w:val="en-GB"/>
        </w:rPr>
        <w:lastRenderedPageBreak/>
        <w:t xml:space="preserve">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3BA55596" w14:textId="77777777" w:rsidR="00C62EDB" w:rsidRPr="008E3C96" w:rsidRDefault="00C62EDB" w:rsidP="002A37BB">
      <w:pPr>
        <w:jc w:val="both"/>
        <w:rPr>
          <w:rFonts w:ascii="Avenir Next" w:hAnsi="Avenir Next" w:cs="Arial"/>
          <w:sz w:val="22"/>
          <w:szCs w:val="22"/>
          <w:lang w:val="en-GB"/>
        </w:rPr>
      </w:pPr>
    </w:p>
    <w:p w14:paraId="0300BAAA" w14:textId="77777777" w:rsidR="00D71FFC" w:rsidRDefault="007A6772" w:rsidP="002A37BB">
      <w:pPr>
        <w:ind w:left="720" w:hanging="720"/>
        <w:jc w:val="both"/>
        <w:rPr>
          <w:rFonts w:ascii="Avenir Next" w:hAnsi="Avenir Next" w:cs="Arial"/>
          <w:sz w:val="22"/>
          <w:szCs w:val="22"/>
          <w:lang w:val="en-GB"/>
        </w:rPr>
      </w:pPr>
      <w:r w:rsidRPr="007A6772">
        <w:rPr>
          <w:rFonts w:ascii="Avenir Next" w:hAnsi="Avenir Next" w:cs="Arial"/>
          <w:sz w:val="22"/>
          <w:szCs w:val="22"/>
          <w:lang w:val="en-GB"/>
        </w:rPr>
        <w:t xml:space="preserve">The </w:t>
      </w:r>
      <w:r>
        <w:rPr>
          <w:rFonts w:ascii="Avenir Next" w:hAnsi="Avenir Next" w:cs="Arial"/>
          <w:sz w:val="22"/>
          <w:szCs w:val="22"/>
          <w:lang w:val="en-GB"/>
        </w:rPr>
        <w:t xml:space="preserve">EIR Recast emphasises the obligation for cooperation </w:t>
      </w:r>
      <w:r w:rsidR="00D71FFC">
        <w:rPr>
          <w:rFonts w:ascii="Avenir Next" w:hAnsi="Avenir Next" w:cs="Arial"/>
          <w:sz w:val="22"/>
          <w:szCs w:val="22"/>
          <w:lang w:val="en-GB"/>
        </w:rPr>
        <w:t>between actors in concurrent insolvency</w:t>
      </w:r>
    </w:p>
    <w:p w14:paraId="78DB9FD8" w14:textId="4E05B14C" w:rsidR="00C7284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proceedings through several provisions.</w:t>
      </w:r>
    </w:p>
    <w:p w14:paraId="4B6F8A86" w14:textId="11222653" w:rsidR="00D71FFC" w:rsidRDefault="00D71FFC" w:rsidP="002A37BB">
      <w:pPr>
        <w:ind w:left="720" w:hanging="720"/>
        <w:jc w:val="both"/>
        <w:rPr>
          <w:rFonts w:ascii="Avenir Next" w:hAnsi="Avenir Next" w:cs="Arial"/>
          <w:sz w:val="22"/>
          <w:szCs w:val="22"/>
          <w:lang w:val="en-GB"/>
        </w:rPr>
      </w:pPr>
    </w:p>
    <w:p w14:paraId="0C313BBA" w14:textId="77777777" w:rsidR="00CE5D5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One such provision is under Recital 9 where it is stated that with regards to the national procedures</w:t>
      </w:r>
    </w:p>
    <w:p w14:paraId="42131376" w14:textId="77777777" w:rsidR="00CE5D5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contained in Annex A (a list of names of 112 insolvency proceedings from all 27 countries covered by</w:t>
      </w:r>
    </w:p>
    <w:p w14:paraId="3D18A1F4" w14:textId="77777777" w:rsidR="00CE5D5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the EIR Recast) the EIR Recast should apply without any further examination by the courts of another</w:t>
      </w:r>
    </w:p>
    <w:p w14:paraId="5F7EE031" w14:textId="77777777" w:rsidR="00CE5D5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Member State required to determine whether the conditions set out in the regulation are met. This is</w:t>
      </w:r>
    </w:p>
    <w:p w14:paraId="510DF4C9" w14:textId="77777777" w:rsidR="00CE5D5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clear evidence of a modified universalism approach within the EIR Recast as it mandates that should</w:t>
      </w:r>
    </w:p>
    <w:p w14:paraId="704A1F44" w14:textId="77777777" w:rsidR="00CE5D58"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a proceeding be mentioned in Annex A, it automatically falls within the material scope of the EIR</w:t>
      </w:r>
    </w:p>
    <w:p w14:paraId="66250A5A" w14:textId="28E82EAF" w:rsidR="00D71FFC" w:rsidRDefault="00D71FFC" w:rsidP="002A37BB">
      <w:pPr>
        <w:ind w:left="720" w:hanging="720"/>
        <w:jc w:val="both"/>
        <w:rPr>
          <w:rFonts w:ascii="Avenir Next" w:hAnsi="Avenir Next" w:cs="Arial"/>
          <w:sz w:val="22"/>
          <w:szCs w:val="22"/>
          <w:lang w:val="en-GB"/>
        </w:rPr>
      </w:pPr>
      <w:r>
        <w:rPr>
          <w:rFonts w:ascii="Avenir Next" w:hAnsi="Avenir Next" w:cs="Arial"/>
          <w:sz w:val="22"/>
          <w:szCs w:val="22"/>
          <w:lang w:val="en-GB"/>
        </w:rPr>
        <w:t>Recast.</w:t>
      </w:r>
    </w:p>
    <w:p w14:paraId="6E53C032" w14:textId="1E012917" w:rsidR="0017513F" w:rsidRDefault="0017513F" w:rsidP="002A37BB">
      <w:pPr>
        <w:ind w:left="720" w:hanging="720"/>
        <w:jc w:val="both"/>
        <w:rPr>
          <w:rFonts w:ascii="Avenir Next" w:hAnsi="Avenir Next" w:cs="Arial"/>
          <w:sz w:val="22"/>
          <w:szCs w:val="22"/>
          <w:lang w:val="en-GB"/>
        </w:rPr>
      </w:pPr>
    </w:p>
    <w:p w14:paraId="6BEB25BA" w14:textId="77777777" w:rsidR="00114D10" w:rsidRDefault="0017513F" w:rsidP="002A37BB">
      <w:pPr>
        <w:ind w:left="720" w:hanging="720"/>
        <w:jc w:val="both"/>
        <w:rPr>
          <w:rFonts w:ascii="Avenir Next" w:hAnsi="Avenir Next" w:cs="Arial"/>
          <w:sz w:val="22"/>
          <w:szCs w:val="22"/>
          <w:lang w:val="en-GB"/>
        </w:rPr>
      </w:pPr>
      <w:r>
        <w:rPr>
          <w:rFonts w:ascii="Avenir Next" w:hAnsi="Avenir Next" w:cs="Arial"/>
          <w:sz w:val="22"/>
          <w:szCs w:val="22"/>
          <w:lang w:val="en-GB"/>
        </w:rPr>
        <w:t xml:space="preserve">Another provision which highlights the need for co-operation between actors is </w:t>
      </w:r>
      <w:r w:rsidR="00310C39">
        <w:rPr>
          <w:rFonts w:ascii="Avenir Next" w:hAnsi="Avenir Next" w:cs="Arial"/>
          <w:sz w:val="22"/>
          <w:szCs w:val="22"/>
          <w:lang w:val="en-GB"/>
        </w:rPr>
        <w:t>Recital 48. Recital 48</w:t>
      </w:r>
    </w:p>
    <w:p w14:paraId="361C61C6" w14:textId="77777777" w:rsidR="00114D10" w:rsidRDefault="0020622F" w:rsidP="002A37BB">
      <w:pPr>
        <w:ind w:left="720" w:hanging="720"/>
        <w:jc w:val="both"/>
        <w:rPr>
          <w:rFonts w:ascii="Avenir Next" w:hAnsi="Avenir Next" w:cs="Arial"/>
          <w:sz w:val="22"/>
          <w:szCs w:val="22"/>
          <w:lang w:val="en-GB"/>
        </w:rPr>
      </w:pPr>
      <w:r>
        <w:rPr>
          <w:rFonts w:ascii="Avenir Next" w:hAnsi="Avenir Next" w:cs="Arial"/>
          <w:sz w:val="22"/>
          <w:szCs w:val="22"/>
          <w:lang w:val="en-GB"/>
        </w:rPr>
        <w:t>states that the efficient administration of an insolvency estate and the effective realisation of its assets</w:t>
      </w:r>
    </w:p>
    <w:p w14:paraId="634AEAB3" w14:textId="77777777" w:rsidR="00114D10" w:rsidRDefault="0020622F" w:rsidP="002A37BB">
      <w:pPr>
        <w:ind w:left="720" w:hanging="720"/>
        <w:jc w:val="both"/>
        <w:rPr>
          <w:rFonts w:ascii="Avenir Next" w:hAnsi="Avenir Next" w:cs="Arial"/>
          <w:sz w:val="22"/>
          <w:szCs w:val="22"/>
          <w:lang w:val="en-GB"/>
        </w:rPr>
      </w:pPr>
      <w:r>
        <w:rPr>
          <w:rFonts w:ascii="Avenir Next" w:hAnsi="Avenir Next" w:cs="Arial"/>
          <w:sz w:val="22"/>
          <w:szCs w:val="22"/>
          <w:lang w:val="en-GB"/>
        </w:rPr>
        <w:t>requires proper co-operation between all actors involved in the concurrent insolvency proceedings</w:t>
      </w:r>
      <w:r w:rsidR="00A50E6F">
        <w:rPr>
          <w:rFonts w:ascii="Avenir Next" w:hAnsi="Avenir Next" w:cs="Arial"/>
          <w:sz w:val="22"/>
          <w:szCs w:val="22"/>
          <w:lang w:val="en-GB"/>
        </w:rPr>
        <w:t>.</w:t>
      </w:r>
    </w:p>
    <w:p w14:paraId="720A91C9" w14:textId="77777777" w:rsidR="00114D10" w:rsidRDefault="00A50E6F" w:rsidP="002A37BB">
      <w:pPr>
        <w:ind w:left="720" w:hanging="720"/>
        <w:jc w:val="both"/>
        <w:rPr>
          <w:rFonts w:ascii="Avenir Next" w:hAnsi="Avenir Next" w:cs="Arial"/>
          <w:sz w:val="22"/>
          <w:szCs w:val="22"/>
          <w:lang w:val="en-GB"/>
        </w:rPr>
      </w:pPr>
      <w:r>
        <w:rPr>
          <w:rFonts w:ascii="Avenir Next" w:hAnsi="Avenir Next" w:cs="Arial"/>
          <w:sz w:val="22"/>
          <w:szCs w:val="22"/>
          <w:lang w:val="en-GB"/>
        </w:rPr>
        <w:t>This co-operation between parties encompasses the various insolvency practitioners and the courts</w:t>
      </w:r>
    </w:p>
    <w:p w14:paraId="2D9212A0" w14:textId="7CB521BC" w:rsidR="0017513F" w:rsidRDefault="00A50E6F" w:rsidP="002A37BB">
      <w:pPr>
        <w:ind w:left="720" w:hanging="720"/>
        <w:jc w:val="both"/>
        <w:rPr>
          <w:rFonts w:ascii="Avenir Next" w:hAnsi="Avenir Next" w:cs="Arial"/>
          <w:sz w:val="22"/>
          <w:szCs w:val="22"/>
          <w:lang w:val="en-GB"/>
        </w:rPr>
      </w:pPr>
      <w:r>
        <w:rPr>
          <w:rFonts w:ascii="Avenir Next" w:hAnsi="Avenir Next" w:cs="Arial"/>
          <w:sz w:val="22"/>
          <w:szCs w:val="22"/>
          <w:lang w:val="en-GB"/>
        </w:rPr>
        <w:t xml:space="preserve">that are involved </w:t>
      </w:r>
      <w:r w:rsidR="0080563C">
        <w:rPr>
          <w:rFonts w:ascii="Avenir Next" w:hAnsi="Avenir Next" w:cs="Arial"/>
          <w:sz w:val="22"/>
          <w:szCs w:val="22"/>
          <w:lang w:val="en-GB"/>
        </w:rPr>
        <w:t xml:space="preserve">and </w:t>
      </w:r>
      <w:proofErr w:type="gramStart"/>
      <w:r w:rsidR="0080563C">
        <w:rPr>
          <w:rFonts w:ascii="Avenir Next" w:hAnsi="Avenir Next" w:cs="Arial"/>
          <w:sz w:val="22"/>
          <w:szCs w:val="22"/>
          <w:lang w:val="en-GB"/>
        </w:rPr>
        <w:t>in particular relates</w:t>
      </w:r>
      <w:proofErr w:type="gramEnd"/>
      <w:r w:rsidR="0080563C">
        <w:rPr>
          <w:rFonts w:ascii="Avenir Next" w:hAnsi="Avenir Next" w:cs="Arial"/>
          <w:sz w:val="22"/>
          <w:szCs w:val="22"/>
          <w:lang w:val="en-GB"/>
        </w:rPr>
        <w:t xml:space="preserve"> </w:t>
      </w:r>
      <w:r w:rsidR="00114D10">
        <w:rPr>
          <w:rFonts w:ascii="Avenir Next" w:hAnsi="Avenir Next" w:cs="Arial"/>
          <w:sz w:val="22"/>
          <w:szCs w:val="22"/>
          <w:lang w:val="en-GB"/>
        </w:rPr>
        <w:t xml:space="preserve">to the exchange of relevant information between parties. </w:t>
      </w:r>
    </w:p>
    <w:p w14:paraId="4BDC23A8" w14:textId="5750AF55" w:rsidR="00C54158" w:rsidRDefault="00C54158" w:rsidP="002A37BB">
      <w:pPr>
        <w:ind w:left="720" w:hanging="720"/>
        <w:jc w:val="both"/>
        <w:rPr>
          <w:rFonts w:ascii="Avenir Next" w:hAnsi="Avenir Next" w:cs="Arial"/>
          <w:sz w:val="22"/>
          <w:szCs w:val="22"/>
          <w:lang w:val="en-GB"/>
        </w:rPr>
      </w:pPr>
    </w:p>
    <w:p w14:paraId="74AD0609" w14:textId="77777777" w:rsidR="00C427DF" w:rsidRDefault="00C54158" w:rsidP="002A37BB">
      <w:pPr>
        <w:ind w:left="720" w:hanging="720"/>
        <w:jc w:val="both"/>
        <w:rPr>
          <w:rFonts w:ascii="Avenir Next" w:hAnsi="Avenir Next" w:cs="Arial"/>
          <w:sz w:val="22"/>
          <w:szCs w:val="22"/>
          <w:lang w:val="en-GB"/>
        </w:rPr>
      </w:pPr>
      <w:r>
        <w:rPr>
          <w:rFonts w:ascii="Avenir Next" w:hAnsi="Avenir Next" w:cs="Arial"/>
          <w:sz w:val="22"/>
          <w:szCs w:val="22"/>
          <w:lang w:val="en-GB"/>
        </w:rPr>
        <w:t>Other provisions</w:t>
      </w:r>
      <w:r w:rsidR="0052721D">
        <w:rPr>
          <w:rFonts w:ascii="Avenir Next" w:hAnsi="Avenir Next" w:cs="Arial"/>
          <w:sz w:val="22"/>
          <w:szCs w:val="22"/>
          <w:lang w:val="en-GB"/>
        </w:rPr>
        <w:t xml:space="preserve"> under the EIR Recast </w:t>
      </w:r>
      <w:r w:rsidR="00FB006F">
        <w:rPr>
          <w:rFonts w:ascii="Avenir Next" w:hAnsi="Avenir Next" w:cs="Arial"/>
          <w:sz w:val="22"/>
          <w:szCs w:val="22"/>
          <w:lang w:val="en-GB"/>
        </w:rPr>
        <w:t>that mandate co-operation and communication include Article</w:t>
      </w:r>
    </w:p>
    <w:p w14:paraId="6C3D5A04" w14:textId="77777777" w:rsidR="00C427DF" w:rsidRDefault="004F62D3" w:rsidP="002A37BB">
      <w:pPr>
        <w:ind w:left="720" w:hanging="720"/>
        <w:jc w:val="both"/>
        <w:rPr>
          <w:rFonts w:ascii="Avenir Next" w:hAnsi="Avenir Next" w:cs="Arial"/>
          <w:sz w:val="22"/>
          <w:szCs w:val="22"/>
          <w:lang w:val="en-GB"/>
        </w:rPr>
      </w:pPr>
      <w:r>
        <w:rPr>
          <w:rFonts w:ascii="Avenir Next" w:hAnsi="Avenir Next" w:cs="Arial"/>
          <w:sz w:val="22"/>
          <w:szCs w:val="22"/>
          <w:lang w:val="en-GB"/>
        </w:rPr>
        <w:t>41 (co-operation</w:t>
      </w:r>
      <w:r w:rsidR="00FB006F">
        <w:rPr>
          <w:rFonts w:ascii="Avenir Next" w:hAnsi="Avenir Next" w:cs="Arial"/>
          <w:sz w:val="22"/>
          <w:szCs w:val="22"/>
          <w:lang w:val="en-GB"/>
        </w:rPr>
        <w:t xml:space="preserve"> between insolvency practitioners</w:t>
      </w:r>
      <w:r>
        <w:rPr>
          <w:rFonts w:ascii="Avenir Next" w:hAnsi="Avenir Next" w:cs="Arial"/>
          <w:sz w:val="22"/>
          <w:szCs w:val="22"/>
          <w:lang w:val="en-GB"/>
        </w:rPr>
        <w:t>), Article 42 (co-operation between courts) and</w:t>
      </w:r>
    </w:p>
    <w:p w14:paraId="1F317A03" w14:textId="77777777" w:rsidR="00C427DF" w:rsidRDefault="004F62D3" w:rsidP="002A37BB">
      <w:pPr>
        <w:ind w:left="720" w:hanging="720"/>
        <w:jc w:val="both"/>
        <w:rPr>
          <w:rFonts w:ascii="Avenir Next" w:hAnsi="Avenir Next" w:cs="Arial"/>
          <w:sz w:val="22"/>
          <w:szCs w:val="22"/>
          <w:lang w:val="en-GB"/>
        </w:rPr>
      </w:pPr>
      <w:r>
        <w:rPr>
          <w:rFonts w:ascii="Avenir Next" w:hAnsi="Avenir Next" w:cs="Arial"/>
          <w:sz w:val="22"/>
          <w:szCs w:val="22"/>
          <w:lang w:val="en-GB"/>
        </w:rPr>
        <w:t>Article 43 (co-operation between insolvency practitioners and courts).</w:t>
      </w:r>
      <w:r w:rsidR="00500B70">
        <w:rPr>
          <w:rFonts w:ascii="Avenir Next" w:hAnsi="Avenir Next" w:cs="Arial"/>
          <w:sz w:val="22"/>
          <w:szCs w:val="22"/>
          <w:lang w:val="en-GB"/>
        </w:rPr>
        <w:t xml:space="preserve"> Articles 56-59 of the EIR Recast</w:t>
      </w:r>
    </w:p>
    <w:p w14:paraId="485A6693" w14:textId="77777777" w:rsidR="00C427DF" w:rsidRDefault="00E36AD8" w:rsidP="002A37BB">
      <w:pPr>
        <w:ind w:left="720" w:hanging="720"/>
        <w:jc w:val="both"/>
        <w:rPr>
          <w:rFonts w:ascii="Avenir Next" w:hAnsi="Avenir Next" w:cs="Arial"/>
          <w:sz w:val="22"/>
          <w:szCs w:val="22"/>
          <w:lang w:val="en-GB"/>
        </w:rPr>
      </w:pPr>
      <w:r>
        <w:rPr>
          <w:rFonts w:ascii="Avenir Next" w:hAnsi="Avenir Next" w:cs="Arial"/>
          <w:sz w:val="22"/>
          <w:szCs w:val="22"/>
          <w:lang w:val="en-GB"/>
        </w:rPr>
        <w:t>further relate to co-operation and communication in insolvency proceedings that relate to two or</w:t>
      </w:r>
    </w:p>
    <w:p w14:paraId="4D633EC6" w14:textId="700D469A" w:rsidR="00C54158" w:rsidRPr="007A6772" w:rsidRDefault="00E36AD8" w:rsidP="002A37BB">
      <w:pPr>
        <w:ind w:left="720" w:hanging="720"/>
        <w:jc w:val="both"/>
        <w:rPr>
          <w:rFonts w:ascii="Avenir Next" w:hAnsi="Avenir Next" w:cs="Arial"/>
          <w:sz w:val="22"/>
          <w:szCs w:val="22"/>
          <w:lang w:val="en-GB"/>
        </w:rPr>
      </w:pPr>
      <w:r>
        <w:rPr>
          <w:rFonts w:ascii="Avenir Next" w:hAnsi="Avenir Next" w:cs="Arial"/>
          <w:sz w:val="22"/>
          <w:szCs w:val="22"/>
          <w:lang w:val="en-GB"/>
        </w:rPr>
        <w:t>more members of a group of companies.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40F41B04" w14:textId="77777777" w:rsidR="004E11C1" w:rsidRDefault="003E41D0" w:rsidP="003E41D0">
      <w:pPr>
        <w:ind w:left="720" w:hanging="720"/>
        <w:jc w:val="both"/>
        <w:rPr>
          <w:rFonts w:ascii="Avenir Next" w:hAnsi="Avenir Next" w:cs="Arial"/>
          <w:sz w:val="22"/>
          <w:szCs w:val="22"/>
          <w:lang w:val="en-GB"/>
        </w:rPr>
      </w:pPr>
      <w:r w:rsidRPr="003E41D0">
        <w:rPr>
          <w:rFonts w:ascii="Avenir Next" w:hAnsi="Avenir Next" w:cs="Arial"/>
          <w:sz w:val="22"/>
          <w:szCs w:val="22"/>
          <w:lang w:val="en-GB"/>
        </w:rPr>
        <w:t xml:space="preserve">The EIR Recast </w:t>
      </w:r>
      <w:r>
        <w:rPr>
          <w:rFonts w:ascii="Avenir Next" w:hAnsi="Avenir Next" w:cs="Arial"/>
          <w:sz w:val="22"/>
          <w:szCs w:val="22"/>
          <w:lang w:val="en-GB"/>
        </w:rPr>
        <w:t xml:space="preserve">has introduced </w:t>
      </w:r>
      <w:proofErr w:type="gramStart"/>
      <w:r>
        <w:rPr>
          <w:rFonts w:ascii="Avenir Next" w:hAnsi="Avenir Next" w:cs="Arial"/>
          <w:sz w:val="22"/>
          <w:szCs w:val="22"/>
          <w:lang w:val="en-GB"/>
        </w:rPr>
        <w:t>a number of</w:t>
      </w:r>
      <w:proofErr w:type="gramEnd"/>
      <w:r>
        <w:rPr>
          <w:rFonts w:ascii="Avenir Next" w:hAnsi="Avenir Next" w:cs="Arial"/>
          <w:sz w:val="22"/>
          <w:szCs w:val="22"/>
          <w:lang w:val="en-GB"/>
        </w:rPr>
        <w:t xml:space="preserve"> legal instruments to avoid and/or control </w:t>
      </w:r>
      <w:r w:rsidR="00E7140D">
        <w:rPr>
          <w:rFonts w:ascii="Avenir Next" w:hAnsi="Avenir Next" w:cs="Arial"/>
          <w:sz w:val="22"/>
          <w:szCs w:val="22"/>
          <w:lang w:val="en-GB"/>
        </w:rPr>
        <w:t>the opening,</w:t>
      </w:r>
    </w:p>
    <w:p w14:paraId="23BA934C" w14:textId="3637B057" w:rsidR="00B203BF" w:rsidRDefault="00E7140D" w:rsidP="00B203BF">
      <w:pPr>
        <w:ind w:left="720" w:hanging="720"/>
        <w:jc w:val="both"/>
        <w:rPr>
          <w:rFonts w:ascii="Avenir Next" w:hAnsi="Avenir Next" w:cs="Arial"/>
          <w:sz w:val="22"/>
          <w:szCs w:val="22"/>
          <w:lang w:val="en-GB"/>
        </w:rPr>
      </w:pPr>
      <w:r>
        <w:rPr>
          <w:rFonts w:ascii="Avenir Next" w:hAnsi="Avenir Next" w:cs="Arial"/>
          <w:sz w:val="22"/>
          <w:szCs w:val="22"/>
          <w:lang w:val="en-GB"/>
        </w:rPr>
        <w:t>conduct and closure of secondary proceedings.</w:t>
      </w:r>
      <w:r w:rsidR="008616D2">
        <w:rPr>
          <w:rFonts w:ascii="Avenir Next" w:hAnsi="Avenir Next" w:cs="Arial"/>
          <w:sz w:val="22"/>
          <w:szCs w:val="22"/>
          <w:lang w:val="en-GB"/>
        </w:rPr>
        <w:t xml:space="preserve"> </w:t>
      </w:r>
      <w:proofErr w:type="gramStart"/>
      <w:r w:rsidR="004E11C1">
        <w:rPr>
          <w:rFonts w:ascii="Avenir Next" w:hAnsi="Avenir Next" w:cs="Arial"/>
          <w:sz w:val="22"/>
          <w:szCs w:val="22"/>
          <w:lang w:val="en-GB"/>
        </w:rPr>
        <w:t>The</w:t>
      </w:r>
      <w:proofErr w:type="gramEnd"/>
      <w:r w:rsidR="004E11C1">
        <w:rPr>
          <w:rFonts w:ascii="Avenir Next" w:hAnsi="Avenir Next" w:cs="Arial"/>
          <w:sz w:val="22"/>
          <w:szCs w:val="22"/>
          <w:lang w:val="en-GB"/>
        </w:rPr>
        <w:t xml:space="preserve"> law applicable to secondary proceedings </w:t>
      </w:r>
      <w:r w:rsidR="00E940CC">
        <w:rPr>
          <w:rFonts w:ascii="Avenir Next" w:hAnsi="Avenir Next" w:cs="Arial"/>
          <w:sz w:val="22"/>
          <w:szCs w:val="22"/>
          <w:lang w:val="en-GB"/>
        </w:rPr>
        <w:t>is</w:t>
      </w:r>
    </w:p>
    <w:p w14:paraId="0AAE0EBD" w14:textId="77777777" w:rsidR="00B203BF" w:rsidRDefault="00E940CC" w:rsidP="00B203BF">
      <w:pPr>
        <w:ind w:left="720" w:hanging="720"/>
        <w:jc w:val="both"/>
        <w:rPr>
          <w:rFonts w:ascii="Avenir Next" w:hAnsi="Avenir Next" w:cs="Arial"/>
          <w:sz w:val="22"/>
          <w:szCs w:val="22"/>
          <w:lang w:val="en-GB"/>
        </w:rPr>
      </w:pPr>
      <w:r>
        <w:rPr>
          <w:rFonts w:ascii="Avenir Next" w:hAnsi="Avenir Next" w:cs="Arial"/>
          <w:sz w:val="22"/>
          <w:szCs w:val="22"/>
          <w:lang w:val="en-GB"/>
        </w:rPr>
        <w:t xml:space="preserve">referred to as </w:t>
      </w:r>
      <w:r w:rsidRPr="007833D7">
        <w:rPr>
          <w:rFonts w:ascii="Avenir Next" w:hAnsi="Avenir Next" w:cs="Arial"/>
          <w:sz w:val="22"/>
          <w:szCs w:val="22"/>
          <w:lang w:val="en-GB"/>
        </w:rPr>
        <w:t xml:space="preserve">lex concursus </w:t>
      </w:r>
      <w:proofErr w:type="spellStart"/>
      <w:r w:rsidRPr="007833D7">
        <w:rPr>
          <w:rFonts w:ascii="Avenir Next" w:hAnsi="Avenir Next" w:cs="Arial"/>
          <w:sz w:val="22"/>
          <w:szCs w:val="22"/>
          <w:lang w:val="en-GB"/>
        </w:rPr>
        <w:t>secundarii</w:t>
      </w:r>
      <w:proofErr w:type="spellEnd"/>
      <w:r w:rsidRPr="00B203BF">
        <w:rPr>
          <w:rFonts w:ascii="Avenir Next" w:hAnsi="Avenir Next" w:cs="Arial"/>
          <w:sz w:val="22"/>
          <w:szCs w:val="22"/>
          <w:lang w:val="en-GB"/>
        </w:rPr>
        <w:t xml:space="preserve"> </w:t>
      </w:r>
      <w:r>
        <w:rPr>
          <w:rFonts w:ascii="Avenir Next" w:hAnsi="Avenir Next" w:cs="Arial"/>
          <w:sz w:val="22"/>
          <w:szCs w:val="22"/>
          <w:lang w:val="en-GB"/>
        </w:rPr>
        <w:t xml:space="preserve">and it governs the opening, conduct, </w:t>
      </w:r>
      <w:proofErr w:type="gramStart"/>
      <w:r>
        <w:rPr>
          <w:rFonts w:ascii="Avenir Next" w:hAnsi="Avenir Next" w:cs="Arial"/>
          <w:sz w:val="22"/>
          <w:szCs w:val="22"/>
          <w:lang w:val="en-GB"/>
        </w:rPr>
        <w:t>closure</w:t>
      </w:r>
      <w:proofErr w:type="gramEnd"/>
      <w:r>
        <w:rPr>
          <w:rFonts w:ascii="Avenir Next" w:hAnsi="Avenir Next" w:cs="Arial"/>
          <w:sz w:val="22"/>
          <w:szCs w:val="22"/>
          <w:lang w:val="en-GB"/>
        </w:rPr>
        <w:t xml:space="preserve"> and effects of</w:t>
      </w:r>
    </w:p>
    <w:p w14:paraId="20800D7D" w14:textId="77777777" w:rsidR="007833D7" w:rsidRDefault="00E940CC" w:rsidP="00B203BF">
      <w:pPr>
        <w:ind w:left="720" w:hanging="720"/>
        <w:jc w:val="both"/>
        <w:rPr>
          <w:rFonts w:ascii="Avenir Next" w:hAnsi="Avenir Next" w:cs="Arial"/>
          <w:sz w:val="22"/>
          <w:szCs w:val="22"/>
          <w:lang w:val="en-GB"/>
        </w:rPr>
      </w:pPr>
      <w:r>
        <w:rPr>
          <w:rFonts w:ascii="Avenir Next" w:hAnsi="Avenir Next" w:cs="Arial"/>
          <w:sz w:val="22"/>
          <w:szCs w:val="22"/>
          <w:lang w:val="en-GB"/>
        </w:rPr>
        <w:t>secondary proceedings under the EIR Recast.</w:t>
      </w:r>
      <w:r w:rsidR="002B56F7">
        <w:rPr>
          <w:rFonts w:ascii="Avenir Next" w:hAnsi="Avenir Next" w:cs="Arial"/>
          <w:sz w:val="22"/>
          <w:szCs w:val="22"/>
          <w:lang w:val="en-GB"/>
        </w:rPr>
        <w:t xml:space="preserve"> Because the opening of secondary insolvency</w:t>
      </w:r>
    </w:p>
    <w:p w14:paraId="3487AB5D" w14:textId="77777777" w:rsidR="007833D7" w:rsidRDefault="002B56F7" w:rsidP="00B203BF">
      <w:pPr>
        <w:ind w:left="720" w:hanging="720"/>
        <w:jc w:val="both"/>
        <w:rPr>
          <w:rFonts w:ascii="Avenir Next" w:hAnsi="Avenir Next" w:cs="Arial"/>
          <w:sz w:val="22"/>
          <w:szCs w:val="22"/>
          <w:lang w:val="en-GB"/>
        </w:rPr>
      </w:pPr>
      <w:r>
        <w:rPr>
          <w:rFonts w:ascii="Avenir Next" w:hAnsi="Avenir Next" w:cs="Arial"/>
          <w:sz w:val="22"/>
          <w:szCs w:val="22"/>
          <w:lang w:val="en-GB"/>
        </w:rPr>
        <w:t>pr</w:t>
      </w:r>
      <w:r w:rsidR="00B165FE">
        <w:rPr>
          <w:rFonts w:ascii="Avenir Next" w:hAnsi="Avenir Next" w:cs="Arial"/>
          <w:sz w:val="22"/>
          <w:szCs w:val="22"/>
          <w:lang w:val="en-GB"/>
        </w:rPr>
        <w:t xml:space="preserve">oceedings </w:t>
      </w:r>
      <w:proofErr w:type="gramStart"/>
      <w:r w:rsidR="00B165FE">
        <w:rPr>
          <w:rFonts w:ascii="Avenir Next" w:hAnsi="Avenir Next" w:cs="Arial"/>
          <w:sz w:val="22"/>
          <w:szCs w:val="22"/>
          <w:lang w:val="en-GB"/>
        </w:rPr>
        <w:t>leads</w:t>
      </w:r>
      <w:proofErr w:type="gramEnd"/>
      <w:r w:rsidR="00B165FE">
        <w:rPr>
          <w:rFonts w:ascii="Avenir Next" w:hAnsi="Avenir Next" w:cs="Arial"/>
          <w:sz w:val="22"/>
          <w:szCs w:val="22"/>
          <w:lang w:val="en-GB"/>
        </w:rPr>
        <w:t xml:space="preserve"> to consequences such as the fragmentation of the insolvency estate and increased</w:t>
      </w:r>
    </w:p>
    <w:p w14:paraId="7ACA973F" w14:textId="77777777" w:rsidR="007833D7" w:rsidRDefault="00B165FE" w:rsidP="00B203BF">
      <w:pPr>
        <w:ind w:left="720" w:hanging="720"/>
        <w:jc w:val="both"/>
        <w:rPr>
          <w:rFonts w:ascii="Avenir Next" w:hAnsi="Avenir Next" w:cs="Arial"/>
          <w:sz w:val="22"/>
          <w:szCs w:val="22"/>
          <w:lang w:val="en-GB"/>
        </w:rPr>
      </w:pPr>
      <w:r>
        <w:rPr>
          <w:rFonts w:ascii="Avenir Next" w:hAnsi="Avenir Next" w:cs="Arial"/>
          <w:sz w:val="22"/>
          <w:szCs w:val="22"/>
          <w:lang w:val="en-GB"/>
        </w:rPr>
        <w:t xml:space="preserve">transaction costs, the EIR Recast contains </w:t>
      </w:r>
      <w:proofErr w:type="gramStart"/>
      <w:r>
        <w:rPr>
          <w:rFonts w:ascii="Avenir Next" w:hAnsi="Avenir Next" w:cs="Arial"/>
          <w:sz w:val="22"/>
          <w:szCs w:val="22"/>
          <w:lang w:val="en-GB"/>
        </w:rPr>
        <w:t>a number of</w:t>
      </w:r>
      <w:proofErr w:type="gramEnd"/>
      <w:r>
        <w:rPr>
          <w:rFonts w:ascii="Avenir Next" w:hAnsi="Avenir Next" w:cs="Arial"/>
          <w:sz w:val="22"/>
          <w:szCs w:val="22"/>
          <w:lang w:val="en-GB"/>
        </w:rPr>
        <w:t xml:space="preserve"> </w:t>
      </w:r>
      <w:r w:rsidR="007833D7">
        <w:rPr>
          <w:rFonts w:ascii="Avenir Next" w:hAnsi="Avenir Next" w:cs="Arial"/>
          <w:sz w:val="22"/>
          <w:szCs w:val="22"/>
          <w:lang w:val="en-GB"/>
        </w:rPr>
        <w:t>instruments to avoid the opening of secondary</w:t>
      </w:r>
    </w:p>
    <w:p w14:paraId="57AAE84B" w14:textId="5091A3DE" w:rsidR="00B203BF" w:rsidRDefault="007833D7" w:rsidP="00B203BF">
      <w:pPr>
        <w:ind w:left="720" w:hanging="720"/>
        <w:jc w:val="both"/>
        <w:rPr>
          <w:rFonts w:ascii="Avenir Next" w:hAnsi="Avenir Next" w:cs="Arial"/>
          <w:sz w:val="22"/>
          <w:szCs w:val="22"/>
          <w:lang w:val="en-GB"/>
        </w:rPr>
      </w:pPr>
      <w:r>
        <w:rPr>
          <w:rFonts w:ascii="Avenir Next" w:hAnsi="Avenir Next" w:cs="Arial"/>
          <w:sz w:val="22"/>
          <w:szCs w:val="22"/>
          <w:lang w:val="en-GB"/>
        </w:rPr>
        <w:t xml:space="preserve">insolvency proceedings. </w:t>
      </w:r>
    </w:p>
    <w:p w14:paraId="7E484CCB" w14:textId="36B6FD16" w:rsidR="0087397E" w:rsidRDefault="0087397E" w:rsidP="00B203BF">
      <w:pPr>
        <w:ind w:left="720" w:hanging="720"/>
        <w:jc w:val="both"/>
        <w:rPr>
          <w:rFonts w:ascii="Avenir Next" w:hAnsi="Avenir Next" w:cs="Arial"/>
          <w:sz w:val="22"/>
          <w:szCs w:val="22"/>
          <w:lang w:val="en-GB"/>
        </w:rPr>
      </w:pPr>
    </w:p>
    <w:p w14:paraId="344AA66D" w14:textId="77777777" w:rsidR="009C52BE" w:rsidRDefault="0087397E" w:rsidP="003214F0">
      <w:pPr>
        <w:ind w:left="720" w:hanging="720"/>
        <w:jc w:val="both"/>
        <w:rPr>
          <w:rFonts w:ascii="Avenir Next" w:hAnsi="Avenir Next" w:cs="Arial"/>
          <w:sz w:val="22"/>
          <w:szCs w:val="22"/>
          <w:lang w:val="en-GB"/>
        </w:rPr>
      </w:pPr>
      <w:r>
        <w:rPr>
          <w:rFonts w:ascii="Avenir Next" w:hAnsi="Avenir Next" w:cs="Arial"/>
          <w:sz w:val="22"/>
          <w:szCs w:val="22"/>
          <w:lang w:val="en-GB"/>
        </w:rPr>
        <w:t xml:space="preserve">Article 36 of the EIR Recast (“Right to give an undertaking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avoid secondary insolvency</w:t>
      </w:r>
    </w:p>
    <w:p w14:paraId="67B1F2DA" w14:textId="77777777" w:rsidR="009C52BE" w:rsidRDefault="0087397E" w:rsidP="003214F0">
      <w:pPr>
        <w:ind w:left="720" w:hanging="720"/>
        <w:jc w:val="both"/>
        <w:rPr>
          <w:rFonts w:ascii="Avenir Next" w:hAnsi="Avenir Next" w:cs="Arial"/>
          <w:sz w:val="22"/>
          <w:szCs w:val="22"/>
          <w:lang w:val="en-GB"/>
        </w:rPr>
      </w:pPr>
      <w:r>
        <w:rPr>
          <w:rFonts w:ascii="Avenir Next" w:hAnsi="Avenir Next" w:cs="Arial"/>
          <w:sz w:val="22"/>
          <w:szCs w:val="22"/>
          <w:lang w:val="en-GB"/>
        </w:rPr>
        <w:t xml:space="preserve">proceedings”) </w:t>
      </w:r>
      <w:r w:rsidR="00504F5A">
        <w:rPr>
          <w:rFonts w:ascii="Avenir Next" w:hAnsi="Avenir Next" w:cs="Arial"/>
          <w:sz w:val="22"/>
          <w:szCs w:val="22"/>
          <w:lang w:val="en-GB"/>
        </w:rPr>
        <w:t>is one instrument introduced under the EIR Recast aimed at avoiding or otherwise</w:t>
      </w:r>
    </w:p>
    <w:p w14:paraId="0428F025" w14:textId="77777777" w:rsidR="009C52BE" w:rsidRDefault="00504F5A" w:rsidP="003214F0">
      <w:pPr>
        <w:ind w:left="720" w:hanging="720"/>
        <w:jc w:val="both"/>
        <w:rPr>
          <w:rFonts w:ascii="Avenir Next" w:hAnsi="Avenir Next" w:cs="Arial"/>
          <w:sz w:val="22"/>
          <w:szCs w:val="22"/>
          <w:lang w:val="en-GB"/>
        </w:rPr>
      </w:pPr>
      <w:r>
        <w:rPr>
          <w:rFonts w:ascii="Avenir Next" w:hAnsi="Avenir Next" w:cs="Arial"/>
          <w:sz w:val="22"/>
          <w:szCs w:val="22"/>
          <w:lang w:val="en-GB"/>
        </w:rPr>
        <w:t>controlling the</w:t>
      </w:r>
      <w:r w:rsidR="003214F0">
        <w:rPr>
          <w:rFonts w:ascii="Avenir Next" w:hAnsi="Avenir Next" w:cs="Arial"/>
          <w:sz w:val="22"/>
          <w:szCs w:val="22"/>
          <w:lang w:val="en-GB"/>
        </w:rPr>
        <w:t xml:space="preserve">. </w:t>
      </w:r>
      <w:r w:rsidR="0021597D">
        <w:rPr>
          <w:rFonts w:ascii="Avenir Next" w:hAnsi="Avenir Next" w:cs="Arial"/>
          <w:sz w:val="22"/>
          <w:szCs w:val="22"/>
          <w:lang w:val="en-GB"/>
        </w:rPr>
        <w:t xml:space="preserve">Under Article 38(2) of the EIR Recast, </w:t>
      </w:r>
      <w:r w:rsidR="00294FE2">
        <w:rPr>
          <w:rFonts w:ascii="Avenir Next" w:hAnsi="Avenir Next" w:cs="Arial"/>
          <w:sz w:val="22"/>
          <w:szCs w:val="22"/>
          <w:lang w:val="en-GB"/>
        </w:rPr>
        <w:t>where the insolvency practitioner in the main</w:t>
      </w:r>
    </w:p>
    <w:p w14:paraId="09B87E49" w14:textId="77777777" w:rsidR="009C52BE" w:rsidRDefault="00294FE2" w:rsidP="003214F0">
      <w:pPr>
        <w:ind w:left="720" w:hanging="720"/>
        <w:jc w:val="both"/>
        <w:rPr>
          <w:rFonts w:ascii="Avenir Next" w:hAnsi="Avenir Next" w:cs="Arial"/>
          <w:sz w:val="22"/>
          <w:szCs w:val="22"/>
          <w:lang w:val="en-GB"/>
        </w:rPr>
      </w:pPr>
      <w:r>
        <w:rPr>
          <w:rFonts w:ascii="Avenir Next" w:hAnsi="Avenir Next" w:cs="Arial"/>
          <w:sz w:val="22"/>
          <w:szCs w:val="22"/>
          <w:lang w:val="en-GB"/>
        </w:rPr>
        <w:t xml:space="preserve">insolvency proceedings </w:t>
      </w:r>
      <w:proofErr w:type="gramStart"/>
      <w:r>
        <w:rPr>
          <w:rFonts w:ascii="Avenir Next" w:hAnsi="Avenir Next" w:cs="Arial"/>
          <w:sz w:val="22"/>
          <w:szCs w:val="22"/>
          <w:lang w:val="en-GB"/>
        </w:rPr>
        <w:t>has</w:t>
      </w:r>
      <w:proofErr w:type="gramEnd"/>
      <w:r>
        <w:rPr>
          <w:rFonts w:ascii="Avenir Next" w:hAnsi="Avenir Next" w:cs="Arial"/>
          <w:sz w:val="22"/>
          <w:szCs w:val="22"/>
          <w:lang w:val="en-GB"/>
        </w:rPr>
        <w:t xml:space="preserve"> given an undertaking in accordance with Article 36, </w:t>
      </w:r>
      <w:r w:rsidR="007C4D1D">
        <w:rPr>
          <w:rFonts w:ascii="Avenir Next" w:hAnsi="Avenir Next" w:cs="Arial"/>
          <w:sz w:val="22"/>
          <w:szCs w:val="22"/>
          <w:lang w:val="en-GB"/>
        </w:rPr>
        <w:t>the court responsible</w:t>
      </w:r>
    </w:p>
    <w:p w14:paraId="18B5EF7F" w14:textId="77777777" w:rsidR="009C52BE" w:rsidRDefault="007C4D1D" w:rsidP="003214F0">
      <w:pPr>
        <w:ind w:left="720" w:hanging="720"/>
        <w:jc w:val="both"/>
        <w:rPr>
          <w:rFonts w:ascii="Avenir Next" w:hAnsi="Avenir Next" w:cs="Arial"/>
          <w:sz w:val="22"/>
          <w:szCs w:val="22"/>
          <w:lang w:val="en-GB"/>
        </w:rPr>
      </w:pPr>
      <w:r>
        <w:rPr>
          <w:rFonts w:ascii="Avenir Next" w:hAnsi="Avenir Next" w:cs="Arial"/>
          <w:sz w:val="22"/>
          <w:szCs w:val="22"/>
          <w:lang w:val="en-GB"/>
        </w:rPr>
        <w:t>for opening the secondary insolvency proceedings should not, at the request of the insolvency</w:t>
      </w:r>
    </w:p>
    <w:p w14:paraId="1B9A9A24" w14:textId="77777777" w:rsidR="009C52BE" w:rsidRDefault="007C4D1D" w:rsidP="003214F0">
      <w:pPr>
        <w:ind w:left="720" w:hanging="720"/>
        <w:jc w:val="both"/>
        <w:rPr>
          <w:rFonts w:ascii="Avenir Next" w:hAnsi="Avenir Next" w:cs="Arial"/>
          <w:sz w:val="22"/>
          <w:szCs w:val="22"/>
          <w:lang w:val="en-GB"/>
        </w:rPr>
      </w:pPr>
      <w:r>
        <w:rPr>
          <w:rFonts w:ascii="Avenir Next" w:hAnsi="Avenir Next" w:cs="Arial"/>
          <w:sz w:val="22"/>
          <w:szCs w:val="22"/>
          <w:lang w:val="en-GB"/>
        </w:rPr>
        <w:t>practitioner, open them if the court is satisfied that the undertaking adequately protects the general</w:t>
      </w:r>
    </w:p>
    <w:p w14:paraId="693C58D2" w14:textId="77777777" w:rsidR="00B84A8F" w:rsidRDefault="007C4D1D" w:rsidP="003214F0">
      <w:pPr>
        <w:ind w:left="720" w:hanging="720"/>
        <w:jc w:val="both"/>
        <w:rPr>
          <w:rFonts w:ascii="Avenir Next" w:hAnsi="Avenir Next" w:cs="Arial"/>
          <w:sz w:val="22"/>
          <w:szCs w:val="22"/>
          <w:lang w:val="en-GB"/>
        </w:rPr>
      </w:pPr>
      <w:r>
        <w:rPr>
          <w:rFonts w:ascii="Avenir Next" w:hAnsi="Avenir Next" w:cs="Arial"/>
          <w:sz w:val="22"/>
          <w:szCs w:val="22"/>
          <w:lang w:val="en-GB"/>
        </w:rPr>
        <w:t xml:space="preserve">interests of local creditors. </w:t>
      </w:r>
      <w:r w:rsidR="00BE75A2">
        <w:rPr>
          <w:rFonts w:ascii="Avenir Next" w:hAnsi="Avenir Next" w:cs="Arial"/>
          <w:sz w:val="22"/>
          <w:szCs w:val="22"/>
          <w:lang w:val="en-GB"/>
        </w:rPr>
        <w:t>P</w:t>
      </w:r>
      <w:r w:rsidR="007C2708">
        <w:rPr>
          <w:rFonts w:ascii="Avenir Next" w:hAnsi="Avenir Next" w:cs="Arial"/>
          <w:sz w:val="22"/>
          <w:szCs w:val="22"/>
          <w:lang w:val="en-GB"/>
        </w:rPr>
        <w:t xml:space="preserve">arty autonomy and centralisation of the insolvency forum </w:t>
      </w:r>
      <w:r w:rsidR="00BE75A2">
        <w:rPr>
          <w:rFonts w:ascii="Avenir Next" w:hAnsi="Avenir Next" w:cs="Arial"/>
          <w:sz w:val="22"/>
          <w:szCs w:val="22"/>
          <w:lang w:val="en-GB"/>
        </w:rPr>
        <w:t>are the</w:t>
      </w:r>
    </w:p>
    <w:p w14:paraId="126BAE0B" w14:textId="77777777" w:rsidR="00B84A8F" w:rsidRDefault="00BE75A2" w:rsidP="003214F0">
      <w:pPr>
        <w:ind w:left="720" w:hanging="720"/>
        <w:jc w:val="both"/>
        <w:rPr>
          <w:rFonts w:ascii="Avenir Next" w:hAnsi="Avenir Next" w:cs="Arial"/>
          <w:sz w:val="22"/>
          <w:szCs w:val="22"/>
          <w:lang w:val="en-GB"/>
        </w:rPr>
      </w:pPr>
      <w:r>
        <w:rPr>
          <w:rFonts w:ascii="Avenir Next" w:hAnsi="Avenir Next" w:cs="Arial"/>
          <w:sz w:val="22"/>
          <w:szCs w:val="22"/>
          <w:lang w:val="en-GB"/>
        </w:rPr>
        <w:t xml:space="preserve">underpinning concepts of Article 36. </w:t>
      </w:r>
      <w:r w:rsidR="00447D7E">
        <w:rPr>
          <w:rFonts w:ascii="Avenir Next" w:hAnsi="Avenir Next" w:cs="Arial"/>
          <w:sz w:val="22"/>
          <w:szCs w:val="22"/>
          <w:lang w:val="en-GB"/>
        </w:rPr>
        <w:t>Under Article 36, the insolvency practitioner in the main</w:t>
      </w:r>
    </w:p>
    <w:p w14:paraId="050C7416" w14:textId="77777777" w:rsidR="00B84A8F" w:rsidRDefault="00447D7E" w:rsidP="003214F0">
      <w:pPr>
        <w:ind w:left="720" w:hanging="720"/>
        <w:jc w:val="both"/>
        <w:rPr>
          <w:rFonts w:ascii="Avenir Next" w:hAnsi="Avenir Next" w:cs="Arial"/>
          <w:sz w:val="22"/>
          <w:szCs w:val="22"/>
          <w:lang w:val="en-GB"/>
        </w:rPr>
      </w:pPr>
      <w:r>
        <w:rPr>
          <w:rFonts w:ascii="Avenir Next" w:hAnsi="Avenir Next" w:cs="Arial"/>
          <w:sz w:val="22"/>
          <w:szCs w:val="22"/>
          <w:lang w:val="en-GB"/>
        </w:rPr>
        <w:t>insolvency proceedings may g</w:t>
      </w:r>
      <w:r w:rsidR="00255F89">
        <w:rPr>
          <w:rFonts w:ascii="Avenir Next" w:hAnsi="Avenir Next" w:cs="Arial"/>
          <w:sz w:val="22"/>
          <w:szCs w:val="22"/>
          <w:lang w:val="en-GB"/>
        </w:rPr>
        <w:t>ive a unilateral undertaking in respect of the assets located in the</w:t>
      </w:r>
    </w:p>
    <w:p w14:paraId="29A77E11" w14:textId="77777777" w:rsidR="00B84A8F" w:rsidRDefault="00255F89" w:rsidP="003214F0">
      <w:pPr>
        <w:ind w:left="720" w:hanging="720"/>
        <w:jc w:val="both"/>
        <w:rPr>
          <w:rFonts w:ascii="Avenir Next" w:hAnsi="Avenir Next" w:cs="Arial"/>
          <w:sz w:val="22"/>
          <w:szCs w:val="22"/>
          <w:lang w:val="en-GB"/>
        </w:rPr>
      </w:pPr>
      <w:r>
        <w:rPr>
          <w:rFonts w:ascii="Avenir Next" w:hAnsi="Avenir Next" w:cs="Arial"/>
          <w:sz w:val="22"/>
          <w:szCs w:val="22"/>
          <w:lang w:val="en-GB"/>
        </w:rPr>
        <w:lastRenderedPageBreak/>
        <w:t>Member State in which the secondary proceedings could be opened, thus eliminating the need to</w:t>
      </w:r>
    </w:p>
    <w:p w14:paraId="5C44C0E1" w14:textId="056FB60B" w:rsidR="0021597D" w:rsidRDefault="00255F89" w:rsidP="003214F0">
      <w:pPr>
        <w:ind w:left="720" w:hanging="720"/>
        <w:jc w:val="both"/>
        <w:rPr>
          <w:rFonts w:ascii="Avenir Next" w:hAnsi="Avenir Next" w:cs="Arial"/>
          <w:sz w:val="22"/>
          <w:szCs w:val="22"/>
          <w:lang w:val="en-GB"/>
        </w:rPr>
      </w:pPr>
      <w:r>
        <w:rPr>
          <w:rFonts w:ascii="Avenir Next" w:hAnsi="Avenir Next" w:cs="Arial"/>
          <w:sz w:val="22"/>
          <w:szCs w:val="22"/>
          <w:lang w:val="en-GB"/>
        </w:rPr>
        <w:t>open the secondary proceedings.</w:t>
      </w:r>
    </w:p>
    <w:p w14:paraId="52F0CCAE" w14:textId="673704D4" w:rsidR="000A150E" w:rsidRDefault="000A150E" w:rsidP="00A86F88">
      <w:pPr>
        <w:jc w:val="both"/>
        <w:rPr>
          <w:rFonts w:ascii="Avenir Next" w:hAnsi="Avenir Next" w:cs="Arial"/>
          <w:sz w:val="22"/>
          <w:szCs w:val="22"/>
          <w:lang w:val="en-GB"/>
        </w:rPr>
      </w:pPr>
    </w:p>
    <w:p w14:paraId="44C11A7F" w14:textId="462C661F" w:rsidR="00A86F88" w:rsidRPr="003E41D0" w:rsidRDefault="00A86F88" w:rsidP="00A86F88">
      <w:pPr>
        <w:jc w:val="both"/>
        <w:rPr>
          <w:rFonts w:ascii="Avenir Next" w:hAnsi="Avenir Next" w:cs="Arial"/>
          <w:sz w:val="22"/>
          <w:szCs w:val="22"/>
          <w:lang w:val="en-GB"/>
        </w:rPr>
      </w:pPr>
      <w:r>
        <w:rPr>
          <w:rFonts w:ascii="Avenir Next" w:hAnsi="Avenir Next" w:cs="Arial"/>
          <w:sz w:val="22"/>
          <w:szCs w:val="22"/>
          <w:lang w:val="en-GB"/>
        </w:rPr>
        <w:t xml:space="preserve">Another instrument </w:t>
      </w:r>
      <w:r w:rsidR="003B4244">
        <w:rPr>
          <w:rFonts w:ascii="Avenir Next" w:hAnsi="Avenir Next" w:cs="Arial"/>
          <w:sz w:val="22"/>
          <w:szCs w:val="22"/>
          <w:lang w:val="en-GB"/>
        </w:rPr>
        <w:t xml:space="preserve">introduced under the EIR Recast to control secondary proceedings </w:t>
      </w:r>
      <w:r w:rsidR="00200FA2">
        <w:rPr>
          <w:rFonts w:ascii="Avenir Next" w:hAnsi="Avenir Next" w:cs="Arial"/>
          <w:sz w:val="22"/>
          <w:szCs w:val="22"/>
          <w:lang w:val="en-GB"/>
        </w:rPr>
        <w:t>is the stay of the opening of the secondary insolvency proceedings.</w:t>
      </w:r>
      <w:r w:rsidR="004843F3">
        <w:rPr>
          <w:rFonts w:ascii="Avenir Next" w:hAnsi="Avenir Next" w:cs="Arial"/>
          <w:sz w:val="22"/>
          <w:szCs w:val="22"/>
          <w:lang w:val="en-GB"/>
        </w:rPr>
        <w:t xml:space="preserve"> Often, a stay of individual enforcement measures follows the opening of main insolvency proceedings. The stay </w:t>
      </w:r>
      <w:r w:rsidR="00383806">
        <w:rPr>
          <w:rFonts w:ascii="Avenir Next" w:hAnsi="Avenir Next" w:cs="Arial"/>
          <w:sz w:val="22"/>
          <w:szCs w:val="22"/>
          <w:lang w:val="en-GB"/>
        </w:rPr>
        <w:t>allows a debtor breathing space to negotiate a restructuring of debt with its creditors</w:t>
      </w:r>
      <w:r w:rsidR="00D50BD1">
        <w:rPr>
          <w:rFonts w:ascii="Avenir Next" w:hAnsi="Avenir Next" w:cs="Arial"/>
          <w:sz w:val="22"/>
          <w:szCs w:val="22"/>
          <w:lang w:val="en-GB"/>
        </w:rPr>
        <w:t xml:space="preserve"> and the opening of secondary proceedings may frustrate the </w:t>
      </w:r>
      <w:r w:rsidR="00B972F6">
        <w:rPr>
          <w:rFonts w:ascii="Avenir Next" w:hAnsi="Avenir Next" w:cs="Arial"/>
          <w:sz w:val="22"/>
          <w:szCs w:val="22"/>
          <w:lang w:val="en-GB"/>
        </w:rPr>
        <w:t xml:space="preserve">business rescue efforts. As a result of this, the EIR Recast </w:t>
      </w:r>
      <w:r w:rsidR="000E1F15">
        <w:rPr>
          <w:rFonts w:ascii="Avenir Next" w:hAnsi="Avenir Next" w:cs="Arial"/>
          <w:sz w:val="22"/>
          <w:szCs w:val="22"/>
          <w:lang w:val="en-GB"/>
        </w:rPr>
        <w:t>provides for the possibility for the court to temporarily sta</w:t>
      </w:r>
      <w:r w:rsidR="001A09C3">
        <w:rPr>
          <w:rFonts w:ascii="Avenir Next" w:hAnsi="Avenir Next" w:cs="Arial"/>
          <w:sz w:val="22"/>
          <w:szCs w:val="22"/>
          <w:lang w:val="en-GB"/>
        </w:rPr>
        <w:t xml:space="preserve">y the opening of secondary insolvency proceedings, where a temporary stay of individual enforcement proceedings has already been granted in the main insolvency proceedings. As stated in Recital 45 of the EIR Recast, the stay of the opening of the secondary proceedings therefore maintains </w:t>
      </w:r>
      <w:r w:rsidR="00E61269">
        <w:rPr>
          <w:rFonts w:ascii="Avenir Next" w:hAnsi="Avenir Next" w:cs="Arial"/>
          <w:sz w:val="22"/>
          <w:szCs w:val="22"/>
          <w:lang w:val="en-GB"/>
        </w:rPr>
        <w:t>the efficiency of the stay that has been granted in the main insolvency proceedings.</w:t>
      </w:r>
    </w:p>
    <w:p w14:paraId="3B59A714" w14:textId="77777777" w:rsidR="003E41D0" w:rsidRPr="003E41D0" w:rsidRDefault="003E41D0" w:rsidP="003E41D0">
      <w:pPr>
        <w:ind w:left="720" w:hanging="720"/>
        <w:jc w:val="both"/>
        <w:rPr>
          <w:rFonts w:ascii="Avenir Next" w:hAnsi="Avenir Next" w:cs="Arial"/>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451234D3" w:rsidR="00544127" w:rsidRDefault="00E73902" w:rsidP="002A37BB">
      <w:pPr>
        <w:jc w:val="both"/>
        <w:rPr>
          <w:rFonts w:ascii="Avenir Next" w:hAnsi="Avenir Next" w:cs="Arial"/>
          <w:sz w:val="22"/>
          <w:szCs w:val="22"/>
          <w:lang w:val="en-GB"/>
        </w:rPr>
      </w:pPr>
      <w:r>
        <w:rPr>
          <w:rFonts w:ascii="Avenir Next" w:hAnsi="Avenir Next" w:cs="Arial"/>
          <w:sz w:val="22"/>
          <w:szCs w:val="22"/>
          <w:lang w:val="en-GB"/>
        </w:rPr>
        <w:t xml:space="preserve">One of the </w:t>
      </w:r>
      <w:r w:rsidR="00C27A49" w:rsidRPr="00C27A49">
        <w:rPr>
          <w:rFonts w:ascii="Avenir Next" w:hAnsi="Avenir Next" w:cs="Arial"/>
          <w:sz w:val="22"/>
          <w:szCs w:val="22"/>
          <w:lang w:val="en-GB"/>
        </w:rPr>
        <w:t>main elements</w:t>
      </w:r>
      <w:r w:rsidR="0083733F">
        <w:rPr>
          <w:rFonts w:ascii="Avenir Next" w:hAnsi="Avenir Next" w:cs="Arial"/>
          <w:sz w:val="22"/>
          <w:szCs w:val="22"/>
          <w:lang w:val="en-GB"/>
        </w:rPr>
        <w:t xml:space="preserve"> of the EIR 2000 identified by the European Commission as needing revision w</w:t>
      </w:r>
      <w:r>
        <w:rPr>
          <w:rFonts w:ascii="Avenir Next" w:hAnsi="Avenir Next" w:cs="Arial"/>
          <w:sz w:val="22"/>
          <w:szCs w:val="22"/>
          <w:lang w:val="en-GB"/>
        </w:rPr>
        <w:t xml:space="preserve">as the need to address </w:t>
      </w:r>
      <w:r w:rsidR="00CE3C5A">
        <w:rPr>
          <w:rFonts w:ascii="Avenir Next" w:hAnsi="Avenir Next" w:cs="Arial"/>
          <w:sz w:val="22"/>
          <w:szCs w:val="22"/>
          <w:lang w:val="en-GB"/>
        </w:rPr>
        <w:t>insolvency proceedings aimed at rescuing economically viable but financially distressed businesses</w:t>
      </w:r>
      <w:r w:rsidR="000D2983">
        <w:rPr>
          <w:rFonts w:ascii="Avenir Next" w:hAnsi="Avenir Next" w:cs="Arial"/>
          <w:sz w:val="22"/>
          <w:szCs w:val="22"/>
          <w:lang w:val="en-GB"/>
        </w:rPr>
        <w:t>, instead of simply ‘traditional’ liquidation procedures</w:t>
      </w:r>
      <w:r w:rsidR="00CE3C5A">
        <w:rPr>
          <w:rFonts w:ascii="Avenir Next" w:hAnsi="Avenir Next" w:cs="Arial"/>
          <w:sz w:val="22"/>
          <w:szCs w:val="22"/>
          <w:lang w:val="en-GB"/>
        </w:rPr>
        <w:t xml:space="preserve">. The EIR Recast addressed </w:t>
      </w:r>
      <w:r w:rsidR="00EB0F3C">
        <w:rPr>
          <w:rFonts w:ascii="Avenir Next" w:hAnsi="Avenir Next" w:cs="Arial"/>
          <w:sz w:val="22"/>
          <w:szCs w:val="22"/>
          <w:lang w:val="en-GB"/>
        </w:rPr>
        <w:t xml:space="preserve">this need under Article 1 </w:t>
      </w:r>
      <w:r w:rsidR="00FD0D5A">
        <w:rPr>
          <w:rFonts w:ascii="Avenir Next" w:hAnsi="Avenir Next" w:cs="Arial"/>
          <w:sz w:val="22"/>
          <w:szCs w:val="22"/>
          <w:lang w:val="en-GB"/>
        </w:rPr>
        <w:t>in referencing proceedings ‘for the purposes of rescue, adjustment of debt, reorganisation or liquidation’.</w:t>
      </w:r>
      <w:r w:rsidR="008A3F95">
        <w:rPr>
          <w:rFonts w:ascii="Avenir Next" w:hAnsi="Avenir Next" w:cs="Arial"/>
          <w:sz w:val="22"/>
          <w:szCs w:val="22"/>
          <w:lang w:val="en-GB"/>
        </w:rPr>
        <w:t xml:space="preserve"> Under Article 1, the EIR</w:t>
      </w:r>
      <w:r w:rsidR="00B067AA">
        <w:rPr>
          <w:rFonts w:ascii="Avenir Next" w:hAnsi="Avenir Next" w:cs="Arial"/>
          <w:sz w:val="22"/>
          <w:szCs w:val="22"/>
          <w:lang w:val="en-GB"/>
        </w:rPr>
        <w:t xml:space="preserve"> Recast introduced </w:t>
      </w:r>
      <w:r w:rsidR="00BC6761">
        <w:rPr>
          <w:rFonts w:ascii="Avenir Next" w:hAnsi="Avenir Next" w:cs="Arial"/>
          <w:sz w:val="22"/>
          <w:szCs w:val="22"/>
          <w:lang w:val="en-GB"/>
        </w:rPr>
        <w:t xml:space="preserve">provisions for proceedings </w:t>
      </w:r>
      <w:r w:rsidR="002F54D1">
        <w:rPr>
          <w:rFonts w:ascii="Avenir Next" w:hAnsi="Avenir Next" w:cs="Arial"/>
          <w:sz w:val="22"/>
          <w:szCs w:val="22"/>
          <w:lang w:val="en-GB"/>
        </w:rPr>
        <w:t xml:space="preserve">that facilitated the restructuring of a debtor at a stage where there was only a mere likelihood of </w:t>
      </w:r>
      <w:proofErr w:type="gramStart"/>
      <w:r w:rsidR="002F54D1">
        <w:rPr>
          <w:rFonts w:ascii="Avenir Next" w:hAnsi="Avenir Next" w:cs="Arial"/>
          <w:sz w:val="22"/>
          <w:szCs w:val="22"/>
          <w:lang w:val="en-GB"/>
        </w:rPr>
        <w:t>insolvency</w:t>
      </w:r>
      <w:r w:rsidR="00F13419">
        <w:rPr>
          <w:rFonts w:ascii="Avenir Next" w:hAnsi="Avenir Next" w:cs="Arial"/>
          <w:sz w:val="22"/>
          <w:szCs w:val="22"/>
          <w:lang w:val="en-GB"/>
        </w:rPr>
        <w:t>, and</w:t>
      </w:r>
      <w:proofErr w:type="gramEnd"/>
      <w:r w:rsidR="00F13419">
        <w:rPr>
          <w:rFonts w:ascii="Avenir Next" w:hAnsi="Avenir Next" w:cs="Arial"/>
          <w:sz w:val="22"/>
          <w:szCs w:val="22"/>
          <w:lang w:val="en-GB"/>
        </w:rPr>
        <w:t xml:space="preserve"> allowed for debtors to retain full or partial control of their assets and affairs (Recital 10).</w:t>
      </w:r>
    </w:p>
    <w:p w14:paraId="13B5FD58" w14:textId="47C4CE2B" w:rsidR="00197589" w:rsidRDefault="00197589" w:rsidP="002A37BB">
      <w:pPr>
        <w:jc w:val="both"/>
        <w:rPr>
          <w:rFonts w:ascii="Avenir Next" w:hAnsi="Avenir Next" w:cs="Arial"/>
          <w:sz w:val="22"/>
          <w:szCs w:val="22"/>
          <w:lang w:val="en-GB"/>
        </w:rPr>
      </w:pPr>
    </w:p>
    <w:p w14:paraId="6426201C" w14:textId="4E8D5CF8" w:rsidR="00197589" w:rsidRDefault="00197589" w:rsidP="002A37BB">
      <w:pPr>
        <w:jc w:val="both"/>
        <w:rPr>
          <w:rFonts w:ascii="Avenir Next" w:hAnsi="Avenir Next" w:cs="Arial"/>
          <w:sz w:val="22"/>
          <w:szCs w:val="22"/>
          <w:lang w:val="en-GB"/>
        </w:rPr>
      </w:pPr>
      <w:r>
        <w:rPr>
          <w:rFonts w:ascii="Avenir Next" w:hAnsi="Avenir Next" w:cs="Arial"/>
          <w:sz w:val="22"/>
          <w:szCs w:val="22"/>
          <w:lang w:val="en-GB"/>
        </w:rPr>
        <w:t xml:space="preserve">Another element of the EIR 2000 </w:t>
      </w:r>
      <w:r w:rsidR="00DF1D02">
        <w:rPr>
          <w:rFonts w:ascii="Avenir Next" w:hAnsi="Avenir Next" w:cs="Arial"/>
          <w:sz w:val="22"/>
          <w:szCs w:val="22"/>
          <w:lang w:val="en-GB"/>
        </w:rPr>
        <w:t xml:space="preserve">that was subsequently revised </w:t>
      </w:r>
      <w:r w:rsidR="00F012FC">
        <w:rPr>
          <w:rFonts w:ascii="Avenir Next" w:hAnsi="Avenir Next" w:cs="Arial"/>
          <w:sz w:val="22"/>
          <w:szCs w:val="22"/>
          <w:lang w:val="en-GB"/>
        </w:rPr>
        <w:t xml:space="preserve">was </w:t>
      </w:r>
      <w:r w:rsidR="009374A9">
        <w:rPr>
          <w:rFonts w:ascii="Avenir Next" w:hAnsi="Avenir Next" w:cs="Arial"/>
          <w:sz w:val="22"/>
          <w:szCs w:val="22"/>
          <w:lang w:val="en-GB"/>
        </w:rPr>
        <w:t>the notion that the territorial framework of the EIR 2000 covers only intra-community effects of insolvency proceedings and that its provisions are restricted to relations between Member States.</w:t>
      </w:r>
      <w:r w:rsidR="00E92C67">
        <w:rPr>
          <w:rFonts w:ascii="Avenir Next" w:hAnsi="Avenir Next" w:cs="Arial"/>
          <w:sz w:val="22"/>
          <w:szCs w:val="22"/>
          <w:lang w:val="en-GB"/>
        </w:rPr>
        <w:t xml:space="preserve"> </w:t>
      </w:r>
      <w:r w:rsidR="00A94BB5">
        <w:rPr>
          <w:rFonts w:ascii="Avenir Next" w:hAnsi="Avenir Next" w:cs="Arial"/>
          <w:sz w:val="22"/>
          <w:szCs w:val="22"/>
          <w:lang w:val="en-GB"/>
        </w:rPr>
        <w:t xml:space="preserve">In the case </w:t>
      </w:r>
      <w:r w:rsidR="00A94BB5">
        <w:rPr>
          <w:rFonts w:ascii="Avenir Next" w:hAnsi="Avenir Next" w:cs="Arial"/>
          <w:i/>
          <w:iCs/>
          <w:sz w:val="22"/>
          <w:szCs w:val="22"/>
          <w:lang w:val="en-GB"/>
        </w:rPr>
        <w:t xml:space="preserve">Christopher </w:t>
      </w:r>
      <w:proofErr w:type="spellStart"/>
      <w:r w:rsidR="00A94BB5">
        <w:rPr>
          <w:rFonts w:ascii="Avenir Next" w:hAnsi="Avenir Next" w:cs="Arial"/>
          <w:i/>
          <w:iCs/>
          <w:sz w:val="22"/>
          <w:szCs w:val="22"/>
          <w:lang w:val="en-GB"/>
        </w:rPr>
        <w:t>Seagon</w:t>
      </w:r>
      <w:proofErr w:type="spellEnd"/>
      <w:r w:rsidR="00A94BB5">
        <w:rPr>
          <w:rFonts w:ascii="Avenir Next" w:hAnsi="Avenir Next" w:cs="Arial"/>
          <w:i/>
          <w:iCs/>
          <w:sz w:val="22"/>
          <w:szCs w:val="22"/>
          <w:lang w:val="en-GB"/>
        </w:rPr>
        <w:t xml:space="preserve"> v </w:t>
      </w:r>
      <w:proofErr w:type="spellStart"/>
      <w:r w:rsidR="00A94BB5">
        <w:rPr>
          <w:rFonts w:ascii="Avenir Next" w:hAnsi="Avenir Next" w:cs="Arial"/>
          <w:i/>
          <w:iCs/>
          <w:sz w:val="22"/>
          <w:szCs w:val="22"/>
          <w:lang w:val="en-GB"/>
        </w:rPr>
        <w:t>Deko</w:t>
      </w:r>
      <w:proofErr w:type="spellEnd"/>
      <w:r w:rsidR="00A94BB5">
        <w:rPr>
          <w:rFonts w:ascii="Avenir Next" w:hAnsi="Avenir Next" w:cs="Arial"/>
          <w:i/>
          <w:iCs/>
          <w:sz w:val="22"/>
          <w:szCs w:val="22"/>
          <w:lang w:val="en-GB"/>
        </w:rPr>
        <w:t xml:space="preserve"> Marty Belgium NV</w:t>
      </w:r>
      <w:r w:rsidR="00614883">
        <w:rPr>
          <w:rFonts w:ascii="Avenir Next" w:hAnsi="Avenir Next" w:cs="Arial"/>
          <w:sz w:val="22"/>
          <w:szCs w:val="22"/>
          <w:lang w:val="en-GB"/>
        </w:rPr>
        <w:t xml:space="preserve">, it was ruled that the courts of the Member State within the territory of which the insolvency proceedings </w:t>
      </w:r>
      <w:r w:rsidR="00411991">
        <w:rPr>
          <w:rFonts w:ascii="Avenir Next" w:hAnsi="Avenir Next" w:cs="Arial"/>
          <w:sz w:val="22"/>
          <w:szCs w:val="22"/>
          <w:lang w:val="en-GB"/>
        </w:rPr>
        <w:t>were</w:t>
      </w:r>
      <w:r w:rsidR="00614883">
        <w:rPr>
          <w:rFonts w:ascii="Avenir Next" w:hAnsi="Avenir Next" w:cs="Arial"/>
          <w:sz w:val="22"/>
          <w:szCs w:val="22"/>
          <w:lang w:val="en-GB"/>
        </w:rPr>
        <w:t xml:space="preserve"> open</w:t>
      </w:r>
      <w:r w:rsidR="00537459">
        <w:rPr>
          <w:rFonts w:ascii="Avenir Next" w:hAnsi="Avenir Next" w:cs="Arial"/>
          <w:sz w:val="22"/>
          <w:szCs w:val="22"/>
          <w:lang w:val="en-GB"/>
        </w:rPr>
        <w:t>ed</w:t>
      </w:r>
      <w:r w:rsidR="00614883">
        <w:rPr>
          <w:rFonts w:ascii="Avenir Next" w:hAnsi="Avenir Next" w:cs="Arial"/>
          <w:sz w:val="22"/>
          <w:szCs w:val="22"/>
          <w:lang w:val="en-GB"/>
        </w:rPr>
        <w:t xml:space="preserve"> </w:t>
      </w:r>
      <w:r w:rsidR="00537459">
        <w:rPr>
          <w:rFonts w:ascii="Avenir Next" w:hAnsi="Avenir Next" w:cs="Arial"/>
          <w:sz w:val="22"/>
          <w:szCs w:val="22"/>
          <w:lang w:val="en-GB"/>
        </w:rPr>
        <w:t xml:space="preserve">have jurisdiction to consider an action to set a transaction aside that is brought against </w:t>
      </w:r>
      <w:r w:rsidR="004737A4">
        <w:rPr>
          <w:rFonts w:ascii="Avenir Next" w:hAnsi="Avenir Next" w:cs="Arial"/>
          <w:sz w:val="22"/>
          <w:szCs w:val="22"/>
          <w:lang w:val="en-GB"/>
        </w:rPr>
        <w:t>a person whose registered office is in another Member State.</w:t>
      </w:r>
      <w:r w:rsidR="0078110A">
        <w:rPr>
          <w:rFonts w:ascii="Avenir Next" w:hAnsi="Avenir Next" w:cs="Arial"/>
          <w:sz w:val="22"/>
          <w:szCs w:val="22"/>
          <w:lang w:val="en-GB"/>
        </w:rPr>
        <w:t xml:space="preserve"> </w:t>
      </w:r>
      <w:r w:rsidR="00E92C67">
        <w:rPr>
          <w:rFonts w:ascii="Avenir Next" w:hAnsi="Avenir Next" w:cs="Arial"/>
          <w:sz w:val="22"/>
          <w:szCs w:val="22"/>
          <w:lang w:val="en-GB"/>
        </w:rPr>
        <w:t xml:space="preserve">The CJEU took an opposing view to this in </w:t>
      </w:r>
      <w:r w:rsidR="00E92C67">
        <w:rPr>
          <w:rFonts w:ascii="Avenir Next" w:hAnsi="Avenir Next" w:cs="Arial"/>
          <w:i/>
          <w:iCs/>
          <w:sz w:val="22"/>
          <w:szCs w:val="22"/>
          <w:lang w:val="en-GB"/>
        </w:rPr>
        <w:t xml:space="preserve">Ralph Schmid v Lilly Hertel </w:t>
      </w:r>
      <w:r w:rsidR="009D7655">
        <w:rPr>
          <w:rFonts w:ascii="Avenir Next" w:hAnsi="Avenir Next" w:cs="Arial"/>
          <w:sz w:val="22"/>
          <w:szCs w:val="22"/>
          <w:lang w:val="en-GB"/>
        </w:rPr>
        <w:t xml:space="preserve">which involved a transaction between </w:t>
      </w:r>
      <w:r w:rsidR="00850C76">
        <w:rPr>
          <w:rFonts w:ascii="Avenir Next" w:hAnsi="Avenir Next" w:cs="Arial"/>
          <w:sz w:val="22"/>
          <w:szCs w:val="22"/>
          <w:lang w:val="en-GB"/>
        </w:rPr>
        <w:t>Germany and Switzerland (a non-Member State).</w:t>
      </w:r>
      <w:r w:rsidR="0074636B">
        <w:rPr>
          <w:rFonts w:ascii="Avenir Next" w:hAnsi="Avenir Next" w:cs="Arial"/>
          <w:sz w:val="22"/>
          <w:szCs w:val="22"/>
          <w:lang w:val="en-GB"/>
        </w:rPr>
        <w:t xml:space="preserve"> </w:t>
      </w:r>
      <w:r w:rsidR="001F3315">
        <w:rPr>
          <w:rFonts w:ascii="Avenir Next" w:hAnsi="Avenir Next" w:cs="Arial"/>
          <w:sz w:val="22"/>
          <w:szCs w:val="22"/>
          <w:lang w:val="en-GB"/>
        </w:rPr>
        <w:t xml:space="preserve">Under this ruling, the CJEU extended the scope of the EIR 2000 </w:t>
      </w:r>
      <w:r w:rsidR="0074636B">
        <w:rPr>
          <w:rFonts w:ascii="Avenir Next" w:hAnsi="Avenir Next" w:cs="Arial"/>
          <w:sz w:val="22"/>
          <w:szCs w:val="22"/>
          <w:lang w:val="en-GB"/>
        </w:rPr>
        <w:t xml:space="preserve">(and equally the EIR Recast) to </w:t>
      </w:r>
      <w:r w:rsidR="00646973">
        <w:rPr>
          <w:rFonts w:ascii="Avenir Next" w:hAnsi="Avenir Next" w:cs="Arial"/>
          <w:sz w:val="22"/>
          <w:szCs w:val="22"/>
          <w:lang w:val="en-GB"/>
        </w:rPr>
        <w:t>include actions against a person whose place of residence was in a non-EU Member State.</w:t>
      </w:r>
    </w:p>
    <w:p w14:paraId="20347EEC" w14:textId="18F5DBA2" w:rsidR="00AD1FD1" w:rsidRDefault="00AD1FD1" w:rsidP="002A37BB">
      <w:pPr>
        <w:jc w:val="both"/>
        <w:rPr>
          <w:rFonts w:ascii="Avenir Next" w:hAnsi="Avenir Next" w:cs="Arial"/>
          <w:sz w:val="22"/>
          <w:szCs w:val="22"/>
          <w:lang w:val="en-GB"/>
        </w:rPr>
      </w:pPr>
    </w:p>
    <w:p w14:paraId="2AF79CA9" w14:textId="1C81C43A" w:rsidR="00AD1FD1" w:rsidRDefault="00AD1FD1" w:rsidP="002A37BB">
      <w:pPr>
        <w:jc w:val="both"/>
        <w:rPr>
          <w:rFonts w:ascii="Avenir Next" w:hAnsi="Avenir Next" w:cs="Arial"/>
          <w:sz w:val="22"/>
          <w:szCs w:val="22"/>
          <w:lang w:val="en-GB"/>
        </w:rPr>
      </w:pPr>
      <w:r>
        <w:rPr>
          <w:rFonts w:ascii="Avenir Next" w:hAnsi="Avenir Next" w:cs="Arial"/>
          <w:sz w:val="22"/>
          <w:szCs w:val="22"/>
          <w:lang w:val="en-GB"/>
        </w:rPr>
        <w:t>The EIR 2000</w:t>
      </w:r>
      <w:r w:rsidR="008165F3">
        <w:rPr>
          <w:rFonts w:ascii="Avenir Next" w:hAnsi="Avenir Next" w:cs="Arial"/>
          <w:sz w:val="22"/>
          <w:szCs w:val="22"/>
          <w:lang w:val="en-GB"/>
        </w:rPr>
        <w:t xml:space="preserve"> also did not contain a definition of COMI. </w:t>
      </w:r>
      <w:r w:rsidR="00681007">
        <w:rPr>
          <w:rFonts w:ascii="Avenir Next" w:hAnsi="Avenir Next" w:cs="Arial"/>
          <w:sz w:val="22"/>
          <w:szCs w:val="22"/>
          <w:lang w:val="en-GB"/>
        </w:rPr>
        <w:t xml:space="preserve">In contrast to this, the EIR Recast stated that the </w:t>
      </w:r>
      <w:r w:rsidR="005F32DE">
        <w:rPr>
          <w:rFonts w:ascii="Avenir Next" w:hAnsi="Avenir Next" w:cs="Arial"/>
          <w:sz w:val="22"/>
          <w:szCs w:val="22"/>
          <w:lang w:val="en-GB"/>
        </w:rPr>
        <w:t xml:space="preserve">COMI shall be the place where the debtor conducts the administration of its interests on a regular </w:t>
      </w:r>
      <w:proofErr w:type="gramStart"/>
      <w:r w:rsidR="005F32DE">
        <w:rPr>
          <w:rFonts w:ascii="Avenir Next" w:hAnsi="Avenir Next" w:cs="Arial"/>
          <w:sz w:val="22"/>
          <w:szCs w:val="22"/>
          <w:lang w:val="en-GB"/>
        </w:rPr>
        <w:t>basis</w:t>
      </w:r>
      <w:proofErr w:type="gramEnd"/>
      <w:r w:rsidR="005F32DE">
        <w:rPr>
          <w:rFonts w:ascii="Avenir Next" w:hAnsi="Avenir Next" w:cs="Arial"/>
          <w:sz w:val="22"/>
          <w:szCs w:val="22"/>
          <w:lang w:val="en-GB"/>
        </w:rPr>
        <w:t xml:space="preserve"> and which can be ascertained by third parties (Article 3(1) EIR Recast).</w:t>
      </w:r>
      <w:r w:rsidR="001C0D0F">
        <w:rPr>
          <w:rFonts w:ascii="Avenir Next" w:hAnsi="Avenir Next" w:cs="Arial"/>
          <w:sz w:val="22"/>
          <w:szCs w:val="22"/>
          <w:lang w:val="en-GB"/>
        </w:rPr>
        <w:t xml:space="preserve"> The EIR 2000 included almost identical wording in Recital 13 EIR 2000, however </w:t>
      </w:r>
      <w:r w:rsidR="00031818">
        <w:rPr>
          <w:rFonts w:ascii="Avenir Next" w:hAnsi="Avenir Next" w:cs="Arial"/>
          <w:sz w:val="22"/>
          <w:szCs w:val="22"/>
          <w:lang w:val="en-GB"/>
        </w:rPr>
        <w:t xml:space="preserve">by including them in the main text of the regulation in the EIR Recast, the definition garnered more authority </w:t>
      </w:r>
      <w:r w:rsidR="004511AC">
        <w:rPr>
          <w:rFonts w:ascii="Avenir Next" w:hAnsi="Avenir Next" w:cs="Arial"/>
          <w:sz w:val="22"/>
          <w:szCs w:val="22"/>
          <w:lang w:val="en-GB"/>
        </w:rPr>
        <w:t xml:space="preserve">as a recital itself is not enforceable </w:t>
      </w:r>
      <w:r w:rsidR="004511AC">
        <w:rPr>
          <w:rFonts w:ascii="Avenir Next" w:hAnsi="Avenir Next" w:cs="Arial"/>
          <w:sz w:val="22"/>
          <w:szCs w:val="22"/>
          <w:lang w:val="en-GB"/>
        </w:rPr>
        <w:lastRenderedPageBreak/>
        <w:t>and rather only provides guidance for the courts to interpret. The COMI definition within the EIR Recast is further supported by the settled case law of the CJEU.</w:t>
      </w:r>
    </w:p>
    <w:p w14:paraId="39519CD1" w14:textId="0AF9DD2A" w:rsidR="0035668E" w:rsidRDefault="0035668E" w:rsidP="002A37BB">
      <w:pPr>
        <w:jc w:val="both"/>
        <w:rPr>
          <w:rFonts w:ascii="Avenir Next" w:hAnsi="Avenir Next" w:cs="Arial"/>
          <w:sz w:val="22"/>
          <w:szCs w:val="22"/>
          <w:lang w:val="en-GB"/>
        </w:rPr>
      </w:pPr>
    </w:p>
    <w:p w14:paraId="2EA64291" w14:textId="581E5BB1" w:rsidR="0035668E" w:rsidRDefault="006B5DBE" w:rsidP="002A37BB">
      <w:pPr>
        <w:jc w:val="both"/>
        <w:rPr>
          <w:rFonts w:ascii="Avenir Next" w:hAnsi="Avenir Next" w:cs="Arial"/>
          <w:sz w:val="22"/>
          <w:szCs w:val="22"/>
          <w:lang w:val="en-GB"/>
        </w:rPr>
      </w:pPr>
      <w:r>
        <w:rPr>
          <w:rFonts w:ascii="Avenir Next" w:hAnsi="Avenir Next" w:cs="Arial"/>
          <w:sz w:val="22"/>
          <w:szCs w:val="22"/>
          <w:lang w:val="en-GB"/>
        </w:rPr>
        <w:t xml:space="preserve">Secondary insolvency proceedings </w:t>
      </w:r>
      <w:r w:rsidR="002D30E4">
        <w:rPr>
          <w:rFonts w:ascii="Avenir Next" w:hAnsi="Avenir Next" w:cs="Arial"/>
          <w:sz w:val="22"/>
          <w:szCs w:val="22"/>
          <w:lang w:val="en-GB"/>
        </w:rPr>
        <w:t xml:space="preserve">were another element </w:t>
      </w:r>
      <w:r w:rsidR="00770B63">
        <w:rPr>
          <w:rFonts w:ascii="Avenir Next" w:hAnsi="Avenir Next" w:cs="Arial"/>
          <w:sz w:val="22"/>
          <w:szCs w:val="22"/>
          <w:lang w:val="en-GB"/>
        </w:rPr>
        <w:t xml:space="preserve">of the EIR 2000 that were subsequently reformed under the EIR Recast. </w:t>
      </w:r>
      <w:r w:rsidR="008557FB">
        <w:rPr>
          <w:rFonts w:ascii="Avenir Next" w:hAnsi="Avenir Next" w:cs="Arial"/>
          <w:sz w:val="22"/>
          <w:szCs w:val="22"/>
          <w:lang w:val="en-GB"/>
        </w:rPr>
        <w:t xml:space="preserve">The </w:t>
      </w:r>
      <w:r w:rsidR="007B4123">
        <w:rPr>
          <w:rFonts w:ascii="Avenir Next" w:hAnsi="Avenir Next" w:cs="Arial"/>
          <w:sz w:val="22"/>
          <w:szCs w:val="22"/>
          <w:lang w:val="en-GB"/>
        </w:rPr>
        <w:t>definition</w:t>
      </w:r>
      <w:r w:rsidR="008557FB">
        <w:rPr>
          <w:rFonts w:ascii="Avenir Next" w:hAnsi="Avenir Next" w:cs="Arial"/>
          <w:sz w:val="22"/>
          <w:szCs w:val="22"/>
          <w:lang w:val="en-GB"/>
        </w:rPr>
        <w:t xml:space="preserve"> of ‘establishment’ </w:t>
      </w:r>
      <w:r w:rsidR="007B4123">
        <w:rPr>
          <w:rFonts w:ascii="Avenir Next" w:hAnsi="Avenir Next" w:cs="Arial"/>
          <w:sz w:val="22"/>
          <w:szCs w:val="22"/>
          <w:lang w:val="en-GB"/>
        </w:rPr>
        <w:t xml:space="preserve">with respect to secondary proceedings was further defined </w:t>
      </w:r>
      <w:r w:rsidR="00427FF8">
        <w:rPr>
          <w:rFonts w:ascii="Avenir Next" w:hAnsi="Avenir Next" w:cs="Arial"/>
          <w:sz w:val="22"/>
          <w:szCs w:val="22"/>
          <w:lang w:val="en-GB"/>
        </w:rPr>
        <w:t xml:space="preserve">in the EIR Recast for the addition of a relevant </w:t>
      </w:r>
      <w:proofErr w:type="gramStart"/>
      <w:r w:rsidR="00427FF8">
        <w:rPr>
          <w:rFonts w:ascii="Avenir Next" w:hAnsi="Avenir Next" w:cs="Arial"/>
          <w:sz w:val="22"/>
          <w:szCs w:val="22"/>
          <w:lang w:val="en-GB"/>
        </w:rPr>
        <w:t>time period</w:t>
      </w:r>
      <w:proofErr w:type="gramEnd"/>
      <w:r w:rsidR="00F97807">
        <w:rPr>
          <w:rFonts w:ascii="Avenir Next" w:hAnsi="Avenir Next" w:cs="Arial"/>
          <w:sz w:val="22"/>
          <w:szCs w:val="22"/>
          <w:lang w:val="en-GB"/>
        </w:rPr>
        <w:t xml:space="preserve">. Another vital improvement </w:t>
      </w:r>
      <w:r w:rsidR="00012128">
        <w:rPr>
          <w:rFonts w:ascii="Avenir Next" w:hAnsi="Avenir Next" w:cs="Arial"/>
          <w:sz w:val="22"/>
          <w:szCs w:val="22"/>
          <w:lang w:val="en-GB"/>
        </w:rPr>
        <w:t xml:space="preserve">under the EIR Recast </w:t>
      </w:r>
      <w:r w:rsidR="00F97807">
        <w:rPr>
          <w:rFonts w:ascii="Avenir Next" w:hAnsi="Avenir Next" w:cs="Arial"/>
          <w:sz w:val="22"/>
          <w:szCs w:val="22"/>
          <w:lang w:val="en-GB"/>
        </w:rPr>
        <w:t xml:space="preserve">was the abolition of the requirement </w:t>
      </w:r>
      <w:r w:rsidR="00515C6C">
        <w:rPr>
          <w:rFonts w:ascii="Avenir Next" w:hAnsi="Avenir Next" w:cs="Arial"/>
          <w:sz w:val="22"/>
          <w:szCs w:val="22"/>
          <w:lang w:val="en-GB"/>
        </w:rPr>
        <w:t xml:space="preserve">that secondary proceedings </w:t>
      </w:r>
      <w:r w:rsidR="00012128">
        <w:rPr>
          <w:rFonts w:ascii="Avenir Next" w:hAnsi="Avenir Next" w:cs="Arial"/>
          <w:sz w:val="22"/>
          <w:szCs w:val="22"/>
          <w:lang w:val="en-GB"/>
        </w:rPr>
        <w:t xml:space="preserve">must be winding-up proceedings, under Article 3(3) of the EIR 2000. This previous requirement </w:t>
      </w:r>
      <w:r w:rsidR="00D20E15">
        <w:rPr>
          <w:rFonts w:ascii="Avenir Next" w:hAnsi="Avenir Next" w:cs="Arial"/>
          <w:sz w:val="22"/>
          <w:szCs w:val="22"/>
          <w:lang w:val="en-GB"/>
        </w:rPr>
        <w:t xml:space="preserve">under EIR 2000 significantly hindered business restructuring attempts </w:t>
      </w:r>
    </w:p>
    <w:p w14:paraId="1FB06A0C" w14:textId="4DE1128B" w:rsidR="00945C92" w:rsidRDefault="00945C92" w:rsidP="002A37BB">
      <w:pPr>
        <w:jc w:val="both"/>
        <w:rPr>
          <w:rFonts w:ascii="Avenir Next" w:hAnsi="Avenir Next" w:cs="Arial"/>
          <w:sz w:val="22"/>
          <w:szCs w:val="22"/>
          <w:lang w:val="en-GB"/>
        </w:rPr>
      </w:pPr>
    </w:p>
    <w:p w14:paraId="5F606686" w14:textId="6C40D489" w:rsidR="00216D4E" w:rsidRPr="00216D4E" w:rsidRDefault="00945C92" w:rsidP="00216D4E">
      <w:pPr>
        <w:jc w:val="both"/>
        <w:rPr>
          <w:rFonts w:ascii="Avenir Next" w:hAnsi="Avenir Next" w:cs="Arial"/>
          <w:sz w:val="22"/>
          <w:szCs w:val="22"/>
          <w:lang w:val="en-GB"/>
        </w:rPr>
      </w:pPr>
      <w:r>
        <w:rPr>
          <w:rFonts w:ascii="Avenir Next" w:hAnsi="Avenir Next" w:cs="Arial"/>
          <w:sz w:val="22"/>
          <w:szCs w:val="22"/>
          <w:lang w:val="en-GB"/>
        </w:rPr>
        <w:t>In the European Commissions’ 201</w:t>
      </w:r>
      <w:r w:rsidR="002C4173">
        <w:rPr>
          <w:rFonts w:ascii="Avenir Next" w:hAnsi="Avenir Next" w:cs="Arial"/>
          <w:sz w:val="22"/>
          <w:szCs w:val="22"/>
          <w:lang w:val="en-GB"/>
        </w:rPr>
        <w:t xml:space="preserve">4 Recommendation, the Commission highlighted the following substantive elements </w:t>
      </w:r>
      <w:r w:rsidR="00216D4E">
        <w:rPr>
          <w:rFonts w:ascii="Avenir Next" w:hAnsi="Avenir Next" w:cs="Arial"/>
          <w:sz w:val="22"/>
          <w:szCs w:val="22"/>
          <w:lang w:val="en-GB"/>
        </w:rPr>
        <w:t>that were considered desirable for a harmonised insolvency approach: (</w:t>
      </w:r>
      <w:proofErr w:type="spellStart"/>
      <w:r w:rsidR="00216D4E">
        <w:rPr>
          <w:rFonts w:ascii="Avenir Next" w:hAnsi="Avenir Next" w:cs="Arial"/>
          <w:sz w:val="22"/>
          <w:szCs w:val="22"/>
          <w:lang w:val="en-GB"/>
        </w:rPr>
        <w:t>i</w:t>
      </w:r>
      <w:proofErr w:type="spellEnd"/>
      <w:r w:rsidR="00216D4E">
        <w:rPr>
          <w:rFonts w:ascii="Avenir Next" w:hAnsi="Avenir Next" w:cs="Arial"/>
          <w:sz w:val="22"/>
          <w:szCs w:val="22"/>
          <w:lang w:val="en-GB"/>
        </w:rPr>
        <w:t xml:space="preserve">) to introduce </w:t>
      </w:r>
      <w:r w:rsidR="007C35D5">
        <w:rPr>
          <w:rFonts w:ascii="Avenir Next" w:hAnsi="Avenir Next" w:cs="Arial"/>
          <w:sz w:val="22"/>
          <w:szCs w:val="22"/>
          <w:lang w:val="en-GB"/>
        </w:rPr>
        <w:t>flexibility in national preventive restructuring procedures by restricting the requiremen</w:t>
      </w:r>
      <w:r w:rsidR="00E81B7C">
        <w:rPr>
          <w:rFonts w:ascii="Avenir Next" w:hAnsi="Avenir Next" w:cs="Arial"/>
          <w:sz w:val="22"/>
          <w:szCs w:val="22"/>
          <w:lang w:val="en-GB"/>
        </w:rPr>
        <w:t>t for court formalities to only where necessary and proportionate; (ii) to provide for a stay of individual enforcement actions; (iii) to protect the interests of dissenting creditors,</w:t>
      </w:r>
      <w:r w:rsidR="00C56ABD">
        <w:rPr>
          <w:rFonts w:ascii="Avenir Next" w:hAnsi="Avenir Next" w:cs="Arial"/>
          <w:sz w:val="22"/>
          <w:szCs w:val="22"/>
          <w:lang w:val="en-GB"/>
        </w:rPr>
        <w:t xml:space="preserve"> namely that the court should reject any restructuring plan that would reduce </w:t>
      </w:r>
      <w:r w:rsidR="00801C72">
        <w:rPr>
          <w:rFonts w:ascii="Avenir Next" w:hAnsi="Avenir Next" w:cs="Arial"/>
          <w:sz w:val="22"/>
          <w:szCs w:val="22"/>
          <w:lang w:val="en-GB"/>
        </w:rPr>
        <w:t xml:space="preserve">the rights of dissenting creditors below what they would reasonably expect to receive, should the debtor’s business not be restructured; (iv) </w:t>
      </w:r>
      <w:r w:rsidR="00555FEE">
        <w:rPr>
          <w:rFonts w:ascii="Avenir Next" w:hAnsi="Avenir Next" w:cs="Arial"/>
          <w:sz w:val="22"/>
          <w:szCs w:val="22"/>
          <w:lang w:val="en-GB"/>
        </w:rPr>
        <w:t>to maintain that the preventive restructuring process be on a debtor-in-possession model; (v)</w:t>
      </w:r>
      <w:r w:rsidR="004E428D">
        <w:rPr>
          <w:rFonts w:ascii="Avenir Next" w:hAnsi="Avenir Next" w:cs="Arial"/>
          <w:sz w:val="22"/>
          <w:szCs w:val="22"/>
          <w:lang w:val="en-GB"/>
        </w:rPr>
        <w:t xml:space="preserve"> to include the potential for cross-class cram-down provisions and; (vi) to protect new and interim financing.</w:t>
      </w:r>
      <w:r w:rsidR="00260C19">
        <w:rPr>
          <w:rFonts w:ascii="Avenir Next" w:hAnsi="Avenir Next" w:cs="Arial"/>
          <w:sz w:val="22"/>
          <w:szCs w:val="22"/>
          <w:lang w:val="en-GB"/>
        </w:rPr>
        <w:t xml:space="preserve"> There was a limited take-up of the Recommendation by Member States.</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3DAA6780" w14:textId="5C709F02" w:rsidR="00962045" w:rsidRDefault="00B8552E"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The EIR Recast </w:t>
      </w:r>
      <w:r w:rsidR="00436C42">
        <w:rPr>
          <w:rFonts w:ascii="Avenir Next" w:hAnsi="Avenir Next" w:cs="Arial"/>
          <w:sz w:val="22"/>
          <w:szCs w:val="22"/>
          <w:shd w:val="clear" w:color="auto" w:fill="FFFFFF"/>
        </w:rPr>
        <w:t xml:space="preserve">could be considered by some as a ‘missed opportunity’ or ‘modest’ </w:t>
      </w:r>
      <w:proofErr w:type="gramStart"/>
      <w:r w:rsidR="00436C42">
        <w:rPr>
          <w:rFonts w:ascii="Avenir Next" w:hAnsi="Avenir Next" w:cs="Arial"/>
          <w:sz w:val="22"/>
          <w:szCs w:val="22"/>
          <w:shd w:val="clear" w:color="auto" w:fill="FFFFFF"/>
        </w:rPr>
        <w:t>due to the fact that</w:t>
      </w:r>
      <w:proofErr w:type="gramEnd"/>
      <w:r w:rsidR="00436C42">
        <w:rPr>
          <w:rFonts w:ascii="Avenir Next" w:hAnsi="Avenir Next" w:cs="Arial"/>
          <w:sz w:val="22"/>
          <w:szCs w:val="22"/>
          <w:shd w:val="clear" w:color="auto" w:fill="FFFFFF"/>
        </w:rPr>
        <w:t xml:space="preserve"> it did not introduce any radical changes to the EIR 2000 framework.</w:t>
      </w:r>
    </w:p>
    <w:p w14:paraId="6790EDE9" w14:textId="4B2D9137" w:rsidR="00436C42" w:rsidRDefault="00436C42" w:rsidP="002A37BB">
      <w:pPr>
        <w:jc w:val="both"/>
        <w:rPr>
          <w:rFonts w:ascii="Avenir Next" w:hAnsi="Avenir Next" w:cs="Arial"/>
          <w:sz w:val="22"/>
          <w:szCs w:val="22"/>
          <w:shd w:val="clear" w:color="auto" w:fill="FFFFFF"/>
        </w:rPr>
      </w:pPr>
    </w:p>
    <w:p w14:paraId="2E28D980" w14:textId="532A5F81" w:rsidR="00847B0F" w:rsidRDefault="00847B0F"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The EIR Recast aimed to address </w:t>
      </w:r>
      <w:r w:rsidR="00431BC6">
        <w:rPr>
          <w:rFonts w:ascii="Avenir Next" w:hAnsi="Avenir Next" w:cs="Arial"/>
          <w:sz w:val="22"/>
          <w:szCs w:val="22"/>
          <w:shd w:val="clear" w:color="auto" w:fill="FFFFFF"/>
        </w:rPr>
        <w:t>the exclusion of pre-insolvency or hybrid proceedings from the EIR 2000</w:t>
      </w:r>
      <w:r w:rsidR="00860853">
        <w:rPr>
          <w:rFonts w:ascii="Avenir Next" w:hAnsi="Avenir Next" w:cs="Arial"/>
          <w:sz w:val="22"/>
          <w:szCs w:val="22"/>
          <w:shd w:val="clear" w:color="auto" w:fill="FFFFFF"/>
        </w:rPr>
        <w:t xml:space="preserve"> by including such proceedings in its scope of application, to allow for the rescue</w:t>
      </w:r>
      <w:r w:rsidR="00670AD0">
        <w:rPr>
          <w:rFonts w:ascii="Avenir Next" w:hAnsi="Avenir Next" w:cs="Arial"/>
          <w:sz w:val="22"/>
          <w:szCs w:val="22"/>
          <w:shd w:val="clear" w:color="auto" w:fill="FFFFFF"/>
        </w:rPr>
        <w:t xml:space="preserve">, adjustment of debts, </w:t>
      </w:r>
      <w:proofErr w:type="gramStart"/>
      <w:r w:rsidR="00670AD0">
        <w:rPr>
          <w:rFonts w:ascii="Avenir Next" w:hAnsi="Avenir Next" w:cs="Arial"/>
          <w:sz w:val="22"/>
          <w:szCs w:val="22"/>
          <w:shd w:val="clear" w:color="auto" w:fill="FFFFFF"/>
        </w:rPr>
        <w:t>reorganization</w:t>
      </w:r>
      <w:proofErr w:type="gramEnd"/>
      <w:r w:rsidR="00670AD0">
        <w:rPr>
          <w:rFonts w:ascii="Avenir Next" w:hAnsi="Avenir Next" w:cs="Arial"/>
          <w:sz w:val="22"/>
          <w:szCs w:val="22"/>
          <w:shd w:val="clear" w:color="auto" w:fill="FFFFFF"/>
        </w:rPr>
        <w:t xml:space="preserve"> or liquidation of companies.</w:t>
      </w:r>
      <w:r w:rsidR="00722C0B">
        <w:rPr>
          <w:rFonts w:ascii="Avenir Next" w:hAnsi="Avenir Next" w:cs="Arial"/>
          <w:sz w:val="22"/>
          <w:szCs w:val="22"/>
          <w:shd w:val="clear" w:color="auto" w:fill="FFFFFF"/>
        </w:rPr>
        <w:t xml:space="preserve"> </w:t>
      </w:r>
      <w:proofErr w:type="gramStart"/>
      <w:r w:rsidR="00722C0B">
        <w:rPr>
          <w:rFonts w:ascii="Avenir Next" w:hAnsi="Avenir Next" w:cs="Arial"/>
          <w:sz w:val="22"/>
          <w:szCs w:val="22"/>
          <w:shd w:val="clear" w:color="auto" w:fill="FFFFFF"/>
        </w:rPr>
        <w:t>In order to</w:t>
      </w:r>
      <w:proofErr w:type="gramEnd"/>
      <w:r w:rsidR="00722C0B">
        <w:rPr>
          <w:rFonts w:ascii="Avenir Next" w:hAnsi="Avenir Next" w:cs="Arial"/>
          <w:sz w:val="22"/>
          <w:szCs w:val="22"/>
          <w:shd w:val="clear" w:color="auto" w:fill="FFFFFF"/>
        </w:rPr>
        <w:t xml:space="preserve"> extend its scope to include these proceedings, the EIR Recast included a new definition of “insolvency proceedings” in Article 1.</w:t>
      </w:r>
      <w:r w:rsidR="00C0311F">
        <w:rPr>
          <w:rFonts w:ascii="Avenir Next" w:hAnsi="Avenir Next" w:cs="Arial"/>
          <w:sz w:val="22"/>
          <w:szCs w:val="22"/>
          <w:shd w:val="clear" w:color="auto" w:fill="FFFFFF"/>
        </w:rPr>
        <w:t xml:space="preserve"> This definition could be criticized as, on the one hand, it </w:t>
      </w:r>
      <w:r w:rsidR="001856A2">
        <w:rPr>
          <w:rFonts w:ascii="Avenir Next" w:hAnsi="Avenir Next" w:cs="Arial"/>
          <w:sz w:val="22"/>
          <w:szCs w:val="22"/>
          <w:shd w:val="clear" w:color="auto" w:fill="FFFFFF"/>
        </w:rPr>
        <w:t>broadens the scope of application to national proceedings of a very different nature and content</w:t>
      </w:r>
      <w:r w:rsidR="00C7704A">
        <w:rPr>
          <w:rFonts w:ascii="Avenir Next" w:hAnsi="Avenir Next" w:cs="Arial"/>
          <w:sz w:val="22"/>
          <w:szCs w:val="22"/>
          <w:shd w:val="clear" w:color="auto" w:fill="FFFFFF"/>
        </w:rPr>
        <w:t>, however on the other hand, it sets out some limits to national solutions, through taking the view that no</w:t>
      </w:r>
      <w:r w:rsidR="00151F3D">
        <w:rPr>
          <w:rFonts w:ascii="Avenir Next" w:hAnsi="Avenir Next" w:cs="Arial"/>
          <w:sz w:val="22"/>
          <w:szCs w:val="22"/>
          <w:shd w:val="clear" w:color="auto" w:fill="FFFFFF"/>
        </w:rPr>
        <w:t>t all national proceedings related to insolvency should benefit from the application of the EIR Recast.</w:t>
      </w:r>
      <w:r w:rsidR="00F30B92">
        <w:rPr>
          <w:rFonts w:ascii="Avenir Next" w:hAnsi="Avenir Next" w:cs="Arial"/>
          <w:sz w:val="22"/>
          <w:szCs w:val="22"/>
          <w:shd w:val="clear" w:color="auto" w:fill="FFFFFF"/>
        </w:rPr>
        <w:t xml:space="preserve"> Under Article 1 of the EIR Recast, </w:t>
      </w:r>
      <w:r w:rsidR="00416663">
        <w:rPr>
          <w:rFonts w:ascii="Avenir Next" w:hAnsi="Avenir Next" w:cs="Arial"/>
          <w:sz w:val="22"/>
          <w:szCs w:val="22"/>
          <w:shd w:val="clear" w:color="auto" w:fill="FFFFFF"/>
        </w:rPr>
        <w:t>the insolvency proceedings that are within scope are: (</w:t>
      </w:r>
      <w:proofErr w:type="spellStart"/>
      <w:r w:rsidR="00416663">
        <w:rPr>
          <w:rFonts w:ascii="Avenir Next" w:hAnsi="Avenir Next" w:cs="Arial"/>
          <w:sz w:val="22"/>
          <w:szCs w:val="22"/>
          <w:shd w:val="clear" w:color="auto" w:fill="FFFFFF"/>
        </w:rPr>
        <w:t>i</w:t>
      </w:r>
      <w:proofErr w:type="spellEnd"/>
      <w:r w:rsidR="00416663">
        <w:rPr>
          <w:rFonts w:ascii="Avenir Next" w:hAnsi="Avenir Next" w:cs="Arial"/>
          <w:sz w:val="22"/>
          <w:szCs w:val="22"/>
          <w:shd w:val="clear" w:color="auto" w:fill="FFFFFF"/>
        </w:rPr>
        <w:t xml:space="preserve">) collective; (ii) public; (iii) include interim proceedings; (iv) are based on a law related to insolvency; and (v) </w:t>
      </w:r>
      <w:r w:rsidR="009E13A4">
        <w:rPr>
          <w:rFonts w:ascii="Avenir Next" w:hAnsi="Avenir Next" w:cs="Arial"/>
          <w:sz w:val="22"/>
          <w:szCs w:val="22"/>
          <w:shd w:val="clear" w:color="auto" w:fill="FFFFFF"/>
        </w:rPr>
        <w:t>must entail certain limitations on the individual rights of the debtor and/or the creditors.</w:t>
      </w:r>
    </w:p>
    <w:p w14:paraId="1B9EC51C" w14:textId="34FC9691" w:rsidR="009E13A4" w:rsidRDefault="009E13A4" w:rsidP="002A37BB">
      <w:pPr>
        <w:jc w:val="both"/>
        <w:rPr>
          <w:rFonts w:ascii="Avenir Next" w:hAnsi="Avenir Next" w:cs="Arial"/>
          <w:sz w:val="22"/>
          <w:szCs w:val="22"/>
          <w:shd w:val="clear" w:color="auto" w:fill="FFFFFF"/>
        </w:rPr>
      </w:pPr>
    </w:p>
    <w:p w14:paraId="592918E2" w14:textId="3C28912F" w:rsidR="009E13A4" w:rsidRDefault="0049421F"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Another </w:t>
      </w:r>
      <w:r w:rsidR="00360FD8">
        <w:rPr>
          <w:rFonts w:ascii="Avenir Next" w:hAnsi="Avenir Next" w:cs="Arial"/>
          <w:sz w:val="22"/>
          <w:szCs w:val="22"/>
          <w:shd w:val="clear" w:color="auto" w:fill="FFFFFF"/>
        </w:rPr>
        <w:t xml:space="preserve">area that could be identified as a shortcoming of the EIR Recast </w:t>
      </w:r>
      <w:r w:rsidR="00E81F29">
        <w:rPr>
          <w:rFonts w:ascii="Avenir Next" w:hAnsi="Avenir Next" w:cs="Arial"/>
          <w:sz w:val="22"/>
          <w:szCs w:val="22"/>
          <w:shd w:val="clear" w:color="auto" w:fill="FFFFFF"/>
        </w:rPr>
        <w:t xml:space="preserve">is the amendments </w:t>
      </w:r>
      <w:r w:rsidR="008F099B">
        <w:rPr>
          <w:rFonts w:ascii="Avenir Next" w:hAnsi="Avenir Next" w:cs="Arial"/>
          <w:sz w:val="22"/>
          <w:szCs w:val="22"/>
          <w:shd w:val="clear" w:color="auto" w:fill="FFFFFF"/>
        </w:rPr>
        <w:t>it makes to the COMI definition and presumptions.</w:t>
      </w:r>
      <w:r w:rsidR="00DE77F3">
        <w:rPr>
          <w:rFonts w:ascii="Avenir Next" w:hAnsi="Avenir Next" w:cs="Arial"/>
          <w:sz w:val="22"/>
          <w:szCs w:val="22"/>
          <w:shd w:val="clear" w:color="auto" w:fill="FFFFFF"/>
        </w:rPr>
        <w:t xml:space="preserve"> The EIR Recast provided an autonomous definition of COMI, derived from the Recital 12 of the EIR 2000. Under Article 3(1) of the EIR Recast, COMI can be defined as ‘the </w:t>
      </w:r>
      <w:r w:rsidR="00FB382A">
        <w:rPr>
          <w:rFonts w:ascii="Avenir Next" w:hAnsi="Avenir Next" w:cs="Arial"/>
          <w:sz w:val="22"/>
          <w:szCs w:val="22"/>
          <w:shd w:val="clear" w:color="auto" w:fill="FFFFFF"/>
        </w:rPr>
        <w:t xml:space="preserve">place where the debtor conducts the administration of his interests on a regular </w:t>
      </w:r>
      <w:proofErr w:type="gramStart"/>
      <w:r w:rsidR="00FB382A">
        <w:rPr>
          <w:rFonts w:ascii="Avenir Next" w:hAnsi="Avenir Next" w:cs="Arial"/>
          <w:sz w:val="22"/>
          <w:szCs w:val="22"/>
          <w:shd w:val="clear" w:color="auto" w:fill="FFFFFF"/>
        </w:rPr>
        <w:t>basis</w:t>
      </w:r>
      <w:proofErr w:type="gramEnd"/>
      <w:r w:rsidR="00FB382A">
        <w:rPr>
          <w:rFonts w:ascii="Avenir Next" w:hAnsi="Avenir Next" w:cs="Arial"/>
          <w:sz w:val="22"/>
          <w:szCs w:val="22"/>
          <w:shd w:val="clear" w:color="auto" w:fill="FFFFFF"/>
        </w:rPr>
        <w:t xml:space="preserve"> and which is ascertainable by third parties’.</w:t>
      </w:r>
      <w:r w:rsidR="00330A99">
        <w:rPr>
          <w:rFonts w:ascii="Avenir Next" w:hAnsi="Avenir Next" w:cs="Arial"/>
          <w:sz w:val="22"/>
          <w:szCs w:val="22"/>
          <w:shd w:val="clear" w:color="auto" w:fill="FFFFFF"/>
        </w:rPr>
        <w:t xml:space="preserve"> The EIR Recast </w:t>
      </w:r>
      <w:r w:rsidR="00AC7609">
        <w:rPr>
          <w:rFonts w:ascii="Avenir Next" w:hAnsi="Avenir Next" w:cs="Arial"/>
          <w:sz w:val="22"/>
          <w:szCs w:val="22"/>
          <w:shd w:val="clear" w:color="auto" w:fill="FFFFFF"/>
        </w:rPr>
        <w:t xml:space="preserve">provides for three rebuttable presumptions to </w:t>
      </w:r>
      <w:r w:rsidR="00D81841">
        <w:rPr>
          <w:rFonts w:ascii="Avenir Next" w:hAnsi="Avenir Next" w:cs="Arial"/>
          <w:sz w:val="22"/>
          <w:szCs w:val="22"/>
          <w:shd w:val="clear" w:color="auto" w:fill="FFFFFF"/>
        </w:rPr>
        <w:t xml:space="preserve">facilitate application of the rule, one that was taken </w:t>
      </w:r>
      <w:r w:rsidR="003152A8">
        <w:rPr>
          <w:rFonts w:ascii="Avenir Next" w:hAnsi="Avenir Next" w:cs="Arial"/>
          <w:sz w:val="22"/>
          <w:szCs w:val="22"/>
          <w:shd w:val="clear" w:color="auto" w:fill="FFFFFF"/>
        </w:rPr>
        <w:t xml:space="preserve">from the EIR 2000 and two that are new. </w:t>
      </w:r>
      <w:r w:rsidR="00FC50C6">
        <w:rPr>
          <w:rFonts w:ascii="Avenir Next" w:hAnsi="Avenir Next" w:cs="Arial"/>
          <w:sz w:val="22"/>
          <w:szCs w:val="22"/>
          <w:shd w:val="clear" w:color="auto" w:fill="FFFFFF"/>
        </w:rPr>
        <w:t>In addition to this, the EIR Recast introduces certain safeguards on the applicab</w:t>
      </w:r>
      <w:r w:rsidR="00D44F94">
        <w:rPr>
          <w:rFonts w:ascii="Avenir Next" w:hAnsi="Avenir Next" w:cs="Arial"/>
          <w:sz w:val="22"/>
          <w:szCs w:val="22"/>
          <w:shd w:val="clear" w:color="auto" w:fill="FFFFFF"/>
        </w:rPr>
        <w:t>ility</w:t>
      </w:r>
      <w:r w:rsidR="00FC50C6">
        <w:rPr>
          <w:rFonts w:ascii="Avenir Next" w:hAnsi="Avenir Next" w:cs="Arial"/>
          <w:sz w:val="22"/>
          <w:szCs w:val="22"/>
          <w:shd w:val="clear" w:color="auto" w:fill="FFFFFF"/>
        </w:rPr>
        <w:t xml:space="preserve"> of the presumptions </w:t>
      </w:r>
      <w:proofErr w:type="gramStart"/>
      <w:r w:rsidR="00FC50C6">
        <w:rPr>
          <w:rFonts w:ascii="Avenir Next" w:hAnsi="Avenir Next" w:cs="Arial"/>
          <w:sz w:val="22"/>
          <w:szCs w:val="22"/>
          <w:shd w:val="clear" w:color="auto" w:fill="FFFFFF"/>
        </w:rPr>
        <w:t>in order to</w:t>
      </w:r>
      <w:proofErr w:type="gramEnd"/>
      <w:r w:rsidR="00FC50C6">
        <w:rPr>
          <w:rFonts w:ascii="Avenir Next" w:hAnsi="Avenir Next" w:cs="Arial"/>
          <w:sz w:val="22"/>
          <w:szCs w:val="22"/>
          <w:shd w:val="clear" w:color="auto" w:fill="FFFFFF"/>
        </w:rPr>
        <w:t xml:space="preserve"> prevent forum shopping. </w:t>
      </w:r>
      <w:r w:rsidR="00573D34">
        <w:rPr>
          <w:rFonts w:ascii="Avenir Next" w:hAnsi="Avenir Next" w:cs="Arial"/>
          <w:sz w:val="22"/>
          <w:szCs w:val="22"/>
          <w:shd w:val="clear" w:color="auto" w:fill="FFFFFF"/>
        </w:rPr>
        <w:t>The presumptions are as follows: (</w:t>
      </w:r>
      <w:proofErr w:type="spellStart"/>
      <w:r w:rsidR="00573D34">
        <w:rPr>
          <w:rFonts w:ascii="Avenir Next" w:hAnsi="Avenir Next" w:cs="Arial"/>
          <w:sz w:val="22"/>
          <w:szCs w:val="22"/>
          <w:shd w:val="clear" w:color="auto" w:fill="FFFFFF"/>
        </w:rPr>
        <w:t>i</w:t>
      </w:r>
      <w:proofErr w:type="spellEnd"/>
      <w:r w:rsidR="00573D34">
        <w:rPr>
          <w:rFonts w:ascii="Avenir Next" w:hAnsi="Avenir Next" w:cs="Arial"/>
          <w:sz w:val="22"/>
          <w:szCs w:val="22"/>
          <w:shd w:val="clear" w:color="auto" w:fill="FFFFFF"/>
        </w:rPr>
        <w:t xml:space="preserve">) </w:t>
      </w:r>
      <w:r w:rsidR="006C7D81">
        <w:rPr>
          <w:rFonts w:ascii="Avenir Next" w:hAnsi="Avenir Next" w:cs="Arial"/>
          <w:sz w:val="22"/>
          <w:szCs w:val="22"/>
          <w:shd w:val="clear" w:color="auto" w:fill="FFFFFF"/>
        </w:rPr>
        <w:t xml:space="preserve">in relation to a company or legal person, the </w:t>
      </w:r>
      <w:r w:rsidR="00AC38E1">
        <w:rPr>
          <w:rFonts w:ascii="Avenir Next" w:hAnsi="Avenir Next" w:cs="Arial"/>
          <w:sz w:val="22"/>
          <w:szCs w:val="22"/>
          <w:shd w:val="clear" w:color="auto" w:fill="FFFFFF"/>
        </w:rPr>
        <w:t xml:space="preserve">territory of the registered office shall be presumed to be the COMI in the absence of </w:t>
      </w:r>
      <w:r w:rsidR="00AC38E1">
        <w:rPr>
          <w:rFonts w:ascii="Avenir Next" w:hAnsi="Avenir Next" w:cs="Arial"/>
          <w:sz w:val="22"/>
          <w:szCs w:val="22"/>
          <w:shd w:val="clear" w:color="auto" w:fill="FFFFFF"/>
        </w:rPr>
        <w:lastRenderedPageBreak/>
        <w:t xml:space="preserve">evidence to the contrary; (ii) </w:t>
      </w:r>
      <w:r w:rsidR="0048617D">
        <w:rPr>
          <w:rFonts w:ascii="Avenir Next" w:hAnsi="Avenir Next" w:cs="Arial"/>
          <w:sz w:val="22"/>
          <w:szCs w:val="22"/>
          <w:shd w:val="clear" w:color="auto" w:fill="FFFFFF"/>
        </w:rPr>
        <w:t>in relation to an individual exercising an independent business or professional activity, the COMI is presumed to be that of the individual’s principal place of business, in the absence of contrary evidence; and (iii)</w:t>
      </w:r>
      <w:r w:rsidR="00A51A9D">
        <w:rPr>
          <w:rFonts w:ascii="Avenir Next" w:hAnsi="Avenir Next" w:cs="Arial"/>
          <w:sz w:val="22"/>
          <w:szCs w:val="22"/>
          <w:shd w:val="clear" w:color="auto" w:fill="FFFFFF"/>
        </w:rPr>
        <w:t xml:space="preserve"> in relation to any other individual, the COMI shall be presumed to be the individual’s </w:t>
      </w:r>
      <w:r w:rsidR="00076473">
        <w:rPr>
          <w:rFonts w:ascii="Avenir Next" w:hAnsi="Avenir Next" w:cs="Arial"/>
          <w:sz w:val="22"/>
          <w:szCs w:val="22"/>
          <w:shd w:val="clear" w:color="auto" w:fill="FFFFFF"/>
        </w:rPr>
        <w:t xml:space="preserve">habitual residence, in the absence of evidence to the contrary. However, </w:t>
      </w:r>
      <w:r w:rsidR="0062328B">
        <w:rPr>
          <w:rFonts w:ascii="Avenir Next" w:hAnsi="Avenir Next" w:cs="Arial"/>
          <w:sz w:val="22"/>
          <w:szCs w:val="22"/>
          <w:shd w:val="clear" w:color="auto" w:fill="FFFFFF"/>
        </w:rPr>
        <w:t>these amendments to the EIR 2000 a</w:t>
      </w:r>
      <w:r w:rsidR="00A0017A">
        <w:rPr>
          <w:rFonts w:ascii="Avenir Next" w:hAnsi="Avenir Next" w:cs="Arial"/>
          <w:sz w:val="22"/>
          <w:szCs w:val="22"/>
          <w:shd w:val="clear" w:color="auto" w:fill="FFFFFF"/>
        </w:rPr>
        <w:t>re</w:t>
      </w:r>
      <w:r w:rsidR="0062328B">
        <w:rPr>
          <w:rFonts w:ascii="Avenir Next" w:hAnsi="Avenir Next" w:cs="Arial"/>
          <w:sz w:val="22"/>
          <w:szCs w:val="22"/>
          <w:shd w:val="clear" w:color="auto" w:fill="FFFFFF"/>
        </w:rPr>
        <w:t xml:space="preserve"> not altogether cogent as neither the principal place of business </w:t>
      </w:r>
      <w:proofErr w:type="gramStart"/>
      <w:r w:rsidR="0062328B">
        <w:rPr>
          <w:rFonts w:ascii="Avenir Next" w:hAnsi="Avenir Next" w:cs="Arial"/>
          <w:sz w:val="22"/>
          <w:szCs w:val="22"/>
          <w:shd w:val="clear" w:color="auto" w:fill="FFFFFF"/>
        </w:rPr>
        <w:t>or</w:t>
      </w:r>
      <w:proofErr w:type="gramEnd"/>
      <w:r w:rsidR="0062328B">
        <w:rPr>
          <w:rFonts w:ascii="Avenir Next" w:hAnsi="Avenir Next" w:cs="Arial"/>
          <w:sz w:val="22"/>
          <w:szCs w:val="22"/>
          <w:shd w:val="clear" w:color="auto" w:fill="FFFFFF"/>
        </w:rPr>
        <w:t xml:space="preserve"> the habitual residence is necessarily useful as a formal presumption of a debtor’s COMI.</w:t>
      </w:r>
      <w:r w:rsidR="007E6077">
        <w:rPr>
          <w:rFonts w:ascii="Avenir Next" w:hAnsi="Avenir Next" w:cs="Arial"/>
          <w:sz w:val="22"/>
          <w:szCs w:val="22"/>
          <w:shd w:val="clear" w:color="auto" w:fill="FFFFFF"/>
        </w:rPr>
        <w:t xml:space="preserve"> The proof of location of the habi</w:t>
      </w:r>
      <w:r w:rsidR="004861A0">
        <w:rPr>
          <w:rFonts w:ascii="Avenir Next" w:hAnsi="Avenir Next" w:cs="Arial"/>
          <w:sz w:val="22"/>
          <w:szCs w:val="22"/>
          <w:shd w:val="clear" w:color="auto" w:fill="FFFFFF"/>
        </w:rPr>
        <w:t xml:space="preserve">tual residence of an individual can prove cumbersome as the </w:t>
      </w:r>
      <w:r w:rsidR="00AD17B1">
        <w:rPr>
          <w:rFonts w:ascii="Avenir Next" w:hAnsi="Avenir Next" w:cs="Arial"/>
          <w:sz w:val="22"/>
          <w:szCs w:val="22"/>
          <w:shd w:val="clear" w:color="auto" w:fill="FFFFFF"/>
        </w:rPr>
        <w:t xml:space="preserve">proof of the location of their COMI, particularly as </w:t>
      </w:r>
      <w:r w:rsidR="00381767">
        <w:rPr>
          <w:rFonts w:ascii="Avenir Next" w:hAnsi="Avenir Next" w:cs="Arial"/>
          <w:sz w:val="22"/>
          <w:szCs w:val="22"/>
          <w:shd w:val="clear" w:color="auto" w:fill="FFFFFF"/>
        </w:rPr>
        <w:t xml:space="preserve">the ‘location of the habitual residence’ is not </w:t>
      </w:r>
      <w:r w:rsidR="00C138A9">
        <w:rPr>
          <w:rFonts w:ascii="Avenir Next" w:hAnsi="Avenir Next" w:cs="Arial"/>
          <w:sz w:val="22"/>
          <w:szCs w:val="22"/>
          <w:shd w:val="clear" w:color="auto" w:fill="FFFFFF"/>
        </w:rPr>
        <w:t>defined under the EIR Recast, whereas COMI is. For this reason, an interested party is therefore likely to choose to demonstrate the location of the debtor’s COMI rather than the debtor’s habit</w:t>
      </w:r>
      <w:r w:rsidR="00E36A2E">
        <w:rPr>
          <w:rFonts w:ascii="Avenir Next" w:hAnsi="Avenir Next" w:cs="Arial"/>
          <w:sz w:val="22"/>
          <w:szCs w:val="22"/>
          <w:shd w:val="clear" w:color="auto" w:fill="FFFFFF"/>
        </w:rPr>
        <w:t>ual residence, or principal place of business. Perhaps here</w:t>
      </w:r>
      <w:r w:rsidR="00694687">
        <w:rPr>
          <w:rFonts w:ascii="Avenir Next" w:hAnsi="Avenir Next" w:cs="Arial"/>
          <w:sz w:val="22"/>
          <w:szCs w:val="22"/>
          <w:shd w:val="clear" w:color="auto" w:fill="FFFFFF"/>
        </w:rPr>
        <w:t xml:space="preserve"> there was scope to establish these concepts as definitions of the COMI for natural persons.</w:t>
      </w:r>
    </w:p>
    <w:p w14:paraId="4F887926" w14:textId="77777777" w:rsidR="00B8552E" w:rsidRDefault="00B8552E"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52B25541" w:rsidR="00DF75F8" w:rsidRDefault="00881E0C" w:rsidP="002A37BB">
      <w:pPr>
        <w:jc w:val="both"/>
        <w:rPr>
          <w:rFonts w:ascii="Avenir Next" w:hAnsi="Avenir Next" w:cs="Arial"/>
          <w:sz w:val="22"/>
          <w:szCs w:val="22"/>
          <w:lang w:val="en-GB"/>
        </w:rPr>
      </w:pPr>
      <w:r>
        <w:rPr>
          <w:rFonts w:ascii="Avenir Next" w:hAnsi="Avenir Next" w:cs="Arial"/>
          <w:sz w:val="22"/>
          <w:szCs w:val="22"/>
          <w:lang w:val="en-GB"/>
        </w:rPr>
        <w:t>The European Insolvency Regulation</w:t>
      </w:r>
      <w:r w:rsidR="00C93A5D">
        <w:rPr>
          <w:rFonts w:ascii="Avenir Next" w:hAnsi="Avenir Next" w:cs="Arial"/>
          <w:sz w:val="22"/>
          <w:szCs w:val="22"/>
          <w:lang w:val="en-GB"/>
        </w:rPr>
        <w:t xml:space="preserve"> 2015</w:t>
      </w:r>
      <w:r>
        <w:rPr>
          <w:rFonts w:ascii="Avenir Next" w:hAnsi="Avenir Next" w:cs="Arial"/>
          <w:sz w:val="22"/>
          <w:szCs w:val="22"/>
          <w:lang w:val="en-GB"/>
        </w:rPr>
        <w:t xml:space="preserve"> and the Directive on Preventive Restructuring</w:t>
      </w:r>
      <w:r w:rsidR="0003568E">
        <w:rPr>
          <w:rFonts w:ascii="Avenir Next" w:hAnsi="Avenir Next" w:cs="Arial"/>
          <w:sz w:val="22"/>
          <w:szCs w:val="22"/>
          <w:lang w:val="en-GB"/>
        </w:rPr>
        <w:t xml:space="preserve"> Frameworks 2019</w:t>
      </w:r>
      <w:r>
        <w:rPr>
          <w:rFonts w:ascii="Avenir Next" w:hAnsi="Avenir Next" w:cs="Arial"/>
          <w:sz w:val="22"/>
          <w:szCs w:val="22"/>
          <w:lang w:val="en-GB"/>
        </w:rPr>
        <w:t xml:space="preserve"> differ </w:t>
      </w:r>
      <w:r w:rsidR="006D7CC0">
        <w:rPr>
          <w:rFonts w:ascii="Avenir Next" w:hAnsi="Avenir Next" w:cs="Arial"/>
          <w:sz w:val="22"/>
          <w:szCs w:val="22"/>
          <w:lang w:val="en-GB"/>
        </w:rPr>
        <w:t xml:space="preserve">in </w:t>
      </w:r>
      <w:proofErr w:type="gramStart"/>
      <w:r w:rsidR="006D7CC0">
        <w:rPr>
          <w:rFonts w:ascii="Avenir Next" w:hAnsi="Avenir Next" w:cs="Arial"/>
          <w:sz w:val="22"/>
          <w:szCs w:val="22"/>
          <w:lang w:val="en-GB"/>
        </w:rPr>
        <w:t>a number of</w:t>
      </w:r>
      <w:proofErr w:type="gramEnd"/>
      <w:r w:rsidR="006D7CC0">
        <w:rPr>
          <w:rFonts w:ascii="Avenir Next" w:hAnsi="Avenir Next" w:cs="Arial"/>
          <w:sz w:val="22"/>
          <w:szCs w:val="22"/>
          <w:lang w:val="en-GB"/>
        </w:rPr>
        <w:t xml:space="preserve"> ways.</w:t>
      </w:r>
    </w:p>
    <w:p w14:paraId="18478A77" w14:textId="0B97B49A" w:rsidR="006D7CC0" w:rsidRDefault="006D7CC0" w:rsidP="002A37BB">
      <w:pPr>
        <w:jc w:val="both"/>
        <w:rPr>
          <w:rFonts w:ascii="Avenir Next" w:hAnsi="Avenir Next" w:cs="Arial"/>
          <w:sz w:val="22"/>
          <w:szCs w:val="22"/>
          <w:lang w:val="en-GB"/>
        </w:rPr>
      </w:pPr>
    </w:p>
    <w:p w14:paraId="55F8225B" w14:textId="18DF8ACE" w:rsidR="006D7CC0" w:rsidRDefault="006D7CC0" w:rsidP="002A37BB">
      <w:pPr>
        <w:jc w:val="both"/>
        <w:rPr>
          <w:rFonts w:ascii="Avenir Next" w:hAnsi="Avenir Next" w:cs="Arial"/>
          <w:sz w:val="22"/>
          <w:szCs w:val="22"/>
          <w:lang w:val="en-GB"/>
        </w:rPr>
      </w:pPr>
      <w:r>
        <w:rPr>
          <w:rFonts w:ascii="Avenir Next" w:hAnsi="Avenir Next" w:cs="Arial"/>
          <w:sz w:val="22"/>
          <w:szCs w:val="22"/>
          <w:lang w:val="en-GB"/>
        </w:rPr>
        <w:t xml:space="preserve">One such difference between the Regulation and the Directive is </w:t>
      </w:r>
      <w:r w:rsidR="00831A29">
        <w:rPr>
          <w:rFonts w:ascii="Avenir Next" w:hAnsi="Avenir Next" w:cs="Arial"/>
          <w:sz w:val="22"/>
          <w:szCs w:val="22"/>
          <w:lang w:val="en-GB"/>
        </w:rPr>
        <w:t xml:space="preserve">that unlike EU regulations, EU directives do not take automatic effect in Member States and so each Member State must implement the </w:t>
      </w:r>
      <w:r w:rsidR="00360CFF">
        <w:rPr>
          <w:rFonts w:ascii="Avenir Next" w:hAnsi="Avenir Next" w:cs="Arial"/>
          <w:sz w:val="22"/>
          <w:szCs w:val="22"/>
          <w:lang w:val="en-GB"/>
        </w:rPr>
        <w:t xml:space="preserve">Directive into national law </w:t>
      </w:r>
      <w:proofErr w:type="gramStart"/>
      <w:r w:rsidR="00360CFF">
        <w:rPr>
          <w:rFonts w:ascii="Avenir Next" w:hAnsi="Avenir Next" w:cs="Arial"/>
          <w:sz w:val="22"/>
          <w:szCs w:val="22"/>
          <w:lang w:val="en-GB"/>
        </w:rPr>
        <w:t>in order for</w:t>
      </w:r>
      <w:proofErr w:type="gramEnd"/>
      <w:r w:rsidR="00360CFF">
        <w:rPr>
          <w:rFonts w:ascii="Avenir Next" w:hAnsi="Avenir Next" w:cs="Arial"/>
          <w:sz w:val="22"/>
          <w:szCs w:val="22"/>
          <w:lang w:val="en-GB"/>
        </w:rPr>
        <w:t xml:space="preserve"> it to come into effect.</w:t>
      </w:r>
      <w:r w:rsidR="003934D3">
        <w:rPr>
          <w:rFonts w:ascii="Avenir Next" w:hAnsi="Avenir Next" w:cs="Arial"/>
          <w:sz w:val="22"/>
          <w:szCs w:val="22"/>
          <w:lang w:val="en-GB"/>
        </w:rPr>
        <w:t xml:space="preserve"> The EU Member States have some leeway in their </w:t>
      </w:r>
      <w:r w:rsidR="004A3DC1">
        <w:rPr>
          <w:rFonts w:ascii="Avenir Next" w:hAnsi="Avenir Next" w:cs="Arial"/>
          <w:sz w:val="22"/>
          <w:szCs w:val="22"/>
          <w:lang w:val="en-GB"/>
        </w:rPr>
        <w:t>implementation of the Directive, as is characteristic for EU directives.</w:t>
      </w:r>
      <w:r w:rsidR="00437446">
        <w:rPr>
          <w:rFonts w:ascii="Avenir Next" w:hAnsi="Avenir Next" w:cs="Arial"/>
          <w:sz w:val="22"/>
          <w:szCs w:val="22"/>
          <w:lang w:val="en-GB"/>
        </w:rPr>
        <w:t xml:space="preserve"> In this way, the Directive acknowledges </w:t>
      </w:r>
      <w:r w:rsidR="001762CA">
        <w:rPr>
          <w:rFonts w:ascii="Avenir Next" w:hAnsi="Avenir Next" w:cs="Arial"/>
          <w:sz w:val="22"/>
          <w:szCs w:val="22"/>
          <w:lang w:val="en-GB"/>
        </w:rPr>
        <w:t>that the current diver</w:t>
      </w:r>
      <w:r w:rsidR="008567AE">
        <w:rPr>
          <w:rFonts w:ascii="Avenir Next" w:hAnsi="Avenir Next" w:cs="Arial"/>
          <w:sz w:val="22"/>
          <w:szCs w:val="22"/>
          <w:lang w:val="en-GB"/>
        </w:rPr>
        <w:t xml:space="preserve">sity in Member States’ legal systems </w:t>
      </w:r>
      <w:proofErr w:type="gramStart"/>
      <w:r w:rsidR="008567AE">
        <w:rPr>
          <w:rFonts w:ascii="Avenir Next" w:hAnsi="Avenir Next" w:cs="Arial"/>
          <w:sz w:val="22"/>
          <w:szCs w:val="22"/>
          <w:lang w:val="en-GB"/>
        </w:rPr>
        <w:t>with regard to</w:t>
      </w:r>
      <w:proofErr w:type="gramEnd"/>
      <w:r w:rsidR="008567AE">
        <w:rPr>
          <w:rFonts w:ascii="Avenir Next" w:hAnsi="Avenir Next" w:cs="Arial"/>
          <w:sz w:val="22"/>
          <w:szCs w:val="22"/>
          <w:lang w:val="en-GB"/>
        </w:rPr>
        <w:t xml:space="preserve"> insolvency proceedings</w:t>
      </w:r>
      <w:r w:rsidR="004833C8">
        <w:rPr>
          <w:rFonts w:ascii="Avenir Next" w:hAnsi="Avenir Next" w:cs="Arial"/>
          <w:sz w:val="22"/>
          <w:szCs w:val="22"/>
          <w:lang w:val="en-GB"/>
        </w:rPr>
        <w:t xml:space="preserve"> seems too large to bridge, and so offers the Member States flexibility to achieve </w:t>
      </w:r>
      <w:r w:rsidR="007B0291">
        <w:rPr>
          <w:rFonts w:ascii="Avenir Next" w:hAnsi="Avenir Next" w:cs="Arial"/>
          <w:sz w:val="22"/>
          <w:szCs w:val="22"/>
          <w:lang w:val="en-GB"/>
        </w:rPr>
        <w:t>the objectives by applying the principles in a way that is suited to their respective national contexts.</w:t>
      </w:r>
    </w:p>
    <w:p w14:paraId="14D81ED4" w14:textId="42236B14" w:rsidR="00360CFF" w:rsidRDefault="00360CFF" w:rsidP="002A37BB">
      <w:pPr>
        <w:jc w:val="both"/>
        <w:rPr>
          <w:rFonts w:ascii="Avenir Next" w:hAnsi="Avenir Next" w:cs="Arial"/>
          <w:sz w:val="22"/>
          <w:szCs w:val="22"/>
          <w:lang w:val="en-GB"/>
        </w:rPr>
      </w:pPr>
    </w:p>
    <w:p w14:paraId="63CFC3B7" w14:textId="6EA6BBED" w:rsidR="00360CFF" w:rsidRDefault="00360CFF" w:rsidP="002A37BB">
      <w:pPr>
        <w:jc w:val="both"/>
        <w:rPr>
          <w:rFonts w:ascii="Avenir Next" w:hAnsi="Avenir Next" w:cs="Arial"/>
          <w:sz w:val="22"/>
          <w:szCs w:val="22"/>
          <w:lang w:val="en-GB"/>
        </w:rPr>
      </w:pPr>
      <w:r>
        <w:rPr>
          <w:rFonts w:ascii="Avenir Next" w:hAnsi="Avenir Next" w:cs="Arial"/>
          <w:sz w:val="22"/>
          <w:szCs w:val="22"/>
          <w:lang w:val="en-GB"/>
        </w:rPr>
        <w:t>Another difference between the two is that the EIR</w:t>
      </w:r>
      <w:r w:rsidR="003644C5">
        <w:rPr>
          <w:rFonts w:ascii="Avenir Next" w:hAnsi="Avenir Next" w:cs="Arial"/>
          <w:sz w:val="22"/>
          <w:szCs w:val="22"/>
          <w:lang w:val="en-GB"/>
        </w:rPr>
        <w:t xml:space="preserve"> Recast 2015 provided for rules governing the allocation of jurisdiction </w:t>
      </w:r>
      <w:r w:rsidR="00D25F97">
        <w:rPr>
          <w:rFonts w:ascii="Avenir Next" w:hAnsi="Avenir Next" w:cs="Arial"/>
          <w:sz w:val="22"/>
          <w:szCs w:val="22"/>
          <w:lang w:val="en-GB"/>
        </w:rPr>
        <w:t xml:space="preserve">for the commencement of insolvency proceedings – and once opened, the rules applicable to those proceedings – but did not </w:t>
      </w:r>
      <w:r w:rsidR="000153E9">
        <w:rPr>
          <w:rFonts w:ascii="Avenir Next" w:hAnsi="Avenir Next" w:cs="Arial"/>
          <w:sz w:val="22"/>
          <w:szCs w:val="22"/>
          <w:lang w:val="en-GB"/>
        </w:rPr>
        <w:t xml:space="preserve">address disparities in national law amongst the Member States, as stated above. </w:t>
      </w:r>
      <w:r w:rsidR="00540351">
        <w:rPr>
          <w:rFonts w:ascii="Avenir Next" w:hAnsi="Avenir Next" w:cs="Arial"/>
          <w:sz w:val="22"/>
          <w:szCs w:val="22"/>
          <w:lang w:val="en-GB"/>
        </w:rPr>
        <w:t>The Directive differs in this way</w:t>
      </w:r>
      <w:r w:rsidR="00C23F42">
        <w:rPr>
          <w:rFonts w:ascii="Avenir Next" w:hAnsi="Avenir Next" w:cs="Arial"/>
          <w:sz w:val="22"/>
          <w:szCs w:val="22"/>
          <w:lang w:val="en-GB"/>
        </w:rPr>
        <w:t>, with an aim to provide for a harmonised minimum restructuring standard across the EU</w:t>
      </w:r>
      <w:r w:rsidR="00B96ABE">
        <w:rPr>
          <w:rFonts w:ascii="Avenir Next" w:hAnsi="Avenir Next" w:cs="Arial"/>
          <w:sz w:val="22"/>
          <w:szCs w:val="22"/>
          <w:lang w:val="en-GB"/>
        </w:rPr>
        <w:t xml:space="preserve"> with a view to giving </w:t>
      </w:r>
      <w:r w:rsidR="00E62CEF">
        <w:rPr>
          <w:rFonts w:ascii="Avenir Next" w:hAnsi="Avenir Next" w:cs="Arial"/>
          <w:sz w:val="22"/>
          <w:szCs w:val="22"/>
          <w:lang w:val="en-GB"/>
        </w:rPr>
        <w:t xml:space="preserve">viable businesses a ‘second chance’. The Directive </w:t>
      </w:r>
      <w:r w:rsidR="00203409">
        <w:rPr>
          <w:rFonts w:ascii="Avenir Next" w:hAnsi="Avenir Next" w:cs="Arial"/>
          <w:sz w:val="22"/>
          <w:szCs w:val="22"/>
          <w:lang w:val="en-GB"/>
        </w:rPr>
        <w:t>further</w:t>
      </w:r>
      <w:r w:rsidR="00E62CEF">
        <w:rPr>
          <w:rFonts w:ascii="Avenir Next" w:hAnsi="Avenir Next" w:cs="Arial"/>
          <w:sz w:val="22"/>
          <w:szCs w:val="22"/>
          <w:lang w:val="en-GB"/>
        </w:rPr>
        <w:t xml:space="preserve"> </w:t>
      </w:r>
      <w:r w:rsidR="006B48CB">
        <w:rPr>
          <w:rFonts w:ascii="Avenir Next" w:hAnsi="Avenir Next" w:cs="Arial"/>
          <w:sz w:val="22"/>
          <w:szCs w:val="22"/>
          <w:lang w:val="en-GB"/>
        </w:rPr>
        <w:t xml:space="preserve">aims to bring greater predictability, </w:t>
      </w:r>
      <w:proofErr w:type="gramStart"/>
      <w:r w:rsidR="006B48CB">
        <w:rPr>
          <w:rFonts w:ascii="Avenir Next" w:hAnsi="Avenir Next" w:cs="Arial"/>
          <w:sz w:val="22"/>
          <w:szCs w:val="22"/>
          <w:lang w:val="en-GB"/>
        </w:rPr>
        <w:t>transparency</w:t>
      </w:r>
      <w:proofErr w:type="gramEnd"/>
      <w:r w:rsidR="006B48CB">
        <w:rPr>
          <w:rFonts w:ascii="Avenir Next" w:hAnsi="Avenir Next" w:cs="Arial"/>
          <w:sz w:val="22"/>
          <w:szCs w:val="22"/>
          <w:lang w:val="en-GB"/>
        </w:rPr>
        <w:t xml:space="preserve"> and legal certainty to </w:t>
      </w:r>
      <w:r w:rsidR="00203409">
        <w:rPr>
          <w:rFonts w:ascii="Avenir Next" w:hAnsi="Avenir Next" w:cs="Arial"/>
          <w:sz w:val="22"/>
          <w:szCs w:val="22"/>
          <w:lang w:val="en-GB"/>
        </w:rPr>
        <w:t>restructuring in the EU by reducing the substantive differences in pre-insolvency regimes across the Member States.</w:t>
      </w:r>
    </w:p>
    <w:p w14:paraId="0D845BDA" w14:textId="29C47983" w:rsidR="0088003E" w:rsidRDefault="0088003E" w:rsidP="002A37BB">
      <w:pPr>
        <w:jc w:val="both"/>
        <w:rPr>
          <w:rFonts w:ascii="Avenir Next" w:hAnsi="Avenir Next" w:cs="Arial"/>
          <w:sz w:val="22"/>
          <w:szCs w:val="22"/>
          <w:lang w:val="en-GB"/>
        </w:rPr>
      </w:pPr>
    </w:p>
    <w:p w14:paraId="71765CB8" w14:textId="7FEF9005" w:rsidR="0088003E" w:rsidRDefault="0088003E" w:rsidP="002A37BB">
      <w:pPr>
        <w:jc w:val="both"/>
        <w:rPr>
          <w:rFonts w:ascii="Avenir Next" w:hAnsi="Avenir Next" w:cs="Arial"/>
          <w:sz w:val="22"/>
          <w:szCs w:val="22"/>
          <w:lang w:val="en-GB"/>
        </w:rPr>
      </w:pPr>
      <w:r>
        <w:rPr>
          <w:rFonts w:ascii="Avenir Next" w:hAnsi="Avenir Next" w:cs="Arial"/>
          <w:sz w:val="22"/>
          <w:szCs w:val="22"/>
          <w:lang w:val="en-GB"/>
        </w:rPr>
        <w:t xml:space="preserve">The Directive </w:t>
      </w:r>
      <w:r w:rsidR="00B42734">
        <w:rPr>
          <w:rFonts w:ascii="Avenir Next" w:hAnsi="Avenir Next" w:cs="Arial"/>
          <w:sz w:val="22"/>
          <w:szCs w:val="22"/>
          <w:lang w:val="en-GB"/>
        </w:rPr>
        <w:t>and its policy options largely reflect the proposed solutions under the Recommendation on a New Approach to Business Failure and Insolvency</w:t>
      </w:r>
      <w:r w:rsidR="000865A4">
        <w:rPr>
          <w:rFonts w:ascii="Avenir Next" w:hAnsi="Avenir Next" w:cs="Arial"/>
          <w:sz w:val="22"/>
          <w:szCs w:val="22"/>
          <w:lang w:val="en-GB"/>
        </w:rPr>
        <w:t xml:space="preserve">, published by the European Commission in </w:t>
      </w:r>
      <w:r w:rsidR="001138D5">
        <w:rPr>
          <w:rFonts w:ascii="Avenir Next" w:hAnsi="Avenir Next" w:cs="Arial"/>
          <w:sz w:val="22"/>
          <w:szCs w:val="22"/>
          <w:lang w:val="en-GB"/>
        </w:rPr>
        <w:t>2012.</w:t>
      </w:r>
      <w:r w:rsidR="00425C20">
        <w:rPr>
          <w:rFonts w:ascii="Avenir Next" w:hAnsi="Avenir Next" w:cs="Arial"/>
          <w:sz w:val="22"/>
          <w:szCs w:val="22"/>
          <w:lang w:val="en-GB"/>
        </w:rPr>
        <w:t xml:space="preserve"> These provisions consist of </w:t>
      </w:r>
      <w:r w:rsidR="008439A9">
        <w:rPr>
          <w:rFonts w:ascii="Avenir Next" w:hAnsi="Avenir Next" w:cs="Arial"/>
          <w:sz w:val="22"/>
          <w:szCs w:val="22"/>
          <w:lang w:val="en-GB"/>
        </w:rPr>
        <w:t xml:space="preserve">early warning systems and access to information; preventive </w:t>
      </w:r>
      <w:r w:rsidR="004B5624">
        <w:rPr>
          <w:rFonts w:ascii="Avenir Next" w:hAnsi="Avenir Next" w:cs="Arial"/>
          <w:sz w:val="22"/>
          <w:szCs w:val="22"/>
          <w:lang w:val="en-GB"/>
        </w:rPr>
        <w:t xml:space="preserve">restructuring, with </w:t>
      </w:r>
      <w:r w:rsidR="001E45BE">
        <w:rPr>
          <w:rFonts w:ascii="Avenir Next" w:hAnsi="Avenir Next" w:cs="Arial"/>
          <w:sz w:val="22"/>
          <w:szCs w:val="22"/>
          <w:lang w:val="en-GB"/>
        </w:rPr>
        <w:t>(</w:t>
      </w:r>
      <w:proofErr w:type="spellStart"/>
      <w:r w:rsidR="001E45BE">
        <w:rPr>
          <w:rFonts w:ascii="Avenir Next" w:hAnsi="Avenir Next" w:cs="Arial"/>
          <w:sz w:val="22"/>
          <w:szCs w:val="22"/>
          <w:lang w:val="en-GB"/>
        </w:rPr>
        <w:t>i</w:t>
      </w:r>
      <w:proofErr w:type="spellEnd"/>
      <w:r w:rsidR="001E45BE">
        <w:rPr>
          <w:rFonts w:ascii="Avenir Next" w:hAnsi="Avenir Next" w:cs="Arial"/>
          <w:sz w:val="22"/>
          <w:szCs w:val="22"/>
          <w:lang w:val="en-GB"/>
        </w:rPr>
        <w:t xml:space="preserve">) easy access to preventive restructuring procedures for debtors; (ii) </w:t>
      </w:r>
      <w:r w:rsidR="001E581B">
        <w:rPr>
          <w:rFonts w:ascii="Avenir Next" w:hAnsi="Avenir Next" w:cs="Arial"/>
          <w:sz w:val="22"/>
          <w:szCs w:val="22"/>
          <w:lang w:val="en-GB"/>
        </w:rPr>
        <w:t xml:space="preserve">the possibility for debtors in preventive restructuring procedures to </w:t>
      </w:r>
      <w:r w:rsidR="00387E1F">
        <w:rPr>
          <w:rFonts w:ascii="Avenir Next" w:hAnsi="Avenir Next" w:cs="Arial"/>
          <w:sz w:val="22"/>
          <w:szCs w:val="22"/>
          <w:lang w:val="en-GB"/>
        </w:rPr>
        <w:t xml:space="preserve">retain control of their assets and day-to-day business operations (a ‘debtor-in-possession’ model); (iii) </w:t>
      </w:r>
      <w:r w:rsidR="00C35421">
        <w:rPr>
          <w:rFonts w:ascii="Avenir Next" w:hAnsi="Avenir Next" w:cs="Arial"/>
          <w:sz w:val="22"/>
          <w:szCs w:val="22"/>
          <w:lang w:val="en-GB"/>
        </w:rPr>
        <w:t>a stay on creditor actions</w:t>
      </w:r>
      <w:r w:rsidR="00AB6FD7">
        <w:rPr>
          <w:rFonts w:ascii="Avenir Next" w:hAnsi="Avenir Next" w:cs="Arial"/>
          <w:sz w:val="22"/>
          <w:szCs w:val="22"/>
          <w:lang w:val="en-GB"/>
        </w:rPr>
        <w:t>; (iv) cross-class cram-down; (v) the ‘best interests of creditors’ test; and (vi)</w:t>
      </w:r>
      <w:r w:rsidR="005D05B9">
        <w:rPr>
          <w:rFonts w:ascii="Avenir Next" w:hAnsi="Avenir Next" w:cs="Arial"/>
          <w:sz w:val="22"/>
          <w:szCs w:val="22"/>
          <w:lang w:val="en-GB"/>
        </w:rPr>
        <w:t xml:space="preserve"> the protection of new and interim financing.</w:t>
      </w:r>
    </w:p>
    <w:p w14:paraId="24FC1A9A" w14:textId="76954841" w:rsidR="00303568" w:rsidRDefault="00303568" w:rsidP="002A37BB">
      <w:pPr>
        <w:jc w:val="both"/>
        <w:rPr>
          <w:rFonts w:ascii="Avenir Next" w:hAnsi="Avenir Next" w:cs="Arial"/>
          <w:sz w:val="22"/>
          <w:szCs w:val="22"/>
          <w:lang w:val="en-GB"/>
        </w:rPr>
      </w:pPr>
    </w:p>
    <w:p w14:paraId="3975E741" w14:textId="1FE7203C" w:rsidR="005D05B9" w:rsidRDefault="00303568" w:rsidP="002A37BB">
      <w:pPr>
        <w:jc w:val="both"/>
        <w:rPr>
          <w:rFonts w:ascii="Avenir Next" w:hAnsi="Avenir Next" w:cs="Arial"/>
          <w:sz w:val="22"/>
          <w:szCs w:val="22"/>
          <w:lang w:val="en-GB"/>
        </w:rPr>
      </w:pPr>
      <w:r>
        <w:rPr>
          <w:rFonts w:ascii="Avenir Next" w:hAnsi="Avenir Next" w:cs="Arial"/>
          <w:sz w:val="22"/>
          <w:szCs w:val="22"/>
          <w:lang w:val="en-GB"/>
        </w:rPr>
        <w:t xml:space="preserve">The Directive </w:t>
      </w:r>
      <w:r w:rsidR="0089511A">
        <w:rPr>
          <w:rFonts w:ascii="Avenir Next" w:hAnsi="Avenir Next" w:cs="Arial"/>
          <w:sz w:val="22"/>
          <w:szCs w:val="22"/>
          <w:lang w:val="en-GB"/>
        </w:rPr>
        <w:t xml:space="preserve">sets out minimum standards for a restructuring </w:t>
      </w:r>
      <w:r w:rsidR="000F5DF8">
        <w:rPr>
          <w:rFonts w:ascii="Avenir Next" w:hAnsi="Avenir Next" w:cs="Arial"/>
          <w:sz w:val="22"/>
          <w:szCs w:val="22"/>
          <w:lang w:val="en-GB"/>
        </w:rPr>
        <w:t>plan and</w:t>
      </w:r>
      <w:r w:rsidR="005F7D64">
        <w:rPr>
          <w:rFonts w:ascii="Avenir Next" w:hAnsi="Avenir Next" w:cs="Arial"/>
          <w:sz w:val="22"/>
          <w:szCs w:val="22"/>
          <w:lang w:val="en-GB"/>
        </w:rPr>
        <w:t xml:space="preserve"> has</w:t>
      </w:r>
      <w:r w:rsidR="00127D17">
        <w:rPr>
          <w:rFonts w:ascii="Avenir Next" w:hAnsi="Avenir Next" w:cs="Arial"/>
          <w:sz w:val="22"/>
          <w:szCs w:val="22"/>
          <w:lang w:val="en-GB"/>
        </w:rPr>
        <w:t xml:space="preserve"> introduced </w:t>
      </w:r>
      <w:proofErr w:type="gramStart"/>
      <w:r w:rsidR="00127D17">
        <w:rPr>
          <w:rFonts w:ascii="Avenir Next" w:hAnsi="Avenir Next" w:cs="Arial"/>
          <w:sz w:val="22"/>
          <w:szCs w:val="22"/>
          <w:lang w:val="en-GB"/>
        </w:rPr>
        <w:t>a number of</w:t>
      </w:r>
      <w:proofErr w:type="gramEnd"/>
      <w:r w:rsidR="00127D17">
        <w:rPr>
          <w:rFonts w:ascii="Avenir Next" w:hAnsi="Avenir Next" w:cs="Arial"/>
          <w:sz w:val="22"/>
          <w:szCs w:val="22"/>
          <w:lang w:val="en-GB"/>
        </w:rPr>
        <w:t xml:space="preserve"> provisions and concepts from existing successful restructuring framework, such as the US Chapter 11 Bankruptcy Code, the Irish Examinership, the UK Scheme of Arrangement and the French </w:t>
      </w:r>
      <w:proofErr w:type="spellStart"/>
      <w:r w:rsidR="00127D17">
        <w:rPr>
          <w:rFonts w:ascii="Avenir Next" w:hAnsi="Avenir Next" w:cs="Arial"/>
          <w:i/>
          <w:iCs/>
          <w:sz w:val="22"/>
          <w:szCs w:val="22"/>
          <w:lang w:val="en-GB"/>
        </w:rPr>
        <w:t>sauvegarde</w:t>
      </w:r>
      <w:proofErr w:type="spellEnd"/>
      <w:r w:rsidR="00127D17">
        <w:rPr>
          <w:rFonts w:ascii="Avenir Next" w:hAnsi="Avenir Next" w:cs="Arial"/>
          <w:i/>
          <w:iCs/>
          <w:sz w:val="22"/>
          <w:szCs w:val="22"/>
          <w:lang w:val="en-GB"/>
        </w:rPr>
        <w:t xml:space="preserve"> </w:t>
      </w:r>
      <w:r w:rsidR="00127D17">
        <w:rPr>
          <w:rFonts w:ascii="Avenir Next" w:hAnsi="Avenir Next" w:cs="Arial"/>
          <w:sz w:val="22"/>
          <w:szCs w:val="22"/>
          <w:lang w:val="en-GB"/>
        </w:rPr>
        <w:t xml:space="preserve">process. </w:t>
      </w:r>
      <w:r w:rsidR="005D05B9">
        <w:rPr>
          <w:rFonts w:ascii="Avenir Next" w:hAnsi="Avenir Next" w:cs="Arial"/>
          <w:sz w:val="22"/>
          <w:szCs w:val="22"/>
          <w:lang w:val="en-GB"/>
        </w:rPr>
        <w:t xml:space="preserve">The Directive differs from the EIR 2015 in that it is the </w:t>
      </w:r>
      <w:r w:rsidR="001262C2">
        <w:rPr>
          <w:rFonts w:ascii="Avenir Next" w:hAnsi="Avenir Next" w:cs="Arial"/>
          <w:sz w:val="22"/>
          <w:szCs w:val="22"/>
          <w:lang w:val="en-GB"/>
        </w:rPr>
        <w:t>first instrument that substantively harmonises insolvency law throughout the EU, albeit only</w:t>
      </w:r>
      <w:r w:rsidR="00212915">
        <w:rPr>
          <w:rFonts w:ascii="Avenir Next" w:hAnsi="Avenir Next" w:cs="Arial"/>
          <w:sz w:val="22"/>
          <w:szCs w:val="22"/>
          <w:lang w:val="en-GB"/>
        </w:rPr>
        <w:t xml:space="preserve"> </w:t>
      </w:r>
      <w:proofErr w:type="gramStart"/>
      <w:r w:rsidR="00212915">
        <w:rPr>
          <w:rFonts w:ascii="Avenir Next" w:hAnsi="Avenir Next" w:cs="Arial"/>
          <w:sz w:val="22"/>
          <w:szCs w:val="22"/>
          <w:lang w:val="en-GB"/>
        </w:rPr>
        <w:t>with regard to</w:t>
      </w:r>
      <w:proofErr w:type="gramEnd"/>
      <w:r w:rsidR="00212915">
        <w:rPr>
          <w:rFonts w:ascii="Avenir Next" w:hAnsi="Avenir Next" w:cs="Arial"/>
          <w:sz w:val="22"/>
          <w:szCs w:val="22"/>
          <w:lang w:val="en-GB"/>
        </w:rPr>
        <w:t xml:space="preserve"> preventive restructuring.</w:t>
      </w:r>
    </w:p>
    <w:p w14:paraId="4E4214AB" w14:textId="77777777" w:rsidR="005D05B9" w:rsidRDefault="005D05B9" w:rsidP="002A37BB">
      <w:pPr>
        <w:jc w:val="both"/>
        <w:rPr>
          <w:rFonts w:ascii="Avenir Next" w:hAnsi="Avenir Next" w:cs="Arial"/>
          <w:sz w:val="22"/>
          <w:szCs w:val="22"/>
          <w:lang w:val="en-GB"/>
        </w:rPr>
      </w:pPr>
    </w:p>
    <w:p w14:paraId="3B418A6A" w14:textId="7B357E7A" w:rsidR="00E34E77" w:rsidRDefault="00E34E77" w:rsidP="002A37BB">
      <w:pPr>
        <w:jc w:val="both"/>
        <w:rPr>
          <w:rFonts w:ascii="Avenir Next" w:hAnsi="Avenir Next" w:cs="Arial"/>
          <w:sz w:val="22"/>
          <w:szCs w:val="22"/>
          <w:lang w:val="en-GB"/>
        </w:rPr>
      </w:pPr>
      <w:r>
        <w:rPr>
          <w:rFonts w:ascii="Avenir Next" w:hAnsi="Avenir Next" w:cs="Arial"/>
          <w:sz w:val="22"/>
          <w:szCs w:val="22"/>
          <w:lang w:val="en-GB"/>
        </w:rPr>
        <w:t xml:space="preserve">The Directive offers a formalised </w:t>
      </w:r>
      <w:r w:rsidR="009112D4">
        <w:rPr>
          <w:rFonts w:ascii="Avenir Next" w:hAnsi="Avenir Next" w:cs="Arial"/>
          <w:sz w:val="22"/>
          <w:szCs w:val="22"/>
          <w:lang w:val="en-GB"/>
        </w:rPr>
        <w:t>restructuring plan with an option for a moratorium and cross-class cram-down</w:t>
      </w:r>
      <w:r w:rsidR="00C72DF5">
        <w:rPr>
          <w:rFonts w:ascii="Avenir Next" w:hAnsi="Avenir Next" w:cs="Arial"/>
          <w:sz w:val="22"/>
          <w:szCs w:val="22"/>
          <w:lang w:val="en-GB"/>
        </w:rPr>
        <w:t xml:space="preserve"> (a </w:t>
      </w:r>
      <w:r w:rsidR="00E96400">
        <w:rPr>
          <w:rFonts w:ascii="Avenir Next" w:hAnsi="Avenir Next" w:cs="Arial"/>
          <w:sz w:val="22"/>
          <w:szCs w:val="22"/>
          <w:lang w:val="en-GB"/>
        </w:rPr>
        <w:t xml:space="preserve">mechanism taken from the US Chapter 11 plan). </w:t>
      </w:r>
      <w:r w:rsidR="003D27E1">
        <w:rPr>
          <w:rFonts w:ascii="Avenir Next" w:hAnsi="Avenir Next" w:cs="Arial"/>
          <w:sz w:val="22"/>
          <w:szCs w:val="22"/>
          <w:lang w:val="en-GB"/>
        </w:rPr>
        <w:t xml:space="preserve">Although it is a matter for the national law of the Member States to determine class segments, under the Directive, </w:t>
      </w:r>
      <w:r w:rsidR="009A2774">
        <w:rPr>
          <w:rFonts w:ascii="Avenir Next" w:hAnsi="Avenir Next" w:cs="Arial"/>
          <w:sz w:val="22"/>
          <w:szCs w:val="22"/>
          <w:lang w:val="en-GB"/>
        </w:rPr>
        <w:t xml:space="preserve">classes are to be divided between secured and unsecured creditors at the very minimum. </w:t>
      </w:r>
      <w:r w:rsidR="00195FF6">
        <w:rPr>
          <w:rFonts w:ascii="Avenir Next" w:hAnsi="Avenir Next" w:cs="Arial"/>
          <w:sz w:val="22"/>
          <w:szCs w:val="22"/>
          <w:lang w:val="en-GB"/>
        </w:rPr>
        <w:t xml:space="preserve">Under the cross-class cram-down, if the restructuring plan is not approved by a class, </w:t>
      </w:r>
      <w:r w:rsidR="00B15523">
        <w:rPr>
          <w:rFonts w:ascii="Avenir Next" w:hAnsi="Avenir Next" w:cs="Arial"/>
          <w:sz w:val="22"/>
          <w:szCs w:val="22"/>
          <w:lang w:val="en-GB"/>
        </w:rPr>
        <w:t>it may still be approved by the courts so long as dissenting creditor classes are treated ‘at least as favourably as any other classes of the same ran</w:t>
      </w:r>
      <w:r w:rsidR="001A14FA">
        <w:rPr>
          <w:rFonts w:ascii="Avenir Next" w:hAnsi="Avenir Next" w:cs="Arial"/>
          <w:sz w:val="22"/>
          <w:szCs w:val="22"/>
          <w:lang w:val="en-GB"/>
        </w:rPr>
        <w:t>k’ and ‘more favourably’ then any classes more junior to them, and then plan</w:t>
      </w:r>
      <w:r w:rsidR="00015CE2">
        <w:rPr>
          <w:rFonts w:ascii="Avenir Next" w:hAnsi="Avenir Next" w:cs="Arial"/>
          <w:sz w:val="22"/>
          <w:szCs w:val="22"/>
          <w:lang w:val="en-GB"/>
        </w:rPr>
        <w:t xml:space="preserve"> is approved by: (</w:t>
      </w:r>
      <w:proofErr w:type="spellStart"/>
      <w:r w:rsidR="00015CE2">
        <w:rPr>
          <w:rFonts w:ascii="Avenir Next" w:hAnsi="Avenir Next" w:cs="Arial"/>
          <w:sz w:val="22"/>
          <w:szCs w:val="22"/>
          <w:lang w:val="en-GB"/>
        </w:rPr>
        <w:t>i</w:t>
      </w:r>
      <w:proofErr w:type="spellEnd"/>
      <w:r w:rsidR="00015CE2">
        <w:rPr>
          <w:rFonts w:ascii="Avenir Next" w:hAnsi="Avenir Next" w:cs="Arial"/>
          <w:sz w:val="22"/>
          <w:szCs w:val="22"/>
          <w:lang w:val="en-GB"/>
        </w:rPr>
        <w:t xml:space="preserve">) one class of affected parties that are not equity holders; and (ii) a majority of the voting classes of affected parties, including at least one </w:t>
      </w:r>
      <w:r w:rsidR="00D25E54">
        <w:rPr>
          <w:rFonts w:ascii="Avenir Next" w:hAnsi="Avenir Next" w:cs="Arial"/>
          <w:sz w:val="22"/>
          <w:szCs w:val="22"/>
          <w:lang w:val="en-GB"/>
        </w:rPr>
        <w:t xml:space="preserve">class of secured creditors or creditors more senior to unsecured creditors. </w:t>
      </w:r>
    </w:p>
    <w:p w14:paraId="008F1D9A" w14:textId="77777777" w:rsidR="00D25E54" w:rsidRPr="00881E0C" w:rsidRDefault="00D25E54" w:rsidP="002A37BB">
      <w:pPr>
        <w:jc w:val="both"/>
        <w:rPr>
          <w:rFonts w:ascii="Avenir Next" w:hAnsi="Avenir Next" w:cs="Arial"/>
          <w:sz w:val="22"/>
          <w:szCs w:val="22"/>
          <w:lang w:val="en-GB"/>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w:t>
      </w:r>
      <w:r w:rsidR="009B4976" w:rsidRPr="00C92224">
        <w:rPr>
          <w:rFonts w:ascii="Avenir Next" w:hAnsi="Avenir Next" w:cs="Arial"/>
          <w:sz w:val="22"/>
          <w:szCs w:val="22"/>
          <w:lang w:val="en-GB"/>
        </w:rPr>
        <w:t>and the relevant CJEU jurisprudence.</w:t>
      </w:r>
      <w:r w:rsidR="00E03AF0" w:rsidRPr="008E3C96">
        <w:rPr>
          <w:rFonts w:ascii="Avenir Next" w:hAnsi="Avenir Next" w:cs="Arial"/>
          <w:sz w:val="22"/>
          <w:szCs w:val="22"/>
          <w:lang w:val="en-GB"/>
        </w:rPr>
        <w:t xml:space="preserve"> </w:t>
      </w:r>
    </w:p>
    <w:p w14:paraId="4CEBE893" w14:textId="114622A7" w:rsidR="00C2719E" w:rsidRDefault="00C2719E" w:rsidP="002A37BB">
      <w:pPr>
        <w:jc w:val="both"/>
        <w:rPr>
          <w:rFonts w:ascii="Avenir Next" w:hAnsi="Avenir Next" w:cs="Arial"/>
          <w:sz w:val="22"/>
          <w:szCs w:val="22"/>
          <w:lang w:val="en-GB"/>
        </w:rPr>
      </w:pPr>
    </w:p>
    <w:p w14:paraId="4AAC0C93" w14:textId="76BC6493" w:rsidR="00C2719E" w:rsidRDefault="00653699" w:rsidP="002A37BB">
      <w:pPr>
        <w:jc w:val="both"/>
        <w:rPr>
          <w:rFonts w:ascii="Avenir Next" w:hAnsi="Avenir Next" w:cs="Arial"/>
          <w:sz w:val="22"/>
          <w:szCs w:val="22"/>
          <w:lang w:val="en-GB"/>
        </w:rPr>
      </w:pPr>
      <w:r>
        <w:rPr>
          <w:rFonts w:ascii="Avenir Next" w:hAnsi="Avenir Next" w:cs="Arial"/>
          <w:sz w:val="22"/>
          <w:szCs w:val="22"/>
          <w:lang w:val="en-GB"/>
        </w:rPr>
        <w:lastRenderedPageBreak/>
        <w:t xml:space="preserve">The EIR 2000 established that </w:t>
      </w:r>
      <w:r w:rsidR="005643E3">
        <w:rPr>
          <w:rFonts w:ascii="Avenir Next" w:hAnsi="Avenir Next" w:cs="Arial"/>
          <w:sz w:val="22"/>
          <w:szCs w:val="22"/>
          <w:lang w:val="en-GB"/>
        </w:rPr>
        <w:t>main insolvency proceedings could be initiated at the debtor’s centre of main interest (“COMI”)</w:t>
      </w:r>
      <w:r w:rsidR="001C37E3">
        <w:rPr>
          <w:rFonts w:ascii="Avenir Next" w:hAnsi="Avenir Next" w:cs="Arial"/>
          <w:sz w:val="22"/>
          <w:szCs w:val="22"/>
          <w:lang w:val="en-GB"/>
        </w:rPr>
        <w:t>.</w:t>
      </w:r>
      <w:r w:rsidR="00B8060D">
        <w:rPr>
          <w:rFonts w:ascii="Avenir Next" w:hAnsi="Avenir Next" w:cs="Arial"/>
          <w:sz w:val="22"/>
          <w:szCs w:val="22"/>
          <w:lang w:val="en-GB"/>
        </w:rPr>
        <w:t xml:space="preserve"> The EIR 2000 did not include a definition of “COMI” as this was only introduced subsequently under the EIR 2015 (Recast).</w:t>
      </w:r>
      <w:r w:rsidR="00D71B0C">
        <w:rPr>
          <w:rFonts w:ascii="Avenir Next" w:hAnsi="Avenir Next" w:cs="Arial"/>
          <w:sz w:val="22"/>
          <w:szCs w:val="22"/>
          <w:lang w:val="en-GB"/>
        </w:rPr>
        <w:t xml:space="preserve"> </w:t>
      </w:r>
    </w:p>
    <w:p w14:paraId="346B4042" w14:textId="118CEA56" w:rsidR="00D71B0C" w:rsidRDefault="00D71B0C" w:rsidP="002A37BB">
      <w:pPr>
        <w:jc w:val="both"/>
        <w:rPr>
          <w:rFonts w:ascii="Avenir Next" w:hAnsi="Avenir Next" w:cs="Arial"/>
          <w:sz w:val="22"/>
          <w:szCs w:val="22"/>
          <w:lang w:val="en-GB"/>
        </w:rPr>
      </w:pPr>
    </w:p>
    <w:p w14:paraId="2F84A894" w14:textId="4B23E176" w:rsidR="007E31B9" w:rsidRDefault="00D71B0C" w:rsidP="002A37BB">
      <w:pPr>
        <w:jc w:val="both"/>
        <w:rPr>
          <w:rFonts w:ascii="Avenir Next" w:hAnsi="Avenir Next" w:cs="Arial"/>
          <w:sz w:val="22"/>
          <w:szCs w:val="22"/>
          <w:lang w:val="en-GB"/>
        </w:rPr>
      </w:pPr>
      <w:r>
        <w:rPr>
          <w:rFonts w:ascii="Avenir Next" w:hAnsi="Avenir Next" w:cs="Arial"/>
          <w:sz w:val="22"/>
          <w:szCs w:val="22"/>
          <w:lang w:val="en-GB"/>
        </w:rPr>
        <w:t xml:space="preserve">If it can be determined that Bella SARL’s </w:t>
      </w:r>
      <w:r w:rsidR="00337572">
        <w:rPr>
          <w:rFonts w:ascii="Avenir Next" w:hAnsi="Avenir Next" w:cs="Arial"/>
          <w:sz w:val="22"/>
          <w:szCs w:val="22"/>
          <w:lang w:val="en-GB"/>
        </w:rPr>
        <w:t>main operations were in France (it is a French-registered company</w:t>
      </w:r>
      <w:r w:rsidR="00EA097B">
        <w:rPr>
          <w:rFonts w:ascii="Avenir Next" w:hAnsi="Avenir Next" w:cs="Arial"/>
          <w:sz w:val="22"/>
          <w:szCs w:val="22"/>
          <w:lang w:val="en-GB"/>
        </w:rPr>
        <w:t xml:space="preserve"> and opened its first store there</w:t>
      </w:r>
      <w:r w:rsidR="00337572">
        <w:rPr>
          <w:rFonts w:ascii="Avenir Next" w:hAnsi="Avenir Next" w:cs="Arial"/>
          <w:sz w:val="22"/>
          <w:szCs w:val="22"/>
          <w:lang w:val="en-GB"/>
        </w:rPr>
        <w:t xml:space="preserve">) then </w:t>
      </w:r>
      <w:r w:rsidR="007E31B9">
        <w:rPr>
          <w:rFonts w:ascii="Avenir Next" w:hAnsi="Avenir Next" w:cs="Arial"/>
          <w:sz w:val="22"/>
          <w:szCs w:val="22"/>
          <w:lang w:val="en-GB"/>
        </w:rPr>
        <w:t xml:space="preserve">under EIR 2000 the COMI of Bella SARL is in France and </w:t>
      </w:r>
      <w:r w:rsidR="00137E6C">
        <w:rPr>
          <w:rFonts w:ascii="Avenir Next" w:hAnsi="Avenir Next" w:cs="Arial"/>
          <w:sz w:val="22"/>
          <w:szCs w:val="22"/>
          <w:lang w:val="en-GB"/>
        </w:rPr>
        <w:t>French law</w:t>
      </w:r>
      <w:r w:rsidR="00FD0409">
        <w:rPr>
          <w:rFonts w:ascii="Avenir Next" w:hAnsi="Avenir Next" w:cs="Arial"/>
          <w:sz w:val="22"/>
          <w:szCs w:val="22"/>
          <w:lang w:val="en-GB"/>
        </w:rPr>
        <w:t xml:space="preserve">, the law of the state of the opening of proceedings i.e., the </w:t>
      </w:r>
      <w:r w:rsidR="00FD0409">
        <w:rPr>
          <w:rFonts w:ascii="Avenir Next" w:hAnsi="Avenir Next" w:cs="Arial"/>
          <w:i/>
          <w:iCs/>
          <w:sz w:val="22"/>
          <w:szCs w:val="22"/>
          <w:lang w:val="en-GB"/>
        </w:rPr>
        <w:t xml:space="preserve">lex concursus </w:t>
      </w:r>
      <w:r w:rsidR="002A6F20">
        <w:rPr>
          <w:rFonts w:ascii="Avenir Next" w:hAnsi="Avenir Next" w:cs="Arial"/>
          <w:sz w:val="22"/>
          <w:szCs w:val="22"/>
          <w:lang w:val="en-GB"/>
        </w:rPr>
        <w:t xml:space="preserve">would determine the </w:t>
      </w:r>
      <w:r w:rsidR="00551139">
        <w:rPr>
          <w:rFonts w:ascii="Avenir Next" w:hAnsi="Avenir Next" w:cs="Arial"/>
          <w:sz w:val="22"/>
          <w:szCs w:val="22"/>
          <w:lang w:val="en-GB"/>
        </w:rPr>
        <w:t xml:space="preserve">effects of insolvency proceedings for the company </w:t>
      </w:r>
      <w:r w:rsidR="005D5723">
        <w:rPr>
          <w:rFonts w:ascii="Avenir Next" w:hAnsi="Avenir Next" w:cs="Arial"/>
          <w:sz w:val="22"/>
          <w:szCs w:val="22"/>
          <w:lang w:val="en-GB"/>
        </w:rPr>
        <w:t>throughout the other EU states where the debtor has assets (in this case</w:t>
      </w:r>
      <w:r w:rsidR="00316BD1">
        <w:rPr>
          <w:rFonts w:ascii="Avenir Next" w:hAnsi="Avenir Next" w:cs="Arial"/>
          <w:sz w:val="22"/>
          <w:szCs w:val="22"/>
          <w:lang w:val="en-GB"/>
        </w:rPr>
        <w:t xml:space="preserve"> Germany, Ireland, Portugal, It</w:t>
      </w:r>
      <w:r w:rsidR="009221FF">
        <w:rPr>
          <w:rFonts w:ascii="Avenir Next" w:hAnsi="Avenir Next" w:cs="Arial"/>
          <w:sz w:val="22"/>
          <w:szCs w:val="22"/>
          <w:lang w:val="en-GB"/>
        </w:rPr>
        <w:t>aly and Spain).</w:t>
      </w:r>
      <w:r w:rsidR="00E86B8E">
        <w:rPr>
          <w:rFonts w:ascii="Avenir Next" w:hAnsi="Avenir Next" w:cs="Arial"/>
          <w:sz w:val="22"/>
          <w:szCs w:val="22"/>
          <w:lang w:val="en-GB"/>
        </w:rPr>
        <w:t xml:space="preserve"> Irrespective of </w:t>
      </w:r>
      <w:proofErr w:type="gramStart"/>
      <w:r w:rsidR="00E86B8E">
        <w:rPr>
          <w:rFonts w:ascii="Avenir Next" w:hAnsi="Avenir Next" w:cs="Arial"/>
          <w:sz w:val="22"/>
          <w:szCs w:val="22"/>
          <w:lang w:val="en-GB"/>
        </w:rPr>
        <w:t>whether or not</w:t>
      </w:r>
      <w:proofErr w:type="gramEnd"/>
      <w:r w:rsidR="00E86B8E">
        <w:rPr>
          <w:rFonts w:ascii="Avenir Next" w:hAnsi="Avenir Next" w:cs="Arial"/>
          <w:sz w:val="22"/>
          <w:szCs w:val="22"/>
          <w:lang w:val="en-GB"/>
        </w:rPr>
        <w:t xml:space="preserve"> </w:t>
      </w:r>
      <w:r w:rsidR="0031755D">
        <w:rPr>
          <w:rFonts w:ascii="Avenir Next" w:hAnsi="Avenir Next" w:cs="Arial"/>
          <w:sz w:val="22"/>
          <w:szCs w:val="22"/>
          <w:lang w:val="en-GB"/>
        </w:rPr>
        <w:t xml:space="preserve">France could in fact be determined to be the COMI of Bella SARL, </w:t>
      </w:r>
      <w:r w:rsidR="000676D4">
        <w:rPr>
          <w:rFonts w:ascii="Avenir Next" w:hAnsi="Avenir Next" w:cs="Arial"/>
          <w:sz w:val="22"/>
          <w:szCs w:val="22"/>
          <w:lang w:val="en-GB"/>
        </w:rPr>
        <w:t>the EIR 2000 allows for the possibility of opening secondary proceedings in another Member State where the debtor has an establishment</w:t>
      </w:r>
      <w:r w:rsidR="00711372">
        <w:rPr>
          <w:rFonts w:ascii="Avenir Next" w:hAnsi="Avenir Next" w:cs="Arial"/>
          <w:sz w:val="22"/>
          <w:szCs w:val="22"/>
          <w:lang w:val="en-GB"/>
        </w:rPr>
        <w:t xml:space="preserve"> (e.g., Ireland), and for coordination between the main and secondary insolvency proceedings.</w:t>
      </w:r>
      <w:r w:rsidR="00052491">
        <w:rPr>
          <w:rFonts w:ascii="Avenir Next" w:hAnsi="Avenir Next" w:cs="Arial"/>
          <w:sz w:val="22"/>
          <w:szCs w:val="22"/>
          <w:lang w:val="en-GB"/>
        </w:rPr>
        <w:t xml:space="preserve"> However, unlike the main insolvency proceedings, the secondary proceedings could only cover assets falling under their limited geographic scope, </w:t>
      </w:r>
      <w:r w:rsidR="00681BEB">
        <w:rPr>
          <w:rFonts w:ascii="Avenir Next" w:hAnsi="Avenir Next" w:cs="Arial"/>
          <w:sz w:val="22"/>
          <w:szCs w:val="22"/>
          <w:lang w:val="en-GB"/>
        </w:rPr>
        <w:t xml:space="preserve">(e.g., only in Ireland). The EIR 2000 also prescribed the automatic recognition of </w:t>
      </w:r>
      <w:r w:rsidR="00612F98">
        <w:rPr>
          <w:rFonts w:ascii="Avenir Next" w:hAnsi="Avenir Next" w:cs="Arial"/>
          <w:sz w:val="22"/>
          <w:szCs w:val="22"/>
          <w:lang w:val="en-GB"/>
        </w:rPr>
        <w:t xml:space="preserve">judgements of the opening insolvency proceedings and their effects, in addition to </w:t>
      </w:r>
      <w:r w:rsidR="008926C2">
        <w:rPr>
          <w:rFonts w:ascii="Avenir Next" w:hAnsi="Avenir Next" w:cs="Arial"/>
          <w:sz w:val="22"/>
          <w:szCs w:val="22"/>
          <w:lang w:val="en-GB"/>
        </w:rPr>
        <w:t>judgements related to the course and closure of the insolvency proceedings.</w:t>
      </w:r>
    </w:p>
    <w:p w14:paraId="1E0E1E83" w14:textId="1EB5554B" w:rsidR="00270A4D" w:rsidRDefault="00270A4D" w:rsidP="002A37BB">
      <w:pPr>
        <w:jc w:val="both"/>
        <w:rPr>
          <w:rFonts w:ascii="Avenir Next" w:hAnsi="Avenir Next" w:cs="Arial"/>
          <w:sz w:val="22"/>
          <w:szCs w:val="22"/>
          <w:lang w:val="en-GB"/>
        </w:rPr>
      </w:pPr>
    </w:p>
    <w:p w14:paraId="2D95DF96" w14:textId="3B8EEC7C" w:rsidR="00270A4D" w:rsidRPr="002A6F20" w:rsidRDefault="00270A4D" w:rsidP="002A37BB">
      <w:pPr>
        <w:jc w:val="both"/>
        <w:rPr>
          <w:rFonts w:ascii="Avenir Next" w:hAnsi="Avenir Next" w:cs="Arial"/>
          <w:sz w:val="22"/>
          <w:szCs w:val="22"/>
          <w:lang w:val="en-GB"/>
        </w:rPr>
      </w:pPr>
      <w:r>
        <w:rPr>
          <w:rFonts w:ascii="Avenir Next" w:hAnsi="Avenir Next" w:cs="Arial"/>
          <w:sz w:val="22"/>
          <w:szCs w:val="22"/>
          <w:lang w:val="en-GB"/>
        </w:rPr>
        <w:t>In either case, whether be it the main or secondary insolvency proceedings, the Strasbourg High Court does have jurisdiction to open the safeguard proceedings under the EIR 2000.</w:t>
      </w:r>
    </w:p>
    <w:p w14:paraId="407F25D6" w14:textId="77777777" w:rsidR="007E31B9" w:rsidRDefault="007E31B9" w:rsidP="002A37BB">
      <w:pPr>
        <w:jc w:val="both"/>
        <w:rPr>
          <w:rFonts w:ascii="Avenir Next" w:hAnsi="Avenir Next" w:cs="Arial"/>
          <w:sz w:val="22"/>
          <w:szCs w:val="22"/>
          <w:lang w:val="en-GB"/>
        </w:rPr>
      </w:pP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5F0424D4" w:rsidR="002D3473" w:rsidRDefault="00F3303F" w:rsidP="002A37BB">
      <w:pPr>
        <w:autoSpaceDE w:val="0"/>
        <w:autoSpaceDN w:val="0"/>
        <w:adjustRightInd w:val="0"/>
        <w:jc w:val="both"/>
        <w:rPr>
          <w:rFonts w:ascii="Avenir Next" w:hAnsi="Avenir Next" w:cs="Arial"/>
          <w:sz w:val="22"/>
          <w:szCs w:val="22"/>
          <w:lang w:val="en-GB"/>
        </w:rPr>
      </w:pPr>
      <w:r w:rsidRPr="00F3303F">
        <w:rPr>
          <w:rFonts w:ascii="Avenir Next" w:hAnsi="Avenir Next" w:cs="Arial"/>
          <w:sz w:val="22"/>
          <w:szCs w:val="22"/>
          <w:lang w:val="en-GB"/>
        </w:rPr>
        <w:t xml:space="preserve">The EIR Recast </w:t>
      </w:r>
      <w:r w:rsidR="009916D1">
        <w:rPr>
          <w:rFonts w:ascii="Avenir Next" w:hAnsi="Avenir Next" w:cs="Arial"/>
          <w:sz w:val="22"/>
          <w:szCs w:val="22"/>
          <w:lang w:val="en-GB"/>
        </w:rPr>
        <w:t>applies from 26 June 2017 (Article 92 EIR Recast), with some minor exceptions.</w:t>
      </w:r>
      <w:r w:rsidR="001167D3">
        <w:rPr>
          <w:rFonts w:ascii="Avenir Next" w:hAnsi="Avenir Next" w:cs="Arial"/>
          <w:sz w:val="22"/>
          <w:szCs w:val="22"/>
          <w:lang w:val="en-GB"/>
        </w:rPr>
        <w:t xml:space="preserve"> As Bella SARL’s petition for safeguarding petitions was filed on 20 June 2017, </w:t>
      </w:r>
      <w:r w:rsidR="002D36ED">
        <w:rPr>
          <w:rFonts w:ascii="Avenir Next" w:hAnsi="Avenir Next" w:cs="Arial"/>
          <w:sz w:val="22"/>
          <w:szCs w:val="22"/>
          <w:lang w:val="en-GB"/>
        </w:rPr>
        <w:t xml:space="preserve">at first glance it </w:t>
      </w:r>
      <w:r w:rsidR="001167D3">
        <w:rPr>
          <w:rFonts w:ascii="Avenir Next" w:hAnsi="Avenir Next" w:cs="Arial"/>
          <w:sz w:val="22"/>
          <w:szCs w:val="22"/>
          <w:lang w:val="en-GB"/>
        </w:rPr>
        <w:t xml:space="preserve">therefore </w:t>
      </w:r>
      <w:r w:rsidR="0000128A">
        <w:rPr>
          <w:rFonts w:ascii="Avenir Next" w:hAnsi="Avenir Next" w:cs="Arial"/>
          <w:sz w:val="22"/>
          <w:szCs w:val="22"/>
          <w:lang w:val="en-GB"/>
        </w:rPr>
        <w:t>does not fall under this temporal scope of the EIR Recast.</w:t>
      </w:r>
      <w:r w:rsidR="001F5378">
        <w:rPr>
          <w:rFonts w:ascii="Avenir Next" w:hAnsi="Avenir Next" w:cs="Arial"/>
          <w:sz w:val="22"/>
          <w:szCs w:val="22"/>
          <w:lang w:val="en-GB"/>
        </w:rPr>
        <w:t xml:space="preserve"> Article 84(1) of the EIR Recast states that provisions of the EIR Recast shall only apply to insolvency proceedings opened after the indicated date, i.e., 26 June 2017</w:t>
      </w:r>
      <w:r w:rsidR="0060631E">
        <w:rPr>
          <w:rFonts w:ascii="Avenir Next" w:hAnsi="Avenir Next" w:cs="Arial"/>
          <w:sz w:val="22"/>
          <w:szCs w:val="22"/>
          <w:lang w:val="en-GB"/>
        </w:rPr>
        <w:t xml:space="preserve"> and that proceedings prior to this date shall be governed by the EIR 2000.</w:t>
      </w:r>
      <w:r w:rsidR="00D46401">
        <w:rPr>
          <w:rFonts w:ascii="Avenir Next" w:hAnsi="Avenir Next" w:cs="Arial"/>
          <w:sz w:val="22"/>
          <w:szCs w:val="22"/>
          <w:lang w:val="en-GB"/>
        </w:rPr>
        <w:t xml:space="preserve"> However, the question further specified that the French High Court subsequently opened safeguard proceedings on 30 June 2017, after the effective date of the EIR Recast.</w:t>
      </w:r>
    </w:p>
    <w:p w14:paraId="5FF6B93A" w14:textId="6C083C7D" w:rsidR="00622BAE" w:rsidRDefault="00622BAE" w:rsidP="002A37BB">
      <w:pPr>
        <w:autoSpaceDE w:val="0"/>
        <w:autoSpaceDN w:val="0"/>
        <w:adjustRightInd w:val="0"/>
        <w:jc w:val="both"/>
        <w:rPr>
          <w:rFonts w:ascii="Avenir Next" w:hAnsi="Avenir Next" w:cs="Arial"/>
          <w:sz w:val="22"/>
          <w:szCs w:val="22"/>
          <w:lang w:val="en-GB"/>
        </w:rPr>
      </w:pPr>
    </w:p>
    <w:p w14:paraId="65B20BF6" w14:textId="06825911" w:rsidR="00BA062D" w:rsidRDefault="00622BAE" w:rsidP="002A37BB">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Article 2(8) of the EIR Recast states that the ‘time of the opening’ of insolvency proceedings refers to the time at which the judgement opening insolvency proceedings become effective, </w:t>
      </w:r>
      <w:r w:rsidR="002F4F97">
        <w:rPr>
          <w:rFonts w:ascii="Avenir Next" w:hAnsi="Avenir Next" w:cs="Arial"/>
          <w:sz w:val="22"/>
          <w:szCs w:val="22"/>
          <w:lang w:val="en-GB"/>
        </w:rPr>
        <w:t>irrespective of whether the judgement is final or not. Article 2(7)</w:t>
      </w:r>
      <w:r w:rsidR="00BA062D">
        <w:rPr>
          <w:rFonts w:ascii="Avenir Next" w:hAnsi="Avenir Next" w:cs="Arial"/>
          <w:sz w:val="22"/>
          <w:szCs w:val="22"/>
          <w:lang w:val="en-GB"/>
        </w:rPr>
        <w:t xml:space="preserve"> </w:t>
      </w:r>
      <w:r w:rsidR="002F4F97">
        <w:rPr>
          <w:rFonts w:ascii="Avenir Next" w:hAnsi="Avenir Next" w:cs="Arial"/>
          <w:sz w:val="22"/>
          <w:szCs w:val="22"/>
          <w:lang w:val="en-GB"/>
        </w:rPr>
        <w:t>of the EIR Recast further define the ‘judgement opening insolvency proceedings’ as the decision of any court to open insolvency proceedings or to provide confirmation of the opening of such proceedings, or the decision of the court to appoint an insolvency practitioner.</w:t>
      </w:r>
      <w:r w:rsidR="00AA52B4">
        <w:rPr>
          <w:rFonts w:ascii="Avenir Next" w:hAnsi="Avenir Next" w:cs="Arial"/>
          <w:sz w:val="22"/>
          <w:szCs w:val="22"/>
          <w:lang w:val="en-GB"/>
        </w:rPr>
        <w:t xml:space="preserve"> As Bella SARL only filed a petition to open safeguard proceedings on 20 June 2017</w:t>
      </w:r>
      <w:r w:rsidR="00935FA2">
        <w:rPr>
          <w:rFonts w:ascii="Avenir Next" w:hAnsi="Avenir Next" w:cs="Arial"/>
          <w:sz w:val="22"/>
          <w:szCs w:val="22"/>
          <w:lang w:val="en-GB"/>
        </w:rPr>
        <w:t xml:space="preserve">, and there does not appear to have </w:t>
      </w:r>
      <w:r w:rsidR="00905440">
        <w:rPr>
          <w:rFonts w:ascii="Avenir Next" w:hAnsi="Avenir Next" w:cs="Arial"/>
          <w:sz w:val="22"/>
          <w:szCs w:val="22"/>
          <w:lang w:val="en-GB"/>
        </w:rPr>
        <w:t xml:space="preserve">been </w:t>
      </w:r>
      <w:r w:rsidR="00935FA2">
        <w:rPr>
          <w:rFonts w:ascii="Avenir Next" w:hAnsi="Avenir Next" w:cs="Arial"/>
          <w:sz w:val="22"/>
          <w:szCs w:val="22"/>
          <w:lang w:val="en-GB"/>
        </w:rPr>
        <w:t>‘judgment opening insolvency proceedings’</w:t>
      </w:r>
      <w:r w:rsidR="00F86D63">
        <w:rPr>
          <w:rFonts w:ascii="Avenir Next" w:hAnsi="Avenir Next" w:cs="Arial"/>
          <w:sz w:val="22"/>
          <w:szCs w:val="22"/>
          <w:lang w:val="en-GB"/>
        </w:rPr>
        <w:t xml:space="preserve">, </w:t>
      </w:r>
      <w:r w:rsidR="00534C55">
        <w:rPr>
          <w:rFonts w:ascii="Avenir Next" w:hAnsi="Avenir Next" w:cs="Arial"/>
          <w:sz w:val="22"/>
          <w:szCs w:val="22"/>
          <w:lang w:val="en-GB"/>
        </w:rPr>
        <w:t xml:space="preserve">then it brings into question whether the insolvency proceedings would therefore fall under the scope of the EIR Recast, once the judgement </w:t>
      </w:r>
      <w:r w:rsidR="002D36ED">
        <w:rPr>
          <w:rFonts w:ascii="Avenir Next" w:hAnsi="Avenir Next" w:cs="Arial"/>
          <w:sz w:val="22"/>
          <w:szCs w:val="22"/>
          <w:lang w:val="en-GB"/>
        </w:rPr>
        <w:t>opening insolvency proceedings have commenced.</w:t>
      </w:r>
      <w:r w:rsidR="00CA2E06">
        <w:rPr>
          <w:rFonts w:ascii="Avenir Next" w:hAnsi="Avenir Next" w:cs="Arial"/>
          <w:sz w:val="22"/>
          <w:szCs w:val="22"/>
          <w:lang w:val="en-GB"/>
        </w:rPr>
        <w:t xml:space="preserve"> However, as previously mentioned, </w:t>
      </w:r>
      <w:r w:rsidR="00B56D3A">
        <w:rPr>
          <w:rFonts w:ascii="Avenir Next" w:hAnsi="Avenir Next" w:cs="Arial"/>
          <w:sz w:val="22"/>
          <w:szCs w:val="22"/>
          <w:lang w:val="en-GB"/>
        </w:rPr>
        <w:t xml:space="preserve">the French High Court opening safeguard proceedings on 30 June 2017 does </w:t>
      </w:r>
      <w:r w:rsidR="00134706">
        <w:rPr>
          <w:rFonts w:ascii="Avenir Next" w:hAnsi="Avenir Next" w:cs="Arial"/>
          <w:sz w:val="22"/>
          <w:szCs w:val="22"/>
          <w:lang w:val="en-GB"/>
        </w:rPr>
        <w:t xml:space="preserve">represent a ‘judgement opening insolvency proceedings’ and is </w:t>
      </w:r>
      <w:proofErr w:type="gramStart"/>
      <w:r w:rsidR="00134706">
        <w:rPr>
          <w:rFonts w:ascii="Avenir Next" w:hAnsi="Avenir Next" w:cs="Arial"/>
          <w:sz w:val="22"/>
          <w:szCs w:val="22"/>
          <w:lang w:val="en-GB"/>
        </w:rPr>
        <w:t>subsequent to</w:t>
      </w:r>
      <w:proofErr w:type="gramEnd"/>
      <w:r w:rsidR="00134706">
        <w:rPr>
          <w:rFonts w:ascii="Avenir Next" w:hAnsi="Avenir Next" w:cs="Arial"/>
          <w:sz w:val="22"/>
          <w:szCs w:val="22"/>
          <w:lang w:val="en-GB"/>
        </w:rPr>
        <w:t xml:space="preserve"> the effective date of 26 June 2017, therefore the EIR Recast is applicable.</w:t>
      </w:r>
    </w:p>
    <w:p w14:paraId="6171EF11" w14:textId="77777777" w:rsidR="002D36ED" w:rsidRDefault="002D36ED" w:rsidP="002A37BB">
      <w:pPr>
        <w:autoSpaceDE w:val="0"/>
        <w:autoSpaceDN w:val="0"/>
        <w:adjustRightInd w:val="0"/>
        <w:jc w:val="both"/>
        <w:rPr>
          <w:rFonts w:ascii="Avenir Next" w:hAnsi="Avenir Next" w:cs="Arial"/>
          <w:sz w:val="22"/>
          <w:szCs w:val="22"/>
          <w:lang w:val="en-GB"/>
        </w:rPr>
      </w:pPr>
    </w:p>
    <w:p w14:paraId="5EA7D05F" w14:textId="10176FFA" w:rsidR="00BA062D" w:rsidRDefault="007E29BF" w:rsidP="002A37BB">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lastRenderedPageBreak/>
        <w:t>Un</w:t>
      </w:r>
      <w:r w:rsidR="00C95139">
        <w:rPr>
          <w:rFonts w:ascii="Avenir Next" w:hAnsi="Avenir Next" w:cs="Arial"/>
          <w:sz w:val="22"/>
          <w:szCs w:val="22"/>
          <w:lang w:val="en-GB"/>
        </w:rPr>
        <w:t xml:space="preserve">der Article 3(1) of the EIR Recast, </w:t>
      </w:r>
      <w:r w:rsidR="003E4E01">
        <w:rPr>
          <w:rFonts w:ascii="Avenir Next" w:hAnsi="Avenir Next" w:cs="Arial"/>
          <w:sz w:val="22"/>
          <w:szCs w:val="22"/>
          <w:lang w:val="en-GB"/>
        </w:rPr>
        <w:t xml:space="preserve">a Member State within the territory of which the debtor’s COMI is situated has jurisdiction to open insolvency proceedings. </w:t>
      </w:r>
      <w:r w:rsidR="000078EB">
        <w:rPr>
          <w:rFonts w:ascii="Avenir Next" w:hAnsi="Avenir Next" w:cs="Arial"/>
          <w:sz w:val="22"/>
          <w:szCs w:val="22"/>
          <w:lang w:val="en-GB"/>
        </w:rPr>
        <w:t xml:space="preserve">It could be argued, under the EIR Recast, that Bella SARL’s COMI </w:t>
      </w:r>
      <w:r w:rsidR="00842137">
        <w:rPr>
          <w:rFonts w:ascii="Avenir Next" w:hAnsi="Avenir Next" w:cs="Arial"/>
          <w:sz w:val="22"/>
          <w:szCs w:val="22"/>
          <w:lang w:val="en-GB"/>
        </w:rPr>
        <w:t xml:space="preserve">could be in Ireland (where its main warehouse is and some of its employees) or Spain (where it has opened a bank account and had </w:t>
      </w:r>
      <w:proofErr w:type="gramStart"/>
      <w:r w:rsidR="00842137">
        <w:rPr>
          <w:rFonts w:ascii="Avenir Next" w:hAnsi="Avenir Next" w:cs="Arial"/>
          <w:sz w:val="22"/>
          <w:szCs w:val="22"/>
          <w:lang w:val="en-GB"/>
        </w:rPr>
        <w:t>entered into</w:t>
      </w:r>
      <w:proofErr w:type="gramEnd"/>
      <w:r w:rsidR="00842137">
        <w:rPr>
          <w:rFonts w:ascii="Avenir Next" w:hAnsi="Avenir Next" w:cs="Arial"/>
          <w:sz w:val="22"/>
          <w:szCs w:val="22"/>
          <w:lang w:val="en-GB"/>
        </w:rPr>
        <w:t xml:space="preserve"> negotiations with suppliers, </w:t>
      </w:r>
      <w:r w:rsidR="00243BE1">
        <w:rPr>
          <w:rFonts w:ascii="Avenir Next" w:hAnsi="Avenir Next" w:cs="Arial"/>
          <w:sz w:val="22"/>
          <w:szCs w:val="22"/>
          <w:lang w:val="en-GB"/>
        </w:rPr>
        <w:t xml:space="preserve">signing some memoranda of understanding). </w:t>
      </w:r>
      <w:r w:rsidR="00B519A5">
        <w:rPr>
          <w:rFonts w:ascii="Avenir Next" w:hAnsi="Avenir Next" w:cs="Arial"/>
          <w:sz w:val="22"/>
          <w:szCs w:val="22"/>
          <w:lang w:val="en-GB"/>
        </w:rPr>
        <w:t xml:space="preserve">If these insolvency proceedings were filed </w:t>
      </w:r>
      <w:proofErr w:type="gramStart"/>
      <w:r w:rsidR="00B519A5">
        <w:rPr>
          <w:rFonts w:ascii="Avenir Next" w:hAnsi="Avenir Next" w:cs="Arial"/>
          <w:sz w:val="22"/>
          <w:szCs w:val="22"/>
          <w:lang w:val="en-GB"/>
        </w:rPr>
        <w:t>subsequent to</w:t>
      </w:r>
      <w:proofErr w:type="gramEnd"/>
      <w:r w:rsidR="00B519A5">
        <w:rPr>
          <w:rFonts w:ascii="Avenir Next" w:hAnsi="Avenir Next" w:cs="Arial"/>
          <w:sz w:val="22"/>
          <w:szCs w:val="22"/>
          <w:lang w:val="en-GB"/>
        </w:rPr>
        <w:t xml:space="preserve"> 26 June 2017, then they would fall under the scope of the EIR Recast. </w:t>
      </w:r>
      <w:r w:rsidR="00A86F68">
        <w:rPr>
          <w:rFonts w:ascii="Avenir Next" w:hAnsi="Avenir Next" w:cs="Arial"/>
          <w:sz w:val="22"/>
          <w:szCs w:val="22"/>
          <w:lang w:val="en-GB"/>
        </w:rPr>
        <w:t>At the same time, the EIR Recast also</w:t>
      </w:r>
      <w:r w:rsidR="003B37F7">
        <w:rPr>
          <w:rFonts w:ascii="Avenir Next" w:hAnsi="Avenir Next" w:cs="Arial"/>
          <w:sz w:val="22"/>
          <w:szCs w:val="22"/>
          <w:lang w:val="en-GB"/>
        </w:rPr>
        <w:t xml:space="preserve"> allows for the opening of secondary insolvency proceedings to run in parallel with the main insolvency proceedings.</w:t>
      </w:r>
    </w:p>
    <w:p w14:paraId="6E2F7474" w14:textId="2D936D8B" w:rsidR="003B37F7" w:rsidRDefault="003B37F7" w:rsidP="002A37BB">
      <w:pPr>
        <w:autoSpaceDE w:val="0"/>
        <w:autoSpaceDN w:val="0"/>
        <w:adjustRightInd w:val="0"/>
        <w:jc w:val="both"/>
        <w:rPr>
          <w:rFonts w:ascii="Avenir Next" w:hAnsi="Avenir Next" w:cs="Arial"/>
          <w:sz w:val="22"/>
          <w:szCs w:val="22"/>
          <w:lang w:val="en-GB"/>
        </w:rPr>
      </w:pPr>
    </w:p>
    <w:p w14:paraId="1B0F1736" w14:textId="5DB2BFDC" w:rsidR="0099540D" w:rsidRPr="0099540D" w:rsidRDefault="003B37F7" w:rsidP="002A37BB">
      <w:pPr>
        <w:autoSpaceDE w:val="0"/>
        <w:autoSpaceDN w:val="0"/>
        <w:adjustRightInd w:val="0"/>
        <w:jc w:val="both"/>
        <w:rPr>
          <w:rFonts w:ascii="Avenir Next" w:hAnsi="Avenir Next" w:cs="Arial"/>
          <w:sz w:val="22"/>
          <w:szCs w:val="22"/>
          <w:lang w:val="en-GB"/>
        </w:rPr>
      </w:pPr>
      <w:r w:rsidRPr="0099540D">
        <w:rPr>
          <w:rFonts w:ascii="Avenir Next" w:hAnsi="Avenir Next" w:cs="Arial"/>
          <w:sz w:val="22"/>
          <w:szCs w:val="22"/>
          <w:lang w:val="en-GB"/>
        </w:rPr>
        <w:t xml:space="preserve">Based on the </w:t>
      </w:r>
      <w:r w:rsidR="00AE4F51" w:rsidRPr="0099540D">
        <w:rPr>
          <w:rFonts w:ascii="Avenir Next" w:hAnsi="Avenir Next" w:cs="Arial"/>
          <w:sz w:val="22"/>
          <w:szCs w:val="22"/>
          <w:lang w:val="en-GB"/>
        </w:rPr>
        <w:t>above and</w:t>
      </w:r>
      <w:r w:rsidRPr="0099540D">
        <w:rPr>
          <w:rFonts w:ascii="Avenir Next" w:hAnsi="Avenir Next" w:cs="Arial"/>
          <w:sz w:val="22"/>
          <w:szCs w:val="22"/>
          <w:lang w:val="en-GB"/>
        </w:rPr>
        <w:t xml:space="preserve"> given the ‘judgement opening insolvency proceedings’ </w:t>
      </w:r>
      <w:r w:rsidR="006205B0" w:rsidRPr="0099540D">
        <w:rPr>
          <w:rFonts w:ascii="Avenir Next" w:hAnsi="Avenir Next" w:cs="Arial"/>
          <w:sz w:val="22"/>
          <w:szCs w:val="22"/>
          <w:lang w:val="en-GB"/>
        </w:rPr>
        <w:t xml:space="preserve">has occurred on </w:t>
      </w:r>
      <w:r w:rsidR="0099540D" w:rsidRPr="0099540D">
        <w:rPr>
          <w:rFonts w:ascii="Avenir Next" w:hAnsi="Avenir Next" w:cs="Arial"/>
          <w:sz w:val="22"/>
          <w:szCs w:val="22"/>
          <w:lang w:val="en-GB"/>
        </w:rPr>
        <w:t>3</w:t>
      </w:r>
      <w:r w:rsidR="006205B0" w:rsidRPr="0099540D">
        <w:rPr>
          <w:rFonts w:ascii="Avenir Next" w:hAnsi="Avenir Next" w:cs="Arial"/>
          <w:sz w:val="22"/>
          <w:szCs w:val="22"/>
          <w:lang w:val="en-GB"/>
        </w:rPr>
        <w:t>0 June 2017</w:t>
      </w:r>
      <w:r w:rsidR="0099540D" w:rsidRPr="0099540D">
        <w:rPr>
          <w:rFonts w:ascii="Avenir Next" w:hAnsi="Avenir Next" w:cs="Arial"/>
          <w:sz w:val="22"/>
          <w:szCs w:val="22"/>
          <w:lang w:val="en-GB"/>
        </w:rPr>
        <w:t xml:space="preserve"> by way </w:t>
      </w:r>
      <w:r w:rsidR="0099540D">
        <w:rPr>
          <w:rFonts w:ascii="Avenir Next" w:hAnsi="Avenir Next" w:cs="Arial"/>
          <w:sz w:val="22"/>
          <w:szCs w:val="22"/>
          <w:lang w:val="en-GB"/>
        </w:rPr>
        <w:t xml:space="preserve">of the French High Court </w:t>
      </w:r>
      <w:r w:rsidR="00AE4F51">
        <w:rPr>
          <w:rFonts w:ascii="Avenir Next" w:hAnsi="Avenir Next" w:cs="Arial"/>
          <w:sz w:val="22"/>
          <w:szCs w:val="22"/>
          <w:lang w:val="en-GB"/>
        </w:rPr>
        <w:t>opening safeguard proceedings, the EIR Recast is therefore applicable in this instance.</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29F703CF" w:rsidR="0077498C" w:rsidRPr="00A65300" w:rsidRDefault="000C083C" w:rsidP="002A37BB">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EIR Recast does allows for the opening of secondary insolvency proceedings to run in parallel with the main insolvency proceedings</w:t>
      </w:r>
      <w:r w:rsidR="005561C5">
        <w:rPr>
          <w:rFonts w:ascii="Avenir Next" w:hAnsi="Avenir Next" w:cs="Arial"/>
          <w:color w:val="000000" w:themeColor="text1"/>
          <w:sz w:val="22"/>
          <w:szCs w:val="22"/>
          <w:lang w:val="en-GB"/>
        </w:rPr>
        <w:t>. The effects of these secondary proceedings are only on assets situated within the state of the secondary proceedings (Recital 23)</w:t>
      </w:r>
      <w:r w:rsidR="00E204D9">
        <w:rPr>
          <w:rFonts w:ascii="Avenir Next" w:hAnsi="Avenir Next" w:cs="Arial"/>
          <w:color w:val="000000" w:themeColor="text1"/>
          <w:sz w:val="22"/>
          <w:szCs w:val="22"/>
          <w:lang w:val="en-GB"/>
        </w:rPr>
        <w:t>, i.e., in Italy only in this case</w:t>
      </w:r>
      <w:r w:rsidR="005561C5">
        <w:rPr>
          <w:rFonts w:ascii="Avenir Next" w:hAnsi="Avenir Next" w:cs="Arial"/>
          <w:color w:val="000000" w:themeColor="text1"/>
          <w:sz w:val="22"/>
          <w:szCs w:val="22"/>
          <w:lang w:val="en-GB"/>
        </w:rPr>
        <w:t>.</w:t>
      </w:r>
      <w:r w:rsidR="00195E2E">
        <w:rPr>
          <w:rFonts w:ascii="Avenir Next" w:hAnsi="Avenir Next" w:cs="Arial"/>
          <w:color w:val="000000" w:themeColor="text1"/>
          <w:sz w:val="22"/>
          <w:szCs w:val="22"/>
          <w:lang w:val="en-GB"/>
        </w:rPr>
        <w:t xml:space="preserve"> Although the case only provides for limited information, it does not appear that Italy could be determined as Bella SARL’s COMI under the EIR 2015. </w:t>
      </w:r>
      <w:r w:rsidR="005B4A07">
        <w:rPr>
          <w:rFonts w:ascii="Avenir Next" w:hAnsi="Avenir Next" w:cs="Arial"/>
          <w:color w:val="000000" w:themeColor="text1"/>
          <w:sz w:val="22"/>
          <w:szCs w:val="22"/>
          <w:lang w:val="en-GB"/>
        </w:rPr>
        <w:t xml:space="preserve">In this </w:t>
      </w:r>
      <w:r w:rsidR="00BE2C01">
        <w:rPr>
          <w:rFonts w:ascii="Avenir Next" w:hAnsi="Avenir Next" w:cs="Arial"/>
          <w:color w:val="000000" w:themeColor="text1"/>
          <w:sz w:val="22"/>
          <w:szCs w:val="22"/>
          <w:lang w:val="en-GB"/>
        </w:rPr>
        <w:t>case, secondary</w:t>
      </w:r>
      <w:r w:rsidR="005B4A07">
        <w:rPr>
          <w:rFonts w:ascii="Avenir Next" w:hAnsi="Avenir Next" w:cs="Arial"/>
          <w:color w:val="000000" w:themeColor="text1"/>
          <w:sz w:val="22"/>
          <w:szCs w:val="22"/>
          <w:lang w:val="en-GB"/>
        </w:rPr>
        <w:t xml:space="preserve"> proceedings can be commenced </w:t>
      </w:r>
      <w:r w:rsidR="005A39C2">
        <w:rPr>
          <w:rFonts w:ascii="Avenir Next" w:hAnsi="Avenir Next" w:cs="Arial"/>
          <w:color w:val="000000" w:themeColor="text1"/>
          <w:sz w:val="22"/>
          <w:szCs w:val="22"/>
          <w:lang w:val="en-GB"/>
        </w:rPr>
        <w:t xml:space="preserve">however the </w:t>
      </w:r>
      <w:r w:rsidR="00A65300">
        <w:rPr>
          <w:rFonts w:ascii="Avenir Next" w:hAnsi="Avenir Next" w:cs="Arial"/>
          <w:i/>
          <w:iCs/>
          <w:color w:val="000000" w:themeColor="text1"/>
          <w:sz w:val="22"/>
          <w:szCs w:val="22"/>
          <w:lang w:val="en-GB"/>
        </w:rPr>
        <w:t xml:space="preserve">lex concursus </w:t>
      </w:r>
      <w:r w:rsidR="00A65300">
        <w:rPr>
          <w:rFonts w:ascii="Avenir Next" w:hAnsi="Avenir Next" w:cs="Arial"/>
          <w:color w:val="000000" w:themeColor="text1"/>
          <w:sz w:val="22"/>
          <w:szCs w:val="22"/>
          <w:lang w:val="en-GB"/>
        </w:rPr>
        <w:t xml:space="preserve">i.e., the law of the territory of the main insolvency proceedings </w:t>
      </w:r>
      <w:r w:rsidR="00BE2C01">
        <w:rPr>
          <w:rFonts w:ascii="Avenir Next" w:hAnsi="Avenir Next" w:cs="Arial"/>
          <w:color w:val="000000" w:themeColor="text1"/>
          <w:sz w:val="22"/>
          <w:szCs w:val="22"/>
          <w:lang w:val="en-GB"/>
        </w:rPr>
        <w:t xml:space="preserve">would </w:t>
      </w:r>
      <w:r w:rsidR="008F2DDC">
        <w:rPr>
          <w:rFonts w:ascii="Avenir Next" w:hAnsi="Avenir Next" w:cs="Arial"/>
          <w:color w:val="000000" w:themeColor="text1"/>
          <w:sz w:val="22"/>
          <w:szCs w:val="22"/>
          <w:lang w:val="en-GB"/>
        </w:rPr>
        <w:t>have automatic recognition of its judgements and their effects in the region where the secondary proceedings have been opened.</w:t>
      </w:r>
    </w:p>
    <w:p w14:paraId="71FAB735" w14:textId="3A535E72" w:rsidR="005561C5" w:rsidRDefault="005561C5" w:rsidP="002A37BB">
      <w:pPr>
        <w:jc w:val="both"/>
        <w:rPr>
          <w:rFonts w:ascii="Avenir Next" w:hAnsi="Avenir Next" w:cs="Arial"/>
          <w:color w:val="000000" w:themeColor="text1"/>
          <w:sz w:val="22"/>
          <w:szCs w:val="22"/>
          <w:lang w:val="en-GB"/>
        </w:rPr>
      </w:pPr>
    </w:p>
    <w:p w14:paraId="2B5B0E5C" w14:textId="067D2C9C" w:rsidR="005561C5" w:rsidRDefault="005561C5" w:rsidP="002A37BB">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Given that Bella SARL has operations in Italy</w:t>
      </w:r>
      <w:r w:rsidR="007A1885">
        <w:rPr>
          <w:rFonts w:ascii="Avenir Next" w:hAnsi="Avenir Next" w:cs="Arial"/>
          <w:color w:val="000000" w:themeColor="text1"/>
          <w:sz w:val="22"/>
          <w:szCs w:val="22"/>
          <w:lang w:val="en-GB"/>
        </w:rPr>
        <w:t xml:space="preserve"> (a warehouse, </w:t>
      </w:r>
      <w:proofErr w:type="gramStart"/>
      <w:r w:rsidR="007A1885">
        <w:rPr>
          <w:rFonts w:ascii="Avenir Next" w:hAnsi="Avenir Next" w:cs="Arial"/>
          <w:color w:val="000000" w:themeColor="text1"/>
          <w:sz w:val="22"/>
          <w:szCs w:val="22"/>
          <w:lang w:val="en-GB"/>
        </w:rPr>
        <w:t>employees</w:t>
      </w:r>
      <w:proofErr w:type="gramEnd"/>
      <w:r w:rsidR="007A1885">
        <w:rPr>
          <w:rFonts w:ascii="Avenir Next" w:hAnsi="Avenir Next" w:cs="Arial"/>
          <w:color w:val="000000" w:themeColor="text1"/>
          <w:sz w:val="22"/>
          <w:szCs w:val="22"/>
          <w:lang w:val="en-GB"/>
        </w:rPr>
        <w:t xml:space="preserve"> and customers) secondary proceedings can be opened </w:t>
      </w:r>
      <w:r w:rsidR="00535903">
        <w:rPr>
          <w:rFonts w:ascii="Avenir Next" w:hAnsi="Avenir Next" w:cs="Arial"/>
          <w:color w:val="000000" w:themeColor="text1"/>
          <w:sz w:val="22"/>
          <w:szCs w:val="22"/>
          <w:lang w:val="en-GB"/>
        </w:rPr>
        <w:t>in this case</w:t>
      </w:r>
      <w:r w:rsidR="00C10D49">
        <w:rPr>
          <w:rFonts w:ascii="Avenir Next" w:hAnsi="Avenir Next" w:cs="Arial"/>
          <w:color w:val="000000" w:themeColor="text1"/>
          <w:sz w:val="22"/>
          <w:szCs w:val="22"/>
          <w:lang w:val="en-GB"/>
        </w:rPr>
        <w:t xml:space="preserve"> as secondary proceedings can be opened in any country where the debtor, i.e., Bella SARL has an establishment (Article 3(2) EIR Recast).</w:t>
      </w:r>
      <w:r w:rsidR="00F73273">
        <w:rPr>
          <w:rFonts w:ascii="Avenir Next" w:hAnsi="Avenir Next" w:cs="Arial"/>
          <w:color w:val="000000" w:themeColor="text1"/>
          <w:sz w:val="22"/>
          <w:szCs w:val="22"/>
          <w:lang w:val="en-GB"/>
        </w:rPr>
        <w:t xml:space="preserve"> The term ‘establishment’ refers </w:t>
      </w:r>
      <w:r w:rsidR="008A37FE">
        <w:rPr>
          <w:rFonts w:ascii="Avenir Next" w:hAnsi="Avenir Next" w:cs="Arial"/>
          <w:color w:val="000000" w:themeColor="text1"/>
          <w:sz w:val="22"/>
          <w:szCs w:val="22"/>
          <w:lang w:val="en-GB"/>
        </w:rPr>
        <w:t>to the debtor’s operational activities in a Member State - in this case Italy – other than the COMI state.</w:t>
      </w:r>
      <w:r w:rsidR="008961B5">
        <w:rPr>
          <w:rFonts w:ascii="Avenir Next" w:hAnsi="Avenir Next" w:cs="Arial"/>
          <w:color w:val="000000" w:themeColor="text1"/>
          <w:sz w:val="22"/>
          <w:szCs w:val="22"/>
          <w:lang w:val="en-GB"/>
        </w:rPr>
        <w:t xml:space="preserve"> </w:t>
      </w:r>
      <w:r w:rsidR="007430B4">
        <w:rPr>
          <w:rFonts w:ascii="Avenir Next" w:hAnsi="Avenir Next" w:cs="Arial"/>
          <w:color w:val="000000" w:themeColor="text1"/>
          <w:sz w:val="22"/>
          <w:szCs w:val="22"/>
          <w:lang w:val="en-GB"/>
        </w:rPr>
        <w:t xml:space="preserve">The concept of ‘establishment’ </w:t>
      </w:r>
      <w:r w:rsidR="002400B6">
        <w:rPr>
          <w:rFonts w:ascii="Avenir Next" w:hAnsi="Avenir Next" w:cs="Arial"/>
          <w:color w:val="000000" w:themeColor="text1"/>
          <w:sz w:val="22"/>
          <w:szCs w:val="22"/>
          <w:lang w:val="en-GB"/>
        </w:rPr>
        <w:t xml:space="preserve">is crucial to the opening of secondary proceedings as proceedings can only be opened </w:t>
      </w:r>
      <w:r w:rsidR="0085246F">
        <w:rPr>
          <w:rFonts w:ascii="Avenir Next" w:hAnsi="Avenir Next" w:cs="Arial"/>
          <w:color w:val="000000" w:themeColor="text1"/>
          <w:sz w:val="22"/>
          <w:szCs w:val="22"/>
          <w:lang w:val="en-GB"/>
        </w:rPr>
        <w:t xml:space="preserve">if a Member State can prove the debtor has an establishment in their territory. Under Article 2(10) of the EIR Recast, ‘establishment’ refers to any place </w:t>
      </w:r>
      <w:r w:rsidR="0021252F">
        <w:rPr>
          <w:rFonts w:ascii="Avenir Next" w:hAnsi="Avenir Next" w:cs="Arial"/>
          <w:color w:val="000000" w:themeColor="text1"/>
          <w:sz w:val="22"/>
          <w:szCs w:val="22"/>
          <w:lang w:val="en-GB"/>
        </w:rPr>
        <w:t>of operations where a debtor carries out or has carried out business in the three months prior to the request to open the main insolvency proceedings.</w:t>
      </w:r>
    </w:p>
    <w:p w14:paraId="12CD7C3C" w14:textId="7023C4C3" w:rsidR="009F45DF" w:rsidRDefault="009F45DF" w:rsidP="002A37BB">
      <w:pPr>
        <w:jc w:val="both"/>
        <w:rPr>
          <w:rFonts w:ascii="Avenir Next" w:hAnsi="Avenir Next" w:cs="Arial"/>
          <w:color w:val="000000" w:themeColor="text1"/>
          <w:sz w:val="22"/>
          <w:szCs w:val="22"/>
          <w:lang w:val="en-GB"/>
        </w:rPr>
      </w:pPr>
    </w:p>
    <w:p w14:paraId="27406B2C" w14:textId="568BD842" w:rsidR="009F45DF" w:rsidRPr="00B73990" w:rsidRDefault="00B3078F" w:rsidP="002A37BB">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Relevant CJEU jurisprudence in this case are</w:t>
      </w:r>
      <w:r w:rsidR="00B73990">
        <w:rPr>
          <w:rFonts w:ascii="Avenir Next" w:hAnsi="Avenir Next" w:cs="Arial"/>
          <w:color w:val="000000" w:themeColor="text1"/>
          <w:sz w:val="22"/>
          <w:szCs w:val="22"/>
          <w:lang w:val="en-GB"/>
        </w:rPr>
        <w:t xml:space="preserve"> </w:t>
      </w:r>
      <w:proofErr w:type="spellStart"/>
      <w:r w:rsidR="00B73990">
        <w:rPr>
          <w:rFonts w:ascii="Avenir Next" w:hAnsi="Avenir Next" w:cs="Arial"/>
          <w:i/>
          <w:iCs/>
          <w:color w:val="000000" w:themeColor="text1"/>
          <w:sz w:val="22"/>
          <w:szCs w:val="22"/>
          <w:lang w:val="en-GB"/>
        </w:rPr>
        <w:t>Eurofood</w:t>
      </w:r>
      <w:proofErr w:type="spellEnd"/>
      <w:r w:rsidR="00B73990">
        <w:rPr>
          <w:rFonts w:ascii="Avenir Next" w:hAnsi="Avenir Next" w:cs="Arial"/>
          <w:i/>
          <w:iCs/>
          <w:color w:val="000000" w:themeColor="text1"/>
          <w:sz w:val="22"/>
          <w:szCs w:val="22"/>
          <w:lang w:val="en-GB"/>
        </w:rPr>
        <w:t xml:space="preserve"> IFSC Ltd </w:t>
      </w:r>
      <w:r w:rsidR="00B73990">
        <w:rPr>
          <w:rFonts w:ascii="Avenir Next" w:hAnsi="Avenir Next" w:cs="Arial"/>
          <w:color w:val="000000" w:themeColor="text1"/>
          <w:sz w:val="22"/>
          <w:szCs w:val="22"/>
          <w:lang w:val="en-GB"/>
        </w:rPr>
        <w:t xml:space="preserve">where the CJEU emphasises that a Member State may refuse to </w:t>
      </w:r>
      <w:r w:rsidR="00B05EF7">
        <w:rPr>
          <w:rFonts w:ascii="Avenir Next" w:hAnsi="Avenir Next" w:cs="Arial"/>
          <w:color w:val="000000" w:themeColor="text1"/>
          <w:sz w:val="22"/>
          <w:szCs w:val="22"/>
          <w:lang w:val="en-GB"/>
        </w:rPr>
        <w:t>recognise insolvency proceedings where the decision to commence the insolvency proceedings was made in flagrant breach of the fundamental right to be heard</w:t>
      </w:r>
      <w:r w:rsidR="00E64182">
        <w:rPr>
          <w:rFonts w:ascii="Avenir Next" w:hAnsi="Avenir Next" w:cs="Arial"/>
          <w:color w:val="000000" w:themeColor="text1"/>
          <w:sz w:val="22"/>
          <w:szCs w:val="22"/>
          <w:lang w:val="en-GB"/>
        </w:rPr>
        <w:t xml:space="preserve"> i.e., the rights of creditors or their representatives to participate in the proceedings in accordance with the equality of arms principle.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3E83" w14:textId="77777777" w:rsidR="001F730A" w:rsidRDefault="001F730A" w:rsidP="00241B44">
      <w:r>
        <w:separator/>
      </w:r>
    </w:p>
  </w:endnote>
  <w:endnote w:type="continuationSeparator" w:id="0">
    <w:p w14:paraId="7F582E40" w14:textId="77777777" w:rsidR="001F730A" w:rsidRDefault="001F730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367D0B04" w:rsidR="00D509A5" w:rsidRPr="00E36039" w:rsidRDefault="00824FEA" w:rsidP="009B4976">
    <w:pPr>
      <w:pStyle w:val="Footer"/>
      <w:ind w:right="360"/>
      <w:rPr>
        <w:rFonts w:ascii="Avenir Next" w:hAnsi="Avenir Next" w:cs="Arial"/>
        <w:sz w:val="22"/>
        <w:szCs w:val="22"/>
        <w:lang w:val="en-GB"/>
      </w:rPr>
    </w:pPr>
    <w:r>
      <w:rPr>
        <w:rFonts w:ascii="Avenir Next" w:hAnsi="Avenir Next" w:cs="Arial"/>
        <w:sz w:val="22"/>
        <w:szCs w:val="22"/>
        <w:lang w:val="en-GB"/>
      </w:rPr>
      <w:t>202223-904</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3B36" w14:textId="77777777" w:rsidR="001F730A" w:rsidRDefault="001F730A" w:rsidP="00241B44">
      <w:r>
        <w:separator/>
      </w:r>
    </w:p>
  </w:footnote>
  <w:footnote w:type="continuationSeparator" w:id="0">
    <w:p w14:paraId="260067B3" w14:textId="77777777" w:rsidR="001F730A" w:rsidRDefault="001F730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AC0254D"/>
    <w:multiLevelType w:val="hybridMultilevel"/>
    <w:tmpl w:val="E4809732"/>
    <w:lvl w:ilvl="0" w:tplc="F0D6D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2"/>
  </w:num>
  <w:num w:numId="3">
    <w:abstractNumId w:val="15"/>
  </w:num>
  <w:num w:numId="4">
    <w:abstractNumId w:val="27"/>
  </w:num>
  <w:num w:numId="5">
    <w:abstractNumId w:val="21"/>
  </w:num>
  <w:num w:numId="6">
    <w:abstractNumId w:val="24"/>
  </w:num>
  <w:num w:numId="7">
    <w:abstractNumId w:val="6"/>
  </w:num>
  <w:num w:numId="8">
    <w:abstractNumId w:val="19"/>
  </w:num>
  <w:num w:numId="9">
    <w:abstractNumId w:val="18"/>
  </w:num>
  <w:num w:numId="10">
    <w:abstractNumId w:val="13"/>
  </w:num>
  <w:num w:numId="11">
    <w:abstractNumId w:val="20"/>
  </w:num>
  <w:num w:numId="12">
    <w:abstractNumId w:val="2"/>
  </w:num>
  <w:num w:numId="13">
    <w:abstractNumId w:val="10"/>
  </w:num>
  <w:num w:numId="14">
    <w:abstractNumId w:val="17"/>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3"/>
  </w:num>
  <w:num w:numId="24">
    <w:abstractNumId w:val="25"/>
  </w:num>
  <w:num w:numId="25">
    <w:abstractNumId w:val="4"/>
  </w:num>
  <w:num w:numId="26">
    <w:abstractNumId w:val="28"/>
  </w:num>
  <w:num w:numId="27">
    <w:abstractNumId w:val="8"/>
  </w:num>
  <w:num w:numId="28">
    <w:abstractNumId w:val="1"/>
  </w:num>
  <w:num w:numId="29">
    <w:abstractNumId w:val="11"/>
  </w:num>
  <w:num w:numId="30">
    <w:abstractNumId w:val="26"/>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28A"/>
    <w:rsid w:val="00007146"/>
    <w:rsid w:val="000078EB"/>
    <w:rsid w:val="00010BA0"/>
    <w:rsid w:val="00012128"/>
    <w:rsid w:val="0001344B"/>
    <w:rsid w:val="000153E9"/>
    <w:rsid w:val="00015CE2"/>
    <w:rsid w:val="00016162"/>
    <w:rsid w:val="00020557"/>
    <w:rsid w:val="000250C7"/>
    <w:rsid w:val="00026F16"/>
    <w:rsid w:val="00031818"/>
    <w:rsid w:val="0003568E"/>
    <w:rsid w:val="00037621"/>
    <w:rsid w:val="0004170C"/>
    <w:rsid w:val="00041B32"/>
    <w:rsid w:val="00044D46"/>
    <w:rsid w:val="00045088"/>
    <w:rsid w:val="00045904"/>
    <w:rsid w:val="00052491"/>
    <w:rsid w:val="00054E15"/>
    <w:rsid w:val="00061425"/>
    <w:rsid w:val="00065166"/>
    <w:rsid w:val="000676D4"/>
    <w:rsid w:val="00076473"/>
    <w:rsid w:val="00082609"/>
    <w:rsid w:val="00083AAB"/>
    <w:rsid w:val="000851CC"/>
    <w:rsid w:val="000865A4"/>
    <w:rsid w:val="00087CD6"/>
    <w:rsid w:val="00091FB9"/>
    <w:rsid w:val="00093BE8"/>
    <w:rsid w:val="000A150E"/>
    <w:rsid w:val="000A68ED"/>
    <w:rsid w:val="000A7BF9"/>
    <w:rsid w:val="000B5FF1"/>
    <w:rsid w:val="000B609F"/>
    <w:rsid w:val="000C083C"/>
    <w:rsid w:val="000C6BB5"/>
    <w:rsid w:val="000D2983"/>
    <w:rsid w:val="000D55A8"/>
    <w:rsid w:val="000E1F15"/>
    <w:rsid w:val="000E4841"/>
    <w:rsid w:val="000F1677"/>
    <w:rsid w:val="000F3390"/>
    <w:rsid w:val="000F3D6C"/>
    <w:rsid w:val="000F4A14"/>
    <w:rsid w:val="000F5DF8"/>
    <w:rsid w:val="00101707"/>
    <w:rsid w:val="001138D5"/>
    <w:rsid w:val="00113E29"/>
    <w:rsid w:val="0011473D"/>
    <w:rsid w:val="00114D10"/>
    <w:rsid w:val="0011548B"/>
    <w:rsid w:val="00115C85"/>
    <w:rsid w:val="001167D3"/>
    <w:rsid w:val="00123855"/>
    <w:rsid w:val="001262C2"/>
    <w:rsid w:val="00126A4D"/>
    <w:rsid w:val="00127D17"/>
    <w:rsid w:val="00127E1C"/>
    <w:rsid w:val="001310D7"/>
    <w:rsid w:val="00134706"/>
    <w:rsid w:val="00137E6C"/>
    <w:rsid w:val="0014171F"/>
    <w:rsid w:val="0014622C"/>
    <w:rsid w:val="00147417"/>
    <w:rsid w:val="00151F3D"/>
    <w:rsid w:val="00152091"/>
    <w:rsid w:val="00152348"/>
    <w:rsid w:val="0015456D"/>
    <w:rsid w:val="00155FA2"/>
    <w:rsid w:val="00161F1B"/>
    <w:rsid w:val="00162829"/>
    <w:rsid w:val="00174DC4"/>
    <w:rsid w:val="0017513F"/>
    <w:rsid w:val="00175A7D"/>
    <w:rsid w:val="001762CA"/>
    <w:rsid w:val="00180548"/>
    <w:rsid w:val="00180AC4"/>
    <w:rsid w:val="00180CCE"/>
    <w:rsid w:val="0018267A"/>
    <w:rsid w:val="00182779"/>
    <w:rsid w:val="001830DF"/>
    <w:rsid w:val="00183ED8"/>
    <w:rsid w:val="001856A2"/>
    <w:rsid w:val="00187A34"/>
    <w:rsid w:val="00195E2E"/>
    <w:rsid w:val="00195FF6"/>
    <w:rsid w:val="001966D9"/>
    <w:rsid w:val="00197589"/>
    <w:rsid w:val="001A09C3"/>
    <w:rsid w:val="001A14FA"/>
    <w:rsid w:val="001A68CC"/>
    <w:rsid w:val="001A7E9A"/>
    <w:rsid w:val="001B0F70"/>
    <w:rsid w:val="001B5016"/>
    <w:rsid w:val="001B6C78"/>
    <w:rsid w:val="001B6DDC"/>
    <w:rsid w:val="001C0D0F"/>
    <w:rsid w:val="001C37E3"/>
    <w:rsid w:val="001C45FC"/>
    <w:rsid w:val="001D0469"/>
    <w:rsid w:val="001D4583"/>
    <w:rsid w:val="001D4862"/>
    <w:rsid w:val="001D6E1C"/>
    <w:rsid w:val="001E25B9"/>
    <w:rsid w:val="001E45BE"/>
    <w:rsid w:val="001E49E0"/>
    <w:rsid w:val="001E581B"/>
    <w:rsid w:val="001E5F8A"/>
    <w:rsid w:val="001E7B5A"/>
    <w:rsid w:val="001F1CD0"/>
    <w:rsid w:val="001F3315"/>
    <w:rsid w:val="001F5378"/>
    <w:rsid w:val="001F730A"/>
    <w:rsid w:val="001F7412"/>
    <w:rsid w:val="00200FA2"/>
    <w:rsid w:val="00202DFE"/>
    <w:rsid w:val="00203409"/>
    <w:rsid w:val="00203720"/>
    <w:rsid w:val="0020622F"/>
    <w:rsid w:val="0020725B"/>
    <w:rsid w:val="002110F1"/>
    <w:rsid w:val="0021252F"/>
    <w:rsid w:val="00212685"/>
    <w:rsid w:val="00212915"/>
    <w:rsid w:val="0021597D"/>
    <w:rsid w:val="00216D4E"/>
    <w:rsid w:val="002226A1"/>
    <w:rsid w:val="00222FB5"/>
    <w:rsid w:val="002400B6"/>
    <w:rsid w:val="0024116D"/>
    <w:rsid w:val="00241B44"/>
    <w:rsid w:val="00241FA3"/>
    <w:rsid w:val="00243BE1"/>
    <w:rsid w:val="00244C44"/>
    <w:rsid w:val="00245EFB"/>
    <w:rsid w:val="0025386E"/>
    <w:rsid w:val="00255F89"/>
    <w:rsid w:val="00260C19"/>
    <w:rsid w:val="002638B0"/>
    <w:rsid w:val="0026647A"/>
    <w:rsid w:val="002668D3"/>
    <w:rsid w:val="00270A4D"/>
    <w:rsid w:val="0027299F"/>
    <w:rsid w:val="002729AB"/>
    <w:rsid w:val="00284EBE"/>
    <w:rsid w:val="0029433F"/>
    <w:rsid w:val="00294829"/>
    <w:rsid w:val="00294FE2"/>
    <w:rsid w:val="0029690F"/>
    <w:rsid w:val="00297C8A"/>
    <w:rsid w:val="002A031E"/>
    <w:rsid w:val="002A10A2"/>
    <w:rsid w:val="002A2A60"/>
    <w:rsid w:val="002A37BB"/>
    <w:rsid w:val="002A3C70"/>
    <w:rsid w:val="002A6F20"/>
    <w:rsid w:val="002B1C45"/>
    <w:rsid w:val="002B56F7"/>
    <w:rsid w:val="002C13C8"/>
    <w:rsid w:val="002C2583"/>
    <w:rsid w:val="002C3547"/>
    <w:rsid w:val="002C3A23"/>
    <w:rsid w:val="002C4173"/>
    <w:rsid w:val="002D0021"/>
    <w:rsid w:val="002D0944"/>
    <w:rsid w:val="002D30E4"/>
    <w:rsid w:val="002D3473"/>
    <w:rsid w:val="002D36ED"/>
    <w:rsid w:val="002E4CF1"/>
    <w:rsid w:val="002F1956"/>
    <w:rsid w:val="002F3440"/>
    <w:rsid w:val="002F4F97"/>
    <w:rsid w:val="002F54D1"/>
    <w:rsid w:val="002F75A3"/>
    <w:rsid w:val="00302D76"/>
    <w:rsid w:val="00303568"/>
    <w:rsid w:val="00303C2F"/>
    <w:rsid w:val="00310C34"/>
    <w:rsid w:val="00310C39"/>
    <w:rsid w:val="003144EF"/>
    <w:rsid w:val="003152A8"/>
    <w:rsid w:val="003159FC"/>
    <w:rsid w:val="00316BD1"/>
    <w:rsid w:val="0031751C"/>
    <w:rsid w:val="0031755D"/>
    <w:rsid w:val="0032079E"/>
    <w:rsid w:val="003214F0"/>
    <w:rsid w:val="00322233"/>
    <w:rsid w:val="003252C2"/>
    <w:rsid w:val="00326292"/>
    <w:rsid w:val="00326415"/>
    <w:rsid w:val="00330937"/>
    <w:rsid w:val="00330A99"/>
    <w:rsid w:val="00330F31"/>
    <w:rsid w:val="00331480"/>
    <w:rsid w:val="00334648"/>
    <w:rsid w:val="00337572"/>
    <w:rsid w:val="0033768C"/>
    <w:rsid w:val="00337938"/>
    <w:rsid w:val="00340769"/>
    <w:rsid w:val="00341AA6"/>
    <w:rsid w:val="0034705B"/>
    <w:rsid w:val="00351006"/>
    <w:rsid w:val="003525B6"/>
    <w:rsid w:val="0035668E"/>
    <w:rsid w:val="00360CFF"/>
    <w:rsid w:val="00360FD8"/>
    <w:rsid w:val="00361A0A"/>
    <w:rsid w:val="003644C5"/>
    <w:rsid w:val="00364836"/>
    <w:rsid w:val="003650E5"/>
    <w:rsid w:val="0036565C"/>
    <w:rsid w:val="0036625E"/>
    <w:rsid w:val="00366415"/>
    <w:rsid w:val="0037465A"/>
    <w:rsid w:val="00375D11"/>
    <w:rsid w:val="00381767"/>
    <w:rsid w:val="00382AB7"/>
    <w:rsid w:val="00382C98"/>
    <w:rsid w:val="00383806"/>
    <w:rsid w:val="0038533C"/>
    <w:rsid w:val="00386568"/>
    <w:rsid w:val="00387E1F"/>
    <w:rsid w:val="003904E0"/>
    <w:rsid w:val="00390B57"/>
    <w:rsid w:val="003933D3"/>
    <w:rsid w:val="003934D3"/>
    <w:rsid w:val="003948D5"/>
    <w:rsid w:val="00396821"/>
    <w:rsid w:val="00397D3A"/>
    <w:rsid w:val="003A051E"/>
    <w:rsid w:val="003B0A27"/>
    <w:rsid w:val="003B170F"/>
    <w:rsid w:val="003B37F7"/>
    <w:rsid w:val="003B3C5F"/>
    <w:rsid w:val="003B4244"/>
    <w:rsid w:val="003C4342"/>
    <w:rsid w:val="003C4471"/>
    <w:rsid w:val="003C4BCB"/>
    <w:rsid w:val="003C6D03"/>
    <w:rsid w:val="003D0A6D"/>
    <w:rsid w:val="003D17A2"/>
    <w:rsid w:val="003D1974"/>
    <w:rsid w:val="003D27E1"/>
    <w:rsid w:val="003D4A79"/>
    <w:rsid w:val="003E0B16"/>
    <w:rsid w:val="003E41D0"/>
    <w:rsid w:val="003E4DB0"/>
    <w:rsid w:val="003E4E01"/>
    <w:rsid w:val="003E67D1"/>
    <w:rsid w:val="00404329"/>
    <w:rsid w:val="00405DC1"/>
    <w:rsid w:val="00411991"/>
    <w:rsid w:val="00415F1F"/>
    <w:rsid w:val="00416663"/>
    <w:rsid w:val="004202D2"/>
    <w:rsid w:val="0042108F"/>
    <w:rsid w:val="00425C20"/>
    <w:rsid w:val="00427FF8"/>
    <w:rsid w:val="00430FED"/>
    <w:rsid w:val="00431BC6"/>
    <w:rsid w:val="00434A8C"/>
    <w:rsid w:val="00436C42"/>
    <w:rsid w:val="00436DF4"/>
    <w:rsid w:val="00437297"/>
    <w:rsid w:val="00437446"/>
    <w:rsid w:val="00444284"/>
    <w:rsid w:val="0044574C"/>
    <w:rsid w:val="00445CE6"/>
    <w:rsid w:val="00447D7E"/>
    <w:rsid w:val="004511AC"/>
    <w:rsid w:val="004534C2"/>
    <w:rsid w:val="0045446F"/>
    <w:rsid w:val="0045683E"/>
    <w:rsid w:val="00457CA3"/>
    <w:rsid w:val="00462986"/>
    <w:rsid w:val="00465BFF"/>
    <w:rsid w:val="00470681"/>
    <w:rsid w:val="004737A4"/>
    <w:rsid w:val="00476484"/>
    <w:rsid w:val="00477C72"/>
    <w:rsid w:val="004833C8"/>
    <w:rsid w:val="004843F3"/>
    <w:rsid w:val="0048617D"/>
    <w:rsid w:val="004861A0"/>
    <w:rsid w:val="00486AD5"/>
    <w:rsid w:val="00491675"/>
    <w:rsid w:val="00493855"/>
    <w:rsid w:val="0049421F"/>
    <w:rsid w:val="00495E79"/>
    <w:rsid w:val="0049649C"/>
    <w:rsid w:val="004A0692"/>
    <w:rsid w:val="004A3DC1"/>
    <w:rsid w:val="004A48EF"/>
    <w:rsid w:val="004A57DD"/>
    <w:rsid w:val="004A7B51"/>
    <w:rsid w:val="004A7D71"/>
    <w:rsid w:val="004A7EF3"/>
    <w:rsid w:val="004B11FD"/>
    <w:rsid w:val="004B180D"/>
    <w:rsid w:val="004B23A2"/>
    <w:rsid w:val="004B5624"/>
    <w:rsid w:val="004C0D03"/>
    <w:rsid w:val="004C0D33"/>
    <w:rsid w:val="004C132D"/>
    <w:rsid w:val="004D1A5A"/>
    <w:rsid w:val="004D2134"/>
    <w:rsid w:val="004D2FFF"/>
    <w:rsid w:val="004D3721"/>
    <w:rsid w:val="004D64F9"/>
    <w:rsid w:val="004E11C1"/>
    <w:rsid w:val="004E3A6B"/>
    <w:rsid w:val="004E428D"/>
    <w:rsid w:val="004E622C"/>
    <w:rsid w:val="004F1291"/>
    <w:rsid w:val="004F4245"/>
    <w:rsid w:val="004F4AF9"/>
    <w:rsid w:val="004F5FDF"/>
    <w:rsid w:val="004F62D3"/>
    <w:rsid w:val="00500B70"/>
    <w:rsid w:val="00504F5A"/>
    <w:rsid w:val="00515C6C"/>
    <w:rsid w:val="005177FE"/>
    <w:rsid w:val="005210B8"/>
    <w:rsid w:val="0052263B"/>
    <w:rsid w:val="00524728"/>
    <w:rsid w:val="0052721D"/>
    <w:rsid w:val="005331CA"/>
    <w:rsid w:val="00534C55"/>
    <w:rsid w:val="00535903"/>
    <w:rsid w:val="00537459"/>
    <w:rsid w:val="00537970"/>
    <w:rsid w:val="00540351"/>
    <w:rsid w:val="00540E3A"/>
    <w:rsid w:val="00544127"/>
    <w:rsid w:val="00544F6E"/>
    <w:rsid w:val="005463A9"/>
    <w:rsid w:val="00551139"/>
    <w:rsid w:val="00553EB2"/>
    <w:rsid w:val="00555FEE"/>
    <w:rsid w:val="005561C5"/>
    <w:rsid w:val="005601A1"/>
    <w:rsid w:val="00560534"/>
    <w:rsid w:val="00561D2A"/>
    <w:rsid w:val="0056391B"/>
    <w:rsid w:val="005643E3"/>
    <w:rsid w:val="005650E2"/>
    <w:rsid w:val="00565CC5"/>
    <w:rsid w:val="00567AD7"/>
    <w:rsid w:val="0057102A"/>
    <w:rsid w:val="00573D34"/>
    <w:rsid w:val="00575B2D"/>
    <w:rsid w:val="005820B4"/>
    <w:rsid w:val="005833D0"/>
    <w:rsid w:val="005846F3"/>
    <w:rsid w:val="0058622F"/>
    <w:rsid w:val="00590EC2"/>
    <w:rsid w:val="00591280"/>
    <w:rsid w:val="00592F82"/>
    <w:rsid w:val="005939D3"/>
    <w:rsid w:val="005A0CCA"/>
    <w:rsid w:val="005A39C2"/>
    <w:rsid w:val="005A726D"/>
    <w:rsid w:val="005B0260"/>
    <w:rsid w:val="005B4A07"/>
    <w:rsid w:val="005B67AC"/>
    <w:rsid w:val="005B79F4"/>
    <w:rsid w:val="005B7C95"/>
    <w:rsid w:val="005D05B9"/>
    <w:rsid w:val="005D2CD6"/>
    <w:rsid w:val="005D43E0"/>
    <w:rsid w:val="005D5723"/>
    <w:rsid w:val="005D58A3"/>
    <w:rsid w:val="005E1B79"/>
    <w:rsid w:val="005E2F79"/>
    <w:rsid w:val="005E7008"/>
    <w:rsid w:val="005E784A"/>
    <w:rsid w:val="005F026D"/>
    <w:rsid w:val="005F19C3"/>
    <w:rsid w:val="005F2AEA"/>
    <w:rsid w:val="005F2D0B"/>
    <w:rsid w:val="005F32DE"/>
    <w:rsid w:val="005F4B31"/>
    <w:rsid w:val="005F7D64"/>
    <w:rsid w:val="006048C0"/>
    <w:rsid w:val="0060631E"/>
    <w:rsid w:val="00610388"/>
    <w:rsid w:val="00611DE6"/>
    <w:rsid w:val="00612CA5"/>
    <w:rsid w:val="00612F98"/>
    <w:rsid w:val="00614883"/>
    <w:rsid w:val="006153EC"/>
    <w:rsid w:val="006205B0"/>
    <w:rsid w:val="00621A17"/>
    <w:rsid w:val="00622BAE"/>
    <w:rsid w:val="0062328B"/>
    <w:rsid w:val="00627CC9"/>
    <w:rsid w:val="00627DE9"/>
    <w:rsid w:val="00627E7B"/>
    <w:rsid w:val="00630542"/>
    <w:rsid w:val="0063292A"/>
    <w:rsid w:val="00632E44"/>
    <w:rsid w:val="006339F5"/>
    <w:rsid w:val="00634622"/>
    <w:rsid w:val="006358FA"/>
    <w:rsid w:val="00636808"/>
    <w:rsid w:val="00636C15"/>
    <w:rsid w:val="00641515"/>
    <w:rsid w:val="00646973"/>
    <w:rsid w:val="00653699"/>
    <w:rsid w:val="00654B27"/>
    <w:rsid w:val="00654C2F"/>
    <w:rsid w:val="00656DA7"/>
    <w:rsid w:val="00657087"/>
    <w:rsid w:val="006603F1"/>
    <w:rsid w:val="006639DB"/>
    <w:rsid w:val="006661EF"/>
    <w:rsid w:val="00670AD0"/>
    <w:rsid w:val="006723E9"/>
    <w:rsid w:val="00677AEB"/>
    <w:rsid w:val="00680EF2"/>
    <w:rsid w:val="00681007"/>
    <w:rsid w:val="00681BEB"/>
    <w:rsid w:val="00687A1D"/>
    <w:rsid w:val="00694687"/>
    <w:rsid w:val="006957B2"/>
    <w:rsid w:val="00696ED8"/>
    <w:rsid w:val="00697EA1"/>
    <w:rsid w:val="006A2646"/>
    <w:rsid w:val="006A619A"/>
    <w:rsid w:val="006A6530"/>
    <w:rsid w:val="006A765F"/>
    <w:rsid w:val="006B435A"/>
    <w:rsid w:val="006B48CB"/>
    <w:rsid w:val="006B4C64"/>
    <w:rsid w:val="006B5DBE"/>
    <w:rsid w:val="006B6CC5"/>
    <w:rsid w:val="006C075F"/>
    <w:rsid w:val="006C35B0"/>
    <w:rsid w:val="006C4FAA"/>
    <w:rsid w:val="006C7D81"/>
    <w:rsid w:val="006D217A"/>
    <w:rsid w:val="006D6BD5"/>
    <w:rsid w:val="006D7CC0"/>
    <w:rsid w:val="006E464D"/>
    <w:rsid w:val="006E481A"/>
    <w:rsid w:val="006E5287"/>
    <w:rsid w:val="006E5298"/>
    <w:rsid w:val="006F0106"/>
    <w:rsid w:val="006F2B12"/>
    <w:rsid w:val="006F4A78"/>
    <w:rsid w:val="006F734A"/>
    <w:rsid w:val="00700D83"/>
    <w:rsid w:val="00704852"/>
    <w:rsid w:val="007074E9"/>
    <w:rsid w:val="00711372"/>
    <w:rsid w:val="00713DA4"/>
    <w:rsid w:val="00714314"/>
    <w:rsid w:val="00714BF1"/>
    <w:rsid w:val="00721383"/>
    <w:rsid w:val="00722C0B"/>
    <w:rsid w:val="0073158B"/>
    <w:rsid w:val="007333CC"/>
    <w:rsid w:val="0073399A"/>
    <w:rsid w:val="007430B4"/>
    <w:rsid w:val="007446EA"/>
    <w:rsid w:val="00745D6F"/>
    <w:rsid w:val="00745EDD"/>
    <w:rsid w:val="0074636B"/>
    <w:rsid w:val="007603F5"/>
    <w:rsid w:val="00764DB0"/>
    <w:rsid w:val="0076764D"/>
    <w:rsid w:val="00770B63"/>
    <w:rsid w:val="0077498C"/>
    <w:rsid w:val="007772BD"/>
    <w:rsid w:val="007809BC"/>
    <w:rsid w:val="0078110A"/>
    <w:rsid w:val="00782DF0"/>
    <w:rsid w:val="00782EE1"/>
    <w:rsid w:val="007833D7"/>
    <w:rsid w:val="00784128"/>
    <w:rsid w:val="00793173"/>
    <w:rsid w:val="007A107A"/>
    <w:rsid w:val="007A1885"/>
    <w:rsid w:val="007A2A33"/>
    <w:rsid w:val="007A6772"/>
    <w:rsid w:val="007A6B8D"/>
    <w:rsid w:val="007A7B20"/>
    <w:rsid w:val="007B0291"/>
    <w:rsid w:val="007B4123"/>
    <w:rsid w:val="007C1FCC"/>
    <w:rsid w:val="007C2708"/>
    <w:rsid w:val="007C35D5"/>
    <w:rsid w:val="007C4D1D"/>
    <w:rsid w:val="007C50AA"/>
    <w:rsid w:val="007C6201"/>
    <w:rsid w:val="007C7B23"/>
    <w:rsid w:val="007D7C92"/>
    <w:rsid w:val="007E1154"/>
    <w:rsid w:val="007E29BF"/>
    <w:rsid w:val="007E31B9"/>
    <w:rsid w:val="007E39B3"/>
    <w:rsid w:val="007E44C4"/>
    <w:rsid w:val="007E6077"/>
    <w:rsid w:val="007E6BA4"/>
    <w:rsid w:val="007F1F71"/>
    <w:rsid w:val="007F2AA5"/>
    <w:rsid w:val="007F41F8"/>
    <w:rsid w:val="007F6A57"/>
    <w:rsid w:val="00800B1B"/>
    <w:rsid w:val="00800B76"/>
    <w:rsid w:val="008017F0"/>
    <w:rsid w:val="00801C72"/>
    <w:rsid w:val="0080454E"/>
    <w:rsid w:val="00804C32"/>
    <w:rsid w:val="00804DA6"/>
    <w:rsid w:val="00805403"/>
    <w:rsid w:val="0080563C"/>
    <w:rsid w:val="00806302"/>
    <w:rsid w:val="00807119"/>
    <w:rsid w:val="00811643"/>
    <w:rsid w:val="008165F3"/>
    <w:rsid w:val="00821CB8"/>
    <w:rsid w:val="0082424D"/>
    <w:rsid w:val="0082483F"/>
    <w:rsid w:val="00824FEA"/>
    <w:rsid w:val="008279C0"/>
    <w:rsid w:val="00831A29"/>
    <w:rsid w:val="00832F60"/>
    <w:rsid w:val="00835422"/>
    <w:rsid w:val="0083733F"/>
    <w:rsid w:val="00841051"/>
    <w:rsid w:val="00842137"/>
    <w:rsid w:val="00842602"/>
    <w:rsid w:val="008439A9"/>
    <w:rsid w:val="00847B0F"/>
    <w:rsid w:val="008500BD"/>
    <w:rsid w:val="00850C76"/>
    <w:rsid w:val="0085246F"/>
    <w:rsid w:val="008557FB"/>
    <w:rsid w:val="008567AE"/>
    <w:rsid w:val="00857862"/>
    <w:rsid w:val="00860723"/>
    <w:rsid w:val="00860853"/>
    <w:rsid w:val="00861260"/>
    <w:rsid w:val="008616D2"/>
    <w:rsid w:val="00864593"/>
    <w:rsid w:val="0086548F"/>
    <w:rsid w:val="008723F3"/>
    <w:rsid w:val="0087397E"/>
    <w:rsid w:val="00874240"/>
    <w:rsid w:val="0088003E"/>
    <w:rsid w:val="00881DE6"/>
    <w:rsid w:val="00881E0C"/>
    <w:rsid w:val="008837A6"/>
    <w:rsid w:val="008879EC"/>
    <w:rsid w:val="0089145D"/>
    <w:rsid w:val="008926C2"/>
    <w:rsid w:val="0089362E"/>
    <w:rsid w:val="00894C1D"/>
    <w:rsid w:val="0089511A"/>
    <w:rsid w:val="008961B5"/>
    <w:rsid w:val="00897A78"/>
    <w:rsid w:val="008A21C0"/>
    <w:rsid w:val="008A37FE"/>
    <w:rsid w:val="008A3F95"/>
    <w:rsid w:val="008A4DF2"/>
    <w:rsid w:val="008A57CC"/>
    <w:rsid w:val="008A6CFE"/>
    <w:rsid w:val="008B5333"/>
    <w:rsid w:val="008B6223"/>
    <w:rsid w:val="008C385B"/>
    <w:rsid w:val="008C4AC6"/>
    <w:rsid w:val="008C66E0"/>
    <w:rsid w:val="008D4045"/>
    <w:rsid w:val="008D6048"/>
    <w:rsid w:val="008D62F7"/>
    <w:rsid w:val="008D70EB"/>
    <w:rsid w:val="008E0EC8"/>
    <w:rsid w:val="008E3339"/>
    <w:rsid w:val="008E3C96"/>
    <w:rsid w:val="008E7371"/>
    <w:rsid w:val="008F08B3"/>
    <w:rsid w:val="008F099B"/>
    <w:rsid w:val="008F20FC"/>
    <w:rsid w:val="008F2DDC"/>
    <w:rsid w:val="008F5FFE"/>
    <w:rsid w:val="008F7B69"/>
    <w:rsid w:val="00905440"/>
    <w:rsid w:val="00905A43"/>
    <w:rsid w:val="009112D4"/>
    <w:rsid w:val="00912C79"/>
    <w:rsid w:val="00914A23"/>
    <w:rsid w:val="009221FF"/>
    <w:rsid w:val="00926A0A"/>
    <w:rsid w:val="00935A21"/>
    <w:rsid w:val="00935FA2"/>
    <w:rsid w:val="009374A9"/>
    <w:rsid w:val="00940275"/>
    <w:rsid w:val="00942123"/>
    <w:rsid w:val="009441E0"/>
    <w:rsid w:val="0094571D"/>
    <w:rsid w:val="00945C92"/>
    <w:rsid w:val="0095207B"/>
    <w:rsid w:val="00962045"/>
    <w:rsid w:val="00965500"/>
    <w:rsid w:val="00967219"/>
    <w:rsid w:val="00971896"/>
    <w:rsid w:val="00975607"/>
    <w:rsid w:val="00980E61"/>
    <w:rsid w:val="009907EC"/>
    <w:rsid w:val="00991428"/>
    <w:rsid w:val="009916D1"/>
    <w:rsid w:val="00992676"/>
    <w:rsid w:val="0099540D"/>
    <w:rsid w:val="009954B2"/>
    <w:rsid w:val="00996691"/>
    <w:rsid w:val="009A06A7"/>
    <w:rsid w:val="009A2774"/>
    <w:rsid w:val="009A443A"/>
    <w:rsid w:val="009B0723"/>
    <w:rsid w:val="009B07AD"/>
    <w:rsid w:val="009B0883"/>
    <w:rsid w:val="009B15E2"/>
    <w:rsid w:val="009B4976"/>
    <w:rsid w:val="009C0B8E"/>
    <w:rsid w:val="009C180F"/>
    <w:rsid w:val="009C1BC8"/>
    <w:rsid w:val="009C2442"/>
    <w:rsid w:val="009C3869"/>
    <w:rsid w:val="009C3974"/>
    <w:rsid w:val="009C52BE"/>
    <w:rsid w:val="009C5E52"/>
    <w:rsid w:val="009D0811"/>
    <w:rsid w:val="009D0EE1"/>
    <w:rsid w:val="009D7655"/>
    <w:rsid w:val="009E13A4"/>
    <w:rsid w:val="009E2AEB"/>
    <w:rsid w:val="009E2E27"/>
    <w:rsid w:val="009E39B2"/>
    <w:rsid w:val="009E4DE3"/>
    <w:rsid w:val="009F275E"/>
    <w:rsid w:val="009F45DF"/>
    <w:rsid w:val="009F5A71"/>
    <w:rsid w:val="00A0017A"/>
    <w:rsid w:val="00A047EE"/>
    <w:rsid w:val="00A07E6F"/>
    <w:rsid w:val="00A11E80"/>
    <w:rsid w:val="00A16616"/>
    <w:rsid w:val="00A17858"/>
    <w:rsid w:val="00A2274A"/>
    <w:rsid w:val="00A235B7"/>
    <w:rsid w:val="00A26868"/>
    <w:rsid w:val="00A27A7A"/>
    <w:rsid w:val="00A33FA6"/>
    <w:rsid w:val="00A407EF"/>
    <w:rsid w:val="00A46B4C"/>
    <w:rsid w:val="00A50055"/>
    <w:rsid w:val="00A501C4"/>
    <w:rsid w:val="00A50E6F"/>
    <w:rsid w:val="00A5117B"/>
    <w:rsid w:val="00A51A9D"/>
    <w:rsid w:val="00A54CB5"/>
    <w:rsid w:val="00A60074"/>
    <w:rsid w:val="00A620A6"/>
    <w:rsid w:val="00A62FDA"/>
    <w:rsid w:val="00A644B4"/>
    <w:rsid w:val="00A65300"/>
    <w:rsid w:val="00A6627C"/>
    <w:rsid w:val="00A71019"/>
    <w:rsid w:val="00A7758E"/>
    <w:rsid w:val="00A81029"/>
    <w:rsid w:val="00A83E9F"/>
    <w:rsid w:val="00A86F68"/>
    <w:rsid w:val="00A86F88"/>
    <w:rsid w:val="00A87C5C"/>
    <w:rsid w:val="00A94BB5"/>
    <w:rsid w:val="00A96489"/>
    <w:rsid w:val="00AA52B4"/>
    <w:rsid w:val="00AA55B5"/>
    <w:rsid w:val="00AB685C"/>
    <w:rsid w:val="00AB6C2D"/>
    <w:rsid w:val="00AB6FD7"/>
    <w:rsid w:val="00AC08F7"/>
    <w:rsid w:val="00AC3839"/>
    <w:rsid w:val="00AC38E1"/>
    <w:rsid w:val="00AC4C4F"/>
    <w:rsid w:val="00AC7082"/>
    <w:rsid w:val="00AC7609"/>
    <w:rsid w:val="00AD17B1"/>
    <w:rsid w:val="00AD1FD1"/>
    <w:rsid w:val="00AD2931"/>
    <w:rsid w:val="00AD513F"/>
    <w:rsid w:val="00AD6870"/>
    <w:rsid w:val="00AE2316"/>
    <w:rsid w:val="00AE423D"/>
    <w:rsid w:val="00AE4F51"/>
    <w:rsid w:val="00AE74BA"/>
    <w:rsid w:val="00AF228E"/>
    <w:rsid w:val="00B016A8"/>
    <w:rsid w:val="00B0433B"/>
    <w:rsid w:val="00B05EF7"/>
    <w:rsid w:val="00B067AA"/>
    <w:rsid w:val="00B070D2"/>
    <w:rsid w:val="00B12499"/>
    <w:rsid w:val="00B12EF7"/>
    <w:rsid w:val="00B14819"/>
    <w:rsid w:val="00B15523"/>
    <w:rsid w:val="00B15E2F"/>
    <w:rsid w:val="00B165FE"/>
    <w:rsid w:val="00B17AA9"/>
    <w:rsid w:val="00B203BF"/>
    <w:rsid w:val="00B3078F"/>
    <w:rsid w:val="00B30D9A"/>
    <w:rsid w:val="00B42734"/>
    <w:rsid w:val="00B44713"/>
    <w:rsid w:val="00B519A5"/>
    <w:rsid w:val="00B56103"/>
    <w:rsid w:val="00B56D3A"/>
    <w:rsid w:val="00B64929"/>
    <w:rsid w:val="00B650F4"/>
    <w:rsid w:val="00B70CB2"/>
    <w:rsid w:val="00B736DF"/>
    <w:rsid w:val="00B73990"/>
    <w:rsid w:val="00B743D6"/>
    <w:rsid w:val="00B74FBD"/>
    <w:rsid w:val="00B77F46"/>
    <w:rsid w:val="00B8060D"/>
    <w:rsid w:val="00B82586"/>
    <w:rsid w:val="00B829A3"/>
    <w:rsid w:val="00B84A8F"/>
    <w:rsid w:val="00B8552E"/>
    <w:rsid w:val="00B86DB1"/>
    <w:rsid w:val="00B87869"/>
    <w:rsid w:val="00B96ABE"/>
    <w:rsid w:val="00B96CE3"/>
    <w:rsid w:val="00B972F6"/>
    <w:rsid w:val="00BA062D"/>
    <w:rsid w:val="00BA543A"/>
    <w:rsid w:val="00BB0F2B"/>
    <w:rsid w:val="00BB2C52"/>
    <w:rsid w:val="00BB38D1"/>
    <w:rsid w:val="00BC6761"/>
    <w:rsid w:val="00BD73DA"/>
    <w:rsid w:val="00BE2C01"/>
    <w:rsid w:val="00BE4FF3"/>
    <w:rsid w:val="00BE75A2"/>
    <w:rsid w:val="00BF50F7"/>
    <w:rsid w:val="00C00B20"/>
    <w:rsid w:val="00C00E77"/>
    <w:rsid w:val="00C02F29"/>
    <w:rsid w:val="00C0311F"/>
    <w:rsid w:val="00C10D49"/>
    <w:rsid w:val="00C138A9"/>
    <w:rsid w:val="00C15FA2"/>
    <w:rsid w:val="00C20AFE"/>
    <w:rsid w:val="00C22A25"/>
    <w:rsid w:val="00C23F42"/>
    <w:rsid w:val="00C27121"/>
    <w:rsid w:val="00C2719E"/>
    <w:rsid w:val="00C27A49"/>
    <w:rsid w:val="00C312B3"/>
    <w:rsid w:val="00C35421"/>
    <w:rsid w:val="00C35671"/>
    <w:rsid w:val="00C35B77"/>
    <w:rsid w:val="00C35F52"/>
    <w:rsid w:val="00C376EB"/>
    <w:rsid w:val="00C427DF"/>
    <w:rsid w:val="00C46A92"/>
    <w:rsid w:val="00C46DF7"/>
    <w:rsid w:val="00C46EC1"/>
    <w:rsid w:val="00C5160F"/>
    <w:rsid w:val="00C52796"/>
    <w:rsid w:val="00C53E2C"/>
    <w:rsid w:val="00C54158"/>
    <w:rsid w:val="00C550C8"/>
    <w:rsid w:val="00C56ABD"/>
    <w:rsid w:val="00C56B61"/>
    <w:rsid w:val="00C606C3"/>
    <w:rsid w:val="00C60B85"/>
    <w:rsid w:val="00C620F4"/>
    <w:rsid w:val="00C62EDB"/>
    <w:rsid w:val="00C63E03"/>
    <w:rsid w:val="00C72848"/>
    <w:rsid w:val="00C72DF5"/>
    <w:rsid w:val="00C73BC8"/>
    <w:rsid w:val="00C7704A"/>
    <w:rsid w:val="00C7729F"/>
    <w:rsid w:val="00C7736C"/>
    <w:rsid w:val="00C82D87"/>
    <w:rsid w:val="00C8712A"/>
    <w:rsid w:val="00C92224"/>
    <w:rsid w:val="00C93A5D"/>
    <w:rsid w:val="00C95139"/>
    <w:rsid w:val="00C963D3"/>
    <w:rsid w:val="00CA2E06"/>
    <w:rsid w:val="00CA7069"/>
    <w:rsid w:val="00CB1926"/>
    <w:rsid w:val="00CB1983"/>
    <w:rsid w:val="00CB2CBB"/>
    <w:rsid w:val="00CB7CAC"/>
    <w:rsid w:val="00CC5335"/>
    <w:rsid w:val="00CC5BA4"/>
    <w:rsid w:val="00CD4998"/>
    <w:rsid w:val="00CE1035"/>
    <w:rsid w:val="00CE23E8"/>
    <w:rsid w:val="00CE3C5A"/>
    <w:rsid w:val="00CE4206"/>
    <w:rsid w:val="00CE5D58"/>
    <w:rsid w:val="00CE6E50"/>
    <w:rsid w:val="00CF2819"/>
    <w:rsid w:val="00CF4F9D"/>
    <w:rsid w:val="00CF70DC"/>
    <w:rsid w:val="00D0614A"/>
    <w:rsid w:val="00D148DC"/>
    <w:rsid w:val="00D1757B"/>
    <w:rsid w:val="00D17FDC"/>
    <w:rsid w:val="00D20E15"/>
    <w:rsid w:val="00D21F62"/>
    <w:rsid w:val="00D25E54"/>
    <w:rsid w:val="00D25F97"/>
    <w:rsid w:val="00D26E26"/>
    <w:rsid w:val="00D43B3A"/>
    <w:rsid w:val="00D44F94"/>
    <w:rsid w:val="00D46401"/>
    <w:rsid w:val="00D509A5"/>
    <w:rsid w:val="00D50BD1"/>
    <w:rsid w:val="00D56B4E"/>
    <w:rsid w:val="00D608A4"/>
    <w:rsid w:val="00D60E46"/>
    <w:rsid w:val="00D62FE5"/>
    <w:rsid w:val="00D63EFD"/>
    <w:rsid w:val="00D651FD"/>
    <w:rsid w:val="00D66F96"/>
    <w:rsid w:val="00D71B0C"/>
    <w:rsid w:val="00D71FFC"/>
    <w:rsid w:val="00D75351"/>
    <w:rsid w:val="00D81841"/>
    <w:rsid w:val="00D84752"/>
    <w:rsid w:val="00D86B3B"/>
    <w:rsid w:val="00D8748A"/>
    <w:rsid w:val="00D9187D"/>
    <w:rsid w:val="00D93196"/>
    <w:rsid w:val="00D95496"/>
    <w:rsid w:val="00DA0634"/>
    <w:rsid w:val="00DA0DC0"/>
    <w:rsid w:val="00DA2CBA"/>
    <w:rsid w:val="00DA4E95"/>
    <w:rsid w:val="00DB1D76"/>
    <w:rsid w:val="00DB243C"/>
    <w:rsid w:val="00DB482A"/>
    <w:rsid w:val="00DB56F2"/>
    <w:rsid w:val="00DB6EF5"/>
    <w:rsid w:val="00DB7084"/>
    <w:rsid w:val="00DC3089"/>
    <w:rsid w:val="00DC4420"/>
    <w:rsid w:val="00DD0802"/>
    <w:rsid w:val="00DD2E11"/>
    <w:rsid w:val="00DD47EF"/>
    <w:rsid w:val="00DE03AF"/>
    <w:rsid w:val="00DE121C"/>
    <w:rsid w:val="00DE42E6"/>
    <w:rsid w:val="00DE6633"/>
    <w:rsid w:val="00DE77F3"/>
    <w:rsid w:val="00DF0864"/>
    <w:rsid w:val="00DF1D02"/>
    <w:rsid w:val="00DF75F8"/>
    <w:rsid w:val="00DF7A3A"/>
    <w:rsid w:val="00E00C00"/>
    <w:rsid w:val="00E03AF0"/>
    <w:rsid w:val="00E07C5A"/>
    <w:rsid w:val="00E116B6"/>
    <w:rsid w:val="00E15BA9"/>
    <w:rsid w:val="00E204D9"/>
    <w:rsid w:val="00E26E19"/>
    <w:rsid w:val="00E30C8A"/>
    <w:rsid w:val="00E3141A"/>
    <w:rsid w:val="00E31DF3"/>
    <w:rsid w:val="00E34E77"/>
    <w:rsid w:val="00E36039"/>
    <w:rsid w:val="00E36A2E"/>
    <w:rsid w:val="00E36AD8"/>
    <w:rsid w:val="00E450A4"/>
    <w:rsid w:val="00E506BE"/>
    <w:rsid w:val="00E55547"/>
    <w:rsid w:val="00E604A1"/>
    <w:rsid w:val="00E61269"/>
    <w:rsid w:val="00E62CEF"/>
    <w:rsid w:val="00E6302B"/>
    <w:rsid w:val="00E64182"/>
    <w:rsid w:val="00E6452F"/>
    <w:rsid w:val="00E64F45"/>
    <w:rsid w:val="00E6742D"/>
    <w:rsid w:val="00E7140D"/>
    <w:rsid w:val="00E71CB0"/>
    <w:rsid w:val="00E73902"/>
    <w:rsid w:val="00E77C3D"/>
    <w:rsid w:val="00E81160"/>
    <w:rsid w:val="00E81B7C"/>
    <w:rsid w:val="00E81F29"/>
    <w:rsid w:val="00E83818"/>
    <w:rsid w:val="00E83CE8"/>
    <w:rsid w:val="00E86B8E"/>
    <w:rsid w:val="00E90991"/>
    <w:rsid w:val="00E909F0"/>
    <w:rsid w:val="00E90D47"/>
    <w:rsid w:val="00E92C67"/>
    <w:rsid w:val="00E93993"/>
    <w:rsid w:val="00E940CC"/>
    <w:rsid w:val="00E9597C"/>
    <w:rsid w:val="00E96400"/>
    <w:rsid w:val="00EA0913"/>
    <w:rsid w:val="00EA097B"/>
    <w:rsid w:val="00EA14B3"/>
    <w:rsid w:val="00EA5B00"/>
    <w:rsid w:val="00EA6A15"/>
    <w:rsid w:val="00EB0F3C"/>
    <w:rsid w:val="00EB146B"/>
    <w:rsid w:val="00EB23D9"/>
    <w:rsid w:val="00EB44F8"/>
    <w:rsid w:val="00EB45AC"/>
    <w:rsid w:val="00EB5CA4"/>
    <w:rsid w:val="00EC00F9"/>
    <w:rsid w:val="00EC242E"/>
    <w:rsid w:val="00ED0BC4"/>
    <w:rsid w:val="00ED20E8"/>
    <w:rsid w:val="00ED472A"/>
    <w:rsid w:val="00ED54B6"/>
    <w:rsid w:val="00ED5697"/>
    <w:rsid w:val="00EE3F41"/>
    <w:rsid w:val="00EE4971"/>
    <w:rsid w:val="00EF090E"/>
    <w:rsid w:val="00F012FC"/>
    <w:rsid w:val="00F033DA"/>
    <w:rsid w:val="00F13419"/>
    <w:rsid w:val="00F13FB1"/>
    <w:rsid w:val="00F27609"/>
    <w:rsid w:val="00F27CD8"/>
    <w:rsid w:val="00F30351"/>
    <w:rsid w:val="00F30B92"/>
    <w:rsid w:val="00F3303F"/>
    <w:rsid w:val="00F3323E"/>
    <w:rsid w:val="00F341F4"/>
    <w:rsid w:val="00F34F9D"/>
    <w:rsid w:val="00F35CCE"/>
    <w:rsid w:val="00F5524B"/>
    <w:rsid w:val="00F60538"/>
    <w:rsid w:val="00F61DD2"/>
    <w:rsid w:val="00F642A7"/>
    <w:rsid w:val="00F66AFF"/>
    <w:rsid w:val="00F71433"/>
    <w:rsid w:val="00F73273"/>
    <w:rsid w:val="00F76CD4"/>
    <w:rsid w:val="00F814B4"/>
    <w:rsid w:val="00F83464"/>
    <w:rsid w:val="00F86D63"/>
    <w:rsid w:val="00F93BE7"/>
    <w:rsid w:val="00F97807"/>
    <w:rsid w:val="00F97C5B"/>
    <w:rsid w:val="00FA1FFE"/>
    <w:rsid w:val="00FA3D50"/>
    <w:rsid w:val="00FA4782"/>
    <w:rsid w:val="00FB006F"/>
    <w:rsid w:val="00FB382A"/>
    <w:rsid w:val="00FB3B03"/>
    <w:rsid w:val="00FB6122"/>
    <w:rsid w:val="00FB7FBD"/>
    <w:rsid w:val="00FC1383"/>
    <w:rsid w:val="00FC235E"/>
    <w:rsid w:val="00FC374A"/>
    <w:rsid w:val="00FC48D8"/>
    <w:rsid w:val="00FC50C6"/>
    <w:rsid w:val="00FC7B47"/>
    <w:rsid w:val="00FD035C"/>
    <w:rsid w:val="00FD0409"/>
    <w:rsid w:val="00FD0D5A"/>
    <w:rsid w:val="00FD1A35"/>
    <w:rsid w:val="00FD36C5"/>
    <w:rsid w:val="00FD6290"/>
    <w:rsid w:val="00FD6310"/>
    <w:rsid w:val="00FD7C7B"/>
    <w:rsid w:val="00FE10B4"/>
    <w:rsid w:val="00FE1D12"/>
    <w:rsid w:val="00FE1DBA"/>
    <w:rsid w:val="00FE2122"/>
    <w:rsid w:val="00FE23CB"/>
    <w:rsid w:val="00FE2A86"/>
    <w:rsid w:val="00FE2DE2"/>
    <w:rsid w:val="00FF296F"/>
    <w:rsid w:val="00FF588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14</Pages>
  <Words>6549</Words>
  <Characters>36348</Characters>
  <Application>Microsoft Office Word</Application>
  <DocSecurity>0</DocSecurity>
  <Lines>2138</Lines>
  <Paragraphs>1225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Kenna</cp:lastModifiedBy>
  <cp:revision>416</cp:revision>
  <cp:lastPrinted>2019-08-27T05:42:00Z</cp:lastPrinted>
  <dcterms:created xsi:type="dcterms:W3CDTF">2022-06-13T14:47:00Z</dcterms:created>
  <dcterms:modified xsi:type="dcterms:W3CDTF">2023-03-01T16:18:00Z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2022-11-24T19:20:33Z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1016899f-3cc0-46bf-befa-2830642d103e</vt:lpwstr>
  </property>
  <property fmtid="{D5CDD505-2E9C-101B-9397-08002B2CF9AE}" pid="8" name="MSIP_Label_ea60d57e-af5b-4752-ac57-3e4f28ca11dc_ContentBits">
    <vt:lpwstr>0</vt:lpwstr>
  </property>
</Properties>
</file>