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CC2BD2" w:rsidRDefault="00436884">
      <w:pPr>
        <w:pStyle w:val="ListParagraph"/>
        <w:numPr>
          <w:ilvl w:val="0"/>
          <w:numId w:val="1"/>
        </w:numPr>
        <w:ind w:left="426"/>
        <w:jc w:val="both"/>
        <w:rPr>
          <w:rFonts w:ascii="Avenir Next" w:hAnsi="Avenir Next" w:cs="Arial"/>
          <w:sz w:val="22"/>
          <w:szCs w:val="22"/>
          <w:highlight w:val="yellow"/>
          <w:lang w:val="en-GB"/>
        </w:rPr>
      </w:pPr>
      <w:r w:rsidRPr="00CC2BD2">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4746AC" w:rsidRDefault="00436884">
      <w:pPr>
        <w:pStyle w:val="ListParagraph"/>
        <w:numPr>
          <w:ilvl w:val="0"/>
          <w:numId w:val="2"/>
        </w:numPr>
        <w:ind w:left="426"/>
        <w:jc w:val="both"/>
        <w:rPr>
          <w:rFonts w:ascii="Avenir Next" w:hAnsi="Avenir Next" w:cs="Arial"/>
          <w:sz w:val="22"/>
          <w:szCs w:val="22"/>
          <w:highlight w:val="yellow"/>
          <w:lang w:val="en-GB"/>
        </w:rPr>
      </w:pPr>
      <w:r w:rsidRPr="004746AC">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B52AC" w:rsidRDefault="00853A74">
      <w:pPr>
        <w:pStyle w:val="ListParagraph"/>
        <w:numPr>
          <w:ilvl w:val="0"/>
          <w:numId w:val="3"/>
        </w:numPr>
        <w:ind w:left="426"/>
        <w:jc w:val="both"/>
        <w:rPr>
          <w:rFonts w:ascii="Avenir Next" w:hAnsi="Avenir Next" w:cs="Arial"/>
          <w:sz w:val="22"/>
          <w:szCs w:val="22"/>
          <w:highlight w:val="yellow"/>
          <w:lang w:val="en-GB"/>
        </w:rPr>
      </w:pPr>
      <w:r w:rsidRPr="00EB52AC">
        <w:rPr>
          <w:rFonts w:ascii="Avenir Next" w:hAnsi="Avenir Next"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466D39" w:rsidRDefault="00436884">
      <w:pPr>
        <w:pStyle w:val="ListParagraph"/>
        <w:numPr>
          <w:ilvl w:val="0"/>
          <w:numId w:val="4"/>
        </w:numPr>
        <w:ind w:left="426"/>
        <w:jc w:val="both"/>
        <w:rPr>
          <w:rFonts w:ascii="Avenir Next" w:hAnsi="Avenir Next" w:cs="Arial"/>
          <w:sz w:val="22"/>
          <w:szCs w:val="22"/>
          <w:highlight w:val="yellow"/>
          <w:lang w:val="en-GB"/>
        </w:rPr>
      </w:pPr>
      <w:r w:rsidRPr="00466D39">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EB52AC" w:rsidRDefault="00C504E5">
      <w:pPr>
        <w:pStyle w:val="ListParagraph"/>
        <w:numPr>
          <w:ilvl w:val="0"/>
          <w:numId w:val="5"/>
        </w:numPr>
        <w:ind w:left="426"/>
        <w:jc w:val="both"/>
        <w:rPr>
          <w:rFonts w:ascii="Avenir Next" w:hAnsi="Avenir Next" w:cs="Arial"/>
          <w:sz w:val="22"/>
          <w:szCs w:val="22"/>
          <w:lang w:val="en-GB"/>
        </w:rPr>
      </w:pPr>
      <w:r w:rsidRPr="00EB52AC">
        <w:rPr>
          <w:rFonts w:ascii="Avenir Next" w:hAnsi="Avenir Next" w:cs="Arial"/>
          <w:sz w:val="22"/>
          <w:szCs w:val="22"/>
          <w:lang w:val="en-GB"/>
        </w:rPr>
        <w:t xml:space="preserve">Both the foreign main proceedings in South Africa and the foreign non-main proceedings in </w:t>
      </w:r>
      <w:r w:rsidR="004137C3" w:rsidRPr="00EB52AC">
        <w:rPr>
          <w:rFonts w:ascii="Avenir Next" w:hAnsi="Avenir Next" w:cs="Arial"/>
          <w:sz w:val="22"/>
          <w:szCs w:val="22"/>
          <w:lang w:val="en-GB"/>
        </w:rPr>
        <w:t xml:space="preserve">Argentina </w:t>
      </w:r>
      <w:r w:rsidRPr="00EB52AC">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B52AC" w:rsidRDefault="00C504E5">
      <w:pPr>
        <w:pStyle w:val="ListParagraph"/>
        <w:numPr>
          <w:ilvl w:val="0"/>
          <w:numId w:val="5"/>
        </w:numPr>
        <w:ind w:left="426"/>
        <w:jc w:val="both"/>
        <w:rPr>
          <w:rFonts w:ascii="Avenir Next" w:hAnsi="Avenir Next" w:cs="Arial"/>
          <w:sz w:val="22"/>
          <w:szCs w:val="22"/>
          <w:highlight w:val="yellow"/>
          <w:lang w:val="en-GB"/>
        </w:rPr>
      </w:pPr>
      <w:r w:rsidRPr="00EB52AC">
        <w:rPr>
          <w:rFonts w:ascii="Avenir Next" w:hAnsi="Avenir Next" w:cs="Arial"/>
          <w:sz w:val="22"/>
          <w:szCs w:val="22"/>
          <w:highlight w:val="yellow"/>
          <w:lang w:val="en-GB"/>
        </w:rPr>
        <w:t xml:space="preserve">None of the statements in (a), (b) </w:t>
      </w:r>
      <w:r w:rsidR="002E00F8" w:rsidRPr="00EB52AC">
        <w:rPr>
          <w:rFonts w:ascii="Avenir Next" w:hAnsi="Avenir Next" w:cs="Arial"/>
          <w:sz w:val="22"/>
          <w:szCs w:val="22"/>
          <w:highlight w:val="yellow"/>
          <w:lang w:val="en-GB"/>
        </w:rPr>
        <w:t>or</w:t>
      </w:r>
      <w:r w:rsidRPr="00EB52AC">
        <w:rPr>
          <w:rFonts w:ascii="Avenir Next" w:hAnsi="Avenir Next" w:cs="Arial"/>
          <w:sz w:val="22"/>
          <w:szCs w:val="22"/>
          <w:highlight w:val="yellow"/>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EB52AC" w:rsidRDefault="00B72F5F">
      <w:pPr>
        <w:pStyle w:val="ListParagraph"/>
        <w:numPr>
          <w:ilvl w:val="0"/>
          <w:numId w:val="6"/>
        </w:numPr>
        <w:ind w:left="426"/>
        <w:jc w:val="both"/>
        <w:rPr>
          <w:rFonts w:ascii="Avenir Next" w:hAnsi="Avenir Next" w:cs="Arial"/>
          <w:sz w:val="22"/>
          <w:szCs w:val="22"/>
          <w:highlight w:val="yellow"/>
          <w:lang w:val="en-GB"/>
        </w:rPr>
      </w:pPr>
      <w:r w:rsidRPr="00EB52AC">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EB52AC">
        <w:rPr>
          <w:rFonts w:ascii="Avenir Next" w:hAnsi="Avenir Next" w:cs="Arial"/>
          <w:sz w:val="22"/>
          <w:szCs w:val="22"/>
          <w:highlight w:val="yellow"/>
          <w:lang w:val="en-GB"/>
        </w:rPr>
        <w:t>will</w:t>
      </w:r>
      <w:r w:rsidRPr="00EB52AC">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EB52AC" w:rsidRDefault="00436884">
      <w:pPr>
        <w:pStyle w:val="ListParagraph"/>
        <w:numPr>
          <w:ilvl w:val="0"/>
          <w:numId w:val="7"/>
        </w:numPr>
        <w:ind w:left="426"/>
        <w:jc w:val="both"/>
        <w:rPr>
          <w:rFonts w:ascii="Avenir Next" w:hAnsi="Avenir Next" w:cs="Arial"/>
          <w:sz w:val="22"/>
          <w:szCs w:val="22"/>
          <w:highlight w:val="yellow"/>
          <w:lang w:val="en-GB"/>
        </w:rPr>
      </w:pPr>
      <w:r w:rsidRPr="00EB52AC">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C14B79" w:rsidRDefault="00436884">
      <w:pPr>
        <w:pStyle w:val="ListParagraph"/>
        <w:numPr>
          <w:ilvl w:val="0"/>
          <w:numId w:val="8"/>
        </w:numPr>
        <w:ind w:left="426"/>
        <w:jc w:val="both"/>
        <w:rPr>
          <w:rFonts w:ascii="Avenir Next" w:hAnsi="Avenir Next" w:cs="Arial"/>
          <w:sz w:val="22"/>
          <w:szCs w:val="22"/>
          <w:highlight w:val="yellow"/>
          <w:lang w:val="en-GB"/>
        </w:rPr>
      </w:pPr>
      <w:r w:rsidRPr="00C14B79">
        <w:rPr>
          <w:rFonts w:ascii="Avenir Next" w:hAnsi="Avenir Next" w:cs="Arial"/>
          <w:sz w:val="22"/>
          <w:szCs w:val="22"/>
          <w:highlight w:val="yellow"/>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pPr>
        <w:pStyle w:val="ListParagraph"/>
        <w:numPr>
          <w:ilvl w:val="0"/>
          <w:numId w:val="8"/>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C14B79" w:rsidRDefault="00436884">
      <w:pPr>
        <w:pStyle w:val="ListParagraph"/>
        <w:numPr>
          <w:ilvl w:val="0"/>
          <w:numId w:val="9"/>
        </w:numPr>
        <w:ind w:left="426"/>
        <w:jc w:val="both"/>
        <w:rPr>
          <w:rFonts w:ascii="Avenir Next" w:hAnsi="Avenir Next" w:cs="Arial"/>
          <w:sz w:val="22"/>
          <w:szCs w:val="22"/>
          <w:highlight w:val="yellow"/>
          <w:lang w:val="en-GB"/>
        </w:rPr>
      </w:pPr>
      <w:r w:rsidRPr="00C14B79">
        <w:rPr>
          <w:rFonts w:ascii="Avenir Next" w:hAnsi="Avenir Next" w:cs="Arial"/>
          <w:sz w:val="22"/>
          <w:szCs w:val="22"/>
          <w:highlight w:val="yellow"/>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C14B79" w:rsidRDefault="00436884">
      <w:pPr>
        <w:pStyle w:val="ListParagraph"/>
        <w:numPr>
          <w:ilvl w:val="0"/>
          <w:numId w:val="9"/>
        </w:numPr>
        <w:ind w:left="426"/>
        <w:jc w:val="both"/>
        <w:rPr>
          <w:rFonts w:ascii="Avenir Next" w:hAnsi="Avenir Next" w:cs="Arial"/>
          <w:sz w:val="22"/>
          <w:szCs w:val="22"/>
          <w:lang w:val="en-GB"/>
        </w:rPr>
      </w:pPr>
      <w:r w:rsidRPr="00C14B79">
        <w:rPr>
          <w:rFonts w:ascii="Avenir Next" w:hAnsi="Avenir Next" w:cs="Arial"/>
          <w:sz w:val="22"/>
          <w:szCs w:val="22"/>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D615CE" w:rsidRDefault="00436884">
      <w:pPr>
        <w:pStyle w:val="ListParagraph"/>
        <w:numPr>
          <w:ilvl w:val="0"/>
          <w:numId w:val="10"/>
        </w:numPr>
        <w:ind w:left="426"/>
        <w:jc w:val="both"/>
        <w:rPr>
          <w:rFonts w:ascii="Avenir Next" w:hAnsi="Avenir Next" w:cs="Arial"/>
          <w:sz w:val="22"/>
          <w:szCs w:val="22"/>
          <w:lang w:val="en-GB"/>
        </w:rPr>
      </w:pPr>
      <w:r w:rsidRPr="00D615CE">
        <w:rPr>
          <w:rFonts w:ascii="Avenir Next" w:hAnsi="Avenir Next" w:cs="Arial"/>
          <w:sz w:val="22"/>
          <w:szCs w:val="22"/>
          <w:lang w:val="en-GB"/>
        </w:rPr>
        <w:t>A foreign creditor has the same rights regarding the commencement of, and participation in, a proceeding as creditors in this State</w:t>
      </w:r>
      <w:r w:rsidR="002654E8" w:rsidRPr="00D615CE">
        <w:rPr>
          <w:rFonts w:ascii="Avenir Next" w:hAnsi="Avenir Next" w:cs="Arial"/>
          <w:sz w:val="22"/>
          <w:szCs w:val="22"/>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D615CE" w:rsidRDefault="00436884">
      <w:pPr>
        <w:pStyle w:val="ListParagraph"/>
        <w:numPr>
          <w:ilvl w:val="0"/>
          <w:numId w:val="10"/>
        </w:numPr>
        <w:spacing w:line="276" w:lineRule="auto"/>
        <w:ind w:left="426"/>
        <w:jc w:val="both"/>
        <w:rPr>
          <w:rFonts w:ascii="Avenir Next" w:hAnsi="Avenir Next" w:cs="Arial"/>
          <w:b/>
          <w:sz w:val="22"/>
          <w:szCs w:val="22"/>
          <w:highlight w:val="yellow"/>
          <w:lang w:val="en-GB"/>
        </w:rPr>
      </w:pPr>
      <w:r w:rsidRPr="00D615CE">
        <w:rPr>
          <w:rFonts w:ascii="Avenir Next" w:hAnsi="Avenir Next" w:cs="Arial"/>
          <w:bCs/>
          <w:sz w:val="22"/>
          <w:szCs w:val="22"/>
          <w:highlight w:val="yellow"/>
          <w:lang w:val="en-GB"/>
        </w:rPr>
        <w:t>Article 13 contains a uniform ranking system to avoid discrimination</w:t>
      </w:r>
      <w:r w:rsidR="001374D8" w:rsidRPr="00D615CE">
        <w:rPr>
          <w:rFonts w:ascii="Avenir Next" w:hAnsi="Avenir Next" w:cs="Arial"/>
          <w:bCs/>
          <w:sz w:val="22"/>
          <w:szCs w:val="22"/>
          <w:highlight w:val="yellow"/>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171CDE2E" w:rsidR="00CB56CE" w:rsidRPr="00B77352" w:rsidRDefault="00E975C6" w:rsidP="00E975C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appropriate date for determining the COMI of a debtor is the date of the commencement of the foreign proceedings. If the COMI of a debtor changes close in time to the commencement of the foreign proceedings, it may be challenging to establish the change in COMI as it should be readily ascertainable by third parties, such as creditors of the debtor.</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3948FAE5" w:rsidR="00867A8F" w:rsidRDefault="00E975C6" w:rsidP="001131C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Article 14.</w:t>
      </w:r>
      <w:r w:rsidR="00D10C00">
        <w:rPr>
          <w:rFonts w:ascii="Avenir Next" w:hAnsi="Avenir Next" w:cs="Arial"/>
          <w:color w:val="808080" w:themeColor="background1" w:themeShade="80"/>
          <w:sz w:val="22"/>
          <w:szCs w:val="22"/>
          <w:lang w:val="en-GB"/>
        </w:rPr>
        <w:t xml:space="preserve"> This contains the requirements that foreign creditors be individually notified of the commencement of the local proceedings regarding the debtor under the insolvency law of the enacting state, the time limit to file claims in the proceedings, and any address on conflict with treaty obligations of the enacted stated and clarification on what the creditor needs to do, without need for formality.</w:t>
      </w:r>
    </w:p>
    <w:p w14:paraId="19738524" w14:textId="7FC780A1" w:rsidR="00E975C6" w:rsidRDefault="00E975C6" w:rsidP="001131C2">
      <w:pPr>
        <w:jc w:val="both"/>
        <w:rPr>
          <w:rFonts w:ascii="Avenir Next" w:hAnsi="Avenir Next" w:cs="Arial"/>
          <w:color w:val="808080" w:themeColor="background1" w:themeShade="80"/>
          <w:sz w:val="22"/>
          <w:szCs w:val="22"/>
          <w:lang w:val="en-GB"/>
        </w:rPr>
      </w:pPr>
    </w:p>
    <w:p w14:paraId="239E966D" w14:textId="293423D8" w:rsidR="00E975C6" w:rsidRDefault="00E975C6" w:rsidP="001131C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Article 10.</w:t>
      </w:r>
      <w:r w:rsidR="00D10C00" w:rsidRPr="00D10C00">
        <w:rPr>
          <w:rFonts w:ascii="Avenir Next" w:hAnsi="Avenir Next" w:cs="Arial"/>
          <w:color w:val="808080" w:themeColor="background1" w:themeShade="80"/>
          <w:sz w:val="22"/>
          <w:szCs w:val="22"/>
          <w:lang w:val="en-GB"/>
        </w:rPr>
        <w:t xml:space="preserve"> </w:t>
      </w:r>
      <w:r w:rsidR="00D10C00">
        <w:rPr>
          <w:rFonts w:ascii="Avenir Next" w:hAnsi="Avenir Next" w:cs="Arial"/>
          <w:color w:val="808080" w:themeColor="background1" w:themeShade="80"/>
          <w:sz w:val="22"/>
          <w:szCs w:val="22"/>
          <w:lang w:val="en-GB"/>
        </w:rPr>
        <w:t>The ‘Safe Conduct Rule’ ensures that the court in the enacting state does not assume jurisdiction over all the assets of the debtor for the only reason that the foreign representative has made an application for the recognition of a foreign proceeding.</w:t>
      </w:r>
    </w:p>
    <w:p w14:paraId="1DC5C20A" w14:textId="46B1BFD7" w:rsidR="00E975C6" w:rsidRDefault="00E975C6" w:rsidP="001131C2">
      <w:pPr>
        <w:jc w:val="both"/>
        <w:rPr>
          <w:rFonts w:ascii="Avenir Next" w:hAnsi="Avenir Next" w:cs="Arial"/>
          <w:color w:val="808080" w:themeColor="background1" w:themeShade="80"/>
          <w:sz w:val="22"/>
          <w:szCs w:val="22"/>
          <w:lang w:val="en-GB"/>
        </w:rPr>
      </w:pPr>
    </w:p>
    <w:p w14:paraId="2C197C84" w14:textId="49493E33" w:rsidR="00E975C6" w:rsidRPr="00B77352" w:rsidRDefault="00E975C6" w:rsidP="001131C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Article </w:t>
      </w:r>
      <w:r w:rsidR="00135F2D">
        <w:rPr>
          <w:rFonts w:ascii="Avenir Next" w:hAnsi="Avenir Next" w:cs="Arial"/>
          <w:color w:val="808080" w:themeColor="background1" w:themeShade="80"/>
          <w:sz w:val="22"/>
          <w:szCs w:val="22"/>
          <w:lang w:val="en-GB"/>
        </w:rPr>
        <w:t>16(3). It provides that the debtor’s registered office or habitual residence is presumed to be the debtor’s centre of main interest (or “COMI”), which is a key concept undefined in the Model Laws.</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7E6BC6EC" w:rsidR="00867A8F" w:rsidRPr="00B77352" w:rsidRDefault="00A13437" w:rsidP="001131C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appeal, IBA argued that there should be an indefinite stay of English proceedings</w:t>
      </w:r>
      <w:r w:rsidR="001131C2">
        <w:rPr>
          <w:rFonts w:ascii="Avenir Next" w:hAnsi="Avenir Next" w:cs="Arial"/>
          <w:color w:val="808080" w:themeColor="background1" w:themeShade="80"/>
          <w:sz w:val="22"/>
          <w:szCs w:val="22"/>
          <w:lang w:val="en-GB"/>
        </w:rPr>
        <w:t xml:space="preserve"> to prevent certain creditors from enforcing their claims in English law against it notwithstanding its restructuring plan in Azeri</w:t>
      </w:r>
      <w:r>
        <w:rPr>
          <w:rFonts w:ascii="Avenir Next" w:hAnsi="Avenir Next" w:cs="Arial"/>
          <w:color w:val="808080" w:themeColor="background1" w:themeShade="80"/>
          <w:sz w:val="22"/>
          <w:szCs w:val="22"/>
          <w:lang w:val="en-GB"/>
        </w:rPr>
        <w:t>. The Court of Appeal refused this, holding that t</w:t>
      </w:r>
      <w:r w:rsidRPr="00A13437">
        <w:rPr>
          <w:rFonts w:ascii="Avenir Next" w:hAnsi="Avenir Next" w:cs="Arial"/>
          <w:color w:val="808080" w:themeColor="background1" w:themeShade="80"/>
          <w:sz w:val="22"/>
          <w:szCs w:val="22"/>
          <w:lang w:val="en-GB"/>
        </w:rPr>
        <w:t>he permanent stay was not necessary to protect the interests of IBA's creditors</w:t>
      </w:r>
      <w:r w:rsidR="004A4D66">
        <w:rPr>
          <w:rFonts w:ascii="Avenir Next" w:hAnsi="Avenir Next" w:cs="Arial"/>
          <w:color w:val="808080" w:themeColor="background1" w:themeShade="80"/>
          <w:sz w:val="22"/>
          <w:szCs w:val="22"/>
          <w:lang w:val="en-GB"/>
        </w:rPr>
        <w:t xml:space="preserve"> for the grant of appropriate relief</w:t>
      </w:r>
      <w:r w:rsidRPr="00A13437">
        <w:rPr>
          <w:rFonts w:ascii="Avenir Next" w:hAnsi="Avenir Next" w:cs="Arial"/>
          <w:color w:val="808080" w:themeColor="background1" w:themeShade="80"/>
          <w:sz w:val="22"/>
          <w:szCs w:val="22"/>
          <w:lang w:val="en-GB"/>
        </w:rPr>
        <w:t xml:space="preserve"> (the requirement under the Cross-Border Insolvency Regulations 2006 (the "CBIR 2006"), which implemented the UNCITRAL Model Law on Cross-Border Insolvency (the "</w:t>
      </w:r>
      <w:r w:rsidR="00E12F5A">
        <w:rPr>
          <w:rFonts w:ascii="Avenir Next" w:hAnsi="Avenir Next" w:cs="Arial"/>
          <w:color w:val="808080" w:themeColor="background1" w:themeShade="80"/>
          <w:sz w:val="22"/>
          <w:szCs w:val="22"/>
          <w:lang w:val="en-GB"/>
        </w:rPr>
        <w:t>MLCBI</w:t>
      </w:r>
      <w:r w:rsidRPr="00A13437">
        <w:rPr>
          <w:rFonts w:ascii="Avenir Next" w:hAnsi="Avenir Next" w:cs="Arial"/>
          <w:color w:val="808080" w:themeColor="background1" w:themeShade="80"/>
          <w:sz w:val="22"/>
          <w:szCs w:val="22"/>
          <w:lang w:val="en-GB"/>
        </w:rPr>
        <w:t>") in the UK).</w:t>
      </w:r>
      <w:r>
        <w:rPr>
          <w:rFonts w:ascii="Avenir Next" w:hAnsi="Avenir Next" w:cs="Arial"/>
          <w:color w:val="808080" w:themeColor="background1" w:themeShade="80"/>
          <w:sz w:val="22"/>
          <w:szCs w:val="22"/>
          <w:lang w:val="en-GB"/>
        </w:rPr>
        <w:t xml:space="preserve"> </w:t>
      </w:r>
      <w:r w:rsidR="004A4D66">
        <w:rPr>
          <w:rFonts w:ascii="Avenir Next" w:hAnsi="Avenir Next" w:cs="Arial"/>
          <w:color w:val="808080" w:themeColor="background1" w:themeShade="80"/>
          <w:sz w:val="22"/>
          <w:szCs w:val="22"/>
          <w:lang w:val="en-GB"/>
        </w:rPr>
        <w:t xml:space="preserve">Further, the Court held that the </w:t>
      </w:r>
      <w:r w:rsidRPr="00A13437">
        <w:rPr>
          <w:rFonts w:ascii="Avenir Next" w:hAnsi="Avenir Next" w:cs="Arial"/>
          <w:color w:val="808080" w:themeColor="background1" w:themeShade="80"/>
          <w:sz w:val="22"/>
          <w:szCs w:val="22"/>
          <w:lang w:val="en-GB"/>
        </w:rPr>
        <w:t xml:space="preserve">scope of the </w:t>
      </w:r>
      <w:r w:rsidR="00E12F5A">
        <w:rPr>
          <w:rFonts w:ascii="Avenir Next" w:hAnsi="Avenir Next" w:cs="Arial"/>
          <w:color w:val="808080" w:themeColor="background1" w:themeShade="80"/>
          <w:sz w:val="22"/>
          <w:szCs w:val="22"/>
          <w:lang w:val="en-GB"/>
        </w:rPr>
        <w:t>MLCBI</w:t>
      </w:r>
      <w:r w:rsidRPr="00A13437">
        <w:rPr>
          <w:rFonts w:ascii="Avenir Next" w:hAnsi="Avenir Next" w:cs="Arial"/>
          <w:color w:val="808080" w:themeColor="background1" w:themeShade="80"/>
          <w:sz w:val="22"/>
          <w:szCs w:val="22"/>
          <w:lang w:val="en-GB"/>
        </w:rPr>
        <w:t xml:space="preserve"> was limited to procedural aspects of cross-border insolvency cases – there was nothing in the CBIR 2006 to suggest that the procedural power to grant a stay could be used to extinguish the substantive rights guaranteed by </w:t>
      </w:r>
      <w:r w:rsidR="004A4D66" w:rsidRPr="00A13437">
        <w:rPr>
          <w:rFonts w:ascii="Avenir Next" w:hAnsi="Avenir Next" w:cs="Arial"/>
          <w:i/>
          <w:iCs/>
          <w:color w:val="808080" w:themeColor="background1" w:themeShade="80"/>
          <w:sz w:val="22"/>
          <w:szCs w:val="22"/>
        </w:rPr>
        <w:t xml:space="preserve">Antony Gibbs &amp; Sons v La Société </w:t>
      </w:r>
      <w:proofErr w:type="spellStart"/>
      <w:r w:rsidR="004A4D66" w:rsidRPr="00A13437">
        <w:rPr>
          <w:rFonts w:ascii="Avenir Next" w:hAnsi="Avenir Next" w:cs="Arial"/>
          <w:i/>
          <w:iCs/>
          <w:color w:val="808080" w:themeColor="background1" w:themeShade="80"/>
          <w:sz w:val="22"/>
          <w:szCs w:val="22"/>
        </w:rPr>
        <w:t>Industrielle</w:t>
      </w:r>
      <w:proofErr w:type="spellEnd"/>
      <w:r w:rsidR="004A4D66" w:rsidRPr="00A13437">
        <w:rPr>
          <w:rFonts w:ascii="Avenir Next" w:hAnsi="Avenir Next" w:cs="Arial"/>
          <w:i/>
          <w:iCs/>
          <w:color w:val="808080" w:themeColor="background1" w:themeShade="80"/>
          <w:sz w:val="22"/>
          <w:szCs w:val="22"/>
        </w:rPr>
        <w:t xml:space="preserve"> et Commerciale des </w:t>
      </w:r>
      <w:proofErr w:type="spellStart"/>
      <w:r w:rsidR="004A4D66" w:rsidRPr="00A13437">
        <w:rPr>
          <w:rFonts w:ascii="Avenir Next" w:hAnsi="Avenir Next" w:cs="Arial"/>
          <w:i/>
          <w:iCs/>
          <w:color w:val="808080" w:themeColor="background1" w:themeShade="80"/>
          <w:sz w:val="22"/>
          <w:szCs w:val="22"/>
        </w:rPr>
        <w:t>Métaux</w:t>
      </w:r>
      <w:proofErr w:type="spellEnd"/>
      <w:r w:rsidR="004A4D66" w:rsidRPr="00A13437">
        <w:rPr>
          <w:rFonts w:ascii="Avenir Next" w:hAnsi="Avenir Next" w:cs="Arial"/>
          <w:i/>
          <w:iCs/>
          <w:color w:val="808080" w:themeColor="background1" w:themeShade="80"/>
          <w:sz w:val="22"/>
          <w:szCs w:val="22"/>
        </w:rPr>
        <w:t xml:space="preserve"> (1890) LR 25 QBD 399</w:t>
      </w:r>
      <w:r w:rsidRPr="00A13437">
        <w:rPr>
          <w:rFonts w:ascii="Avenir Next" w:hAnsi="Avenir Next" w:cs="Arial"/>
          <w:color w:val="808080" w:themeColor="background1" w:themeShade="80"/>
          <w:sz w:val="22"/>
          <w:szCs w:val="22"/>
          <w:lang w:val="en-GB"/>
        </w:rPr>
        <w:t xml:space="preserve">. </w:t>
      </w:r>
      <w:r w:rsidR="001131C2">
        <w:rPr>
          <w:rFonts w:ascii="Avenir Next" w:hAnsi="Avenir Next" w:cs="Arial"/>
          <w:color w:val="808080" w:themeColor="background1" w:themeShade="80"/>
          <w:sz w:val="22"/>
          <w:szCs w:val="22"/>
          <w:lang w:val="en-GB"/>
        </w:rPr>
        <w:t>T</w:t>
      </w:r>
      <w:r w:rsidRPr="00A13437">
        <w:rPr>
          <w:rFonts w:ascii="Avenir Next" w:hAnsi="Avenir Next" w:cs="Arial"/>
          <w:color w:val="808080" w:themeColor="background1" w:themeShade="80"/>
          <w:sz w:val="22"/>
          <w:szCs w:val="22"/>
          <w:lang w:val="en-GB"/>
        </w:rPr>
        <w:t>he principle of universalism could not be used to justify the disregard of English law to assist a foreign insolvency process</w:t>
      </w:r>
      <w:r w:rsidR="001131C2">
        <w:rPr>
          <w:rFonts w:ascii="Avenir Next" w:hAnsi="Avenir Next" w:cs="Arial"/>
          <w:color w:val="808080" w:themeColor="background1" w:themeShade="80"/>
          <w:sz w:val="22"/>
          <w:szCs w:val="22"/>
          <w:lang w:val="en-GB"/>
        </w:rPr>
        <w:t xml:space="preserve"> (</w:t>
      </w:r>
      <w:r w:rsidR="001131C2" w:rsidRPr="00E71D3F">
        <w:rPr>
          <w:rFonts w:ascii="Avenir Next" w:hAnsi="Avenir Next" w:cs="Arial"/>
          <w:i/>
          <w:iCs/>
          <w:color w:val="808080" w:themeColor="background1" w:themeShade="80"/>
          <w:sz w:val="22"/>
          <w:szCs w:val="22"/>
          <w:lang w:val="en-GB"/>
        </w:rPr>
        <w:t xml:space="preserve">Rubin v </w:t>
      </w:r>
      <w:proofErr w:type="spellStart"/>
      <w:r w:rsidR="001131C2" w:rsidRPr="00E71D3F">
        <w:rPr>
          <w:rFonts w:ascii="Avenir Next" w:hAnsi="Avenir Next" w:cs="Arial"/>
          <w:i/>
          <w:iCs/>
          <w:color w:val="808080" w:themeColor="background1" w:themeShade="80"/>
          <w:sz w:val="22"/>
          <w:szCs w:val="22"/>
          <w:lang w:val="en-GB"/>
        </w:rPr>
        <w:t>Eurofinance</w:t>
      </w:r>
      <w:proofErr w:type="spellEnd"/>
      <w:r w:rsidR="001131C2" w:rsidRPr="00E71D3F">
        <w:rPr>
          <w:rFonts w:ascii="Avenir Next" w:hAnsi="Avenir Next" w:cs="Arial"/>
          <w:i/>
          <w:iCs/>
          <w:color w:val="808080" w:themeColor="background1" w:themeShade="80"/>
          <w:sz w:val="22"/>
          <w:szCs w:val="22"/>
          <w:lang w:val="en-GB"/>
        </w:rPr>
        <w:t xml:space="preserve"> SA</w:t>
      </w:r>
      <w:r w:rsidR="001131C2" w:rsidRPr="00A13437">
        <w:rPr>
          <w:rFonts w:ascii="Avenir Next" w:hAnsi="Avenir Next" w:cs="Arial"/>
          <w:color w:val="808080" w:themeColor="background1" w:themeShade="80"/>
          <w:sz w:val="22"/>
          <w:szCs w:val="22"/>
          <w:lang w:val="en-GB"/>
        </w:rPr>
        <w:t xml:space="preserve"> [2012] UKSC 46</w:t>
      </w:r>
      <w:r w:rsidR="001131C2">
        <w:rPr>
          <w:rFonts w:ascii="Avenir Next" w:hAnsi="Avenir Next" w:cs="Arial"/>
          <w:color w:val="808080" w:themeColor="background1" w:themeShade="80"/>
          <w:sz w:val="22"/>
          <w:szCs w:val="22"/>
          <w:lang w:val="en-GB"/>
        </w:rPr>
        <w:t>)</w:t>
      </w:r>
      <w:r w:rsidR="004A4D66">
        <w:rPr>
          <w:rFonts w:ascii="Avenir Next" w:hAnsi="Avenir Next" w:cs="Arial"/>
          <w:color w:val="808080" w:themeColor="background1" w:themeShade="80"/>
          <w:sz w:val="22"/>
          <w:szCs w:val="22"/>
          <w:lang w:val="en-GB"/>
        </w:rPr>
        <w:t xml:space="preserve">. Finally, the Court observed that it </w:t>
      </w:r>
      <w:r w:rsidRPr="00A13437">
        <w:rPr>
          <w:rFonts w:ascii="Avenir Next" w:hAnsi="Avenir Next" w:cs="Arial"/>
          <w:color w:val="808080" w:themeColor="background1" w:themeShade="80"/>
          <w:sz w:val="22"/>
          <w:szCs w:val="22"/>
          <w:lang w:val="en-GB"/>
        </w:rPr>
        <w:t xml:space="preserve">would be inconsistent with the </w:t>
      </w:r>
      <w:r w:rsidR="00E12F5A">
        <w:rPr>
          <w:rFonts w:ascii="Avenir Next" w:hAnsi="Avenir Next" w:cs="Arial"/>
          <w:color w:val="808080" w:themeColor="background1" w:themeShade="80"/>
          <w:sz w:val="22"/>
          <w:szCs w:val="22"/>
          <w:lang w:val="en-GB"/>
        </w:rPr>
        <w:t>MLCBI</w:t>
      </w:r>
      <w:r w:rsidRPr="00A13437">
        <w:rPr>
          <w:rFonts w:ascii="Avenir Next" w:hAnsi="Avenir Next" w:cs="Arial"/>
          <w:color w:val="808080" w:themeColor="background1" w:themeShade="80"/>
          <w:sz w:val="22"/>
          <w:szCs w:val="22"/>
          <w:lang w:val="en-GB"/>
        </w:rPr>
        <w:t>'s procedural and supporting role for a stay granted under the CBIR 2006 to outlast the foreign proceedings to which the stay related.</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2CAA7DB1" w14:textId="22B6CA95" w:rsidR="00946F9C" w:rsidRDefault="00946F9C" w:rsidP="00946F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in an enacting state should consider reliefs under Article 29(a) </w:t>
      </w:r>
      <w:r w:rsidRPr="00946F9C">
        <w:rPr>
          <w:rFonts w:ascii="Avenir Next" w:hAnsi="Avenir Next" w:cs="Arial"/>
          <w:color w:val="808080" w:themeColor="background1" w:themeShade="80"/>
          <w:sz w:val="22"/>
          <w:szCs w:val="22"/>
          <w:lang w:val="en-GB"/>
        </w:rPr>
        <w:t xml:space="preserve">after recognition of a foreign main proceeding </w:t>
      </w:r>
      <w:r>
        <w:rPr>
          <w:rFonts w:ascii="Avenir Next" w:hAnsi="Avenir Next" w:cs="Arial"/>
          <w:color w:val="808080" w:themeColor="background1" w:themeShade="80"/>
          <w:sz w:val="22"/>
          <w:szCs w:val="22"/>
          <w:lang w:val="en-GB"/>
        </w:rPr>
        <w:t>(where a domestic proceeding has already been opened in respect of the debtor). This features two limbs: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any relief granted under Articles 19 or 21 must be consistent with the domestic proceeding; and (ii) Article 20 does not apply (since the proceeding is a foreign main proceeding).</w:t>
      </w:r>
    </w:p>
    <w:p w14:paraId="598681BB" w14:textId="182BC757" w:rsidR="00946F9C" w:rsidRDefault="00946F9C" w:rsidP="00946F9C">
      <w:pPr>
        <w:jc w:val="both"/>
        <w:rPr>
          <w:rFonts w:ascii="Avenir Next" w:hAnsi="Avenir Next" w:cs="Arial"/>
          <w:color w:val="808080" w:themeColor="background1" w:themeShade="80"/>
          <w:sz w:val="22"/>
          <w:szCs w:val="22"/>
          <w:lang w:val="en-GB"/>
        </w:rPr>
      </w:pPr>
    </w:p>
    <w:p w14:paraId="091C3AB8" w14:textId="3A854DDD" w:rsidR="00946F9C" w:rsidRDefault="00946F9C" w:rsidP="00946F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ongoing duty of information for the foreign representative in a foreign main proceeding owed to the court of the enacting state is in Article 18. The foreign representative must inform the court </w:t>
      </w:r>
      <w:r w:rsidR="00E0513F">
        <w:rPr>
          <w:rFonts w:ascii="Avenir Next" w:hAnsi="Avenir Next" w:cs="Arial"/>
          <w:color w:val="808080" w:themeColor="background1" w:themeShade="80"/>
          <w:sz w:val="22"/>
          <w:szCs w:val="22"/>
          <w:lang w:val="en-GB"/>
        </w:rPr>
        <w:t xml:space="preserve">promptly </w:t>
      </w:r>
      <w:r>
        <w:rPr>
          <w:rFonts w:ascii="Avenir Next" w:hAnsi="Avenir Next" w:cs="Arial"/>
          <w:color w:val="808080" w:themeColor="background1" w:themeShade="80"/>
          <w:sz w:val="22"/>
          <w:szCs w:val="22"/>
          <w:lang w:val="en-GB"/>
        </w:rPr>
        <w:t>of any substantial change in the status of the recognised foreign proceeding or the status of the foreign representative’s appointment and any other foreign proceedings regarding the same debtor that becomes known to the foreign representative.</w:t>
      </w:r>
    </w:p>
    <w:p w14:paraId="628B175D" w14:textId="1B05625D" w:rsidR="00946F9C" w:rsidRDefault="00946F9C" w:rsidP="00946F9C">
      <w:pPr>
        <w:ind w:left="720" w:hanging="720"/>
        <w:jc w:val="both"/>
        <w:rPr>
          <w:rFonts w:ascii="Avenir Next" w:hAnsi="Avenir Next" w:cs="Arial"/>
          <w:color w:val="808080" w:themeColor="background1" w:themeShade="80"/>
          <w:sz w:val="22"/>
          <w:szCs w:val="22"/>
          <w:lang w:val="en-GB"/>
        </w:rPr>
      </w:pPr>
    </w:p>
    <w:p w14:paraId="18F91E21" w14:textId="23A4ABB2" w:rsidR="00867A8F" w:rsidRPr="00B77352" w:rsidRDefault="00867A8F" w:rsidP="00867A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2CD1186A" w14:textId="77777777" w:rsidR="00E0513F" w:rsidRDefault="00E0513F" w:rsidP="00E0513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provisions on access and cooperation codified in Chapter II and IV of the </w:t>
      </w:r>
      <w:r w:rsidR="008F13EE" w:rsidRPr="00E0513F">
        <w:rPr>
          <w:rFonts w:ascii="Avenir Next" w:hAnsi="Avenir Next" w:cs="Arial"/>
          <w:color w:val="808080" w:themeColor="background1" w:themeShade="80"/>
          <w:sz w:val="22"/>
          <w:szCs w:val="22"/>
          <w:lang w:val="en-GB"/>
        </w:rPr>
        <w:t xml:space="preserve">UNCITRAL Model Law on Cross-Border Insolvency (the "MLCBI") </w:t>
      </w:r>
      <w:r>
        <w:rPr>
          <w:rFonts w:ascii="Avenir Next" w:hAnsi="Avenir Next" w:cs="Arial"/>
          <w:color w:val="808080" w:themeColor="background1" w:themeShade="80"/>
          <w:sz w:val="22"/>
          <w:szCs w:val="22"/>
          <w:lang w:val="en-GB"/>
        </w:rPr>
        <w:t>grants the foreign representative access to the courts of State A (</w:t>
      </w:r>
      <w:proofErr w:type="spellStart"/>
      <w:r w:rsidRPr="00E0513F">
        <w:rPr>
          <w:rFonts w:ascii="Avenir Next" w:hAnsi="Avenir Next" w:cs="Arial"/>
          <w:i/>
          <w:iCs/>
          <w:color w:val="808080" w:themeColor="background1" w:themeShade="80"/>
          <w:sz w:val="22"/>
          <w:szCs w:val="22"/>
          <w:lang w:val="en-GB"/>
        </w:rPr>
        <w:t>ie</w:t>
      </w:r>
      <w:proofErr w:type="spellEnd"/>
      <w:r w:rsidRPr="00E0513F">
        <w:rPr>
          <w:rFonts w:ascii="Avenir Next" w:hAnsi="Avenir Next" w:cs="Arial"/>
          <w:i/>
          <w:iCs/>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standing and rights) and facilitates communication between the courts of State A with State B and the foreign representative himself. </w:t>
      </w:r>
    </w:p>
    <w:p w14:paraId="2B347B99" w14:textId="121D7BC8" w:rsidR="00E0513F" w:rsidRDefault="00E0513F" w:rsidP="00E0513F">
      <w:pPr>
        <w:jc w:val="both"/>
        <w:rPr>
          <w:rFonts w:ascii="Avenir Next" w:hAnsi="Avenir Next" w:cs="Arial"/>
          <w:color w:val="808080" w:themeColor="background1" w:themeShade="80"/>
          <w:sz w:val="22"/>
          <w:szCs w:val="22"/>
          <w:lang w:val="en-GB"/>
        </w:rPr>
      </w:pPr>
    </w:p>
    <w:p w14:paraId="10227450" w14:textId="251FC29E" w:rsidR="001B128E" w:rsidRPr="001B128E" w:rsidRDefault="001B128E" w:rsidP="00E0513F">
      <w:pPr>
        <w:jc w:val="both"/>
        <w:rPr>
          <w:rFonts w:ascii="Avenir Next" w:hAnsi="Avenir Next" w:cs="Arial"/>
          <w:b/>
          <w:bCs/>
          <w:color w:val="808080" w:themeColor="background1" w:themeShade="80"/>
          <w:sz w:val="22"/>
          <w:szCs w:val="22"/>
          <w:u w:val="single"/>
          <w:lang w:val="en-GB"/>
        </w:rPr>
      </w:pPr>
      <w:r w:rsidRPr="001B128E">
        <w:rPr>
          <w:rFonts w:ascii="Avenir Next" w:hAnsi="Avenir Next" w:cs="Arial"/>
          <w:b/>
          <w:bCs/>
          <w:color w:val="808080" w:themeColor="background1" w:themeShade="80"/>
          <w:sz w:val="22"/>
          <w:szCs w:val="22"/>
          <w:u w:val="single"/>
          <w:lang w:val="en-GB"/>
        </w:rPr>
        <w:t>Access</w:t>
      </w:r>
    </w:p>
    <w:p w14:paraId="525C4A41" w14:textId="27600172" w:rsidR="008F13EE" w:rsidRDefault="00E0513F" w:rsidP="00E0513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9 </w:t>
      </w:r>
      <w:r w:rsidR="00C32D0D">
        <w:rPr>
          <w:rFonts w:ascii="Avenir Next" w:hAnsi="Avenir Next" w:cs="Arial"/>
          <w:color w:val="808080" w:themeColor="background1" w:themeShade="80"/>
          <w:sz w:val="22"/>
          <w:szCs w:val="22"/>
          <w:lang w:val="en-GB"/>
        </w:rPr>
        <w:t>entitles a foreign representative to file a</w:t>
      </w:r>
      <w:r w:rsidR="00DD1AC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direct application </w:t>
      </w:r>
      <w:r w:rsidR="008F13EE">
        <w:rPr>
          <w:rFonts w:ascii="Avenir Next" w:hAnsi="Avenir Next" w:cs="Arial"/>
          <w:color w:val="808080" w:themeColor="background1" w:themeShade="80"/>
          <w:sz w:val="22"/>
          <w:szCs w:val="22"/>
          <w:lang w:val="en-GB"/>
        </w:rPr>
        <w:t>to a court in State A</w:t>
      </w:r>
      <w:r>
        <w:rPr>
          <w:rFonts w:ascii="Avenir Next" w:hAnsi="Avenir Next" w:cs="Arial"/>
          <w:color w:val="808080" w:themeColor="background1" w:themeShade="80"/>
          <w:sz w:val="22"/>
          <w:szCs w:val="22"/>
          <w:lang w:val="en-GB"/>
        </w:rPr>
        <w:t>.</w:t>
      </w:r>
      <w:r w:rsidR="008F13EE">
        <w:rPr>
          <w:rFonts w:ascii="Avenir Next" w:hAnsi="Avenir Next" w:cs="Arial"/>
          <w:color w:val="808080" w:themeColor="background1" w:themeShade="80"/>
          <w:sz w:val="22"/>
          <w:szCs w:val="22"/>
          <w:lang w:val="en-GB"/>
        </w:rPr>
        <w:t xml:space="preserve"> </w:t>
      </w:r>
      <w:r w:rsidR="00352393">
        <w:rPr>
          <w:rFonts w:ascii="Avenir Next" w:hAnsi="Avenir Next" w:cs="Arial"/>
          <w:color w:val="808080" w:themeColor="background1" w:themeShade="80"/>
          <w:sz w:val="22"/>
          <w:szCs w:val="22"/>
          <w:lang w:val="en-GB"/>
        </w:rPr>
        <w:t>This confers</w:t>
      </w:r>
      <w:r w:rsidR="008F13EE">
        <w:rPr>
          <w:rFonts w:ascii="Avenir Next" w:hAnsi="Avenir Next" w:cs="Arial"/>
          <w:color w:val="808080" w:themeColor="background1" w:themeShade="80"/>
          <w:sz w:val="22"/>
          <w:szCs w:val="22"/>
          <w:lang w:val="en-GB"/>
        </w:rPr>
        <w:t xml:space="preserve"> standing</w:t>
      </w:r>
      <w:r w:rsidR="00352393">
        <w:rPr>
          <w:rFonts w:ascii="Avenir Next" w:hAnsi="Avenir Next" w:cs="Arial"/>
          <w:color w:val="808080" w:themeColor="background1" w:themeShade="80"/>
          <w:sz w:val="22"/>
          <w:szCs w:val="22"/>
          <w:lang w:val="en-GB"/>
        </w:rPr>
        <w:t xml:space="preserve"> on the representative</w:t>
      </w:r>
      <w:r w:rsidR="008F13EE">
        <w:rPr>
          <w:rFonts w:ascii="Avenir Next" w:hAnsi="Avenir Next" w:cs="Arial"/>
          <w:color w:val="808080" w:themeColor="background1" w:themeShade="80"/>
          <w:sz w:val="22"/>
          <w:szCs w:val="22"/>
          <w:lang w:val="en-GB"/>
        </w:rPr>
        <w:t xml:space="preserve"> without any prior recognition of </w:t>
      </w:r>
      <w:r w:rsidR="00352393">
        <w:rPr>
          <w:rFonts w:ascii="Avenir Next" w:hAnsi="Avenir Next" w:cs="Arial"/>
          <w:color w:val="808080" w:themeColor="background1" w:themeShade="80"/>
          <w:sz w:val="22"/>
          <w:szCs w:val="22"/>
          <w:lang w:val="en-GB"/>
        </w:rPr>
        <w:t xml:space="preserve">the </w:t>
      </w:r>
      <w:r w:rsidR="008F13EE">
        <w:rPr>
          <w:rFonts w:ascii="Avenir Next" w:hAnsi="Avenir Next" w:cs="Arial"/>
          <w:color w:val="808080" w:themeColor="background1" w:themeShade="80"/>
          <w:sz w:val="22"/>
          <w:szCs w:val="22"/>
          <w:lang w:val="en-GB"/>
        </w:rPr>
        <w:t>foreign proceedings</w:t>
      </w:r>
      <w:r w:rsidR="00352393">
        <w:rPr>
          <w:rFonts w:ascii="Avenir Next" w:hAnsi="Avenir Next" w:cs="Arial"/>
          <w:color w:val="808080" w:themeColor="background1" w:themeShade="80"/>
          <w:sz w:val="22"/>
          <w:szCs w:val="22"/>
          <w:lang w:val="en-GB"/>
        </w:rPr>
        <w:t xml:space="preserve"> in State B</w:t>
      </w:r>
      <w:r w:rsidR="008F13EE">
        <w:rPr>
          <w:rFonts w:ascii="Avenir Next" w:hAnsi="Avenir Next" w:cs="Arial"/>
          <w:color w:val="808080" w:themeColor="background1" w:themeShade="80"/>
          <w:sz w:val="22"/>
          <w:szCs w:val="22"/>
          <w:lang w:val="en-GB"/>
        </w:rPr>
        <w:t>. Article 11</w:t>
      </w:r>
      <w:r w:rsidR="00352393">
        <w:rPr>
          <w:rFonts w:ascii="Avenir Next" w:hAnsi="Avenir Next" w:cs="Arial"/>
          <w:color w:val="808080" w:themeColor="background1" w:themeShade="80"/>
          <w:sz w:val="22"/>
          <w:szCs w:val="22"/>
          <w:lang w:val="en-GB"/>
        </w:rPr>
        <w:t xml:space="preserve"> allows a foreign representative to </w:t>
      </w:r>
      <w:r w:rsidR="008F13EE">
        <w:rPr>
          <w:rFonts w:ascii="Avenir Next" w:hAnsi="Avenir Next" w:cs="Arial"/>
          <w:color w:val="808080" w:themeColor="background1" w:themeShade="80"/>
          <w:sz w:val="22"/>
          <w:szCs w:val="22"/>
          <w:lang w:val="en-GB"/>
        </w:rPr>
        <w:t>commence a proceeding where the conditions for commencing such a proceeding is met</w:t>
      </w:r>
      <w:r>
        <w:rPr>
          <w:rFonts w:ascii="Avenir Next" w:hAnsi="Avenir Next" w:cs="Arial"/>
          <w:color w:val="808080" w:themeColor="background1" w:themeShade="80"/>
          <w:sz w:val="22"/>
          <w:szCs w:val="22"/>
          <w:lang w:val="en-GB"/>
        </w:rPr>
        <w:t xml:space="preserve">, without any prior recognition of foreign proceedings. </w:t>
      </w:r>
      <w:r w:rsidR="005913B1">
        <w:rPr>
          <w:rFonts w:ascii="Avenir Next" w:hAnsi="Avenir Next" w:cs="Arial"/>
          <w:color w:val="808080" w:themeColor="background1" w:themeShade="80"/>
          <w:sz w:val="22"/>
          <w:szCs w:val="22"/>
          <w:lang w:val="en-GB"/>
        </w:rPr>
        <w:t>More importantly, pursuant to Article 10,</w:t>
      </w:r>
      <w:r>
        <w:rPr>
          <w:rFonts w:ascii="Avenir Next" w:hAnsi="Avenir Next" w:cs="Arial"/>
          <w:color w:val="808080" w:themeColor="background1" w:themeShade="80"/>
          <w:sz w:val="22"/>
          <w:szCs w:val="22"/>
          <w:lang w:val="en-GB"/>
        </w:rPr>
        <w:t xml:space="preserve"> the ‘safe conduct’ rule ensures</w:t>
      </w:r>
      <w:r w:rsidR="005913B1">
        <w:rPr>
          <w:rFonts w:ascii="Avenir Next" w:hAnsi="Avenir Next" w:cs="Arial"/>
          <w:color w:val="808080" w:themeColor="background1" w:themeShade="80"/>
          <w:sz w:val="22"/>
          <w:szCs w:val="22"/>
          <w:lang w:val="en-GB"/>
        </w:rPr>
        <w:t xml:space="preserve"> that</w:t>
      </w:r>
      <w:r w:rsidR="008F13EE">
        <w:rPr>
          <w:rFonts w:ascii="Avenir Next" w:hAnsi="Avenir Next" w:cs="Arial"/>
          <w:color w:val="808080" w:themeColor="background1" w:themeShade="80"/>
          <w:sz w:val="22"/>
          <w:szCs w:val="22"/>
          <w:lang w:val="en-GB"/>
        </w:rPr>
        <w:t xml:space="preserve"> the courts in State A do not assume jurisdiction over all assets of the debtor on the </w:t>
      </w:r>
      <w:r w:rsidR="005913B1">
        <w:rPr>
          <w:rFonts w:ascii="Avenir Next" w:hAnsi="Avenir Next" w:cs="Arial"/>
          <w:color w:val="808080" w:themeColor="background1" w:themeShade="80"/>
          <w:sz w:val="22"/>
          <w:szCs w:val="22"/>
          <w:lang w:val="en-GB"/>
        </w:rPr>
        <w:t>sole</w:t>
      </w:r>
      <w:r>
        <w:rPr>
          <w:rFonts w:ascii="Avenir Next" w:hAnsi="Avenir Next" w:cs="Arial"/>
          <w:color w:val="808080" w:themeColor="background1" w:themeShade="80"/>
          <w:sz w:val="22"/>
          <w:szCs w:val="22"/>
          <w:lang w:val="en-GB"/>
        </w:rPr>
        <w:t xml:space="preserve"> basis</w:t>
      </w:r>
      <w:r w:rsidR="008F13EE">
        <w:rPr>
          <w:rFonts w:ascii="Avenir Next" w:hAnsi="Avenir Next" w:cs="Arial"/>
          <w:color w:val="808080" w:themeColor="background1" w:themeShade="80"/>
          <w:sz w:val="22"/>
          <w:szCs w:val="22"/>
          <w:lang w:val="en-GB"/>
        </w:rPr>
        <w:t xml:space="preserve"> that the foreign representative has made an application for recognition</w:t>
      </w:r>
      <w:r w:rsidR="005913B1">
        <w:rPr>
          <w:rFonts w:ascii="Avenir Next" w:hAnsi="Avenir Next" w:cs="Arial"/>
          <w:color w:val="808080" w:themeColor="background1" w:themeShade="80"/>
          <w:sz w:val="22"/>
          <w:szCs w:val="22"/>
          <w:lang w:val="en-GB"/>
        </w:rPr>
        <w:t xml:space="preserve"> – thereby confining the scope of the court’s jurisdiction to the application. Upon recognition of the foreign proceedings in State B, </w:t>
      </w:r>
      <w:r w:rsidR="008F13EE">
        <w:rPr>
          <w:rFonts w:ascii="Avenir Next" w:hAnsi="Avenir Next" w:cs="Arial"/>
          <w:color w:val="808080" w:themeColor="background1" w:themeShade="80"/>
          <w:sz w:val="22"/>
          <w:szCs w:val="22"/>
          <w:lang w:val="en-GB"/>
        </w:rPr>
        <w:t>the foreign representative may participate in a proceeding regarding the debtor under the laws of State A</w:t>
      </w:r>
      <w:r w:rsidR="005913B1" w:rsidRPr="005913B1">
        <w:rPr>
          <w:rFonts w:ascii="Avenir Next" w:hAnsi="Avenir Next" w:cs="Arial"/>
          <w:color w:val="808080" w:themeColor="background1" w:themeShade="80"/>
          <w:sz w:val="22"/>
          <w:szCs w:val="22"/>
          <w:lang w:val="en-GB"/>
        </w:rPr>
        <w:t xml:space="preserve"> </w:t>
      </w:r>
      <w:r w:rsidR="005913B1">
        <w:rPr>
          <w:rFonts w:ascii="Avenir Next" w:hAnsi="Avenir Next" w:cs="Arial"/>
          <w:color w:val="808080" w:themeColor="background1" w:themeShade="80"/>
          <w:sz w:val="22"/>
          <w:szCs w:val="22"/>
          <w:lang w:val="en-GB"/>
        </w:rPr>
        <w:t>per Article 12</w:t>
      </w:r>
      <w:r w:rsidR="008F13EE" w:rsidRPr="00860C4F">
        <w:rPr>
          <w:rFonts w:ascii="Avenir Next" w:hAnsi="Avenir Next" w:cs="Arial"/>
          <w:color w:val="808080" w:themeColor="background1" w:themeShade="80"/>
          <w:sz w:val="22"/>
          <w:szCs w:val="22"/>
          <w:lang w:val="en-GB"/>
        </w:rPr>
        <w:t>.</w:t>
      </w:r>
      <w:r w:rsidR="008F13EE">
        <w:rPr>
          <w:rFonts w:ascii="Avenir Next" w:hAnsi="Avenir Next" w:cs="Arial"/>
          <w:color w:val="808080" w:themeColor="background1" w:themeShade="80"/>
          <w:sz w:val="22"/>
          <w:szCs w:val="22"/>
          <w:lang w:val="en-GB"/>
        </w:rPr>
        <w:t xml:space="preserve"> Article 13 </w:t>
      </w:r>
      <w:r w:rsidR="00DD1AC5">
        <w:rPr>
          <w:rFonts w:ascii="Avenir Next" w:hAnsi="Avenir Next" w:cs="Arial"/>
          <w:color w:val="808080" w:themeColor="background1" w:themeShade="80"/>
          <w:sz w:val="22"/>
          <w:szCs w:val="22"/>
          <w:lang w:val="en-GB"/>
        </w:rPr>
        <w:t xml:space="preserve">contains </w:t>
      </w:r>
      <w:r w:rsidR="008F13EE">
        <w:rPr>
          <w:rFonts w:ascii="Avenir Next" w:hAnsi="Avenir Next" w:cs="Arial"/>
          <w:color w:val="808080" w:themeColor="background1" w:themeShade="80"/>
          <w:sz w:val="22"/>
          <w:szCs w:val="22"/>
          <w:lang w:val="en-GB"/>
        </w:rPr>
        <w:t>the anti-discrimination principle</w:t>
      </w:r>
      <w:r w:rsidR="00DD1AC5">
        <w:rPr>
          <w:rFonts w:ascii="Avenir Next" w:hAnsi="Avenir Next" w:cs="Arial"/>
          <w:color w:val="808080" w:themeColor="background1" w:themeShade="80"/>
          <w:sz w:val="22"/>
          <w:szCs w:val="22"/>
          <w:lang w:val="en-GB"/>
        </w:rPr>
        <w:t xml:space="preserve">, under which the </w:t>
      </w:r>
      <w:r w:rsidR="008F13EE">
        <w:rPr>
          <w:rFonts w:ascii="Avenir Next" w:hAnsi="Avenir Next" w:cs="Arial"/>
          <w:color w:val="808080" w:themeColor="background1" w:themeShade="80"/>
          <w:sz w:val="22"/>
          <w:szCs w:val="22"/>
          <w:lang w:val="en-GB"/>
        </w:rPr>
        <w:t xml:space="preserve">foreign creditors </w:t>
      </w:r>
      <w:r w:rsidR="005913B1">
        <w:rPr>
          <w:rFonts w:ascii="Avenir Next" w:hAnsi="Avenir Next" w:cs="Arial"/>
          <w:color w:val="808080" w:themeColor="background1" w:themeShade="80"/>
          <w:sz w:val="22"/>
          <w:szCs w:val="22"/>
          <w:lang w:val="en-GB"/>
        </w:rPr>
        <w:t xml:space="preserve">in State B </w:t>
      </w:r>
      <w:r w:rsidR="00DD1AC5">
        <w:rPr>
          <w:rFonts w:ascii="Avenir Next" w:hAnsi="Avenir Next" w:cs="Arial"/>
          <w:color w:val="808080" w:themeColor="background1" w:themeShade="80"/>
          <w:sz w:val="22"/>
          <w:szCs w:val="22"/>
          <w:lang w:val="en-GB"/>
        </w:rPr>
        <w:t>hold the</w:t>
      </w:r>
      <w:r w:rsidR="008F13EE">
        <w:rPr>
          <w:rFonts w:ascii="Avenir Next" w:hAnsi="Avenir Next" w:cs="Arial"/>
          <w:color w:val="808080" w:themeColor="background1" w:themeShade="80"/>
          <w:sz w:val="22"/>
          <w:szCs w:val="22"/>
          <w:lang w:val="en-GB"/>
        </w:rPr>
        <w:t xml:space="preserve"> same rights as </w:t>
      </w:r>
      <w:r w:rsidR="005913B1">
        <w:rPr>
          <w:rFonts w:ascii="Avenir Next" w:hAnsi="Avenir Next" w:cs="Arial"/>
          <w:color w:val="808080" w:themeColor="background1" w:themeShade="80"/>
          <w:sz w:val="22"/>
          <w:szCs w:val="22"/>
          <w:lang w:val="en-GB"/>
        </w:rPr>
        <w:t xml:space="preserve">domestic </w:t>
      </w:r>
      <w:r w:rsidR="008F13EE">
        <w:rPr>
          <w:rFonts w:ascii="Avenir Next" w:hAnsi="Avenir Next" w:cs="Arial"/>
          <w:color w:val="808080" w:themeColor="background1" w:themeShade="80"/>
          <w:sz w:val="22"/>
          <w:szCs w:val="22"/>
          <w:lang w:val="en-GB"/>
        </w:rPr>
        <w:t xml:space="preserve">creditors in the </w:t>
      </w:r>
      <w:r w:rsidR="005913B1">
        <w:rPr>
          <w:rFonts w:ascii="Avenir Next" w:hAnsi="Avenir Next" w:cs="Arial"/>
          <w:color w:val="808080" w:themeColor="background1" w:themeShade="80"/>
          <w:sz w:val="22"/>
          <w:szCs w:val="22"/>
          <w:lang w:val="en-GB"/>
        </w:rPr>
        <w:t>State A</w:t>
      </w:r>
      <w:r w:rsidR="008F13EE">
        <w:rPr>
          <w:rFonts w:ascii="Avenir Next" w:hAnsi="Avenir Next" w:cs="Arial"/>
          <w:color w:val="808080" w:themeColor="background1" w:themeShade="80"/>
          <w:sz w:val="22"/>
          <w:szCs w:val="22"/>
          <w:lang w:val="en-GB"/>
        </w:rPr>
        <w:t xml:space="preserve"> regarding the commencement of and participation in local proceedings </w:t>
      </w:r>
      <w:r w:rsidR="009D1AEC">
        <w:rPr>
          <w:rFonts w:ascii="Avenir Next" w:hAnsi="Avenir Next" w:cs="Arial"/>
          <w:color w:val="808080" w:themeColor="background1" w:themeShade="80"/>
          <w:sz w:val="22"/>
          <w:szCs w:val="22"/>
          <w:lang w:val="en-GB"/>
        </w:rPr>
        <w:t>involving</w:t>
      </w:r>
      <w:r w:rsidR="008F13EE">
        <w:rPr>
          <w:rFonts w:ascii="Avenir Next" w:hAnsi="Avenir Next" w:cs="Arial"/>
          <w:color w:val="808080" w:themeColor="background1" w:themeShade="80"/>
          <w:sz w:val="22"/>
          <w:szCs w:val="22"/>
          <w:lang w:val="en-GB"/>
        </w:rPr>
        <w:t xml:space="preserve"> the debtor under the insolvency laws of State A. </w:t>
      </w:r>
    </w:p>
    <w:p w14:paraId="399985D1" w14:textId="4E79DB19" w:rsidR="008F13EE" w:rsidRDefault="008F13EE" w:rsidP="008F13EE">
      <w:pPr>
        <w:jc w:val="both"/>
        <w:rPr>
          <w:rFonts w:ascii="Avenir Next" w:hAnsi="Avenir Next" w:cs="Arial"/>
          <w:color w:val="808080" w:themeColor="background1" w:themeShade="80"/>
          <w:sz w:val="22"/>
          <w:szCs w:val="22"/>
          <w:lang w:val="en-GB"/>
        </w:rPr>
      </w:pPr>
    </w:p>
    <w:p w14:paraId="33D734A9" w14:textId="392E53B4" w:rsidR="001B128E" w:rsidRPr="001B128E" w:rsidRDefault="001B128E" w:rsidP="008F13EE">
      <w:pPr>
        <w:jc w:val="both"/>
        <w:rPr>
          <w:rFonts w:ascii="Avenir Next" w:hAnsi="Avenir Next" w:cs="Arial"/>
          <w:b/>
          <w:bCs/>
          <w:color w:val="808080" w:themeColor="background1" w:themeShade="80"/>
          <w:sz w:val="22"/>
          <w:szCs w:val="22"/>
          <w:u w:val="single"/>
          <w:lang w:val="en-GB"/>
        </w:rPr>
      </w:pPr>
      <w:r w:rsidRPr="001B128E">
        <w:rPr>
          <w:rFonts w:ascii="Avenir Next" w:hAnsi="Avenir Next" w:cs="Arial"/>
          <w:b/>
          <w:bCs/>
          <w:color w:val="808080" w:themeColor="background1" w:themeShade="80"/>
          <w:sz w:val="22"/>
          <w:szCs w:val="22"/>
          <w:u w:val="single"/>
          <w:lang w:val="en-GB"/>
        </w:rPr>
        <w:t>Cooperation</w:t>
      </w:r>
    </w:p>
    <w:p w14:paraId="08475351" w14:textId="13556860" w:rsidR="00867A8F" w:rsidRPr="001215E7" w:rsidRDefault="009D1AEC" w:rsidP="001215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under Article 25,</w:t>
      </w:r>
      <w:r w:rsidR="001215E7" w:rsidRPr="001215E7">
        <w:rPr>
          <w:rFonts w:ascii="Avenir Next" w:hAnsi="Avenir Next" w:cs="Arial"/>
          <w:color w:val="808080" w:themeColor="background1" w:themeShade="80"/>
          <w:sz w:val="22"/>
          <w:szCs w:val="22"/>
          <w:lang w:val="en-GB"/>
        </w:rPr>
        <w:t xml:space="preserve"> t</w:t>
      </w:r>
      <w:r w:rsidR="008F13EE" w:rsidRPr="001215E7">
        <w:rPr>
          <w:rFonts w:ascii="Avenir Next" w:hAnsi="Avenir Next" w:cs="Arial"/>
          <w:color w:val="808080" w:themeColor="background1" w:themeShade="80"/>
          <w:sz w:val="22"/>
          <w:szCs w:val="22"/>
          <w:lang w:val="en-GB"/>
        </w:rPr>
        <w:t xml:space="preserve">he courts of State A are to cooperate to </w:t>
      </w:r>
      <w:r>
        <w:rPr>
          <w:rFonts w:ascii="Avenir Next" w:hAnsi="Avenir Next" w:cs="Arial"/>
          <w:color w:val="808080" w:themeColor="background1" w:themeShade="80"/>
          <w:sz w:val="22"/>
          <w:szCs w:val="22"/>
          <w:lang w:val="en-GB"/>
        </w:rPr>
        <w:t xml:space="preserve">maximum extent and may communicate directly </w:t>
      </w:r>
      <w:r w:rsidR="008F13EE" w:rsidRPr="001215E7">
        <w:rPr>
          <w:rFonts w:ascii="Avenir Next" w:hAnsi="Avenir Next" w:cs="Arial"/>
          <w:color w:val="808080" w:themeColor="background1" w:themeShade="80"/>
          <w:sz w:val="22"/>
          <w:szCs w:val="22"/>
          <w:lang w:val="en-GB"/>
        </w:rPr>
        <w:t>with the foreign representative. The</w:t>
      </w:r>
      <w:r>
        <w:rPr>
          <w:rFonts w:ascii="Avenir Next" w:hAnsi="Avenir Next" w:cs="Arial"/>
          <w:color w:val="808080" w:themeColor="background1" w:themeShade="80"/>
          <w:sz w:val="22"/>
          <w:szCs w:val="22"/>
          <w:lang w:val="en-GB"/>
        </w:rPr>
        <w:t xml:space="preserve"> judicial/scheme manager or liquidator</w:t>
      </w:r>
      <w:r w:rsidR="008F13EE" w:rsidRPr="001215E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may similarly communicate directly with the foreign representative and extend full cooperation with the foreign representative pursuant to Article 26</w:t>
      </w:r>
      <w:r w:rsidR="001215E7" w:rsidRPr="001215E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Article 27 defines and provides the various forms of cooperation, but this is</w:t>
      </w:r>
      <w:r w:rsidR="001B128E">
        <w:rPr>
          <w:rFonts w:ascii="Avenir Next" w:hAnsi="Avenir Next" w:cs="Arial"/>
          <w:color w:val="808080" w:themeColor="background1" w:themeShade="80"/>
          <w:sz w:val="22"/>
          <w:szCs w:val="22"/>
          <w:lang w:val="en-GB"/>
        </w:rPr>
        <w:t xml:space="preserve"> a</w:t>
      </w:r>
      <w:r>
        <w:rPr>
          <w:rFonts w:ascii="Avenir Next" w:hAnsi="Avenir Next" w:cs="Arial"/>
          <w:color w:val="808080" w:themeColor="background1" w:themeShade="80"/>
          <w:sz w:val="22"/>
          <w:szCs w:val="22"/>
          <w:lang w:val="en-GB"/>
        </w:rPr>
        <w:t xml:space="preserve"> non-exhaustive</w:t>
      </w:r>
      <w:r w:rsidR="001B128E">
        <w:rPr>
          <w:rFonts w:ascii="Avenir Next" w:hAnsi="Avenir Next" w:cs="Arial"/>
          <w:color w:val="808080" w:themeColor="background1" w:themeShade="80"/>
          <w:sz w:val="22"/>
          <w:szCs w:val="22"/>
          <w:lang w:val="en-GB"/>
        </w:rPr>
        <w:t xml:space="preserve"> list.</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605BEC20" w14:textId="2C20EE3D" w:rsidR="00AB76CA" w:rsidRPr="00AB76CA" w:rsidRDefault="00D92A6B" w:rsidP="00AB76CA">
      <w:pPr>
        <w:jc w:val="both"/>
        <w:rPr>
          <w:rFonts w:ascii="Avenir Next" w:hAnsi="Avenir Next" w:cs="Arial"/>
          <w:color w:val="808080" w:themeColor="background1" w:themeShade="80"/>
          <w:sz w:val="22"/>
          <w:szCs w:val="22"/>
          <w:lang w:val="en-GB"/>
        </w:rPr>
      </w:pPr>
      <w:r w:rsidRPr="0021770A">
        <w:rPr>
          <w:rFonts w:ascii="Avenir Next" w:hAnsi="Avenir Next" w:cs="Arial"/>
          <w:color w:val="808080" w:themeColor="background1" w:themeShade="80"/>
          <w:sz w:val="22"/>
          <w:szCs w:val="22"/>
          <w:lang w:val="en-GB"/>
        </w:rPr>
        <w:t>First, the requirements under Article 15(2) must be satisfied before a foreign proceeding may be recognised (Article 17</w:t>
      </w:r>
      <w:r w:rsidR="0021770A" w:rsidRPr="0021770A">
        <w:rPr>
          <w:rFonts w:ascii="Avenir Next" w:hAnsi="Avenir Next" w:cs="Arial"/>
          <w:color w:val="808080" w:themeColor="background1" w:themeShade="80"/>
          <w:sz w:val="22"/>
          <w:szCs w:val="22"/>
          <w:lang w:val="en-GB"/>
        </w:rPr>
        <w:t>(1)</w:t>
      </w:r>
      <w:r w:rsidRPr="0021770A">
        <w:rPr>
          <w:rFonts w:ascii="Avenir Next" w:hAnsi="Avenir Next" w:cs="Arial"/>
          <w:color w:val="808080" w:themeColor="background1" w:themeShade="80"/>
          <w:sz w:val="22"/>
          <w:szCs w:val="22"/>
          <w:lang w:val="en-GB"/>
        </w:rPr>
        <w:t xml:space="preserve">(c)). </w:t>
      </w:r>
      <w:r w:rsidR="00CE7D6C" w:rsidRPr="0021770A">
        <w:rPr>
          <w:rFonts w:ascii="Avenir Next" w:hAnsi="Avenir Next" w:cs="Arial"/>
          <w:color w:val="808080" w:themeColor="background1" w:themeShade="80"/>
          <w:sz w:val="22"/>
          <w:szCs w:val="22"/>
          <w:lang w:val="en-GB"/>
        </w:rPr>
        <w:t>The</w:t>
      </w:r>
      <w:r w:rsidR="008F13EE" w:rsidRPr="00D92A6B">
        <w:rPr>
          <w:rFonts w:ascii="Avenir Next" w:hAnsi="Avenir Next" w:cs="Arial"/>
          <w:color w:val="808080" w:themeColor="background1" w:themeShade="80"/>
          <w:sz w:val="22"/>
          <w:szCs w:val="22"/>
          <w:lang w:val="en-GB"/>
        </w:rPr>
        <w:t xml:space="preserve"> application for recognition shall be accompanied by</w:t>
      </w:r>
      <w:r w:rsidR="00CE7D6C">
        <w:rPr>
          <w:rFonts w:ascii="Avenir Next" w:hAnsi="Avenir Next" w:cs="Arial"/>
          <w:color w:val="808080" w:themeColor="background1" w:themeShade="80"/>
          <w:sz w:val="22"/>
          <w:szCs w:val="22"/>
          <w:lang w:val="en-GB"/>
        </w:rPr>
        <w:t xml:space="preserve"> </w:t>
      </w:r>
      <w:r w:rsidR="008F13EE" w:rsidRPr="00D92A6B">
        <w:rPr>
          <w:rFonts w:ascii="Avenir Next" w:hAnsi="Avenir Next" w:cs="Arial"/>
          <w:color w:val="808080" w:themeColor="background1" w:themeShade="80"/>
          <w:sz w:val="22"/>
          <w:szCs w:val="22"/>
          <w:lang w:val="en-GB"/>
        </w:rPr>
        <w:t>evidence of the existence of the foreign proceedings and the appointment of the foreign representative</w:t>
      </w:r>
      <w:r w:rsidR="00CE7D6C">
        <w:rPr>
          <w:rFonts w:ascii="Avenir Next" w:hAnsi="Avenir Next" w:cs="Arial"/>
          <w:color w:val="808080" w:themeColor="background1" w:themeShade="80"/>
          <w:sz w:val="22"/>
          <w:szCs w:val="22"/>
          <w:lang w:val="en-GB"/>
        </w:rPr>
        <w:t xml:space="preserve"> – under Article 15(2), there are three ways to satisfy the evidential requirement: (a) </w:t>
      </w:r>
      <w:r w:rsidR="00CE7D6C" w:rsidRPr="00CE7D6C">
        <w:rPr>
          <w:rFonts w:ascii="Avenir Next" w:hAnsi="Avenir Next" w:cs="Arial"/>
          <w:color w:val="808080" w:themeColor="background1" w:themeShade="80"/>
          <w:sz w:val="22"/>
          <w:szCs w:val="22"/>
          <w:lang w:val="en-SG"/>
        </w:rPr>
        <w:t>certified copy of the decision commencing the foreign proceeding</w:t>
      </w:r>
      <w:r w:rsidR="00CE7D6C">
        <w:rPr>
          <w:rFonts w:ascii="Avenir Next" w:hAnsi="Avenir Next" w:cs="Arial"/>
          <w:color w:val="808080" w:themeColor="background1" w:themeShade="80"/>
          <w:sz w:val="22"/>
          <w:szCs w:val="22"/>
          <w:lang w:val="en-SG"/>
        </w:rPr>
        <w:t xml:space="preserve"> </w:t>
      </w:r>
      <w:r w:rsidR="00CE7D6C" w:rsidRPr="00CE7D6C">
        <w:rPr>
          <w:rFonts w:ascii="Avenir Next" w:hAnsi="Avenir Next" w:cs="Arial"/>
          <w:color w:val="808080" w:themeColor="background1" w:themeShade="80"/>
          <w:sz w:val="22"/>
          <w:szCs w:val="22"/>
          <w:lang w:val="en-SG"/>
        </w:rPr>
        <w:t>and appointing the foreign representative;</w:t>
      </w:r>
      <w:r w:rsidR="00CE7D6C">
        <w:rPr>
          <w:rFonts w:ascii="Avenir Next" w:hAnsi="Avenir Next" w:cs="Arial"/>
          <w:color w:val="808080" w:themeColor="background1" w:themeShade="80"/>
          <w:sz w:val="22"/>
          <w:szCs w:val="22"/>
          <w:lang w:val="en-SG"/>
        </w:rPr>
        <w:t xml:space="preserve"> (b) a </w:t>
      </w:r>
      <w:r w:rsidR="00CE7D6C" w:rsidRPr="00CE7D6C">
        <w:rPr>
          <w:rFonts w:ascii="Avenir Next" w:hAnsi="Avenir Next" w:cs="Arial"/>
          <w:color w:val="808080" w:themeColor="background1" w:themeShade="80"/>
          <w:sz w:val="22"/>
          <w:szCs w:val="22"/>
          <w:lang w:val="en-SG"/>
        </w:rPr>
        <w:t>certificate from the foreign court affirming the existence of the</w:t>
      </w:r>
      <w:r w:rsidR="00CE7D6C">
        <w:rPr>
          <w:rFonts w:ascii="Avenir Next" w:hAnsi="Avenir Next" w:cs="Arial"/>
          <w:color w:val="808080" w:themeColor="background1" w:themeShade="80"/>
          <w:sz w:val="22"/>
          <w:szCs w:val="22"/>
          <w:lang w:val="en-SG"/>
        </w:rPr>
        <w:t xml:space="preserve"> </w:t>
      </w:r>
      <w:r w:rsidR="00CE7D6C" w:rsidRPr="00CE7D6C">
        <w:rPr>
          <w:rFonts w:ascii="Avenir Next" w:hAnsi="Avenir Next" w:cs="Arial"/>
          <w:color w:val="808080" w:themeColor="background1" w:themeShade="80"/>
          <w:sz w:val="22"/>
          <w:szCs w:val="22"/>
          <w:lang w:val="en-SG"/>
        </w:rPr>
        <w:t xml:space="preserve">foreign proceeding and of the appointment of the foreign representative; </w:t>
      </w:r>
      <w:r w:rsidR="00CE7D6C">
        <w:rPr>
          <w:rFonts w:ascii="Avenir Next" w:hAnsi="Avenir Next" w:cs="Arial"/>
          <w:color w:val="808080" w:themeColor="background1" w:themeShade="80"/>
          <w:sz w:val="22"/>
          <w:szCs w:val="22"/>
          <w:lang w:val="en-SG"/>
        </w:rPr>
        <w:t>or (c) i</w:t>
      </w:r>
      <w:r w:rsidR="00CE7D6C" w:rsidRPr="00CE7D6C">
        <w:rPr>
          <w:rFonts w:ascii="Avenir Next" w:hAnsi="Avenir Next" w:cs="Arial"/>
          <w:color w:val="808080" w:themeColor="background1" w:themeShade="80"/>
          <w:sz w:val="22"/>
          <w:szCs w:val="22"/>
          <w:lang w:val="en-SG"/>
        </w:rPr>
        <w:t>n the absence of evidence referred to in (a) and (b),</w:t>
      </w:r>
      <w:r w:rsidR="00CE7D6C">
        <w:rPr>
          <w:rFonts w:ascii="Avenir Next" w:hAnsi="Avenir Next" w:cs="Arial"/>
          <w:color w:val="808080" w:themeColor="background1" w:themeShade="80"/>
          <w:sz w:val="22"/>
          <w:szCs w:val="22"/>
          <w:lang w:val="en-SG"/>
        </w:rPr>
        <w:t xml:space="preserve"> </w:t>
      </w:r>
      <w:r w:rsidR="00CE7D6C" w:rsidRPr="00CE7D6C">
        <w:rPr>
          <w:rFonts w:ascii="Avenir Next" w:hAnsi="Avenir Next" w:cs="Arial"/>
          <w:color w:val="808080" w:themeColor="background1" w:themeShade="80"/>
          <w:sz w:val="22"/>
          <w:szCs w:val="22"/>
          <w:lang w:val="en-SG"/>
        </w:rPr>
        <w:t>any other evidence acceptable to the court of the existence of the foreign</w:t>
      </w:r>
      <w:r w:rsidR="00AB76CA">
        <w:rPr>
          <w:rFonts w:ascii="Avenir Next" w:hAnsi="Avenir Next" w:cs="Arial"/>
          <w:color w:val="808080" w:themeColor="background1" w:themeShade="80"/>
          <w:sz w:val="22"/>
          <w:szCs w:val="22"/>
          <w:lang w:val="en-SG"/>
        </w:rPr>
        <w:t xml:space="preserve"> </w:t>
      </w:r>
      <w:r w:rsidR="00CE7D6C" w:rsidRPr="00CE7D6C">
        <w:rPr>
          <w:rFonts w:ascii="Avenir Next" w:hAnsi="Avenir Next" w:cs="Arial"/>
          <w:color w:val="808080" w:themeColor="background1" w:themeShade="80"/>
          <w:sz w:val="22"/>
          <w:szCs w:val="22"/>
          <w:lang w:val="en-SG"/>
        </w:rPr>
        <w:t>proceeding and of the appointment of the foreign representative.</w:t>
      </w:r>
      <w:r w:rsidR="00CE7D6C">
        <w:rPr>
          <w:rFonts w:ascii="Avenir Next" w:hAnsi="Avenir Next" w:cs="Arial"/>
          <w:color w:val="808080" w:themeColor="background1" w:themeShade="80"/>
          <w:sz w:val="22"/>
          <w:szCs w:val="22"/>
          <w:lang w:val="en-SG"/>
        </w:rPr>
        <w:t xml:space="preserve"> </w:t>
      </w:r>
      <w:r w:rsidR="00CE7D6C" w:rsidRPr="00CE7D6C">
        <w:rPr>
          <w:rFonts w:ascii="Avenir Next" w:hAnsi="Avenir Next" w:cs="Arial"/>
          <w:color w:val="808080" w:themeColor="background1" w:themeShade="80"/>
          <w:sz w:val="22"/>
          <w:szCs w:val="22"/>
          <w:lang w:val="en-SG"/>
        </w:rPr>
        <w:t>An application for recognition shall also be accompanied by a</w:t>
      </w:r>
      <w:r w:rsidR="00CE7D6C">
        <w:rPr>
          <w:rFonts w:ascii="Avenir Next" w:hAnsi="Avenir Next" w:cs="Arial"/>
          <w:color w:val="808080" w:themeColor="background1" w:themeShade="80"/>
          <w:sz w:val="22"/>
          <w:szCs w:val="22"/>
          <w:lang w:val="en-SG"/>
        </w:rPr>
        <w:t xml:space="preserve"> </w:t>
      </w:r>
      <w:r w:rsidR="00CE7D6C" w:rsidRPr="00CE7D6C">
        <w:rPr>
          <w:rFonts w:ascii="Avenir Next" w:hAnsi="Avenir Next" w:cs="Arial"/>
          <w:color w:val="808080" w:themeColor="background1" w:themeShade="80"/>
          <w:sz w:val="22"/>
          <w:szCs w:val="22"/>
          <w:lang w:val="en-SG"/>
        </w:rPr>
        <w:t>statement identifying all foreign proceedings in respect of the debtor that</w:t>
      </w:r>
      <w:r w:rsidR="00CE7D6C">
        <w:rPr>
          <w:rFonts w:ascii="Avenir Next" w:hAnsi="Avenir Next" w:cs="Arial"/>
          <w:color w:val="808080" w:themeColor="background1" w:themeShade="80"/>
          <w:sz w:val="22"/>
          <w:szCs w:val="22"/>
          <w:lang w:val="en-SG"/>
        </w:rPr>
        <w:t xml:space="preserve"> </w:t>
      </w:r>
      <w:r w:rsidR="00CE7D6C" w:rsidRPr="00CE7D6C">
        <w:rPr>
          <w:rFonts w:ascii="Avenir Next" w:hAnsi="Avenir Next" w:cs="Arial"/>
          <w:color w:val="808080" w:themeColor="background1" w:themeShade="80"/>
          <w:sz w:val="22"/>
          <w:szCs w:val="22"/>
          <w:lang w:val="en-SG"/>
        </w:rPr>
        <w:t>are known to the foreign representative</w:t>
      </w:r>
      <w:r w:rsidR="00CE7D6C">
        <w:rPr>
          <w:rFonts w:ascii="Avenir Next" w:hAnsi="Avenir Next" w:cs="Arial"/>
          <w:color w:val="808080" w:themeColor="background1" w:themeShade="80"/>
          <w:sz w:val="22"/>
          <w:szCs w:val="22"/>
          <w:lang w:val="en-SG"/>
        </w:rPr>
        <w:t xml:space="preserve"> (Article 15(3). </w:t>
      </w:r>
      <w:r w:rsidR="00CE7D6C">
        <w:rPr>
          <w:rFonts w:ascii="Avenir Next" w:hAnsi="Avenir Next" w:cs="Arial"/>
          <w:color w:val="808080" w:themeColor="background1" w:themeShade="80"/>
          <w:sz w:val="22"/>
          <w:szCs w:val="22"/>
          <w:lang w:val="en-GB"/>
        </w:rPr>
        <w:t>If the decision or certificate in Article 15(2) indicates that the foreign proceeding and the foreign representative fulfil the definitions in Article 2, the court is entitled to presume the same (Article 16(1)).</w:t>
      </w:r>
      <w:r w:rsidR="00AB76CA">
        <w:rPr>
          <w:rFonts w:ascii="Avenir Next" w:hAnsi="Avenir Next" w:cs="Arial"/>
          <w:color w:val="808080" w:themeColor="background1" w:themeShade="80"/>
          <w:sz w:val="22"/>
          <w:szCs w:val="22"/>
          <w:lang w:val="en-GB"/>
        </w:rPr>
        <w:t xml:space="preserve"> Pursuant to Article 16(2), the court </w:t>
      </w:r>
      <w:r w:rsidR="00AB76CA" w:rsidRPr="00AB76CA">
        <w:rPr>
          <w:rFonts w:ascii="Avenir Next" w:hAnsi="Avenir Next" w:cs="Arial"/>
          <w:color w:val="808080" w:themeColor="background1" w:themeShade="80"/>
          <w:sz w:val="22"/>
          <w:szCs w:val="22"/>
          <w:lang w:val="en-GB"/>
        </w:rPr>
        <w:t>is entitled to presume that documents submitted in support</w:t>
      </w:r>
      <w:r w:rsidR="00AB76CA">
        <w:rPr>
          <w:rFonts w:ascii="Avenir Next" w:hAnsi="Avenir Next" w:cs="Arial"/>
          <w:color w:val="808080" w:themeColor="background1" w:themeShade="80"/>
          <w:sz w:val="22"/>
          <w:szCs w:val="22"/>
          <w:lang w:val="en-GB"/>
        </w:rPr>
        <w:t xml:space="preserve"> </w:t>
      </w:r>
      <w:r w:rsidR="00AB76CA" w:rsidRPr="00AB76CA">
        <w:rPr>
          <w:rFonts w:ascii="Avenir Next" w:hAnsi="Avenir Next" w:cs="Arial"/>
          <w:color w:val="808080" w:themeColor="background1" w:themeShade="80"/>
          <w:sz w:val="22"/>
          <w:szCs w:val="22"/>
          <w:lang w:val="en-GB"/>
        </w:rPr>
        <w:t>of the application for recognition are authentic, whether or not they</w:t>
      </w:r>
    </w:p>
    <w:p w14:paraId="3B86240A" w14:textId="77777777" w:rsidR="004104E9" w:rsidRDefault="00AB76CA" w:rsidP="0021770A">
      <w:pPr>
        <w:jc w:val="both"/>
        <w:rPr>
          <w:rFonts w:ascii="Avenir Next" w:hAnsi="Avenir Next" w:cs="Arial"/>
          <w:color w:val="808080" w:themeColor="background1" w:themeShade="80"/>
          <w:sz w:val="22"/>
          <w:szCs w:val="22"/>
          <w:lang w:val="en-GB"/>
        </w:rPr>
      </w:pPr>
      <w:r w:rsidRPr="00AB76CA">
        <w:rPr>
          <w:rFonts w:ascii="Avenir Next" w:hAnsi="Avenir Next" w:cs="Arial"/>
          <w:color w:val="808080" w:themeColor="background1" w:themeShade="80"/>
          <w:sz w:val="22"/>
          <w:szCs w:val="22"/>
          <w:lang w:val="en-GB"/>
        </w:rPr>
        <w:t>have been legali</w:t>
      </w:r>
      <w:r>
        <w:rPr>
          <w:rFonts w:ascii="Avenir Next" w:hAnsi="Avenir Next" w:cs="Arial"/>
          <w:color w:val="808080" w:themeColor="background1" w:themeShade="80"/>
          <w:sz w:val="22"/>
          <w:szCs w:val="22"/>
          <w:lang w:val="en-GB"/>
        </w:rPr>
        <w:t>s</w:t>
      </w:r>
      <w:r w:rsidRPr="00AB76CA">
        <w:rPr>
          <w:rFonts w:ascii="Avenir Next" w:hAnsi="Avenir Next" w:cs="Arial"/>
          <w:color w:val="808080" w:themeColor="background1" w:themeShade="80"/>
          <w:sz w:val="22"/>
          <w:szCs w:val="22"/>
          <w:lang w:val="en-GB"/>
        </w:rPr>
        <w:t>ed.</w:t>
      </w:r>
      <w:r w:rsidR="0021770A">
        <w:rPr>
          <w:rFonts w:ascii="Avenir Next" w:hAnsi="Avenir Next" w:cs="Arial"/>
          <w:color w:val="808080" w:themeColor="background1" w:themeShade="80"/>
          <w:sz w:val="22"/>
          <w:szCs w:val="22"/>
          <w:lang w:val="en-GB"/>
        </w:rPr>
        <w:t xml:space="preserve"> Article 16(3) provides that the COMI is presumed as the debtor’s registered office or habitual residence in absence of proof. </w:t>
      </w:r>
    </w:p>
    <w:p w14:paraId="333BAC07" w14:textId="77777777" w:rsidR="004104E9" w:rsidRDefault="004104E9" w:rsidP="0021770A">
      <w:pPr>
        <w:jc w:val="both"/>
        <w:rPr>
          <w:rFonts w:ascii="Avenir Next" w:hAnsi="Avenir Next" w:cs="Arial"/>
          <w:color w:val="808080" w:themeColor="background1" w:themeShade="80"/>
          <w:sz w:val="22"/>
          <w:szCs w:val="22"/>
          <w:lang w:val="en-GB"/>
        </w:rPr>
      </w:pPr>
    </w:p>
    <w:p w14:paraId="1736E88A" w14:textId="3939D6D7" w:rsidR="008F13EE" w:rsidRPr="009A1AE0" w:rsidRDefault="0021770A" w:rsidP="009A1AE0">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GB"/>
        </w:rPr>
        <w:t xml:space="preserve">Second, it is </w:t>
      </w:r>
      <w:r w:rsidR="008F13EE">
        <w:rPr>
          <w:rFonts w:ascii="Avenir Next" w:hAnsi="Avenir Next" w:cs="Arial"/>
          <w:color w:val="808080" w:themeColor="background1" w:themeShade="80"/>
          <w:sz w:val="22"/>
          <w:szCs w:val="22"/>
          <w:lang w:val="en-GB"/>
        </w:rPr>
        <w:t>necessary to consider evidence regarding the nature of the debtors’ business</w:t>
      </w:r>
      <w:r>
        <w:rPr>
          <w:rFonts w:ascii="Avenir Next" w:hAnsi="Avenir Next" w:cs="Arial"/>
          <w:color w:val="808080" w:themeColor="background1" w:themeShade="80"/>
          <w:sz w:val="22"/>
          <w:szCs w:val="22"/>
          <w:lang w:val="en-GB"/>
        </w:rPr>
        <w:t xml:space="preserve"> to define</w:t>
      </w:r>
      <w:r w:rsidR="008F13EE">
        <w:rPr>
          <w:rFonts w:ascii="Avenir Next" w:hAnsi="Avenir Next" w:cs="Arial"/>
          <w:color w:val="808080" w:themeColor="background1" w:themeShade="80"/>
          <w:sz w:val="22"/>
          <w:szCs w:val="22"/>
          <w:lang w:val="en-GB"/>
        </w:rPr>
        <w:t xml:space="preserve"> its centre of main interests is to </w:t>
      </w:r>
      <w:r w:rsidR="00593DCC">
        <w:rPr>
          <w:rFonts w:ascii="Avenir Next" w:hAnsi="Avenir Next" w:cs="Arial"/>
          <w:color w:val="808080" w:themeColor="background1" w:themeShade="80"/>
          <w:sz w:val="22"/>
          <w:szCs w:val="22"/>
          <w:lang w:val="en-GB"/>
        </w:rPr>
        <w:t>determine whether it is</w:t>
      </w:r>
      <w:r w:rsidR="008F13EE">
        <w:rPr>
          <w:rFonts w:ascii="Avenir Next" w:hAnsi="Avenir Next" w:cs="Arial"/>
          <w:color w:val="808080" w:themeColor="background1" w:themeShade="80"/>
          <w:sz w:val="22"/>
          <w:szCs w:val="22"/>
          <w:lang w:val="en-GB"/>
        </w:rPr>
        <w:t xml:space="preserve"> a foreign main proceeding, or </w:t>
      </w:r>
      <w:r w:rsidR="00593DCC">
        <w:rPr>
          <w:rFonts w:ascii="Avenir Next" w:hAnsi="Avenir Next" w:cs="Arial"/>
          <w:color w:val="808080" w:themeColor="background1" w:themeShade="80"/>
          <w:sz w:val="22"/>
          <w:szCs w:val="22"/>
          <w:lang w:val="en-GB"/>
        </w:rPr>
        <w:t>if</w:t>
      </w:r>
      <w:r w:rsidR="008F13EE">
        <w:rPr>
          <w:rFonts w:ascii="Avenir Next" w:hAnsi="Avenir Next" w:cs="Arial"/>
          <w:color w:val="808080" w:themeColor="background1" w:themeShade="80"/>
          <w:sz w:val="22"/>
          <w:szCs w:val="22"/>
          <w:lang w:val="en-GB"/>
        </w:rPr>
        <w:t xml:space="preserve"> it has an establishment</w:t>
      </w:r>
      <w:r w:rsidR="00593DCC">
        <w:rPr>
          <w:rFonts w:ascii="Avenir Next" w:hAnsi="Avenir Next" w:cs="Arial"/>
          <w:color w:val="808080" w:themeColor="background1" w:themeShade="80"/>
          <w:sz w:val="22"/>
          <w:szCs w:val="22"/>
          <w:lang w:val="en-GB"/>
        </w:rPr>
        <w:t xml:space="preserve"> which would buttress its classification </w:t>
      </w:r>
      <w:r w:rsidR="008F13EE">
        <w:rPr>
          <w:rFonts w:ascii="Avenir Next" w:hAnsi="Avenir Next" w:cs="Arial"/>
          <w:color w:val="808080" w:themeColor="background1" w:themeShade="80"/>
          <w:sz w:val="22"/>
          <w:szCs w:val="22"/>
          <w:lang w:val="en-GB"/>
        </w:rPr>
        <w:t>as a foreign non-main proceeding</w:t>
      </w:r>
      <w:r>
        <w:rPr>
          <w:rFonts w:ascii="Avenir Next" w:hAnsi="Avenir Next" w:cs="Arial"/>
          <w:color w:val="808080" w:themeColor="background1" w:themeShade="80"/>
          <w:sz w:val="22"/>
          <w:szCs w:val="22"/>
          <w:lang w:val="en-GB"/>
        </w:rPr>
        <w:t xml:space="preserve"> (Article 17(2))</w:t>
      </w:r>
      <w:r w:rsidR="008F13EE">
        <w:rPr>
          <w:rFonts w:ascii="Avenir Next" w:hAnsi="Avenir Next" w:cs="Arial"/>
          <w:color w:val="808080" w:themeColor="background1" w:themeShade="80"/>
          <w:sz w:val="22"/>
          <w:szCs w:val="22"/>
          <w:lang w:val="en-GB"/>
        </w:rPr>
        <w:t xml:space="preserve">. </w:t>
      </w:r>
      <w:r w:rsidR="00BD2838">
        <w:rPr>
          <w:rFonts w:ascii="Avenir Next" w:hAnsi="Avenir Next" w:cs="Arial"/>
          <w:color w:val="808080" w:themeColor="background1" w:themeShade="80"/>
          <w:sz w:val="22"/>
          <w:szCs w:val="22"/>
          <w:lang w:val="en-GB"/>
        </w:rPr>
        <w:t>The distinction must be made</w:t>
      </w:r>
      <w:r w:rsidR="009A1AE0" w:rsidRPr="009A1AE0">
        <w:rPr>
          <w:rFonts w:ascii="Avenir Next" w:hAnsi="Avenir Next" w:cs="Arial"/>
          <w:color w:val="808080" w:themeColor="background1" w:themeShade="80"/>
          <w:sz w:val="22"/>
          <w:szCs w:val="22"/>
          <w:lang w:val="en-GB"/>
        </w:rPr>
        <w:t xml:space="preserve"> because of the different consequences flowing</w:t>
      </w:r>
      <w:r w:rsidR="00D07FED">
        <w:rPr>
          <w:rFonts w:ascii="Avenir Next" w:hAnsi="Avenir Next" w:cs="Arial"/>
          <w:color w:val="808080" w:themeColor="background1" w:themeShade="80"/>
          <w:sz w:val="22"/>
          <w:szCs w:val="22"/>
          <w:lang w:val="en-GB"/>
        </w:rPr>
        <w:t xml:space="preserve"> </w:t>
      </w:r>
      <w:r w:rsidR="009A1AE0" w:rsidRPr="009A1AE0">
        <w:rPr>
          <w:rFonts w:ascii="Avenir Next" w:hAnsi="Avenir Next" w:cs="Arial"/>
          <w:color w:val="808080" w:themeColor="background1" w:themeShade="80"/>
          <w:sz w:val="22"/>
          <w:szCs w:val="22"/>
          <w:lang w:val="en-GB"/>
        </w:rPr>
        <w:t>from recognition of the two types of proceeding</w:t>
      </w:r>
      <w:r w:rsidR="009A1AE0">
        <w:rPr>
          <w:rFonts w:ascii="Avenir Next" w:hAnsi="Avenir Next" w:cs="Arial"/>
          <w:color w:val="808080" w:themeColor="background1" w:themeShade="80"/>
          <w:sz w:val="22"/>
          <w:szCs w:val="22"/>
          <w:lang w:val="en-GB"/>
        </w:rPr>
        <w:t xml:space="preserve"> (</w:t>
      </w:r>
      <w:r w:rsidR="00BD2838">
        <w:rPr>
          <w:rFonts w:ascii="Avenir Next" w:hAnsi="Avenir Next" w:cs="Arial"/>
          <w:color w:val="808080" w:themeColor="background1" w:themeShade="80"/>
          <w:sz w:val="22"/>
          <w:szCs w:val="22"/>
          <w:lang w:val="en-GB"/>
        </w:rPr>
        <w:t xml:space="preserve">see </w:t>
      </w:r>
      <w:r w:rsidR="009A1AE0" w:rsidRPr="009A1AE0">
        <w:rPr>
          <w:rFonts w:ascii="Avenir Next" w:hAnsi="Avenir Next" w:cs="Arial"/>
          <w:color w:val="808080" w:themeColor="background1" w:themeShade="80"/>
          <w:sz w:val="22"/>
          <w:szCs w:val="22"/>
          <w:lang w:val="en-SG"/>
        </w:rPr>
        <w:t>Loy 380 B.R. 154, 162 (</w:t>
      </w:r>
      <w:proofErr w:type="spellStart"/>
      <w:r w:rsidR="009A1AE0" w:rsidRPr="009A1AE0">
        <w:rPr>
          <w:rFonts w:ascii="Avenir Next" w:hAnsi="Avenir Next" w:cs="Arial"/>
          <w:color w:val="808080" w:themeColor="background1" w:themeShade="80"/>
          <w:sz w:val="22"/>
          <w:szCs w:val="22"/>
          <w:lang w:val="en-SG"/>
        </w:rPr>
        <w:t>Bankr</w:t>
      </w:r>
      <w:proofErr w:type="spellEnd"/>
      <w:r w:rsidR="009A1AE0" w:rsidRPr="009A1AE0">
        <w:rPr>
          <w:rFonts w:ascii="Avenir Next" w:hAnsi="Avenir Next" w:cs="Arial"/>
          <w:color w:val="808080" w:themeColor="background1" w:themeShade="80"/>
          <w:sz w:val="22"/>
          <w:szCs w:val="22"/>
          <w:lang w:val="en-SG"/>
        </w:rPr>
        <w:t xml:space="preserve">. </w:t>
      </w:r>
      <w:proofErr w:type="spellStart"/>
      <w:r w:rsidR="009A1AE0" w:rsidRPr="009A1AE0">
        <w:rPr>
          <w:rFonts w:ascii="Avenir Next" w:hAnsi="Avenir Next" w:cs="Arial"/>
          <w:color w:val="808080" w:themeColor="background1" w:themeShade="80"/>
          <w:sz w:val="22"/>
          <w:szCs w:val="22"/>
          <w:lang w:val="en-SG"/>
        </w:rPr>
        <w:t>E.D.Va</w:t>
      </w:r>
      <w:proofErr w:type="spellEnd"/>
      <w:r w:rsidR="009A1AE0" w:rsidRPr="009A1AE0">
        <w:rPr>
          <w:rFonts w:ascii="Avenir Next" w:hAnsi="Avenir Next" w:cs="Arial"/>
          <w:color w:val="808080" w:themeColor="background1" w:themeShade="80"/>
          <w:sz w:val="22"/>
          <w:szCs w:val="22"/>
          <w:lang w:val="en-SG"/>
        </w:rPr>
        <w:t xml:space="preserve">. 2007), </w:t>
      </w:r>
      <w:r w:rsidR="00D07FED">
        <w:rPr>
          <w:rFonts w:ascii="Avenir Next" w:hAnsi="Avenir Next" w:cs="Arial"/>
          <w:color w:val="808080" w:themeColor="background1" w:themeShade="80"/>
          <w:sz w:val="22"/>
          <w:szCs w:val="22"/>
          <w:lang w:val="en-SG"/>
        </w:rPr>
        <w:t>C</w:t>
      </w:r>
      <w:r w:rsidR="009A1AE0" w:rsidRPr="009A1AE0">
        <w:rPr>
          <w:rFonts w:ascii="Avenir Next" w:hAnsi="Avenir Next" w:cs="Arial"/>
          <w:color w:val="808080" w:themeColor="background1" w:themeShade="80"/>
          <w:sz w:val="22"/>
          <w:szCs w:val="22"/>
          <w:lang w:val="en-SG"/>
        </w:rPr>
        <w:t>LOUT 924</w:t>
      </w:r>
      <w:r w:rsidR="009A1AE0">
        <w:rPr>
          <w:rFonts w:ascii="Avenir Next" w:hAnsi="Avenir Next" w:cs="Arial"/>
          <w:color w:val="808080" w:themeColor="background1" w:themeShade="80"/>
          <w:sz w:val="22"/>
          <w:szCs w:val="22"/>
          <w:lang w:val="en-SG"/>
        </w:rPr>
        <w:t xml:space="preserve">; </w:t>
      </w:r>
      <w:r w:rsidR="009A1AE0" w:rsidRPr="00BD2838">
        <w:rPr>
          <w:rFonts w:ascii="Avenir Next" w:hAnsi="Avenir Next" w:cs="Arial"/>
          <w:i/>
          <w:iCs/>
          <w:color w:val="808080" w:themeColor="background1" w:themeShade="80"/>
          <w:sz w:val="22"/>
          <w:szCs w:val="22"/>
          <w:lang w:val="en-SG"/>
        </w:rPr>
        <w:t>Batty (as trustee in bankruptcy of Reeves) v Reeves</w:t>
      </w:r>
      <w:r w:rsidR="009A1AE0" w:rsidRPr="009A1AE0">
        <w:rPr>
          <w:rFonts w:ascii="Avenir Next" w:hAnsi="Avenir Next" w:cs="Arial"/>
          <w:color w:val="808080" w:themeColor="background1" w:themeShade="80"/>
          <w:sz w:val="22"/>
          <w:szCs w:val="22"/>
          <w:lang w:val="en-SG"/>
        </w:rPr>
        <w:t xml:space="preserve"> [2015] NZHC 908, CLOUT</w:t>
      </w:r>
      <w:r w:rsidR="00D07FED">
        <w:rPr>
          <w:rFonts w:ascii="Avenir Next" w:hAnsi="Avenir Next" w:cs="Arial"/>
          <w:color w:val="808080" w:themeColor="background1" w:themeShade="80"/>
          <w:sz w:val="22"/>
          <w:szCs w:val="22"/>
          <w:lang w:val="en-SG"/>
        </w:rPr>
        <w:t xml:space="preserve"> </w:t>
      </w:r>
      <w:r w:rsidR="009A1AE0" w:rsidRPr="009A1AE0">
        <w:rPr>
          <w:rFonts w:ascii="Avenir Next" w:hAnsi="Avenir Next" w:cs="Arial"/>
          <w:color w:val="808080" w:themeColor="background1" w:themeShade="80"/>
          <w:sz w:val="22"/>
          <w:szCs w:val="22"/>
          <w:lang w:val="en-SG"/>
        </w:rPr>
        <w:t xml:space="preserve">1801; </w:t>
      </w:r>
      <w:r w:rsidR="009A1AE0" w:rsidRPr="00BD2838">
        <w:rPr>
          <w:rFonts w:ascii="Avenir Next" w:hAnsi="Avenir Next" w:cs="Arial"/>
          <w:i/>
          <w:iCs/>
          <w:color w:val="808080" w:themeColor="background1" w:themeShade="80"/>
          <w:sz w:val="22"/>
          <w:szCs w:val="22"/>
          <w:lang w:val="en-SG"/>
        </w:rPr>
        <w:t>Leeds v Richards</w:t>
      </w:r>
      <w:r w:rsidR="009A1AE0" w:rsidRPr="009A1AE0">
        <w:rPr>
          <w:rFonts w:ascii="Avenir Next" w:hAnsi="Avenir Next" w:cs="Arial"/>
          <w:color w:val="808080" w:themeColor="background1" w:themeShade="80"/>
          <w:sz w:val="22"/>
          <w:szCs w:val="22"/>
          <w:lang w:val="en-SG"/>
        </w:rPr>
        <w:t xml:space="preserve"> [2016] NZHC 2314, CLOUT 1800</w:t>
      </w:r>
      <w:r w:rsidR="009A1AE0">
        <w:rPr>
          <w:rFonts w:ascii="Avenir Next" w:hAnsi="Avenir Next" w:cs="Arial"/>
          <w:color w:val="808080" w:themeColor="background1" w:themeShade="80"/>
          <w:sz w:val="22"/>
          <w:szCs w:val="22"/>
          <w:lang w:val="en-SG"/>
        </w:rPr>
        <w:t>)</w:t>
      </w:r>
      <w:r w:rsidR="009A1AE0" w:rsidRPr="009A1AE0">
        <w:rPr>
          <w:rFonts w:ascii="Avenir Next" w:hAnsi="Avenir Next" w:cs="Arial"/>
          <w:color w:val="808080" w:themeColor="background1" w:themeShade="80"/>
          <w:sz w:val="22"/>
          <w:szCs w:val="22"/>
          <w:lang w:val="en-SG"/>
        </w:rPr>
        <w:t>.</w:t>
      </w:r>
    </w:p>
    <w:p w14:paraId="3083AA6F" w14:textId="77777777" w:rsidR="008F13EE" w:rsidRDefault="008F13EE" w:rsidP="008F13EE">
      <w:pPr>
        <w:jc w:val="both"/>
        <w:rPr>
          <w:rFonts w:ascii="Avenir Next" w:hAnsi="Avenir Next" w:cs="Arial"/>
          <w:color w:val="808080" w:themeColor="background1" w:themeShade="80"/>
          <w:sz w:val="22"/>
          <w:szCs w:val="22"/>
          <w:lang w:val="en-GB"/>
        </w:rPr>
      </w:pPr>
    </w:p>
    <w:p w14:paraId="462E35EC" w14:textId="591DD290" w:rsidR="008F13EE" w:rsidRPr="004104E9" w:rsidRDefault="004104E9" w:rsidP="00593DCC">
      <w:pPr>
        <w:jc w:val="both"/>
        <w:rPr>
          <w:rFonts w:ascii="Avenir Next" w:hAnsi="Avenir Next" w:cs="Arial"/>
          <w:color w:val="808080" w:themeColor="background1" w:themeShade="80"/>
          <w:sz w:val="22"/>
          <w:szCs w:val="22"/>
          <w:lang w:val="en-GB"/>
        </w:rPr>
      </w:pPr>
      <w:r w:rsidRPr="004104E9">
        <w:rPr>
          <w:rFonts w:ascii="Avenir Next" w:hAnsi="Avenir Next" w:cs="Arial"/>
          <w:color w:val="808080" w:themeColor="background1" w:themeShade="80"/>
          <w:sz w:val="22"/>
          <w:szCs w:val="22"/>
          <w:lang w:val="en-GB"/>
        </w:rPr>
        <w:t>Third,</w:t>
      </w:r>
      <w:r w:rsidR="008F13EE" w:rsidRPr="004104E9">
        <w:rPr>
          <w:rFonts w:ascii="Avenir Next" w:hAnsi="Avenir Next" w:cs="Arial"/>
          <w:color w:val="808080" w:themeColor="background1" w:themeShade="80"/>
          <w:sz w:val="22"/>
          <w:szCs w:val="22"/>
          <w:lang w:val="en-GB"/>
        </w:rPr>
        <w:t xml:space="preserve"> Art</w:t>
      </w:r>
      <w:r w:rsidRPr="004104E9">
        <w:rPr>
          <w:rFonts w:ascii="Avenir Next" w:hAnsi="Avenir Next" w:cs="Arial"/>
          <w:color w:val="808080" w:themeColor="background1" w:themeShade="80"/>
          <w:sz w:val="22"/>
          <w:szCs w:val="22"/>
          <w:lang w:val="en-GB"/>
        </w:rPr>
        <w:t>icle</w:t>
      </w:r>
      <w:r w:rsidR="008F13EE" w:rsidRPr="004104E9">
        <w:rPr>
          <w:rFonts w:ascii="Avenir Next" w:hAnsi="Avenir Next" w:cs="Arial"/>
          <w:color w:val="808080" w:themeColor="background1" w:themeShade="80"/>
          <w:sz w:val="22"/>
          <w:szCs w:val="22"/>
          <w:lang w:val="en-GB"/>
        </w:rPr>
        <w:t xml:space="preserve"> 6 provides that recognition should not be granted where </w:t>
      </w:r>
      <w:r w:rsidR="00593DCC">
        <w:rPr>
          <w:rFonts w:ascii="Avenir Next" w:hAnsi="Avenir Next" w:cs="Arial"/>
          <w:color w:val="808080" w:themeColor="background1" w:themeShade="80"/>
          <w:sz w:val="22"/>
          <w:szCs w:val="22"/>
          <w:lang w:val="en-GB"/>
        </w:rPr>
        <w:t>it would</w:t>
      </w:r>
      <w:r w:rsidR="008F13EE" w:rsidRPr="004104E9">
        <w:rPr>
          <w:rFonts w:ascii="Avenir Next" w:hAnsi="Avenir Next" w:cs="Arial"/>
          <w:color w:val="808080" w:themeColor="background1" w:themeShade="80"/>
          <w:sz w:val="22"/>
          <w:szCs w:val="22"/>
          <w:lang w:val="en-GB"/>
        </w:rPr>
        <w:t xml:space="preserve"> be contrary to the public policy of State A. </w:t>
      </w:r>
      <w:r w:rsidR="00593DCC">
        <w:rPr>
          <w:rFonts w:ascii="Avenir Next" w:hAnsi="Avenir Next" w:cs="Arial"/>
          <w:color w:val="808080" w:themeColor="background1" w:themeShade="80"/>
          <w:sz w:val="22"/>
          <w:szCs w:val="22"/>
          <w:lang w:val="en-GB"/>
        </w:rPr>
        <w:t xml:space="preserve">Yet </w:t>
      </w:r>
      <w:r w:rsidR="00593DCC" w:rsidRPr="00593DCC">
        <w:rPr>
          <w:rFonts w:ascii="Avenir Next" w:hAnsi="Avenir Next" w:cs="Arial"/>
          <w:color w:val="808080" w:themeColor="background1" w:themeShade="80"/>
          <w:sz w:val="22"/>
          <w:szCs w:val="22"/>
          <w:lang w:val="en-GB"/>
        </w:rPr>
        <w:t>Courts have indicated that the parties objecting to an</w:t>
      </w:r>
      <w:r w:rsidR="00593DCC">
        <w:rPr>
          <w:rFonts w:ascii="Avenir Next" w:hAnsi="Avenir Next" w:cs="Arial"/>
          <w:color w:val="808080" w:themeColor="background1" w:themeShade="80"/>
          <w:sz w:val="22"/>
          <w:szCs w:val="22"/>
          <w:lang w:val="en-GB"/>
        </w:rPr>
        <w:t xml:space="preserve"> </w:t>
      </w:r>
      <w:r w:rsidR="00593DCC" w:rsidRPr="00593DCC">
        <w:rPr>
          <w:rFonts w:ascii="Avenir Next" w:hAnsi="Avenir Next" w:cs="Arial"/>
          <w:color w:val="808080" w:themeColor="background1" w:themeShade="80"/>
          <w:sz w:val="22"/>
          <w:szCs w:val="22"/>
          <w:lang w:val="en-GB"/>
        </w:rPr>
        <w:t>action to be taken should identify the</w:t>
      </w:r>
      <w:r w:rsidR="00593DCC">
        <w:rPr>
          <w:rFonts w:ascii="Avenir Next" w:hAnsi="Avenir Next" w:cs="Arial"/>
          <w:color w:val="808080" w:themeColor="background1" w:themeShade="80"/>
          <w:sz w:val="22"/>
          <w:szCs w:val="22"/>
          <w:lang w:val="en-GB"/>
        </w:rPr>
        <w:t xml:space="preserve"> </w:t>
      </w:r>
      <w:r w:rsidR="00593DCC" w:rsidRPr="00593DCC">
        <w:rPr>
          <w:rFonts w:ascii="Avenir Next" w:hAnsi="Avenir Next" w:cs="Arial"/>
          <w:color w:val="808080" w:themeColor="background1" w:themeShade="80"/>
          <w:sz w:val="22"/>
          <w:szCs w:val="22"/>
          <w:lang w:val="en-GB"/>
        </w:rPr>
        <w:t>fundamental policies that would allegedly be violated by</w:t>
      </w:r>
      <w:r w:rsidR="00593DCC">
        <w:rPr>
          <w:rFonts w:ascii="Avenir Next" w:hAnsi="Avenir Next" w:cs="Arial"/>
          <w:color w:val="808080" w:themeColor="background1" w:themeShade="80"/>
          <w:sz w:val="22"/>
          <w:szCs w:val="22"/>
          <w:lang w:val="en-GB"/>
        </w:rPr>
        <w:t xml:space="preserve"> </w:t>
      </w:r>
      <w:r w:rsidR="00593DCC" w:rsidRPr="00593DCC">
        <w:rPr>
          <w:rFonts w:ascii="Avenir Next" w:hAnsi="Avenir Next" w:cs="Arial"/>
          <w:color w:val="808080" w:themeColor="background1" w:themeShade="80"/>
          <w:sz w:val="22"/>
          <w:szCs w:val="22"/>
          <w:lang w:val="en-GB"/>
        </w:rPr>
        <w:t>the action</w:t>
      </w:r>
      <w:r w:rsidR="00687057">
        <w:rPr>
          <w:rFonts w:ascii="Avenir Next" w:hAnsi="Avenir Next" w:cs="Arial"/>
          <w:color w:val="808080" w:themeColor="background1" w:themeShade="80"/>
          <w:sz w:val="22"/>
          <w:szCs w:val="22"/>
          <w:lang w:val="en-GB"/>
        </w:rPr>
        <w:t xml:space="preserve"> (</w:t>
      </w:r>
      <w:r w:rsidR="00BD2838">
        <w:rPr>
          <w:rFonts w:ascii="Avenir Next" w:hAnsi="Avenir Next" w:cs="Arial"/>
          <w:color w:val="808080" w:themeColor="background1" w:themeShade="80"/>
          <w:sz w:val="22"/>
          <w:szCs w:val="22"/>
          <w:lang w:val="en-GB"/>
        </w:rPr>
        <w:t xml:space="preserve">see </w:t>
      </w:r>
      <w:r w:rsidR="00687057" w:rsidRPr="00687057">
        <w:rPr>
          <w:rFonts w:ascii="Avenir Next" w:hAnsi="Avenir Next" w:cs="Arial"/>
          <w:i/>
          <w:iCs/>
          <w:color w:val="808080" w:themeColor="background1" w:themeShade="80"/>
          <w:sz w:val="22"/>
          <w:szCs w:val="22"/>
          <w:lang w:val="en-SG"/>
        </w:rPr>
        <w:t xml:space="preserve">Iida v </w:t>
      </w:r>
      <w:proofErr w:type="spellStart"/>
      <w:r w:rsidR="00687057" w:rsidRPr="00687057">
        <w:rPr>
          <w:rFonts w:ascii="Avenir Next" w:hAnsi="Avenir Next" w:cs="Arial"/>
          <w:i/>
          <w:iCs/>
          <w:color w:val="808080" w:themeColor="background1" w:themeShade="80"/>
          <w:sz w:val="22"/>
          <w:szCs w:val="22"/>
          <w:lang w:val="en-SG"/>
        </w:rPr>
        <w:t>Kitahara</w:t>
      </w:r>
      <w:proofErr w:type="spellEnd"/>
      <w:r w:rsidR="00687057" w:rsidRPr="00687057">
        <w:rPr>
          <w:rFonts w:ascii="Avenir Next" w:hAnsi="Avenir Next" w:cs="Arial"/>
          <w:color w:val="808080" w:themeColor="background1" w:themeShade="80"/>
          <w:sz w:val="22"/>
          <w:szCs w:val="22"/>
          <w:lang w:val="en-SG"/>
        </w:rPr>
        <w:t xml:space="preserve"> (</w:t>
      </w:r>
      <w:r w:rsidR="00687057" w:rsidRPr="00687057">
        <w:rPr>
          <w:rFonts w:ascii="Avenir Next" w:hAnsi="Avenir Next" w:cs="Arial"/>
          <w:i/>
          <w:iCs/>
          <w:color w:val="808080" w:themeColor="background1" w:themeShade="80"/>
          <w:sz w:val="22"/>
          <w:szCs w:val="22"/>
          <w:lang w:val="en-SG"/>
        </w:rPr>
        <w:t xml:space="preserve">In re </w:t>
      </w:r>
      <w:r w:rsidR="00687057" w:rsidRPr="00687057">
        <w:rPr>
          <w:rFonts w:ascii="Avenir Next" w:hAnsi="Avenir Next" w:cs="Arial"/>
          <w:color w:val="808080" w:themeColor="background1" w:themeShade="80"/>
          <w:sz w:val="22"/>
          <w:szCs w:val="22"/>
          <w:lang w:val="en-SG"/>
        </w:rPr>
        <w:t>Iida) 377 B.R. 243, 259 (B.A.P. 9th Cir. 2007), CLOUT 761</w:t>
      </w:r>
      <w:r w:rsidR="00687057">
        <w:rPr>
          <w:rFonts w:ascii="Avenir Next" w:hAnsi="Avenir Next" w:cs="Arial"/>
          <w:color w:val="808080" w:themeColor="background1" w:themeShade="80"/>
          <w:sz w:val="22"/>
          <w:szCs w:val="22"/>
          <w:lang w:val="en-GB"/>
        </w:rPr>
        <w:t>)</w:t>
      </w:r>
      <w:r w:rsidR="00593DCC">
        <w:rPr>
          <w:rFonts w:ascii="Avenir Next" w:hAnsi="Avenir Next" w:cs="Arial"/>
          <w:color w:val="808080" w:themeColor="background1" w:themeShade="80"/>
          <w:sz w:val="22"/>
          <w:szCs w:val="22"/>
          <w:lang w:val="en-GB"/>
        </w:rPr>
        <w:t xml:space="preserve">. Owing to the qualification of “manifestly”, the threshold to meet before a public policy exception is successfully relied on is high, and three </w:t>
      </w:r>
      <w:proofErr w:type="spellStart"/>
      <w:r w:rsidR="00593DCC">
        <w:rPr>
          <w:rFonts w:ascii="Avenir Next" w:hAnsi="Avenir Next" w:cs="Arial"/>
          <w:color w:val="808080" w:themeColor="background1" w:themeShade="80"/>
          <w:sz w:val="22"/>
          <w:szCs w:val="22"/>
          <w:lang w:val="en-GB"/>
        </w:rPr>
        <w:t>principles</w:t>
      </w:r>
      <w:proofErr w:type="spellEnd"/>
      <w:r w:rsidR="00593DCC" w:rsidRPr="00593DCC">
        <w:rPr>
          <w:rFonts w:ascii="Avenir Next" w:hAnsi="Avenir Next" w:cs="Arial"/>
          <w:color w:val="808080" w:themeColor="background1" w:themeShade="80"/>
          <w:sz w:val="22"/>
          <w:szCs w:val="22"/>
          <w:lang w:val="en-GB"/>
        </w:rPr>
        <w:t xml:space="preserve"> have been </w:t>
      </w:r>
      <w:r w:rsidR="00593DCC">
        <w:rPr>
          <w:rFonts w:ascii="Avenir Next" w:hAnsi="Avenir Next" w:cs="Arial"/>
          <w:color w:val="808080" w:themeColor="background1" w:themeShade="80"/>
          <w:sz w:val="22"/>
          <w:szCs w:val="22"/>
          <w:lang w:val="en-GB"/>
        </w:rPr>
        <w:t>identified to</w:t>
      </w:r>
      <w:r w:rsidR="00593DCC" w:rsidRPr="00593DCC">
        <w:rPr>
          <w:rFonts w:ascii="Avenir Next" w:hAnsi="Avenir Next" w:cs="Arial"/>
          <w:color w:val="808080" w:themeColor="background1" w:themeShade="80"/>
          <w:sz w:val="22"/>
          <w:szCs w:val="22"/>
          <w:lang w:val="en-GB"/>
        </w:rPr>
        <w:t xml:space="preserve"> guide courts in analysing whether an action</w:t>
      </w:r>
      <w:r w:rsidR="00593DCC">
        <w:rPr>
          <w:rFonts w:ascii="Avenir Next" w:hAnsi="Avenir Next" w:cs="Arial"/>
          <w:color w:val="808080" w:themeColor="background1" w:themeShade="80"/>
          <w:sz w:val="22"/>
          <w:szCs w:val="22"/>
          <w:lang w:val="en-GB"/>
        </w:rPr>
        <w:t xml:space="preserve"> </w:t>
      </w:r>
      <w:r w:rsidR="00593DCC" w:rsidRPr="00593DCC">
        <w:rPr>
          <w:rFonts w:ascii="Avenir Next" w:hAnsi="Avenir Next" w:cs="Arial"/>
          <w:color w:val="808080" w:themeColor="background1" w:themeShade="80"/>
          <w:sz w:val="22"/>
          <w:szCs w:val="22"/>
          <w:lang w:val="en-GB"/>
        </w:rPr>
        <w:t>taken in a recognition proceeding is manifestly contrary</w:t>
      </w:r>
      <w:r w:rsidR="00593DCC">
        <w:rPr>
          <w:rFonts w:ascii="Avenir Next" w:hAnsi="Avenir Next" w:cs="Arial"/>
          <w:color w:val="808080" w:themeColor="background1" w:themeShade="80"/>
          <w:sz w:val="22"/>
          <w:szCs w:val="22"/>
          <w:lang w:val="en-GB"/>
        </w:rPr>
        <w:t xml:space="preserve"> </w:t>
      </w:r>
      <w:r w:rsidR="00593DCC" w:rsidRPr="00593DCC">
        <w:rPr>
          <w:rFonts w:ascii="Avenir Next" w:hAnsi="Avenir Next" w:cs="Arial"/>
          <w:color w:val="808080" w:themeColor="background1" w:themeShade="80"/>
          <w:sz w:val="22"/>
          <w:szCs w:val="22"/>
          <w:lang w:val="en-GB"/>
        </w:rPr>
        <w:t>to the public policy o</w:t>
      </w:r>
      <w:r w:rsidR="00593DCC">
        <w:rPr>
          <w:rFonts w:ascii="Avenir Next" w:hAnsi="Avenir Next" w:cs="Arial"/>
          <w:color w:val="808080" w:themeColor="background1" w:themeShade="80"/>
          <w:sz w:val="22"/>
          <w:szCs w:val="22"/>
          <w:lang w:val="en-GB"/>
        </w:rPr>
        <w:t xml:space="preserve">f State A: </w:t>
      </w:r>
      <w:r w:rsidR="00593DCC" w:rsidRPr="00593DCC">
        <w:rPr>
          <w:rFonts w:ascii="Avenir Next" w:hAnsi="Avenir Next" w:cs="Arial"/>
          <w:color w:val="808080" w:themeColor="background1" w:themeShade="80"/>
          <w:sz w:val="22"/>
          <w:szCs w:val="22"/>
          <w:lang w:val="en-GB"/>
        </w:rPr>
        <w:t xml:space="preserve">(a) </w:t>
      </w:r>
      <w:r w:rsidR="00687057">
        <w:rPr>
          <w:rFonts w:ascii="Avenir Next" w:hAnsi="Avenir Next" w:cs="Arial"/>
          <w:color w:val="808080" w:themeColor="background1" w:themeShade="80"/>
          <w:sz w:val="22"/>
          <w:szCs w:val="22"/>
          <w:lang w:val="en-GB"/>
        </w:rPr>
        <w:t>t</w:t>
      </w:r>
      <w:r w:rsidR="00593DCC" w:rsidRPr="00593DCC">
        <w:rPr>
          <w:rFonts w:ascii="Avenir Next" w:hAnsi="Avenir Next" w:cs="Arial"/>
          <w:color w:val="808080" w:themeColor="background1" w:themeShade="80"/>
          <w:sz w:val="22"/>
          <w:szCs w:val="22"/>
          <w:lang w:val="en-GB"/>
        </w:rPr>
        <w:t>he mere fact of a conflict between foreign law</w:t>
      </w:r>
      <w:r w:rsidR="00687057">
        <w:rPr>
          <w:rFonts w:ascii="Avenir Next" w:hAnsi="Avenir Next" w:cs="Arial"/>
          <w:color w:val="808080" w:themeColor="background1" w:themeShade="80"/>
          <w:sz w:val="22"/>
          <w:szCs w:val="22"/>
          <w:lang w:val="en-GB"/>
        </w:rPr>
        <w:t xml:space="preserve"> </w:t>
      </w:r>
      <w:r w:rsidR="00593DCC" w:rsidRPr="00593DCC">
        <w:rPr>
          <w:rFonts w:ascii="Avenir Next" w:hAnsi="Avenir Next" w:cs="Arial"/>
          <w:color w:val="808080" w:themeColor="background1" w:themeShade="80"/>
          <w:sz w:val="22"/>
          <w:szCs w:val="22"/>
          <w:lang w:val="en-GB"/>
        </w:rPr>
        <w:t>and local law</w:t>
      </w:r>
      <w:r w:rsidR="00687057">
        <w:rPr>
          <w:rFonts w:ascii="Avenir Next" w:hAnsi="Avenir Next" w:cs="Arial"/>
          <w:color w:val="808080" w:themeColor="background1" w:themeShade="80"/>
          <w:sz w:val="22"/>
          <w:szCs w:val="22"/>
          <w:lang w:val="en-GB"/>
        </w:rPr>
        <w:t xml:space="preserve"> </w:t>
      </w:r>
      <w:r w:rsidR="00593DCC" w:rsidRPr="00593DCC">
        <w:rPr>
          <w:rFonts w:ascii="Avenir Next" w:hAnsi="Avenir Next" w:cs="Arial"/>
          <w:color w:val="808080" w:themeColor="background1" w:themeShade="80"/>
          <w:sz w:val="22"/>
          <w:szCs w:val="22"/>
          <w:lang w:val="en-GB"/>
        </w:rPr>
        <w:t xml:space="preserve">is </w:t>
      </w:r>
      <w:r w:rsidR="00687057">
        <w:rPr>
          <w:rFonts w:ascii="Avenir Next" w:hAnsi="Avenir Next" w:cs="Arial"/>
          <w:color w:val="808080" w:themeColor="background1" w:themeShade="80"/>
          <w:sz w:val="22"/>
          <w:szCs w:val="22"/>
          <w:lang w:val="en-GB"/>
        </w:rPr>
        <w:t xml:space="preserve">alone </w:t>
      </w:r>
      <w:r w:rsidR="00593DCC" w:rsidRPr="00593DCC">
        <w:rPr>
          <w:rFonts w:ascii="Avenir Next" w:hAnsi="Avenir Next" w:cs="Arial"/>
          <w:color w:val="808080" w:themeColor="background1" w:themeShade="80"/>
          <w:sz w:val="22"/>
          <w:szCs w:val="22"/>
          <w:lang w:val="en-GB"/>
        </w:rPr>
        <w:t>insufficient to</w:t>
      </w:r>
      <w:r w:rsidR="00687057">
        <w:rPr>
          <w:rFonts w:ascii="Avenir Next" w:hAnsi="Avenir Next" w:cs="Arial"/>
          <w:color w:val="808080" w:themeColor="background1" w:themeShade="80"/>
          <w:sz w:val="22"/>
          <w:szCs w:val="22"/>
          <w:lang w:val="en-GB"/>
        </w:rPr>
        <w:t xml:space="preserve"> </w:t>
      </w:r>
      <w:r w:rsidR="00593DCC" w:rsidRPr="00593DCC">
        <w:rPr>
          <w:rFonts w:ascii="Avenir Next" w:hAnsi="Avenir Next" w:cs="Arial"/>
          <w:color w:val="808080" w:themeColor="background1" w:themeShade="80"/>
          <w:sz w:val="22"/>
          <w:szCs w:val="22"/>
          <w:lang w:val="en-GB"/>
        </w:rPr>
        <w:t>support the</w:t>
      </w:r>
      <w:r w:rsidR="00687057">
        <w:rPr>
          <w:rFonts w:ascii="Avenir Next" w:hAnsi="Avenir Next" w:cs="Arial"/>
          <w:color w:val="808080" w:themeColor="background1" w:themeShade="80"/>
          <w:sz w:val="22"/>
          <w:szCs w:val="22"/>
          <w:lang w:val="en-GB"/>
        </w:rPr>
        <w:t xml:space="preserve"> successful</w:t>
      </w:r>
      <w:r w:rsidR="00593DCC" w:rsidRPr="00593DCC">
        <w:rPr>
          <w:rFonts w:ascii="Avenir Next" w:hAnsi="Avenir Next" w:cs="Arial"/>
          <w:color w:val="808080" w:themeColor="background1" w:themeShade="80"/>
          <w:sz w:val="22"/>
          <w:szCs w:val="22"/>
          <w:lang w:val="en-GB"/>
        </w:rPr>
        <w:t xml:space="preserve"> invocation of the public policy exception;</w:t>
      </w:r>
      <w:r w:rsidR="00687057">
        <w:rPr>
          <w:rFonts w:ascii="Avenir Next" w:hAnsi="Avenir Next" w:cs="Arial"/>
          <w:color w:val="808080" w:themeColor="background1" w:themeShade="80"/>
          <w:sz w:val="22"/>
          <w:szCs w:val="22"/>
          <w:lang w:val="en-GB"/>
        </w:rPr>
        <w:t xml:space="preserve"> </w:t>
      </w:r>
      <w:r w:rsidR="00593DCC" w:rsidRPr="00593DCC">
        <w:rPr>
          <w:rFonts w:ascii="Avenir Next" w:hAnsi="Avenir Next" w:cs="Arial"/>
          <w:color w:val="808080" w:themeColor="background1" w:themeShade="80"/>
          <w:sz w:val="22"/>
          <w:szCs w:val="22"/>
          <w:lang w:val="en-GB"/>
        </w:rPr>
        <w:t>(b) where the procedural</w:t>
      </w:r>
      <w:r w:rsidR="00687057">
        <w:rPr>
          <w:rFonts w:ascii="Avenir Next" w:hAnsi="Avenir Next" w:cs="Arial"/>
          <w:color w:val="808080" w:themeColor="background1" w:themeShade="80"/>
          <w:sz w:val="22"/>
          <w:szCs w:val="22"/>
          <w:lang w:val="en-GB"/>
        </w:rPr>
        <w:t xml:space="preserve"> </w:t>
      </w:r>
      <w:r w:rsidR="00593DCC" w:rsidRPr="00593DCC">
        <w:rPr>
          <w:rFonts w:ascii="Avenir Next" w:hAnsi="Avenir Next" w:cs="Arial"/>
          <w:color w:val="808080" w:themeColor="background1" w:themeShade="80"/>
          <w:sz w:val="22"/>
          <w:szCs w:val="22"/>
          <w:lang w:val="en-GB"/>
        </w:rPr>
        <w:t>fairness of the foreign proceeding is in doubt or cannot be</w:t>
      </w:r>
      <w:r w:rsidR="00687057">
        <w:rPr>
          <w:rFonts w:ascii="Avenir Next" w:hAnsi="Avenir Next" w:cs="Arial"/>
          <w:color w:val="808080" w:themeColor="background1" w:themeShade="80"/>
          <w:sz w:val="22"/>
          <w:szCs w:val="22"/>
          <w:lang w:val="en-GB"/>
        </w:rPr>
        <w:t xml:space="preserve"> </w:t>
      </w:r>
      <w:r w:rsidR="00593DCC" w:rsidRPr="00593DCC">
        <w:rPr>
          <w:rFonts w:ascii="Avenir Next" w:hAnsi="Avenir Next" w:cs="Arial"/>
          <w:color w:val="808080" w:themeColor="background1" w:themeShade="80"/>
          <w:sz w:val="22"/>
          <w:szCs w:val="22"/>
          <w:lang w:val="en-GB"/>
        </w:rPr>
        <w:t>cured by the adoption of additional protections</w:t>
      </w:r>
      <w:r w:rsidR="00687057">
        <w:rPr>
          <w:rFonts w:ascii="Avenir Next" w:hAnsi="Avenir Next" w:cs="Arial"/>
          <w:color w:val="808080" w:themeColor="background1" w:themeShade="80"/>
          <w:sz w:val="22"/>
          <w:szCs w:val="22"/>
          <w:lang w:val="en-GB"/>
        </w:rPr>
        <w:t>, there should be no</w:t>
      </w:r>
      <w:r w:rsidR="00687057" w:rsidRPr="00687057">
        <w:rPr>
          <w:rFonts w:ascii="Avenir Next" w:hAnsi="Avenir Next" w:cs="Arial"/>
          <w:color w:val="808080" w:themeColor="background1" w:themeShade="80"/>
          <w:sz w:val="22"/>
          <w:szCs w:val="22"/>
          <w:lang w:val="en-GB"/>
        </w:rPr>
        <w:t xml:space="preserve"> </w:t>
      </w:r>
      <w:r w:rsidR="00687057">
        <w:rPr>
          <w:rFonts w:ascii="Avenir Next" w:hAnsi="Avenir Next" w:cs="Arial"/>
          <w:color w:val="808080" w:themeColor="background1" w:themeShade="80"/>
          <w:sz w:val="22"/>
          <w:szCs w:val="22"/>
          <w:lang w:val="en-GB"/>
        </w:rPr>
        <w:t>d</w:t>
      </w:r>
      <w:r w:rsidR="00687057" w:rsidRPr="00593DCC">
        <w:rPr>
          <w:rFonts w:ascii="Avenir Next" w:hAnsi="Avenir Next" w:cs="Arial"/>
          <w:color w:val="808080" w:themeColor="background1" w:themeShade="80"/>
          <w:sz w:val="22"/>
          <w:szCs w:val="22"/>
          <w:lang w:val="en-GB"/>
        </w:rPr>
        <w:t>eference to a foreign proceeding in a recognition proceeding</w:t>
      </w:r>
      <w:r w:rsidR="00593DCC" w:rsidRPr="00593DCC">
        <w:rPr>
          <w:rFonts w:ascii="Avenir Next" w:hAnsi="Avenir Next" w:cs="Arial"/>
          <w:color w:val="808080" w:themeColor="background1" w:themeShade="80"/>
          <w:sz w:val="22"/>
          <w:szCs w:val="22"/>
          <w:lang w:val="en-GB"/>
        </w:rPr>
        <w:t>;</w:t>
      </w:r>
      <w:r w:rsidR="00687057">
        <w:rPr>
          <w:rFonts w:ascii="Avenir Next" w:hAnsi="Avenir Next" w:cs="Arial"/>
          <w:color w:val="808080" w:themeColor="background1" w:themeShade="80"/>
          <w:sz w:val="22"/>
          <w:szCs w:val="22"/>
          <w:lang w:val="en-GB"/>
        </w:rPr>
        <w:t xml:space="preserve"> and </w:t>
      </w:r>
      <w:r w:rsidR="00593DCC" w:rsidRPr="00593DCC">
        <w:rPr>
          <w:rFonts w:ascii="Avenir Next" w:hAnsi="Avenir Next" w:cs="Arial"/>
          <w:color w:val="808080" w:themeColor="background1" w:themeShade="80"/>
          <w:sz w:val="22"/>
          <w:szCs w:val="22"/>
          <w:lang w:val="en-GB"/>
        </w:rPr>
        <w:t xml:space="preserve">(c) </w:t>
      </w:r>
      <w:r w:rsidR="00687057">
        <w:rPr>
          <w:rFonts w:ascii="Avenir Next" w:hAnsi="Avenir Next" w:cs="Arial"/>
          <w:color w:val="808080" w:themeColor="background1" w:themeShade="80"/>
          <w:sz w:val="22"/>
          <w:szCs w:val="22"/>
          <w:lang w:val="en-GB"/>
        </w:rPr>
        <w:t>a</w:t>
      </w:r>
      <w:r w:rsidR="00593DCC" w:rsidRPr="00593DCC">
        <w:rPr>
          <w:rFonts w:ascii="Avenir Next" w:hAnsi="Avenir Next" w:cs="Arial"/>
          <w:color w:val="808080" w:themeColor="background1" w:themeShade="80"/>
          <w:sz w:val="22"/>
          <w:szCs w:val="22"/>
          <w:lang w:val="en-GB"/>
        </w:rPr>
        <w:t>n action should not be taken in a recognition</w:t>
      </w:r>
      <w:r w:rsidR="00687057">
        <w:rPr>
          <w:rFonts w:ascii="Avenir Next" w:hAnsi="Avenir Next" w:cs="Arial"/>
          <w:color w:val="808080" w:themeColor="background1" w:themeShade="80"/>
          <w:sz w:val="22"/>
          <w:szCs w:val="22"/>
          <w:lang w:val="en-GB"/>
        </w:rPr>
        <w:t xml:space="preserve"> </w:t>
      </w:r>
      <w:r w:rsidR="00593DCC" w:rsidRPr="00593DCC">
        <w:rPr>
          <w:rFonts w:ascii="Avenir Next" w:hAnsi="Avenir Next" w:cs="Arial"/>
          <w:color w:val="808080" w:themeColor="background1" w:themeShade="80"/>
          <w:sz w:val="22"/>
          <w:szCs w:val="22"/>
          <w:lang w:val="en-GB"/>
        </w:rPr>
        <w:t>proceeding where taking that action would frustrate</w:t>
      </w:r>
      <w:r w:rsidR="00687057">
        <w:rPr>
          <w:rFonts w:ascii="Avenir Next" w:hAnsi="Avenir Next" w:cs="Arial"/>
          <w:color w:val="808080" w:themeColor="background1" w:themeShade="80"/>
          <w:sz w:val="22"/>
          <w:szCs w:val="22"/>
          <w:lang w:val="en-GB"/>
        </w:rPr>
        <w:t xml:space="preserve"> </w:t>
      </w:r>
      <w:r w:rsidR="00593DCC" w:rsidRPr="00593DCC">
        <w:rPr>
          <w:rFonts w:ascii="Avenir Next" w:hAnsi="Avenir Next" w:cs="Arial"/>
          <w:color w:val="808080" w:themeColor="background1" w:themeShade="80"/>
          <w:sz w:val="22"/>
          <w:szCs w:val="22"/>
          <w:lang w:val="en-GB"/>
        </w:rPr>
        <w:t>the ability of the courts to administer the recognition</w:t>
      </w:r>
      <w:r w:rsidR="00593DCC">
        <w:rPr>
          <w:rFonts w:ascii="Avenir Next" w:hAnsi="Avenir Next" w:cs="Arial"/>
          <w:color w:val="808080" w:themeColor="background1" w:themeShade="80"/>
          <w:sz w:val="22"/>
          <w:szCs w:val="22"/>
          <w:lang w:val="en-GB"/>
        </w:rPr>
        <w:t xml:space="preserve"> </w:t>
      </w:r>
      <w:r w:rsidR="00593DCC" w:rsidRPr="00593DCC">
        <w:rPr>
          <w:rFonts w:ascii="Avenir Next" w:hAnsi="Avenir Next" w:cs="Arial"/>
          <w:color w:val="808080" w:themeColor="background1" w:themeShade="80"/>
          <w:sz w:val="22"/>
          <w:szCs w:val="22"/>
          <w:lang w:val="en-GB"/>
        </w:rPr>
        <w:t xml:space="preserve">proceeding and/or </w:t>
      </w:r>
      <w:r w:rsidR="00687057">
        <w:rPr>
          <w:rFonts w:ascii="Avenir Next" w:hAnsi="Avenir Next" w:cs="Arial"/>
          <w:color w:val="808080" w:themeColor="background1" w:themeShade="80"/>
          <w:sz w:val="22"/>
          <w:szCs w:val="22"/>
          <w:lang w:val="en-GB"/>
        </w:rPr>
        <w:t>cause it to abrogate from</w:t>
      </w:r>
      <w:r w:rsidR="00593DCC" w:rsidRPr="00593DCC">
        <w:rPr>
          <w:rFonts w:ascii="Avenir Next" w:hAnsi="Avenir Next" w:cs="Arial"/>
          <w:color w:val="808080" w:themeColor="background1" w:themeShade="80"/>
          <w:sz w:val="22"/>
          <w:szCs w:val="22"/>
          <w:lang w:val="en-GB"/>
        </w:rPr>
        <w:t xml:space="preserve"> a local constitutional</w:t>
      </w:r>
      <w:r w:rsidR="00687057">
        <w:rPr>
          <w:rFonts w:ascii="Avenir Next" w:hAnsi="Avenir Next" w:cs="Arial"/>
          <w:color w:val="808080" w:themeColor="background1" w:themeShade="80"/>
          <w:sz w:val="22"/>
          <w:szCs w:val="22"/>
          <w:lang w:val="en-GB"/>
        </w:rPr>
        <w:t xml:space="preserve"> </w:t>
      </w:r>
      <w:r w:rsidR="00593DCC" w:rsidRPr="00593DCC">
        <w:rPr>
          <w:rFonts w:ascii="Avenir Next" w:hAnsi="Avenir Next" w:cs="Arial"/>
          <w:color w:val="808080" w:themeColor="background1" w:themeShade="80"/>
          <w:sz w:val="22"/>
          <w:szCs w:val="22"/>
          <w:lang w:val="en-GB"/>
        </w:rPr>
        <w:t>or statutory right.</w:t>
      </w:r>
    </w:p>
    <w:p w14:paraId="50EE48DB" w14:textId="77777777" w:rsidR="00E62ED1" w:rsidRDefault="00E62ED1" w:rsidP="00E62ED1">
      <w:pPr>
        <w:jc w:val="both"/>
        <w:rPr>
          <w:rFonts w:ascii="Avenir Next" w:hAnsi="Avenir Next" w:cs="Arial"/>
          <w:color w:val="808080" w:themeColor="background1" w:themeShade="80"/>
          <w:sz w:val="22"/>
          <w:szCs w:val="22"/>
          <w:lang w:val="en-GB"/>
        </w:rPr>
      </w:pPr>
    </w:p>
    <w:p w14:paraId="3937CDFF" w14:textId="2366B64F" w:rsidR="00867A8F" w:rsidRPr="00B77352" w:rsidRDefault="00E62ED1" w:rsidP="008B177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w:t>
      </w:r>
      <w:r w:rsidR="00687057">
        <w:rPr>
          <w:rFonts w:ascii="Avenir Next" w:hAnsi="Avenir Next" w:cs="Arial"/>
          <w:color w:val="808080" w:themeColor="background1" w:themeShade="80"/>
          <w:sz w:val="22"/>
          <w:szCs w:val="22"/>
          <w:lang w:val="en-GB"/>
        </w:rPr>
        <w:t>although there is no provision in</w:t>
      </w:r>
      <w:r w:rsidR="008F13EE" w:rsidRPr="00E62ED1">
        <w:rPr>
          <w:rFonts w:ascii="Avenir Next" w:hAnsi="Avenir Next" w:cs="Arial"/>
          <w:color w:val="808080" w:themeColor="background1" w:themeShade="80"/>
          <w:sz w:val="22"/>
          <w:szCs w:val="22"/>
          <w:lang w:val="en-GB"/>
        </w:rPr>
        <w:t xml:space="preserve"> the </w:t>
      </w:r>
      <w:r>
        <w:rPr>
          <w:rFonts w:ascii="Avenir Next" w:hAnsi="Avenir Next" w:cs="Arial"/>
          <w:color w:val="808080" w:themeColor="background1" w:themeShade="80"/>
          <w:sz w:val="22"/>
          <w:szCs w:val="22"/>
          <w:lang w:val="en-GB"/>
        </w:rPr>
        <w:t>MLCITB</w:t>
      </w:r>
      <w:r w:rsidR="008F13EE" w:rsidRPr="00E62ED1">
        <w:rPr>
          <w:rFonts w:ascii="Avenir Next" w:hAnsi="Avenir Next" w:cs="Arial"/>
          <w:color w:val="808080" w:themeColor="background1" w:themeShade="80"/>
          <w:sz w:val="22"/>
          <w:szCs w:val="22"/>
          <w:lang w:val="en-GB"/>
        </w:rPr>
        <w:t xml:space="preserve"> </w:t>
      </w:r>
      <w:r w:rsidR="00687057">
        <w:rPr>
          <w:rFonts w:ascii="Avenir Next" w:hAnsi="Avenir Next" w:cs="Arial"/>
          <w:color w:val="808080" w:themeColor="background1" w:themeShade="80"/>
          <w:sz w:val="22"/>
          <w:szCs w:val="22"/>
          <w:lang w:val="en-GB"/>
        </w:rPr>
        <w:t xml:space="preserve">which pertains to the abuse of process – there is similarly no provision </w:t>
      </w:r>
      <w:r>
        <w:rPr>
          <w:rFonts w:ascii="Avenir Next" w:hAnsi="Avenir Next" w:cs="Arial"/>
          <w:color w:val="808080" w:themeColor="background1" w:themeShade="80"/>
          <w:sz w:val="22"/>
          <w:szCs w:val="22"/>
          <w:lang w:val="en-GB"/>
        </w:rPr>
        <w:t xml:space="preserve">preventing </w:t>
      </w:r>
      <w:r w:rsidR="008F13EE" w:rsidRPr="00E62ED1">
        <w:rPr>
          <w:rFonts w:ascii="Avenir Next" w:hAnsi="Avenir Next" w:cs="Arial"/>
          <w:color w:val="808080" w:themeColor="background1" w:themeShade="80"/>
          <w:sz w:val="22"/>
          <w:szCs w:val="22"/>
          <w:lang w:val="en-GB"/>
        </w:rPr>
        <w:t xml:space="preserve">the </w:t>
      </w:r>
      <w:r w:rsidR="00687057">
        <w:rPr>
          <w:rFonts w:ascii="Avenir Next" w:hAnsi="Avenir Next" w:cs="Arial"/>
          <w:color w:val="808080" w:themeColor="background1" w:themeShade="80"/>
          <w:sz w:val="22"/>
          <w:szCs w:val="22"/>
          <w:lang w:val="en-GB"/>
        </w:rPr>
        <w:t>c</w:t>
      </w:r>
      <w:r w:rsidR="008F13EE" w:rsidRPr="00E62ED1">
        <w:rPr>
          <w:rFonts w:ascii="Avenir Next" w:hAnsi="Avenir Next" w:cs="Arial"/>
          <w:color w:val="808080" w:themeColor="background1" w:themeShade="80"/>
          <w:sz w:val="22"/>
          <w:szCs w:val="22"/>
          <w:lang w:val="en-GB"/>
        </w:rPr>
        <w:t xml:space="preserve">ourts of State A from </w:t>
      </w:r>
      <w:r w:rsidR="00687057">
        <w:rPr>
          <w:rFonts w:ascii="Avenir Next" w:hAnsi="Avenir Next" w:cs="Arial"/>
          <w:color w:val="808080" w:themeColor="background1" w:themeShade="80"/>
          <w:sz w:val="22"/>
          <w:szCs w:val="22"/>
          <w:lang w:val="en-GB"/>
        </w:rPr>
        <w:t xml:space="preserve">applying domestic law pertaining </w:t>
      </w:r>
      <w:r w:rsidR="008F13EE" w:rsidRPr="00E62ED1">
        <w:rPr>
          <w:rFonts w:ascii="Avenir Next" w:hAnsi="Avenir Next" w:cs="Arial"/>
          <w:color w:val="808080" w:themeColor="background1" w:themeShade="80"/>
          <w:sz w:val="22"/>
          <w:szCs w:val="22"/>
          <w:lang w:val="en-GB"/>
        </w:rPr>
        <w:t xml:space="preserve">to an abuse of process. </w:t>
      </w:r>
      <w:r w:rsidR="00687057">
        <w:rPr>
          <w:rFonts w:ascii="Avenir Next" w:hAnsi="Avenir Next" w:cs="Arial"/>
          <w:color w:val="808080" w:themeColor="background1" w:themeShade="80"/>
          <w:sz w:val="22"/>
          <w:szCs w:val="22"/>
          <w:lang w:val="en-GB"/>
        </w:rPr>
        <w:t>Such a situation may include corruption in the foreign proceeding,</w:t>
      </w:r>
      <w:r w:rsidR="008F13EE" w:rsidRPr="00E62ED1">
        <w:rPr>
          <w:rFonts w:ascii="Avenir Next" w:hAnsi="Avenir Next" w:cs="Arial"/>
          <w:color w:val="808080" w:themeColor="background1" w:themeShade="80"/>
          <w:sz w:val="22"/>
          <w:szCs w:val="22"/>
          <w:lang w:val="en-GB"/>
        </w:rPr>
        <w:t xml:space="preserve"> the </w:t>
      </w:r>
      <w:r w:rsidR="00687057">
        <w:rPr>
          <w:rFonts w:ascii="Avenir Next" w:hAnsi="Avenir Next" w:cs="Arial"/>
          <w:color w:val="808080" w:themeColor="background1" w:themeShade="80"/>
          <w:sz w:val="22"/>
          <w:szCs w:val="22"/>
          <w:lang w:val="en-GB"/>
        </w:rPr>
        <w:t xml:space="preserve">breach of the </w:t>
      </w:r>
      <w:r w:rsidR="008F13EE" w:rsidRPr="00E62ED1">
        <w:rPr>
          <w:rFonts w:ascii="Avenir Next" w:hAnsi="Avenir Next" w:cs="Arial"/>
          <w:color w:val="808080" w:themeColor="background1" w:themeShade="80"/>
          <w:sz w:val="22"/>
          <w:szCs w:val="22"/>
          <w:lang w:val="en-GB"/>
        </w:rPr>
        <w:t xml:space="preserve">continuing obligation to keep the court </w:t>
      </w:r>
      <w:r w:rsidR="00687057">
        <w:rPr>
          <w:rFonts w:ascii="Avenir Next" w:hAnsi="Avenir Next" w:cs="Arial"/>
          <w:color w:val="808080" w:themeColor="background1" w:themeShade="80"/>
          <w:sz w:val="22"/>
          <w:szCs w:val="22"/>
          <w:lang w:val="en-GB"/>
        </w:rPr>
        <w:t>apprised of matters in</w:t>
      </w:r>
      <w:r w:rsidR="008F13EE" w:rsidRPr="00E62ED1">
        <w:rPr>
          <w:rFonts w:ascii="Avenir Next" w:hAnsi="Avenir Next" w:cs="Arial"/>
          <w:color w:val="808080" w:themeColor="background1" w:themeShade="80"/>
          <w:sz w:val="22"/>
          <w:szCs w:val="22"/>
          <w:lang w:val="en-GB"/>
        </w:rPr>
        <w:t xml:space="preserve"> Art</w:t>
      </w:r>
      <w:r>
        <w:rPr>
          <w:rFonts w:ascii="Avenir Next" w:hAnsi="Avenir Next" w:cs="Arial"/>
          <w:color w:val="808080" w:themeColor="background1" w:themeShade="80"/>
          <w:sz w:val="22"/>
          <w:szCs w:val="22"/>
          <w:lang w:val="en-GB"/>
        </w:rPr>
        <w:t xml:space="preserve">icle </w:t>
      </w:r>
      <w:r w:rsidR="008F13EE" w:rsidRPr="00E62ED1">
        <w:rPr>
          <w:rFonts w:ascii="Avenir Next" w:hAnsi="Avenir Next" w:cs="Arial"/>
          <w:color w:val="808080" w:themeColor="background1" w:themeShade="80"/>
          <w:sz w:val="22"/>
          <w:szCs w:val="22"/>
          <w:lang w:val="en-GB"/>
        </w:rPr>
        <w:t xml:space="preserve">18, or where false representations </w:t>
      </w:r>
      <w:r w:rsidR="00687057">
        <w:rPr>
          <w:rFonts w:ascii="Avenir Next" w:hAnsi="Avenir Next" w:cs="Arial"/>
          <w:color w:val="808080" w:themeColor="background1" w:themeShade="80"/>
          <w:sz w:val="22"/>
          <w:szCs w:val="22"/>
          <w:lang w:val="en-GB"/>
        </w:rPr>
        <w:t>are made regarding the centre of main interest.</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46F60694" w14:textId="27414996" w:rsidR="008F13EE" w:rsidRDefault="008B1779" w:rsidP="00361357">
      <w:pPr>
        <w:jc w:val="both"/>
        <w:rPr>
          <w:rFonts w:ascii="Avenir Next" w:hAnsi="Avenir Next" w:cs="Arial"/>
          <w:color w:val="808080" w:themeColor="background1" w:themeShade="80"/>
          <w:sz w:val="22"/>
          <w:szCs w:val="22"/>
          <w:lang w:val="en-GB"/>
        </w:rPr>
      </w:pPr>
      <w:r w:rsidRPr="00AF20F2">
        <w:rPr>
          <w:rFonts w:ascii="Avenir Next" w:hAnsi="Avenir Next" w:cs="Arial"/>
          <w:color w:val="808080" w:themeColor="background1" w:themeShade="80"/>
          <w:sz w:val="22"/>
          <w:szCs w:val="22"/>
          <w:lang w:val="en-GB"/>
        </w:rPr>
        <w:t>Fo</w:t>
      </w:r>
      <w:r w:rsidR="00593DCC" w:rsidRPr="00AF20F2">
        <w:rPr>
          <w:rFonts w:ascii="Avenir Next" w:hAnsi="Avenir Next" w:cs="Arial"/>
          <w:color w:val="808080" w:themeColor="background1" w:themeShade="80"/>
          <w:sz w:val="22"/>
          <w:szCs w:val="22"/>
          <w:lang w:val="en-GB"/>
        </w:rPr>
        <w:t>r</w:t>
      </w:r>
      <w:r w:rsidRPr="00AF20F2">
        <w:rPr>
          <w:rFonts w:ascii="Avenir Next" w:hAnsi="Avenir Next" w:cs="Arial"/>
          <w:color w:val="808080" w:themeColor="background1" w:themeShade="80"/>
          <w:sz w:val="22"/>
          <w:szCs w:val="22"/>
          <w:lang w:val="en-GB"/>
        </w:rPr>
        <w:t xml:space="preserve"> p</w:t>
      </w:r>
      <w:r w:rsidR="008F13EE" w:rsidRPr="00AF20F2">
        <w:rPr>
          <w:rFonts w:ascii="Avenir Next" w:hAnsi="Avenir Next" w:cs="Arial"/>
          <w:color w:val="808080" w:themeColor="background1" w:themeShade="80"/>
          <w:sz w:val="22"/>
          <w:szCs w:val="22"/>
          <w:lang w:val="en-GB"/>
        </w:rPr>
        <w:t>re-recognition relief</w:t>
      </w:r>
      <w:r w:rsidR="00593DCC" w:rsidRPr="00AF20F2">
        <w:rPr>
          <w:rFonts w:ascii="Avenir Next" w:hAnsi="Avenir Next" w:cs="Arial"/>
          <w:color w:val="808080" w:themeColor="background1" w:themeShade="80"/>
          <w:sz w:val="22"/>
          <w:szCs w:val="22"/>
          <w:lang w:val="en-GB"/>
        </w:rPr>
        <w:t>,</w:t>
      </w:r>
      <w:r w:rsidR="008F13EE" w:rsidRPr="00AF20F2">
        <w:rPr>
          <w:rFonts w:ascii="Avenir Next" w:hAnsi="Avenir Next" w:cs="Arial"/>
          <w:color w:val="808080" w:themeColor="background1" w:themeShade="80"/>
          <w:sz w:val="22"/>
          <w:szCs w:val="22"/>
          <w:lang w:val="en-GB"/>
        </w:rPr>
        <w:t xml:space="preserve"> Art</w:t>
      </w:r>
      <w:r w:rsidR="00593DCC" w:rsidRPr="00AF20F2">
        <w:rPr>
          <w:rFonts w:ascii="Avenir Next" w:hAnsi="Avenir Next" w:cs="Arial"/>
          <w:color w:val="808080" w:themeColor="background1" w:themeShade="80"/>
          <w:sz w:val="22"/>
          <w:szCs w:val="22"/>
          <w:lang w:val="en-GB"/>
        </w:rPr>
        <w:t>icle</w:t>
      </w:r>
      <w:r w:rsidR="008F13EE" w:rsidRPr="00AF20F2">
        <w:rPr>
          <w:rFonts w:ascii="Avenir Next" w:hAnsi="Avenir Next" w:cs="Arial"/>
          <w:color w:val="808080" w:themeColor="background1" w:themeShade="80"/>
          <w:sz w:val="22"/>
          <w:szCs w:val="22"/>
          <w:lang w:val="en-GB"/>
        </w:rPr>
        <w:t xml:space="preserve"> 19 </w:t>
      </w:r>
      <w:r w:rsidR="00AF20F2">
        <w:rPr>
          <w:rFonts w:ascii="Avenir Next" w:hAnsi="Avenir Next" w:cs="Arial"/>
          <w:color w:val="808080" w:themeColor="background1" w:themeShade="80"/>
          <w:sz w:val="22"/>
          <w:szCs w:val="22"/>
          <w:lang w:val="en-GB"/>
        </w:rPr>
        <w:t>contains the various interim reliefs</w:t>
      </w:r>
      <w:r w:rsidR="008F13EE" w:rsidRPr="00AF20F2">
        <w:rPr>
          <w:rFonts w:ascii="Avenir Next" w:hAnsi="Avenir Next" w:cs="Arial"/>
          <w:color w:val="808080" w:themeColor="background1" w:themeShade="80"/>
          <w:sz w:val="22"/>
          <w:szCs w:val="22"/>
          <w:lang w:val="en-GB"/>
        </w:rPr>
        <w:t xml:space="preserve"> that may be granted upon the </w:t>
      </w:r>
      <w:r w:rsidR="00AF20F2">
        <w:rPr>
          <w:rFonts w:ascii="Avenir Next" w:hAnsi="Avenir Next" w:cs="Arial"/>
          <w:color w:val="808080" w:themeColor="background1" w:themeShade="80"/>
          <w:sz w:val="22"/>
          <w:szCs w:val="22"/>
          <w:lang w:val="en-GB"/>
        </w:rPr>
        <w:t xml:space="preserve">foreign representative’s </w:t>
      </w:r>
      <w:r w:rsidR="008F13EE" w:rsidRPr="00AF20F2">
        <w:rPr>
          <w:rFonts w:ascii="Avenir Next" w:hAnsi="Avenir Next" w:cs="Arial"/>
          <w:color w:val="808080" w:themeColor="background1" w:themeShade="80"/>
          <w:sz w:val="22"/>
          <w:szCs w:val="22"/>
          <w:lang w:val="en-GB"/>
        </w:rPr>
        <w:t>application for recognition of a foreign proceeding</w:t>
      </w:r>
      <w:r w:rsidR="00AF20F2">
        <w:rPr>
          <w:rFonts w:ascii="Avenir Next" w:hAnsi="Avenir Next" w:cs="Arial"/>
          <w:color w:val="808080" w:themeColor="background1" w:themeShade="80"/>
          <w:sz w:val="22"/>
          <w:szCs w:val="22"/>
          <w:lang w:val="en-GB"/>
        </w:rPr>
        <w:t>.</w:t>
      </w:r>
      <w:r w:rsidR="008F13EE" w:rsidRPr="00AF20F2">
        <w:rPr>
          <w:rFonts w:ascii="Avenir Next" w:hAnsi="Avenir Next" w:cs="Arial"/>
          <w:color w:val="808080" w:themeColor="background1" w:themeShade="80"/>
          <w:sz w:val="22"/>
          <w:szCs w:val="22"/>
          <w:lang w:val="en-GB"/>
        </w:rPr>
        <w:t xml:space="preserve"> </w:t>
      </w:r>
      <w:r w:rsidR="00AF20F2">
        <w:rPr>
          <w:rFonts w:ascii="Avenir Next" w:hAnsi="Avenir Next" w:cs="Arial"/>
          <w:color w:val="808080" w:themeColor="background1" w:themeShade="80"/>
          <w:sz w:val="22"/>
          <w:szCs w:val="22"/>
          <w:lang w:val="en-GB"/>
        </w:rPr>
        <w:t>These reliefs include: (a) s</w:t>
      </w:r>
      <w:r w:rsidR="008F13EE" w:rsidRPr="00AF20F2">
        <w:rPr>
          <w:rFonts w:ascii="Avenir Next" w:hAnsi="Avenir Next" w:cs="Arial"/>
          <w:color w:val="808080" w:themeColor="background1" w:themeShade="80"/>
          <w:sz w:val="22"/>
          <w:szCs w:val="22"/>
          <w:lang w:val="en-GB"/>
        </w:rPr>
        <w:t>taying execution against the debtor’s assets (Art</w:t>
      </w:r>
      <w:r w:rsidR="00AF20F2">
        <w:rPr>
          <w:rFonts w:ascii="Avenir Next" w:hAnsi="Avenir Next" w:cs="Arial"/>
          <w:color w:val="808080" w:themeColor="background1" w:themeShade="80"/>
          <w:sz w:val="22"/>
          <w:szCs w:val="22"/>
          <w:lang w:val="en-GB"/>
        </w:rPr>
        <w:t xml:space="preserve">icle </w:t>
      </w:r>
      <w:r w:rsidR="008F13EE" w:rsidRPr="00AF20F2">
        <w:rPr>
          <w:rFonts w:ascii="Avenir Next" w:hAnsi="Avenir Next" w:cs="Arial"/>
          <w:color w:val="808080" w:themeColor="background1" w:themeShade="80"/>
          <w:sz w:val="22"/>
          <w:szCs w:val="22"/>
          <w:lang w:val="en-GB"/>
        </w:rPr>
        <w:t>19</w:t>
      </w:r>
      <w:r w:rsidR="009A2C5A">
        <w:rPr>
          <w:rFonts w:ascii="Avenir Next" w:hAnsi="Avenir Next" w:cs="Arial"/>
          <w:color w:val="808080" w:themeColor="background1" w:themeShade="80"/>
          <w:sz w:val="22"/>
          <w:szCs w:val="22"/>
          <w:lang w:val="en-GB"/>
        </w:rPr>
        <w:t>(1)</w:t>
      </w:r>
      <w:r w:rsidR="008F13EE" w:rsidRPr="00AF20F2">
        <w:rPr>
          <w:rFonts w:ascii="Avenir Next" w:hAnsi="Avenir Next" w:cs="Arial"/>
          <w:color w:val="808080" w:themeColor="background1" w:themeShade="80"/>
          <w:sz w:val="22"/>
          <w:szCs w:val="22"/>
          <w:lang w:val="en-GB"/>
        </w:rPr>
        <w:t>(a))</w:t>
      </w:r>
      <w:r w:rsidR="00AF20F2">
        <w:rPr>
          <w:rFonts w:ascii="Avenir Next" w:hAnsi="Avenir Next" w:cs="Arial"/>
          <w:color w:val="808080" w:themeColor="background1" w:themeShade="80"/>
          <w:sz w:val="22"/>
          <w:szCs w:val="22"/>
          <w:lang w:val="en-GB"/>
        </w:rPr>
        <w:t>; (b) e</w:t>
      </w:r>
      <w:r w:rsidR="008F13EE" w:rsidRPr="00AF20F2">
        <w:rPr>
          <w:rFonts w:ascii="Avenir Next" w:hAnsi="Avenir Next" w:cs="Arial"/>
          <w:color w:val="808080" w:themeColor="background1" w:themeShade="80"/>
          <w:sz w:val="22"/>
          <w:szCs w:val="22"/>
          <w:lang w:val="en-GB"/>
        </w:rPr>
        <w:t xml:space="preserve">ntrusting the administration or realisation of all or part of the debtor’s assets located in State A to the foreign representative or </w:t>
      </w:r>
      <w:r w:rsidR="00AF20F2" w:rsidRPr="00AF20F2">
        <w:rPr>
          <w:rFonts w:ascii="Avenir Next" w:hAnsi="Avenir Next" w:cs="Arial"/>
          <w:color w:val="808080" w:themeColor="background1" w:themeShade="80"/>
          <w:sz w:val="22"/>
          <w:szCs w:val="22"/>
          <w:lang w:val="en-GB"/>
        </w:rPr>
        <w:t>another</w:t>
      </w:r>
      <w:r w:rsidR="008F13EE" w:rsidRPr="00AF20F2">
        <w:rPr>
          <w:rFonts w:ascii="Avenir Next" w:hAnsi="Avenir Next" w:cs="Arial"/>
          <w:color w:val="808080" w:themeColor="background1" w:themeShade="80"/>
          <w:sz w:val="22"/>
          <w:szCs w:val="22"/>
          <w:lang w:val="en-GB"/>
        </w:rPr>
        <w:t xml:space="preserve"> person designated by the court so as to protect the value of assets that are perishable, susceptible to devaluation or otherwise in jeopardy</w:t>
      </w:r>
      <w:r w:rsidR="009A2C5A">
        <w:rPr>
          <w:rFonts w:ascii="Avenir Next" w:hAnsi="Avenir Next" w:cs="Arial"/>
          <w:color w:val="808080" w:themeColor="background1" w:themeShade="80"/>
          <w:sz w:val="22"/>
          <w:szCs w:val="22"/>
          <w:lang w:val="en-GB"/>
        </w:rPr>
        <w:t xml:space="preserve"> (Article 19(1)(b))</w:t>
      </w:r>
      <w:r w:rsidR="008F13EE" w:rsidRPr="00AF20F2">
        <w:rPr>
          <w:rFonts w:ascii="Avenir Next" w:hAnsi="Avenir Next" w:cs="Arial"/>
          <w:color w:val="808080" w:themeColor="background1" w:themeShade="80"/>
          <w:sz w:val="22"/>
          <w:szCs w:val="22"/>
          <w:lang w:val="en-GB"/>
        </w:rPr>
        <w:t>; and</w:t>
      </w:r>
      <w:r w:rsidR="00AF20F2">
        <w:rPr>
          <w:rFonts w:ascii="Avenir Next" w:hAnsi="Avenir Next" w:cs="Arial"/>
          <w:color w:val="808080" w:themeColor="background1" w:themeShade="80"/>
          <w:sz w:val="22"/>
          <w:szCs w:val="22"/>
          <w:lang w:val="en-GB"/>
        </w:rPr>
        <w:t xml:space="preserve"> (c) r</w:t>
      </w:r>
      <w:r w:rsidR="008F13EE" w:rsidRPr="00AF20F2">
        <w:rPr>
          <w:rFonts w:ascii="Avenir Next" w:hAnsi="Avenir Next" w:cs="Arial"/>
          <w:color w:val="808080" w:themeColor="background1" w:themeShade="80"/>
          <w:sz w:val="22"/>
          <w:szCs w:val="22"/>
          <w:lang w:val="en-GB"/>
        </w:rPr>
        <w:t>elief under Art 21(c), (d) and (g) (</w:t>
      </w:r>
      <w:proofErr w:type="spellStart"/>
      <w:r w:rsidR="009A2C5A" w:rsidRPr="009A2C5A">
        <w:rPr>
          <w:rFonts w:ascii="Avenir Next" w:hAnsi="Avenir Next" w:cs="Arial"/>
          <w:i/>
          <w:iCs/>
          <w:color w:val="808080" w:themeColor="background1" w:themeShade="80"/>
          <w:sz w:val="22"/>
          <w:szCs w:val="22"/>
          <w:lang w:val="en-GB"/>
        </w:rPr>
        <w:t>ie</w:t>
      </w:r>
      <w:proofErr w:type="spellEnd"/>
      <w:r w:rsidR="009A2C5A">
        <w:rPr>
          <w:rFonts w:ascii="Avenir Next" w:hAnsi="Avenir Next" w:cs="Arial"/>
          <w:color w:val="808080" w:themeColor="background1" w:themeShade="80"/>
          <w:sz w:val="22"/>
          <w:szCs w:val="22"/>
          <w:lang w:val="en-GB"/>
        </w:rPr>
        <w:t>,</w:t>
      </w:r>
      <w:r w:rsidR="008F13EE" w:rsidRPr="00AF20F2">
        <w:rPr>
          <w:rFonts w:ascii="Avenir Next" w:hAnsi="Avenir Next" w:cs="Arial"/>
          <w:color w:val="808080" w:themeColor="background1" w:themeShade="80"/>
          <w:sz w:val="22"/>
          <w:szCs w:val="22"/>
          <w:lang w:val="en-GB"/>
        </w:rPr>
        <w:t xml:space="preserve"> the suspension of the right to transfer, encumber or dispose of any assets of the debtor, or for the examination of witnesses)</w:t>
      </w:r>
      <w:r w:rsidR="009A2C5A">
        <w:rPr>
          <w:rFonts w:ascii="Avenir Next" w:hAnsi="Avenir Next" w:cs="Arial"/>
          <w:color w:val="808080" w:themeColor="background1" w:themeShade="80"/>
          <w:sz w:val="22"/>
          <w:szCs w:val="22"/>
          <w:lang w:val="en-GB"/>
        </w:rPr>
        <w:t xml:space="preserve"> (Article 19(1)(c))</w:t>
      </w:r>
      <w:r w:rsidR="008F13EE" w:rsidRPr="00AF20F2">
        <w:rPr>
          <w:rFonts w:ascii="Avenir Next" w:hAnsi="Avenir Next" w:cs="Arial"/>
          <w:color w:val="808080" w:themeColor="background1" w:themeShade="80"/>
          <w:sz w:val="22"/>
          <w:szCs w:val="22"/>
          <w:lang w:val="en-GB"/>
        </w:rPr>
        <w:t>.</w:t>
      </w:r>
      <w:r w:rsidR="00AF20F2">
        <w:rPr>
          <w:rFonts w:ascii="Avenir Next" w:hAnsi="Avenir Next" w:cs="Arial"/>
          <w:color w:val="808080" w:themeColor="background1" w:themeShade="80"/>
          <w:sz w:val="22"/>
          <w:szCs w:val="22"/>
          <w:lang w:val="en-GB"/>
        </w:rPr>
        <w:t xml:space="preserve"> </w:t>
      </w:r>
      <w:r w:rsidR="009A2C5A">
        <w:rPr>
          <w:rFonts w:ascii="Avenir Next" w:hAnsi="Avenir Next" w:cs="Arial"/>
          <w:color w:val="808080" w:themeColor="background1" w:themeShade="80"/>
          <w:sz w:val="22"/>
          <w:szCs w:val="22"/>
          <w:lang w:val="en-GB"/>
        </w:rPr>
        <w:t>The list of reliefs in Article 19 is non-exhaustive (</w:t>
      </w:r>
      <w:r w:rsidR="009A2C5A" w:rsidRPr="00361357">
        <w:rPr>
          <w:rFonts w:ascii="Avenir Next" w:hAnsi="Avenir Next" w:cs="Arial"/>
          <w:i/>
          <w:iCs/>
          <w:color w:val="808080" w:themeColor="background1" w:themeShade="80"/>
          <w:sz w:val="22"/>
          <w:szCs w:val="22"/>
          <w:lang w:val="en-GB"/>
        </w:rPr>
        <w:t>Williams v Simpson (No. 1)</w:t>
      </w:r>
      <w:r w:rsidR="009A2C5A" w:rsidRPr="00361357">
        <w:rPr>
          <w:rFonts w:ascii="Avenir Next" w:hAnsi="Avenir Next" w:cs="Arial"/>
          <w:color w:val="808080" w:themeColor="background1" w:themeShade="80"/>
          <w:sz w:val="22"/>
          <w:szCs w:val="22"/>
          <w:lang w:val="en-GB"/>
        </w:rPr>
        <w:t xml:space="preserve"> [2011] NZHC 1631</w:t>
      </w:r>
      <w:r w:rsidR="009A2C5A">
        <w:rPr>
          <w:rFonts w:ascii="Avenir Next" w:hAnsi="Avenir Next" w:cs="Arial"/>
          <w:color w:val="808080" w:themeColor="background1" w:themeShade="80"/>
          <w:sz w:val="22"/>
          <w:szCs w:val="22"/>
          <w:lang w:val="en-GB"/>
        </w:rPr>
        <w:t xml:space="preserve">). </w:t>
      </w:r>
      <w:r w:rsidR="00AF20F2">
        <w:rPr>
          <w:rFonts w:ascii="Avenir Next" w:hAnsi="Avenir Next" w:cs="Arial"/>
          <w:color w:val="808080" w:themeColor="background1" w:themeShade="80"/>
          <w:sz w:val="22"/>
          <w:szCs w:val="22"/>
          <w:lang w:val="en-GB"/>
        </w:rPr>
        <w:t>Suc</w:t>
      </w:r>
      <w:r w:rsidR="008F13EE" w:rsidRPr="00AF20F2">
        <w:rPr>
          <w:rFonts w:ascii="Avenir Next" w:hAnsi="Avenir Next" w:cs="Arial"/>
          <w:color w:val="808080" w:themeColor="background1" w:themeShade="80"/>
          <w:sz w:val="22"/>
          <w:szCs w:val="22"/>
          <w:lang w:val="en-GB"/>
        </w:rPr>
        <w:t xml:space="preserve">h </w:t>
      </w:r>
      <w:r w:rsidR="009A2C5A">
        <w:rPr>
          <w:rFonts w:ascii="Avenir Next" w:hAnsi="Avenir Next" w:cs="Arial"/>
          <w:color w:val="808080" w:themeColor="background1" w:themeShade="80"/>
          <w:sz w:val="22"/>
          <w:szCs w:val="22"/>
          <w:lang w:val="en-GB"/>
        </w:rPr>
        <w:t xml:space="preserve">pre-recognition </w:t>
      </w:r>
      <w:r w:rsidR="008F13EE" w:rsidRPr="00AF20F2">
        <w:rPr>
          <w:rFonts w:ascii="Avenir Next" w:hAnsi="Avenir Next" w:cs="Arial"/>
          <w:color w:val="808080" w:themeColor="background1" w:themeShade="80"/>
          <w:sz w:val="22"/>
          <w:szCs w:val="22"/>
          <w:lang w:val="en-GB"/>
        </w:rPr>
        <w:t>relief can only be granted where it is shown that it is “urgently needed</w:t>
      </w:r>
      <w:r w:rsidR="00361357">
        <w:rPr>
          <w:rFonts w:ascii="Avenir Next" w:hAnsi="Avenir Next" w:cs="Arial"/>
          <w:color w:val="808080" w:themeColor="background1" w:themeShade="80"/>
          <w:sz w:val="22"/>
          <w:szCs w:val="22"/>
          <w:lang w:val="en-GB"/>
        </w:rPr>
        <w:t>”</w:t>
      </w:r>
      <w:r w:rsidR="008F13EE" w:rsidRPr="00AF20F2">
        <w:rPr>
          <w:rFonts w:ascii="Avenir Next" w:hAnsi="Avenir Next" w:cs="Arial"/>
          <w:color w:val="808080" w:themeColor="background1" w:themeShade="80"/>
          <w:sz w:val="22"/>
          <w:szCs w:val="22"/>
          <w:lang w:val="en-GB"/>
        </w:rPr>
        <w:t xml:space="preserve"> to protect the assets of the debtor</w:t>
      </w:r>
      <w:r w:rsidR="00361357">
        <w:rPr>
          <w:rFonts w:ascii="Avenir Next" w:hAnsi="Avenir Next" w:cs="Arial"/>
          <w:color w:val="808080" w:themeColor="background1" w:themeShade="80"/>
          <w:sz w:val="22"/>
          <w:szCs w:val="22"/>
          <w:lang w:val="en-GB"/>
        </w:rPr>
        <w:t xml:space="preserve"> </w:t>
      </w:r>
      <w:r w:rsidR="00361357" w:rsidRPr="00361357">
        <w:rPr>
          <w:rFonts w:ascii="Avenir Next" w:hAnsi="Avenir Next" w:cs="Arial"/>
          <w:color w:val="808080" w:themeColor="background1" w:themeShade="80"/>
          <w:sz w:val="22"/>
          <w:szCs w:val="22"/>
          <w:lang w:val="en-GB"/>
        </w:rPr>
        <w:t>or the interests of creditors when concern exists</w:t>
      </w:r>
      <w:r w:rsidR="00361357">
        <w:rPr>
          <w:rFonts w:ascii="Avenir Next" w:hAnsi="Avenir Next" w:cs="Arial"/>
          <w:color w:val="808080" w:themeColor="background1" w:themeShade="80"/>
          <w:sz w:val="22"/>
          <w:szCs w:val="22"/>
          <w:lang w:val="en-GB"/>
        </w:rPr>
        <w:t xml:space="preserve"> </w:t>
      </w:r>
      <w:r w:rsidR="00361357" w:rsidRPr="00361357">
        <w:rPr>
          <w:rFonts w:ascii="Avenir Next" w:hAnsi="Avenir Next" w:cs="Arial"/>
          <w:color w:val="808080" w:themeColor="background1" w:themeShade="80"/>
          <w:sz w:val="22"/>
          <w:szCs w:val="22"/>
          <w:lang w:val="en-GB"/>
        </w:rPr>
        <w:t>that the assets may perish, be susceptible to devaluation</w:t>
      </w:r>
      <w:r w:rsidR="00361357">
        <w:rPr>
          <w:rFonts w:ascii="Avenir Next" w:hAnsi="Avenir Next" w:cs="Arial"/>
          <w:color w:val="808080" w:themeColor="background1" w:themeShade="80"/>
          <w:sz w:val="22"/>
          <w:szCs w:val="22"/>
          <w:lang w:val="en-GB"/>
        </w:rPr>
        <w:t xml:space="preserve"> </w:t>
      </w:r>
      <w:r w:rsidR="00361357" w:rsidRPr="00361357">
        <w:rPr>
          <w:rFonts w:ascii="Avenir Next" w:hAnsi="Avenir Next" w:cs="Arial"/>
          <w:color w:val="808080" w:themeColor="background1" w:themeShade="80"/>
          <w:sz w:val="22"/>
          <w:szCs w:val="22"/>
          <w:lang w:val="en-GB"/>
        </w:rPr>
        <w:t>or otherwise in jeopardy in the period before the hearing</w:t>
      </w:r>
      <w:r w:rsidR="00361357">
        <w:rPr>
          <w:rFonts w:ascii="Avenir Next" w:hAnsi="Avenir Next" w:cs="Arial"/>
          <w:color w:val="808080" w:themeColor="background1" w:themeShade="80"/>
          <w:sz w:val="22"/>
          <w:szCs w:val="22"/>
          <w:lang w:val="en-GB"/>
        </w:rPr>
        <w:t xml:space="preserve"> </w:t>
      </w:r>
      <w:r w:rsidR="00361357" w:rsidRPr="00361357">
        <w:rPr>
          <w:rFonts w:ascii="Avenir Next" w:hAnsi="Avenir Next" w:cs="Arial"/>
          <w:color w:val="808080" w:themeColor="background1" w:themeShade="80"/>
          <w:sz w:val="22"/>
          <w:szCs w:val="22"/>
          <w:lang w:val="en-GB"/>
        </w:rPr>
        <w:t>of the recognition application</w:t>
      </w:r>
      <w:r w:rsidR="00361357">
        <w:rPr>
          <w:rFonts w:ascii="Avenir Next" w:hAnsi="Avenir Next" w:cs="Arial"/>
          <w:color w:val="808080" w:themeColor="background1" w:themeShade="80"/>
          <w:sz w:val="22"/>
          <w:szCs w:val="22"/>
          <w:lang w:val="en-GB"/>
        </w:rPr>
        <w:t xml:space="preserve"> (see </w:t>
      </w:r>
      <w:r w:rsidR="00361357" w:rsidRPr="00361357">
        <w:rPr>
          <w:rFonts w:ascii="Avenir Next" w:hAnsi="Avenir Next" w:cs="Arial"/>
          <w:i/>
          <w:iCs/>
          <w:color w:val="808080" w:themeColor="background1" w:themeShade="80"/>
          <w:sz w:val="22"/>
          <w:szCs w:val="22"/>
          <w:lang w:val="en-SG"/>
        </w:rPr>
        <w:t>Chow Cho Poon (Private Limited)</w:t>
      </w:r>
      <w:r w:rsidR="00361357" w:rsidRPr="00361357">
        <w:rPr>
          <w:rFonts w:ascii="Avenir Next" w:hAnsi="Avenir Next" w:cs="Arial"/>
          <w:color w:val="808080" w:themeColor="background1" w:themeShade="80"/>
          <w:sz w:val="22"/>
          <w:szCs w:val="22"/>
          <w:lang w:val="en-SG"/>
        </w:rPr>
        <w:t xml:space="preserve"> [2011] NSWSC 300 [para. 64], CLOUT 1218; </w:t>
      </w:r>
      <w:r w:rsidR="00361357" w:rsidRPr="00361357">
        <w:rPr>
          <w:rFonts w:ascii="Avenir Next" w:hAnsi="Avenir Next" w:cs="Arial"/>
          <w:i/>
          <w:iCs/>
          <w:color w:val="808080" w:themeColor="background1" w:themeShade="80"/>
          <w:sz w:val="22"/>
          <w:szCs w:val="22"/>
          <w:lang w:val="en-SG"/>
        </w:rPr>
        <w:t>Yu v STX Pan Ocean Co Ltd (South Korea)</w:t>
      </w:r>
      <w:r w:rsidR="00361357">
        <w:rPr>
          <w:rFonts w:ascii="Avenir Next" w:hAnsi="Avenir Next" w:cs="Arial"/>
          <w:color w:val="808080" w:themeColor="background1" w:themeShade="80"/>
          <w:sz w:val="22"/>
          <w:szCs w:val="22"/>
          <w:lang w:val="en-SG"/>
        </w:rPr>
        <w:t xml:space="preserve"> </w:t>
      </w:r>
      <w:r w:rsidR="00361357" w:rsidRPr="00361357">
        <w:rPr>
          <w:rFonts w:ascii="Avenir Next" w:hAnsi="Avenir Next" w:cs="Arial"/>
          <w:color w:val="808080" w:themeColor="background1" w:themeShade="80"/>
          <w:sz w:val="22"/>
          <w:szCs w:val="22"/>
          <w:lang w:val="en-SG"/>
        </w:rPr>
        <w:t>[2013] FCA 680 [para. 17], CLOUT 1333</w:t>
      </w:r>
      <w:r w:rsidR="00361357">
        <w:rPr>
          <w:rFonts w:ascii="Avenir Next" w:hAnsi="Avenir Next" w:cs="Arial"/>
          <w:color w:val="808080" w:themeColor="background1" w:themeShade="80"/>
          <w:sz w:val="22"/>
          <w:szCs w:val="22"/>
          <w:lang w:val="en-GB"/>
        </w:rPr>
        <w:t>)</w:t>
      </w:r>
      <w:r w:rsidR="008F13EE" w:rsidRPr="00AF20F2">
        <w:rPr>
          <w:rFonts w:ascii="Avenir Next" w:hAnsi="Avenir Next" w:cs="Arial"/>
          <w:color w:val="808080" w:themeColor="background1" w:themeShade="80"/>
          <w:sz w:val="22"/>
          <w:szCs w:val="22"/>
          <w:lang w:val="en-GB"/>
        </w:rPr>
        <w:t xml:space="preserve">. </w:t>
      </w:r>
      <w:r w:rsidR="009A2C5A">
        <w:rPr>
          <w:rFonts w:ascii="Avenir Next" w:hAnsi="Avenir Next" w:cs="Arial"/>
          <w:color w:val="808080" w:themeColor="background1" w:themeShade="80"/>
          <w:sz w:val="22"/>
          <w:szCs w:val="22"/>
          <w:lang w:val="en-GB"/>
        </w:rPr>
        <w:t>Ultimately, the</w:t>
      </w:r>
      <w:r w:rsidR="008F13EE" w:rsidRPr="00AF20F2">
        <w:rPr>
          <w:rFonts w:ascii="Avenir Next" w:hAnsi="Avenir Next" w:cs="Arial"/>
          <w:color w:val="808080" w:themeColor="background1" w:themeShade="80"/>
          <w:sz w:val="22"/>
          <w:szCs w:val="22"/>
          <w:lang w:val="en-GB"/>
        </w:rPr>
        <w:t xml:space="preserve"> relief is </w:t>
      </w:r>
      <w:r w:rsidR="009A2C5A">
        <w:rPr>
          <w:rFonts w:ascii="Avenir Next" w:hAnsi="Avenir Next" w:cs="Arial"/>
          <w:color w:val="808080" w:themeColor="background1" w:themeShade="80"/>
          <w:sz w:val="22"/>
          <w:szCs w:val="22"/>
          <w:lang w:val="en-GB"/>
        </w:rPr>
        <w:t>provisional and it</w:t>
      </w:r>
      <w:r w:rsidR="008F13EE" w:rsidRPr="00AF20F2">
        <w:rPr>
          <w:rFonts w:ascii="Avenir Next" w:hAnsi="Avenir Next" w:cs="Arial"/>
          <w:color w:val="808080" w:themeColor="background1" w:themeShade="80"/>
          <w:sz w:val="22"/>
          <w:szCs w:val="22"/>
          <w:lang w:val="en-GB"/>
        </w:rPr>
        <w:t xml:space="preserve"> terminates upon recognition unless extended under Art</w:t>
      </w:r>
      <w:r w:rsidR="009A2C5A">
        <w:rPr>
          <w:rFonts w:ascii="Avenir Next" w:hAnsi="Avenir Next" w:cs="Arial"/>
          <w:color w:val="808080" w:themeColor="background1" w:themeShade="80"/>
          <w:sz w:val="22"/>
          <w:szCs w:val="22"/>
          <w:lang w:val="en-GB"/>
        </w:rPr>
        <w:t>icle</w:t>
      </w:r>
      <w:r w:rsidR="008F13EE" w:rsidRPr="00AF20F2">
        <w:rPr>
          <w:rFonts w:ascii="Avenir Next" w:hAnsi="Avenir Next" w:cs="Arial"/>
          <w:color w:val="808080" w:themeColor="background1" w:themeShade="80"/>
          <w:sz w:val="22"/>
          <w:szCs w:val="22"/>
          <w:lang w:val="en-GB"/>
        </w:rPr>
        <w:t xml:space="preserve"> 21(f)</w:t>
      </w:r>
      <w:r w:rsidR="009A2C5A">
        <w:rPr>
          <w:rFonts w:ascii="Avenir Next" w:hAnsi="Avenir Next" w:cs="Arial"/>
          <w:color w:val="808080" w:themeColor="background1" w:themeShade="80"/>
          <w:sz w:val="22"/>
          <w:szCs w:val="22"/>
          <w:lang w:val="en-GB"/>
        </w:rPr>
        <w:t xml:space="preserve"> (Article 19(3))</w:t>
      </w:r>
      <w:r w:rsidR="008F13EE" w:rsidRPr="00AF20F2">
        <w:rPr>
          <w:rFonts w:ascii="Avenir Next" w:hAnsi="Avenir Next" w:cs="Arial"/>
          <w:color w:val="808080" w:themeColor="background1" w:themeShade="80"/>
          <w:sz w:val="22"/>
          <w:szCs w:val="22"/>
          <w:lang w:val="en-GB"/>
        </w:rPr>
        <w:t>.</w:t>
      </w:r>
      <w:r w:rsidR="00AF20F2">
        <w:rPr>
          <w:rFonts w:ascii="Avenir Next" w:hAnsi="Avenir Next" w:cs="Arial"/>
          <w:color w:val="808080" w:themeColor="background1" w:themeShade="80"/>
          <w:sz w:val="22"/>
          <w:szCs w:val="22"/>
          <w:lang w:val="en-GB"/>
        </w:rPr>
        <w:t xml:space="preserve"> </w:t>
      </w:r>
      <w:r w:rsidR="009A2C5A">
        <w:rPr>
          <w:rFonts w:ascii="Avenir Next" w:hAnsi="Avenir Next" w:cs="Arial"/>
          <w:color w:val="808080" w:themeColor="background1" w:themeShade="80"/>
          <w:sz w:val="22"/>
          <w:szCs w:val="22"/>
          <w:lang w:val="en-GB"/>
        </w:rPr>
        <w:t>Finally</w:t>
      </w:r>
      <w:r w:rsidR="008F13EE" w:rsidRPr="00AF20F2">
        <w:rPr>
          <w:rFonts w:ascii="Avenir Next" w:hAnsi="Avenir Next" w:cs="Arial"/>
          <w:color w:val="808080" w:themeColor="background1" w:themeShade="80"/>
          <w:sz w:val="22"/>
          <w:szCs w:val="22"/>
          <w:lang w:val="en-GB"/>
        </w:rPr>
        <w:t>, the court may refuse to grant relief if it interferes with a foreign main proceeding (Art</w:t>
      </w:r>
      <w:r w:rsidR="009A2C5A">
        <w:rPr>
          <w:rFonts w:ascii="Avenir Next" w:hAnsi="Avenir Next" w:cs="Arial"/>
          <w:color w:val="808080" w:themeColor="background1" w:themeShade="80"/>
          <w:sz w:val="22"/>
          <w:szCs w:val="22"/>
          <w:lang w:val="en-GB"/>
        </w:rPr>
        <w:t>icle</w:t>
      </w:r>
      <w:r w:rsidR="008F13EE" w:rsidRPr="00AF20F2">
        <w:rPr>
          <w:rFonts w:ascii="Avenir Next" w:hAnsi="Avenir Next" w:cs="Arial"/>
          <w:color w:val="808080" w:themeColor="background1" w:themeShade="80"/>
          <w:sz w:val="22"/>
          <w:szCs w:val="22"/>
          <w:lang w:val="en-GB"/>
        </w:rPr>
        <w:t xml:space="preserve"> 19(4)).</w:t>
      </w:r>
      <w:r w:rsidR="00AF20F2">
        <w:rPr>
          <w:rFonts w:ascii="Avenir Next" w:hAnsi="Avenir Next" w:cs="Arial"/>
          <w:color w:val="808080" w:themeColor="background1" w:themeShade="80"/>
          <w:sz w:val="22"/>
          <w:szCs w:val="22"/>
          <w:lang w:val="en-GB"/>
        </w:rPr>
        <w:t xml:space="preserve"> </w:t>
      </w:r>
    </w:p>
    <w:p w14:paraId="0EB0B42C" w14:textId="2BFCA3B3" w:rsidR="0066070B" w:rsidRDefault="0066070B" w:rsidP="00361357">
      <w:pPr>
        <w:jc w:val="both"/>
        <w:rPr>
          <w:rFonts w:ascii="Avenir Next" w:hAnsi="Avenir Next" w:cs="Arial"/>
          <w:color w:val="808080" w:themeColor="background1" w:themeShade="80"/>
          <w:sz w:val="22"/>
          <w:szCs w:val="22"/>
          <w:lang w:val="en-GB"/>
        </w:rPr>
      </w:pPr>
    </w:p>
    <w:p w14:paraId="2B9381DC" w14:textId="5DAD138C" w:rsidR="0066070B" w:rsidRPr="0066070B" w:rsidRDefault="0066070B" w:rsidP="00C2418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post-recognition relief, </w:t>
      </w:r>
      <w:r w:rsidR="008F5027">
        <w:rPr>
          <w:rFonts w:ascii="Avenir Next" w:hAnsi="Avenir Next" w:cs="Arial"/>
          <w:color w:val="808080" w:themeColor="background1" w:themeShade="80"/>
          <w:sz w:val="22"/>
          <w:szCs w:val="22"/>
          <w:lang w:val="en-GB"/>
        </w:rPr>
        <w:t>there are reliefs which are automatic following the recognition of foreign main proceedings and those which are available on application after the recognition of foreign non-main and main proceedings.</w:t>
      </w:r>
      <w:r w:rsidR="00DB11F4">
        <w:rPr>
          <w:rFonts w:ascii="Avenir Next" w:hAnsi="Avenir Next" w:cs="Arial"/>
          <w:color w:val="808080" w:themeColor="background1" w:themeShade="80"/>
          <w:sz w:val="22"/>
          <w:szCs w:val="22"/>
          <w:lang w:val="en-GB"/>
        </w:rPr>
        <w:t xml:space="preserve"> The recognition of foreign main proceedings</w:t>
      </w:r>
      <w:r w:rsidRPr="0066070B">
        <w:rPr>
          <w:rFonts w:ascii="Avenir Next" w:hAnsi="Avenir Next" w:cs="Arial"/>
          <w:color w:val="808080" w:themeColor="background1" w:themeShade="80"/>
          <w:sz w:val="22"/>
          <w:szCs w:val="22"/>
          <w:lang w:val="en-GB"/>
        </w:rPr>
        <w:t xml:space="preserve"> automatically confers a stay against</w:t>
      </w:r>
      <w:r w:rsidR="00DB11F4">
        <w:rPr>
          <w:rFonts w:ascii="Avenir Next" w:hAnsi="Avenir Next" w:cs="Arial"/>
          <w:color w:val="808080" w:themeColor="background1" w:themeShade="80"/>
          <w:sz w:val="22"/>
          <w:szCs w:val="22"/>
          <w:lang w:val="en-GB"/>
        </w:rPr>
        <w:t>: (a) the</w:t>
      </w:r>
      <w:r w:rsidRPr="0066070B">
        <w:rPr>
          <w:rFonts w:ascii="Avenir Next" w:hAnsi="Avenir Next" w:cs="Arial"/>
          <w:color w:val="808080" w:themeColor="background1" w:themeShade="80"/>
          <w:sz w:val="22"/>
          <w:szCs w:val="22"/>
          <w:lang w:val="en-GB"/>
        </w:rPr>
        <w:t xml:space="preserve"> commencement or continuation of individual actions or proceedings concerning the debtor’s assets, rights, obligations and liabilities</w:t>
      </w:r>
      <w:r w:rsidR="00DB11F4">
        <w:rPr>
          <w:rFonts w:ascii="Avenir Next" w:hAnsi="Avenir Next" w:cs="Arial"/>
          <w:color w:val="808080" w:themeColor="background1" w:themeShade="80"/>
          <w:sz w:val="22"/>
          <w:szCs w:val="22"/>
          <w:lang w:val="en-GB"/>
        </w:rPr>
        <w:t xml:space="preserve">; (b) the </w:t>
      </w:r>
      <w:r w:rsidRPr="0066070B">
        <w:rPr>
          <w:rFonts w:ascii="Avenir Next" w:hAnsi="Avenir Next" w:cs="Arial"/>
          <w:color w:val="808080" w:themeColor="background1" w:themeShade="80"/>
          <w:sz w:val="22"/>
          <w:szCs w:val="22"/>
          <w:lang w:val="en-GB"/>
        </w:rPr>
        <w:t>execution against the debtor’s assets</w:t>
      </w:r>
      <w:r w:rsidR="00DB11F4">
        <w:rPr>
          <w:rFonts w:ascii="Avenir Next" w:hAnsi="Avenir Next" w:cs="Arial"/>
          <w:color w:val="808080" w:themeColor="background1" w:themeShade="80"/>
          <w:sz w:val="22"/>
          <w:szCs w:val="22"/>
          <w:lang w:val="en-GB"/>
        </w:rPr>
        <w:t xml:space="preserve">; </w:t>
      </w:r>
      <w:r w:rsidRPr="0066070B">
        <w:rPr>
          <w:rFonts w:ascii="Avenir Next" w:hAnsi="Avenir Next" w:cs="Arial"/>
          <w:color w:val="808080" w:themeColor="background1" w:themeShade="80"/>
          <w:sz w:val="22"/>
          <w:szCs w:val="22"/>
          <w:lang w:val="en-GB"/>
        </w:rPr>
        <w:t xml:space="preserve">and </w:t>
      </w:r>
      <w:r w:rsidR="00DB11F4">
        <w:rPr>
          <w:rFonts w:ascii="Avenir Next" w:hAnsi="Avenir Next" w:cs="Arial"/>
          <w:color w:val="808080" w:themeColor="background1" w:themeShade="80"/>
          <w:sz w:val="22"/>
          <w:szCs w:val="22"/>
          <w:lang w:val="en-GB"/>
        </w:rPr>
        <w:t xml:space="preserve">(c) the </w:t>
      </w:r>
      <w:r w:rsidRPr="0066070B">
        <w:rPr>
          <w:rFonts w:ascii="Avenir Next" w:hAnsi="Avenir Next" w:cs="Arial"/>
          <w:color w:val="808080" w:themeColor="background1" w:themeShade="80"/>
          <w:sz w:val="22"/>
          <w:szCs w:val="22"/>
          <w:lang w:val="en-GB"/>
        </w:rPr>
        <w:t>right to transfer, encumber or dispose of any assets of the debtor (Art</w:t>
      </w:r>
      <w:r w:rsidR="00DB11F4">
        <w:rPr>
          <w:rFonts w:ascii="Avenir Next" w:hAnsi="Avenir Next" w:cs="Arial"/>
          <w:color w:val="808080" w:themeColor="background1" w:themeShade="80"/>
          <w:sz w:val="22"/>
          <w:szCs w:val="22"/>
          <w:lang w:val="en-GB"/>
        </w:rPr>
        <w:t>icle</w:t>
      </w:r>
      <w:r w:rsidRPr="0066070B">
        <w:rPr>
          <w:rFonts w:ascii="Avenir Next" w:hAnsi="Avenir Next" w:cs="Arial"/>
          <w:color w:val="808080" w:themeColor="background1" w:themeShade="80"/>
          <w:sz w:val="22"/>
          <w:szCs w:val="22"/>
          <w:lang w:val="en-GB"/>
        </w:rPr>
        <w:t xml:space="preserve"> 20(1)). This </w:t>
      </w:r>
      <w:r w:rsidR="00C2418A">
        <w:rPr>
          <w:rFonts w:ascii="Avenir Next" w:hAnsi="Avenir Next" w:cs="Arial"/>
          <w:color w:val="808080" w:themeColor="background1" w:themeShade="80"/>
          <w:sz w:val="22"/>
          <w:szCs w:val="22"/>
          <w:lang w:val="en-GB"/>
        </w:rPr>
        <w:t xml:space="preserve">automatic moratorium </w:t>
      </w:r>
      <w:r w:rsidRPr="0066070B">
        <w:rPr>
          <w:rFonts w:ascii="Avenir Next" w:hAnsi="Avenir Next" w:cs="Arial"/>
          <w:color w:val="808080" w:themeColor="background1" w:themeShade="80"/>
          <w:sz w:val="22"/>
          <w:szCs w:val="22"/>
          <w:lang w:val="en-GB"/>
        </w:rPr>
        <w:t>may be subject to any provisions in domestic law relating to insolvency law (Art</w:t>
      </w:r>
      <w:r w:rsidR="00C2418A">
        <w:rPr>
          <w:rFonts w:ascii="Avenir Next" w:hAnsi="Avenir Next" w:cs="Arial"/>
          <w:color w:val="808080" w:themeColor="background1" w:themeShade="80"/>
          <w:sz w:val="22"/>
          <w:szCs w:val="22"/>
          <w:lang w:val="en-GB"/>
        </w:rPr>
        <w:t>icle</w:t>
      </w:r>
      <w:r w:rsidRPr="0066070B">
        <w:rPr>
          <w:rFonts w:ascii="Avenir Next" w:hAnsi="Avenir Next" w:cs="Arial"/>
          <w:color w:val="808080" w:themeColor="background1" w:themeShade="80"/>
          <w:sz w:val="22"/>
          <w:szCs w:val="22"/>
          <w:lang w:val="en-GB"/>
        </w:rPr>
        <w:t xml:space="preserve"> 20(2)). Further, </w:t>
      </w:r>
      <w:r w:rsidR="00C2418A">
        <w:rPr>
          <w:rFonts w:ascii="Avenir Next" w:hAnsi="Avenir Next" w:cs="Arial"/>
          <w:color w:val="808080" w:themeColor="background1" w:themeShade="80"/>
          <w:sz w:val="22"/>
          <w:szCs w:val="22"/>
          <w:lang w:val="en-GB"/>
        </w:rPr>
        <w:t xml:space="preserve">this is subject to the caveat that </w:t>
      </w:r>
      <w:r w:rsidRPr="0066070B">
        <w:rPr>
          <w:rFonts w:ascii="Avenir Next" w:hAnsi="Avenir Next" w:cs="Arial"/>
          <w:color w:val="808080" w:themeColor="background1" w:themeShade="80"/>
          <w:sz w:val="22"/>
          <w:szCs w:val="22"/>
          <w:lang w:val="en-GB"/>
        </w:rPr>
        <w:t>the right to commence individual actions to the extent necessary to preserve a debtor’s claim (Art</w:t>
      </w:r>
      <w:r w:rsidR="00C2418A">
        <w:rPr>
          <w:rFonts w:ascii="Avenir Next" w:hAnsi="Avenir Next" w:cs="Arial"/>
          <w:color w:val="808080" w:themeColor="background1" w:themeShade="80"/>
          <w:sz w:val="22"/>
          <w:szCs w:val="22"/>
          <w:lang w:val="en-GB"/>
        </w:rPr>
        <w:t>icle</w:t>
      </w:r>
      <w:r w:rsidRPr="0066070B">
        <w:rPr>
          <w:rFonts w:ascii="Avenir Next" w:hAnsi="Avenir Next" w:cs="Arial"/>
          <w:color w:val="808080" w:themeColor="background1" w:themeShade="80"/>
          <w:sz w:val="22"/>
          <w:szCs w:val="22"/>
          <w:lang w:val="en-GB"/>
        </w:rPr>
        <w:t xml:space="preserve"> 20(3))</w:t>
      </w:r>
      <w:r w:rsidR="00C2418A">
        <w:rPr>
          <w:rFonts w:ascii="Avenir Next" w:hAnsi="Avenir Next" w:cs="Arial"/>
          <w:color w:val="808080" w:themeColor="background1" w:themeShade="80"/>
          <w:sz w:val="22"/>
          <w:szCs w:val="22"/>
          <w:lang w:val="en-GB"/>
        </w:rPr>
        <w:t xml:space="preserve"> and </w:t>
      </w:r>
      <w:r w:rsidRPr="0066070B">
        <w:rPr>
          <w:rFonts w:ascii="Avenir Next" w:hAnsi="Avenir Next" w:cs="Arial"/>
          <w:color w:val="808080" w:themeColor="background1" w:themeShade="80"/>
          <w:sz w:val="22"/>
          <w:szCs w:val="22"/>
          <w:lang w:val="en-GB"/>
        </w:rPr>
        <w:t>the right to request the commencement of a proceeding or file claims under domestic insolvency law (Art</w:t>
      </w:r>
      <w:r w:rsidR="00C2418A">
        <w:rPr>
          <w:rFonts w:ascii="Avenir Next" w:hAnsi="Avenir Next" w:cs="Arial"/>
          <w:color w:val="808080" w:themeColor="background1" w:themeShade="80"/>
          <w:sz w:val="22"/>
          <w:szCs w:val="22"/>
          <w:lang w:val="en-GB"/>
        </w:rPr>
        <w:t xml:space="preserve">icle 20(4)) are not affected by the automatic stay. Turning to reliefs which are available to both foreign main and non-main proceedings on application of the foreign representative after recognition, the representative may seek reliefs including those listed under Article 21(10)(a) to (g) that will be considered and granted based on the exercise of the court’s discretion. The court may, on the request of the foreign representative, also </w:t>
      </w:r>
      <w:r w:rsidRPr="0066070B">
        <w:rPr>
          <w:rFonts w:ascii="Avenir Next" w:hAnsi="Avenir Next" w:cs="Arial"/>
          <w:color w:val="808080" w:themeColor="background1" w:themeShade="80"/>
          <w:sz w:val="22"/>
          <w:szCs w:val="22"/>
          <w:lang w:val="en-GB"/>
        </w:rPr>
        <w:t xml:space="preserve">entrust the distribution of all or part of the debtor’s assets located in the state to the foreign representative or another appointed person provided </w:t>
      </w:r>
      <w:r w:rsidR="00C2418A">
        <w:rPr>
          <w:rFonts w:ascii="Avenir Next" w:hAnsi="Avenir Next" w:cs="Arial"/>
          <w:color w:val="808080" w:themeColor="background1" w:themeShade="80"/>
          <w:sz w:val="22"/>
          <w:szCs w:val="22"/>
          <w:lang w:val="en-GB"/>
        </w:rPr>
        <w:t xml:space="preserve">that it is satisfied that </w:t>
      </w:r>
      <w:r w:rsidRPr="0066070B">
        <w:rPr>
          <w:rFonts w:ascii="Avenir Next" w:hAnsi="Avenir Next" w:cs="Arial"/>
          <w:color w:val="808080" w:themeColor="background1" w:themeShade="80"/>
          <w:sz w:val="22"/>
          <w:szCs w:val="22"/>
          <w:lang w:val="en-GB"/>
        </w:rPr>
        <w:t>the interest</w:t>
      </w:r>
      <w:r w:rsidR="00C2418A">
        <w:rPr>
          <w:rFonts w:ascii="Avenir Next" w:hAnsi="Avenir Next" w:cs="Arial"/>
          <w:color w:val="808080" w:themeColor="background1" w:themeShade="80"/>
          <w:sz w:val="22"/>
          <w:szCs w:val="22"/>
          <w:lang w:val="en-GB"/>
        </w:rPr>
        <w:t>s</w:t>
      </w:r>
      <w:r w:rsidRPr="0066070B">
        <w:rPr>
          <w:rFonts w:ascii="Avenir Next" w:hAnsi="Avenir Next" w:cs="Arial"/>
          <w:color w:val="808080" w:themeColor="background1" w:themeShade="80"/>
          <w:sz w:val="22"/>
          <w:szCs w:val="22"/>
          <w:lang w:val="en-GB"/>
        </w:rPr>
        <w:t xml:space="preserve"> of the creditors in the state are adequately protected (Art</w:t>
      </w:r>
      <w:r w:rsidR="00C2418A">
        <w:rPr>
          <w:rFonts w:ascii="Avenir Next" w:hAnsi="Avenir Next" w:cs="Arial"/>
          <w:color w:val="808080" w:themeColor="background1" w:themeShade="80"/>
          <w:sz w:val="22"/>
          <w:szCs w:val="22"/>
          <w:lang w:val="en-GB"/>
        </w:rPr>
        <w:t>icle</w:t>
      </w:r>
      <w:r w:rsidRPr="0066070B">
        <w:rPr>
          <w:rFonts w:ascii="Avenir Next" w:hAnsi="Avenir Next" w:cs="Arial"/>
          <w:color w:val="808080" w:themeColor="background1" w:themeShade="80"/>
          <w:sz w:val="22"/>
          <w:szCs w:val="22"/>
          <w:lang w:val="en-GB"/>
        </w:rPr>
        <w:t xml:space="preserve"> 21(2)).</w:t>
      </w:r>
    </w:p>
    <w:p w14:paraId="54E9A5B2" w14:textId="77777777" w:rsidR="0066070B" w:rsidRPr="0066070B" w:rsidRDefault="0066070B" w:rsidP="0066070B">
      <w:pPr>
        <w:jc w:val="both"/>
        <w:rPr>
          <w:rFonts w:ascii="Avenir Next" w:hAnsi="Avenir Next" w:cs="Arial"/>
          <w:color w:val="808080" w:themeColor="background1" w:themeShade="80"/>
          <w:sz w:val="22"/>
          <w:szCs w:val="22"/>
          <w:lang w:val="en-GB"/>
        </w:rPr>
      </w:pPr>
    </w:p>
    <w:p w14:paraId="1620C7D9" w14:textId="65E7EB0F" w:rsidR="0066070B" w:rsidRPr="00AF20F2" w:rsidRDefault="00F86F5C" w:rsidP="006607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final point, the court has an overarching assessment to make on whether the interests of the creditor and other interested persons such as the debtor are adequately protected, and may grant subject the reliefs granted under Articles 19 and 21 to conditions and/or modify the reliefs to ensure adequate protection (Article 22).</w:t>
      </w:r>
      <w:r w:rsidR="0066070B" w:rsidRPr="0066070B">
        <w:rPr>
          <w:rFonts w:ascii="Avenir Next" w:hAnsi="Avenir Next" w:cs="Arial"/>
          <w:color w:val="808080" w:themeColor="background1" w:themeShade="80"/>
          <w:sz w:val="22"/>
          <w:szCs w:val="22"/>
          <w:lang w:val="en-GB"/>
        </w:rPr>
        <w:t xml:space="preserve"> </w:t>
      </w:r>
    </w:p>
    <w:p w14:paraId="4A0E319B" w14:textId="1D91EF76" w:rsidR="00867A8F" w:rsidRDefault="00867A8F" w:rsidP="00E12F5A">
      <w:pPr>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w:t>
      </w:r>
      <w:bookmarkStart w:id="3" w:name="_Hlk128548504"/>
      <w:r w:rsidRPr="00E2622D">
        <w:rPr>
          <w:rFonts w:ascii="Avenir Next" w:hAnsi="Avenir Next" w:cs="Arial"/>
          <w:sz w:val="22"/>
          <w:szCs w:val="22"/>
          <w:lang w:val="en-GB"/>
        </w:rPr>
        <w:t xml:space="preserve">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w:t>
      </w:r>
      <w:bookmarkEnd w:id="3"/>
      <w:r w:rsidRPr="00E2622D">
        <w:rPr>
          <w:rFonts w:ascii="Avenir Next" w:hAnsi="Avenir Next" w:cs="Arial"/>
          <w:sz w:val="22"/>
          <w:szCs w:val="22"/>
          <w:lang w:val="en-GB"/>
        </w:rPr>
        <w:t>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21794077" w14:textId="6C48BAF7" w:rsidR="009767D8" w:rsidRPr="009767D8" w:rsidRDefault="009A2C5A" w:rsidP="009767D8">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GB"/>
        </w:rPr>
        <w:t xml:space="preserve">A </w:t>
      </w:r>
      <w:r w:rsidRPr="009A2C5A">
        <w:rPr>
          <w:rFonts w:ascii="Avenir Next" w:hAnsi="Avenir Next" w:cs="Arial"/>
          <w:color w:val="808080" w:themeColor="background1" w:themeShade="80"/>
          <w:sz w:val="22"/>
          <w:szCs w:val="22"/>
          <w:lang w:val="en-GB"/>
        </w:rPr>
        <w:t xml:space="preserve">pre-recognition interim relief </w:t>
      </w:r>
      <w:r w:rsidRPr="009A2C5A">
        <w:rPr>
          <w:rFonts w:ascii="Avenir Next" w:hAnsi="Avenir Next" w:cs="Arial"/>
          <w:i/>
          <w:iCs/>
          <w:color w:val="808080" w:themeColor="background1" w:themeShade="80"/>
          <w:sz w:val="22"/>
          <w:szCs w:val="22"/>
          <w:lang w:val="en-GB"/>
        </w:rPr>
        <w:t>ex</w:t>
      </w:r>
      <w:r w:rsidRPr="009A2C5A">
        <w:rPr>
          <w:rFonts w:ascii="Avenir Next" w:hAnsi="Avenir Next" w:cs="Arial"/>
          <w:color w:val="808080" w:themeColor="background1" w:themeShade="80"/>
          <w:sz w:val="22"/>
          <w:szCs w:val="22"/>
          <w:lang w:val="en-GB"/>
        </w:rPr>
        <w:t xml:space="preserve"> article 19 MLCB</w:t>
      </w:r>
      <w:r>
        <w:rPr>
          <w:rFonts w:ascii="Avenir Next" w:hAnsi="Avenir Next" w:cs="Arial"/>
          <w:color w:val="808080" w:themeColor="background1" w:themeShade="80"/>
          <w:sz w:val="22"/>
          <w:szCs w:val="22"/>
          <w:lang w:val="en-GB"/>
        </w:rPr>
        <w:t xml:space="preserve">I is not likely to continue post recognition </w:t>
      </w:r>
      <w:r w:rsidRPr="00CE15BB">
        <w:rPr>
          <w:rFonts w:ascii="Avenir Next" w:hAnsi="Avenir Next" w:cs="Arial"/>
          <w:i/>
          <w:iCs/>
          <w:color w:val="808080" w:themeColor="background1" w:themeShade="80"/>
          <w:sz w:val="22"/>
          <w:szCs w:val="22"/>
          <w:lang w:val="en-GB"/>
        </w:rPr>
        <w:t>ex</w:t>
      </w:r>
      <w:r>
        <w:rPr>
          <w:rFonts w:ascii="Avenir Next" w:hAnsi="Avenir Next" w:cs="Arial"/>
          <w:color w:val="808080" w:themeColor="background1" w:themeShade="80"/>
          <w:sz w:val="22"/>
          <w:szCs w:val="22"/>
          <w:lang w:val="en-GB"/>
        </w:rPr>
        <w:t xml:space="preserve"> article 21 MLCBI because the need to protect the status quo in the interim, or prior to the recognition order, is extinguished and the court’s decision on recognition replaces that status quo. </w:t>
      </w:r>
      <w:r w:rsidR="009767D8" w:rsidRPr="009767D8">
        <w:rPr>
          <w:rFonts w:ascii="Avenir Next" w:hAnsi="Avenir Next" w:cs="Arial"/>
          <w:color w:val="808080" w:themeColor="background1" w:themeShade="80"/>
          <w:sz w:val="22"/>
          <w:szCs w:val="22"/>
          <w:lang w:val="en-GB"/>
        </w:rPr>
        <w:t xml:space="preserve">In </w:t>
      </w:r>
      <w:r w:rsidR="009767D8" w:rsidRPr="009767D8">
        <w:rPr>
          <w:rFonts w:ascii="Avenir Next" w:hAnsi="Avenir Next" w:cs="Arial"/>
          <w:i/>
          <w:iCs/>
          <w:color w:val="808080" w:themeColor="background1" w:themeShade="80"/>
          <w:sz w:val="22"/>
          <w:szCs w:val="22"/>
          <w:lang w:val="en-GB"/>
        </w:rPr>
        <w:t xml:space="preserve">Igor </w:t>
      </w:r>
      <w:proofErr w:type="spellStart"/>
      <w:r w:rsidR="009767D8" w:rsidRPr="009767D8">
        <w:rPr>
          <w:rFonts w:ascii="Avenir Next" w:hAnsi="Avenir Next" w:cs="Arial"/>
          <w:i/>
          <w:iCs/>
          <w:color w:val="808080" w:themeColor="background1" w:themeShade="80"/>
          <w:sz w:val="22"/>
          <w:szCs w:val="22"/>
          <w:lang w:val="en-GB"/>
        </w:rPr>
        <w:t>Vitalievich</w:t>
      </w:r>
      <w:proofErr w:type="spellEnd"/>
      <w:r w:rsidR="009767D8" w:rsidRPr="009767D8">
        <w:rPr>
          <w:rFonts w:ascii="Avenir Next" w:hAnsi="Avenir Next" w:cs="Arial"/>
          <w:i/>
          <w:iCs/>
          <w:color w:val="808080" w:themeColor="background1" w:themeShade="80"/>
          <w:sz w:val="22"/>
          <w:szCs w:val="22"/>
          <w:lang w:val="en-GB"/>
        </w:rPr>
        <w:t xml:space="preserve"> </w:t>
      </w:r>
      <w:proofErr w:type="spellStart"/>
      <w:r w:rsidR="009767D8" w:rsidRPr="009767D8">
        <w:rPr>
          <w:rFonts w:ascii="Avenir Next" w:hAnsi="Avenir Next" w:cs="Arial"/>
          <w:i/>
          <w:iCs/>
          <w:color w:val="808080" w:themeColor="background1" w:themeShade="80"/>
          <w:sz w:val="22"/>
          <w:szCs w:val="22"/>
          <w:lang w:val="en-GB"/>
        </w:rPr>
        <w:t>Protasov</w:t>
      </w:r>
      <w:proofErr w:type="spellEnd"/>
      <w:r w:rsidR="009767D8" w:rsidRPr="009767D8">
        <w:rPr>
          <w:rFonts w:ascii="Avenir Next" w:hAnsi="Avenir Next" w:cs="Arial"/>
          <w:i/>
          <w:iCs/>
          <w:color w:val="808080" w:themeColor="background1" w:themeShade="80"/>
          <w:sz w:val="22"/>
          <w:szCs w:val="22"/>
          <w:lang w:val="en-GB"/>
        </w:rPr>
        <w:t xml:space="preserve"> v </w:t>
      </w:r>
      <w:proofErr w:type="spellStart"/>
      <w:r w:rsidR="009767D8" w:rsidRPr="009767D8">
        <w:rPr>
          <w:rFonts w:ascii="Avenir Next" w:hAnsi="Avenir Next" w:cs="Arial"/>
          <w:i/>
          <w:iCs/>
          <w:color w:val="808080" w:themeColor="background1" w:themeShade="80"/>
          <w:sz w:val="22"/>
          <w:szCs w:val="22"/>
          <w:lang w:val="en-GB"/>
        </w:rPr>
        <w:t>Khadzhi</w:t>
      </w:r>
      <w:proofErr w:type="spellEnd"/>
      <w:r w:rsidR="009767D8" w:rsidRPr="009767D8">
        <w:rPr>
          <w:rFonts w:ascii="Avenir Next" w:hAnsi="Avenir Next" w:cs="Arial"/>
          <w:i/>
          <w:iCs/>
          <w:color w:val="808080" w:themeColor="background1" w:themeShade="80"/>
          <w:sz w:val="22"/>
          <w:szCs w:val="22"/>
          <w:lang w:val="en-GB"/>
        </w:rPr>
        <w:t xml:space="preserve">-Murat </w:t>
      </w:r>
      <w:proofErr w:type="spellStart"/>
      <w:r w:rsidR="009767D8" w:rsidRPr="009767D8">
        <w:rPr>
          <w:rFonts w:ascii="Avenir Next" w:hAnsi="Avenir Next" w:cs="Arial"/>
          <w:i/>
          <w:iCs/>
          <w:color w:val="808080" w:themeColor="background1" w:themeShade="80"/>
          <w:sz w:val="22"/>
          <w:szCs w:val="22"/>
          <w:lang w:val="en-GB"/>
        </w:rPr>
        <w:t>Derev</w:t>
      </w:r>
      <w:proofErr w:type="spellEnd"/>
      <w:r w:rsidR="009767D8" w:rsidRPr="009767D8">
        <w:rPr>
          <w:rFonts w:ascii="Avenir Next" w:hAnsi="Avenir Next" w:cs="Arial"/>
          <w:color w:val="808080" w:themeColor="background1" w:themeShade="80"/>
          <w:sz w:val="22"/>
          <w:szCs w:val="22"/>
          <w:lang w:val="en-GB"/>
        </w:rPr>
        <w:t xml:space="preserve"> [2021] EWHC 392 (Ch), the English High Court refused the application seeking to extend the injunction granted pursuant to Article 19 as </w:t>
      </w:r>
      <w:r w:rsidR="009767D8" w:rsidRPr="009767D8">
        <w:rPr>
          <w:rFonts w:ascii="Avenir Next" w:hAnsi="Avenir Next" w:cs="Arial"/>
          <w:color w:val="808080" w:themeColor="background1" w:themeShade="80"/>
          <w:sz w:val="22"/>
          <w:szCs w:val="22"/>
          <w:lang w:val="en-SG"/>
        </w:rPr>
        <w:t xml:space="preserve">the recognition order was made. It held that the </w:t>
      </w:r>
      <w:r w:rsidR="00DA6346">
        <w:rPr>
          <w:rFonts w:ascii="Avenir Next" w:hAnsi="Avenir Next" w:cs="Arial"/>
          <w:color w:val="808080" w:themeColor="background1" w:themeShade="80"/>
          <w:sz w:val="22"/>
          <w:szCs w:val="22"/>
          <w:lang w:val="en-SG"/>
        </w:rPr>
        <w:t>interim</w:t>
      </w:r>
      <w:r w:rsidR="009767D8" w:rsidRPr="009767D8">
        <w:rPr>
          <w:rFonts w:ascii="Avenir Next" w:hAnsi="Avenir Next" w:cs="Arial"/>
          <w:color w:val="808080" w:themeColor="background1" w:themeShade="80"/>
          <w:sz w:val="22"/>
          <w:szCs w:val="22"/>
          <w:lang w:val="en-SG"/>
        </w:rPr>
        <w:t xml:space="preserve"> injunction </w:t>
      </w:r>
      <w:r w:rsidR="00DA6346">
        <w:rPr>
          <w:rFonts w:ascii="Avenir Next" w:hAnsi="Avenir Next" w:cs="Arial"/>
          <w:color w:val="808080" w:themeColor="background1" w:themeShade="80"/>
          <w:sz w:val="22"/>
          <w:szCs w:val="22"/>
          <w:lang w:val="en-SG"/>
        </w:rPr>
        <w:t xml:space="preserve">was extinguished and replaced </w:t>
      </w:r>
      <w:r w:rsidR="009767D8" w:rsidRPr="009767D8">
        <w:rPr>
          <w:rFonts w:ascii="Avenir Next" w:hAnsi="Avenir Next" w:cs="Arial"/>
          <w:color w:val="808080" w:themeColor="background1" w:themeShade="80"/>
          <w:sz w:val="22"/>
          <w:szCs w:val="22"/>
          <w:lang w:val="en-SG"/>
        </w:rPr>
        <w:t>by the permanent suspension of the bankrupt’s rights pursuant to Article 20(1</w:t>
      </w:r>
      <w:r w:rsidR="00DA6346">
        <w:rPr>
          <w:rFonts w:ascii="Avenir Next" w:hAnsi="Avenir Next" w:cs="Arial"/>
          <w:color w:val="808080" w:themeColor="background1" w:themeShade="80"/>
          <w:sz w:val="22"/>
          <w:szCs w:val="22"/>
          <w:lang w:val="en-SG"/>
        </w:rPr>
        <w:t>)</w:t>
      </w:r>
      <w:r w:rsidR="009767D8" w:rsidRPr="009767D8">
        <w:rPr>
          <w:rFonts w:ascii="Avenir Next" w:hAnsi="Avenir Next" w:cs="Arial"/>
          <w:color w:val="808080" w:themeColor="background1" w:themeShade="80"/>
          <w:sz w:val="22"/>
          <w:szCs w:val="22"/>
          <w:lang w:val="en-SG"/>
        </w:rPr>
        <w:t xml:space="preserve"> of the MLCBI.</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4"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5"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6" w:name="para20"/>
      <w:bookmarkEnd w:id="5"/>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7" w:name="para21"/>
      <w:bookmarkEnd w:id="6"/>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8" w:name="para22"/>
      <w:bookmarkEnd w:id="7"/>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9" w:name="para23"/>
      <w:bookmarkEnd w:id="8"/>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10" w:name="para24"/>
      <w:bookmarkEnd w:id="9"/>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1" w:name="para25"/>
      <w:bookmarkEnd w:id="10"/>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1"/>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2"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3" w:name="para27"/>
      <w:bookmarkEnd w:id="12"/>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3"/>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4"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4"/>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5"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5"/>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6"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7" w:name="para31"/>
      <w:bookmarkEnd w:id="16"/>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7"/>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8"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9" w:name="para33"/>
      <w:bookmarkEnd w:id="18"/>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20" w:name="para34"/>
      <w:bookmarkEnd w:id="19"/>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1" w:name="para35"/>
      <w:bookmarkEnd w:id="20"/>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1"/>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2"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2"/>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3"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3"/>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4"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4"/>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5"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5"/>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6"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7" w:name="para40"/>
      <w:bookmarkEnd w:id="26"/>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authority the </w:t>
      </w:r>
      <w:bookmarkStart w:id="28" w:name="_Hlk128616763"/>
      <w:r w:rsidRPr="00E2622D">
        <w:rPr>
          <w:rFonts w:ascii="Avenir Next" w:hAnsi="Avenir Next" w:cs="Arial"/>
          <w:color w:val="000000"/>
          <w:sz w:val="22"/>
          <w:szCs w:val="22"/>
          <w:lang w:val="en-GB" w:eastAsia="en-GB"/>
        </w:rPr>
        <w:t>power to claim damages from a related party of the Bank</w:t>
      </w:r>
      <w:bookmarkEnd w:id="28"/>
      <w:r w:rsidRPr="00E2622D">
        <w:rPr>
          <w:rFonts w:ascii="Avenir Next" w:hAnsi="Avenir Next" w:cs="Arial"/>
          <w:color w:val="000000"/>
          <w:sz w:val="22"/>
          <w:szCs w:val="22"/>
          <w:lang w:val="en-GB" w:eastAsia="en-GB"/>
        </w:rPr>
        <w:t>,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9" w:name="para41"/>
      <w:bookmarkEnd w:id="27"/>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9"/>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03374F6D" w:rsidR="008E549B" w:rsidRDefault="008A7470" w:rsidP="008A7470">
      <w:pPr>
        <w:jc w:val="both"/>
        <w:rPr>
          <w:rFonts w:ascii="Avenir Next" w:hAnsi="Avenir Next" w:cs="Arial"/>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7BEEC463" w14:textId="11F10839" w:rsidR="008F13EE" w:rsidRDefault="008F13EE" w:rsidP="008A7470">
      <w:pPr>
        <w:jc w:val="both"/>
        <w:rPr>
          <w:rFonts w:ascii="Avenir Next" w:hAnsi="Avenir Next" w:cs="Arial"/>
          <w:sz w:val="22"/>
          <w:szCs w:val="22"/>
          <w:lang w:val="en-GB"/>
        </w:rPr>
      </w:pPr>
    </w:p>
    <w:p w14:paraId="2C342085" w14:textId="3DFD4295" w:rsidR="008F13EE" w:rsidRDefault="001338B3" w:rsidP="008F13EE">
      <w:pPr>
        <w:jc w:val="both"/>
        <w:rPr>
          <w:rFonts w:ascii="Avenir Next" w:hAnsi="Avenir Next" w:cs="Arial"/>
          <w:b/>
          <w:bCs/>
          <w:color w:val="A5A5A5" w:themeColor="accent3"/>
          <w:sz w:val="22"/>
          <w:szCs w:val="22"/>
          <w:u w:val="single"/>
          <w:lang w:val="en-GB"/>
        </w:rPr>
      </w:pPr>
      <w:r w:rsidRPr="00A700C3">
        <w:rPr>
          <w:rFonts w:ascii="Avenir Next" w:hAnsi="Avenir Next" w:cs="Arial"/>
          <w:b/>
          <w:bCs/>
          <w:color w:val="A5A5A5" w:themeColor="accent3"/>
          <w:sz w:val="22"/>
          <w:szCs w:val="22"/>
          <w:u w:val="single"/>
          <w:lang w:val="en-GB"/>
        </w:rPr>
        <w:t>Question 4.1.1</w:t>
      </w:r>
    </w:p>
    <w:p w14:paraId="37F01F47" w14:textId="77777777" w:rsidR="004D2D58" w:rsidRPr="00A700C3" w:rsidRDefault="004D2D58" w:rsidP="008F13EE">
      <w:pPr>
        <w:jc w:val="both"/>
        <w:rPr>
          <w:rFonts w:ascii="Avenir Next" w:hAnsi="Avenir Next" w:cs="Arial"/>
          <w:b/>
          <w:bCs/>
          <w:color w:val="A5A5A5" w:themeColor="accent3"/>
          <w:sz w:val="22"/>
          <w:szCs w:val="22"/>
          <w:u w:val="single"/>
          <w:lang w:val="en-GB"/>
        </w:rPr>
      </w:pPr>
    </w:p>
    <w:p w14:paraId="58A98949" w14:textId="118B22C0" w:rsidR="00370DE8" w:rsidRDefault="009824AE" w:rsidP="00370DE8">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On the issue of w</w:t>
      </w:r>
      <w:r w:rsidR="001338B3">
        <w:rPr>
          <w:rFonts w:ascii="Avenir Next" w:hAnsi="Avenir Next" w:cs="Arial"/>
          <w:color w:val="A5A5A5" w:themeColor="accent3"/>
          <w:sz w:val="22"/>
          <w:szCs w:val="22"/>
          <w:lang w:val="en-GB"/>
        </w:rPr>
        <w:t>hether the Bank’s liquidation comprises a foreign proceeding within the meaning of Article 2(a) of the MLCBI</w:t>
      </w:r>
      <w:r>
        <w:rPr>
          <w:rFonts w:ascii="Avenir Next" w:hAnsi="Avenir Next" w:cs="Arial"/>
          <w:color w:val="A5A5A5" w:themeColor="accent3"/>
          <w:sz w:val="22"/>
          <w:szCs w:val="22"/>
          <w:lang w:val="en-GB"/>
        </w:rPr>
        <w:t xml:space="preserve">, </w:t>
      </w:r>
      <w:r w:rsidR="00370DE8">
        <w:rPr>
          <w:rFonts w:ascii="Avenir Next" w:hAnsi="Avenir Next" w:cs="Arial"/>
          <w:color w:val="A5A5A5" w:themeColor="accent3"/>
          <w:sz w:val="22"/>
          <w:szCs w:val="22"/>
          <w:lang w:val="en-GB"/>
        </w:rPr>
        <w:t>t</w:t>
      </w:r>
      <w:r w:rsidR="00370DE8">
        <w:rPr>
          <w:rFonts w:ascii="Avenir Next" w:hAnsi="Avenir Next" w:cs="Arial"/>
          <w:color w:val="A5A5A5" w:themeColor="accent3"/>
          <w:sz w:val="22"/>
          <w:szCs w:val="22"/>
          <w:lang w:val="en-GB"/>
        </w:rPr>
        <w:t xml:space="preserve">he following </w:t>
      </w:r>
      <w:r w:rsidR="00370DE8">
        <w:rPr>
          <w:rFonts w:ascii="Avenir Next" w:hAnsi="Avenir Next" w:cs="Arial"/>
          <w:color w:val="A5A5A5" w:themeColor="accent3"/>
          <w:sz w:val="22"/>
          <w:szCs w:val="22"/>
          <w:lang w:val="en-GB"/>
        </w:rPr>
        <w:t>sub-</w:t>
      </w:r>
      <w:r w:rsidR="00370DE8">
        <w:rPr>
          <w:rFonts w:ascii="Avenir Next" w:hAnsi="Avenir Next" w:cs="Arial"/>
          <w:color w:val="A5A5A5" w:themeColor="accent3"/>
          <w:sz w:val="22"/>
          <w:szCs w:val="22"/>
          <w:lang w:val="en-GB"/>
        </w:rPr>
        <w:t xml:space="preserve">issues </w:t>
      </w:r>
      <w:r w:rsidR="00370DE8">
        <w:rPr>
          <w:rFonts w:ascii="Avenir Next" w:hAnsi="Avenir Next" w:cs="Arial"/>
          <w:color w:val="A5A5A5" w:themeColor="accent3"/>
          <w:sz w:val="22"/>
          <w:szCs w:val="22"/>
          <w:lang w:val="en-GB"/>
        </w:rPr>
        <w:t xml:space="preserve">are relevant to </w:t>
      </w:r>
      <w:r w:rsidR="00370DE8">
        <w:rPr>
          <w:rFonts w:ascii="Avenir Next" w:hAnsi="Avenir Next" w:cs="Arial"/>
          <w:color w:val="A5A5A5" w:themeColor="accent3"/>
          <w:sz w:val="22"/>
          <w:szCs w:val="22"/>
          <w:lang w:val="en-GB"/>
        </w:rPr>
        <w:t>determining whether the bank’s liquidation comprises a “foreign proceeding”:</w:t>
      </w:r>
    </w:p>
    <w:p w14:paraId="7B048A2F" w14:textId="77777777" w:rsidR="00370DE8" w:rsidRDefault="00370DE8" w:rsidP="00370DE8">
      <w:pPr>
        <w:pStyle w:val="ListParagraph"/>
        <w:numPr>
          <w:ilvl w:val="0"/>
          <w:numId w:val="15"/>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Whether the bank’s liquidation is a “proceeding”;</w:t>
      </w:r>
    </w:p>
    <w:p w14:paraId="78363704" w14:textId="08C09100" w:rsidR="00370DE8" w:rsidRDefault="00370DE8" w:rsidP="00370DE8">
      <w:pPr>
        <w:pStyle w:val="ListParagraph"/>
        <w:numPr>
          <w:ilvl w:val="0"/>
          <w:numId w:val="15"/>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Whether the proceeding is </w:t>
      </w:r>
      <w:r>
        <w:rPr>
          <w:rFonts w:ascii="Avenir Next" w:hAnsi="Avenir Next" w:cs="Arial"/>
          <w:color w:val="A5A5A5" w:themeColor="accent3"/>
          <w:sz w:val="22"/>
          <w:szCs w:val="22"/>
          <w:lang w:val="en-GB"/>
        </w:rPr>
        <w:t>“</w:t>
      </w:r>
      <w:r>
        <w:rPr>
          <w:rFonts w:ascii="Avenir Next" w:hAnsi="Avenir Next" w:cs="Arial"/>
          <w:color w:val="A5A5A5" w:themeColor="accent3"/>
          <w:sz w:val="22"/>
          <w:szCs w:val="22"/>
          <w:lang w:val="en-GB"/>
        </w:rPr>
        <w:t>judicial or administrative</w:t>
      </w:r>
      <w:r>
        <w:rPr>
          <w:rFonts w:ascii="Avenir Next" w:hAnsi="Avenir Next" w:cs="Arial"/>
          <w:color w:val="A5A5A5" w:themeColor="accent3"/>
          <w:sz w:val="22"/>
          <w:szCs w:val="22"/>
          <w:lang w:val="en-GB"/>
        </w:rPr>
        <w:t>”</w:t>
      </w:r>
      <w:r>
        <w:rPr>
          <w:rFonts w:ascii="Avenir Next" w:hAnsi="Avenir Next" w:cs="Arial"/>
          <w:color w:val="A5A5A5" w:themeColor="accent3"/>
          <w:sz w:val="22"/>
          <w:szCs w:val="22"/>
          <w:lang w:val="en-GB"/>
        </w:rPr>
        <w:t>;</w:t>
      </w:r>
    </w:p>
    <w:p w14:paraId="52E97DBA" w14:textId="5B1DA5F8" w:rsidR="00370DE8" w:rsidRDefault="00370DE8" w:rsidP="00370DE8">
      <w:pPr>
        <w:pStyle w:val="ListParagraph"/>
        <w:numPr>
          <w:ilvl w:val="0"/>
          <w:numId w:val="15"/>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Whether it is </w:t>
      </w:r>
      <w:r>
        <w:rPr>
          <w:rFonts w:ascii="Avenir Next" w:hAnsi="Avenir Next" w:cs="Arial"/>
          <w:color w:val="A5A5A5" w:themeColor="accent3"/>
          <w:sz w:val="22"/>
          <w:szCs w:val="22"/>
          <w:lang w:val="en-GB"/>
        </w:rPr>
        <w:t>“</w:t>
      </w:r>
      <w:r>
        <w:rPr>
          <w:rFonts w:ascii="Avenir Next" w:hAnsi="Avenir Next" w:cs="Arial"/>
          <w:color w:val="A5A5A5" w:themeColor="accent3"/>
          <w:sz w:val="22"/>
          <w:szCs w:val="22"/>
          <w:lang w:val="en-GB"/>
        </w:rPr>
        <w:t>collective</w:t>
      </w:r>
      <w:r>
        <w:rPr>
          <w:rFonts w:ascii="Avenir Next" w:hAnsi="Avenir Next" w:cs="Arial"/>
          <w:color w:val="A5A5A5" w:themeColor="accent3"/>
          <w:sz w:val="22"/>
          <w:szCs w:val="22"/>
          <w:lang w:val="en-GB"/>
        </w:rPr>
        <w:t>”</w:t>
      </w:r>
      <w:r>
        <w:rPr>
          <w:rFonts w:ascii="Avenir Next" w:hAnsi="Avenir Next" w:cs="Arial"/>
          <w:color w:val="A5A5A5" w:themeColor="accent3"/>
          <w:sz w:val="22"/>
          <w:szCs w:val="22"/>
          <w:lang w:val="en-GB"/>
        </w:rPr>
        <w:t xml:space="preserve"> in nature;</w:t>
      </w:r>
    </w:p>
    <w:p w14:paraId="62892A5A" w14:textId="27A4967A" w:rsidR="00370DE8" w:rsidRDefault="00370DE8" w:rsidP="00370DE8">
      <w:pPr>
        <w:pStyle w:val="ListParagraph"/>
        <w:numPr>
          <w:ilvl w:val="0"/>
          <w:numId w:val="15"/>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Whether it is in a </w:t>
      </w:r>
      <w:r>
        <w:rPr>
          <w:rFonts w:ascii="Avenir Next" w:hAnsi="Avenir Next" w:cs="Arial"/>
          <w:color w:val="A5A5A5" w:themeColor="accent3"/>
          <w:sz w:val="22"/>
          <w:szCs w:val="22"/>
          <w:lang w:val="en-GB"/>
        </w:rPr>
        <w:t>“</w:t>
      </w:r>
      <w:r>
        <w:rPr>
          <w:rFonts w:ascii="Avenir Next" w:hAnsi="Avenir Next" w:cs="Arial"/>
          <w:color w:val="A5A5A5" w:themeColor="accent3"/>
          <w:sz w:val="22"/>
          <w:szCs w:val="22"/>
          <w:lang w:val="en-GB"/>
        </w:rPr>
        <w:t>foreign state</w:t>
      </w:r>
      <w:r>
        <w:rPr>
          <w:rFonts w:ascii="Avenir Next" w:hAnsi="Avenir Next" w:cs="Arial"/>
          <w:color w:val="A5A5A5" w:themeColor="accent3"/>
          <w:sz w:val="22"/>
          <w:szCs w:val="22"/>
          <w:lang w:val="en-GB"/>
        </w:rPr>
        <w:t>”</w:t>
      </w:r>
      <w:r>
        <w:rPr>
          <w:rFonts w:ascii="Avenir Next" w:hAnsi="Avenir Next" w:cs="Arial"/>
          <w:color w:val="A5A5A5" w:themeColor="accent3"/>
          <w:sz w:val="22"/>
          <w:szCs w:val="22"/>
          <w:lang w:val="en-GB"/>
        </w:rPr>
        <w:t>;</w:t>
      </w:r>
    </w:p>
    <w:p w14:paraId="432A9A1C" w14:textId="77777777" w:rsidR="00370DE8" w:rsidRDefault="00370DE8" w:rsidP="00370DE8">
      <w:pPr>
        <w:pStyle w:val="ListParagraph"/>
        <w:numPr>
          <w:ilvl w:val="0"/>
          <w:numId w:val="15"/>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Whether the proceeding is one authorised or conducted under a law relating to insolvency;</w:t>
      </w:r>
    </w:p>
    <w:p w14:paraId="5466EEB9" w14:textId="77777777" w:rsidR="00370DE8" w:rsidRDefault="00370DE8" w:rsidP="00370DE8">
      <w:pPr>
        <w:pStyle w:val="ListParagraph"/>
        <w:numPr>
          <w:ilvl w:val="0"/>
          <w:numId w:val="15"/>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Whether the proceeding is one where the assets of the debtor are subject to the control or supervision by a foreign court; and</w:t>
      </w:r>
    </w:p>
    <w:p w14:paraId="0BE12526" w14:textId="77777777" w:rsidR="00370DE8" w:rsidRDefault="00370DE8" w:rsidP="00370DE8">
      <w:pPr>
        <w:pStyle w:val="ListParagraph"/>
        <w:numPr>
          <w:ilvl w:val="0"/>
          <w:numId w:val="15"/>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Whether the proceeding is for the purpose of reorganisation or liquidation.</w:t>
      </w:r>
    </w:p>
    <w:p w14:paraId="575AD288" w14:textId="77777777" w:rsidR="00370DE8" w:rsidRDefault="00370DE8" w:rsidP="00370DE8">
      <w:pPr>
        <w:jc w:val="both"/>
        <w:rPr>
          <w:rFonts w:ascii="Avenir Next" w:hAnsi="Avenir Next" w:cs="Arial"/>
          <w:color w:val="A5A5A5" w:themeColor="accent3"/>
          <w:sz w:val="22"/>
          <w:szCs w:val="22"/>
          <w:lang w:val="en-GB"/>
        </w:rPr>
      </w:pPr>
    </w:p>
    <w:p w14:paraId="76AFA323" w14:textId="32757BF3" w:rsidR="00C54264" w:rsidRDefault="00370DE8" w:rsidP="009824AE">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The court approaches the review of the sub-issues in a holistic manner (see </w:t>
      </w:r>
      <w:r>
        <w:rPr>
          <w:rFonts w:ascii="Avenir Next" w:hAnsi="Avenir Next" w:cs="Arial"/>
          <w:i/>
          <w:iCs/>
          <w:color w:val="A5A5A5" w:themeColor="accent3"/>
          <w:sz w:val="22"/>
          <w:szCs w:val="22"/>
          <w:lang w:val="en-GB"/>
        </w:rPr>
        <w:t xml:space="preserve">Stanford International Bank Limited </w:t>
      </w:r>
      <w:r>
        <w:rPr>
          <w:rFonts w:ascii="Avenir Next" w:hAnsi="Avenir Next" w:cs="Arial"/>
          <w:color w:val="A5A5A5" w:themeColor="accent3"/>
          <w:sz w:val="22"/>
          <w:szCs w:val="22"/>
          <w:lang w:val="en-GB"/>
        </w:rPr>
        <w:t xml:space="preserve">[2010] EWCA </w:t>
      </w:r>
      <w:proofErr w:type="spellStart"/>
      <w:r>
        <w:rPr>
          <w:rFonts w:ascii="Avenir Next" w:hAnsi="Avenir Next" w:cs="Arial"/>
          <w:color w:val="A5A5A5" w:themeColor="accent3"/>
          <w:sz w:val="22"/>
          <w:szCs w:val="22"/>
          <w:lang w:val="en-GB"/>
        </w:rPr>
        <w:t>Civ</w:t>
      </w:r>
      <w:proofErr w:type="spellEnd"/>
      <w:r>
        <w:rPr>
          <w:rFonts w:ascii="Avenir Next" w:hAnsi="Avenir Next" w:cs="Arial"/>
          <w:color w:val="A5A5A5" w:themeColor="accent3"/>
          <w:sz w:val="22"/>
          <w:szCs w:val="22"/>
          <w:lang w:val="en-GB"/>
        </w:rPr>
        <w:t xml:space="preserve"> 137).</w:t>
      </w:r>
    </w:p>
    <w:p w14:paraId="1AC1B278" w14:textId="77777777" w:rsidR="00C54264" w:rsidRDefault="00C54264" w:rsidP="009824AE">
      <w:pPr>
        <w:jc w:val="both"/>
        <w:rPr>
          <w:rFonts w:ascii="Avenir Next" w:hAnsi="Avenir Next" w:cs="Arial"/>
          <w:color w:val="A5A5A5" w:themeColor="accent3"/>
          <w:sz w:val="22"/>
          <w:szCs w:val="22"/>
          <w:lang w:val="en-GB"/>
        </w:rPr>
      </w:pPr>
    </w:p>
    <w:p w14:paraId="2B361ABD" w14:textId="01B1842D" w:rsidR="0039197D" w:rsidRDefault="00C54264" w:rsidP="0039197D">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First, </w:t>
      </w:r>
      <w:r w:rsidR="0039197D">
        <w:rPr>
          <w:rFonts w:ascii="Avenir Next" w:hAnsi="Avenir Next" w:cs="Arial"/>
          <w:color w:val="A5A5A5" w:themeColor="accent3"/>
          <w:sz w:val="22"/>
          <w:szCs w:val="22"/>
          <w:lang w:val="en-GB"/>
        </w:rPr>
        <w:t xml:space="preserve">as the </w:t>
      </w:r>
      <w:r w:rsidR="0039197D" w:rsidRPr="009824AE">
        <w:rPr>
          <w:rFonts w:ascii="Avenir Next" w:hAnsi="Avenir Next" w:cs="Arial"/>
          <w:color w:val="A5A5A5" w:themeColor="accent3"/>
          <w:sz w:val="22"/>
          <w:szCs w:val="22"/>
          <w:lang w:val="en-GB"/>
        </w:rPr>
        <w:t>M</w:t>
      </w:r>
      <w:r w:rsidR="0039197D">
        <w:rPr>
          <w:rFonts w:ascii="Avenir Next" w:hAnsi="Avenir Next" w:cs="Arial"/>
          <w:color w:val="A5A5A5" w:themeColor="accent3"/>
          <w:sz w:val="22"/>
          <w:szCs w:val="22"/>
          <w:lang w:val="en-GB"/>
        </w:rPr>
        <w:t>LCBI</w:t>
      </w:r>
      <w:r w:rsidR="0039197D" w:rsidRPr="009824AE">
        <w:rPr>
          <w:rFonts w:ascii="Avenir Next" w:hAnsi="Avenir Next" w:cs="Arial"/>
          <w:color w:val="A5A5A5" w:themeColor="accent3"/>
          <w:sz w:val="22"/>
          <w:szCs w:val="22"/>
          <w:lang w:val="en-GB"/>
        </w:rPr>
        <w:t>’s Guide to Enactment and Interpretation</w:t>
      </w:r>
      <w:r w:rsidR="0039197D">
        <w:rPr>
          <w:rFonts w:ascii="Avenir Next" w:hAnsi="Avenir Next" w:cs="Arial"/>
          <w:color w:val="A5A5A5" w:themeColor="accent3"/>
          <w:sz w:val="22"/>
          <w:szCs w:val="22"/>
          <w:lang w:val="en-GB"/>
        </w:rPr>
        <w:t xml:space="preserve"> has made it plain that “proceeding” generally refers to “proceedings involving debtors that are in severe financial distress or insolvent”. The proceeding involving the Bank which is in serious financial difficulty thus falls within this definition.</w:t>
      </w:r>
      <w:r w:rsidR="00C84555">
        <w:rPr>
          <w:rFonts w:ascii="Avenir Next" w:hAnsi="Avenir Next" w:cs="Arial"/>
          <w:color w:val="A5A5A5" w:themeColor="accent3"/>
          <w:sz w:val="22"/>
          <w:szCs w:val="22"/>
          <w:lang w:val="en-GB"/>
        </w:rPr>
        <w:t xml:space="preserve"> To bring the proceeding against the Bank pursuant to </w:t>
      </w:r>
      <w:r w:rsidR="00C84555">
        <w:rPr>
          <w:rFonts w:ascii="Avenir Next" w:hAnsi="Avenir Next" w:cs="Arial"/>
          <w:color w:val="A5A5A5" w:themeColor="accent3"/>
          <w:sz w:val="22"/>
          <w:szCs w:val="22"/>
          <w:lang w:val="en-GB"/>
        </w:rPr>
        <w:t xml:space="preserve">Art 34 of the DGF Law, the Bank </w:t>
      </w:r>
      <w:r w:rsidR="00C84555">
        <w:rPr>
          <w:rFonts w:ascii="Avenir Next" w:hAnsi="Avenir Next" w:cs="Arial"/>
          <w:color w:val="A5A5A5" w:themeColor="accent3"/>
          <w:sz w:val="22"/>
          <w:szCs w:val="22"/>
          <w:lang w:val="en-GB"/>
        </w:rPr>
        <w:t>was classified as</w:t>
      </w:r>
      <w:r w:rsidR="00C84555">
        <w:rPr>
          <w:rFonts w:ascii="Avenir Next" w:hAnsi="Avenir Next" w:cs="Arial"/>
          <w:color w:val="A5A5A5" w:themeColor="accent3"/>
          <w:sz w:val="22"/>
          <w:szCs w:val="22"/>
          <w:lang w:val="en-GB"/>
        </w:rPr>
        <w:t xml:space="preserve"> “insolvent”</w:t>
      </w:r>
      <w:r w:rsidR="00C84555">
        <w:rPr>
          <w:rFonts w:ascii="Avenir Next" w:hAnsi="Avenir Next" w:cs="Arial"/>
          <w:color w:val="A5A5A5" w:themeColor="accent3"/>
          <w:sz w:val="22"/>
          <w:szCs w:val="22"/>
          <w:lang w:val="en-GB"/>
        </w:rPr>
        <w:t xml:space="preserve"> as a pre-requisite</w:t>
      </w:r>
      <w:r w:rsidR="00C84555">
        <w:rPr>
          <w:rFonts w:ascii="Avenir Next" w:hAnsi="Avenir Next" w:cs="Arial"/>
          <w:color w:val="A5A5A5" w:themeColor="accent3"/>
          <w:sz w:val="22"/>
          <w:szCs w:val="22"/>
          <w:lang w:val="en-GB"/>
        </w:rPr>
        <w:t xml:space="preserve"> under Art 76 of the LBBA</w:t>
      </w:r>
      <w:r w:rsidR="00C84555">
        <w:rPr>
          <w:rFonts w:ascii="Avenir Next" w:hAnsi="Avenir Next" w:cs="Arial"/>
          <w:color w:val="A5A5A5" w:themeColor="accent3"/>
          <w:sz w:val="22"/>
          <w:szCs w:val="22"/>
          <w:lang w:val="en-GB"/>
        </w:rPr>
        <w:t>.</w:t>
      </w:r>
    </w:p>
    <w:p w14:paraId="5513A22E" w14:textId="77777777" w:rsidR="0039197D" w:rsidRDefault="0039197D" w:rsidP="0039197D">
      <w:pPr>
        <w:jc w:val="both"/>
        <w:rPr>
          <w:rFonts w:ascii="Avenir Next" w:hAnsi="Avenir Next" w:cs="Arial"/>
          <w:color w:val="A5A5A5" w:themeColor="accent3"/>
          <w:sz w:val="22"/>
          <w:szCs w:val="22"/>
          <w:lang w:val="en-GB"/>
        </w:rPr>
      </w:pPr>
    </w:p>
    <w:p w14:paraId="2A83640A" w14:textId="18435F0A" w:rsidR="0039197D" w:rsidRDefault="0039197D" w:rsidP="0039197D">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Second, whether the proceeding was “judicial or </w:t>
      </w:r>
      <w:r w:rsidRPr="009824AE">
        <w:rPr>
          <w:rFonts w:ascii="Avenir Next" w:hAnsi="Avenir Next" w:cs="Arial"/>
          <w:color w:val="A5A5A5" w:themeColor="accent3"/>
          <w:sz w:val="22"/>
          <w:szCs w:val="22"/>
          <w:lang w:val="en-GB"/>
        </w:rPr>
        <w:t xml:space="preserve">administrative” </w:t>
      </w:r>
      <w:r>
        <w:rPr>
          <w:rFonts w:ascii="Avenir Next" w:hAnsi="Avenir Next" w:cs="Arial"/>
          <w:color w:val="A5A5A5" w:themeColor="accent3"/>
          <w:sz w:val="22"/>
          <w:szCs w:val="22"/>
          <w:lang w:val="en-GB"/>
        </w:rPr>
        <w:t>pursuant to an insolvency law in which</w:t>
      </w:r>
      <w:r w:rsidRPr="009824AE">
        <w:rPr>
          <w:rFonts w:ascii="Avenir Next" w:hAnsi="Avenir Next" w:cs="Arial"/>
          <w:color w:val="A5A5A5" w:themeColor="accent3"/>
          <w:sz w:val="22"/>
          <w:szCs w:val="22"/>
          <w:lang w:val="en-GB"/>
        </w:rPr>
        <w:t xml:space="preserve"> “the assets and affairs or the debtor are subject to control by a foreign court”. </w:t>
      </w:r>
      <w:r>
        <w:rPr>
          <w:rFonts w:ascii="Avenir Next" w:hAnsi="Avenir Next" w:cs="Arial"/>
          <w:color w:val="A5A5A5" w:themeColor="accent3"/>
          <w:sz w:val="22"/>
          <w:szCs w:val="22"/>
          <w:lang w:val="en-GB"/>
        </w:rPr>
        <w:t>However,</w:t>
      </w:r>
      <w:r w:rsidRPr="009824AE">
        <w:rPr>
          <w:rFonts w:ascii="Avenir Next" w:hAnsi="Avenir Next" w:cs="Arial"/>
          <w:color w:val="A5A5A5" w:themeColor="accent3"/>
          <w:sz w:val="22"/>
          <w:szCs w:val="22"/>
          <w:lang w:val="en-GB"/>
        </w:rPr>
        <w:t xml:space="preserve"> the definition of “foreign court” </w:t>
      </w:r>
      <w:r>
        <w:rPr>
          <w:rFonts w:ascii="Avenir Next" w:hAnsi="Avenir Next" w:cs="Arial"/>
          <w:color w:val="A5A5A5" w:themeColor="accent3"/>
          <w:sz w:val="22"/>
          <w:szCs w:val="22"/>
          <w:lang w:val="en-GB"/>
        </w:rPr>
        <w:t xml:space="preserve">could </w:t>
      </w:r>
      <w:r w:rsidRPr="009824AE">
        <w:rPr>
          <w:rFonts w:ascii="Avenir Next" w:hAnsi="Avenir Next" w:cs="Arial"/>
          <w:color w:val="A5A5A5" w:themeColor="accent3"/>
          <w:sz w:val="22"/>
          <w:szCs w:val="22"/>
          <w:lang w:val="en-GB"/>
        </w:rPr>
        <w:t>include non-judicial authorities</w:t>
      </w:r>
      <w:r>
        <w:rPr>
          <w:rFonts w:ascii="Avenir Next" w:hAnsi="Avenir Next" w:cs="Arial"/>
          <w:color w:val="A5A5A5" w:themeColor="accent3"/>
          <w:sz w:val="22"/>
          <w:szCs w:val="22"/>
          <w:lang w:val="en-GB"/>
        </w:rPr>
        <w:t xml:space="preserve"> such as the DGF since</w:t>
      </w:r>
      <w:r w:rsidRPr="009824AE">
        <w:rPr>
          <w:rFonts w:ascii="Avenir Next" w:hAnsi="Avenir Next" w:cs="Arial"/>
          <w:color w:val="A5A5A5" w:themeColor="accent3"/>
          <w:sz w:val="22"/>
          <w:szCs w:val="22"/>
          <w:lang w:val="en-GB"/>
        </w:rPr>
        <w:t xml:space="preserve"> a foreign proceeding can be recognised where the control or supervision is undertaken by a non-judicial administrative body</w:t>
      </w:r>
      <w:r>
        <w:rPr>
          <w:rFonts w:ascii="Avenir Next" w:hAnsi="Avenir Next" w:cs="Arial"/>
          <w:color w:val="A5A5A5" w:themeColor="accent3"/>
          <w:sz w:val="22"/>
          <w:szCs w:val="22"/>
          <w:lang w:val="en-GB"/>
        </w:rPr>
        <w:t xml:space="preserve"> (</w:t>
      </w:r>
      <w:r w:rsidRPr="00037A2D">
        <w:rPr>
          <w:rFonts w:ascii="Avenir Next" w:hAnsi="Avenir Next" w:cs="Arial"/>
          <w:i/>
          <w:iCs/>
          <w:color w:val="A5A5A5" w:themeColor="accent3"/>
          <w:sz w:val="22"/>
          <w:szCs w:val="22"/>
          <w:lang w:val="en-GB"/>
        </w:rPr>
        <w:t>Re Sanko Steamship Co Ltd</w:t>
      </w:r>
      <w:r w:rsidRPr="009824AE">
        <w:rPr>
          <w:rFonts w:ascii="Avenir Next" w:hAnsi="Avenir Next" w:cs="Arial"/>
          <w:color w:val="A5A5A5" w:themeColor="accent3"/>
          <w:sz w:val="22"/>
          <w:szCs w:val="22"/>
          <w:lang w:val="en-GB"/>
        </w:rPr>
        <w:t xml:space="preserve"> [2015] EWHC 1031 (Ch)</w:t>
      </w:r>
      <w:r>
        <w:rPr>
          <w:rFonts w:ascii="Avenir Next" w:hAnsi="Avenir Next" w:cs="Arial"/>
          <w:color w:val="A5A5A5" w:themeColor="accent3"/>
          <w:sz w:val="22"/>
          <w:szCs w:val="22"/>
          <w:lang w:val="en-GB"/>
        </w:rPr>
        <w:t>)</w:t>
      </w:r>
      <w:r w:rsidRPr="009824AE">
        <w:rPr>
          <w:rFonts w:ascii="Avenir Next" w:hAnsi="Avenir Next" w:cs="Arial"/>
          <w:color w:val="A5A5A5" w:themeColor="accent3"/>
          <w:sz w:val="22"/>
          <w:szCs w:val="22"/>
          <w:lang w:val="en-GB"/>
        </w:rPr>
        <w:t>.</w:t>
      </w:r>
      <w:r>
        <w:rPr>
          <w:rFonts w:ascii="Avenir Next" w:hAnsi="Avenir Next" w:cs="Arial"/>
          <w:color w:val="A5A5A5" w:themeColor="accent3"/>
          <w:sz w:val="22"/>
          <w:szCs w:val="22"/>
          <w:lang w:val="en-GB"/>
        </w:rPr>
        <w:t xml:space="preserve"> </w:t>
      </w:r>
      <w:r w:rsidRPr="009824AE">
        <w:rPr>
          <w:rFonts w:ascii="Avenir Next" w:hAnsi="Avenir Next" w:cs="Arial"/>
          <w:color w:val="A5A5A5" w:themeColor="accent3"/>
          <w:sz w:val="22"/>
          <w:szCs w:val="22"/>
          <w:lang w:val="en-GB"/>
        </w:rPr>
        <w:t xml:space="preserve">In this case, </w:t>
      </w:r>
      <w:r>
        <w:rPr>
          <w:rFonts w:ascii="Avenir Next" w:hAnsi="Avenir Next" w:cs="Arial"/>
          <w:color w:val="A5A5A5" w:themeColor="accent3"/>
          <w:sz w:val="22"/>
          <w:szCs w:val="22"/>
          <w:lang w:val="en-GB"/>
        </w:rPr>
        <w:t>the applicants Ms G (a representative of DGF) and</w:t>
      </w:r>
      <w:r w:rsidRPr="009824AE">
        <w:rPr>
          <w:rFonts w:ascii="Avenir Next" w:hAnsi="Avenir Next" w:cs="Arial"/>
          <w:color w:val="A5A5A5" w:themeColor="accent3"/>
          <w:sz w:val="22"/>
          <w:szCs w:val="22"/>
          <w:lang w:val="en-GB"/>
        </w:rPr>
        <w:t xml:space="preserve"> DGF</w:t>
      </w:r>
      <w:r>
        <w:rPr>
          <w:rFonts w:ascii="Avenir Next" w:hAnsi="Avenir Next" w:cs="Arial"/>
          <w:color w:val="A5A5A5" w:themeColor="accent3"/>
          <w:sz w:val="22"/>
          <w:szCs w:val="22"/>
          <w:lang w:val="en-GB"/>
        </w:rPr>
        <w:t xml:space="preserve"> </w:t>
      </w:r>
      <w:r w:rsidRPr="009824AE">
        <w:rPr>
          <w:rFonts w:ascii="Avenir Next" w:hAnsi="Avenir Next" w:cs="Arial"/>
          <w:color w:val="A5A5A5" w:themeColor="accent3"/>
          <w:sz w:val="22"/>
          <w:szCs w:val="22"/>
          <w:lang w:val="en-GB"/>
        </w:rPr>
        <w:t>had control of all of the assets and the liquidation. Its role was to perform special functions including the withdrawal of insolvent banks and the liquidation of these banks.</w:t>
      </w:r>
      <w:r w:rsidR="00C84555">
        <w:rPr>
          <w:rFonts w:ascii="Avenir Next" w:hAnsi="Avenir Next" w:cs="Arial"/>
          <w:color w:val="A5A5A5" w:themeColor="accent3"/>
          <w:sz w:val="22"/>
          <w:szCs w:val="22"/>
          <w:lang w:val="en-GB"/>
        </w:rPr>
        <w:t xml:space="preserve"> </w:t>
      </w:r>
      <w:r w:rsidRPr="009824AE">
        <w:rPr>
          <w:rFonts w:ascii="Avenir Next" w:hAnsi="Avenir Next" w:cs="Arial"/>
          <w:color w:val="A5A5A5" w:themeColor="accent3"/>
          <w:sz w:val="22"/>
          <w:szCs w:val="22"/>
          <w:lang w:val="en-GB"/>
        </w:rPr>
        <w:t xml:space="preserve">The Bank’s liquidation was </w:t>
      </w:r>
      <w:r w:rsidR="00C84555">
        <w:rPr>
          <w:rFonts w:ascii="Avenir Next" w:hAnsi="Avenir Next" w:cs="Arial"/>
          <w:color w:val="A5A5A5" w:themeColor="accent3"/>
          <w:sz w:val="22"/>
          <w:szCs w:val="22"/>
          <w:lang w:val="en-GB"/>
        </w:rPr>
        <w:t xml:space="preserve">therefore </w:t>
      </w:r>
      <w:r w:rsidRPr="009824AE">
        <w:rPr>
          <w:rFonts w:ascii="Avenir Next" w:hAnsi="Avenir Next" w:cs="Arial"/>
          <w:color w:val="A5A5A5" w:themeColor="accent3"/>
          <w:sz w:val="22"/>
          <w:szCs w:val="22"/>
          <w:lang w:val="en-GB"/>
        </w:rPr>
        <w:t xml:space="preserve">“administrative” because </w:t>
      </w:r>
      <w:r w:rsidR="00C84555">
        <w:rPr>
          <w:rFonts w:ascii="Avenir Next" w:hAnsi="Avenir Next" w:cs="Arial"/>
          <w:color w:val="A5A5A5" w:themeColor="accent3"/>
          <w:sz w:val="22"/>
          <w:szCs w:val="22"/>
          <w:lang w:val="en-GB"/>
        </w:rPr>
        <w:t>it</w:t>
      </w:r>
      <w:r w:rsidRPr="009824AE">
        <w:rPr>
          <w:rFonts w:ascii="Avenir Next" w:hAnsi="Avenir Next" w:cs="Arial"/>
          <w:color w:val="A5A5A5" w:themeColor="accent3"/>
          <w:sz w:val="22"/>
          <w:szCs w:val="22"/>
          <w:lang w:val="en-GB"/>
        </w:rPr>
        <w:t xml:space="preserve"> was subject to the DGF’s control, being an official body independent from the government and public authorities which had no right to interfere in the exercise of its functions and therefore should be considered a “foreign court”.</w:t>
      </w:r>
    </w:p>
    <w:p w14:paraId="5B019CEE" w14:textId="77777777" w:rsidR="0039197D" w:rsidRDefault="0039197D" w:rsidP="009824AE">
      <w:pPr>
        <w:jc w:val="both"/>
        <w:rPr>
          <w:rFonts w:ascii="Avenir Next" w:hAnsi="Avenir Next" w:cs="Arial"/>
          <w:color w:val="A5A5A5" w:themeColor="accent3"/>
          <w:sz w:val="22"/>
          <w:szCs w:val="22"/>
          <w:lang w:val="en-GB"/>
        </w:rPr>
      </w:pPr>
    </w:p>
    <w:p w14:paraId="593CC049" w14:textId="77777777" w:rsidR="000C6A57" w:rsidRDefault="0039197D" w:rsidP="009824AE">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Third, </w:t>
      </w:r>
      <w:r w:rsidR="00C54264">
        <w:rPr>
          <w:rFonts w:ascii="Avenir Next" w:hAnsi="Avenir Next" w:cs="Arial"/>
          <w:color w:val="A5A5A5" w:themeColor="accent3"/>
          <w:sz w:val="22"/>
          <w:szCs w:val="22"/>
          <w:lang w:val="en-GB"/>
        </w:rPr>
        <w:t>t</w:t>
      </w:r>
      <w:r w:rsidR="009824AE" w:rsidRPr="009824AE">
        <w:rPr>
          <w:rFonts w:ascii="Avenir Next" w:hAnsi="Avenir Next" w:cs="Arial"/>
          <w:color w:val="A5A5A5" w:themeColor="accent3"/>
          <w:sz w:val="22"/>
          <w:szCs w:val="22"/>
          <w:lang w:val="en-GB"/>
        </w:rPr>
        <w:t xml:space="preserve">he requirement of “collective” insolvency proceedings </w:t>
      </w:r>
      <w:r w:rsidR="00C54264">
        <w:rPr>
          <w:rFonts w:ascii="Avenir Next" w:hAnsi="Avenir Next" w:cs="Arial"/>
          <w:color w:val="A5A5A5" w:themeColor="accent3"/>
          <w:sz w:val="22"/>
          <w:szCs w:val="22"/>
          <w:lang w:val="en-GB"/>
        </w:rPr>
        <w:t>is</w:t>
      </w:r>
      <w:r w:rsidR="009824AE" w:rsidRPr="009824AE">
        <w:rPr>
          <w:rFonts w:ascii="Avenir Next" w:hAnsi="Avenir Next" w:cs="Arial"/>
          <w:color w:val="A5A5A5" w:themeColor="accent3"/>
          <w:sz w:val="22"/>
          <w:szCs w:val="22"/>
          <w:lang w:val="en-GB"/>
        </w:rPr>
        <w:t xml:space="preserve"> based on achieving a coordinated and global solution to all stakeholders within the insolvency proceedings, rather than </w:t>
      </w:r>
      <w:r w:rsidR="00C54264">
        <w:rPr>
          <w:rFonts w:ascii="Avenir Next" w:hAnsi="Avenir Next" w:cs="Arial"/>
          <w:color w:val="A5A5A5" w:themeColor="accent3"/>
          <w:sz w:val="22"/>
          <w:szCs w:val="22"/>
          <w:lang w:val="en-GB"/>
        </w:rPr>
        <w:t>as being descriptive of the</w:t>
      </w:r>
      <w:r w:rsidR="009824AE" w:rsidRPr="009824AE">
        <w:rPr>
          <w:rFonts w:ascii="Avenir Next" w:hAnsi="Avenir Next" w:cs="Arial"/>
          <w:color w:val="A5A5A5" w:themeColor="accent3"/>
          <w:sz w:val="22"/>
          <w:szCs w:val="22"/>
          <w:lang w:val="en-GB"/>
        </w:rPr>
        <w:t xml:space="preserve"> method </w:t>
      </w:r>
      <w:r w:rsidR="00C54264">
        <w:rPr>
          <w:rFonts w:ascii="Avenir Next" w:hAnsi="Avenir Next" w:cs="Arial"/>
          <w:color w:val="A5A5A5" w:themeColor="accent3"/>
          <w:sz w:val="22"/>
          <w:szCs w:val="22"/>
          <w:lang w:val="en-GB"/>
        </w:rPr>
        <w:t xml:space="preserve">of </w:t>
      </w:r>
      <w:r w:rsidR="009824AE" w:rsidRPr="009824AE">
        <w:rPr>
          <w:rFonts w:ascii="Avenir Next" w:hAnsi="Avenir Next" w:cs="Arial"/>
          <w:color w:val="A5A5A5" w:themeColor="accent3"/>
          <w:sz w:val="22"/>
          <w:szCs w:val="22"/>
          <w:lang w:val="en-GB"/>
        </w:rPr>
        <w:t>collect</w:t>
      </w:r>
      <w:r w:rsidR="00C54264">
        <w:rPr>
          <w:rFonts w:ascii="Avenir Next" w:hAnsi="Avenir Next" w:cs="Arial"/>
          <w:color w:val="A5A5A5" w:themeColor="accent3"/>
          <w:sz w:val="22"/>
          <w:szCs w:val="22"/>
          <w:lang w:val="en-GB"/>
        </w:rPr>
        <w:t>ing</w:t>
      </w:r>
      <w:r w:rsidR="009824AE" w:rsidRPr="009824AE">
        <w:rPr>
          <w:rFonts w:ascii="Avenir Next" w:hAnsi="Avenir Next" w:cs="Arial"/>
          <w:color w:val="A5A5A5" w:themeColor="accent3"/>
          <w:sz w:val="22"/>
          <w:szCs w:val="22"/>
          <w:lang w:val="en-GB"/>
        </w:rPr>
        <w:t xml:space="preserve"> sums for a particular group of creditor</w:t>
      </w:r>
      <w:r w:rsidR="00C54264">
        <w:rPr>
          <w:rFonts w:ascii="Avenir Next" w:hAnsi="Avenir Next" w:cs="Arial"/>
          <w:color w:val="A5A5A5" w:themeColor="accent3"/>
          <w:sz w:val="22"/>
          <w:szCs w:val="22"/>
          <w:lang w:val="en-GB"/>
        </w:rPr>
        <w:t>s (see</w:t>
      </w:r>
      <w:r w:rsidR="00C54264" w:rsidRPr="009824AE">
        <w:rPr>
          <w:rFonts w:ascii="Avenir Next" w:hAnsi="Avenir Next" w:cs="Arial"/>
          <w:color w:val="A5A5A5" w:themeColor="accent3"/>
          <w:sz w:val="22"/>
          <w:szCs w:val="22"/>
          <w:lang w:val="en-GB"/>
        </w:rPr>
        <w:t xml:space="preserve"> M</w:t>
      </w:r>
      <w:r w:rsidR="00C54264">
        <w:rPr>
          <w:rFonts w:ascii="Avenir Next" w:hAnsi="Avenir Next" w:cs="Arial"/>
          <w:color w:val="A5A5A5" w:themeColor="accent3"/>
          <w:sz w:val="22"/>
          <w:szCs w:val="22"/>
          <w:lang w:val="en-GB"/>
        </w:rPr>
        <w:t>LCBI</w:t>
      </w:r>
      <w:r w:rsidR="00C54264" w:rsidRPr="009824AE">
        <w:rPr>
          <w:rFonts w:ascii="Avenir Next" w:hAnsi="Avenir Next" w:cs="Arial"/>
          <w:color w:val="A5A5A5" w:themeColor="accent3"/>
          <w:sz w:val="22"/>
          <w:szCs w:val="22"/>
          <w:lang w:val="en-GB"/>
        </w:rPr>
        <w:t>’s Guide to Enactment and Interpretation</w:t>
      </w:r>
      <w:r w:rsidR="00C54264">
        <w:rPr>
          <w:rFonts w:ascii="Avenir Next" w:hAnsi="Avenir Next" w:cs="Arial"/>
          <w:color w:val="A5A5A5" w:themeColor="accent3"/>
          <w:sz w:val="22"/>
          <w:szCs w:val="22"/>
          <w:lang w:val="en-GB"/>
        </w:rPr>
        <w:t>)</w:t>
      </w:r>
      <w:r w:rsidR="009824AE" w:rsidRPr="009824AE">
        <w:rPr>
          <w:rFonts w:ascii="Avenir Next" w:hAnsi="Avenir Next" w:cs="Arial"/>
          <w:color w:val="A5A5A5" w:themeColor="accent3"/>
          <w:sz w:val="22"/>
          <w:szCs w:val="22"/>
          <w:lang w:val="en-GB"/>
        </w:rPr>
        <w:t xml:space="preserve">. </w:t>
      </w:r>
      <w:r w:rsidR="00B02015">
        <w:rPr>
          <w:rFonts w:ascii="Avenir Next" w:hAnsi="Avenir Next" w:cs="Arial"/>
          <w:color w:val="A5A5A5" w:themeColor="accent3"/>
          <w:sz w:val="22"/>
          <w:szCs w:val="22"/>
          <w:lang w:val="en-GB"/>
        </w:rPr>
        <w:t>The</w:t>
      </w:r>
      <w:r w:rsidR="009824AE" w:rsidRPr="009824AE">
        <w:rPr>
          <w:rFonts w:ascii="Avenir Next" w:hAnsi="Avenir Next" w:cs="Arial"/>
          <w:color w:val="A5A5A5" w:themeColor="accent3"/>
          <w:sz w:val="22"/>
          <w:szCs w:val="22"/>
          <w:lang w:val="en-GB"/>
        </w:rPr>
        <w:t xml:space="preserve"> main consideration </w:t>
      </w:r>
      <w:r w:rsidR="00B02015">
        <w:rPr>
          <w:rFonts w:ascii="Avenir Next" w:hAnsi="Avenir Next" w:cs="Arial"/>
          <w:color w:val="A5A5A5" w:themeColor="accent3"/>
          <w:sz w:val="22"/>
          <w:szCs w:val="22"/>
          <w:lang w:val="en-GB"/>
        </w:rPr>
        <w:t>is therefore</w:t>
      </w:r>
      <w:r w:rsidR="009824AE" w:rsidRPr="009824AE">
        <w:rPr>
          <w:rFonts w:ascii="Avenir Next" w:hAnsi="Avenir Next" w:cs="Arial"/>
          <w:color w:val="A5A5A5" w:themeColor="accent3"/>
          <w:sz w:val="22"/>
          <w:szCs w:val="22"/>
          <w:lang w:val="en-GB"/>
        </w:rPr>
        <w:t xml:space="preserve"> whether all</w:t>
      </w:r>
      <w:r w:rsidR="00B02015">
        <w:rPr>
          <w:rFonts w:ascii="Avenir Next" w:hAnsi="Avenir Next" w:cs="Arial"/>
          <w:color w:val="A5A5A5" w:themeColor="accent3"/>
          <w:sz w:val="22"/>
          <w:szCs w:val="22"/>
          <w:lang w:val="en-GB"/>
        </w:rPr>
        <w:t>, or substantially all,</w:t>
      </w:r>
      <w:r w:rsidR="009824AE" w:rsidRPr="009824AE">
        <w:rPr>
          <w:rFonts w:ascii="Avenir Next" w:hAnsi="Avenir Next" w:cs="Arial"/>
          <w:color w:val="A5A5A5" w:themeColor="accent3"/>
          <w:sz w:val="22"/>
          <w:szCs w:val="22"/>
          <w:lang w:val="en-GB"/>
        </w:rPr>
        <w:t xml:space="preserve"> assets and liabilities are dealt with in that proceeding.</w:t>
      </w:r>
      <w:r w:rsidR="009C6FBF">
        <w:rPr>
          <w:rFonts w:ascii="Avenir Next" w:hAnsi="Avenir Next" w:cs="Arial"/>
          <w:color w:val="A5A5A5" w:themeColor="accent3"/>
          <w:sz w:val="22"/>
          <w:szCs w:val="22"/>
          <w:lang w:val="en-GB"/>
        </w:rPr>
        <w:t xml:space="preserve"> As the </w:t>
      </w:r>
      <w:r w:rsidR="009824AE" w:rsidRPr="009824AE">
        <w:rPr>
          <w:rFonts w:ascii="Avenir Next" w:hAnsi="Avenir Next" w:cs="Arial"/>
          <w:color w:val="A5A5A5" w:themeColor="accent3"/>
          <w:sz w:val="22"/>
          <w:szCs w:val="22"/>
          <w:lang w:val="en-GB"/>
        </w:rPr>
        <w:t xml:space="preserve">Bank’s liquidation was a collective process </w:t>
      </w:r>
      <w:r w:rsidR="00C84555">
        <w:rPr>
          <w:rFonts w:ascii="Avenir Next" w:hAnsi="Avenir Next" w:cs="Arial"/>
          <w:color w:val="A5A5A5" w:themeColor="accent3"/>
          <w:sz w:val="22"/>
          <w:szCs w:val="22"/>
          <w:lang w:val="en-GB"/>
        </w:rPr>
        <w:t>and the list of the creditors’ claims amounting to USD1.3bn was wide-ranging,</w:t>
      </w:r>
      <w:r w:rsidR="000C6A57">
        <w:rPr>
          <w:rFonts w:ascii="Avenir Next" w:hAnsi="Avenir Next" w:cs="Arial"/>
          <w:color w:val="A5A5A5" w:themeColor="accent3"/>
          <w:sz w:val="22"/>
          <w:szCs w:val="22"/>
          <w:lang w:val="en-GB"/>
        </w:rPr>
        <w:t xml:space="preserve"> this requirement is met.</w:t>
      </w:r>
    </w:p>
    <w:p w14:paraId="25953871" w14:textId="77777777" w:rsidR="000C6A57" w:rsidRDefault="000C6A57" w:rsidP="009824AE">
      <w:pPr>
        <w:jc w:val="both"/>
        <w:rPr>
          <w:rFonts w:ascii="Avenir Next" w:hAnsi="Avenir Next" w:cs="Arial"/>
          <w:color w:val="A5A5A5" w:themeColor="accent3"/>
          <w:sz w:val="22"/>
          <w:szCs w:val="22"/>
          <w:lang w:val="en-GB"/>
        </w:rPr>
      </w:pPr>
    </w:p>
    <w:p w14:paraId="5D42909F" w14:textId="77777777" w:rsidR="000C6A57" w:rsidRDefault="000C6A57" w:rsidP="009824AE">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Fourth, the proceeding commenced in Country A, which is a foreign state.</w:t>
      </w:r>
    </w:p>
    <w:p w14:paraId="3B833765" w14:textId="77777777" w:rsidR="000C6A57" w:rsidRDefault="000C6A57" w:rsidP="009824AE">
      <w:pPr>
        <w:jc w:val="both"/>
        <w:rPr>
          <w:rFonts w:ascii="Avenir Next" w:hAnsi="Avenir Next" w:cs="Arial"/>
          <w:color w:val="A5A5A5" w:themeColor="accent3"/>
          <w:sz w:val="22"/>
          <w:szCs w:val="22"/>
          <w:lang w:val="en-GB"/>
        </w:rPr>
      </w:pPr>
    </w:p>
    <w:p w14:paraId="17026489" w14:textId="46AA4371" w:rsidR="009824AE" w:rsidRPr="009824AE" w:rsidRDefault="000855AB" w:rsidP="009824AE">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Fifth, the proceeding is conducted pursuant to laws relating to insolvency, </w:t>
      </w:r>
      <w:proofErr w:type="spellStart"/>
      <w:r w:rsidRPr="000855AB">
        <w:rPr>
          <w:rFonts w:ascii="Avenir Next" w:hAnsi="Avenir Next" w:cs="Arial"/>
          <w:i/>
          <w:iCs/>
          <w:color w:val="A5A5A5" w:themeColor="accent3"/>
          <w:sz w:val="22"/>
          <w:szCs w:val="22"/>
          <w:lang w:val="en-GB"/>
        </w:rPr>
        <w:t>ie</w:t>
      </w:r>
      <w:proofErr w:type="spellEnd"/>
      <w:r>
        <w:rPr>
          <w:rFonts w:ascii="Avenir Next" w:hAnsi="Avenir Next" w:cs="Arial"/>
          <w:color w:val="A5A5A5" w:themeColor="accent3"/>
          <w:sz w:val="22"/>
          <w:szCs w:val="22"/>
          <w:lang w:val="en-GB"/>
        </w:rPr>
        <w:t>, the LBBA Law and DGF Law.</w:t>
      </w:r>
      <w:r w:rsidR="009824AE" w:rsidRPr="009824AE">
        <w:rPr>
          <w:rFonts w:ascii="Avenir Next" w:hAnsi="Avenir Next" w:cs="Arial"/>
          <w:color w:val="A5A5A5" w:themeColor="accent3"/>
          <w:sz w:val="22"/>
          <w:szCs w:val="22"/>
          <w:lang w:val="en-GB"/>
        </w:rPr>
        <w:t xml:space="preserve"> </w:t>
      </w:r>
      <w:r w:rsidR="00AD4061">
        <w:rPr>
          <w:rFonts w:ascii="Avenir Next" w:hAnsi="Avenir Next" w:cs="Arial"/>
          <w:color w:val="A5A5A5" w:themeColor="accent3"/>
          <w:sz w:val="22"/>
          <w:szCs w:val="22"/>
          <w:lang w:val="en-GB"/>
        </w:rPr>
        <w:t xml:space="preserve">The LBBA Law </w:t>
      </w:r>
      <w:r w:rsidR="00AD4061">
        <w:rPr>
          <w:rFonts w:ascii="Avenir Next" w:hAnsi="Avenir Next" w:cs="Arial"/>
          <w:color w:val="A5A5A5" w:themeColor="accent3"/>
          <w:sz w:val="22"/>
          <w:szCs w:val="22"/>
          <w:lang w:val="en-GB"/>
        </w:rPr>
        <w:t>deals with</w:t>
      </w:r>
      <w:r w:rsidR="00AD4061">
        <w:rPr>
          <w:rFonts w:ascii="Avenir Next" w:hAnsi="Avenir Next" w:cs="Arial"/>
          <w:color w:val="A5A5A5" w:themeColor="accent3"/>
          <w:sz w:val="22"/>
          <w:szCs w:val="22"/>
          <w:lang w:val="en-GB"/>
        </w:rPr>
        <w:t xml:space="preserve"> “insolvency or severe financial distress” </w:t>
      </w:r>
      <w:r w:rsidR="00AD4061">
        <w:rPr>
          <w:rFonts w:ascii="Avenir Next" w:hAnsi="Avenir Next" w:cs="Arial"/>
          <w:color w:val="A5A5A5" w:themeColor="accent3"/>
          <w:sz w:val="22"/>
          <w:szCs w:val="22"/>
          <w:lang w:val="en-GB"/>
        </w:rPr>
        <w:t xml:space="preserve">and Articles </w:t>
      </w:r>
      <w:r w:rsidR="00AD4061">
        <w:rPr>
          <w:rFonts w:ascii="Avenir Next" w:hAnsi="Avenir Next" w:cs="Arial"/>
          <w:color w:val="A5A5A5" w:themeColor="accent3"/>
          <w:sz w:val="22"/>
          <w:szCs w:val="22"/>
          <w:lang w:val="en-GB"/>
        </w:rPr>
        <w:t>34, 35, 36 and 77 of the DGF Law</w:t>
      </w:r>
      <w:r w:rsidR="00AD4061">
        <w:rPr>
          <w:rFonts w:ascii="Avenir Next" w:hAnsi="Avenir Next" w:cs="Arial"/>
          <w:color w:val="A5A5A5" w:themeColor="accent3"/>
          <w:sz w:val="22"/>
          <w:szCs w:val="22"/>
          <w:lang w:val="en-GB"/>
        </w:rPr>
        <w:t xml:space="preserve"> relate to insolvency.</w:t>
      </w:r>
    </w:p>
    <w:p w14:paraId="51D78EDF" w14:textId="77777777" w:rsidR="009824AE" w:rsidRPr="009824AE" w:rsidRDefault="009824AE" w:rsidP="009824AE">
      <w:pPr>
        <w:jc w:val="both"/>
        <w:rPr>
          <w:rFonts w:ascii="Avenir Next" w:hAnsi="Avenir Next" w:cs="Arial"/>
          <w:color w:val="A5A5A5" w:themeColor="accent3"/>
          <w:sz w:val="22"/>
          <w:szCs w:val="22"/>
          <w:lang w:val="en-GB"/>
        </w:rPr>
      </w:pPr>
    </w:p>
    <w:p w14:paraId="7618BE86" w14:textId="10573404" w:rsidR="001338B3" w:rsidRDefault="00AD4061" w:rsidP="008F13EE">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Sixth, while there is no real illustration of</w:t>
      </w:r>
      <w:r>
        <w:rPr>
          <w:rFonts w:ascii="Avenir Next" w:hAnsi="Avenir Next" w:cs="Arial"/>
          <w:color w:val="A5A5A5" w:themeColor="accent3"/>
          <w:sz w:val="22"/>
          <w:szCs w:val="22"/>
          <w:lang w:val="en-GB"/>
        </w:rPr>
        <w:t xml:space="preserve"> the level of court supervision in the proceedings, this is a low burden (</w:t>
      </w:r>
      <w:r>
        <w:rPr>
          <w:rFonts w:ascii="Avenir Next" w:hAnsi="Avenir Next" w:cs="Arial"/>
          <w:i/>
          <w:iCs/>
          <w:color w:val="A5A5A5" w:themeColor="accent3"/>
          <w:sz w:val="22"/>
          <w:szCs w:val="22"/>
          <w:lang w:val="en-SG"/>
        </w:rPr>
        <w:t xml:space="preserve">Re </w:t>
      </w:r>
      <w:proofErr w:type="spellStart"/>
      <w:r>
        <w:rPr>
          <w:rFonts w:ascii="Avenir Next" w:hAnsi="Avenir Next" w:cs="Arial"/>
          <w:i/>
          <w:iCs/>
          <w:color w:val="A5A5A5" w:themeColor="accent3"/>
          <w:sz w:val="22"/>
          <w:szCs w:val="22"/>
          <w:lang w:val="en-SG"/>
        </w:rPr>
        <w:t>Ashapura</w:t>
      </w:r>
      <w:proofErr w:type="spellEnd"/>
      <w:r>
        <w:rPr>
          <w:rFonts w:ascii="Avenir Next" w:hAnsi="Avenir Next" w:cs="Arial"/>
          <w:i/>
          <w:iCs/>
          <w:color w:val="A5A5A5" w:themeColor="accent3"/>
          <w:sz w:val="22"/>
          <w:szCs w:val="22"/>
          <w:lang w:val="en-SG"/>
        </w:rPr>
        <w:t xml:space="preserve"> </w:t>
      </w:r>
      <w:proofErr w:type="spellStart"/>
      <w:r>
        <w:rPr>
          <w:rFonts w:ascii="Avenir Next" w:hAnsi="Avenir Next" w:cs="Arial"/>
          <w:i/>
          <w:iCs/>
          <w:color w:val="A5A5A5" w:themeColor="accent3"/>
          <w:sz w:val="22"/>
          <w:szCs w:val="22"/>
          <w:lang w:val="en-SG"/>
        </w:rPr>
        <w:t>Minechem</w:t>
      </w:r>
      <w:proofErr w:type="spellEnd"/>
      <w:r>
        <w:rPr>
          <w:rFonts w:ascii="Avenir Next" w:hAnsi="Avenir Next" w:cs="Arial"/>
          <w:i/>
          <w:iCs/>
          <w:color w:val="A5A5A5" w:themeColor="accent3"/>
          <w:sz w:val="22"/>
          <w:szCs w:val="22"/>
          <w:lang w:val="en-SG"/>
        </w:rPr>
        <w:t xml:space="preserve"> Ltd </w:t>
      </w:r>
      <w:r>
        <w:rPr>
          <w:rFonts w:ascii="Avenir Next" w:hAnsi="Avenir Next" w:cs="Arial"/>
          <w:color w:val="A5A5A5" w:themeColor="accent3"/>
          <w:sz w:val="22"/>
          <w:szCs w:val="22"/>
          <w:lang w:val="en-SG"/>
        </w:rPr>
        <w:t>480 BR 129 (2012)</w:t>
      </w:r>
      <w:r>
        <w:rPr>
          <w:rFonts w:ascii="Avenir Next" w:hAnsi="Avenir Next" w:cs="Arial"/>
          <w:color w:val="A5A5A5" w:themeColor="accent3"/>
          <w:sz w:val="22"/>
          <w:szCs w:val="22"/>
          <w:lang w:val="en-GB"/>
        </w:rPr>
        <w:t xml:space="preserve">) and </w:t>
      </w:r>
      <w:r>
        <w:rPr>
          <w:rFonts w:ascii="Avenir Next" w:hAnsi="Avenir Next" w:cs="Arial"/>
          <w:color w:val="A5A5A5" w:themeColor="accent3"/>
          <w:sz w:val="22"/>
          <w:szCs w:val="22"/>
          <w:lang w:val="en-GB"/>
        </w:rPr>
        <w:t>it suffices that it is</w:t>
      </w:r>
      <w:r>
        <w:rPr>
          <w:rFonts w:ascii="Avenir Next" w:hAnsi="Avenir Next" w:cs="Arial"/>
          <w:color w:val="A5A5A5" w:themeColor="accent3"/>
          <w:sz w:val="22"/>
          <w:szCs w:val="22"/>
          <w:lang w:val="en-GB"/>
        </w:rPr>
        <w:t xml:space="preserve"> a </w:t>
      </w:r>
      <w:r w:rsidRPr="00A700C3">
        <w:rPr>
          <w:rFonts w:ascii="Avenir Next" w:hAnsi="Avenir Next" w:cs="Arial"/>
          <w:color w:val="A5A5A5" w:themeColor="accent3"/>
          <w:sz w:val="22"/>
          <w:szCs w:val="22"/>
          <w:lang w:val="en-GB"/>
        </w:rPr>
        <w:t>potential</w:t>
      </w:r>
      <w:r>
        <w:rPr>
          <w:rFonts w:ascii="Avenir Next" w:hAnsi="Avenir Next" w:cs="Arial"/>
          <w:color w:val="A5A5A5" w:themeColor="accent3"/>
          <w:sz w:val="22"/>
          <w:szCs w:val="22"/>
          <w:lang w:val="en-GB"/>
        </w:rPr>
        <w:t xml:space="preserve"> form of control or supervision. </w:t>
      </w:r>
      <w:r w:rsidR="00A700C3">
        <w:rPr>
          <w:rFonts w:ascii="Avenir Next" w:hAnsi="Avenir Next" w:cs="Arial"/>
          <w:color w:val="A5A5A5" w:themeColor="accent3"/>
          <w:sz w:val="22"/>
          <w:szCs w:val="22"/>
          <w:lang w:val="en-GB"/>
        </w:rPr>
        <w:t xml:space="preserve">Although the NB is involved in some level of oversight, this does not affect nor preclude the court’s ability to oversee proceedings (see </w:t>
      </w:r>
      <w:r w:rsidR="00A700C3">
        <w:rPr>
          <w:rFonts w:ascii="Avenir Next" w:hAnsi="Avenir Next" w:cs="Arial"/>
          <w:i/>
          <w:iCs/>
          <w:color w:val="A5A5A5" w:themeColor="accent3"/>
          <w:sz w:val="22"/>
          <w:szCs w:val="22"/>
          <w:lang w:val="en-GB"/>
        </w:rPr>
        <w:t>R</w:t>
      </w:r>
      <w:r w:rsidR="00A700C3">
        <w:rPr>
          <w:rFonts w:ascii="Avenir Next" w:hAnsi="Avenir Next" w:cs="Arial"/>
          <w:i/>
          <w:iCs/>
          <w:color w:val="A5A5A5" w:themeColor="accent3"/>
          <w:sz w:val="22"/>
          <w:szCs w:val="22"/>
          <w:lang w:val="en-SG"/>
        </w:rPr>
        <w:t xml:space="preserve">e </w:t>
      </w:r>
      <w:proofErr w:type="spellStart"/>
      <w:r w:rsidR="00A700C3">
        <w:rPr>
          <w:rFonts w:ascii="Avenir Next" w:hAnsi="Avenir Next" w:cs="Arial"/>
          <w:i/>
          <w:iCs/>
          <w:color w:val="A5A5A5" w:themeColor="accent3"/>
          <w:sz w:val="22"/>
          <w:szCs w:val="22"/>
          <w:lang w:val="en-SG"/>
        </w:rPr>
        <w:t>Agrokor</w:t>
      </w:r>
      <w:proofErr w:type="spellEnd"/>
      <w:r w:rsidR="00A700C3">
        <w:rPr>
          <w:rFonts w:ascii="Avenir Next" w:hAnsi="Avenir Next" w:cs="Arial"/>
          <w:i/>
          <w:iCs/>
          <w:color w:val="A5A5A5" w:themeColor="accent3"/>
          <w:sz w:val="22"/>
          <w:szCs w:val="22"/>
          <w:lang w:val="en-SG"/>
        </w:rPr>
        <w:t xml:space="preserve"> DD and in the matter of the Cross-Border Insolvency Regulations 2006 [2017] EWHC 2791 (Ch)</w:t>
      </w:r>
      <w:r w:rsidR="00A700C3">
        <w:rPr>
          <w:rFonts w:ascii="Avenir Next" w:hAnsi="Avenir Next" w:cs="Arial"/>
          <w:color w:val="A5A5A5" w:themeColor="accent3"/>
          <w:sz w:val="22"/>
          <w:szCs w:val="22"/>
          <w:lang w:val="en-GB"/>
        </w:rPr>
        <w:t>). Thus, this requirement is met.</w:t>
      </w:r>
    </w:p>
    <w:p w14:paraId="71FDF862" w14:textId="7C733053" w:rsidR="00AD4061" w:rsidRDefault="00AD4061" w:rsidP="008F13EE">
      <w:pPr>
        <w:jc w:val="both"/>
        <w:rPr>
          <w:rFonts w:ascii="Avenir Next" w:hAnsi="Avenir Next" w:cs="Arial"/>
          <w:color w:val="A5A5A5" w:themeColor="accent3"/>
          <w:sz w:val="22"/>
          <w:szCs w:val="22"/>
          <w:lang w:val="en-GB"/>
        </w:rPr>
      </w:pPr>
    </w:p>
    <w:p w14:paraId="0017FC2E" w14:textId="7C3A55FA" w:rsidR="00A700C3" w:rsidRDefault="00A700C3" w:rsidP="008F13EE">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Finally, there is no dispute that the proceeding commenced and are continuing with the purpose of liquidation.</w:t>
      </w:r>
    </w:p>
    <w:p w14:paraId="65014451" w14:textId="7CA6B1DC" w:rsidR="00A700C3" w:rsidRDefault="00A700C3" w:rsidP="008F13EE">
      <w:pPr>
        <w:jc w:val="both"/>
        <w:rPr>
          <w:rFonts w:ascii="Avenir Next" w:hAnsi="Avenir Next" w:cs="Arial"/>
          <w:color w:val="A5A5A5" w:themeColor="accent3"/>
          <w:sz w:val="22"/>
          <w:szCs w:val="22"/>
          <w:lang w:val="en-GB"/>
        </w:rPr>
      </w:pPr>
    </w:p>
    <w:p w14:paraId="22024E58" w14:textId="376A8E0E" w:rsidR="00A700C3" w:rsidRDefault="00A700C3" w:rsidP="008F13EE">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Consequently, </w:t>
      </w:r>
      <w:r>
        <w:rPr>
          <w:rFonts w:ascii="Avenir Next" w:hAnsi="Avenir Next" w:cs="Arial"/>
          <w:color w:val="A5A5A5" w:themeColor="accent3"/>
          <w:sz w:val="22"/>
          <w:szCs w:val="22"/>
          <w:lang w:val="en-GB"/>
        </w:rPr>
        <w:t>the Bank’s liquidation comprises a foreign proceeding</w:t>
      </w:r>
      <w:r>
        <w:rPr>
          <w:rFonts w:ascii="Avenir Next" w:hAnsi="Avenir Next" w:cs="Arial"/>
          <w:color w:val="A5A5A5" w:themeColor="accent3"/>
          <w:sz w:val="22"/>
          <w:szCs w:val="22"/>
          <w:lang w:val="en-GB"/>
        </w:rPr>
        <w:t>.</w:t>
      </w:r>
    </w:p>
    <w:p w14:paraId="0DD874FF" w14:textId="77777777" w:rsidR="00A700C3" w:rsidRDefault="00A700C3" w:rsidP="008F13EE">
      <w:pPr>
        <w:jc w:val="both"/>
        <w:rPr>
          <w:rFonts w:ascii="Avenir Next" w:hAnsi="Avenir Next" w:cs="Arial"/>
          <w:color w:val="A5A5A5" w:themeColor="accent3"/>
          <w:sz w:val="22"/>
          <w:szCs w:val="22"/>
          <w:lang w:val="en-GB"/>
        </w:rPr>
      </w:pPr>
    </w:p>
    <w:p w14:paraId="77169357" w14:textId="440D202C" w:rsidR="001338B3" w:rsidRPr="00A700C3" w:rsidRDefault="001338B3" w:rsidP="008F13EE">
      <w:pPr>
        <w:jc w:val="both"/>
        <w:rPr>
          <w:rFonts w:ascii="Avenir Next" w:hAnsi="Avenir Next" w:cs="Arial"/>
          <w:b/>
          <w:bCs/>
          <w:color w:val="A5A5A5" w:themeColor="accent3"/>
          <w:sz w:val="22"/>
          <w:szCs w:val="22"/>
          <w:u w:val="single"/>
          <w:lang w:val="en-GB"/>
        </w:rPr>
      </w:pPr>
      <w:r w:rsidRPr="00A700C3">
        <w:rPr>
          <w:rFonts w:ascii="Avenir Next" w:hAnsi="Avenir Next" w:cs="Arial"/>
          <w:b/>
          <w:bCs/>
          <w:color w:val="A5A5A5" w:themeColor="accent3"/>
          <w:sz w:val="22"/>
          <w:szCs w:val="22"/>
          <w:u w:val="single"/>
          <w:lang w:val="en-GB"/>
        </w:rPr>
        <w:t>Question 4.1.2</w:t>
      </w:r>
    </w:p>
    <w:p w14:paraId="4698010A" w14:textId="506CBA4B" w:rsidR="00A700C3" w:rsidRDefault="00A700C3" w:rsidP="008F13EE">
      <w:pPr>
        <w:jc w:val="both"/>
        <w:rPr>
          <w:rFonts w:ascii="Avenir Next" w:hAnsi="Avenir Next" w:cs="Arial"/>
          <w:color w:val="A5A5A5" w:themeColor="accent3"/>
          <w:sz w:val="22"/>
          <w:szCs w:val="22"/>
          <w:lang w:val="en-GB"/>
        </w:rPr>
      </w:pPr>
    </w:p>
    <w:p w14:paraId="7633AB08" w14:textId="31D80BB8" w:rsidR="00A700C3" w:rsidRDefault="00150C06" w:rsidP="008F13EE">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Moving to the question of w</w:t>
      </w:r>
      <w:r w:rsidRPr="00150C06">
        <w:rPr>
          <w:rFonts w:ascii="Avenir Next" w:hAnsi="Avenir Next" w:cs="Arial"/>
          <w:color w:val="A5A5A5" w:themeColor="accent3"/>
          <w:sz w:val="22"/>
          <w:szCs w:val="22"/>
          <w:lang w:val="en-GB"/>
        </w:rPr>
        <w:t>hether the DGF or Ms G, its authorised officer</w:t>
      </w:r>
      <w:r>
        <w:rPr>
          <w:rFonts w:ascii="Avenir Next" w:hAnsi="Avenir Next" w:cs="Arial"/>
          <w:color w:val="A5A5A5" w:themeColor="accent3"/>
          <w:sz w:val="22"/>
          <w:szCs w:val="22"/>
          <w:lang w:val="en-GB"/>
        </w:rPr>
        <w:t xml:space="preserve"> </w:t>
      </w:r>
      <w:r w:rsidRPr="00150C06">
        <w:rPr>
          <w:rFonts w:ascii="Avenir Next" w:hAnsi="Avenir Next" w:cs="Arial"/>
          <w:color w:val="A5A5A5" w:themeColor="accent3"/>
          <w:sz w:val="22"/>
          <w:szCs w:val="22"/>
          <w:lang w:val="en-GB"/>
        </w:rPr>
        <w:t>for the PJSC liquidation, were “foreign representatives” in accordance with Art</w:t>
      </w:r>
      <w:r>
        <w:rPr>
          <w:rFonts w:ascii="Avenir Next" w:hAnsi="Avenir Next" w:cs="Arial"/>
          <w:color w:val="A5A5A5" w:themeColor="accent3"/>
          <w:sz w:val="22"/>
          <w:szCs w:val="22"/>
          <w:lang w:val="en-GB"/>
        </w:rPr>
        <w:t>icle</w:t>
      </w:r>
      <w:r w:rsidRPr="00150C06">
        <w:rPr>
          <w:rFonts w:ascii="Avenir Next" w:hAnsi="Avenir Next" w:cs="Arial"/>
          <w:color w:val="A5A5A5" w:themeColor="accent3"/>
          <w:sz w:val="22"/>
          <w:szCs w:val="22"/>
          <w:lang w:val="en-GB"/>
        </w:rPr>
        <w:t xml:space="preserve"> 2(</w:t>
      </w:r>
      <w:r>
        <w:rPr>
          <w:rFonts w:ascii="Avenir Next" w:hAnsi="Avenir Next" w:cs="Arial"/>
          <w:color w:val="A5A5A5" w:themeColor="accent3"/>
          <w:sz w:val="22"/>
          <w:szCs w:val="22"/>
          <w:lang w:val="en-GB"/>
        </w:rPr>
        <w:t>d</w:t>
      </w:r>
      <w:r w:rsidRPr="00150C06">
        <w:rPr>
          <w:rFonts w:ascii="Avenir Next" w:hAnsi="Avenir Next" w:cs="Arial"/>
          <w:color w:val="A5A5A5" w:themeColor="accent3"/>
          <w:sz w:val="22"/>
          <w:szCs w:val="22"/>
          <w:lang w:val="en-GB"/>
        </w:rPr>
        <w:t>)</w:t>
      </w:r>
      <w:r>
        <w:rPr>
          <w:rFonts w:ascii="Avenir Next" w:hAnsi="Avenir Next" w:cs="Arial"/>
          <w:color w:val="A5A5A5" w:themeColor="accent3"/>
          <w:sz w:val="22"/>
          <w:szCs w:val="22"/>
          <w:lang w:val="en-GB"/>
        </w:rPr>
        <w:t xml:space="preserve"> of the MLCBI</w:t>
      </w:r>
      <w:r w:rsidR="000E22DF">
        <w:rPr>
          <w:rFonts w:ascii="Avenir Next" w:hAnsi="Avenir Next" w:cs="Arial"/>
          <w:color w:val="A5A5A5" w:themeColor="accent3"/>
          <w:sz w:val="22"/>
          <w:szCs w:val="22"/>
          <w:lang w:val="en-GB"/>
        </w:rPr>
        <w:t>, the question should be answered in the affirmative.</w:t>
      </w:r>
      <w:r w:rsidRPr="00150C06">
        <w:rPr>
          <w:rFonts w:ascii="Avenir Next" w:hAnsi="Avenir Next" w:cs="Arial"/>
          <w:color w:val="A5A5A5" w:themeColor="accent3"/>
          <w:sz w:val="22"/>
          <w:szCs w:val="22"/>
          <w:lang w:val="en-GB"/>
        </w:rPr>
        <w:t xml:space="preserve"> The</w:t>
      </w:r>
      <w:r w:rsidR="000E22DF">
        <w:rPr>
          <w:rFonts w:ascii="Avenir Next" w:hAnsi="Avenir Next" w:cs="Arial"/>
          <w:color w:val="A5A5A5" w:themeColor="accent3"/>
          <w:sz w:val="22"/>
          <w:szCs w:val="22"/>
          <w:lang w:val="en-GB"/>
        </w:rPr>
        <w:t xml:space="preserve"> </w:t>
      </w:r>
      <w:r w:rsidRPr="00150C06">
        <w:rPr>
          <w:rFonts w:ascii="Avenir Next" w:hAnsi="Avenir Next" w:cs="Arial"/>
          <w:color w:val="A5A5A5" w:themeColor="accent3"/>
          <w:sz w:val="22"/>
          <w:szCs w:val="22"/>
          <w:lang w:val="en-GB"/>
        </w:rPr>
        <w:t xml:space="preserve">DGF </w:t>
      </w:r>
      <w:r w:rsidR="000E22DF">
        <w:rPr>
          <w:rFonts w:ascii="Avenir Next" w:hAnsi="Avenir Next" w:cs="Arial"/>
          <w:color w:val="A5A5A5" w:themeColor="accent3"/>
          <w:sz w:val="22"/>
          <w:szCs w:val="22"/>
          <w:lang w:val="en-GB"/>
        </w:rPr>
        <w:t>is empowered by</w:t>
      </w:r>
      <w:r w:rsidRPr="00150C06">
        <w:rPr>
          <w:rFonts w:ascii="Avenir Next" w:hAnsi="Avenir Next" w:cs="Arial"/>
          <w:color w:val="A5A5A5" w:themeColor="accent3"/>
          <w:sz w:val="22"/>
          <w:szCs w:val="22"/>
          <w:lang w:val="en-GB"/>
        </w:rPr>
        <w:t xml:space="preserve"> </w:t>
      </w:r>
      <w:r w:rsidR="000E22DF">
        <w:rPr>
          <w:rFonts w:ascii="Avenir Next" w:hAnsi="Avenir Next" w:cs="Arial"/>
          <w:color w:val="A5A5A5" w:themeColor="accent3"/>
          <w:sz w:val="22"/>
          <w:szCs w:val="22"/>
          <w:lang w:val="en-GB"/>
        </w:rPr>
        <w:t>A</w:t>
      </w:r>
      <w:r w:rsidR="000E22DF" w:rsidRPr="000E22DF">
        <w:rPr>
          <w:rFonts w:ascii="Avenir Next" w:hAnsi="Avenir Next" w:cs="Arial"/>
          <w:color w:val="A5A5A5" w:themeColor="accent3"/>
          <w:sz w:val="22"/>
          <w:szCs w:val="22"/>
          <w:lang w:val="en-GB"/>
        </w:rPr>
        <w:t xml:space="preserve">rticle 48(3) of the DGF Law </w:t>
      </w:r>
      <w:r w:rsidR="000E22DF">
        <w:rPr>
          <w:rFonts w:ascii="Avenir Next" w:hAnsi="Avenir Next" w:cs="Arial"/>
          <w:color w:val="A5A5A5" w:themeColor="accent3"/>
          <w:sz w:val="22"/>
          <w:szCs w:val="22"/>
          <w:lang w:val="en-GB"/>
        </w:rPr>
        <w:t xml:space="preserve">to </w:t>
      </w:r>
      <w:r w:rsidRPr="00150C06">
        <w:rPr>
          <w:rFonts w:ascii="Avenir Next" w:hAnsi="Avenir Next" w:cs="Arial"/>
          <w:color w:val="A5A5A5" w:themeColor="accent3"/>
          <w:sz w:val="22"/>
          <w:szCs w:val="22"/>
          <w:lang w:val="en-GB"/>
        </w:rPr>
        <w:t>delegate its powers to an</w:t>
      </w:r>
      <w:r w:rsidR="000E22DF">
        <w:rPr>
          <w:rFonts w:ascii="Avenir Next" w:hAnsi="Avenir Next" w:cs="Arial"/>
          <w:color w:val="A5A5A5" w:themeColor="accent3"/>
          <w:sz w:val="22"/>
          <w:szCs w:val="22"/>
          <w:lang w:val="en-GB"/>
        </w:rPr>
        <w:t xml:space="preserve"> </w:t>
      </w:r>
      <w:r w:rsidRPr="00150C06">
        <w:rPr>
          <w:rFonts w:ascii="Avenir Next" w:hAnsi="Avenir Next" w:cs="Arial"/>
          <w:color w:val="A5A5A5" w:themeColor="accent3"/>
          <w:sz w:val="22"/>
          <w:szCs w:val="22"/>
          <w:lang w:val="en-GB"/>
        </w:rPr>
        <w:t>“authorised officer</w:t>
      </w:r>
      <w:r w:rsidR="000E22DF">
        <w:rPr>
          <w:rFonts w:ascii="Avenir Next" w:hAnsi="Avenir Next" w:cs="Arial"/>
          <w:color w:val="A5A5A5" w:themeColor="accent3"/>
          <w:sz w:val="22"/>
          <w:szCs w:val="22"/>
          <w:lang w:val="en-GB"/>
        </w:rPr>
        <w:t>… or person</w:t>
      </w:r>
      <w:r w:rsidRPr="00150C06">
        <w:rPr>
          <w:rFonts w:ascii="Avenir Next" w:hAnsi="Avenir Next" w:cs="Arial"/>
          <w:color w:val="A5A5A5" w:themeColor="accent3"/>
          <w:sz w:val="22"/>
          <w:szCs w:val="22"/>
          <w:lang w:val="en-GB"/>
        </w:rPr>
        <w:t>”</w:t>
      </w:r>
      <w:r w:rsidR="000E22DF">
        <w:rPr>
          <w:rFonts w:ascii="Avenir Next" w:hAnsi="Avenir Next" w:cs="Arial"/>
          <w:color w:val="A5A5A5" w:themeColor="accent3"/>
          <w:sz w:val="22"/>
          <w:szCs w:val="22"/>
          <w:lang w:val="en-GB"/>
        </w:rPr>
        <w:t xml:space="preserve">. </w:t>
      </w:r>
      <w:proofErr w:type="spellStart"/>
      <w:r w:rsidR="000E22DF">
        <w:rPr>
          <w:rFonts w:ascii="Avenir Next" w:hAnsi="Avenir Next" w:cs="Arial"/>
          <w:color w:val="A5A5A5" w:themeColor="accent3"/>
          <w:sz w:val="22"/>
          <w:szCs w:val="22"/>
          <w:lang w:val="en-GB"/>
        </w:rPr>
        <w:t>An</w:t>
      </w:r>
      <w:proofErr w:type="spellEnd"/>
      <w:r w:rsidR="000E22DF">
        <w:rPr>
          <w:rFonts w:ascii="Avenir Next" w:hAnsi="Avenir Next" w:cs="Arial"/>
          <w:color w:val="A5A5A5" w:themeColor="accent3"/>
          <w:sz w:val="22"/>
          <w:szCs w:val="22"/>
          <w:lang w:val="en-GB"/>
        </w:rPr>
        <w:t xml:space="preserve"> “authorised officer… or person” is one</w:t>
      </w:r>
      <w:r w:rsidR="000E22DF" w:rsidRPr="00150C06">
        <w:rPr>
          <w:rFonts w:ascii="Avenir Next" w:hAnsi="Avenir Next" w:cs="Arial"/>
          <w:color w:val="A5A5A5" w:themeColor="accent3"/>
          <w:sz w:val="22"/>
          <w:szCs w:val="22"/>
          <w:lang w:val="en-GB"/>
        </w:rPr>
        <w:t xml:space="preserve"> </w:t>
      </w:r>
      <w:r w:rsidRPr="00150C06">
        <w:rPr>
          <w:rFonts w:ascii="Avenir Next" w:hAnsi="Avenir Next" w:cs="Arial"/>
          <w:color w:val="A5A5A5" w:themeColor="accent3"/>
          <w:sz w:val="22"/>
          <w:szCs w:val="22"/>
          <w:lang w:val="en-GB"/>
        </w:rPr>
        <w:t xml:space="preserve">who </w:t>
      </w:r>
      <w:r w:rsidR="000E22DF">
        <w:rPr>
          <w:rFonts w:ascii="Avenir Next" w:hAnsi="Avenir Next" w:cs="Arial"/>
          <w:color w:val="A5A5A5" w:themeColor="accent3"/>
          <w:sz w:val="22"/>
          <w:szCs w:val="22"/>
          <w:lang w:val="en-GB"/>
        </w:rPr>
        <w:t xml:space="preserve">should possess </w:t>
      </w:r>
      <w:r w:rsidRPr="00150C06">
        <w:rPr>
          <w:rFonts w:ascii="Avenir Next" w:hAnsi="Avenir Next" w:cs="Arial"/>
          <w:color w:val="A5A5A5" w:themeColor="accent3"/>
          <w:sz w:val="22"/>
          <w:szCs w:val="22"/>
          <w:lang w:val="en-GB"/>
        </w:rPr>
        <w:t xml:space="preserve"> </w:t>
      </w:r>
      <w:r w:rsidR="000E22DF">
        <w:rPr>
          <w:rFonts w:ascii="Avenir Next" w:hAnsi="Avenir Next" w:cs="Arial"/>
          <w:color w:val="A5A5A5" w:themeColor="accent3"/>
          <w:sz w:val="22"/>
          <w:szCs w:val="22"/>
          <w:lang w:val="en-GB"/>
        </w:rPr>
        <w:t>“</w:t>
      </w:r>
      <w:r w:rsidR="000E22DF" w:rsidRPr="000E22DF">
        <w:rPr>
          <w:rFonts w:ascii="Avenir Next" w:hAnsi="Avenir Next" w:cs="Arial"/>
          <w:color w:val="A5A5A5" w:themeColor="accent3"/>
          <w:sz w:val="22"/>
          <w:szCs w:val="22"/>
          <w:lang w:val="en-GB"/>
        </w:rPr>
        <w:t>high professional and moral qualities, impeccable business reputation, complete higher education in the field of economics, finance or law…and professional experience necessary</w:t>
      </w:r>
      <w:r w:rsidR="000E22DF">
        <w:rPr>
          <w:rFonts w:ascii="Avenir Next" w:hAnsi="Avenir Next" w:cs="Arial"/>
          <w:color w:val="A5A5A5" w:themeColor="accent3"/>
          <w:sz w:val="22"/>
          <w:szCs w:val="22"/>
          <w:lang w:val="en-GB"/>
        </w:rPr>
        <w:t>” pursuant to Article 35(1) of the DGF Law</w:t>
      </w:r>
      <w:r w:rsidRPr="00150C06">
        <w:rPr>
          <w:rFonts w:ascii="Avenir Next" w:hAnsi="Avenir Next" w:cs="Arial"/>
          <w:color w:val="A5A5A5" w:themeColor="accent3"/>
          <w:sz w:val="22"/>
          <w:szCs w:val="22"/>
          <w:lang w:val="en-GB"/>
        </w:rPr>
        <w:t xml:space="preserve">. </w:t>
      </w:r>
      <w:r w:rsidR="000E22DF">
        <w:rPr>
          <w:rFonts w:ascii="Avenir Next" w:hAnsi="Avenir Next" w:cs="Arial"/>
          <w:color w:val="A5A5A5" w:themeColor="accent3"/>
          <w:sz w:val="22"/>
          <w:szCs w:val="22"/>
          <w:lang w:val="en-GB"/>
        </w:rPr>
        <w:t xml:space="preserve">Further, </w:t>
      </w:r>
      <w:r w:rsidRPr="00150C06">
        <w:rPr>
          <w:rFonts w:ascii="Avenir Next" w:hAnsi="Avenir Next" w:cs="Arial"/>
          <w:color w:val="A5A5A5" w:themeColor="accent3"/>
          <w:sz w:val="22"/>
          <w:szCs w:val="22"/>
          <w:lang w:val="en-GB"/>
        </w:rPr>
        <w:t>Ms G was appointed by a Decision of the</w:t>
      </w:r>
      <w:r w:rsidR="000E22DF">
        <w:rPr>
          <w:rFonts w:ascii="Avenir Next" w:hAnsi="Avenir Next" w:cs="Arial"/>
          <w:color w:val="A5A5A5" w:themeColor="accent3"/>
          <w:sz w:val="22"/>
          <w:szCs w:val="22"/>
          <w:lang w:val="en-GB"/>
        </w:rPr>
        <w:t xml:space="preserve"> </w:t>
      </w:r>
      <w:r w:rsidRPr="00150C06">
        <w:rPr>
          <w:rFonts w:ascii="Avenir Next" w:hAnsi="Avenir Next" w:cs="Arial"/>
          <w:color w:val="A5A5A5" w:themeColor="accent3"/>
          <w:sz w:val="22"/>
          <w:szCs w:val="22"/>
          <w:lang w:val="en-GB"/>
        </w:rPr>
        <w:t>Executive Board of the Directors of the DGF</w:t>
      </w:r>
      <w:r w:rsidR="000E22DF">
        <w:rPr>
          <w:rFonts w:ascii="Avenir Next" w:hAnsi="Avenir Next" w:cs="Arial"/>
          <w:color w:val="A5A5A5" w:themeColor="accent3"/>
          <w:sz w:val="22"/>
          <w:szCs w:val="22"/>
          <w:lang w:val="en-GB"/>
        </w:rPr>
        <w:t xml:space="preserve"> in Resolution 1513, which notes that she is a </w:t>
      </w:r>
      <w:r w:rsidRPr="00150C06">
        <w:rPr>
          <w:rFonts w:ascii="Avenir Next" w:hAnsi="Avenir Next" w:cs="Arial"/>
          <w:color w:val="A5A5A5" w:themeColor="accent3"/>
          <w:sz w:val="22"/>
          <w:szCs w:val="22"/>
          <w:lang w:val="en-GB"/>
        </w:rPr>
        <w:t>“leading bank liquidation professional”</w:t>
      </w:r>
      <w:r w:rsidR="000E22DF">
        <w:rPr>
          <w:rFonts w:ascii="Avenir Next" w:hAnsi="Avenir Next" w:cs="Arial"/>
          <w:color w:val="A5A5A5" w:themeColor="accent3"/>
          <w:sz w:val="22"/>
          <w:szCs w:val="22"/>
          <w:lang w:val="en-GB"/>
        </w:rPr>
        <w:t>. This includes the delegation of</w:t>
      </w:r>
      <w:r w:rsidRPr="00150C06">
        <w:rPr>
          <w:rFonts w:ascii="Avenir Next" w:hAnsi="Avenir Next" w:cs="Arial"/>
          <w:color w:val="A5A5A5" w:themeColor="accent3"/>
          <w:sz w:val="22"/>
          <w:szCs w:val="22"/>
          <w:lang w:val="en-GB"/>
        </w:rPr>
        <w:t xml:space="preserve"> liquidation powers to her</w:t>
      </w:r>
      <w:r w:rsidR="000E22DF">
        <w:rPr>
          <w:rFonts w:ascii="Avenir Next" w:hAnsi="Avenir Next" w:cs="Arial"/>
          <w:color w:val="A5A5A5" w:themeColor="accent3"/>
          <w:sz w:val="22"/>
          <w:szCs w:val="22"/>
          <w:lang w:val="en-GB"/>
        </w:rPr>
        <w:t xml:space="preserve"> (</w:t>
      </w:r>
      <w:r w:rsidR="000E22DF" w:rsidRPr="000E22DF">
        <w:rPr>
          <w:rFonts w:ascii="Avenir Next" w:hAnsi="Avenir Next" w:cs="Arial"/>
          <w:color w:val="A5A5A5" w:themeColor="accent3"/>
          <w:sz w:val="22"/>
          <w:szCs w:val="22"/>
          <w:lang w:val="en-GB"/>
        </w:rPr>
        <w:t xml:space="preserve">in particular </w:t>
      </w:r>
      <w:r w:rsidR="000E22DF">
        <w:rPr>
          <w:rFonts w:ascii="Avenir Next" w:hAnsi="Avenir Next" w:cs="Arial"/>
          <w:color w:val="A5A5A5" w:themeColor="accent3"/>
          <w:sz w:val="22"/>
          <w:szCs w:val="22"/>
          <w:lang w:val="en-GB"/>
        </w:rPr>
        <w:t>A</w:t>
      </w:r>
      <w:r w:rsidR="000E22DF" w:rsidRPr="000E22DF">
        <w:rPr>
          <w:rFonts w:ascii="Avenir Next" w:hAnsi="Avenir Next" w:cs="Arial"/>
          <w:color w:val="A5A5A5" w:themeColor="accent3"/>
          <w:sz w:val="22"/>
          <w:szCs w:val="22"/>
          <w:lang w:val="en-GB"/>
        </w:rPr>
        <w:t>rticles 37, 38, 47-52, 521 and 53 of the DGF Law</w:t>
      </w:r>
      <w:r w:rsidR="000E22DF">
        <w:rPr>
          <w:rFonts w:ascii="Avenir Next" w:hAnsi="Avenir Next" w:cs="Arial"/>
          <w:color w:val="A5A5A5" w:themeColor="accent3"/>
          <w:sz w:val="22"/>
          <w:szCs w:val="22"/>
          <w:lang w:val="en-GB"/>
        </w:rPr>
        <w:t>)</w:t>
      </w:r>
      <w:r w:rsidRPr="00150C06">
        <w:rPr>
          <w:rFonts w:ascii="Avenir Next" w:hAnsi="Avenir Next" w:cs="Arial"/>
          <w:color w:val="A5A5A5" w:themeColor="accent3"/>
          <w:sz w:val="22"/>
          <w:szCs w:val="22"/>
          <w:lang w:val="en-GB"/>
        </w:rPr>
        <w:t>, save for certain excluded powers held</w:t>
      </w:r>
      <w:r w:rsidR="000E22DF">
        <w:rPr>
          <w:rFonts w:ascii="Avenir Next" w:hAnsi="Avenir Next" w:cs="Arial"/>
          <w:color w:val="A5A5A5" w:themeColor="accent3"/>
          <w:sz w:val="22"/>
          <w:szCs w:val="22"/>
          <w:lang w:val="en-GB"/>
        </w:rPr>
        <w:t xml:space="preserve"> </w:t>
      </w:r>
      <w:r w:rsidRPr="00150C06">
        <w:rPr>
          <w:rFonts w:ascii="Avenir Next" w:hAnsi="Avenir Next" w:cs="Arial"/>
          <w:color w:val="A5A5A5" w:themeColor="accent3"/>
          <w:sz w:val="22"/>
          <w:szCs w:val="22"/>
          <w:lang w:val="en-GB"/>
        </w:rPr>
        <w:t>by the DGF</w:t>
      </w:r>
      <w:r w:rsidR="000E22DF">
        <w:rPr>
          <w:rFonts w:ascii="Avenir Next" w:hAnsi="Avenir Next" w:cs="Arial"/>
          <w:color w:val="A5A5A5" w:themeColor="accent3"/>
          <w:sz w:val="22"/>
          <w:szCs w:val="22"/>
          <w:lang w:val="en-GB"/>
        </w:rPr>
        <w:t xml:space="preserve"> instead (for </w:t>
      </w:r>
      <w:proofErr w:type="spellStart"/>
      <w:r w:rsidR="000E22DF" w:rsidRPr="000E22DF">
        <w:rPr>
          <w:rFonts w:ascii="Avenir Next" w:hAnsi="Avenir Next" w:cs="Arial"/>
          <w:i/>
          <w:iCs/>
          <w:color w:val="A5A5A5" w:themeColor="accent3"/>
          <w:sz w:val="22"/>
          <w:szCs w:val="22"/>
          <w:lang w:val="en-GB"/>
        </w:rPr>
        <w:t>eg</w:t>
      </w:r>
      <w:proofErr w:type="spellEnd"/>
      <w:r w:rsidR="000E22DF">
        <w:rPr>
          <w:rFonts w:ascii="Avenir Next" w:hAnsi="Avenir Next" w:cs="Arial"/>
          <w:color w:val="A5A5A5" w:themeColor="accent3"/>
          <w:sz w:val="22"/>
          <w:szCs w:val="22"/>
          <w:lang w:val="en-GB"/>
        </w:rPr>
        <w:t xml:space="preserve">, </w:t>
      </w:r>
      <w:r w:rsidR="000E22DF" w:rsidRPr="000E22DF">
        <w:rPr>
          <w:rFonts w:ascii="Avenir Next" w:hAnsi="Avenir Next" w:cs="Arial"/>
          <w:color w:val="A5A5A5" w:themeColor="accent3"/>
          <w:sz w:val="22"/>
          <w:szCs w:val="22"/>
          <w:lang w:val="en-GB"/>
        </w:rPr>
        <w:t>power to claim damages from a related party of the Bank</w:t>
      </w:r>
      <w:r w:rsidR="000E22DF">
        <w:rPr>
          <w:rFonts w:ascii="Avenir Next" w:hAnsi="Avenir Next" w:cs="Arial"/>
          <w:color w:val="A5A5A5" w:themeColor="accent3"/>
          <w:sz w:val="22"/>
          <w:szCs w:val="22"/>
          <w:lang w:val="en-GB"/>
        </w:rPr>
        <w:t>)</w:t>
      </w:r>
      <w:r w:rsidRPr="00150C06">
        <w:rPr>
          <w:rFonts w:ascii="Avenir Next" w:hAnsi="Avenir Next" w:cs="Arial"/>
          <w:color w:val="A5A5A5" w:themeColor="accent3"/>
          <w:sz w:val="22"/>
          <w:szCs w:val="22"/>
          <w:lang w:val="en-GB"/>
        </w:rPr>
        <w:t xml:space="preserve">. </w:t>
      </w:r>
      <w:r w:rsidR="008C646B">
        <w:rPr>
          <w:rFonts w:ascii="Avenir Next" w:hAnsi="Avenir Next" w:cs="Arial"/>
          <w:color w:val="A5A5A5" w:themeColor="accent3"/>
          <w:sz w:val="22"/>
          <w:szCs w:val="22"/>
          <w:lang w:val="en-GB"/>
        </w:rPr>
        <w:t xml:space="preserve">Consequently, contingent on the nature and timing of the relief, either (or both) Ms G and DGF are foreign representatives within Article 2(d) of the MLCBI. </w:t>
      </w:r>
    </w:p>
    <w:p w14:paraId="3A8EA3B9" w14:textId="6A6DF3B4" w:rsidR="00A153F7" w:rsidRPr="00E2622D" w:rsidRDefault="00A153F7" w:rsidP="00707FC8">
      <w:pPr>
        <w:jc w:val="both"/>
        <w:rPr>
          <w:rFonts w:ascii="Avenir Next" w:hAnsi="Avenir Next" w:cs="Arial"/>
          <w:sz w:val="22"/>
          <w:szCs w:val="22"/>
          <w:lang w:val="en-GB"/>
        </w:rPr>
      </w:pPr>
    </w:p>
    <w:bookmarkEnd w:id="4"/>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BAD2" w14:textId="77777777" w:rsidR="00BF2168" w:rsidRDefault="00BF2168" w:rsidP="00241B44">
      <w:r>
        <w:separator/>
      </w:r>
    </w:p>
  </w:endnote>
  <w:endnote w:type="continuationSeparator" w:id="0">
    <w:p w14:paraId="271BFA2D" w14:textId="77777777" w:rsidR="00BF2168" w:rsidRDefault="00BF216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0CD2C5C4"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01765">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E8B6B70" w:rsidR="000300E0" w:rsidRPr="00B46CE2" w:rsidRDefault="00101765" w:rsidP="000300E0">
    <w:pPr>
      <w:pStyle w:val="Footer"/>
      <w:ind w:right="360"/>
      <w:rPr>
        <w:rFonts w:ascii="Avenir Next" w:hAnsi="Avenir Next"/>
        <w:sz w:val="22"/>
        <w:szCs w:val="22"/>
      </w:rPr>
    </w:pPr>
    <w:r>
      <w:rPr>
        <w:rFonts w:ascii="Avenir Next" w:hAnsi="Avenir Next"/>
        <w:sz w:val="22"/>
        <w:szCs w:val="22"/>
      </w:rPr>
      <w:t>202223-991</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ADEC" w14:textId="77777777" w:rsidR="00BF2168" w:rsidRDefault="00BF2168" w:rsidP="00241B44">
      <w:r>
        <w:separator/>
      </w:r>
    </w:p>
  </w:footnote>
  <w:footnote w:type="continuationSeparator" w:id="0">
    <w:p w14:paraId="05427347" w14:textId="77777777" w:rsidR="00BF2168" w:rsidRDefault="00BF216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99CE" w14:textId="77777777" w:rsidR="00E4169D" w:rsidRDefault="00E41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FAE1" w14:textId="77777777" w:rsidR="00E4169D" w:rsidRDefault="00E41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C2B6" w14:textId="77777777" w:rsidR="00E4169D" w:rsidRDefault="00E41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7E7F6A"/>
    <w:multiLevelType w:val="hybridMultilevel"/>
    <w:tmpl w:val="F23A47BC"/>
    <w:lvl w:ilvl="0" w:tplc="4628ED8A">
      <w:start w:val="1"/>
      <w:numFmt w:val="decimal"/>
      <w:lvlText w:val="(%1)"/>
      <w:lvlJc w:val="left"/>
      <w:pPr>
        <w:ind w:left="720" w:hanging="360"/>
      </w:pPr>
      <w:rPr>
        <w:rFonts w:ascii="Avenir Next" w:eastAsia="Times New Roman" w:hAnsi="Avenir Next"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53438966">
    <w:abstractNumId w:val="11"/>
  </w:num>
  <w:num w:numId="2" w16cid:durableId="1552963140">
    <w:abstractNumId w:val="10"/>
  </w:num>
  <w:num w:numId="3" w16cid:durableId="1893887363">
    <w:abstractNumId w:val="6"/>
  </w:num>
  <w:num w:numId="4" w16cid:durableId="253168678">
    <w:abstractNumId w:val="2"/>
  </w:num>
  <w:num w:numId="5" w16cid:durableId="65879456">
    <w:abstractNumId w:val="14"/>
  </w:num>
  <w:num w:numId="6" w16cid:durableId="1520118702">
    <w:abstractNumId w:val="13"/>
  </w:num>
  <w:num w:numId="7" w16cid:durableId="1152141594">
    <w:abstractNumId w:val="12"/>
  </w:num>
  <w:num w:numId="8" w16cid:durableId="1324359194">
    <w:abstractNumId w:val="3"/>
  </w:num>
  <w:num w:numId="9" w16cid:durableId="1084574509">
    <w:abstractNumId w:val="4"/>
  </w:num>
  <w:num w:numId="10" w16cid:durableId="568425820">
    <w:abstractNumId w:val="9"/>
  </w:num>
  <w:num w:numId="11" w16cid:durableId="432673214">
    <w:abstractNumId w:val="0"/>
  </w:num>
  <w:num w:numId="12" w16cid:durableId="854222412">
    <w:abstractNumId w:val="7"/>
  </w:num>
  <w:num w:numId="13" w16cid:durableId="959529791">
    <w:abstractNumId w:val="8"/>
  </w:num>
  <w:num w:numId="14" w16cid:durableId="1237203097">
    <w:abstractNumId w:val="1"/>
  </w:num>
  <w:num w:numId="15" w16cid:durableId="1567378333">
    <w:abstractNumId w:val="5"/>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37A2D"/>
    <w:rsid w:val="00044D46"/>
    <w:rsid w:val="00045088"/>
    <w:rsid w:val="00045904"/>
    <w:rsid w:val="000464F7"/>
    <w:rsid w:val="0005141D"/>
    <w:rsid w:val="00060E02"/>
    <w:rsid w:val="00065166"/>
    <w:rsid w:val="00067A88"/>
    <w:rsid w:val="00070B92"/>
    <w:rsid w:val="00073474"/>
    <w:rsid w:val="00077D49"/>
    <w:rsid w:val="00082609"/>
    <w:rsid w:val="000851CC"/>
    <w:rsid w:val="000855AB"/>
    <w:rsid w:val="00093BE8"/>
    <w:rsid w:val="000A68ED"/>
    <w:rsid w:val="000B4FEB"/>
    <w:rsid w:val="000B5FF1"/>
    <w:rsid w:val="000B609F"/>
    <w:rsid w:val="000C147F"/>
    <w:rsid w:val="000C6A57"/>
    <w:rsid w:val="000C6BB9"/>
    <w:rsid w:val="000D32A9"/>
    <w:rsid w:val="000D55A8"/>
    <w:rsid w:val="000E22DF"/>
    <w:rsid w:val="000E4841"/>
    <w:rsid w:val="000E6325"/>
    <w:rsid w:val="000F1677"/>
    <w:rsid w:val="000F3D6C"/>
    <w:rsid w:val="000F579C"/>
    <w:rsid w:val="00101707"/>
    <w:rsid w:val="00101765"/>
    <w:rsid w:val="001131C2"/>
    <w:rsid w:val="00114082"/>
    <w:rsid w:val="0011473D"/>
    <w:rsid w:val="00115C85"/>
    <w:rsid w:val="001215E7"/>
    <w:rsid w:val="00123855"/>
    <w:rsid w:val="00126A4D"/>
    <w:rsid w:val="001338B3"/>
    <w:rsid w:val="00135F2D"/>
    <w:rsid w:val="001374D8"/>
    <w:rsid w:val="00140E0A"/>
    <w:rsid w:val="0014171F"/>
    <w:rsid w:val="0014622C"/>
    <w:rsid w:val="00150C06"/>
    <w:rsid w:val="00151F58"/>
    <w:rsid w:val="00152348"/>
    <w:rsid w:val="00152845"/>
    <w:rsid w:val="0015456D"/>
    <w:rsid w:val="0015549B"/>
    <w:rsid w:val="00155FA2"/>
    <w:rsid w:val="001563DE"/>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128E"/>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1770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2393"/>
    <w:rsid w:val="00361357"/>
    <w:rsid w:val="00361A0A"/>
    <w:rsid w:val="0036565C"/>
    <w:rsid w:val="0036625E"/>
    <w:rsid w:val="0036760B"/>
    <w:rsid w:val="00370DE8"/>
    <w:rsid w:val="0037465A"/>
    <w:rsid w:val="0037544E"/>
    <w:rsid w:val="00380BAB"/>
    <w:rsid w:val="00382C98"/>
    <w:rsid w:val="0038533C"/>
    <w:rsid w:val="00386568"/>
    <w:rsid w:val="00387106"/>
    <w:rsid w:val="0039197D"/>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04E9"/>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6D39"/>
    <w:rsid w:val="0047025B"/>
    <w:rsid w:val="004746AC"/>
    <w:rsid w:val="00491675"/>
    <w:rsid w:val="00493855"/>
    <w:rsid w:val="0049508F"/>
    <w:rsid w:val="004A171E"/>
    <w:rsid w:val="004A3E40"/>
    <w:rsid w:val="004A4D66"/>
    <w:rsid w:val="004A57DD"/>
    <w:rsid w:val="004A7B51"/>
    <w:rsid w:val="004A7D71"/>
    <w:rsid w:val="004A7EF3"/>
    <w:rsid w:val="004B11FD"/>
    <w:rsid w:val="004B23A2"/>
    <w:rsid w:val="004C4E97"/>
    <w:rsid w:val="004D1A5A"/>
    <w:rsid w:val="004D2D58"/>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13B1"/>
    <w:rsid w:val="00592F82"/>
    <w:rsid w:val="00593DCC"/>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070B"/>
    <w:rsid w:val="0066252C"/>
    <w:rsid w:val="006661EF"/>
    <w:rsid w:val="0067294B"/>
    <w:rsid w:val="00677736"/>
    <w:rsid w:val="0067785F"/>
    <w:rsid w:val="00677AEB"/>
    <w:rsid w:val="00680EF2"/>
    <w:rsid w:val="006839C2"/>
    <w:rsid w:val="00687057"/>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C1F"/>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C4F"/>
    <w:rsid w:val="00860E61"/>
    <w:rsid w:val="00867A8F"/>
    <w:rsid w:val="008723F3"/>
    <w:rsid w:val="00881DE6"/>
    <w:rsid w:val="008837A6"/>
    <w:rsid w:val="0089145D"/>
    <w:rsid w:val="008A0C6E"/>
    <w:rsid w:val="008A46CF"/>
    <w:rsid w:val="008A4DF2"/>
    <w:rsid w:val="008A6CFE"/>
    <w:rsid w:val="008A7470"/>
    <w:rsid w:val="008B1779"/>
    <w:rsid w:val="008B1A08"/>
    <w:rsid w:val="008B2DE3"/>
    <w:rsid w:val="008B5333"/>
    <w:rsid w:val="008B6223"/>
    <w:rsid w:val="008C646B"/>
    <w:rsid w:val="008C66E0"/>
    <w:rsid w:val="008E2DFA"/>
    <w:rsid w:val="008E3339"/>
    <w:rsid w:val="008E549B"/>
    <w:rsid w:val="008F13EE"/>
    <w:rsid w:val="008F18EF"/>
    <w:rsid w:val="008F20FC"/>
    <w:rsid w:val="008F2B24"/>
    <w:rsid w:val="008F5027"/>
    <w:rsid w:val="008F5FFE"/>
    <w:rsid w:val="0090421A"/>
    <w:rsid w:val="00905A43"/>
    <w:rsid w:val="00907DC2"/>
    <w:rsid w:val="00912C79"/>
    <w:rsid w:val="009260A2"/>
    <w:rsid w:val="00942123"/>
    <w:rsid w:val="00946F9C"/>
    <w:rsid w:val="00951031"/>
    <w:rsid w:val="0095207B"/>
    <w:rsid w:val="00954461"/>
    <w:rsid w:val="00956085"/>
    <w:rsid w:val="00957951"/>
    <w:rsid w:val="00962045"/>
    <w:rsid w:val="00967EDA"/>
    <w:rsid w:val="00970897"/>
    <w:rsid w:val="009767D8"/>
    <w:rsid w:val="00980314"/>
    <w:rsid w:val="009816D0"/>
    <w:rsid w:val="009824AE"/>
    <w:rsid w:val="00991428"/>
    <w:rsid w:val="00992676"/>
    <w:rsid w:val="00996691"/>
    <w:rsid w:val="009A1AE0"/>
    <w:rsid w:val="009A2C5A"/>
    <w:rsid w:val="009A4880"/>
    <w:rsid w:val="009A7865"/>
    <w:rsid w:val="009B0723"/>
    <w:rsid w:val="009B07AD"/>
    <w:rsid w:val="009B0883"/>
    <w:rsid w:val="009B15E2"/>
    <w:rsid w:val="009B5832"/>
    <w:rsid w:val="009B6312"/>
    <w:rsid w:val="009B640D"/>
    <w:rsid w:val="009C0850"/>
    <w:rsid w:val="009C0B8E"/>
    <w:rsid w:val="009C1BC8"/>
    <w:rsid w:val="009C2442"/>
    <w:rsid w:val="009C6FBF"/>
    <w:rsid w:val="009D0811"/>
    <w:rsid w:val="009D0EE1"/>
    <w:rsid w:val="009D1AEC"/>
    <w:rsid w:val="009D30BB"/>
    <w:rsid w:val="009E2AEB"/>
    <w:rsid w:val="009E2E27"/>
    <w:rsid w:val="009E4DE3"/>
    <w:rsid w:val="00A047EE"/>
    <w:rsid w:val="00A114EA"/>
    <w:rsid w:val="00A13437"/>
    <w:rsid w:val="00A153F7"/>
    <w:rsid w:val="00A2274A"/>
    <w:rsid w:val="00A235B7"/>
    <w:rsid w:val="00A27A7A"/>
    <w:rsid w:val="00A3448D"/>
    <w:rsid w:val="00A407EF"/>
    <w:rsid w:val="00A46B4C"/>
    <w:rsid w:val="00A5117B"/>
    <w:rsid w:val="00A54000"/>
    <w:rsid w:val="00A54689"/>
    <w:rsid w:val="00A60074"/>
    <w:rsid w:val="00A6627C"/>
    <w:rsid w:val="00A700C3"/>
    <w:rsid w:val="00A70BBC"/>
    <w:rsid w:val="00A71019"/>
    <w:rsid w:val="00A81029"/>
    <w:rsid w:val="00A83CB5"/>
    <w:rsid w:val="00A865A7"/>
    <w:rsid w:val="00A922D1"/>
    <w:rsid w:val="00A96489"/>
    <w:rsid w:val="00AA3A42"/>
    <w:rsid w:val="00AA5311"/>
    <w:rsid w:val="00AA7BAA"/>
    <w:rsid w:val="00AB685C"/>
    <w:rsid w:val="00AB6C2D"/>
    <w:rsid w:val="00AB76CA"/>
    <w:rsid w:val="00AC08F7"/>
    <w:rsid w:val="00AC3839"/>
    <w:rsid w:val="00AC7082"/>
    <w:rsid w:val="00AD3FEA"/>
    <w:rsid w:val="00AD4061"/>
    <w:rsid w:val="00AD7BBD"/>
    <w:rsid w:val="00AF20F2"/>
    <w:rsid w:val="00AF228E"/>
    <w:rsid w:val="00B02015"/>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0AD3"/>
    <w:rsid w:val="00B82586"/>
    <w:rsid w:val="00B829A3"/>
    <w:rsid w:val="00B86DB1"/>
    <w:rsid w:val="00B87869"/>
    <w:rsid w:val="00BA0E44"/>
    <w:rsid w:val="00BA47C5"/>
    <w:rsid w:val="00BB0F2B"/>
    <w:rsid w:val="00BB34CD"/>
    <w:rsid w:val="00BD0D57"/>
    <w:rsid w:val="00BD2838"/>
    <w:rsid w:val="00BE1A50"/>
    <w:rsid w:val="00BE6352"/>
    <w:rsid w:val="00BF2168"/>
    <w:rsid w:val="00BF50F7"/>
    <w:rsid w:val="00C02F29"/>
    <w:rsid w:val="00C10C13"/>
    <w:rsid w:val="00C14B79"/>
    <w:rsid w:val="00C17111"/>
    <w:rsid w:val="00C20747"/>
    <w:rsid w:val="00C20AFE"/>
    <w:rsid w:val="00C22A25"/>
    <w:rsid w:val="00C23B79"/>
    <w:rsid w:val="00C2418A"/>
    <w:rsid w:val="00C32D0D"/>
    <w:rsid w:val="00C33D50"/>
    <w:rsid w:val="00C35671"/>
    <w:rsid w:val="00C35B77"/>
    <w:rsid w:val="00C370D3"/>
    <w:rsid w:val="00C376EB"/>
    <w:rsid w:val="00C4003A"/>
    <w:rsid w:val="00C46EC1"/>
    <w:rsid w:val="00C504E5"/>
    <w:rsid w:val="00C53E2C"/>
    <w:rsid w:val="00C54264"/>
    <w:rsid w:val="00C550C8"/>
    <w:rsid w:val="00C56B61"/>
    <w:rsid w:val="00C606C3"/>
    <w:rsid w:val="00C620F4"/>
    <w:rsid w:val="00C668B6"/>
    <w:rsid w:val="00C67ECE"/>
    <w:rsid w:val="00C7161B"/>
    <w:rsid w:val="00C71B51"/>
    <w:rsid w:val="00C72848"/>
    <w:rsid w:val="00C7736C"/>
    <w:rsid w:val="00C82D87"/>
    <w:rsid w:val="00C841ED"/>
    <w:rsid w:val="00C84555"/>
    <w:rsid w:val="00C85F17"/>
    <w:rsid w:val="00C8712A"/>
    <w:rsid w:val="00C91324"/>
    <w:rsid w:val="00C914F7"/>
    <w:rsid w:val="00C963D3"/>
    <w:rsid w:val="00CA6E0D"/>
    <w:rsid w:val="00CB2CBB"/>
    <w:rsid w:val="00CB56CE"/>
    <w:rsid w:val="00CB7CAC"/>
    <w:rsid w:val="00CC0EA0"/>
    <w:rsid w:val="00CC2BD2"/>
    <w:rsid w:val="00CC5335"/>
    <w:rsid w:val="00CC5BA4"/>
    <w:rsid w:val="00CC70BB"/>
    <w:rsid w:val="00CD3420"/>
    <w:rsid w:val="00CD4998"/>
    <w:rsid w:val="00CE1035"/>
    <w:rsid w:val="00CE15BB"/>
    <w:rsid w:val="00CE7D6C"/>
    <w:rsid w:val="00CF2819"/>
    <w:rsid w:val="00CF4F9D"/>
    <w:rsid w:val="00CF70DC"/>
    <w:rsid w:val="00D07FED"/>
    <w:rsid w:val="00D10C00"/>
    <w:rsid w:val="00D148DC"/>
    <w:rsid w:val="00D17FDC"/>
    <w:rsid w:val="00D444C5"/>
    <w:rsid w:val="00D45AEA"/>
    <w:rsid w:val="00D5244F"/>
    <w:rsid w:val="00D52E4F"/>
    <w:rsid w:val="00D56A37"/>
    <w:rsid w:val="00D57202"/>
    <w:rsid w:val="00D615CE"/>
    <w:rsid w:val="00D6386E"/>
    <w:rsid w:val="00D63EFD"/>
    <w:rsid w:val="00D64826"/>
    <w:rsid w:val="00D80DF2"/>
    <w:rsid w:val="00D84752"/>
    <w:rsid w:val="00D85AB0"/>
    <w:rsid w:val="00D86B3B"/>
    <w:rsid w:val="00D8748A"/>
    <w:rsid w:val="00D92A6B"/>
    <w:rsid w:val="00D93196"/>
    <w:rsid w:val="00D94A4D"/>
    <w:rsid w:val="00D97A93"/>
    <w:rsid w:val="00DA1083"/>
    <w:rsid w:val="00DA26C8"/>
    <w:rsid w:val="00DA6346"/>
    <w:rsid w:val="00DB11F4"/>
    <w:rsid w:val="00DB243C"/>
    <w:rsid w:val="00DB45DD"/>
    <w:rsid w:val="00DB482A"/>
    <w:rsid w:val="00DB56F2"/>
    <w:rsid w:val="00DB6EF5"/>
    <w:rsid w:val="00DC3089"/>
    <w:rsid w:val="00DC4420"/>
    <w:rsid w:val="00DD0802"/>
    <w:rsid w:val="00DD0A50"/>
    <w:rsid w:val="00DD1AC5"/>
    <w:rsid w:val="00DD2E11"/>
    <w:rsid w:val="00DE03AF"/>
    <w:rsid w:val="00DE121C"/>
    <w:rsid w:val="00DE2A27"/>
    <w:rsid w:val="00DE3705"/>
    <w:rsid w:val="00DE6633"/>
    <w:rsid w:val="00DF75F8"/>
    <w:rsid w:val="00DF7A3A"/>
    <w:rsid w:val="00E00C00"/>
    <w:rsid w:val="00E04A7C"/>
    <w:rsid w:val="00E0513F"/>
    <w:rsid w:val="00E059FB"/>
    <w:rsid w:val="00E069C4"/>
    <w:rsid w:val="00E07275"/>
    <w:rsid w:val="00E07866"/>
    <w:rsid w:val="00E07C5A"/>
    <w:rsid w:val="00E12F5A"/>
    <w:rsid w:val="00E15BA9"/>
    <w:rsid w:val="00E25B22"/>
    <w:rsid w:val="00E2622D"/>
    <w:rsid w:val="00E26E19"/>
    <w:rsid w:val="00E27E3C"/>
    <w:rsid w:val="00E31DF3"/>
    <w:rsid w:val="00E32814"/>
    <w:rsid w:val="00E33448"/>
    <w:rsid w:val="00E33486"/>
    <w:rsid w:val="00E34181"/>
    <w:rsid w:val="00E4169D"/>
    <w:rsid w:val="00E450A4"/>
    <w:rsid w:val="00E506BE"/>
    <w:rsid w:val="00E55547"/>
    <w:rsid w:val="00E57410"/>
    <w:rsid w:val="00E62ED1"/>
    <w:rsid w:val="00E6302B"/>
    <w:rsid w:val="00E6452F"/>
    <w:rsid w:val="00E64619"/>
    <w:rsid w:val="00E64F45"/>
    <w:rsid w:val="00E6742D"/>
    <w:rsid w:val="00E71CB0"/>
    <w:rsid w:val="00E71D3F"/>
    <w:rsid w:val="00E73529"/>
    <w:rsid w:val="00E77C3D"/>
    <w:rsid w:val="00E82E22"/>
    <w:rsid w:val="00E850FE"/>
    <w:rsid w:val="00E909F0"/>
    <w:rsid w:val="00E90D47"/>
    <w:rsid w:val="00E93993"/>
    <w:rsid w:val="00E9597C"/>
    <w:rsid w:val="00E975C6"/>
    <w:rsid w:val="00EA0913"/>
    <w:rsid w:val="00EA0A2F"/>
    <w:rsid w:val="00EA6D31"/>
    <w:rsid w:val="00EB146B"/>
    <w:rsid w:val="00EB45AC"/>
    <w:rsid w:val="00EB52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6F5C"/>
    <w:rsid w:val="00F87BEA"/>
    <w:rsid w:val="00F90A57"/>
    <w:rsid w:val="00F90BCA"/>
    <w:rsid w:val="00F97C5B"/>
    <w:rsid w:val="00FA05D2"/>
    <w:rsid w:val="00FA359A"/>
    <w:rsid w:val="00FA3D50"/>
    <w:rsid w:val="00FB009F"/>
    <w:rsid w:val="00FB25B0"/>
    <w:rsid w:val="00FB6136"/>
    <w:rsid w:val="00FC374A"/>
    <w:rsid w:val="00FC7B47"/>
    <w:rsid w:val="00FD035C"/>
    <w:rsid w:val="00FD123F"/>
    <w:rsid w:val="00FD1A35"/>
    <w:rsid w:val="00FD1FE6"/>
    <w:rsid w:val="00FD36C5"/>
    <w:rsid w:val="00FD428C"/>
    <w:rsid w:val="00FD6310"/>
    <w:rsid w:val="00FD7C7B"/>
    <w:rsid w:val="00FD7FD0"/>
    <w:rsid w:val="00FE1D12"/>
    <w:rsid w:val="00FE2122"/>
    <w:rsid w:val="00FE2A86"/>
    <w:rsid w:val="00FE511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UnresolvedMention">
    <w:name w:val="Unresolved Mention"/>
    <w:basedOn w:val="DefaultParagraphFont"/>
    <w:uiPriority w:val="99"/>
    <w:semiHidden/>
    <w:unhideWhenUsed/>
    <w:rsid w:val="00982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502">
      <w:bodyDiv w:val="1"/>
      <w:marLeft w:val="0"/>
      <w:marRight w:val="0"/>
      <w:marTop w:val="0"/>
      <w:marBottom w:val="0"/>
      <w:divBdr>
        <w:top w:val="none" w:sz="0" w:space="0" w:color="auto"/>
        <w:left w:val="none" w:sz="0" w:space="0" w:color="auto"/>
        <w:bottom w:val="none" w:sz="0" w:space="0" w:color="auto"/>
        <w:right w:val="none" w:sz="0" w:space="0" w:color="auto"/>
      </w:divBdr>
    </w:div>
    <w:div w:id="105278130">
      <w:bodyDiv w:val="1"/>
      <w:marLeft w:val="0"/>
      <w:marRight w:val="0"/>
      <w:marTop w:val="0"/>
      <w:marBottom w:val="0"/>
      <w:divBdr>
        <w:top w:val="none" w:sz="0" w:space="0" w:color="auto"/>
        <w:left w:val="none" w:sz="0" w:space="0" w:color="auto"/>
        <w:bottom w:val="none" w:sz="0" w:space="0" w:color="auto"/>
        <w:right w:val="none" w:sz="0" w:space="0" w:color="auto"/>
      </w:divBdr>
    </w:div>
    <w:div w:id="153304217">
      <w:bodyDiv w:val="1"/>
      <w:marLeft w:val="0"/>
      <w:marRight w:val="0"/>
      <w:marTop w:val="0"/>
      <w:marBottom w:val="0"/>
      <w:divBdr>
        <w:top w:val="none" w:sz="0" w:space="0" w:color="auto"/>
        <w:left w:val="none" w:sz="0" w:space="0" w:color="auto"/>
        <w:bottom w:val="none" w:sz="0" w:space="0" w:color="auto"/>
        <w:right w:val="none" w:sz="0" w:space="0" w:color="auto"/>
      </w:divBdr>
    </w:div>
    <w:div w:id="302976485">
      <w:bodyDiv w:val="1"/>
      <w:marLeft w:val="0"/>
      <w:marRight w:val="0"/>
      <w:marTop w:val="0"/>
      <w:marBottom w:val="0"/>
      <w:divBdr>
        <w:top w:val="none" w:sz="0" w:space="0" w:color="auto"/>
        <w:left w:val="none" w:sz="0" w:space="0" w:color="auto"/>
        <w:bottom w:val="none" w:sz="0" w:space="0" w:color="auto"/>
        <w:right w:val="none" w:sz="0" w:space="0" w:color="auto"/>
      </w:divBdr>
    </w:div>
    <w:div w:id="363287011">
      <w:bodyDiv w:val="1"/>
      <w:marLeft w:val="0"/>
      <w:marRight w:val="0"/>
      <w:marTop w:val="0"/>
      <w:marBottom w:val="0"/>
      <w:divBdr>
        <w:top w:val="none" w:sz="0" w:space="0" w:color="auto"/>
        <w:left w:val="none" w:sz="0" w:space="0" w:color="auto"/>
        <w:bottom w:val="none" w:sz="0" w:space="0" w:color="auto"/>
        <w:right w:val="none" w:sz="0" w:space="0" w:color="auto"/>
      </w:divBdr>
    </w:div>
    <w:div w:id="454639099">
      <w:bodyDiv w:val="1"/>
      <w:marLeft w:val="0"/>
      <w:marRight w:val="0"/>
      <w:marTop w:val="0"/>
      <w:marBottom w:val="0"/>
      <w:divBdr>
        <w:top w:val="none" w:sz="0" w:space="0" w:color="auto"/>
        <w:left w:val="none" w:sz="0" w:space="0" w:color="auto"/>
        <w:bottom w:val="none" w:sz="0" w:space="0" w:color="auto"/>
        <w:right w:val="none" w:sz="0" w:space="0" w:color="auto"/>
      </w:divBdr>
    </w:div>
    <w:div w:id="50740908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93922869">
      <w:bodyDiv w:val="1"/>
      <w:marLeft w:val="0"/>
      <w:marRight w:val="0"/>
      <w:marTop w:val="0"/>
      <w:marBottom w:val="0"/>
      <w:divBdr>
        <w:top w:val="none" w:sz="0" w:space="0" w:color="auto"/>
        <w:left w:val="none" w:sz="0" w:space="0" w:color="auto"/>
        <w:bottom w:val="none" w:sz="0" w:space="0" w:color="auto"/>
        <w:right w:val="none" w:sz="0" w:space="0" w:color="auto"/>
      </w:divBdr>
    </w:div>
    <w:div w:id="850871743">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65241472">
      <w:bodyDiv w:val="1"/>
      <w:marLeft w:val="0"/>
      <w:marRight w:val="0"/>
      <w:marTop w:val="0"/>
      <w:marBottom w:val="0"/>
      <w:divBdr>
        <w:top w:val="none" w:sz="0" w:space="0" w:color="auto"/>
        <w:left w:val="none" w:sz="0" w:space="0" w:color="auto"/>
        <w:bottom w:val="none" w:sz="0" w:space="0" w:color="auto"/>
        <w:right w:val="none" w:sz="0" w:space="0" w:color="auto"/>
      </w:divBdr>
    </w:div>
    <w:div w:id="1521117255">
      <w:bodyDiv w:val="1"/>
      <w:marLeft w:val="0"/>
      <w:marRight w:val="0"/>
      <w:marTop w:val="0"/>
      <w:marBottom w:val="0"/>
      <w:divBdr>
        <w:top w:val="none" w:sz="0" w:space="0" w:color="auto"/>
        <w:left w:val="none" w:sz="0" w:space="0" w:color="auto"/>
        <w:bottom w:val="none" w:sz="0" w:space="0" w:color="auto"/>
        <w:right w:val="none" w:sz="0" w:space="0" w:color="auto"/>
      </w:divBdr>
    </w:div>
    <w:div w:id="1552231409">
      <w:bodyDiv w:val="1"/>
      <w:marLeft w:val="0"/>
      <w:marRight w:val="0"/>
      <w:marTop w:val="0"/>
      <w:marBottom w:val="0"/>
      <w:divBdr>
        <w:top w:val="none" w:sz="0" w:space="0" w:color="auto"/>
        <w:left w:val="none" w:sz="0" w:space="0" w:color="auto"/>
        <w:bottom w:val="none" w:sz="0" w:space="0" w:color="auto"/>
        <w:right w:val="none" w:sz="0" w:space="0" w:color="auto"/>
      </w:divBdr>
    </w:div>
    <w:div w:id="1553343068">
      <w:bodyDiv w:val="1"/>
      <w:marLeft w:val="0"/>
      <w:marRight w:val="0"/>
      <w:marTop w:val="0"/>
      <w:marBottom w:val="0"/>
      <w:divBdr>
        <w:top w:val="none" w:sz="0" w:space="0" w:color="auto"/>
        <w:left w:val="none" w:sz="0" w:space="0" w:color="auto"/>
        <w:bottom w:val="none" w:sz="0" w:space="0" w:color="auto"/>
        <w:right w:val="none" w:sz="0" w:space="0" w:color="auto"/>
      </w:divBdr>
    </w:div>
    <w:div w:id="1600605212">
      <w:bodyDiv w:val="1"/>
      <w:marLeft w:val="0"/>
      <w:marRight w:val="0"/>
      <w:marTop w:val="0"/>
      <w:marBottom w:val="0"/>
      <w:divBdr>
        <w:top w:val="none" w:sz="0" w:space="0" w:color="auto"/>
        <w:left w:val="none" w:sz="0" w:space="0" w:color="auto"/>
        <w:bottom w:val="none" w:sz="0" w:space="0" w:color="auto"/>
        <w:right w:val="none" w:sz="0" w:space="0" w:color="auto"/>
      </w:divBdr>
    </w:div>
    <w:div w:id="201761296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206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Pages>
  <Words>6753</Words>
  <Characters>38496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Pearly ANG (SUPCOURT)</cp:lastModifiedBy>
  <cp:revision>53</cp:revision>
  <cp:lastPrinted>2019-08-27T05:42:00Z</cp:lastPrinted>
  <dcterms:created xsi:type="dcterms:W3CDTF">2023-02-28T02:32:00Z</dcterms:created>
  <dcterms:modified xsi:type="dcterms:W3CDTF">2023-03-01T18:35:00Z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db6729-b45c-4a11-ac47-f8584fc7ec0a_Enabled">
    <vt:lpwstr>true</vt:lpwstr>
  </property>
  <property fmtid="{D5CDD505-2E9C-101B-9397-08002B2CF9AE}" pid="3" name="MSIP_Label_0cdb6729-b45c-4a11-ac47-f8584fc7ec0a_SetDate">
    <vt:lpwstr>2023-02-28T02:32:13Z</vt:lpwstr>
  </property>
  <property fmtid="{D5CDD505-2E9C-101B-9397-08002B2CF9AE}" pid="4" name="MSIP_Label_0cdb6729-b45c-4a11-ac47-f8584fc7ec0a_Method">
    <vt:lpwstr>Privileged</vt:lpwstr>
  </property>
  <property fmtid="{D5CDD505-2E9C-101B-9397-08002B2CF9AE}" pid="5" name="MSIP_Label_0cdb6729-b45c-4a11-ac47-f8584fc7ec0a_Name">
    <vt:lpwstr>Non Sensitive_3</vt:lpwstr>
  </property>
  <property fmtid="{D5CDD505-2E9C-101B-9397-08002B2CF9AE}" pid="6" name="MSIP_Label_0cdb6729-b45c-4a11-ac47-f8584fc7ec0a_SiteId">
    <vt:lpwstr>0b11c524-9a1c-4e1b-84cb-6336aefc2243</vt:lpwstr>
  </property>
  <property fmtid="{D5CDD505-2E9C-101B-9397-08002B2CF9AE}" pid="7" name="MSIP_Label_0cdb6729-b45c-4a11-ac47-f8584fc7ec0a_ActionId">
    <vt:lpwstr>7e1c6609-46e9-48d3-8ed8-2fbb8ae833a6</vt:lpwstr>
  </property>
  <property fmtid="{D5CDD505-2E9C-101B-9397-08002B2CF9AE}" pid="8" name="MSIP_Label_0cdb6729-b45c-4a11-ac47-f8584fc7ec0a_ContentBits">
    <vt:lpwstr>0</vt:lpwstr>
  </property>
</Properties>
</file>