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BD7195" w:rsidRDefault="00AE5B6F" w:rsidP="00B04033">
      <w:pPr>
        <w:pStyle w:val="ListParagraph"/>
        <w:numPr>
          <w:ilvl w:val="0"/>
          <w:numId w:val="1"/>
        </w:numPr>
        <w:ind w:left="426"/>
        <w:jc w:val="both"/>
        <w:rPr>
          <w:rFonts w:ascii="Avenir Next" w:hAnsi="Avenir Next" w:cs="Arial"/>
          <w:sz w:val="22"/>
          <w:szCs w:val="22"/>
          <w:highlight w:val="yellow"/>
          <w:lang w:val="en-GB"/>
        </w:rPr>
      </w:pPr>
      <w:r w:rsidRPr="00BD7195">
        <w:rPr>
          <w:rFonts w:ascii="Avenir Next" w:hAnsi="Avenir Next" w:cs="Arial"/>
          <w:sz w:val="22"/>
          <w:szCs w:val="22"/>
          <w:highlight w:val="yellow"/>
          <w:lang w:val="en-GB"/>
        </w:rPr>
        <w:t>w</w:t>
      </w:r>
      <w:r w:rsidR="00C91062" w:rsidRPr="00BD7195">
        <w:rPr>
          <w:rFonts w:ascii="Avenir Next" w:hAnsi="Avenir Next" w:cs="Arial"/>
          <w:sz w:val="22"/>
          <w:szCs w:val="22"/>
          <w:highlight w:val="yellow"/>
          <w:lang w:val="en-GB"/>
        </w:rPr>
        <w:t>ithin 8 weeks of the commencement of the administration</w:t>
      </w:r>
      <w:r w:rsidR="00763348" w:rsidRPr="00BD719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BD7195" w:rsidRDefault="00E443D7" w:rsidP="00B04033">
      <w:pPr>
        <w:pStyle w:val="ListParagraph"/>
        <w:numPr>
          <w:ilvl w:val="0"/>
          <w:numId w:val="2"/>
        </w:numPr>
        <w:ind w:left="426"/>
        <w:jc w:val="both"/>
        <w:rPr>
          <w:rFonts w:ascii="Avenir Next" w:hAnsi="Avenir Next" w:cs="Arial"/>
          <w:sz w:val="22"/>
          <w:szCs w:val="22"/>
          <w:highlight w:val="yellow"/>
          <w:lang w:val="en-GB"/>
        </w:rPr>
      </w:pPr>
      <w:r w:rsidRPr="00BD7195">
        <w:rPr>
          <w:rFonts w:ascii="Avenir Next" w:hAnsi="Avenir Next" w:cs="Arial"/>
          <w:sz w:val="22"/>
          <w:szCs w:val="22"/>
          <w:highlight w:val="yellow"/>
          <w:lang w:val="en-GB"/>
        </w:rPr>
        <w:t>One year</w:t>
      </w:r>
      <w:r w:rsidR="00763348" w:rsidRPr="00BD7195">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FC5B28">
      <w:pPr>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03344" w:rsidRDefault="00AE5B6F" w:rsidP="00B04033">
      <w:pPr>
        <w:pStyle w:val="ListParagraph"/>
        <w:numPr>
          <w:ilvl w:val="0"/>
          <w:numId w:val="3"/>
        </w:numPr>
        <w:ind w:left="426"/>
        <w:jc w:val="both"/>
        <w:rPr>
          <w:rFonts w:ascii="Avenir Next" w:hAnsi="Avenir Next" w:cs="Arial"/>
          <w:sz w:val="22"/>
          <w:szCs w:val="22"/>
          <w:highlight w:val="yellow"/>
          <w:lang w:val="en-GB"/>
        </w:rPr>
      </w:pPr>
      <w:r w:rsidRPr="00903344">
        <w:rPr>
          <w:rFonts w:ascii="Avenir Next" w:hAnsi="Avenir Next" w:cs="Arial"/>
          <w:sz w:val="22"/>
          <w:szCs w:val="22"/>
          <w:highlight w:val="yellow"/>
          <w:lang w:val="en-GB"/>
        </w:rPr>
        <w:t>T</w:t>
      </w:r>
      <w:r w:rsidR="008D1616" w:rsidRPr="00903344">
        <w:rPr>
          <w:rFonts w:ascii="Avenir Next" w:hAnsi="Avenir Next" w:cs="Arial"/>
          <w:sz w:val="22"/>
          <w:szCs w:val="22"/>
          <w:highlight w:val="yellow"/>
          <w:lang w:val="en-GB"/>
        </w:rPr>
        <w:t>he company is, or is likely to become, unable to pay their debts, as defined under s</w:t>
      </w:r>
      <w:r w:rsidR="00E833F4" w:rsidRPr="00903344">
        <w:rPr>
          <w:rFonts w:ascii="Avenir Next" w:hAnsi="Avenir Next" w:cs="Arial"/>
          <w:sz w:val="22"/>
          <w:szCs w:val="22"/>
          <w:highlight w:val="yellow"/>
          <w:lang w:val="en-GB"/>
        </w:rPr>
        <w:t>ection</w:t>
      </w:r>
      <w:r w:rsidR="008D1616" w:rsidRPr="00903344">
        <w:rPr>
          <w:rFonts w:ascii="Avenir Next" w:hAnsi="Avenir Next" w:cs="Arial"/>
          <w:sz w:val="22"/>
          <w:szCs w:val="22"/>
          <w:highlight w:val="yellow"/>
          <w:lang w:val="en-GB"/>
        </w:rPr>
        <w:t xml:space="preserve"> 123 of the Insolvency Act 1986</w:t>
      </w:r>
      <w:r w:rsidR="00763348" w:rsidRPr="00903344">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343DF1" w:rsidRDefault="00C91062" w:rsidP="00B04033">
      <w:pPr>
        <w:pStyle w:val="ListParagraph"/>
        <w:numPr>
          <w:ilvl w:val="0"/>
          <w:numId w:val="4"/>
        </w:numPr>
        <w:ind w:left="426"/>
        <w:jc w:val="both"/>
        <w:rPr>
          <w:rFonts w:ascii="Avenir Next" w:hAnsi="Avenir Next" w:cs="Arial"/>
          <w:sz w:val="22"/>
          <w:szCs w:val="22"/>
          <w:highlight w:val="yellow"/>
          <w:lang w:val="en-GB"/>
        </w:rPr>
      </w:pPr>
      <w:r w:rsidRPr="00343DF1">
        <w:rPr>
          <w:rFonts w:ascii="Avenir Next" w:hAnsi="Avenir Next" w:cs="Arial"/>
          <w:sz w:val="22"/>
          <w:szCs w:val="22"/>
          <w:highlight w:val="yellow"/>
          <w:lang w:val="en-GB"/>
        </w:rPr>
        <w:t>The purchaser</w:t>
      </w:r>
      <w:r w:rsidR="00763348" w:rsidRPr="00343DF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343DF1" w:rsidRDefault="00BA1CFD" w:rsidP="00B04033">
      <w:pPr>
        <w:pStyle w:val="ListParagraph"/>
        <w:numPr>
          <w:ilvl w:val="0"/>
          <w:numId w:val="5"/>
        </w:numPr>
        <w:ind w:left="426"/>
        <w:jc w:val="both"/>
        <w:rPr>
          <w:rFonts w:ascii="Avenir Next" w:hAnsi="Avenir Next" w:cs="Arial"/>
          <w:sz w:val="22"/>
          <w:szCs w:val="22"/>
          <w:highlight w:val="yellow"/>
          <w:lang w:val="en-GB"/>
        </w:rPr>
      </w:pPr>
      <w:r w:rsidRPr="00343DF1">
        <w:rPr>
          <w:rFonts w:ascii="Avenir Next" w:hAnsi="Avenir Next" w:cs="Arial"/>
          <w:sz w:val="22"/>
          <w:szCs w:val="22"/>
          <w:highlight w:val="yellow"/>
          <w:lang w:val="en-GB"/>
        </w:rPr>
        <w:t>Administration</w:t>
      </w:r>
      <w:r w:rsidR="00763348" w:rsidRPr="00343DF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97684F" w:rsidRDefault="001F3C98" w:rsidP="00B04033">
      <w:pPr>
        <w:pStyle w:val="ListParagraph"/>
        <w:numPr>
          <w:ilvl w:val="0"/>
          <w:numId w:val="6"/>
        </w:numPr>
        <w:ind w:left="426"/>
        <w:jc w:val="both"/>
        <w:rPr>
          <w:rFonts w:ascii="Avenir Next" w:hAnsi="Avenir Next" w:cs="Arial"/>
          <w:sz w:val="22"/>
          <w:szCs w:val="22"/>
          <w:highlight w:val="yellow"/>
          <w:lang w:val="en-GB"/>
        </w:rPr>
      </w:pPr>
      <w:r w:rsidRPr="0097684F">
        <w:rPr>
          <w:rFonts w:ascii="Avenir Next" w:hAnsi="Avenir Next" w:cs="Arial"/>
          <w:sz w:val="22"/>
          <w:szCs w:val="22"/>
          <w:highlight w:val="yellow"/>
          <w:lang w:val="en-GB"/>
        </w:rPr>
        <w:t xml:space="preserve">GBP </w:t>
      </w:r>
      <w:r w:rsidR="00BA1CFD" w:rsidRPr="0097684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F82918" w:rsidRDefault="00BA1CFD" w:rsidP="00B04033">
      <w:pPr>
        <w:pStyle w:val="ListParagraph"/>
        <w:numPr>
          <w:ilvl w:val="0"/>
          <w:numId w:val="7"/>
        </w:numPr>
        <w:ind w:left="426"/>
        <w:jc w:val="both"/>
        <w:rPr>
          <w:rFonts w:ascii="Avenir Next" w:hAnsi="Avenir Next" w:cs="Arial"/>
          <w:sz w:val="22"/>
          <w:szCs w:val="22"/>
          <w:lang w:val="en-GB"/>
        </w:rPr>
      </w:pPr>
      <w:r w:rsidRPr="00F82918">
        <w:rPr>
          <w:rFonts w:ascii="Avenir Next" w:hAnsi="Avenir Next" w:cs="Arial"/>
          <w:sz w:val="22"/>
          <w:szCs w:val="22"/>
          <w:lang w:val="en-GB"/>
        </w:rPr>
        <w:t>Breach of fiduciary duty</w:t>
      </w:r>
      <w:r w:rsidR="00763348" w:rsidRPr="00F82918">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F82918" w:rsidRDefault="00BA1CFD" w:rsidP="00B04033">
      <w:pPr>
        <w:pStyle w:val="ListParagraph"/>
        <w:numPr>
          <w:ilvl w:val="0"/>
          <w:numId w:val="7"/>
        </w:numPr>
        <w:ind w:left="426"/>
        <w:jc w:val="both"/>
        <w:rPr>
          <w:rFonts w:ascii="Avenir Next" w:hAnsi="Avenir Next" w:cs="Arial"/>
          <w:sz w:val="22"/>
          <w:szCs w:val="22"/>
          <w:highlight w:val="yellow"/>
          <w:lang w:val="en-GB"/>
        </w:rPr>
      </w:pPr>
      <w:r w:rsidRPr="00F82918">
        <w:rPr>
          <w:rFonts w:ascii="Avenir Next" w:hAnsi="Avenir Next" w:cs="Arial"/>
          <w:sz w:val="22"/>
          <w:szCs w:val="22"/>
          <w:highlight w:val="yellow"/>
          <w:lang w:val="en-GB"/>
        </w:rPr>
        <w:t>Being found guilty of an indictable offence overseas</w:t>
      </w:r>
      <w:r w:rsidR="00763348" w:rsidRPr="00F82918">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990641" w:rsidRDefault="00876F56" w:rsidP="00B04033">
      <w:pPr>
        <w:pStyle w:val="ListParagraph"/>
        <w:numPr>
          <w:ilvl w:val="0"/>
          <w:numId w:val="8"/>
        </w:numPr>
        <w:ind w:left="426"/>
        <w:jc w:val="both"/>
        <w:rPr>
          <w:rFonts w:ascii="Avenir Next" w:hAnsi="Avenir Next" w:cs="Arial"/>
          <w:sz w:val="22"/>
          <w:szCs w:val="22"/>
          <w:highlight w:val="yellow"/>
          <w:lang w:val="en-GB"/>
        </w:rPr>
      </w:pPr>
      <w:r w:rsidRPr="00990641">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90641" w:rsidRDefault="00E833F4" w:rsidP="00B04033">
      <w:pPr>
        <w:pStyle w:val="ListParagraph"/>
        <w:numPr>
          <w:ilvl w:val="0"/>
          <w:numId w:val="9"/>
        </w:numPr>
        <w:ind w:left="426"/>
        <w:jc w:val="both"/>
        <w:rPr>
          <w:rFonts w:ascii="Avenir Next" w:hAnsi="Avenir Next" w:cs="Arial"/>
          <w:sz w:val="22"/>
          <w:szCs w:val="22"/>
          <w:highlight w:val="yellow"/>
          <w:lang w:val="en-GB"/>
        </w:rPr>
      </w:pPr>
      <w:r w:rsidRPr="00990641">
        <w:rPr>
          <w:rFonts w:ascii="Avenir Next" w:hAnsi="Avenir Next" w:cs="Arial"/>
          <w:sz w:val="22"/>
          <w:szCs w:val="22"/>
          <w:highlight w:val="yellow"/>
          <w:lang w:val="en-GB"/>
        </w:rPr>
        <w:t>A</w:t>
      </w:r>
      <w:r w:rsidR="000D10C6" w:rsidRPr="0099064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D33218" w:rsidRDefault="0020204E" w:rsidP="00B04033">
      <w:pPr>
        <w:pStyle w:val="ListParagraph"/>
        <w:numPr>
          <w:ilvl w:val="0"/>
          <w:numId w:val="10"/>
        </w:numPr>
        <w:ind w:left="426"/>
        <w:jc w:val="both"/>
        <w:rPr>
          <w:rFonts w:ascii="Avenir Next" w:hAnsi="Avenir Next" w:cs="Arial"/>
          <w:sz w:val="22"/>
          <w:szCs w:val="22"/>
          <w:highlight w:val="yellow"/>
          <w:lang w:val="en-GB"/>
        </w:rPr>
      </w:pPr>
      <w:r w:rsidRPr="00D33218">
        <w:rPr>
          <w:rFonts w:ascii="Avenir Next" w:hAnsi="Avenir Next" w:cs="Arial"/>
          <w:sz w:val="22"/>
          <w:szCs w:val="22"/>
          <w:highlight w:val="yellow"/>
          <w:lang w:val="en-GB"/>
        </w:rPr>
        <w:lastRenderedPageBreak/>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55BD2AE" w14:textId="5B7D6B18" w:rsidR="00F45FAA" w:rsidRPr="00F45FAA" w:rsidRDefault="00F45FAA" w:rsidP="009C7FE3">
      <w:pPr>
        <w:jc w:val="both"/>
        <w:rPr>
          <w:rFonts w:ascii="Arial" w:hAnsi="Arial" w:cs="Arial"/>
          <w:b/>
          <w:bCs/>
          <w:sz w:val="22"/>
          <w:szCs w:val="22"/>
          <w:highlight w:val="yellow"/>
          <w:u w:val="single"/>
          <w:lang w:val="en-GB"/>
        </w:rPr>
      </w:pPr>
      <w:r w:rsidRPr="00F45FAA">
        <w:rPr>
          <w:rFonts w:ascii="Arial" w:hAnsi="Arial" w:cs="Arial"/>
          <w:b/>
          <w:bCs/>
          <w:sz w:val="22"/>
          <w:szCs w:val="22"/>
          <w:highlight w:val="yellow"/>
          <w:u w:val="single"/>
          <w:lang w:val="en-GB"/>
        </w:rPr>
        <w:t>Section 423 of the Insolvency Act 1986</w:t>
      </w:r>
    </w:p>
    <w:p w14:paraId="668F524F" w14:textId="77777777" w:rsidR="00F45FAA" w:rsidRDefault="00F45FAA" w:rsidP="009C7FE3">
      <w:pPr>
        <w:jc w:val="both"/>
        <w:rPr>
          <w:rFonts w:ascii="Arial" w:hAnsi="Arial" w:cs="Arial"/>
          <w:sz w:val="22"/>
          <w:szCs w:val="22"/>
          <w:highlight w:val="yellow"/>
          <w:lang w:val="en-GB"/>
        </w:rPr>
      </w:pPr>
    </w:p>
    <w:p w14:paraId="7061C9D6" w14:textId="2EAE0F57" w:rsidR="00AE5B6F" w:rsidRDefault="009C7FE3" w:rsidP="009C7FE3">
      <w:pPr>
        <w:jc w:val="both"/>
        <w:rPr>
          <w:rFonts w:ascii="Arial" w:hAnsi="Arial" w:cs="Arial"/>
          <w:sz w:val="22"/>
          <w:szCs w:val="22"/>
          <w:lang w:val="en-GB"/>
        </w:rPr>
      </w:pPr>
      <w:r w:rsidRPr="009C7FE3">
        <w:rPr>
          <w:rFonts w:ascii="Arial" w:hAnsi="Arial" w:cs="Arial"/>
          <w:sz w:val="22"/>
          <w:szCs w:val="22"/>
          <w:highlight w:val="yellow"/>
          <w:lang w:val="en-GB"/>
        </w:rPr>
        <w:t xml:space="preserve">The parties which can bring an action under section 423 of the Insolvency Act 1986 include:  the official receiver, liquidator  and the administrator where a company is being wound up or is in administration; victims of a transaction to defraud such as creditors (who have been granted leave by the court; A victim bound by a CVA, the supervisor of the CVA or any victim of the transaction ( whether bound by a CVA or not); </w:t>
      </w:r>
      <w:r>
        <w:rPr>
          <w:rFonts w:ascii="Arial" w:hAnsi="Arial" w:cs="Arial"/>
          <w:sz w:val="22"/>
          <w:szCs w:val="22"/>
          <w:highlight w:val="yellow"/>
          <w:lang w:val="en-GB"/>
        </w:rPr>
        <w:t xml:space="preserve">victims of transactions to defraud </w:t>
      </w:r>
      <w:r w:rsidRPr="009C7FE3">
        <w:rPr>
          <w:rFonts w:ascii="Arial" w:hAnsi="Arial" w:cs="Arial"/>
          <w:sz w:val="22"/>
          <w:szCs w:val="22"/>
          <w:highlight w:val="yellow"/>
          <w:lang w:val="en-GB"/>
        </w:rPr>
        <w:t>and in any other case, by a victim of the transaction</w:t>
      </w:r>
      <w:r>
        <w:rPr>
          <w:rFonts w:ascii="Arial" w:hAnsi="Arial" w:cs="Arial"/>
          <w:sz w:val="22"/>
          <w:szCs w:val="22"/>
          <w:highlight w:val="yellow"/>
          <w:lang w:val="en-GB"/>
        </w:rPr>
        <w:t xml:space="preserve"> such as one entered into undervalue and one where assets are placed beyond the reach of a person</w:t>
      </w:r>
      <w:r w:rsidR="00D75183">
        <w:rPr>
          <w:rFonts w:ascii="Arial" w:hAnsi="Arial" w:cs="Arial"/>
          <w:sz w:val="22"/>
          <w:szCs w:val="22"/>
          <w:highlight w:val="yellow"/>
          <w:lang w:val="en-GB"/>
        </w:rPr>
        <w:t xml:space="preserve"> who is making a claim against a company or which would otherwise prejudice the interests of such a person</w:t>
      </w:r>
      <w:r w:rsidRPr="009C7FE3">
        <w:rPr>
          <w:rFonts w:ascii="Arial" w:hAnsi="Arial" w:cs="Arial"/>
          <w:sz w:val="22"/>
          <w:szCs w:val="22"/>
          <w:highlight w:val="yellow"/>
          <w:lang w:val="en-GB"/>
        </w:rPr>
        <w:t>.</w:t>
      </w:r>
      <w:r w:rsidRPr="009C7FE3">
        <w:rPr>
          <w:rFonts w:ascii="Arial" w:hAnsi="Arial" w:cs="Arial"/>
          <w:sz w:val="22"/>
          <w:szCs w:val="22"/>
          <w:lang w:val="en-GB"/>
        </w:rPr>
        <w:t xml:space="preserve"> </w:t>
      </w:r>
    </w:p>
    <w:p w14:paraId="0A469CA4" w14:textId="51F3EBC9" w:rsidR="00D75183" w:rsidRDefault="00D75183" w:rsidP="009C7FE3">
      <w:pPr>
        <w:jc w:val="both"/>
        <w:rPr>
          <w:rFonts w:ascii="Arial" w:hAnsi="Arial" w:cs="Arial"/>
          <w:sz w:val="22"/>
          <w:szCs w:val="22"/>
          <w:lang w:val="en-GB"/>
        </w:rPr>
      </w:pPr>
    </w:p>
    <w:p w14:paraId="0CCC4066" w14:textId="59D764AC" w:rsidR="00F45FAA" w:rsidRPr="00F45FAA" w:rsidRDefault="00F45FAA" w:rsidP="00F45FAA">
      <w:pPr>
        <w:spacing w:after="120" w:line="288" w:lineRule="atLeast"/>
        <w:outlineLvl w:val="2"/>
        <w:rPr>
          <w:rFonts w:ascii="Arial" w:hAnsi="Arial" w:cs="Arial"/>
          <w:b/>
          <w:bCs/>
          <w:color w:val="000000"/>
          <w:sz w:val="19"/>
          <w:szCs w:val="19"/>
        </w:rPr>
      </w:pPr>
      <w:r w:rsidRPr="00F45FAA">
        <w:rPr>
          <w:rFonts w:ascii="Avenir Next" w:hAnsi="Avenir Next" w:cs="Arial"/>
          <w:b/>
          <w:bCs/>
          <w:sz w:val="22"/>
          <w:szCs w:val="22"/>
          <w:highlight w:val="yellow"/>
          <w:lang w:val="en-GB"/>
        </w:rPr>
        <w:t>Section 6 of the Company Directors Disqualification Act 1986;</w:t>
      </w:r>
    </w:p>
    <w:p w14:paraId="32A866B6" w14:textId="77777777" w:rsidR="00F45FAA" w:rsidRPr="00F45FAA" w:rsidRDefault="00F45FAA" w:rsidP="00F45FAA">
      <w:pPr>
        <w:spacing w:after="120" w:line="288" w:lineRule="atLeast"/>
        <w:outlineLvl w:val="2"/>
        <w:rPr>
          <w:rFonts w:ascii="Arial" w:hAnsi="Arial" w:cs="Arial"/>
          <w:b/>
          <w:bCs/>
          <w:color w:val="000000"/>
          <w:sz w:val="19"/>
          <w:szCs w:val="19"/>
        </w:rPr>
      </w:pPr>
    </w:p>
    <w:p w14:paraId="2D5FF8F5" w14:textId="7260C1BA" w:rsidR="00F45FAA" w:rsidRDefault="00F45FAA" w:rsidP="00F45FAA">
      <w:pPr>
        <w:spacing w:after="120" w:line="276" w:lineRule="auto"/>
        <w:jc w:val="both"/>
        <w:outlineLvl w:val="2"/>
        <w:rPr>
          <w:rFonts w:ascii="Arial" w:hAnsi="Arial" w:cs="Arial"/>
          <w:color w:val="000000"/>
          <w:sz w:val="22"/>
          <w:szCs w:val="22"/>
          <w:shd w:val="clear" w:color="auto" w:fill="FFFFFF"/>
        </w:rPr>
      </w:pPr>
      <w:r w:rsidRPr="00F45FAA">
        <w:rPr>
          <w:rFonts w:ascii="Arial" w:hAnsi="Arial" w:cs="Arial"/>
          <w:color w:val="000000"/>
          <w:sz w:val="22"/>
          <w:szCs w:val="22"/>
          <w:highlight w:val="yellow"/>
        </w:rPr>
        <w:t xml:space="preserve">Pursuant to section 7 of the CDDA the Secretary of State can in the public interest or the official receiver ( if the Secretary of State </w:t>
      </w:r>
      <w:r w:rsidRPr="00F45FAA">
        <w:rPr>
          <w:rFonts w:ascii="Arial" w:hAnsi="Arial" w:cs="Arial"/>
          <w:color w:val="000000"/>
          <w:sz w:val="22"/>
          <w:szCs w:val="22"/>
          <w:highlight w:val="yellow"/>
          <w:shd w:val="clear" w:color="auto" w:fill="FFFFFF"/>
        </w:rPr>
        <w:t>so directs in the case of a person who is or has been a director of a company which is being wound up by the court in England and Wales) bring an action under Section 6 of the Company Directors Disqualification Act.</w:t>
      </w:r>
    </w:p>
    <w:p w14:paraId="04F4F1D6" w14:textId="43EE5C8F" w:rsidR="00F45FAA" w:rsidRDefault="00F45FAA" w:rsidP="00F45FAA">
      <w:pPr>
        <w:spacing w:after="120" w:line="276" w:lineRule="auto"/>
        <w:jc w:val="both"/>
        <w:outlineLvl w:val="2"/>
        <w:rPr>
          <w:rFonts w:ascii="Arial" w:hAnsi="Arial" w:cs="Arial"/>
          <w:color w:val="000000"/>
          <w:sz w:val="22"/>
          <w:szCs w:val="22"/>
          <w:shd w:val="clear" w:color="auto" w:fill="FFFFFF"/>
        </w:rPr>
      </w:pPr>
    </w:p>
    <w:p w14:paraId="2328E81E" w14:textId="7D8C1ABD" w:rsidR="00F45FAA" w:rsidRPr="00F45FAA" w:rsidRDefault="00F45FAA" w:rsidP="00F45FAA">
      <w:pPr>
        <w:jc w:val="both"/>
        <w:rPr>
          <w:rFonts w:ascii="Arial" w:hAnsi="Arial" w:cs="Arial"/>
          <w:b/>
          <w:bCs/>
          <w:sz w:val="22"/>
          <w:szCs w:val="22"/>
          <w:u w:val="single"/>
          <w:lang w:val="en-GB"/>
        </w:rPr>
      </w:pPr>
      <w:r>
        <w:rPr>
          <w:rFonts w:ascii="Arial" w:hAnsi="Arial" w:cs="Arial"/>
          <w:b/>
          <w:bCs/>
          <w:sz w:val="22"/>
          <w:szCs w:val="22"/>
          <w:u w:val="single"/>
          <w:lang w:val="en-GB"/>
        </w:rPr>
        <w:t>S</w:t>
      </w:r>
      <w:r w:rsidRPr="00F45FAA">
        <w:rPr>
          <w:rFonts w:ascii="Arial" w:hAnsi="Arial" w:cs="Arial"/>
          <w:b/>
          <w:bCs/>
          <w:sz w:val="22"/>
          <w:szCs w:val="22"/>
          <w:u w:val="single"/>
          <w:lang w:val="en-GB"/>
        </w:rPr>
        <w:t>ection 246ZB of the Insolvency Act 1986</w:t>
      </w:r>
    </w:p>
    <w:p w14:paraId="2A61AE2C" w14:textId="77777777" w:rsidR="00F45FAA" w:rsidRPr="00F45FAA" w:rsidRDefault="00F45FAA" w:rsidP="00F45FAA">
      <w:pPr>
        <w:spacing w:after="120" w:line="276" w:lineRule="auto"/>
        <w:jc w:val="both"/>
        <w:outlineLvl w:val="2"/>
        <w:rPr>
          <w:rFonts w:ascii="Arial" w:hAnsi="Arial" w:cs="Arial"/>
          <w:color w:val="000000"/>
          <w:sz w:val="22"/>
          <w:szCs w:val="22"/>
        </w:rPr>
      </w:pPr>
    </w:p>
    <w:p w14:paraId="22C610C9" w14:textId="32420B7E" w:rsidR="00DE03AF" w:rsidRPr="000E47ED" w:rsidRDefault="00F45FAA" w:rsidP="00F45FAA">
      <w:pPr>
        <w:spacing w:line="276" w:lineRule="auto"/>
        <w:jc w:val="both"/>
        <w:rPr>
          <w:rFonts w:ascii="Arial" w:hAnsi="Arial" w:cs="Arial"/>
          <w:color w:val="000000"/>
          <w:sz w:val="22"/>
          <w:szCs w:val="22"/>
          <w:shd w:val="clear" w:color="auto" w:fill="FFFFFF"/>
        </w:rPr>
      </w:pPr>
      <w:r w:rsidRPr="000E47ED">
        <w:rPr>
          <w:rFonts w:ascii="Arial" w:hAnsi="Arial" w:cs="Arial"/>
          <w:sz w:val="22"/>
          <w:szCs w:val="22"/>
          <w:highlight w:val="yellow"/>
          <w:lang w:val="en-GB"/>
        </w:rPr>
        <w:t xml:space="preserve">The </w:t>
      </w:r>
      <w:r w:rsidR="000E47ED" w:rsidRPr="000E47ED">
        <w:rPr>
          <w:rFonts w:ascii="Arial" w:hAnsi="Arial" w:cs="Arial"/>
          <w:sz w:val="22"/>
          <w:szCs w:val="22"/>
          <w:highlight w:val="yellow"/>
          <w:lang w:val="en-GB"/>
        </w:rPr>
        <w:t xml:space="preserve">Administrator of a company which </w:t>
      </w:r>
      <w:r w:rsidR="000E47ED" w:rsidRPr="000E47ED">
        <w:rPr>
          <w:rFonts w:ascii="Arial" w:hAnsi="Arial" w:cs="Arial"/>
          <w:color w:val="000000"/>
          <w:sz w:val="22"/>
          <w:szCs w:val="22"/>
          <w:highlight w:val="yellow"/>
          <w:shd w:val="clear" w:color="auto" w:fill="FFFFFF"/>
        </w:rPr>
        <w:t>is in administration can bring an action under section 246ZB of the Insolvency Act 1986.</w:t>
      </w:r>
    </w:p>
    <w:p w14:paraId="6F586365" w14:textId="2CEA0969" w:rsidR="000E47ED" w:rsidRDefault="000E47ED" w:rsidP="00F45FAA">
      <w:pPr>
        <w:spacing w:line="276" w:lineRule="auto"/>
        <w:jc w:val="both"/>
        <w:rPr>
          <w:rFonts w:ascii="Arial" w:hAnsi="Arial" w:cs="Arial"/>
          <w:color w:val="000000"/>
          <w:sz w:val="18"/>
          <w:szCs w:val="18"/>
          <w:shd w:val="clear" w:color="auto" w:fill="FFFFFF"/>
        </w:rPr>
      </w:pPr>
    </w:p>
    <w:p w14:paraId="2977D464" w14:textId="3E69F810" w:rsidR="000E47ED" w:rsidRDefault="000E47ED" w:rsidP="00F45FAA">
      <w:pPr>
        <w:spacing w:line="276" w:lineRule="auto"/>
        <w:jc w:val="both"/>
        <w:rPr>
          <w:rFonts w:ascii="Arial" w:hAnsi="Arial" w:cs="Arial"/>
          <w:sz w:val="22"/>
          <w:szCs w:val="22"/>
          <w:lang w:val="en-GB"/>
        </w:rPr>
      </w:pPr>
    </w:p>
    <w:p w14:paraId="025E5628" w14:textId="781BF5EC" w:rsidR="00CF7FE1" w:rsidRDefault="00CF7FE1" w:rsidP="00F45FAA">
      <w:pPr>
        <w:spacing w:line="276" w:lineRule="auto"/>
        <w:jc w:val="both"/>
        <w:rPr>
          <w:rFonts w:ascii="Arial" w:hAnsi="Arial" w:cs="Arial"/>
          <w:sz w:val="22"/>
          <w:szCs w:val="22"/>
          <w:lang w:val="en-GB"/>
        </w:rPr>
      </w:pPr>
    </w:p>
    <w:p w14:paraId="63B6642F" w14:textId="672E3CCF" w:rsidR="00CF7FE1" w:rsidRDefault="00CF7FE1" w:rsidP="00F45FAA">
      <w:pPr>
        <w:spacing w:line="276" w:lineRule="auto"/>
        <w:jc w:val="both"/>
        <w:rPr>
          <w:rFonts w:ascii="Arial" w:hAnsi="Arial" w:cs="Arial"/>
          <w:sz w:val="22"/>
          <w:szCs w:val="22"/>
          <w:lang w:val="en-GB"/>
        </w:rPr>
      </w:pPr>
    </w:p>
    <w:p w14:paraId="73DFB3F4" w14:textId="77777777" w:rsidR="00CF7FE1" w:rsidRPr="000E47ED" w:rsidRDefault="00CF7FE1" w:rsidP="00F45FAA">
      <w:pPr>
        <w:spacing w:line="276" w:lineRule="auto"/>
        <w:jc w:val="both"/>
        <w:rPr>
          <w:rFonts w:ascii="Arial" w:hAnsi="Arial" w:cs="Arial"/>
          <w:sz w:val="22"/>
          <w:szCs w:val="22"/>
          <w:lang w:val="en-GB"/>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14D0C90A" w14:textId="69BB96AB" w:rsidR="00B77505" w:rsidRPr="00B77505" w:rsidRDefault="008B58D5" w:rsidP="00B7750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38D4359E" w14:textId="77777777" w:rsidR="00B77505" w:rsidRDefault="00B77505" w:rsidP="00B77505">
      <w:pPr>
        <w:pStyle w:val="Heading1"/>
        <w:shd w:val="clear" w:color="auto" w:fill="FFFFFF"/>
        <w:spacing w:before="0" w:line="288" w:lineRule="atLeast"/>
        <w:textAlignment w:val="baseline"/>
        <w:rPr>
          <w:rFonts w:ascii="Arial" w:hAnsi="Arial" w:cs="Arial"/>
          <w:b/>
          <w:bCs/>
          <w:color w:val="3D3D3D"/>
          <w:sz w:val="22"/>
          <w:szCs w:val="22"/>
          <w:u w:val="single"/>
        </w:rPr>
      </w:pPr>
    </w:p>
    <w:p w14:paraId="37B5EDF8" w14:textId="4019B9ED" w:rsidR="00B77505" w:rsidRPr="00B77505" w:rsidRDefault="00B77505" w:rsidP="00B77505">
      <w:pPr>
        <w:pStyle w:val="Heading1"/>
        <w:shd w:val="clear" w:color="auto" w:fill="FFFFFF"/>
        <w:spacing w:before="0" w:line="288" w:lineRule="atLeast"/>
        <w:textAlignment w:val="baseline"/>
        <w:rPr>
          <w:rFonts w:ascii="Arial" w:hAnsi="Arial" w:cs="Arial"/>
          <w:b/>
          <w:bCs/>
          <w:color w:val="3D3D3D"/>
          <w:sz w:val="22"/>
          <w:szCs w:val="22"/>
          <w:u w:val="single"/>
        </w:rPr>
      </w:pPr>
      <w:r w:rsidRPr="00402CEA">
        <w:rPr>
          <w:rFonts w:ascii="Arial" w:hAnsi="Arial" w:cs="Arial"/>
          <w:b/>
          <w:bCs/>
          <w:color w:val="3D3D3D"/>
          <w:sz w:val="22"/>
          <w:szCs w:val="22"/>
          <w:highlight w:val="yellow"/>
          <w:u w:val="single"/>
        </w:rPr>
        <w:t>Debts not subject to a payment holiday</w:t>
      </w:r>
    </w:p>
    <w:p w14:paraId="6A7288FC" w14:textId="77777777" w:rsidR="008B58D5" w:rsidRPr="006925C1" w:rsidRDefault="008B58D5" w:rsidP="008B58D5">
      <w:pPr>
        <w:jc w:val="both"/>
        <w:rPr>
          <w:rFonts w:ascii="Avenir Next" w:hAnsi="Avenir Next" w:cs="Arial"/>
          <w:sz w:val="22"/>
          <w:szCs w:val="22"/>
          <w:lang w:val="en-GB"/>
        </w:rPr>
      </w:pPr>
    </w:p>
    <w:p w14:paraId="4CD76F74" w14:textId="7FDB82D6" w:rsidR="00B77505" w:rsidRPr="00402CEA" w:rsidRDefault="00B77505" w:rsidP="00B77505">
      <w:pPr>
        <w:pStyle w:val="legclearfix"/>
        <w:numPr>
          <w:ilvl w:val="0"/>
          <w:numId w:val="19"/>
        </w:numPr>
        <w:shd w:val="clear" w:color="auto" w:fill="FFFFFF"/>
        <w:spacing w:before="0" w:beforeAutospacing="0" w:after="120" w:afterAutospacing="0" w:line="360" w:lineRule="atLeast"/>
        <w:rPr>
          <w:rStyle w:val="legaddition"/>
          <w:rFonts w:ascii="Arial" w:hAnsi="Arial" w:cs="Arial"/>
          <w:color w:val="000000"/>
          <w:sz w:val="22"/>
          <w:szCs w:val="22"/>
          <w:highlight w:val="yellow"/>
        </w:rPr>
      </w:pPr>
      <w:r w:rsidRPr="00402CEA">
        <w:rPr>
          <w:rFonts w:ascii="Arial" w:hAnsi="Arial" w:cs="Arial"/>
          <w:color w:val="000000"/>
          <w:sz w:val="22"/>
          <w:szCs w:val="22"/>
          <w:highlight w:val="yellow"/>
        </w:rPr>
        <w:t>T</w:t>
      </w:r>
      <w:r w:rsidRPr="00402CEA">
        <w:rPr>
          <w:rStyle w:val="legaddition"/>
          <w:rFonts w:ascii="Arial" w:hAnsi="Arial" w:cs="Arial"/>
          <w:color w:val="000000"/>
          <w:sz w:val="22"/>
          <w:szCs w:val="22"/>
          <w:highlight w:val="yellow"/>
        </w:rPr>
        <w:t>he monitor’s remuneration or expenses</w:t>
      </w:r>
    </w:p>
    <w:p w14:paraId="01367EAA" w14:textId="47769E00" w:rsidR="00B77505" w:rsidRPr="00402CEA" w:rsidRDefault="00B77505" w:rsidP="00B77505">
      <w:pPr>
        <w:pStyle w:val="legclearfix"/>
        <w:numPr>
          <w:ilvl w:val="0"/>
          <w:numId w:val="19"/>
        </w:numPr>
        <w:shd w:val="clear" w:color="auto" w:fill="FFFFFF"/>
        <w:spacing w:before="0" w:beforeAutospacing="0" w:after="120" w:afterAutospacing="0" w:line="360" w:lineRule="atLeast"/>
        <w:rPr>
          <w:rFonts w:ascii="Arial" w:hAnsi="Arial" w:cs="Arial"/>
          <w:color w:val="000000"/>
          <w:sz w:val="22"/>
          <w:szCs w:val="22"/>
          <w:highlight w:val="yellow"/>
        </w:rPr>
      </w:pPr>
      <w:r w:rsidRPr="00402CEA">
        <w:rPr>
          <w:rStyle w:val="legaddition"/>
          <w:rFonts w:ascii="Arial" w:hAnsi="Arial" w:cs="Arial"/>
          <w:color w:val="000000"/>
          <w:sz w:val="22"/>
          <w:szCs w:val="22"/>
          <w:highlight w:val="yellow"/>
        </w:rPr>
        <w:t>goods or services supplied during the moratorium,</w:t>
      </w:r>
    </w:p>
    <w:p w14:paraId="52E43CCE" w14:textId="79581528" w:rsidR="00B77505" w:rsidRPr="00402CEA" w:rsidRDefault="00B77505" w:rsidP="00B77505">
      <w:pPr>
        <w:pStyle w:val="legclearfix"/>
        <w:shd w:val="clear" w:color="auto" w:fill="FFFFFF"/>
        <w:spacing w:before="0" w:beforeAutospacing="0" w:after="120" w:afterAutospacing="0" w:line="360" w:lineRule="atLeast"/>
        <w:ind w:firstLine="360"/>
        <w:rPr>
          <w:rFonts w:ascii="Arial" w:hAnsi="Arial" w:cs="Arial"/>
          <w:color w:val="000000"/>
          <w:sz w:val="22"/>
          <w:szCs w:val="22"/>
          <w:highlight w:val="yellow"/>
        </w:rPr>
      </w:pPr>
      <w:r w:rsidRPr="00402CEA">
        <w:rPr>
          <w:rStyle w:val="legaddition"/>
          <w:rFonts w:ascii="Arial" w:hAnsi="Arial" w:cs="Arial"/>
          <w:color w:val="000000"/>
          <w:sz w:val="22"/>
          <w:szCs w:val="22"/>
          <w:highlight w:val="yellow"/>
        </w:rPr>
        <w:t>3.</w:t>
      </w:r>
      <w:r w:rsidRPr="00402CEA">
        <w:rPr>
          <w:rStyle w:val="legaddition"/>
          <w:rFonts w:ascii="Arial" w:hAnsi="Arial" w:cs="Arial"/>
          <w:color w:val="000000"/>
          <w:sz w:val="22"/>
          <w:szCs w:val="22"/>
          <w:highlight w:val="yellow"/>
        </w:rPr>
        <w:tab/>
        <w:t>wages or salary arising under a contract of employment,</w:t>
      </w:r>
    </w:p>
    <w:p w14:paraId="18FD99D8" w14:textId="407F7958" w:rsidR="00B77505" w:rsidRPr="00402CEA" w:rsidRDefault="00B77505" w:rsidP="00B77505">
      <w:pPr>
        <w:pStyle w:val="legclearfix"/>
        <w:shd w:val="clear" w:color="auto" w:fill="FFFFFF"/>
        <w:spacing w:before="0" w:beforeAutospacing="0" w:after="120" w:afterAutospacing="0" w:line="360" w:lineRule="atLeast"/>
        <w:ind w:firstLine="360"/>
        <w:rPr>
          <w:rFonts w:ascii="Arial" w:hAnsi="Arial" w:cs="Arial"/>
          <w:color w:val="000000"/>
          <w:sz w:val="22"/>
          <w:szCs w:val="22"/>
          <w:highlight w:val="yellow"/>
        </w:rPr>
      </w:pPr>
      <w:r w:rsidRPr="00402CEA">
        <w:rPr>
          <w:rStyle w:val="legaddition"/>
          <w:rFonts w:ascii="Arial" w:hAnsi="Arial" w:cs="Arial"/>
          <w:color w:val="000000"/>
          <w:sz w:val="22"/>
          <w:szCs w:val="22"/>
          <w:highlight w:val="yellow"/>
        </w:rPr>
        <w:lastRenderedPageBreak/>
        <w:t>4.</w:t>
      </w:r>
      <w:r w:rsidRPr="00402CEA">
        <w:rPr>
          <w:rStyle w:val="legaddition"/>
          <w:rFonts w:ascii="Arial" w:hAnsi="Arial" w:cs="Arial"/>
          <w:color w:val="000000"/>
          <w:sz w:val="22"/>
          <w:szCs w:val="22"/>
          <w:highlight w:val="yellow"/>
        </w:rPr>
        <w:tab/>
        <w:t>redundancy payments, and</w:t>
      </w:r>
    </w:p>
    <w:p w14:paraId="04D6593A" w14:textId="77777777" w:rsidR="00402CEA" w:rsidRDefault="00B77505" w:rsidP="00402CEA">
      <w:pPr>
        <w:pStyle w:val="legclearfix"/>
        <w:shd w:val="clear" w:color="auto" w:fill="FFFFFF"/>
        <w:spacing w:before="0" w:beforeAutospacing="0" w:after="120" w:afterAutospacing="0" w:line="360" w:lineRule="atLeast"/>
        <w:ind w:left="360"/>
        <w:rPr>
          <w:rStyle w:val="legaddition"/>
          <w:rFonts w:ascii="Arial" w:hAnsi="Arial" w:cs="Arial"/>
          <w:color w:val="000000"/>
          <w:sz w:val="22"/>
          <w:szCs w:val="22"/>
          <w:highlight w:val="yellow"/>
        </w:rPr>
      </w:pPr>
      <w:r w:rsidRPr="00402CEA">
        <w:rPr>
          <w:rStyle w:val="legaddition"/>
          <w:rFonts w:ascii="Arial" w:hAnsi="Arial" w:cs="Arial"/>
          <w:color w:val="000000"/>
          <w:sz w:val="22"/>
          <w:szCs w:val="22"/>
          <w:highlight w:val="yellow"/>
        </w:rPr>
        <w:t xml:space="preserve">5.   debts or other liabilities arising under a contract or other instrument involving </w:t>
      </w:r>
    </w:p>
    <w:p w14:paraId="5403BDF2" w14:textId="638873FB" w:rsidR="00B77505" w:rsidRPr="00402CEA" w:rsidRDefault="00B77505" w:rsidP="00402CEA">
      <w:pPr>
        <w:pStyle w:val="legclearfix"/>
        <w:shd w:val="clear" w:color="auto" w:fill="FFFFFF"/>
        <w:spacing w:before="0" w:beforeAutospacing="0" w:after="120" w:afterAutospacing="0" w:line="360" w:lineRule="atLeast"/>
        <w:ind w:left="360" w:firstLine="360"/>
        <w:rPr>
          <w:rFonts w:ascii="Arial" w:hAnsi="Arial" w:cs="Arial"/>
          <w:color w:val="000000"/>
          <w:sz w:val="22"/>
          <w:szCs w:val="22"/>
        </w:rPr>
      </w:pPr>
      <w:r w:rsidRPr="00402CEA">
        <w:rPr>
          <w:rStyle w:val="legaddition"/>
          <w:rFonts w:ascii="Arial" w:hAnsi="Arial" w:cs="Arial"/>
          <w:color w:val="000000"/>
          <w:sz w:val="22"/>
          <w:szCs w:val="22"/>
          <w:highlight w:val="yellow"/>
        </w:rPr>
        <w:t>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661FEBCC" w14:textId="77777777" w:rsidR="00665F09" w:rsidRPr="00975A59" w:rsidRDefault="00665F09" w:rsidP="00665F09">
      <w:pPr>
        <w:spacing w:line="276" w:lineRule="auto"/>
        <w:jc w:val="both"/>
        <w:rPr>
          <w:rFonts w:ascii="Arial" w:hAnsi="Arial" w:cs="Arial"/>
          <w:sz w:val="22"/>
          <w:szCs w:val="22"/>
          <w:highlight w:val="yellow"/>
        </w:rPr>
      </w:pPr>
      <w:r w:rsidRPr="00975A59">
        <w:rPr>
          <w:rFonts w:ascii="Arial" w:hAnsi="Arial" w:cs="Arial"/>
          <w:sz w:val="22"/>
          <w:szCs w:val="22"/>
          <w:highlight w:val="yellow"/>
        </w:rPr>
        <w:t>A company is placed under the control of an administrator, a professional in insolvency, during the official insolvency procedure known as administration. The administrators will evaluate the company's financial state and determine whether there is sufficient support (from customers, suppliers, etc.) to keep it operating. Contracts do not automatically end when you enter into administration unless there is an express stipulation that says otherwise.</w:t>
      </w:r>
    </w:p>
    <w:p w14:paraId="71A5D4D6" w14:textId="77777777" w:rsidR="00665F09" w:rsidRPr="00975A59" w:rsidRDefault="00665F09" w:rsidP="00665F09">
      <w:pPr>
        <w:spacing w:line="276" w:lineRule="auto"/>
        <w:jc w:val="both"/>
        <w:rPr>
          <w:rFonts w:ascii="Arial" w:hAnsi="Arial" w:cs="Arial"/>
          <w:sz w:val="22"/>
          <w:szCs w:val="22"/>
          <w:highlight w:val="yellow"/>
        </w:rPr>
      </w:pPr>
    </w:p>
    <w:p w14:paraId="01E30CE2" w14:textId="77777777" w:rsidR="00665F09" w:rsidRPr="00975A59" w:rsidRDefault="00665F09" w:rsidP="00665F09">
      <w:pPr>
        <w:spacing w:line="276" w:lineRule="auto"/>
        <w:jc w:val="both"/>
        <w:rPr>
          <w:rFonts w:ascii="Arial" w:hAnsi="Arial" w:cs="Arial"/>
          <w:sz w:val="22"/>
          <w:szCs w:val="22"/>
          <w:highlight w:val="yellow"/>
        </w:rPr>
      </w:pPr>
      <w:r w:rsidRPr="00975A59">
        <w:rPr>
          <w:rFonts w:ascii="Arial" w:hAnsi="Arial" w:cs="Arial"/>
          <w:sz w:val="22"/>
          <w:szCs w:val="22"/>
          <w:highlight w:val="yellow"/>
        </w:rPr>
        <w:t>The law recognizes the necessity of maintaining the continuance of necessary supplies such as gas, electricity, water and communication serviced for the company in an effort to allow either a rescue of the company or a better return to creditors, therefore IA 1986, s 233A also puts specific restrictions on termination where the company falls into administration. These suppliers are not allowed to require payment of outstanding debts in order to secure a new or continued supply to the company in administration.</w:t>
      </w:r>
    </w:p>
    <w:p w14:paraId="7E71E661" w14:textId="77777777" w:rsidR="00665F09" w:rsidRPr="00975A59" w:rsidRDefault="00665F09" w:rsidP="00665F09">
      <w:pPr>
        <w:rPr>
          <w:rFonts w:ascii="Arial" w:hAnsi="Arial" w:cs="Arial"/>
          <w:sz w:val="22"/>
          <w:szCs w:val="22"/>
          <w:highlight w:val="yellow"/>
        </w:rPr>
      </w:pPr>
    </w:p>
    <w:p w14:paraId="72A024DA" w14:textId="77777777" w:rsidR="00665F09" w:rsidRDefault="00665F09" w:rsidP="00665F09">
      <w:pPr>
        <w:spacing w:line="276" w:lineRule="auto"/>
        <w:jc w:val="both"/>
        <w:rPr>
          <w:rFonts w:ascii="Arial" w:hAnsi="Arial" w:cs="Arial"/>
          <w:sz w:val="22"/>
          <w:szCs w:val="22"/>
        </w:rPr>
      </w:pPr>
      <w:r w:rsidRPr="00975A59">
        <w:rPr>
          <w:rFonts w:ascii="Arial" w:hAnsi="Arial" w:cs="Arial"/>
          <w:sz w:val="22"/>
          <w:szCs w:val="22"/>
          <w:highlight w:val="yellow"/>
        </w:rPr>
        <w:t>A supplier's right to terminate a contract because of a company's insolvency is also subject to stricter regulations as a result of the Corporate Insolvency and Governance Act 2020 (CIGA 2020). (known as ipso facto clauses). In order to prevent providers of goods or services from relying on contractual provisions providing for termination in the event of the counterparty's insolvency or restructuring, CIGA 2020 included a new IA 1986, s 233B. (with some limited exceptions)</w:t>
      </w:r>
      <w:r>
        <w:rPr>
          <w:rFonts w:ascii="Arial" w:hAnsi="Arial" w:cs="Arial"/>
          <w:sz w:val="22"/>
          <w:szCs w:val="22"/>
        </w:rPr>
        <w:t>.</w:t>
      </w:r>
    </w:p>
    <w:p w14:paraId="04B2BBA8" w14:textId="77777777" w:rsidR="00665F09" w:rsidRDefault="00665F09" w:rsidP="00665F09">
      <w:pPr>
        <w:spacing w:line="276" w:lineRule="auto"/>
        <w:jc w:val="both"/>
        <w:rPr>
          <w:rFonts w:ascii="Arial" w:hAnsi="Arial" w:cs="Arial"/>
          <w:sz w:val="22"/>
          <w:szCs w:val="22"/>
        </w:rPr>
      </w:pPr>
    </w:p>
    <w:p w14:paraId="57D5C444" w14:textId="77777777" w:rsidR="00665F09" w:rsidRPr="009A734D" w:rsidRDefault="00665F09" w:rsidP="00665F09">
      <w:pPr>
        <w:spacing w:line="276" w:lineRule="auto"/>
        <w:jc w:val="both"/>
        <w:rPr>
          <w:rFonts w:ascii="Arial" w:hAnsi="Arial" w:cs="Arial"/>
          <w:sz w:val="22"/>
          <w:szCs w:val="22"/>
          <w:highlight w:val="yellow"/>
        </w:rPr>
      </w:pPr>
      <w:r w:rsidRPr="009A734D">
        <w:rPr>
          <w:rFonts w:ascii="Arial" w:hAnsi="Arial" w:cs="Arial"/>
          <w:sz w:val="22"/>
          <w:szCs w:val="22"/>
          <w:highlight w:val="yellow"/>
        </w:rPr>
        <w:t>Suppliers of products or services cannot rely on contractual provisions allowing for termination in the event of the counterparty's insolvency or reorganization under the new IA 1986, s 233B. Due to the insolvency or restructuring, the supplier is not able to demand payment of pre-insolvency debts in order to secure future supplies, nor are they able to do "any other thing." For instance, the supplier is restricted from raising its pricing or requiring unfavorable terms for payment.</w:t>
      </w:r>
    </w:p>
    <w:p w14:paraId="3ED7534C" w14:textId="77777777" w:rsidR="00665F09" w:rsidRPr="009A734D" w:rsidRDefault="00665F09" w:rsidP="00665F09">
      <w:pPr>
        <w:spacing w:line="276" w:lineRule="auto"/>
        <w:jc w:val="both"/>
        <w:rPr>
          <w:rFonts w:ascii="Arial" w:hAnsi="Arial" w:cs="Arial"/>
          <w:sz w:val="22"/>
          <w:szCs w:val="22"/>
          <w:highlight w:val="yellow"/>
        </w:rPr>
      </w:pPr>
    </w:p>
    <w:p w14:paraId="65A36858" w14:textId="77777777" w:rsidR="00665F09" w:rsidRPr="009A734D" w:rsidRDefault="00665F09" w:rsidP="00665F09">
      <w:pPr>
        <w:spacing w:line="276" w:lineRule="auto"/>
        <w:jc w:val="both"/>
        <w:rPr>
          <w:rFonts w:ascii="Arial" w:hAnsi="Arial" w:cs="Arial"/>
          <w:sz w:val="22"/>
          <w:szCs w:val="22"/>
        </w:rPr>
      </w:pPr>
      <w:r w:rsidRPr="009A734D">
        <w:rPr>
          <w:rFonts w:ascii="Arial" w:hAnsi="Arial" w:cs="Arial"/>
          <w:sz w:val="22"/>
          <w:szCs w:val="22"/>
          <w:highlight w:val="yellow"/>
        </w:rPr>
        <w:t>The new restrictions go a step further and forbid the termination of a contract or supply if a supplier already has a right to terminate that emerged before the relevant insolvency or restructuring began but that creditor did not exercise.</w:t>
      </w:r>
    </w:p>
    <w:p w14:paraId="5B61D47B" w14:textId="77777777" w:rsidR="00665F09" w:rsidRPr="009A734D" w:rsidRDefault="00665F09" w:rsidP="00665F09">
      <w:pPr>
        <w:spacing w:line="276" w:lineRule="auto"/>
        <w:jc w:val="both"/>
        <w:rPr>
          <w:rFonts w:ascii="Arial" w:hAnsi="Arial" w:cs="Arial"/>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bookmarkStart w:id="0" w:name="_Hlk128508734"/>
      <w:r w:rsidRPr="006925C1">
        <w:rPr>
          <w:rFonts w:ascii="Avenir Next" w:hAnsi="Avenir Next" w:cs="Arial"/>
          <w:sz w:val="22"/>
          <w:szCs w:val="22"/>
          <w:lang w:val="en-GB"/>
        </w:rPr>
        <w:lastRenderedPageBreak/>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bookmarkEnd w:id="0"/>
    <w:p w14:paraId="2F029E55" w14:textId="1280FB99" w:rsidR="00DF75F8" w:rsidRPr="006925C1" w:rsidRDefault="00DF75F8" w:rsidP="002A37BB">
      <w:pPr>
        <w:jc w:val="both"/>
        <w:rPr>
          <w:rFonts w:ascii="Avenir Next" w:hAnsi="Avenir Next" w:cs="Arial"/>
          <w:sz w:val="22"/>
          <w:szCs w:val="22"/>
        </w:rPr>
      </w:pPr>
    </w:p>
    <w:p w14:paraId="3488F7AA" w14:textId="77777777" w:rsidR="00344914" w:rsidRPr="00DE15DB" w:rsidRDefault="00344914" w:rsidP="00344914">
      <w:pPr>
        <w:shd w:val="clear" w:color="auto" w:fill="FFFFFF"/>
        <w:spacing w:before="100" w:beforeAutospacing="1" w:after="100" w:afterAutospacing="1" w:line="276" w:lineRule="auto"/>
        <w:jc w:val="both"/>
        <w:rPr>
          <w:rFonts w:ascii="Arial" w:hAnsi="Arial" w:cs="Arial"/>
          <w:sz w:val="22"/>
          <w:szCs w:val="22"/>
          <w:highlight w:val="yellow"/>
        </w:rPr>
      </w:pPr>
      <w:r w:rsidRPr="003768EF">
        <w:rPr>
          <w:rFonts w:ascii="Arial" w:hAnsi="Arial" w:cs="Arial"/>
          <w:sz w:val="22"/>
          <w:szCs w:val="22"/>
          <w:highlight w:val="yellow"/>
        </w:rPr>
        <w:t>In a liquidation the order of priority is:</w:t>
      </w:r>
    </w:p>
    <w:p w14:paraId="0592102D" w14:textId="77777777" w:rsidR="00344914" w:rsidRPr="003768EF" w:rsidRDefault="00344914" w:rsidP="00344914">
      <w:pPr>
        <w:numPr>
          <w:ilvl w:val="0"/>
          <w:numId w:val="20"/>
        </w:numPr>
        <w:shd w:val="clear" w:color="auto" w:fill="FFFFFF"/>
        <w:spacing w:before="120" w:after="120" w:line="276" w:lineRule="auto"/>
        <w:jc w:val="both"/>
        <w:rPr>
          <w:rFonts w:ascii="Arial" w:hAnsi="Arial" w:cs="Arial"/>
          <w:sz w:val="22"/>
          <w:szCs w:val="22"/>
          <w:highlight w:val="yellow"/>
        </w:rPr>
      </w:pPr>
      <w:r w:rsidRPr="003768EF">
        <w:rPr>
          <w:rFonts w:ascii="Arial" w:hAnsi="Arial" w:cs="Arial"/>
          <w:sz w:val="22"/>
          <w:szCs w:val="22"/>
          <w:highlight w:val="yellow"/>
        </w:rPr>
        <w:t>Expenses of winding up including the liquidator’s remuneration.</w:t>
      </w:r>
    </w:p>
    <w:p w14:paraId="4F83328A" w14:textId="77777777" w:rsidR="00344914" w:rsidRPr="00DE15DB" w:rsidRDefault="00344914" w:rsidP="00344914">
      <w:pPr>
        <w:numPr>
          <w:ilvl w:val="0"/>
          <w:numId w:val="20"/>
        </w:numPr>
        <w:shd w:val="clear" w:color="auto" w:fill="FFFFFF"/>
        <w:spacing w:before="120" w:after="120" w:line="276" w:lineRule="auto"/>
        <w:jc w:val="both"/>
        <w:rPr>
          <w:rFonts w:ascii="Arial" w:hAnsi="Arial" w:cs="Arial"/>
          <w:sz w:val="22"/>
          <w:szCs w:val="22"/>
          <w:highlight w:val="yellow"/>
        </w:rPr>
      </w:pPr>
      <w:r w:rsidRPr="003768EF">
        <w:rPr>
          <w:rFonts w:ascii="Arial" w:hAnsi="Arial" w:cs="Arial"/>
          <w:sz w:val="22"/>
          <w:szCs w:val="22"/>
          <w:highlight w:val="yellow"/>
        </w:rPr>
        <w:t xml:space="preserve">Preferential </w:t>
      </w:r>
      <w:r w:rsidRPr="00DE15DB">
        <w:rPr>
          <w:rFonts w:ascii="Arial" w:hAnsi="Arial" w:cs="Arial"/>
          <w:sz w:val="22"/>
          <w:szCs w:val="22"/>
          <w:highlight w:val="yellow"/>
        </w:rPr>
        <w:t xml:space="preserve">creditors </w:t>
      </w:r>
      <w:r w:rsidRPr="003768EF">
        <w:rPr>
          <w:rFonts w:ascii="Arial" w:hAnsi="Arial" w:cs="Arial"/>
          <w:sz w:val="22"/>
          <w:szCs w:val="22"/>
          <w:highlight w:val="yellow"/>
        </w:rPr>
        <w:t xml:space="preserve">as defined in sections 386,387 and schedule 6: section 175 </w:t>
      </w:r>
    </w:p>
    <w:p w14:paraId="7736A7B4" w14:textId="77777777" w:rsidR="00344914" w:rsidRPr="003768EF" w:rsidRDefault="00344914" w:rsidP="00344914">
      <w:pPr>
        <w:numPr>
          <w:ilvl w:val="0"/>
          <w:numId w:val="20"/>
        </w:numPr>
        <w:shd w:val="clear" w:color="auto" w:fill="FFFFFF"/>
        <w:spacing w:after="120" w:line="276" w:lineRule="auto"/>
        <w:jc w:val="both"/>
        <w:rPr>
          <w:rFonts w:ascii="Arial" w:hAnsi="Arial" w:cs="Arial"/>
          <w:sz w:val="22"/>
          <w:szCs w:val="22"/>
          <w:highlight w:val="yellow"/>
        </w:rPr>
      </w:pPr>
      <w:r w:rsidRPr="003768EF">
        <w:rPr>
          <w:rFonts w:ascii="Arial" w:hAnsi="Arial" w:cs="Arial"/>
          <w:sz w:val="22"/>
          <w:szCs w:val="22"/>
          <w:highlight w:val="yellow"/>
        </w:rPr>
        <w:t>Floating Charge holders and the prescribed part (a portion of the company’s net property available for the satisfaction of unsecured debt.)</w:t>
      </w:r>
    </w:p>
    <w:p w14:paraId="06CCA0DA" w14:textId="77777777" w:rsidR="00344914" w:rsidRPr="00DE15DB" w:rsidRDefault="00344914" w:rsidP="00344914">
      <w:pPr>
        <w:numPr>
          <w:ilvl w:val="0"/>
          <w:numId w:val="20"/>
        </w:numPr>
        <w:shd w:val="clear" w:color="auto" w:fill="FFFFFF"/>
        <w:spacing w:after="120" w:line="276" w:lineRule="auto"/>
        <w:jc w:val="both"/>
        <w:rPr>
          <w:rFonts w:ascii="Arial" w:hAnsi="Arial" w:cs="Arial"/>
          <w:sz w:val="22"/>
          <w:szCs w:val="22"/>
          <w:highlight w:val="yellow"/>
        </w:rPr>
      </w:pPr>
      <w:r w:rsidRPr="00DE15DB">
        <w:rPr>
          <w:rFonts w:ascii="Arial" w:hAnsi="Arial" w:cs="Arial"/>
          <w:sz w:val="22"/>
          <w:szCs w:val="22"/>
          <w:highlight w:val="yellow"/>
        </w:rPr>
        <w:t>Secondary preferential creditors (expanded to include HMRC for certain taxes)</w:t>
      </w:r>
      <w:r w:rsidRPr="003768EF">
        <w:rPr>
          <w:rFonts w:ascii="Arial" w:hAnsi="Arial" w:cs="Arial"/>
          <w:sz w:val="22"/>
          <w:szCs w:val="22"/>
          <w:highlight w:val="yellow"/>
        </w:rPr>
        <w:t>- For insolvencies that commence from 1st December 2020, HMRC will become a secondary preferential creditor for certain payments - outstanding taxes the company holds on behalf of HMRC such as PAYE, employee NI contributions, VAT, and Construction Industry Scheme (CIS) payments.</w:t>
      </w:r>
    </w:p>
    <w:p w14:paraId="7343736E" w14:textId="77777777" w:rsidR="00344914" w:rsidRPr="00DE15DB" w:rsidRDefault="00344914" w:rsidP="00344914">
      <w:pPr>
        <w:numPr>
          <w:ilvl w:val="0"/>
          <w:numId w:val="20"/>
        </w:numPr>
        <w:shd w:val="clear" w:color="auto" w:fill="FFFFFF"/>
        <w:spacing w:after="120" w:line="276" w:lineRule="auto"/>
        <w:jc w:val="both"/>
        <w:rPr>
          <w:rFonts w:ascii="Arial" w:hAnsi="Arial" w:cs="Arial"/>
          <w:sz w:val="22"/>
          <w:szCs w:val="22"/>
          <w:highlight w:val="yellow"/>
        </w:rPr>
      </w:pPr>
      <w:r w:rsidRPr="00DE15DB">
        <w:rPr>
          <w:rFonts w:ascii="Arial" w:hAnsi="Arial" w:cs="Arial"/>
          <w:sz w:val="22"/>
          <w:szCs w:val="22"/>
          <w:highlight w:val="yellow"/>
        </w:rPr>
        <w:t>Unsecured creditors (including all other HMRC debt)</w:t>
      </w:r>
    </w:p>
    <w:p w14:paraId="7DB0318D" w14:textId="77777777" w:rsidR="00344914" w:rsidRPr="00DE15DB" w:rsidRDefault="00344914" w:rsidP="00344914">
      <w:pPr>
        <w:numPr>
          <w:ilvl w:val="0"/>
          <w:numId w:val="20"/>
        </w:numPr>
        <w:shd w:val="clear" w:color="auto" w:fill="FFFFFF"/>
        <w:spacing w:after="120" w:line="276" w:lineRule="auto"/>
        <w:jc w:val="both"/>
        <w:rPr>
          <w:rFonts w:ascii="Arial" w:hAnsi="Arial" w:cs="Arial"/>
          <w:sz w:val="22"/>
          <w:szCs w:val="22"/>
          <w:highlight w:val="yellow"/>
        </w:rPr>
      </w:pPr>
      <w:r w:rsidRPr="00DE15DB">
        <w:rPr>
          <w:rFonts w:ascii="Arial" w:hAnsi="Arial" w:cs="Arial"/>
          <w:sz w:val="22"/>
          <w:szCs w:val="22"/>
          <w:highlight w:val="yellow"/>
        </w:rPr>
        <w:t>Shareholders</w:t>
      </w:r>
    </w:p>
    <w:p w14:paraId="6B69F252" w14:textId="77777777" w:rsidR="00344914" w:rsidRPr="00DE15DB" w:rsidRDefault="00344914" w:rsidP="00344914">
      <w:pPr>
        <w:shd w:val="clear" w:color="auto" w:fill="FFFFFF"/>
        <w:spacing w:after="120" w:line="276" w:lineRule="auto"/>
        <w:ind w:left="720"/>
        <w:jc w:val="both"/>
        <w:rPr>
          <w:rFonts w:ascii="Arial" w:hAnsi="Arial" w:cs="Arial"/>
          <w:sz w:val="22"/>
          <w:szCs w:val="22"/>
          <w:highlight w:val="yellow"/>
        </w:rPr>
      </w:pPr>
    </w:p>
    <w:p w14:paraId="5A82169E" w14:textId="77777777" w:rsidR="00344914" w:rsidRPr="003768EF" w:rsidRDefault="00344914" w:rsidP="00344914">
      <w:pPr>
        <w:spacing w:line="276" w:lineRule="auto"/>
        <w:jc w:val="both"/>
        <w:rPr>
          <w:rFonts w:ascii="Arial" w:hAnsi="Arial" w:cs="Arial"/>
          <w:b/>
          <w:bCs/>
          <w:sz w:val="22"/>
          <w:szCs w:val="22"/>
          <w:highlight w:val="yellow"/>
          <w:u w:val="single"/>
          <w:lang w:val="en-GB"/>
        </w:rPr>
      </w:pPr>
      <w:r w:rsidRPr="003768EF">
        <w:rPr>
          <w:rFonts w:ascii="Arial" w:hAnsi="Arial" w:cs="Arial"/>
          <w:b/>
          <w:bCs/>
          <w:sz w:val="22"/>
          <w:szCs w:val="22"/>
          <w:highlight w:val="yellow"/>
          <w:u w:val="single"/>
          <w:lang w:val="en-GB"/>
        </w:rPr>
        <w:t>The nature of the rights enjoyed by each class of creditor or expense.</w:t>
      </w:r>
    </w:p>
    <w:p w14:paraId="4BAA9BB7" w14:textId="77777777" w:rsidR="00344914" w:rsidRPr="003768EF" w:rsidRDefault="00344914" w:rsidP="00344914">
      <w:pPr>
        <w:spacing w:line="276" w:lineRule="auto"/>
        <w:jc w:val="both"/>
        <w:rPr>
          <w:rFonts w:ascii="Arial" w:hAnsi="Arial" w:cs="Arial"/>
          <w:sz w:val="22"/>
          <w:szCs w:val="22"/>
          <w:highlight w:val="yellow"/>
        </w:rPr>
      </w:pPr>
    </w:p>
    <w:p w14:paraId="6B24A008" w14:textId="77777777" w:rsidR="00344914" w:rsidRPr="003768EF" w:rsidRDefault="00344914" w:rsidP="00344914">
      <w:pPr>
        <w:spacing w:line="276" w:lineRule="auto"/>
        <w:jc w:val="both"/>
        <w:rPr>
          <w:rFonts w:ascii="Arial" w:hAnsi="Arial" w:cs="Arial"/>
          <w:sz w:val="22"/>
          <w:szCs w:val="22"/>
          <w:highlight w:val="yellow"/>
        </w:rPr>
      </w:pPr>
      <w:r w:rsidRPr="003768EF">
        <w:rPr>
          <w:rFonts w:ascii="Arial" w:hAnsi="Arial" w:cs="Arial"/>
          <w:sz w:val="22"/>
          <w:szCs w:val="22"/>
          <w:highlight w:val="yellow"/>
        </w:rPr>
        <w:t xml:space="preserve">Section 115 of the Insolvency Act (IA) 1986 provides that </w:t>
      </w:r>
      <w:r w:rsidRPr="003768EF">
        <w:rPr>
          <w:rFonts w:ascii="Arial" w:hAnsi="Arial" w:cs="Arial"/>
          <w:color w:val="000000"/>
          <w:sz w:val="22"/>
          <w:szCs w:val="22"/>
          <w:highlight w:val="yellow"/>
          <w:shd w:val="clear" w:color="auto" w:fill="FFFFFF"/>
        </w:rPr>
        <w:t>all expenses properly incurred in the winding up, including the remuneration of the liquidator, are payable out of the company’s assets in priority to all other claims</w:t>
      </w:r>
      <w:r w:rsidRPr="003768EF">
        <w:rPr>
          <w:rFonts w:ascii="Arial" w:hAnsi="Arial" w:cs="Arial"/>
          <w:sz w:val="22"/>
          <w:szCs w:val="22"/>
          <w:highlight w:val="yellow"/>
        </w:rPr>
        <w:t>. For the legitimate purposes of the liquidation, when the liquidator has continued or made a contract, it will be counted as an expense. According to Section 176ZA, in the event that the assets of the company available for payment of general creditors are inadequate to cover them, the expenditures of winding up have precedence over any claims to property included in or subject to any floating charge created by the company.</w:t>
      </w:r>
    </w:p>
    <w:p w14:paraId="771C49F7" w14:textId="77777777" w:rsidR="00344914" w:rsidRPr="003768EF" w:rsidRDefault="00344914" w:rsidP="00344914">
      <w:pPr>
        <w:spacing w:line="276" w:lineRule="auto"/>
        <w:jc w:val="both"/>
        <w:rPr>
          <w:rFonts w:ascii="Arial" w:hAnsi="Arial" w:cs="Arial"/>
          <w:sz w:val="22"/>
          <w:szCs w:val="22"/>
          <w:highlight w:val="yellow"/>
        </w:rPr>
      </w:pPr>
    </w:p>
    <w:p w14:paraId="134E7AB3" w14:textId="77777777" w:rsidR="00344914" w:rsidRPr="003768EF" w:rsidRDefault="00344914" w:rsidP="00344914">
      <w:pPr>
        <w:spacing w:line="276" w:lineRule="auto"/>
        <w:jc w:val="both"/>
        <w:rPr>
          <w:rStyle w:val="legaddition"/>
          <w:rFonts w:ascii="Arial" w:hAnsi="Arial" w:cs="Arial"/>
          <w:color w:val="000000"/>
          <w:sz w:val="22"/>
          <w:szCs w:val="22"/>
          <w:highlight w:val="yellow"/>
        </w:rPr>
      </w:pPr>
      <w:r w:rsidRPr="003768EF">
        <w:rPr>
          <w:rFonts w:ascii="Arial" w:hAnsi="Arial" w:cs="Arial"/>
          <w:sz w:val="22"/>
          <w:szCs w:val="22"/>
          <w:highlight w:val="yellow"/>
          <w:shd w:val="clear" w:color="auto" w:fill="FFFFFF"/>
        </w:rPr>
        <w:t xml:space="preserve">In relation to preferential (or preferred) creditors/debts section 175 IA states that </w:t>
      </w:r>
      <w:r w:rsidRPr="003768EF">
        <w:rPr>
          <w:rStyle w:val="legds"/>
          <w:rFonts w:ascii="Arial" w:hAnsi="Arial" w:cs="Arial"/>
          <w:color w:val="000000"/>
          <w:sz w:val="22"/>
          <w:szCs w:val="22"/>
          <w:highlight w:val="yellow"/>
        </w:rPr>
        <w:t>in a winding up the company’s preferential debts shall be paid in priority to all other debts </w:t>
      </w:r>
      <w:r w:rsidRPr="003768EF">
        <w:rPr>
          <w:rStyle w:val="legaddition"/>
          <w:rFonts w:ascii="Arial" w:hAnsi="Arial" w:cs="Arial"/>
          <w:color w:val="000000"/>
          <w:sz w:val="22"/>
          <w:szCs w:val="22"/>
          <w:highlight w:val="yellow"/>
        </w:rPr>
        <w:t>after the payment of—</w:t>
      </w:r>
    </w:p>
    <w:p w14:paraId="44C5E325" w14:textId="77777777" w:rsidR="00344914" w:rsidRPr="003768EF" w:rsidRDefault="00344914" w:rsidP="00344914">
      <w:pPr>
        <w:spacing w:line="276" w:lineRule="auto"/>
        <w:jc w:val="both"/>
        <w:rPr>
          <w:rFonts w:ascii="Arial" w:hAnsi="Arial" w:cs="Arial"/>
          <w:color w:val="000000"/>
          <w:sz w:val="22"/>
          <w:szCs w:val="22"/>
          <w:highlight w:val="yellow"/>
        </w:rPr>
      </w:pPr>
      <w:r w:rsidRPr="003768EF">
        <w:rPr>
          <w:rFonts w:ascii="Arial" w:hAnsi="Arial" w:cs="Arial"/>
          <w:color w:val="000000"/>
          <w:sz w:val="22"/>
          <w:szCs w:val="22"/>
          <w:highlight w:val="yellow"/>
        </w:rPr>
        <w:t xml:space="preserve"> </w:t>
      </w:r>
      <w:r w:rsidRPr="003768EF">
        <w:rPr>
          <w:rStyle w:val="legaddition"/>
          <w:rFonts w:ascii="Arial" w:hAnsi="Arial" w:cs="Arial"/>
          <w:color w:val="000000"/>
          <w:sz w:val="22"/>
          <w:szCs w:val="22"/>
          <w:highlight w:val="yellow"/>
        </w:rPr>
        <w:t>a) any liabilities to which section 174A applies (</w:t>
      </w:r>
      <w:proofErr w:type="spellStart"/>
      <w:r w:rsidRPr="003768EF">
        <w:rPr>
          <w:rStyle w:val="legaddition"/>
          <w:rFonts w:ascii="Arial" w:hAnsi="Arial" w:cs="Arial"/>
          <w:color w:val="000000"/>
          <w:sz w:val="22"/>
          <w:szCs w:val="22"/>
          <w:highlight w:val="yellow"/>
        </w:rPr>
        <w:t>i.e</w:t>
      </w:r>
      <w:proofErr w:type="spellEnd"/>
      <w:r w:rsidRPr="003768EF">
        <w:rPr>
          <w:rStyle w:val="legaddition"/>
          <w:rFonts w:ascii="Arial" w:hAnsi="Arial" w:cs="Arial"/>
          <w:color w:val="000000"/>
          <w:sz w:val="22"/>
          <w:szCs w:val="22"/>
          <w:highlight w:val="yellow"/>
        </w:rPr>
        <w:t xml:space="preserve"> </w:t>
      </w:r>
      <w:r w:rsidRPr="003768EF">
        <w:rPr>
          <w:rFonts w:ascii="Arial" w:hAnsi="Arial" w:cs="Arial"/>
          <w:sz w:val="22"/>
          <w:szCs w:val="22"/>
          <w:highlight w:val="yellow"/>
        </w:rPr>
        <w:t>when a firm's winding-up procedures are started before the conclusion of the 12-week term starting on the day after any moratorium for the company under Part A1)</w:t>
      </w:r>
      <w:r w:rsidRPr="003768EF">
        <w:rPr>
          <w:rStyle w:val="legaddition"/>
          <w:rFonts w:ascii="Arial" w:hAnsi="Arial" w:cs="Arial"/>
          <w:color w:val="000000"/>
          <w:sz w:val="22"/>
          <w:szCs w:val="22"/>
          <w:highlight w:val="yellow"/>
        </w:rPr>
        <w:t>, and</w:t>
      </w:r>
      <w:r w:rsidRPr="003768EF">
        <w:rPr>
          <w:rFonts w:ascii="Arial" w:hAnsi="Arial" w:cs="Arial"/>
          <w:color w:val="000000"/>
          <w:sz w:val="22"/>
          <w:szCs w:val="22"/>
          <w:highlight w:val="yellow"/>
        </w:rPr>
        <w:t xml:space="preserve"> </w:t>
      </w:r>
    </w:p>
    <w:p w14:paraId="76A7CC2B" w14:textId="77777777" w:rsidR="00344914" w:rsidRPr="003768EF" w:rsidRDefault="00344914" w:rsidP="00344914">
      <w:pPr>
        <w:spacing w:line="276" w:lineRule="auto"/>
        <w:jc w:val="both"/>
        <w:rPr>
          <w:rStyle w:val="legaddition"/>
          <w:rFonts w:ascii="Arial" w:hAnsi="Arial" w:cs="Arial"/>
          <w:color w:val="000000"/>
          <w:sz w:val="22"/>
          <w:szCs w:val="22"/>
          <w:highlight w:val="yellow"/>
        </w:rPr>
      </w:pPr>
      <w:r w:rsidRPr="003768EF">
        <w:rPr>
          <w:rStyle w:val="legaddition"/>
          <w:rFonts w:ascii="Arial" w:hAnsi="Arial" w:cs="Arial"/>
          <w:color w:val="000000"/>
          <w:sz w:val="22"/>
          <w:szCs w:val="22"/>
          <w:highlight w:val="yellow"/>
        </w:rPr>
        <w:t>(b)expenses of the winding up.</w:t>
      </w:r>
    </w:p>
    <w:p w14:paraId="1E5083A3" w14:textId="77777777" w:rsidR="00344914" w:rsidRPr="003768EF" w:rsidRDefault="00344914" w:rsidP="00344914">
      <w:pPr>
        <w:spacing w:line="276" w:lineRule="auto"/>
        <w:jc w:val="both"/>
        <w:rPr>
          <w:rFonts w:ascii="Arial" w:hAnsi="Arial" w:cs="Arial"/>
          <w:sz w:val="22"/>
          <w:szCs w:val="22"/>
          <w:highlight w:val="yellow"/>
          <w:shd w:val="clear" w:color="auto" w:fill="FFFFFF"/>
        </w:rPr>
      </w:pPr>
    </w:p>
    <w:p w14:paraId="11D6BAFE" w14:textId="77777777" w:rsidR="00344914" w:rsidRPr="003768EF" w:rsidRDefault="00344914" w:rsidP="00344914">
      <w:pPr>
        <w:spacing w:line="276" w:lineRule="auto"/>
        <w:jc w:val="both"/>
        <w:rPr>
          <w:rFonts w:ascii="Arial" w:hAnsi="Arial" w:cs="Arial"/>
          <w:sz w:val="22"/>
          <w:szCs w:val="22"/>
          <w:highlight w:val="yellow"/>
          <w:shd w:val="clear" w:color="auto" w:fill="FFFFFF"/>
        </w:rPr>
      </w:pPr>
      <w:r w:rsidRPr="003768EF">
        <w:rPr>
          <w:rFonts w:ascii="Arial" w:hAnsi="Arial" w:cs="Arial"/>
          <w:sz w:val="22"/>
          <w:szCs w:val="22"/>
          <w:highlight w:val="yellow"/>
          <w:shd w:val="clear" w:color="auto" w:fill="FFFFFF"/>
        </w:rPr>
        <w:t>Pursuant to section 175 1 (B) Secondary preferential debts rank equally among themselves after the ordinary preferential debts and are to be paid in full, unless the assets are insufficient to meet them, in which case they abate in equal proportion.</w:t>
      </w:r>
    </w:p>
    <w:p w14:paraId="75D04D48" w14:textId="77777777" w:rsidR="00344914" w:rsidRPr="003768EF" w:rsidRDefault="00344914" w:rsidP="00344914">
      <w:pPr>
        <w:spacing w:line="276" w:lineRule="auto"/>
        <w:jc w:val="both"/>
        <w:rPr>
          <w:rFonts w:ascii="Arial" w:hAnsi="Arial" w:cs="Arial"/>
          <w:sz w:val="22"/>
          <w:szCs w:val="22"/>
          <w:highlight w:val="yellow"/>
        </w:rPr>
      </w:pPr>
    </w:p>
    <w:p w14:paraId="5331A709" w14:textId="77777777" w:rsidR="00344914" w:rsidRPr="003768EF" w:rsidRDefault="00344914" w:rsidP="00344914">
      <w:pPr>
        <w:spacing w:line="276" w:lineRule="auto"/>
        <w:jc w:val="both"/>
        <w:rPr>
          <w:rFonts w:ascii="Arial" w:hAnsi="Arial" w:cs="Arial"/>
          <w:sz w:val="22"/>
          <w:szCs w:val="22"/>
          <w:highlight w:val="yellow"/>
          <w:shd w:val="clear" w:color="auto" w:fill="FFFFFF"/>
        </w:rPr>
      </w:pPr>
      <w:r w:rsidRPr="003768EF">
        <w:rPr>
          <w:rFonts w:ascii="Arial" w:hAnsi="Arial" w:cs="Arial"/>
          <w:sz w:val="22"/>
          <w:szCs w:val="22"/>
          <w:highlight w:val="yellow"/>
          <w:shd w:val="clear" w:color="auto" w:fill="FFFFFF"/>
        </w:rPr>
        <w:t xml:space="preserve">Thus, creditors in this class have the right to payment before others. Preferential creditors are </w:t>
      </w:r>
      <w:proofErr w:type="spellStart"/>
      <w:r w:rsidRPr="003768EF">
        <w:rPr>
          <w:rFonts w:ascii="Arial" w:hAnsi="Arial" w:cs="Arial"/>
          <w:sz w:val="22"/>
          <w:szCs w:val="22"/>
          <w:highlight w:val="yellow"/>
          <w:shd w:val="clear" w:color="auto" w:fill="FFFFFF"/>
        </w:rPr>
        <w:t>prioritised</w:t>
      </w:r>
      <w:proofErr w:type="spellEnd"/>
      <w:r w:rsidRPr="003768EF">
        <w:rPr>
          <w:rFonts w:ascii="Arial" w:hAnsi="Arial" w:cs="Arial"/>
          <w:sz w:val="22"/>
          <w:szCs w:val="22"/>
          <w:highlight w:val="yellow"/>
          <w:shd w:val="clear" w:color="auto" w:fill="FFFFFF"/>
        </w:rPr>
        <w:t xml:space="preserve"> before unsecured creditors in liquidation but below creditors with a fixed charge on assets such as property. Employees of the company are given higher priority as these people </w:t>
      </w:r>
      <w:r w:rsidRPr="003768EF">
        <w:rPr>
          <w:rFonts w:ascii="Arial" w:hAnsi="Arial" w:cs="Arial"/>
          <w:sz w:val="22"/>
          <w:szCs w:val="22"/>
          <w:highlight w:val="yellow"/>
          <w:shd w:val="clear" w:color="auto" w:fill="FFFFFF"/>
        </w:rPr>
        <w:lastRenderedPageBreak/>
        <w:t>put their time and effort into the company. Any unpaid wages (up to a maximum of £800), pension scheme contributions and holiday pay are entitled to be paid. Employees have had and will continue to have, long-standing title as preferential creditors.</w:t>
      </w:r>
    </w:p>
    <w:p w14:paraId="1ED06150" w14:textId="77777777" w:rsidR="00344914" w:rsidRPr="003768EF" w:rsidRDefault="00344914" w:rsidP="00344914">
      <w:pPr>
        <w:spacing w:line="276" w:lineRule="auto"/>
        <w:jc w:val="both"/>
        <w:rPr>
          <w:rFonts w:ascii="Arial" w:hAnsi="Arial" w:cs="Arial"/>
          <w:sz w:val="22"/>
          <w:szCs w:val="22"/>
          <w:highlight w:val="yellow"/>
          <w:shd w:val="clear" w:color="auto" w:fill="FFFFFF"/>
        </w:rPr>
      </w:pPr>
    </w:p>
    <w:p w14:paraId="3B31E9A5" w14:textId="77777777" w:rsidR="00344914" w:rsidRPr="003768EF" w:rsidRDefault="00344914" w:rsidP="00344914">
      <w:pPr>
        <w:spacing w:line="276" w:lineRule="auto"/>
        <w:jc w:val="both"/>
        <w:rPr>
          <w:rFonts w:ascii="Arial" w:hAnsi="Arial" w:cs="Arial"/>
          <w:sz w:val="22"/>
          <w:szCs w:val="22"/>
          <w:highlight w:val="yellow"/>
          <w:shd w:val="clear" w:color="auto" w:fill="FFFFFF"/>
        </w:rPr>
      </w:pPr>
      <w:r w:rsidRPr="003768EF">
        <w:rPr>
          <w:rFonts w:ascii="Arial" w:hAnsi="Arial" w:cs="Arial"/>
          <w:sz w:val="22"/>
          <w:szCs w:val="22"/>
          <w:highlight w:val="yellow"/>
          <w:shd w:val="clear" w:color="auto" w:fill="FFFFFF"/>
        </w:rPr>
        <w:t>A floating charge as created ranks behind the preferential creditors. Payment to this class of creditors is subject to IA 1986, s 40 which provides that “.. p</w:t>
      </w:r>
      <w:r w:rsidRPr="003768EF">
        <w:rPr>
          <w:rFonts w:ascii="Arial" w:hAnsi="Arial" w:cs="Arial"/>
          <w:color w:val="000000"/>
          <w:sz w:val="22"/>
          <w:szCs w:val="22"/>
          <w:highlight w:val="yellow"/>
          <w:shd w:val="clear" w:color="auto" w:fill="FFFFFF"/>
        </w:rPr>
        <w:t>ayments made under this section shall be recouped, as far as may be, out of the assets of the company available for payment of general creditors</w:t>
      </w:r>
      <w:r w:rsidRPr="003768EF">
        <w:rPr>
          <w:rFonts w:ascii="Arial" w:hAnsi="Arial" w:cs="Arial"/>
          <w:sz w:val="22"/>
          <w:szCs w:val="22"/>
          <w:highlight w:val="yellow"/>
          <w:shd w:val="clear" w:color="auto" w:fill="FFFFFF"/>
        </w:rPr>
        <w:t>.” Under section 176A(2) of the Insolvency Act 1986 an insolvency office holder is obliged to set aside the prescribed part and not distribute it to the holder of a floating charge except in so far as it exceeds the amount required for the satisfaction of unsecured debts.</w:t>
      </w:r>
    </w:p>
    <w:p w14:paraId="320F6DE9" w14:textId="77777777" w:rsidR="00344914" w:rsidRPr="003768EF" w:rsidRDefault="00344914" w:rsidP="00344914">
      <w:pPr>
        <w:spacing w:line="276" w:lineRule="auto"/>
        <w:jc w:val="both"/>
        <w:rPr>
          <w:rFonts w:ascii="Arial" w:hAnsi="Arial" w:cs="Arial"/>
          <w:sz w:val="22"/>
          <w:szCs w:val="22"/>
          <w:highlight w:val="yellow"/>
          <w:shd w:val="clear" w:color="auto" w:fill="FFFFFF"/>
        </w:rPr>
      </w:pPr>
    </w:p>
    <w:p w14:paraId="14F864C1" w14:textId="77777777" w:rsidR="00344914" w:rsidRPr="00DE15DB" w:rsidRDefault="00344914" w:rsidP="00344914">
      <w:pPr>
        <w:spacing w:line="276" w:lineRule="auto"/>
        <w:jc w:val="both"/>
        <w:rPr>
          <w:rFonts w:ascii="Arial" w:hAnsi="Arial" w:cs="Arial"/>
          <w:sz w:val="22"/>
          <w:szCs w:val="22"/>
          <w:highlight w:val="yellow"/>
          <w:shd w:val="clear" w:color="auto" w:fill="FFFFFF"/>
        </w:rPr>
      </w:pPr>
      <w:r w:rsidRPr="003768EF">
        <w:rPr>
          <w:rFonts w:ascii="Arial" w:hAnsi="Arial" w:cs="Arial"/>
          <w:sz w:val="22"/>
          <w:szCs w:val="22"/>
          <w:highlight w:val="yellow"/>
          <w:shd w:val="clear" w:color="auto" w:fill="FFFFFF"/>
        </w:rPr>
        <w:t xml:space="preserve">An unsecured creditor does not hold any security or collateral against the debt owed to them. Unsecured creditors may include providers of unsecured loans, suppliers, contractors, and landlords, but they all rank equally and are paid a percentage of available funds, if any </w:t>
      </w:r>
      <w:proofErr w:type="spellStart"/>
      <w:r w:rsidRPr="003768EF">
        <w:rPr>
          <w:rFonts w:ascii="Arial" w:hAnsi="Arial" w:cs="Arial"/>
          <w:sz w:val="22"/>
          <w:szCs w:val="22"/>
          <w:highlight w:val="yellow"/>
          <w:shd w:val="clear" w:color="auto" w:fill="FFFFFF"/>
        </w:rPr>
        <w:t>exist.</w:t>
      </w:r>
      <w:r w:rsidRPr="003768EF">
        <w:rPr>
          <w:rFonts w:ascii="Arial" w:hAnsi="Arial" w:cs="Arial"/>
          <w:sz w:val="22"/>
          <w:szCs w:val="22"/>
          <w:highlight w:val="yellow"/>
        </w:rPr>
        <w:t>Company</w:t>
      </w:r>
      <w:proofErr w:type="spellEnd"/>
      <w:r w:rsidRPr="003768EF">
        <w:rPr>
          <w:rFonts w:ascii="Arial" w:hAnsi="Arial" w:cs="Arial"/>
          <w:sz w:val="22"/>
          <w:szCs w:val="22"/>
          <w:highlight w:val="yellow"/>
        </w:rPr>
        <w:t xml:space="preserve"> shareholders are placed at the bottom of the priority list in liquidation.</w:t>
      </w:r>
    </w:p>
    <w:p w14:paraId="1E0C9EA1" w14:textId="77777777" w:rsidR="00344914" w:rsidRPr="003768EF" w:rsidRDefault="00344914" w:rsidP="00344914">
      <w:pPr>
        <w:spacing w:line="276" w:lineRule="auto"/>
        <w:jc w:val="both"/>
        <w:rPr>
          <w:rFonts w:ascii="Arial" w:hAnsi="Arial" w:cs="Arial"/>
          <w:sz w:val="22"/>
          <w:szCs w:val="22"/>
          <w:highlight w:val="yellow"/>
          <w:shd w:val="clear" w:color="auto" w:fill="FFFFFF"/>
        </w:rPr>
      </w:pPr>
    </w:p>
    <w:p w14:paraId="652E52B0" w14:textId="77777777" w:rsidR="00344914" w:rsidRPr="004453B3" w:rsidRDefault="00344914" w:rsidP="00344914">
      <w:pPr>
        <w:spacing w:line="276" w:lineRule="auto"/>
        <w:jc w:val="both"/>
        <w:rPr>
          <w:rFonts w:ascii="Arial" w:hAnsi="Arial" w:cs="Arial"/>
          <w:sz w:val="22"/>
          <w:szCs w:val="22"/>
        </w:rPr>
      </w:pPr>
      <w:r w:rsidRPr="003768EF">
        <w:rPr>
          <w:rFonts w:ascii="Arial" w:hAnsi="Arial" w:cs="Arial"/>
          <w:sz w:val="22"/>
          <w:szCs w:val="22"/>
          <w:highlight w:val="yellow"/>
          <w:lang w:val="en-GB"/>
        </w:rPr>
        <w:t>The order of priority listed above changes if the company had been subject to a Moratorium under Part A1 of the Insolvency Act 1986 during the 12-week period prior to the commencement of the liquidation</w:t>
      </w:r>
      <w:r>
        <w:rPr>
          <w:rFonts w:ascii="Arial" w:hAnsi="Arial" w:cs="Arial"/>
          <w:sz w:val="22"/>
          <w:szCs w:val="22"/>
          <w:highlight w:val="yellow"/>
          <w:lang w:val="en-GB"/>
        </w:rPr>
        <w:t xml:space="preserve">. </w:t>
      </w:r>
      <w:r w:rsidRPr="003768EF">
        <w:rPr>
          <w:rFonts w:ascii="Arial" w:hAnsi="Arial" w:cs="Arial"/>
          <w:sz w:val="22"/>
          <w:szCs w:val="22"/>
          <w:highlight w:val="yellow"/>
          <w:lang w:val="en-GB"/>
        </w:rPr>
        <w:t xml:space="preserve"> </w:t>
      </w:r>
      <w:r w:rsidRPr="004453B3">
        <w:rPr>
          <w:rFonts w:ascii="Arial" w:hAnsi="Arial" w:cs="Arial"/>
          <w:sz w:val="22"/>
          <w:szCs w:val="22"/>
          <w:highlight w:val="yellow"/>
        </w:rPr>
        <w:t>A new Part A1 was inserted into the Insolvency Act 1986 by the Corporate Insolvency and Governance Act 2020 (CIGA 2020), which went into effect on June 26, 2020. The following are payable out of the company's assets in preference to all other claims in the following order of priority when section 174A of the Insolvency Act 1986 is in effect (proceedings for the winding up of a business are initiated within a period of 12 weeks commencing with the day after the end of a moratorium under Part A1).</w:t>
      </w:r>
    </w:p>
    <w:p w14:paraId="3D271FBA" w14:textId="77777777" w:rsidR="00344914" w:rsidRPr="00E87EF8" w:rsidRDefault="00344914" w:rsidP="00344914">
      <w:pPr>
        <w:pStyle w:val="NormalWeb"/>
        <w:shd w:val="clear" w:color="auto" w:fill="FFFFFF"/>
        <w:spacing w:before="300" w:beforeAutospacing="0" w:after="300" w:afterAutospacing="0" w:line="276" w:lineRule="auto"/>
        <w:jc w:val="both"/>
        <w:rPr>
          <w:rFonts w:ascii="Arial" w:hAnsi="Arial" w:cs="Arial"/>
          <w:sz w:val="22"/>
          <w:szCs w:val="22"/>
          <w:highlight w:val="yellow"/>
        </w:rPr>
      </w:pPr>
      <w:r w:rsidRPr="004453B3">
        <w:rPr>
          <w:rFonts w:ascii="Arial" w:hAnsi="Arial" w:cs="Arial"/>
          <w:sz w:val="22"/>
          <w:szCs w:val="22"/>
          <w:highlight w:val="yellow"/>
        </w:rPr>
        <w:t xml:space="preserve">The prescribed fees or expenses of the official receiver acting in any capacity in relation to the company and moratorium debts and pre-moratorium debts for which the company did not have a payment holiday during the moratorium </w:t>
      </w:r>
      <w:r w:rsidRPr="00E87EF8">
        <w:rPr>
          <w:rFonts w:ascii="Arial" w:hAnsi="Arial" w:cs="Arial"/>
          <w:sz w:val="22"/>
          <w:szCs w:val="22"/>
          <w:highlight w:val="yellow"/>
        </w:rPr>
        <w:t>are payable in the following order of priority:</w:t>
      </w:r>
    </w:p>
    <w:p w14:paraId="20F8EABA" w14:textId="278DA8BE" w:rsidR="00344914" w:rsidRPr="00E87EF8" w:rsidRDefault="00344914" w:rsidP="00344914">
      <w:pPr>
        <w:numPr>
          <w:ilvl w:val="0"/>
          <w:numId w:val="21"/>
        </w:numPr>
        <w:shd w:val="clear" w:color="auto" w:fill="FFFFFF"/>
        <w:spacing w:after="75"/>
        <w:ind w:left="1020"/>
        <w:rPr>
          <w:rFonts w:ascii="Arial" w:hAnsi="Arial" w:cs="Arial"/>
          <w:color w:val="0B0C0C"/>
          <w:sz w:val="22"/>
          <w:szCs w:val="22"/>
          <w:highlight w:val="yellow"/>
        </w:rPr>
      </w:pPr>
      <w:r w:rsidRPr="00E87EF8">
        <w:rPr>
          <w:rFonts w:ascii="Arial" w:hAnsi="Arial" w:cs="Arial"/>
          <w:color w:val="0B0C0C"/>
          <w:sz w:val="22"/>
          <w:szCs w:val="22"/>
          <w:highlight w:val="yellow"/>
        </w:rPr>
        <w:t>amounts payable in respect of goods or services supplied during the moratorium under a contract where, but for section 233B(3) or (4) of that Act, the supplier would not have had to make that supply</w:t>
      </w:r>
      <w:r>
        <w:rPr>
          <w:rFonts w:ascii="Arial" w:hAnsi="Arial" w:cs="Arial"/>
          <w:color w:val="0B0C0C"/>
          <w:sz w:val="22"/>
          <w:szCs w:val="22"/>
          <w:highlight w:val="yellow"/>
        </w:rPr>
        <w:t>;</w:t>
      </w:r>
    </w:p>
    <w:p w14:paraId="0851B857" w14:textId="008F4E6E" w:rsidR="00344914" w:rsidRPr="00E87EF8" w:rsidRDefault="00344914" w:rsidP="00344914">
      <w:pPr>
        <w:numPr>
          <w:ilvl w:val="0"/>
          <w:numId w:val="21"/>
        </w:numPr>
        <w:shd w:val="clear" w:color="auto" w:fill="FFFFFF"/>
        <w:spacing w:after="75"/>
        <w:ind w:left="1020"/>
        <w:rPr>
          <w:rFonts w:ascii="Arial" w:hAnsi="Arial" w:cs="Arial"/>
          <w:color w:val="0B0C0C"/>
          <w:sz w:val="22"/>
          <w:szCs w:val="22"/>
          <w:highlight w:val="yellow"/>
        </w:rPr>
      </w:pPr>
      <w:r w:rsidRPr="00E87EF8">
        <w:rPr>
          <w:rFonts w:ascii="Arial" w:hAnsi="Arial" w:cs="Arial"/>
          <w:color w:val="0B0C0C"/>
          <w:sz w:val="22"/>
          <w:szCs w:val="22"/>
          <w:highlight w:val="yellow"/>
        </w:rPr>
        <w:t>wages or salary arising under a contract of employment</w:t>
      </w:r>
      <w:r>
        <w:rPr>
          <w:rFonts w:ascii="Arial" w:hAnsi="Arial" w:cs="Arial"/>
          <w:color w:val="0B0C0C"/>
          <w:sz w:val="22"/>
          <w:szCs w:val="22"/>
          <w:highlight w:val="yellow"/>
        </w:rPr>
        <w:t>;</w:t>
      </w:r>
    </w:p>
    <w:p w14:paraId="4219A21E" w14:textId="14C0776E" w:rsidR="00344914" w:rsidRPr="00E87EF8" w:rsidRDefault="00344914" w:rsidP="00344914">
      <w:pPr>
        <w:numPr>
          <w:ilvl w:val="0"/>
          <w:numId w:val="21"/>
        </w:numPr>
        <w:shd w:val="clear" w:color="auto" w:fill="FFFFFF"/>
        <w:spacing w:after="75"/>
        <w:ind w:left="1020"/>
        <w:rPr>
          <w:rFonts w:ascii="Arial" w:hAnsi="Arial" w:cs="Arial"/>
          <w:color w:val="0B0C0C"/>
          <w:sz w:val="22"/>
          <w:szCs w:val="22"/>
          <w:highlight w:val="yellow"/>
        </w:rPr>
      </w:pPr>
      <w:r w:rsidRPr="00E87EF8">
        <w:rPr>
          <w:rFonts w:ascii="Arial" w:hAnsi="Arial" w:cs="Arial"/>
          <w:color w:val="0B0C0C"/>
          <w:sz w:val="22"/>
          <w:szCs w:val="22"/>
          <w:highlight w:val="yellow"/>
        </w:rPr>
        <w:t>other debts or other liabilities apart from the monitor’s remuneration or expenses</w:t>
      </w:r>
      <w:r>
        <w:rPr>
          <w:rFonts w:ascii="Arial" w:hAnsi="Arial" w:cs="Arial"/>
          <w:color w:val="0B0C0C"/>
          <w:sz w:val="22"/>
          <w:szCs w:val="22"/>
          <w:highlight w:val="yellow"/>
        </w:rPr>
        <w:t>;</w:t>
      </w:r>
    </w:p>
    <w:p w14:paraId="3DAA6780" w14:textId="36B2638C" w:rsidR="00962045" w:rsidRDefault="00344914" w:rsidP="00344914">
      <w:pPr>
        <w:numPr>
          <w:ilvl w:val="0"/>
          <w:numId w:val="21"/>
        </w:numPr>
        <w:shd w:val="clear" w:color="auto" w:fill="FFFFFF"/>
        <w:spacing w:after="75"/>
        <w:ind w:left="1020"/>
        <w:rPr>
          <w:rFonts w:ascii="Arial" w:hAnsi="Arial" w:cs="Arial"/>
          <w:color w:val="0B0C0C"/>
          <w:sz w:val="22"/>
          <w:szCs w:val="22"/>
          <w:highlight w:val="yellow"/>
        </w:rPr>
      </w:pPr>
      <w:r w:rsidRPr="00E87EF8">
        <w:rPr>
          <w:rFonts w:ascii="Arial" w:hAnsi="Arial" w:cs="Arial"/>
          <w:color w:val="0B0C0C"/>
          <w:sz w:val="22"/>
          <w:szCs w:val="22"/>
          <w:highlight w:val="yellow"/>
        </w:rPr>
        <w:t>the monitor’s remuneration or expenses</w:t>
      </w:r>
      <w:r>
        <w:rPr>
          <w:rFonts w:ascii="Arial" w:hAnsi="Arial" w:cs="Arial"/>
          <w:color w:val="0B0C0C"/>
          <w:sz w:val="22"/>
          <w:szCs w:val="22"/>
          <w:highlight w:val="yellow"/>
        </w:rPr>
        <w:t>.</w:t>
      </w:r>
    </w:p>
    <w:p w14:paraId="7069D7EE" w14:textId="77777777" w:rsidR="00344914" w:rsidRPr="00344914" w:rsidRDefault="00344914" w:rsidP="00344914">
      <w:pPr>
        <w:shd w:val="clear" w:color="auto" w:fill="FFFFFF"/>
        <w:spacing w:after="75"/>
        <w:ind w:left="1020"/>
        <w:rPr>
          <w:rFonts w:ascii="Arial" w:hAnsi="Arial" w:cs="Arial"/>
          <w:color w:val="0B0C0C"/>
          <w:sz w:val="22"/>
          <w:szCs w:val="22"/>
          <w:highlight w:val="yellow"/>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lastRenderedPageBreak/>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7A7988" w:rsidRDefault="007E2919" w:rsidP="007E2919">
      <w:pPr>
        <w:rPr>
          <w:rFonts w:ascii="Avenir Next" w:hAnsi="Avenir Next" w:cs="Arial"/>
          <w:b/>
          <w:bCs/>
          <w:sz w:val="22"/>
          <w:szCs w:val="22"/>
          <w:u w:val="single"/>
        </w:rPr>
      </w:pPr>
      <w:r w:rsidRPr="007A7988">
        <w:rPr>
          <w:rFonts w:ascii="Avenir Next" w:hAnsi="Avenir Next" w:cs="Arial"/>
          <w:b/>
          <w:bCs/>
          <w:sz w:val="22"/>
          <w:szCs w:val="22"/>
          <w:highlight w:val="yellow"/>
          <w:u w:val="single"/>
        </w:rPr>
        <w:t xml:space="preserve">The floating charge in favour of </w:t>
      </w:r>
      <w:r w:rsidR="00F41146" w:rsidRPr="007A7988">
        <w:rPr>
          <w:rFonts w:ascii="Avenir Next" w:hAnsi="Avenir Next" w:cs="Arial"/>
          <w:b/>
          <w:bCs/>
          <w:sz w:val="22"/>
          <w:szCs w:val="22"/>
          <w:highlight w:val="yellow"/>
          <w:u w:val="single"/>
        </w:rPr>
        <w:t>Fretus</w:t>
      </w:r>
      <w:r w:rsidRPr="007A7988">
        <w:rPr>
          <w:rFonts w:ascii="Avenir Next" w:hAnsi="Avenir Next" w:cs="Arial"/>
          <w:b/>
          <w:bCs/>
          <w:sz w:val="22"/>
          <w:szCs w:val="22"/>
          <w:highlight w:val="yellow"/>
          <w:u w:val="single"/>
        </w:rPr>
        <w:t xml:space="preserve"> Bank plc;</w:t>
      </w:r>
    </w:p>
    <w:p w14:paraId="451B70BA" w14:textId="11C85D31" w:rsidR="007E2919" w:rsidRDefault="007E2919" w:rsidP="007E2919">
      <w:pPr>
        <w:rPr>
          <w:rFonts w:ascii="Avenir Next" w:hAnsi="Avenir Next" w:cs="Arial"/>
          <w:b/>
          <w:sz w:val="22"/>
          <w:szCs w:val="22"/>
        </w:rPr>
      </w:pPr>
    </w:p>
    <w:p w14:paraId="27F6AD03" w14:textId="093C363A" w:rsidR="007913E7" w:rsidRPr="00857E9D" w:rsidRDefault="007913E7" w:rsidP="00857E9D">
      <w:pPr>
        <w:spacing w:line="276" w:lineRule="auto"/>
        <w:jc w:val="both"/>
        <w:rPr>
          <w:rFonts w:ascii="Arial" w:hAnsi="Arial" w:cs="Arial"/>
          <w:sz w:val="22"/>
          <w:szCs w:val="22"/>
        </w:rPr>
      </w:pPr>
      <w:r w:rsidRPr="00857E9D">
        <w:rPr>
          <w:rFonts w:ascii="Arial" w:hAnsi="Arial" w:cs="Arial"/>
          <w:sz w:val="22"/>
          <w:szCs w:val="22"/>
          <w:highlight w:val="yellow"/>
        </w:rPr>
        <w:t xml:space="preserve">Under Insolvency Act 1986, a liquidator can </w:t>
      </w:r>
      <w:r w:rsidRPr="00857E9D">
        <w:rPr>
          <w:rFonts w:ascii="Arial" w:hAnsi="Arial" w:cs="Arial"/>
          <w:sz w:val="22"/>
          <w:szCs w:val="22"/>
          <w:highlight w:val="yellow"/>
        </w:rPr>
        <w:t>act</w:t>
      </w:r>
      <w:r w:rsidRPr="00857E9D">
        <w:rPr>
          <w:rFonts w:ascii="Arial" w:hAnsi="Arial" w:cs="Arial"/>
          <w:sz w:val="22"/>
          <w:szCs w:val="22"/>
          <w:highlight w:val="yellow"/>
        </w:rPr>
        <w:t xml:space="preserve"> where it is alleged that a preference took place when a transaction was conducted. Section 239 provides that a transaction can be avoided where a preference is given by an individual or company doing or suffering to be done anything which has the effect of improving the position of a creditor, in the event of insolvent liquidation.</w:t>
      </w:r>
      <w:r w:rsidRPr="00857E9D">
        <w:rPr>
          <w:rFonts w:ascii="Arial" w:hAnsi="Arial" w:cs="Arial"/>
          <w:sz w:val="22"/>
          <w:szCs w:val="22"/>
        </w:rPr>
        <w:t xml:space="preserve"> </w:t>
      </w:r>
      <w:r w:rsidRPr="00857E9D">
        <w:rPr>
          <w:rFonts w:ascii="Arial" w:hAnsi="Arial" w:cs="Arial"/>
          <w:sz w:val="22"/>
          <w:szCs w:val="22"/>
        </w:rPr>
        <w:t xml:space="preserve"> </w:t>
      </w:r>
    </w:p>
    <w:p w14:paraId="65F9059E" w14:textId="77777777" w:rsidR="00857E9D" w:rsidRPr="00857E9D" w:rsidRDefault="00857E9D" w:rsidP="007913E7">
      <w:pPr>
        <w:rPr>
          <w:rFonts w:ascii="Arial" w:hAnsi="Arial" w:cs="Arial"/>
          <w:sz w:val="22"/>
          <w:szCs w:val="22"/>
        </w:rPr>
      </w:pPr>
    </w:p>
    <w:p w14:paraId="6A1FDCEB" w14:textId="10E2239C" w:rsidR="00706987" w:rsidRPr="00857E9D" w:rsidRDefault="00121818" w:rsidP="00706987">
      <w:pPr>
        <w:pStyle w:val="legclearfix"/>
        <w:shd w:val="clear" w:color="auto" w:fill="FFFFFF"/>
        <w:spacing w:before="0" w:beforeAutospacing="0" w:after="120" w:afterAutospacing="0" w:line="360" w:lineRule="atLeast"/>
        <w:rPr>
          <w:rFonts w:ascii="Arial" w:hAnsi="Arial" w:cs="Arial"/>
          <w:color w:val="000000"/>
          <w:sz w:val="22"/>
          <w:szCs w:val="22"/>
          <w:highlight w:val="yellow"/>
        </w:rPr>
      </w:pPr>
      <w:r w:rsidRPr="000A64C0">
        <w:rPr>
          <w:rFonts w:ascii="Arial" w:hAnsi="Arial" w:cs="Arial"/>
          <w:bCs/>
          <w:sz w:val="22"/>
          <w:szCs w:val="22"/>
          <w:highlight w:val="yellow"/>
        </w:rPr>
        <w:t xml:space="preserve">The floating charge in </w:t>
      </w:r>
      <w:proofErr w:type="spellStart"/>
      <w:r w:rsidRPr="000A64C0">
        <w:rPr>
          <w:rFonts w:ascii="Arial" w:hAnsi="Arial" w:cs="Arial"/>
          <w:bCs/>
          <w:sz w:val="22"/>
          <w:szCs w:val="22"/>
          <w:highlight w:val="yellow"/>
        </w:rPr>
        <w:t>favour</w:t>
      </w:r>
      <w:proofErr w:type="spellEnd"/>
      <w:r w:rsidRPr="000A64C0">
        <w:rPr>
          <w:rFonts w:ascii="Arial" w:hAnsi="Arial" w:cs="Arial"/>
          <w:bCs/>
          <w:sz w:val="22"/>
          <w:szCs w:val="22"/>
          <w:highlight w:val="yellow"/>
        </w:rPr>
        <w:t xml:space="preserve"> of </w:t>
      </w:r>
      <w:proofErr w:type="spellStart"/>
      <w:r w:rsidRPr="000A64C0">
        <w:rPr>
          <w:rFonts w:ascii="Arial" w:hAnsi="Arial" w:cs="Arial"/>
          <w:bCs/>
          <w:sz w:val="22"/>
          <w:szCs w:val="22"/>
          <w:highlight w:val="yellow"/>
        </w:rPr>
        <w:t>Fretus</w:t>
      </w:r>
      <w:proofErr w:type="spellEnd"/>
      <w:r w:rsidRPr="000A64C0">
        <w:rPr>
          <w:rFonts w:ascii="Arial" w:hAnsi="Arial" w:cs="Arial"/>
          <w:bCs/>
          <w:sz w:val="22"/>
          <w:szCs w:val="22"/>
          <w:highlight w:val="yellow"/>
        </w:rPr>
        <w:t xml:space="preserve"> Bank Plc will be rendered invalid  if the transaction took place within the relevant time. </w:t>
      </w:r>
      <w:r w:rsidR="007913E7">
        <w:rPr>
          <w:rFonts w:ascii="Arial" w:hAnsi="Arial" w:cs="Arial"/>
          <w:bCs/>
          <w:sz w:val="22"/>
          <w:szCs w:val="22"/>
          <w:highlight w:val="yellow"/>
        </w:rPr>
        <w:t>T</w:t>
      </w:r>
      <w:r w:rsidR="007913E7" w:rsidRPr="000A64C0">
        <w:rPr>
          <w:rFonts w:ascii="Arial" w:hAnsi="Arial" w:cs="Arial"/>
          <w:bCs/>
          <w:sz w:val="22"/>
          <w:szCs w:val="22"/>
          <w:highlight w:val="yellow"/>
        </w:rPr>
        <w:t xml:space="preserve">he relevant time applicable in this scenario is 12 </w:t>
      </w:r>
      <w:r w:rsidR="007913E7" w:rsidRPr="000A64C0">
        <w:rPr>
          <w:rFonts w:ascii="Arial" w:hAnsi="Arial" w:cs="Arial"/>
          <w:bCs/>
          <w:sz w:val="22"/>
          <w:szCs w:val="22"/>
          <w:highlight w:val="yellow"/>
        </w:rPr>
        <w:t>months</w:t>
      </w:r>
      <w:r w:rsidR="007913E7" w:rsidRPr="000A64C0">
        <w:rPr>
          <w:rFonts w:ascii="Arial" w:hAnsi="Arial" w:cs="Arial"/>
          <w:bCs/>
          <w:sz w:val="22"/>
          <w:szCs w:val="22"/>
          <w:highlight w:val="yellow"/>
        </w:rPr>
        <w:t xml:space="preserve"> prior  to the onset of the insolvency.  The onset date </w:t>
      </w:r>
      <w:r w:rsidR="007913E7">
        <w:rPr>
          <w:rFonts w:ascii="Arial" w:hAnsi="Arial" w:cs="Arial"/>
          <w:bCs/>
          <w:sz w:val="22"/>
          <w:szCs w:val="22"/>
          <w:highlight w:val="yellow"/>
        </w:rPr>
        <w:t xml:space="preserve">( date of winding up petition) </w:t>
      </w:r>
      <w:r w:rsidR="007913E7" w:rsidRPr="000A64C0">
        <w:rPr>
          <w:rFonts w:ascii="Arial" w:hAnsi="Arial" w:cs="Arial"/>
          <w:bCs/>
          <w:sz w:val="22"/>
          <w:szCs w:val="22"/>
          <w:highlight w:val="yellow"/>
        </w:rPr>
        <w:t>was 14</w:t>
      </w:r>
      <w:r w:rsidR="007913E7" w:rsidRPr="000A64C0">
        <w:rPr>
          <w:rFonts w:ascii="Arial" w:hAnsi="Arial" w:cs="Arial"/>
          <w:bCs/>
          <w:sz w:val="22"/>
          <w:szCs w:val="22"/>
          <w:highlight w:val="yellow"/>
          <w:vertAlign w:val="superscript"/>
        </w:rPr>
        <w:t>th</w:t>
      </w:r>
      <w:r w:rsidR="007913E7" w:rsidRPr="000A64C0">
        <w:rPr>
          <w:rFonts w:ascii="Arial" w:hAnsi="Arial" w:cs="Arial"/>
          <w:bCs/>
          <w:sz w:val="22"/>
          <w:szCs w:val="22"/>
          <w:highlight w:val="yellow"/>
        </w:rPr>
        <w:t xml:space="preserve"> October 2022 and the debenture</w:t>
      </w:r>
      <w:r w:rsidR="007913E7">
        <w:rPr>
          <w:rFonts w:ascii="Arial" w:hAnsi="Arial" w:cs="Arial"/>
          <w:bCs/>
          <w:sz w:val="22"/>
          <w:szCs w:val="22"/>
          <w:highlight w:val="yellow"/>
        </w:rPr>
        <w:t xml:space="preserve"> </w:t>
      </w:r>
      <w:r w:rsidR="007913E7" w:rsidRPr="000A64C0">
        <w:rPr>
          <w:rFonts w:ascii="Arial" w:hAnsi="Arial" w:cs="Arial"/>
          <w:bCs/>
          <w:sz w:val="22"/>
          <w:szCs w:val="22"/>
          <w:highlight w:val="yellow"/>
        </w:rPr>
        <w:t xml:space="preserve">was granted in February 2022.  </w:t>
      </w:r>
      <w:r w:rsidR="007913E7" w:rsidRPr="000A64C0">
        <w:rPr>
          <w:rFonts w:ascii="Arial" w:hAnsi="Arial" w:cs="Arial"/>
          <w:bCs/>
          <w:sz w:val="22"/>
          <w:szCs w:val="22"/>
          <w:highlight w:val="yellow"/>
        </w:rPr>
        <w:t>Thus,</w:t>
      </w:r>
      <w:r w:rsidR="007913E7" w:rsidRPr="000A64C0">
        <w:rPr>
          <w:rFonts w:ascii="Arial" w:hAnsi="Arial" w:cs="Arial"/>
          <w:bCs/>
          <w:sz w:val="22"/>
          <w:szCs w:val="22"/>
          <w:highlight w:val="yellow"/>
        </w:rPr>
        <w:t xml:space="preserve"> the transaction </w:t>
      </w:r>
      <w:r w:rsidR="007913E7">
        <w:rPr>
          <w:rFonts w:ascii="Arial" w:hAnsi="Arial" w:cs="Arial"/>
          <w:bCs/>
          <w:sz w:val="22"/>
          <w:szCs w:val="22"/>
          <w:highlight w:val="yellow"/>
        </w:rPr>
        <w:t xml:space="preserve">which </w:t>
      </w:r>
      <w:r w:rsidR="007913E7" w:rsidRPr="000A64C0">
        <w:rPr>
          <w:rFonts w:ascii="Arial" w:hAnsi="Arial" w:cs="Arial"/>
          <w:bCs/>
          <w:sz w:val="22"/>
          <w:szCs w:val="22"/>
          <w:highlight w:val="yellow"/>
        </w:rPr>
        <w:t>took place</w:t>
      </w:r>
      <w:r w:rsidR="00706987">
        <w:rPr>
          <w:rFonts w:ascii="Arial" w:hAnsi="Arial" w:cs="Arial"/>
          <w:bCs/>
          <w:sz w:val="22"/>
          <w:szCs w:val="22"/>
          <w:highlight w:val="yellow"/>
        </w:rPr>
        <w:t xml:space="preserve"> 8 months prior to the onset of insolvency falls within the </w:t>
      </w:r>
      <w:r w:rsidR="00857E9D">
        <w:rPr>
          <w:rFonts w:ascii="Arial" w:hAnsi="Arial" w:cs="Arial"/>
          <w:bCs/>
          <w:sz w:val="22"/>
          <w:szCs w:val="22"/>
          <w:highlight w:val="yellow"/>
        </w:rPr>
        <w:t xml:space="preserve">section 245 3 (b) which states that </w:t>
      </w:r>
      <w:r w:rsidR="00706987">
        <w:rPr>
          <w:rStyle w:val="legds"/>
          <w:rFonts w:ascii="Arial" w:hAnsi="Arial" w:cs="Arial"/>
          <w:color w:val="000000"/>
          <w:sz w:val="19"/>
          <w:szCs w:val="19"/>
        </w:rPr>
        <w:t xml:space="preserve"> </w:t>
      </w:r>
      <w:r w:rsidR="00857E9D" w:rsidRPr="00857E9D">
        <w:rPr>
          <w:rStyle w:val="legds"/>
          <w:rFonts w:ascii="Arial" w:hAnsi="Arial" w:cs="Arial"/>
          <w:color w:val="000000"/>
          <w:sz w:val="22"/>
          <w:szCs w:val="22"/>
          <w:highlight w:val="yellow"/>
        </w:rPr>
        <w:t>“</w:t>
      </w:r>
      <w:r w:rsidR="00706987" w:rsidRPr="00857E9D">
        <w:rPr>
          <w:rStyle w:val="legds"/>
          <w:rFonts w:ascii="Arial" w:hAnsi="Arial" w:cs="Arial"/>
          <w:color w:val="000000"/>
          <w:sz w:val="22"/>
          <w:szCs w:val="22"/>
          <w:highlight w:val="yellow"/>
        </w:rPr>
        <w:t xml:space="preserve">the time at which a floating charge is created by a company is a relevant time for the purposes of this section if the charge is created—(b)in the case of a charge which is created in </w:t>
      </w:r>
      <w:proofErr w:type="spellStart"/>
      <w:r w:rsidR="00706987" w:rsidRPr="00857E9D">
        <w:rPr>
          <w:rStyle w:val="legds"/>
          <w:rFonts w:ascii="Arial" w:hAnsi="Arial" w:cs="Arial"/>
          <w:color w:val="000000"/>
          <w:sz w:val="22"/>
          <w:szCs w:val="22"/>
          <w:highlight w:val="yellow"/>
        </w:rPr>
        <w:t>favour</w:t>
      </w:r>
      <w:proofErr w:type="spellEnd"/>
      <w:r w:rsidR="00706987" w:rsidRPr="00857E9D">
        <w:rPr>
          <w:rStyle w:val="legds"/>
          <w:rFonts w:ascii="Arial" w:hAnsi="Arial" w:cs="Arial"/>
          <w:color w:val="000000"/>
          <w:sz w:val="22"/>
          <w:szCs w:val="22"/>
          <w:highlight w:val="yellow"/>
        </w:rPr>
        <w:t xml:space="preserve"> of any other person, at a time in the period of 12 months ending with the onset of insolvency</w:t>
      </w:r>
      <w:r w:rsidR="00857E9D" w:rsidRPr="00857E9D">
        <w:rPr>
          <w:rStyle w:val="legds"/>
          <w:rFonts w:ascii="Arial" w:hAnsi="Arial" w:cs="Arial"/>
          <w:color w:val="000000"/>
          <w:sz w:val="22"/>
          <w:szCs w:val="22"/>
          <w:highlight w:val="yellow"/>
        </w:rPr>
        <w:t>.</w:t>
      </w:r>
      <w:r w:rsidR="00857E9D" w:rsidRPr="00857E9D">
        <w:rPr>
          <w:rFonts w:ascii="Arial" w:hAnsi="Arial" w:cs="Arial"/>
          <w:color w:val="000000"/>
          <w:sz w:val="22"/>
          <w:szCs w:val="22"/>
          <w:highlight w:val="yellow"/>
        </w:rPr>
        <w:t>”</w:t>
      </w:r>
    </w:p>
    <w:p w14:paraId="4BFA04E0" w14:textId="77777777" w:rsidR="00706987" w:rsidRDefault="00706987" w:rsidP="00857E9D">
      <w:pPr>
        <w:spacing w:line="276" w:lineRule="auto"/>
        <w:jc w:val="both"/>
        <w:rPr>
          <w:rFonts w:ascii="Arial" w:hAnsi="Arial" w:cs="Arial"/>
          <w:bCs/>
          <w:sz w:val="22"/>
          <w:szCs w:val="22"/>
          <w:highlight w:val="yellow"/>
        </w:rPr>
      </w:pPr>
    </w:p>
    <w:p w14:paraId="72A962EC" w14:textId="6A5F6597" w:rsidR="00706987" w:rsidRDefault="00121818" w:rsidP="000A64C0">
      <w:pPr>
        <w:spacing w:line="276" w:lineRule="auto"/>
        <w:jc w:val="both"/>
        <w:rPr>
          <w:rFonts w:ascii="Arial" w:hAnsi="Arial" w:cs="Arial"/>
          <w:bCs/>
          <w:sz w:val="22"/>
          <w:szCs w:val="22"/>
          <w:highlight w:val="yellow"/>
        </w:rPr>
      </w:pPr>
      <w:r w:rsidRPr="000A64C0">
        <w:rPr>
          <w:rFonts w:ascii="Arial" w:hAnsi="Arial" w:cs="Arial"/>
          <w:bCs/>
          <w:sz w:val="22"/>
          <w:szCs w:val="22"/>
          <w:highlight w:val="yellow"/>
        </w:rPr>
        <w:t xml:space="preserve">The debenture was not in </w:t>
      </w:r>
      <w:proofErr w:type="spellStart"/>
      <w:r w:rsidRPr="000A64C0">
        <w:rPr>
          <w:rFonts w:ascii="Arial" w:hAnsi="Arial" w:cs="Arial"/>
          <w:bCs/>
          <w:sz w:val="22"/>
          <w:szCs w:val="22"/>
          <w:highlight w:val="yellow"/>
        </w:rPr>
        <w:t>favour</w:t>
      </w:r>
      <w:proofErr w:type="spellEnd"/>
      <w:r w:rsidRPr="000A64C0">
        <w:rPr>
          <w:rFonts w:ascii="Arial" w:hAnsi="Arial" w:cs="Arial"/>
          <w:bCs/>
          <w:sz w:val="22"/>
          <w:szCs w:val="22"/>
          <w:highlight w:val="yellow"/>
        </w:rPr>
        <w:t xml:space="preserve"> of any fresh loans but on pre-existing ones</w:t>
      </w:r>
      <w:r w:rsidR="00706987">
        <w:rPr>
          <w:rFonts w:ascii="Arial" w:hAnsi="Arial" w:cs="Arial"/>
          <w:bCs/>
          <w:sz w:val="22"/>
          <w:szCs w:val="22"/>
          <w:highlight w:val="yellow"/>
        </w:rPr>
        <w:t xml:space="preserve"> and falls within a preference given under section 239</w:t>
      </w:r>
      <w:r w:rsidRPr="000A64C0">
        <w:rPr>
          <w:rFonts w:ascii="Arial" w:hAnsi="Arial" w:cs="Arial"/>
          <w:bCs/>
          <w:sz w:val="22"/>
          <w:szCs w:val="22"/>
          <w:highlight w:val="yellow"/>
        </w:rPr>
        <w:t>.</w:t>
      </w:r>
      <w:r w:rsidR="00FE59EA" w:rsidRPr="000A64C0">
        <w:rPr>
          <w:rFonts w:ascii="Arial" w:hAnsi="Arial" w:cs="Arial"/>
          <w:bCs/>
          <w:sz w:val="22"/>
          <w:szCs w:val="22"/>
          <w:highlight w:val="yellow"/>
        </w:rPr>
        <w:t xml:space="preserve"> It does not appear that </w:t>
      </w:r>
      <w:proofErr w:type="spellStart"/>
      <w:r w:rsidR="00FE59EA" w:rsidRPr="000A64C0">
        <w:rPr>
          <w:rFonts w:ascii="Arial" w:hAnsi="Arial" w:cs="Arial"/>
          <w:bCs/>
          <w:sz w:val="22"/>
          <w:szCs w:val="22"/>
          <w:highlight w:val="yellow"/>
        </w:rPr>
        <w:t>Fretus</w:t>
      </w:r>
      <w:proofErr w:type="spellEnd"/>
      <w:r w:rsidR="00FE59EA" w:rsidRPr="000A64C0">
        <w:rPr>
          <w:rFonts w:ascii="Arial" w:hAnsi="Arial" w:cs="Arial"/>
          <w:bCs/>
          <w:sz w:val="22"/>
          <w:szCs w:val="22"/>
          <w:highlight w:val="yellow"/>
        </w:rPr>
        <w:t xml:space="preserve"> Bank Plc is a connected person within the meaning of section 2</w:t>
      </w:r>
      <w:r w:rsidR="00857E9D">
        <w:rPr>
          <w:rFonts w:ascii="Arial" w:hAnsi="Arial" w:cs="Arial"/>
          <w:bCs/>
          <w:sz w:val="22"/>
          <w:szCs w:val="22"/>
          <w:highlight w:val="yellow"/>
        </w:rPr>
        <w:t>49 IA 1986</w:t>
      </w:r>
      <w:r w:rsidR="00FE59EA" w:rsidRPr="000A64C0">
        <w:rPr>
          <w:rFonts w:ascii="Arial" w:hAnsi="Arial" w:cs="Arial"/>
          <w:bCs/>
          <w:sz w:val="22"/>
          <w:szCs w:val="22"/>
          <w:highlight w:val="yellow"/>
        </w:rPr>
        <w:t xml:space="preserve"> </w:t>
      </w:r>
      <w:r w:rsidR="00706987">
        <w:rPr>
          <w:rFonts w:ascii="Arial" w:hAnsi="Arial" w:cs="Arial"/>
          <w:bCs/>
          <w:sz w:val="22"/>
          <w:szCs w:val="22"/>
          <w:highlight w:val="yellow"/>
        </w:rPr>
        <w:t>( such as a director or an associate of a director).</w:t>
      </w:r>
    </w:p>
    <w:p w14:paraId="5BA0A73E" w14:textId="77777777" w:rsidR="00706987" w:rsidRDefault="00706987" w:rsidP="000A64C0">
      <w:pPr>
        <w:spacing w:line="276" w:lineRule="auto"/>
        <w:jc w:val="both"/>
        <w:rPr>
          <w:rFonts w:ascii="Arial" w:hAnsi="Arial" w:cs="Arial"/>
          <w:bCs/>
          <w:sz w:val="22"/>
          <w:szCs w:val="22"/>
          <w:highlight w:val="yellow"/>
        </w:rPr>
      </w:pPr>
    </w:p>
    <w:p w14:paraId="28A7767E" w14:textId="04BCA0DF" w:rsidR="00FE59EA" w:rsidRPr="000A64C0" w:rsidRDefault="00706987" w:rsidP="000A64C0">
      <w:pPr>
        <w:spacing w:line="276" w:lineRule="auto"/>
        <w:jc w:val="both"/>
        <w:rPr>
          <w:rFonts w:ascii="Arial" w:hAnsi="Arial" w:cs="Arial"/>
          <w:bCs/>
          <w:sz w:val="22"/>
          <w:szCs w:val="22"/>
          <w:highlight w:val="yellow"/>
        </w:rPr>
      </w:pPr>
      <w:r>
        <w:rPr>
          <w:rFonts w:ascii="Arial" w:hAnsi="Arial" w:cs="Arial"/>
          <w:bCs/>
          <w:sz w:val="22"/>
          <w:szCs w:val="22"/>
          <w:highlight w:val="yellow"/>
        </w:rPr>
        <w:t xml:space="preserve">Also it </w:t>
      </w:r>
      <w:r w:rsidR="00857E9D">
        <w:rPr>
          <w:rFonts w:ascii="Arial" w:hAnsi="Arial" w:cs="Arial"/>
          <w:bCs/>
          <w:sz w:val="22"/>
          <w:szCs w:val="22"/>
          <w:highlight w:val="yellow"/>
        </w:rPr>
        <w:t xml:space="preserve">is apparent that </w:t>
      </w:r>
      <w:r>
        <w:rPr>
          <w:rFonts w:ascii="Arial" w:hAnsi="Arial" w:cs="Arial"/>
          <w:bCs/>
          <w:sz w:val="22"/>
          <w:szCs w:val="22"/>
          <w:highlight w:val="yellow"/>
        </w:rPr>
        <w:t xml:space="preserve"> the company was insolvent and</w:t>
      </w:r>
      <w:r w:rsidR="00FE59EA" w:rsidRPr="000A64C0">
        <w:rPr>
          <w:rFonts w:ascii="Arial" w:hAnsi="Arial" w:cs="Arial"/>
          <w:bCs/>
          <w:sz w:val="22"/>
          <w:szCs w:val="22"/>
          <w:highlight w:val="yellow"/>
        </w:rPr>
        <w:t xml:space="preserve"> the time of the creation of the charge the company was insolvent and unable to pay its debts</w:t>
      </w:r>
      <w:r>
        <w:rPr>
          <w:rFonts w:ascii="Arial" w:hAnsi="Arial" w:cs="Arial"/>
          <w:bCs/>
          <w:sz w:val="22"/>
          <w:szCs w:val="22"/>
          <w:highlight w:val="yellow"/>
        </w:rPr>
        <w:t xml:space="preserve"> within the meaning of section 123 of IA 1986.</w:t>
      </w:r>
    </w:p>
    <w:p w14:paraId="304B7387" w14:textId="77777777" w:rsidR="00857E9D" w:rsidRDefault="00857E9D" w:rsidP="000A64C0">
      <w:pPr>
        <w:spacing w:line="276" w:lineRule="auto"/>
        <w:jc w:val="both"/>
        <w:rPr>
          <w:rFonts w:ascii="Arial" w:hAnsi="Arial" w:cs="Arial"/>
          <w:bCs/>
          <w:sz w:val="22"/>
          <w:szCs w:val="22"/>
          <w:highlight w:val="yellow"/>
        </w:rPr>
      </w:pPr>
    </w:p>
    <w:p w14:paraId="505E43D9" w14:textId="1FAAABE3" w:rsidR="007913E7" w:rsidRDefault="00857E9D" w:rsidP="000A64C0">
      <w:pPr>
        <w:spacing w:line="276" w:lineRule="auto"/>
        <w:jc w:val="both"/>
        <w:rPr>
          <w:rFonts w:ascii="Arial" w:hAnsi="Arial" w:cs="Arial"/>
          <w:bCs/>
          <w:sz w:val="22"/>
          <w:szCs w:val="22"/>
          <w:highlight w:val="yellow"/>
        </w:rPr>
      </w:pPr>
      <w:r w:rsidRPr="000A64C0">
        <w:rPr>
          <w:rFonts w:ascii="Arial" w:hAnsi="Arial" w:cs="Arial"/>
          <w:bCs/>
          <w:sz w:val="22"/>
          <w:szCs w:val="22"/>
          <w:highlight w:val="yellow"/>
        </w:rPr>
        <w:lastRenderedPageBreak/>
        <w:t>Therefore,</w:t>
      </w:r>
      <w:r w:rsidR="00FE59EA" w:rsidRPr="000A64C0">
        <w:rPr>
          <w:rFonts w:ascii="Arial" w:hAnsi="Arial" w:cs="Arial"/>
          <w:bCs/>
          <w:sz w:val="22"/>
          <w:szCs w:val="22"/>
          <w:highlight w:val="yellow"/>
        </w:rPr>
        <w:t xml:space="preserve"> </w:t>
      </w:r>
      <w:r>
        <w:rPr>
          <w:rFonts w:ascii="Arial" w:hAnsi="Arial" w:cs="Arial"/>
          <w:bCs/>
          <w:sz w:val="22"/>
          <w:szCs w:val="22"/>
          <w:highlight w:val="yellow"/>
        </w:rPr>
        <w:t>the transaction and floating charge will be invalidated upon the liquation order being made in accordance with section 245.</w:t>
      </w:r>
    </w:p>
    <w:p w14:paraId="000D3C50" w14:textId="16CF7486" w:rsidR="00F87A87" w:rsidRDefault="00F87A87" w:rsidP="002E7947">
      <w:pPr>
        <w:rPr>
          <w:rFonts w:ascii="Avenir Next" w:hAnsi="Avenir Next" w:cs="Arial"/>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14F1576E" w14:textId="2F421D16" w:rsidR="002E7947" w:rsidRPr="003D1DA9" w:rsidRDefault="007E2919" w:rsidP="0087693F">
      <w:pPr>
        <w:rPr>
          <w:rFonts w:ascii="Avenir Next" w:hAnsi="Avenir Next" w:cs="Arial"/>
          <w:b/>
          <w:bCs/>
          <w:sz w:val="22"/>
          <w:szCs w:val="22"/>
          <w:u w:val="single"/>
        </w:rPr>
      </w:pPr>
      <w:r w:rsidRPr="003D1DA9">
        <w:rPr>
          <w:rFonts w:ascii="Avenir Next" w:hAnsi="Avenir Next" w:cs="Arial"/>
          <w:b/>
          <w:bCs/>
          <w:sz w:val="22"/>
          <w:szCs w:val="22"/>
          <w:highlight w:val="yellow"/>
          <w:u w:val="single"/>
        </w:rPr>
        <w:t xml:space="preserve">The sale of the </w:t>
      </w:r>
      <w:r w:rsidR="00F41146" w:rsidRPr="003D1DA9">
        <w:rPr>
          <w:rFonts w:ascii="Avenir Next" w:hAnsi="Avenir Next" w:cs="Arial"/>
          <w:b/>
          <w:bCs/>
          <w:sz w:val="22"/>
          <w:szCs w:val="22"/>
          <w:highlight w:val="yellow"/>
          <w:u w:val="single"/>
        </w:rPr>
        <w:t>marble cutting machines</w:t>
      </w:r>
      <w:r w:rsidRPr="003D1DA9">
        <w:rPr>
          <w:rFonts w:ascii="Avenir Next" w:hAnsi="Avenir Next" w:cs="Arial"/>
          <w:b/>
          <w:bCs/>
          <w:sz w:val="22"/>
          <w:szCs w:val="22"/>
          <w:highlight w:val="yellow"/>
          <w:u w:val="single"/>
        </w:rPr>
        <w:t>;</w:t>
      </w:r>
      <w:r w:rsidRPr="003D1DA9">
        <w:rPr>
          <w:rFonts w:ascii="Avenir Next" w:hAnsi="Avenir Next" w:cs="Arial"/>
          <w:b/>
          <w:bCs/>
          <w:sz w:val="22"/>
          <w:szCs w:val="22"/>
          <w:u w:val="single"/>
        </w:rPr>
        <w:t xml:space="preserve"> </w:t>
      </w:r>
    </w:p>
    <w:p w14:paraId="2D59BF1E" w14:textId="6705B7C4" w:rsidR="00F87A87" w:rsidRDefault="00F87A87" w:rsidP="002E7947">
      <w:pPr>
        <w:pStyle w:val="NormalWeb"/>
        <w:spacing w:before="0" w:beforeAutospacing="0" w:after="0" w:afterAutospacing="0"/>
        <w:jc w:val="both"/>
        <w:rPr>
          <w:rFonts w:ascii="Avenir Next" w:hAnsi="Avenir Next" w:cs="Arial"/>
          <w:sz w:val="22"/>
          <w:szCs w:val="22"/>
        </w:rPr>
      </w:pPr>
    </w:p>
    <w:p w14:paraId="2493EAFF" w14:textId="77777777" w:rsidR="00662CDB" w:rsidRDefault="00662CDB" w:rsidP="0087693F"/>
    <w:p w14:paraId="64EDC386" w14:textId="77777777" w:rsidR="003D1DA9" w:rsidRDefault="003D1DA9" w:rsidP="003D1DA9">
      <w:pPr>
        <w:pStyle w:val="legrhs"/>
        <w:shd w:val="clear" w:color="auto" w:fill="FFFFFF"/>
        <w:spacing w:before="0" w:beforeAutospacing="0" w:after="120" w:afterAutospacing="0" w:line="276" w:lineRule="auto"/>
        <w:jc w:val="both"/>
        <w:rPr>
          <w:rFonts w:ascii="Arial" w:hAnsi="Arial" w:cs="Arial"/>
          <w:sz w:val="22"/>
          <w:szCs w:val="22"/>
          <w:highlight w:val="yellow"/>
        </w:rPr>
      </w:pPr>
      <w:r w:rsidRPr="003D1DA9">
        <w:rPr>
          <w:rFonts w:ascii="Arial" w:hAnsi="Arial" w:cs="Arial"/>
          <w:color w:val="000000"/>
          <w:sz w:val="22"/>
          <w:szCs w:val="22"/>
          <w:highlight w:val="yellow"/>
        </w:rPr>
        <w:t xml:space="preserve">Under Section 249 IA 1986 </w:t>
      </w:r>
      <w:r w:rsidRPr="003D1DA9">
        <w:rPr>
          <w:rFonts w:ascii="Arial" w:hAnsi="Arial" w:cs="Arial"/>
          <w:color w:val="000000"/>
          <w:sz w:val="22"/>
          <w:szCs w:val="22"/>
          <w:highlight w:val="yellow"/>
        </w:rPr>
        <w:t>a person is connected with a company i</w:t>
      </w:r>
      <w:r w:rsidRPr="003D1DA9">
        <w:rPr>
          <w:rFonts w:ascii="Arial" w:hAnsi="Arial" w:cs="Arial"/>
          <w:color w:val="000000"/>
          <w:sz w:val="22"/>
          <w:szCs w:val="22"/>
          <w:highlight w:val="yellow"/>
        </w:rPr>
        <w:t xml:space="preserve">f </w:t>
      </w:r>
      <w:r w:rsidRPr="003D1DA9">
        <w:rPr>
          <w:rStyle w:val="legds"/>
          <w:rFonts w:ascii="Arial" w:hAnsi="Arial" w:cs="Arial"/>
          <w:color w:val="000000"/>
          <w:sz w:val="22"/>
          <w:szCs w:val="22"/>
          <w:highlight w:val="yellow"/>
        </w:rPr>
        <w:t>(a)he is a director or shadow director of the company or an associate of such a director or shadow director, or</w:t>
      </w:r>
      <w:r w:rsidRPr="003D1DA9">
        <w:rPr>
          <w:rStyle w:val="legds"/>
          <w:rFonts w:ascii="Arial" w:hAnsi="Arial" w:cs="Arial"/>
          <w:color w:val="000000"/>
          <w:sz w:val="22"/>
          <w:szCs w:val="22"/>
          <w:highlight w:val="yellow"/>
        </w:rPr>
        <w:t xml:space="preserve"> (</w:t>
      </w:r>
      <w:r w:rsidRPr="003D1DA9">
        <w:rPr>
          <w:rStyle w:val="legds"/>
          <w:rFonts w:ascii="Arial" w:hAnsi="Arial" w:cs="Arial"/>
          <w:color w:val="000000"/>
          <w:sz w:val="22"/>
          <w:szCs w:val="22"/>
          <w:highlight w:val="yellow"/>
        </w:rPr>
        <w:t>b)he is an associate of the company</w:t>
      </w:r>
      <w:r>
        <w:rPr>
          <w:rStyle w:val="legds"/>
          <w:rFonts w:ascii="Arial" w:hAnsi="Arial" w:cs="Arial"/>
          <w:color w:val="000000"/>
          <w:sz w:val="22"/>
          <w:szCs w:val="22"/>
          <w:highlight w:val="yellow"/>
        </w:rPr>
        <w:t xml:space="preserve">. </w:t>
      </w:r>
      <w:r w:rsidRPr="003D1DA9">
        <w:rPr>
          <w:rFonts w:ascii="Arial" w:hAnsi="Arial" w:cs="Arial"/>
          <w:sz w:val="22"/>
          <w:szCs w:val="22"/>
          <w:highlight w:val="yellow"/>
        </w:rPr>
        <w:t xml:space="preserve">It is noted that </w:t>
      </w:r>
      <w:r w:rsidR="00662CDB" w:rsidRPr="003D1DA9">
        <w:rPr>
          <w:rFonts w:ascii="Arial" w:hAnsi="Arial" w:cs="Arial"/>
          <w:sz w:val="22"/>
          <w:szCs w:val="22"/>
          <w:highlight w:val="yellow"/>
        </w:rPr>
        <w:t>Rita Perkins is a director of the Company</w:t>
      </w:r>
      <w:r w:rsidRPr="003D1DA9">
        <w:rPr>
          <w:rFonts w:ascii="Arial" w:hAnsi="Arial" w:cs="Arial"/>
          <w:sz w:val="22"/>
          <w:szCs w:val="22"/>
          <w:highlight w:val="yellow"/>
        </w:rPr>
        <w:t xml:space="preserve"> and is therefore a connected person. </w:t>
      </w:r>
    </w:p>
    <w:p w14:paraId="018E8BCD" w14:textId="5FF25871" w:rsidR="00662CDB" w:rsidRPr="003D1DA9" w:rsidRDefault="003D1DA9" w:rsidP="003D1DA9">
      <w:pPr>
        <w:pStyle w:val="legrhs"/>
        <w:shd w:val="clear" w:color="auto" w:fill="FFFFFF"/>
        <w:spacing w:before="0" w:beforeAutospacing="0" w:after="120" w:afterAutospacing="0" w:line="276" w:lineRule="auto"/>
        <w:jc w:val="both"/>
        <w:rPr>
          <w:rStyle w:val="legds"/>
          <w:rFonts w:ascii="Arial" w:hAnsi="Arial" w:cs="Arial"/>
          <w:color w:val="000000"/>
          <w:sz w:val="22"/>
          <w:szCs w:val="22"/>
          <w:highlight w:val="yellow"/>
        </w:rPr>
      </w:pPr>
      <w:r w:rsidRPr="003D1DA9">
        <w:rPr>
          <w:rFonts w:ascii="Arial" w:hAnsi="Arial" w:cs="Arial"/>
          <w:sz w:val="22"/>
          <w:szCs w:val="22"/>
          <w:highlight w:val="yellow"/>
        </w:rPr>
        <w:t>Pursuant to the Insolvency</w:t>
      </w:r>
      <w:r w:rsidR="00F87A87" w:rsidRPr="003D1DA9">
        <w:rPr>
          <w:rFonts w:ascii="Arial" w:hAnsi="Arial" w:cs="Arial"/>
          <w:sz w:val="22"/>
          <w:szCs w:val="22"/>
          <w:highlight w:val="yellow"/>
        </w:rPr>
        <w:t xml:space="preserve"> Act 1986, </w:t>
      </w:r>
      <w:r w:rsidRPr="003D1DA9">
        <w:rPr>
          <w:rFonts w:ascii="Arial" w:hAnsi="Arial" w:cs="Arial"/>
          <w:sz w:val="22"/>
          <w:szCs w:val="22"/>
          <w:highlight w:val="yellow"/>
        </w:rPr>
        <w:t xml:space="preserve">the liquidator in the winding up of a company can attack a  </w:t>
      </w:r>
      <w:r w:rsidR="00F87A87" w:rsidRPr="003D1DA9">
        <w:rPr>
          <w:rFonts w:ascii="Arial" w:hAnsi="Arial" w:cs="Arial"/>
          <w:sz w:val="22"/>
          <w:szCs w:val="22"/>
          <w:highlight w:val="yellow"/>
        </w:rPr>
        <w:t>transaction at an undervalue</w:t>
      </w:r>
      <w:r w:rsidRPr="003D1DA9">
        <w:rPr>
          <w:rFonts w:ascii="Arial" w:hAnsi="Arial" w:cs="Arial"/>
          <w:sz w:val="22"/>
          <w:szCs w:val="22"/>
          <w:highlight w:val="yellow"/>
        </w:rPr>
        <w:t xml:space="preserve">. </w:t>
      </w:r>
      <w:r w:rsidR="00F87A87" w:rsidRPr="003D1DA9">
        <w:rPr>
          <w:rFonts w:ascii="Arial" w:hAnsi="Arial" w:cs="Arial"/>
          <w:sz w:val="22"/>
          <w:szCs w:val="22"/>
          <w:highlight w:val="yellow"/>
        </w:rPr>
        <w:t xml:space="preserve"> </w:t>
      </w:r>
      <w:r w:rsidR="00F87A87" w:rsidRPr="003D1DA9">
        <w:rPr>
          <w:rFonts w:ascii="Arial" w:hAnsi="Arial" w:cs="Arial"/>
          <w:sz w:val="22"/>
          <w:szCs w:val="22"/>
          <w:highlight w:val="yellow"/>
        </w:rPr>
        <w:t xml:space="preserve"> It is noted that the marble cutting machines were sold for </w:t>
      </w:r>
      <w:r w:rsidR="00F87A87" w:rsidRPr="003D1DA9">
        <w:rPr>
          <w:rFonts w:ascii="Arial" w:hAnsi="Arial" w:cs="Arial"/>
          <w:sz w:val="22"/>
          <w:szCs w:val="22"/>
          <w:highlight w:val="yellow"/>
        </w:rPr>
        <w:t>GBP 10,000 in cash</w:t>
      </w:r>
      <w:r w:rsidR="00F87A87" w:rsidRPr="003D1DA9">
        <w:rPr>
          <w:rFonts w:ascii="Arial" w:hAnsi="Arial" w:cs="Arial"/>
          <w:sz w:val="22"/>
          <w:szCs w:val="22"/>
          <w:highlight w:val="yellow"/>
        </w:rPr>
        <w:t xml:space="preserve"> whereas the machines were bought for </w:t>
      </w:r>
      <w:r w:rsidR="00F87A87" w:rsidRPr="003D1DA9">
        <w:rPr>
          <w:rFonts w:ascii="Arial" w:hAnsi="Arial" w:cs="Arial"/>
          <w:sz w:val="22"/>
          <w:szCs w:val="22"/>
          <w:highlight w:val="yellow"/>
        </w:rPr>
        <w:t>GBP 25,000 a year before.</w:t>
      </w:r>
      <w:r w:rsidR="00F87A87" w:rsidRPr="003D1DA9">
        <w:rPr>
          <w:rFonts w:ascii="Arial" w:hAnsi="Arial" w:cs="Arial"/>
          <w:sz w:val="22"/>
          <w:szCs w:val="22"/>
          <w:highlight w:val="yellow"/>
        </w:rPr>
        <w:t xml:space="preserve"> It is unlikely that the value of the machines would have depreciated so drastically in one year. Consequently upon obtaining a valuation</w:t>
      </w:r>
      <w:r w:rsidR="0087693F" w:rsidRPr="003D1DA9">
        <w:rPr>
          <w:rFonts w:ascii="Arial" w:hAnsi="Arial" w:cs="Arial"/>
          <w:sz w:val="22"/>
          <w:szCs w:val="22"/>
          <w:highlight w:val="yellow"/>
        </w:rPr>
        <w:t xml:space="preserve"> </w:t>
      </w:r>
      <w:r w:rsidRPr="003D1DA9">
        <w:rPr>
          <w:rFonts w:ascii="Arial" w:hAnsi="Arial" w:cs="Arial"/>
          <w:sz w:val="22"/>
          <w:szCs w:val="22"/>
          <w:highlight w:val="yellow"/>
        </w:rPr>
        <w:t>of the</w:t>
      </w:r>
      <w:r w:rsidR="00F87A87" w:rsidRPr="003D1DA9">
        <w:rPr>
          <w:rFonts w:ascii="Arial" w:hAnsi="Arial" w:cs="Arial"/>
          <w:sz w:val="22"/>
          <w:szCs w:val="22"/>
          <w:highlight w:val="yellow"/>
        </w:rPr>
        <w:t xml:space="preserve"> machines </w:t>
      </w:r>
      <w:r w:rsidR="0087693F" w:rsidRPr="003D1DA9">
        <w:rPr>
          <w:rFonts w:ascii="Arial" w:hAnsi="Arial" w:cs="Arial"/>
          <w:sz w:val="22"/>
          <w:szCs w:val="22"/>
          <w:highlight w:val="yellow"/>
        </w:rPr>
        <w:t xml:space="preserve">at the time of sale and it is proven that they were </w:t>
      </w:r>
      <w:r w:rsidR="00151077" w:rsidRPr="003D1DA9">
        <w:rPr>
          <w:rFonts w:ascii="Arial" w:hAnsi="Arial" w:cs="Arial"/>
          <w:sz w:val="22"/>
          <w:szCs w:val="22"/>
          <w:highlight w:val="yellow"/>
        </w:rPr>
        <w:t>sold at</w:t>
      </w:r>
      <w:r w:rsidR="00F87A87" w:rsidRPr="003D1DA9">
        <w:rPr>
          <w:rFonts w:ascii="Arial" w:hAnsi="Arial" w:cs="Arial"/>
          <w:sz w:val="22"/>
          <w:szCs w:val="22"/>
          <w:highlight w:val="yellow"/>
        </w:rPr>
        <w:t xml:space="preserve"> an undervalue the liquidator of the company is empowered</w:t>
      </w:r>
      <w:r w:rsidR="0087693F" w:rsidRPr="003D1DA9">
        <w:rPr>
          <w:rFonts w:ascii="Arial" w:hAnsi="Arial" w:cs="Arial"/>
          <w:sz w:val="22"/>
          <w:szCs w:val="22"/>
          <w:highlight w:val="yellow"/>
        </w:rPr>
        <w:t xml:space="preserve"> under </w:t>
      </w:r>
      <w:r w:rsidR="00F87A87" w:rsidRPr="003D1DA9">
        <w:rPr>
          <w:rStyle w:val="legds"/>
          <w:rFonts w:ascii="Arial" w:hAnsi="Arial" w:cs="Arial"/>
          <w:color w:val="000000"/>
          <w:sz w:val="22"/>
          <w:szCs w:val="22"/>
          <w:highlight w:val="yellow"/>
        </w:rPr>
        <w:t xml:space="preserve">Section 238  </w:t>
      </w:r>
      <w:r w:rsidR="0087693F" w:rsidRPr="003D1DA9">
        <w:rPr>
          <w:rStyle w:val="legds"/>
          <w:rFonts w:ascii="Arial" w:hAnsi="Arial" w:cs="Arial"/>
          <w:color w:val="000000"/>
          <w:sz w:val="22"/>
          <w:szCs w:val="22"/>
          <w:highlight w:val="yellow"/>
        </w:rPr>
        <w:t>to attack this transaction</w:t>
      </w:r>
      <w:r w:rsidR="00151077">
        <w:rPr>
          <w:rStyle w:val="legds"/>
          <w:rFonts w:ascii="Arial" w:hAnsi="Arial" w:cs="Arial"/>
          <w:color w:val="000000"/>
          <w:sz w:val="22"/>
          <w:szCs w:val="22"/>
          <w:highlight w:val="yellow"/>
        </w:rPr>
        <w:t xml:space="preserve"> and file an application to the court to avoid the transaction</w:t>
      </w:r>
      <w:r w:rsidR="0087693F" w:rsidRPr="003D1DA9">
        <w:rPr>
          <w:rStyle w:val="legds"/>
          <w:rFonts w:ascii="Arial" w:hAnsi="Arial" w:cs="Arial"/>
          <w:color w:val="000000"/>
          <w:sz w:val="22"/>
          <w:szCs w:val="22"/>
          <w:highlight w:val="yellow"/>
        </w:rPr>
        <w:t xml:space="preserve">.   The liquidator must show to the court that the </w:t>
      </w:r>
      <w:r>
        <w:rPr>
          <w:rStyle w:val="legds"/>
          <w:rFonts w:ascii="Arial" w:hAnsi="Arial" w:cs="Arial"/>
          <w:color w:val="000000"/>
          <w:sz w:val="22"/>
          <w:szCs w:val="22"/>
          <w:highlight w:val="yellow"/>
        </w:rPr>
        <w:t xml:space="preserve">company </w:t>
      </w:r>
      <w:r w:rsidR="0087693F" w:rsidRPr="003D1DA9">
        <w:rPr>
          <w:rStyle w:val="legds"/>
          <w:rFonts w:ascii="Arial" w:hAnsi="Arial" w:cs="Arial"/>
          <w:color w:val="000000"/>
          <w:sz w:val="22"/>
          <w:szCs w:val="22"/>
          <w:highlight w:val="yellow"/>
        </w:rPr>
        <w:t xml:space="preserve">entered into the transaction for a consideration at the date of the transaction significantly less than the value of the consideration provided by the company pursuant to sections 238 (2), (3), and (4).  </w:t>
      </w:r>
    </w:p>
    <w:p w14:paraId="1809CAF1" w14:textId="77777777" w:rsidR="00662CDB" w:rsidRPr="003D1DA9" w:rsidRDefault="00662CDB" w:rsidP="003D1DA9">
      <w:pPr>
        <w:spacing w:line="276" w:lineRule="auto"/>
        <w:rPr>
          <w:rStyle w:val="legds"/>
          <w:rFonts w:ascii="Arial" w:hAnsi="Arial" w:cs="Arial"/>
          <w:color w:val="000000"/>
          <w:sz w:val="22"/>
          <w:szCs w:val="22"/>
          <w:highlight w:val="yellow"/>
        </w:rPr>
      </w:pPr>
    </w:p>
    <w:p w14:paraId="0D7B845F" w14:textId="2F7A696D" w:rsidR="00662CDB" w:rsidRPr="003D1DA9" w:rsidRDefault="00662CDB" w:rsidP="003D1DA9">
      <w:pPr>
        <w:spacing w:line="276" w:lineRule="auto"/>
        <w:rPr>
          <w:rStyle w:val="legds"/>
          <w:rFonts w:ascii="Arial" w:hAnsi="Arial" w:cs="Arial"/>
          <w:color w:val="000000"/>
          <w:sz w:val="22"/>
          <w:szCs w:val="22"/>
          <w:highlight w:val="yellow"/>
        </w:rPr>
      </w:pPr>
      <w:r w:rsidRPr="003D1DA9">
        <w:rPr>
          <w:rFonts w:ascii="Arial" w:hAnsi="Arial" w:cs="Arial"/>
          <w:sz w:val="22"/>
          <w:szCs w:val="22"/>
          <w:highlight w:val="yellow"/>
        </w:rPr>
        <w:t xml:space="preserve"> Section 240 provided that </w:t>
      </w:r>
      <w:r w:rsidR="003D1DA9">
        <w:rPr>
          <w:rFonts w:ascii="Arial" w:hAnsi="Arial" w:cs="Arial"/>
          <w:sz w:val="22"/>
          <w:szCs w:val="22"/>
          <w:highlight w:val="yellow"/>
        </w:rPr>
        <w:t>i</w:t>
      </w:r>
      <w:r w:rsidRPr="003D1DA9">
        <w:rPr>
          <w:rFonts w:ascii="Arial" w:hAnsi="Arial" w:cs="Arial"/>
          <w:sz w:val="22"/>
          <w:szCs w:val="22"/>
          <w:highlight w:val="yellow"/>
        </w:rPr>
        <w:t xml:space="preserve">n relation to an undervalue transaction, of a connected person (other than someone who is only connected as an employee), by a company, </w:t>
      </w:r>
      <w:r w:rsidRPr="003D1DA9">
        <w:rPr>
          <w:rFonts w:ascii="Arial" w:hAnsi="Arial" w:cs="Arial"/>
          <w:sz w:val="22"/>
          <w:szCs w:val="22"/>
          <w:highlight w:val="yellow"/>
        </w:rPr>
        <w:t xml:space="preserve">the relevant time is </w:t>
      </w:r>
      <w:r w:rsidRPr="003D1DA9">
        <w:rPr>
          <w:rFonts w:ascii="Arial" w:hAnsi="Arial" w:cs="Arial"/>
          <w:sz w:val="22"/>
          <w:szCs w:val="22"/>
          <w:highlight w:val="yellow"/>
        </w:rPr>
        <w:t>any time in the period of two years ending with the 'onset of insolvency'; The onset of insolvency is the presentation of a petition for administration, or the commencement of liquidation</w:t>
      </w:r>
      <w:r w:rsidRPr="003D1DA9">
        <w:rPr>
          <w:rFonts w:ascii="Arial" w:hAnsi="Arial" w:cs="Arial"/>
          <w:sz w:val="22"/>
          <w:szCs w:val="22"/>
          <w:highlight w:val="yellow"/>
        </w:rPr>
        <w:t>.</w:t>
      </w:r>
      <w:r w:rsidR="003D1DA9">
        <w:rPr>
          <w:rFonts w:ascii="Arial" w:hAnsi="Arial" w:cs="Arial"/>
          <w:sz w:val="22"/>
          <w:szCs w:val="22"/>
          <w:highlight w:val="yellow"/>
        </w:rPr>
        <w:t xml:space="preserve"> Additionally it must be proven that the company was insolvent</w:t>
      </w:r>
      <w:r w:rsidR="00115B66">
        <w:rPr>
          <w:rFonts w:ascii="Arial" w:hAnsi="Arial" w:cs="Arial"/>
          <w:sz w:val="22"/>
          <w:szCs w:val="22"/>
          <w:highlight w:val="yellow"/>
        </w:rPr>
        <w:t xml:space="preserve"> as per the meaning of section 123 IA 1986 </w:t>
      </w:r>
      <w:proofErr w:type="spellStart"/>
      <w:r w:rsidR="00115B66">
        <w:rPr>
          <w:rFonts w:ascii="Arial" w:hAnsi="Arial" w:cs="Arial"/>
          <w:sz w:val="22"/>
          <w:szCs w:val="22"/>
          <w:highlight w:val="yellow"/>
        </w:rPr>
        <w:t>i.e</w:t>
      </w:r>
      <w:proofErr w:type="spellEnd"/>
      <w:r w:rsidR="00115B66">
        <w:rPr>
          <w:rFonts w:ascii="Arial" w:hAnsi="Arial" w:cs="Arial"/>
          <w:sz w:val="22"/>
          <w:szCs w:val="22"/>
          <w:highlight w:val="yellow"/>
        </w:rPr>
        <w:t xml:space="preserve"> it was unable to pay its debts as they fell due or became unable to  </w:t>
      </w:r>
      <w:proofErr w:type="spellStart"/>
      <w:r w:rsidR="00115B66">
        <w:rPr>
          <w:rFonts w:ascii="Arial" w:hAnsi="Arial" w:cs="Arial"/>
          <w:sz w:val="22"/>
          <w:szCs w:val="22"/>
          <w:highlight w:val="yellow"/>
        </w:rPr>
        <w:t>to</w:t>
      </w:r>
      <w:proofErr w:type="spellEnd"/>
      <w:r w:rsidR="00115B66">
        <w:rPr>
          <w:rFonts w:ascii="Arial" w:hAnsi="Arial" w:cs="Arial"/>
          <w:sz w:val="22"/>
          <w:szCs w:val="22"/>
          <w:highlight w:val="yellow"/>
        </w:rPr>
        <w:t xml:space="preserve"> pay its debts as a result of that transaction. It is noted that the company suffered cash flow problems at the time of the purchase and therefore for the purposes of the IA 1986 can be deemed to be insolvent at the relevant time.</w:t>
      </w:r>
    </w:p>
    <w:p w14:paraId="342F463E" w14:textId="77777777" w:rsidR="00662CDB" w:rsidRPr="003D1DA9" w:rsidRDefault="00662CDB" w:rsidP="003D1DA9">
      <w:pPr>
        <w:spacing w:line="276" w:lineRule="auto"/>
        <w:rPr>
          <w:rStyle w:val="legds"/>
          <w:rFonts w:ascii="Arial" w:hAnsi="Arial" w:cs="Arial"/>
          <w:color w:val="000000"/>
          <w:sz w:val="22"/>
          <w:szCs w:val="22"/>
          <w:highlight w:val="yellow"/>
        </w:rPr>
      </w:pPr>
    </w:p>
    <w:p w14:paraId="5C181872" w14:textId="77777777" w:rsidR="00662CDB" w:rsidRPr="003D1DA9" w:rsidRDefault="00662CDB" w:rsidP="003D1DA9">
      <w:pPr>
        <w:spacing w:line="276" w:lineRule="auto"/>
        <w:rPr>
          <w:rStyle w:val="legds"/>
          <w:rFonts w:ascii="Arial" w:hAnsi="Arial" w:cs="Arial"/>
          <w:color w:val="000000"/>
          <w:sz w:val="22"/>
          <w:szCs w:val="22"/>
          <w:highlight w:val="yellow"/>
        </w:rPr>
      </w:pPr>
    </w:p>
    <w:p w14:paraId="6B610762" w14:textId="2D47E9C2" w:rsidR="0087693F" w:rsidRPr="003D1DA9" w:rsidRDefault="0087693F" w:rsidP="003D1DA9">
      <w:pPr>
        <w:spacing w:line="276" w:lineRule="auto"/>
        <w:jc w:val="both"/>
        <w:rPr>
          <w:rFonts w:ascii="Arial" w:hAnsi="Arial" w:cs="Arial"/>
          <w:sz w:val="22"/>
          <w:szCs w:val="22"/>
        </w:rPr>
      </w:pPr>
      <w:r w:rsidRPr="003D1DA9">
        <w:rPr>
          <w:rStyle w:val="legds"/>
          <w:rFonts w:ascii="Arial" w:hAnsi="Arial" w:cs="Arial"/>
          <w:color w:val="000000"/>
          <w:sz w:val="22"/>
          <w:szCs w:val="22"/>
          <w:highlight w:val="yellow"/>
        </w:rPr>
        <w:t xml:space="preserve">This transaction took place in July 2022 </w:t>
      </w:r>
      <w:r w:rsidR="00662CDB" w:rsidRPr="003D1DA9">
        <w:rPr>
          <w:rStyle w:val="legds"/>
          <w:rFonts w:ascii="Arial" w:hAnsi="Arial" w:cs="Arial"/>
          <w:color w:val="000000"/>
          <w:sz w:val="22"/>
          <w:szCs w:val="22"/>
          <w:highlight w:val="yellow"/>
        </w:rPr>
        <w:t xml:space="preserve">and </w:t>
      </w:r>
      <w:r w:rsidRPr="003D1DA9">
        <w:rPr>
          <w:rStyle w:val="legds"/>
          <w:rFonts w:ascii="Arial" w:hAnsi="Arial" w:cs="Arial"/>
          <w:color w:val="000000"/>
          <w:sz w:val="22"/>
          <w:szCs w:val="22"/>
          <w:highlight w:val="yellow"/>
        </w:rPr>
        <w:t xml:space="preserve">the </w:t>
      </w:r>
      <w:r w:rsidRPr="003D1DA9">
        <w:rPr>
          <w:rFonts w:ascii="Arial" w:hAnsi="Arial" w:cs="Arial"/>
          <w:sz w:val="22"/>
          <w:szCs w:val="22"/>
          <w:highlight w:val="yellow"/>
        </w:rPr>
        <w:t>creditor’s winding up petition issued on 14</w:t>
      </w:r>
      <w:r w:rsidRPr="003D1DA9">
        <w:rPr>
          <w:rFonts w:ascii="Arial" w:hAnsi="Arial" w:cs="Arial"/>
          <w:sz w:val="22"/>
          <w:szCs w:val="22"/>
          <w:highlight w:val="yellow"/>
          <w:vertAlign w:val="superscript"/>
        </w:rPr>
        <w:t>th</w:t>
      </w:r>
      <w:r w:rsidRPr="003D1DA9">
        <w:rPr>
          <w:rFonts w:ascii="Arial" w:hAnsi="Arial" w:cs="Arial"/>
          <w:sz w:val="22"/>
          <w:szCs w:val="22"/>
          <w:highlight w:val="yellow"/>
        </w:rPr>
        <w:t xml:space="preserve"> October 2022</w:t>
      </w:r>
      <w:r w:rsidRPr="003D1DA9">
        <w:rPr>
          <w:rFonts w:ascii="Arial" w:hAnsi="Arial" w:cs="Arial"/>
          <w:sz w:val="22"/>
          <w:szCs w:val="22"/>
          <w:highlight w:val="yellow"/>
        </w:rPr>
        <w:t xml:space="preserve">. </w:t>
      </w:r>
      <w:r w:rsidR="00662CDB" w:rsidRPr="003D1DA9">
        <w:rPr>
          <w:rFonts w:ascii="Arial" w:hAnsi="Arial" w:cs="Arial"/>
          <w:sz w:val="22"/>
          <w:szCs w:val="22"/>
          <w:highlight w:val="yellow"/>
        </w:rPr>
        <w:t xml:space="preserve"> </w:t>
      </w:r>
      <w:r w:rsidR="003D1DA9" w:rsidRPr="003D1DA9">
        <w:rPr>
          <w:rFonts w:ascii="Arial" w:hAnsi="Arial" w:cs="Arial"/>
          <w:sz w:val="22"/>
          <w:szCs w:val="22"/>
          <w:highlight w:val="yellow"/>
        </w:rPr>
        <w:t>Thus,</w:t>
      </w:r>
      <w:r w:rsidR="00662CDB" w:rsidRPr="003D1DA9">
        <w:rPr>
          <w:rFonts w:ascii="Arial" w:hAnsi="Arial" w:cs="Arial"/>
          <w:sz w:val="22"/>
          <w:szCs w:val="22"/>
          <w:highlight w:val="yellow"/>
        </w:rPr>
        <w:t xml:space="preserve"> this transaction took place within the relevant time</w:t>
      </w:r>
      <w:r w:rsidR="003D1DA9" w:rsidRPr="003D1DA9">
        <w:rPr>
          <w:rFonts w:ascii="Arial" w:hAnsi="Arial" w:cs="Arial"/>
          <w:sz w:val="22"/>
          <w:szCs w:val="22"/>
          <w:highlight w:val="yellow"/>
        </w:rPr>
        <w:t xml:space="preserve">. In her </w:t>
      </w:r>
      <w:proofErr w:type="spellStart"/>
      <w:r w:rsidR="003D1DA9" w:rsidRPr="003D1DA9">
        <w:rPr>
          <w:rFonts w:ascii="Arial" w:hAnsi="Arial" w:cs="Arial"/>
          <w:sz w:val="22"/>
          <w:szCs w:val="22"/>
          <w:highlight w:val="yellow"/>
        </w:rPr>
        <w:t>defence</w:t>
      </w:r>
      <w:proofErr w:type="spellEnd"/>
      <w:r w:rsidR="003D1DA9" w:rsidRPr="003D1DA9">
        <w:rPr>
          <w:rFonts w:ascii="Arial" w:hAnsi="Arial" w:cs="Arial"/>
          <w:sz w:val="22"/>
          <w:szCs w:val="22"/>
          <w:highlight w:val="yellow"/>
        </w:rPr>
        <w:t xml:space="preserve">  Rita Perkins can claim that she entered into the transaction in good faith, and there were reasonable grounds for believing that the transaction would benefit the company. However, it is unlikely that a court will accept this </w:t>
      </w:r>
      <w:proofErr w:type="spellStart"/>
      <w:r w:rsidR="003D1DA9" w:rsidRPr="003D1DA9">
        <w:rPr>
          <w:rFonts w:ascii="Arial" w:hAnsi="Arial" w:cs="Arial"/>
          <w:sz w:val="22"/>
          <w:szCs w:val="22"/>
          <w:highlight w:val="yellow"/>
        </w:rPr>
        <w:t>defence</w:t>
      </w:r>
      <w:proofErr w:type="spellEnd"/>
      <w:r w:rsidR="003D1DA9" w:rsidRPr="003D1DA9">
        <w:rPr>
          <w:rFonts w:ascii="Arial" w:hAnsi="Arial" w:cs="Arial"/>
          <w:sz w:val="22"/>
          <w:szCs w:val="22"/>
          <w:highlight w:val="yellow"/>
        </w:rPr>
        <w:t xml:space="preserve"> she was a director and should have known of </w:t>
      </w:r>
      <w:proofErr w:type="spellStart"/>
      <w:r w:rsidR="003D1DA9" w:rsidRPr="003D1DA9">
        <w:rPr>
          <w:rFonts w:ascii="Arial" w:hAnsi="Arial" w:cs="Arial"/>
          <w:sz w:val="22"/>
          <w:szCs w:val="22"/>
          <w:highlight w:val="yellow"/>
        </w:rPr>
        <w:t>te</w:t>
      </w:r>
      <w:proofErr w:type="spellEnd"/>
      <w:r w:rsidR="003D1DA9" w:rsidRPr="003D1DA9">
        <w:rPr>
          <w:rFonts w:ascii="Arial" w:hAnsi="Arial" w:cs="Arial"/>
          <w:sz w:val="22"/>
          <w:szCs w:val="22"/>
          <w:highlight w:val="yellow"/>
        </w:rPr>
        <w:t xml:space="preserve"> financial situation of the company and consequently by her actions of purchasing the machines at undervalue breached her duty to the company.</w:t>
      </w:r>
    </w:p>
    <w:p w14:paraId="0465350A" w14:textId="77777777" w:rsidR="0087693F" w:rsidRPr="003D1DA9" w:rsidRDefault="0087693F" w:rsidP="003D1DA9">
      <w:pPr>
        <w:spacing w:line="276" w:lineRule="auto"/>
        <w:rPr>
          <w:rFonts w:ascii="Arial" w:hAnsi="Arial" w:cs="Arial"/>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236132D" w14:textId="0D52CC8B" w:rsidR="002E7947" w:rsidRPr="00FB76F9" w:rsidRDefault="00151077" w:rsidP="002E7947">
      <w:pPr>
        <w:pStyle w:val="NormalWeb"/>
        <w:spacing w:before="0" w:beforeAutospacing="0" w:after="0" w:afterAutospacing="0"/>
        <w:jc w:val="both"/>
        <w:rPr>
          <w:rFonts w:ascii="Arial" w:hAnsi="Arial" w:cs="Arial"/>
          <w:sz w:val="22"/>
          <w:szCs w:val="22"/>
          <w:highlight w:val="yellow"/>
          <w:lang w:val="en-GB"/>
        </w:rPr>
      </w:pPr>
      <w:r w:rsidRPr="00FB76F9">
        <w:rPr>
          <w:rFonts w:ascii="Arial" w:hAnsi="Arial" w:cs="Arial"/>
          <w:sz w:val="22"/>
          <w:szCs w:val="22"/>
          <w:highlight w:val="yellow"/>
          <w:lang w:val="en-GB"/>
        </w:rPr>
        <w:lastRenderedPageBreak/>
        <w:t xml:space="preserve">In this scenario it is noted that </w:t>
      </w:r>
      <w:r w:rsidR="002E7947" w:rsidRPr="00FB76F9">
        <w:rPr>
          <w:rFonts w:ascii="Arial" w:hAnsi="Arial" w:cs="Arial"/>
          <w:sz w:val="22"/>
          <w:szCs w:val="22"/>
          <w:highlight w:val="yellow"/>
          <w:lang w:val="en-GB"/>
        </w:rPr>
        <w:t xml:space="preserve">Hard and Fast Ltd, </w:t>
      </w:r>
      <w:r w:rsidRPr="00FB76F9">
        <w:rPr>
          <w:rFonts w:ascii="Arial" w:hAnsi="Arial" w:cs="Arial"/>
          <w:sz w:val="22"/>
          <w:szCs w:val="22"/>
          <w:highlight w:val="yellow"/>
          <w:lang w:val="en-GB"/>
        </w:rPr>
        <w:t xml:space="preserve"> was </w:t>
      </w:r>
      <w:r w:rsidR="002E7947" w:rsidRPr="00FB76F9">
        <w:rPr>
          <w:rFonts w:ascii="Arial" w:hAnsi="Arial" w:cs="Arial"/>
          <w:sz w:val="22"/>
          <w:szCs w:val="22"/>
          <w:highlight w:val="yellow"/>
          <w:lang w:val="en-GB"/>
        </w:rPr>
        <w:t xml:space="preserve">one of the Company’s key suppliers. </w:t>
      </w:r>
      <w:r w:rsidRPr="00FB76F9">
        <w:rPr>
          <w:rFonts w:ascii="Arial" w:hAnsi="Arial" w:cs="Arial"/>
          <w:sz w:val="22"/>
          <w:szCs w:val="22"/>
          <w:highlight w:val="yellow"/>
          <w:lang w:val="en-GB"/>
        </w:rPr>
        <w:t xml:space="preserve">The request was for </w:t>
      </w:r>
      <w:r w:rsidR="002E7947" w:rsidRPr="00FB76F9">
        <w:rPr>
          <w:rFonts w:ascii="Arial" w:hAnsi="Arial" w:cs="Arial"/>
          <w:sz w:val="22"/>
          <w:szCs w:val="22"/>
          <w:highlight w:val="yellow"/>
          <w:lang w:val="en-GB"/>
        </w:rPr>
        <w:t xml:space="preserve">immediate payment of all sums owing to it and </w:t>
      </w:r>
      <w:r w:rsidRPr="00FB76F9">
        <w:rPr>
          <w:rFonts w:ascii="Arial" w:hAnsi="Arial" w:cs="Arial"/>
          <w:sz w:val="22"/>
          <w:szCs w:val="22"/>
          <w:highlight w:val="yellow"/>
          <w:lang w:val="en-GB"/>
        </w:rPr>
        <w:t xml:space="preserve"> that any </w:t>
      </w:r>
      <w:r w:rsidR="002E7947" w:rsidRPr="00FB76F9">
        <w:rPr>
          <w:rFonts w:ascii="Arial" w:hAnsi="Arial" w:cs="Arial"/>
          <w:sz w:val="22"/>
          <w:szCs w:val="22"/>
          <w:highlight w:val="yellow"/>
          <w:lang w:val="en-GB"/>
        </w:rPr>
        <w:t xml:space="preserve"> further supplies would only be made on a cash on delivery basis. </w:t>
      </w:r>
      <w:r w:rsidRPr="00FB76F9">
        <w:rPr>
          <w:rFonts w:ascii="Arial" w:hAnsi="Arial" w:cs="Arial"/>
          <w:sz w:val="22"/>
          <w:szCs w:val="22"/>
          <w:highlight w:val="yellow"/>
          <w:lang w:val="en-GB"/>
        </w:rPr>
        <w:t xml:space="preserve"> The </w:t>
      </w:r>
      <w:r w:rsidR="002E7947" w:rsidRPr="00FB76F9">
        <w:rPr>
          <w:rFonts w:ascii="Arial" w:hAnsi="Arial" w:cs="Arial"/>
          <w:sz w:val="22"/>
          <w:szCs w:val="22"/>
          <w:highlight w:val="yellow"/>
          <w:lang w:val="en-GB"/>
        </w:rPr>
        <w:t xml:space="preserve"> continued supply of marble was seen as essential by the Company, </w:t>
      </w:r>
      <w:r w:rsidRPr="00FB76F9">
        <w:rPr>
          <w:rFonts w:ascii="Arial" w:hAnsi="Arial" w:cs="Arial"/>
          <w:sz w:val="22"/>
          <w:szCs w:val="22"/>
          <w:highlight w:val="yellow"/>
          <w:lang w:val="en-GB"/>
        </w:rPr>
        <w:t xml:space="preserve">and </w:t>
      </w:r>
      <w:r w:rsidR="002E7947" w:rsidRPr="00FB76F9">
        <w:rPr>
          <w:rFonts w:ascii="Arial" w:hAnsi="Arial" w:cs="Arial"/>
          <w:sz w:val="22"/>
          <w:szCs w:val="22"/>
          <w:highlight w:val="yellow"/>
          <w:lang w:val="en-GB"/>
        </w:rPr>
        <w:t xml:space="preserve">the board authorised a payment of GBP 8,000 to cover existing liabilities and agreed to further payments, on a cash on delivery basis, for further supplies which amounted to further payment of GBP 3,000 up to the date of the winding up order. </w:t>
      </w:r>
    </w:p>
    <w:p w14:paraId="3C7D9AC2" w14:textId="39A6C909" w:rsidR="00151077" w:rsidRPr="00FB76F9" w:rsidRDefault="00151077" w:rsidP="002E7947">
      <w:pPr>
        <w:pStyle w:val="NormalWeb"/>
        <w:spacing w:before="0" w:beforeAutospacing="0" w:after="0" w:afterAutospacing="0"/>
        <w:jc w:val="both"/>
        <w:rPr>
          <w:rFonts w:ascii="Arial" w:hAnsi="Arial" w:cs="Arial"/>
          <w:sz w:val="22"/>
          <w:szCs w:val="22"/>
          <w:highlight w:val="yellow"/>
          <w:lang w:val="en-GB"/>
        </w:rPr>
      </w:pPr>
    </w:p>
    <w:p w14:paraId="4E7B3FD3" w14:textId="77777777" w:rsidR="00151077" w:rsidRPr="00FB76F9" w:rsidRDefault="00151077" w:rsidP="002E7947">
      <w:pPr>
        <w:pStyle w:val="NormalWeb"/>
        <w:spacing w:before="0" w:beforeAutospacing="0" w:after="0" w:afterAutospacing="0"/>
        <w:jc w:val="both"/>
        <w:rPr>
          <w:rFonts w:ascii="Arial" w:hAnsi="Arial" w:cs="Arial"/>
          <w:sz w:val="22"/>
          <w:szCs w:val="22"/>
          <w:highlight w:val="yellow"/>
          <w:lang w:val="en-GB"/>
        </w:rPr>
      </w:pPr>
    </w:p>
    <w:p w14:paraId="3A2814F2" w14:textId="77777777" w:rsidR="00A158A9" w:rsidRDefault="00151077" w:rsidP="00087F21">
      <w:pPr>
        <w:autoSpaceDE w:val="0"/>
        <w:autoSpaceDN w:val="0"/>
        <w:adjustRightInd w:val="0"/>
        <w:jc w:val="both"/>
        <w:rPr>
          <w:rFonts w:ascii="Arial" w:hAnsi="Arial" w:cs="Arial"/>
          <w:sz w:val="22"/>
          <w:szCs w:val="22"/>
          <w:highlight w:val="yellow"/>
          <w:lang w:val="en-GB"/>
        </w:rPr>
      </w:pPr>
      <w:r w:rsidRPr="00FB76F9">
        <w:rPr>
          <w:rFonts w:ascii="Arial" w:hAnsi="Arial" w:cs="Arial"/>
          <w:sz w:val="22"/>
          <w:szCs w:val="22"/>
          <w:highlight w:val="yellow"/>
          <w:lang w:val="en-GB"/>
        </w:rPr>
        <w:t xml:space="preserve">Under Section 239 of IA 1986 the liquidator can </w:t>
      </w:r>
      <w:r w:rsidR="006032CA" w:rsidRPr="00FB76F9">
        <w:rPr>
          <w:rFonts w:ascii="Arial" w:hAnsi="Arial" w:cs="Arial"/>
          <w:sz w:val="22"/>
          <w:szCs w:val="22"/>
          <w:highlight w:val="yellow"/>
          <w:lang w:val="en-GB"/>
        </w:rPr>
        <w:t xml:space="preserve">file an application </w:t>
      </w:r>
      <w:r w:rsidRPr="00FB76F9">
        <w:rPr>
          <w:rFonts w:ascii="Arial" w:hAnsi="Arial" w:cs="Arial"/>
          <w:sz w:val="22"/>
          <w:szCs w:val="22"/>
          <w:highlight w:val="yellow"/>
          <w:lang w:val="en-GB"/>
        </w:rPr>
        <w:t xml:space="preserve">to the court to avoid a preferential transaction.  The payment to Hard and Fast was made a month before the winding up order. This order was made </w:t>
      </w:r>
      <w:r w:rsidR="00A158A9" w:rsidRPr="00FB76F9">
        <w:rPr>
          <w:rFonts w:ascii="Arial" w:hAnsi="Arial" w:cs="Arial"/>
          <w:sz w:val="22"/>
          <w:szCs w:val="22"/>
          <w:highlight w:val="yellow"/>
          <w:lang w:val="en-GB"/>
        </w:rPr>
        <w:t>on 23</w:t>
      </w:r>
      <w:r w:rsidR="00531279" w:rsidRPr="00FB76F9">
        <w:rPr>
          <w:rFonts w:ascii="Arial" w:hAnsi="Arial" w:cs="Arial"/>
          <w:sz w:val="22"/>
          <w:szCs w:val="22"/>
          <w:highlight w:val="yellow"/>
          <w:vertAlign w:val="superscript"/>
          <w:lang w:val="en-GB"/>
        </w:rPr>
        <w:t>rd</w:t>
      </w:r>
      <w:r w:rsidR="00531279" w:rsidRPr="00FB76F9">
        <w:rPr>
          <w:rFonts w:ascii="Arial" w:hAnsi="Arial" w:cs="Arial"/>
          <w:sz w:val="22"/>
          <w:szCs w:val="22"/>
          <w:highlight w:val="yellow"/>
          <w:lang w:val="en-GB"/>
        </w:rPr>
        <w:t xml:space="preserve"> December 2022 therefore the payment was made around 23</w:t>
      </w:r>
      <w:r w:rsidR="00531279" w:rsidRPr="00FB76F9">
        <w:rPr>
          <w:rFonts w:ascii="Arial" w:hAnsi="Arial" w:cs="Arial"/>
          <w:sz w:val="22"/>
          <w:szCs w:val="22"/>
          <w:highlight w:val="yellow"/>
          <w:vertAlign w:val="superscript"/>
          <w:lang w:val="en-GB"/>
        </w:rPr>
        <w:t>rd</w:t>
      </w:r>
      <w:r w:rsidR="00531279" w:rsidRPr="00FB76F9">
        <w:rPr>
          <w:rFonts w:ascii="Arial" w:hAnsi="Arial" w:cs="Arial"/>
          <w:sz w:val="22"/>
          <w:szCs w:val="22"/>
          <w:highlight w:val="yellow"/>
          <w:lang w:val="en-GB"/>
        </w:rPr>
        <w:t xml:space="preserve"> November 2022. It is noted that the winding up petition was made in October 2022. </w:t>
      </w:r>
      <w:r w:rsidR="00A158A9" w:rsidRPr="00FB76F9">
        <w:rPr>
          <w:rFonts w:ascii="Arial" w:hAnsi="Arial" w:cs="Arial"/>
          <w:sz w:val="22"/>
          <w:szCs w:val="22"/>
          <w:highlight w:val="yellow"/>
          <w:lang w:val="en-GB"/>
        </w:rPr>
        <w:t>Thus,</w:t>
      </w:r>
      <w:r w:rsidR="00531279" w:rsidRPr="00FB76F9">
        <w:rPr>
          <w:rFonts w:ascii="Arial" w:hAnsi="Arial" w:cs="Arial"/>
          <w:sz w:val="22"/>
          <w:szCs w:val="22"/>
          <w:highlight w:val="yellow"/>
          <w:lang w:val="en-GB"/>
        </w:rPr>
        <w:t xml:space="preserve"> this took place shortly before the formal insolvency </w:t>
      </w:r>
      <w:r w:rsidR="006032CA" w:rsidRPr="00FB76F9">
        <w:rPr>
          <w:rFonts w:ascii="Arial" w:hAnsi="Arial" w:cs="Arial"/>
          <w:sz w:val="22"/>
          <w:szCs w:val="22"/>
          <w:highlight w:val="yellow"/>
          <w:lang w:val="en-GB"/>
        </w:rPr>
        <w:t>procedure was</w:t>
      </w:r>
      <w:r w:rsidR="00531279" w:rsidRPr="00FB76F9">
        <w:rPr>
          <w:rFonts w:ascii="Arial" w:hAnsi="Arial" w:cs="Arial"/>
          <w:sz w:val="22"/>
          <w:szCs w:val="22"/>
          <w:highlight w:val="yellow"/>
          <w:lang w:val="en-GB"/>
        </w:rPr>
        <w:t xml:space="preserve"> entered into. Section </w:t>
      </w:r>
      <w:r w:rsidR="006032CA" w:rsidRPr="00FB76F9">
        <w:rPr>
          <w:rFonts w:ascii="Arial" w:hAnsi="Arial" w:cs="Arial"/>
          <w:sz w:val="22"/>
          <w:szCs w:val="22"/>
          <w:highlight w:val="yellow"/>
          <w:lang w:val="en-GB"/>
        </w:rPr>
        <w:t xml:space="preserve">239 </w:t>
      </w:r>
      <w:r w:rsidR="00A158A9" w:rsidRPr="00FB76F9">
        <w:rPr>
          <w:rFonts w:ascii="Arial" w:hAnsi="Arial" w:cs="Arial"/>
          <w:sz w:val="22"/>
          <w:szCs w:val="22"/>
          <w:highlight w:val="yellow"/>
          <w:lang w:val="en-GB"/>
        </w:rPr>
        <w:t>prohibits preferences</w:t>
      </w:r>
      <w:r w:rsidR="00531279" w:rsidRPr="00FB76F9">
        <w:rPr>
          <w:rFonts w:ascii="Arial" w:hAnsi="Arial" w:cs="Arial"/>
          <w:sz w:val="22"/>
          <w:szCs w:val="22"/>
          <w:highlight w:val="yellow"/>
          <w:lang w:val="en-GB"/>
        </w:rPr>
        <w:t xml:space="preserve"> such as payments made to creditors.  </w:t>
      </w:r>
    </w:p>
    <w:p w14:paraId="73FDCA19" w14:textId="77777777" w:rsidR="00A158A9" w:rsidRDefault="00A158A9" w:rsidP="00087F21">
      <w:pPr>
        <w:autoSpaceDE w:val="0"/>
        <w:autoSpaceDN w:val="0"/>
        <w:adjustRightInd w:val="0"/>
        <w:jc w:val="both"/>
        <w:rPr>
          <w:rFonts w:ascii="Arial" w:hAnsi="Arial" w:cs="Arial"/>
          <w:sz w:val="22"/>
          <w:szCs w:val="22"/>
          <w:highlight w:val="yellow"/>
          <w:lang w:val="en-GB"/>
        </w:rPr>
      </w:pPr>
    </w:p>
    <w:p w14:paraId="70C6A8B6" w14:textId="7215B3A5" w:rsidR="00126A4D" w:rsidRPr="00FB76F9" w:rsidRDefault="00531279" w:rsidP="00087F21">
      <w:pPr>
        <w:autoSpaceDE w:val="0"/>
        <w:autoSpaceDN w:val="0"/>
        <w:adjustRightInd w:val="0"/>
        <w:jc w:val="both"/>
        <w:rPr>
          <w:rFonts w:ascii="Arial" w:hAnsi="Arial" w:cs="Arial"/>
          <w:sz w:val="22"/>
          <w:szCs w:val="22"/>
          <w:highlight w:val="yellow"/>
          <w:lang w:val="en-GB"/>
        </w:rPr>
      </w:pPr>
      <w:r w:rsidRPr="00FB76F9">
        <w:rPr>
          <w:rFonts w:ascii="Arial" w:hAnsi="Arial" w:cs="Arial"/>
          <w:sz w:val="22"/>
          <w:szCs w:val="22"/>
          <w:highlight w:val="yellow"/>
          <w:lang w:val="en-GB"/>
        </w:rPr>
        <w:t xml:space="preserve">The liquidator must show </w:t>
      </w:r>
      <w:r w:rsidR="00A158A9">
        <w:rPr>
          <w:rFonts w:ascii="Arial" w:hAnsi="Arial" w:cs="Arial"/>
          <w:sz w:val="22"/>
          <w:szCs w:val="22"/>
          <w:highlight w:val="yellow"/>
          <w:lang w:val="en-GB"/>
        </w:rPr>
        <w:t xml:space="preserve">to the Court </w:t>
      </w:r>
      <w:r w:rsidRPr="00FB76F9">
        <w:rPr>
          <w:rFonts w:ascii="Arial" w:hAnsi="Arial" w:cs="Arial"/>
          <w:sz w:val="22"/>
          <w:szCs w:val="22"/>
          <w:highlight w:val="yellow"/>
          <w:lang w:val="en-GB"/>
        </w:rPr>
        <w:t xml:space="preserve">that </w:t>
      </w:r>
      <w:r w:rsidR="00A158A9">
        <w:rPr>
          <w:rFonts w:ascii="Arial" w:hAnsi="Arial" w:cs="Arial"/>
          <w:sz w:val="22"/>
          <w:szCs w:val="22"/>
          <w:highlight w:val="yellow"/>
          <w:lang w:val="en-GB"/>
        </w:rPr>
        <w:t xml:space="preserve">1. </w:t>
      </w:r>
      <w:r w:rsidRPr="00FB76F9">
        <w:rPr>
          <w:rFonts w:ascii="Arial" w:hAnsi="Arial" w:cs="Arial"/>
          <w:sz w:val="22"/>
          <w:szCs w:val="22"/>
          <w:highlight w:val="yellow"/>
          <w:lang w:val="en-GB"/>
        </w:rPr>
        <w:t xml:space="preserve">Hard and Fast was a creditor of the company , </w:t>
      </w:r>
      <w:r w:rsidR="00A158A9">
        <w:rPr>
          <w:rFonts w:ascii="Arial" w:hAnsi="Arial" w:cs="Arial"/>
          <w:sz w:val="22"/>
          <w:szCs w:val="22"/>
          <w:highlight w:val="yellow"/>
          <w:lang w:val="en-GB"/>
        </w:rPr>
        <w:t xml:space="preserve">2. </w:t>
      </w:r>
      <w:r w:rsidRPr="00FB76F9">
        <w:rPr>
          <w:rFonts w:ascii="Arial" w:hAnsi="Arial" w:cs="Arial"/>
          <w:sz w:val="22"/>
          <w:szCs w:val="22"/>
          <w:highlight w:val="yellow"/>
          <w:lang w:val="en-GB"/>
        </w:rPr>
        <w:t xml:space="preserve">it was placed in a better position  that it would have been if the payments as demanded were not done and </w:t>
      </w:r>
      <w:r w:rsidR="00A158A9">
        <w:rPr>
          <w:rFonts w:ascii="Arial" w:hAnsi="Arial" w:cs="Arial"/>
          <w:sz w:val="22"/>
          <w:szCs w:val="22"/>
          <w:highlight w:val="yellow"/>
          <w:lang w:val="en-GB"/>
        </w:rPr>
        <w:t xml:space="preserve">3. </w:t>
      </w:r>
      <w:r w:rsidRPr="00FB76F9">
        <w:rPr>
          <w:rFonts w:ascii="Arial" w:hAnsi="Arial" w:cs="Arial"/>
          <w:sz w:val="22"/>
          <w:szCs w:val="22"/>
          <w:highlight w:val="yellow"/>
          <w:lang w:val="en-GB"/>
        </w:rPr>
        <w:t xml:space="preserve">that the company in giving the preference was </w:t>
      </w:r>
      <w:r w:rsidR="006032CA" w:rsidRPr="00FB76F9">
        <w:rPr>
          <w:rFonts w:ascii="Arial" w:hAnsi="Arial" w:cs="Arial"/>
          <w:sz w:val="22"/>
          <w:szCs w:val="22"/>
          <w:highlight w:val="yellow"/>
          <w:lang w:val="en-GB"/>
        </w:rPr>
        <w:t>influenced</w:t>
      </w:r>
      <w:r w:rsidRPr="00FB76F9">
        <w:rPr>
          <w:rFonts w:ascii="Arial" w:hAnsi="Arial" w:cs="Arial"/>
          <w:sz w:val="22"/>
          <w:szCs w:val="22"/>
          <w:highlight w:val="yellow"/>
          <w:lang w:val="en-GB"/>
        </w:rPr>
        <w:t xml:space="preserve"> by a desire to put </w:t>
      </w:r>
      <w:r w:rsidR="006032CA" w:rsidRPr="00FB76F9">
        <w:rPr>
          <w:rFonts w:ascii="Arial" w:hAnsi="Arial" w:cs="Arial"/>
          <w:sz w:val="22"/>
          <w:szCs w:val="22"/>
          <w:highlight w:val="yellow"/>
          <w:lang w:val="en-GB"/>
        </w:rPr>
        <w:t>Hard</w:t>
      </w:r>
      <w:r w:rsidRPr="00FB76F9">
        <w:rPr>
          <w:rFonts w:ascii="Arial" w:hAnsi="Arial" w:cs="Arial"/>
          <w:sz w:val="22"/>
          <w:szCs w:val="22"/>
          <w:highlight w:val="yellow"/>
          <w:lang w:val="en-GB"/>
        </w:rPr>
        <w:t xml:space="preserve"> and </w:t>
      </w:r>
      <w:r w:rsidR="006032CA" w:rsidRPr="00FB76F9">
        <w:rPr>
          <w:rFonts w:ascii="Arial" w:hAnsi="Arial" w:cs="Arial"/>
          <w:sz w:val="22"/>
          <w:szCs w:val="22"/>
          <w:highlight w:val="yellow"/>
          <w:lang w:val="en-GB"/>
        </w:rPr>
        <w:t>Fast</w:t>
      </w:r>
      <w:r w:rsidRPr="00FB76F9">
        <w:rPr>
          <w:rFonts w:ascii="Arial" w:hAnsi="Arial" w:cs="Arial"/>
          <w:sz w:val="22"/>
          <w:szCs w:val="22"/>
          <w:highlight w:val="yellow"/>
          <w:lang w:val="en-GB"/>
        </w:rPr>
        <w:t xml:space="preserve"> in a </w:t>
      </w:r>
      <w:r w:rsidR="006032CA" w:rsidRPr="00FB76F9">
        <w:rPr>
          <w:rFonts w:ascii="Arial" w:hAnsi="Arial" w:cs="Arial"/>
          <w:sz w:val="22"/>
          <w:szCs w:val="22"/>
          <w:highlight w:val="yellow"/>
          <w:lang w:val="en-GB"/>
        </w:rPr>
        <w:t>better</w:t>
      </w:r>
      <w:r w:rsidRPr="00FB76F9">
        <w:rPr>
          <w:rFonts w:ascii="Arial" w:hAnsi="Arial" w:cs="Arial"/>
          <w:sz w:val="22"/>
          <w:szCs w:val="22"/>
          <w:highlight w:val="yellow"/>
          <w:lang w:val="en-GB"/>
        </w:rPr>
        <w:t xml:space="preserve"> position ( that is a desire to prefer) and </w:t>
      </w:r>
      <w:r w:rsidR="00A158A9">
        <w:rPr>
          <w:rFonts w:ascii="Arial" w:hAnsi="Arial" w:cs="Arial"/>
          <w:sz w:val="22"/>
          <w:szCs w:val="22"/>
          <w:highlight w:val="yellow"/>
          <w:lang w:val="en-GB"/>
        </w:rPr>
        <w:t xml:space="preserve">4. </w:t>
      </w:r>
      <w:r w:rsidRPr="00FB76F9">
        <w:rPr>
          <w:rFonts w:ascii="Arial" w:hAnsi="Arial" w:cs="Arial"/>
          <w:sz w:val="22"/>
          <w:szCs w:val="22"/>
          <w:highlight w:val="yellow"/>
          <w:lang w:val="en-GB"/>
        </w:rPr>
        <w:t xml:space="preserve">the preference took place at the relevant time. </w:t>
      </w:r>
      <w:r w:rsidR="00A158A9">
        <w:rPr>
          <w:rFonts w:ascii="Arial" w:hAnsi="Arial" w:cs="Arial"/>
          <w:sz w:val="22"/>
          <w:szCs w:val="22"/>
          <w:highlight w:val="yellow"/>
          <w:lang w:val="en-GB"/>
        </w:rPr>
        <w:t xml:space="preserve">5. </w:t>
      </w:r>
      <w:r w:rsidRPr="00FB76F9">
        <w:rPr>
          <w:rFonts w:ascii="Arial" w:hAnsi="Arial" w:cs="Arial"/>
          <w:sz w:val="22"/>
          <w:szCs w:val="22"/>
          <w:highlight w:val="yellow"/>
          <w:lang w:val="en-GB"/>
        </w:rPr>
        <w:t xml:space="preserve">This preference must take </w:t>
      </w:r>
      <w:r w:rsidR="006032CA" w:rsidRPr="00FB76F9">
        <w:rPr>
          <w:rFonts w:ascii="Arial" w:hAnsi="Arial" w:cs="Arial"/>
          <w:sz w:val="22"/>
          <w:szCs w:val="22"/>
          <w:highlight w:val="yellow"/>
          <w:lang w:val="en-GB"/>
        </w:rPr>
        <w:t>place</w:t>
      </w:r>
      <w:r w:rsidRPr="00FB76F9">
        <w:rPr>
          <w:rFonts w:ascii="Arial" w:hAnsi="Arial" w:cs="Arial"/>
          <w:sz w:val="22"/>
          <w:szCs w:val="22"/>
          <w:highlight w:val="yellow"/>
          <w:lang w:val="en-GB"/>
        </w:rPr>
        <w:t xml:space="preserve"> within 6 </w:t>
      </w:r>
      <w:r w:rsidR="006032CA" w:rsidRPr="00FB76F9">
        <w:rPr>
          <w:rFonts w:ascii="Arial" w:hAnsi="Arial" w:cs="Arial"/>
          <w:sz w:val="22"/>
          <w:szCs w:val="22"/>
          <w:highlight w:val="yellow"/>
          <w:lang w:val="en-GB"/>
        </w:rPr>
        <w:t>months prior</w:t>
      </w:r>
      <w:r w:rsidRPr="00FB76F9">
        <w:rPr>
          <w:rFonts w:ascii="Arial" w:hAnsi="Arial" w:cs="Arial"/>
          <w:sz w:val="22"/>
          <w:szCs w:val="22"/>
          <w:highlight w:val="yellow"/>
          <w:lang w:val="en-GB"/>
        </w:rPr>
        <w:t xml:space="preserve"> to the onset of insolvency (</w:t>
      </w:r>
      <w:r w:rsidR="006032CA" w:rsidRPr="00FB76F9">
        <w:rPr>
          <w:rFonts w:ascii="Arial" w:hAnsi="Arial" w:cs="Arial"/>
          <w:sz w:val="22"/>
          <w:szCs w:val="22"/>
          <w:highlight w:val="yellow"/>
          <w:lang w:val="en-GB"/>
        </w:rPr>
        <w:t>B</w:t>
      </w:r>
      <w:r w:rsidRPr="00FB76F9">
        <w:rPr>
          <w:rFonts w:ascii="Arial" w:hAnsi="Arial" w:cs="Arial"/>
          <w:sz w:val="22"/>
          <w:szCs w:val="22"/>
          <w:highlight w:val="yellow"/>
          <w:lang w:val="en-GB"/>
        </w:rPr>
        <w:t xml:space="preserve">ased on </w:t>
      </w:r>
      <w:r w:rsidR="006032CA" w:rsidRPr="00FB76F9">
        <w:rPr>
          <w:rFonts w:ascii="Arial" w:hAnsi="Arial" w:cs="Arial"/>
          <w:sz w:val="22"/>
          <w:szCs w:val="22"/>
          <w:highlight w:val="yellow"/>
          <w:lang w:val="en-GB"/>
        </w:rPr>
        <w:t>the facts</w:t>
      </w:r>
      <w:r w:rsidRPr="00FB76F9">
        <w:rPr>
          <w:rFonts w:ascii="Arial" w:hAnsi="Arial" w:cs="Arial"/>
          <w:sz w:val="22"/>
          <w:szCs w:val="22"/>
          <w:highlight w:val="yellow"/>
          <w:lang w:val="en-GB"/>
        </w:rPr>
        <w:t xml:space="preserve"> given it was within 6 months). </w:t>
      </w:r>
      <w:r w:rsidR="006032CA" w:rsidRPr="00FB76F9">
        <w:rPr>
          <w:rFonts w:ascii="Arial" w:hAnsi="Arial" w:cs="Arial"/>
          <w:sz w:val="22"/>
          <w:szCs w:val="22"/>
          <w:highlight w:val="yellow"/>
          <w:lang w:val="en-GB"/>
        </w:rPr>
        <w:t>Additionally,</w:t>
      </w:r>
      <w:r w:rsidRPr="00FB76F9">
        <w:rPr>
          <w:rFonts w:ascii="Arial" w:hAnsi="Arial" w:cs="Arial"/>
          <w:sz w:val="22"/>
          <w:szCs w:val="22"/>
          <w:highlight w:val="yellow"/>
          <w:lang w:val="en-GB"/>
        </w:rPr>
        <w:t xml:space="preserve"> the company must be unable to pay its </w:t>
      </w:r>
      <w:r w:rsidR="006032CA" w:rsidRPr="00FB76F9">
        <w:rPr>
          <w:rFonts w:ascii="Arial" w:hAnsi="Arial" w:cs="Arial"/>
          <w:sz w:val="22"/>
          <w:szCs w:val="22"/>
          <w:highlight w:val="yellow"/>
          <w:lang w:val="en-GB"/>
        </w:rPr>
        <w:t>debts as</w:t>
      </w:r>
      <w:r w:rsidRPr="00FB76F9">
        <w:rPr>
          <w:rFonts w:ascii="Arial" w:hAnsi="Arial" w:cs="Arial"/>
          <w:sz w:val="22"/>
          <w:szCs w:val="22"/>
          <w:highlight w:val="yellow"/>
          <w:lang w:val="en-GB"/>
        </w:rPr>
        <w:t xml:space="preserve"> they fell due within the meaning of section 123 </w:t>
      </w:r>
      <w:r w:rsidR="006032CA" w:rsidRPr="00FB76F9">
        <w:rPr>
          <w:rFonts w:ascii="Arial" w:hAnsi="Arial" w:cs="Arial"/>
          <w:sz w:val="22"/>
          <w:szCs w:val="22"/>
          <w:highlight w:val="yellow"/>
          <w:lang w:val="en-GB"/>
        </w:rPr>
        <w:t>(Based</w:t>
      </w:r>
      <w:r w:rsidRPr="00FB76F9">
        <w:rPr>
          <w:rFonts w:ascii="Arial" w:hAnsi="Arial" w:cs="Arial"/>
          <w:sz w:val="22"/>
          <w:szCs w:val="22"/>
          <w:highlight w:val="yellow"/>
          <w:lang w:val="en-GB"/>
        </w:rPr>
        <w:t xml:space="preserve"> on the facts given </w:t>
      </w:r>
      <w:r w:rsidR="006032CA" w:rsidRPr="00FB76F9">
        <w:rPr>
          <w:rFonts w:ascii="Arial" w:hAnsi="Arial" w:cs="Arial"/>
          <w:sz w:val="22"/>
          <w:szCs w:val="22"/>
          <w:highlight w:val="yellow"/>
          <w:lang w:val="en-GB"/>
        </w:rPr>
        <w:t>this criterion</w:t>
      </w:r>
      <w:r w:rsidRPr="00FB76F9">
        <w:rPr>
          <w:rFonts w:ascii="Arial" w:hAnsi="Arial" w:cs="Arial"/>
          <w:sz w:val="22"/>
          <w:szCs w:val="22"/>
          <w:highlight w:val="yellow"/>
          <w:lang w:val="en-GB"/>
        </w:rPr>
        <w:t xml:space="preserve"> is satisfied).</w:t>
      </w:r>
    </w:p>
    <w:p w14:paraId="1128B8B2" w14:textId="1B9452FE" w:rsidR="00531279" w:rsidRPr="00FB76F9" w:rsidRDefault="006032CA" w:rsidP="00087F21">
      <w:pPr>
        <w:autoSpaceDE w:val="0"/>
        <w:autoSpaceDN w:val="0"/>
        <w:adjustRightInd w:val="0"/>
        <w:jc w:val="both"/>
        <w:rPr>
          <w:rFonts w:ascii="Arial" w:hAnsi="Arial" w:cs="Arial"/>
          <w:sz w:val="22"/>
          <w:szCs w:val="22"/>
          <w:highlight w:val="yellow"/>
          <w:lang w:val="en-GB"/>
        </w:rPr>
      </w:pPr>
      <w:r w:rsidRPr="00FB76F9">
        <w:rPr>
          <w:rFonts w:ascii="Arial" w:hAnsi="Arial" w:cs="Arial"/>
          <w:sz w:val="22"/>
          <w:szCs w:val="22"/>
          <w:highlight w:val="yellow"/>
          <w:lang w:val="en-GB"/>
        </w:rPr>
        <w:br/>
      </w:r>
      <w:r w:rsidR="00531279" w:rsidRPr="00FB76F9">
        <w:rPr>
          <w:rFonts w:ascii="Arial" w:hAnsi="Arial" w:cs="Arial"/>
          <w:sz w:val="22"/>
          <w:szCs w:val="22"/>
          <w:highlight w:val="yellow"/>
          <w:lang w:val="en-GB"/>
        </w:rPr>
        <w:t xml:space="preserve">It is noted however that the </w:t>
      </w:r>
      <w:r w:rsidR="00531279" w:rsidRPr="00FB76F9">
        <w:rPr>
          <w:rFonts w:ascii="Arial" w:hAnsi="Arial" w:cs="Arial"/>
          <w:sz w:val="22"/>
          <w:szCs w:val="22"/>
          <w:highlight w:val="yellow"/>
          <w:lang w:val="en-GB"/>
        </w:rPr>
        <w:t>continued supply of marble was seen as essential by the Company</w:t>
      </w:r>
      <w:r w:rsidR="00531279" w:rsidRPr="00FB76F9">
        <w:rPr>
          <w:rFonts w:ascii="Arial" w:hAnsi="Arial" w:cs="Arial"/>
          <w:sz w:val="22"/>
          <w:szCs w:val="22"/>
          <w:highlight w:val="yellow"/>
          <w:lang w:val="en-GB"/>
        </w:rPr>
        <w:t xml:space="preserve"> and thus the payment was approved by the board. </w:t>
      </w:r>
      <w:r w:rsidRPr="00FB76F9">
        <w:rPr>
          <w:rFonts w:ascii="Arial" w:hAnsi="Arial" w:cs="Arial"/>
          <w:sz w:val="22"/>
          <w:szCs w:val="22"/>
          <w:highlight w:val="yellow"/>
          <w:lang w:val="en-GB"/>
        </w:rPr>
        <w:t>Therefore,</w:t>
      </w:r>
      <w:r w:rsidR="00531279" w:rsidRPr="00FB76F9">
        <w:rPr>
          <w:rFonts w:ascii="Arial" w:hAnsi="Arial" w:cs="Arial"/>
          <w:sz w:val="22"/>
          <w:szCs w:val="22"/>
          <w:highlight w:val="yellow"/>
          <w:lang w:val="en-GB"/>
        </w:rPr>
        <w:t xml:space="preserve"> it cannot be said based on </w:t>
      </w:r>
      <w:r w:rsidRPr="00FB76F9">
        <w:rPr>
          <w:rFonts w:ascii="Arial" w:hAnsi="Arial" w:cs="Arial"/>
          <w:sz w:val="22"/>
          <w:szCs w:val="22"/>
          <w:highlight w:val="yellow"/>
          <w:lang w:val="en-GB"/>
        </w:rPr>
        <w:t>the facts</w:t>
      </w:r>
      <w:r w:rsidR="00531279" w:rsidRPr="00FB76F9">
        <w:rPr>
          <w:rFonts w:ascii="Arial" w:hAnsi="Arial" w:cs="Arial"/>
          <w:sz w:val="22"/>
          <w:szCs w:val="22"/>
          <w:highlight w:val="yellow"/>
          <w:lang w:val="en-GB"/>
        </w:rPr>
        <w:t xml:space="preserve"> </w:t>
      </w:r>
      <w:r w:rsidRPr="00FB76F9">
        <w:rPr>
          <w:rFonts w:ascii="Arial" w:hAnsi="Arial" w:cs="Arial"/>
          <w:sz w:val="22"/>
          <w:szCs w:val="22"/>
          <w:highlight w:val="yellow"/>
          <w:lang w:val="en-GB"/>
        </w:rPr>
        <w:t xml:space="preserve">the company was influenced by a desire to produce the effect set out in s 239(4)(b). </w:t>
      </w:r>
      <w:r w:rsidRPr="00FB76F9">
        <w:rPr>
          <w:rFonts w:ascii="Arial" w:hAnsi="Arial" w:cs="Arial"/>
          <w:sz w:val="22"/>
          <w:szCs w:val="22"/>
          <w:highlight w:val="yellow"/>
          <w:lang w:val="en-GB"/>
        </w:rPr>
        <w:t xml:space="preserve">Thus, on the </w:t>
      </w:r>
      <w:r w:rsidR="00FE59EA" w:rsidRPr="00FB76F9">
        <w:rPr>
          <w:rFonts w:ascii="Arial" w:hAnsi="Arial" w:cs="Arial"/>
          <w:sz w:val="22"/>
          <w:szCs w:val="22"/>
          <w:highlight w:val="yellow"/>
          <w:lang w:val="en-GB"/>
        </w:rPr>
        <w:t xml:space="preserve">facts </w:t>
      </w:r>
      <w:r w:rsidR="00FE59EA">
        <w:rPr>
          <w:rFonts w:ascii="Arial" w:hAnsi="Arial" w:cs="Arial"/>
          <w:sz w:val="22"/>
          <w:szCs w:val="22"/>
          <w:highlight w:val="yellow"/>
          <w:lang w:val="en-GB"/>
        </w:rPr>
        <w:t xml:space="preserve">and the authority of Re Mc Bacon Ltd. It can be said that </w:t>
      </w:r>
      <w:r w:rsidRPr="00FB76F9">
        <w:rPr>
          <w:rFonts w:ascii="Arial" w:hAnsi="Arial" w:cs="Arial"/>
          <w:sz w:val="22"/>
          <w:szCs w:val="22"/>
          <w:highlight w:val="yellow"/>
          <w:lang w:val="en-GB"/>
        </w:rPr>
        <w:t>there was not a desire to</w:t>
      </w:r>
      <w:r w:rsidR="00531279" w:rsidRPr="00FB76F9">
        <w:rPr>
          <w:rFonts w:ascii="Arial" w:hAnsi="Arial" w:cs="Arial"/>
          <w:sz w:val="22"/>
          <w:szCs w:val="22"/>
          <w:highlight w:val="yellow"/>
          <w:lang w:val="en-GB"/>
        </w:rPr>
        <w:t xml:space="preserve"> prefer</w:t>
      </w:r>
      <w:r w:rsidRPr="00FB76F9">
        <w:rPr>
          <w:rFonts w:ascii="Arial" w:hAnsi="Arial" w:cs="Arial"/>
          <w:sz w:val="22"/>
          <w:szCs w:val="22"/>
          <w:highlight w:val="yellow"/>
          <w:lang w:val="en-GB"/>
        </w:rPr>
        <w:t xml:space="preserve">. Consequently, the court would not grant the application of the liquidator to avoid this transaction. </w:t>
      </w:r>
    </w:p>
    <w:p w14:paraId="0D2DC34F" w14:textId="77777777" w:rsidR="00B04033" w:rsidRPr="00FB76F9" w:rsidRDefault="00B04033" w:rsidP="00087F21">
      <w:pPr>
        <w:autoSpaceDE w:val="0"/>
        <w:autoSpaceDN w:val="0"/>
        <w:adjustRightInd w:val="0"/>
        <w:jc w:val="both"/>
        <w:rPr>
          <w:rFonts w:ascii="Arial" w:hAnsi="Arial" w:cs="Arial"/>
          <w:sz w:val="22"/>
          <w:szCs w:val="22"/>
          <w:highlight w:val="yellow"/>
          <w:lang w:val="en-GB"/>
        </w:rPr>
      </w:pPr>
    </w:p>
    <w:bookmarkEnd w:id="1"/>
    <w:p w14:paraId="7B275592" w14:textId="639AAD17" w:rsidR="00B77F46" w:rsidRPr="00FB76F9" w:rsidRDefault="00C606C3" w:rsidP="004E3A6B">
      <w:pPr>
        <w:jc w:val="center"/>
        <w:rPr>
          <w:rFonts w:ascii="Arial" w:hAnsi="Arial" w:cs="Arial"/>
          <w:b/>
          <w:bCs/>
          <w:sz w:val="22"/>
          <w:szCs w:val="22"/>
          <w:lang w:val="en-GB"/>
        </w:rPr>
      </w:pPr>
      <w:r w:rsidRPr="00A158A9">
        <w:rPr>
          <w:rFonts w:ascii="Arial" w:hAnsi="Arial" w:cs="Arial"/>
          <w:b/>
          <w:bCs/>
          <w:sz w:val="22"/>
          <w:szCs w:val="22"/>
          <w:lang w:val="en-GB"/>
        </w:rPr>
        <w:t>*</w:t>
      </w:r>
      <w:r w:rsidR="001E25B9" w:rsidRPr="00A158A9">
        <w:rPr>
          <w:rFonts w:ascii="Arial" w:hAnsi="Arial" w:cs="Arial"/>
          <w:b/>
          <w:bCs/>
          <w:sz w:val="22"/>
          <w:szCs w:val="22"/>
          <w:lang w:val="en-GB"/>
        </w:rPr>
        <w:t xml:space="preserve"> </w:t>
      </w:r>
      <w:r w:rsidR="0077498C" w:rsidRPr="00A158A9">
        <w:rPr>
          <w:rFonts w:ascii="Arial" w:hAnsi="Arial" w:cs="Arial"/>
          <w:b/>
          <w:bCs/>
          <w:sz w:val="22"/>
          <w:szCs w:val="22"/>
          <w:lang w:val="en-GB"/>
        </w:rPr>
        <w:t>End of Assessment</w:t>
      </w:r>
      <w:r w:rsidR="001E25B9" w:rsidRPr="00A158A9">
        <w:rPr>
          <w:rFonts w:ascii="Arial" w:hAnsi="Arial" w:cs="Arial"/>
          <w:b/>
          <w:bCs/>
          <w:sz w:val="22"/>
          <w:szCs w:val="22"/>
          <w:lang w:val="en-GB"/>
        </w:rPr>
        <w:t xml:space="preserve"> </w:t>
      </w:r>
      <w:r w:rsidRPr="00A158A9">
        <w:rPr>
          <w:rFonts w:ascii="Arial" w:hAnsi="Arial"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D809" w14:textId="77777777" w:rsidR="00A72A1C" w:rsidRDefault="00A72A1C" w:rsidP="00241B44">
      <w:r>
        <w:separator/>
      </w:r>
    </w:p>
  </w:endnote>
  <w:endnote w:type="continuationSeparator" w:id="0">
    <w:p w14:paraId="625E8B73" w14:textId="77777777" w:rsidR="00A72A1C" w:rsidRDefault="00A72A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14C053D" w:rsidR="00241FA3" w:rsidRPr="00380780" w:rsidRDefault="00BF7843" w:rsidP="009B4976">
    <w:pPr>
      <w:pStyle w:val="Footer"/>
      <w:ind w:right="360"/>
      <w:rPr>
        <w:rFonts w:ascii="Arial" w:hAnsi="Arial" w:cs="Arial"/>
        <w:szCs w:val="20"/>
        <w:lang w:val="en-GB"/>
      </w:rPr>
    </w:pPr>
    <w:r w:rsidRPr="00380780">
      <w:rPr>
        <w:rFonts w:ascii="Arial" w:hAnsi="Arial" w:cs="Arial"/>
        <w:szCs w:val="20"/>
        <w:shd w:val="clear" w:color="auto" w:fill="FFFFFF"/>
      </w:rPr>
      <w:t>202122-643</w:t>
    </w:r>
    <w:r w:rsidR="0073158B" w:rsidRPr="00380780">
      <w:rPr>
        <w:rFonts w:ascii="Arial" w:hAnsi="Arial" w:cs="Arial"/>
        <w:szCs w:val="20"/>
        <w:lang w:val="en-GB"/>
      </w:rPr>
      <w:t>.assessment</w:t>
    </w:r>
    <w:r w:rsidR="00610AC7" w:rsidRPr="00380780">
      <w:rPr>
        <w:rFonts w:ascii="Arial" w:hAnsi="Arial" w:cs="Arial"/>
        <w:szCs w:val="20"/>
        <w:lang w:val="en-GB"/>
      </w:rPr>
      <w:t>3</w:t>
    </w:r>
    <w:r w:rsidR="002356EA" w:rsidRPr="00380780">
      <w:rPr>
        <w:rFonts w:ascii="Arial" w:hAnsi="Arial" w:cs="Arial"/>
        <w:szCs w:val="20"/>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9C0B" w14:textId="77777777" w:rsidR="00A72A1C" w:rsidRDefault="00A72A1C" w:rsidP="00241B44">
      <w:r>
        <w:separator/>
      </w:r>
    </w:p>
  </w:footnote>
  <w:footnote w:type="continuationSeparator" w:id="0">
    <w:p w14:paraId="390675F1" w14:textId="77777777" w:rsidR="00A72A1C" w:rsidRDefault="00A72A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D5B8F"/>
    <w:multiLevelType w:val="multilevel"/>
    <w:tmpl w:val="799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E6338"/>
    <w:multiLevelType w:val="multilevel"/>
    <w:tmpl w:val="4F1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A3CB5"/>
    <w:multiLevelType w:val="hybridMultilevel"/>
    <w:tmpl w:val="52DE6266"/>
    <w:lvl w:ilvl="0" w:tplc="27927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D57D7"/>
    <w:multiLevelType w:val="hybridMultilevel"/>
    <w:tmpl w:val="92647C8C"/>
    <w:lvl w:ilvl="0" w:tplc="6C40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742054">
    <w:abstractNumId w:val="4"/>
  </w:num>
  <w:num w:numId="2" w16cid:durableId="1617443946">
    <w:abstractNumId w:val="1"/>
  </w:num>
  <w:num w:numId="3" w16cid:durableId="1302996835">
    <w:abstractNumId w:val="0"/>
  </w:num>
  <w:num w:numId="4" w16cid:durableId="919679913">
    <w:abstractNumId w:val="10"/>
  </w:num>
  <w:num w:numId="5" w16cid:durableId="1557858480">
    <w:abstractNumId w:val="13"/>
  </w:num>
  <w:num w:numId="6" w16cid:durableId="1122960708">
    <w:abstractNumId w:val="2"/>
  </w:num>
  <w:num w:numId="7" w16cid:durableId="425152295">
    <w:abstractNumId w:val="14"/>
  </w:num>
  <w:num w:numId="8" w16cid:durableId="369916302">
    <w:abstractNumId w:val="18"/>
  </w:num>
  <w:num w:numId="9" w16cid:durableId="277180731">
    <w:abstractNumId w:val="11"/>
  </w:num>
  <w:num w:numId="10" w16cid:durableId="1604722904">
    <w:abstractNumId w:val="19"/>
  </w:num>
  <w:num w:numId="11" w16cid:durableId="115834847">
    <w:abstractNumId w:val="7"/>
  </w:num>
  <w:num w:numId="12" w16cid:durableId="817649638">
    <w:abstractNumId w:val="16"/>
  </w:num>
  <w:num w:numId="13" w16cid:durableId="1728260828">
    <w:abstractNumId w:val="12"/>
  </w:num>
  <w:num w:numId="14" w16cid:durableId="1782724692">
    <w:abstractNumId w:val="6"/>
  </w:num>
  <w:num w:numId="15" w16cid:durableId="311715811">
    <w:abstractNumId w:val="15"/>
  </w:num>
  <w:num w:numId="16" w16cid:durableId="1835218908">
    <w:abstractNumId w:val="17"/>
  </w:num>
  <w:num w:numId="17" w16cid:durableId="2101028170">
    <w:abstractNumId w:val="8"/>
  </w:num>
  <w:num w:numId="18" w16cid:durableId="452016368">
    <w:abstractNumId w:val="9"/>
  </w:num>
  <w:num w:numId="19" w16cid:durableId="1154643773">
    <w:abstractNumId w:val="20"/>
  </w:num>
  <w:num w:numId="20" w16cid:durableId="1710715444">
    <w:abstractNumId w:val="5"/>
  </w:num>
  <w:num w:numId="21" w16cid:durableId="11495127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47815"/>
    <w:rsid w:val="000502FD"/>
    <w:rsid w:val="00065166"/>
    <w:rsid w:val="00082609"/>
    <w:rsid w:val="000851CC"/>
    <w:rsid w:val="00087F21"/>
    <w:rsid w:val="00093BE8"/>
    <w:rsid w:val="000A407B"/>
    <w:rsid w:val="000A64C0"/>
    <w:rsid w:val="000A68ED"/>
    <w:rsid w:val="000B5FF1"/>
    <w:rsid w:val="000B609F"/>
    <w:rsid w:val="000D10C6"/>
    <w:rsid w:val="000D55A8"/>
    <w:rsid w:val="000E47ED"/>
    <w:rsid w:val="000E4841"/>
    <w:rsid w:val="000F1677"/>
    <w:rsid w:val="000F3D6C"/>
    <w:rsid w:val="00101694"/>
    <w:rsid w:val="00101707"/>
    <w:rsid w:val="00102CC9"/>
    <w:rsid w:val="0010593A"/>
    <w:rsid w:val="0011473D"/>
    <w:rsid w:val="00115B66"/>
    <w:rsid w:val="00115C85"/>
    <w:rsid w:val="00121818"/>
    <w:rsid w:val="00123855"/>
    <w:rsid w:val="00126A4D"/>
    <w:rsid w:val="0014171F"/>
    <w:rsid w:val="0014622C"/>
    <w:rsid w:val="00151077"/>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7947"/>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3DF1"/>
    <w:rsid w:val="00344914"/>
    <w:rsid w:val="00361A0A"/>
    <w:rsid w:val="00364836"/>
    <w:rsid w:val="0036565C"/>
    <w:rsid w:val="0036625E"/>
    <w:rsid w:val="0037465A"/>
    <w:rsid w:val="00380780"/>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D1DA9"/>
    <w:rsid w:val="003E0B16"/>
    <w:rsid w:val="003E1BBF"/>
    <w:rsid w:val="003E67D1"/>
    <w:rsid w:val="00402CEA"/>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1279"/>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2CA"/>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2CDB"/>
    <w:rsid w:val="006639DB"/>
    <w:rsid w:val="00665F09"/>
    <w:rsid w:val="006661EF"/>
    <w:rsid w:val="00677AEB"/>
    <w:rsid w:val="00680EF2"/>
    <w:rsid w:val="00687A1D"/>
    <w:rsid w:val="006925C1"/>
    <w:rsid w:val="00697EA1"/>
    <w:rsid w:val="006A2646"/>
    <w:rsid w:val="006A6530"/>
    <w:rsid w:val="006A6AF1"/>
    <w:rsid w:val="006B435A"/>
    <w:rsid w:val="006B4C64"/>
    <w:rsid w:val="006D282B"/>
    <w:rsid w:val="006D6BD5"/>
    <w:rsid w:val="006E0D3B"/>
    <w:rsid w:val="006E481A"/>
    <w:rsid w:val="006E5298"/>
    <w:rsid w:val="006F4A78"/>
    <w:rsid w:val="006F734A"/>
    <w:rsid w:val="00700D83"/>
    <w:rsid w:val="00704852"/>
    <w:rsid w:val="0070524B"/>
    <w:rsid w:val="00706987"/>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13E7"/>
    <w:rsid w:val="00793173"/>
    <w:rsid w:val="007A2A33"/>
    <w:rsid w:val="007A5171"/>
    <w:rsid w:val="007A7988"/>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7E9D"/>
    <w:rsid w:val="00867701"/>
    <w:rsid w:val="00871C74"/>
    <w:rsid w:val="008723F3"/>
    <w:rsid w:val="0087693F"/>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E4716"/>
    <w:rsid w:val="008F20FC"/>
    <w:rsid w:val="008F5FFE"/>
    <w:rsid w:val="00903344"/>
    <w:rsid w:val="00905A43"/>
    <w:rsid w:val="00912C79"/>
    <w:rsid w:val="00921B8C"/>
    <w:rsid w:val="00924DAF"/>
    <w:rsid w:val="00931D14"/>
    <w:rsid w:val="009370E5"/>
    <w:rsid w:val="00942123"/>
    <w:rsid w:val="009452DF"/>
    <w:rsid w:val="00951AA8"/>
    <w:rsid w:val="0095207B"/>
    <w:rsid w:val="00962045"/>
    <w:rsid w:val="0097684F"/>
    <w:rsid w:val="00980E61"/>
    <w:rsid w:val="00990641"/>
    <w:rsid w:val="00991428"/>
    <w:rsid w:val="00992676"/>
    <w:rsid w:val="009954B2"/>
    <w:rsid w:val="00996691"/>
    <w:rsid w:val="009A3AB7"/>
    <w:rsid w:val="009B0723"/>
    <w:rsid w:val="009B07AD"/>
    <w:rsid w:val="009B0883"/>
    <w:rsid w:val="009B15E2"/>
    <w:rsid w:val="009B4976"/>
    <w:rsid w:val="009C0B8E"/>
    <w:rsid w:val="009C1BC8"/>
    <w:rsid w:val="009C2442"/>
    <w:rsid w:val="009C7FE3"/>
    <w:rsid w:val="009D0811"/>
    <w:rsid w:val="009D0EE1"/>
    <w:rsid w:val="009D3AF0"/>
    <w:rsid w:val="009E2AEB"/>
    <w:rsid w:val="009E2E27"/>
    <w:rsid w:val="009E45DF"/>
    <w:rsid w:val="009E4DE3"/>
    <w:rsid w:val="009F275E"/>
    <w:rsid w:val="00A047EE"/>
    <w:rsid w:val="00A158A9"/>
    <w:rsid w:val="00A2274A"/>
    <w:rsid w:val="00A235B7"/>
    <w:rsid w:val="00A27A7A"/>
    <w:rsid w:val="00A34ABE"/>
    <w:rsid w:val="00A407EF"/>
    <w:rsid w:val="00A46B4C"/>
    <w:rsid w:val="00A5117B"/>
    <w:rsid w:val="00A56D34"/>
    <w:rsid w:val="00A60074"/>
    <w:rsid w:val="00A6627C"/>
    <w:rsid w:val="00A71019"/>
    <w:rsid w:val="00A72A1C"/>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0EE"/>
    <w:rsid w:val="00B56103"/>
    <w:rsid w:val="00B604A1"/>
    <w:rsid w:val="00B64929"/>
    <w:rsid w:val="00B736DF"/>
    <w:rsid w:val="00B743D6"/>
    <w:rsid w:val="00B74FBD"/>
    <w:rsid w:val="00B77505"/>
    <w:rsid w:val="00B77F46"/>
    <w:rsid w:val="00B82586"/>
    <w:rsid w:val="00B829A3"/>
    <w:rsid w:val="00B86DB1"/>
    <w:rsid w:val="00B87869"/>
    <w:rsid w:val="00B9639B"/>
    <w:rsid w:val="00BA1CFD"/>
    <w:rsid w:val="00BB0F2B"/>
    <w:rsid w:val="00BD7195"/>
    <w:rsid w:val="00BE4FF3"/>
    <w:rsid w:val="00BF2C93"/>
    <w:rsid w:val="00BF50F7"/>
    <w:rsid w:val="00BF7843"/>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CF7FE1"/>
    <w:rsid w:val="00D01697"/>
    <w:rsid w:val="00D148DC"/>
    <w:rsid w:val="00D17FDC"/>
    <w:rsid w:val="00D21D8C"/>
    <w:rsid w:val="00D33218"/>
    <w:rsid w:val="00D53719"/>
    <w:rsid w:val="00D63EFD"/>
    <w:rsid w:val="00D75183"/>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073"/>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0E38"/>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45FAA"/>
    <w:rsid w:val="00F5524B"/>
    <w:rsid w:val="00F60538"/>
    <w:rsid w:val="00F61DD2"/>
    <w:rsid w:val="00F62E7A"/>
    <w:rsid w:val="00F66AFF"/>
    <w:rsid w:val="00F70126"/>
    <w:rsid w:val="00F71433"/>
    <w:rsid w:val="00F82918"/>
    <w:rsid w:val="00F87A87"/>
    <w:rsid w:val="00F87B04"/>
    <w:rsid w:val="00F97C5B"/>
    <w:rsid w:val="00FA12B9"/>
    <w:rsid w:val="00FA3D50"/>
    <w:rsid w:val="00FA417D"/>
    <w:rsid w:val="00FB31D6"/>
    <w:rsid w:val="00FB76F9"/>
    <w:rsid w:val="00FB7FBD"/>
    <w:rsid w:val="00FC374A"/>
    <w:rsid w:val="00FC5B28"/>
    <w:rsid w:val="00FC74C8"/>
    <w:rsid w:val="00FC7B47"/>
    <w:rsid w:val="00FD035C"/>
    <w:rsid w:val="00FD1A35"/>
    <w:rsid w:val="00FD2EA4"/>
    <w:rsid w:val="00FD36C5"/>
    <w:rsid w:val="00FD6310"/>
    <w:rsid w:val="00FD7C7B"/>
    <w:rsid w:val="00FE1D12"/>
    <w:rsid w:val="00FE2122"/>
    <w:rsid w:val="00FE2A86"/>
    <w:rsid w:val="00FE2DE2"/>
    <w:rsid w:val="00FE59E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B77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5FA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rsid w:val="00F45FAA"/>
    <w:rPr>
      <w:rFonts w:ascii="Times New Roman" w:eastAsia="Times New Roman" w:hAnsi="Times New Roman" w:cs="Times New Roman"/>
      <w:b/>
      <w:bCs/>
      <w:sz w:val="27"/>
      <w:szCs w:val="27"/>
    </w:rPr>
  </w:style>
  <w:style w:type="character" w:customStyle="1" w:styleId="legds">
    <w:name w:val="legds"/>
    <w:basedOn w:val="DefaultParagraphFont"/>
    <w:rsid w:val="00F45FAA"/>
  </w:style>
  <w:style w:type="paragraph" w:customStyle="1" w:styleId="legclearfix">
    <w:name w:val="legclearfix"/>
    <w:basedOn w:val="Normal"/>
    <w:rsid w:val="00F45FAA"/>
    <w:pPr>
      <w:spacing w:before="100" w:beforeAutospacing="1" w:after="100" w:afterAutospacing="1"/>
    </w:pPr>
    <w:rPr>
      <w:rFonts w:ascii="Times New Roman" w:hAnsi="Times New Roman" w:cs="Times New Roman"/>
      <w:sz w:val="24"/>
    </w:rPr>
  </w:style>
  <w:style w:type="character" w:customStyle="1" w:styleId="Heading1Char">
    <w:name w:val="Heading 1 Char"/>
    <w:basedOn w:val="DefaultParagraphFont"/>
    <w:link w:val="Heading1"/>
    <w:uiPriority w:val="9"/>
    <w:rsid w:val="00B77505"/>
    <w:rPr>
      <w:rFonts w:asciiTheme="majorHAnsi" w:eastAsiaTheme="majorEastAsia" w:hAnsiTheme="majorHAnsi" w:cstheme="majorBidi"/>
      <w:color w:val="2F5496" w:themeColor="accent1" w:themeShade="BF"/>
      <w:sz w:val="32"/>
      <w:szCs w:val="32"/>
    </w:rPr>
  </w:style>
  <w:style w:type="character" w:customStyle="1" w:styleId="legaddition">
    <w:name w:val="legaddition"/>
    <w:basedOn w:val="DefaultParagraphFont"/>
    <w:rsid w:val="00B77505"/>
  </w:style>
  <w:style w:type="paragraph" w:customStyle="1" w:styleId="legrhs">
    <w:name w:val="legrhs"/>
    <w:basedOn w:val="Normal"/>
    <w:rsid w:val="003D1DA9"/>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93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1163099">
      <w:bodyDiv w:val="1"/>
      <w:marLeft w:val="0"/>
      <w:marRight w:val="0"/>
      <w:marTop w:val="0"/>
      <w:marBottom w:val="0"/>
      <w:divBdr>
        <w:top w:val="none" w:sz="0" w:space="0" w:color="auto"/>
        <w:left w:val="none" w:sz="0" w:space="0" w:color="auto"/>
        <w:bottom w:val="none" w:sz="0" w:space="0" w:color="auto"/>
        <w:right w:val="none" w:sz="0" w:space="0" w:color="auto"/>
      </w:divBdr>
    </w:div>
    <w:div w:id="72903912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1415166">
      <w:bodyDiv w:val="1"/>
      <w:marLeft w:val="0"/>
      <w:marRight w:val="0"/>
      <w:marTop w:val="0"/>
      <w:marBottom w:val="0"/>
      <w:divBdr>
        <w:top w:val="none" w:sz="0" w:space="0" w:color="auto"/>
        <w:left w:val="none" w:sz="0" w:space="0" w:color="auto"/>
        <w:bottom w:val="none" w:sz="0" w:space="0" w:color="auto"/>
        <w:right w:val="none" w:sz="0" w:space="0" w:color="auto"/>
      </w:divBdr>
    </w:div>
    <w:div w:id="129258932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05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Stephine Narcisse</cp:lastModifiedBy>
  <cp:revision>20</cp:revision>
  <cp:lastPrinted>2023-02-23T13:21:00Z</cp:lastPrinted>
  <dcterms:created xsi:type="dcterms:W3CDTF">2023-03-01T00:30:00Z</dcterms:created>
  <dcterms:modified xsi:type="dcterms:W3CDTF">2023-03-01T17:10:00Z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