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4726BF">
        <w:rPr>
          <w:rFonts w:ascii="Avenir Next" w:hAnsi="Avenir Next"/>
          <w:highlight w:val="yellow"/>
        </w:rPr>
        <w:t>All of</w:t>
      </w:r>
      <w:proofErr w:type="gramEnd"/>
      <w:r w:rsidRPr="004726BF">
        <w:rPr>
          <w:rFonts w:ascii="Avenir Next" w:hAnsi="Avenir Next"/>
          <w:highlight w:val="yellow"/>
        </w:rPr>
        <w:t xml:space="preserve">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CD7383">
        <w:rPr>
          <w:rFonts w:ascii="Avenir Next" w:hAnsi="Avenir Next"/>
          <w:highlight w:val="yellow"/>
        </w:rPr>
        <w:t>An environmental advocacy group that opposes ABC Corp’s 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F74657">
        <w:rPr>
          <w:rFonts w:ascii="Avenir Next" w:hAnsi="Avenir Next"/>
          <w:highlight w:val="yellow"/>
        </w:rPr>
        <w:t>A lease on a manufacturing plant that contains a provision that requires landlord approval of any assignment</w:t>
      </w:r>
      <w:r w:rsidRPr="002C4932">
        <w:rPr>
          <w:rFonts w:ascii="Avenir Next" w:hAnsi="Avenir Next"/>
        </w:rPr>
        <w: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9F0BE1">
        <w:rPr>
          <w:rFonts w:ascii="Avenir Next" w:hAnsi="Avenir Next"/>
          <w:highlight w:val="yellow"/>
        </w:rPr>
        <w:t>The plan is not likely to be followed by liquidation</w:t>
      </w:r>
      <w:r w:rsidRPr="002C4932">
        <w:rPr>
          <w:rFonts w:ascii="Avenir Next" w:hAnsi="Avenir Next"/>
        </w:rPr>
        <w:t>.</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45D0A325" w14:textId="77777777" w:rsidR="00FE4ADA" w:rsidRDefault="00FE4ADA" w:rsidP="00FE4ADA">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FF3B93">
        <w:rPr>
          <w:rFonts w:ascii="Avenir Next" w:hAnsi="Avenir Next"/>
          <w:highlight w:val="yellow"/>
        </w:rPr>
        <w:t>If one insider creditor approves of the plan of reorganization, all other impaired classes may be crammed down</w:t>
      </w:r>
      <w:r w:rsidRPr="002C4932">
        <w:rPr>
          <w:rFonts w:ascii="Avenir Next" w:hAnsi="Avenir Next"/>
        </w:rPr>
        <w: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A47A3C">
        <w:rPr>
          <w:rFonts w:ascii="Avenir Next" w:hAnsi="Avenir Next"/>
          <w:highlight w:val="yellow"/>
        </w:rPr>
        <w:t>In chapter 15 proceedings, a foreign court’s approval alone suffices for a 363 sale</w:t>
      </w:r>
      <w:r w:rsidRPr="002C4932">
        <w:rPr>
          <w:rFonts w:ascii="Avenir Next" w:hAnsi="Avenir Next"/>
        </w:rPr>
        <w:t>.</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E03927">
        <w:rPr>
          <w:rFonts w:ascii="Avenir Next" w:hAnsi="Avenir Next"/>
          <w:highlight w:val="yellow"/>
        </w:rPr>
        <w:t>In addition to provisions in the Bankruptcy Code, the debtor or the trustee may invoke applicable state or foreign fraudulent conveyance laws</w:t>
      </w:r>
      <w:r w:rsidRPr="002C4932">
        <w:rPr>
          <w:rFonts w:ascii="Avenir Next" w:hAnsi="Avenir Next"/>
        </w:rPr>
        <w:t>.</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270409">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3F22C1A7" w14:textId="77777777" w:rsidR="00E12FF0" w:rsidRDefault="00E12FF0" w:rsidP="00E12FF0">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A620E2">
        <w:rPr>
          <w:rFonts w:ascii="Avenir Next" w:hAnsi="Avenir Next"/>
          <w:highlight w:val="yellow"/>
        </w:rPr>
        <w:t xml:space="preserve">If a creditor can show it extended credit </w:t>
      </w:r>
      <w:proofErr w:type="gramStart"/>
      <w:r w:rsidRPr="00A620E2">
        <w:rPr>
          <w:rFonts w:ascii="Avenir Next" w:hAnsi="Avenir Next"/>
          <w:highlight w:val="yellow"/>
        </w:rPr>
        <w:t>on the basis of</w:t>
      </w:r>
      <w:proofErr w:type="gramEnd"/>
      <w:r w:rsidRPr="00A620E2">
        <w:rPr>
          <w:rFonts w:ascii="Avenir Next" w:hAnsi="Avenir Next"/>
          <w:highlight w:val="yellow"/>
        </w:rPr>
        <w:t xml:space="preserve">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proofErr w:type="gramStart"/>
      <w:r w:rsidRPr="004C0D88">
        <w:rPr>
          <w:rFonts w:ascii="Avenir Next" w:hAnsi="Avenir Next"/>
          <w:highlight w:val="yellow"/>
        </w:rPr>
        <w:t>All of</w:t>
      </w:r>
      <w:proofErr w:type="gramEnd"/>
      <w:r w:rsidRPr="004C0D88">
        <w:rPr>
          <w:rFonts w:ascii="Avenir Next" w:hAnsi="Avenir Next"/>
          <w:highlight w:val="yellow"/>
        </w:rPr>
        <w:t xml:space="preserve"> the above</w:t>
      </w:r>
      <w:r w:rsidRPr="002C4932">
        <w:rPr>
          <w:rFonts w:ascii="Avenir Next" w:hAnsi="Avenir Next"/>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48B6C0D8" w:rsidR="00E41578" w:rsidRPr="00E41578" w:rsidRDefault="00A973E5" w:rsidP="00A973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00994491" w:rsidRPr="00994491">
        <w:rPr>
          <w:rFonts w:ascii="Avenir Next" w:hAnsi="Avenir Next" w:cs="Arial"/>
          <w:color w:val="7B7B7B" w:themeColor="accent3" w:themeShade="BF"/>
          <w:sz w:val="22"/>
          <w:szCs w:val="22"/>
          <w:lang w:val="en-GB"/>
        </w:rPr>
        <w:t>HALL</w:t>
      </w:r>
      <w:r w:rsidR="00994491">
        <w:rPr>
          <w:rFonts w:ascii="Avenir Next" w:hAnsi="Avenir Next" w:cs="Arial"/>
          <w:color w:val="7B7B7B" w:themeColor="accent3" w:themeShade="BF"/>
          <w:sz w:val="22"/>
          <w:szCs w:val="22"/>
          <w:lang w:val="en-GB"/>
        </w:rPr>
        <w:t>,</w:t>
      </w:r>
      <w:r w:rsidR="00994491" w:rsidRPr="0099449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994491">
        <w:rPr>
          <w:rFonts w:ascii="Avenir Next" w:hAnsi="Avenir Next" w:cs="Arial"/>
          <w:color w:val="7B7B7B" w:themeColor="accent3" w:themeShade="BF"/>
          <w:sz w:val="22"/>
          <w:szCs w:val="22"/>
          <w:lang w:val="en-GB"/>
        </w:rPr>
        <w:t>[s]</w:t>
      </w:r>
      <w:proofErr w:type="spellStart"/>
      <w:r w:rsidRPr="00A973E5">
        <w:rPr>
          <w:rFonts w:ascii="Avenir Next" w:hAnsi="Avenir Next" w:cs="Arial"/>
          <w:color w:val="7B7B7B" w:themeColor="accent3" w:themeShade="BF"/>
          <w:sz w:val="22"/>
          <w:szCs w:val="22"/>
          <w:lang w:val="en-GB"/>
        </w:rPr>
        <w:t>etoff</w:t>
      </w:r>
      <w:proofErr w:type="spellEnd"/>
      <w:r w:rsidRPr="00A973E5">
        <w:rPr>
          <w:rFonts w:ascii="Avenir Next" w:hAnsi="Avenir Next" w:cs="Arial"/>
          <w:color w:val="7B7B7B" w:themeColor="accent3" w:themeShade="BF"/>
          <w:sz w:val="22"/>
          <w:szCs w:val="22"/>
          <w:lang w:val="en-GB"/>
        </w:rPr>
        <w:t xml:space="preserve"> permits a creditor holding</w:t>
      </w:r>
      <w:r>
        <w:rPr>
          <w:rFonts w:ascii="Avenir Next" w:hAnsi="Avenir Next" w:cs="Arial"/>
          <w:color w:val="7B7B7B" w:themeColor="accent3" w:themeShade="BF"/>
          <w:sz w:val="22"/>
          <w:szCs w:val="22"/>
          <w:lang w:val="en-GB"/>
        </w:rPr>
        <w:t xml:space="preserve"> </w:t>
      </w:r>
      <w:r w:rsidRPr="00A973E5">
        <w:rPr>
          <w:rFonts w:ascii="Avenir Next" w:hAnsi="Avenir Next" w:cs="Arial"/>
          <w:color w:val="7B7B7B" w:themeColor="accent3" w:themeShade="BF"/>
          <w:sz w:val="22"/>
          <w:szCs w:val="22"/>
          <w:lang w:val="en-GB"/>
        </w:rPr>
        <w:t>a claim against the debtor and simultaneously owing money to the debtor to net out the two (or</w:t>
      </w:r>
      <w:r>
        <w:rPr>
          <w:rFonts w:ascii="Avenir Next" w:hAnsi="Avenir Next" w:cs="Arial"/>
          <w:color w:val="7B7B7B" w:themeColor="accent3" w:themeShade="BF"/>
          <w:sz w:val="22"/>
          <w:szCs w:val="22"/>
          <w:lang w:val="en-GB"/>
        </w:rPr>
        <w:t xml:space="preserve"> </w:t>
      </w:r>
      <w:r w:rsidRPr="00A973E5">
        <w:rPr>
          <w:rFonts w:ascii="Avenir Next" w:hAnsi="Avenir Next" w:cs="Arial"/>
          <w:color w:val="7B7B7B" w:themeColor="accent3" w:themeShade="BF"/>
          <w:sz w:val="22"/>
          <w:szCs w:val="22"/>
          <w:lang w:val="en-GB"/>
        </w:rPr>
        <w:t>more) obligations</w:t>
      </w:r>
      <w:r>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r w:rsidR="006F3650">
        <w:rPr>
          <w:rFonts w:ascii="Avenir Next" w:hAnsi="Avenir Next" w:cs="Arial"/>
          <w:color w:val="7B7B7B" w:themeColor="accent3" w:themeShade="BF"/>
          <w:sz w:val="22"/>
          <w:szCs w:val="22"/>
          <w:lang w:val="en-GB"/>
        </w:rPr>
        <w:t xml:space="preserve">A setoff is </w:t>
      </w:r>
      <w:r w:rsidR="006F3650" w:rsidRPr="006F3650">
        <w:rPr>
          <w:rFonts w:ascii="Avenir Next" w:hAnsi="Avenir Next" w:cs="Arial"/>
          <w:color w:val="7B7B7B" w:themeColor="accent3" w:themeShade="BF"/>
          <w:sz w:val="22"/>
          <w:szCs w:val="22"/>
          <w:lang w:val="en-GB"/>
        </w:rPr>
        <w:t>not permitted in many circumstances</w:t>
      </w:r>
      <w:r w:rsidR="00D56175">
        <w:rPr>
          <w:rFonts w:ascii="Avenir Next" w:hAnsi="Avenir Next" w:cs="Arial"/>
          <w:color w:val="7B7B7B" w:themeColor="accent3" w:themeShade="BF"/>
          <w:sz w:val="22"/>
          <w:szCs w:val="22"/>
          <w:lang w:val="en-GB"/>
        </w:rPr>
        <w:t xml:space="preserve"> </w:t>
      </w:r>
      <w:r w:rsidR="00D56175" w:rsidRPr="00D56175">
        <w:rPr>
          <w:rFonts w:ascii="Avenir Next" w:hAnsi="Avenir Next" w:cs="Arial"/>
          <w:color w:val="7B7B7B" w:themeColor="accent3" w:themeShade="BF"/>
          <w:sz w:val="22"/>
          <w:szCs w:val="22"/>
          <w:lang w:val="en-GB"/>
        </w:rPr>
        <w:t xml:space="preserve">because they may </w:t>
      </w:r>
      <w:r w:rsidR="00A44C25">
        <w:rPr>
          <w:rFonts w:ascii="Avenir Next" w:hAnsi="Avenir Next" w:cs="Arial"/>
          <w:color w:val="7B7B7B" w:themeColor="accent3" w:themeShade="BF"/>
          <w:sz w:val="22"/>
          <w:szCs w:val="22"/>
          <w:lang w:val="en-GB"/>
        </w:rPr>
        <w:t xml:space="preserve">give </w:t>
      </w:r>
      <w:r w:rsidR="00A44C25" w:rsidRPr="00A44C25">
        <w:rPr>
          <w:rFonts w:ascii="Avenir Next" w:hAnsi="Avenir Next" w:cs="Arial"/>
          <w:color w:val="7B7B7B" w:themeColor="accent3" w:themeShade="BF"/>
          <w:sz w:val="22"/>
          <w:szCs w:val="22"/>
          <w:lang w:val="en-GB"/>
        </w:rPr>
        <w:t>unequal treatment of creditors in similar situations</w:t>
      </w:r>
      <w:r w:rsidR="00A44C25">
        <w:rPr>
          <w:rFonts w:ascii="Avenir Next" w:hAnsi="Avenir Next" w:cs="Arial"/>
          <w:color w:val="7B7B7B" w:themeColor="accent3" w:themeShade="BF"/>
          <w:sz w:val="22"/>
          <w:szCs w:val="22"/>
          <w:lang w:val="en-GB"/>
        </w:rPr>
        <w:t xml:space="preserve">, by </w:t>
      </w:r>
      <w:r w:rsidR="00D56175" w:rsidRPr="00D56175">
        <w:rPr>
          <w:rFonts w:ascii="Avenir Next" w:hAnsi="Avenir Next" w:cs="Arial"/>
          <w:color w:val="7B7B7B" w:themeColor="accent3" w:themeShade="BF"/>
          <w:sz w:val="22"/>
          <w:szCs w:val="22"/>
          <w:lang w:val="en-GB"/>
        </w:rPr>
        <w:t>improv</w:t>
      </w:r>
      <w:r w:rsidR="00A44C25">
        <w:rPr>
          <w:rFonts w:ascii="Avenir Next" w:hAnsi="Avenir Next" w:cs="Arial"/>
          <w:color w:val="7B7B7B" w:themeColor="accent3" w:themeShade="BF"/>
          <w:sz w:val="22"/>
          <w:szCs w:val="22"/>
          <w:lang w:val="en-GB"/>
        </w:rPr>
        <w:t>ing</w:t>
      </w:r>
      <w:r w:rsidR="00D56175" w:rsidRPr="00D56175">
        <w:rPr>
          <w:rFonts w:ascii="Avenir Next" w:hAnsi="Avenir Next" w:cs="Arial"/>
          <w:color w:val="7B7B7B" w:themeColor="accent3" w:themeShade="BF"/>
          <w:sz w:val="22"/>
          <w:szCs w:val="22"/>
          <w:lang w:val="en-GB"/>
        </w:rPr>
        <w:t xml:space="preserve"> a creditor's position compared to other</w:t>
      </w:r>
      <w:r w:rsidR="00136BE8">
        <w:rPr>
          <w:rFonts w:ascii="Avenir Next" w:hAnsi="Avenir Next" w:cs="Arial"/>
          <w:color w:val="7B7B7B" w:themeColor="accent3" w:themeShade="BF"/>
          <w:sz w:val="22"/>
          <w:szCs w:val="22"/>
          <w:lang w:val="en-GB"/>
        </w:rPr>
        <w:t>s</w:t>
      </w:r>
      <w:r w:rsidR="00D56175" w:rsidRPr="00D56175">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02B39DE5" w:rsidR="00622C36" w:rsidRDefault="00123320" w:rsidP="00622C36">
      <w:pPr>
        <w:pStyle w:val="AODocTxt"/>
        <w:spacing w:before="0" w:line="240" w:lineRule="auto"/>
        <w:rPr>
          <w:rFonts w:ascii="Avenir Next" w:hAnsi="Avenir Next"/>
        </w:rPr>
      </w:pPr>
      <w:r w:rsidRPr="00123320">
        <w:rPr>
          <w:rFonts w:ascii="Avenir Next" w:eastAsia="Times New Roman" w:hAnsi="Avenir Next" w:cs="Arial"/>
          <w:color w:val="7B7B7B" w:themeColor="accent3" w:themeShade="BF"/>
          <w:lang w:val="en-GB"/>
        </w:rPr>
        <w:t>The relevant rules for a bankruptcy case are the Federal Rules of Bankruptcy Procedure (the Bankruptcy Rules), the Federal Rules o</w:t>
      </w:r>
      <w:r>
        <w:rPr>
          <w:rFonts w:ascii="Avenir Next" w:eastAsia="Times New Roman" w:hAnsi="Avenir Next" w:cs="Arial"/>
          <w:color w:val="7B7B7B" w:themeColor="accent3" w:themeShade="BF"/>
          <w:lang w:val="en-GB"/>
        </w:rPr>
        <w:t>f</w:t>
      </w:r>
      <w:r w:rsidRPr="00123320">
        <w:rPr>
          <w:rFonts w:ascii="Avenir Next" w:eastAsia="Times New Roman" w:hAnsi="Avenir Next" w:cs="Arial"/>
          <w:color w:val="7B7B7B" w:themeColor="accent3" w:themeShade="BF"/>
          <w:lang w:val="en-GB"/>
        </w:rPr>
        <w:t xml:space="preserve"> Civil Procedure and the local rules of the bankruptcy court. It is also important to review the judge's personal practices.</w:t>
      </w:r>
      <w:r>
        <w:rPr>
          <w:rStyle w:val="Refdenotaderodap"/>
          <w:rFonts w:ascii="Avenir Next" w:eastAsia="Times New Roman" w:hAnsi="Avenir Next" w:cs="Arial"/>
          <w:color w:val="7B7B7B" w:themeColor="accent3" w:themeShade="BF"/>
          <w:lang w:val="en-GB"/>
        </w:rPr>
        <w:footnoteReference w:id="2"/>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7797DBEC" w:rsidR="003A5537" w:rsidRPr="0083604B" w:rsidRDefault="008760B1" w:rsidP="0083604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Pr="00994491">
        <w:rPr>
          <w:rFonts w:ascii="Avenir Next" w:hAnsi="Avenir Next" w:cs="Arial"/>
          <w:color w:val="7B7B7B" w:themeColor="accent3" w:themeShade="BF"/>
          <w:sz w:val="22"/>
          <w:szCs w:val="22"/>
          <w:lang w:val="en-GB"/>
        </w:rPr>
        <w:t>HALL</w:t>
      </w:r>
      <w:r>
        <w:rPr>
          <w:rFonts w:ascii="Avenir Next" w:hAnsi="Avenir Next" w:cs="Arial"/>
          <w:color w:val="7B7B7B" w:themeColor="accent3" w:themeShade="BF"/>
          <w:sz w:val="22"/>
          <w:szCs w:val="22"/>
          <w:lang w:val="en-GB"/>
        </w:rPr>
        <w:t>,</w:t>
      </w:r>
      <w:r w:rsidRPr="00994491">
        <w:rPr>
          <w:rFonts w:ascii="Avenir Next" w:hAnsi="Avenir Next" w:cs="Arial"/>
          <w:color w:val="7B7B7B" w:themeColor="accent3" w:themeShade="BF"/>
          <w:sz w:val="22"/>
          <w:szCs w:val="22"/>
          <w:lang w:val="en-GB"/>
        </w:rPr>
        <w:t xml:space="preserve"> </w:t>
      </w:r>
      <w:r w:rsidR="00442F53">
        <w:rPr>
          <w:rFonts w:ascii="Avenir Next" w:hAnsi="Avenir Next" w:cs="Arial"/>
          <w:color w:val="7B7B7B" w:themeColor="accent3" w:themeShade="BF"/>
          <w:sz w:val="22"/>
          <w:szCs w:val="22"/>
          <w:lang w:val="en-GB"/>
        </w:rPr>
        <w:t>“[t]</w:t>
      </w:r>
      <w:r w:rsidR="00442F53" w:rsidRPr="00442F53">
        <w:rPr>
          <w:rFonts w:ascii="Avenir Next" w:hAnsi="Avenir Next" w:cs="Arial"/>
          <w:color w:val="7B7B7B" w:themeColor="accent3" w:themeShade="BF"/>
          <w:sz w:val="22"/>
          <w:szCs w:val="22"/>
          <w:lang w:val="en-GB"/>
        </w:rPr>
        <w:t>he absolute priority rule requires that payment in full must be made to each category of claims</w:t>
      </w:r>
      <w:r>
        <w:rPr>
          <w:rFonts w:ascii="Avenir Next" w:hAnsi="Avenir Next" w:cs="Arial"/>
          <w:color w:val="7B7B7B" w:themeColor="accent3" w:themeShade="BF"/>
          <w:sz w:val="22"/>
          <w:szCs w:val="22"/>
          <w:lang w:val="en-GB"/>
        </w:rPr>
        <w:t xml:space="preserve"> </w:t>
      </w:r>
      <w:r w:rsidR="00442F53" w:rsidRPr="00442F53">
        <w:rPr>
          <w:rFonts w:ascii="Avenir Next" w:hAnsi="Avenir Next" w:cs="Arial"/>
          <w:color w:val="7B7B7B" w:themeColor="accent3" w:themeShade="BF"/>
          <w:sz w:val="22"/>
          <w:szCs w:val="22"/>
          <w:lang w:val="en-GB"/>
        </w:rPr>
        <w:t>before the next category receives anything</w:t>
      </w:r>
      <w:r w:rsidR="00442F53">
        <w:rPr>
          <w:rFonts w:ascii="Avenir Next" w:hAnsi="Avenir Next" w:cs="Arial"/>
          <w:color w:val="7B7B7B" w:themeColor="accent3" w:themeShade="BF"/>
          <w:sz w:val="22"/>
          <w:szCs w:val="22"/>
          <w:lang w:val="en-GB"/>
        </w:rPr>
        <w:t>”.</w:t>
      </w:r>
      <w:r w:rsidR="00442F53">
        <w:rPr>
          <w:rStyle w:val="Refdenotaderodap"/>
          <w:rFonts w:ascii="Avenir Next" w:hAnsi="Avenir Next" w:cs="Arial"/>
          <w:color w:val="7B7B7B" w:themeColor="accent3" w:themeShade="BF"/>
          <w:sz w:val="22"/>
          <w:szCs w:val="22"/>
          <w:lang w:val="en-GB"/>
        </w:rPr>
        <w:footnoteReference w:id="3"/>
      </w:r>
      <w:r w:rsidR="0056349C">
        <w:rPr>
          <w:rFonts w:ascii="Avenir Next" w:hAnsi="Avenir Next" w:cs="Arial"/>
          <w:color w:val="7B7B7B" w:themeColor="accent3" w:themeShade="BF"/>
          <w:sz w:val="22"/>
          <w:szCs w:val="22"/>
          <w:lang w:val="en-GB"/>
        </w:rPr>
        <w:t xml:space="preserve"> </w:t>
      </w:r>
      <w:r w:rsidR="0056349C" w:rsidRPr="0056349C">
        <w:rPr>
          <w:rFonts w:ascii="Avenir Next" w:hAnsi="Avenir Next" w:cs="Arial"/>
          <w:color w:val="7B7B7B" w:themeColor="accent3" w:themeShade="BF"/>
          <w:sz w:val="22"/>
          <w:szCs w:val="22"/>
          <w:lang w:val="en-GB"/>
        </w:rPr>
        <w:t xml:space="preserve">The absolute priority rule can be deviated with the consent of affected creditors, </w:t>
      </w:r>
      <w:r w:rsidR="0056349C">
        <w:rPr>
          <w:rFonts w:ascii="Avenir Next" w:hAnsi="Avenir Next" w:cs="Arial"/>
          <w:color w:val="7B7B7B" w:themeColor="accent3" w:themeShade="BF"/>
          <w:sz w:val="22"/>
          <w:szCs w:val="22"/>
          <w:lang w:val="en-GB"/>
        </w:rPr>
        <w:t xml:space="preserve">only </w:t>
      </w:r>
      <w:r w:rsidR="0056349C" w:rsidRPr="0056349C">
        <w:rPr>
          <w:rFonts w:ascii="Avenir Next" w:hAnsi="Avenir Next" w:cs="Arial"/>
          <w:color w:val="7B7B7B" w:themeColor="accent3" w:themeShade="BF"/>
          <w:sz w:val="22"/>
          <w:szCs w:val="22"/>
          <w:lang w:val="en-GB"/>
        </w:rPr>
        <w:t>in case of Chapter 11.</w:t>
      </w:r>
      <w:r w:rsidR="0083604B">
        <w:rPr>
          <w:rStyle w:val="Refdenotaderodap"/>
          <w:rFonts w:ascii="Avenir Next" w:hAnsi="Avenir Next" w:cs="Arial"/>
          <w:color w:val="7B7B7B" w:themeColor="accent3" w:themeShade="BF"/>
          <w:sz w:val="22"/>
          <w:szCs w:val="22"/>
          <w:lang w:val="en-GB"/>
        </w:rPr>
        <w:footnoteReference w:id="4"/>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34AC1EBF" w:rsidR="00E41578" w:rsidRPr="00E41578" w:rsidRDefault="0047106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HALL defines that a “priming lien” “</w:t>
      </w:r>
      <w:r w:rsidRPr="00471065">
        <w:rPr>
          <w:rFonts w:ascii="Avenir Next" w:hAnsi="Avenir Next" w:cs="Arial"/>
          <w:color w:val="7B7B7B" w:themeColor="accent3" w:themeShade="BF"/>
          <w:sz w:val="22"/>
          <w:szCs w:val="22"/>
          <w:lang w:val="en-GB"/>
        </w:rPr>
        <w:t>is senior or equal to a pre-petition lien on estate property to secure post-petition financing</w:t>
      </w:r>
      <w:r>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5"/>
      </w:r>
      <w:r w:rsidR="00363E82">
        <w:rPr>
          <w:rFonts w:ascii="Avenir Next" w:hAnsi="Avenir Next" w:cs="Arial"/>
          <w:color w:val="7B7B7B" w:themeColor="accent3" w:themeShade="BF"/>
          <w:sz w:val="22"/>
          <w:szCs w:val="22"/>
          <w:lang w:val="en-GB"/>
        </w:rPr>
        <w:t xml:space="preserve"> </w:t>
      </w:r>
      <w:r w:rsidR="00363E82" w:rsidRPr="00363E82">
        <w:rPr>
          <w:rFonts w:ascii="Avenir Next" w:hAnsi="Avenir Next" w:cs="Arial"/>
          <w:color w:val="7B7B7B" w:themeColor="accent3" w:themeShade="BF"/>
          <w:sz w:val="22"/>
          <w:szCs w:val="22"/>
          <w:lang w:val="en-GB"/>
        </w:rPr>
        <w:t xml:space="preserve">The court may grant a priming lien if the debtor cannot obtain a DIP on any other terms. Moreover, HALL </w:t>
      </w:r>
      <w:r w:rsidR="00363E82" w:rsidRPr="00363E82">
        <w:rPr>
          <w:rFonts w:ascii="Avenir Next" w:hAnsi="Avenir Next" w:cs="Arial"/>
          <w:color w:val="7B7B7B" w:themeColor="accent3" w:themeShade="BF"/>
          <w:sz w:val="22"/>
          <w:szCs w:val="22"/>
          <w:lang w:val="en-GB"/>
        </w:rPr>
        <w:t>indicates</w:t>
      </w:r>
      <w:r w:rsidR="00363E82" w:rsidRPr="00363E82">
        <w:rPr>
          <w:rFonts w:ascii="Avenir Next" w:hAnsi="Avenir Next" w:cs="Arial"/>
          <w:color w:val="7B7B7B" w:themeColor="accent3" w:themeShade="BF"/>
          <w:sz w:val="22"/>
          <w:szCs w:val="22"/>
          <w:lang w:val="en-GB"/>
        </w:rPr>
        <w:t xml:space="preserve"> that "[t]he debtor also must demonstrate that the interest of the secured creditor being primed is adequately protected".</w:t>
      </w:r>
      <w:r w:rsidR="00363E82">
        <w:rPr>
          <w:rStyle w:val="Refdenotaderodap"/>
          <w:rFonts w:ascii="Avenir Next" w:hAnsi="Avenir Next" w:cs="Arial"/>
          <w:color w:val="7B7B7B" w:themeColor="accent3" w:themeShade="BF"/>
          <w:sz w:val="22"/>
          <w:szCs w:val="22"/>
          <w:lang w:val="en-GB"/>
        </w:rPr>
        <w:footnoteReference w:id="6"/>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2489DE7D" w:rsidR="00E41578" w:rsidRDefault="003D72DD" w:rsidP="003D72D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HALL, “p</w:t>
      </w:r>
      <w:r w:rsidRPr="003D72DD">
        <w:rPr>
          <w:rFonts w:ascii="Avenir Next" w:hAnsi="Avenir Next" w:cs="Arial"/>
          <w:color w:val="7B7B7B" w:themeColor="accent3" w:themeShade="BF"/>
          <w:sz w:val="22"/>
          <w:szCs w:val="22"/>
          <w:lang w:val="en-GB"/>
        </w:rPr>
        <w:t>reference is a transfer of the debtor’s property made in a suspect period before the petition</w:t>
      </w:r>
      <w:r>
        <w:rPr>
          <w:rFonts w:ascii="Avenir Next" w:hAnsi="Avenir Next" w:cs="Arial"/>
          <w:color w:val="7B7B7B" w:themeColor="accent3" w:themeShade="BF"/>
          <w:sz w:val="22"/>
          <w:szCs w:val="22"/>
          <w:lang w:val="en-GB"/>
        </w:rPr>
        <w:t xml:space="preserve"> </w:t>
      </w:r>
      <w:r w:rsidRPr="003D72DD">
        <w:rPr>
          <w:rFonts w:ascii="Avenir Next" w:hAnsi="Avenir Next" w:cs="Arial"/>
          <w:color w:val="7B7B7B" w:themeColor="accent3" w:themeShade="BF"/>
          <w:sz w:val="22"/>
          <w:szCs w:val="22"/>
          <w:lang w:val="en-GB"/>
        </w:rPr>
        <w:t>date that must be returned to the estate if it exceeds the amount the recipient would have</w:t>
      </w:r>
      <w:r>
        <w:rPr>
          <w:rFonts w:ascii="Avenir Next" w:hAnsi="Avenir Next" w:cs="Arial"/>
          <w:color w:val="7B7B7B" w:themeColor="accent3" w:themeShade="BF"/>
          <w:sz w:val="22"/>
          <w:szCs w:val="22"/>
          <w:lang w:val="en-GB"/>
        </w:rPr>
        <w:t xml:space="preserve"> </w:t>
      </w:r>
      <w:r w:rsidRPr="003D72DD">
        <w:rPr>
          <w:rFonts w:ascii="Avenir Next" w:hAnsi="Avenir Next" w:cs="Arial"/>
          <w:color w:val="7B7B7B" w:themeColor="accent3" w:themeShade="BF"/>
          <w:sz w:val="22"/>
          <w:szCs w:val="22"/>
          <w:lang w:val="en-GB"/>
        </w:rPr>
        <w:t>received in a chapter 7 liquidation had the transfer not been made</w:t>
      </w:r>
      <w:r>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7"/>
      </w:r>
      <w:r w:rsidR="00CD7247">
        <w:rPr>
          <w:rFonts w:ascii="Avenir Next" w:hAnsi="Avenir Next" w:cs="Arial"/>
          <w:color w:val="7B7B7B" w:themeColor="accent3" w:themeShade="BF"/>
          <w:sz w:val="22"/>
          <w:szCs w:val="22"/>
          <w:lang w:val="en-GB"/>
        </w:rPr>
        <w:t xml:space="preserve"> </w:t>
      </w:r>
      <w:r w:rsidR="00E21D08" w:rsidRPr="00E21D08">
        <w:rPr>
          <w:rFonts w:ascii="Avenir Next" w:hAnsi="Avenir Next" w:cs="Arial"/>
          <w:color w:val="7B7B7B" w:themeColor="accent3" w:themeShade="BF"/>
          <w:sz w:val="22"/>
          <w:szCs w:val="22"/>
          <w:lang w:val="en-GB"/>
        </w:rPr>
        <w:t xml:space="preserve">There are six elements of a preference claim that need to be proven: (a) a transfer of an interest of the debtor in property; (b) that the transfer was mad to or for the benefit of a creditor; (c) that the transfer was made for or on account of an antecedent debt owed by the debtor; (d) that the transfer made while the debtor was insolvent, considering that the debtor is presumed to have been insolvent on and during the 90 days prior to the petition date for purposes of determining preference claims; (e) that the </w:t>
      </w:r>
      <w:r w:rsidR="00AD21E9" w:rsidRPr="00E21D08">
        <w:rPr>
          <w:rFonts w:ascii="Avenir Next" w:hAnsi="Avenir Next" w:cs="Arial"/>
          <w:color w:val="7B7B7B" w:themeColor="accent3" w:themeShade="BF"/>
          <w:sz w:val="22"/>
          <w:szCs w:val="22"/>
          <w:lang w:val="en-GB"/>
        </w:rPr>
        <w:t>transfer</w:t>
      </w:r>
      <w:r w:rsidR="00E21D08" w:rsidRPr="00E21D08">
        <w:rPr>
          <w:rFonts w:ascii="Avenir Next" w:hAnsi="Avenir Next" w:cs="Arial"/>
          <w:color w:val="7B7B7B" w:themeColor="accent3" w:themeShade="BF"/>
          <w:sz w:val="22"/>
          <w:szCs w:val="22"/>
          <w:lang w:val="en-GB"/>
        </w:rPr>
        <w:t xml:space="preserve"> was made during the suspect period, that is 90 days prior to the petition; and (f) that enables the creditor to receive more than it would have in a chapter 7 liquidation.</w:t>
      </w:r>
      <w:r w:rsidR="00AD21E9">
        <w:rPr>
          <w:rStyle w:val="Refdenotaderodap"/>
          <w:rFonts w:ascii="Avenir Next" w:hAnsi="Avenir Next" w:cs="Arial"/>
          <w:color w:val="7B7B7B" w:themeColor="accent3" w:themeShade="BF"/>
          <w:sz w:val="22"/>
          <w:szCs w:val="22"/>
          <w:lang w:val="en-GB"/>
        </w:rPr>
        <w:footnoteReference w:id="8"/>
      </w:r>
      <w:r w:rsidR="00E21D08" w:rsidRPr="00E21D08">
        <w:rPr>
          <w:rFonts w:ascii="Avenir Next" w:hAnsi="Avenir Next" w:cs="Arial"/>
          <w:color w:val="7B7B7B" w:themeColor="accent3" w:themeShade="BF"/>
          <w:sz w:val="22"/>
          <w:szCs w:val="22"/>
          <w:lang w:val="en-GB"/>
        </w:rPr>
        <w:t xml:space="preserve"> </w:t>
      </w:r>
      <w:r w:rsidR="003E01BB">
        <w:rPr>
          <w:rFonts w:ascii="Avenir Next" w:hAnsi="Avenir Next" w:cs="Arial"/>
          <w:color w:val="7B7B7B" w:themeColor="accent3" w:themeShade="BF"/>
          <w:sz w:val="22"/>
          <w:szCs w:val="22"/>
          <w:lang w:val="en-GB"/>
        </w:rPr>
        <w:t>It</w:t>
      </w:r>
      <w:r w:rsidR="00AD21E9">
        <w:rPr>
          <w:rFonts w:ascii="Avenir Next" w:hAnsi="Avenir Next" w:cs="Arial"/>
          <w:color w:val="7B7B7B" w:themeColor="accent3" w:themeShade="BF"/>
          <w:sz w:val="22"/>
          <w:szCs w:val="22"/>
          <w:lang w:val="en-GB"/>
        </w:rPr>
        <w:t xml:space="preserve"> i</w:t>
      </w:r>
      <w:r w:rsidR="00E84528">
        <w:rPr>
          <w:rFonts w:ascii="Avenir Next" w:hAnsi="Avenir Next" w:cs="Arial"/>
          <w:color w:val="7B7B7B" w:themeColor="accent3" w:themeShade="BF"/>
          <w:sz w:val="22"/>
          <w:szCs w:val="22"/>
          <w:lang w:val="en-GB"/>
        </w:rPr>
        <w:t>s not required to show of fault by either the debtor or creditor.</w:t>
      </w:r>
      <w:r w:rsidR="00664087">
        <w:rPr>
          <w:rStyle w:val="Refdenotaderodap"/>
          <w:rFonts w:ascii="Avenir Next" w:hAnsi="Avenir Next" w:cs="Arial"/>
          <w:color w:val="7B7B7B" w:themeColor="accent3" w:themeShade="BF"/>
          <w:sz w:val="22"/>
          <w:szCs w:val="22"/>
          <w:lang w:val="en-GB"/>
        </w:rPr>
        <w:footnoteReference w:id="9"/>
      </w:r>
      <w:r w:rsidR="00E84528">
        <w:rPr>
          <w:rFonts w:ascii="Avenir Next" w:hAnsi="Avenir Next" w:cs="Arial"/>
          <w:color w:val="7B7B7B" w:themeColor="accent3" w:themeShade="BF"/>
          <w:sz w:val="22"/>
          <w:szCs w:val="22"/>
          <w:lang w:val="en-GB"/>
        </w:rPr>
        <w:t xml:space="preserve">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698EF847" w:rsidR="00E41578" w:rsidRPr="00E41578" w:rsidRDefault="00F7439B" w:rsidP="003E1D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HALL, in response to the US Supreme Court</w:t>
      </w:r>
      <w:r w:rsidR="003E1D83">
        <w:rPr>
          <w:rFonts w:ascii="Avenir Next" w:hAnsi="Avenir Next" w:cs="Arial"/>
          <w:color w:val="7B7B7B" w:themeColor="accent3" w:themeShade="BF"/>
          <w:sz w:val="22"/>
          <w:szCs w:val="22"/>
          <w:lang w:val="en-GB"/>
        </w:rPr>
        <w:t>, new jurisdictions provisions “</w:t>
      </w:r>
      <w:r w:rsidR="003E1D83" w:rsidRPr="003E1D83">
        <w:rPr>
          <w:rFonts w:ascii="Avenir Next" w:hAnsi="Avenir Next" w:cs="Arial"/>
          <w:color w:val="7B7B7B" w:themeColor="accent3" w:themeShade="BF"/>
          <w:sz w:val="22"/>
          <w:szCs w:val="22"/>
          <w:lang w:val="en-GB"/>
        </w:rPr>
        <w:t xml:space="preserve">creates a distinction between “core” and “non-core” </w:t>
      </w:r>
      <w:proofErr w:type="gramStart"/>
      <w:r w:rsidR="003E1D83" w:rsidRPr="003E1D83">
        <w:rPr>
          <w:rFonts w:ascii="Avenir Next" w:hAnsi="Avenir Next" w:cs="Arial"/>
          <w:color w:val="7B7B7B" w:themeColor="accent3" w:themeShade="BF"/>
          <w:sz w:val="22"/>
          <w:szCs w:val="22"/>
          <w:lang w:val="en-GB"/>
        </w:rPr>
        <w:t>matters, and</w:t>
      </w:r>
      <w:proofErr w:type="gramEnd"/>
      <w:r w:rsidR="003E1D83" w:rsidRPr="003E1D83">
        <w:rPr>
          <w:rFonts w:ascii="Avenir Next" w:hAnsi="Avenir Next" w:cs="Arial"/>
          <w:color w:val="7B7B7B" w:themeColor="accent3" w:themeShade="BF"/>
          <w:sz w:val="22"/>
          <w:szCs w:val="22"/>
          <w:lang w:val="en-GB"/>
        </w:rPr>
        <w:t xml:space="preserve"> permits</w:t>
      </w:r>
      <w:r w:rsidR="003E1D83">
        <w:rPr>
          <w:rFonts w:ascii="Avenir Next" w:hAnsi="Avenir Next" w:cs="Arial"/>
          <w:color w:val="7B7B7B" w:themeColor="accent3" w:themeShade="BF"/>
          <w:sz w:val="22"/>
          <w:szCs w:val="22"/>
          <w:lang w:val="en-GB"/>
        </w:rPr>
        <w:t xml:space="preserve"> </w:t>
      </w:r>
      <w:r w:rsidR="003E1D83" w:rsidRPr="003E1D83">
        <w:rPr>
          <w:rFonts w:ascii="Avenir Next" w:hAnsi="Avenir Next" w:cs="Arial"/>
          <w:color w:val="7B7B7B" w:themeColor="accent3" w:themeShade="BF"/>
          <w:sz w:val="22"/>
          <w:szCs w:val="22"/>
          <w:lang w:val="en-GB"/>
        </w:rPr>
        <w:t>bankruptcy judges to hear and determine only core proceedings</w:t>
      </w:r>
      <w:r w:rsidR="003E1D83">
        <w:rPr>
          <w:rFonts w:ascii="Avenir Next" w:hAnsi="Avenir Next" w:cs="Arial"/>
          <w:color w:val="7B7B7B" w:themeColor="accent3" w:themeShade="BF"/>
          <w:sz w:val="22"/>
          <w:szCs w:val="22"/>
          <w:lang w:val="en-GB"/>
        </w:rPr>
        <w:t>”</w:t>
      </w:r>
      <w:r w:rsidR="003E1D83" w:rsidRPr="003E1D83">
        <w:rPr>
          <w:rFonts w:ascii="Avenir Next" w:hAnsi="Avenir Next" w:cs="Arial"/>
          <w:color w:val="7B7B7B" w:themeColor="accent3" w:themeShade="BF"/>
          <w:sz w:val="22"/>
          <w:szCs w:val="22"/>
          <w:lang w:val="en-GB"/>
        </w:rPr>
        <w:t>.</w:t>
      </w:r>
      <w:r w:rsidR="003E1D83">
        <w:rPr>
          <w:rStyle w:val="Refdenotaderodap"/>
          <w:rFonts w:ascii="Avenir Next" w:hAnsi="Avenir Next" w:cs="Arial"/>
          <w:color w:val="7B7B7B" w:themeColor="accent3" w:themeShade="BF"/>
          <w:sz w:val="22"/>
          <w:szCs w:val="22"/>
          <w:lang w:val="en-GB"/>
        </w:rPr>
        <w:footnoteReference w:id="10"/>
      </w:r>
      <w:r w:rsidR="003E1D83">
        <w:rPr>
          <w:rFonts w:ascii="Avenir Next" w:hAnsi="Avenir Next" w:cs="Arial"/>
          <w:color w:val="7B7B7B" w:themeColor="accent3" w:themeShade="BF"/>
          <w:sz w:val="22"/>
          <w:szCs w:val="22"/>
          <w:lang w:val="en-GB"/>
        </w:rPr>
        <w:t xml:space="preserve"> </w:t>
      </w:r>
      <w:r w:rsidR="00891F7D">
        <w:rPr>
          <w:rFonts w:ascii="Avenir Next" w:hAnsi="Avenir Next" w:cs="Arial"/>
          <w:color w:val="7B7B7B" w:themeColor="accent3" w:themeShade="BF"/>
          <w:sz w:val="22"/>
          <w:szCs w:val="22"/>
          <w:lang w:val="en-GB"/>
        </w:rPr>
        <w:t xml:space="preserve">The </w:t>
      </w:r>
      <w:r w:rsidR="00891F7D" w:rsidRPr="00891F7D">
        <w:rPr>
          <w:rFonts w:ascii="Avenir Next" w:hAnsi="Avenir Next" w:cs="Arial"/>
          <w:color w:val="7B7B7B" w:themeColor="accent3" w:themeShade="BF"/>
          <w:sz w:val="22"/>
          <w:szCs w:val="22"/>
          <w:lang w:val="en-GB"/>
        </w:rPr>
        <w:t>§ 157(b)(2)</w:t>
      </w:r>
      <w:r w:rsidR="00891F7D">
        <w:rPr>
          <w:rFonts w:ascii="Avenir Next" w:hAnsi="Avenir Next" w:cs="Arial"/>
          <w:color w:val="7B7B7B" w:themeColor="accent3" w:themeShade="BF"/>
          <w:sz w:val="22"/>
          <w:szCs w:val="22"/>
          <w:lang w:val="en-GB"/>
        </w:rPr>
        <w:t xml:space="preserve"> of 28 USC provides </w:t>
      </w:r>
      <w:r w:rsidR="00D146F5">
        <w:rPr>
          <w:rFonts w:ascii="Avenir Next" w:hAnsi="Avenir Next" w:cs="Arial"/>
          <w:color w:val="7B7B7B" w:themeColor="accent3" w:themeShade="BF"/>
          <w:sz w:val="22"/>
          <w:szCs w:val="22"/>
          <w:lang w:val="en-GB"/>
        </w:rPr>
        <w:t xml:space="preserve">a </w:t>
      </w:r>
      <w:r w:rsidR="00D146F5" w:rsidRPr="00D146F5">
        <w:rPr>
          <w:rFonts w:ascii="Avenir Next" w:hAnsi="Avenir Next" w:cs="Arial"/>
          <w:color w:val="7B7B7B" w:themeColor="accent3" w:themeShade="BF"/>
          <w:sz w:val="22"/>
          <w:szCs w:val="22"/>
          <w:lang w:val="en-GB"/>
        </w:rPr>
        <w:t>non</w:t>
      </w:r>
      <w:r w:rsidR="00D146F5">
        <w:rPr>
          <w:rFonts w:ascii="Avenir Next" w:hAnsi="Avenir Next" w:cs="Arial"/>
          <w:color w:val="7B7B7B" w:themeColor="accent3" w:themeShade="BF"/>
          <w:sz w:val="22"/>
          <w:szCs w:val="22"/>
          <w:lang w:val="en-GB"/>
        </w:rPr>
        <w:t>-</w:t>
      </w:r>
      <w:r w:rsidR="00D146F5" w:rsidRPr="00D146F5">
        <w:rPr>
          <w:rFonts w:ascii="Avenir Next" w:hAnsi="Avenir Next" w:cs="Arial"/>
          <w:color w:val="7B7B7B" w:themeColor="accent3" w:themeShade="BF"/>
          <w:sz w:val="22"/>
          <w:szCs w:val="22"/>
          <w:lang w:val="en-GB"/>
        </w:rPr>
        <w:t>exhaustive list of core proceedings</w:t>
      </w:r>
      <w:r w:rsidR="00D146F5">
        <w:rPr>
          <w:rFonts w:ascii="Avenir Next" w:hAnsi="Avenir Next" w:cs="Arial"/>
          <w:color w:val="7B7B7B" w:themeColor="accent3" w:themeShade="BF"/>
          <w:sz w:val="22"/>
          <w:szCs w:val="22"/>
          <w:lang w:val="en-GB"/>
        </w:rPr>
        <w:t>:</w:t>
      </w:r>
    </w:p>
    <w:p w14:paraId="7F6D6056" w14:textId="77777777" w:rsidR="003E1D83" w:rsidRDefault="003E1D83" w:rsidP="000778B1">
      <w:pPr>
        <w:pStyle w:val="AODocTxt"/>
        <w:spacing w:before="0" w:line="240" w:lineRule="auto"/>
        <w:rPr>
          <w:rFonts w:ascii="Avenir Next" w:hAnsi="Avenir Next"/>
        </w:rPr>
      </w:pPr>
    </w:p>
    <w:p w14:paraId="5EB759DC" w14:textId="38745530" w:rsidR="002520C5" w:rsidRPr="00BB2520" w:rsidRDefault="000C62E8"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lastRenderedPageBreak/>
        <w:t>“</w:t>
      </w:r>
      <w:r w:rsidR="002520C5" w:rsidRPr="00BB2520">
        <w:rPr>
          <w:rFonts w:ascii="Avenir Next" w:hAnsi="Avenir Next" w:cs="Arial"/>
          <w:color w:val="7B7B7B" w:themeColor="accent3" w:themeShade="BF"/>
          <w:sz w:val="22"/>
          <w:szCs w:val="22"/>
          <w:lang w:val="en-GB"/>
        </w:rPr>
        <w:t>(2)</w:t>
      </w:r>
      <w:r w:rsidRPr="00BB2520">
        <w:rPr>
          <w:rFonts w:ascii="Avenir Next" w:hAnsi="Avenir Next" w:cs="Arial"/>
          <w:color w:val="7B7B7B" w:themeColor="accent3" w:themeShade="BF"/>
          <w:sz w:val="22"/>
          <w:szCs w:val="22"/>
          <w:lang w:val="en-GB"/>
        </w:rPr>
        <w:t xml:space="preserve"> </w:t>
      </w:r>
      <w:r w:rsidR="002520C5" w:rsidRPr="00BB2520">
        <w:rPr>
          <w:rFonts w:ascii="Avenir Next" w:hAnsi="Avenir Next" w:cs="Arial"/>
          <w:color w:val="7B7B7B" w:themeColor="accent3" w:themeShade="BF"/>
          <w:sz w:val="22"/>
          <w:szCs w:val="22"/>
          <w:lang w:val="en-GB"/>
        </w:rPr>
        <w:t>Core proceedings include, but are not limited to—</w:t>
      </w:r>
    </w:p>
    <w:p w14:paraId="3AFF360C" w14:textId="61F4E4B5"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(A)</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matters concerning the administration of the </w:t>
      </w:r>
      <w:proofErr w:type="gramStart"/>
      <w:r w:rsidRPr="00BB2520">
        <w:rPr>
          <w:rFonts w:ascii="Avenir Next" w:hAnsi="Avenir Next" w:cs="Arial"/>
          <w:color w:val="7B7B7B" w:themeColor="accent3" w:themeShade="BF"/>
          <w:sz w:val="22"/>
          <w:szCs w:val="22"/>
          <w:lang w:val="en-GB"/>
        </w:rPr>
        <w:t>estate;</w:t>
      </w:r>
      <w:proofErr w:type="gramEnd"/>
    </w:p>
    <w:p w14:paraId="6BC93E20" w14:textId="0AF6DE88"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(B)</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w:t>
      </w:r>
      <w:proofErr w:type="gramStart"/>
      <w:r w:rsidRPr="00BB2520">
        <w:rPr>
          <w:rFonts w:ascii="Avenir Next" w:hAnsi="Avenir Next" w:cs="Arial"/>
          <w:color w:val="7B7B7B" w:themeColor="accent3" w:themeShade="BF"/>
          <w:sz w:val="22"/>
          <w:szCs w:val="22"/>
          <w:lang w:val="en-GB"/>
        </w:rPr>
        <w:t>11;</w:t>
      </w:r>
      <w:proofErr w:type="gramEnd"/>
    </w:p>
    <w:p w14:paraId="226154AD" w14:textId="3BC3B4AA"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(C)</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counterclaims by the estate against persons filing claims against the </w:t>
      </w:r>
      <w:proofErr w:type="gramStart"/>
      <w:r w:rsidRPr="00BB2520">
        <w:rPr>
          <w:rFonts w:ascii="Avenir Next" w:hAnsi="Avenir Next" w:cs="Arial"/>
          <w:color w:val="7B7B7B" w:themeColor="accent3" w:themeShade="BF"/>
          <w:sz w:val="22"/>
          <w:szCs w:val="22"/>
          <w:lang w:val="en-GB"/>
        </w:rPr>
        <w:t>estate;</w:t>
      </w:r>
      <w:proofErr w:type="gramEnd"/>
    </w:p>
    <w:p w14:paraId="0AFA3EDA" w14:textId="5DF6AC82"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(D)</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orders in respect to obtaining </w:t>
      </w:r>
      <w:proofErr w:type="gramStart"/>
      <w:r w:rsidRPr="00BB2520">
        <w:rPr>
          <w:rFonts w:ascii="Avenir Next" w:hAnsi="Avenir Next" w:cs="Arial"/>
          <w:color w:val="7B7B7B" w:themeColor="accent3" w:themeShade="BF"/>
          <w:sz w:val="22"/>
          <w:szCs w:val="22"/>
          <w:lang w:val="en-GB"/>
        </w:rPr>
        <w:t>credit;</w:t>
      </w:r>
      <w:proofErr w:type="gramEnd"/>
    </w:p>
    <w:p w14:paraId="3D49E80B" w14:textId="5B44CD65"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(E)</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orders to turn over property of the </w:t>
      </w:r>
      <w:proofErr w:type="gramStart"/>
      <w:r w:rsidRPr="00BB2520">
        <w:rPr>
          <w:rFonts w:ascii="Avenir Next" w:hAnsi="Avenir Next" w:cs="Arial"/>
          <w:color w:val="7B7B7B" w:themeColor="accent3" w:themeShade="BF"/>
          <w:sz w:val="22"/>
          <w:szCs w:val="22"/>
          <w:lang w:val="en-GB"/>
        </w:rPr>
        <w:t>estate;</w:t>
      </w:r>
      <w:proofErr w:type="gramEnd"/>
    </w:p>
    <w:p w14:paraId="5757C656" w14:textId="7988712E"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(F)</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proceedings to determine, avoid, or recover </w:t>
      </w:r>
      <w:proofErr w:type="gramStart"/>
      <w:r w:rsidRPr="00BB2520">
        <w:rPr>
          <w:rFonts w:ascii="Avenir Next" w:hAnsi="Avenir Next" w:cs="Arial"/>
          <w:color w:val="7B7B7B" w:themeColor="accent3" w:themeShade="BF"/>
          <w:sz w:val="22"/>
          <w:szCs w:val="22"/>
          <w:lang w:val="en-GB"/>
        </w:rPr>
        <w:t>preferences;</w:t>
      </w:r>
      <w:proofErr w:type="gramEnd"/>
    </w:p>
    <w:p w14:paraId="5D60B100" w14:textId="026AFB95"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(G)</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motions to terminate, annul, or modify the automatic </w:t>
      </w:r>
      <w:proofErr w:type="gramStart"/>
      <w:r w:rsidRPr="00BB2520">
        <w:rPr>
          <w:rFonts w:ascii="Avenir Next" w:hAnsi="Avenir Next" w:cs="Arial"/>
          <w:color w:val="7B7B7B" w:themeColor="accent3" w:themeShade="BF"/>
          <w:sz w:val="22"/>
          <w:szCs w:val="22"/>
          <w:lang w:val="en-GB"/>
        </w:rPr>
        <w:t>stay;</w:t>
      </w:r>
      <w:proofErr w:type="gramEnd"/>
    </w:p>
    <w:p w14:paraId="61732C15" w14:textId="5D423EFF"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(H)</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proceedings to determine, avoid, or recover fraudulent </w:t>
      </w:r>
      <w:proofErr w:type="gramStart"/>
      <w:r w:rsidRPr="00BB2520">
        <w:rPr>
          <w:rFonts w:ascii="Avenir Next" w:hAnsi="Avenir Next" w:cs="Arial"/>
          <w:color w:val="7B7B7B" w:themeColor="accent3" w:themeShade="BF"/>
          <w:sz w:val="22"/>
          <w:szCs w:val="22"/>
          <w:lang w:val="en-GB"/>
        </w:rPr>
        <w:t>conveyances;</w:t>
      </w:r>
      <w:proofErr w:type="gramEnd"/>
    </w:p>
    <w:p w14:paraId="1A6F0EBA" w14:textId="1DB7F3A3"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(I)</w:t>
      </w:r>
      <w:r w:rsidR="000C62E8" w:rsidRPr="00BB2520">
        <w:rPr>
          <w:rFonts w:ascii="Avenir Next" w:hAnsi="Avenir Next" w:cs="Arial"/>
          <w:color w:val="7B7B7B" w:themeColor="accent3" w:themeShade="BF"/>
          <w:sz w:val="22"/>
          <w:szCs w:val="22"/>
          <w:lang w:val="en-GB"/>
        </w:rPr>
        <w:t xml:space="preserve"> d</w:t>
      </w:r>
      <w:r w:rsidRPr="00BB2520">
        <w:rPr>
          <w:rFonts w:ascii="Avenir Next" w:hAnsi="Avenir Next" w:cs="Arial"/>
          <w:color w:val="7B7B7B" w:themeColor="accent3" w:themeShade="BF"/>
          <w:sz w:val="22"/>
          <w:szCs w:val="22"/>
          <w:lang w:val="en-GB"/>
        </w:rPr>
        <w:t xml:space="preserve">eterminations as to the </w:t>
      </w:r>
      <w:proofErr w:type="spellStart"/>
      <w:r w:rsidRPr="00BB2520">
        <w:rPr>
          <w:rFonts w:ascii="Avenir Next" w:hAnsi="Avenir Next" w:cs="Arial"/>
          <w:color w:val="7B7B7B" w:themeColor="accent3" w:themeShade="BF"/>
          <w:sz w:val="22"/>
          <w:szCs w:val="22"/>
          <w:lang w:val="en-GB"/>
        </w:rPr>
        <w:t>dischargeability</w:t>
      </w:r>
      <w:proofErr w:type="spellEnd"/>
      <w:r w:rsidRPr="00BB2520">
        <w:rPr>
          <w:rFonts w:ascii="Avenir Next" w:hAnsi="Avenir Next" w:cs="Arial"/>
          <w:color w:val="7B7B7B" w:themeColor="accent3" w:themeShade="BF"/>
          <w:sz w:val="22"/>
          <w:szCs w:val="22"/>
          <w:lang w:val="en-GB"/>
        </w:rPr>
        <w:t xml:space="preserve"> of particular </w:t>
      </w:r>
      <w:proofErr w:type="gramStart"/>
      <w:r w:rsidRPr="00BB2520">
        <w:rPr>
          <w:rFonts w:ascii="Avenir Next" w:hAnsi="Avenir Next" w:cs="Arial"/>
          <w:color w:val="7B7B7B" w:themeColor="accent3" w:themeShade="BF"/>
          <w:sz w:val="22"/>
          <w:szCs w:val="22"/>
          <w:lang w:val="en-GB"/>
        </w:rPr>
        <w:t>debts;</w:t>
      </w:r>
      <w:proofErr w:type="gramEnd"/>
    </w:p>
    <w:p w14:paraId="3194BB08" w14:textId="350A7614"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(J)</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objections to </w:t>
      </w:r>
      <w:proofErr w:type="gramStart"/>
      <w:r w:rsidRPr="00BB2520">
        <w:rPr>
          <w:rFonts w:ascii="Avenir Next" w:hAnsi="Avenir Next" w:cs="Arial"/>
          <w:color w:val="7B7B7B" w:themeColor="accent3" w:themeShade="BF"/>
          <w:sz w:val="22"/>
          <w:szCs w:val="22"/>
          <w:lang w:val="en-GB"/>
        </w:rPr>
        <w:t>discharges;</w:t>
      </w:r>
      <w:proofErr w:type="gramEnd"/>
    </w:p>
    <w:p w14:paraId="31D7E3FF" w14:textId="6D60AA24"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(K)</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determinations of the validity, extent, or priority of </w:t>
      </w:r>
      <w:proofErr w:type="gramStart"/>
      <w:r w:rsidRPr="00BB2520">
        <w:rPr>
          <w:rFonts w:ascii="Avenir Next" w:hAnsi="Avenir Next" w:cs="Arial"/>
          <w:color w:val="7B7B7B" w:themeColor="accent3" w:themeShade="BF"/>
          <w:sz w:val="22"/>
          <w:szCs w:val="22"/>
          <w:lang w:val="en-GB"/>
        </w:rPr>
        <w:t>liens;</w:t>
      </w:r>
      <w:proofErr w:type="gramEnd"/>
    </w:p>
    <w:p w14:paraId="4252690E" w14:textId="306C0EDB"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(L)</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confirmations of </w:t>
      </w:r>
      <w:proofErr w:type="gramStart"/>
      <w:r w:rsidRPr="00BB2520">
        <w:rPr>
          <w:rFonts w:ascii="Avenir Next" w:hAnsi="Avenir Next" w:cs="Arial"/>
          <w:color w:val="7B7B7B" w:themeColor="accent3" w:themeShade="BF"/>
          <w:sz w:val="22"/>
          <w:szCs w:val="22"/>
          <w:lang w:val="en-GB"/>
        </w:rPr>
        <w:t>plans;</w:t>
      </w:r>
      <w:proofErr w:type="gramEnd"/>
    </w:p>
    <w:p w14:paraId="6E95197F" w14:textId="3C82B110"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(M)</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orders approving the use or lease of property, including the use of cash </w:t>
      </w:r>
      <w:proofErr w:type="gramStart"/>
      <w:r w:rsidRPr="00BB2520">
        <w:rPr>
          <w:rFonts w:ascii="Avenir Next" w:hAnsi="Avenir Next" w:cs="Arial"/>
          <w:color w:val="7B7B7B" w:themeColor="accent3" w:themeShade="BF"/>
          <w:sz w:val="22"/>
          <w:szCs w:val="22"/>
          <w:lang w:val="en-GB"/>
        </w:rPr>
        <w:t>collateral;</w:t>
      </w:r>
      <w:proofErr w:type="gramEnd"/>
    </w:p>
    <w:p w14:paraId="69000E0D" w14:textId="7CCF93EB"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(N)</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orders approving the sale of property other than property resulting from claims brought by the estate against persons who have not filed claims against the estate;</w:t>
      </w:r>
    </w:p>
    <w:p w14:paraId="4227FEBC" w14:textId="426A87CC" w:rsidR="002520C5"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(O)</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other proceedings affecting the liquidation of the assets of the estate or the adjustment of the debtor-creditor or the equity security holder relationship, except personal injury tort or wrongful death claims; and</w:t>
      </w:r>
    </w:p>
    <w:p w14:paraId="398FEBCC" w14:textId="0BE86678" w:rsidR="003E1D83" w:rsidRPr="00BB2520" w:rsidRDefault="002520C5"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(P)</w:t>
      </w:r>
      <w:r w:rsidR="000C62E8"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recognition of foreign proceedings and other matters under chapter 15 of title 11</w:t>
      </w:r>
      <w:r w:rsidR="000C62E8" w:rsidRPr="00BB2520">
        <w:rPr>
          <w:rFonts w:ascii="Avenir Next" w:hAnsi="Avenir Next" w:cs="Arial"/>
          <w:color w:val="7B7B7B" w:themeColor="accent3" w:themeShade="BF"/>
          <w:sz w:val="22"/>
          <w:szCs w:val="22"/>
          <w:lang w:val="en-GB"/>
        </w:rPr>
        <w:t>”</w:t>
      </w:r>
      <w:r w:rsidRPr="00BB2520">
        <w:rPr>
          <w:rFonts w:ascii="Avenir Next" w:hAnsi="Avenir Next" w:cs="Arial"/>
          <w:color w:val="7B7B7B" w:themeColor="accent3" w:themeShade="BF"/>
          <w:sz w:val="22"/>
          <w:szCs w:val="22"/>
          <w:lang w:val="en-GB"/>
        </w:rPr>
        <w:t>.</w:t>
      </w:r>
      <w:r w:rsidR="003E1D83" w:rsidRPr="00BB2520">
        <w:rPr>
          <w:rFonts w:cs="Arial"/>
          <w:color w:val="7B7B7B" w:themeColor="accent3" w:themeShade="BF"/>
          <w:sz w:val="22"/>
          <w:szCs w:val="22"/>
          <w:vertAlign w:val="superscript"/>
          <w:lang w:val="en-GB"/>
        </w:rPr>
        <w:footnoteReference w:id="11"/>
      </w:r>
    </w:p>
    <w:p w14:paraId="32DC0383" w14:textId="77777777" w:rsidR="003E1D83" w:rsidRPr="00BB2520" w:rsidRDefault="003E1D83" w:rsidP="00BB2520">
      <w:pPr>
        <w:jc w:val="both"/>
        <w:rPr>
          <w:rFonts w:ascii="Avenir Next" w:hAnsi="Avenir Next" w:cs="Arial"/>
          <w:color w:val="7B7B7B" w:themeColor="accent3" w:themeShade="BF"/>
          <w:sz w:val="22"/>
          <w:szCs w:val="22"/>
          <w:lang w:val="en-GB"/>
        </w:rPr>
      </w:pPr>
    </w:p>
    <w:p w14:paraId="758EFAC4" w14:textId="4FFF3541" w:rsidR="001D764F" w:rsidRPr="00BB2520" w:rsidRDefault="00814552" w:rsidP="00BB2520">
      <w:pPr>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 xml:space="preserve">A US </w:t>
      </w:r>
      <w:r w:rsidR="00C2337B" w:rsidRPr="00BB2520">
        <w:rPr>
          <w:rFonts w:ascii="Avenir Next" w:hAnsi="Avenir Next" w:cs="Arial"/>
          <w:color w:val="7B7B7B" w:themeColor="accent3" w:themeShade="BF"/>
          <w:sz w:val="22"/>
          <w:szCs w:val="22"/>
          <w:lang w:val="en-GB"/>
        </w:rPr>
        <w:t>bankruptcy</w:t>
      </w:r>
      <w:r w:rsidRPr="00BB2520">
        <w:rPr>
          <w:rFonts w:ascii="Avenir Next" w:hAnsi="Avenir Next" w:cs="Arial"/>
          <w:color w:val="7B7B7B" w:themeColor="accent3" w:themeShade="BF"/>
          <w:sz w:val="22"/>
          <w:szCs w:val="22"/>
          <w:lang w:val="en-GB"/>
        </w:rPr>
        <w:t xml:space="preserve"> proceeding can have final and interlocutory orders.</w:t>
      </w:r>
      <w:r w:rsidRPr="00BB2520">
        <w:rPr>
          <w:rFonts w:ascii="Avenir Next" w:hAnsi="Avenir Next" w:cs="Arial"/>
          <w:color w:val="7B7B7B" w:themeColor="accent3" w:themeShade="BF"/>
          <w:sz w:val="22"/>
          <w:szCs w:val="22"/>
          <w:lang w:val="en-GB"/>
        </w:rPr>
        <w:t xml:space="preserve"> HALL defines that “</w:t>
      </w:r>
      <w:r w:rsidR="008F4D8C" w:rsidRPr="00BB2520">
        <w:rPr>
          <w:rFonts w:ascii="Avenir Next" w:hAnsi="Avenir Next" w:cs="Arial"/>
          <w:color w:val="7B7B7B" w:themeColor="accent3" w:themeShade="BF"/>
          <w:sz w:val="22"/>
          <w:szCs w:val="22"/>
          <w:lang w:val="en-GB"/>
        </w:rPr>
        <w:t>[f]</w:t>
      </w:r>
      <w:proofErr w:type="spellStart"/>
      <w:r w:rsidR="00B705BA" w:rsidRPr="00BB2520">
        <w:rPr>
          <w:rFonts w:ascii="Avenir Next" w:hAnsi="Avenir Next" w:cs="Arial"/>
          <w:color w:val="7B7B7B" w:themeColor="accent3" w:themeShade="BF"/>
          <w:sz w:val="22"/>
          <w:szCs w:val="22"/>
          <w:lang w:val="en-GB"/>
        </w:rPr>
        <w:t>inal</w:t>
      </w:r>
      <w:proofErr w:type="spellEnd"/>
      <w:r w:rsidR="00B705BA" w:rsidRPr="00BB2520">
        <w:rPr>
          <w:rFonts w:ascii="Avenir Next" w:hAnsi="Avenir Next" w:cs="Arial"/>
          <w:color w:val="7B7B7B" w:themeColor="accent3" w:themeShade="BF"/>
          <w:sz w:val="22"/>
          <w:szCs w:val="22"/>
          <w:lang w:val="en-GB"/>
        </w:rPr>
        <w:t xml:space="preserve"> orders</w:t>
      </w:r>
      <w:r w:rsidR="00B705BA" w:rsidRPr="00BB2520">
        <w:rPr>
          <w:rFonts w:ascii="Avenir Next" w:hAnsi="Avenir Next" w:cs="Arial"/>
          <w:color w:val="7B7B7B" w:themeColor="accent3" w:themeShade="BF"/>
          <w:sz w:val="22"/>
          <w:szCs w:val="22"/>
          <w:lang w:val="en-GB"/>
        </w:rPr>
        <w:t xml:space="preserve"> </w:t>
      </w:r>
      <w:r w:rsidR="00B705BA" w:rsidRPr="00BB2520">
        <w:rPr>
          <w:rFonts w:ascii="Avenir Next" w:hAnsi="Avenir Next" w:cs="Arial"/>
          <w:color w:val="7B7B7B" w:themeColor="accent3" w:themeShade="BF"/>
          <w:sz w:val="22"/>
          <w:szCs w:val="22"/>
          <w:lang w:val="en-GB"/>
        </w:rPr>
        <w:t>are those that dispose of all issues, leaving nothing further to be decided, whereas interlocutory</w:t>
      </w:r>
      <w:r w:rsidR="00B705BA" w:rsidRPr="00BB2520">
        <w:rPr>
          <w:rFonts w:ascii="Avenir Next" w:hAnsi="Avenir Next" w:cs="Arial"/>
          <w:color w:val="7B7B7B" w:themeColor="accent3" w:themeShade="BF"/>
          <w:sz w:val="22"/>
          <w:szCs w:val="22"/>
          <w:lang w:val="en-GB"/>
        </w:rPr>
        <w:t xml:space="preserve"> </w:t>
      </w:r>
      <w:r w:rsidR="00B705BA" w:rsidRPr="00BB2520">
        <w:rPr>
          <w:rFonts w:ascii="Avenir Next" w:hAnsi="Avenir Next" w:cs="Arial"/>
          <w:color w:val="7B7B7B" w:themeColor="accent3" w:themeShade="BF"/>
          <w:sz w:val="22"/>
          <w:szCs w:val="22"/>
          <w:lang w:val="en-GB"/>
        </w:rPr>
        <w:t>orders resolve only some issues or claims</w:t>
      </w:r>
      <w:r w:rsidR="004746F9" w:rsidRPr="00BB2520">
        <w:rPr>
          <w:rFonts w:ascii="Avenir Next" w:hAnsi="Avenir Next" w:cs="Arial"/>
          <w:color w:val="7B7B7B" w:themeColor="accent3" w:themeShade="BF"/>
          <w:sz w:val="22"/>
          <w:szCs w:val="22"/>
          <w:lang w:val="en-GB"/>
        </w:rPr>
        <w:t xml:space="preserve">. </w:t>
      </w:r>
      <w:r w:rsidR="004746F9" w:rsidRPr="00BB2520">
        <w:rPr>
          <w:rFonts w:ascii="Avenir Next" w:hAnsi="Avenir Next" w:cs="Arial"/>
          <w:color w:val="7B7B7B" w:themeColor="accent3" w:themeShade="BF"/>
          <w:sz w:val="22"/>
          <w:szCs w:val="22"/>
          <w:lang w:val="en-GB"/>
        </w:rPr>
        <w:t>Final orders may be appealed as of right, whereas</w:t>
      </w:r>
      <w:r w:rsidR="004746F9" w:rsidRPr="00BB2520">
        <w:rPr>
          <w:rFonts w:ascii="Avenir Next" w:hAnsi="Avenir Next" w:cs="Arial"/>
          <w:color w:val="7B7B7B" w:themeColor="accent3" w:themeShade="BF"/>
          <w:sz w:val="22"/>
          <w:szCs w:val="22"/>
          <w:lang w:val="en-GB"/>
        </w:rPr>
        <w:t xml:space="preserve"> </w:t>
      </w:r>
      <w:r w:rsidR="004746F9" w:rsidRPr="00BB2520">
        <w:rPr>
          <w:rFonts w:ascii="Avenir Next" w:hAnsi="Avenir Next" w:cs="Arial"/>
          <w:color w:val="7B7B7B" w:themeColor="accent3" w:themeShade="BF"/>
          <w:sz w:val="22"/>
          <w:szCs w:val="22"/>
          <w:lang w:val="en-GB"/>
        </w:rPr>
        <w:t>interlocutory orders may be appealed only with leave of the appellate court</w:t>
      </w:r>
      <w:r w:rsidRPr="00BB2520">
        <w:rPr>
          <w:rFonts w:ascii="Avenir Next" w:hAnsi="Avenir Next" w:cs="Arial"/>
          <w:color w:val="7B7B7B" w:themeColor="accent3" w:themeShade="BF"/>
          <w:sz w:val="22"/>
          <w:szCs w:val="22"/>
          <w:lang w:val="en-GB"/>
        </w:rPr>
        <w:t>”.</w:t>
      </w:r>
      <w:r w:rsidR="00B705BA" w:rsidRPr="00BB2520">
        <w:rPr>
          <w:rFonts w:cs="Arial"/>
          <w:color w:val="7B7B7B" w:themeColor="accent3" w:themeShade="BF"/>
          <w:sz w:val="22"/>
          <w:szCs w:val="22"/>
          <w:vertAlign w:val="superscript"/>
          <w:lang w:val="en-GB"/>
        </w:rPr>
        <w:footnoteReference w:id="12"/>
      </w:r>
      <w:r w:rsidR="006B747E" w:rsidRPr="00BB2520">
        <w:rPr>
          <w:rFonts w:ascii="Avenir Next" w:hAnsi="Avenir Next" w:cs="Arial"/>
          <w:color w:val="7B7B7B" w:themeColor="accent3" w:themeShade="BF"/>
          <w:sz w:val="22"/>
          <w:szCs w:val="22"/>
          <w:vertAlign w:val="superscript"/>
          <w:lang w:val="en-GB"/>
        </w:rPr>
        <w:t xml:space="preserve"> </w:t>
      </w:r>
      <w:r w:rsidR="006B747E" w:rsidRPr="00BB2520">
        <w:rPr>
          <w:rFonts w:ascii="Avenir Next" w:hAnsi="Avenir Next" w:cs="Arial"/>
          <w:color w:val="7B7B7B" w:themeColor="accent3" w:themeShade="BF"/>
          <w:sz w:val="22"/>
          <w:szCs w:val="22"/>
          <w:lang w:val="en-GB"/>
        </w:rPr>
        <w:t>As an exception "orders extending the period of exclusivity to propose a plan are appealable as of right".</w:t>
      </w:r>
      <w:r w:rsidR="006B747E" w:rsidRPr="00BB2520">
        <w:rPr>
          <w:rFonts w:cs="Arial"/>
          <w:color w:val="7B7B7B" w:themeColor="accent3" w:themeShade="BF"/>
          <w:sz w:val="22"/>
          <w:szCs w:val="22"/>
          <w:vertAlign w:val="superscript"/>
          <w:lang w:val="en-GB"/>
        </w:rPr>
        <w:footnoteReference w:id="13"/>
      </w:r>
      <w:r w:rsidR="004744FF" w:rsidRPr="00BB2520">
        <w:rPr>
          <w:rFonts w:ascii="Avenir Next" w:hAnsi="Avenir Next" w:cs="Arial"/>
          <w:color w:val="7B7B7B" w:themeColor="accent3" w:themeShade="BF"/>
          <w:sz w:val="22"/>
          <w:szCs w:val="22"/>
          <w:lang w:val="en-GB"/>
        </w:rPr>
        <w:t xml:space="preserve"> Furthermore, in </w:t>
      </w:r>
      <w:r w:rsidR="004744FF" w:rsidRPr="00BB2520">
        <w:rPr>
          <w:rFonts w:ascii="Avenir Next" w:hAnsi="Avenir Next" w:cs="Arial"/>
          <w:color w:val="7B7B7B" w:themeColor="accent3" w:themeShade="BF"/>
          <w:sz w:val="22"/>
          <w:szCs w:val="22"/>
          <w:lang w:val="en-GB"/>
        </w:rPr>
        <w:t>Bullard v Blue Hills Bank, 135 S Ct 1686 (2015)</w:t>
      </w:r>
      <w:r w:rsidR="004744FF" w:rsidRPr="00BB2520">
        <w:rPr>
          <w:rFonts w:ascii="Avenir Next" w:hAnsi="Avenir Next" w:cs="Arial"/>
          <w:color w:val="7B7B7B" w:themeColor="accent3" w:themeShade="BF"/>
          <w:sz w:val="22"/>
          <w:szCs w:val="22"/>
          <w:lang w:val="en-GB"/>
        </w:rPr>
        <w:t xml:space="preserve"> </w:t>
      </w:r>
      <w:r w:rsidR="00847307" w:rsidRPr="00BB2520">
        <w:rPr>
          <w:rFonts w:ascii="Avenir Next" w:hAnsi="Avenir Next" w:cs="Arial"/>
          <w:color w:val="7B7B7B" w:themeColor="accent3" w:themeShade="BF"/>
          <w:sz w:val="22"/>
          <w:szCs w:val="22"/>
          <w:lang w:val="en-GB"/>
        </w:rPr>
        <w:t>“</w:t>
      </w:r>
      <w:r w:rsidR="00847307" w:rsidRPr="00BB2520">
        <w:rPr>
          <w:rFonts w:ascii="Avenir Next" w:hAnsi="Avenir Next" w:cs="Arial"/>
          <w:color w:val="7B7B7B" w:themeColor="accent3" w:themeShade="BF"/>
          <w:sz w:val="22"/>
          <w:szCs w:val="22"/>
          <w:lang w:val="en-GB"/>
        </w:rPr>
        <w:t>the US Supreme Court has held that a bankruptcy</w:t>
      </w:r>
      <w:r w:rsidR="00847307" w:rsidRPr="00BB2520">
        <w:rPr>
          <w:rFonts w:ascii="Avenir Next" w:hAnsi="Avenir Next" w:cs="Arial"/>
          <w:color w:val="7B7B7B" w:themeColor="accent3" w:themeShade="BF"/>
          <w:sz w:val="22"/>
          <w:szCs w:val="22"/>
          <w:lang w:val="en-GB"/>
        </w:rPr>
        <w:t xml:space="preserve"> </w:t>
      </w:r>
      <w:r w:rsidR="00847307" w:rsidRPr="00BB2520">
        <w:rPr>
          <w:rFonts w:ascii="Avenir Next" w:hAnsi="Avenir Next" w:cs="Arial"/>
          <w:color w:val="7B7B7B" w:themeColor="accent3" w:themeShade="BF"/>
          <w:sz w:val="22"/>
          <w:szCs w:val="22"/>
          <w:lang w:val="en-GB"/>
        </w:rPr>
        <w:t>order resolving a discrete dispute is a final order for appeals purposes</w:t>
      </w:r>
      <w:r w:rsidR="00847307" w:rsidRPr="00BB2520">
        <w:rPr>
          <w:rFonts w:ascii="Avenir Next" w:hAnsi="Avenir Next" w:cs="Arial"/>
          <w:color w:val="7B7B7B" w:themeColor="accent3" w:themeShade="BF"/>
          <w:sz w:val="22"/>
          <w:szCs w:val="22"/>
          <w:lang w:val="en-GB"/>
        </w:rPr>
        <w:t>”.</w:t>
      </w:r>
      <w:r w:rsidR="00847307" w:rsidRPr="00BB2520">
        <w:rPr>
          <w:rFonts w:cs="Arial"/>
          <w:color w:val="7B7B7B" w:themeColor="accent3" w:themeShade="BF"/>
          <w:sz w:val="22"/>
          <w:szCs w:val="22"/>
          <w:vertAlign w:val="superscript"/>
          <w:lang w:val="en-GB"/>
        </w:rPr>
        <w:footnoteReference w:id="14"/>
      </w:r>
    </w:p>
    <w:p w14:paraId="7FC0A33E" w14:textId="77777777" w:rsidR="00BB2520" w:rsidRDefault="00BB2520" w:rsidP="00BB2520">
      <w:pPr>
        <w:jc w:val="both"/>
        <w:rPr>
          <w:rFonts w:ascii="Avenir Next" w:hAnsi="Avenir Next" w:cs="Arial"/>
          <w:color w:val="7B7B7B" w:themeColor="accent3" w:themeShade="BF"/>
          <w:sz w:val="22"/>
          <w:szCs w:val="22"/>
          <w:lang w:val="en-GB"/>
        </w:rPr>
      </w:pPr>
    </w:p>
    <w:p w14:paraId="2090118D" w14:textId="47D65531" w:rsidR="00B57E83" w:rsidRPr="00BB2520" w:rsidRDefault="001D764F" w:rsidP="00BB2520">
      <w:pPr>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 xml:space="preserve">On appeal, such orders may be directed to </w:t>
      </w:r>
      <w:r w:rsidR="00BB2520" w:rsidRPr="00BB2520">
        <w:rPr>
          <w:rFonts w:ascii="Avenir Next" w:hAnsi="Avenir Next" w:cs="Arial"/>
          <w:color w:val="7B7B7B" w:themeColor="accent3" w:themeShade="BF"/>
          <w:sz w:val="22"/>
          <w:szCs w:val="22"/>
          <w:lang w:val="en-GB"/>
        </w:rPr>
        <w:t>the district court</w:t>
      </w:r>
      <w:r w:rsidRPr="00BB2520">
        <w:rPr>
          <w:rFonts w:ascii="Avenir Next" w:hAnsi="Avenir Next" w:cs="Arial"/>
          <w:color w:val="7B7B7B" w:themeColor="accent3" w:themeShade="BF"/>
          <w:sz w:val="22"/>
          <w:szCs w:val="22"/>
          <w:lang w:val="en-GB"/>
        </w:rPr>
        <w:t xml:space="preserve">, </w:t>
      </w:r>
      <w:r w:rsidR="00DD1B7A" w:rsidRPr="00DD1B7A">
        <w:rPr>
          <w:rFonts w:ascii="Avenir Next" w:hAnsi="Avenir Next" w:cs="Arial"/>
          <w:color w:val="7B7B7B" w:themeColor="accent3" w:themeShade="BF"/>
          <w:sz w:val="22"/>
          <w:szCs w:val="22"/>
          <w:lang w:val="en-GB"/>
        </w:rPr>
        <w:t>a Bankruptcy Appellate Panel (BAP)</w:t>
      </w:r>
      <w:r w:rsidRPr="00BB2520">
        <w:rPr>
          <w:rFonts w:ascii="Avenir Next" w:hAnsi="Avenir Next" w:cs="Arial"/>
          <w:color w:val="7B7B7B" w:themeColor="accent3" w:themeShade="BF"/>
          <w:sz w:val="22"/>
          <w:szCs w:val="22"/>
          <w:lang w:val="en-GB"/>
        </w:rPr>
        <w:t xml:space="preserve"> or </w:t>
      </w:r>
      <w:r w:rsidR="00DD1B7A" w:rsidRPr="00DD1B7A">
        <w:rPr>
          <w:rFonts w:ascii="Avenir Next" w:hAnsi="Avenir Next" w:cs="Arial"/>
          <w:color w:val="7B7B7B" w:themeColor="accent3" w:themeShade="BF"/>
          <w:sz w:val="22"/>
          <w:szCs w:val="22"/>
          <w:lang w:val="en-GB"/>
        </w:rPr>
        <w:t>directly to the court of appeals</w:t>
      </w:r>
      <w:r w:rsidRPr="00BB2520">
        <w:rPr>
          <w:rFonts w:ascii="Avenir Next" w:hAnsi="Avenir Next" w:cs="Arial"/>
          <w:color w:val="7B7B7B" w:themeColor="accent3" w:themeShade="BF"/>
          <w:sz w:val="22"/>
          <w:szCs w:val="22"/>
          <w:lang w:val="en-GB"/>
        </w:rPr>
        <w:t xml:space="preserve">. HALL </w:t>
      </w:r>
      <w:r w:rsidR="00787113" w:rsidRPr="00787113">
        <w:rPr>
          <w:rFonts w:ascii="Avenir Next" w:hAnsi="Avenir Next" w:cs="Arial"/>
          <w:color w:val="7B7B7B" w:themeColor="accent3" w:themeShade="BF"/>
          <w:sz w:val="22"/>
          <w:szCs w:val="22"/>
          <w:lang w:val="en-GB"/>
        </w:rPr>
        <w:t>describes</w:t>
      </w:r>
      <w:r w:rsidR="00787113">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the criteria for </w:t>
      </w:r>
      <w:r w:rsidR="00C00C4C" w:rsidRPr="00C00C4C">
        <w:rPr>
          <w:rFonts w:ascii="Avenir Next" w:hAnsi="Avenir Next" w:cs="Arial"/>
          <w:color w:val="7B7B7B" w:themeColor="accent3" w:themeShade="BF"/>
          <w:sz w:val="22"/>
          <w:szCs w:val="22"/>
          <w:lang w:val="en-GB"/>
        </w:rPr>
        <w:t>such referral</w:t>
      </w:r>
      <w:r w:rsidRPr="00BB2520">
        <w:rPr>
          <w:rFonts w:ascii="Avenir Next" w:hAnsi="Avenir Next" w:cs="Arial"/>
          <w:color w:val="7B7B7B" w:themeColor="accent3" w:themeShade="BF"/>
          <w:sz w:val="22"/>
          <w:szCs w:val="22"/>
          <w:lang w:val="en-GB"/>
        </w:rPr>
        <w:t>:</w:t>
      </w:r>
    </w:p>
    <w:p w14:paraId="19BFC8E5" w14:textId="77777777" w:rsidR="00BB2520" w:rsidRDefault="00BB2520" w:rsidP="00BB2520">
      <w:pPr>
        <w:ind w:left="720"/>
        <w:jc w:val="both"/>
        <w:rPr>
          <w:rFonts w:ascii="Avenir Next" w:hAnsi="Avenir Next" w:cs="Arial"/>
          <w:color w:val="7B7B7B" w:themeColor="accent3" w:themeShade="BF"/>
          <w:sz w:val="22"/>
          <w:szCs w:val="22"/>
          <w:lang w:val="en-GB"/>
        </w:rPr>
      </w:pPr>
    </w:p>
    <w:p w14:paraId="3E87E466" w14:textId="34CC3952" w:rsidR="00B57E83" w:rsidRPr="00BB2520" w:rsidRDefault="0057509A"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w:t>
      </w:r>
      <w:r w:rsidRPr="00BB2520">
        <w:rPr>
          <w:rFonts w:ascii="Avenir Next" w:hAnsi="Avenir Next" w:cs="Arial"/>
          <w:color w:val="7B7B7B" w:themeColor="accent3" w:themeShade="BF"/>
          <w:sz w:val="22"/>
          <w:szCs w:val="22"/>
          <w:lang w:val="en-GB"/>
        </w:rPr>
        <w:t>In general, appeals from bankruptcy court decisions are heard by the district court for the district in which they sit. In certain circuits, however, bankruptcy appeals are heard by a Bankruptcy Appellate Panel (BAP), convened from the judges of the bankruptcy courts within the circuit. In those circuits, a party has the option to request that the appeal be heard by the district court</w:t>
      </w:r>
      <w:r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 xml:space="preserve">instead. From the district court or BAP, there is a further appeal of right (assuming the initial order was one from which an appeal of right was available) to the circuit court of appeals. In rare circumstances, an appeal from a bankruptcy court may go </w:t>
      </w:r>
      <w:bookmarkStart w:id="1" w:name="_Hlk128371361"/>
      <w:r w:rsidRPr="00BB2520">
        <w:rPr>
          <w:rFonts w:ascii="Avenir Next" w:hAnsi="Avenir Next" w:cs="Arial"/>
          <w:color w:val="7B7B7B" w:themeColor="accent3" w:themeShade="BF"/>
          <w:sz w:val="22"/>
          <w:szCs w:val="22"/>
          <w:lang w:val="en-GB"/>
        </w:rPr>
        <w:t>directly to the court of appeals</w:t>
      </w:r>
      <w:bookmarkEnd w:id="1"/>
      <w:r w:rsidRPr="00BB2520">
        <w:rPr>
          <w:rFonts w:ascii="Avenir Next" w:hAnsi="Avenir Next" w:cs="Arial"/>
          <w:color w:val="7B7B7B" w:themeColor="accent3" w:themeShade="BF"/>
          <w:sz w:val="22"/>
          <w:szCs w:val="22"/>
          <w:lang w:val="en-GB"/>
        </w:rPr>
        <w:t>, where the bankruptcy court or district court certifies that either that (</w:t>
      </w:r>
      <w:proofErr w:type="spellStart"/>
      <w:r w:rsidRPr="00BB2520">
        <w:rPr>
          <w:rFonts w:ascii="Avenir Next" w:hAnsi="Avenir Next" w:cs="Arial"/>
          <w:color w:val="7B7B7B" w:themeColor="accent3" w:themeShade="BF"/>
          <w:sz w:val="22"/>
          <w:szCs w:val="22"/>
          <w:lang w:val="en-GB"/>
        </w:rPr>
        <w:t>i</w:t>
      </w:r>
      <w:proofErr w:type="spellEnd"/>
      <w:r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lastRenderedPageBreak/>
        <w:t>the appeal raises a question of</w:t>
      </w:r>
      <w:r w:rsidRPr="00BB2520">
        <w:rPr>
          <w:rFonts w:ascii="Avenir Next" w:hAnsi="Avenir Next" w:cs="Arial"/>
          <w:color w:val="7B7B7B" w:themeColor="accent3" w:themeShade="BF"/>
          <w:sz w:val="22"/>
          <w:szCs w:val="22"/>
          <w:lang w:val="en-GB"/>
        </w:rPr>
        <w:t xml:space="preserve"> </w:t>
      </w:r>
      <w:r w:rsidRPr="00BB2520">
        <w:rPr>
          <w:rFonts w:ascii="Avenir Next" w:hAnsi="Avenir Next" w:cs="Arial"/>
          <w:color w:val="7B7B7B" w:themeColor="accent3" w:themeShade="BF"/>
          <w:sz w:val="22"/>
          <w:szCs w:val="22"/>
          <w:lang w:val="en-GB"/>
        </w:rPr>
        <w:t>law as to which there is no controlling decision of the circuit or the US Supreme Court, or requires resolving conflicting controlling decisions, or (ii) immediate appeal may materially advance the progress of the case. The court of appeals has discretion whether to accept a case so certified</w:t>
      </w:r>
      <w:r w:rsidRPr="00BB2520">
        <w:rPr>
          <w:rFonts w:ascii="Avenir Next" w:hAnsi="Avenir Next" w:cs="Arial"/>
          <w:color w:val="7B7B7B" w:themeColor="accent3" w:themeShade="BF"/>
          <w:sz w:val="22"/>
          <w:szCs w:val="22"/>
          <w:lang w:val="en-GB"/>
        </w:rPr>
        <w:t>”</w:t>
      </w:r>
      <w:r w:rsidRPr="00BB2520">
        <w:rPr>
          <w:rFonts w:ascii="Avenir Next" w:hAnsi="Avenir Next" w:cs="Arial"/>
          <w:color w:val="7B7B7B" w:themeColor="accent3" w:themeShade="BF"/>
          <w:sz w:val="22"/>
          <w:szCs w:val="22"/>
          <w:lang w:val="en-GB"/>
        </w:rPr>
        <w:t>.</w:t>
      </w:r>
      <w:r w:rsidRPr="00BB2520">
        <w:rPr>
          <w:rFonts w:cs="Arial"/>
          <w:color w:val="7B7B7B" w:themeColor="accent3" w:themeShade="BF"/>
          <w:sz w:val="22"/>
          <w:szCs w:val="22"/>
          <w:vertAlign w:val="superscript"/>
          <w:lang w:val="en-GB"/>
        </w:rPr>
        <w:footnoteReference w:id="15"/>
      </w:r>
    </w:p>
    <w:p w14:paraId="4622816E" w14:textId="77777777" w:rsidR="00BB2520" w:rsidRDefault="00BB2520" w:rsidP="00BB2520">
      <w:pPr>
        <w:jc w:val="both"/>
        <w:rPr>
          <w:rFonts w:ascii="Avenir Next" w:hAnsi="Avenir Next" w:cs="Arial"/>
          <w:color w:val="7B7B7B" w:themeColor="accent3" w:themeShade="BF"/>
          <w:sz w:val="22"/>
          <w:szCs w:val="22"/>
          <w:lang w:val="en-GB"/>
        </w:rPr>
      </w:pPr>
    </w:p>
    <w:p w14:paraId="086A54A6" w14:textId="3F2B9D2C" w:rsidR="00B57E83" w:rsidRDefault="00392B21" w:rsidP="00BB252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D031C">
        <w:rPr>
          <w:rFonts w:ascii="Avenir Next" w:hAnsi="Avenir Next" w:cs="Arial"/>
          <w:color w:val="7B7B7B" w:themeColor="accent3" w:themeShade="BF"/>
          <w:sz w:val="22"/>
          <w:szCs w:val="22"/>
          <w:lang w:val="en-GB"/>
        </w:rPr>
        <w:t>author</w:t>
      </w:r>
      <w:r>
        <w:rPr>
          <w:rFonts w:ascii="Avenir Next" w:hAnsi="Avenir Next" w:cs="Arial"/>
          <w:color w:val="7B7B7B" w:themeColor="accent3" w:themeShade="BF"/>
          <w:sz w:val="22"/>
          <w:szCs w:val="22"/>
          <w:lang w:val="en-GB"/>
        </w:rPr>
        <w:t xml:space="preserve"> </w:t>
      </w:r>
      <w:r w:rsidR="00DD031C">
        <w:rPr>
          <w:rFonts w:ascii="Avenir Next" w:hAnsi="Avenir Next" w:cs="Arial"/>
          <w:color w:val="7B7B7B" w:themeColor="accent3" w:themeShade="BF"/>
          <w:sz w:val="22"/>
          <w:szCs w:val="22"/>
          <w:lang w:val="en-GB"/>
        </w:rPr>
        <w:t>concludes that i</w:t>
      </w:r>
      <w:r w:rsidR="00DD031C" w:rsidRPr="00DD031C">
        <w:rPr>
          <w:rFonts w:ascii="Avenir Next" w:hAnsi="Avenir Next" w:cs="Arial"/>
          <w:color w:val="7B7B7B" w:themeColor="accent3" w:themeShade="BF"/>
          <w:sz w:val="22"/>
          <w:szCs w:val="22"/>
          <w:lang w:val="en-GB"/>
        </w:rPr>
        <w:t xml:space="preserve">n case of a final order in a core proceeding, </w:t>
      </w:r>
      <w:r w:rsidR="00874764">
        <w:rPr>
          <w:rFonts w:ascii="Avenir Next" w:hAnsi="Avenir Next" w:cs="Arial"/>
          <w:color w:val="7B7B7B" w:themeColor="accent3" w:themeShade="BF"/>
          <w:sz w:val="22"/>
          <w:szCs w:val="22"/>
          <w:lang w:val="en-GB"/>
        </w:rPr>
        <w:t>“</w:t>
      </w:r>
      <w:r w:rsidR="00DD031C" w:rsidRPr="00DD031C">
        <w:rPr>
          <w:rFonts w:ascii="Avenir Next" w:hAnsi="Avenir Next" w:cs="Arial"/>
          <w:color w:val="7B7B7B" w:themeColor="accent3" w:themeShade="BF"/>
          <w:sz w:val="22"/>
          <w:szCs w:val="22"/>
          <w:lang w:val="en-GB"/>
        </w:rPr>
        <w:t xml:space="preserve">the district court or BAP reviews conclusions of law </w:t>
      </w:r>
      <w:r w:rsidR="00254CCA">
        <w:rPr>
          <w:rFonts w:ascii="Avenir Next" w:hAnsi="Avenir Next" w:cs="Arial"/>
          <w:color w:val="7B7B7B" w:themeColor="accent3" w:themeShade="BF"/>
          <w:sz w:val="22"/>
          <w:szCs w:val="22"/>
          <w:lang w:val="en-GB"/>
        </w:rPr>
        <w:t xml:space="preserve">de novo </w:t>
      </w:r>
      <w:r w:rsidR="00DD031C" w:rsidRPr="00DD031C">
        <w:rPr>
          <w:rFonts w:ascii="Avenir Next" w:hAnsi="Avenir Next" w:cs="Arial"/>
          <w:color w:val="7B7B7B" w:themeColor="accent3" w:themeShade="BF"/>
          <w:sz w:val="22"/>
          <w:szCs w:val="22"/>
          <w:lang w:val="en-GB"/>
        </w:rPr>
        <w:t>and reviews findings of fact for abuse of discretion</w:t>
      </w:r>
      <w:r w:rsidR="00254CCA">
        <w:rPr>
          <w:rFonts w:ascii="Avenir Next" w:hAnsi="Avenir Next" w:cs="Arial"/>
          <w:color w:val="7B7B7B" w:themeColor="accent3" w:themeShade="BF"/>
          <w:sz w:val="22"/>
          <w:szCs w:val="22"/>
          <w:lang w:val="en-GB"/>
        </w:rPr>
        <w:t>”</w:t>
      </w:r>
      <w:r w:rsidR="00DD031C" w:rsidRPr="00DD031C">
        <w:rPr>
          <w:rFonts w:ascii="Avenir Next" w:hAnsi="Avenir Next" w:cs="Arial"/>
          <w:color w:val="7B7B7B" w:themeColor="accent3" w:themeShade="BF"/>
          <w:sz w:val="22"/>
          <w:szCs w:val="22"/>
          <w:lang w:val="en-GB"/>
        </w:rPr>
        <w:t>.</w:t>
      </w:r>
      <w:r w:rsidR="00254CCA">
        <w:rPr>
          <w:rStyle w:val="Refdenotaderodap"/>
          <w:rFonts w:ascii="Avenir Next" w:hAnsi="Avenir Next" w:cs="Arial"/>
          <w:color w:val="7B7B7B" w:themeColor="accent3" w:themeShade="BF"/>
          <w:sz w:val="22"/>
          <w:szCs w:val="22"/>
          <w:lang w:val="en-GB"/>
        </w:rPr>
        <w:footnoteReference w:id="16"/>
      </w:r>
    </w:p>
    <w:p w14:paraId="79642B90" w14:textId="77777777" w:rsidR="00A3110A" w:rsidRDefault="00A3110A" w:rsidP="00BB2520">
      <w:pPr>
        <w:jc w:val="both"/>
        <w:rPr>
          <w:rFonts w:ascii="Avenir Next" w:hAnsi="Avenir Next" w:cs="Arial"/>
          <w:color w:val="7B7B7B" w:themeColor="accent3" w:themeShade="BF"/>
          <w:sz w:val="22"/>
          <w:szCs w:val="22"/>
          <w:lang w:val="en-GB"/>
        </w:rPr>
      </w:pPr>
    </w:p>
    <w:p w14:paraId="6E723EB3" w14:textId="4C04A2C5" w:rsidR="00A3110A" w:rsidRPr="00BB2520" w:rsidRDefault="006F0CEA" w:rsidP="00BB2520">
      <w:pPr>
        <w:jc w:val="both"/>
        <w:rPr>
          <w:rFonts w:ascii="Avenir Next" w:hAnsi="Avenir Next" w:cs="Arial"/>
          <w:color w:val="7B7B7B" w:themeColor="accent3" w:themeShade="BF"/>
          <w:sz w:val="22"/>
          <w:szCs w:val="22"/>
          <w:lang w:val="en-GB"/>
        </w:rPr>
      </w:pPr>
      <w:r w:rsidRPr="006F0CEA">
        <w:rPr>
          <w:rFonts w:ascii="Avenir Next" w:hAnsi="Avenir Next" w:cs="Arial"/>
          <w:color w:val="7B7B7B" w:themeColor="accent3" w:themeShade="BF"/>
          <w:sz w:val="22"/>
          <w:szCs w:val="22"/>
          <w:lang w:val="en-GB"/>
        </w:rPr>
        <w:t>Regarding non-</w:t>
      </w:r>
      <w:r>
        <w:rPr>
          <w:rFonts w:ascii="Avenir Next" w:hAnsi="Avenir Next" w:cs="Arial"/>
          <w:color w:val="7B7B7B" w:themeColor="accent3" w:themeShade="BF"/>
          <w:sz w:val="22"/>
          <w:szCs w:val="22"/>
          <w:lang w:val="en-GB"/>
        </w:rPr>
        <w:t>core</w:t>
      </w:r>
      <w:r w:rsidRPr="006F0CEA">
        <w:rPr>
          <w:rFonts w:ascii="Avenir Next" w:hAnsi="Avenir Next" w:cs="Arial"/>
          <w:color w:val="7B7B7B" w:themeColor="accent3" w:themeShade="BF"/>
          <w:sz w:val="22"/>
          <w:szCs w:val="22"/>
          <w:lang w:val="en-GB"/>
        </w:rPr>
        <w:t xml:space="preserve"> proce</w:t>
      </w:r>
      <w:r>
        <w:rPr>
          <w:rFonts w:ascii="Avenir Next" w:hAnsi="Avenir Next" w:cs="Arial"/>
          <w:color w:val="7B7B7B" w:themeColor="accent3" w:themeShade="BF"/>
          <w:sz w:val="22"/>
          <w:szCs w:val="22"/>
          <w:lang w:val="en-GB"/>
        </w:rPr>
        <w:t>eding</w:t>
      </w:r>
      <w:r w:rsidRPr="006F0CEA">
        <w:rPr>
          <w:rFonts w:ascii="Avenir Next" w:hAnsi="Avenir Next" w:cs="Arial"/>
          <w:color w:val="7B7B7B" w:themeColor="accent3" w:themeShade="BF"/>
          <w:sz w:val="22"/>
          <w:szCs w:val="22"/>
          <w:lang w:val="en-GB"/>
        </w:rPr>
        <w:t xml:space="preserve">s, HALL points out </w:t>
      </w:r>
      <w:proofErr w:type="gramStart"/>
      <w:r w:rsidRPr="006F0CEA">
        <w:rPr>
          <w:rFonts w:ascii="Avenir Next" w:hAnsi="Avenir Next" w:cs="Arial"/>
          <w:color w:val="7B7B7B" w:themeColor="accent3" w:themeShade="BF"/>
          <w:sz w:val="22"/>
          <w:szCs w:val="22"/>
          <w:lang w:val="en-GB"/>
        </w:rPr>
        <w:t>that</w:t>
      </w:r>
      <w:proofErr w:type="gramEnd"/>
    </w:p>
    <w:p w14:paraId="38D338E3" w14:textId="77777777" w:rsidR="00BB2520" w:rsidRDefault="00BB2520" w:rsidP="00BB2520">
      <w:pPr>
        <w:ind w:left="720"/>
        <w:jc w:val="both"/>
        <w:rPr>
          <w:rFonts w:ascii="Avenir Next" w:hAnsi="Avenir Next" w:cs="Arial"/>
          <w:color w:val="7B7B7B" w:themeColor="accent3" w:themeShade="BF"/>
          <w:sz w:val="22"/>
          <w:szCs w:val="22"/>
          <w:lang w:val="en-GB"/>
        </w:rPr>
      </w:pPr>
    </w:p>
    <w:p w14:paraId="6AAECF8D" w14:textId="22808DF8" w:rsidR="002D4806" w:rsidRPr="00BB2520" w:rsidRDefault="002D4806" w:rsidP="00BB2520">
      <w:pPr>
        <w:ind w:left="720"/>
        <w:jc w:val="both"/>
        <w:rPr>
          <w:rFonts w:ascii="Avenir Next" w:hAnsi="Avenir Next" w:cs="Arial"/>
          <w:color w:val="7B7B7B" w:themeColor="accent3" w:themeShade="BF"/>
          <w:sz w:val="22"/>
          <w:szCs w:val="22"/>
          <w:lang w:val="en-GB"/>
        </w:rPr>
      </w:pPr>
      <w:r w:rsidRPr="00BB2520">
        <w:rPr>
          <w:rFonts w:ascii="Avenir Next" w:hAnsi="Avenir Next" w:cs="Arial"/>
          <w:color w:val="7B7B7B" w:themeColor="accent3" w:themeShade="BF"/>
          <w:sz w:val="22"/>
          <w:szCs w:val="22"/>
          <w:lang w:val="en-GB"/>
        </w:rPr>
        <w:t>“</w:t>
      </w:r>
      <w:r w:rsidRPr="00BB2520">
        <w:rPr>
          <w:rFonts w:ascii="Avenir Next" w:hAnsi="Avenir Next" w:cs="Arial"/>
          <w:color w:val="7B7B7B" w:themeColor="accent3" w:themeShade="BF"/>
          <w:sz w:val="22"/>
          <w:szCs w:val="22"/>
          <w:lang w:val="en-GB"/>
        </w:rPr>
        <w:t>As to non-core</w:t>
      </w:r>
      <w:r w:rsidRPr="00BB2520">
        <w:rPr>
          <w:rFonts w:ascii="Avenir Next" w:hAnsi="Avenir Next" w:cs="Arial"/>
          <w:color w:val="7B7B7B" w:themeColor="accent3" w:themeShade="BF"/>
          <w:sz w:val="22"/>
          <w:szCs w:val="22"/>
          <w:lang w:val="en-GB"/>
        </w:rPr>
        <w:t xml:space="preserve"> </w:t>
      </w:r>
      <w:r w:rsidR="006A416D" w:rsidRPr="00BB2520">
        <w:rPr>
          <w:rFonts w:ascii="Avenir Next" w:hAnsi="Avenir Next" w:cs="Arial"/>
          <w:color w:val="7B7B7B" w:themeColor="accent3" w:themeShade="BF"/>
          <w:sz w:val="22"/>
          <w:szCs w:val="22"/>
          <w:lang w:val="en-GB"/>
        </w:rPr>
        <w:t>proceedings, the bankruptcy court may hear the non-core proceedings if they are sufficiently</w:t>
      </w:r>
      <w:r w:rsidR="006A416D" w:rsidRPr="00BB2520">
        <w:rPr>
          <w:rFonts w:ascii="Avenir Next" w:hAnsi="Avenir Next" w:cs="Arial"/>
          <w:color w:val="7B7B7B" w:themeColor="accent3" w:themeShade="BF"/>
          <w:sz w:val="22"/>
          <w:szCs w:val="22"/>
          <w:lang w:val="en-GB"/>
        </w:rPr>
        <w:t xml:space="preserve"> </w:t>
      </w:r>
      <w:r w:rsidR="006A416D" w:rsidRPr="00BB2520">
        <w:rPr>
          <w:rFonts w:ascii="Avenir Next" w:hAnsi="Avenir Next" w:cs="Arial"/>
          <w:color w:val="7B7B7B" w:themeColor="accent3" w:themeShade="BF"/>
          <w:sz w:val="22"/>
          <w:szCs w:val="22"/>
          <w:lang w:val="en-GB"/>
        </w:rPr>
        <w:t>related to a bankruptcy proceeding,31 but cannot make a final determination; instead, it submits</w:t>
      </w:r>
      <w:r w:rsidR="006A416D" w:rsidRPr="00BB2520">
        <w:rPr>
          <w:rFonts w:ascii="Avenir Next" w:hAnsi="Avenir Next" w:cs="Arial"/>
          <w:color w:val="7B7B7B" w:themeColor="accent3" w:themeShade="BF"/>
          <w:sz w:val="22"/>
          <w:szCs w:val="22"/>
          <w:lang w:val="en-GB"/>
        </w:rPr>
        <w:t xml:space="preserve"> </w:t>
      </w:r>
      <w:r w:rsidR="006A416D" w:rsidRPr="00BB2520">
        <w:rPr>
          <w:rFonts w:ascii="Avenir Next" w:hAnsi="Avenir Next" w:cs="Arial"/>
          <w:color w:val="7B7B7B" w:themeColor="accent3" w:themeShade="BF"/>
          <w:sz w:val="22"/>
          <w:szCs w:val="22"/>
          <w:lang w:val="en-GB"/>
        </w:rPr>
        <w:t>proposed findings of fact and conclusions of law to the district court, to which interested parties</w:t>
      </w:r>
      <w:r w:rsidR="006A416D" w:rsidRPr="00BB2520">
        <w:rPr>
          <w:rFonts w:ascii="Avenir Next" w:hAnsi="Avenir Next" w:cs="Arial"/>
          <w:color w:val="7B7B7B" w:themeColor="accent3" w:themeShade="BF"/>
          <w:sz w:val="22"/>
          <w:szCs w:val="22"/>
          <w:lang w:val="en-GB"/>
        </w:rPr>
        <w:t xml:space="preserve"> </w:t>
      </w:r>
      <w:r w:rsidR="006A416D" w:rsidRPr="00BB2520">
        <w:rPr>
          <w:rFonts w:ascii="Avenir Next" w:hAnsi="Avenir Next" w:cs="Arial"/>
          <w:color w:val="7B7B7B" w:themeColor="accent3" w:themeShade="BF"/>
          <w:sz w:val="22"/>
          <w:szCs w:val="22"/>
          <w:lang w:val="en-GB"/>
        </w:rPr>
        <w:t>may object, for the district court’s final decision</w:t>
      </w:r>
      <w:r w:rsidR="006A416D" w:rsidRPr="00BB2520">
        <w:rPr>
          <w:rFonts w:ascii="Avenir Next" w:hAnsi="Avenir Next" w:cs="Arial"/>
          <w:color w:val="7B7B7B" w:themeColor="accent3" w:themeShade="BF"/>
          <w:sz w:val="22"/>
          <w:szCs w:val="22"/>
          <w:lang w:val="en-GB"/>
        </w:rPr>
        <w:t>”</w:t>
      </w:r>
      <w:r w:rsidR="006A416D" w:rsidRPr="00BB2520">
        <w:rPr>
          <w:rFonts w:ascii="Avenir Next" w:hAnsi="Avenir Next" w:cs="Arial"/>
          <w:color w:val="7B7B7B" w:themeColor="accent3" w:themeShade="BF"/>
          <w:sz w:val="22"/>
          <w:szCs w:val="22"/>
          <w:lang w:val="en-GB"/>
        </w:rPr>
        <w:t>.</w:t>
      </w:r>
      <w:r w:rsidR="006A416D" w:rsidRPr="00BB2520">
        <w:rPr>
          <w:rFonts w:cs="Arial"/>
          <w:color w:val="7B7B7B" w:themeColor="accent3" w:themeShade="BF"/>
          <w:sz w:val="22"/>
          <w:szCs w:val="22"/>
          <w:vertAlign w:val="superscript"/>
          <w:lang w:val="en-GB"/>
        </w:rPr>
        <w:footnoteReference w:id="17"/>
      </w:r>
    </w:p>
    <w:p w14:paraId="48B67FB4" w14:textId="77777777" w:rsidR="002D4806" w:rsidRPr="00BB2520" w:rsidRDefault="002D4806" w:rsidP="00BB2520">
      <w:pPr>
        <w:jc w:val="both"/>
        <w:rPr>
          <w:rFonts w:ascii="Avenir Next" w:hAnsi="Avenir Next" w:cs="Arial"/>
          <w:color w:val="7B7B7B" w:themeColor="accent3" w:themeShade="BF"/>
          <w:sz w:val="22"/>
          <w:szCs w:val="22"/>
          <w:lang w:val="en-GB"/>
        </w:rPr>
      </w:pPr>
    </w:p>
    <w:p w14:paraId="0922C419" w14:textId="19EDB68A" w:rsidR="00874764" w:rsidRDefault="00A3110A" w:rsidP="00BB2520">
      <w:pPr>
        <w:jc w:val="both"/>
        <w:rPr>
          <w:rFonts w:ascii="Avenir Next" w:hAnsi="Avenir Next" w:cs="Arial"/>
          <w:color w:val="7B7B7B" w:themeColor="accent3" w:themeShade="BF"/>
          <w:sz w:val="22"/>
          <w:szCs w:val="22"/>
          <w:lang w:val="en-GB"/>
        </w:rPr>
      </w:pPr>
      <w:r w:rsidRPr="00A3110A">
        <w:rPr>
          <w:rFonts w:ascii="Avenir Next" w:hAnsi="Avenir Next" w:cs="Arial"/>
          <w:color w:val="7B7B7B" w:themeColor="accent3" w:themeShade="BF"/>
          <w:sz w:val="22"/>
          <w:szCs w:val="22"/>
          <w:lang w:val="en-GB"/>
        </w:rPr>
        <w:t xml:space="preserve">In this scenario, the author concludes </w:t>
      </w:r>
      <w:proofErr w:type="gramStart"/>
      <w:r w:rsidRPr="00A3110A">
        <w:rPr>
          <w:rFonts w:ascii="Avenir Next" w:hAnsi="Avenir Next" w:cs="Arial"/>
          <w:color w:val="7B7B7B" w:themeColor="accent3" w:themeShade="BF"/>
          <w:sz w:val="22"/>
          <w:szCs w:val="22"/>
          <w:lang w:val="en-GB"/>
        </w:rPr>
        <w:t>that</w:t>
      </w:r>
      <w:proofErr w:type="gramEnd"/>
    </w:p>
    <w:p w14:paraId="1435A119" w14:textId="77777777" w:rsidR="00A3110A" w:rsidRDefault="00A3110A" w:rsidP="00BB2520">
      <w:pPr>
        <w:jc w:val="both"/>
        <w:rPr>
          <w:rFonts w:ascii="Avenir Next" w:hAnsi="Avenir Next" w:cs="Arial"/>
          <w:color w:val="7B7B7B" w:themeColor="accent3" w:themeShade="BF"/>
          <w:sz w:val="22"/>
          <w:szCs w:val="22"/>
          <w:lang w:val="en-GB"/>
        </w:rPr>
      </w:pPr>
    </w:p>
    <w:p w14:paraId="5DB62E72" w14:textId="74CF7D4C" w:rsidR="00874764" w:rsidRDefault="00874764" w:rsidP="00874764">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874764">
        <w:rPr>
          <w:rFonts w:ascii="Avenir Next" w:hAnsi="Avenir Next" w:cs="Arial"/>
          <w:color w:val="7B7B7B" w:themeColor="accent3" w:themeShade="BF"/>
          <w:sz w:val="22"/>
          <w:szCs w:val="22"/>
          <w:lang w:val="en-GB"/>
        </w:rPr>
        <w:t>If the ruling was in a noncore proceeding or the bankruptcy court otherwise did not have authority to enter a final order, the district court or BAP reviews de novo all findings of fact and conclusions of law to which a party has objected. The order of a district court or BAP is reviewed by a circuit</w:t>
      </w:r>
      <w:r>
        <w:rPr>
          <w:rFonts w:ascii="Avenir Next" w:hAnsi="Avenir Next" w:cs="Arial"/>
          <w:color w:val="7B7B7B" w:themeColor="accent3" w:themeShade="BF"/>
          <w:sz w:val="22"/>
          <w:szCs w:val="22"/>
          <w:lang w:val="en-GB"/>
        </w:rPr>
        <w:t xml:space="preserve"> </w:t>
      </w:r>
      <w:r w:rsidRPr="00874764">
        <w:rPr>
          <w:rFonts w:ascii="Avenir Next" w:hAnsi="Avenir Next" w:cs="Arial"/>
          <w:color w:val="7B7B7B" w:themeColor="accent3" w:themeShade="BF"/>
          <w:sz w:val="22"/>
          <w:szCs w:val="22"/>
          <w:lang w:val="en-GB"/>
        </w:rPr>
        <w:t>court of appeal de novo as to conclusions of law and for abuse of discretion for findings of fact</w:t>
      </w:r>
      <w:r>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18"/>
      </w:r>
    </w:p>
    <w:p w14:paraId="511C4A7C" w14:textId="77777777" w:rsidR="00874764" w:rsidRDefault="00874764" w:rsidP="00BB2520">
      <w:pPr>
        <w:jc w:val="both"/>
        <w:rPr>
          <w:rFonts w:ascii="Avenir Next" w:hAnsi="Avenir Next" w:cs="Arial"/>
          <w:color w:val="7B7B7B" w:themeColor="accent3" w:themeShade="BF"/>
          <w:sz w:val="22"/>
          <w:szCs w:val="22"/>
          <w:lang w:val="en-GB"/>
        </w:rPr>
      </w:pPr>
    </w:p>
    <w:p w14:paraId="5C03D5F5" w14:textId="3005D17D" w:rsidR="00E41578" w:rsidRDefault="00ED6381" w:rsidP="000778B1">
      <w:pPr>
        <w:pStyle w:val="AODocTxt"/>
        <w:spacing w:before="0" w:line="240" w:lineRule="auto"/>
        <w:rPr>
          <w:rFonts w:ascii="Avenir Next" w:eastAsia="Times New Roman" w:hAnsi="Avenir Next" w:cs="Arial"/>
          <w:color w:val="7B7B7B" w:themeColor="accent3" w:themeShade="BF"/>
          <w:lang w:val="en-GB"/>
        </w:rPr>
      </w:pPr>
      <w:r w:rsidRPr="00ED6381">
        <w:rPr>
          <w:rFonts w:ascii="Avenir Next" w:eastAsia="Times New Roman" w:hAnsi="Avenir Next" w:cs="Arial"/>
          <w:color w:val="7B7B7B" w:themeColor="accent3" w:themeShade="BF"/>
          <w:lang w:val="en-GB"/>
        </w:rPr>
        <w:t xml:space="preserve">Therefore, the bankruptcy court can give final orders in cases of </w:t>
      </w:r>
      <w:r>
        <w:rPr>
          <w:rFonts w:ascii="Avenir Next" w:eastAsia="Times New Roman" w:hAnsi="Avenir Next" w:cs="Arial"/>
          <w:color w:val="7B7B7B" w:themeColor="accent3" w:themeShade="BF"/>
          <w:lang w:val="en-GB"/>
        </w:rPr>
        <w:t>core</w:t>
      </w:r>
      <w:r w:rsidRPr="00ED6381">
        <w:rPr>
          <w:rFonts w:ascii="Avenir Next" w:eastAsia="Times New Roman" w:hAnsi="Avenir Next" w:cs="Arial"/>
          <w:color w:val="7B7B7B" w:themeColor="accent3" w:themeShade="BF"/>
          <w:lang w:val="en-GB"/>
        </w:rPr>
        <w:t xml:space="preserve"> proceedings, pointed out non-exhaustively by </w:t>
      </w:r>
      <w:r w:rsidRPr="00891F7D">
        <w:rPr>
          <w:rFonts w:ascii="Avenir Next" w:hAnsi="Avenir Next" w:cs="Arial"/>
          <w:color w:val="7B7B7B" w:themeColor="accent3" w:themeShade="BF"/>
          <w:lang w:val="en-GB"/>
        </w:rPr>
        <w:t>§ 157(b)(2)</w:t>
      </w:r>
      <w:r>
        <w:rPr>
          <w:rFonts w:ascii="Avenir Next" w:hAnsi="Avenir Next" w:cs="Arial"/>
          <w:color w:val="7B7B7B" w:themeColor="accent3" w:themeShade="BF"/>
          <w:lang w:val="en-GB"/>
        </w:rPr>
        <w:t xml:space="preserve"> of 28 USC</w:t>
      </w:r>
      <w:r w:rsidRPr="00ED6381">
        <w:rPr>
          <w:rFonts w:ascii="Avenir Next" w:eastAsia="Times New Roman" w:hAnsi="Avenir Next" w:cs="Arial"/>
          <w:color w:val="7B7B7B" w:themeColor="accent3" w:themeShade="BF"/>
          <w:lang w:val="en-GB"/>
        </w:rPr>
        <w:t xml:space="preserve">. Bankruptcy court appeals </w:t>
      </w:r>
      <w:r>
        <w:rPr>
          <w:rFonts w:ascii="Avenir Next" w:eastAsia="Times New Roman" w:hAnsi="Avenir Next" w:cs="Arial"/>
          <w:color w:val="7B7B7B" w:themeColor="accent3" w:themeShade="BF"/>
          <w:lang w:val="en-GB"/>
        </w:rPr>
        <w:t>may</w:t>
      </w:r>
      <w:r w:rsidRPr="00ED6381">
        <w:rPr>
          <w:rFonts w:ascii="Avenir Next" w:eastAsia="Times New Roman" w:hAnsi="Avenir Next" w:cs="Arial"/>
          <w:color w:val="7B7B7B" w:themeColor="accent3" w:themeShade="BF"/>
          <w:lang w:val="en-GB"/>
        </w:rPr>
        <w:t xml:space="preserve"> be reviewed by </w:t>
      </w:r>
      <w:r w:rsidRPr="00BB2520">
        <w:rPr>
          <w:rFonts w:ascii="Avenir Next" w:hAnsi="Avenir Next" w:cs="Arial"/>
          <w:color w:val="7B7B7B" w:themeColor="accent3" w:themeShade="BF"/>
          <w:lang w:val="en-GB"/>
        </w:rPr>
        <w:t xml:space="preserve">the district court, </w:t>
      </w:r>
      <w:r w:rsidRPr="00DD1B7A">
        <w:rPr>
          <w:rFonts w:ascii="Avenir Next" w:hAnsi="Avenir Next" w:cs="Arial"/>
          <w:color w:val="7B7B7B" w:themeColor="accent3" w:themeShade="BF"/>
          <w:lang w:val="en-GB"/>
        </w:rPr>
        <w:t>a BAP</w:t>
      </w:r>
      <w:r w:rsidRPr="00BB2520">
        <w:rPr>
          <w:rFonts w:ascii="Avenir Next" w:hAnsi="Avenir Next" w:cs="Arial"/>
          <w:color w:val="7B7B7B" w:themeColor="accent3" w:themeShade="BF"/>
          <w:lang w:val="en-GB"/>
        </w:rPr>
        <w:t xml:space="preserve"> or </w:t>
      </w:r>
      <w:r w:rsidRPr="00DD1B7A">
        <w:rPr>
          <w:rFonts w:ascii="Avenir Next" w:hAnsi="Avenir Next" w:cs="Arial"/>
          <w:color w:val="7B7B7B" w:themeColor="accent3" w:themeShade="BF"/>
          <w:lang w:val="en-GB"/>
        </w:rPr>
        <w:t>directly to the court of appeals</w:t>
      </w:r>
      <w:r w:rsidRPr="00ED6381">
        <w:rPr>
          <w:rFonts w:ascii="Avenir Next" w:eastAsia="Times New Roman" w:hAnsi="Avenir Next" w:cs="Arial"/>
          <w:color w:val="7B7B7B" w:themeColor="accent3" w:themeShade="BF"/>
          <w:lang w:val="en-GB"/>
        </w:rPr>
        <w:t xml:space="preserve">, depending on the case. In addition, the difference in the review of </w:t>
      </w:r>
      <w:r w:rsidR="00546F6E">
        <w:rPr>
          <w:rFonts w:ascii="Avenir Next" w:eastAsia="Times New Roman" w:hAnsi="Avenir Next" w:cs="Arial"/>
          <w:color w:val="7B7B7B" w:themeColor="accent3" w:themeShade="BF"/>
          <w:lang w:val="en-GB"/>
        </w:rPr>
        <w:t>the ruling in a</w:t>
      </w:r>
      <w:r w:rsidRPr="00ED6381">
        <w:rPr>
          <w:rFonts w:ascii="Avenir Next" w:eastAsia="Times New Roman" w:hAnsi="Avenir Next" w:cs="Arial"/>
          <w:color w:val="7B7B7B" w:themeColor="accent3" w:themeShade="BF"/>
          <w:lang w:val="en-GB"/>
        </w:rPr>
        <w:t>non-</w:t>
      </w:r>
      <w:r>
        <w:rPr>
          <w:rFonts w:ascii="Avenir Next" w:eastAsia="Times New Roman" w:hAnsi="Avenir Next" w:cs="Arial"/>
          <w:color w:val="7B7B7B" w:themeColor="accent3" w:themeShade="BF"/>
          <w:lang w:val="en-GB"/>
        </w:rPr>
        <w:t>core</w:t>
      </w:r>
      <w:r w:rsidRPr="00ED6381">
        <w:rPr>
          <w:rFonts w:ascii="Avenir Next" w:eastAsia="Times New Roman" w:hAnsi="Avenir Next" w:cs="Arial"/>
          <w:color w:val="7B7B7B" w:themeColor="accent3" w:themeShade="BF"/>
          <w:lang w:val="en-GB"/>
        </w:rPr>
        <w:t xml:space="preserve"> </w:t>
      </w:r>
      <w:r w:rsidR="00546F6E">
        <w:rPr>
          <w:rFonts w:ascii="Avenir Next" w:eastAsia="Times New Roman" w:hAnsi="Avenir Next" w:cs="Arial"/>
          <w:color w:val="7B7B7B" w:themeColor="accent3" w:themeShade="BF"/>
          <w:lang w:val="en-GB"/>
        </w:rPr>
        <w:t>proceeding</w:t>
      </w:r>
      <w:r w:rsidRPr="00ED6381">
        <w:rPr>
          <w:rFonts w:ascii="Avenir Next" w:eastAsia="Times New Roman" w:hAnsi="Avenir Next" w:cs="Arial"/>
          <w:color w:val="7B7B7B" w:themeColor="accent3" w:themeShade="BF"/>
          <w:lang w:val="en-GB"/>
        </w:rPr>
        <w:t xml:space="preserve"> is that there is a broader analysis of the facts by </w:t>
      </w:r>
      <w:r w:rsidR="00CE7C7B" w:rsidRPr="00874764">
        <w:rPr>
          <w:rFonts w:ascii="Avenir Next" w:hAnsi="Avenir Next" w:cs="Arial"/>
          <w:color w:val="7B7B7B" w:themeColor="accent3" w:themeShade="BF"/>
          <w:lang w:val="en-GB"/>
        </w:rPr>
        <w:t>the district court or BAP</w:t>
      </w:r>
      <w:r w:rsidRPr="00ED6381">
        <w:rPr>
          <w:rFonts w:ascii="Avenir Next" w:eastAsia="Times New Roman" w:hAnsi="Avenir Next" w:cs="Arial"/>
          <w:color w:val="7B7B7B" w:themeColor="accent3" w:themeShade="BF"/>
          <w:lang w:val="en-GB"/>
        </w:rPr>
        <w:t>.</w:t>
      </w:r>
    </w:p>
    <w:p w14:paraId="7ACA9C65" w14:textId="77777777" w:rsidR="00ED6381" w:rsidRPr="00E01803" w:rsidRDefault="00ED6381"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202F94B0" w:rsidR="00E01803" w:rsidRDefault="00EE25FF" w:rsidP="00B76D00">
      <w:pPr>
        <w:jc w:val="both"/>
        <w:rPr>
          <w:rFonts w:ascii="Avenir Next" w:hAnsi="Avenir Next" w:cs="Arial"/>
          <w:color w:val="7B7B7B" w:themeColor="accent3" w:themeShade="BF"/>
          <w:sz w:val="22"/>
          <w:szCs w:val="22"/>
          <w:lang w:val="en-GB"/>
        </w:rPr>
      </w:pPr>
      <w:r w:rsidRPr="00EE25FF">
        <w:rPr>
          <w:rFonts w:ascii="Avenir Next" w:hAnsi="Avenir Next" w:cs="Arial"/>
          <w:color w:val="7B7B7B" w:themeColor="accent3" w:themeShade="BF"/>
          <w:sz w:val="22"/>
          <w:szCs w:val="22"/>
          <w:lang w:val="en-GB"/>
        </w:rPr>
        <w:t xml:space="preserve">Chapter 15 of the </w:t>
      </w:r>
      <w:r w:rsidR="00E86C6B">
        <w:rPr>
          <w:rFonts w:ascii="Avenir Next" w:hAnsi="Avenir Next" w:cs="Arial"/>
          <w:color w:val="7B7B7B" w:themeColor="accent3" w:themeShade="BF"/>
          <w:sz w:val="22"/>
          <w:szCs w:val="22"/>
          <w:lang w:val="en-GB"/>
        </w:rPr>
        <w:t xml:space="preserve">11 </w:t>
      </w:r>
      <w:r w:rsidRPr="00EE25FF">
        <w:rPr>
          <w:rFonts w:ascii="Avenir Next" w:hAnsi="Avenir Next" w:cs="Arial"/>
          <w:color w:val="7B7B7B" w:themeColor="accent3" w:themeShade="BF"/>
          <w:sz w:val="22"/>
          <w:szCs w:val="22"/>
          <w:lang w:val="en-GB"/>
        </w:rPr>
        <w:t xml:space="preserve">USC does not reproduce the </w:t>
      </w:r>
      <w:r>
        <w:rPr>
          <w:rFonts w:ascii="Avenir Next" w:hAnsi="Avenir Next" w:cs="Arial"/>
          <w:color w:val="7B7B7B" w:themeColor="accent3" w:themeShade="BF"/>
          <w:sz w:val="22"/>
          <w:szCs w:val="22"/>
          <w:lang w:val="en-GB"/>
        </w:rPr>
        <w:t xml:space="preserve">UNCITRAL </w:t>
      </w:r>
      <w:r w:rsidRPr="00EE25FF">
        <w:rPr>
          <w:rFonts w:ascii="Avenir Next" w:hAnsi="Avenir Next" w:cs="Arial"/>
          <w:color w:val="7B7B7B" w:themeColor="accent3" w:themeShade="BF"/>
          <w:sz w:val="22"/>
          <w:szCs w:val="22"/>
          <w:lang w:val="en-GB"/>
        </w:rPr>
        <w:t>Model Law</w:t>
      </w:r>
      <w:r>
        <w:rPr>
          <w:rFonts w:ascii="Avenir Next" w:hAnsi="Avenir Next" w:cs="Arial"/>
          <w:color w:val="7B7B7B" w:themeColor="accent3" w:themeShade="BF"/>
          <w:sz w:val="22"/>
          <w:szCs w:val="22"/>
          <w:lang w:val="en-GB"/>
        </w:rPr>
        <w:t xml:space="preserve"> </w:t>
      </w:r>
      <w:r w:rsidR="00B82983">
        <w:rPr>
          <w:rFonts w:ascii="Avenir Next" w:hAnsi="Avenir Next" w:cs="Arial"/>
          <w:color w:val="7B7B7B" w:themeColor="accent3" w:themeShade="BF"/>
          <w:sz w:val="22"/>
          <w:szCs w:val="22"/>
          <w:lang w:val="en-GB"/>
        </w:rPr>
        <w:t>on Cross-Border Insolvency (Model Law)</w:t>
      </w:r>
      <w:r w:rsidRPr="00EE25FF">
        <w:rPr>
          <w:rFonts w:ascii="Avenir Next" w:hAnsi="Avenir Next" w:cs="Arial"/>
          <w:color w:val="7B7B7B" w:themeColor="accent3" w:themeShade="BF"/>
          <w:sz w:val="22"/>
          <w:szCs w:val="22"/>
          <w:lang w:val="en-GB"/>
        </w:rPr>
        <w:t xml:space="preserve"> definition of “foreign representative”. According to Section 2(</w:t>
      </w:r>
      <w:r w:rsidR="00B76D00">
        <w:rPr>
          <w:rFonts w:ascii="Avenir Next" w:hAnsi="Avenir Next" w:cs="Arial"/>
          <w:color w:val="7B7B7B" w:themeColor="accent3" w:themeShade="BF"/>
          <w:sz w:val="22"/>
          <w:szCs w:val="22"/>
          <w:lang w:val="en-GB"/>
        </w:rPr>
        <w:t>d</w:t>
      </w:r>
      <w:r w:rsidRPr="00EE25FF">
        <w:rPr>
          <w:rFonts w:ascii="Avenir Next" w:hAnsi="Avenir Next" w:cs="Arial"/>
          <w:color w:val="7B7B7B" w:themeColor="accent3" w:themeShade="BF"/>
          <w:sz w:val="22"/>
          <w:szCs w:val="22"/>
          <w:lang w:val="en-GB"/>
        </w:rPr>
        <w:t>) of the Model Law, foreign representative</w:t>
      </w:r>
      <w:r w:rsidRPr="00EE25FF">
        <w:rPr>
          <w:rFonts w:ascii="Avenir Next" w:hAnsi="Avenir Next" w:cs="Arial"/>
          <w:color w:val="7B7B7B" w:themeColor="accent3" w:themeShade="BF"/>
          <w:sz w:val="22"/>
          <w:szCs w:val="22"/>
          <w:lang w:val="en-GB"/>
        </w:rPr>
        <w:t xml:space="preserve"> </w:t>
      </w:r>
      <w:r w:rsidR="00B97502">
        <w:rPr>
          <w:rFonts w:ascii="Avenir Next" w:hAnsi="Avenir Next" w:cs="Arial"/>
          <w:color w:val="7B7B7B" w:themeColor="accent3" w:themeShade="BF"/>
          <w:sz w:val="22"/>
          <w:szCs w:val="22"/>
          <w:lang w:val="en-GB"/>
        </w:rPr>
        <w:t>“</w:t>
      </w:r>
      <w:r w:rsidR="00B97502" w:rsidRPr="00B97502">
        <w:rPr>
          <w:rFonts w:ascii="Avenir Next" w:hAnsi="Avenir Next" w:cs="Arial"/>
          <w:color w:val="7B7B7B" w:themeColor="accent3" w:themeShade="BF"/>
          <w:sz w:val="22"/>
          <w:szCs w:val="22"/>
          <w:lang w:val="en-GB"/>
        </w:rPr>
        <w:t>means a person or body, including one</w:t>
      </w:r>
      <w:r w:rsidR="00B97502">
        <w:rPr>
          <w:rFonts w:ascii="Avenir Next" w:hAnsi="Avenir Next" w:cs="Arial"/>
          <w:color w:val="7B7B7B" w:themeColor="accent3" w:themeShade="BF"/>
          <w:sz w:val="22"/>
          <w:szCs w:val="22"/>
          <w:lang w:val="en-GB"/>
        </w:rPr>
        <w:t xml:space="preserve"> </w:t>
      </w:r>
      <w:r w:rsidR="00B97502" w:rsidRPr="00B97502">
        <w:rPr>
          <w:rFonts w:ascii="Avenir Next" w:hAnsi="Avenir Next" w:cs="Arial"/>
          <w:color w:val="7B7B7B" w:themeColor="accent3" w:themeShade="BF"/>
          <w:sz w:val="22"/>
          <w:szCs w:val="22"/>
          <w:lang w:val="en-GB"/>
        </w:rPr>
        <w:t>appointed on an interim basis, authorized in a foreign proceeding to administer the reorganization or the liquidation of the debtor’s assets or affairs or</w:t>
      </w:r>
      <w:r w:rsidR="00B97502">
        <w:rPr>
          <w:rFonts w:ascii="Avenir Next" w:hAnsi="Avenir Next" w:cs="Arial"/>
          <w:color w:val="7B7B7B" w:themeColor="accent3" w:themeShade="BF"/>
          <w:sz w:val="22"/>
          <w:szCs w:val="22"/>
          <w:lang w:val="en-GB"/>
        </w:rPr>
        <w:t xml:space="preserve"> </w:t>
      </w:r>
      <w:r w:rsidR="00B97502" w:rsidRPr="00B97502">
        <w:rPr>
          <w:rFonts w:ascii="Avenir Next" w:hAnsi="Avenir Next" w:cs="Arial"/>
          <w:color w:val="7B7B7B" w:themeColor="accent3" w:themeShade="BF"/>
          <w:sz w:val="22"/>
          <w:szCs w:val="22"/>
          <w:lang w:val="en-GB"/>
        </w:rPr>
        <w:t>to act as a representative of the foreign proceeding</w:t>
      </w:r>
      <w:r w:rsidR="00B97502">
        <w:rPr>
          <w:rFonts w:ascii="Avenir Next" w:hAnsi="Avenir Next" w:cs="Arial"/>
          <w:color w:val="7B7B7B" w:themeColor="accent3" w:themeShade="BF"/>
          <w:sz w:val="22"/>
          <w:szCs w:val="22"/>
          <w:lang w:val="en-GB"/>
        </w:rPr>
        <w:t xml:space="preserve">”. </w:t>
      </w:r>
    </w:p>
    <w:p w14:paraId="367442D0" w14:textId="77777777" w:rsidR="00B76D00" w:rsidRDefault="00B76D00" w:rsidP="00B76D00">
      <w:pPr>
        <w:jc w:val="both"/>
        <w:rPr>
          <w:rFonts w:ascii="Avenir Next" w:hAnsi="Avenir Next" w:cs="Arial"/>
          <w:color w:val="7B7B7B" w:themeColor="accent3" w:themeShade="BF"/>
          <w:sz w:val="22"/>
          <w:szCs w:val="22"/>
          <w:lang w:val="en-GB"/>
        </w:rPr>
      </w:pPr>
    </w:p>
    <w:p w14:paraId="56BD2562" w14:textId="296C7F94" w:rsidR="00B76D00" w:rsidRDefault="00527028" w:rsidP="00B76D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foreign representative can fi</w:t>
      </w:r>
      <w:r w:rsidR="00963923">
        <w:rPr>
          <w:rFonts w:ascii="Avenir Next" w:hAnsi="Avenir Next" w:cs="Arial"/>
          <w:color w:val="7B7B7B" w:themeColor="accent3" w:themeShade="BF"/>
          <w:sz w:val="22"/>
          <w:szCs w:val="22"/>
          <w:lang w:val="en-GB"/>
        </w:rPr>
        <w:t xml:space="preserve">le a petition under Chapter 15 of the </w:t>
      </w:r>
      <w:r w:rsidR="00E86C6B">
        <w:rPr>
          <w:rFonts w:ascii="Avenir Next" w:hAnsi="Avenir Next" w:cs="Arial"/>
          <w:color w:val="7B7B7B" w:themeColor="accent3" w:themeShade="BF"/>
          <w:sz w:val="22"/>
          <w:szCs w:val="22"/>
          <w:lang w:val="en-GB"/>
        </w:rPr>
        <w:t xml:space="preserve">11 </w:t>
      </w:r>
      <w:r w:rsidR="00963923">
        <w:rPr>
          <w:rFonts w:ascii="Avenir Next" w:hAnsi="Avenir Next" w:cs="Arial"/>
          <w:color w:val="7B7B7B" w:themeColor="accent3" w:themeShade="BF"/>
          <w:sz w:val="22"/>
          <w:szCs w:val="22"/>
          <w:lang w:val="en-GB"/>
        </w:rPr>
        <w:t xml:space="preserve">USC for recognition of a </w:t>
      </w:r>
      <w:r w:rsidR="0033040E">
        <w:rPr>
          <w:rFonts w:ascii="Avenir Next" w:hAnsi="Avenir Next" w:cs="Arial"/>
          <w:color w:val="7B7B7B" w:themeColor="accent3" w:themeShade="BF"/>
          <w:sz w:val="22"/>
          <w:szCs w:val="22"/>
          <w:lang w:val="en-GB"/>
        </w:rPr>
        <w:t xml:space="preserve">foreign proceeding. </w:t>
      </w:r>
      <w:r w:rsidR="007344C3" w:rsidRPr="007344C3">
        <w:rPr>
          <w:rFonts w:ascii="Avenir Next" w:hAnsi="Avenir Next" w:cs="Arial"/>
          <w:color w:val="7B7B7B" w:themeColor="accent3" w:themeShade="BF"/>
          <w:sz w:val="22"/>
          <w:szCs w:val="22"/>
          <w:lang w:val="en-GB"/>
        </w:rPr>
        <w:t xml:space="preserve">In this moment, the foreign representative can request </w:t>
      </w:r>
      <w:r w:rsidR="007344C3" w:rsidRPr="007344C3">
        <w:rPr>
          <w:rFonts w:ascii="Avenir Next" w:hAnsi="Avenir Next" w:cs="Arial"/>
          <w:color w:val="7B7B7B" w:themeColor="accent3" w:themeShade="BF"/>
          <w:sz w:val="22"/>
          <w:szCs w:val="22"/>
          <w:lang w:val="en-GB"/>
        </w:rPr>
        <w:t>relief where</w:t>
      </w:r>
      <w:r w:rsidR="007344C3" w:rsidRPr="007344C3">
        <w:rPr>
          <w:rFonts w:ascii="Avenir Next" w:hAnsi="Avenir Next" w:cs="Arial"/>
          <w:color w:val="7B7B7B" w:themeColor="accent3" w:themeShade="BF"/>
          <w:sz w:val="22"/>
          <w:szCs w:val="22"/>
          <w:lang w:val="en-GB"/>
        </w:rPr>
        <w:t xml:space="preserve"> it is urgently </w:t>
      </w:r>
      <w:r w:rsidR="007344C3" w:rsidRPr="007344C3">
        <w:rPr>
          <w:rFonts w:ascii="Avenir Next" w:hAnsi="Avenir Next" w:cs="Arial"/>
          <w:color w:val="7B7B7B" w:themeColor="accent3" w:themeShade="BF"/>
          <w:sz w:val="22"/>
          <w:szCs w:val="22"/>
          <w:lang w:val="en-GB"/>
        </w:rPr>
        <w:lastRenderedPageBreak/>
        <w:t>needed to protect the assets of the debtor or the interests of the creditors. The court may grant relief in terms o</w:t>
      </w:r>
      <w:r w:rsidR="007344C3">
        <w:rPr>
          <w:rFonts w:ascii="Avenir Next" w:hAnsi="Avenir Next" w:cs="Arial"/>
          <w:color w:val="7B7B7B" w:themeColor="accent3" w:themeShade="BF"/>
          <w:sz w:val="22"/>
          <w:szCs w:val="22"/>
          <w:lang w:val="en-GB"/>
        </w:rPr>
        <w:t>f</w:t>
      </w:r>
      <w:r w:rsidR="007344C3" w:rsidRPr="007344C3">
        <w:rPr>
          <w:rFonts w:ascii="Avenir Next" w:hAnsi="Avenir Next" w:cs="Arial"/>
          <w:color w:val="7B7B7B" w:themeColor="accent3" w:themeShade="BF"/>
          <w:sz w:val="22"/>
          <w:szCs w:val="22"/>
          <w:lang w:val="en-GB"/>
        </w:rPr>
        <w:t xml:space="preserve"> § 1519(a) of the USC.</w:t>
      </w:r>
      <w:r w:rsidR="007344C3">
        <w:rPr>
          <w:rFonts w:ascii="Avenir Next" w:hAnsi="Avenir Next" w:cs="Arial"/>
          <w:color w:val="7B7B7B" w:themeColor="accent3" w:themeShade="BF"/>
          <w:sz w:val="22"/>
          <w:szCs w:val="22"/>
          <w:lang w:val="en-GB"/>
        </w:rPr>
        <w:t xml:space="preserve"> </w:t>
      </w:r>
      <w:r w:rsidR="00E77BF3">
        <w:rPr>
          <w:rFonts w:ascii="Avenir Next" w:hAnsi="Avenir Next" w:cs="Arial"/>
          <w:color w:val="7B7B7B" w:themeColor="accent3" w:themeShade="BF"/>
          <w:sz w:val="22"/>
          <w:szCs w:val="22"/>
          <w:lang w:val="en-GB"/>
        </w:rPr>
        <w:t xml:space="preserve">The </w:t>
      </w:r>
      <w:r w:rsidR="00E77BF3" w:rsidRPr="00E77BF3">
        <w:rPr>
          <w:rFonts w:ascii="Avenir Next" w:hAnsi="Avenir Next" w:cs="Arial"/>
          <w:color w:val="7B7B7B" w:themeColor="accent3" w:themeShade="BF"/>
          <w:sz w:val="22"/>
          <w:szCs w:val="22"/>
          <w:lang w:val="en-GB"/>
        </w:rPr>
        <w:t>relief of a provisional nature, including</w:t>
      </w:r>
      <w:r w:rsidR="00E77BF3">
        <w:rPr>
          <w:rFonts w:ascii="Avenir Next" w:hAnsi="Avenir Next" w:cs="Arial"/>
          <w:color w:val="7B7B7B" w:themeColor="accent3" w:themeShade="BF"/>
          <w:sz w:val="22"/>
          <w:szCs w:val="22"/>
          <w:lang w:val="en-GB"/>
        </w:rPr>
        <w:t xml:space="preserve"> (a) </w:t>
      </w:r>
      <w:r w:rsidR="00AD6CAC">
        <w:rPr>
          <w:rFonts w:ascii="Avenir Next" w:hAnsi="Avenir Next" w:cs="Arial"/>
          <w:color w:val="7B7B7B" w:themeColor="accent3" w:themeShade="BF"/>
          <w:sz w:val="22"/>
          <w:szCs w:val="22"/>
          <w:lang w:val="en-GB"/>
        </w:rPr>
        <w:t>“</w:t>
      </w:r>
      <w:r w:rsidR="00DA0FAB" w:rsidRPr="00DA0FAB">
        <w:rPr>
          <w:rFonts w:ascii="Avenir Next" w:hAnsi="Avenir Next" w:cs="Arial"/>
          <w:color w:val="7B7B7B" w:themeColor="accent3" w:themeShade="BF"/>
          <w:sz w:val="22"/>
          <w:szCs w:val="22"/>
          <w:lang w:val="en-GB"/>
        </w:rPr>
        <w:t>staying execution against the debtor’s assets</w:t>
      </w:r>
      <w:r w:rsidR="00AD6CAC">
        <w:rPr>
          <w:rFonts w:ascii="Avenir Next" w:hAnsi="Avenir Next" w:cs="Arial"/>
          <w:color w:val="7B7B7B" w:themeColor="accent3" w:themeShade="BF"/>
          <w:sz w:val="22"/>
          <w:szCs w:val="22"/>
          <w:lang w:val="en-GB"/>
        </w:rPr>
        <w:t>”</w:t>
      </w:r>
      <w:r w:rsidR="00DA0FAB" w:rsidRPr="00DA0FAB">
        <w:rPr>
          <w:rFonts w:ascii="Avenir Next" w:hAnsi="Avenir Next" w:cs="Arial"/>
          <w:color w:val="7B7B7B" w:themeColor="accent3" w:themeShade="BF"/>
          <w:sz w:val="22"/>
          <w:szCs w:val="22"/>
          <w:lang w:val="en-GB"/>
        </w:rPr>
        <w:t>;</w:t>
      </w:r>
      <w:r w:rsidR="00DA0FAB">
        <w:rPr>
          <w:rStyle w:val="Refdenotaderodap"/>
          <w:rFonts w:ascii="Avenir Next" w:hAnsi="Avenir Next" w:cs="Arial"/>
          <w:color w:val="7B7B7B" w:themeColor="accent3" w:themeShade="BF"/>
          <w:sz w:val="22"/>
          <w:szCs w:val="22"/>
          <w:lang w:val="en-GB"/>
        </w:rPr>
        <w:footnoteReference w:id="19"/>
      </w:r>
      <w:r w:rsidR="000123EC">
        <w:rPr>
          <w:rFonts w:ascii="Avenir Next" w:hAnsi="Avenir Next" w:cs="Arial"/>
          <w:color w:val="7B7B7B" w:themeColor="accent3" w:themeShade="BF"/>
          <w:sz w:val="22"/>
          <w:szCs w:val="22"/>
          <w:lang w:val="en-GB"/>
        </w:rPr>
        <w:t xml:space="preserve"> (b) </w:t>
      </w:r>
      <w:r w:rsidR="00AD6CAC">
        <w:rPr>
          <w:rFonts w:ascii="Avenir Next" w:hAnsi="Avenir Next" w:cs="Arial"/>
          <w:color w:val="7B7B7B" w:themeColor="accent3" w:themeShade="BF"/>
          <w:sz w:val="22"/>
          <w:szCs w:val="22"/>
          <w:lang w:val="en-GB"/>
        </w:rPr>
        <w:t>“</w:t>
      </w:r>
      <w:r w:rsidR="000123EC" w:rsidRPr="000123EC">
        <w:rPr>
          <w:rFonts w:ascii="Avenir Next" w:hAnsi="Avenir Next" w:cs="Arial"/>
          <w:color w:val="7B7B7B" w:themeColor="accent3" w:themeShade="BF"/>
          <w:sz w:val="22"/>
          <w:szCs w:val="22"/>
          <w:lang w:val="en-GB"/>
        </w:rPr>
        <w:t>entrusting the administration or realization of all or part of the debtor’s assets located in the United States to the foreign representative or another person authorized by the court</w:t>
      </w:r>
      <w:r w:rsidR="009B564C">
        <w:rPr>
          <w:rFonts w:ascii="Avenir Next" w:hAnsi="Avenir Next" w:cs="Arial"/>
          <w:color w:val="7B7B7B" w:themeColor="accent3" w:themeShade="BF"/>
          <w:sz w:val="22"/>
          <w:szCs w:val="22"/>
          <w:lang w:val="en-GB"/>
        </w:rPr>
        <w:t>”</w:t>
      </w:r>
      <w:r w:rsidR="000123EC" w:rsidRPr="000123EC">
        <w:rPr>
          <w:rFonts w:ascii="Avenir Next" w:hAnsi="Avenir Next" w:cs="Arial"/>
          <w:color w:val="7B7B7B" w:themeColor="accent3" w:themeShade="BF"/>
          <w:sz w:val="22"/>
          <w:szCs w:val="22"/>
          <w:lang w:val="en-GB"/>
        </w:rPr>
        <w:t>;</w:t>
      </w:r>
      <w:r w:rsidR="000123EC">
        <w:rPr>
          <w:rStyle w:val="Refdenotaderodap"/>
          <w:rFonts w:ascii="Avenir Next" w:hAnsi="Avenir Next" w:cs="Arial"/>
          <w:color w:val="7B7B7B" w:themeColor="accent3" w:themeShade="BF"/>
          <w:sz w:val="22"/>
          <w:szCs w:val="22"/>
          <w:lang w:val="en-GB"/>
        </w:rPr>
        <w:footnoteReference w:id="20"/>
      </w:r>
      <w:r w:rsidR="00E06AF1">
        <w:rPr>
          <w:rFonts w:ascii="Avenir Next" w:hAnsi="Avenir Next" w:cs="Arial"/>
          <w:color w:val="7B7B7B" w:themeColor="accent3" w:themeShade="BF"/>
          <w:sz w:val="22"/>
          <w:szCs w:val="22"/>
          <w:lang w:val="en-GB"/>
        </w:rPr>
        <w:t xml:space="preserve"> (c) </w:t>
      </w:r>
      <w:r w:rsidR="009B564C">
        <w:rPr>
          <w:rFonts w:ascii="Avenir Next" w:hAnsi="Avenir Next" w:cs="Arial"/>
          <w:color w:val="7B7B7B" w:themeColor="accent3" w:themeShade="BF"/>
          <w:sz w:val="22"/>
          <w:szCs w:val="22"/>
          <w:lang w:val="en-GB"/>
        </w:rPr>
        <w:t>“</w:t>
      </w:r>
      <w:r w:rsidR="00E06AF1" w:rsidRPr="00E06AF1">
        <w:rPr>
          <w:rFonts w:ascii="Avenir Next" w:hAnsi="Avenir Next" w:cs="Arial"/>
          <w:color w:val="7B7B7B" w:themeColor="accent3" w:themeShade="BF"/>
          <w:sz w:val="22"/>
          <w:szCs w:val="22"/>
          <w:lang w:val="en-GB"/>
        </w:rPr>
        <w:t>suspending the right to transfer, encumber or otherwise dispose of any assets of the debtor</w:t>
      </w:r>
      <w:r w:rsidR="009B564C">
        <w:rPr>
          <w:rFonts w:ascii="Avenir Next" w:hAnsi="Avenir Next" w:cs="Arial"/>
          <w:color w:val="7B7B7B" w:themeColor="accent3" w:themeShade="BF"/>
          <w:sz w:val="22"/>
          <w:szCs w:val="22"/>
          <w:lang w:val="en-GB"/>
        </w:rPr>
        <w:t>”</w:t>
      </w:r>
      <w:r w:rsidR="00E06AF1">
        <w:rPr>
          <w:rFonts w:ascii="Avenir Next" w:hAnsi="Avenir Next" w:cs="Arial"/>
          <w:color w:val="7B7B7B" w:themeColor="accent3" w:themeShade="BF"/>
          <w:sz w:val="22"/>
          <w:szCs w:val="22"/>
          <w:lang w:val="en-GB"/>
        </w:rPr>
        <w:t>;</w:t>
      </w:r>
      <w:r w:rsidR="00E06AF1">
        <w:rPr>
          <w:rStyle w:val="Refdenotaderodap"/>
          <w:rFonts w:ascii="Avenir Next" w:hAnsi="Avenir Next" w:cs="Arial"/>
          <w:color w:val="7B7B7B" w:themeColor="accent3" w:themeShade="BF"/>
          <w:sz w:val="22"/>
          <w:szCs w:val="22"/>
          <w:lang w:val="en-GB"/>
        </w:rPr>
        <w:footnoteReference w:id="21"/>
      </w:r>
      <w:r w:rsidR="009B564C">
        <w:rPr>
          <w:rFonts w:ascii="Avenir Next" w:hAnsi="Avenir Next" w:cs="Arial"/>
          <w:color w:val="7B7B7B" w:themeColor="accent3" w:themeShade="BF"/>
          <w:sz w:val="22"/>
          <w:szCs w:val="22"/>
          <w:lang w:val="en-GB"/>
        </w:rPr>
        <w:t xml:space="preserve"> </w:t>
      </w:r>
      <w:r w:rsidR="00BD0538">
        <w:rPr>
          <w:rFonts w:ascii="Avenir Next" w:hAnsi="Avenir Next" w:cs="Arial"/>
          <w:color w:val="7B7B7B" w:themeColor="accent3" w:themeShade="BF"/>
          <w:sz w:val="22"/>
          <w:szCs w:val="22"/>
          <w:lang w:val="en-GB"/>
        </w:rPr>
        <w:t xml:space="preserve">(d) </w:t>
      </w:r>
      <w:r w:rsidR="00F70AD2">
        <w:rPr>
          <w:rFonts w:ascii="Avenir Next" w:hAnsi="Avenir Next" w:cs="Arial"/>
          <w:color w:val="7B7B7B" w:themeColor="accent3" w:themeShade="BF"/>
          <w:sz w:val="22"/>
          <w:szCs w:val="22"/>
          <w:lang w:val="en-GB"/>
        </w:rPr>
        <w:t>“</w:t>
      </w:r>
      <w:r w:rsidR="00F70AD2" w:rsidRPr="00F70AD2">
        <w:rPr>
          <w:rFonts w:ascii="Avenir Next" w:hAnsi="Avenir Next"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r w:rsidR="00F70AD2">
        <w:rPr>
          <w:rFonts w:ascii="Avenir Next" w:hAnsi="Avenir Next" w:cs="Arial"/>
          <w:color w:val="7B7B7B" w:themeColor="accent3" w:themeShade="BF"/>
          <w:sz w:val="22"/>
          <w:szCs w:val="22"/>
          <w:lang w:val="en-GB"/>
        </w:rPr>
        <w:t>”</w:t>
      </w:r>
      <w:r w:rsidR="00F70AD2" w:rsidRPr="00F70AD2">
        <w:rPr>
          <w:rFonts w:ascii="Avenir Next" w:hAnsi="Avenir Next" w:cs="Arial"/>
          <w:color w:val="7B7B7B" w:themeColor="accent3" w:themeShade="BF"/>
          <w:sz w:val="22"/>
          <w:szCs w:val="22"/>
          <w:lang w:val="en-GB"/>
        </w:rPr>
        <w:t>;</w:t>
      </w:r>
      <w:r w:rsidR="00F70AD2">
        <w:rPr>
          <w:rStyle w:val="Refdenotaderodap"/>
          <w:rFonts w:ascii="Avenir Next" w:hAnsi="Avenir Next" w:cs="Arial"/>
          <w:color w:val="7B7B7B" w:themeColor="accent3" w:themeShade="BF"/>
          <w:sz w:val="22"/>
          <w:szCs w:val="22"/>
          <w:lang w:val="en-GB"/>
        </w:rPr>
        <w:footnoteReference w:id="22"/>
      </w:r>
      <w:r w:rsidR="00F70AD2">
        <w:rPr>
          <w:rFonts w:ascii="Avenir Next" w:hAnsi="Avenir Next" w:cs="Arial"/>
          <w:color w:val="7B7B7B" w:themeColor="accent3" w:themeShade="BF"/>
          <w:sz w:val="22"/>
          <w:szCs w:val="22"/>
          <w:lang w:val="en-GB"/>
        </w:rPr>
        <w:t xml:space="preserve"> and (e) </w:t>
      </w:r>
      <w:r w:rsidR="0063586D">
        <w:rPr>
          <w:rFonts w:ascii="Avenir Next" w:hAnsi="Avenir Next" w:cs="Arial"/>
          <w:color w:val="7B7B7B" w:themeColor="accent3" w:themeShade="BF"/>
          <w:sz w:val="22"/>
          <w:szCs w:val="22"/>
          <w:lang w:val="en-GB"/>
        </w:rPr>
        <w:t>“</w:t>
      </w:r>
      <w:r w:rsidR="0063586D" w:rsidRPr="0063586D">
        <w:rPr>
          <w:rFonts w:ascii="Avenir Next" w:hAnsi="Avenir Next" w:cs="Arial"/>
          <w:color w:val="7B7B7B" w:themeColor="accent3" w:themeShade="BF"/>
          <w:sz w:val="22"/>
          <w:szCs w:val="22"/>
          <w:lang w:val="en-GB"/>
        </w:rPr>
        <w:t>granting any additional relief that may be available to a trustee, except for relief available under sections 522, 544, 545, 547, 548, 550, and 724(a)</w:t>
      </w:r>
      <w:r w:rsidR="0063586D">
        <w:rPr>
          <w:rFonts w:ascii="Avenir Next" w:hAnsi="Avenir Next" w:cs="Arial"/>
          <w:color w:val="7B7B7B" w:themeColor="accent3" w:themeShade="BF"/>
          <w:sz w:val="22"/>
          <w:szCs w:val="22"/>
          <w:lang w:val="en-GB"/>
        </w:rPr>
        <w:t>”.</w:t>
      </w:r>
      <w:r w:rsidR="0063586D">
        <w:rPr>
          <w:rStyle w:val="Refdenotaderodap"/>
          <w:rFonts w:ascii="Avenir Next" w:hAnsi="Avenir Next" w:cs="Arial"/>
          <w:color w:val="7B7B7B" w:themeColor="accent3" w:themeShade="BF"/>
          <w:sz w:val="22"/>
          <w:szCs w:val="22"/>
          <w:lang w:val="en-GB"/>
        </w:rPr>
        <w:footnoteReference w:id="23"/>
      </w:r>
      <w:r w:rsidR="00962914">
        <w:rPr>
          <w:rFonts w:ascii="Avenir Next" w:hAnsi="Avenir Next" w:cs="Arial"/>
          <w:color w:val="7B7B7B" w:themeColor="accent3" w:themeShade="BF"/>
          <w:sz w:val="22"/>
          <w:szCs w:val="22"/>
          <w:lang w:val="en-GB"/>
        </w:rPr>
        <w:t xml:space="preserve"> </w:t>
      </w:r>
      <w:r w:rsidR="00962914" w:rsidRPr="00962914">
        <w:rPr>
          <w:rFonts w:ascii="Avenir Next" w:hAnsi="Avenir Next" w:cs="Arial"/>
          <w:color w:val="7B7B7B" w:themeColor="accent3" w:themeShade="BF"/>
          <w:sz w:val="22"/>
          <w:szCs w:val="22"/>
          <w:lang w:val="en-GB"/>
        </w:rPr>
        <w:t>This applies both in the case of a</w:t>
      </w:r>
      <w:r w:rsidR="00B809BD">
        <w:rPr>
          <w:rFonts w:ascii="Avenir Next" w:hAnsi="Avenir Next" w:cs="Arial"/>
          <w:color w:val="7B7B7B" w:themeColor="accent3" w:themeShade="BF"/>
          <w:sz w:val="22"/>
          <w:szCs w:val="22"/>
          <w:lang w:val="en-GB"/>
        </w:rPr>
        <w:t xml:space="preserve"> petition </w:t>
      </w:r>
      <w:r w:rsidR="00962914" w:rsidRPr="00962914">
        <w:rPr>
          <w:rFonts w:ascii="Avenir Next" w:hAnsi="Avenir Next" w:cs="Arial"/>
          <w:color w:val="7B7B7B" w:themeColor="accent3" w:themeShade="BF"/>
          <w:sz w:val="22"/>
          <w:szCs w:val="22"/>
          <w:lang w:val="en-GB"/>
        </w:rPr>
        <w:t xml:space="preserve">for recognition of a </w:t>
      </w:r>
      <w:r w:rsidR="00B809BD">
        <w:rPr>
          <w:rFonts w:ascii="Avenir Next" w:hAnsi="Avenir Next" w:cs="Arial"/>
          <w:color w:val="7B7B7B" w:themeColor="accent3" w:themeShade="BF"/>
          <w:sz w:val="22"/>
          <w:szCs w:val="22"/>
          <w:lang w:val="en-GB"/>
        </w:rPr>
        <w:t xml:space="preserve">foreign </w:t>
      </w:r>
      <w:r w:rsidR="00962914" w:rsidRPr="00962914">
        <w:rPr>
          <w:rFonts w:ascii="Avenir Next" w:hAnsi="Avenir Next" w:cs="Arial"/>
          <w:color w:val="7B7B7B" w:themeColor="accent3" w:themeShade="BF"/>
          <w:sz w:val="22"/>
          <w:szCs w:val="22"/>
          <w:lang w:val="en-GB"/>
        </w:rPr>
        <w:t>main proce</w:t>
      </w:r>
      <w:r w:rsidR="00B809BD">
        <w:rPr>
          <w:rFonts w:ascii="Avenir Next" w:hAnsi="Avenir Next" w:cs="Arial"/>
          <w:color w:val="7B7B7B" w:themeColor="accent3" w:themeShade="BF"/>
          <w:sz w:val="22"/>
          <w:szCs w:val="22"/>
          <w:lang w:val="en-GB"/>
        </w:rPr>
        <w:t>eding</w:t>
      </w:r>
      <w:r w:rsidR="00962914" w:rsidRPr="00962914">
        <w:rPr>
          <w:rFonts w:ascii="Avenir Next" w:hAnsi="Avenir Next" w:cs="Arial"/>
          <w:color w:val="7B7B7B" w:themeColor="accent3" w:themeShade="BF"/>
          <w:sz w:val="22"/>
          <w:szCs w:val="22"/>
          <w:lang w:val="en-GB"/>
        </w:rPr>
        <w:t xml:space="preserve"> and a </w:t>
      </w:r>
      <w:r w:rsidR="00F4313D">
        <w:rPr>
          <w:rFonts w:ascii="Avenir Next" w:hAnsi="Avenir Next" w:cs="Arial"/>
          <w:color w:val="7B7B7B" w:themeColor="accent3" w:themeShade="BF"/>
          <w:sz w:val="22"/>
          <w:szCs w:val="22"/>
          <w:lang w:val="en-GB"/>
        </w:rPr>
        <w:t xml:space="preserve">foreign </w:t>
      </w:r>
      <w:r w:rsidR="00962914" w:rsidRPr="00962914">
        <w:rPr>
          <w:rFonts w:ascii="Avenir Next" w:hAnsi="Avenir Next" w:cs="Arial"/>
          <w:color w:val="7B7B7B" w:themeColor="accent3" w:themeShade="BF"/>
          <w:sz w:val="22"/>
          <w:szCs w:val="22"/>
          <w:lang w:val="en-GB"/>
        </w:rPr>
        <w:t xml:space="preserve">non-main </w:t>
      </w:r>
      <w:r w:rsidR="00F4313D">
        <w:rPr>
          <w:rFonts w:ascii="Avenir Next" w:hAnsi="Avenir Next" w:cs="Arial"/>
          <w:color w:val="7B7B7B" w:themeColor="accent3" w:themeShade="BF"/>
          <w:sz w:val="22"/>
          <w:szCs w:val="22"/>
          <w:lang w:val="en-GB"/>
        </w:rPr>
        <w:t>proceeding</w:t>
      </w:r>
      <w:r w:rsidR="00962914" w:rsidRPr="00962914">
        <w:rPr>
          <w:rFonts w:ascii="Avenir Next" w:hAnsi="Avenir Next" w:cs="Arial"/>
          <w:color w:val="7B7B7B" w:themeColor="accent3" w:themeShade="BF"/>
          <w:sz w:val="22"/>
          <w:szCs w:val="22"/>
          <w:lang w:val="en-GB"/>
        </w:rPr>
        <w:t>.</w:t>
      </w:r>
    </w:p>
    <w:p w14:paraId="28F4FD11" w14:textId="77777777" w:rsidR="0063586D" w:rsidRDefault="0063586D" w:rsidP="00B76D00">
      <w:pPr>
        <w:jc w:val="both"/>
        <w:rPr>
          <w:rFonts w:ascii="Avenir Next" w:hAnsi="Avenir Next" w:cs="Arial"/>
          <w:color w:val="7B7B7B" w:themeColor="accent3" w:themeShade="BF"/>
          <w:sz w:val="22"/>
          <w:szCs w:val="22"/>
          <w:lang w:val="en-GB"/>
        </w:rPr>
      </w:pPr>
    </w:p>
    <w:p w14:paraId="7FB9E2FB" w14:textId="7DED3463" w:rsidR="0063586D" w:rsidRDefault="00360E58" w:rsidP="00B76D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main proceeding is defined as “</w:t>
      </w:r>
      <w:r w:rsidRPr="00360E58">
        <w:rPr>
          <w:rFonts w:ascii="Avenir Next" w:hAnsi="Avenir Next" w:cs="Arial"/>
          <w:color w:val="7B7B7B" w:themeColor="accent3" w:themeShade="BF"/>
          <w:sz w:val="22"/>
          <w:szCs w:val="22"/>
          <w:lang w:val="en-GB"/>
        </w:rPr>
        <w:t xml:space="preserve">a foreign proceeding pending in the country where the debtor has the </w:t>
      </w:r>
      <w:proofErr w:type="spellStart"/>
      <w:r w:rsidRPr="00360E58">
        <w:rPr>
          <w:rFonts w:ascii="Avenir Next" w:hAnsi="Avenir Next" w:cs="Arial"/>
          <w:color w:val="7B7B7B" w:themeColor="accent3" w:themeShade="BF"/>
          <w:sz w:val="22"/>
          <w:szCs w:val="22"/>
          <w:lang w:val="en-GB"/>
        </w:rPr>
        <w:t>center</w:t>
      </w:r>
      <w:proofErr w:type="spellEnd"/>
      <w:r w:rsidRPr="00360E58">
        <w:rPr>
          <w:rFonts w:ascii="Avenir Next" w:hAnsi="Avenir Next" w:cs="Arial"/>
          <w:color w:val="7B7B7B" w:themeColor="accent3" w:themeShade="BF"/>
          <w:sz w:val="22"/>
          <w:szCs w:val="22"/>
          <w:lang w:val="en-GB"/>
        </w:rPr>
        <w:t xml:space="preserve"> of its main interests</w:t>
      </w:r>
      <w:r>
        <w:rPr>
          <w:rFonts w:ascii="Avenir Next" w:hAnsi="Avenir Next" w:cs="Arial"/>
          <w:color w:val="7B7B7B" w:themeColor="accent3" w:themeShade="BF"/>
          <w:sz w:val="22"/>
          <w:szCs w:val="22"/>
          <w:lang w:val="en-GB"/>
        </w:rPr>
        <w:t>”</w:t>
      </w:r>
      <w:r w:rsidR="00572473">
        <w:rPr>
          <w:rFonts w:ascii="Avenir Next" w:hAnsi="Avenir Next" w:cs="Arial"/>
          <w:color w:val="7B7B7B" w:themeColor="accent3" w:themeShade="BF"/>
          <w:sz w:val="22"/>
          <w:szCs w:val="22"/>
          <w:lang w:val="en-GB"/>
        </w:rPr>
        <w:t>.</w:t>
      </w:r>
      <w:r w:rsidR="00572473">
        <w:rPr>
          <w:rStyle w:val="Refdenotaderodap"/>
          <w:rFonts w:ascii="Avenir Next" w:hAnsi="Avenir Next" w:cs="Arial"/>
          <w:color w:val="7B7B7B" w:themeColor="accent3" w:themeShade="BF"/>
          <w:sz w:val="22"/>
          <w:szCs w:val="22"/>
          <w:lang w:val="en-GB"/>
        </w:rPr>
        <w:footnoteReference w:id="24"/>
      </w:r>
      <w:r>
        <w:rPr>
          <w:rFonts w:ascii="Avenir Next" w:hAnsi="Avenir Next" w:cs="Arial"/>
          <w:color w:val="7B7B7B" w:themeColor="accent3" w:themeShade="BF"/>
          <w:sz w:val="22"/>
          <w:szCs w:val="22"/>
          <w:lang w:val="en-GB"/>
        </w:rPr>
        <w:t xml:space="preserve"> </w:t>
      </w:r>
      <w:r w:rsidR="007813D4" w:rsidRPr="007813D4">
        <w:rPr>
          <w:rFonts w:ascii="Avenir Next" w:hAnsi="Avenir Next" w:cs="Arial"/>
          <w:color w:val="7B7B7B" w:themeColor="accent3" w:themeShade="BF"/>
          <w:sz w:val="22"/>
          <w:szCs w:val="22"/>
          <w:lang w:val="en-GB"/>
        </w:rPr>
        <w:t>When a U.S. court recognizes a primary foreign proceeding, the following provisions</w:t>
      </w:r>
      <w:r w:rsidR="00D5792B">
        <w:rPr>
          <w:rFonts w:ascii="Avenir Next" w:hAnsi="Avenir Next" w:cs="Arial"/>
          <w:color w:val="7B7B7B" w:themeColor="accent3" w:themeShade="BF"/>
          <w:sz w:val="22"/>
          <w:szCs w:val="22"/>
          <w:lang w:val="en-GB"/>
        </w:rPr>
        <w:t xml:space="preserve"> of the Bankruptcy Code</w:t>
      </w:r>
      <w:r w:rsidR="007813D4" w:rsidRPr="007813D4">
        <w:rPr>
          <w:rFonts w:ascii="Avenir Next" w:hAnsi="Avenir Next" w:cs="Arial"/>
          <w:color w:val="7B7B7B" w:themeColor="accent3" w:themeShade="BF"/>
          <w:sz w:val="22"/>
          <w:szCs w:val="22"/>
          <w:lang w:val="en-GB"/>
        </w:rPr>
        <w:t xml:space="preserve"> are automatically applied:</w:t>
      </w:r>
      <w:r w:rsidR="00D5792B">
        <w:rPr>
          <w:rFonts w:ascii="Avenir Next" w:hAnsi="Avenir Next" w:cs="Arial"/>
          <w:color w:val="7B7B7B" w:themeColor="accent3" w:themeShade="BF"/>
          <w:sz w:val="22"/>
          <w:szCs w:val="22"/>
          <w:lang w:val="en-GB"/>
        </w:rPr>
        <w:t xml:space="preserve"> </w:t>
      </w:r>
      <w:r w:rsidR="00FC6583">
        <w:rPr>
          <w:rFonts w:ascii="Avenir Next" w:hAnsi="Avenir Next" w:cs="Arial"/>
          <w:color w:val="7B7B7B" w:themeColor="accent3" w:themeShade="BF"/>
          <w:sz w:val="22"/>
          <w:szCs w:val="22"/>
          <w:lang w:val="en-GB"/>
        </w:rPr>
        <w:t xml:space="preserve">(a) </w:t>
      </w:r>
      <w:r w:rsidR="001C0682">
        <w:rPr>
          <w:rFonts w:ascii="Avenir Next" w:hAnsi="Avenir Next" w:cs="Arial"/>
          <w:color w:val="7B7B7B" w:themeColor="accent3" w:themeShade="BF"/>
          <w:sz w:val="22"/>
          <w:szCs w:val="22"/>
          <w:lang w:val="en-GB"/>
        </w:rPr>
        <w:t>“</w:t>
      </w:r>
      <w:r w:rsidR="00FC6583" w:rsidRPr="00FC6583">
        <w:rPr>
          <w:rFonts w:ascii="Avenir Next" w:hAnsi="Avenir Next" w:cs="Arial"/>
          <w:color w:val="7B7B7B" w:themeColor="accent3" w:themeShade="BF"/>
          <w:sz w:val="22"/>
          <w:szCs w:val="22"/>
          <w:lang w:val="en-GB"/>
        </w:rPr>
        <w:t>automatic stay</w:t>
      </w:r>
      <w:r w:rsidR="001C0682">
        <w:rPr>
          <w:rFonts w:ascii="Avenir Next" w:hAnsi="Avenir Next" w:cs="Arial"/>
          <w:color w:val="7B7B7B" w:themeColor="accent3" w:themeShade="BF"/>
          <w:sz w:val="22"/>
          <w:szCs w:val="22"/>
          <w:lang w:val="en-GB"/>
        </w:rPr>
        <w:t>”</w:t>
      </w:r>
      <w:r w:rsidR="00FC6583" w:rsidRPr="00FC6583">
        <w:rPr>
          <w:rFonts w:ascii="Avenir Next" w:hAnsi="Avenir Next" w:cs="Arial"/>
          <w:color w:val="7B7B7B" w:themeColor="accent3" w:themeShade="BF"/>
          <w:sz w:val="22"/>
          <w:szCs w:val="22"/>
          <w:lang w:val="en-GB"/>
        </w:rPr>
        <w:t>;</w:t>
      </w:r>
      <w:r w:rsidR="00E416A9">
        <w:rPr>
          <w:rStyle w:val="Refdenotaderodap"/>
          <w:rFonts w:ascii="Avenir Next" w:hAnsi="Avenir Next" w:cs="Arial"/>
          <w:color w:val="7B7B7B" w:themeColor="accent3" w:themeShade="BF"/>
          <w:sz w:val="22"/>
          <w:szCs w:val="22"/>
          <w:lang w:val="en-GB"/>
        </w:rPr>
        <w:footnoteReference w:id="25"/>
      </w:r>
      <w:r w:rsidR="00FC6583">
        <w:rPr>
          <w:rFonts w:ascii="Avenir Next" w:hAnsi="Avenir Next" w:cs="Arial"/>
          <w:color w:val="7B7B7B" w:themeColor="accent3" w:themeShade="BF"/>
          <w:sz w:val="22"/>
          <w:szCs w:val="22"/>
          <w:lang w:val="en-GB"/>
        </w:rPr>
        <w:t xml:space="preserve"> (b) </w:t>
      </w:r>
      <w:r w:rsidR="001C0682">
        <w:rPr>
          <w:rFonts w:ascii="Avenir Next" w:hAnsi="Avenir Next" w:cs="Arial"/>
          <w:color w:val="7B7B7B" w:themeColor="accent3" w:themeShade="BF"/>
          <w:sz w:val="22"/>
          <w:szCs w:val="22"/>
          <w:lang w:val="en-GB"/>
        </w:rPr>
        <w:t>“</w:t>
      </w:r>
      <w:r w:rsidR="00595233" w:rsidRPr="00595233">
        <w:rPr>
          <w:rFonts w:ascii="Avenir Next" w:hAnsi="Avenir Next" w:cs="Arial"/>
          <w:color w:val="7B7B7B" w:themeColor="accent3" w:themeShade="BF"/>
          <w:sz w:val="22"/>
          <w:szCs w:val="22"/>
          <w:lang w:val="en-GB"/>
        </w:rPr>
        <w:t>operation of the debtor’s business in the ordinary course by the foreign representative</w:t>
      </w:r>
      <w:r w:rsidR="00E416A9">
        <w:rPr>
          <w:rFonts w:ascii="Avenir Next" w:hAnsi="Avenir Next" w:cs="Arial"/>
          <w:color w:val="7B7B7B" w:themeColor="accent3" w:themeShade="BF"/>
          <w:sz w:val="22"/>
          <w:szCs w:val="22"/>
          <w:lang w:val="en-GB"/>
        </w:rPr>
        <w:t>”</w:t>
      </w:r>
      <w:r w:rsidR="00595233" w:rsidRPr="00595233">
        <w:rPr>
          <w:rFonts w:ascii="Avenir Next" w:hAnsi="Avenir Next" w:cs="Arial"/>
          <w:color w:val="7B7B7B" w:themeColor="accent3" w:themeShade="BF"/>
          <w:sz w:val="22"/>
          <w:szCs w:val="22"/>
          <w:lang w:val="en-GB"/>
        </w:rPr>
        <w:t>;</w:t>
      </w:r>
      <w:r w:rsidR="00E416A9">
        <w:rPr>
          <w:rStyle w:val="Refdenotaderodap"/>
          <w:rFonts w:ascii="Avenir Next" w:hAnsi="Avenir Next" w:cs="Arial"/>
          <w:color w:val="7B7B7B" w:themeColor="accent3" w:themeShade="BF"/>
          <w:sz w:val="22"/>
          <w:szCs w:val="22"/>
          <w:lang w:val="en-GB"/>
        </w:rPr>
        <w:footnoteReference w:id="26"/>
      </w:r>
      <w:r w:rsidR="00595233">
        <w:rPr>
          <w:rFonts w:ascii="Avenir Next" w:hAnsi="Avenir Next" w:cs="Arial"/>
          <w:color w:val="7B7B7B" w:themeColor="accent3" w:themeShade="BF"/>
          <w:sz w:val="22"/>
          <w:szCs w:val="22"/>
          <w:lang w:val="en-GB"/>
        </w:rPr>
        <w:t xml:space="preserve"> (c) </w:t>
      </w:r>
      <w:r w:rsidR="00E416A9">
        <w:rPr>
          <w:rFonts w:ascii="Avenir Next" w:hAnsi="Avenir Next" w:cs="Arial"/>
          <w:color w:val="7B7B7B" w:themeColor="accent3" w:themeShade="BF"/>
          <w:sz w:val="22"/>
          <w:szCs w:val="22"/>
          <w:lang w:val="en-GB"/>
        </w:rPr>
        <w:t>“</w:t>
      </w:r>
      <w:r w:rsidR="00595233" w:rsidRPr="00595233">
        <w:rPr>
          <w:rFonts w:ascii="Avenir Next" w:hAnsi="Avenir Next" w:cs="Arial"/>
          <w:color w:val="7B7B7B" w:themeColor="accent3" w:themeShade="BF"/>
          <w:sz w:val="22"/>
          <w:szCs w:val="22"/>
          <w:lang w:val="en-GB"/>
        </w:rPr>
        <w:t>sale, transfer or use of property outside the ordinary course</w:t>
      </w:r>
      <w:r w:rsidR="001C0682">
        <w:rPr>
          <w:rFonts w:ascii="Avenir Next" w:hAnsi="Avenir Next" w:cs="Arial"/>
          <w:color w:val="7B7B7B" w:themeColor="accent3" w:themeShade="BF"/>
          <w:sz w:val="22"/>
          <w:szCs w:val="22"/>
          <w:lang w:val="en-GB"/>
        </w:rPr>
        <w:t>”</w:t>
      </w:r>
      <w:r w:rsidR="00595233" w:rsidRPr="00595233">
        <w:rPr>
          <w:rFonts w:ascii="Avenir Next" w:hAnsi="Avenir Next" w:cs="Arial"/>
          <w:color w:val="7B7B7B" w:themeColor="accent3" w:themeShade="BF"/>
          <w:sz w:val="22"/>
          <w:szCs w:val="22"/>
          <w:lang w:val="en-GB"/>
        </w:rPr>
        <w:t>;</w:t>
      </w:r>
      <w:r w:rsidR="00C94B4F">
        <w:rPr>
          <w:rStyle w:val="Refdenotaderodap"/>
          <w:rFonts w:ascii="Avenir Next" w:hAnsi="Avenir Next" w:cs="Arial"/>
          <w:color w:val="7B7B7B" w:themeColor="accent3" w:themeShade="BF"/>
          <w:sz w:val="22"/>
          <w:szCs w:val="22"/>
          <w:lang w:val="en-GB"/>
        </w:rPr>
        <w:footnoteReference w:id="27"/>
      </w:r>
      <w:r w:rsidR="00595233">
        <w:rPr>
          <w:rFonts w:ascii="Avenir Next" w:hAnsi="Avenir Next" w:cs="Arial"/>
          <w:color w:val="7B7B7B" w:themeColor="accent3" w:themeShade="BF"/>
          <w:sz w:val="22"/>
          <w:szCs w:val="22"/>
          <w:lang w:val="en-GB"/>
        </w:rPr>
        <w:t xml:space="preserve"> and (d) </w:t>
      </w:r>
      <w:r w:rsidR="001C0682">
        <w:rPr>
          <w:rFonts w:ascii="Avenir Next" w:hAnsi="Avenir Next" w:cs="Arial"/>
          <w:color w:val="7B7B7B" w:themeColor="accent3" w:themeShade="BF"/>
          <w:sz w:val="22"/>
          <w:szCs w:val="22"/>
          <w:lang w:val="en-GB"/>
        </w:rPr>
        <w:t>“</w:t>
      </w:r>
      <w:r w:rsidR="007B4C68" w:rsidRPr="007B4C68">
        <w:rPr>
          <w:rFonts w:ascii="Avenir Next" w:hAnsi="Avenir Next" w:cs="Arial"/>
          <w:color w:val="7B7B7B" w:themeColor="accent3" w:themeShade="BF"/>
          <w:sz w:val="22"/>
          <w:szCs w:val="22"/>
          <w:lang w:val="en-GB"/>
        </w:rPr>
        <w:t>avoidance of post-petition transfers and post-petition perfection of security interests</w:t>
      </w:r>
      <w:r w:rsidR="001C0682">
        <w:rPr>
          <w:rFonts w:ascii="Avenir Next" w:hAnsi="Avenir Next" w:cs="Arial"/>
          <w:color w:val="7B7B7B" w:themeColor="accent3" w:themeShade="BF"/>
          <w:sz w:val="22"/>
          <w:szCs w:val="22"/>
          <w:lang w:val="en-GB"/>
        </w:rPr>
        <w:t>”</w:t>
      </w:r>
      <w:r w:rsidR="007B4C68" w:rsidRPr="007B4C68">
        <w:rPr>
          <w:rFonts w:ascii="Avenir Next" w:hAnsi="Avenir Next" w:cs="Arial"/>
          <w:color w:val="7B7B7B" w:themeColor="accent3" w:themeShade="BF"/>
          <w:sz w:val="22"/>
          <w:szCs w:val="22"/>
          <w:lang w:val="en-GB"/>
        </w:rPr>
        <w:t>.</w:t>
      </w:r>
      <w:r w:rsidR="007B4C68">
        <w:rPr>
          <w:rStyle w:val="Refdenotaderodap"/>
          <w:rFonts w:ascii="Avenir Next" w:hAnsi="Avenir Next" w:cs="Arial"/>
          <w:color w:val="7B7B7B" w:themeColor="accent3" w:themeShade="BF"/>
          <w:sz w:val="22"/>
          <w:szCs w:val="22"/>
          <w:lang w:val="en-GB"/>
        </w:rPr>
        <w:footnoteReference w:id="28"/>
      </w:r>
    </w:p>
    <w:p w14:paraId="15EC937A" w14:textId="77777777" w:rsidR="007B4C68" w:rsidRDefault="007B4C68" w:rsidP="00B76D00">
      <w:pPr>
        <w:jc w:val="both"/>
        <w:rPr>
          <w:rFonts w:ascii="Avenir Next" w:hAnsi="Avenir Next" w:cs="Arial"/>
          <w:color w:val="7B7B7B" w:themeColor="accent3" w:themeShade="BF"/>
          <w:sz w:val="22"/>
          <w:szCs w:val="22"/>
          <w:lang w:val="en-GB"/>
        </w:rPr>
      </w:pPr>
    </w:p>
    <w:p w14:paraId="1AB000E3" w14:textId="1378A748" w:rsidR="007B4C68" w:rsidRDefault="005F6A8D" w:rsidP="00A43EAB">
      <w:pPr>
        <w:jc w:val="both"/>
        <w:rPr>
          <w:rFonts w:ascii="Avenir Next" w:hAnsi="Avenir Next" w:cs="Arial"/>
          <w:color w:val="7B7B7B" w:themeColor="accent3" w:themeShade="BF"/>
          <w:sz w:val="22"/>
          <w:szCs w:val="22"/>
          <w:lang w:val="en-GB"/>
        </w:rPr>
      </w:pPr>
      <w:r w:rsidRPr="005F6A8D">
        <w:rPr>
          <w:rFonts w:ascii="Avenir Next" w:hAnsi="Avenir Next" w:cs="Arial"/>
          <w:color w:val="7B7B7B" w:themeColor="accent3" w:themeShade="BF"/>
          <w:sz w:val="22"/>
          <w:szCs w:val="22"/>
          <w:lang w:val="en-GB"/>
        </w:rPr>
        <w:t>The U.S. court may grant additional relief on a discretionary basis for a foreign main proceeding. In this case, § 1521(a) of the 11 USC provides the following provisions:</w:t>
      </w:r>
      <w:r>
        <w:rPr>
          <w:rFonts w:ascii="Avenir Next" w:hAnsi="Avenir Next" w:cs="Arial"/>
          <w:color w:val="7B7B7B" w:themeColor="accent3" w:themeShade="BF"/>
          <w:sz w:val="22"/>
          <w:szCs w:val="22"/>
          <w:lang w:val="en-GB"/>
        </w:rPr>
        <w:t xml:space="preserve"> </w:t>
      </w:r>
      <w:r w:rsidR="00F16802">
        <w:rPr>
          <w:rFonts w:ascii="Avenir Next" w:hAnsi="Avenir Next" w:cs="Arial"/>
          <w:color w:val="7B7B7B" w:themeColor="accent3" w:themeShade="BF"/>
          <w:sz w:val="22"/>
          <w:szCs w:val="22"/>
          <w:lang w:val="en-GB"/>
        </w:rPr>
        <w:t xml:space="preserve">(a) </w:t>
      </w:r>
      <w:r w:rsidR="001C0682">
        <w:rPr>
          <w:rFonts w:ascii="Avenir Next" w:hAnsi="Avenir Next" w:cs="Arial"/>
          <w:color w:val="7B7B7B" w:themeColor="accent3" w:themeShade="BF"/>
          <w:sz w:val="22"/>
          <w:szCs w:val="22"/>
          <w:lang w:val="en-GB"/>
        </w:rPr>
        <w:t>“</w:t>
      </w:r>
      <w:r w:rsidR="00F16802" w:rsidRPr="00F16802">
        <w:rPr>
          <w:rFonts w:ascii="Avenir Next" w:hAnsi="Avenir Next" w:cs="Arial"/>
          <w:color w:val="7B7B7B" w:themeColor="accent3" w:themeShade="BF"/>
          <w:sz w:val="22"/>
          <w:szCs w:val="22"/>
          <w:lang w:val="en-GB"/>
        </w:rPr>
        <w:t>authorization of discovery regarding the debtor’s assets and affairs</w:t>
      </w:r>
      <w:r w:rsidR="001C0682">
        <w:rPr>
          <w:rFonts w:ascii="Avenir Next" w:hAnsi="Avenir Next" w:cs="Arial"/>
          <w:color w:val="7B7B7B" w:themeColor="accent3" w:themeShade="BF"/>
          <w:sz w:val="22"/>
          <w:szCs w:val="22"/>
          <w:lang w:val="en-GB"/>
        </w:rPr>
        <w:t>”</w:t>
      </w:r>
      <w:r w:rsidR="00F16802" w:rsidRPr="00F16802">
        <w:rPr>
          <w:rFonts w:ascii="Avenir Next" w:hAnsi="Avenir Next" w:cs="Arial"/>
          <w:color w:val="7B7B7B" w:themeColor="accent3" w:themeShade="BF"/>
          <w:sz w:val="22"/>
          <w:szCs w:val="22"/>
          <w:lang w:val="en-GB"/>
        </w:rPr>
        <w:t>;</w:t>
      </w:r>
      <w:r w:rsidR="00C94B4F">
        <w:rPr>
          <w:rStyle w:val="Refdenotaderodap"/>
          <w:rFonts w:ascii="Avenir Next" w:hAnsi="Avenir Next" w:cs="Arial"/>
          <w:color w:val="7B7B7B" w:themeColor="accent3" w:themeShade="BF"/>
          <w:sz w:val="22"/>
          <w:szCs w:val="22"/>
          <w:lang w:val="en-GB"/>
        </w:rPr>
        <w:footnoteReference w:id="29"/>
      </w:r>
      <w:r w:rsidR="00F16802">
        <w:rPr>
          <w:rFonts w:ascii="Avenir Next" w:hAnsi="Avenir Next" w:cs="Arial"/>
          <w:color w:val="7B7B7B" w:themeColor="accent3" w:themeShade="BF"/>
          <w:sz w:val="22"/>
          <w:szCs w:val="22"/>
          <w:lang w:val="en-GB"/>
        </w:rPr>
        <w:t xml:space="preserve"> </w:t>
      </w:r>
      <w:r w:rsidR="00E9491A">
        <w:rPr>
          <w:rFonts w:ascii="Avenir Next" w:hAnsi="Avenir Next" w:cs="Arial"/>
          <w:color w:val="7B7B7B" w:themeColor="accent3" w:themeShade="BF"/>
          <w:sz w:val="22"/>
          <w:szCs w:val="22"/>
          <w:lang w:val="en-GB"/>
        </w:rPr>
        <w:t xml:space="preserve">(b) </w:t>
      </w:r>
      <w:r w:rsidR="001C0682">
        <w:rPr>
          <w:rFonts w:ascii="Avenir Next" w:hAnsi="Avenir Next" w:cs="Arial"/>
          <w:color w:val="7B7B7B" w:themeColor="accent3" w:themeShade="BF"/>
          <w:sz w:val="22"/>
          <w:szCs w:val="22"/>
          <w:lang w:val="en-GB"/>
        </w:rPr>
        <w:t>“</w:t>
      </w:r>
      <w:r w:rsidR="00E9491A" w:rsidRPr="00E9491A">
        <w:rPr>
          <w:rFonts w:ascii="Avenir Next" w:hAnsi="Avenir Next" w:cs="Arial"/>
          <w:color w:val="7B7B7B" w:themeColor="accent3" w:themeShade="BF"/>
          <w:sz w:val="22"/>
          <w:szCs w:val="22"/>
          <w:lang w:val="en-GB"/>
        </w:rPr>
        <w:t>entrusting administration of the debtor’s US assets to the foreign representative or other</w:t>
      </w:r>
      <w:r w:rsidR="00E9491A">
        <w:rPr>
          <w:rFonts w:ascii="Avenir Next" w:hAnsi="Avenir Next" w:cs="Arial"/>
          <w:color w:val="7B7B7B" w:themeColor="accent3" w:themeShade="BF"/>
          <w:sz w:val="22"/>
          <w:szCs w:val="22"/>
          <w:lang w:val="en-GB"/>
        </w:rPr>
        <w:t xml:space="preserve"> </w:t>
      </w:r>
      <w:r w:rsidR="00E9491A" w:rsidRPr="00E9491A">
        <w:rPr>
          <w:rFonts w:ascii="Avenir Next" w:hAnsi="Avenir Next" w:cs="Arial"/>
          <w:color w:val="7B7B7B" w:themeColor="accent3" w:themeShade="BF"/>
          <w:sz w:val="22"/>
          <w:szCs w:val="22"/>
          <w:lang w:val="en-GB"/>
        </w:rPr>
        <w:t>person</w:t>
      </w:r>
      <w:r w:rsidR="001C0682">
        <w:rPr>
          <w:rFonts w:ascii="Avenir Next" w:hAnsi="Avenir Next" w:cs="Arial"/>
          <w:color w:val="7B7B7B" w:themeColor="accent3" w:themeShade="BF"/>
          <w:sz w:val="22"/>
          <w:szCs w:val="22"/>
          <w:lang w:val="en-GB"/>
        </w:rPr>
        <w:t>”</w:t>
      </w:r>
      <w:r w:rsidR="00E9491A" w:rsidRPr="00E9491A">
        <w:rPr>
          <w:rFonts w:ascii="Avenir Next" w:hAnsi="Avenir Next" w:cs="Arial"/>
          <w:color w:val="7B7B7B" w:themeColor="accent3" w:themeShade="BF"/>
          <w:sz w:val="22"/>
          <w:szCs w:val="22"/>
          <w:lang w:val="en-GB"/>
        </w:rPr>
        <w:t>;</w:t>
      </w:r>
      <w:r w:rsidR="00C94B4F">
        <w:rPr>
          <w:rStyle w:val="Refdenotaderodap"/>
          <w:rFonts w:ascii="Avenir Next" w:hAnsi="Avenir Next" w:cs="Arial"/>
          <w:color w:val="7B7B7B" w:themeColor="accent3" w:themeShade="BF"/>
          <w:sz w:val="22"/>
          <w:szCs w:val="22"/>
          <w:lang w:val="en-GB"/>
        </w:rPr>
        <w:footnoteReference w:id="30"/>
      </w:r>
      <w:r w:rsidR="00E9491A">
        <w:rPr>
          <w:rFonts w:ascii="Avenir Next" w:hAnsi="Avenir Next" w:cs="Arial"/>
          <w:color w:val="7B7B7B" w:themeColor="accent3" w:themeShade="BF"/>
          <w:sz w:val="22"/>
          <w:szCs w:val="22"/>
          <w:lang w:val="en-GB"/>
        </w:rPr>
        <w:t xml:space="preserve"> (c) </w:t>
      </w:r>
      <w:r w:rsidR="001C0682">
        <w:rPr>
          <w:rFonts w:ascii="Avenir Next" w:hAnsi="Avenir Next" w:cs="Arial"/>
          <w:color w:val="7B7B7B" w:themeColor="accent3" w:themeShade="BF"/>
          <w:sz w:val="22"/>
          <w:szCs w:val="22"/>
          <w:lang w:val="en-GB"/>
        </w:rPr>
        <w:t>“</w:t>
      </w:r>
      <w:r w:rsidR="00E9491A" w:rsidRPr="00E9491A">
        <w:rPr>
          <w:rFonts w:ascii="Avenir Next" w:hAnsi="Avenir Next" w:cs="Arial"/>
          <w:color w:val="7B7B7B" w:themeColor="accent3" w:themeShade="BF"/>
          <w:sz w:val="22"/>
          <w:szCs w:val="22"/>
          <w:lang w:val="en-GB"/>
        </w:rPr>
        <w:t>extension of provisional relief</w:t>
      </w:r>
      <w:r w:rsidR="001C0682">
        <w:rPr>
          <w:rFonts w:ascii="Avenir Next" w:hAnsi="Avenir Next" w:cs="Arial"/>
          <w:color w:val="7B7B7B" w:themeColor="accent3" w:themeShade="BF"/>
          <w:sz w:val="22"/>
          <w:szCs w:val="22"/>
          <w:lang w:val="en-GB"/>
        </w:rPr>
        <w:t>”</w:t>
      </w:r>
      <w:r w:rsidR="00E9491A" w:rsidRPr="00E9491A">
        <w:rPr>
          <w:rFonts w:ascii="Avenir Next" w:hAnsi="Avenir Next" w:cs="Arial"/>
          <w:color w:val="7B7B7B" w:themeColor="accent3" w:themeShade="BF"/>
          <w:sz w:val="22"/>
          <w:szCs w:val="22"/>
          <w:lang w:val="en-GB"/>
        </w:rPr>
        <w:t>;</w:t>
      </w:r>
      <w:r w:rsidR="00C94B4F">
        <w:rPr>
          <w:rStyle w:val="Refdenotaderodap"/>
          <w:rFonts w:ascii="Avenir Next" w:hAnsi="Avenir Next" w:cs="Arial"/>
          <w:color w:val="7B7B7B" w:themeColor="accent3" w:themeShade="BF"/>
          <w:sz w:val="22"/>
          <w:szCs w:val="22"/>
          <w:lang w:val="en-GB"/>
        </w:rPr>
        <w:footnoteReference w:id="31"/>
      </w:r>
      <w:r w:rsidR="00E9491A">
        <w:rPr>
          <w:rFonts w:ascii="Avenir Next" w:hAnsi="Avenir Next" w:cs="Arial"/>
          <w:color w:val="7B7B7B" w:themeColor="accent3" w:themeShade="BF"/>
          <w:sz w:val="22"/>
          <w:szCs w:val="22"/>
          <w:lang w:val="en-GB"/>
        </w:rPr>
        <w:t xml:space="preserve"> and (d) </w:t>
      </w:r>
      <w:r w:rsidR="001C0682">
        <w:rPr>
          <w:rFonts w:ascii="Avenir Next" w:hAnsi="Avenir Next" w:cs="Arial"/>
          <w:color w:val="7B7B7B" w:themeColor="accent3" w:themeShade="BF"/>
          <w:sz w:val="22"/>
          <w:szCs w:val="22"/>
          <w:lang w:val="en-GB"/>
        </w:rPr>
        <w:t>“</w:t>
      </w:r>
      <w:r w:rsidR="00A43EAB" w:rsidRPr="00A43EAB">
        <w:rPr>
          <w:rFonts w:ascii="Avenir Next" w:hAnsi="Avenir Next" w:cs="Arial"/>
          <w:color w:val="7B7B7B" w:themeColor="accent3" w:themeShade="BF"/>
          <w:sz w:val="22"/>
          <w:szCs w:val="22"/>
          <w:lang w:val="en-GB"/>
        </w:rPr>
        <w:t xml:space="preserve">any other relief </w:t>
      </w:r>
      <w:r w:rsidR="001C0682">
        <w:rPr>
          <w:rFonts w:ascii="Avenir Next" w:hAnsi="Avenir Next" w:cs="Arial"/>
          <w:color w:val="7B7B7B" w:themeColor="accent3" w:themeShade="BF"/>
          <w:sz w:val="22"/>
          <w:szCs w:val="22"/>
          <w:lang w:val="en-GB"/>
        </w:rPr>
        <w:t>‘</w:t>
      </w:r>
      <w:r w:rsidR="00A43EAB" w:rsidRPr="00A43EAB">
        <w:rPr>
          <w:rFonts w:ascii="Avenir Next" w:hAnsi="Avenir Next" w:cs="Arial"/>
          <w:color w:val="7B7B7B" w:themeColor="accent3" w:themeShade="BF"/>
          <w:sz w:val="22"/>
          <w:szCs w:val="22"/>
          <w:lang w:val="en-GB"/>
        </w:rPr>
        <w:t xml:space="preserve">necessary to effectuate the purposes of </w:t>
      </w:r>
      <w:r w:rsidR="001C0682">
        <w:rPr>
          <w:rFonts w:ascii="Avenir Next" w:hAnsi="Avenir Next" w:cs="Arial"/>
          <w:color w:val="7B7B7B" w:themeColor="accent3" w:themeShade="BF"/>
          <w:sz w:val="22"/>
          <w:szCs w:val="22"/>
          <w:lang w:val="en-GB"/>
        </w:rPr>
        <w:t>[</w:t>
      </w:r>
      <w:r w:rsidR="00A43EAB" w:rsidRPr="00A43EAB">
        <w:rPr>
          <w:rFonts w:ascii="Avenir Next" w:hAnsi="Avenir Next" w:cs="Arial"/>
          <w:color w:val="7B7B7B" w:themeColor="accent3" w:themeShade="BF"/>
          <w:sz w:val="22"/>
          <w:szCs w:val="22"/>
          <w:lang w:val="en-GB"/>
        </w:rPr>
        <w:t>chapter 15</w:t>
      </w:r>
      <w:r w:rsidR="001C0682">
        <w:rPr>
          <w:rFonts w:ascii="Avenir Next" w:hAnsi="Avenir Next" w:cs="Arial"/>
          <w:color w:val="7B7B7B" w:themeColor="accent3" w:themeShade="BF"/>
          <w:sz w:val="22"/>
          <w:szCs w:val="22"/>
          <w:lang w:val="en-GB"/>
        </w:rPr>
        <w:t>]</w:t>
      </w:r>
      <w:r w:rsidR="00A43EAB" w:rsidRPr="00A43EAB">
        <w:rPr>
          <w:rFonts w:ascii="Avenir Next" w:hAnsi="Avenir Next" w:cs="Arial"/>
          <w:color w:val="7B7B7B" w:themeColor="accent3" w:themeShade="BF"/>
          <w:sz w:val="22"/>
          <w:szCs w:val="22"/>
          <w:lang w:val="en-GB"/>
        </w:rPr>
        <w:t xml:space="preserve"> and to protect the</w:t>
      </w:r>
      <w:r w:rsidR="00A43EAB">
        <w:rPr>
          <w:rFonts w:ascii="Avenir Next" w:hAnsi="Avenir Next" w:cs="Arial"/>
          <w:color w:val="7B7B7B" w:themeColor="accent3" w:themeShade="BF"/>
          <w:sz w:val="22"/>
          <w:szCs w:val="22"/>
          <w:lang w:val="en-GB"/>
        </w:rPr>
        <w:t xml:space="preserve"> </w:t>
      </w:r>
      <w:r w:rsidR="00A43EAB" w:rsidRPr="00A43EAB">
        <w:rPr>
          <w:rFonts w:ascii="Avenir Next" w:hAnsi="Avenir Next" w:cs="Arial"/>
          <w:color w:val="7B7B7B" w:themeColor="accent3" w:themeShade="BF"/>
          <w:sz w:val="22"/>
          <w:szCs w:val="22"/>
          <w:lang w:val="en-GB"/>
        </w:rPr>
        <w:t>assets of the debtor or the interests of creditors</w:t>
      </w:r>
      <w:r w:rsidR="001C0682">
        <w:rPr>
          <w:rFonts w:ascii="Avenir Next" w:hAnsi="Avenir Next" w:cs="Arial"/>
          <w:color w:val="7B7B7B" w:themeColor="accent3" w:themeShade="BF"/>
          <w:sz w:val="22"/>
          <w:szCs w:val="22"/>
          <w:lang w:val="en-GB"/>
        </w:rPr>
        <w:t>’”</w:t>
      </w:r>
      <w:r w:rsidR="00A43EAB" w:rsidRPr="00A43EAB">
        <w:rPr>
          <w:rFonts w:ascii="Avenir Next" w:hAnsi="Avenir Next" w:cs="Arial"/>
          <w:color w:val="7B7B7B" w:themeColor="accent3" w:themeShade="BF"/>
          <w:sz w:val="22"/>
          <w:szCs w:val="22"/>
          <w:lang w:val="en-GB"/>
        </w:rPr>
        <w:t>.</w:t>
      </w:r>
      <w:r w:rsidR="00A43EAB">
        <w:rPr>
          <w:rStyle w:val="Refdenotaderodap"/>
          <w:rFonts w:ascii="Avenir Next" w:hAnsi="Avenir Next" w:cs="Arial"/>
          <w:color w:val="7B7B7B" w:themeColor="accent3" w:themeShade="BF"/>
          <w:sz w:val="22"/>
          <w:szCs w:val="22"/>
          <w:lang w:val="en-GB"/>
        </w:rPr>
        <w:footnoteReference w:id="32"/>
      </w:r>
    </w:p>
    <w:p w14:paraId="48E327C4" w14:textId="77777777" w:rsidR="00695965" w:rsidRDefault="00695965" w:rsidP="00A43EAB">
      <w:pPr>
        <w:jc w:val="both"/>
        <w:rPr>
          <w:rFonts w:ascii="Avenir Next" w:hAnsi="Avenir Next" w:cs="Arial"/>
          <w:color w:val="7B7B7B" w:themeColor="accent3" w:themeShade="BF"/>
          <w:sz w:val="22"/>
          <w:szCs w:val="22"/>
          <w:lang w:val="en-GB"/>
        </w:rPr>
      </w:pPr>
    </w:p>
    <w:p w14:paraId="48278754" w14:textId="58FD872B" w:rsidR="00695965" w:rsidRDefault="00A72CD6" w:rsidP="009B70B8">
      <w:pPr>
        <w:jc w:val="both"/>
        <w:rPr>
          <w:rFonts w:ascii="Avenir Next" w:hAnsi="Avenir Next" w:cs="Arial"/>
          <w:color w:val="7B7B7B" w:themeColor="accent3" w:themeShade="BF"/>
          <w:sz w:val="22"/>
          <w:szCs w:val="22"/>
          <w:lang w:val="en-GB"/>
        </w:rPr>
      </w:pPr>
      <w:r w:rsidRPr="00A72CD6">
        <w:rPr>
          <w:rFonts w:ascii="Avenir Next" w:hAnsi="Avenir Next" w:cs="Arial"/>
          <w:color w:val="7B7B7B" w:themeColor="accent3" w:themeShade="BF"/>
          <w:sz w:val="22"/>
          <w:szCs w:val="22"/>
          <w:lang w:val="en-GB"/>
        </w:rPr>
        <w:t xml:space="preserve">In the case of recognition of a </w:t>
      </w:r>
      <w:r>
        <w:rPr>
          <w:rFonts w:ascii="Avenir Next" w:hAnsi="Avenir Next" w:cs="Arial"/>
          <w:color w:val="7B7B7B" w:themeColor="accent3" w:themeShade="BF"/>
          <w:sz w:val="22"/>
          <w:szCs w:val="22"/>
          <w:lang w:val="en-GB"/>
        </w:rPr>
        <w:t xml:space="preserve">foreign </w:t>
      </w:r>
      <w:r w:rsidRPr="00A72CD6">
        <w:rPr>
          <w:rFonts w:ascii="Avenir Next" w:hAnsi="Avenir Next" w:cs="Arial"/>
          <w:color w:val="7B7B7B" w:themeColor="accent3" w:themeShade="BF"/>
          <w:sz w:val="22"/>
          <w:szCs w:val="22"/>
          <w:lang w:val="en-GB"/>
        </w:rPr>
        <w:t xml:space="preserve">non-main proceeding by the US court, </w:t>
      </w:r>
      <w:r w:rsidR="009B70B8" w:rsidRPr="00A72CD6">
        <w:rPr>
          <w:rFonts w:ascii="Avenir Next" w:hAnsi="Avenir Next" w:cs="Arial"/>
          <w:color w:val="7B7B7B" w:themeColor="accent3" w:themeShade="BF"/>
          <w:sz w:val="22"/>
          <w:szCs w:val="22"/>
          <w:lang w:val="en-GB"/>
        </w:rPr>
        <w:t>all</w:t>
      </w:r>
      <w:r w:rsidRPr="00A72CD6">
        <w:rPr>
          <w:rFonts w:ascii="Avenir Next" w:hAnsi="Avenir Next" w:cs="Arial"/>
          <w:color w:val="7B7B7B" w:themeColor="accent3" w:themeShade="BF"/>
          <w:sz w:val="22"/>
          <w:szCs w:val="22"/>
          <w:lang w:val="en-GB"/>
        </w:rPr>
        <w:t xml:space="preserve"> the </w:t>
      </w:r>
      <w:r w:rsidR="00797E25">
        <w:rPr>
          <w:rFonts w:ascii="Avenir Next" w:hAnsi="Avenir Next" w:cs="Arial"/>
          <w:color w:val="7B7B7B" w:themeColor="accent3" w:themeShade="BF"/>
          <w:sz w:val="22"/>
          <w:szCs w:val="22"/>
          <w:lang w:val="en-GB"/>
        </w:rPr>
        <w:t>above relief</w:t>
      </w:r>
      <w:r w:rsidRPr="00A72CD6">
        <w:rPr>
          <w:rFonts w:ascii="Avenir Next" w:hAnsi="Avenir Next" w:cs="Arial"/>
          <w:color w:val="7B7B7B" w:themeColor="accent3" w:themeShade="BF"/>
          <w:sz w:val="22"/>
          <w:szCs w:val="22"/>
          <w:lang w:val="en-GB"/>
        </w:rPr>
        <w:t xml:space="preserve"> </w:t>
      </w:r>
      <w:r w:rsidR="009B70B8" w:rsidRPr="009B70B8">
        <w:rPr>
          <w:rFonts w:ascii="Avenir Next" w:hAnsi="Avenir Next" w:cs="Arial"/>
          <w:color w:val="7B7B7B" w:themeColor="accent3" w:themeShade="BF"/>
          <w:sz w:val="22"/>
          <w:szCs w:val="22"/>
          <w:lang w:val="en-GB"/>
        </w:rPr>
        <w:t>may be granted on</w:t>
      </w:r>
      <w:r w:rsidR="009B70B8">
        <w:rPr>
          <w:rFonts w:ascii="Avenir Next" w:hAnsi="Avenir Next" w:cs="Arial"/>
          <w:color w:val="7B7B7B" w:themeColor="accent3" w:themeShade="BF"/>
          <w:sz w:val="22"/>
          <w:szCs w:val="22"/>
          <w:lang w:val="en-GB"/>
        </w:rPr>
        <w:t xml:space="preserve"> </w:t>
      </w:r>
      <w:r w:rsidR="009B70B8" w:rsidRPr="009B70B8">
        <w:rPr>
          <w:rFonts w:ascii="Avenir Next" w:hAnsi="Avenir Next" w:cs="Arial"/>
          <w:color w:val="7B7B7B" w:themeColor="accent3" w:themeShade="BF"/>
          <w:sz w:val="22"/>
          <w:szCs w:val="22"/>
          <w:lang w:val="en-GB"/>
        </w:rPr>
        <w:t>a discretionary basis</w:t>
      </w:r>
      <w:r w:rsidRPr="00A72CD6">
        <w:rPr>
          <w:rFonts w:ascii="Avenir Next" w:hAnsi="Avenir Next" w:cs="Arial"/>
          <w:color w:val="7B7B7B" w:themeColor="accent3" w:themeShade="BF"/>
          <w:sz w:val="22"/>
          <w:szCs w:val="22"/>
          <w:lang w:val="en-GB"/>
        </w:rPr>
        <w:t xml:space="preserve"> be granted at the discretion.</w:t>
      </w:r>
      <w:r w:rsidR="009B70B8">
        <w:rPr>
          <w:rStyle w:val="Refdenotaderodap"/>
          <w:rFonts w:ascii="Avenir Next" w:hAnsi="Avenir Next" w:cs="Arial"/>
          <w:color w:val="7B7B7B" w:themeColor="accent3" w:themeShade="BF"/>
          <w:sz w:val="22"/>
          <w:szCs w:val="22"/>
          <w:lang w:val="en-GB"/>
        </w:rPr>
        <w:footnoteReference w:id="33"/>
      </w:r>
    </w:p>
    <w:p w14:paraId="14C8A9DA" w14:textId="77777777" w:rsidR="009B70B8" w:rsidRDefault="009B70B8" w:rsidP="009B70B8">
      <w:pPr>
        <w:jc w:val="both"/>
        <w:rPr>
          <w:rFonts w:ascii="Avenir Next" w:hAnsi="Avenir Next" w:cs="Arial"/>
          <w:color w:val="7B7B7B" w:themeColor="accent3" w:themeShade="BF"/>
          <w:sz w:val="22"/>
          <w:szCs w:val="22"/>
          <w:lang w:val="en-GB"/>
        </w:rPr>
      </w:pPr>
    </w:p>
    <w:p w14:paraId="42C23C59" w14:textId="27AAC4A6" w:rsidR="009B70B8" w:rsidRPr="00B76D00" w:rsidRDefault="006E14D9" w:rsidP="009B70B8">
      <w:pPr>
        <w:jc w:val="both"/>
        <w:rPr>
          <w:rFonts w:ascii="Avenir Next" w:hAnsi="Avenir Next" w:cs="Arial"/>
          <w:color w:val="7B7B7B" w:themeColor="accent3" w:themeShade="BF"/>
          <w:sz w:val="22"/>
          <w:szCs w:val="22"/>
          <w:lang w:val="en-GB"/>
        </w:rPr>
      </w:pPr>
      <w:r w:rsidRPr="006E14D9">
        <w:rPr>
          <w:rFonts w:ascii="Avenir Next" w:hAnsi="Avenir Next" w:cs="Arial"/>
          <w:color w:val="7B7B7B" w:themeColor="accent3" w:themeShade="BF"/>
          <w:sz w:val="22"/>
          <w:szCs w:val="22"/>
          <w:lang w:val="en-GB"/>
        </w:rPr>
        <w:lastRenderedPageBreak/>
        <w:t xml:space="preserve">Therefore, Chapter 15 adopted the Model Law in which it preserves the difference between the relief granted in case of recognition of </w:t>
      </w:r>
      <w:r>
        <w:rPr>
          <w:rFonts w:ascii="Avenir Next" w:hAnsi="Avenir Next" w:cs="Arial"/>
          <w:color w:val="7B7B7B" w:themeColor="accent3" w:themeShade="BF"/>
          <w:sz w:val="22"/>
          <w:szCs w:val="22"/>
          <w:lang w:val="en-GB"/>
        </w:rPr>
        <w:t xml:space="preserve">foreign </w:t>
      </w:r>
      <w:r w:rsidRPr="006E14D9">
        <w:rPr>
          <w:rFonts w:ascii="Avenir Next" w:hAnsi="Avenir Next" w:cs="Arial"/>
          <w:color w:val="7B7B7B" w:themeColor="accent3" w:themeShade="BF"/>
          <w:sz w:val="22"/>
          <w:szCs w:val="22"/>
          <w:lang w:val="en-GB"/>
        </w:rPr>
        <w:t xml:space="preserve">main </w:t>
      </w:r>
      <w:r>
        <w:rPr>
          <w:rFonts w:ascii="Avenir Next" w:hAnsi="Avenir Next" w:cs="Arial"/>
          <w:color w:val="7B7B7B" w:themeColor="accent3" w:themeShade="BF"/>
          <w:sz w:val="22"/>
          <w:szCs w:val="22"/>
          <w:lang w:val="en-GB"/>
        </w:rPr>
        <w:t xml:space="preserve">proceeding </w:t>
      </w:r>
      <w:r w:rsidRPr="006E14D9">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 xml:space="preserve">a foreign </w:t>
      </w:r>
      <w:r w:rsidRPr="006E14D9">
        <w:rPr>
          <w:rFonts w:ascii="Avenir Next" w:hAnsi="Avenir Next" w:cs="Arial"/>
          <w:color w:val="7B7B7B" w:themeColor="accent3" w:themeShade="BF"/>
          <w:sz w:val="22"/>
          <w:szCs w:val="22"/>
          <w:lang w:val="en-GB"/>
        </w:rPr>
        <w:t xml:space="preserve">non-main proceeding. In this sense, the </w:t>
      </w:r>
      <w:r>
        <w:rPr>
          <w:rFonts w:ascii="Avenir Next" w:hAnsi="Avenir Next" w:cs="Arial"/>
          <w:color w:val="7B7B7B" w:themeColor="accent3" w:themeShade="BF"/>
          <w:sz w:val="22"/>
          <w:szCs w:val="22"/>
          <w:lang w:val="en-GB"/>
        </w:rPr>
        <w:t xml:space="preserve">foreign </w:t>
      </w:r>
      <w:r w:rsidRPr="006E14D9">
        <w:rPr>
          <w:rFonts w:ascii="Avenir Next" w:hAnsi="Avenir Next" w:cs="Arial"/>
          <w:color w:val="7B7B7B" w:themeColor="accent3" w:themeShade="BF"/>
          <w:sz w:val="22"/>
          <w:szCs w:val="22"/>
          <w:lang w:val="en-GB"/>
        </w:rPr>
        <w:t>main proce</w:t>
      </w:r>
      <w:r>
        <w:rPr>
          <w:rFonts w:ascii="Avenir Next" w:hAnsi="Avenir Next" w:cs="Arial"/>
          <w:color w:val="7B7B7B" w:themeColor="accent3" w:themeShade="BF"/>
          <w:sz w:val="22"/>
          <w:szCs w:val="22"/>
          <w:lang w:val="en-GB"/>
        </w:rPr>
        <w:t>eding</w:t>
      </w:r>
      <w:r w:rsidRPr="006E14D9">
        <w:rPr>
          <w:rFonts w:ascii="Avenir Next" w:hAnsi="Avenir Next" w:cs="Arial"/>
          <w:color w:val="7B7B7B" w:themeColor="accent3" w:themeShade="BF"/>
          <w:sz w:val="22"/>
          <w:szCs w:val="22"/>
          <w:lang w:val="en-GB"/>
        </w:rPr>
        <w:t xml:space="preserve"> has the advantage of some automatic relief provisions, while the </w:t>
      </w:r>
      <w:r w:rsidR="00605DEB">
        <w:rPr>
          <w:rFonts w:ascii="Avenir Next" w:hAnsi="Avenir Next" w:cs="Arial"/>
          <w:color w:val="7B7B7B" w:themeColor="accent3" w:themeShade="BF"/>
          <w:sz w:val="22"/>
          <w:szCs w:val="22"/>
          <w:lang w:val="en-GB"/>
        </w:rPr>
        <w:t xml:space="preserve">foreign </w:t>
      </w:r>
      <w:r w:rsidRPr="006E14D9">
        <w:rPr>
          <w:rFonts w:ascii="Avenir Next" w:hAnsi="Avenir Next" w:cs="Arial"/>
          <w:color w:val="7B7B7B" w:themeColor="accent3" w:themeShade="BF"/>
          <w:sz w:val="22"/>
          <w:szCs w:val="22"/>
          <w:lang w:val="en-GB"/>
        </w:rPr>
        <w:t>non-main proce</w:t>
      </w:r>
      <w:r w:rsidR="00605DEB">
        <w:rPr>
          <w:rFonts w:ascii="Avenir Next" w:hAnsi="Avenir Next" w:cs="Arial"/>
          <w:color w:val="7B7B7B" w:themeColor="accent3" w:themeShade="BF"/>
          <w:sz w:val="22"/>
          <w:szCs w:val="22"/>
          <w:lang w:val="en-GB"/>
        </w:rPr>
        <w:t>eding</w:t>
      </w:r>
      <w:r w:rsidRPr="006E14D9">
        <w:rPr>
          <w:rFonts w:ascii="Avenir Next" w:hAnsi="Avenir Next" w:cs="Arial"/>
          <w:color w:val="7B7B7B" w:themeColor="accent3" w:themeShade="BF"/>
          <w:sz w:val="22"/>
          <w:szCs w:val="22"/>
          <w:lang w:val="en-GB"/>
        </w:rPr>
        <w:t xml:space="preserve"> depends on the discretion of the US court.</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445D935" w14:textId="77777777" w:rsidR="004D5C5B" w:rsidRDefault="00084EBC" w:rsidP="0060503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ordinary course of business</w:t>
      </w:r>
      <w:r w:rsidR="0060503C">
        <w:rPr>
          <w:rFonts w:ascii="Avenir Next" w:hAnsi="Avenir Next" w:cs="Arial"/>
          <w:color w:val="7B7B7B" w:themeColor="accent3" w:themeShade="BF"/>
          <w:sz w:val="22"/>
          <w:szCs w:val="22"/>
          <w:lang w:val="en-GB"/>
        </w:rPr>
        <w:t>, “[d]</w:t>
      </w:r>
      <w:proofErr w:type="spellStart"/>
      <w:r w:rsidR="0060503C" w:rsidRPr="0060503C">
        <w:rPr>
          <w:rFonts w:ascii="Avenir Next" w:hAnsi="Avenir Next" w:cs="Arial"/>
          <w:color w:val="7B7B7B" w:themeColor="accent3" w:themeShade="BF"/>
          <w:sz w:val="22"/>
          <w:szCs w:val="22"/>
          <w:lang w:val="en-GB"/>
        </w:rPr>
        <w:t>irectors</w:t>
      </w:r>
      <w:proofErr w:type="spellEnd"/>
      <w:r w:rsidR="0060503C" w:rsidRPr="0060503C">
        <w:rPr>
          <w:rFonts w:ascii="Avenir Next" w:hAnsi="Avenir Next" w:cs="Arial"/>
          <w:color w:val="7B7B7B" w:themeColor="accent3" w:themeShade="BF"/>
          <w:sz w:val="22"/>
          <w:szCs w:val="22"/>
          <w:lang w:val="en-GB"/>
        </w:rPr>
        <w:t xml:space="preserve"> owe a</w:t>
      </w:r>
      <w:r w:rsidR="0060503C">
        <w:rPr>
          <w:rFonts w:ascii="Avenir Next" w:hAnsi="Avenir Next" w:cs="Arial"/>
          <w:color w:val="7B7B7B" w:themeColor="accent3" w:themeShade="BF"/>
          <w:sz w:val="22"/>
          <w:szCs w:val="22"/>
          <w:lang w:val="en-GB"/>
        </w:rPr>
        <w:t xml:space="preserve"> </w:t>
      </w:r>
      <w:r w:rsidR="0060503C" w:rsidRPr="0060503C">
        <w:rPr>
          <w:rFonts w:ascii="Avenir Next" w:hAnsi="Avenir Next" w:cs="Arial"/>
          <w:color w:val="7B7B7B" w:themeColor="accent3" w:themeShade="BF"/>
          <w:sz w:val="22"/>
          <w:szCs w:val="22"/>
          <w:lang w:val="en-GB"/>
        </w:rPr>
        <w:t>fiduciary duty of loyalty to the corporation’s best interest and a duty of care in educated</w:t>
      </w:r>
      <w:r w:rsidR="0060503C">
        <w:rPr>
          <w:rFonts w:ascii="Avenir Next" w:hAnsi="Avenir Next" w:cs="Arial"/>
          <w:color w:val="7B7B7B" w:themeColor="accent3" w:themeShade="BF"/>
          <w:sz w:val="22"/>
          <w:szCs w:val="22"/>
          <w:lang w:val="en-GB"/>
        </w:rPr>
        <w:t xml:space="preserve"> </w:t>
      </w:r>
      <w:r w:rsidR="0060503C" w:rsidRPr="0060503C">
        <w:rPr>
          <w:rFonts w:ascii="Avenir Next" w:hAnsi="Avenir Next" w:cs="Arial"/>
          <w:color w:val="7B7B7B" w:themeColor="accent3" w:themeShade="BF"/>
          <w:sz w:val="22"/>
          <w:szCs w:val="22"/>
          <w:lang w:val="en-GB"/>
        </w:rPr>
        <w:t>decision-making</w:t>
      </w:r>
      <w:r w:rsidR="0060503C">
        <w:rPr>
          <w:rFonts w:ascii="Avenir Next" w:hAnsi="Avenir Next" w:cs="Arial"/>
          <w:color w:val="7B7B7B" w:themeColor="accent3" w:themeShade="BF"/>
          <w:sz w:val="22"/>
          <w:szCs w:val="22"/>
          <w:lang w:val="en-GB"/>
        </w:rPr>
        <w:t>”.</w:t>
      </w:r>
      <w:r w:rsidR="0060503C">
        <w:rPr>
          <w:rStyle w:val="Refdenotaderodap"/>
          <w:rFonts w:ascii="Avenir Next" w:hAnsi="Avenir Next" w:cs="Arial"/>
          <w:color w:val="7B7B7B" w:themeColor="accent3" w:themeShade="BF"/>
          <w:sz w:val="22"/>
          <w:szCs w:val="22"/>
          <w:lang w:val="en-GB"/>
        </w:rPr>
        <w:footnoteReference w:id="34"/>
      </w:r>
      <w:r w:rsidR="0060503C">
        <w:rPr>
          <w:rFonts w:ascii="Avenir Next" w:hAnsi="Avenir Next" w:cs="Arial"/>
          <w:color w:val="7B7B7B" w:themeColor="accent3" w:themeShade="BF"/>
          <w:sz w:val="22"/>
          <w:szCs w:val="22"/>
          <w:lang w:val="en-GB"/>
        </w:rPr>
        <w:t xml:space="preserve"> </w:t>
      </w:r>
      <w:r w:rsidR="004D5C5B">
        <w:rPr>
          <w:rFonts w:ascii="Avenir Next" w:hAnsi="Avenir Next" w:cs="Arial"/>
          <w:color w:val="7B7B7B" w:themeColor="accent3" w:themeShade="BF"/>
          <w:sz w:val="22"/>
          <w:szCs w:val="22"/>
          <w:lang w:val="en-GB"/>
        </w:rPr>
        <w:t>The business judgment rule protects directors from liability for errors of judgments. According to HALL:</w:t>
      </w:r>
    </w:p>
    <w:p w14:paraId="5665BD16" w14:textId="77777777" w:rsidR="004D5C5B" w:rsidRDefault="004D5C5B" w:rsidP="0060503C">
      <w:pPr>
        <w:jc w:val="both"/>
        <w:rPr>
          <w:rFonts w:ascii="Avenir Next" w:hAnsi="Avenir Next" w:cs="Arial"/>
          <w:color w:val="7B7B7B" w:themeColor="accent3" w:themeShade="BF"/>
          <w:sz w:val="22"/>
          <w:szCs w:val="22"/>
          <w:lang w:val="en-GB"/>
        </w:rPr>
      </w:pPr>
    </w:p>
    <w:p w14:paraId="60C0E1A5" w14:textId="2DA9E289" w:rsidR="004D5C5B" w:rsidRDefault="001F72A6" w:rsidP="001F72A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1F72A6">
        <w:rPr>
          <w:rFonts w:ascii="Avenir Next" w:hAnsi="Avenir Next" w:cs="Arial"/>
          <w:color w:val="7B7B7B" w:themeColor="accent3" w:themeShade="BF"/>
          <w:sz w:val="22"/>
          <w:szCs w:val="22"/>
          <w:lang w:val="en-GB"/>
        </w:rPr>
        <w:t>Under the business judgment rule, the board of directors is presumed to have</w:t>
      </w:r>
      <w:r>
        <w:rPr>
          <w:rFonts w:ascii="Avenir Next" w:hAnsi="Avenir Next" w:cs="Arial"/>
          <w:color w:val="7B7B7B" w:themeColor="accent3" w:themeShade="BF"/>
          <w:sz w:val="22"/>
          <w:szCs w:val="22"/>
          <w:lang w:val="en-GB"/>
        </w:rPr>
        <w:t xml:space="preserve"> </w:t>
      </w:r>
      <w:r w:rsidRPr="001F72A6">
        <w:rPr>
          <w:rFonts w:ascii="Avenir Next" w:hAnsi="Avenir Next" w:cs="Arial"/>
          <w:color w:val="7B7B7B" w:themeColor="accent3" w:themeShade="BF"/>
          <w:sz w:val="22"/>
          <w:szCs w:val="22"/>
          <w:lang w:val="en-GB"/>
        </w:rPr>
        <w:t xml:space="preserve">acted in good faith </w:t>
      </w:r>
      <w:proofErr w:type="gramStart"/>
      <w:r w:rsidRPr="001F72A6">
        <w:rPr>
          <w:rFonts w:ascii="Avenir Next" w:hAnsi="Avenir Next" w:cs="Arial"/>
          <w:color w:val="7B7B7B" w:themeColor="accent3" w:themeShade="BF"/>
          <w:sz w:val="22"/>
          <w:szCs w:val="22"/>
          <w:lang w:val="en-GB"/>
        </w:rPr>
        <w:t>on the basis of</w:t>
      </w:r>
      <w:proofErr w:type="gramEnd"/>
      <w:r w:rsidRPr="001F72A6">
        <w:rPr>
          <w:rFonts w:ascii="Avenir Next" w:hAnsi="Avenir Next" w:cs="Arial"/>
          <w:color w:val="7B7B7B" w:themeColor="accent3" w:themeShade="BF"/>
          <w:sz w:val="22"/>
          <w:szCs w:val="22"/>
          <w:lang w:val="en-GB"/>
        </w:rPr>
        <w:t xml:space="preserve"> reasonable information. This presumption can be rebutted</w:t>
      </w:r>
      <w:r>
        <w:rPr>
          <w:rFonts w:ascii="Avenir Next" w:hAnsi="Avenir Next" w:cs="Arial"/>
          <w:color w:val="7B7B7B" w:themeColor="accent3" w:themeShade="BF"/>
          <w:sz w:val="22"/>
          <w:szCs w:val="22"/>
          <w:lang w:val="en-GB"/>
        </w:rPr>
        <w:t xml:space="preserve"> </w:t>
      </w:r>
      <w:r w:rsidRPr="001F72A6">
        <w:rPr>
          <w:rFonts w:ascii="Avenir Next" w:hAnsi="Avenir Next" w:cs="Arial"/>
          <w:color w:val="7B7B7B" w:themeColor="accent3" w:themeShade="BF"/>
          <w:sz w:val="22"/>
          <w:szCs w:val="22"/>
          <w:lang w:val="en-GB"/>
        </w:rPr>
        <w:t>only by showing that a majority of the board in fact were not reasonably informed, did not</w:t>
      </w:r>
      <w:r>
        <w:rPr>
          <w:rFonts w:ascii="Avenir Next" w:hAnsi="Avenir Next" w:cs="Arial"/>
          <w:color w:val="7B7B7B" w:themeColor="accent3" w:themeShade="BF"/>
          <w:sz w:val="22"/>
          <w:szCs w:val="22"/>
          <w:lang w:val="en-GB"/>
        </w:rPr>
        <w:t xml:space="preserve"> </w:t>
      </w:r>
      <w:r w:rsidRPr="001F72A6">
        <w:rPr>
          <w:rFonts w:ascii="Avenir Next" w:hAnsi="Avenir Next" w:cs="Arial"/>
          <w:color w:val="7B7B7B" w:themeColor="accent3" w:themeShade="BF"/>
          <w:sz w:val="22"/>
          <w:szCs w:val="22"/>
          <w:lang w:val="en-GB"/>
        </w:rPr>
        <w:t>honestly believe that their decision was in the corporation’s best interest, or were not acting in</w:t>
      </w:r>
      <w:r>
        <w:rPr>
          <w:rFonts w:ascii="Avenir Next" w:hAnsi="Avenir Next" w:cs="Arial"/>
          <w:color w:val="7B7B7B" w:themeColor="accent3" w:themeShade="BF"/>
          <w:sz w:val="22"/>
          <w:szCs w:val="22"/>
          <w:lang w:val="en-GB"/>
        </w:rPr>
        <w:t xml:space="preserve"> </w:t>
      </w:r>
      <w:r w:rsidRPr="001F72A6">
        <w:rPr>
          <w:rFonts w:ascii="Avenir Next" w:hAnsi="Avenir Next" w:cs="Arial"/>
          <w:color w:val="7B7B7B" w:themeColor="accent3" w:themeShade="BF"/>
          <w:sz w:val="22"/>
          <w:szCs w:val="22"/>
          <w:lang w:val="en-GB"/>
        </w:rPr>
        <w:t>good faith. Unless the presumption is rebutted, the directors will not be liable in the absence of</w:t>
      </w:r>
      <w:r>
        <w:rPr>
          <w:rFonts w:ascii="Avenir Next" w:hAnsi="Avenir Next" w:cs="Arial"/>
          <w:color w:val="7B7B7B" w:themeColor="accent3" w:themeShade="BF"/>
          <w:sz w:val="22"/>
          <w:szCs w:val="22"/>
          <w:lang w:val="en-GB"/>
        </w:rPr>
        <w:t xml:space="preserve"> </w:t>
      </w:r>
      <w:r w:rsidRPr="001F72A6">
        <w:rPr>
          <w:rFonts w:ascii="Avenir Next" w:hAnsi="Avenir Next" w:cs="Arial"/>
          <w:color w:val="7B7B7B" w:themeColor="accent3" w:themeShade="BF"/>
          <w:sz w:val="22"/>
          <w:szCs w:val="22"/>
          <w:lang w:val="en-GB"/>
        </w:rPr>
        <w:t>a showing of gross negligence</w:t>
      </w:r>
      <w:r>
        <w:rPr>
          <w:rFonts w:ascii="Avenir Next" w:hAnsi="Avenir Next" w:cs="Arial"/>
          <w:color w:val="7B7B7B" w:themeColor="accent3" w:themeShade="BF"/>
          <w:sz w:val="22"/>
          <w:szCs w:val="22"/>
          <w:lang w:val="en-GB"/>
        </w:rPr>
        <w:t>”</w:t>
      </w:r>
      <w:r w:rsidRPr="001F72A6">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35"/>
      </w:r>
    </w:p>
    <w:p w14:paraId="4941EE0B" w14:textId="77777777" w:rsidR="004D5C5B" w:rsidRDefault="004D5C5B" w:rsidP="0060503C">
      <w:pPr>
        <w:jc w:val="both"/>
        <w:rPr>
          <w:rFonts w:ascii="Avenir Next" w:hAnsi="Avenir Next" w:cs="Arial"/>
          <w:color w:val="7B7B7B" w:themeColor="accent3" w:themeShade="BF"/>
          <w:sz w:val="22"/>
          <w:szCs w:val="22"/>
          <w:lang w:val="en-GB"/>
        </w:rPr>
      </w:pPr>
    </w:p>
    <w:p w14:paraId="417344D2" w14:textId="794EE582" w:rsidR="00E41578" w:rsidRPr="00E41578" w:rsidRDefault="00D5701A" w:rsidP="0060503C">
      <w:pPr>
        <w:jc w:val="both"/>
        <w:rPr>
          <w:rFonts w:ascii="Avenir Next" w:hAnsi="Avenir Next" w:cs="Arial"/>
          <w:color w:val="7B7B7B" w:themeColor="accent3" w:themeShade="BF"/>
          <w:sz w:val="22"/>
          <w:szCs w:val="22"/>
          <w:lang w:val="en-GB"/>
        </w:rPr>
      </w:pPr>
      <w:r w:rsidRPr="00D5701A">
        <w:rPr>
          <w:rFonts w:ascii="Avenir Next" w:hAnsi="Avenir Next" w:cs="Arial"/>
          <w:color w:val="7B7B7B" w:themeColor="accent3" w:themeShade="BF"/>
          <w:sz w:val="22"/>
          <w:szCs w:val="22"/>
          <w:lang w:val="en-GB"/>
        </w:rPr>
        <w:t>The fact that the</w:t>
      </w:r>
      <w:r w:rsidR="004D5C5B">
        <w:rPr>
          <w:rFonts w:ascii="Avenir Next" w:hAnsi="Avenir Next" w:cs="Arial"/>
          <w:color w:val="7B7B7B" w:themeColor="accent3" w:themeShade="BF"/>
          <w:sz w:val="22"/>
          <w:szCs w:val="22"/>
          <w:lang w:val="en-GB"/>
        </w:rPr>
        <w:t xml:space="preserve"> </w:t>
      </w:r>
      <w:r w:rsidRPr="00D5701A">
        <w:rPr>
          <w:rFonts w:ascii="Avenir Next" w:hAnsi="Avenir Next" w:cs="Arial"/>
          <w:color w:val="7B7B7B" w:themeColor="accent3" w:themeShade="BF"/>
          <w:sz w:val="22"/>
          <w:szCs w:val="22"/>
          <w:lang w:val="en-GB"/>
        </w:rPr>
        <w:t xml:space="preserve">corporation is potentially or </w:t>
      </w:r>
      <w:proofErr w:type="gramStart"/>
      <w:r w:rsidRPr="00D5701A">
        <w:rPr>
          <w:rFonts w:ascii="Avenir Next" w:hAnsi="Avenir Next" w:cs="Arial"/>
          <w:color w:val="7B7B7B" w:themeColor="accent3" w:themeShade="BF"/>
          <w:sz w:val="22"/>
          <w:szCs w:val="22"/>
          <w:lang w:val="en-GB"/>
        </w:rPr>
        <w:t>actually insolvent</w:t>
      </w:r>
      <w:proofErr w:type="gramEnd"/>
      <w:r w:rsidR="00FC4116">
        <w:rPr>
          <w:rFonts w:ascii="Avenir Next" w:hAnsi="Avenir Next" w:cs="Arial"/>
          <w:color w:val="7B7B7B" w:themeColor="accent3" w:themeShade="BF"/>
          <w:sz w:val="22"/>
          <w:szCs w:val="22"/>
          <w:lang w:val="en-GB"/>
        </w:rPr>
        <w:t xml:space="preserve"> </w:t>
      </w:r>
      <w:r w:rsidR="00FC4116" w:rsidRPr="00FC4116">
        <w:rPr>
          <w:rFonts w:ascii="Avenir Next" w:hAnsi="Avenir Next" w:cs="Arial"/>
          <w:color w:val="7B7B7B" w:themeColor="accent3" w:themeShade="BF"/>
          <w:sz w:val="22"/>
          <w:szCs w:val="22"/>
          <w:lang w:val="en-GB"/>
        </w:rPr>
        <w:t>does not affect the director's duties.</w:t>
      </w:r>
      <w:r w:rsidR="00A87775">
        <w:rPr>
          <w:rFonts w:ascii="Avenir Next" w:hAnsi="Avenir Next" w:cs="Arial"/>
          <w:color w:val="7B7B7B" w:themeColor="accent3" w:themeShade="BF"/>
          <w:sz w:val="22"/>
          <w:szCs w:val="22"/>
          <w:lang w:val="en-GB"/>
        </w:rPr>
        <w:t xml:space="preserve"> HALL indicates that “[d]</w:t>
      </w:r>
      <w:proofErr w:type="spellStart"/>
      <w:r w:rsidR="00A87775" w:rsidRPr="00A87775">
        <w:rPr>
          <w:rFonts w:ascii="Avenir Next" w:hAnsi="Avenir Next" w:cs="Arial"/>
          <w:color w:val="7B7B7B" w:themeColor="accent3" w:themeShade="BF"/>
          <w:sz w:val="22"/>
          <w:szCs w:val="22"/>
          <w:lang w:val="en-GB"/>
        </w:rPr>
        <w:t>irectors</w:t>
      </w:r>
      <w:proofErr w:type="spellEnd"/>
      <w:r w:rsidR="00A87775" w:rsidRPr="00A87775">
        <w:rPr>
          <w:rFonts w:ascii="Avenir Next" w:hAnsi="Avenir Next" w:cs="Arial"/>
          <w:color w:val="7B7B7B" w:themeColor="accent3" w:themeShade="BF"/>
          <w:sz w:val="22"/>
          <w:szCs w:val="22"/>
          <w:lang w:val="en-GB"/>
        </w:rPr>
        <w:t>’ duties are owed to the corporation and its shareholders, not to creditors</w:t>
      </w:r>
      <w:r w:rsidR="00A87775">
        <w:rPr>
          <w:rFonts w:ascii="Avenir Next" w:hAnsi="Avenir Next" w:cs="Arial"/>
          <w:color w:val="7B7B7B" w:themeColor="accent3" w:themeShade="BF"/>
          <w:sz w:val="22"/>
          <w:szCs w:val="22"/>
          <w:lang w:val="en-GB"/>
        </w:rPr>
        <w:t>”.</w:t>
      </w:r>
      <w:r w:rsidR="00A87775">
        <w:rPr>
          <w:rStyle w:val="Refdenotaderodap"/>
          <w:rFonts w:ascii="Avenir Next" w:hAnsi="Avenir Next" w:cs="Arial"/>
          <w:color w:val="7B7B7B" w:themeColor="accent3" w:themeShade="BF"/>
          <w:sz w:val="22"/>
          <w:szCs w:val="22"/>
          <w:lang w:val="en-GB"/>
        </w:rPr>
        <w:footnoteReference w:id="36"/>
      </w:r>
      <w:r w:rsidR="00051DED">
        <w:rPr>
          <w:rFonts w:ascii="Avenir Next" w:hAnsi="Avenir Next" w:cs="Arial"/>
          <w:color w:val="7B7B7B" w:themeColor="accent3" w:themeShade="BF"/>
          <w:sz w:val="22"/>
          <w:szCs w:val="22"/>
          <w:lang w:val="en-GB"/>
        </w:rPr>
        <w:t xml:space="preserve"> </w:t>
      </w:r>
      <w:r w:rsidR="000F1FEA">
        <w:rPr>
          <w:rFonts w:ascii="Avenir Next" w:hAnsi="Avenir Next" w:cs="Arial"/>
          <w:color w:val="7B7B7B" w:themeColor="accent3" w:themeShade="BF"/>
          <w:sz w:val="22"/>
          <w:szCs w:val="22"/>
          <w:lang w:val="en-GB"/>
        </w:rPr>
        <w:t xml:space="preserve">The Delaware Supreme Court held in </w:t>
      </w:r>
      <w:r w:rsidR="000F1FEA" w:rsidRPr="000F1FEA">
        <w:rPr>
          <w:rFonts w:ascii="Avenir Next" w:hAnsi="Avenir Next" w:cs="Arial"/>
          <w:color w:val="7B7B7B" w:themeColor="accent3" w:themeShade="BF"/>
          <w:sz w:val="22"/>
          <w:szCs w:val="22"/>
          <w:lang w:val="en-GB"/>
        </w:rPr>
        <w:t xml:space="preserve">North Am Catholic Educational Programming Foundation, Inc v </w:t>
      </w:r>
      <w:proofErr w:type="spellStart"/>
      <w:r w:rsidR="000F1FEA" w:rsidRPr="000F1FEA">
        <w:rPr>
          <w:rFonts w:ascii="Avenir Next" w:hAnsi="Avenir Next" w:cs="Arial"/>
          <w:color w:val="7B7B7B" w:themeColor="accent3" w:themeShade="BF"/>
          <w:sz w:val="22"/>
          <w:szCs w:val="22"/>
          <w:lang w:val="en-GB"/>
        </w:rPr>
        <w:t>Gheewalla</w:t>
      </w:r>
      <w:proofErr w:type="spellEnd"/>
      <w:r w:rsidR="000F1FEA" w:rsidRPr="000F1FEA">
        <w:rPr>
          <w:rFonts w:ascii="Avenir Next" w:hAnsi="Avenir Next" w:cs="Arial"/>
          <w:color w:val="7B7B7B" w:themeColor="accent3" w:themeShade="BF"/>
          <w:sz w:val="22"/>
          <w:szCs w:val="22"/>
          <w:lang w:val="en-GB"/>
        </w:rPr>
        <w:t>, 930 A.2d 92, 103 (Del 2007)</w:t>
      </w:r>
      <w:r w:rsidR="000F1FEA">
        <w:rPr>
          <w:rFonts w:ascii="Avenir Next" w:hAnsi="Avenir Next" w:cs="Arial"/>
          <w:color w:val="7B7B7B" w:themeColor="accent3" w:themeShade="BF"/>
          <w:sz w:val="22"/>
          <w:szCs w:val="22"/>
          <w:lang w:val="en-GB"/>
        </w:rPr>
        <w:t xml:space="preserve"> that </w:t>
      </w:r>
      <w:r w:rsidR="00981513" w:rsidRPr="00981513">
        <w:rPr>
          <w:rFonts w:ascii="Avenir Next" w:hAnsi="Avenir Next" w:cs="Arial"/>
          <w:color w:val="7B7B7B" w:themeColor="accent3" w:themeShade="BF"/>
          <w:sz w:val="22"/>
          <w:szCs w:val="22"/>
          <w:lang w:val="en-GB"/>
        </w:rPr>
        <w:t>directors of an insolvent corporation have no duties to the corporation's creditors.</w:t>
      </w:r>
      <w:r w:rsidR="00981513">
        <w:rPr>
          <w:rStyle w:val="Refdenotaderodap"/>
          <w:rFonts w:ascii="Avenir Next" w:hAnsi="Avenir Next" w:cs="Arial"/>
          <w:color w:val="7B7B7B" w:themeColor="accent3" w:themeShade="BF"/>
          <w:sz w:val="22"/>
          <w:szCs w:val="22"/>
          <w:lang w:val="en-GB"/>
        </w:rPr>
        <w:footnoteReference w:id="37"/>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4006AD13" w14:textId="2E1B9731" w:rsidR="00516CCC" w:rsidRDefault="00701E48" w:rsidP="000778B1">
      <w:pPr>
        <w:pStyle w:val="AODocTxt"/>
        <w:spacing w:before="0" w:line="240" w:lineRule="auto"/>
        <w:rPr>
          <w:rFonts w:ascii="Avenir Next" w:eastAsia="Times New Roman" w:hAnsi="Avenir Next" w:cs="Arial"/>
          <w:color w:val="7B7B7B" w:themeColor="accent3" w:themeShade="BF"/>
          <w:lang w:val="en-GB"/>
        </w:rPr>
      </w:pPr>
      <w:r w:rsidRPr="00701E48">
        <w:rPr>
          <w:rFonts w:ascii="Avenir Next" w:eastAsia="Times New Roman" w:hAnsi="Avenir Next" w:cs="Arial"/>
          <w:color w:val="7B7B7B" w:themeColor="accent3" w:themeShade="BF"/>
          <w:lang w:val="en-GB"/>
        </w:rPr>
        <w:t>A creditor or group of creditors may commence involuntary reorganization (chapter 11) or liquidation (chapter 7) proceedings against a particular debtor.</w:t>
      </w:r>
      <w:r>
        <w:rPr>
          <w:rStyle w:val="Refdenotaderodap"/>
          <w:rFonts w:ascii="Avenir Next" w:eastAsia="Times New Roman" w:hAnsi="Avenir Next" w:cs="Arial"/>
          <w:color w:val="7B7B7B" w:themeColor="accent3" w:themeShade="BF"/>
          <w:lang w:val="en-GB"/>
        </w:rPr>
        <w:footnoteReference w:id="38"/>
      </w:r>
      <w:r w:rsidRPr="00701E48">
        <w:rPr>
          <w:rFonts w:ascii="Avenir Next" w:eastAsia="Times New Roman" w:hAnsi="Avenir Next" w:cs="Arial"/>
          <w:color w:val="7B7B7B" w:themeColor="accent3" w:themeShade="BF"/>
          <w:lang w:val="en-GB"/>
        </w:rPr>
        <w:t xml:space="preserve"> The number of creditors needed to initiate an involuntary proceeding depends on the number of non-contingent and non-</w:t>
      </w:r>
      <w:r w:rsidR="003949E3">
        <w:rPr>
          <w:rFonts w:ascii="Avenir Next" w:eastAsia="Times New Roman" w:hAnsi="Avenir Next" w:cs="Arial"/>
          <w:color w:val="7B7B7B" w:themeColor="accent3" w:themeShade="BF"/>
          <w:lang w:val="en-GB"/>
        </w:rPr>
        <w:t>insider</w:t>
      </w:r>
      <w:r w:rsidRPr="00701E48">
        <w:rPr>
          <w:rFonts w:ascii="Avenir Next" w:eastAsia="Times New Roman" w:hAnsi="Avenir Next" w:cs="Arial"/>
          <w:color w:val="7B7B7B" w:themeColor="accent3" w:themeShade="BF"/>
          <w:lang w:val="en-GB"/>
        </w:rPr>
        <w:t xml:space="preserve"> creditors the debtor has. If the debtor has less than </w:t>
      </w:r>
      <w:r w:rsidR="003949E3">
        <w:rPr>
          <w:rFonts w:ascii="Avenir Next" w:eastAsia="Times New Roman" w:hAnsi="Avenir Next" w:cs="Arial"/>
          <w:color w:val="7B7B7B" w:themeColor="accent3" w:themeShade="BF"/>
          <w:lang w:val="en-GB"/>
        </w:rPr>
        <w:t>twelve</w:t>
      </w:r>
      <w:r w:rsidRPr="00701E48">
        <w:rPr>
          <w:rFonts w:ascii="Avenir Next" w:eastAsia="Times New Roman" w:hAnsi="Avenir Next" w:cs="Arial"/>
          <w:color w:val="7B7B7B" w:themeColor="accent3" w:themeShade="BF"/>
          <w:lang w:val="en-GB"/>
        </w:rPr>
        <w:t xml:space="preserve"> creditors under these conditions, a single creditor may </w:t>
      </w:r>
      <w:r w:rsidR="008E75B8">
        <w:rPr>
          <w:rFonts w:ascii="Avenir Next" w:eastAsia="Times New Roman" w:hAnsi="Avenir Next" w:cs="Arial"/>
          <w:color w:val="7B7B7B" w:themeColor="accent3" w:themeShade="BF"/>
          <w:lang w:val="en-GB"/>
        </w:rPr>
        <w:t>commence</w:t>
      </w:r>
      <w:r w:rsidRPr="00701E48">
        <w:rPr>
          <w:rFonts w:ascii="Avenir Next" w:eastAsia="Times New Roman" w:hAnsi="Avenir Next" w:cs="Arial"/>
          <w:color w:val="7B7B7B" w:themeColor="accent3" w:themeShade="BF"/>
          <w:lang w:val="en-GB"/>
        </w:rPr>
        <w:t xml:space="preserve"> an involuntary procedure. Otherwise, at least three creditors are needed to do so.</w:t>
      </w:r>
      <w:r w:rsidR="00516CCC">
        <w:rPr>
          <w:rStyle w:val="Refdenotaderodap"/>
          <w:rFonts w:ascii="Avenir Next" w:eastAsia="Times New Roman" w:hAnsi="Avenir Next" w:cs="Arial"/>
          <w:color w:val="7B7B7B" w:themeColor="accent3" w:themeShade="BF"/>
          <w:lang w:val="en-GB"/>
        </w:rPr>
        <w:footnoteReference w:id="39"/>
      </w:r>
    </w:p>
    <w:p w14:paraId="71C1E939" w14:textId="6288069F" w:rsidR="00A959F9" w:rsidRPr="00A959F9" w:rsidRDefault="00D2195A" w:rsidP="00A959F9">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lastRenderedPageBreak/>
        <w:t>T</w:t>
      </w:r>
      <w:r w:rsidRPr="00D2195A">
        <w:rPr>
          <w:rFonts w:ascii="Avenir Next" w:eastAsia="Times New Roman" w:hAnsi="Avenir Next" w:cs="Arial"/>
          <w:color w:val="7B7B7B" w:themeColor="accent3" w:themeShade="BF"/>
          <w:lang w:val="en-GB"/>
        </w:rPr>
        <w:t xml:space="preserve">he requirements that a creditor’s claim must </w:t>
      </w:r>
      <w:proofErr w:type="spellStart"/>
      <w:r w:rsidRPr="00D2195A">
        <w:rPr>
          <w:rFonts w:ascii="Avenir Next" w:eastAsia="Times New Roman" w:hAnsi="Avenir Next" w:cs="Arial"/>
          <w:color w:val="7B7B7B" w:themeColor="accent3" w:themeShade="BF"/>
          <w:lang w:val="en-GB"/>
        </w:rPr>
        <w:t>fulfill</w:t>
      </w:r>
      <w:proofErr w:type="spellEnd"/>
      <w:r w:rsidRPr="00D2195A">
        <w:rPr>
          <w:rFonts w:ascii="Avenir Next" w:eastAsia="Times New Roman" w:hAnsi="Avenir Next" w:cs="Arial"/>
          <w:color w:val="7B7B7B" w:themeColor="accent3" w:themeShade="BF"/>
          <w:lang w:val="en-GB"/>
        </w:rPr>
        <w:t xml:space="preserve"> in order to qualify as a petitioning creditor in an involuntary proceeding</w:t>
      </w:r>
      <w:r w:rsidR="00910439">
        <w:rPr>
          <w:rFonts w:ascii="Avenir Next" w:eastAsia="Times New Roman" w:hAnsi="Avenir Next" w:cs="Arial"/>
          <w:color w:val="7B7B7B" w:themeColor="accent3" w:themeShade="BF"/>
          <w:lang w:val="en-GB"/>
        </w:rPr>
        <w:t>, according to HALL,</w:t>
      </w:r>
      <w:r w:rsidR="00770E2F">
        <w:rPr>
          <w:rFonts w:ascii="Avenir Next" w:eastAsia="Times New Roman" w:hAnsi="Avenir Next" w:cs="Arial"/>
          <w:color w:val="7B7B7B" w:themeColor="accent3" w:themeShade="BF"/>
          <w:lang w:val="en-GB"/>
        </w:rPr>
        <w:t xml:space="preserve"> are: (a) “</w:t>
      </w:r>
      <w:r w:rsidR="00770E2F" w:rsidRPr="00770E2F">
        <w:rPr>
          <w:rFonts w:ascii="Avenir Next" w:eastAsia="Times New Roman" w:hAnsi="Avenir Next" w:cs="Arial"/>
          <w:color w:val="7B7B7B" w:themeColor="accent3" w:themeShade="BF"/>
          <w:lang w:val="en-GB"/>
        </w:rPr>
        <w:t>Non-contingent</w:t>
      </w:r>
      <w:r w:rsidR="00770E2F">
        <w:rPr>
          <w:rFonts w:ascii="Avenir Next" w:eastAsia="Times New Roman" w:hAnsi="Avenir Next" w:cs="Arial"/>
          <w:color w:val="7B7B7B" w:themeColor="accent3" w:themeShade="BF"/>
          <w:lang w:val="en-GB"/>
        </w:rPr>
        <w:t>”;</w:t>
      </w:r>
      <w:r w:rsidR="00770E2F">
        <w:rPr>
          <w:rStyle w:val="Refdenotaderodap"/>
          <w:rFonts w:ascii="Avenir Next" w:eastAsia="Times New Roman" w:hAnsi="Avenir Next" w:cs="Arial"/>
          <w:color w:val="7B7B7B" w:themeColor="accent3" w:themeShade="BF"/>
          <w:lang w:val="en-GB"/>
        </w:rPr>
        <w:footnoteReference w:id="40"/>
      </w:r>
      <w:r w:rsidR="00770E2F">
        <w:rPr>
          <w:rFonts w:ascii="Avenir Next" w:eastAsia="Times New Roman" w:hAnsi="Avenir Next" w:cs="Arial"/>
          <w:color w:val="7B7B7B" w:themeColor="accent3" w:themeShade="BF"/>
          <w:lang w:val="en-GB"/>
        </w:rPr>
        <w:t xml:space="preserve"> (b) </w:t>
      </w:r>
      <w:r w:rsidR="00910439">
        <w:rPr>
          <w:rFonts w:ascii="Avenir Next" w:eastAsia="Times New Roman" w:hAnsi="Avenir Next" w:cs="Arial"/>
          <w:color w:val="7B7B7B" w:themeColor="accent3" w:themeShade="BF"/>
          <w:lang w:val="en-GB"/>
        </w:rPr>
        <w:t>“</w:t>
      </w:r>
      <w:r w:rsidR="00910439" w:rsidRPr="00910439">
        <w:rPr>
          <w:rFonts w:ascii="Avenir Next" w:eastAsia="Times New Roman" w:hAnsi="Avenir Next" w:cs="Arial"/>
          <w:color w:val="7B7B7B" w:themeColor="accent3" w:themeShade="BF"/>
          <w:lang w:val="en-GB"/>
        </w:rPr>
        <w:t>Not the subject of bona fide dispute as to liability or amount</w:t>
      </w:r>
      <w:r w:rsidR="00910439">
        <w:rPr>
          <w:rFonts w:ascii="Avenir Next" w:eastAsia="Times New Roman" w:hAnsi="Avenir Next" w:cs="Arial"/>
          <w:color w:val="7B7B7B" w:themeColor="accent3" w:themeShade="BF"/>
          <w:lang w:val="en-GB"/>
        </w:rPr>
        <w:t>”;</w:t>
      </w:r>
      <w:r w:rsidR="00032A80">
        <w:rPr>
          <w:rStyle w:val="Refdenotaderodap"/>
          <w:rFonts w:ascii="Avenir Next" w:eastAsia="Times New Roman" w:hAnsi="Avenir Next" w:cs="Arial"/>
          <w:color w:val="7B7B7B" w:themeColor="accent3" w:themeShade="BF"/>
          <w:lang w:val="en-GB"/>
        </w:rPr>
        <w:footnoteReference w:id="41"/>
      </w:r>
      <w:r w:rsidR="00024765">
        <w:rPr>
          <w:rFonts w:ascii="Avenir Next" w:eastAsia="Times New Roman" w:hAnsi="Avenir Next" w:cs="Arial"/>
          <w:color w:val="7B7B7B" w:themeColor="accent3" w:themeShade="BF"/>
          <w:lang w:val="en-GB"/>
        </w:rPr>
        <w:t xml:space="preserve"> and (c) “</w:t>
      </w:r>
      <w:r w:rsidR="00024765" w:rsidRPr="00024765">
        <w:rPr>
          <w:rFonts w:ascii="Avenir Next" w:eastAsia="Times New Roman" w:hAnsi="Avenir Next" w:cs="Arial"/>
          <w:color w:val="7B7B7B" w:themeColor="accent3" w:themeShade="BF"/>
          <w:lang w:val="en-GB"/>
        </w:rPr>
        <w:t xml:space="preserve">Unsecured or </w:t>
      </w:r>
      <w:proofErr w:type="spellStart"/>
      <w:r w:rsidR="00024765" w:rsidRPr="00024765">
        <w:rPr>
          <w:rFonts w:ascii="Avenir Next" w:eastAsia="Times New Roman" w:hAnsi="Avenir Next" w:cs="Arial"/>
          <w:color w:val="7B7B7B" w:themeColor="accent3" w:themeShade="BF"/>
          <w:lang w:val="en-GB"/>
        </w:rPr>
        <w:t>undersecured</w:t>
      </w:r>
      <w:proofErr w:type="spellEnd"/>
      <w:r w:rsidR="00024765" w:rsidRPr="00024765">
        <w:rPr>
          <w:rFonts w:ascii="Avenir Next" w:eastAsia="Times New Roman" w:hAnsi="Avenir Next" w:cs="Arial"/>
          <w:color w:val="7B7B7B" w:themeColor="accent3" w:themeShade="BF"/>
          <w:lang w:val="en-GB"/>
        </w:rPr>
        <w:t>, separately or in the aggregate with all other petitioning</w:t>
      </w:r>
      <w:r w:rsidR="00024765">
        <w:rPr>
          <w:rFonts w:ascii="Avenir Next" w:eastAsia="Times New Roman" w:hAnsi="Avenir Next" w:cs="Arial"/>
          <w:color w:val="7B7B7B" w:themeColor="accent3" w:themeShade="BF"/>
          <w:lang w:val="en-GB"/>
        </w:rPr>
        <w:t xml:space="preserve"> </w:t>
      </w:r>
      <w:r w:rsidR="00024765" w:rsidRPr="00024765">
        <w:rPr>
          <w:rFonts w:ascii="Avenir Next" w:eastAsia="Times New Roman" w:hAnsi="Avenir Next" w:cs="Arial"/>
          <w:color w:val="7B7B7B" w:themeColor="accent3" w:themeShade="BF"/>
          <w:lang w:val="en-GB"/>
        </w:rPr>
        <w:t>creditors’ claims, in the amount of at least USD 16,750 (this amount is periodically increased</w:t>
      </w:r>
      <w:r w:rsidR="00024765">
        <w:rPr>
          <w:rFonts w:ascii="Avenir Next" w:eastAsia="Times New Roman" w:hAnsi="Avenir Next" w:cs="Arial"/>
          <w:color w:val="7B7B7B" w:themeColor="accent3" w:themeShade="BF"/>
          <w:lang w:val="en-GB"/>
        </w:rPr>
        <w:t xml:space="preserve"> </w:t>
      </w:r>
      <w:r w:rsidR="00024765" w:rsidRPr="00024765">
        <w:rPr>
          <w:rFonts w:ascii="Avenir Next" w:eastAsia="Times New Roman" w:hAnsi="Avenir Next" w:cs="Arial"/>
          <w:color w:val="7B7B7B" w:themeColor="accent3" w:themeShade="BF"/>
          <w:lang w:val="en-GB"/>
        </w:rPr>
        <w:t>due to inflation)</w:t>
      </w:r>
      <w:r w:rsidR="00024765">
        <w:rPr>
          <w:rFonts w:ascii="Avenir Next" w:eastAsia="Times New Roman" w:hAnsi="Avenir Next" w:cs="Arial"/>
          <w:color w:val="7B7B7B" w:themeColor="accent3" w:themeShade="BF"/>
          <w:lang w:val="en-GB"/>
        </w:rPr>
        <w:t>”.</w:t>
      </w:r>
      <w:r w:rsidR="00024765">
        <w:rPr>
          <w:rStyle w:val="Refdenotaderodap"/>
          <w:rFonts w:ascii="Avenir Next" w:eastAsia="Times New Roman" w:hAnsi="Avenir Next" w:cs="Arial"/>
          <w:color w:val="7B7B7B" w:themeColor="accent3" w:themeShade="BF"/>
          <w:lang w:val="en-GB"/>
        </w:rPr>
        <w:footnoteReference w:id="42"/>
      </w:r>
    </w:p>
    <w:p w14:paraId="5223F7B6" w14:textId="6A7A24CD" w:rsidR="006B01AA" w:rsidRDefault="00A959F9" w:rsidP="00F5586A">
      <w:pPr>
        <w:pStyle w:val="AODocTxt"/>
        <w:rPr>
          <w:rFonts w:ascii="Avenir Next" w:eastAsia="Times New Roman" w:hAnsi="Avenir Next" w:cs="Arial"/>
          <w:color w:val="7B7B7B" w:themeColor="accent3" w:themeShade="BF"/>
          <w:lang w:val="en-GB"/>
        </w:rPr>
      </w:pPr>
      <w:r w:rsidRPr="00A959F9">
        <w:rPr>
          <w:rFonts w:ascii="Avenir Next" w:eastAsia="Times New Roman" w:hAnsi="Avenir Next" w:cs="Arial"/>
          <w:color w:val="7B7B7B" w:themeColor="accent3" w:themeShade="BF"/>
          <w:lang w:val="en-GB"/>
        </w:rPr>
        <w:t>For the first requirement to be met, the creditor's claim must be non-contingent. A non-contingent claim is one that does not depend on the occurrence of a future event to be enforceable.</w:t>
      </w:r>
      <w:r w:rsidR="00F5586A">
        <w:rPr>
          <w:rStyle w:val="Refdenotaderodap"/>
          <w:rFonts w:ascii="Avenir Next" w:eastAsia="Times New Roman" w:hAnsi="Avenir Next" w:cs="Arial"/>
          <w:color w:val="7B7B7B" w:themeColor="accent3" w:themeShade="BF"/>
          <w:lang w:val="en-GB"/>
        </w:rPr>
        <w:footnoteReference w:id="43"/>
      </w:r>
      <w:r w:rsidRPr="00A959F9">
        <w:rPr>
          <w:rFonts w:ascii="Avenir Next" w:eastAsia="Times New Roman" w:hAnsi="Avenir Next" w:cs="Arial"/>
          <w:color w:val="7B7B7B" w:themeColor="accent3" w:themeShade="BF"/>
          <w:lang w:val="en-GB"/>
        </w:rPr>
        <w:t xml:space="preserve"> Even so. HALL points out that </w:t>
      </w:r>
      <w:r w:rsidR="00F5586A">
        <w:rPr>
          <w:rFonts w:ascii="Avenir Next" w:eastAsia="Times New Roman" w:hAnsi="Avenir Next" w:cs="Arial"/>
          <w:color w:val="7B7B7B" w:themeColor="accent3" w:themeShade="BF"/>
          <w:lang w:val="en-GB"/>
        </w:rPr>
        <w:t>“[a]</w:t>
      </w:r>
      <w:r w:rsidR="00F5586A" w:rsidRPr="00F5586A">
        <w:rPr>
          <w:rFonts w:ascii="Avenir Next" w:eastAsia="Times New Roman" w:hAnsi="Avenir Next" w:cs="Arial"/>
          <w:color w:val="7B7B7B" w:themeColor="accent3" w:themeShade="BF"/>
          <w:lang w:val="en-GB"/>
        </w:rPr>
        <w:t xml:space="preserve"> debt that is unmatured (because the payment is due in the future) is not contingent if</w:t>
      </w:r>
      <w:r w:rsidR="00F5586A">
        <w:rPr>
          <w:rFonts w:ascii="Avenir Next" w:eastAsia="Times New Roman" w:hAnsi="Avenir Next" w:cs="Arial"/>
          <w:color w:val="7B7B7B" w:themeColor="accent3" w:themeShade="BF"/>
          <w:lang w:val="en-GB"/>
        </w:rPr>
        <w:t xml:space="preserve"> </w:t>
      </w:r>
      <w:r w:rsidR="00F5586A" w:rsidRPr="00F5586A">
        <w:rPr>
          <w:rFonts w:ascii="Avenir Next" w:eastAsia="Times New Roman" w:hAnsi="Avenir Next" w:cs="Arial"/>
          <w:color w:val="7B7B7B" w:themeColor="accent3" w:themeShade="BF"/>
          <w:lang w:val="en-GB"/>
        </w:rPr>
        <w:t>all requirements for liability, other than the passage of time, have occurred</w:t>
      </w:r>
      <w:r w:rsidRPr="00A959F9">
        <w:rPr>
          <w:rFonts w:ascii="Avenir Next" w:eastAsia="Times New Roman" w:hAnsi="Avenir Next" w:cs="Arial"/>
          <w:color w:val="7B7B7B" w:themeColor="accent3" w:themeShade="BF"/>
          <w:lang w:val="en-GB"/>
        </w:rPr>
        <w:t>".</w:t>
      </w:r>
      <w:r w:rsidR="00F5586A">
        <w:rPr>
          <w:rStyle w:val="Refdenotaderodap"/>
          <w:rFonts w:ascii="Avenir Next" w:eastAsia="Times New Roman" w:hAnsi="Avenir Next" w:cs="Arial"/>
          <w:color w:val="7B7B7B" w:themeColor="accent3" w:themeShade="BF"/>
          <w:lang w:val="en-GB"/>
        </w:rPr>
        <w:footnoteReference w:id="44"/>
      </w:r>
    </w:p>
    <w:p w14:paraId="48CEC637" w14:textId="7D6C8178" w:rsidR="00F5586A" w:rsidRDefault="003F7A8B" w:rsidP="001D252F">
      <w:pPr>
        <w:pStyle w:val="AODocTxt"/>
        <w:rPr>
          <w:rFonts w:ascii="Avenir Next" w:eastAsia="Times New Roman" w:hAnsi="Avenir Next" w:cs="Arial"/>
          <w:color w:val="7B7B7B" w:themeColor="accent3" w:themeShade="BF"/>
          <w:lang w:val="en-GB"/>
        </w:rPr>
      </w:pPr>
      <w:r w:rsidRPr="003F7A8B">
        <w:rPr>
          <w:rFonts w:ascii="Avenir Next" w:eastAsia="Times New Roman" w:hAnsi="Avenir Next" w:cs="Arial"/>
          <w:color w:val="7B7B7B" w:themeColor="accent3" w:themeShade="BF"/>
          <w:lang w:val="en-GB"/>
        </w:rPr>
        <w:t xml:space="preserve">As for the second requirement, it is observed that the responsibility or value of the claim cannot be the </w:t>
      </w:r>
      <w:r w:rsidRPr="00910439">
        <w:rPr>
          <w:rFonts w:ascii="Avenir Next" w:eastAsia="Times New Roman" w:hAnsi="Avenir Next" w:cs="Arial"/>
          <w:color w:val="7B7B7B" w:themeColor="accent3" w:themeShade="BF"/>
          <w:lang w:val="en-GB"/>
        </w:rPr>
        <w:t>subject of bona fide dispute</w:t>
      </w:r>
      <w:r w:rsidRPr="003F7A8B">
        <w:rPr>
          <w:rFonts w:ascii="Avenir Next" w:eastAsia="Times New Roman" w:hAnsi="Avenir Next" w:cs="Arial"/>
          <w:color w:val="7B7B7B" w:themeColor="accent3" w:themeShade="BF"/>
          <w:lang w:val="en-GB"/>
        </w:rPr>
        <w:t>.</w:t>
      </w:r>
      <w:r>
        <w:rPr>
          <w:rFonts w:ascii="Avenir Next" w:eastAsia="Times New Roman" w:hAnsi="Avenir Next" w:cs="Arial"/>
          <w:color w:val="7B7B7B" w:themeColor="accent3" w:themeShade="BF"/>
          <w:lang w:val="en-GB"/>
        </w:rPr>
        <w:t xml:space="preserve"> </w:t>
      </w:r>
      <w:r w:rsidR="0091658B">
        <w:rPr>
          <w:rFonts w:ascii="Avenir Next" w:eastAsia="Times New Roman" w:hAnsi="Avenir Next" w:cs="Arial"/>
          <w:color w:val="7B7B7B" w:themeColor="accent3" w:themeShade="BF"/>
          <w:lang w:val="en-GB"/>
        </w:rPr>
        <w:t>According to HALL, “[a]</w:t>
      </w:r>
      <w:r w:rsidR="0091658B" w:rsidRPr="0091658B">
        <w:rPr>
          <w:rFonts w:ascii="Avenir Next" w:eastAsia="Times New Roman" w:hAnsi="Avenir Next" w:cs="Arial"/>
          <w:color w:val="7B7B7B" w:themeColor="accent3" w:themeShade="BF"/>
          <w:lang w:val="en-GB"/>
        </w:rPr>
        <w:t xml:space="preserve"> bona fide dispute exists if there is an objectively reasonable basis for a dispute as a</w:t>
      </w:r>
      <w:r w:rsidR="0091658B">
        <w:rPr>
          <w:rFonts w:ascii="Avenir Next" w:eastAsia="Times New Roman" w:hAnsi="Avenir Next" w:cs="Arial"/>
          <w:color w:val="7B7B7B" w:themeColor="accent3" w:themeShade="BF"/>
          <w:lang w:val="en-GB"/>
        </w:rPr>
        <w:t xml:space="preserve"> </w:t>
      </w:r>
      <w:r w:rsidR="0091658B" w:rsidRPr="0091658B">
        <w:rPr>
          <w:rFonts w:ascii="Avenir Next" w:eastAsia="Times New Roman" w:hAnsi="Avenir Next" w:cs="Arial"/>
          <w:color w:val="7B7B7B" w:themeColor="accent3" w:themeShade="BF"/>
          <w:lang w:val="en-GB"/>
        </w:rPr>
        <w:t xml:space="preserve">matter of fact or law; the debtor’s subjective belief that the debt is not </w:t>
      </w:r>
      <w:proofErr w:type="gramStart"/>
      <w:r w:rsidR="0091658B" w:rsidRPr="0091658B">
        <w:rPr>
          <w:rFonts w:ascii="Avenir Next" w:eastAsia="Times New Roman" w:hAnsi="Avenir Next" w:cs="Arial"/>
          <w:color w:val="7B7B7B" w:themeColor="accent3" w:themeShade="BF"/>
          <w:lang w:val="en-GB"/>
        </w:rPr>
        <w:t>owed</w:t>
      </w:r>
      <w:proofErr w:type="gramEnd"/>
      <w:r w:rsidR="0091658B" w:rsidRPr="0091658B">
        <w:rPr>
          <w:rFonts w:ascii="Avenir Next" w:eastAsia="Times New Roman" w:hAnsi="Avenir Next" w:cs="Arial"/>
          <w:color w:val="7B7B7B" w:themeColor="accent3" w:themeShade="BF"/>
          <w:lang w:val="en-GB"/>
        </w:rPr>
        <w:t xml:space="preserve"> or the</w:t>
      </w:r>
      <w:r w:rsidR="0091658B">
        <w:rPr>
          <w:rFonts w:ascii="Avenir Next" w:eastAsia="Times New Roman" w:hAnsi="Avenir Next" w:cs="Arial"/>
          <w:color w:val="7B7B7B" w:themeColor="accent3" w:themeShade="BF"/>
          <w:lang w:val="en-GB"/>
        </w:rPr>
        <w:t xml:space="preserve"> </w:t>
      </w:r>
      <w:r w:rsidR="0091658B" w:rsidRPr="0091658B">
        <w:rPr>
          <w:rFonts w:ascii="Avenir Next" w:eastAsia="Times New Roman" w:hAnsi="Avenir Next" w:cs="Arial"/>
          <w:color w:val="7B7B7B" w:themeColor="accent3" w:themeShade="BF"/>
          <w:lang w:val="en-GB"/>
        </w:rPr>
        <w:t>amount claimed is incorrect is not sufficient</w:t>
      </w:r>
      <w:r w:rsidR="0091658B">
        <w:rPr>
          <w:rFonts w:ascii="Avenir Next" w:eastAsia="Times New Roman" w:hAnsi="Avenir Next" w:cs="Arial"/>
          <w:color w:val="7B7B7B" w:themeColor="accent3" w:themeShade="BF"/>
          <w:lang w:val="en-GB"/>
        </w:rPr>
        <w:t>”.</w:t>
      </w:r>
      <w:r w:rsidR="0091658B">
        <w:rPr>
          <w:rStyle w:val="Refdenotaderodap"/>
          <w:rFonts w:ascii="Avenir Next" w:eastAsia="Times New Roman" w:hAnsi="Avenir Next" w:cs="Arial"/>
          <w:color w:val="7B7B7B" w:themeColor="accent3" w:themeShade="BF"/>
          <w:lang w:val="en-GB"/>
        </w:rPr>
        <w:footnoteReference w:id="45"/>
      </w:r>
      <w:r w:rsidR="00593D23">
        <w:rPr>
          <w:rFonts w:ascii="Avenir Next" w:eastAsia="Times New Roman" w:hAnsi="Avenir Next" w:cs="Arial"/>
          <w:color w:val="7B7B7B" w:themeColor="accent3" w:themeShade="BF"/>
          <w:lang w:val="en-GB"/>
        </w:rPr>
        <w:t xml:space="preserve"> </w:t>
      </w:r>
      <w:r w:rsidR="00593D23" w:rsidRPr="00593D23">
        <w:rPr>
          <w:rFonts w:ascii="Avenir Next" w:eastAsia="Times New Roman" w:hAnsi="Avenir Next" w:cs="Arial"/>
          <w:color w:val="7B7B7B" w:themeColor="accent3" w:themeShade="BF"/>
          <w:lang w:val="en-GB"/>
        </w:rPr>
        <w:t>In other words, the debtor cannot have justifiable reasons to challenge a claim.</w:t>
      </w:r>
      <w:r w:rsidR="001D252F">
        <w:rPr>
          <w:rFonts w:ascii="Avenir Next" w:eastAsia="Times New Roman" w:hAnsi="Avenir Next" w:cs="Arial"/>
          <w:color w:val="7B7B7B" w:themeColor="accent3" w:themeShade="BF"/>
          <w:lang w:val="en-GB"/>
        </w:rPr>
        <w:t xml:space="preserve"> </w:t>
      </w:r>
      <w:r w:rsidR="001D252F" w:rsidRPr="001D252F">
        <w:rPr>
          <w:rFonts w:ascii="Avenir Next" w:eastAsia="Times New Roman" w:hAnsi="Avenir Next" w:cs="Arial"/>
          <w:color w:val="7B7B7B" w:themeColor="accent3" w:themeShade="BF"/>
          <w:lang w:val="en-GB"/>
        </w:rPr>
        <w:t>Even if the dispute involves only part of the claim, the creditor cannot use the undisputed portion to initiate involuntary proceedings. However, other undisputed creditor claims are not disqualified because of disputes of other claims held by the same creditor.</w:t>
      </w:r>
      <w:r w:rsidR="001D252F">
        <w:rPr>
          <w:rStyle w:val="Refdenotaderodap"/>
          <w:rFonts w:ascii="Avenir Next" w:eastAsia="Times New Roman" w:hAnsi="Avenir Next" w:cs="Arial"/>
          <w:color w:val="7B7B7B" w:themeColor="accent3" w:themeShade="BF"/>
          <w:lang w:val="en-GB"/>
        </w:rPr>
        <w:footnoteReference w:id="46"/>
      </w:r>
    </w:p>
    <w:p w14:paraId="6C088D93" w14:textId="7AFFC52C" w:rsidR="000747B3" w:rsidRDefault="00CD41B7" w:rsidP="001D252F">
      <w:pPr>
        <w:pStyle w:val="AODocTxt"/>
        <w:rPr>
          <w:rFonts w:ascii="Avenir Next" w:eastAsia="Times New Roman" w:hAnsi="Avenir Next" w:cs="Arial"/>
          <w:color w:val="7B7B7B" w:themeColor="accent3" w:themeShade="BF"/>
          <w:lang w:val="en-GB"/>
        </w:rPr>
      </w:pPr>
      <w:r w:rsidRPr="00CD41B7">
        <w:rPr>
          <w:rFonts w:ascii="Avenir Next" w:eastAsia="Times New Roman" w:hAnsi="Avenir Next" w:cs="Arial"/>
          <w:color w:val="7B7B7B" w:themeColor="accent3" w:themeShade="BF"/>
          <w:lang w:val="en-GB"/>
        </w:rPr>
        <w:t xml:space="preserve">The third and final requirement involves the need for creditors, separately or jointly, to demonstrate that they have </w:t>
      </w:r>
      <w:r>
        <w:rPr>
          <w:rFonts w:ascii="Avenir Next" w:eastAsia="Times New Roman" w:hAnsi="Avenir Next" w:cs="Arial"/>
          <w:color w:val="7B7B7B" w:themeColor="accent3" w:themeShade="BF"/>
          <w:lang w:val="en-GB"/>
        </w:rPr>
        <w:t>claims</w:t>
      </w:r>
      <w:r w:rsidRPr="00CD41B7">
        <w:rPr>
          <w:rFonts w:ascii="Avenir Next" w:eastAsia="Times New Roman" w:hAnsi="Avenir Next" w:cs="Arial"/>
          <w:color w:val="7B7B7B" w:themeColor="accent3" w:themeShade="BF"/>
          <w:lang w:val="en-GB"/>
        </w:rPr>
        <w:t xml:space="preserve"> in a minimum amount, which is updated periodically.</w:t>
      </w:r>
      <w:r>
        <w:rPr>
          <w:rFonts w:ascii="Avenir Next" w:eastAsia="Times New Roman" w:hAnsi="Avenir Next" w:cs="Arial"/>
          <w:color w:val="7B7B7B" w:themeColor="accent3" w:themeShade="BF"/>
          <w:lang w:val="en-GB"/>
        </w:rPr>
        <w:t xml:space="preserve"> </w:t>
      </w:r>
      <w:r w:rsidR="00527AC1">
        <w:rPr>
          <w:rFonts w:ascii="Avenir Next" w:eastAsia="Times New Roman" w:hAnsi="Avenir Next" w:cs="Arial"/>
          <w:color w:val="7B7B7B" w:themeColor="accent3" w:themeShade="BF"/>
          <w:lang w:val="en-GB"/>
        </w:rPr>
        <w:t xml:space="preserve">HALL indicates </w:t>
      </w:r>
      <w:proofErr w:type="gramStart"/>
      <w:r w:rsidR="00527AC1">
        <w:rPr>
          <w:rFonts w:ascii="Avenir Next" w:eastAsia="Times New Roman" w:hAnsi="Avenir Next" w:cs="Arial"/>
          <w:color w:val="7B7B7B" w:themeColor="accent3" w:themeShade="BF"/>
          <w:lang w:val="en-GB"/>
        </w:rPr>
        <w:t>that</w:t>
      </w:r>
      <w:proofErr w:type="gramEnd"/>
      <w:r w:rsidR="00527AC1">
        <w:rPr>
          <w:rFonts w:ascii="Avenir Next" w:eastAsia="Times New Roman" w:hAnsi="Avenir Next" w:cs="Arial"/>
          <w:color w:val="7B7B7B" w:themeColor="accent3" w:themeShade="BF"/>
          <w:lang w:val="en-GB"/>
        </w:rPr>
        <w:t xml:space="preserve"> </w:t>
      </w:r>
    </w:p>
    <w:p w14:paraId="20686074" w14:textId="47F90D4C" w:rsidR="00527AC1" w:rsidRDefault="00CE2F5F" w:rsidP="00CE2F5F">
      <w:pPr>
        <w:pStyle w:val="AODocTxt"/>
        <w:ind w:left="720"/>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w:t>
      </w:r>
      <w:r w:rsidRPr="00CE2F5F">
        <w:rPr>
          <w:rFonts w:ascii="Avenir Next" w:eastAsia="Times New Roman" w:hAnsi="Avenir Next" w:cs="Arial"/>
          <w:color w:val="7B7B7B" w:themeColor="accent3" w:themeShade="BF"/>
          <w:lang w:val="en-GB"/>
        </w:rPr>
        <w:t>Unlike the voluntary petition, which requires no allegation of insolvency, the involuntary petition</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form requires the petitioning creditors to allege either that the debtor is generally not paying its</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debts as they become due, unless they are the subject of a bona fide dispute as to liability or</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 xml:space="preserve">amount or that, </w:t>
      </w:r>
      <w:r w:rsidR="00C37D94">
        <w:rPr>
          <w:rFonts w:ascii="Avenir Next" w:eastAsia="Times New Roman" w:hAnsi="Avenir Next" w:cs="Arial"/>
          <w:color w:val="7B7B7B" w:themeColor="accent3" w:themeShade="BF"/>
          <w:lang w:val="en-GB"/>
        </w:rPr>
        <w:t>‘</w:t>
      </w:r>
      <w:r w:rsidRPr="00CE2F5F">
        <w:rPr>
          <w:rFonts w:ascii="Avenir Next" w:eastAsia="Times New Roman" w:hAnsi="Avenir Next" w:cs="Arial"/>
          <w:color w:val="7B7B7B" w:themeColor="accent3" w:themeShade="BF"/>
          <w:lang w:val="en-GB"/>
        </w:rPr>
        <w:t>within 120 days before the filing of this petition, a custodian, other than a</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trustee, receiver, or an agent appointed or authorized to take charge of less than substantially</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all of the property of the debtor for the purpose of enforcing a lien against such property, was</w:t>
      </w:r>
      <w:r>
        <w:rPr>
          <w:rFonts w:ascii="Avenir Next" w:eastAsia="Times New Roman" w:hAnsi="Avenir Next" w:cs="Arial"/>
          <w:color w:val="7B7B7B" w:themeColor="accent3" w:themeShade="BF"/>
          <w:lang w:val="en-GB"/>
        </w:rPr>
        <w:t xml:space="preserve"> </w:t>
      </w:r>
      <w:r w:rsidRPr="00CE2F5F">
        <w:rPr>
          <w:rFonts w:ascii="Avenir Next" w:eastAsia="Times New Roman" w:hAnsi="Avenir Next" w:cs="Arial"/>
          <w:color w:val="7B7B7B" w:themeColor="accent3" w:themeShade="BF"/>
          <w:lang w:val="en-GB"/>
        </w:rPr>
        <w:t>appointed or took possession</w:t>
      </w:r>
      <w:r>
        <w:rPr>
          <w:rFonts w:ascii="Avenir Next" w:eastAsia="Times New Roman" w:hAnsi="Avenir Next" w:cs="Arial"/>
          <w:color w:val="7B7B7B" w:themeColor="accent3" w:themeShade="BF"/>
          <w:lang w:val="en-GB"/>
        </w:rPr>
        <w:t>’”.</w:t>
      </w:r>
      <w:r>
        <w:rPr>
          <w:rStyle w:val="Refdenotaderodap"/>
          <w:rFonts w:ascii="Avenir Next" w:eastAsia="Times New Roman" w:hAnsi="Avenir Next" w:cs="Arial"/>
          <w:color w:val="7B7B7B" w:themeColor="accent3" w:themeShade="BF"/>
          <w:lang w:val="en-GB"/>
        </w:rPr>
        <w:footnoteReference w:id="47"/>
      </w:r>
    </w:p>
    <w:p w14:paraId="3648919D" w14:textId="77777777" w:rsidR="009D04E5" w:rsidRDefault="009D04E5" w:rsidP="000778B1">
      <w:pPr>
        <w:pStyle w:val="AODocTxt"/>
        <w:spacing w:before="0" w:line="240" w:lineRule="auto"/>
        <w:rPr>
          <w:rFonts w:ascii="Avenir Next" w:eastAsia="Times New Roman" w:hAnsi="Avenir Next" w:cs="Arial"/>
          <w:color w:val="7B7B7B" w:themeColor="accent3" w:themeShade="BF"/>
          <w:lang w:val="en-GB"/>
        </w:rPr>
      </w:pPr>
    </w:p>
    <w:p w14:paraId="5157B954" w14:textId="445F9698" w:rsidR="00F03051" w:rsidRDefault="009D04E5" w:rsidP="000778B1">
      <w:pPr>
        <w:pStyle w:val="AODocTxt"/>
        <w:spacing w:before="0" w:line="240" w:lineRule="auto"/>
        <w:rPr>
          <w:rFonts w:ascii="Avenir Next" w:eastAsia="Times New Roman" w:hAnsi="Avenir Next" w:cs="Arial"/>
          <w:color w:val="7B7B7B" w:themeColor="accent3" w:themeShade="BF"/>
          <w:lang w:val="en-GB"/>
        </w:rPr>
      </w:pPr>
      <w:r w:rsidRPr="009D04E5">
        <w:rPr>
          <w:rFonts w:ascii="Avenir Next" w:eastAsia="Times New Roman" w:hAnsi="Avenir Next" w:cs="Arial"/>
          <w:color w:val="7B7B7B" w:themeColor="accent3" w:themeShade="BF"/>
          <w:lang w:val="en-GB"/>
        </w:rPr>
        <w:t xml:space="preserve">Therefore, </w:t>
      </w:r>
      <w:r w:rsidR="001B1271" w:rsidRPr="001B1271">
        <w:rPr>
          <w:rFonts w:ascii="Avenir Next" w:eastAsia="Times New Roman" w:hAnsi="Avenir Next" w:cs="Arial"/>
          <w:color w:val="7B7B7B" w:themeColor="accent3" w:themeShade="BF"/>
          <w:lang w:val="en-GB"/>
        </w:rPr>
        <w:t>to qualify as a petitioning creditor in an involuntary proceeding</w:t>
      </w:r>
      <w:r w:rsidRPr="009D04E5">
        <w:rPr>
          <w:rFonts w:ascii="Avenir Next" w:eastAsia="Times New Roman" w:hAnsi="Avenir Next" w:cs="Arial"/>
          <w:color w:val="7B7B7B" w:themeColor="accent3" w:themeShade="BF"/>
          <w:lang w:val="en-GB"/>
        </w:rPr>
        <w:t xml:space="preserve">, their claims must be non-contingent, their claim cannot be the </w:t>
      </w:r>
      <w:r w:rsidR="00DE5951" w:rsidRPr="00DE5951">
        <w:rPr>
          <w:rFonts w:ascii="Avenir Next" w:eastAsia="Times New Roman" w:hAnsi="Avenir Next" w:cs="Arial"/>
          <w:color w:val="7B7B7B" w:themeColor="accent3" w:themeShade="BF"/>
          <w:lang w:val="en-GB"/>
        </w:rPr>
        <w:t>subject of bona fide dispute as to liability or amount</w:t>
      </w:r>
      <w:r w:rsidRPr="009D04E5">
        <w:rPr>
          <w:rFonts w:ascii="Avenir Next" w:eastAsia="Times New Roman" w:hAnsi="Avenir Next" w:cs="Arial"/>
          <w:color w:val="7B7B7B" w:themeColor="accent3" w:themeShade="BF"/>
          <w:lang w:val="en-GB"/>
        </w:rPr>
        <w:t xml:space="preserve">, and they must demonstrate that the </w:t>
      </w:r>
      <w:r w:rsidR="00480ECB">
        <w:rPr>
          <w:rFonts w:ascii="Avenir Next" w:eastAsia="Times New Roman" w:hAnsi="Avenir Next" w:cs="Arial"/>
          <w:color w:val="7B7B7B" w:themeColor="accent3" w:themeShade="BF"/>
          <w:lang w:val="en-GB"/>
        </w:rPr>
        <w:t>debtor</w:t>
      </w:r>
      <w:r w:rsidRPr="009D04E5">
        <w:rPr>
          <w:rFonts w:ascii="Avenir Next" w:eastAsia="Times New Roman" w:hAnsi="Avenir Next" w:cs="Arial"/>
          <w:color w:val="7B7B7B" w:themeColor="accent3" w:themeShade="BF"/>
          <w:lang w:val="en-GB"/>
        </w:rPr>
        <w:t xml:space="preserve"> is insolvent, </w:t>
      </w:r>
      <w:r w:rsidR="00E3250B" w:rsidRPr="00E3250B">
        <w:rPr>
          <w:rFonts w:ascii="Avenir Next" w:eastAsia="Times New Roman" w:hAnsi="Avenir Next" w:cs="Arial"/>
          <w:color w:val="7B7B7B" w:themeColor="accent3" w:themeShade="BF"/>
          <w:lang w:val="en-GB"/>
        </w:rPr>
        <w:t xml:space="preserve">in this case, demonstrating that, without justification, it failed to pay claims </w:t>
      </w:r>
      <w:r w:rsidR="00E3250B" w:rsidRPr="00E3250B">
        <w:rPr>
          <w:rFonts w:ascii="Avenir Next" w:eastAsia="Times New Roman" w:hAnsi="Avenir Next" w:cs="Arial"/>
          <w:color w:val="7B7B7B" w:themeColor="accent3" w:themeShade="BF"/>
          <w:lang w:val="en-GB"/>
        </w:rPr>
        <w:t>totalling</w:t>
      </w:r>
      <w:r w:rsidR="00E3250B" w:rsidRPr="00E3250B">
        <w:rPr>
          <w:rFonts w:ascii="Avenir Next" w:eastAsia="Times New Roman" w:hAnsi="Avenir Next" w:cs="Arial"/>
          <w:color w:val="7B7B7B" w:themeColor="accent3" w:themeShade="BF"/>
          <w:lang w:val="en-GB"/>
        </w:rPr>
        <w:t xml:space="preserve"> a minimum amount that is updated periodically.</w:t>
      </w:r>
    </w:p>
    <w:p w14:paraId="3CB232CF" w14:textId="77777777" w:rsidR="009D04E5" w:rsidRPr="00E01803" w:rsidRDefault="009D04E5"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43FF743F" w:rsidR="00F03051" w:rsidRDefault="00D728E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w:t>
      </w:r>
      <w:r w:rsidR="00CB5B01">
        <w:rPr>
          <w:rFonts w:ascii="Avenir Next" w:hAnsi="Avenir Next" w:cs="Arial"/>
          <w:color w:val="7B7B7B" w:themeColor="accent3" w:themeShade="BF"/>
          <w:sz w:val="22"/>
          <w:szCs w:val="22"/>
          <w:lang w:val="en-GB"/>
        </w:rPr>
        <w:t>filling of the Chapter 11 petition</w:t>
      </w:r>
      <w:r w:rsidR="006C5B64">
        <w:rPr>
          <w:rFonts w:ascii="Avenir Next" w:hAnsi="Avenir Next" w:cs="Arial"/>
          <w:color w:val="7B7B7B" w:themeColor="accent3" w:themeShade="BF"/>
          <w:sz w:val="22"/>
          <w:szCs w:val="22"/>
          <w:lang w:val="en-GB"/>
        </w:rPr>
        <w:t>, the worldwide automatic stay will come into effect</w:t>
      </w:r>
      <w:r w:rsidR="005C013C">
        <w:rPr>
          <w:rFonts w:ascii="Avenir Next" w:hAnsi="Avenir Next" w:cs="Arial"/>
          <w:color w:val="7B7B7B" w:themeColor="accent3" w:themeShade="BF"/>
          <w:sz w:val="22"/>
          <w:szCs w:val="22"/>
          <w:lang w:val="en-GB"/>
        </w:rPr>
        <w:t>.</w:t>
      </w:r>
      <w:r w:rsidR="005C013C">
        <w:rPr>
          <w:rStyle w:val="Refdenotaderodap"/>
          <w:rFonts w:ascii="Avenir Next" w:hAnsi="Avenir Next" w:cs="Arial"/>
          <w:color w:val="7B7B7B" w:themeColor="accent3" w:themeShade="BF"/>
          <w:sz w:val="22"/>
          <w:szCs w:val="22"/>
          <w:lang w:val="en-GB"/>
        </w:rPr>
        <w:footnoteReference w:id="48"/>
      </w:r>
      <w:r w:rsidR="005C013C">
        <w:rPr>
          <w:rFonts w:ascii="Avenir Next" w:hAnsi="Avenir Next" w:cs="Arial"/>
          <w:color w:val="7B7B7B" w:themeColor="accent3" w:themeShade="BF"/>
          <w:sz w:val="22"/>
          <w:szCs w:val="22"/>
          <w:lang w:val="en-GB"/>
        </w:rPr>
        <w:t xml:space="preserve"> </w:t>
      </w:r>
      <w:r w:rsidR="00B129F7">
        <w:rPr>
          <w:rFonts w:ascii="Avenir Next" w:hAnsi="Avenir Next" w:cs="Arial"/>
          <w:color w:val="7B7B7B" w:themeColor="accent3" w:themeShade="BF"/>
          <w:sz w:val="22"/>
          <w:szCs w:val="22"/>
          <w:lang w:val="en-GB"/>
        </w:rPr>
        <w:t xml:space="preserve">The automatic stay </w:t>
      </w:r>
      <w:r w:rsidR="00DC7290" w:rsidRPr="00DC7290">
        <w:rPr>
          <w:rFonts w:ascii="Avenir Next" w:hAnsi="Avenir Next" w:cs="Arial"/>
          <w:color w:val="7B7B7B" w:themeColor="accent3" w:themeShade="BF"/>
          <w:sz w:val="22"/>
          <w:szCs w:val="22"/>
          <w:lang w:val="en-GB"/>
        </w:rPr>
        <w:t>will be applied to the</w:t>
      </w:r>
      <w:r w:rsidR="00DC7290">
        <w:rPr>
          <w:rFonts w:ascii="Avenir Next" w:hAnsi="Avenir Next" w:cs="Arial"/>
          <w:color w:val="7B7B7B" w:themeColor="accent3" w:themeShade="BF"/>
          <w:sz w:val="22"/>
          <w:szCs w:val="22"/>
          <w:lang w:val="en-GB"/>
        </w:rPr>
        <w:t xml:space="preserve"> </w:t>
      </w:r>
      <w:r w:rsidR="00DC7290" w:rsidRPr="00DC7290">
        <w:rPr>
          <w:rFonts w:ascii="Avenir Next" w:hAnsi="Avenir Next" w:cs="Arial"/>
          <w:color w:val="7B7B7B" w:themeColor="accent3" w:themeShade="BF"/>
          <w:sz w:val="22"/>
          <w:szCs w:val="22"/>
          <w:lang w:val="en-GB"/>
        </w:rPr>
        <w:t xml:space="preserve">delinquent lease and </w:t>
      </w:r>
      <w:r w:rsidR="00DC7290">
        <w:rPr>
          <w:rFonts w:ascii="Avenir Next" w:hAnsi="Avenir Next" w:cs="Arial"/>
          <w:color w:val="7B7B7B" w:themeColor="accent3" w:themeShade="BF"/>
          <w:sz w:val="22"/>
          <w:szCs w:val="22"/>
          <w:lang w:val="en-GB"/>
        </w:rPr>
        <w:t>the</w:t>
      </w:r>
      <w:r w:rsidR="00DC7290" w:rsidRPr="00DC7290">
        <w:rPr>
          <w:rFonts w:ascii="Avenir Next" w:hAnsi="Avenir Next" w:cs="Arial"/>
          <w:color w:val="7B7B7B" w:themeColor="accent3" w:themeShade="BF"/>
          <w:sz w:val="22"/>
          <w:szCs w:val="22"/>
          <w:lang w:val="en-GB"/>
        </w:rPr>
        <w:t xml:space="preserve"> employment discrimination lawsuit</w:t>
      </w:r>
      <w:r w:rsidR="00DC7290">
        <w:rPr>
          <w:rFonts w:ascii="Avenir Next" w:hAnsi="Avenir Next" w:cs="Arial"/>
          <w:color w:val="7B7B7B" w:themeColor="accent3" w:themeShade="BF"/>
          <w:sz w:val="22"/>
          <w:szCs w:val="22"/>
          <w:lang w:val="en-GB"/>
        </w:rPr>
        <w:t xml:space="preserve">. </w:t>
      </w:r>
      <w:r w:rsidR="00FB20A4" w:rsidRPr="00FB20A4">
        <w:rPr>
          <w:rFonts w:ascii="Avenir Next" w:hAnsi="Avenir Next" w:cs="Arial"/>
          <w:color w:val="7B7B7B" w:themeColor="accent3" w:themeShade="BF"/>
          <w:sz w:val="22"/>
          <w:szCs w:val="22"/>
          <w:lang w:val="en-GB"/>
        </w:rPr>
        <w:t>The other two hypotheses are not affected, because</w:t>
      </w:r>
      <w:r w:rsidR="00FB20A4">
        <w:rPr>
          <w:rFonts w:ascii="Avenir Next" w:hAnsi="Avenir Next" w:cs="Arial"/>
          <w:color w:val="7B7B7B" w:themeColor="accent3" w:themeShade="BF"/>
          <w:sz w:val="22"/>
          <w:szCs w:val="22"/>
          <w:lang w:val="en-GB"/>
        </w:rPr>
        <w:t xml:space="preserve"> “[t]</w:t>
      </w:r>
      <w:r w:rsidR="000B0A5A" w:rsidRPr="000B0A5A">
        <w:rPr>
          <w:rFonts w:ascii="Avenir Next" w:hAnsi="Avenir Next" w:cs="Arial"/>
          <w:color w:val="7B7B7B" w:themeColor="accent3" w:themeShade="BF"/>
          <w:sz w:val="22"/>
          <w:szCs w:val="22"/>
          <w:lang w:val="en-GB"/>
        </w:rPr>
        <w:t xml:space="preserve">he </w:t>
      </w:r>
      <w:proofErr w:type="gramStart"/>
      <w:r w:rsidR="000B0A5A" w:rsidRPr="000B0A5A">
        <w:rPr>
          <w:rFonts w:ascii="Avenir Next" w:hAnsi="Avenir Next" w:cs="Arial"/>
          <w:color w:val="7B7B7B" w:themeColor="accent3" w:themeShade="BF"/>
          <w:sz w:val="22"/>
          <w:szCs w:val="22"/>
          <w:lang w:val="en-GB"/>
        </w:rPr>
        <w:t>stay</w:t>
      </w:r>
      <w:proofErr w:type="gramEnd"/>
      <w:r w:rsidR="000B0A5A" w:rsidRPr="000B0A5A">
        <w:rPr>
          <w:rFonts w:ascii="Avenir Next" w:hAnsi="Avenir Next" w:cs="Arial"/>
          <w:color w:val="7B7B7B" w:themeColor="accent3" w:themeShade="BF"/>
          <w:sz w:val="22"/>
          <w:szCs w:val="22"/>
          <w:lang w:val="en-GB"/>
        </w:rPr>
        <w:t xml:space="preserve"> is subject to certain statutory exceptions</w:t>
      </w:r>
      <w:r w:rsidR="000B0A5A">
        <w:rPr>
          <w:rFonts w:ascii="Avenir Next" w:hAnsi="Avenir Next" w:cs="Arial"/>
          <w:color w:val="7B7B7B" w:themeColor="accent3" w:themeShade="BF"/>
          <w:sz w:val="22"/>
          <w:szCs w:val="22"/>
          <w:lang w:val="en-GB"/>
        </w:rPr>
        <w:t>”.</w:t>
      </w:r>
      <w:r w:rsidR="000B0A5A">
        <w:rPr>
          <w:rStyle w:val="Refdenotaderodap"/>
          <w:rFonts w:ascii="Avenir Next" w:hAnsi="Avenir Next" w:cs="Arial"/>
          <w:color w:val="7B7B7B" w:themeColor="accent3" w:themeShade="BF"/>
          <w:sz w:val="22"/>
          <w:szCs w:val="22"/>
          <w:lang w:val="en-GB"/>
        </w:rPr>
        <w:footnoteReference w:id="49"/>
      </w:r>
      <w:r w:rsidR="000B0A5A">
        <w:rPr>
          <w:rFonts w:ascii="Avenir Next" w:hAnsi="Avenir Next" w:cs="Arial"/>
          <w:color w:val="7B7B7B" w:themeColor="accent3" w:themeShade="BF"/>
          <w:sz w:val="22"/>
          <w:szCs w:val="22"/>
          <w:lang w:val="en-GB"/>
        </w:rPr>
        <w:t xml:space="preserve"> </w:t>
      </w:r>
      <w:r w:rsidR="0086151B" w:rsidRPr="0086151B">
        <w:rPr>
          <w:rFonts w:ascii="Avenir Next" w:hAnsi="Avenir Next" w:cs="Arial"/>
          <w:color w:val="7B7B7B" w:themeColor="accent3" w:themeShade="BF"/>
          <w:sz w:val="22"/>
          <w:szCs w:val="22"/>
          <w:lang w:val="en-GB"/>
        </w:rPr>
        <w:t>The DOJ investigation fits as "</w:t>
      </w:r>
      <w:r w:rsidR="008F7F50" w:rsidRPr="008F7F50">
        <w:rPr>
          <w:rFonts w:ascii="Avenir Next" w:hAnsi="Avenir Next" w:cs="Arial"/>
          <w:color w:val="7B7B7B" w:themeColor="accent3" w:themeShade="BF"/>
          <w:sz w:val="22"/>
          <w:szCs w:val="22"/>
          <w:lang w:val="en-GB"/>
        </w:rPr>
        <w:t>regulatory investigations</w:t>
      </w:r>
      <w:r w:rsidR="0086151B" w:rsidRPr="0086151B">
        <w:rPr>
          <w:rFonts w:ascii="Avenir Next" w:hAnsi="Avenir Next" w:cs="Arial"/>
          <w:color w:val="7B7B7B" w:themeColor="accent3" w:themeShade="BF"/>
          <w:sz w:val="22"/>
          <w:szCs w:val="22"/>
          <w:lang w:val="en-GB"/>
        </w:rPr>
        <w:t>"</w:t>
      </w:r>
      <w:r w:rsidR="008F7F50">
        <w:rPr>
          <w:rStyle w:val="Refdenotaderodap"/>
          <w:rFonts w:ascii="Avenir Next" w:hAnsi="Avenir Next" w:cs="Arial"/>
          <w:color w:val="7B7B7B" w:themeColor="accent3" w:themeShade="BF"/>
          <w:sz w:val="22"/>
          <w:szCs w:val="22"/>
          <w:lang w:val="en-GB"/>
        </w:rPr>
        <w:footnoteReference w:id="50"/>
      </w:r>
      <w:r w:rsidR="0086151B" w:rsidRPr="0086151B">
        <w:rPr>
          <w:rFonts w:ascii="Avenir Next" w:hAnsi="Avenir Next" w:cs="Arial"/>
          <w:color w:val="7B7B7B" w:themeColor="accent3" w:themeShade="BF"/>
          <w:sz w:val="22"/>
          <w:szCs w:val="22"/>
          <w:lang w:val="en-GB"/>
        </w:rPr>
        <w:t xml:space="preserve"> and the </w:t>
      </w:r>
      <w:r w:rsidR="00781A30" w:rsidRPr="00781A30">
        <w:rPr>
          <w:rFonts w:ascii="Avenir Next" w:hAnsi="Avenir Next" w:cs="Arial"/>
          <w:color w:val="7B7B7B" w:themeColor="accent3" w:themeShade="BF"/>
          <w:sz w:val="22"/>
          <w:szCs w:val="22"/>
          <w:lang w:val="en-GB"/>
        </w:rPr>
        <w:t>margin loan default</w:t>
      </w:r>
      <w:r w:rsidR="00781A30" w:rsidRPr="00781A30">
        <w:rPr>
          <w:rFonts w:ascii="Avenir Next" w:hAnsi="Avenir Next" w:cs="Arial"/>
          <w:color w:val="7B7B7B" w:themeColor="accent3" w:themeShade="BF"/>
          <w:sz w:val="22"/>
          <w:szCs w:val="22"/>
          <w:lang w:val="en-GB"/>
        </w:rPr>
        <w:t xml:space="preserve"> </w:t>
      </w:r>
      <w:r w:rsidR="0086151B" w:rsidRPr="0086151B">
        <w:rPr>
          <w:rFonts w:ascii="Avenir Next" w:hAnsi="Avenir Next" w:cs="Arial"/>
          <w:color w:val="7B7B7B" w:themeColor="accent3" w:themeShade="BF"/>
          <w:sz w:val="22"/>
          <w:szCs w:val="22"/>
          <w:lang w:val="en-GB"/>
        </w:rPr>
        <w:t>is applied the exception "</w:t>
      </w:r>
      <w:r w:rsidR="00781A30" w:rsidRPr="00781A30">
        <w:rPr>
          <w:rFonts w:ascii="Avenir Next" w:hAnsi="Avenir Next" w:cs="Arial"/>
          <w:color w:val="7B7B7B" w:themeColor="accent3" w:themeShade="BF"/>
          <w:sz w:val="22"/>
          <w:szCs w:val="22"/>
          <w:lang w:val="en-GB"/>
        </w:rPr>
        <w:t>exercise of rights under commodity, forward, or security contract</w:t>
      </w:r>
      <w:r w:rsidR="0086151B" w:rsidRPr="0086151B">
        <w:rPr>
          <w:rFonts w:ascii="Avenir Next" w:hAnsi="Avenir Next" w:cs="Arial"/>
          <w:color w:val="7B7B7B" w:themeColor="accent3" w:themeShade="BF"/>
          <w:sz w:val="22"/>
          <w:szCs w:val="22"/>
          <w:lang w:val="en-GB"/>
        </w:rPr>
        <w:t xml:space="preserve">", because </w:t>
      </w:r>
      <w:r w:rsidR="006925F9" w:rsidRPr="006925F9">
        <w:rPr>
          <w:rFonts w:ascii="Avenir Next" w:hAnsi="Avenir Next" w:cs="Arial"/>
          <w:color w:val="7B7B7B" w:themeColor="accent3" w:themeShade="BF"/>
          <w:sz w:val="22"/>
          <w:szCs w:val="22"/>
          <w:lang w:val="en-GB"/>
        </w:rPr>
        <w:t>of the shares are held as collateral.</w:t>
      </w:r>
    </w:p>
    <w:p w14:paraId="3F90661A" w14:textId="77777777" w:rsidR="00B50368" w:rsidRDefault="00B50368" w:rsidP="00F03051">
      <w:pPr>
        <w:jc w:val="both"/>
        <w:rPr>
          <w:rFonts w:ascii="Avenir Next" w:hAnsi="Avenir Next" w:cs="Arial"/>
          <w:color w:val="7B7B7B" w:themeColor="accent3" w:themeShade="BF"/>
          <w:sz w:val="22"/>
          <w:szCs w:val="22"/>
          <w:lang w:val="en-GB"/>
        </w:rPr>
      </w:pPr>
    </w:p>
    <w:p w14:paraId="06F96071" w14:textId="12627BFB" w:rsidR="00B50368" w:rsidRDefault="007E62D9" w:rsidP="001F775E">
      <w:pPr>
        <w:jc w:val="both"/>
        <w:rPr>
          <w:rFonts w:ascii="Avenir Next" w:hAnsi="Avenir Next" w:cs="Arial"/>
          <w:color w:val="7B7B7B" w:themeColor="accent3" w:themeShade="BF"/>
          <w:sz w:val="22"/>
          <w:szCs w:val="22"/>
          <w:lang w:val="en-GB"/>
        </w:rPr>
      </w:pPr>
      <w:r w:rsidRPr="007E62D9">
        <w:rPr>
          <w:rFonts w:ascii="Avenir Next" w:hAnsi="Avenir Next" w:cs="Arial"/>
          <w:color w:val="7B7B7B" w:themeColor="accent3" w:themeShade="BF"/>
          <w:sz w:val="22"/>
          <w:szCs w:val="22"/>
          <w:lang w:val="en-GB"/>
        </w:rPr>
        <w:t>One effect on the secured creditor is that in the event</w:t>
      </w:r>
      <w:r w:rsidR="00A50AF5">
        <w:rPr>
          <w:rFonts w:ascii="Avenir Next" w:hAnsi="Avenir Next" w:cs="Arial"/>
          <w:color w:val="7B7B7B" w:themeColor="accent3" w:themeShade="BF"/>
          <w:sz w:val="22"/>
          <w:szCs w:val="22"/>
          <w:lang w:val="en-GB"/>
        </w:rPr>
        <w:t xml:space="preserve"> </w:t>
      </w:r>
      <w:r w:rsidR="00AD7097">
        <w:rPr>
          <w:rFonts w:ascii="Avenir Next" w:hAnsi="Avenir Next" w:cs="Arial"/>
          <w:color w:val="7B7B7B" w:themeColor="accent3" w:themeShade="BF"/>
          <w:sz w:val="22"/>
          <w:szCs w:val="22"/>
          <w:lang w:val="en-GB"/>
        </w:rPr>
        <w:t xml:space="preserve">of a 363 sale of </w:t>
      </w:r>
      <w:r w:rsidR="00AD7097" w:rsidRPr="00AD7097">
        <w:rPr>
          <w:rFonts w:ascii="Avenir Next" w:hAnsi="Avenir Next" w:cs="Arial"/>
          <w:color w:val="7B7B7B" w:themeColor="accent3" w:themeShade="BF"/>
          <w:sz w:val="22"/>
          <w:szCs w:val="22"/>
          <w:lang w:val="en-GB"/>
        </w:rPr>
        <w:t>the shares held as collateral</w:t>
      </w:r>
      <w:r w:rsidR="00AD7097">
        <w:rPr>
          <w:rFonts w:ascii="Avenir Next" w:hAnsi="Avenir Next" w:cs="Arial"/>
          <w:color w:val="7B7B7B" w:themeColor="accent3" w:themeShade="BF"/>
          <w:sz w:val="22"/>
          <w:szCs w:val="22"/>
          <w:lang w:val="en-GB"/>
        </w:rPr>
        <w:t xml:space="preserve">, the creditor </w:t>
      </w:r>
      <w:r w:rsidR="00A61967">
        <w:rPr>
          <w:rFonts w:ascii="Avenir Next" w:hAnsi="Avenir Next" w:cs="Arial"/>
          <w:color w:val="7B7B7B" w:themeColor="accent3" w:themeShade="BF"/>
          <w:sz w:val="22"/>
          <w:szCs w:val="22"/>
          <w:lang w:val="en-GB"/>
        </w:rPr>
        <w:t xml:space="preserve">that </w:t>
      </w:r>
      <w:r w:rsidR="001F775E" w:rsidRPr="001F775E">
        <w:rPr>
          <w:rFonts w:ascii="Avenir Next" w:hAnsi="Avenir Next" w:cs="Arial"/>
          <w:color w:val="7B7B7B" w:themeColor="accent3" w:themeShade="BF"/>
          <w:sz w:val="22"/>
          <w:szCs w:val="22"/>
          <w:lang w:val="en-GB"/>
        </w:rPr>
        <w:t>hold</w:t>
      </w:r>
      <w:r w:rsidR="00A61967">
        <w:rPr>
          <w:rFonts w:ascii="Avenir Next" w:hAnsi="Avenir Next" w:cs="Arial"/>
          <w:color w:val="7B7B7B" w:themeColor="accent3" w:themeShade="BF"/>
          <w:sz w:val="22"/>
          <w:szCs w:val="22"/>
          <w:lang w:val="en-GB"/>
        </w:rPr>
        <w:t xml:space="preserve"> the </w:t>
      </w:r>
      <w:r w:rsidR="001F775E" w:rsidRPr="001F775E">
        <w:rPr>
          <w:rFonts w:ascii="Avenir Next" w:hAnsi="Avenir Next" w:cs="Arial"/>
          <w:color w:val="7B7B7B" w:themeColor="accent3" w:themeShade="BF"/>
          <w:sz w:val="22"/>
          <w:szCs w:val="22"/>
          <w:lang w:val="en-GB"/>
        </w:rPr>
        <w:t xml:space="preserve">security interest </w:t>
      </w:r>
      <w:r w:rsidR="00A61967">
        <w:rPr>
          <w:rFonts w:ascii="Avenir Next" w:hAnsi="Avenir Next" w:cs="Arial"/>
          <w:color w:val="7B7B7B" w:themeColor="accent3" w:themeShade="BF"/>
          <w:sz w:val="22"/>
          <w:szCs w:val="22"/>
          <w:lang w:val="en-GB"/>
        </w:rPr>
        <w:t>“</w:t>
      </w:r>
      <w:r w:rsidR="001F775E" w:rsidRPr="001F775E">
        <w:rPr>
          <w:rFonts w:ascii="Avenir Next" w:hAnsi="Avenir Next" w:cs="Arial"/>
          <w:color w:val="7B7B7B" w:themeColor="accent3" w:themeShade="BF"/>
          <w:sz w:val="22"/>
          <w:szCs w:val="22"/>
          <w:lang w:val="en-GB"/>
        </w:rPr>
        <w:t xml:space="preserve">may </w:t>
      </w:r>
      <w:r w:rsidR="00A61967">
        <w:rPr>
          <w:rFonts w:ascii="Avenir Next" w:hAnsi="Avenir Next" w:cs="Arial"/>
          <w:color w:val="7B7B7B" w:themeColor="accent3" w:themeShade="BF"/>
          <w:sz w:val="22"/>
          <w:szCs w:val="22"/>
          <w:lang w:val="en-GB"/>
        </w:rPr>
        <w:t>“</w:t>
      </w:r>
      <w:r w:rsidR="001F775E" w:rsidRPr="001F775E">
        <w:rPr>
          <w:rFonts w:ascii="Avenir Next" w:hAnsi="Avenir Next" w:cs="Arial"/>
          <w:color w:val="7B7B7B" w:themeColor="accent3" w:themeShade="BF"/>
          <w:sz w:val="22"/>
          <w:szCs w:val="22"/>
          <w:lang w:val="en-GB"/>
        </w:rPr>
        <w:t>credit bid</w:t>
      </w:r>
      <w:r w:rsidR="00A61967">
        <w:rPr>
          <w:rFonts w:ascii="Avenir Next" w:hAnsi="Avenir Next" w:cs="Arial"/>
          <w:color w:val="7B7B7B" w:themeColor="accent3" w:themeShade="BF"/>
          <w:sz w:val="22"/>
          <w:szCs w:val="22"/>
          <w:lang w:val="en-GB"/>
        </w:rPr>
        <w:t>”</w:t>
      </w:r>
      <w:r w:rsidR="001F775E" w:rsidRPr="001F775E">
        <w:rPr>
          <w:rFonts w:ascii="Avenir Next" w:hAnsi="Avenir Next" w:cs="Arial"/>
          <w:color w:val="7B7B7B" w:themeColor="accent3" w:themeShade="BF"/>
          <w:sz w:val="22"/>
          <w:szCs w:val="22"/>
          <w:lang w:val="en-GB"/>
        </w:rPr>
        <w:t xml:space="preserve"> by offsetting</w:t>
      </w:r>
      <w:r w:rsidR="00A61967">
        <w:rPr>
          <w:rFonts w:ascii="Avenir Next" w:hAnsi="Avenir Next" w:cs="Arial"/>
          <w:color w:val="7B7B7B" w:themeColor="accent3" w:themeShade="BF"/>
          <w:sz w:val="22"/>
          <w:szCs w:val="22"/>
          <w:lang w:val="en-GB"/>
        </w:rPr>
        <w:t xml:space="preserve"> </w:t>
      </w:r>
      <w:r w:rsidR="001F775E" w:rsidRPr="001F775E">
        <w:rPr>
          <w:rFonts w:ascii="Avenir Next" w:hAnsi="Avenir Next" w:cs="Arial"/>
          <w:color w:val="7B7B7B" w:themeColor="accent3" w:themeShade="BF"/>
          <w:sz w:val="22"/>
          <w:szCs w:val="22"/>
          <w:lang w:val="en-GB"/>
        </w:rPr>
        <w:t>a portion of the purchase price of such property against the amount of its claim secured by the</w:t>
      </w:r>
      <w:r w:rsidR="00A61967">
        <w:rPr>
          <w:rFonts w:ascii="Avenir Next" w:hAnsi="Avenir Next" w:cs="Arial"/>
          <w:color w:val="7B7B7B" w:themeColor="accent3" w:themeShade="BF"/>
          <w:sz w:val="22"/>
          <w:szCs w:val="22"/>
          <w:lang w:val="en-GB"/>
        </w:rPr>
        <w:t xml:space="preserve"> </w:t>
      </w:r>
      <w:r w:rsidR="001F775E" w:rsidRPr="001F775E">
        <w:rPr>
          <w:rFonts w:ascii="Avenir Next" w:hAnsi="Avenir Next" w:cs="Arial"/>
          <w:color w:val="7B7B7B" w:themeColor="accent3" w:themeShade="BF"/>
          <w:sz w:val="22"/>
          <w:szCs w:val="22"/>
          <w:lang w:val="en-GB"/>
        </w:rPr>
        <w:t>property</w:t>
      </w:r>
      <w:r w:rsidR="00A61967">
        <w:rPr>
          <w:rFonts w:ascii="Avenir Next" w:hAnsi="Avenir Next" w:cs="Arial"/>
          <w:color w:val="7B7B7B" w:themeColor="accent3" w:themeShade="BF"/>
          <w:sz w:val="22"/>
          <w:szCs w:val="22"/>
          <w:lang w:val="en-GB"/>
        </w:rPr>
        <w:t>”.</w:t>
      </w:r>
      <w:r w:rsidR="00A61967">
        <w:rPr>
          <w:rStyle w:val="Refdenotaderodap"/>
          <w:rFonts w:ascii="Avenir Next" w:hAnsi="Avenir Next" w:cs="Arial"/>
          <w:color w:val="7B7B7B" w:themeColor="accent3" w:themeShade="BF"/>
          <w:sz w:val="22"/>
          <w:szCs w:val="22"/>
          <w:lang w:val="en-GB"/>
        </w:rPr>
        <w:footnoteReference w:id="51"/>
      </w:r>
    </w:p>
    <w:p w14:paraId="48BC12C5" w14:textId="77777777" w:rsidR="00AA5AC9" w:rsidRDefault="00AA5AC9" w:rsidP="001F775E">
      <w:pPr>
        <w:jc w:val="both"/>
        <w:rPr>
          <w:rFonts w:ascii="Avenir Next" w:hAnsi="Avenir Next" w:cs="Arial"/>
          <w:color w:val="7B7B7B" w:themeColor="accent3" w:themeShade="BF"/>
          <w:sz w:val="22"/>
          <w:szCs w:val="22"/>
          <w:lang w:val="en-GB"/>
        </w:rPr>
      </w:pPr>
    </w:p>
    <w:p w14:paraId="3F61E01A" w14:textId="00067992" w:rsidR="00060B51" w:rsidRDefault="00AA5AC9" w:rsidP="004F710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Considering that the lea</w:t>
      </w:r>
      <w:r w:rsidR="009E1562">
        <w:rPr>
          <w:rFonts w:ascii="Avenir Next" w:hAnsi="Avenir Next" w:cs="Arial"/>
          <w:color w:val="7B7B7B" w:themeColor="accent3" w:themeShade="BF"/>
          <w:sz w:val="22"/>
          <w:szCs w:val="22"/>
          <w:lang w:val="en-GB"/>
        </w:rPr>
        <w:t xml:space="preserve">se of the office space is an executory contract, </w:t>
      </w:r>
      <w:r w:rsidR="007E4661" w:rsidRPr="007E4661">
        <w:rPr>
          <w:rFonts w:ascii="Avenir Next" w:hAnsi="Avenir Next" w:cs="Arial"/>
          <w:color w:val="7B7B7B" w:themeColor="accent3" w:themeShade="BF"/>
          <w:sz w:val="22"/>
          <w:szCs w:val="22"/>
          <w:lang w:val="en-GB"/>
        </w:rPr>
        <w:t>another effect would be that the debtor would have "[t]he ability to assume, reject or assume and assign"</w:t>
      </w:r>
      <w:r w:rsidR="007E4661">
        <w:rPr>
          <w:rStyle w:val="Refdenotaderodap"/>
          <w:rFonts w:ascii="Avenir Next" w:hAnsi="Avenir Next" w:cs="Arial"/>
          <w:color w:val="7B7B7B" w:themeColor="accent3" w:themeShade="BF"/>
          <w:sz w:val="22"/>
          <w:szCs w:val="22"/>
          <w:lang w:val="en-GB"/>
        </w:rPr>
        <w:footnoteReference w:id="52"/>
      </w:r>
      <w:r w:rsidR="007E4661" w:rsidRPr="007E4661">
        <w:rPr>
          <w:rFonts w:ascii="Avenir Next" w:hAnsi="Avenir Next" w:cs="Arial"/>
          <w:color w:val="7B7B7B" w:themeColor="accent3" w:themeShade="BF"/>
          <w:sz w:val="22"/>
          <w:szCs w:val="22"/>
          <w:lang w:val="en-GB"/>
        </w:rPr>
        <w:t xml:space="preserve"> the contract.</w:t>
      </w:r>
    </w:p>
    <w:p w14:paraId="299FBAD2" w14:textId="77777777" w:rsidR="004F710C" w:rsidRPr="004F710C" w:rsidRDefault="004F710C" w:rsidP="004F710C">
      <w:pPr>
        <w:jc w:val="both"/>
        <w:rPr>
          <w:rFonts w:ascii="Avenir Next" w:hAnsi="Avenir Next" w:cs="Arial"/>
          <w:color w:val="7B7B7B" w:themeColor="accent3" w:themeShade="BF"/>
          <w:sz w:val="22"/>
          <w:szCs w:val="22"/>
          <w:lang w:val="en-GB"/>
        </w:rPr>
      </w:pPr>
    </w:p>
    <w:p w14:paraId="3B4215F8" w14:textId="7F2D5DC3" w:rsidR="008D5CAC" w:rsidRDefault="00060B51" w:rsidP="00060B51">
      <w:pPr>
        <w:pStyle w:val="AODocTxt"/>
        <w:spacing w:before="0" w:line="240" w:lineRule="auto"/>
        <w:rPr>
          <w:rFonts w:ascii="Avenir Next" w:eastAsia="Times New Roman" w:hAnsi="Avenir Next" w:cs="Arial"/>
          <w:color w:val="7B7B7B" w:themeColor="accent3" w:themeShade="BF"/>
          <w:lang w:val="en-GB"/>
        </w:rPr>
      </w:pPr>
      <w:r w:rsidRPr="00060B51">
        <w:rPr>
          <w:rFonts w:ascii="Avenir Next" w:eastAsia="Times New Roman" w:hAnsi="Avenir Next" w:cs="Arial"/>
          <w:color w:val="7B7B7B" w:themeColor="accent3" w:themeShade="BF"/>
          <w:lang w:val="en-GB"/>
        </w:rPr>
        <w:t xml:space="preserve">Considering that the employee was fired, there is no employment contract in force, let alone a contract operating in collective bargaining agreements (CBAs), in which case the debtor could </w:t>
      </w:r>
      <w:r w:rsidR="004F710C" w:rsidRPr="00060B51">
        <w:rPr>
          <w:rFonts w:ascii="Avenir Next" w:eastAsia="Times New Roman" w:hAnsi="Avenir Next" w:cs="Arial"/>
          <w:color w:val="7B7B7B" w:themeColor="accent3" w:themeShade="BF"/>
          <w:lang w:val="en-GB"/>
        </w:rPr>
        <w:t>enter</w:t>
      </w:r>
      <w:r w:rsidRPr="00060B51">
        <w:rPr>
          <w:rFonts w:ascii="Avenir Next" w:eastAsia="Times New Roman" w:hAnsi="Avenir Next" w:cs="Arial"/>
          <w:color w:val="7B7B7B" w:themeColor="accent3" w:themeShade="BF"/>
          <w:lang w:val="en-GB"/>
        </w:rPr>
        <w:t xml:space="preserve"> negotiation with </w:t>
      </w:r>
      <w:r w:rsidR="00C06C72">
        <w:rPr>
          <w:rFonts w:ascii="Avenir Next" w:eastAsia="Times New Roman" w:hAnsi="Avenir Next" w:cs="Arial"/>
          <w:color w:val="7B7B7B" w:themeColor="accent3" w:themeShade="BF"/>
          <w:lang w:val="en-GB"/>
        </w:rPr>
        <w:t>an</w:t>
      </w:r>
      <w:r w:rsidRPr="00060B51">
        <w:rPr>
          <w:rFonts w:ascii="Avenir Next" w:eastAsia="Times New Roman" w:hAnsi="Avenir Next" w:cs="Arial"/>
          <w:color w:val="7B7B7B" w:themeColor="accent3" w:themeShade="BF"/>
          <w:lang w:val="en-GB"/>
        </w:rPr>
        <w:t xml:space="preserve"> employee representative.</w:t>
      </w:r>
      <w:r w:rsidR="0070597F">
        <w:rPr>
          <w:rStyle w:val="Refdenotaderodap"/>
          <w:rFonts w:ascii="Avenir Next" w:eastAsia="Times New Roman" w:hAnsi="Avenir Next" w:cs="Arial"/>
          <w:color w:val="7B7B7B" w:themeColor="accent3" w:themeShade="BF"/>
          <w:lang w:val="en-GB"/>
        </w:rPr>
        <w:footnoteReference w:id="53"/>
      </w:r>
    </w:p>
    <w:p w14:paraId="78927835" w14:textId="77777777" w:rsidR="00946137" w:rsidRDefault="00946137" w:rsidP="00060B51">
      <w:pPr>
        <w:pStyle w:val="AODocTxt"/>
        <w:spacing w:before="0" w:line="240" w:lineRule="auto"/>
        <w:rPr>
          <w:rFonts w:ascii="Avenir Next" w:eastAsia="Times New Roman" w:hAnsi="Avenir Next" w:cs="Arial"/>
          <w:color w:val="7B7B7B" w:themeColor="accent3" w:themeShade="BF"/>
          <w:lang w:val="en-GB"/>
        </w:rPr>
      </w:pPr>
    </w:p>
    <w:p w14:paraId="453167DF" w14:textId="75233216" w:rsidR="00616900" w:rsidRDefault="00946137" w:rsidP="00060B51">
      <w:pPr>
        <w:pStyle w:val="AODocTxt"/>
        <w:spacing w:before="0" w:line="240" w:lineRule="auto"/>
        <w:rPr>
          <w:rFonts w:ascii="Avenir Next" w:eastAsia="Times New Roman" w:hAnsi="Avenir Next" w:cs="Arial"/>
          <w:color w:val="7B7B7B" w:themeColor="accent3" w:themeShade="BF"/>
          <w:lang w:val="en-GB"/>
        </w:rPr>
      </w:pPr>
      <w:r w:rsidRPr="00946137">
        <w:rPr>
          <w:rFonts w:ascii="Avenir Next" w:eastAsia="Times New Roman" w:hAnsi="Avenir Next" w:cs="Arial"/>
          <w:color w:val="7B7B7B" w:themeColor="accent3" w:themeShade="BF"/>
          <w:lang w:val="en-GB"/>
        </w:rPr>
        <w:t>In a broad context of effects applied to creditors, the interested parties must be notified of the petition and the order to open the procedure.</w:t>
      </w:r>
      <w:r>
        <w:rPr>
          <w:rStyle w:val="Refdenotaderodap"/>
          <w:rFonts w:ascii="Avenir Next" w:eastAsia="Times New Roman" w:hAnsi="Avenir Next" w:cs="Arial"/>
          <w:color w:val="7B7B7B" w:themeColor="accent3" w:themeShade="BF"/>
          <w:lang w:val="en-GB"/>
        </w:rPr>
        <w:footnoteReference w:id="54"/>
      </w:r>
      <w:r w:rsidR="00616900">
        <w:rPr>
          <w:rFonts w:ascii="Avenir Next" w:eastAsia="Times New Roman" w:hAnsi="Avenir Next" w:cs="Arial"/>
          <w:color w:val="7B7B7B" w:themeColor="accent3" w:themeShade="BF"/>
          <w:lang w:val="en-GB"/>
        </w:rPr>
        <w:t xml:space="preserve"> </w:t>
      </w:r>
    </w:p>
    <w:p w14:paraId="7FC0A62A" w14:textId="2BB80FBC" w:rsidR="00616900" w:rsidRDefault="00616900" w:rsidP="00616900">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lastRenderedPageBreak/>
        <w:t>Furthermore, HALL indicates that “[t]</w:t>
      </w:r>
      <w:r w:rsidRPr="00616900">
        <w:rPr>
          <w:rFonts w:ascii="Avenir Next" w:eastAsia="Times New Roman" w:hAnsi="Avenir Next" w:cs="Arial"/>
          <w:color w:val="7B7B7B" w:themeColor="accent3" w:themeShade="BF"/>
          <w:lang w:val="en-GB"/>
        </w:rPr>
        <w:t>o demand payment on a claim, the creditor must file a proof of claim on or before</w:t>
      </w:r>
      <w:r>
        <w:rPr>
          <w:rFonts w:ascii="Avenir Next" w:eastAsia="Times New Roman" w:hAnsi="Avenir Next" w:cs="Arial"/>
          <w:color w:val="7B7B7B" w:themeColor="accent3" w:themeShade="BF"/>
          <w:lang w:val="en-GB"/>
        </w:rPr>
        <w:t xml:space="preserve"> </w:t>
      </w:r>
      <w:r w:rsidRPr="00616900">
        <w:rPr>
          <w:rFonts w:ascii="Avenir Next" w:eastAsia="Times New Roman" w:hAnsi="Avenir Next" w:cs="Arial"/>
          <w:color w:val="7B7B7B" w:themeColor="accent3" w:themeShade="BF"/>
          <w:lang w:val="en-GB"/>
        </w:rPr>
        <w:t>the bar date specified by the court</w:t>
      </w:r>
      <w:r>
        <w:rPr>
          <w:rFonts w:ascii="Avenir Next" w:eastAsia="Times New Roman" w:hAnsi="Avenir Next" w:cs="Arial"/>
          <w:color w:val="7B7B7B" w:themeColor="accent3" w:themeShade="BF"/>
          <w:lang w:val="en-GB"/>
        </w:rPr>
        <w:t>”.</w:t>
      </w:r>
      <w:r>
        <w:rPr>
          <w:rStyle w:val="Refdenotaderodap"/>
          <w:rFonts w:ascii="Avenir Next" w:eastAsia="Times New Roman" w:hAnsi="Avenir Next" w:cs="Arial"/>
          <w:color w:val="7B7B7B" w:themeColor="accent3" w:themeShade="BF"/>
          <w:lang w:val="en-GB"/>
        </w:rPr>
        <w:footnoteReference w:id="55"/>
      </w:r>
      <w:r w:rsidR="001051CA">
        <w:rPr>
          <w:rFonts w:ascii="Avenir Next" w:eastAsia="Times New Roman" w:hAnsi="Avenir Next" w:cs="Arial"/>
          <w:color w:val="7B7B7B" w:themeColor="accent3" w:themeShade="BF"/>
          <w:lang w:val="en-GB"/>
        </w:rPr>
        <w:t xml:space="preserve"> </w:t>
      </w:r>
      <w:r w:rsidR="0010669A" w:rsidRPr="0010669A">
        <w:rPr>
          <w:rFonts w:ascii="Avenir Next" w:eastAsia="Times New Roman" w:hAnsi="Avenir Next" w:cs="Arial"/>
          <w:color w:val="7B7B7B" w:themeColor="accent3" w:themeShade="BF"/>
          <w:lang w:val="en-GB"/>
        </w:rPr>
        <w:t>If the creditor secured by the shares does not prove his claim, this will not void his collateral.</w:t>
      </w:r>
    </w:p>
    <w:p w14:paraId="26338760" w14:textId="6A7EB93A" w:rsidR="00A3320D" w:rsidRPr="00946137" w:rsidRDefault="00A3320D" w:rsidP="00616900">
      <w:pPr>
        <w:pStyle w:val="AODocTxt"/>
        <w:rPr>
          <w:rFonts w:ascii="Avenir Next" w:eastAsia="Times New Roman" w:hAnsi="Avenir Next" w:cs="Arial"/>
          <w:color w:val="7B7B7B" w:themeColor="accent3" w:themeShade="BF"/>
          <w:lang w:val="en-GB"/>
        </w:rPr>
      </w:pPr>
      <w:r w:rsidRPr="00A3320D">
        <w:rPr>
          <w:rFonts w:ascii="Avenir Next" w:eastAsia="Times New Roman" w:hAnsi="Avenir Next" w:cs="Arial"/>
          <w:color w:val="7B7B7B" w:themeColor="accent3" w:themeShade="BF"/>
          <w:lang w:val="en-GB"/>
        </w:rPr>
        <w:t>Finally, if the plan is approved by the creditors and confirmed by the court, the creditors will have the effects of the reorganization foreseen in it.</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7161A844" w14:textId="14F9A1FA" w:rsidR="006816F1" w:rsidRDefault="006816F1" w:rsidP="006816F1">
      <w:pPr>
        <w:pStyle w:val="AODocTxt"/>
        <w:rPr>
          <w:rFonts w:ascii="Avenir Next" w:hAnsi="Avenir Next" w:cs="Arial"/>
          <w:color w:val="7B7B7B" w:themeColor="accent3" w:themeShade="BF"/>
          <w:lang w:val="en-GB"/>
        </w:rPr>
      </w:pPr>
      <w:r>
        <w:rPr>
          <w:rFonts w:ascii="Avenir Next" w:hAnsi="Avenir Next" w:cs="Arial"/>
          <w:color w:val="7B7B7B" w:themeColor="accent3" w:themeShade="BF"/>
          <w:lang w:val="en-GB"/>
        </w:rPr>
        <w:t>According to HALL, “[t]</w:t>
      </w:r>
      <w:r w:rsidRPr="006816F1">
        <w:rPr>
          <w:rFonts w:ascii="Avenir Next" w:hAnsi="Avenir Next" w:cs="Arial"/>
          <w:color w:val="7B7B7B" w:themeColor="accent3" w:themeShade="BF"/>
          <w:lang w:val="en-GB"/>
        </w:rPr>
        <w:t>he minimum requirement to be a debtor under any chapter of the Bankruptcy Code is the</w:t>
      </w:r>
      <w:r>
        <w:rPr>
          <w:rFonts w:ascii="Avenir Next" w:hAnsi="Avenir Next" w:cs="Arial"/>
          <w:color w:val="7B7B7B" w:themeColor="accent3" w:themeShade="BF"/>
          <w:lang w:val="en-GB"/>
        </w:rPr>
        <w:t xml:space="preserve"> </w:t>
      </w:r>
      <w:r w:rsidRPr="006816F1">
        <w:rPr>
          <w:rFonts w:ascii="Avenir Next" w:hAnsi="Avenir Next" w:cs="Arial"/>
          <w:color w:val="7B7B7B" w:themeColor="accent3" w:themeShade="BF"/>
          <w:lang w:val="en-GB"/>
        </w:rPr>
        <w:t>presence of the debtor or its place of business or any of its assets in the United States</w:t>
      </w:r>
      <w:r>
        <w:rPr>
          <w:rFonts w:ascii="Avenir Next" w:hAnsi="Avenir Next" w:cs="Arial"/>
          <w:color w:val="7B7B7B" w:themeColor="accent3" w:themeShade="BF"/>
          <w:lang w:val="en-GB"/>
        </w:rPr>
        <w:t>”.</w:t>
      </w:r>
      <w:r>
        <w:rPr>
          <w:rStyle w:val="Refdenotaderodap"/>
          <w:rFonts w:ascii="Avenir Next" w:hAnsi="Avenir Next" w:cs="Arial"/>
          <w:color w:val="7B7B7B" w:themeColor="accent3" w:themeShade="BF"/>
          <w:lang w:val="en-GB"/>
        </w:rPr>
        <w:footnoteReference w:id="56"/>
      </w:r>
      <w:r w:rsidR="00E8654A">
        <w:rPr>
          <w:rFonts w:ascii="Avenir Next" w:hAnsi="Avenir Next" w:cs="Arial"/>
          <w:color w:val="7B7B7B" w:themeColor="accent3" w:themeShade="BF"/>
          <w:lang w:val="en-GB"/>
        </w:rPr>
        <w:t xml:space="preserve"> </w:t>
      </w:r>
      <w:r w:rsidR="00E8654A" w:rsidRPr="00E8654A">
        <w:rPr>
          <w:rFonts w:ascii="Avenir Next" w:hAnsi="Avenir Next" w:cs="Arial"/>
          <w:color w:val="7B7B7B" w:themeColor="accent3" w:themeShade="BF"/>
          <w:lang w:val="en-GB"/>
        </w:rPr>
        <w:t>Since Stella's products ship to its retail stores in North America and assuming this includes the US, the minimum requirement to be a US debtor would be present.</w:t>
      </w:r>
      <w:r w:rsidR="00E8654A">
        <w:rPr>
          <w:rFonts w:ascii="Avenir Next" w:hAnsi="Avenir Next" w:cs="Arial"/>
          <w:color w:val="7B7B7B" w:themeColor="accent3" w:themeShade="BF"/>
          <w:lang w:val="en-GB"/>
        </w:rPr>
        <w:t xml:space="preserve"> </w:t>
      </w:r>
    </w:p>
    <w:p w14:paraId="7B75E9BB" w14:textId="4CDC0693" w:rsidR="00653AAC" w:rsidRDefault="00653AAC" w:rsidP="002C2EC9">
      <w:pPr>
        <w:pStyle w:val="AODocTxt"/>
        <w:rPr>
          <w:rFonts w:ascii="Avenir Next" w:hAnsi="Avenir Next" w:cs="Arial"/>
          <w:color w:val="7B7B7B" w:themeColor="accent3" w:themeShade="BF"/>
          <w:lang w:val="en-GB"/>
        </w:rPr>
      </w:pPr>
      <w:r w:rsidRPr="00653AAC">
        <w:rPr>
          <w:rFonts w:ascii="Avenir Next" w:hAnsi="Avenir Next" w:cs="Arial"/>
          <w:color w:val="7B7B7B" w:themeColor="accent3" w:themeShade="BF"/>
          <w:lang w:val="en-GB"/>
        </w:rPr>
        <w:t xml:space="preserve">A case under chapter 15 may be commenced in the district court of the </w:t>
      </w:r>
      <w:r>
        <w:rPr>
          <w:rFonts w:ascii="Avenir Next" w:hAnsi="Avenir Next" w:cs="Arial"/>
          <w:color w:val="7B7B7B" w:themeColor="accent3" w:themeShade="BF"/>
          <w:lang w:val="en-GB"/>
        </w:rPr>
        <w:t>US</w:t>
      </w:r>
      <w:r w:rsidRPr="00653AAC">
        <w:rPr>
          <w:rFonts w:ascii="Avenir Next" w:hAnsi="Avenir Next" w:cs="Arial"/>
          <w:color w:val="7B7B7B" w:themeColor="accent3" w:themeShade="BF"/>
          <w:lang w:val="en-GB"/>
        </w:rPr>
        <w:t xml:space="preserve"> for the district</w:t>
      </w:r>
      <w:r>
        <w:rPr>
          <w:rFonts w:ascii="Avenir Next" w:hAnsi="Avenir Next" w:cs="Arial"/>
          <w:color w:val="7B7B7B" w:themeColor="accent3" w:themeShade="BF"/>
          <w:lang w:val="en-GB"/>
        </w:rPr>
        <w:t xml:space="preserve"> (a) “</w:t>
      </w:r>
      <w:r w:rsidR="002C2EC9" w:rsidRPr="002C2EC9">
        <w:rPr>
          <w:rFonts w:ascii="Avenir Next" w:hAnsi="Avenir Next" w:cs="Arial"/>
          <w:color w:val="7B7B7B" w:themeColor="accent3" w:themeShade="BF"/>
          <w:lang w:val="en-GB"/>
        </w:rPr>
        <w:t>in which the debtor has its principal place of business or principal assets in the United States</w:t>
      </w:r>
      <w:r w:rsidR="002C2EC9">
        <w:rPr>
          <w:rFonts w:ascii="Avenir Next" w:hAnsi="Avenir Next" w:cs="Arial"/>
          <w:color w:val="7B7B7B" w:themeColor="accent3" w:themeShade="BF"/>
          <w:lang w:val="en-GB"/>
        </w:rPr>
        <w:t>”</w:t>
      </w:r>
      <w:r w:rsidR="002C2EC9" w:rsidRPr="002C2EC9">
        <w:rPr>
          <w:rFonts w:ascii="Avenir Next" w:hAnsi="Avenir Next" w:cs="Arial"/>
          <w:color w:val="7B7B7B" w:themeColor="accent3" w:themeShade="BF"/>
          <w:lang w:val="en-GB"/>
        </w:rPr>
        <w:t>;</w:t>
      </w:r>
      <w:r w:rsidR="00723462">
        <w:rPr>
          <w:rStyle w:val="Refdenotaderodap"/>
          <w:rFonts w:ascii="Avenir Next" w:hAnsi="Avenir Next" w:cs="Arial"/>
          <w:color w:val="7B7B7B" w:themeColor="accent3" w:themeShade="BF"/>
          <w:lang w:val="en-GB"/>
        </w:rPr>
        <w:footnoteReference w:id="57"/>
      </w:r>
      <w:r w:rsidR="002C2EC9">
        <w:rPr>
          <w:rFonts w:ascii="Avenir Next" w:hAnsi="Avenir Next" w:cs="Arial"/>
          <w:color w:val="7B7B7B" w:themeColor="accent3" w:themeShade="BF"/>
          <w:lang w:val="en-GB"/>
        </w:rPr>
        <w:t xml:space="preserve"> (b) “</w:t>
      </w:r>
      <w:r w:rsidR="002C2EC9" w:rsidRPr="002C2EC9">
        <w:rPr>
          <w:rFonts w:ascii="Avenir Next" w:hAnsi="Avenir Next" w:cs="Arial"/>
          <w:color w:val="7B7B7B" w:themeColor="accent3" w:themeShade="BF"/>
          <w:lang w:val="en-GB"/>
        </w:rPr>
        <w:t>if the debtor does not have a place of business or assets in the United States, in which there is pending against the debtor an action or proceeding in a Federal or State court</w:t>
      </w:r>
      <w:r w:rsidR="002C2EC9">
        <w:rPr>
          <w:rFonts w:ascii="Avenir Next" w:hAnsi="Avenir Next" w:cs="Arial"/>
          <w:color w:val="7B7B7B" w:themeColor="accent3" w:themeShade="BF"/>
          <w:lang w:val="en-GB"/>
        </w:rPr>
        <w:t>”</w:t>
      </w:r>
      <w:r w:rsidR="002C2EC9" w:rsidRPr="002C2EC9">
        <w:rPr>
          <w:rFonts w:ascii="Avenir Next" w:hAnsi="Avenir Next" w:cs="Arial"/>
          <w:color w:val="7B7B7B" w:themeColor="accent3" w:themeShade="BF"/>
          <w:lang w:val="en-GB"/>
        </w:rPr>
        <w:t>;</w:t>
      </w:r>
      <w:r w:rsidR="00723462">
        <w:rPr>
          <w:rStyle w:val="Refdenotaderodap"/>
          <w:rFonts w:ascii="Avenir Next" w:hAnsi="Avenir Next" w:cs="Arial"/>
          <w:color w:val="7B7B7B" w:themeColor="accent3" w:themeShade="BF"/>
          <w:lang w:val="en-GB"/>
        </w:rPr>
        <w:footnoteReference w:id="58"/>
      </w:r>
      <w:r w:rsidR="002C2EC9" w:rsidRPr="002C2EC9">
        <w:rPr>
          <w:rFonts w:ascii="Avenir Next" w:hAnsi="Avenir Next" w:cs="Arial"/>
          <w:color w:val="7B7B7B" w:themeColor="accent3" w:themeShade="BF"/>
          <w:lang w:val="en-GB"/>
        </w:rPr>
        <w:t xml:space="preserve"> or</w:t>
      </w:r>
      <w:r w:rsidR="002C2EC9">
        <w:rPr>
          <w:rFonts w:ascii="Avenir Next" w:hAnsi="Avenir Next" w:cs="Arial"/>
          <w:color w:val="7B7B7B" w:themeColor="accent3" w:themeShade="BF"/>
          <w:lang w:val="en-GB"/>
        </w:rPr>
        <w:t xml:space="preserve"> (c) “</w:t>
      </w:r>
      <w:r w:rsidR="002C2EC9" w:rsidRPr="002C2EC9">
        <w:rPr>
          <w:rFonts w:ascii="Avenir Next" w:hAnsi="Avenir Next" w:cs="Arial"/>
          <w:color w:val="7B7B7B" w:themeColor="accent3" w:themeShade="BF"/>
          <w:lang w:val="en-GB"/>
        </w:rPr>
        <w:t>in a case other than those specified in paragraph (1) or (2), in which venue will be consistent with the interests of justice and the convenience of the parties, having regard to the relief sought by the foreign representative</w:t>
      </w:r>
      <w:r w:rsidR="002C2EC9">
        <w:rPr>
          <w:rFonts w:ascii="Avenir Next" w:hAnsi="Avenir Next" w:cs="Arial"/>
          <w:color w:val="7B7B7B" w:themeColor="accent3" w:themeShade="BF"/>
          <w:lang w:val="en-GB"/>
        </w:rPr>
        <w:t>”</w:t>
      </w:r>
      <w:r w:rsidR="002C2EC9" w:rsidRPr="002C2EC9">
        <w:rPr>
          <w:rFonts w:ascii="Avenir Next" w:hAnsi="Avenir Next" w:cs="Arial"/>
          <w:color w:val="7B7B7B" w:themeColor="accent3" w:themeShade="BF"/>
          <w:lang w:val="en-GB"/>
        </w:rPr>
        <w:t>.</w:t>
      </w:r>
      <w:r w:rsidR="002C2EC9">
        <w:rPr>
          <w:rStyle w:val="Refdenotaderodap"/>
          <w:rFonts w:ascii="Avenir Next" w:hAnsi="Avenir Next" w:cs="Arial"/>
          <w:color w:val="7B7B7B" w:themeColor="accent3" w:themeShade="BF"/>
          <w:lang w:val="en-GB"/>
        </w:rPr>
        <w:footnoteReference w:id="59"/>
      </w:r>
    </w:p>
    <w:p w14:paraId="29E84BCD" w14:textId="31D5D0E7" w:rsidR="00723462" w:rsidRDefault="000C7793" w:rsidP="002C2EC9">
      <w:pPr>
        <w:pStyle w:val="AODocTxt"/>
        <w:rPr>
          <w:rFonts w:ascii="Avenir Next" w:hAnsi="Avenir Next" w:cs="Arial"/>
          <w:color w:val="7B7B7B" w:themeColor="accent3" w:themeShade="BF"/>
          <w:lang w:val="en-GB"/>
        </w:rPr>
      </w:pPr>
      <w:r w:rsidRPr="000C7793">
        <w:rPr>
          <w:rFonts w:ascii="Avenir Next" w:hAnsi="Avenir Next" w:cs="Arial"/>
          <w:color w:val="7B7B7B" w:themeColor="accent3" w:themeShade="BF"/>
          <w:lang w:val="en-GB"/>
        </w:rPr>
        <w:t xml:space="preserve">Assuming that the English scheme of arrangement for which recognition is sought is a foreign main proceeding or foreign non main proceeding, that the petition for recognition was applied for the </w:t>
      </w:r>
      <w:r w:rsidRPr="000C7793">
        <w:rPr>
          <w:rFonts w:ascii="Avenir Next" w:hAnsi="Avenir Next" w:cs="Arial"/>
          <w:color w:val="7B7B7B" w:themeColor="accent3" w:themeShade="BF"/>
          <w:lang w:val="en-GB"/>
        </w:rPr>
        <w:t>foreign</w:t>
      </w:r>
      <w:r w:rsidRPr="000C7793">
        <w:rPr>
          <w:rFonts w:ascii="Avenir Next" w:hAnsi="Avenir Next" w:cs="Arial"/>
          <w:color w:val="7B7B7B" w:themeColor="accent3" w:themeShade="BF"/>
          <w:lang w:val="en-GB"/>
        </w:rPr>
        <w:t xml:space="preserve"> representative, and the petition meets the requirements of § 1515 of the 11 USC.</w:t>
      </w:r>
      <w:r>
        <w:rPr>
          <w:rStyle w:val="Refdenotaderodap"/>
          <w:rFonts w:ascii="Avenir Next" w:hAnsi="Avenir Next" w:cs="Arial"/>
          <w:color w:val="7B7B7B" w:themeColor="accent3" w:themeShade="BF"/>
          <w:lang w:val="en-GB"/>
        </w:rPr>
        <w:footnoteReference w:id="60"/>
      </w:r>
      <w:r w:rsidRPr="000C7793">
        <w:rPr>
          <w:rFonts w:ascii="Avenir Next" w:hAnsi="Avenir Next" w:cs="Arial"/>
          <w:color w:val="7B7B7B" w:themeColor="accent3" w:themeShade="BF"/>
          <w:lang w:val="en-GB"/>
        </w:rPr>
        <w:t xml:space="preserve"> </w:t>
      </w:r>
      <w:r w:rsidR="00CB1AA2">
        <w:rPr>
          <w:rFonts w:ascii="Avenir Next" w:hAnsi="Avenir Next" w:cs="Arial"/>
          <w:color w:val="7B7B7B" w:themeColor="accent3" w:themeShade="BF"/>
          <w:lang w:val="en-GB"/>
        </w:rPr>
        <w:t>The</w:t>
      </w:r>
      <w:r w:rsidR="00B77F2D">
        <w:rPr>
          <w:rFonts w:ascii="Avenir Next" w:hAnsi="Avenir Next" w:cs="Arial"/>
          <w:color w:val="7B7B7B" w:themeColor="accent3" w:themeShade="BF"/>
          <w:lang w:val="en-GB"/>
        </w:rPr>
        <w:t>n</w:t>
      </w:r>
      <w:r w:rsidR="0098068A">
        <w:rPr>
          <w:rFonts w:ascii="Avenir Next" w:hAnsi="Avenir Next" w:cs="Arial"/>
          <w:color w:val="7B7B7B" w:themeColor="accent3" w:themeShade="BF"/>
          <w:lang w:val="en-GB"/>
        </w:rPr>
        <w:t xml:space="preserve">, </w:t>
      </w:r>
      <w:r w:rsidR="0098068A" w:rsidRPr="0098068A">
        <w:rPr>
          <w:rFonts w:ascii="Avenir Next" w:hAnsi="Avenir Next" w:cs="Arial"/>
          <w:color w:val="7B7B7B" w:themeColor="accent3" w:themeShade="BF"/>
          <w:lang w:val="en-GB"/>
        </w:rPr>
        <w:t xml:space="preserve">the English scheme of arrangement </w:t>
      </w:r>
      <w:r w:rsidR="0098068A">
        <w:rPr>
          <w:rFonts w:ascii="Avenir Next" w:hAnsi="Avenir Next" w:cs="Arial"/>
          <w:color w:val="7B7B7B" w:themeColor="accent3" w:themeShade="BF"/>
          <w:lang w:val="en-GB"/>
        </w:rPr>
        <w:t xml:space="preserve">could </w:t>
      </w:r>
      <w:r w:rsidR="0098068A" w:rsidRPr="0098068A">
        <w:rPr>
          <w:rFonts w:ascii="Avenir Next" w:hAnsi="Avenir Next" w:cs="Arial"/>
          <w:color w:val="7B7B7B" w:themeColor="accent3" w:themeShade="BF"/>
          <w:lang w:val="en-GB"/>
        </w:rPr>
        <w:t>be recognized by a US bankruptcy court under Chapter 15</w:t>
      </w:r>
      <w:r w:rsidR="00303267">
        <w:rPr>
          <w:rFonts w:ascii="Avenir Next" w:hAnsi="Avenir Next" w:cs="Arial"/>
          <w:color w:val="7B7B7B" w:themeColor="accent3" w:themeShade="BF"/>
          <w:lang w:val="en-GB"/>
        </w:rPr>
        <w:t>.</w:t>
      </w:r>
    </w:p>
    <w:p w14:paraId="561E3FE4" w14:textId="68C7A3B7" w:rsidR="006816F1" w:rsidRDefault="006A16A3" w:rsidP="00457BBC">
      <w:pPr>
        <w:pStyle w:val="AODocTxt"/>
        <w:rPr>
          <w:rFonts w:ascii="Avenir Next" w:hAnsi="Avenir Next" w:cs="Arial"/>
          <w:color w:val="7B7B7B" w:themeColor="accent3" w:themeShade="BF"/>
          <w:lang w:val="en-GB"/>
        </w:rPr>
      </w:pPr>
      <w:r w:rsidRPr="006A16A3">
        <w:rPr>
          <w:rFonts w:ascii="Avenir Next" w:hAnsi="Avenir Next" w:cs="Arial"/>
          <w:color w:val="7B7B7B" w:themeColor="accent3" w:themeShade="BF"/>
          <w:lang w:val="en-GB"/>
        </w:rPr>
        <w:t xml:space="preserve">To understand whether the English scheme of arrangement will be recognized as </w:t>
      </w:r>
      <w:r>
        <w:rPr>
          <w:rFonts w:ascii="Avenir Next" w:hAnsi="Avenir Next" w:cs="Arial"/>
          <w:color w:val="7B7B7B" w:themeColor="accent3" w:themeShade="BF"/>
          <w:lang w:val="en-GB"/>
        </w:rPr>
        <w:t xml:space="preserve">foreign </w:t>
      </w:r>
      <w:r w:rsidRPr="006A16A3">
        <w:rPr>
          <w:rFonts w:ascii="Avenir Next" w:hAnsi="Avenir Next" w:cs="Arial"/>
          <w:color w:val="7B7B7B" w:themeColor="accent3" w:themeShade="BF"/>
          <w:lang w:val="en-GB"/>
        </w:rPr>
        <w:t>main</w:t>
      </w:r>
      <w:r>
        <w:rPr>
          <w:rFonts w:ascii="Avenir Next" w:hAnsi="Avenir Next" w:cs="Arial"/>
          <w:color w:val="7B7B7B" w:themeColor="accent3" w:themeShade="BF"/>
          <w:lang w:val="en-GB"/>
        </w:rPr>
        <w:t xml:space="preserve"> proceeding</w:t>
      </w:r>
      <w:r w:rsidRPr="006A16A3">
        <w:rPr>
          <w:rFonts w:ascii="Avenir Next" w:hAnsi="Avenir Next" w:cs="Arial"/>
          <w:color w:val="7B7B7B" w:themeColor="accent3" w:themeShade="BF"/>
          <w:lang w:val="en-GB"/>
        </w:rPr>
        <w:t xml:space="preserve"> or </w:t>
      </w:r>
      <w:r>
        <w:rPr>
          <w:rFonts w:ascii="Avenir Next" w:hAnsi="Avenir Next" w:cs="Arial"/>
          <w:color w:val="7B7B7B" w:themeColor="accent3" w:themeShade="BF"/>
          <w:lang w:val="en-GB"/>
        </w:rPr>
        <w:t xml:space="preserve">a foreign </w:t>
      </w:r>
      <w:r w:rsidRPr="006A16A3">
        <w:rPr>
          <w:rFonts w:ascii="Avenir Next" w:hAnsi="Avenir Next" w:cs="Arial"/>
          <w:color w:val="7B7B7B" w:themeColor="accent3" w:themeShade="BF"/>
          <w:lang w:val="en-GB"/>
        </w:rPr>
        <w:t>non-main</w:t>
      </w:r>
      <w:r>
        <w:rPr>
          <w:rFonts w:ascii="Avenir Next" w:hAnsi="Avenir Next" w:cs="Arial"/>
          <w:color w:val="7B7B7B" w:themeColor="accent3" w:themeShade="BF"/>
          <w:lang w:val="en-GB"/>
        </w:rPr>
        <w:t xml:space="preserve"> proceeding</w:t>
      </w:r>
      <w:r w:rsidRPr="006A16A3">
        <w:rPr>
          <w:rFonts w:ascii="Avenir Next" w:hAnsi="Avenir Next" w:cs="Arial"/>
          <w:color w:val="7B7B7B" w:themeColor="accent3" w:themeShade="BF"/>
          <w:lang w:val="en-GB"/>
        </w:rPr>
        <w:t xml:space="preserve">, it is necessary to know if it is pending in the country where the debtor has the </w:t>
      </w:r>
      <w:proofErr w:type="spellStart"/>
      <w:r w:rsidRPr="006A16A3">
        <w:rPr>
          <w:rFonts w:ascii="Avenir Next" w:hAnsi="Avenir Next" w:cs="Arial"/>
          <w:color w:val="7B7B7B" w:themeColor="accent3" w:themeShade="BF"/>
          <w:lang w:val="en-GB"/>
        </w:rPr>
        <w:t>center</w:t>
      </w:r>
      <w:proofErr w:type="spellEnd"/>
      <w:r w:rsidRPr="006A16A3">
        <w:rPr>
          <w:rFonts w:ascii="Avenir Next" w:hAnsi="Avenir Next" w:cs="Arial"/>
          <w:color w:val="7B7B7B" w:themeColor="accent3" w:themeShade="BF"/>
          <w:lang w:val="en-GB"/>
        </w:rPr>
        <w:t xml:space="preserve"> of its main interests </w:t>
      </w:r>
      <w:r w:rsidR="00C21E81">
        <w:rPr>
          <w:rFonts w:ascii="Avenir Next" w:hAnsi="Avenir Next" w:cs="Arial"/>
          <w:color w:val="7B7B7B" w:themeColor="accent3" w:themeShade="BF"/>
          <w:lang w:val="en-GB"/>
        </w:rPr>
        <w:t xml:space="preserve">(COMI) </w:t>
      </w:r>
      <w:r w:rsidRPr="006A16A3">
        <w:rPr>
          <w:rFonts w:ascii="Avenir Next" w:hAnsi="Avenir Next" w:cs="Arial"/>
          <w:color w:val="7B7B7B" w:themeColor="accent3" w:themeShade="BF"/>
          <w:lang w:val="en-GB"/>
        </w:rPr>
        <w:t>or an establishment.</w:t>
      </w:r>
    </w:p>
    <w:p w14:paraId="7F46C66C" w14:textId="2298FCA4" w:rsidR="00457BBC" w:rsidRDefault="0089686A" w:rsidP="00CB5893">
      <w:pPr>
        <w:pStyle w:val="AODocTxt"/>
        <w:rPr>
          <w:rFonts w:ascii="Avenir Next" w:hAnsi="Avenir Next" w:cs="Arial"/>
          <w:color w:val="7B7B7B" w:themeColor="accent3" w:themeShade="BF"/>
          <w:lang w:val="en-GB"/>
        </w:rPr>
      </w:pPr>
      <w:r>
        <w:rPr>
          <w:rFonts w:ascii="Avenir Next" w:hAnsi="Avenir Next" w:cs="Arial"/>
          <w:color w:val="7B7B7B" w:themeColor="accent3" w:themeShade="BF"/>
          <w:lang w:val="en-GB"/>
        </w:rPr>
        <w:t>A foreign main proceeding is defined as “</w:t>
      </w:r>
      <w:r w:rsidRPr="00360E58">
        <w:rPr>
          <w:rFonts w:ascii="Avenir Next" w:hAnsi="Avenir Next" w:cs="Arial"/>
          <w:color w:val="7B7B7B" w:themeColor="accent3" w:themeShade="BF"/>
          <w:lang w:val="en-GB"/>
        </w:rPr>
        <w:t xml:space="preserve">a foreign proceeding pending in the country where the debtor has the </w:t>
      </w:r>
      <w:proofErr w:type="spellStart"/>
      <w:r w:rsidRPr="00360E58">
        <w:rPr>
          <w:rFonts w:ascii="Avenir Next" w:hAnsi="Avenir Next" w:cs="Arial"/>
          <w:color w:val="7B7B7B" w:themeColor="accent3" w:themeShade="BF"/>
          <w:lang w:val="en-GB"/>
        </w:rPr>
        <w:t>center</w:t>
      </w:r>
      <w:proofErr w:type="spellEnd"/>
      <w:r w:rsidRPr="00360E58">
        <w:rPr>
          <w:rFonts w:ascii="Avenir Next" w:hAnsi="Avenir Next" w:cs="Arial"/>
          <w:color w:val="7B7B7B" w:themeColor="accent3" w:themeShade="BF"/>
          <w:lang w:val="en-GB"/>
        </w:rPr>
        <w:t xml:space="preserve"> of its main interests</w:t>
      </w:r>
      <w:r>
        <w:rPr>
          <w:rFonts w:ascii="Avenir Next" w:hAnsi="Avenir Next" w:cs="Arial"/>
          <w:color w:val="7B7B7B" w:themeColor="accent3" w:themeShade="BF"/>
          <w:lang w:val="en-GB"/>
        </w:rPr>
        <w:t>”.</w:t>
      </w:r>
      <w:r>
        <w:rPr>
          <w:rStyle w:val="Refdenotaderodap"/>
          <w:rFonts w:ascii="Avenir Next" w:hAnsi="Avenir Next" w:cs="Arial"/>
          <w:color w:val="7B7B7B" w:themeColor="accent3" w:themeShade="BF"/>
          <w:lang w:val="en-GB"/>
        </w:rPr>
        <w:footnoteReference w:id="61"/>
      </w:r>
      <w:r w:rsidR="00C21E81">
        <w:rPr>
          <w:rFonts w:ascii="Avenir Next" w:hAnsi="Avenir Next" w:cs="Arial"/>
          <w:color w:val="7B7B7B" w:themeColor="accent3" w:themeShade="BF"/>
          <w:lang w:val="en-GB"/>
        </w:rPr>
        <w:t xml:space="preserve"> </w:t>
      </w:r>
      <w:r w:rsidR="00CB5893">
        <w:rPr>
          <w:rFonts w:ascii="Avenir Next" w:hAnsi="Avenir Next" w:cs="Arial"/>
          <w:color w:val="7B7B7B" w:themeColor="accent3" w:themeShade="BF"/>
          <w:lang w:val="en-GB"/>
        </w:rPr>
        <w:t>HALL indicates that “[a]</w:t>
      </w:r>
      <w:r w:rsidR="00CB5893" w:rsidRPr="00CB5893">
        <w:rPr>
          <w:rFonts w:ascii="Avenir Next" w:hAnsi="Avenir Next" w:cs="Arial"/>
          <w:color w:val="7B7B7B" w:themeColor="accent3" w:themeShade="BF"/>
          <w:lang w:val="en-GB"/>
        </w:rPr>
        <w:t xml:space="preserve"> debtor’s COMI is</w:t>
      </w:r>
      <w:r w:rsidR="00CB5893">
        <w:rPr>
          <w:rFonts w:ascii="Avenir Next" w:hAnsi="Avenir Next" w:cs="Arial"/>
          <w:color w:val="7B7B7B" w:themeColor="accent3" w:themeShade="BF"/>
          <w:lang w:val="en-GB"/>
        </w:rPr>
        <w:t xml:space="preserve"> </w:t>
      </w:r>
      <w:r w:rsidR="00CB5893" w:rsidRPr="00CB5893">
        <w:rPr>
          <w:rFonts w:ascii="Avenir Next" w:hAnsi="Avenir Next" w:cs="Arial"/>
          <w:color w:val="7B7B7B" w:themeColor="accent3" w:themeShade="BF"/>
          <w:lang w:val="en-GB"/>
        </w:rPr>
        <w:t xml:space="preserve">presumed to be its </w:t>
      </w:r>
      <w:r w:rsidR="00CB5893" w:rsidRPr="00CB5893">
        <w:rPr>
          <w:rFonts w:ascii="Avenir Next" w:hAnsi="Avenir Next" w:cs="Arial"/>
          <w:color w:val="7B7B7B" w:themeColor="accent3" w:themeShade="BF"/>
          <w:lang w:val="en-GB"/>
        </w:rPr>
        <w:lastRenderedPageBreak/>
        <w:t>place of incorporation, but this is rebuttable</w:t>
      </w:r>
      <w:r w:rsidR="00CB5893">
        <w:rPr>
          <w:rFonts w:ascii="Avenir Next" w:hAnsi="Avenir Next" w:cs="Arial"/>
          <w:color w:val="7B7B7B" w:themeColor="accent3" w:themeShade="BF"/>
          <w:lang w:val="en-GB"/>
        </w:rPr>
        <w:t>”</w:t>
      </w:r>
      <w:r w:rsidR="00A43034">
        <w:rPr>
          <w:rFonts w:ascii="Avenir Next" w:hAnsi="Avenir Next" w:cs="Arial"/>
          <w:color w:val="7B7B7B" w:themeColor="accent3" w:themeShade="BF"/>
          <w:lang w:val="en-GB"/>
        </w:rPr>
        <w:t>.</w:t>
      </w:r>
      <w:r w:rsidR="00A43034">
        <w:rPr>
          <w:rStyle w:val="Refdenotaderodap"/>
          <w:rFonts w:ascii="Avenir Next" w:hAnsi="Avenir Next" w:cs="Arial"/>
          <w:color w:val="7B7B7B" w:themeColor="accent3" w:themeShade="BF"/>
          <w:lang w:val="en-GB"/>
        </w:rPr>
        <w:footnoteReference w:id="62"/>
      </w:r>
      <w:r w:rsidR="00A43034">
        <w:rPr>
          <w:rFonts w:ascii="Avenir Next" w:hAnsi="Avenir Next" w:cs="Arial"/>
          <w:color w:val="7B7B7B" w:themeColor="accent3" w:themeShade="BF"/>
          <w:lang w:val="en-GB"/>
        </w:rPr>
        <w:t xml:space="preserve"> </w:t>
      </w:r>
      <w:r w:rsidR="004B3317" w:rsidRPr="004B3317">
        <w:rPr>
          <w:rFonts w:ascii="Avenir Next" w:hAnsi="Avenir Next" w:cs="Arial"/>
          <w:color w:val="7B7B7B" w:themeColor="accent3" w:themeShade="BF"/>
          <w:lang w:val="en-GB"/>
        </w:rPr>
        <w:t>This presumption is set forth in § 1516(c) of 11 USC: "</w:t>
      </w:r>
      <w:r w:rsidR="00457BBC">
        <w:rPr>
          <w:rFonts w:ascii="Avenir Next" w:hAnsi="Avenir Next" w:cs="Arial"/>
          <w:color w:val="7B7B7B" w:themeColor="accent3" w:themeShade="BF"/>
          <w:lang w:val="en-GB"/>
        </w:rPr>
        <w:t>[</w:t>
      </w:r>
      <w:proofErr w:type="spellStart"/>
      <w:r w:rsidR="00457BBC">
        <w:rPr>
          <w:rFonts w:ascii="Avenir Next" w:hAnsi="Avenir Next" w:cs="Arial"/>
          <w:color w:val="7B7B7B" w:themeColor="accent3" w:themeShade="BF"/>
          <w:lang w:val="en-GB"/>
        </w:rPr>
        <w:t>i</w:t>
      </w:r>
      <w:proofErr w:type="spellEnd"/>
      <w:r w:rsidR="00457BBC">
        <w:rPr>
          <w:rFonts w:ascii="Avenir Next" w:hAnsi="Avenir Next" w:cs="Arial"/>
          <w:color w:val="7B7B7B" w:themeColor="accent3" w:themeShade="BF"/>
          <w:lang w:val="en-GB"/>
        </w:rPr>
        <w:t>]</w:t>
      </w:r>
      <w:r w:rsidR="00457BBC" w:rsidRPr="00457BBC">
        <w:rPr>
          <w:rFonts w:ascii="Avenir Next" w:hAnsi="Avenir Next" w:cs="Arial"/>
          <w:color w:val="7B7B7B" w:themeColor="accent3" w:themeShade="BF"/>
          <w:lang w:val="en-GB"/>
        </w:rPr>
        <w:t xml:space="preserve">n the absence of evidence to the contrary, the debtor’s registered office, or habitual residence in the case of an individual, is presumed to be the </w:t>
      </w:r>
      <w:proofErr w:type="spellStart"/>
      <w:r w:rsidR="00457BBC" w:rsidRPr="00457BBC">
        <w:rPr>
          <w:rFonts w:ascii="Avenir Next" w:hAnsi="Avenir Next" w:cs="Arial"/>
          <w:color w:val="7B7B7B" w:themeColor="accent3" w:themeShade="BF"/>
          <w:lang w:val="en-GB"/>
        </w:rPr>
        <w:t>center</w:t>
      </w:r>
      <w:proofErr w:type="spellEnd"/>
      <w:r w:rsidR="00457BBC" w:rsidRPr="00457BBC">
        <w:rPr>
          <w:rFonts w:ascii="Avenir Next" w:hAnsi="Avenir Next" w:cs="Arial"/>
          <w:color w:val="7B7B7B" w:themeColor="accent3" w:themeShade="BF"/>
          <w:lang w:val="en-GB"/>
        </w:rPr>
        <w:t xml:space="preserve"> of the debtor’s main interests</w:t>
      </w:r>
      <w:r w:rsidR="004B3317" w:rsidRPr="004B3317">
        <w:rPr>
          <w:rFonts w:ascii="Avenir Next" w:hAnsi="Avenir Next" w:cs="Arial"/>
          <w:color w:val="7B7B7B" w:themeColor="accent3" w:themeShade="BF"/>
          <w:lang w:val="en-GB"/>
        </w:rPr>
        <w:t>".</w:t>
      </w:r>
      <w:r w:rsidR="00457BBC">
        <w:rPr>
          <w:rStyle w:val="Refdenotaderodap"/>
          <w:rFonts w:ascii="Avenir Next" w:hAnsi="Avenir Next" w:cs="Arial"/>
          <w:color w:val="7B7B7B" w:themeColor="accent3" w:themeShade="BF"/>
          <w:lang w:val="en-GB"/>
        </w:rPr>
        <w:footnoteReference w:id="63"/>
      </w:r>
    </w:p>
    <w:p w14:paraId="20DD4B4B" w14:textId="11B399B0" w:rsidR="004D0707" w:rsidRDefault="004D0707" w:rsidP="00842DFD">
      <w:pPr>
        <w:pStyle w:val="AODocTxt"/>
        <w:rPr>
          <w:rFonts w:ascii="Avenir Next" w:hAnsi="Avenir Next" w:cs="Arial"/>
          <w:color w:val="7B7B7B" w:themeColor="accent3" w:themeShade="BF"/>
          <w:lang w:val="en-GB"/>
        </w:rPr>
      </w:pPr>
      <w:r w:rsidRPr="004D0707">
        <w:rPr>
          <w:rFonts w:ascii="Avenir Next" w:hAnsi="Avenir Next" w:cs="Arial"/>
          <w:color w:val="7B7B7B" w:themeColor="accent3" w:themeShade="BF"/>
          <w:lang w:val="en-GB"/>
        </w:rPr>
        <w:t>Other factors should be used to determine the COMI according to HALL:</w:t>
      </w:r>
      <w:r>
        <w:rPr>
          <w:rFonts w:ascii="Avenir Next" w:hAnsi="Avenir Next" w:cs="Arial"/>
          <w:color w:val="7B7B7B" w:themeColor="accent3" w:themeShade="BF"/>
          <w:lang w:val="en-GB"/>
        </w:rPr>
        <w:t xml:space="preserve"> (a) </w:t>
      </w:r>
      <w:r w:rsidR="00842DFD">
        <w:rPr>
          <w:rFonts w:ascii="Avenir Next" w:hAnsi="Avenir Next" w:cs="Arial"/>
          <w:color w:val="7B7B7B" w:themeColor="accent3" w:themeShade="BF"/>
          <w:lang w:val="en-GB"/>
        </w:rPr>
        <w:t>“l</w:t>
      </w:r>
      <w:r w:rsidR="00842DFD" w:rsidRPr="00842DFD">
        <w:rPr>
          <w:rFonts w:ascii="Avenir Next" w:hAnsi="Avenir Next" w:cs="Arial"/>
          <w:color w:val="7B7B7B" w:themeColor="accent3" w:themeShade="BF"/>
          <w:lang w:val="en-GB"/>
        </w:rPr>
        <w:t>ocation of headquarters</w:t>
      </w:r>
      <w:r w:rsidR="00842DFD">
        <w:rPr>
          <w:rFonts w:ascii="Avenir Next" w:hAnsi="Avenir Next" w:cs="Arial"/>
          <w:color w:val="7B7B7B" w:themeColor="accent3" w:themeShade="BF"/>
          <w:lang w:val="en-GB"/>
        </w:rPr>
        <w:t>”</w:t>
      </w:r>
      <w:r w:rsidR="00842DFD" w:rsidRPr="00842DFD">
        <w:rPr>
          <w:rFonts w:ascii="Avenir Next" w:hAnsi="Avenir Next" w:cs="Arial"/>
          <w:color w:val="7B7B7B" w:themeColor="accent3" w:themeShade="BF"/>
          <w:lang w:val="en-GB"/>
        </w:rPr>
        <w:t>;</w:t>
      </w:r>
      <w:r w:rsidR="00E17274">
        <w:rPr>
          <w:rStyle w:val="Refdenotaderodap"/>
          <w:rFonts w:ascii="Avenir Next" w:hAnsi="Avenir Next" w:cs="Arial"/>
          <w:color w:val="7B7B7B" w:themeColor="accent3" w:themeShade="BF"/>
          <w:lang w:val="en-GB"/>
        </w:rPr>
        <w:footnoteReference w:id="64"/>
      </w:r>
      <w:r w:rsidR="00842DFD">
        <w:rPr>
          <w:rFonts w:ascii="Avenir Next" w:hAnsi="Avenir Next" w:cs="Arial"/>
          <w:color w:val="7B7B7B" w:themeColor="accent3" w:themeShade="BF"/>
          <w:lang w:val="en-GB"/>
        </w:rPr>
        <w:t xml:space="preserve"> (b) “</w:t>
      </w:r>
      <w:r w:rsidR="00842DFD" w:rsidRPr="00842DFD">
        <w:rPr>
          <w:rFonts w:ascii="Avenir Next" w:hAnsi="Avenir Next" w:cs="Arial"/>
          <w:color w:val="7B7B7B" w:themeColor="accent3" w:themeShade="BF"/>
          <w:lang w:val="en-GB"/>
        </w:rPr>
        <w:t>location of management</w:t>
      </w:r>
      <w:r w:rsidR="00842DFD">
        <w:rPr>
          <w:rFonts w:ascii="Avenir Next" w:hAnsi="Avenir Next" w:cs="Arial"/>
          <w:color w:val="7B7B7B" w:themeColor="accent3" w:themeShade="BF"/>
          <w:lang w:val="en-GB"/>
        </w:rPr>
        <w:t>”</w:t>
      </w:r>
      <w:r w:rsidR="00842DFD" w:rsidRPr="00842DFD">
        <w:rPr>
          <w:rFonts w:ascii="Avenir Next" w:hAnsi="Avenir Next" w:cs="Arial"/>
          <w:color w:val="7B7B7B" w:themeColor="accent3" w:themeShade="BF"/>
          <w:lang w:val="en-GB"/>
        </w:rPr>
        <w:t>;</w:t>
      </w:r>
      <w:r w:rsidR="00E17274">
        <w:rPr>
          <w:rStyle w:val="Refdenotaderodap"/>
          <w:rFonts w:ascii="Avenir Next" w:hAnsi="Avenir Next" w:cs="Arial"/>
          <w:color w:val="7B7B7B" w:themeColor="accent3" w:themeShade="BF"/>
          <w:lang w:val="en-GB"/>
        </w:rPr>
        <w:footnoteReference w:id="65"/>
      </w:r>
      <w:r w:rsidR="00842DFD">
        <w:rPr>
          <w:rFonts w:ascii="Avenir Next" w:hAnsi="Avenir Next" w:cs="Arial"/>
          <w:color w:val="7B7B7B" w:themeColor="accent3" w:themeShade="BF"/>
          <w:lang w:val="en-GB"/>
        </w:rPr>
        <w:t xml:space="preserve"> (c) “</w:t>
      </w:r>
      <w:r w:rsidR="00842DFD" w:rsidRPr="00842DFD">
        <w:rPr>
          <w:rFonts w:ascii="Avenir Next" w:hAnsi="Avenir Next" w:cs="Arial"/>
          <w:color w:val="7B7B7B" w:themeColor="accent3" w:themeShade="BF"/>
          <w:lang w:val="en-GB"/>
        </w:rPr>
        <w:t>location of primary assets</w:t>
      </w:r>
      <w:r w:rsidR="00842DFD">
        <w:rPr>
          <w:rFonts w:ascii="Avenir Next" w:hAnsi="Avenir Next" w:cs="Arial"/>
          <w:color w:val="7B7B7B" w:themeColor="accent3" w:themeShade="BF"/>
          <w:lang w:val="en-GB"/>
        </w:rPr>
        <w:t>”</w:t>
      </w:r>
      <w:r w:rsidR="00842DFD" w:rsidRPr="00842DFD">
        <w:rPr>
          <w:rFonts w:ascii="Avenir Next" w:hAnsi="Avenir Next" w:cs="Arial"/>
          <w:color w:val="7B7B7B" w:themeColor="accent3" w:themeShade="BF"/>
          <w:lang w:val="en-GB"/>
        </w:rPr>
        <w:t>;</w:t>
      </w:r>
      <w:r w:rsidR="00E17274">
        <w:rPr>
          <w:rStyle w:val="Refdenotaderodap"/>
          <w:rFonts w:ascii="Avenir Next" w:hAnsi="Avenir Next" w:cs="Arial"/>
          <w:color w:val="7B7B7B" w:themeColor="accent3" w:themeShade="BF"/>
          <w:lang w:val="en-GB"/>
        </w:rPr>
        <w:footnoteReference w:id="66"/>
      </w:r>
      <w:r w:rsidR="00842DFD">
        <w:rPr>
          <w:rFonts w:ascii="Avenir Next" w:hAnsi="Avenir Next" w:cs="Arial"/>
          <w:color w:val="7B7B7B" w:themeColor="accent3" w:themeShade="BF"/>
          <w:lang w:val="en-GB"/>
        </w:rPr>
        <w:t xml:space="preserve"> (d) “</w:t>
      </w:r>
      <w:r w:rsidR="00842DFD" w:rsidRPr="00842DFD">
        <w:rPr>
          <w:rFonts w:ascii="Avenir Next" w:hAnsi="Avenir Next" w:cs="Arial"/>
          <w:color w:val="7B7B7B" w:themeColor="accent3" w:themeShade="BF"/>
          <w:lang w:val="en-GB"/>
        </w:rPr>
        <w:t>location of a majority of debtor’s creditors or a majority of the creditors that will be affected</w:t>
      </w:r>
      <w:r w:rsidR="00952D6E">
        <w:rPr>
          <w:rFonts w:ascii="Avenir Next" w:hAnsi="Avenir Next" w:cs="Arial"/>
          <w:color w:val="7B7B7B" w:themeColor="accent3" w:themeShade="BF"/>
          <w:lang w:val="en-GB"/>
        </w:rPr>
        <w:t xml:space="preserve"> </w:t>
      </w:r>
      <w:r w:rsidR="00842DFD" w:rsidRPr="00842DFD">
        <w:rPr>
          <w:rFonts w:ascii="Avenir Next" w:hAnsi="Avenir Next" w:cs="Arial"/>
          <w:color w:val="7B7B7B" w:themeColor="accent3" w:themeShade="BF"/>
          <w:lang w:val="en-GB"/>
        </w:rPr>
        <w:t>by the relief requested by the foreign representative</w:t>
      </w:r>
      <w:r w:rsidR="00952D6E">
        <w:rPr>
          <w:rFonts w:ascii="Avenir Next" w:hAnsi="Avenir Next" w:cs="Arial"/>
          <w:color w:val="7B7B7B" w:themeColor="accent3" w:themeShade="BF"/>
          <w:lang w:val="en-GB"/>
        </w:rPr>
        <w:t>”</w:t>
      </w:r>
      <w:r w:rsidR="00842DFD" w:rsidRPr="00842DFD">
        <w:rPr>
          <w:rFonts w:ascii="Avenir Next" w:hAnsi="Avenir Next" w:cs="Arial"/>
          <w:color w:val="7B7B7B" w:themeColor="accent3" w:themeShade="BF"/>
          <w:lang w:val="en-GB"/>
        </w:rPr>
        <w:t>;</w:t>
      </w:r>
      <w:r w:rsidR="00E17274">
        <w:rPr>
          <w:rStyle w:val="Refdenotaderodap"/>
          <w:rFonts w:ascii="Avenir Next" w:hAnsi="Avenir Next" w:cs="Arial"/>
          <w:color w:val="7B7B7B" w:themeColor="accent3" w:themeShade="BF"/>
          <w:lang w:val="en-GB"/>
        </w:rPr>
        <w:footnoteReference w:id="67"/>
      </w:r>
      <w:r w:rsidR="00842DFD" w:rsidRPr="00842DFD">
        <w:rPr>
          <w:rFonts w:ascii="Avenir Next" w:hAnsi="Avenir Next" w:cs="Arial"/>
          <w:color w:val="7B7B7B" w:themeColor="accent3" w:themeShade="BF"/>
          <w:lang w:val="en-GB"/>
        </w:rPr>
        <w:t xml:space="preserve"> and</w:t>
      </w:r>
      <w:r w:rsidR="00952D6E">
        <w:rPr>
          <w:rFonts w:ascii="Avenir Next" w:hAnsi="Avenir Next" w:cs="Arial"/>
          <w:color w:val="7B7B7B" w:themeColor="accent3" w:themeShade="BF"/>
          <w:lang w:val="en-GB"/>
        </w:rPr>
        <w:t xml:space="preserve"> (e) “</w:t>
      </w:r>
      <w:r w:rsidR="00842DFD" w:rsidRPr="00842DFD">
        <w:rPr>
          <w:rFonts w:ascii="Avenir Next" w:hAnsi="Avenir Next" w:cs="Arial"/>
          <w:color w:val="7B7B7B" w:themeColor="accent3" w:themeShade="BF"/>
          <w:lang w:val="en-GB"/>
        </w:rPr>
        <w:t>jurisdiction whose law will apply to most disputes</w:t>
      </w:r>
      <w:r w:rsidR="00952D6E">
        <w:rPr>
          <w:rFonts w:ascii="Avenir Next" w:hAnsi="Avenir Next" w:cs="Arial"/>
          <w:color w:val="7B7B7B" w:themeColor="accent3" w:themeShade="BF"/>
          <w:lang w:val="en-GB"/>
        </w:rPr>
        <w:t>”</w:t>
      </w:r>
      <w:r w:rsidR="00842DFD" w:rsidRPr="00842DFD">
        <w:rPr>
          <w:rFonts w:ascii="Avenir Next" w:hAnsi="Avenir Next" w:cs="Arial"/>
          <w:color w:val="7B7B7B" w:themeColor="accent3" w:themeShade="BF"/>
          <w:lang w:val="en-GB"/>
        </w:rPr>
        <w:t>.</w:t>
      </w:r>
      <w:r w:rsidR="00E17274">
        <w:rPr>
          <w:rStyle w:val="Refdenotaderodap"/>
          <w:rFonts w:ascii="Avenir Next" w:hAnsi="Avenir Next" w:cs="Arial"/>
          <w:color w:val="7B7B7B" w:themeColor="accent3" w:themeShade="BF"/>
          <w:lang w:val="en-GB"/>
        </w:rPr>
        <w:footnoteReference w:id="68"/>
      </w:r>
    </w:p>
    <w:p w14:paraId="0545700D" w14:textId="44AD8BF4" w:rsidR="00907124" w:rsidRDefault="00ED205B" w:rsidP="00842DFD">
      <w:pPr>
        <w:pStyle w:val="AODocTxt"/>
        <w:rPr>
          <w:rFonts w:ascii="Avenir Next" w:hAnsi="Avenir Next" w:cs="Arial"/>
          <w:color w:val="7B7B7B" w:themeColor="accent3" w:themeShade="BF"/>
          <w:lang w:val="en-GB"/>
        </w:rPr>
      </w:pPr>
      <w:r w:rsidRPr="00ED205B">
        <w:rPr>
          <w:rFonts w:ascii="Avenir Next" w:hAnsi="Avenir Next" w:cs="Arial"/>
          <w:color w:val="7B7B7B" w:themeColor="accent3" w:themeShade="BF"/>
          <w:lang w:val="en-GB"/>
        </w:rPr>
        <w:t>Considering the presumption, the COMI of Stella is in France, because is the country of incorporation.</w:t>
      </w:r>
      <w:r>
        <w:rPr>
          <w:rFonts w:ascii="Avenir Next" w:hAnsi="Avenir Next" w:cs="Arial"/>
          <w:color w:val="7B7B7B" w:themeColor="accent3" w:themeShade="BF"/>
          <w:lang w:val="en-GB"/>
        </w:rPr>
        <w:t xml:space="preserve"> </w:t>
      </w:r>
      <w:r w:rsidR="00931468">
        <w:rPr>
          <w:rFonts w:ascii="Avenir Next" w:hAnsi="Avenir Next" w:cs="Arial"/>
          <w:color w:val="7B7B7B" w:themeColor="accent3" w:themeShade="BF"/>
          <w:lang w:val="en-GB"/>
        </w:rPr>
        <w:t>I</w:t>
      </w:r>
      <w:r w:rsidR="007B0B63">
        <w:rPr>
          <w:rFonts w:ascii="Avenir Next" w:hAnsi="Avenir Next" w:cs="Arial"/>
          <w:color w:val="7B7B7B" w:themeColor="accent3" w:themeShade="BF"/>
          <w:lang w:val="en-GB"/>
        </w:rPr>
        <w:t>ts</w:t>
      </w:r>
      <w:r w:rsidR="007B0B63" w:rsidRPr="007B0B63">
        <w:rPr>
          <w:rFonts w:ascii="Avenir Next" w:hAnsi="Avenir Next" w:cs="Arial"/>
          <w:color w:val="7B7B7B" w:themeColor="accent3" w:themeShade="BF"/>
          <w:lang w:val="en-GB"/>
        </w:rPr>
        <w:t xml:space="preserve"> headquarters in Paris is another factor to consider</w:t>
      </w:r>
      <w:r w:rsidR="00A835D3">
        <w:rPr>
          <w:rFonts w:ascii="Avenir Next" w:hAnsi="Avenir Next" w:cs="Arial"/>
          <w:color w:val="7B7B7B" w:themeColor="accent3" w:themeShade="BF"/>
          <w:lang w:val="en-GB"/>
        </w:rPr>
        <w:t xml:space="preserve">, </w:t>
      </w:r>
      <w:r w:rsidR="00A835D3" w:rsidRPr="00A835D3">
        <w:rPr>
          <w:rFonts w:ascii="Avenir Next" w:hAnsi="Avenir Next" w:cs="Arial"/>
          <w:color w:val="7B7B7B" w:themeColor="accent3" w:themeShade="BF"/>
          <w:lang w:val="en-GB"/>
        </w:rPr>
        <w:t>this could mean that the place of administration is also in France, although it is not possible to conclude in fact</w:t>
      </w:r>
      <w:r w:rsidR="007B0B63" w:rsidRPr="007B0B63">
        <w:rPr>
          <w:rFonts w:ascii="Avenir Next" w:hAnsi="Avenir Next" w:cs="Arial"/>
          <w:color w:val="7B7B7B" w:themeColor="accent3" w:themeShade="BF"/>
          <w:lang w:val="en-GB"/>
        </w:rPr>
        <w:t>. It is also possible to consider that its retail stores in Europe include France.</w:t>
      </w:r>
    </w:p>
    <w:p w14:paraId="56D22CCF" w14:textId="4691065A" w:rsidR="007B1D66" w:rsidRDefault="007B1D66" w:rsidP="00842DFD">
      <w:pPr>
        <w:pStyle w:val="AODocTxt"/>
        <w:rPr>
          <w:rFonts w:ascii="Avenir Next" w:hAnsi="Avenir Next" w:cs="Arial"/>
          <w:color w:val="7B7B7B" w:themeColor="accent3" w:themeShade="BF"/>
          <w:lang w:val="en-GB"/>
        </w:rPr>
      </w:pPr>
      <w:r w:rsidRPr="007B1D66">
        <w:rPr>
          <w:rFonts w:ascii="Avenir Next" w:hAnsi="Avenir Next" w:cs="Arial"/>
          <w:color w:val="7B7B7B" w:themeColor="accent3" w:themeShade="BF"/>
          <w:lang w:val="en-GB"/>
        </w:rPr>
        <w:t xml:space="preserve">The </w:t>
      </w:r>
      <w:r w:rsidR="00A75E2A" w:rsidRPr="00A75E2A">
        <w:rPr>
          <w:rFonts w:ascii="Avenir Next" w:hAnsi="Avenir Next" w:cs="Arial"/>
          <w:color w:val="7B7B7B" w:themeColor="accent3" w:themeShade="BF"/>
          <w:lang w:val="en-GB"/>
        </w:rPr>
        <w:t>location of primary assets</w:t>
      </w:r>
      <w:r w:rsidR="00A75E2A" w:rsidRPr="00A75E2A">
        <w:rPr>
          <w:rFonts w:ascii="Avenir Next" w:hAnsi="Avenir Next" w:cs="Arial"/>
          <w:color w:val="7B7B7B" w:themeColor="accent3" w:themeShade="BF"/>
          <w:lang w:val="en-GB"/>
        </w:rPr>
        <w:t xml:space="preserve"> </w:t>
      </w:r>
      <w:r w:rsidRPr="007B1D66">
        <w:rPr>
          <w:rFonts w:ascii="Avenir Next" w:hAnsi="Avenir Next" w:cs="Arial"/>
          <w:color w:val="7B7B7B" w:themeColor="accent3" w:themeShade="BF"/>
          <w:lang w:val="en-GB"/>
        </w:rPr>
        <w:t>is in Italy, where the products are made and shipped around the word.</w:t>
      </w:r>
    </w:p>
    <w:p w14:paraId="0E38C766" w14:textId="583C84B4" w:rsidR="007B1D66" w:rsidRDefault="00D50922" w:rsidP="00842DFD">
      <w:pPr>
        <w:pStyle w:val="AODocTxt"/>
        <w:rPr>
          <w:rFonts w:ascii="Avenir Next" w:hAnsi="Avenir Next" w:cs="Arial"/>
          <w:color w:val="7B7B7B" w:themeColor="accent3" w:themeShade="BF"/>
          <w:lang w:val="en-GB"/>
        </w:rPr>
      </w:pPr>
      <w:r w:rsidRPr="00624DE5">
        <w:rPr>
          <w:rFonts w:ascii="Avenir Next" w:hAnsi="Avenir Next" w:cs="Arial"/>
          <w:color w:val="7B7B7B" w:themeColor="accent3" w:themeShade="BF"/>
          <w:lang w:val="en-GB"/>
        </w:rPr>
        <w:t>Considering</w:t>
      </w:r>
      <w:r w:rsidR="00416475" w:rsidRPr="00416475">
        <w:rPr>
          <w:rFonts w:ascii="Avenir Next" w:hAnsi="Avenir Next" w:cs="Arial"/>
          <w:color w:val="7B7B7B" w:themeColor="accent3" w:themeShade="BF"/>
          <w:lang w:val="en-GB"/>
        </w:rPr>
        <w:t xml:space="preserve"> that the operation is spread across several countries, it is not possible to establish concretely</w:t>
      </w:r>
      <w:r w:rsidR="00416475">
        <w:rPr>
          <w:rFonts w:ascii="Avenir Next" w:hAnsi="Avenir Next" w:cs="Arial"/>
          <w:color w:val="7B7B7B" w:themeColor="accent3" w:themeShade="BF"/>
          <w:lang w:val="en-GB"/>
        </w:rPr>
        <w:t xml:space="preserve"> the </w:t>
      </w:r>
      <w:r w:rsidR="00416475" w:rsidRPr="00416475">
        <w:rPr>
          <w:rFonts w:ascii="Avenir Next" w:hAnsi="Avenir Next" w:cs="Arial"/>
          <w:color w:val="7B7B7B" w:themeColor="accent3" w:themeShade="BF"/>
          <w:lang w:val="en-GB"/>
        </w:rPr>
        <w:t xml:space="preserve">location of </w:t>
      </w:r>
      <w:proofErr w:type="gramStart"/>
      <w:r w:rsidR="00416475" w:rsidRPr="00416475">
        <w:rPr>
          <w:rFonts w:ascii="Avenir Next" w:hAnsi="Avenir Next" w:cs="Arial"/>
          <w:color w:val="7B7B7B" w:themeColor="accent3" w:themeShade="BF"/>
          <w:lang w:val="en-GB"/>
        </w:rPr>
        <w:t>a majority of</w:t>
      </w:r>
      <w:proofErr w:type="gramEnd"/>
      <w:r w:rsidR="00416475" w:rsidRPr="00416475">
        <w:rPr>
          <w:rFonts w:ascii="Avenir Next" w:hAnsi="Avenir Next" w:cs="Arial"/>
          <w:color w:val="7B7B7B" w:themeColor="accent3" w:themeShade="BF"/>
          <w:lang w:val="en-GB"/>
        </w:rPr>
        <w:t xml:space="preserve"> debtor’s creditors</w:t>
      </w:r>
      <w:r w:rsidR="00416475">
        <w:rPr>
          <w:rFonts w:ascii="Avenir Next" w:hAnsi="Avenir Next" w:cs="Arial"/>
          <w:color w:val="7B7B7B" w:themeColor="accent3" w:themeShade="BF"/>
          <w:lang w:val="en-GB"/>
        </w:rPr>
        <w:t xml:space="preserve"> and the </w:t>
      </w:r>
      <w:r w:rsidR="00416475" w:rsidRPr="00416475">
        <w:rPr>
          <w:rFonts w:ascii="Avenir Next" w:hAnsi="Avenir Next" w:cs="Arial"/>
          <w:color w:val="7B7B7B" w:themeColor="accent3" w:themeShade="BF"/>
          <w:lang w:val="en-GB"/>
        </w:rPr>
        <w:t>jurisdiction whose law will apply to most disputes</w:t>
      </w:r>
      <w:r w:rsidR="00416475">
        <w:rPr>
          <w:rFonts w:ascii="Avenir Next" w:hAnsi="Avenir Next" w:cs="Arial"/>
          <w:color w:val="7B7B7B" w:themeColor="accent3" w:themeShade="BF"/>
          <w:lang w:val="en-GB"/>
        </w:rPr>
        <w:t xml:space="preserve">. </w:t>
      </w:r>
      <w:r w:rsidR="003760E2" w:rsidRPr="003760E2">
        <w:rPr>
          <w:rFonts w:ascii="Avenir Next" w:hAnsi="Avenir Next" w:cs="Arial"/>
          <w:color w:val="7B7B7B" w:themeColor="accent3" w:themeShade="BF"/>
          <w:lang w:val="en-GB"/>
        </w:rPr>
        <w:t>However, Stella’s funding comes from a bank loan and Eurobonds, both of which are governed by English law</w:t>
      </w:r>
      <w:r w:rsidR="00CA207D">
        <w:rPr>
          <w:rFonts w:ascii="Avenir Next" w:hAnsi="Avenir Next" w:cs="Arial"/>
          <w:color w:val="7B7B7B" w:themeColor="accent3" w:themeShade="BF"/>
          <w:lang w:val="en-GB"/>
        </w:rPr>
        <w:t xml:space="preserve">, </w:t>
      </w:r>
      <w:r w:rsidR="009C723F">
        <w:rPr>
          <w:rFonts w:ascii="Avenir Next" w:hAnsi="Avenir Next" w:cs="Arial"/>
          <w:color w:val="7B7B7B" w:themeColor="accent3" w:themeShade="BF"/>
          <w:lang w:val="en-GB"/>
        </w:rPr>
        <w:t>so i</w:t>
      </w:r>
      <w:r w:rsidR="00CA207D" w:rsidRPr="00CA207D">
        <w:rPr>
          <w:rFonts w:ascii="Avenir Next" w:hAnsi="Avenir Next" w:cs="Arial"/>
          <w:color w:val="7B7B7B" w:themeColor="accent3" w:themeShade="BF"/>
          <w:lang w:val="en-GB"/>
        </w:rPr>
        <w:t>t is possible to conclude that England would be</w:t>
      </w:r>
      <w:r w:rsidR="009C723F">
        <w:rPr>
          <w:rFonts w:ascii="Avenir Next" w:hAnsi="Avenir Next" w:cs="Arial"/>
          <w:color w:val="7B7B7B" w:themeColor="accent3" w:themeShade="BF"/>
          <w:lang w:val="en-GB"/>
        </w:rPr>
        <w:t xml:space="preserve"> </w:t>
      </w:r>
      <w:r w:rsidR="009C723F">
        <w:rPr>
          <w:rFonts w:ascii="Avenir Next" w:hAnsi="Avenir Next" w:cs="Arial"/>
          <w:color w:val="7B7B7B" w:themeColor="accent3" w:themeShade="BF"/>
          <w:lang w:val="en-GB"/>
        </w:rPr>
        <w:t xml:space="preserve">the </w:t>
      </w:r>
      <w:r w:rsidR="009C723F" w:rsidRPr="00416475">
        <w:rPr>
          <w:rFonts w:ascii="Avenir Next" w:hAnsi="Avenir Next" w:cs="Arial"/>
          <w:color w:val="7B7B7B" w:themeColor="accent3" w:themeShade="BF"/>
          <w:lang w:val="en-GB"/>
        </w:rPr>
        <w:t xml:space="preserve">location of </w:t>
      </w:r>
      <w:proofErr w:type="gramStart"/>
      <w:r w:rsidR="009C723F" w:rsidRPr="00416475">
        <w:rPr>
          <w:rFonts w:ascii="Avenir Next" w:hAnsi="Avenir Next" w:cs="Arial"/>
          <w:color w:val="7B7B7B" w:themeColor="accent3" w:themeShade="BF"/>
          <w:lang w:val="en-GB"/>
        </w:rPr>
        <w:t>a majority of</w:t>
      </w:r>
      <w:proofErr w:type="gramEnd"/>
      <w:r w:rsidR="009C723F" w:rsidRPr="00416475">
        <w:rPr>
          <w:rFonts w:ascii="Avenir Next" w:hAnsi="Avenir Next" w:cs="Arial"/>
          <w:color w:val="7B7B7B" w:themeColor="accent3" w:themeShade="BF"/>
          <w:lang w:val="en-GB"/>
        </w:rPr>
        <w:t xml:space="preserve"> debtor’s creditors</w:t>
      </w:r>
      <w:r w:rsidR="009C723F">
        <w:rPr>
          <w:rFonts w:ascii="Avenir Next" w:hAnsi="Avenir Next" w:cs="Arial"/>
          <w:color w:val="7B7B7B" w:themeColor="accent3" w:themeShade="BF"/>
          <w:lang w:val="en-GB"/>
        </w:rPr>
        <w:t xml:space="preserve"> and the </w:t>
      </w:r>
      <w:r w:rsidR="009C723F" w:rsidRPr="00416475">
        <w:rPr>
          <w:rFonts w:ascii="Avenir Next" w:hAnsi="Avenir Next" w:cs="Arial"/>
          <w:color w:val="7B7B7B" w:themeColor="accent3" w:themeShade="BF"/>
          <w:lang w:val="en-GB"/>
        </w:rPr>
        <w:t>jurisdiction whose law will apply to most disputes</w:t>
      </w:r>
      <w:r w:rsidR="009C723F">
        <w:rPr>
          <w:rFonts w:ascii="Avenir Next" w:hAnsi="Avenir Next" w:cs="Arial"/>
          <w:color w:val="7B7B7B" w:themeColor="accent3" w:themeShade="BF"/>
          <w:lang w:val="en-GB"/>
        </w:rPr>
        <w:t xml:space="preserve">. </w:t>
      </w:r>
    </w:p>
    <w:p w14:paraId="2DBE5A71" w14:textId="4D3BCAEC" w:rsidR="002269F5" w:rsidRDefault="001835C8" w:rsidP="00486F1D">
      <w:pPr>
        <w:pStyle w:val="AODocTxt"/>
        <w:rPr>
          <w:rFonts w:ascii="Avenir Next" w:hAnsi="Avenir Next" w:cs="Arial"/>
          <w:color w:val="7B7B7B" w:themeColor="accent3" w:themeShade="BF"/>
          <w:lang w:val="en-GB"/>
        </w:rPr>
      </w:pPr>
      <w:r>
        <w:rPr>
          <w:rFonts w:ascii="Avenir Next" w:hAnsi="Avenir Next" w:cs="Arial"/>
          <w:color w:val="7B7B7B" w:themeColor="accent3" w:themeShade="BF"/>
          <w:lang w:val="en-GB"/>
        </w:rPr>
        <w:t>HALL also indicates that “[a]</w:t>
      </w:r>
      <w:r w:rsidRPr="001835C8">
        <w:rPr>
          <w:rFonts w:ascii="Avenir Next" w:hAnsi="Avenir Next" w:cs="Arial"/>
          <w:color w:val="7B7B7B" w:themeColor="accent3" w:themeShade="BF"/>
          <w:lang w:val="en-GB"/>
        </w:rPr>
        <w:t xml:space="preserve"> debtor’s COMI should be ascertainable by its creditors or other third parties on the basis of</w:t>
      </w:r>
      <w:r>
        <w:rPr>
          <w:rFonts w:ascii="Avenir Next" w:hAnsi="Avenir Next" w:cs="Arial"/>
          <w:color w:val="7B7B7B" w:themeColor="accent3" w:themeShade="BF"/>
          <w:lang w:val="en-GB"/>
        </w:rPr>
        <w:t xml:space="preserve"> </w:t>
      </w:r>
      <w:r w:rsidRPr="001835C8">
        <w:rPr>
          <w:rFonts w:ascii="Avenir Next" w:hAnsi="Avenir Next" w:cs="Arial"/>
          <w:color w:val="7B7B7B" w:themeColor="accent3" w:themeShade="BF"/>
          <w:lang w:val="en-GB"/>
        </w:rPr>
        <w:t>objective evidence</w:t>
      </w:r>
      <w:r>
        <w:rPr>
          <w:rFonts w:ascii="Avenir Next" w:hAnsi="Avenir Next" w:cs="Arial"/>
          <w:color w:val="7B7B7B" w:themeColor="accent3" w:themeShade="BF"/>
          <w:lang w:val="en-GB"/>
        </w:rPr>
        <w:t>”.</w:t>
      </w:r>
      <w:r>
        <w:rPr>
          <w:rStyle w:val="Refdenotaderodap"/>
          <w:rFonts w:ascii="Avenir Next" w:hAnsi="Avenir Next" w:cs="Arial"/>
          <w:color w:val="7B7B7B" w:themeColor="accent3" w:themeShade="BF"/>
          <w:lang w:val="en-GB"/>
        </w:rPr>
        <w:footnoteReference w:id="69"/>
      </w:r>
      <w:r>
        <w:rPr>
          <w:rFonts w:ascii="Avenir Next" w:hAnsi="Avenir Next" w:cs="Arial"/>
          <w:color w:val="7B7B7B" w:themeColor="accent3" w:themeShade="BF"/>
          <w:lang w:val="en-GB"/>
        </w:rPr>
        <w:t xml:space="preserve"> </w:t>
      </w:r>
      <w:r w:rsidR="00486F1D" w:rsidRPr="00486F1D">
        <w:rPr>
          <w:rFonts w:ascii="Avenir Next" w:hAnsi="Avenir Next" w:cs="Arial"/>
          <w:color w:val="7B7B7B" w:themeColor="accent3" w:themeShade="BF"/>
          <w:lang w:val="en-GB"/>
        </w:rPr>
        <w:t>However, there are no elements that indicate what would be the COMI identifiable by creditors.</w:t>
      </w:r>
    </w:p>
    <w:p w14:paraId="1FEA84D6" w14:textId="72691F71" w:rsidR="00486F1D" w:rsidRDefault="00560EBC" w:rsidP="00486F1D">
      <w:pPr>
        <w:pStyle w:val="AODocTxt"/>
        <w:rPr>
          <w:rFonts w:ascii="Avenir Next" w:hAnsi="Avenir Next" w:cs="Arial"/>
          <w:color w:val="7B7B7B" w:themeColor="accent3" w:themeShade="BF"/>
          <w:lang w:val="en-GB"/>
        </w:rPr>
      </w:pPr>
      <w:r w:rsidRPr="00560EBC">
        <w:rPr>
          <w:rFonts w:ascii="Avenir Next" w:hAnsi="Avenir Next" w:cs="Arial"/>
          <w:color w:val="7B7B7B" w:themeColor="accent3" w:themeShade="BF"/>
          <w:lang w:val="en-GB"/>
        </w:rPr>
        <w:t xml:space="preserve">Therefore, both France, Italy and England have elements that justify determining that the country would be the COMI. </w:t>
      </w:r>
      <w:proofErr w:type="gramStart"/>
      <w:r w:rsidRPr="00560EBC">
        <w:rPr>
          <w:rFonts w:ascii="Avenir Next" w:hAnsi="Avenir Next" w:cs="Arial"/>
          <w:color w:val="7B7B7B" w:themeColor="accent3" w:themeShade="BF"/>
          <w:lang w:val="en-GB"/>
        </w:rPr>
        <w:t>In order to</w:t>
      </w:r>
      <w:proofErr w:type="gramEnd"/>
      <w:r w:rsidRPr="00560EBC">
        <w:rPr>
          <w:rFonts w:ascii="Avenir Next" w:hAnsi="Avenir Next" w:cs="Arial"/>
          <w:color w:val="7B7B7B" w:themeColor="accent3" w:themeShade="BF"/>
          <w:lang w:val="en-GB"/>
        </w:rPr>
        <w:t xml:space="preserve"> actually state that the COMI is in one of these countries, a more elaborate analysis of the specific case would be necessary.</w:t>
      </w:r>
    </w:p>
    <w:p w14:paraId="20E77484" w14:textId="36C5B848" w:rsidR="005029BD" w:rsidRDefault="00B41154" w:rsidP="00486F1D">
      <w:pPr>
        <w:pStyle w:val="AODocTxt"/>
        <w:rPr>
          <w:rFonts w:ascii="Avenir Next" w:hAnsi="Avenir Next" w:cs="Arial"/>
          <w:color w:val="7B7B7B" w:themeColor="accent3" w:themeShade="BF"/>
          <w:lang w:val="en-GB"/>
        </w:rPr>
      </w:pPr>
      <w:r w:rsidRPr="00B41154">
        <w:rPr>
          <w:rFonts w:ascii="Avenir Next" w:hAnsi="Avenir Next" w:cs="Arial"/>
          <w:color w:val="7B7B7B" w:themeColor="accent3" w:themeShade="BF"/>
          <w:lang w:val="en-GB"/>
        </w:rPr>
        <w:t xml:space="preserve">On the other hand, the Bankruptcy Code provides that the </w:t>
      </w:r>
      <w:r>
        <w:rPr>
          <w:rFonts w:ascii="Avenir Next" w:hAnsi="Avenir Next" w:cs="Arial"/>
          <w:color w:val="7B7B7B" w:themeColor="accent3" w:themeShade="BF"/>
          <w:lang w:val="en-GB"/>
        </w:rPr>
        <w:t xml:space="preserve">foreign </w:t>
      </w:r>
      <w:r w:rsidRPr="00B41154">
        <w:rPr>
          <w:rFonts w:ascii="Avenir Next" w:hAnsi="Avenir Next" w:cs="Arial"/>
          <w:color w:val="7B7B7B" w:themeColor="accent3" w:themeShade="BF"/>
          <w:lang w:val="en-GB"/>
        </w:rPr>
        <w:t>non-main procedure "</w:t>
      </w:r>
      <w:r w:rsidR="004604AB" w:rsidRPr="004604AB">
        <w:rPr>
          <w:rFonts w:ascii="Avenir Next" w:hAnsi="Avenir Next" w:cs="Arial"/>
          <w:color w:val="7B7B7B" w:themeColor="accent3" w:themeShade="BF"/>
          <w:lang w:val="en-GB"/>
        </w:rPr>
        <w:t>means a foreign proceeding, other than a foreign main proceeding, pending in a country where the debtor has an establishment</w:t>
      </w:r>
      <w:r w:rsidRPr="00B41154">
        <w:rPr>
          <w:rFonts w:ascii="Avenir Next" w:hAnsi="Avenir Next" w:cs="Arial"/>
          <w:color w:val="7B7B7B" w:themeColor="accent3" w:themeShade="BF"/>
          <w:lang w:val="en-GB"/>
        </w:rPr>
        <w:t>".</w:t>
      </w:r>
      <w:r w:rsidR="004604AB">
        <w:rPr>
          <w:rStyle w:val="Refdenotaderodap"/>
          <w:rFonts w:ascii="Avenir Next" w:hAnsi="Avenir Next" w:cs="Arial"/>
          <w:color w:val="7B7B7B" w:themeColor="accent3" w:themeShade="BF"/>
          <w:lang w:val="en-GB"/>
        </w:rPr>
        <w:footnoteReference w:id="70"/>
      </w:r>
      <w:r w:rsidR="00306ED7">
        <w:rPr>
          <w:rFonts w:ascii="Avenir Next" w:hAnsi="Avenir Next" w:cs="Arial"/>
          <w:color w:val="7B7B7B" w:themeColor="accent3" w:themeShade="BF"/>
          <w:lang w:val="en-GB"/>
        </w:rPr>
        <w:t xml:space="preserve"> </w:t>
      </w:r>
      <w:r w:rsidR="00F22808" w:rsidRPr="00F22808">
        <w:rPr>
          <w:rFonts w:ascii="Avenir Next" w:hAnsi="Avenir Next" w:cs="Arial"/>
          <w:color w:val="7B7B7B" w:themeColor="accent3" w:themeShade="BF"/>
          <w:lang w:val="en-GB"/>
        </w:rPr>
        <w:t>In addition, the Bankruptcy Code defines establishment</w:t>
      </w:r>
      <w:r w:rsidR="00F22808" w:rsidRPr="00F22808">
        <w:rPr>
          <w:rFonts w:ascii="Avenir Next" w:hAnsi="Avenir Next" w:cs="Arial"/>
          <w:color w:val="7B7B7B" w:themeColor="accent3" w:themeShade="BF"/>
          <w:lang w:val="en-GB"/>
        </w:rPr>
        <w:t xml:space="preserve"> </w:t>
      </w:r>
      <w:r w:rsidR="00306ED7">
        <w:rPr>
          <w:rFonts w:ascii="Avenir Next" w:hAnsi="Avenir Next" w:cs="Arial"/>
          <w:color w:val="7B7B7B" w:themeColor="accent3" w:themeShade="BF"/>
          <w:lang w:val="en-GB"/>
        </w:rPr>
        <w:t>“</w:t>
      </w:r>
      <w:r w:rsidR="00F22808">
        <w:rPr>
          <w:rFonts w:ascii="Avenir Next" w:hAnsi="Avenir Next" w:cs="Arial"/>
          <w:color w:val="7B7B7B" w:themeColor="accent3" w:themeShade="BF"/>
          <w:lang w:val="en-GB"/>
        </w:rPr>
        <w:t xml:space="preserve">means </w:t>
      </w:r>
      <w:r w:rsidR="00306ED7" w:rsidRPr="00306ED7">
        <w:rPr>
          <w:rFonts w:ascii="Avenir Next" w:hAnsi="Avenir Next" w:cs="Arial"/>
          <w:color w:val="7B7B7B" w:themeColor="accent3" w:themeShade="BF"/>
          <w:lang w:val="en-GB"/>
        </w:rPr>
        <w:t xml:space="preserve">any place of operations where the debtor carries out a </w:t>
      </w:r>
      <w:proofErr w:type="spellStart"/>
      <w:r w:rsidR="00306ED7" w:rsidRPr="00306ED7">
        <w:rPr>
          <w:rFonts w:ascii="Avenir Next" w:hAnsi="Avenir Next" w:cs="Arial"/>
          <w:color w:val="7B7B7B" w:themeColor="accent3" w:themeShade="BF"/>
          <w:lang w:val="en-GB"/>
        </w:rPr>
        <w:t>nontransitory</w:t>
      </w:r>
      <w:proofErr w:type="spellEnd"/>
      <w:r w:rsidR="00306ED7" w:rsidRPr="00306ED7">
        <w:rPr>
          <w:rFonts w:ascii="Avenir Next" w:hAnsi="Avenir Next" w:cs="Arial"/>
          <w:color w:val="7B7B7B" w:themeColor="accent3" w:themeShade="BF"/>
          <w:lang w:val="en-GB"/>
        </w:rPr>
        <w:t xml:space="preserve"> economic activity</w:t>
      </w:r>
      <w:r w:rsidR="00306ED7">
        <w:rPr>
          <w:rFonts w:ascii="Avenir Next" w:hAnsi="Avenir Next" w:cs="Arial"/>
          <w:color w:val="7B7B7B" w:themeColor="accent3" w:themeShade="BF"/>
          <w:lang w:val="en-GB"/>
        </w:rPr>
        <w:t>”.</w:t>
      </w:r>
      <w:r w:rsidR="00306ED7">
        <w:rPr>
          <w:rStyle w:val="Refdenotaderodap"/>
          <w:rFonts w:ascii="Avenir Next" w:hAnsi="Avenir Next" w:cs="Arial"/>
          <w:color w:val="7B7B7B" w:themeColor="accent3" w:themeShade="BF"/>
          <w:lang w:val="en-GB"/>
        </w:rPr>
        <w:footnoteReference w:id="71"/>
      </w:r>
      <w:r w:rsidR="00306ED7">
        <w:rPr>
          <w:rFonts w:ascii="Avenir Next" w:hAnsi="Avenir Next" w:cs="Arial"/>
          <w:color w:val="7B7B7B" w:themeColor="accent3" w:themeShade="BF"/>
          <w:lang w:val="en-GB"/>
        </w:rPr>
        <w:t xml:space="preserve"> </w:t>
      </w:r>
    </w:p>
    <w:p w14:paraId="375153D0" w14:textId="55853439" w:rsidR="00AB3F30" w:rsidRDefault="00AB3F30" w:rsidP="00486F1D">
      <w:pPr>
        <w:pStyle w:val="AODocTxt"/>
        <w:rPr>
          <w:rFonts w:ascii="Avenir Next" w:hAnsi="Avenir Next" w:cs="Arial"/>
          <w:color w:val="7B7B7B" w:themeColor="accent3" w:themeShade="BF"/>
          <w:lang w:val="en-GB"/>
        </w:rPr>
      </w:pPr>
      <w:r w:rsidRPr="00AB3F30">
        <w:rPr>
          <w:rFonts w:ascii="Avenir Next" w:hAnsi="Avenir Next" w:cs="Arial"/>
          <w:color w:val="7B7B7B" w:themeColor="accent3" w:themeShade="BF"/>
          <w:lang w:val="en-GB"/>
        </w:rPr>
        <w:lastRenderedPageBreak/>
        <w:t>Considering Stella has retail stores in England, it is possible to say that Stella has an establishment in England.</w:t>
      </w:r>
      <w:r>
        <w:rPr>
          <w:rFonts w:ascii="Avenir Next" w:hAnsi="Avenir Next" w:cs="Arial"/>
          <w:color w:val="7B7B7B" w:themeColor="accent3" w:themeShade="BF"/>
          <w:lang w:val="en-GB"/>
        </w:rPr>
        <w:t xml:space="preserve"> </w:t>
      </w:r>
      <w:r w:rsidR="000D65B3" w:rsidRPr="000D65B3">
        <w:rPr>
          <w:rFonts w:ascii="Avenir Next" w:hAnsi="Avenir Next" w:cs="Arial"/>
          <w:color w:val="7B7B7B" w:themeColor="accent3" w:themeShade="BF"/>
          <w:lang w:val="en-GB"/>
        </w:rPr>
        <w:t xml:space="preserve">Therefore, the English scheme of arrangement can be recognized as a </w:t>
      </w:r>
      <w:r w:rsidR="000D65B3">
        <w:rPr>
          <w:rFonts w:ascii="Avenir Next" w:hAnsi="Avenir Next" w:cs="Arial"/>
          <w:color w:val="7B7B7B" w:themeColor="accent3" w:themeShade="BF"/>
          <w:lang w:val="en-GB"/>
        </w:rPr>
        <w:t xml:space="preserve">foreign </w:t>
      </w:r>
      <w:r w:rsidR="000D65B3" w:rsidRPr="000D65B3">
        <w:rPr>
          <w:rFonts w:ascii="Avenir Next" w:hAnsi="Avenir Next" w:cs="Arial"/>
          <w:color w:val="7B7B7B" w:themeColor="accent3" w:themeShade="BF"/>
          <w:lang w:val="en-GB"/>
        </w:rPr>
        <w:t>non-main proce</w:t>
      </w:r>
      <w:r w:rsidR="000D65B3">
        <w:rPr>
          <w:rFonts w:ascii="Avenir Next" w:hAnsi="Avenir Next" w:cs="Arial"/>
          <w:color w:val="7B7B7B" w:themeColor="accent3" w:themeShade="BF"/>
          <w:lang w:val="en-GB"/>
        </w:rPr>
        <w:t>eding</w:t>
      </w:r>
      <w:r w:rsidR="000D65B3" w:rsidRPr="000D65B3">
        <w:rPr>
          <w:rFonts w:ascii="Avenir Next" w:hAnsi="Avenir Next" w:cs="Arial"/>
          <w:color w:val="7B7B7B" w:themeColor="accent3" w:themeShade="BF"/>
          <w:lang w:val="en-GB"/>
        </w:rPr>
        <w:t>.</w:t>
      </w:r>
    </w:p>
    <w:p w14:paraId="738FCAD0" w14:textId="47FC092E" w:rsidR="00560EBC" w:rsidRDefault="009D6913" w:rsidP="00486F1D">
      <w:pPr>
        <w:pStyle w:val="AODocTxt"/>
        <w:rPr>
          <w:rFonts w:ascii="Avenir Next" w:hAnsi="Avenir Next" w:cs="Arial"/>
          <w:color w:val="7B7B7B" w:themeColor="accent3" w:themeShade="BF"/>
          <w:lang w:val="en-GB"/>
        </w:rPr>
      </w:pPr>
      <w:r w:rsidRPr="009D6913">
        <w:rPr>
          <w:rFonts w:ascii="Avenir Next" w:hAnsi="Avenir Next" w:cs="Arial"/>
          <w:color w:val="7B7B7B" w:themeColor="accent3" w:themeShade="BF"/>
          <w:lang w:val="en-GB"/>
        </w:rPr>
        <w:t xml:space="preserve">As explained above, it is not possible to conclude in which country Stella's COMI would be located. However, considering that the various factors involved make it possible to state that France could be the </w:t>
      </w:r>
      <w:proofErr w:type="gramStart"/>
      <w:r w:rsidRPr="009D6913">
        <w:rPr>
          <w:rFonts w:ascii="Avenir Next" w:hAnsi="Avenir Next" w:cs="Arial"/>
          <w:color w:val="7B7B7B" w:themeColor="accent3" w:themeShade="BF"/>
          <w:lang w:val="en-GB"/>
        </w:rPr>
        <w:t>COMI</w:t>
      </w:r>
      <w:proofErr w:type="gramEnd"/>
      <w:r w:rsidRPr="009D6913">
        <w:rPr>
          <w:rFonts w:ascii="Avenir Next" w:hAnsi="Avenir Next" w:cs="Arial"/>
          <w:color w:val="7B7B7B" w:themeColor="accent3" w:themeShade="BF"/>
          <w:lang w:val="en-GB"/>
        </w:rPr>
        <w:t xml:space="preserve"> and this is also the legal presumption, it seems that France would be the most appropriate COMI.</w:t>
      </w:r>
    </w:p>
    <w:p w14:paraId="71C8688A" w14:textId="23CD09A0" w:rsidR="00A64CBE" w:rsidRPr="004D0707" w:rsidRDefault="00A64CBE" w:rsidP="00486F1D">
      <w:pPr>
        <w:pStyle w:val="AODocTxt"/>
        <w:rPr>
          <w:rFonts w:ascii="Avenir Next" w:hAnsi="Avenir Next" w:cs="Arial"/>
          <w:color w:val="7B7B7B" w:themeColor="accent3" w:themeShade="BF"/>
          <w:lang w:val="en-GB"/>
        </w:rPr>
      </w:pPr>
      <w:r w:rsidRPr="00A64CBE">
        <w:rPr>
          <w:rFonts w:ascii="Avenir Next" w:hAnsi="Avenir Next" w:cs="Arial"/>
          <w:color w:val="7B7B7B" w:themeColor="accent3" w:themeShade="BF"/>
          <w:lang w:val="en-GB"/>
        </w:rPr>
        <w:t xml:space="preserve">Thus, considering that there is an establishment in England, the </w:t>
      </w:r>
      <w:r w:rsidR="00826444" w:rsidRPr="00826444">
        <w:rPr>
          <w:rFonts w:ascii="Avenir Next" w:hAnsi="Avenir Next" w:cs="Arial"/>
          <w:color w:val="7B7B7B" w:themeColor="accent3" w:themeShade="BF"/>
          <w:lang w:val="en-GB"/>
        </w:rPr>
        <w:t xml:space="preserve">English scheme of arrangement </w:t>
      </w:r>
      <w:r w:rsidRPr="00A64CBE">
        <w:rPr>
          <w:rFonts w:ascii="Avenir Next" w:hAnsi="Avenir Next" w:cs="Arial"/>
          <w:color w:val="7B7B7B" w:themeColor="accent3" w:themeShade="BF"/>
          <w:lang w:val="en-GB"/>
        </w:rPr>
        <w:t xml:space="preserve">must be recognized in the USA as </w:t>
      </w:r>
      <w:r w:rsidR="00826444">
        <w:rPr>
          <w:rFonts w:ascii="Avenir Next" w:hAnsi="Avenir Next" w:cs="Arial"/>
          <w:color w:val="7B7B7B" w:themeColor="accent3" w:themeShade="BF"/>
          <w:lang w:val="en-GB"/>
        </w:rPr>
        <w:t xml:space="preserve">foreign </w:t>
      </w:r>
      <w:r w:rsidRPr="00A64CBE">
        <w:rPr>
          <w:rFonts w:ascii="Avenir Next" w:hAnsi="Avenir Next" w:cs="Arial"/>
          <w:color w:val="7B7B7B" w:themeColor="accent3" w:themeShade="BF"/>
          <w:lang w:val="en-GB"/>
        </w:rPr>
        <w:t>non-main</w:t>
      </w:r>
      <w:r w:rsidR="00826444">
        <w:rPr>
          <w:rFonts w:ascii="Avenir Next" w:hAnsi="Avenir Next" w:cs="Arial"/>
          <w:color w:val="7B7B7B" w:themeColor="accent3" w:themeShade="BF"/>
          <w:lang w:val="en-GB"/>
        </w:rPr>
        <w:t xml:space="preserve"> proceeding</w:t>
      </w:r>
      <w:r w:rsidRPr="00A64CBE">
        <w:rPr>
          <w:rFonts w:ascii="Avenir Next" w:hAnsi="Avenir Next" w:cs="Arial"/>
          <w:color w:val="7B7B7B" w:themeColor="accent3" w:themeShade="BF"/>
          <w:lang w:val="en-GB"/>
        </w:rPr>
        <w:t>.</w:t>
      </w:r>
      <w:r w:rsidR="005029BD">
        <w:rPr>
          <w:rFonts w:ascii="Avenir Next" w:hAnsi="Avenir Next" w:cs="Arial"/>
          <w:color w:val="7B7B7B" w:themeColor="accent3" w:themeShade="BF"/>
          <w:lang w:val="en-GB"/>
        </w:rPr>
        <w:t xml:space="preserve"> </w:t>
      </w:r>
      <w:r w:rsidR="005029BD" w:rsidRPr="005029BD">
        <w:rPr>
          <w:rFonts w:ascii="Avenir Next" w:hAnsi="Avenir Next" w:cs="Arial"/>
          <w:color w:val="7B7B7B" w:themeColor="accent3" w:themeShade="BF"/>
          <w:lang w:val="en-GB"/>
        </w:rPr>
        <w:t>Even so, it is worth noting that there are elements to state that England could be considered Stella's COMI.</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7CB0925" w:rsidR="00F03051" w:rsidRPr="00E41578" w:rsidRDefault="00A72C88" w:rsidP="00A72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HALL, “</w:t>
      </w:r>
      <w:r w:rsidRPr="00A72C88">
        <w:rPr>
          <w:rFonts w:ascii="Avenir Next" w:hAnsi="Avenir Next" w:cs="Arial"/>
          <w:color w:val="7B7B7B" w:themeColor="accent3" w:themeShade="BF"/>
          <w:sz w:val="22"/>
          <w:szCs w:val="22"/>
          <w:lang w:val="en-GB"/>
        </w:rPr>
        <w:t>a contract is said to be executory if there are material</w:t>
      </w:r>
      <w:r>
        <w:rPr>
          <w:rFonts w:ascii="Avenir Next" w:hAnsi="Avenir Next" w:cs="Arial"/>
          <w:color w:val="7B7B7B" w:themeColor="accent3" w:themeShade="BF"/>
          <w:sz w:val="22"/>
          <w:szCs w:val="22"/>
          <w:lang w:val="en-GB"/>
        </w:rPr>
        <w:t xml:space="preserve"> </w:t>
      </w:r>
      <w:r w:rsidRPr="00A72C88">
        <w:rPr>
          <w:rFonts w:ascii="Avenir Next" w:hAnsi="Avenir Next" w:cs="Arial"/>
          <w:color w:val="7B7B7B" w:themeColor="accent3" w:themeShade="BF"/>
          <w:sz w:val="22"/>
          <w:szCs w:val="22"/>
          <w:lang w:val="en-GB"/>
        </w:rPr>
        <w:t>unperformed obligations on both sides</w:t>
      </w:r>
      <w:r>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72"/>
      </w:r>
      <w:r w:rsidR="00FA66C1">
        <w:rPr>
          <w:rFonts w:ascii="Avenir Next" w:hAnsi="Avenir Next" w:cs="Arial"/>
          <w:color w:val="7B7B7B" w:themeColor="accent3" w:themeShade="BF"/>
          <w:sz w:val="22"/>
          <w:szCs w:val="22"/>
          <w:lang w:val="en-GB"/>
        </w:rPr>
        <w:t xml:space="preserve"> </w:t>
      </w:r>
      <w:r w:rsidR="00464B48">
        <w:rPr>
          <w:rFonts w:ascii="Avenir Next" w:hAnsi="Avenir Next" w:cs="Arial"/>
          <w:color w:val="7B7B7B" w:themeColor="accent3" w:themeShade="BF"/>
          <w:sz w:val="22"/>
          <w:szCs w:val="22"/>
          <w:lang w:val="en-GB"/>
        </w:rPr>
        <w:t xml:space="preserve">In the case, both sides </w:t>
      </w:r>
      <w:r w:rsidR="00B330C4" w:rsidRPr="00B330C4">
        <w:rPr>
          <w:rFonts w:ascii="Avenir Next" w:hAnsi="Avenir Next" w:cs="Arial"/>
          <w:color w:val="7B7B7B" w:themeColor="accent3" w:themeShade="BF"/>
          <w:sz w:val="22"/>
          <w:szCs w:val="22"/>
          <w:lang w:val="en-GB"/>
        </w:rPr>
        <w:t>have unperformed obligations</w:t>
      </w:r>
      <w:r w:rsidR="00F22C89">
        <w:rPr>
          <w:rFonts w:ascii="Avenir Next" w:hAnsi="Avenir Next" w:cs="Arial"/>
          <w:color w:val="7B7B7B" w:themeColor="accent3" w:themeShade="BF"/>
          <w:sz w:val="22"/>
          <w:szCs w:val="22"/>
          <w:lang w:val="en-GB"/>
        </w:rPr>
        <w:t xml:space="preserve">, </w:t>
      </w:r>
      <w:r w:rsidR="00F22C89" w:rsidRPr="00F22C89">
        <w:rPr>
          <w:rFonts w:ascii="Avenir Next" w:hAnsi="Avenir Next" w:cs="Arial"/>
          <w:color w:val="7B7B7B" w:themeColor="accent3" w:themeShade="BF"/>
          <w:sz w:val="22"/>
          <w:szCs w:val="22"/>
          <w:lang w:val="en-GB"/>
        </w:rPr>
        <w:t xml:space="preserve">because </w:t>
      </w:r>
      <w:proofErr w:type="spellStart"/>
      <w:r w:rsidR="00F22C89" w:rsidRPr="00F22C89">
        <w:rPr>
          <w:rFonts w:ascii="Avenir Next" w:hAnsi="Avenir Next" w:cs="Arial"/>
          <w:color w:val="7B7B7B" w:themeColor="accent3" w:themeShade="BF"/>
          <w:sz w:val="22"/>
          <w:szCs w:val="22"/>
          <w:lang w:val="en-GB"/>
        </w:rPr>
        <w:t>ToyCo</w:t>
      </w:r>
      <w:proofErr w:type="spellEnd"/>
      <w:r w:rsidR="00F22C89" w:rsidRPr="00F22C89">
        <w:rPr>
          <w:rFonts w:ascii="Avenir Next" w:hAnsi="Avenir Next" w:cs="Arial"/>
          <w:color w:val="7B7B7B" w:themeColor="accent3" w:themeShade="BF"/>
          <w:sz w:val="22"/>
          <w:szCs w:val="22"/>
          <w:lang w:val="en-GB"/>
        </w:rPr>
        <w:t xml:space="preserve"> has the obligation to maintain the exclusive license, while </w:t>
      </w:r>
      <w:proofErr w:type="spellStart"/>
      <w:r w:rsidR="00F22C89" w:rsidRPr="00F22C89">
        <w:rPr>
          <w:rFonts w:ascii="Avenir Next" w:hAnsi="Avenir Next" w:cs="Arial"/>
          <w:color w:val="7B7B7B" w:themeColor="accent3" w:themeShade="BF"/>
          <w:sz w:val="22"/>
          <w:szCs w:val="22"/>
          <w:lang w:val="en-GB"/>
        </w:rPr>
        <w:t>GameMart</w:t>
      </w:r>
      <w:proofErr w:type="spellEnd"/>
      <w:r w:rsidR="00F22C89" w:rsidRPr="00F22C89">
        <w:rPr>
          <w:rFonts w:ascii="Avenir Next" w:hAnsi="Avenir Next" w:cs="Arial"/>
          <w:color w:val="7B7B7B" w:themeColor="accent3" w:themeShade="BF"/>
          <w:sz w:val="22"/>
          <w:szCs w:val="22"/>
          <w:lang w:val="en-GB"/>
        </w:rPr>
        <w:t xml:space="preserve"> has the obligation to pay monthly royalties.</w:t>
      </w:r>
      <w:r w:rsidR="00F22C89">
        <w:rPr>
          <w:rFonts w:ascii="Avenir Next" w:hAnsi="Avenir Next" w:cs="Arial"/>
          <w:color w:val="7B7B7B" w:themeColor="accent3" w:themeShade="BF"/>
          <w:sz w:val="22"/>
          <w:szCs w:val="22"/>
          <w:lang w:val="en-GB"/>
        </w:rPr>
        <w:t xml:space="preserve"> </w:t>
      </w:r>
      <w:r w:rsidR="007416E7" w:rsidRPr="007416E7">
        <w:rPr>
          <w:rFonts w:ascii="Avenir Next" w:hAnsi="Avenir Next" w:cs="Arial"/>
          <w:color w:val="7B7B7B" w:themeColor="accent3" w:themeShade="BF"/>
          <w:sz w:val="22"/>
          <w:szCs w:val="22"/>
          <w:lang w:val="en-GB"/>
        </w:rPr>
        <w:t xml:space="preserve">Therefore, the license to manufacture </w:t>
      </w:r>
      <w:proofErr w:type="spellStart"/>
      <w:r w:rsidR="007416E7" w:rsidRPr="007416E7">
        <w:rPr>
          <w:rFonts w:ascii="Avenir Next" w:hAnsi="Avenir Next" w:cs="Arial"/>
          <w:color w:val="7B7B7B" w:themeColor="accent3" w:themeShade="BF"/>
          <w:sz w:val="22"/>
          <w:szCs w:val="22"/>
          <w:lang w:val="en-GB"/>
        </w:rPr>
        <w:t>Xblox</w:t>
      </w:r>
      <w:proofErr w:type="spellEnd"/>
      <w:r w:rsidR="007416E7" w:rsidRPr="007416E7">
        <w:rPr>
          <w:rFonts w:ascii="Avenir Next" w:hAnsi="Avenir Next" w:cs="Arial"/>
          <w:color w:val="7B7B7B" w:themeColor="accent3" w:themeShade="BF"/>
          <w:sz w:val="22"/>
          <w:szCs w:val="22"/>
          <w:lang w:val="en-GB"/>
        </w:rPr>
        <w:t xml:space="preserve"> isa an executory contract.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4A66E52C" w:rsidR="00E01803" w:rsidRDefault="00FC7DBC" w:rsidP="00515D27">
      <w:pPr>
        <w:pStyle w:val="AODocTxt"/>
        <w:rPr>
          <w:rFonts w:ascii="Avenir Next" w:hAnsi="Avenir Next"/>
        </w:rPr>
      </w:pPr>
      <w:proofErr w:type="spellStart"/>
      <w:r w:rsidRPr="00FC7DBC">
        <w:rPr>
          <w:rFonts w:ascii="Avenir Next" w:eastAsia="Times New Roman" w:hAnsi="Avenir Next" w:cs="Arial"/>
          <w:color w:val="7B7B7B" w:themeColor="accent3" w:themeShade="BF"/>
          <w:lang w:val="en-GB"/>
        </w:rPr>
        <w:t>GameMart</w:t>
      </w:r>
      <w:proofErr w:type="spellEnd"/>
      <w:r w:rsidRPr="00FC7DBC">
        <w:rPr>
          <w:rFonts w:ascii="Avenir Next" w:eastAsia="Times New Roman" w:hAnsi="Avenir Next" w:cs="Arial"/>
          <w:color w:val="7B7B7B" w:themeColor="accent3" w:themeShade="BF"/>
          <w:lang w:val="en-GB"/>
        </w:rPr>
        <w:t xml:space="preserve"> </w:t>
      </w:r>
      <w:r>
        <w:rPr>
          <w:rFonts w:ascii="Avenir Next" w:eastAsia="Times New Roman" w:hAnsi="Avenir Next" w:cs="Arial"/>
          <w:color w:val="7B7B7B" w:themeColor="accent3" w:themeShade="BF"/>
          <w:lang w:val="en-GB"/>
        </w:rPr>
        <w:t xml:space="preserve">cannot </w:t>
      </w:r>
      <w:r w:rsidRPr="00FC7DBC">
        <w:rPr>
          <w:rFonts w:ascii="Avenir Next" w:eastAsia="Times New Roman" w:hAnsi="Avenir Next" w:cs="Arial"/>
          <w:color w:val="7B7B7B" w:themeColor="accent3" w:themeShade="BF"/>
          <w:lang w:val="en-GB"/>
        </w:rPr>
        <w:t xml:space="preserve">transfer the </w:t>
      </w:r>
      <w:proofErr w:type="spellStart"/>
      <w:r w:rsidRPr="00FC7DBC">
        <w:rPr>
          <w:rFonts w:ascii="Avenir Next" w:eastAsia="Times New Roman" w:hAnsi="Avenir Next" w:cs="Arial"/>
          <w:color w:val="7B7B7B" w:themeColor="accent3" w:themeShade="BF"/>
          <w:lang w:val="en-GB"/>
        </w:rPr>
        <w:t>Xblox</w:t>
      </w:r>
      <w:proofErr w:type="spellEnd"/>
      <w:r w:rsidRPr="00FC7DBC">
        <w:rPr>
          <w:rFonts w:ascii="Avenir Next" w:eastAsia="Times New Roman" w:hAnsi="Avenir Next" w:cs="Arial"/>
          <w:color w:val="7B7B7B" w:themeColor="accent3" w:themeShade="BF"/>
          <w:lang w:val="en-GB"/>
        </w:rPr>
        <w:t xml:space="preserve"> license as part of 363 sale without </w:t>
      </w:r>
      <w:proofErr w:type="spellStart"/>
      <w:r w:rsidRPr="00FC7DBC">
        <w:rPr>
          <w:rFonts w:ascii="Avenir Next" w:eastAsia="Times New Roman" w:hAnsi="Avenir Next" w:cs="Arial"/>
          <w:color w:val="7B7B7B" w:themeColor="accent3" w:themeShade="BF"/>
          <w:lang w:val="en-GB"/>
        </w:rPr>
        <w:t>ToyCo’s</w:t>
      </w:r>
      <w:proofErr w:type="spellEnd"/>
      <w:r w:rsidRPr="00FC7DBC">
        <w:rPr>
          <w:rFonts w:ascii="Avenir Next" w:eastAsia="Times New Roman" w:hAnsi="Avenir Next" w:cs="Arial"/>
          <w:color w:val="7B7B7B" w:themeColor="accent3" w:themeShade="BF"/>
          <w:lang w:val="en-GB"/>
        </w:rPr>
        <w:t xml:space="preserve"> consent</w:t>
      </w:r>
      <w:r>
        <w:rPr>
          <w:rFonts w:ascii="Avenir Next" w:eastAsia="Times New Roman" w:hAnsi="Avenir Next" w:cs="Arial"/>
          <w:color w:val="7B7B7B" w:themeColor="accent3" w:themeShade="BF"/>
          <w:lang w:val="en-GB"/>
        </w:rPr>
        <w:t xml:space="preserve">. </w:t>
      </w:r>
      <w:r w:rsidR="00F004CF">
        <w:rPr>
          <w:rFonts w:ascii="Avenir Next" w:eastAsia="Times New Roman" w:hAnsi="Avenir Next" w:cs="Arial"/>
          <w:color w:val="7B7B7B" w:themeColor="accent3" w:themeShade="BF"/>
          <w:lang w:val="en-GB"/>
        </w:rPr>
        <w:t xml:space="preserve">The </w:t>
      </w:r>
      <w:r w:rsidR="00597E0D">
        <w:rPr>
          <w:rFonts w:ascii="Avenir Next" w:eastAsia="Times New Roman" w:hAnsi="Avenir Next" w:cs="Arial"/>
          <w:color w:val="7B7B7B" w:themeColor="accent3" w:themeShade="BF"/>
          <w:lang w:val="en-GB"/>
        </w:rPr>
        <w:t>Bankruptcy</w:t>
      </w:r>
      <w:r w:rsidR="00F004CF">
        <w:rPr>
          <w:rFonts w:ascii="Avenir Next" w:eastAsia="Times New Roman" w:hAnsi="Avenir Next" w:cs="Arial"/>
          <w:color w:val="7B7B7B" w:themeColor="accent3" w:themeShade="BF"/>
          <w:lang w:val="en-GB"/>
        </w:rPr>
        <w:t xml:space="preserve"> Code </w:t>
      </w:r>
      <w:r w:rsidR="00BD203B">
        <w:rPr>
          <w:rFonts w:ascii="Avenir Next" w:eastAsia="Times New Roman" w:hAnsi="Avenir Next" w:cs="Arial"/>
          <w:color w:val="7B7B7B" w:themeColor="accent3" w:themeShade="BF"/>
          <w:lang w:val="en-GB"/>
        </w:rPr>
        <w:t xml:space="preserve">states that </w:t>
      </w:r>
      <w:r w:rsidR="0027771F" w:rsidRPr="00BD203B">
        <w:rPr>
          <w:rFonts w:ascii="Avenir Next" w:eastAsia="Times New Roman" w:hAnsi="Avenir Next" w:cs="Arial"/>
          <w:color w:val="7B7B7B" w:themeColor="accent3" w:themeShade="BF"/>
          <w:lang w:val="en-GB"/>
        </w:rPr>
        <w:t>an</w:t>
      </w:r>
      <w:r w:rsidR="00BD203B" w:rsidRPr="00BD203B">
        <w:rPr>
          <w:rFonts w:ascii="Avenir Next" w:eastAsia="Times New Roman" w:hAnsi="Avenir Next" w:cs="Arial"/>
          <w:color w:val="7B7B7B" w:themeColor="accent3" w:themeShade="BF"/>
          <w:lang w:val="en-GB"/>
        </w:rPr>
        <w:t xml:space="preserve"> executory contract</w:t>
      </w:r>
      <w:r w:rsidR="00066543" w:rsidRPr="00066543">
        <w:rPr>
          <w:rFonts w:ascii="Avenir Next" w:eastAsia="Times New Roman" w:hAnsi="Avenir Next" w:cs="Arial"/>
          <w:color w:val="7B7B7B" w:themeColor="accent3" w:themeShade="BF"/>
          <w:lang w:val="en-GB"/>
        </w:rPr>
        <w:t xml:space="preserve"> </w:t>
      </w:r>
      <w:r w:rsidR="00066543" w:rsidRPr="00BD203B">
        <w:rPr>
          <w:rFonts w:ascii="Avenir Next" w:eastAsia="Times New Roman" w:hAnsi="Avenir Next" w:cs="Arial"/>
          <w:color w:val="7B7B7B" w:themeColor="accent3" w:themeShade="BF"/>
          <w:lang w:val="en-GB"/>
        </w:rPr>
        <w:t xml:space="preserve">may not </w:t>
      </w:r>
      <w:r w:rsidR="00066543">
        <w:rPr>
          <w:rFonts w:ascii="Avenir Next" w:eastAsia="Times New Roman" w:hAnsi="Avenir Next" w:cs="Arial"/>
          <w:color w:val="7B7B7B" w:themeColor="accent3" w:themeShade="BF"/>
          <w:lang w:val="en-GB"/>
        </w:rPr>
        <w:t xml:space="preserve">be </w:t>
      </w:r>
      <w:r w:rsidR="00066543" w:rsidRPr="00BD203B">
        <w:rPr>
          <w:rFonts w:ascii="Avenir Next" w:eastAsia="Times New Roman" w:hAnsi="Avenir Next" w:cs="Arial"/>
          <w:color w:val="7B7B7B" w:themeColor="accent3" w:themeShade="BF"/>
          <w:lang w:val="en-GB"/>
        </w:rPr>
        <w:t>assign</w:t>
      </w:r>
      <w:r w:rsidR="00BD203B" w:rsidRPr="00BD203B">
        <w:rPr>
          <w:rFonts w:ascii="Avenir Next" w:eastAsia="Times New Roman" w:hAnsi="Avenir Next" w:cs="Arial"/>
          <w:color w:val="7B7B7B" w:themeColor="accent3" w:themeShade="BF"/>
          <w:lang w:val="en-GB"/>
        </w:rPr>
        <w:t>, if</w:t>
      </w:r>
      <w:r w:rsidR="0027771F">
        <w:rPr>
          <w:rFonts w:ascii="Avenir Next" w:eastAsia="Times New Roman" w:hAnsi="Avenir Next" w:cs="Arial"/>
          <w:color w:val="7B7B7B" w:themeColor="accent3" w:themeShade="BF"/>
          <w:lang w:val="en-GB"/>
        </w:rPr>
        <w:t xml:space="preserve"> </w:t>
      </w:r>
      <w:r w:rsidR="00066543">
        <w:rPr>
          <w:rFonts w:ascii="Avenir Next" w:eastAsia="Times New Roman" w:hAnsi="Avenir Next" w:cs="Arial"/>
          <w:color w:val="7B7B7B" w:themeColor="accent3" w:themeShade="BF"/>
          <w:lang w:val="en-GB"/>
        </w:rPr>
        <w:t xml:space="preserve">the </w:t>
      </w:r>
      <w:r w:rsidR="00113B10">
        <w:rPr>
          <w:rFonts w:ascii="Avenir Next" w:eastAsia="Times New Roman" w:hAnsi="Avenir Next" w:cs="Arial"/>
          <w:color w:val="7B7B7B" w:themeColor="accent3" w:themeShade="BF"/>
          <w:lang w:val="en-GB"/>
        </w:rPr>
        <w:t>“</w:t>
      </w:r>
      <w:r w:rsidR="00BD203B" w:rsidRPr="00BD203B">
        <w:rPr>
          <w:rFonts w:ascii="Avenir Next" w:eastAsia="Times New Roman" w:hAnsi="Avenir Next" w:cs="Arial"/>
          <w:color w:val="7B7B7B" w:themeColor="accent3" w:themeShade="BF"/>
          <w:lang w:val="en-GB"/>
        </w:rPr>
        <w:t>applicable law excuses a party, other than the debtor, to such contract or lease from accepting performance from or rendering performance to an entity other than the debtor or the debtor in possession, whether or not such contract or lease prohibits or restricts assignment of rights or delegation of duties</w:t>
      </w:r>
      <w:r w:rsidR="00113B10">
        <w:rPr>
          <w:rFonts w:ascii="Avenir Next" w:eastAsia="Times New Roman" w:hAnsi="Avenir Next" w:cs="Arial"/>
          <w:color w:val="7B7B7B" w:themeColor="accent3" w:themeShade="BF"/>
          <w:lang w:val="en-GB"/>
        </w:rPr>
        <w:t>”</w:t>
      </w:r>
      <w:r w:rsidR="00AA201C">
        <w:rPr>
          <w:rFonts w:ascii="Avenir Next" w:eastAsia="Times New Roman" w:hAnsi="Avenir Next" w:cs="Arial"/>
          <w:color w:val="7B7B7B" w:themeColor="accent3" w:themeShade="BF"/>
          <w:lang w:val="en-GB"/>
        </w:rPr>
        <w:t>.</w:t>
      </w:r>
      <w:r w:rsidR="00AA201C">
        <w:rPr>
          <w:rStyle w:val="Refdenotaderodap"/>
          <w:rFonts w:ascii="Avenir Next" w:eastAsia="Times New Roman" w:hAnsi="Avenir Next" w:cs="Arial"/>
          <w:color w:val="7B7B7B" w:themeColor="accent3" w:themeShade="BF"/>
          <w:lang w:val="en-GB"/>
        </w:rPr>
        <w:footnoteReference w:id="73"/>
      </w:r>
      <w:r w:rsidR="006A5922">
        <w:rPr>
          <w:rFonts w:ascii="Avenir Next" w:eastAsia="Times New Roman" w:hAnsi="Avenir Next" w:cs="Arial"/>
          <w:color w:val="7B7B7B" w:themeColor="accent3" w:themeShade="BF"/>
          <w:lang w:val="en-GB"/>
        </w:rPr>
        <w:t xml:space="preserve"> In the case, </w:t>
      </w:r>
      <w:r w:rsidR="001D3875">
        <w:rPr>
          <w:rFonts w:ascii="Avenir Next" w:eastAsia="Times New Roman" w:hAnsi="Avenir Next" w:cs="Arial"/>
          <w:color w:val="7B7B7B" w:themeColor="accent3" w:themeShade="BF"/>
          <w:lang w:val="en-GB"/>
        </w:rPr>
        <w:t xml:space="preserve">the </w:t>
      </w:r>
      <w:r w:rsidR="001D3875" w:rsidRPr="001D3875">
        <w:rPr>
          <w:rFonts w:ascii="Avenir Next" w:eastAsia="Times New Roman" w:hAnsi="Avenir Next" w:cs="Arial"/>
          <w:color w:val="7B7B7B" w:themeColor="accent3" w:themeShade="BF"/>
          <w:lang w:val="en-GB"/>
        </w:rPr>
        <w:t>intellectual property</w:t>
      </w:r>
      <w:r w:rsidR="001D3875">
        <w:rPr>
          <w:rFonts w:ascii="Avenir Next" w:eastAsia="Times New Roman" w:hAnsi="Avenir Next" w:cs="Arial"/>
          <w:color w:val="7B7B7B" w:themeColor="accent3" w:themeShade="BF"/>
          <w:lang w:val="en-GB"/>
        </w:rPr>
        <w:t xml:space="preserve"> </w:t>
      </w:r>
      <w:r w:rsidR="001D3875" w:rsidRPr="001D3875">
        <w:rPr>
          <w:rFonts w:ascii="Avenir Next" w:eastAsia="Times New Roman" w:hAnsi="Avenir Next" w:cs="Arial"/>
          <w:color w:val="7B7B7B" w:themeColor="accent3" w:themeShade="BF"/>
          <w:lang w:val="en-GB"/>
        </w:rPr>
        <w:t xml:space="preserve">licensing law provides that the </w:t>
      </w:r>
      <w:r w:rsidR="00474A10">
        <w:rPr>
          <w:rFonts w:ascii="Avenir Next" w:eastAsia="Times New Roman" w:hAnsi="Avenir Next" w:cs="Arial"/>
          <w:color w:val="7B7B7B" w:themeColor="accent3" w:themeShade="BF"/>
          <w:lang w:val="en-GB"/>
        </w:rPr>
        <w:t>licensor</w:t>
      </w:r>
      <w:r w:rsidR="001D3875" w:rsidRPr="001D3875">
        <w:rPr>
          <w:rFonts w:ascii="Avenir Next" w:eastAsia="Times New Roman" w:hAnsi="Avenir Next" w:cs="Arial"/>
          <w:color w:val="7B7B7B" w:themeColor="accent3" w:themeShade="BF"/>
          <w:lang w:val="en-GB"/>
        </w:rPr>
        <w:t xml:space="preserve"> cannot be compelled to accept performance from</w:t>
      </w:r>
      <w:r w:rsidR="00660FF8">
        <w:rPr>
          <w:rFonts w:ascii="Avenir Next" w:eastAsia="Times New Roman" w:hAnsi="Avenir Next" w:cs="Arial"/>
          <w:color w:val="7B7B7B" w:themeColor="accent3" w:themeShade="BF"/>
          <w:lang w:val="en-GB"/>
        </w:rPr>
        <w:t xml:space="preserve"> </w:t>
      </w:r>
      <w:r w:rsidR="00660FF8" w:rsidRPr="00660FF8">
        <w:rPr>
          <w:rFonts w:ascii="Avenir Next" w:eastAsia="Times New Roman" w:hAnsi="Avenir Next" w:cs="Arial"/>
          <w:color w:val="7B7B7B" w:themeColor="accent3" w:themeShade="BF"/>
          <w:lang w:val="en-GB"/>
        </w:rPr>
        <w:t>a transferee.</w:t>
      </w:r>
      <w:r w:rsidR="00660FF8">
        <w:rPr>
          <w:rStyle w:val="Refdenotaderodap"/>
          <w:rFonts w:ascii="Avenir Next" w:eastAsia="Times New Roman" w:hAnsi="Avenir Next" w:cs="Arial"/>
          <w:color w:val="7B7B7B" w:themeColor="accent3" w:themeShade="BF"/>
          <w:lang w:val="en-GB"/>
        </w:rPr>
        <w:footnoteReference w:id="74"/>
      </w:r>
      <w:r w:rsidR="00331D93">
        <w:rPr>
          <w:rFonts w:ascii="Avenir Next" w:eastAsia="Times New Roman" w:hAnsi="Avenir Next" w:cs="Arial"/>
          <w:color w:val="7B7B7B" w:themeColor="accent3" w:themeShade="BF"/>
          <w:lang w:val="en-GB"/>
        </w:rPr>
        <w:t xml:space="preserve"> </w:t>
      </w:r>
      <w:r w:rsidR="00534825" w:rsidRPr="00534825">
        <w:rPr>
          <w:rFonts w:ascii="Avenir Next" w:eastAsia="Times New Roman" w:hAnsi="Avenir Next" w:cs="Arial"/>
          <w:color w:val="7B7B7B" w:themeColor="accent3" w:themeShade="BF"/>
          <w:lang w:val="en-GB"/>
        </w:rPr>
        <w:t>In the specific context of asset sales, HALL states that "</w:t>
      </w:r>
      <w:r w:rsidR="00515D27">
        <w:rPr>
          <w:rFonts w:ascii="Avenir Next" w:eastAsia="Times New Roman" w:hAnsi="Avenir Next" w:cs="Arial"/>
          <w:color w:val="7B7B7B" w:themeColor="accent3" w:themeShade="BF"/>
          <w:lang w:val="en-GB"/>
        </w:rPr>
        <w:t>[l]</w:t>
      </w:r>
      <w:proofErr w:type="spellStart"/>
      <w:r w:rsidR="00515D27" w:rsidRPr="00515D27">
        <w:rPr>
          <w:rFonts w:ascii="Avenir Next" w:eastAsia="Times New Roman" w:hAnsi="Avenir Next" w:cs="Arial"/>
          <w:color w:val="7B7B7B" w:themeColor="accent3" w:themeShade="BF"/>
          <w:lang w:val="en-GB"/>
        </w:rPr>
        <w:t>icensees</w:t>
      </w:r>
      <w:proofErr w:type="spellEnd"/>
      <w:r w:rsidR="00515D27" w:rsidRPr="00515D27">
        <w:rPr>
          <w:rFonts w:ascii="Avenir Next" w:eastAsia="Times New Roman" w:hAnsi="Avenir Next" w:cs="Arial"/>
          <w:color w:val="7B7B7B" w:themeColor="accent3" w:themeShade="BF"/>
          <w:lang w:val="en-GB"/>
        </w:rPr>
        <w:t xml:space="preserve"> of patents and copyrights owned by the debtor are protected</w:t>
      </w:r>
      <w:r w:rsidR="00515D27">
        <w:rPr>
          <w:rFonts w:ascii="Avenir Next" w:eastAsia="Times New Roman" w:hAnsi="Avenir Next" w:cs="Arial"/>
          <w:color w:val="7B7B7B" w:themeColor="accent3" w:themeShade="BF"/>
          <w:lang w:val="en-GB"/>
        </w:rPr>
        <w:t xml:space="preserve"> </w:t>
      </w:r>
      <w:r w:rsidR="00515D27" w:rsidRPr="00515D27">
        <w:rPr>
          <w:rFonts w:ascii="Avenir Next" w:eastAsia="Times New Roman" w:hAnsi="Avenir Next" w:cs="Arial"/>
          <w:color w:val="7B7B7B" w:themeColor="accent3" w:themeShade="BF"/>
          <w:lang w:val="en-GB"/>
        </w:rPr>
        <w:t>such that their licenses may not be terminated in connection with the sale of the intellectual</w:t>
      </w:r>
      <w:r w:rsidR="00515D27">
        <w:rPr>
          <w:rFonts w:ascii="Avenir Next" w:eastAsia="Times New Roman" w:hAnsi="Avenir Next" w:cs="Arial"/>
          <w:color w:val="7B7B7B" w:themeColor="accent3" w:themeShade="BF"/>
          <w:lang w:val="en-GB"/>
        </w:rPr>
        <w:t xml:space="preserve"> </w:t>
      </w:r>
      <w:r w:rsidR="00515D27" w:rsidRPr="00515D27">
        <w:rPr>
          <w:rFonts w:ascii="Avenir Next" w:eastAsia="Times New Roman" w:hAnsi="Avenir Next" w:cs="Arial"/>
          <w:color w:val="7B7B7B" w:themeColor="accent3" w:themeShade="BF"/>
          <w:lang w:val="en-GB"/>
        </w:rPr>
        <w:t>property without their consent</w:t>
      </w:r>
      <w:r w:rsidR="00534825" w:rsidRPr="00534825">
        <w:rPr>
          <w:rFonts w:ascii="Avenir Next" w:eastAsia="Times New Roman" w:hAnsi="Avenir Next" w:cs="Arial"/>
          <w:color w:val="7B7B7B" w:themeColor="accent3" w:themeShade="BF"/>
          <w:lang w:val="en-GB"/>
        </w:rPr>
        <w:t>".</w:t>
      </w:r>
      <w:r w:rsidR="00515D27">
        <w:rPr>
          <w:rStyle w:val="Refdenotaderodap"/>
          <w:rFonts w:ascii="Avenir Next" w:eastAsia="Times New Roman" w:hAnsi="Avenir Next" w:cs="Arial"/>
          <w:color w:val="7B7B7B" w:themeColor="accent3" w:themeShade="BF"/>
          <w:lang w:val="en-GB"/>
        </w:rPr>
        <w:footnoteReference w:id="75"/>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lastRenderedPageBreak/>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5086543A" w:rsidR="00E01803" w:rsidRDefault="00910B52" w:rsidP="008C5502">
      <w:pPr>
        <w:pStyle w:val="AODocTxt"/>
        <w:rPr>
          <w:rFonts w:ascii="Avenir Next" w:hAnsi="Avenir Next"/>
        </w:rPr>
      </w:pPr>
      <w:proofErr w:type="spellStart"/>
      <w:r w:rsidRPr="00910B52">
        <w:rPr>
          <w:rFonts w:ascii="Avenir Next" w:eastAsia="Times New Roman" w:hAnsi="Avenir Next" w:cs="Arial"/>
          <w:color w:val="7B7B7B" w:themeColor="accent3" w:themeShade="BF"/>
          <w:lang w:val="en-GB"/>
        </w:rPr>
        <w:t>GameMart</w:t>
      </w:r>
      <w:proofErr w:type="spellEnd"/>
      <w:r w:rsidRPr="00910B52">
        <w:rPr>
          <w:rFonts w:ascii="Avenir Next" w:eastAsia="Times New Roman" w:hAnsi="Avenir Next" w:cs="Arial"/>
          <w:color w:val="7B7B7B" w:themeColor="accent3" w:themeShade="BF"/>
          <w:lang w:val="en-GB"/>
        </w:rPr>
        <w:t xml:space="preserve"> </w:t>
      </w:r>
      <w:r>
        <w:rPr>
          <w:rFonts w:ascii="Avenir Next" w:eastAsia="Times New Roman" w:hAnsi="Avenir Next" w:cs="Arial"/>
          <w:color w:val="7B7B7B" w:themeColor="accent3" w:themeShade="BF"/>
          <w:lang w:val="en-GB"/>
        </w:rPr>
        <w:t xml:space="preserve">can </w:t>
      </w:r>
      <w:r w:rsidRPr="00910B52">
        <w:rPr>
          <w:rFonts w:ascii="Avenir Next" w:eastAsia="Times New Roman" w:hAnsi="Avenir Next" w:cs="Arial"/>
          <w:color w:val="7B7B7B" w:themeColor="accent3" w:themeShade="BF"/>
          <w:lang w:val="en-GB"/>
        </w:rPr>
        <w:t>transfer the factory lease as part of 363 sale without Land Corp’s consent</w:t>
      </w:r>
      <w:r>
        <w:rPr>
          <w:rFonts w:ascii="Avenir Next" w:eastAsia="Times New Roman" w:hAnsi="Avenir Next" w:cs="Arial"/>
          <w:color w:val="7B7B7B" w:themeColor="accent3" w:themeShade="BF"/>
          <w:lang w:val="en-GB"/>
        </w:rPr>
        <w:t xml:space="preserve">. </w:t>
      </w:r>
      <w:r w:rsidR="00B53EB8">
        <w:rPr>
          <w:rFonts w:ascii="Avenir Next" w:eastAsia="Times New Roman" w:hAnsi="Avenir Next" w:cs="Arial"/>
          <w:color w:val="7B7B7B" w:themeColor="accent3" w:themeShade="BF"/>
          <w:lang w:val="en-GB"/>
        </w:rPr>
        <w:t>According to HALL, “</w:t>
      </w:r>
      <w:r w:rsidR="00B53EB8" w:rsidRPr="00B53EB8">
        <w:rPr>
          <w:rFonts w:ascii="Avenir Next" w:eastAsia="Times New Roman" w:hAnsi="Avenir Next" w:cs="Arial"/>
          <w:color w:val="7B7B7B" w:themeColor="accent3" w:themeShade="BF"/>
          <w:lang w:val="en-GB"/>
        </w:rPr>
        <w:t>the Bankruptcy Code abrogates contractual restrictions on assignment to enable</w:t>
      </w:r>
      <w:r w:rsidR="00B53EB8">
        <w:rPr>
          <w:rFonts w:ascii="Avenir Next" w:eastAsia="Times New Roman" w:hAnsi="Avenir Next" w:cs="Arial"/>
          <w:color w:val="7B7B7B" w:themeColor="accent3" w:themeShade="BF"/>
          <w:lang w:val="en-GB"/>
        </w:rPr>
        <w:t xml:space="preserve"> </w:t>
      </w:r>
      <w:r w:rsidR="00B53EB8" w:rsidRPr="00B53EB8">
        <w:rPr>
          <w:rFonts w:ascii="Avenir Next" w:eastAsia="Times New Roman" w:hAnsi="Avenir Next" w:cs="Arial"/>
          <w:color w:val="7B7B7B" w:themeColor="accent3" w:themeShade="BF"/>
          <w:lang w:val="en-GB"/>
        </w:rPr>
        <w:t>the debtor to achieve a higher value for its assets than if such provisions were enforced</w:t>
      </w:r>
      <w:r w:rsidR="00B53EB8">
        <w:rPr>
          <w:rFonts w:ascii="Avenir Next" w:eastAsia="Times New Roman" w:hAnsi="Avenir Next" w:cs="Arial"/>
          <w:color w:val="7B7B7B" w:themeColor="accent3" w:themeShade="BF"/>
          <w:lang w:val="en-GB"/>
        </w:rPr>
        <w:t>”.</w:t>
      </w:r>
      <w:r w:rsidR="00B53EB8">
        <w:rPr>
          <w:rStyle w:val="Refdenotaderodap"/>
          <w:rFonts w:ascii="Avenir Next" w:eastAsia="Times New Roman" w:hAnsi="Avenir Next" w:cs="Arial"/>
          <w:color w:val="7B7B7B" w:themeColor="accent3" w:themeShade="BF"/>
          <w:lang w:val="en-GB"/>
        </w:rPr>
        <w:footnoteReference w:id="76"/>
      </w:r>
      <w:r w:rsidR="004E4665">
        <w:rPr>
          <w:rFonts w:ascii="Avenir Next" w:eastAsia="Times New Roman" w:hAnsi="Avenir Next" w:cs="Arial"/>
          <w:color w:val="7B7B7B" w:themeColor="accent3" w:themeShade="BF"/>
          <w:lang w:val="en-GB"/>
        </w:rPr>
        <w:t xml:space="preserve"> </w:t>
      </w:r>
      <w:r w:rsidR="008C5502">
        <w:rPr>
          <w:rFonts w:ascii="Avenir Next" w:eastAsia="Times New Roman" w:hAnsi="Avenir Next" w:cs="Arial"/>
          <w:color w:val="7B7B7B" w:themeColor="accent3" w:themeShade="BF"/>
          <w:lang w:val="en-GB"/>
        </w:rPr>
        <w:t>The f</w:t>
      </w:r>
      <w:r w:rsidR="004E4665" w:rsidRPr="004E4665">
        <w:rPr>
          <w:rFonts w:ascii="Avenir Next" w:eastAsia="Times New Roman" w:hAnsi="Avenir Next" w:cs="Arial"/>
          <w:color w:val="7B7B7B" w:themeColor="accent3" w:themeShade="BF"/>
          <w:lang w:val="en-GB"/>
        </w:rPr>
        <w:t>actory lea</w:t>
      </w:r>
      <w:r w:rsidR="008C5502">
        <w:rPr>
          <w:rFonts w:ascii="Avenir Next" w:eastAsia="Times New Roman" w:hAnsi="Avenir Next" w:cs="Arial"/>
          <w:color w:val="7B7B7B" w:themeColor="accent3" w:themeShade="BF"/>
          <w:lang w:val="en-GB"/>
        </w:rPr>
        <w:t>se</w:t>
      </w:r>
      <w:r w:rsidR="004E4665" w:rsidRPr="004E4665">
        <w:rPr>
          <w:rFonts w:ascii="Avenir Next" w:eastAsia="Times New Roman" w:hAnsi="Avenir Next" w:cs="Arial"/>
          <w:color w:val="7B7B7B" w:themeColor="accent3" w:themeShade="BF"/>
          <w:lang w:val="en-GB"/>
        </w:rPr>
        <w:t xml:space="preserve"> does not fall under any restriction of such rule. Therefore,</w:t>
      </w:r>
      <w:r w:rsidR="008C5502">
        <w:rPr>
          <w:rFonts w:ascii="Avenir Next" w:eastAsia="Times New Roman" w:hAnsi="Avenir Next" w:cs="Arial"/>
          <w:color w:val="7B7B7B" w:themeColor="accent3" w:themeShade="BF"/>
          <w:lang w:val="en-GB"/>
        </w:rPr>
        <w:t xml:space="preserve"> t</w:t>
      </w:r>
      <w:r w:rsidR="008C5502" w:rsidRPr="008C5502">
        <w:rPr>
          <w:rFonts w:ascii="Avenir Next" w:eastAsia="Times New Roman" w:hAnsi="Avenir Next" w:cs="Arial"/>
          <w:color w:val="7B7B7B" w:themeColor="accent3" w:themeShade="BF"/>
          <w:lang w:val="en-GB"/>
        </w:rPr>
        <w:t xml:space="preserve">he </w:t>
      </w:r>
      <w:r w:rsidR="008D43B7">
        <w:rPr>
          <w:rFonts w:ascii="Avenir Next" w:eastAsia="Times New Roman" w:hAnsi="Avenir Next" w:cs="Arial"/>
          <w:color w:val="7B7B7B" w:themeColor="accent3" w:themeShade="BF"/>
          <w:lang w:val="en-GB"/>
        </w:rPr>
        <w:t>f</w:t>
      </w:r>
      <w:r w:rsidR="008D43B7" w:rsidRPr="004E4665">
        <w:rPr>
          <w:rFonts w:ascii="Avenir Next" w:eastAsia="Times New Roman" w:hAnsi="Avenir Next" w:cs="Arial"/>
          <w:color w:val="7B7B7B" w:themeColor="accent3" w:themeShade="BF"/>
          <w:lang w:val="en-GB"/>
        </w:rPr>
        <w:t>actory lea</w:t>
      </w:r>
      <w:r w:rsidR="008D43B7">
        <w:rPr>
          <w:rFonts w:ascii="Avenir Next" w:eastAsia="Times New Roman" w:hAnsi="Avenir Next" w:cs="Arial"/>
          <w:color w:val="7B7B7B" w:themeColor="accent3" w:themeShade="BF"/>
          <w:lang w:val="en-GB"/>
        </w:rPr>
        <w:t>se</w:t>
      </w:r>
      <w:r w:rsidR="008C5502" w:rsidRPr="008C5502">
        <w:rPr>
          <w:rFonts w:ascii="Avenir Next" w:eastAsia="Times New Roman" w:hAnsi="Avenir Next" w:cs="Arial"/>
          <w:color w:val="7B7B7B" w:themeColor="accent3" w:themeShade="BF"/>
          <w:lang w:val="en-GB"/>
        </w:rPr>
        <w:t xml:space="preserve"> is assignable without consent,</w:t>
      </w:r>
      <w:r w:rsidR="008C5502">
        <w:rPr>
          <w:rFonts w:ascii="Avenir Next" w:eastAsia="Times New Roman" w:hAnsi="Avenir Next" w:cs="Arial"/>
          <w:color w:val="7B7B7B" w:themeColor="accent3" w:themeShade="BF"/>
          <w:lang w:val="en-GB"/>
        </w:rPr>
        <w:t xml:space="preserve"> </w:t>
      </w:r>
      <w:r w:rsidR="008C5502" w:rsidRPr="008C5502">
        <w:rPr>
          <w:rFonts w:ascii="Avenir Next" w:eastAsia="Times New Roman" w:hAnsi="Avenir Next" w:cs="Arial"/>
          <w:color w:val="7B7B7B" w:themeColor="accent3" w:themeShade="BF"/>
          <w:lang w:val="en-GB"/>
        </w:rPr>
        <w:t>notwithstanding the landlord approval provision.</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3B855B4C" w:rsidR="00241FA3" w:rsidRPr="00494B81" w:rsidRDefault="007C0CA0" w:rsidP="009B4976">
    <w:pPr>
      <w:pStyle w:val="Rodap"/>
      <w:ind w:right="360"/>
      <w:rPr>
        <w:rFonts w:ascii="Avenir Next" w:hAnsi="Avenir Next" w:cs="Arial"/>
        <w:sz w:val="22"/>
        <w:szCs w:val="22"/>
        <w:lang w:val="en-GB"/>
      </w:rPr>
    </w:pPr>
    <w:r w:rsidRPr="00830B93">
      <w:rPr>
        <w:rFonts w:ascii="Avenir Next" w:hAnsi="Avenir Next" w:cs="Arial"/>
        <w:sz w:val="22"/>
        <w:szCs w:val="22"/>
      </w:rPr>
      <w:t>202223-981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 w:id="1">
    <w:p w14:paraId="2208CB11" w14:textId="5B995604" w:rsidR="00A973E5" w:rsidRPr="00A973E5" w:rsidRDefault="00A973E5" w:rsidP="0026644C">
      <w:pPr>
        <w:pStyle w:val="Textodenotaderodap"/>
        <w:jc w:val="both"/>
        <w:rPr>
          <w:lang w:val="pt-BR"/>
        </w:rPr>
      </w:pPr>
      <w:r>
        <w:rPr>
          <w:rStyle w:val="Refdenotaderodap"/>
        </w:rPr>
        <w:footnoteRef/>
      </w:r>
      <w:r>
        <w:t xml:space="preserve"> </w:t>
      </w:r>
      <w:r w:rsidR="00123320">
        <w:t>HALL, Laura R</w:t>
      </w:r>
      <w:r w:rsidR="00123320" w:rsidRPr="001A4F58">
        <w:t xml:space="preserve">, Module </w:t>
      </w:r>
      <w:r w:rsidR="00123320">
        <w:t>3</w:t>
      </w:r>
      <w:r w:rsidR="00123320" w:rsidRPr="001A4F58">
        <w:t xml:space="preserve">A Guidance Text: </w:t>
      </w:r>
      <w:r w:rsidR="00123320">
        <w:t>Insolvency System of the United States</w:t>
      </w:r>
      <w:r w:rsidR="00123320" w:rsidRPr="001A4F58">
        <w:t xml:space="preserve">, INSOL International, London (2022), p </w:t>
      </w:r>
      <w:r w:rsidR="00123320">
        <w:t>58</w:t>
      </w:r>
      <w:r w:rsidR="00123320" w:rsidRPr="001A4F58">
        <w:t>.</w:t>
      </w:r>
    </w:p>
  </w:footnote>
  <w:footnote w:id="2">
    <w:p w14:paraId="3FBD087F" w14:textId="05C42457" w:rsidR="00123320" w:rsidRPr="00123320" w:rsidRDefault="00123320"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5</w:t>
      </w:r>
      <w:r w:rsidRPr="001A4F58">
        <w:t>.</w:t>
      </w:r>
    </w:p>
  </w:footnote>
  <w:footnote w:id="3">
    <w:p w14:paraId="3076E4D3" w14:textId="05CE9302" w:rsidR="00442F53" w:rsidRPr="00442F53" w:rsidRDefault="00442F53"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rsidR="008760B1">
        <w:t>48</w:t>
      </w:r>
      <w:r w:rsidRPr="001A4F58">
        <w:t>.</w:t>
      </w:r>
    </w:p>
  </w:footnote>
  <w:footnote w:id="4">
    <w:p w14:paraId="17DCE9CB" w14:textId="53DD6C7D" w:rsidR="0083604B" w:rsidRPr="0083604B" w:rsidRDefault="0083604B"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48</w:t>
      </w:r>
      <w:r w:rsidRPr="001A4F58">
        <w:t>.</w:t>
      </w:r>
    </w:p>
  </w:footnote>
  <w:footnote w:id="5">
    <w:p w14:paraId="1D775249" w14:textId="7055D6DC" w:rsidR="00471065" w:rsidRPr="00471065" w:rsidRDefault="00471065"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rsidR="00D37F66">
        <w:t>30</w:t>
      </w:r>
      <w:r w:rsidRPr="001A4F58">
        <w:t>.</w:t>
      </w:r>
    </w:p>
  </w:footnote>
  <w:footnote w:id="6">
    <w:p w14:paraId="4A2455EF" w14:textId="08B0F12B" w:rsidR="00363E82" w:rsidRPr="00363E82" w:rsidRDefault="00363E82"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30</w:t>
      </w:r>
      <w:r w:rsidRPr="001A4F58">
        <w:t>.</w:t>
      </w:r>
    </w:p>
  </w:footnote>
  <w:footnote w:id="7">
    <w:p w14:paraId="26FA0DA8" w14:textId="3208B195" w:rsidR="003D72DD" w:rsidRPr="003D72DD" w:rsidRDefault="003D72DD"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rsidR="00E832FA">
        <w:t>5</w:t>
      </w:r>
      <w:r>
        <w:t>0</w:t>
      </w:r>
      <w:r w:rsidRPr="001A4F58">
        <w:t>.</w:t>
      </w:r>
    </w:p>
  </w:footnote>
  <w:footnote w:id="8">
    <w:p w14:paraId="58292C90" w14:textId="3E1A47B6" w:rsidR="00AD21E9" w:rsidRPr="00AD21E9" w:rsidRDefault="00AD21E9"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rsidR="00AA0AF7">
        <w:t>p</w:t>
      </w:r>
      <w:r w:rsidRPr="001A4F58">
        <w:t xml:space="preserve"> </w:t>
      </w:r>
      <w:r>
        <w:t>5</w:t>
      </w:r>
      <w:r w:rsidR="00AA0AF7">
        <w:t>1-52</w:t>
      </w:r>
      <w:r w:rsidRPr="001A4F58">
        <w:t>.</w:t>
      </w:r>
    </w:p>
  </w:footnote>
  <w:footnote w:id="9">
    <w:p w14:paraId="4B237E9C" w14:textId="72824EDB" w:rsidR="00664087" w:rsidRPr="00664087" w:rsidRDefault="00664087"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50</w:t>
      </w:r>
      <w:r w:rsidRPr="001A4F58">
        <w:t>.</w:t>
      </w:r>
    </w:p>
  </w:footnote>
  <w:footnote w:id="10">
    <w:p w14:paraId="02236E88" w14:textId="0F680DA7" w:rsidR="003E1D83" w:rsidRPr="003E1D83" w:rsidRDefault="003E1D83"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16.</w:t>
      </w:r>
    </w:p>
  </w:footnote>
  <w:footnote w:id="11">
    <w:p w14:paraId="1EE29738" w14:textId="7894C5E0" w:rsidR="003E1D83" w:rsidRPr="003E1D83" w:rsidRDefault="003E1D83" w:rsidP="0026644C">
      <w:pPr>
        <w:pStyle w:val="Textodenotaderodap"/>
        <w:jc w:val="both"/>
        <w:rPr>
          <w:lang w:val="pt-BR"/>
        </w:rPr>
      </w:pPr>
      <w:r>
        <w:rPr>
          <w:rStyle w:val="Refdenotaderodap"/>
        </w:rPr>
        <w:footnoteRef/>
      </w:r>
      <w:r>
        <w:t xml:space="preserve"> </w:t>
      </w:r>
      <w:r w:rsidRPr="003E1D83">
        <w:t xml:space="preserve">28 USC, § </w:t>
      </w:r>
      <w:r>
        <w:t>157</w:t>
      </w:r>
      <w:r w:rsidR="002520C5">
        <w:t>(b)</w:t>
      </w:r>
      <w:r w:rsidRPr="003E1D83">
        <w:t>(2).</w:t>
      </w:r>
    </w:p>
  </w:footnote>
  <w:footnote w:id="12">
    <w:p w14:paraId="11372626" w14:textId="5CA0F3A1" w:rsidR="00B705BA" w:rsidRPr="00B705BA" w:rsidRDefault="00B705B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1</w:t>
      </w:r>
      <w:r w:rsidR="008F4D8C">
        <w:t>9</w:t>
      </w:r>
      <w:r>
        <w:t>.</w:t>
      </w:r>
    </w:p>
  </w:footnote>
  <w:footnote w:id="13">
    <w:p w14:paraId="16CB78CD" w14:textId="5CDCCA3D" w:rsidR="006B747E" w:rsidRPr="006B747E" w:rsidRDefault="006B747E"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19.</w:t>
      </w:r>
    </w:p>
  </w:footnote>
  <w:footnote w:id="14">
    <w:p w14:paraId="3B062CD0" w14:textId="54F45608" w:rsidR="00847307" w:rsidRPr="00847307" w:rsidRDefault="00847307"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19.</w:t>
      </w:r>
    </w:p>
  </w:footnote>
  <w:footnote w:id="15">
    <w:p w14:paraId="5884FEEC" w14:textId="245990EA" w:rsidR="0057509A" w:rsidRPr="0057509A" w:rsidRDefault="0057509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rsidR="00DC685D">
        <w:t>20</w:t>
      </w:r>
      <w:r>
        <w:t>.</w:t>
      </w:r>
    </w:p>
  </w:footnote>
  <w:footnote w:id="16">
    <w:p w14:paraId="0D7382B6" w14:textId="7B9722D6" w:rsidR="00254CCA" w:rsidRPr="00254CCA" w:rsidRDefault="00254CC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20.</w:t>
      </w:r>
    </w:p>
  </w:footnote>
  <w:footnote w:id="17">
    <w:p w14:paraId="752094C5" w14:textId="62360F8A" w:rsidR="006A416D" w:rsidRPr="006A416D" w:rsidRDefault="006A416D"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p</w:t>
      </w:r>
      <w:r w:rsidRPr="001A4F58">
        <w:t xml:space="preserve"> </w:t>
      </w:r>
      <w:r>
        <w:t>16</w:t>
      </w:r>
      <w:r>
        <w:t>-17</w:t>
      </w:r>
      <w:r>
        <w:t>.</w:t>
      </w:r>
    </w:p>
  </w:footnote>
  <w:footnote w:id="18">
    <w:p w14:paraId="5706B7AE" w14:textId="216846A9" w:rsidR="00874764" w:rsidRPr="00874764" w:rsidRDefault="0087476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20.</w:t>
      </w:r>
    </w:p>
  </w:footnote>
  <w:footnote w:id="19">
    <w:p w14:paraId="68B69A80" w14:textId="469A6292" w:rsidR="00DA0FAB" w:rsidRPr="00DA0FAB" w:rsidRDefault="00DA0FAB" w:rsidP="0026644C">
      <w:pPr>
        <w:pStyle w:val="Textodenotaderodap"/>
        <w:jc w:val="both"/>
        <w:rPr>
          <w:lang w:val="pt-BR"/>
        </w:rPr>
      </w:pPr>
      <w:r>
        <w:rPr>
          <w:rStyle w:val="Refdenotaderodap"/>
        </w:rPr>
        <w:footnoteRef/>
      </w:r>
      <w:r>
        <w:t xml:space="preserve"> </w:t>
      </w:r>
      <w:r w:rsidR="000123EC">
        <w:rPr>
          <w:lang w:val="pt-BR"/>
        </w:rPr>
        <w:t>11 USC, § 1519(a)(1).</w:t>
      </w:r>
    </w:p>
  </w:footnote>
  <w:footnote w:id="20">
    <w:p w14:paraId="596BBB26" w14:textId="25C7FE4B" w:rsidR="000123EC" w:rsidRPr="000123EC" w:rsidRDefault="000123EC" w:rsidP="0026644C">
      <w:pPr>
        <w:pStyle w:val="Textodenotaderodap"/>
        <w:jc w:val="both"/>
        <w:rPr>
          <w:lang w:val="pt-BR"/>
        </w:rPr>
      </w:pPr>
      <w:r>
        <w:rPr>
          <w:rStyle w:val="Refdenotaderodap"/>
        </w:rPr>
        <w:footnoteRef/>
      </w:r>
      <w:r>
        <w:t xml:space="preserve"> </w:t>
      </w:r>
      <w:r>
        <w:rPr>
          <w:lang w:val="pt-BR"/>
        </w:rPr>
        <w:t>11 USC, § 1519(a)(</w:t>
      </w:r>
      <w:r>
        <w:rPr>
          <w:lang w:val="pt-BR"/>
        </w:rPr>
        <w:t>2</w:t>
      </w:r>
      <w:r>
        <w:rPr>
          <w:lang w:val="pt-BR"/>
        </w:rPr>
        <w:t>).</w:t>
      </w:r>
    </w:p>
  </w:footnote>
  <w:footnote w:id="21">
    <w:p w14:paraId="68DAE0BF" w14:textId="427BE779" w:rsidR="00E06AF1" w:rsidRPr="00E06AF1" w:rsidRDefault="00E06AF1" w:rsidP="0026644C">
      <w:pPr>
        <w:pStyle w:val="Textodenotaderodap"/>
        <w:jc w:val="both"/>
        <w:rPr>
          <w:lang w:val="pt-BR"/>
        </w:rPr>
      </w:pPr>
      <w:r>
        <w:rPr>
          <w:rStyle w:val="Refdenotaderodap"/>
        </w:rPr>
        <w:footnoteRef/>
      </w:r>
      <w:r>
        <w:t xml:space="preserve"> </w:t>
      </w:r>
      <w:r>
        <w:rPr>
          <w:lang w:val="pt-BR"/>
        </w:rPr>
        <w:t>11 USC, § 1519(a)(</w:t>
      </w:r>
      <w:r>
        <w:rPr>
          <w:lang w:val="pt-BR"/>
        </w:rPr>
        <w:t>3</w:t>
      </w:r>
      <w:r>
        <w:rPr>
          <w:lang w:val="pt-BR"/>
        </w:rPr>
        <w:t>)</w:t>
      </w:r>
      <w:r>
        <w:rPr>
          <w:lang w:val="pt-BR"/>
        </w:rPr>
        <w:t xml:space="preserve"> </w:t>
      </w:r>
      <w:proofErr w:type="spellStart"/>
      <w:r>
        <w:rPr>
          <w:lang w:val="pt-BR"/>
        </w:rPr>
        <w:t>and</w:t>
      </w:r>
      <w:proofErr w:type="spellEnd"/>
      <w:r>
        <w:rPr>
          <w:lang w:val="pt-BR"/>
        </w:rPr>
        <w:t xml:space="preserve"> </w:t>
      </w:r>
      <w:r w:rsidR="00584C99">
        <w:rPr>
          <w:lang w:val="pt-BR"/>
        </w:rPr>
        <w:t>§</w:t>
      </w:r>
      <w:r w:rsidR="00584C99">
        <w:rPr>
          <w:lang w:val="pt-BR"/>
        </w:rPr>
        <w:t>15</w:t>
      </w:r>
      <w:r w:rsidR="00584C99">
        <w:rPr>
          <w:lang w:val="pt-BR"/>
        </w:rPr>
        <w:t>21</w:t>
      </w:r>
      <w:r w:rsidR="00584C99">
        <w:rPr>
          <w:lang w:val="pt-BR"/>
        </w:rPr>
        <w:t>(a)(3)</w:t>
      </w:r>
      <w:r>
        <w:rPr>
          <w:lang w:val="pt-BR"/>
        </w:rPr>
        <w:t>.</w:t>
      </w:r>
    </w:p>
  </w:footnote>
  <w:footnote w:id="22">
    <w:p w14:paraId="211A7577" w14:textId="6E312017" w:rsidR="00F70AD2" w:rsidRPr="00F70AD2" w:rsidRDefault="00F70AD2" w:rsidP="0026644C">
      <w:pPr>
        <w:pStyle w:val="Textodenotaderodap"/>
        <w:jc w:val="both"/>
        <w:rPr>
          <w:lang w:val="pt-BR"/>
        </w:rPr>
      </w:pPr>
      <w:r>
        <w:rPr>
          <w:rStyle w:val="Refdenotaderodap"/>
        </w:rPr>
        <w:footnoteRef/>
      </w:r>
      <w:r>
        <w:t xml:space="preserve"> </w:t>
      </w:r>
      <w:r>
        <w:rPr>
          <w:lang w:val="pt-BR"/>
        </w:rPr>
        <w:t xml:space="preserve">11 USC, § 1519(a)(3) </w:t>
      </w:r>
      <w:proofErr w:type="spellStart"/>
      <w:r>
        <w:rPr>
          <w:lang w:val="pt-BR"/>
        </w:rPr>
        <w:t>and</w:t>
      </w:r>
      <w:proofErr w:type="spellEnd"/>
      <w:r>
        <w:rPr>
          <w:lang w:val="pt-BR"/>
        </w:rPr>
        <w:t xml:space="preserve"> §1521(a)(</w:t>
      </w:r>
      <w:r>
        <w:rPr>
          <w:lang w:val="pt-BR"/>
        </w:rPr>
        <w:t>4</w:t>
      </w:r>
      <w:r>
        <w:rPr>
          <w:lang w:val="pt-BR"/>
        </w:rPr>
        <w:t>).</w:t>
      </w:r>
    </w:p>
  </w:footnote>
  <w:footnote w:id="23">
    <w:p w14:paraId="2986F830" w14:textId="4B2E5D1E" w:rsidR="0063586D" w:rsidRPr="0063586D" w:rsidRDefault="0063586D" w:rsidP="0026644C">
      <w:pPr>
        <w:pStyle w:val="Textodenotaderodap"/>
        <w:jc w:val="both"/>
        <w:rPr>
          <w:lang w:val="pt-BR"/>
        </w:rPr>
      </w:pPr>
      <w:r>
        <w:rPr>
          <w:rStyle w:val="Refdenotaderodap"/>
        </w:rPr>
        <w:footnoteRef/>
      </w:r>
      <w:r>
        <w:t xml:space="preserve"> </w:t>
      </w:r>
      <w:r>
        <w:rPr>
          <w:lang w:val="pt-BR"/>
        </w:rPr>
        <w:t xml:space="preserve">11 USC, § 1519(a)(3) </w:t>
      </w:r>
      <w:proofErr w:type="spellStart"/>
      <w:r>
        <w:rPr>
          <w:lang w:val="pt-BR"/>
        </w:rPr>
        <w:t>and</w:t>
      </w:r>
      <w:proofErr w:type="spellEnd"/>
      <w:r>
        <w:rPr>
          <w:lang w:val="pt-BR"/>
        </w:rPr>
        <w:t xml:space="preserve"> §1521(a)(</w:t>
      </w:r>
      <w:r>
        <w:rPr>
          <w:lang w:val="pt-BR"/>
        </w:rPr>
        <w:t>7</w:t>
      </w:r>
      <w:r>
        <w:rPr>
          <w:lang w:val="pt-BR"/>
        </w:rPr>
        <w:t>).</w:t>
      </w:r>
    </w:p>
  </w:footnote>
  <w:footnote w:id="24">
    <w:p w14:paraId="1852CBE1" w14:textId="10E49947" w:rsidR="00572473" w:rsidRPr="00572473" w:rsidRDefault="00572473" w:rsidP="0026644C">
      <w:pPr>
        <w:pStyle w:val="Textodenotaderodap"/>
        <w:jc w:val="both"/>
        <w:rPr>
          <w:lang w:val="pt-BR"/>
        </w:rPr>
      </w:pPr>
      <w:r>
        <w:rPr>
          <w:rStyle w:val="Refdenotaderodap"/>
        </w:rPr>
        <w:footnoteRef/>
      </w:r>
      <w:r>
        <w:t xml:space="preserve"> </w:t>
      </w:r>
      <w:r>
        <w:rPr>
          <w:lang w:val="pt-BR"/>
        </w:rPr>
        <w:t>11 USC, § 15</w:t>
      </w:r>
      <w:r w:rsidR="00B12878">
        <w:rPr>
          <w:lang w:val="pt-BR"/>
        </w:rPr>
        <w:t>02</w:t>
      </w:r>
      <w:r>
        <w:rPr>
          <w:lang w:val="pt-BR"/>
        </w:rPr>
        <w:t>(</w:t>
      </w:r>
      <w:r w:rsidR="00B12878">
        <w:rPr>
          <w:lang w:val="pt-BR"/>
        </w:rPr>
        <w:t>4</w:t>
      </w:r>
      <w:r>
        <w:rPr>
          <w:lang w:val="pt-BR"/>
        </w:rPr>
        <w:t>).</w:t>
      </w:r>
    </w:p>
  </w:footnote>
  <w:footnote w:id="25">
    <w:p w14:paraId="3F58EA3E" w14:textId="1859B4C2" w:rsidR="00E416A9" w:rsidRPr="00E416A9" w:rsidRDefault="00E416A9"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w:t>
      </w:r>
      <w:r>
        <w:t>3</w:t>
      </w:r>
      <w:r w:rsidRPr="001A4F58">
        <w:t>.</w:t>
      </w:r>
    </w:p>
  </w:footnote>
  <w:footnote w:id="26">
    <w:p w14:paraId="0FFFAF4E" w14:textId="7127A108" w:rsidR="00E416A9" w:rsidRPr="00E416A9" w:rsidRDefault="00E416A9"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27">
    <w:p w14:paraId="3E46A13E" w14:textId="4B8CBC7B" w:rsidR="00C94B4F" w:rsidRPr="00C94B4F" w:rsidRDefault="00C94B4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28">
    <w:p w14:paraId="3E217593" w14:textId="18673C9B" w:rsidR="007B4C68" w:rsidRPr="007B4C68" w:rsidRDefault="007B4C6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29">
    <w:p w14:paraId="65C8F259" w14:textId="6FE752FA" w:rsidR="00C94B4F" w:rsidRPr="00C94B4F" w:rsidRDefault="00C94B4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30">
    <w:p w14:paraId="16B63560" w14:textId="527F1221" w:rsidR="00C94B4F" w:rsidRPr="00C94B4F" w:rsidRDefault="00C94B4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31">
    <w:p w14:paraId="7F3F9693" w14:textId="62939319" w:rsidR="00C94B4F" w:rsidRPr="00C94B4F" w:rsidRDefault="00C94B4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32">
    <w:p w14:paraId="2A86C417" w14:textId="548A8EC2" w:rsidR="00A43EAB" w:rsidRPr="00A43EAB" w:rsidRDefault="00A43EAB"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33">
    <w:p w14:paraId="786DACE3" w14:textId="7B966AC2" w:rsidR="009B70B8" w:rsidRPr="009B70B8" w:rsidRDefault="009B70B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64</w:t>
      </w:r>
      <w:r w:rsidRPr="001A4F58">
        <w:t>.</w:t>
      </w:r>
    </w:p>
  </w:footnote>
  <w:footnote w:id="34">
    <w:p w14:paraId="5F0C904B" w14:textId="4E18B867" w:rsidR="0060503C" w:rsidRPr="0060503C" w:rsidRDefault="0060503C"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rsidR="008E2C91">
        <w:t>59</w:t>
      </w:r>
      <w:r w:rsidRPr="001A4F58">
        <w:t>.</w:t>
      </w:r>
    </w:p>
  </w:footnote>
  <w:footnote w:id="35">
    <w:p w14:paraId="69646115" w14:textId="502F2C6F" w:rsidR="001F72A6" w:rsidRPr="001F72A6" w:rsidRDefault="001F72A6"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59</w:t>
      </w:r>
      <w:r w:rsidRPr="001A4F58">
        <w:t>.</w:t>
      </w:r>
    </w:p>
  </w:footnote>
  <w:footnote w:id="36">
    <w:p w14:paraId="05C855B4" w14:textId="048F0E1A" w:rsidR="00A87775" w:rsidRPr="00A87775" w:rsidRDefault="00A87775"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59</w:t>
      </w:r>
      <w:r w:rsidRPr="001A4F58">
        <w:t>.</w:t>
      </w:r>
    </w:p>
  </w:footnote>
  <w:footnote w:id="37">
    <w:p w14:paraId="62C7B5DE" w14:textId="76EEA732" w:rsidR="00981513" w:rsidRPr="00981513" w:rsidRDefault="00981513"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xml:space="preserve">, INSOL International, London (2022), p </w:t>
      </w:r>
      <w:r>
        <w:t>59</w:t>
      </w:r>
      <w:r w:rsidRPr="001A4F58">
        <w:t>.</w:t>
      </w:r>
    </w:p>
  </w:footnote>
  <w:footnote w:id="38">
    <w:p w14:paraId="02402411" w14:textId="1E48EB56" w:rsidR="00701E48" w:rsidRPr="00701E48" w:rsidRDefault="00701E48" w:rsidP="0026644C">
      <w:pPr>
        <w:pStyle w:val="Textodenotaderodap"/>
        <w:jc w:val="both"/>
        <w:rPr>
          <w:lang w:val="pt-BR"/>
        </w:rPr>
      </w:pPr>
      <w:r>
        <w:rPr>
          <w:rStyle w:val="Refdenotaderodap"/>
        </w:rPr>
        <w:footnoteRef/>
      </w:r>
      <w:r>
        <w:t xml:space="preserve"> </w:t>
      </w:r>
      <w:r w:rsidR="00FF44C5">
        <w:t>HALL, Laura R</w:t>
      </w:r>
      <w:r w:rsidR="00FF44C5" w:rsidRPr="001A4F58">
        <w:t xml:space="preserve">, Module </w:t>
      </w:r>
      <w:r w:rsidR="00FF44C5">
        <w:t>3</w:t>
      </w:r>
      <w:r w:rsidR="00FF44C5" w:rsidRPr="001A4F58">
        <w:t xml:space="preserve">A Guidance Text: </w:t>
      </w:r>
      <w:r w:rsidR="00FF44C5">
        <w:t>Insolvency System of the United States</w:t>
      </w:r>
      <w:r w:rsidR="00FF44C5" w:rsidRPr="001A4F58">
        <w:t>, INSOL International, London (2022), p</w:t>
      </w:r>
      <w:r w:rsidR="00FF44C5">
        <w:t xml:space="preserve"> </w:t>
      </w:r>
      <w:r w:rsidR="00FF44C5">
        <w:t>10</w:t>
      </w:r>
      <w:r w:rsidR="00FF44C5" w:rsidRPr="001A4F58">
        <w:t>.</w:t>
      </w:r>
    </w:p>
  </w:footnote>
  <w:footnote w:id="39">
    <w:p w14:paraId="100B42FF" w14:textId="6C6B943A" w:rsidR="00516CCC" w:rsidRPr="00516CCC" w:rsidRDefault="00516CCC"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p</w:t>
      </w:r>
      <w:r>
        <w:t xml:space="preserve"> 10</w:t>
      </w:r>
      <w:r>
        <w:t>-11</w:t>
      </w:r>
      <w:r w:rsidRPr="001A4F58">
        <w:t>.</w:t>
      </w:r>
    </w:p>
  </w:footnote>
  <w:footnote w:id="40">
    <w:p w14:paraId="3FF38FBC" w14:textId="128F3910" w:rsidR="00770E2F" w:rsidRPr="00770E2F" w:rsidRDefault="00770E2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w:t>
      </w:r>
      <w:r>
        <w:t>1</w:t>
      </w:r>
      <w:r w:rsidRPr="001A4F58">
        <w:t>.</w:t>
      </w:r>
    </w:p>
  </w:footnote>
  <w:footnote w:id="41">
    <w:p w14:paraId="426EE295" w14:textId="693B8BA2" w:rsidR="00032A80" w:rsidRPr="00032A80" w:rsidRDefault="00032A80"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2">
    <w:p w14:paraId="2DD65805" w14:textId="3695B5D1" w:rsidR="00024765" w:rsidRPr="00024765" w:rsidRDefault="00024765"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3">
    <w:p w14:paraId="6AE2C5A1" w14:textId="3513EFEC" w:rsidR="00F5586A" w:rsidRPr="00F5586A" w:rsidRDefault="00F5586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4">
    <w:p w14:paraId="199A8C0D" w14:textId="64DC1763" w:rsidR="00F5586A" w:rsidRPr="00F5586A" w:rsidRDefault="00F5586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5">
    <w:p w14:paraId="334E6B48" w14:textId="27F368BE" w:rsidR="0091658B" w:rsidRPr="0091658B" w:rsidRDefault="0091658B"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6">
    <w:p w14:paraId="46AFC53D" w14:textId="7A3B6E6A" w:rsidR="001D252F" w:rsidRPr="001D252F" w:rsidRDefault="001D252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7">
    <w:p w14:paraId="4180051C" w14:textId="28242A4D" w:rsidR="00CE2F5F" w:rsidRPr="00CE2F5F" w:rsidRDefault="00CE2F5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11</w:t>
      </w:r>
      <w:r w:rsidRPr="001A4F58">
        <w:t>.</w:t>
      </w:r>
    </w:p>
  </w:footnote>
  <w:footnote w:id="48">
    <w:p w14:paraId="7DC89A3C" w14:textId="67F4E816" w:rsidR="005C013C" w:rsidRPr="005C013C" w:rsidRDefault="005C013C"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w:t>
      </w:r>
      <w:r w:rsidR="007E12B1">
        <w:t>2</w:t>
      </w:r>
      <w:r>
        <w:t>1</w:t>
      </w:r>
      <w:r w:rsidRPr="001A4F58">
        <w:t>.</w:t>
      </w:r>
    </w:p>
  </w:footnote>
  <w:footnote w:id="49">
    <w:p w14:paraId="7C6B8DB1" w14:textId="21BB5BA3" w:rsidR="000B0A5A" w:rsidRPr="000B0A5A" w:rsidRDefault="000B0A5A"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2</w:t>
      </w:r>
      <w:r>
        <w:t>3</w:t>
      </w:r>
      <w:r w:rsidRPr="001A4F58">
        <w:t>.</w:t>
      </w:r>
    </w:p>
  </w:footnote>
  <w:footnote w:id="50">
    <w:p w14:paraId="7F35A220" w14:textId="06828608" w:rsidR="008F7F50" w:rsidRPr="008F7F50" w:rsidRDefault="008F7F50"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23</w:t>
      </w:r>
      <w:r w:rsidRPr="001A4F58">
        <w:t>.</w:t>
      </w:r>
    </w:p>
  </w:footnote>
  <w:footnote w:id="51">
    <w:p w14:paraId="5BF43F27" w14:textId="669D95B9" w:rsidR="00A61967" w:rsidRPr="00A61967" w:rsidRDefault="00A61967"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2</w:t>
      </w:r>
      <w:r w:rsidR="006D4835">
        <w:t>7</w:t>
      </w:r>
      <w:r w:rsidRPr="001A4F58">
        <w:t>.</w:t>
      </w:r>
    </w:p>
  </w:footnote>
  <w:footnote w:id="52">
    <w:p w14:paraId="7C90EB1B" w14:textId="63873119" w:rsidR="007E4661" w:rsidRPr="007E4661" w:rsidRDefault="007E4661"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w:t>
      </w:r>
      <w:r w:rsidR="00427E45">
        <w:t>30</w:t>
      </w:r>
      <w:r w:rsidRPr="001A4F58">
        <w:t>.</w:t>
      </w:r>
    </w:p>
  </w:footnote>
  <w:footnote w:id="53">
    <w:p w14:paraId="47D9277B" w14:textId="2F828954" w:rsidR="0070597F" w:rsidRPr="0070597F" w:rsidRDefault="0070597F"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3</w:t>
      </w:r>
      <w:r>
        <w:t>3</w:t>
      </w:r>
      <w:r w:rsidRPr="001A4F58">
        <w:t>.</w:t>
      </w:r>
    </w:p>
  </w:footnote>
  <w:footnote w:id="54">
    <w:p w14:paraId="0DF257B4" w14:textId="780B902C" w:rsidR="00946137" w:rsidRPr="00946137" w:rsidRDefault="00946137"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3</w:t>
      </w:r>
      <w:r w:rsidR="004A5463">
        <w:t>4.</w:t>
      </w:r>
    </w:p>
  </w:footnote>
  <w:footnote w:id="55">
    <w:p w14:paraId="553014A0" w14:textId="0DC92F77" w:rsidR="00616900" w:rsidRPr="00616900" w:rsidRDefault="00616900"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34.</w:t>
      </w:r>
    </w:p>
  </w:footnote>
  <w:footnote w:id="56">
    <w:p w14:paraId="354A21FB" w14:textId="79D12E41" w:rsidR="006816F1" w:rsidRPr="006816F1" w:rsidRDefault="006816F1"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w:t>
      </w:r>
      <w:r w:rsidR="00214985">
        <w:t>1</w:t>
      </w:r>
      <w:r>
        <w:t>0</w:t>
      </w:r>
      <w:r w:rsidRPr="001A4F58">
        <w:t>.</w:t>
      </w:r>
    </w:p>
  </w:footnote>
  <w:footnote w:id="57">
    <w:p w14:paraId="2FF50CFF" w14:textId="5894C235" w:rsidR="00723462" w:rsidRPr="00723462" w:rsidRDefault="00723462" w:rsidP="0026644C">
      <w:pPr>
        <w:pStyle w:val="Textodenotaderodap"/>
        <w:jc w:val="both"/>
        <w:rPr>
          <w:lang w:val="pt-BR"/>
        </w:rPr>
      </w:pPr>
      <w:r>
        <w:rPr>
          <w:rStyle w:val="Refdenotaderodap"/>
        </w:rPr>
        <w:footnoteRef/>
      </w:r>
      <w:r>
        <w:t xml:space="preserve"> </w:t>
      </w:r>
      <w:r>
        <w:rPr>
          <w:lang w:val="pt-BR"/>
        </w:rPr>
        <w:t>28 USC, § 1410(</w:t>
      </w:r>
      <w:r>
        <w:rPr>
          <w:lang w:val="pt-BR"/>
        </w:rPr>
        <w:t>1</w:t>
      </w:r>
      <w:r>
        <w:rPr>
          <w:lang w:val="pt-BR"/>
        </w:rPr>
        <w:t>).</w:t>
      </w:r>
    </w:p>
  </w:footnote>
  <w:footnote w:id="58">
    <w:p w14:paraId="19BA38AE" w14:textId="241175AC" w:rsidR="00723462" w:rsidRPr="00723462" w:rsidRDefault="00723462" w:rsidP="0026644C">
      <w:pPr>
        <w:pStyle w:val="Textodenotaderodap"/>
        <w:jc w:val="both"/>
        <w:rPr>
          <w:lang w:val="pt-BR"/>
        </w:rPr>
      </w:pPr>
      <w:r>
        <w:rPr>
          <w:rStyle w:val="Refdenotaderodap"/>
        </w:rPr>
        <w:footnoteRef/>
      </w:r>
      <w:r>
        <w:t xml:space="preserve"> </w:t>
      </w:r>
      <w:r>
        <w:rPr>
          <w:lang w:val="pt-BR"/>
        </w:rPr>
        <w:t>28 USC, § 1410(</w:t>
      </w:r>
      <w:r>
        <w:rPr>
          <w:lang w:val="pt-BR"/>
        </w:rPr>
        <w:t>2</w:t>
      </w:r>
      <w:r>
        <w:rPr>
          <w:lang w:val="pt-BR"/>
        </w:rPr>
        <w:t>).</w:t>
      </w:r>
    </w:p>
  </w:footnote>
  <w:footnote w:id="59">
    <w:p w14:paraId="1E4C8975" w14:textId="4FD8FA50" w:rsidR="002C2EC9" w:rsidRPr="002C2EC9" w:rsidRDefault="002C2EC9" w:rsidP="0026644C">
      <w:pPr>
        <w:pStyle w:val="Textodenotaderodap"/>
        <w:jc w:val="both"/>
        <w:rPr>
          <w:lang w:val="pt-BR"/>
        </w:rPr>
      </w:pPr>
      <w:r>
        <w:rPr>
          <w:rStyle w:val="Refdenotaderodap"/>
        </w:rPr>
        <w:footnoteRef/>
      </w:r>
      <w:r>
        <w:t xml:space="preserve"> </w:t>
      </w:r>
      <w:r>
        <w:rPr>
          <w:lang w:val="pt-BR"/>
        </w:rPr>
        <w:t xml:space="preserve">28 USC, § </w:t>
      </w:r>
      <w:r w:rsidR="00723462">
        <w:rPr>
          <w:lang w:val="pt-BR"/>
        </w:rPr>
        <w:t>1410(3).</w:t>
      </w:r>
    </w:p>
  </w:footnote>
  <w:footnote w:id="60">
    <w:p w14:paraId="7BD9FD05" w14:textId="30EDC125" w:rsidR="000C7793" w:rsidRPr="000C7793" w:rsidRDefault="000C7793" w:rsidP="0026644C">
      <w:pPr>
        <w:pStyle w:val="Textodenotaderodap"/>
        <w:jc w:val="both"/>
        <w:rPr>
          <w:lang w:val="pt-BR"/>
        </w:rPr>
      </w:pPr>
      <w:r>
        <w:rPr>
          <w:rStyle w:val="Refdenotaderodap"/>
        </w:rPr>
        <w:footnoteRef/>
      </w:r>
      <w:r>
        <w:t xml:space="preserve"> </w:t>
      </w:r>
      <w:r>
        <w:rPr>
          <w:lang w:val="pt-BR"/>
        </w:rPr>
        <w:t>11 USC, § 15</w:t>
      </w:r>
      <w:r w:rsidR="004E79C2">
        <w:rPr>
          <w:lang w:val="pt-BR"/>
        </w:rPr>
        <w:t>17</w:t>
      </w:r>
      <w:r>
        <w:rPr>
          <w:lang w:val="pt-BR"/>
        </w:rPr>
        <w:t>(</w:t>
      </w:r>
      <w:r w:rsidR="004E79C2">
        <w:rPr>
          <w:lang w:val="pt-BR"/>
        </w:rPr>
        <w:t>a</w:t>
      </w:r>
      <w:r>
        <w:rPr>
          <w:lang w:val="pt-BR"/>
        </w:rPr>
        <w:t>).</w:t>
      </w:r>
    </w:p>
  </w:footnote>
  <w:footnote w:id="61">
    <w:p w14:paraId="2BC6967F" w14:textId="77777777" w:rsidR="0089686A" w:rsidRPr="00572473" w:rsidRDefault="0089686A" w:rsidP="0026644C">
      <w:pPr>
        <w:pStyle w:val="Textodenotaderodap"/>
        <w:jc w:val="both"/>
        <w:rPr>
          <w:lang w:val="pt-BR"/>
        </w:rPr>
      </w:pPr>
      <w:r>
        <w:rPr>
          <w:rStyle w:val="Refdenotaderodap"/>
        </w:rPr>
        <w:footnoteRef/>
      </w:r>
      <w:r>
        <w:t xml:space="preserve"> </w:t>
      </w:r>
      <w:r>
        <w:rPr>
          <w:lang w:val="pt-BR"/>
        </w:rPr>
        <w:t>11 USC, § 1502(4).</w:t>
      </w:r>
    </w:p>
  </w:footnote>
  <w:footnote w:id="62">
    <w:p w14:paraId="36E0AEA5" w14:textId="204ED261" w:rsidR="00A43034" w:rsidRPr="00A43034" w:rsidRDefault="00A4303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w:t>
      </w:r>
      <w:r>
        <w:t>62</w:t>
      </w:r>
      <w:r w:rsidRPr="001A4F58">
        <w:t>.</w:t>
      </w:r>
    </w:p>
  </w:footnote>
  <w:footnote w:id="63">
    <w:p w14:paraId="449FBCD0" w14:textId="4BB6C00E" w:rsidR="00457BBC" w:rsidRPr="00457BBC" w:rsidRDefault="00457BBC" w:rsidP="0026644C">
      <w:pPr>
        <w:pStyle w:val="Textodenotaderodap"/>
        <w:jc w:val="both"/>
        <w:rPr>
          <w:lang w:val="pt-BR"/>
        </w:rPr>
      </w:pPr>
      <w:r>
        <w:rPr>
          <w:rStyle w:val="Refdenotaderodap"/>
        </w:rPr>
        <w:footnoteRef/>
      </w:r>
      <w:r>
        <w:t xml:space="preserve"> </w:t>
      </w:r>
      <w:r>
        <w:rPr>
          <w:lang w:val="pt-BR"/>
        </w:rPr>
        <w:t xml:space="preserve">11 USC, § </w:t>
      </w:r>
      <w:r>
        <w:rPr>
          <w:lang w:val="pt-BR"/>
        </w:rPr>
        <w:t>1516</w:t>
      </w:r>
      <w:r>
        <w:rPr>
          <w:lang w:val="pt-BR"/>
        </w:rPr>
        <w:t>(c).</w:t>
      </w:r>
    </w:p>
  </w:footnote>
  <w:footnote w:id="64">
    <w:p w14:paraId="23E806BA" w14:textId="216C08B2" w:rsidR="00E17274" w:rsidRPr="00E17274" w:rsidRDefault="00E1727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65">
    <w:p w14:paraId="491AF616" w14:textId="7567721A" w:rsidR="00E17274" w:rsidRPr="00E17274" w:rsidRDefault="00E1727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66">
    <w:p w14:paraId="0F10B4D0" w14:textId="0C9DF05D" w:rsidR="00E17274" w:rsidRPr="00E17274" w:rsidRDefault="00E1727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67">
    <w:p w14:paraId="7A6C7FE8" w14:textId="6807E39B" w:rsidR="00E17274" w:rsidRPr="00E17274" w:rsidRDefault="00E1727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68">
    <w:p w14:paraId="321BA963" w14:textId="6DBBA1D4" w:rsidR="00E17274" w:rsidRPr="00E17274" w:rsidRDefault="00E17274"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69">
    <w:p w14:paraId="7147383A" w14:textId="62F2EBDE" w:rsidR="001835C8" w:rsidRPr="001835C8" w:rsidRDefault="001835C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62</w:t>
      </w:r>
      <w:r w:rsidRPr="001A4F58">
        <w:t>.</w:t>
      </w:r>
    </w:p>
  </w:footnote>
  <w:footnote w:id="70">
    <w:p w14:paraId="4D921264" w14:textId="373DDDFD" w:rsidR="004604AB" w:rsidRPr="004604AB" w:rsidRDefault="004604AB" w:rsidP="0026644C">
      <w:pPr>
        <w:pStyle w:val="Textodenotaderodap"/>
        <w:jc w:val="both"/>
        <w:rPr>
          <w:lang w:val="pt-BR"/>
        </w:rPr>
      </w:pPr>
      <w:r>
        <w:rPr>
          <w:rStyle w:val="Refdenotaderodap"/>
        </w:rPr>
        <w:footnoteRef/>
      </w:r>
      <w:r>
        <w:t xml:space="preserve"> </w:t>
      </w:r>
      <w:r>
        <w:rPr>
          <w:lang w:val="pt-BR"/>
        </w:rPr>
        <w:t>11 USC, § 1502(</w:t>
      </w:r>
      <w:r>
        <w:rPr>
          <w:lang w:val="pt-BR"/>
        </w:rPr>
        <w:t>5</w:t>
      </w:r>
      <w:r>
        <w:rPr>
          <w:lang w:val="pt-BR"/>
        </w:rPr>
        <w:t>).</w:t>
      </w:r>
    </w:p>
  </w:footnote>
  <w:footnote w:id="71">
    <w:p w14:paraId="331C2595" w14:textId="6949A976" w:rsidR="00306ED7" w:rsidRPr="00306ED7" w:rsidRDefault="00306ED7" w:rsidP="0026644C">
      <w:pPr>
        <w:pStyle w:val="Textodenotaderodap"/>
        <w:jc w:val="both"/>
        <w:rPr>
          <w:lang w:val="pt-BR"/>
        </w:rPr>
      </w:pPr>
      <w:r>
        <w:rPr>
          <w:rStyle w:val="Refdenotaderodap"/>
        </w:rPr>
        <w:footnoteRef/>
      </w:r>
      <w:r>
        <w:t xml:space="preserve"> </w:t>
      </w:r>
      <w:r>
        <w:rPr>
          <w:lang w:val="pt-BR"/>
        </w:rPr>
        <w:t>11 USC, § 1502(</w:t>
      </w:r>
      <w:r>
        <w:rPr>
          <w:lang w:val="pt-BR"/>
        </w:rPr>
        <w:t>2</w:t>
      </w:r>
      <w:r>
        <w:rPr>
          <w:lang w:val="pt-BR"/>
        </w:rPr>
        <w:t>).</w:t>
      </w:r>
    </w:p>
  </w:footnote>
  <w:footnote w:id="72">
    <w:p w14:paraId="3EBFF59F" w14:textId="2819A9DE" w:rsidR="00A72C88" w:rsidRPr="00A72C88" w:rsidRDefault="00A72C8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rsidR="004B126C">
        <w:t xml:space="preserve"> 30</w:t>
      </w:r>
      <w:r w:rsidRPr="001A4F58">
        <w:t>.</w:t>
      </w:r>
    </w:p>
  </w:footnote>
  <w:footnote w:id="73">
    <w:p w14:paraId="50B65B07" w14:textId="546EB77A" w:rsidR="00AA201C" w:rsidRPr="00AA201C" w:rsidRDefault="00AA201C" w:rsidP="0026644C">
      <w:pPr>
        <w:pStyle w:val="Textodenotaderodap"/>
        <w:jc w:val="both"/>
        <w:rPr>
          <w:lang w:val="pt-BR"/>
        </w:rPr>
      </w:pPr>
      <w:r>
        <w:rPr>
          <w:rStyle w:val="Refdenotaderodap"/>
        </w:rPr>
        <w:footnoteRef/>
      </w:r>
      <w:r>
        <w:t xml:space="preserve"> </w:t>
      </w:r>
      <w:r>
        <w:rPr>
          <w:lang w:val="pt-BR"/>
        </w:rPr>
        <w:t xml:space="preserve">11 USC, § </w:t>
      </w:r>
      <w:r w:rsidR="000F0BB6">
        <w:rPr>
          <w:lang w:val="pt-BR"/>
        </w:rPr>
        <w:t>365(c)</w:t>
      </w:r>
      <w:r>
        <w:rPr>
          <w:lang w:val="pt-BR"/>
        </w:rPr>
        <w:t>(1)</w:t>
      </w:r>
      <w:r w:rsidR="000F0BB6">
        <w:rPr>
          <w:lang w:val="pt-BR"/>
        </w:rPr>
        <w:t>(</w:t>
      </w:r>
      <w:r w:rsidR="00597E0D">
        <w:rPr>
          <w:lang w:val="pt-BR"/>
        </w:rPr>
        <w:t>A</w:t>
      </w:r>
      <w:r w:rsidR="000F0BB6">
        <w:rPr>
          <w:lang w:val="pt-BR"/>
        </w:rPr>
        <w:t>)</w:t>
      </w:r>
      <w:r>
        <w:rPr>
          <w:lang w:val="pt-BR"/>
        </w:rPr>
        <w:t>.</w:t>
      </w:r>
    </w:p>
  </w:footnote>
  <w:footnote w:id="74">
    <w:p w14:paraId="6D3B14DD" w14:textId="2EC340ED" w:rsidR="00660FF8" w:rsidRPr="00660FF8" w:rsidRDefault="00660FF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p</w:t>
      </w:r>
      <w:r>
        <w:t xml:space="preserve"> 3</w:t>
      </w:r>
      <w:r>
        <w:t>1-32</w:t>
      </w:r>
      <w:r w:rsidRPr="001A4F58">
        <w:t>.</w:t>
      </w:r>
    </w:p>
  </w:footnote>
  <w:footnote w:id="75">
    <w:p w14:paraId="6872B6C1" w14:textId="03A9F0D5" w:rsidR="00515D27" w:rsidRPr="00515D27" w:rsidRDefault="00515D27"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w:t>
      </w:r>
      <w:r w:rsidR="00F81299">
        <w:t>26</w:t>
      </w:r>
      <w:r w:rsidRPr="001A4F58">
        <w:t>.</w:t>
      </w:r>
    </w:p>
  </w:footnote>
  <w:footnote w:id="76">
    <w:p w14:paraId="35E700C8" w14:textId="1ABEF16A" w:rsidR="00B53EB8" w:rsidRPr="00B53EB8" w:rsidRDefault="00B53EB8" w:rsidP="0026644C">
      <w:pPr>
        <w:pStyle w:val="Textodenotaderodap"/>
        <w:jc w:val="both"/>
        <w:rPr>
          <w:lang w:val="pt-BR"/>
        </w:rPr>
      </w:pPr>
      <w:r>
        <w:rPr>
          <w:rStyle w:val="Refdenotaderodap"/>
        </w:rPr>
        <w:footnoteRef/>
      </w:r>
      <w:r>
        <w:t xml:space="preserve"> </w:t>
      </w:r>
      <w:r>
        <w:t>HALL, Laura R</w:t>
      </w:r>
      <w:r w:rsidRPr="001A4F58">
        <w:t xml:space="preserve">, Module </w:t>
      </w:r>
      <w:r>
        <w:t>3</w:t>
      </w:r>
      <w:r w:rsidRPr="001A4F58">
        <w:t xml:space="preserve">A Guidance Text: </w:t>
      </w:r>
      <w:r>
        <w:t>Insolvency System of the United States</w:t>
      </w:r>
      <w:r w:rsidRPr="001A4F58">
        <w:t>, INSOL International, London (2022), p</w:t>
      </w:r>
      <w:r>
        <w:t xml:space="preserve"> 31</w:t>
      </w:r>
      <w:r w:rsidRPr="001A4F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696774">
    <w:abstractNumId w:val="21"/>
  </w:num>
  <w:num w:numId="2" w16cid:durableId="997729172">
    <w:abstractNumId w:val="24"/>
  </w:num>
  <w:num w:numId="3" w16cid:durableId="792211257">
    <w:abstractNumId w:val="4"/>
  </w:num>
  <w:num w:numId="4" w16cid:durableId="832111335">
    <w:abstractNumId w:val="8"/>
  </w:num>
  <w:num w:numId="5" w16cid:durableId="668799761">
    <w:abstractNumId w:val="10"/>
  </w:num>
  <w:num w:numId="6" w16cid:durableId="1051420664">
    <w:abstractNumId w:val="27"/>
  </w:num>
  <w:num w:numId="7" w16cid:durableId="1182162794">
    <w:abstractNumId w:val="5"/>
  </w:num>
  <w:num w:numId="8" w16cid:durableId="1301114356">
    <w:abstractNumId w:val="29"/>
  </w:num>
  <w:num w:numId="9" w16cid:durableId="1418552266">
    <w:abstractNumId w:val="11"/>
  </w:num>
  <w:num w:numId="10" w16cid:durableId="1452935651">
    <w:abstractNumId w:val="23"/>
  </w:num>
  <w:num w:numId="11" w16cid:durableId="1979139247">
    <w:abstractNumId w:val="13"/>
  </w:num>
  <w:num w:numId="12" w16cid:durableId="1867282747">
    <w:abstractNumId w:val="20"/>
  </w:num>
  <w:num w:numId="13" w16cid:durableId="953749900">
    <w:abstractNumId w:val="0"/>
  </w:num>
  <w:num w:numId="14" w16cid:durableId="2001107781">
    <w:abstractNumId w:val="9"/>
  </w:num>
  <w:num w:numId="15" w16cid:durableId="590118814">
    <w:abstractNumId w:val="16"/>
  </w:num>
  <w:num w:numId="16" w16cid:durableId="1886258306">
    <w:abstractNumId w:val="7"/>
  </w:num>
  <w:num w:numId="17" w16cid:durableId="1641617964">
    <w:abstractNumId w:val="3"/>
  </w:num>
  <w:num w:numId="18" w16cid:durableId="991641999">
    <w:abstractNumId w:val="2"/>
  </w:num>
  <w:num w:numId="19" w16cid:durableId="655884901">
    <w:abstractNumId w:val="25"/>
  </w:num>
  <w:num w:numId="20" w16cid:durableId="1768692572">
    <w:abstractNumId w:val="6"/>
  </w:num>
  <w:num w:numId="21" w16cid:durableId="1103260107">
    <w:abstractNumId w:val="22"/>
  </w:num>
  <w:num w:numId="22" w16cid:durableId="1132678486">
    <w:abstractNumId w:val="30"/>
  </w:num>
  <w:num w:numId="23" w16cid:durableId="835849059">
    <w:abstractNumId w:val="12"/>
  </w:num>
  <w:num w:numId="24" w16cid:durableId="1306928143">
    <w:abstractNumId w:val="26"/>
  </w:num>
  <w:num w:numId="25" w16cid:durableId="523831021">
    <w:abstractNumId w:val="17"/>
  </w:num>
  <w:num w:numId="26" w16cid:durableId="33771857">
    <w:abstractNumId w:val="18"/>
  </w:num>
  <w:num w:numId="27" w16cid:durableId="792477261">
    <w:abstractNumId w:val="14"/>
  </w:num>
  <w:num w:numId="28" w16cid:durableId="992100111">
    <w:abstractNumId w:val="28"/>
  </w:num>
  <w:num w:numId="29" w16cid:durableId="2019307419">
    <w:abstractNumId w:val="1"/>
  </w:num>
  <w:num w:numId="30" w16cid:durableId="791093456">
    <w:abstractNumId w:val="15"/>
  </w:num>
  <w:num w:numId="31" w16cid:durableId="64404694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3EC"/>
    <w:rsid w:val="00020557"/>
    <w:rsid w:val="00021FC2"/>
    <w:rsid w:val="00022E00"/>
    <w:rsid w:val="00024765"/>
    <w:rsid w:val="000250C7"/>
    <w:rsid w:val="00026F16"/>
    <w:rsid w:val="00032A80"/>
    <w:rsid w:val="000346E7"/>
    <w:rsid w:val="00037621"/>
    <w:rsid w:val="00037671"/>
    <w:rsid w:val="00042C87"/>
    <w:rsid w:val="00044D46"/>
    <w:rsid w:val="00045088"/>
    <w:rsid w:val="00045904"/>
    <w:rsid w:val="000502FD"/>
    <w:rsid w:val="00051DED"/>
    <w:rsid w:val="00060B51"/>
    <w:rsid w:val="00065166"/>
    <w:rsid w:val="00066543"/>
    <w:rsid w:val="000747B3"/>
    <w:rsid w:val="000778B1"/>
    <w:rsid w:val="00082609"/>
    <w:rsid w:val="00084EBC"/>
    <w:rsid w:val="000851CC"/>
    <w:rsid w:val="00093BE8"/>
    <w:rsid w:val="000974A2"/>
    <w:rsid w:val="00097B45"/>
    <w:rsid w:val="00097D56"/>
    <w:rsid w:val="000A407B"/>
    <w:rsid w:val="000A636A"/>
    <w:rsid w:val="000A68ED"/>
    <w:rsid w:val="000A7A3D"/>
    <w:rsid w:val="000B0A5A"/>
    <w:rsid w:val="000B5FF1"/>
    <w:rsid w:val="000B609F"/>
    <w:rsid w:val="000C4C5B"/>
    <w:rsid w:val="000C62E8"/>
    <w:rsid w:val="000C7793"/>
    <w:rsid w:val="000D55A8"/>
    <w:rsid w:val="000D65B3"/>
    <w:rsid w:val="000E4841"/>
    <w:rsid w:val="000F0BB6"/>
    <w:rsid w:val="000F1677"/>
    <w:rsid w:val="000F1FEA"/>
    <w:rsid w:val="000F3D6C"/>
    <w:rsid w:val="000F7FC2"/>
    <w:rsid w:val="00101707"/>
    <w:rsid w:val="00102CC9"/>
    <w:rsid w:val="001051CA"/>
    <w:rsid w:val="0010669A"/>
    <w:rsid w:val="00113B10"/>
    <w:rsid w:val="0011473D"/>
    <w:rsid w:val="00115C85"/>
    <w:rsid w:val="0012224B"/>
    <w:rsid w:val="00123320"/>
    <w:rsid w:val="00123855"/>
    <w:rsid w:val="00126A4D"/>
    <w:rsid w:val="00136BE8"/>
    <w:rsid w:val="0014171F"/>
    <w:rsid w:val="0014622C"/>
    <w:rsid w:val="00152348"/>
    <w:rsid w:val="0015456D"/>
    <w:rsid w:val="00155FA2"/>
    <w:rsid w:val="00160679"/>
    <w:rsid w:val="00161F1B"/>
    <w:rsid w:val="00162829"/>
    <w:rsid w:val="001763DD"/>
    <w:rsid w:val="00180548"/>
    <w:rsid w:val="00180AC4"/>
    <w:rsid w:val="00180CCE"/>
    <w:rsid w:val="0018267A"/>
    <w:rsid w:val="00182779"/>
    <w:rsid w:val="001830DF"/>
    <w:rsid w:val="001835C8"/>
    <w:rsid w:val="001966D9"/>
    <w:rsid w:val="00197E4B"/>
    <w:rsid w:val="001A4F58"/>
    <w:rsid w:val="001A7E9A"/>
    <w:rsid w:val="001B0F70"/>
    <w:rsid w:val="001B1271"/>
    <w:rsid w:val="001B5016"/>
    <w:rsid w:val="001C0682"/>
    <w:rsid w:val="001C45FC"/>
    <w:rsid w:val="001C55C8"/>
    <w:rsid w:val="001D0469"/>
    <w:rsid w:val="001D252F"/>
    <w:rsid w:val="001D3875"/>
    <w:rsid w:val="001D4862"/>
    <w:rsid w:val="001D764F"/>
    <w:rsid w:val="001E25B9"/>
    <w:rsid w:val="001E49E0"/>
    <w:rsid w:val="001E7B5A"/>
    <w:rsid w:val="001F72A6"/>
    <w:rsid w:val="001F7412"/>
    <w:rsid w:val="001F775E"/>
    <w:rsid w:val="00202DFE"/>
    <w:rsid w:val="0020725B"/>
    <w:rsid w:val="002110F1"/>
    <w:rsid w:val="00214985"/>
    <w:rsid w:val="00223917"/>
    <w:rsid w:val="002269F5"/>
    <w:rsid w:val="0024116D"/>
    <w:rsid w:val="00241B44"/>
    <w:rsid w:val="00241FA3"/>
    <w:rsid w:val="00245EFB"/>
    <w:rsid w:val="002520C5"/>
    <w:rsid w:val="0025386E"/>
    <w:rsid w:val="00254CCA"/>
    <w:rsid w:val="00256B74"/>
    <w:rsid w:val="002638B0"/>
    <w:rsid w:val="0026644C"/>
    <w:rsid w:val="0026647A"/>
    <w:rsid w:val="002668D3"/>
    <w:rsid w:val="00270409"/>
    <w:rsid w:val="0027299F"/>
    <w:rsid w:val="0027771F"/>
    <w:rsid w:val="00284EBE"/>
    <w:rsid w:val="002903A7"/>
    <w:rsid w:val="0029433F"/>
    <w:rsid w:val="00294829"/>
    <w:rsid w:val="0029690F"/>
    <w:rsid w:val="00297C8A"/>
    <w:rsid w:val="002A2A60"/>
    <w:rsid w:val="002A37BB"/>
    <w:rsid w:val="002B1C45"/>
    <w:rsid w:val="002B5D64"/>
    <w:rsid w:val="002C13C8"/>
    <w:rsid w:val="002C2EC9"/>
    <w:rsid w:val="002C3547"/>
    <w:rsid w:val="002C4932"/>
    <w:rsid w:val="002D0021"/>
    <w:rsid w:val="002D299D"/>
    <w:rsid w:val="002D3473"/>
    <w:rsid w:val="002D4806"/>
    <w:rsid w:val="002D6789"/>
    <w:rsid w:val="002D78C5"/>
    <w:rsid w:val="002F1956"/>
    <w:rsid w:val="002F3440"/>
    <w:rsid w:val="002F75A3"/>
    <w:rsid w:val="00301D2B"/>
    <w:rsid w:val="00303267"/>
    <w:rsid w:val="00303C2F"/>
    <w:rsid w:val="00306ED7"/>
    <w:rsid w:val="003144EF"/>
    <w:rsid w:val="00323167"/>
    <w:rsid w:val="00325A8F"/>
    <w:rsid w:val="00326292"/>
    <w:rsid w:val="00326415"/>
    <w:rsid w:val="0033040E"/>
    <w:rsid w:val="00330937"/>
    <w:rsid w:val="00330F31"/>
    <w:rsid w:val="00331D93"/>
    <w:rsid w:val="00334648"/>
    <w:rsid w:val="0033768C"/>
    <w:rsid w:val="00337938"/>
    <w:rsid w:val="00340769"/>
    <w:rsid w:val="00341AA6"/>
    <w:rsid w:val="003502EB"/>
    <w:rsid w:val="00360E58"/>
    <w:rsid w:val="00361A0A"/>
    <w:rsid w:val="00363E82"/>
    <w:rsid w:val="00364836"/>
    <w:rsid w:val="0036565C"/>
    <w:rsid w:val="0036625E"/>
    <w:rsid w:val="0037465A"/>
    <w:rsid w:val="003760E2"/>
    <w:rsid w:val="00382C98"/>
    <w:rsid w:val="0038411A"/>
    <w:rsid w:val="0038533C"/>
    <w:rsid w:val="00386568"/>
    <w:rsid w:val="00390B57"/>
    <w:rsid w:val="00392B21"/>
    <w:rsid w:val="0039405B"/>
    <w:rsid w:val="003948D5"/>
    <w:rsid w:val="003949E3"/>
    <w:rsid w:val="00396821"/>
    <w:rsid w:val="00397D3A"/>
    <w:rsid w:val="003A051E"/>
    <w:rsid w:val="003A5537"/>
    <w:rsid w:val="003A75F4"/>
    <w:rsid w:val="003B170F"/>
    <w:rsid w:val="003B3C5F"/>
    <w:rsid w:val="003B7184"/>
    <w:rsid w:val="003C3388"/>
    <w:rsid w:val="003C4471"/>
    <w:rsid w:val="003C53FE"/>
    <w:rsid w:val="003D0A6D"/>
    <w:rsid w:val="003D72DD"/>
    <w:rsid w:val="003E01BB"/>
    <w:rsid w:val="003E0B16"/>
    <w:rsid w:val="003E1D83"/>
    <w:rsid w:val="003E67D1"/>
    <w:rsid w:val="003F7A8B"/>
    <w:rsid w:val="00404329"/>
    <w:rsid w:val="00405DC1"/>
    <w:rsid w:val="00415F1F"/>
    <w:rsid w:val="00416475"/>
    <w:rsid w:val="0042108F"/>
    <w:rsid w:val="004248F6"/>
    <w:rsid w:val="004273B0"/>
    <w:rsid w:val="00427E45"/>
    <w:rsid w:val="00430FED"/>
    <w:rsid w:val="00434A8C"/>
    <w:rsid w:val="00435558"/>
    <w:rsid w:val="00437297"/>
    <w:rsid w:val="00442F53"/>
    <w:rsid w:val="00444284"/>
    <w:rsid w:val="00445CE6"/>
    <w:rsid w:val="004534C2"/>
    <w:rsid w:val="0045446F"/>
    <w:rsid w:val="00455018"/>
    <w:rsid w:val="0045683E"/>
    <w:rsid w:val="00457BBC"/>
    <w:rsid w:val="004604AB"/>
    <w:rsid w:val="00461EA1"/>
    <w:rsid w:val="00464B48"/>
    <w:rsid w:val="00471065"/>
    <w:rsid w:val="004726BF"/>
    <w:rsid w:val="004744FF"/>
    <w:rsid w:val="004746F9"/>
    <w:rsid w:val="00474A10"/>
    <w:rsid w:val="00477C72"/>
    <w:rsid w:val="00480ECB"/>
    <w:rsid w:val="004830F8"/>
    <w:rsid w:val="00484B73"/>
    <w:rsid w:val="00486F1D"/>
    <w:rsid w:val="00491675"/>
    <w:rsid w:val="00493855"/>
    <w:rsid w:val="00494B81"/>
    <w:rsid w:val="00495E79"/>
    <w:rsid w:val="004A5463"/>
    <w:rsid w:val="004A57DD"/>
    <w:rsid w:val="004A7B51"/>
    <w:rsid w:val="004A7D71"/>
    <w:rsid w:val="004A7EF3"/>
    <w:rsid w:val="004B11FD"/>
    <w:rsid w:val="004B126C"/>
    <w:rsid w:val="004B23A2"/>
    <w:rsid w:val="004B3317"/>
    <w:rsid w:val="004C0D88"/>
    <w:rsid w:val="004D0707"/>
    <w:rsid w:val="004D1A5A"/>
    <w:rsid w:val="004D2FFF"/>
    <w:rsid w:val="004D3721"/>
    <w:rsid w:val="004D4255"/>
    <w:rsid w:val="004D5C5B"/>
    <w:rsid w:val="004D64F9"/>
    <w:rsid w:val="004E3A6B"/>
    <w:rsid w:val="004E4665"/>
    <w:rsid w:val="004E5AF5"/>
    <w:rsid w:val="004E622C"/>
    <w:rsid w:val="004E79C2"/>
    <w:rsid w:val="004F49B5"/>
    <w:rsid w:val="004F5FDF"/>
    <w:rsid w:val="004F710C"/>
    <w:rsid w:val="004F7B99"/>
    <w:rsid w:val="005029BD"/>
    <w:rsid w:val="00515810"/>
    <w:rsid w:val="00515D27"/>
    <w:rsid w:val="00516CCC"/>
    <w:rsid w:val="005177FE"/>
    <w:rsid w:val="0052263B"/>
    <w:rsid w:val="00524728"/>
    <w:rsid w:val="00527028"/>
    <w:rsid w:val="00527AC1"/>
    <w:rsid w:val="005331CA"/>
    <w:rsid w:val="00534825"/>
    <w:rsid w:val="00537424"/>
    <w:rsid w:val="00537970"/>
    <w:rsid w:val="00540E3A"/>
    <w:rsid w:val="00544127"/>
    <w:rsid w:val="005463A9"/>
    <w:rsid w:val="00546F6E"/>
    <w:rsid w:val="00553EB2"/>
    <w:rsid w:val="00560534"/>
    <w:rsid w:val="00560EBC"/>
    <w:rsid w:val="0056349C"/>
    <w:rsid w:val="0056391B"/>
    <w:rsid w:val="005650E2"/>
    <w:rsid w:val="00567AD7"/>
    <w:rsid w:val="00572473"/>
    <w:rsid w:val="0057509A"/>
    <w:rsid w:val="00575B2D"/>
    <w:rsid w:val="005833D0"/>
    <w:rsid w:val="00583D8E"/>
    <w:rsid w:val="005846F3"/>
    <w:rsid w:val="00584C99"/>
    <w:rsid w:val="0058622F"/>
    <w:rsid w:val="00587019"/>
    <w:rsid w:val="00592F82"/>
    <w:rsid w:val="00593D23"/>
    <w:rsid w:val="00595233"/>
    <w:rsid w:val="00597E0D"/>
    <w:rsid w:val="005A0CCA"/>
    <w:rsid w:val="005A6FF2"/>
    <w:rsid w:val="005A726D"/>
    <w:rsid w:val="005B67AC"/>
    <w:rsid w:val="005B79F4"/>
    <w:rsid w:val="005C013C"/>
    <w:rsid w:val="005C0394"/>
    <w:rsid w:val="005D1293"/>
    <w:rsid w:val="005D43E0"/>
    <w:rsid w:val="005D58A3"/>
    <w:rsid w:val="005D6642"/>
    <w:rsid w:val="005E1B79"/>
    <w:rsid w:val="005E6076"/>
    <w:rsid w:val="005E7008"/>
    <w:rsid w:val="005F026D"/>
    <w:rsid w:val="005F2AEA"/>
    <w:rsid w:val="005F2D0B"/>
    <w:rsid w:val="005F4B31"/>
    <w:rsid w:val="005F6A8D"/>
    <w:rsid w:val="0060503C"/>
    <w:rsid w:val="00605DEB"/>
    <w:rsid w:val="00610388"/>
    <w:rsid w:val="00610AC7"/>
    <w:rsid w:val="0061188A"/>
    <w:rsid w:val="00612CA5"/>
    <w:rsid w:val="006153EC"/>
    <w:rsid w:val="00616900"/>
    <w:rsid w:val="00621A17"/>
    <w:rsid w:val="00622C36"/>
    <w:rsid w:val="006245E3"/>
    <w:rsid w:val="00624DE5"/>
    <w:rsid w:val="00627CC9"/>
    <w:rsid w:val="00627E7B"/>
    <w:rsid w:val="00630542"/>
    <w:rsid w:val="00632E44"/>
    <w:rsid w:val="00634622"/>
    <w:rsid w:val="0063586D"/>
    <w:rsid w:val="00635ACC"/>
    <w:rsid w:val="00636808"/>
    <w:rsid w:val="00636AAF"/>
    <w:rsid w:val="00641515"/>
    <w:rsid w:val="00653AAC"/>
    <w:rsid w:val="00654C2F"/>
    <w:rsid w:val="00657087"/>
    <w:rsid w:val="00657A92"/>
    <w:rsid w:val="00660FF8"/>
    <w:rsid w:val="006639DB"/>
    <w:rsid w:val="00664087"/>
    <w:rsid w:val="006661EF"/>
    <w:rsid w:val="00677AEB"/>
    <w:rsid w:val="00680EF2"/>
    <w:rsid w:val="006816F1"/>
    <w:rsid w:val="00684DEE"/>
    <w:rsid w:val="00687A1D"/>
    <w:rsid w:val="0069117A"/>
    <w:rsid w:val="006925F9"/>
    <w:rsid w:val="00695965"/>
    <w:rsid w:val="00697EA1"/>
    <w:rsid w:val="006A16A3"/>
    <w:rsid w:val="006A2646"/>
    <w:rsid w:val="006A416D"/>
    <w:rsid w:val="006A5922"/>
    <w:rsid w:val="006A6530"/>
    <w:rsid w:val="006B01AA"/>
    <w:rsid w:val="006B3571"/>
    <w:rsid w:val="006B435A"/>
    <w:rsid w:val="006B4C64"/>
    <w:rsid w:val="006B747E"/>
    <w:rsid w:val="006C5B64"/>
    <w:rsid w:val="006C65F4"/>
    <w:rsid w:val="006D4835"/>
    <w:rsid w:val="006D6BD5"/>
    <w:rsid w:val="006E14D9"/>
    <w:rsid w:val="006E481A"/>
    <w:rsid w:val="006E5298"/>
    <w:rsid w:val="006F0CEA"/>
    <w:rsid w:val="006F3650"/>
    <w:rsid w:val="006F4A78"/>
    <w:rsid w:val="006F734A"/>
    <w:rsid w:val="00700D83"/>
    <w:rsid w:val="00701E48"/>
    <w:rsid w:val="00704852"/>
    <w:rsid w:val="0070597F"/>
    <w:rsid w:val="007074E9"/>
    <w:rsid w:val="00713DA4"/>
    <w:rsid w:val="00714BF1"/>
    <w:rsid w:val="00717C2C"/>
    <w:rsid w:val="00721383"/>
    <w:rsid w:val="00723462"/>
    <w:rsid w:val="0073158B"/>
    <w:rsid w:val="007333CC"/>
    <w:rsid w:val="0073399A"/>
    <w:rsid w:val="007344C3"/>
    <w:rsid w:val="007416E7"/>
    <w:rsid w:val="007603F5"/>
    <w:rsid w:val="00762691"/>
    <w:rsid w:val="00764DB0"/>
    <w:rsid w:val="0076764D"/>
    <w:rsid w:val="00770E2F"/>
    <w:rsid w:val="0077498C"/>
    <w:rsid w:val="00777C53"/>
    <w:rsid w:val="007809BC"/>
    <w:rsid w:val="007813D4"/>
    <w:rsid w:val="00781A30"/>
    <w:rsid w:val="00781FA6"/>
    <w:rsid w:val="00784128"/>
    <w:rsid w:val="00787113"/>
    <w:rsid w:val="00787BCC"/>
    <w:rsid w:val="00793173"/>
    <w:rsid w:val="00797E25"/>
    <w:rsid w:val="007A2A33"/>
    <w:rsid w:val="007B0809"/>
    <w:rsid w:val="007B0B63"/>
    <w:rsid w:val="007B1D66"/>
    <w:rsid w:val="007B4C68"/>
    <w:rsid w:val="007B5C89"/>
    <w:rsid w:val="007C0CA0"/>
    <w:rsid w:val="007C1FCC"/>
    <w:rsid w:val="007C6201"/>
    <w:rsid w:val="007D0192"/>
    <w:rsid w:val="007D7C92"/>
    <w:rsid w:val="007E1154"/>
    <w:rsid w:val="007E12B1"/>
    <w:rsid w:val="007E4661"/>
    <w:rsid w:val="007E62D9"/>
    <w:rsid w:val="007E6BA4"/>
    <w:rsid w:val="007F12AB"/>
    <w:rsid w:val="007F41F8"/>
    <w:rsid w:val="007F659B"/>
    <w:rsid w:val="0080454E"/>
    <w:rsid w:val="00804C32"/>
    <w:rsid w:val="00805305"/>
    <w:rsid w:val="00806302"/>
    <w:rsid w:val="00807119"/>
    <w:rsid w:val="00814552"/>
    <w:rsid w:val="0082483F"/>
    <w:rsid w:val="00826444"/>
    <w:rsid w:val="008279C0"/>
    <w:rsid w:val="00834F92"/>
    <w:rsid w:val="0083604B"/>
    <w:rsid w:val="00842DFD"/>
    <w:rsid w:val="00847307"/>
    <w:rsid w:val="0086151B"/>
    <w:rsid w:val="008678BC"/>
    <w:rsid w:val="008723F3"/>
    <w:rsid w:val="00874764"/>
    <w:rsid w:val="008760B1"/>
    <w:rsid w:val="00881DE6"/>
    <w:rsid w:val="008837A6"/>
    <w:rsid w:val="0089145D"/>
    <w:rsid w:val="00891F7D"/>
    <w:rsid w:val="00895EF1"/>
    <w:rsid w:val="0089686A"/>
    <w:rsid w:val="008A4DF2"/>
    <w:rsid w:val="008A6CFE"/>
    <w:rsid w:val="008A771D"/>
    <w:rsid w:val="008B4F15"/>
    <w:rsid w:val="008B5333"/>
    <w:rsid w:val="008B6223"/>
    <w:rsid w:val="008C2A55"/>
    <w:rsid w:val="008C5502"/>
    <w:rsid w:val="008C66E0"/>
    <w:rsid w:val="008D43B7"/>
    <w:rsid w:val="008D5CAC"/>
    <w:rsid w:val="008E2C91"/>
    <w:rsid w:val="008E3339"/>
    <w:rsid w:val="008E75B8"/>
    <w:rsid w:val="008F20FC"/>
    <w:rsid w:val="008F4D8C"/>
    <w:rsid w:val="008F5FFE"/>
    <w:rsid w:val="008F7F50"/>
    <w:rsid w:val="00902FA7"/>
    <w:rsid w:val="00905A43"/>
    <w:rsid w:val="00907124"/>
    <w:rsid w:val="00910439"/>
    <w:rsid w:val="00910B52"/>
    <w:rsid w:val="00912C79"/>
    <w:rsid w:val="00913253"/>
    <w:rsid w:val="0091658B"/>
    <w:rsid w:val="00921B8C"/>
    <w:rsid w:val="0092565E"/>
    <w:rsid w:val="00931468"/>
    <w:rsid w:val="0093467C"/>
    <w:rsid w:val="00942123"/>
    <w:rsid w:val="00946137"/>
    <w:rsid w:val="0095207B"/>
    <w:rsid w:val="00952D6E"/>
    <w:rsid w:val="00962045"/>
    <w:rsid w:val="00962914"/>
    <w:rsid w:val="00963923"/>
    <w:rsid w:val="009650E2"/>
    <w:rsid w:val="0098068A"/>
    <w:rsid w:val="00980E61"/>
    <w:rsid w:val="00981513"/>
    <w:rsid w:val="00991428"/>
    <w:rsid w:val="00992676"/>
    <w:rsid w:val="00994491"/>
    <w:rsid w:val="009954B2"/>
    <w:rsid w:val="00996691"/>
    <w:rsid w:val="009B0723"/>
    <w:rsid w:val="009B07AD"/>
    <w:rsid w:val="009B0883"/>
    <w:rsid w:val="009B15E2"/>
    <w:rsid w:val="009B366C"/>
    <w:rsid w:val="009B4976"/>
    <w:rsid w:val="009B564C"/>
    <w:rsid w:val="009B70B8"/>
    <w:rsid w:val="009C0B8E"/>
    <w:rsid w:val="009C1BC8"/>
    <w:rsid w:val="009C2442"/>
    <w:rsid w:val="009C723F"/>
    <w:rsid w:val="009D04E5"/>
    <w:rsid w:val="009D0811"/>
    <w:rsid w:val="009D0EE1"/>
    <w:rsid w:val="009D5B73"/>
    <w:rsid w:val="009D6913"/>
    <w:rsid w:val="009D74DA"/>
    <w:rsid w:val="009E1562"/>
    <w:rsid w:val="009E2AEB"/>
    <w:rsid w:val="009E2E27"/>
    <w:rsid w:val="009E45DF"/>
    <w:rsid w:val="009E4DE3"/>
    <w:rsid w:val="009F0BE1"/>
    <w:rsid w:val="009F275E"/>
    <w:rsid w:val="00A024E7"/>
    <w:rsid w:val="00A047EE"/>
    <w:rsid w:val="00A04D79"/>
    <w:rsid w:val="00A2274A"/>
    <w:rsid w:val="00A235B7"/>
    <w:rsid w:val="00A27A7A"/>
    <w:rsid w:val="00A3110A"/>
    <w:rsid w:val="00A3165E"/>
    <w:rsid w:val="00A3320D"/>
    <w:rsid w:val="00A34ABE"/>
    <w:rsid w:val="00A407EF"/>
    <w:rsid w:val="00A43034"/>
    <w:rsid w:val="00A43EAB"/>
    <w:rsid w:val="00A44C25"/>
    <w:rsid w:val="00A46B4C"/>
    <w:rsid w:val="00A47A3C"/>
    <w:rsid w:val="00A50AF5"/>
    <w:rsid w:val="00A5117B"/>
    <w:rsid w:val="00A56D34"/>
    <w:rsid w:val="00A60074"/>
    <w:rsid w:val="00A61967"/>
    <w:rsid w:val="00A620E2"/>
    <w:rsid w:val="00A64CBE"/>
    <w:rsid w:val="00A6627C"/>
    <w:rsid w:val="00A71019"/>
    <w:rsid w:val="00A72C88"/>
    <w:rsid w:val="00A72CD6"/>
    <w:rsid w:val="00A75E2A"/>
    <w:rsid w:val="00A81029"/>
    <w:rsid w:val="00A82B32"/>
    <w:rsid w:val="00A835D3"/>
    <w:rsid w:val="00A87775"/>
    <w:rsid w:val="00A94F58"/>
    <w:rsid w:val="00A95463"/>
    <w:rsid w:val="00A959F9"/>
    <w:rsid w:val="00A96489"/>
    <w:rsid w:val="00A973E5"/>
    <w:rsid w:val="00AA0280"/>
    <w:rsid w:val="00AA0AF7"/>
    <w:rsid w:val="00AA201C"/>
    <w:rsid w:val="00AA5AC9"/>
    <w:rsid w:val="00AA7BE3"/>
    <w:rsid w:val="00AB1B65"/>
    <w:rsid w:val="00AB2425"/>
    <w:rsid w:val="00AB3F30"/>
    <w:rsid w:val="00AB685C"/>
    <w:rsid w:val="00AB6C2D"/>
    <w:rsid w:val="00AC08F7"/>
    <w:rsid w:val="00AC3839"/>
    <w:rsid w:val="00AC7082"/>
    <w:rsid w:val="00AD21E9"/>
    <w:rsid w:val="00AD4BE8"/>
    <w:rsid w:val="00AD6CAC"/>
    <w:rsid w:val="00AD7097"/>
    <w:rsid w:val="00AF228E"/>
    <w:rsid w:val="00AF633A"/>
    <w:rsid w:val="00B016A8"/>
    <w:rsid w:val="00B01E81"/>
    <w:rsid w:val="00B10961"/>
    <w:rsid w:val="00B12878"/>
    <w:rsid w:val="00B129F7"/>
    <w:rsid w:val="00B14819"/>
    <w:rsid w:val="00B15E2F"/>
    <w:rsid w:val="00B17AA9"/>
    <w:rsid w:val="00B27E6E"/>
    <w:rsid w:val="00B330C4"/>
    <w:rsid w:val="00B41154"/>
    <w:rsid w:val="00B44713"/>
    <w:rsid w:val="00B50368"/>
    <w:rsid w:val="00B53EB8"/>
    <w:rsid w:val="00B56103"/>
    <w:rsid w:val="00B57E83"/>
    <w:rsid w:val="00B64929"/>
    <w:rsid w:val="00B705BA"/>
    <w:rsid w:val="00B736DF"/>
    <w:rsid w:val="00B743D6"/>
    <w:rsid w:val="00B74FBD"/>
    <w:rsid w:val="00B76D00"/>
    <w:rsid w:val="00B77B19"/>
    <w:rsid w:val="00B77F2D"/>
    <w:rsid w:val="00B77F46"/>
    <w:rsid w:val="00B809BD"/>
    <w:rsid w:val="00B82586"/>
    <w:rsid w:val="00B82983"/>
    <w:rsid w:val="00B829A3"/>
    <w:rsid w:val="00B86DB1"/>
    <w:rsid w:val="00B87869"/>
    <w:rsid w:val="00B9639B"/>
    <w:rsid w:val="00B97502"/>
    <w:rsid w:val="00BB0F2B"/>
    <w:rsid w:val="00BB2520"/>
    <w:rsid w:val="00BD0538"/>
    <w:rsid w:val="00BD203B"/>
    <w:rsid w:val="00BD4A58"/>
    <w:rsid w:val="00BD7337"/>
    <w:rsid w:val="00BE4FF3"/>
    <w:rsid w:val="00BF50F7"/>
    <w:rsid w:val="00C00C4C"/>
    <w:rsid w:val="00C02F29"/>
    <w:rsid w:val="00C05A9F"/>
    <w:rsid w:val="00C06C72"/>
    <w:rsid w:val="00C20AFE"/>
    <w:rsid w:val="00C21E81"/>
    <w:rsid w:val="00C22A25"/>
    <w:rsid w:val="00C2337B"/>
    <w:rsid w:val="00C35671"/>
    <w:rsid w:val="00C35B77"/>
    <w:rsid w:val="00C362AA"/>
    <w:rsid w:val="00C376EB"/>
    <w:rsid w:val="00C37D94"/>
    <w:rsid w:val="00C452BC"/>
    <w:rsid w:val="00C46A92"/>
    <w:rsid w:val="00C46EC1"/>
    <w:rsid w:val="00C51EA5"/>
    <w:rsid w:val="00C52796"/>
    <w:rsid w:val="00C53E2C"/>
    <w:rsid w:val="00C550C8"/>
    <w:rsid w:val="00C5670B"/>
    <w:rsid w:val="00C56B61"/>
    <w:rsid w:val="00C606C3"/>
    <w:rsid w:val="00C620F4"/>
    <w:rsid w:val="00C651D6"/>
    <w:rsid w:val="00C72848"/>
    <w:rsid w:val="00C7736C"/>
    <w:rsid w:val="00C82D87"/>
    <w:rsid w:val="00C83E87"/>
    <w:rsid w:val="00C8712A"/>
    <w:rsid w:val="00C87E0A"/>
    <w:rsid w:val="00C902C8"/>
    <w:rsid w:val="00C919D1"/>
    <w:rsid w:val="00C94B4F"/>
    <w:rsid w:val="00C963D3"/>
    <w:rsid w:val="00CA207D"/>
    <w:rsid w:val="00CA6EF3"/>
    <w:rsid w:val="00CB1983"/>
    <w:rsid w:val="00CB1AA2"/>
    <w:rsid w:val="00CB2CBB"/>
    <w:rsid w:val="00CB5893"/>
    <w:rsid w:val="00CB5B01"/>
    <w:rsid w:val="00CB6578"/>
    <w:rsid w:val="00CB7CAC"/>
    <w:rsid w:val="00CC4818"/>
    <w:rsid w:val="00CC5335"/>
    <w:rsid w:val="00CC5BA4"/>
    <w:rsid w:val="00CD41B7"/>
    <w:rsid w:val="00CD4998"/>
    <w:rsid w:val="00CD7247"/>
    <w:rsid w:val="00CD7383"/>
    <w:rsid w:val="00CE0ECD"/>
    <w:rsid w:val="00CE1035"/>
    <w:rsid w:val="00CE19AB"/>
    <w:rsid w:val="00CE2F5F"/>
    <w:rsid w:val="00CE6E50"/>
    <w:rsid w:val="00CE7C7B"/>
    <w:rsid w:val="00CF2819"/>
    <w:rsid w:val="00CF4F9D"/>
    <w:rsid w:val="00CF70DC"/>
    <w:rsid w:val="00D041E0"/>
    <w:rsid w:val="00D04AFE"/>
    <w:rsid w:val="00D06A30"/>
    <w:rsid w:val="00D14336"/>
    <w:rsid w:val="00D146F5"/>
    <w:rsid w:val="00D148DC"/>
    <w:rsid w:val="00D17FDC"/>
    <w:rsid w:val="00D21021"/>
    <w:rsid w:val="00D2195A"/>
    <w:rsid w:val="00D21D8C"/>
    <w:rsid w:val="00D316F2"/>
    <w:rsid w:val="00D34584"/>
    <w:rsid w:val="00D37F66"/>
    <w:rsid w:val="00D50922"/>
    <w:rsid w:val="00D53719"/>
    <w:rsid w:val="00D56175"/>
    <w:rsid w:val="00D5701A"/>
    <w:rsid w:val="00D5792B"/>
    <w:rsid w:val="00D61CC1"/>
    <w:rsid w:val="00D63EFD"/>
    <w:rsid w:val="00D728E2"/>
    <w:rsid w:val="00D84752"/>
    <w:rsid w:val="00D86B3B"/>
    <w:rsid w:val="00D8748A"/>
    <w:rsid w:val="00D93196"/>
    <w:rsid w:val="00D9565D"/>
    <w:rsid w:val="00DA0DC0"/>
    <w:rsid w:val="00DA0FAB"/>
    <w:rsid w:val="00DA1D45"/>
    <w:rsid w:val="00DA508C"/>
    <w:rsid w:val="00DB243C"/>
    <w:rsid w:val="00DB482A"/>
    <w:rsid w:val="00DB50FB"/>
    <w:rsid w:val="00DB56F2"/>
    <w:rsid w:val="00DB6EF5"/>
    <w:rsid w:val="00DC3089"/>
    <w:rsid w:val="00DC359F"/>
    <w:rsid w:val="00DC4420"/>
    <w:rsid w:val="00DC685D"/>
    <w:rsid w:val="00DC7290"/>
    <w:rsid w:val="00DD031C"/>
    <w:rsid w:val="00DD0802"/>
    <w:rsid w:val="00DD1B7A"/>
    <w:rsid w:val="00DD2E11"/>
    <w:rsid w:val="00DE03AF"/>
    <w:rsid w:val="00DE121C"/>
    <w:rsid w:val="00DE5357"/>
    <w:rsid w:val="00DE5951"/>
    <w:rsid w:val="00DE6633"/>
    <w:rsid w:val="00DE7E9B"/>
    <w:rsid w:val="00DF158F"/>
    <w:rsid w:val="00DF75F8"/>
    <w:rsid w:val="00DF7A3A"/>
    <w:rsid w:val="00E00C00"/>
    <w:rsid w:val="00E01803"/>
    <w:rsid w:val="00E03927"/>
    <w:rsid w:val="00E06AF1"/>
    <w:rsid w:val="00E07C5A"/>
    <w:rsid w:val="00E12FF0"/>
    <w:rsid w:val="00E15BA9"/>
    <w:rsid w:val="00E17274"/>
    <w:rsid w:val="00E21D08"/>
    <w:rsid w:val="00E26E10"/>
    <w:rsid w:val="00E26E19"/>
    <w:rsid w:val="00E30E60"/>
    <w:rsid w:val="00E31DF3"/>
    <w:rsid w:val="00E3250B"/>
    <w:rsid w:val="00E41578"/>
    <w:rsid w:val="00E416A9"/>
    <w:rsid w:val="00E421C6"/>
    <w:rsid w:val="00E450A4"/>
    <w:rsid w:val="00E506BE"/>
    <w:rsid w:val="00E55547"/>
    <w:rsid w:val="00E6302B"/>
    <w:rsid w:val="00E6452F"/>
    <w:rsid w:val="00E64F45"/>
    <w:rsid w:val="00E6742D"/>
    <w:rsid w:val="00E71CB0"/>
    <w:rsid w:val="00E77BF3"/>
    <w:rsid w:val="00E77C3D"/>
    <w:rsid w:val="00E832FA"/>
    <w:rsid w:val="00E84528"/>
    <w:rsid w:val="00E8654A"/>
    <w:rsid w:val="00E86C6B"/>
    <w:rsid w:val="00E90991"/>
    <w:rsid w:val="00E909F0"/>
    <w:rsid w:val="00E90D47"/>
    <w:rsid w:val="00E93993"/>
    <w:rsid w:val="00E9491A"/>
    <w:rsid w:val="00E9597C"/>
    <w:rsid w:val="00EA0913"/>
    <w:rsid w:val="00EA5B00"/>
    <w:rsid w:val="00EA78AC"/>
    <w:rsid w:val="00EB146B"/>
    <w:rsid w:val="00EB45AC"/>
    <w:rsid w:val="00EC441F"/>
    <w:rsid w:val="00EC4755"/>
    <w:rsid w:val="00ED0BC4"/>
    <w:rsid w:val="00ED205B"/>
    <w:rsid w:val="00ED447D"/>
    <w:rsid w:val="00ED6381"/>
    <w:rsid w:val="00ED738F"/>
    <w:rsid w:val="00ED74BC"/>
    <w:rsid w:val="00EE25FF"/>
    <w:rsid w:val="00EE4971"/>
    <w:rsid w:val="00EF090E"/>
    <w:rsid w:val="00EF5572"/>
    <w:rsid w:val="00F004CF"/>
    <w:rsid w:val="00F03051"/>
    <w:rsid w:val="00F033DA"/>
    <w:rsid w:val="00F04552"/>
    <w:rsid w:val="00F13691"/>
    <w:rsid w:val="00F13FB1"/>
    <w:rsid w:val="00F16802"/>
    <w:rsid w:val="00F22808"/>
    <w:rsid w:val="00F22C89"/>
    <w:rsid w:val="00F27CD8"/>
    <w:rsid w:val="00F30351"/>
    <w:rsid w:val="00F3323E"/>
    <w:rsid w:val="00F341F4"/>
    <w:rsid w:val="00F34F9D"/>
    <w:rsid w:val="00F35CCE"/>
    <w:rsid w:val="00F4313D"/>
    <w:rsid w:val="00F5524B"/>
    <w:rsid w:val="00F5586A"/>
    <w:rsid w:val="00F60538"/>
    <w:rsid w:val="00F61DD2"/>
    <w:rsid w:val="00F66AFF"/>
    <w:rsid w:val="00F70AD2"/>
    <w:rsid w:val="00F71433"/>
    <w:rsid w:val="00F7439B"/>
    <w:rsid w:val="00F74657"/>
    <w:rsid w:val="00F81299"/>
    <w:rsid w:val="00F84270"/>
    <w:rsid w:val="00F92140"/>
    <w:rsid w:val="00F97C5B"/>
    <w:rsid w:val="00FA3D50"/>
    <w:rsid w:val="00FA66C1"/>
    <w:rsid w:val="00FB20A4"/>
    <w:rsid w:val="00FB7FBD"/>
    <w:rsid w:val="00FC094C"/>
    <w:rsid w:val="00FC374A"/>
    <w:rsid w:val="00FC4116"/>
    <w:rsid w:val="00FC43EC"/>
    <w:rsid w:val="00FC6583"/>
    <w:rsid w:val="00FC7AC7"/>
    <w:rsid w:val="00FC7B47"/>
    <w:rsid w:val="00FC7DBC"/>
    <w:rsid w:val="00FD035C"/>
    <w:rsid w:val="00FD1A35"/>
    <w:rsid w:val="00FD2EA4"/>
    <w:rsid w:val="00FD36C5"/>
    <w:rsid w:val="00FD6310"/>
    <w:rsid w:val="00FD7C7B"/>
    <w:rsid w:val="00FE1D12"/>
    <w:rsid w:val="00FE2122"/>
    <w:rsid w:val="00FE2A86"/>
    <w:rsid w:val="00FE2DE2"/>
    <w:rsid w:val="00FE45A4"/>
    <w:rsid w:val="00FE4ADA"/>
    <w:rsid w:val="00FE5DB8"/>
    <w:rsid w:val="00FF296F"/>
    <w:rsid w:val="00FF3B93"/>
    <w:rsid w:val="00FF44C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17</Pages>
  <Words>5972</Words>
  <Characters>32255</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lastModifiedBy>
  <cp:revision>298</cp:revision>
  <cp:lastPrinted>2019-08-27T05:42:00Z</cp:lastPrinted>
  <dcterms:created xsi:type="dcterms:W3CDTF">2022-07-01T09:50:00Z</dcterms:created>
  <dcterms:modified xsi:type="dcterms:W3CDTF">2023-03-01T16:59:00Z</dcterms:modified>
</cp:coreProperties>
</file>