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PargrafodaLista"/>
        <w:numPr>
          <w:ilvl w:val="0"/>
          <w:numId w:val="12"/>
        </w:numPr>
        <w:ind w:left="426"/>
        <w:jc w:val="both"/>
        <w:rPr>
          <w:rFonts w:ascii="Avenir Next" w:hAnsi="Avenir Next" w:cs="Arial"/>
          <w:sz w:val="22"/>
          <w:szCs w:val="22"/>
          <w:lang w:val="en-GB"/>
        </w:rPr>
      </w:pPr>
      <w:r w:rsidRPr="009E358A">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5E3530">
        <w:rPr>
          <w:rFonts w:ascii="Avenir Next" w:hAnsi="Avenir Next" w:cs="Arial"/>
          <w:sz w:val="22"/>
          <w:szCs w:val="22"/>
          <w:highlight w:val="yellow"/>
          <w:lang w:val="en-GB"/>
        </w:rPr>
        <w:t>The difficulty of agreeing multilateral treaties dealing with insolvency law</w:t>
      </w:r>
      <w:r w:rsidRPr="00E2622D">
        <w:rPr>
          <w:rFonts w:ascii="Avenir Next" w:hAnsi="Avenir Next" w:cs="Arial"/>
          <w:sz w:val="22"/>
          <w:szCs w:val="22"/>
          <w:lang w:val="en-GB"/>
        </w:rPr>
        <w:t>.</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PargrafodaLista"/>
        <w:numPr>
          <w:ilvl w:val="0"/>
          <w:numId w:val="14"/>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PargrafodaLista"/>
        <w:numPr>
          <w:ilvl w:val="0"/>
          <w:numId w:val="16"/>
        </w:numPr>
        <w:ind w:left="426"/>
        <w:jc w:val="both"/>
        <w:rPr>
          <w:rFonts w:ascii="Avenir Next" w:hAnsi="Avenir Next" w:cs="Arial"/>
          <w:sz w:val="22"/>
          <w:szCs w:val="22"/>
          <w:lang w:val="en-GB"/>
        </w:rPr>
      </w:pPr>
      <w:r w:rsidRPr="00CF40E4">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PargrafodaLista"/>
        <w:numPr>
          <w:ilvl w:val="0"/>
          <w:numId w:val="18"/>
        </w:numPr>
        <w:ind w:left="426"/>
        <w:jc w:val="both"/>
        <w:rPr>
          <w:rFonts w:ascii="Avenir Next" w:hAnsi="Avenir Next" w:cs="Arial"/>
          <w:sz w:val="22"/>
          <w:szCs w:val="22"/>
          <w:lang w:val="en-GB"/>
        </w:rPr>
      </w:pPr>
      <w:r w:rsidRPr="003656D6">
        <w:rPr>
          <w:rFonts w:ascii="Avenir Next" w:hAnsi="Avenir Next" w:cs="Arial"/>
          <w:sz w:val="22"/>
          <w:szCs w:val="22"/>
          <w:highlight w:val="yellow"/>
          <w:lang w:val="en-GB"/>
        </w:rPr>
        <w:t>The public policy exception</w:t>
      </w:r>
      <w:r w:rsidRPr="00B77352">
        <w:rPr>
          <w:rFonts w:ascii="Avenir Next" w:hAnsi="Avenir Next" w:cs="Arial"/>
          <w:sz w:val="22"/>
          <w:szCs w:val="22"/>
          <w:lang w:val="en-GB"/>
        </w:rPr>
        <w:t>.</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PargrafodaLista"/>
        <w:numPr>
          <w:ilvl w:val="0"/>
          <w:numId w:val="20"/>
        </w:numPr>
        <w:ind w:left="426"/>
        <w:jc w:val="both"/>
        <w:rPr>
          <w:rFonts w:ascii="Avenir Next" w:hAnsi="Avenir Next" w:cs="Arial"/>
          <w:sz w:val="22"/>
          <w:szCs w:val="22"/>
          <w:lang w:val="en-GB"/>
        </w:rPr>
      </w:pPr>
      <w:r w:rsidRPr="00874467">
        <w:rPr>
          <w:rFonts w:ascii="Avenir Next" w:hAnsi="Avenir Next" w:cs="Arial"/>
          <w:sz w:val="22"/>
          <w:szCs w:val="22"/>
          <w:highlight w:val="yellow"/>
          <w:lang w:val="en-GB"/>
        </w:rPr>
        <w:t xml:space="preserve">Both the foreign main proceedings in South Africa and the foreign non-main proceedings in </w:t>
      </w:r>
      <w:r w:rsidR="004137C3" w:rsidRPr="00874467">
        <w:rPr>
          <w:rFonts w:ascii="Avenir Next" w:hAnsi="Avenir Next" w:cs="Arial"/>
          <w:sz w:val="22"/>
          <w:szCs w:val="22"/>
          <w:highlight w:val="yellow"/>
          <w:lang w:val="en-GB"/>
        </w:rPr>
        <w:t xml:space="preserve">Argentina </w:t>
      </w:r>
      <w:r w:rsidRPr="00874467">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114082">
      <w:pPr>
        <w:pStyle w:val="PargrafodaLista"/>
        <w:numPr>
          <w:ilvl w:val="0"/>
          <w:numId w:val="26"/>
        </w:numPr>
        <w:ind w:left="426"/>
        <w:jc w:val="both"/>
        <w:rPr>
          <w:rFonts w:ascii="Avenir Next" w:hAnsi="Avenir Next" w:cs="Arial"/>
          <w:sz w:val="22"/>
          <w:szCs w:val="22"/>
          <w:lang w:val="en-GB"/>
        </w:rPr>
      </w:pPr>
      <w:r w:rsidRPr="00E47D7C">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47D7C">
        <w:rPr>
          <w:rFonts w:ascii="Avenir Next" w:hAnsi="Avenir Next" w:cs="Arial"/>
          <w:sz w:val="22"/>
          <w:szCs w:val="22"/>
          <w:highlight w:val="yellow"/>
          <w:lang w:val="en-GB"/>
        </w:rPr>
        <w:t>will</w:t>
      </w:r>
      <w:r w:rsidRPr="00E47D7C">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PargrafodaLista"/>
        <w:numPr>
          <w:ilvl w:val="0"/>
          <w:numId w:val="27"/>
        </w:numPr>
        <w:ind w:left="426"/>
        <w:jc w:val="both"/>
        <w:rPr>
          <w:rFonts w:ascii="Avenir Next" w:hAnsi="Avenir Next" w:cs="Arial"/>
          <w:sz w:val="22"/>
          <w:szCs w:val="22"/>
          <w:lang w:val="en-GB"/>
        </w:rPr>
      </w:pPr>
      <w:r w:rsidRPr="00A45B5E">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436884">
      <w:pPr>
        <w:pStyle w:val="PargrafodaLista"/>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60F1F">
        <w:rPr>
          <w:rFonts w:ascii="Avenir Next" w:hAnsi="Avenir Next" w:cs="Arial"/>
          <w:sz w:val="22"/>
          <w:szCs w:val="22"/>
          <w:highlight w:val="yellow"/>
          <w:lang w:val="en-GB"/>
        </w:rPr>
        <w:t>COMI is not a defined term in the Model Law</w:t>
      </w:r>
      <w:r w:rsidRPr="00E2622D">
        <w:rPr>
          <w:rFonts w:ascii="Avenir Next" w:hAnsi="Avenir Next" w:cs="Arial"/>
          <w:sz w:val="22"/>
          <w:szCs w:val="22"/>
          <w:lang w:val="en-GB"/>
        </w:rPr>
        <w:t>.</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PargrafodaLista"/>
        <w:numPr>
          <w:ilvl w:val="0"/>
          <w:numId w:val="2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PargrafodaLista"/>
        <w:numPr>
          <w:ilvl w:val="0"/>
          <w:numId w:val="29"/>
        </w:numPr>
        <w:ind w:left="426"/>
        <w:jc w:val="both"/>
        <w:rPr>
          <w:rFonts w:ascii="Avenir Next" w:hAnsi="Avenir Next" w:cs="Arial"/>
          <w:sz w:val="22"/>
          <w:szCs w:val="22"/>
          <w:lang w:val="en-GB"/>
        </w:rPr>
      </w:pPr>
      <w:r w:rsidRPr="0018610A">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PargrafodaLista"/>
        <w:numPr>
          <w:ilvl w:val="0"/>
          <w:numId w:val="30"/>
        </w:numPr>
        <w:ind w:left="426"/>
        <w:jc w:val="both"/>
        <w:rPr>
          <w:rFonts w:ascii="Avenir Next" w:hAnsi="Avenir Next" w:cs="Arial"/>
          <w:sz w:val="22"/>
          <w:szCs w:val="22"/>
          <w:lang w:val="en-GB"/>
        </w:rPr>
      </w:pPr>
      <w:r w:rsidRPr="007A3C75">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argrafoda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6EB256B3" w:rsidR="00436884" w:rsidRPr="00C16D71"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3A13E43" w14:textId="77777777" w:rsidR="00C16D71" w:rsidRPr="00910ACC" w:rsidRDefault="00C16D71" w:rsidP="00910ACC">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3E82258E" w:rsidR="00CB56CE" w:rsidRDefault="00330B01" w:rsidP="003F0E08">
      <w:pPr>
        <w:ind w:left="720" w:hanging="720"/>
        <w:jc w:val="both"/>
        <w:rPr>
          <w:rFonts w:ascii="Avenir Next" w:hAnsi="Avenir Next" w:cs="Arial"/>
          <w:color w:val="808080" w:themeColor="background1" w:themeShade="80"/>
          <w:sz w:val="22"/>
          <w:szCs w:val="22"/>
          <w:lang w:val="en-GB"/>
        </w:rPr>
      </w:pPr>
      <w:r w:rsidRPr="00330B01">
        <w:rPr>
          <w:rFonts w:ascii="Avenir Next" w:hAnsi="Avenir Next" w:cs="Arial"/>
          <w:color w:val="808080" w:themeColor="background1" w:themeShade="80"/>
          <w:sz w:val="22"/>
          <w:szCs w:val="22"/>
          <w:lang w:val="en-GB"/>
        </w:rPr>
        <w:t>DECLERCQ</w:t>
      </w:r>
      <w:r w:rsidRPr="00330B01">
        <w:rPr>
          <w:rStyle w:val="Refdenotaderodap"/>
          <w:rFonts w:ascii="Avenir Next" w:hAnsi="Avenir Next" w:cs="Arial"/>
          <w:color w:val="808080" w:themeColor="background1" w:themeShade="80"/>
          <w:sz w:val="22"/>
          <w:szCs w:val="22"/>
          <w:vertAlign w:val="baseline"/>
          <w:lang w:val="en-GB"/>
        </w:rPr>
        <w:t xml:space="preserve"> </w:t>
      </w:r>
      <w:r w:rsidR="003F0E08">
        <w:rPr>
          <w:rFonts w:ascii="Avenir Next" w:hAnsi="Avenir Next" w:cs="Arial"/>
          <w:color w:val="808080" w:themeColor="background1" w:themeShade="80"/>
          <w:sz w:val="22"/>
          <w:szCs w:val="22"/>
          <w:lang w:val="en-GB"/>
        </w:rPr>
        <w:t>points out that “[t]</w:t>
      </w:r>
      <w:r w:rsidR="003F0E08" w:rsidRPr="003F0E08">
        <w:rPr>
          <w:rFonts w:ascii="Avenir Next" w:hAnsi="Avenir Next" w:cs="Arial"/>
          <w:color w:val="808080" w:themeColor="background1" w:themeShade="80"/>
          <w:sz w:val="22"/>
          <w:szCs w:val="22"/>
          <w:lang w:val="en-GB"/>
        </w:rPr>
        <w:t>he appropriate date for determining the COMI, or whether an establishment exists, is the date</w:t>
      </w:r>
      <w:r w:rsidR="003F0E08">
        <w:rPr>
          <w:rFonts w:ascii="Avenir Next" w:hAnsi="Avenir Next" w:cs="Arial"/>
          <w:color w:val="808080" w:themeColor="background1" w:themeShade="80"/>
          <w:sz w:val="22"/>
          <w:szCs w:val="22"/>
          <w:lang w:val="en-GB"/>
        </w:rPr>
        <w:t xml:space="preserve"> </w:t>
      </w:r>
      <w:r w:rsidR="003F0E08" w:rsidRPr="003F0E08">
        <w:rPr>
          <w:rFonts w:ascii="Avenir Next" w:hAnsi="Avenir Next" w:cs="Arial"/>
          <w:color w:val="808080" w:themeColor="background1" w:themeShade="80"/>
          <w:sz w:val="22"/>
          <w:szCs w:val="22"/>
          <w:lang w:val="en-GB"/>
        </w:rPr>
        <w:t>of commencement of the foreign proceeding</w:t>
      </w:r>
      <w:r w:rsidR="003F0E08">
        <w:rPr>
          <w:rFonts w:ascii="Avenir Next" w:hAnsi="Avenir Next" w:cs="Arial"/>
          <w:color w:val="808080" w:themeColor="background1" w:themeShade="80"/>
          <w:sz w:val="22"/>
          <w:szCs w:val="22"/>
          <w:lang w:val="en-GB"/>
        </w:rPr>
        <w:t>”</w:t>
      </w:r>
      <w:r w:rsidR="006A62A2">
        <w:rPr>
          <w:rFonts w:ascii="Avenir Next" w:hAnsi="Avenir Next" w:cs="Arial"/>
          <w:color w:val="808080" w:themeColor="background1" w:themeShade="80"/>
          <w:sz w:val="22"/>
          <w:szCs w:val="22"/>
          <w:lang w:val="en-GB"/>
        </w:rPr>
        <w:t>.</w:t>
      </w:r>
      <w:r w:rsidR="0032003A">
        <w:rPr>
          <w:rStyle w:val="Refdenotaderodap"/>
          <w:rFonts w:ascii="Avenir Next" w:hAnsi="Avenir Next" w:cs="Arial"/>
          <w:color w:val="808080" w:themeColor="background1" w:themeShade="80"/>
          <w:sz w:val="22"/>
          <w:szCs w:val="22"/>
          <w:lang w:val="en-GB"/>
        </w:rPr>
        <w:footnoteReference w:id="1"/>
      </w:r>
      <w:r w:rsidR="00A5202E">
        <w:rPr>
          <w:rFonts w:ascii="Avenir Next" w:hAnsi="Avenir Next" w:cs="Arial"/>
          <w:color w:val="808080" w:themeColor="background1" w:themeShade="80"/>
          <w:sz w:val="22"/>
          <w:szCs w:val="22"/>
          <w:lang w:val="en-GB"/>
        </w:rPr>
        <w:t xml:space="preserve"> According to the </w:t>
      </w:r>
      <w:r w:rsidR="00A5202E" w:rsidRPr="00A5202E">
        <w:rPr>
          <w:rFonts w:ascii="Avenir Next" w:hAnsi="Avenir Next" w:cs="Arial"/>
          <w:color w:val="808080" w:themeColor="background1" w:themeShade="80"/>
          <w:sz w:val="22"/>
          <w:szCs w:val="22"/>
          <w:lang w:val="en-GB"/>
        </w:rPr>
        <w:t>UNCITRAL Guide to Enactment</w:t>
      </w:r>
      <w:r w:rsidR="00A5202E">
        <w:rPr>
          <w:rFonts w:ascii="Avenir Next" w:hAnsi="Avenir Next" w:cs="Arial"/>
          <w:color w:val="808080" w:themeColor="background1" w:themeShade="80"/>
          <w:sz w:val="22"/>
          <w:szCs w:val="22"/>
          <w:lang w:val="en-GB"/>
        </w:rPr>
        <w:t>:</w:t>
      </w:r>
    </w:p>
    <w:p w14:paraId="5B134395" w14:textId="77777777" w:rsidR="00C76EB3" w:rsidRDefault="00C76EB3" w:rsidP="00707FC8">
      <w:pPr>
        <w:ind w:left="720" w:hanging="720"/>
        <w:jc w:val="both"/>
        <w:rPr>
          <w:rFonts w:ascii="Avenir Next" w:hAnsi="Avenir Next" w:cs="Arial"/>
          <w:color w:val="808080" w:themeColor="background1" w:themeShade="80"/>
          <w:sz w:val="22"/>
          <w:szCs w:val="22"/>
          <w:lang w:val="en-GB"/>
        </w:rPr>
      </w:pPr>
    </w:p>
    <w:p w14:paraId="6A2F0DE1" w14:textId="52247E46" w:rsidR="00C76EB3" w:rsidRDefault="00C5134E" w:rsidP="00C76EB3">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C76EB3" w:rsidRPr="00C76EB3">
        <w:rPr>
          <w:rFonts w:ascii="Avenir Next" w:hAnsi="Avenir Next" w:cs="Arial"/>
          <w:color w:val="808080" w:themeColor="background1" w:themeShade="80"/>
          <w:sz w:val="22"/>
          <w:szCs w:val="22"/>
          <w:lang w:val="en-GB"/>
        </w:rPr>
        <w:t>With respect to the date at which the centre of main interests of the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 xml:space="preserve">debtor </w:t>
      </w:r>
      <w:proofErr w:type="gramStart"/>
      <w:r w:rsidR="00C76EB3" w:rsidRPr="00C76EB3">
        <w:rPr>
          <w:rFonts w:ascii="Avenir Next" w:hAnsi="Avenir Next" w:cs="Arial"/>
          <w:color w:val="808080" w:themeColor="background1" w:themeShade="80"/>
          <w:sz w:val="22"/>
          <w:szCs w:val="22"/>
          <w:lang w:val="en-GB"/>
        </w:rPr>
        <w:t>should to</w:t>
      </w:r>
      <w:proofErr w:type="gramEnd"/>
      <w:r w:rsidR="00C76EB3" w:rsidRPr="00C76EB3">
        <w:rPr>
          <w:rFonts w:ascii="Avenir Next" w:hAnsi="Avenir Next" w:cs="Arial"/>
          <w:color w:val="808080" w:themeColor="background1" w:themeShade="80"/>
          <w:sz w:val="22"/>
          <w:szCs w:val="22"/>
          <w:lang w:val="en-GB"/>
        </w:rPr>
        <w:t xml:space="preserve"> be determined, having regard to the evidence required to</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accompany an application for recognition under article 15 and the relevance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accorded the decision commencing the foreign proceeding and appointing</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the foreign representative, the date of commencement of that proceeding is</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the appropriate date. Where the business activity of the debtor ceases after</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the commencement of the foreign proceeding, all that may exist at the time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of the application for recognition to indicate the debtor’s centre of main</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interests is that foreign proceeding and the activity of the foreign representative in administering the insolvency estate. In such a case, determination of</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the centre of the debtor’s main interests by reference to the date of the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commencement of those proceedings would produce a clear result. The same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reasoning may also apply in the case of reorganization where, under some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laws, it is not the debtor that continues to have a centre of main interests,</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but rather the reorganizing entity. In such a case, the requirement for a</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 xml:space="preserve">foreign proceeding that is taking place in accordance with article 17, subparagraph 2 (a) is clearly satisfied and </w:t>
      </w:r>
      <w:r w:rsidR="00C76EB3" w:rsidRPr="00C76EB3">
        <w:rPr>
          <w:rFonts w:ascii="Avenir Next" w:hAnsi="Avenir Next" w:cs="Arial"/>
          <w:color w:val="808080" w:themeColor="background1" w:themeShade="80"/>
          <w:sz w:val="22"/>
          <w:szCs w:val="22"/>
          <w:lang w:val="en-GB"/>
        </w:rPr>
        <w:lastRenderedPageBreak/>
        <w:t>the foreign proceeding should be</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entitled to recognition. Moreover, taking the date of commencement to determine centre of main interests provides a test that can be applied with certainty</w:t>
      </w:r>
      <w:r w:rsidR="00C76EB3">
        <w:rPr>
          <w:rFonts w:ascii="Avenir Next" w:hAnsi="Avenir Next" w:cs="Arial"/>
          <w:color w:val="808080" w:themeColor="background1" w:themeShade="80"/>
          <w:sz w:val="22"/>
          <w:szCs w:val="22"/>
          <w:lang w:val="en-GB"/>
        </w:rPr>
        <w:t xml:space="preserve"> </w:t>
      </w:r>
      <w:r w:rsidR="00C76EB3" w:rsidRPr="00C76EB3">
        <w:rPr>
          <w:rFonts w:ascii="Avenir Next" w:hAnsi="Avenir Next" w:cs="Arial"/>
          <w:color w:val="808080" w:themeColor="background1" w:themeShade="80"/>
          <w:sz w:val="22"/>
          <w:szCs w:val="22"/>
          <w:lang w:val="en-GB"/>
        </w:rPr>
        <w:t>to all insolvency proceedings</w:t>
      </w:r>
      <w:r>
        <w:rPr>
          <w:rFonts w:ascii="Avenir Next" w:hAnsi="Avenir Next" w:cs="Arial"/>
          <w:color w:val="808080" w:themeColor="background1" w:themeShade="80"/>
          <w:sz w:val="22"/>
          <w:szCs w:val="22"/>
          <w:lang w:val="en-GB"/>
        </w:rPr>
        <w:t>”</w:t>
      </w:r>
      <w:r w:rsidR="00C76EB3" w:rsidRPr="00C76EB3">
        <w:rPr>
          <w:rFonts w:ascii="Avenir Next" w:hAnsi="Avenir Next" w:cs="Arial"/>
          <w:color w:val="808080" w:themeColor="background1" w:themeShade="80"/>
          <w:sz w:val="22"/>
          <w:szCs w:val="22"/>
          <w:lang w:val="en-GB"/>
        </w:rPr>
        <w:t>.</w:t>
      </w:r>
      <w:r w:rsidR="00DA1674">
        <w:rPr>
          <w:rStyle w:val="Refdenotaderodap"/>
          <w:rFonts w:ascii="Avenir Next" w:hAnsi="Avenir Next" w:cs="Arial"/>
          <w:color w:val="808080" w:themeColor="background1" w:themeShade="80"/>
          <w:sz w:val="22"/>
          <w:szCs w:val="22"/>
          <w:lang w:val="en-GB"/>
        </w:rPr>
        <w:footnoteReference w:id="2"/>
      </w:r>
    </w:p>
    <w:p w14:paraId="28BB9B27" w14:textId="77777777" w:rsidR="006D56E9" w:rsidRPr="006D56E9" w:rsidRDefault="006D56E9" w:rsidP="006D56E9">
      <w:pPr>
        <w:jc w:val="both"/>
        <w:rPr>
          <w:rFonts w:ascii="Avenir Next" w:hAnsi="Avenir Next" w:cs="Arial"/>
          <w:color w:val="808080" w:themeColor="background1" w:themeShade="80"/>
          <w:sz w:val="22"/>
          <w:szCs w:val="22"/>
          <w:lang w:val="en-GB"/>
        </w:rPr>
      </w:pPr>
    </w:p>
    <w:p w14:paraId="079236D6" w14:textId="58A33DCE" w:rsidR="006D56E9" w:rsidRDefault="006D56E9" w:rsidP="00E160F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6D56E9">
        <w:rPr>
          <w:rFonts w:ascii="Avenir Next" w:hAnsi="Avenir Next" w:cs="Arial"/>
          <w:color w:val="808080" w:themeColor="background1" w:themeShade="80"/>
          <w:sz w:val="22"/>
          <w:szCs w:val="22"/>
          <w:lang w:val="en-GB"/>
        </w:rPr>
        <w:t xml:space="preserve">he </w:t>
      </w:r>
      <w:r w:rsidRPr="00A5202E">
        <w:rPr>
          <w:rFonts w:ascii="Avenir Next" w:hAnsi="Avenir Next" w:cs="Arial"/>
          <w:color w:val="808080" w:themeColor="background1" w:themeShade="80"/>
          <w:sz w:val="22"/>
          <w:szCs w:val="22"/>
          <w:lang w:val="en-GB"/>
        </w:rPr>
        <w:t>UNCITRAL Guide to Enactment</w:t>
      </w:r>
      <w:r w:rsidRPr="006D56E9">
        <w:rPr>
          <w:rFonts w:ascii="Avenir Next" w:hAnsi="Avenir Next" w:cs="Arial"/>
          <w:color w:val="808080" w:themeColor="background1" w:themeShade="80"/>
          <w:sz w:val="22"/>
          <w:szCs w:val="22"/>
          <w:lang w:val="en-GB"/>
        </w:rPr>
        <w:t xml:space="preserve"> </w:t>
      </w:r>
      <w:r w:rsidRPr="006D56E9">
        <w:rPr>
          <w:rFonts w:ascii="Avenir Next" w:hAnsi="Avenir Next" w:cs="Arial"/>
          <w:color w:val="808080" w:themeColor="background1" w:themeShade="80"/>
          <w:sz w:val="22"/>
          <w:szCs w:val="22"/>
          <w:lang w:val="en-GB"/>
        </w:rPr>
        <w:t>indicates that the same consideration is applicable in determining the existence of a debtor's establishment.</w:t>
      </w:r>
      <w:r>
        <w:rPr>
          <w:rStyle w:val="Refdenotaderodap"/>
          <w:rFonts w:ascii="Avenir Next" w:hAnsi="Avenir Next" w:cs="Arial"/>
          <w:color w:val="808080" w:themeColor="background1" w:themeShade="80"/>
          <w:sz w:val="22"/>
          <w:szCs w:val="22"/>
          <w:lang w:val="en-GB"/>
        </w:rPr>
        <w:footnoteReference w:id="3"/>
      </w:r>
    </w:p>
    <w:p w14:paraId="68FADB5E" w14:textId="77777777" w:rsidR="00E160F6" w:rsidRPr="00E160F6" w:rsidRDefault="00E160F6" w:rsidP="00946D73">
      <w:pPr>
        <w:jc w:val="both"/>
        <w:rPr>
          <w:rFonts w:ascii="Avenir Next" w:hAnsi="Avenir Next" w:cs="Arial"/>
          <w:color w:val="808080" w:themeColor="background1" w:themeShade="80"/>
          <w:sz w:val="22"/>
          <w:szCs w:val="22"/>
          <w:lang w:val="en-GB"/>
        </w:rPr>
      </w:pPr>
    </w:p>
    <w:p w14:paraId="76848B2A" w14:textId="3C8919F7" w:rsidR="00E160F6" w:rsidRDefault="00E160F6" w:rsidP="00E160F6">
      <w:pPr>
        <w:ind w:left="720" w:hanging="720"/>
        <w:jc w:val="both"/>
        <w:rPr>
          <w:rFonts w:ascii="Avenir Next" w:hAnsi="Avenir Next" w:cs="Arial"/>
          <w:color w:val="808080" w:themeColor="background1" w:themeShade="80"/>
          <w:sz w:val="22"/>
          <w:szCs w:val="22"/>
          <w:lang w:val="en-GB"/>
        </w:rPr>
      </w:pPr>
      <w:r w:rsidRPr="00E160F6">
        <w:rPr>
          <w:rFonts w:ascii="Avenir Next" w:hAnsi="Avenir Next" w:cs="Arial"/>
          <w:color w:val="808080" w:themeColor="background1" w:themeShade="80"/>
          <w:sz w:val="22"/>
          <w:szCs w:val="22"/>
          <w:lang w:val="en-GB"/>
        </w:rPr>
        <w:t xml:space="preserve">Considering that the COMI can move over time, especially near the </w:t>
      </w:r>
      <w:r>
        <w:rPr>
          <w:rFonts w:ascii="Avenir Next" w:hAnsi="Avenir Next" w:cs="Arial"/>
          <w:color w:val="808080" w:themeColor="background1" w:themeShade="80"/>
          <w:sz w:val="22"/>
          <w:szCs w:val="22"/>
          <w:lang w:val="en-GB"/>
        </w:rPr>
        <w:t>commencement</w:t>
      </w:r>
      <w:r w:rsidRPr="00E160F6">
        <w:rPr>
          <w:rFonts w:ascii="Avenir Next" w:hAnsi="Avenir Next" w:cs="Arial"/>
          <w:color w:val="808080" w:themeColor="background1" w:themeShade="80"/>
          <w:sz w:val="22"/>
          <w:szCs w:val="22"/>
          <w:lang w:val="en-GB"/>
        </w:rPr>
        <w:t xml:space="preserve"> of a foreign proceeding, it can be difficult to establish appropriate evidence, especially considering the factor that the COMI must be identifiable by the debtor's creditors.</w:t>
      </w:r>
      <w:r w:rsidR="00A515CB">
        <w:rPr>
          <w:rStyle w:val="Refdenotaderodap"/>
          <w:rFonts w:ascii="Avenir Next" w:hAnsi="Avenir Next" w:cs="Arial"/>
          <w:color w:val="808080" w:themeColor="background1" w:themeShade="80"/>
          <w:sz w:val="22"/>
          <w:szCs w:val="22"/>
          <w:lang w:val="en-GB"/>
        </w:rPr>
        <w:footnoteReference w:id="4"/>
      </w:r>
    </w:p>
    <w:p w14:paraId="6D9711A4" w14:textId="77777777" w:rsidR="001019C2" w:rsidRPr="001019C2" w:rsidRDefault="001019C2" w:rsidP="00946D73">
      <w:pPr>
        <w:jc w:val="both"/>
        <w:rPr>
          <w:rFonts w:ascii="Avenir Next" w:hAnsi="Avenir Next" w:cs="Arial"/>
          <w:color w:val="808080" w:themeColor="background1" w:themeShade="80"/>
          <w:sz w:val="22"/>
          <w:szCs w:val="22"/>
          <w:lang w:val="en-GB"/>
        </w:rPr>
      </w:pPr>
    </w:p>
    <w:p w14:paraId="0768D579" w14:textId="707D59F1" w:rsidR="00A515CB" w:rsidRDefault="00946D73" w:rsidP="001019C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w:t>
      </w:r>
      <w:r w:rsidR="001019C2" w:rsidRPr="001019C2">
        <w:rPr>
          <w:rFonts w:ascii="Avenir Next" w:hAnsi="Avenir Next" w:cs="Arial"/>
          <w:color w:val="808080" w:themeColor="background1" w:themeShade="80"/>
          <w:sz w:val="22"/>
          <w:szCs w:val="22"/>
          <w:lang w:val="en-GB"/>
        </w:rPr>
        <w:t xml:space="preserve">, it is worth mentioning that some jurisdictions consider other dates, such as the date of application for recognition, to determine the COMI. For example, the US has already considered that the COMI must be determined at the time of </w:t>
      </w:r>
      <w:r w:rsidR="00482336">
        <w:rPr>
          <w:rFonts w:ascii="Avenir Next" w:hAnsi="Avenir Next" w:cs="Arial"/>
          <w:color w:val="808080" w:themeColor="background1" w:themeShade="80"/>
          <w:sz w:val="22"/>
          <w:szCs w:val="22"/>
          <w:lang w:val="en-GB"/>
        </w:rPr>
        <w:t>the</w:t>
      </w:r>
      <w:r w:rsidR="001019C2" w:rsidRPr="001019C2">
        <w:rPr>
          <w:rFonts w:ascii="Avenir Next" w:hAnsi="Avenir Next" w:cs="Arial"/>
          <w:color w:val="808080" w:themeColor="background1" w:themeShade="80"/>
          <w:sz w:val="22"/>
          <w:szCs w:val="22"/>
          <w:lang w:val="en-GB"/>
        </w:rPr>
        <w:t xml:space="preserve"> Chapter 15</w:t>
      </w:r>
      <w:r w:rsidR="00482336">
        <w:rPr>
          <w:rFonts w:ascii="Avenir Next" w:hAnsi="Avenir Next" w:cs="Arial"/>
          <w:color w:val="808080" w:themeColor="background1" w:themeShade="80"/>
          <w:sz w:val="22"/>
          <w:szCs w:val="22"/>
          <w:lang w:val="en-GB"/>
        </w:rPr>
        <w:t xml:space="preserve"> petition</w:t>
      </w:r>
      <w:r w:rsidR="001019C2" w:rsidRPr="001019C2">
        <w:rPr>
          <w:rFonts w:ascii="Avenir Next" w:hAnsi="Avenir Next" w:cs="Arial"/>
          <w:color w:val="808080" w:themeColor="background1" w:themeShade="80"/>
          <w:sz w:val="22"/>
          <w:szCs w:val="22"/>
          <w:lang w:val="en-GB"/>
        </w:rPr>
        <w:t>.</w:t>
      </w:r>
      <w:r w:rsidR="00482336">
        <w:rPr>
          <w:rStyle w:val="Refdenotaderodap"/>
          <w:rFonts w:ascii="Avenir Next" w:hAnsi="Avenir Next" w:cs="Arial"/>
          <w:color w:val="808080" w:themeColor="background1" w:themeShade="80"/>
          <w:sz w:val="22"/>
          <w:szCs w:val="22"/>
          <w:lang w:val="en-GB"/>
        </w:rPr>
        <w:footnoteReference w:id="5"/>
      </w:r>
    </w:p>
    <w:p w14:paraId="48C4FF75" w14:textId="77777777" w:rsidR="002B073E" w:rsidRDefault="002B073E" w:rsidP="001019C2">
      <w:pPr>
        <w:ind w:left="720" w:hanging="720"/>
        <w:jc w:val="both"/>
        <w:rPr>
          <w:rFonts w:ascii="Avenir Next" w:hAnsi="Avenir Next" w:cs="Arial"/>
          <w:color w:val="808080" w:themeColor="background1" w:themeShade="80"/>
          <w:sz w:val="22"/>
          <w:szCs w:val="22"/>
          <w:lang w:val="en-GB"/>
        </w:rPr>
      </w:pPr>
    </w:p>
    <w:p w14:paraId="4C11CD78" w14:textId="7480BEBD" w:rsidR="002B073E" w:rsidRPr="00E160F6" w:rsidRDefault="002B073E" w:rsidP="001019C2">
      <w:pPr>
        <w:ind w:left="720" w:hanging="720"/>
        <w:jc w:val="both"/>
        <w:rPr>
          <w:rFonts w:ascii="Avenir Next" w:hAnsi="Avenir Next" w:cs="Arial"/>
          <w:color w:val="808080" w:themeColor="background1" w:themeShade="80"/>
          <w:sz w:val="22"/>
          <w:szCs w:val="22"/>
          <w:lang w:val="en-GB"/>
        </w:rPr>
      </w:pPr>
      <w:r w:rsidRPr="002B073E">
        <w:rPr>
          <w:rFonts w:ascii="Avenir Next" w:hAnsi="Avenir Next" w:cs="Arial"/>
          <w:color w:val="808080" w:themeColor="background1" w:themeShade="80"/>
          <w:sz w:val="22"/>
          <w:szCs w:val="22"/>
          <w:lang w:val="en-GB"/>
        </w:rPr>
        <w:t xml:space="preserve">In this sense, the </w:t>
      </w:r>
      <w:r w:rsidR="00D977AB">
        <w:rPr>
          <w:rFonts w:ascii="Avenir Next" w:hAnsi="Avenir Next" w:cs="Arial"/>
          <w:color w:val="808080" w:themeColor="background1" w:themeShade="80"/>
          <w:sz w:val="22"/>
          <w:szCs w:val="22"/>
          <w:lang w:val="en-GB"/>
        </w:rPr>
        <w:t>commencement</w:t>
      </w:r>
      <w:r w:rsidRPr="002B073E">
        <w:rPr>
          <w:rFonts w:ascii="Avenir Next" w:hAnsi="Avenir Next" w:cs="Arial"/>
          <w:color w:val="808080" w:themeColor="background1" w:themeShade="80"/>
          <w:sz w:val="22"/>
          <w:szCs w:val="22"/>
          <w:lang w:val="en-GB"/>
        </w:rPr>
        <w:t xml:space="preserve"> date of the foreign proce</w:t>
      </w:r>
      <w:r w:rsidR="00D977AB">
        <w:rPr>
          <w:rFonts w:ascii="Avenir Next" w:hAnsi="Avenir Next" w:cs="Arial"/>
          <w:color w:val="808080" w:themeColor="background1" w:themeShade="80"/>
          <w:sz w:val="22"/>
          <w:szCs w:val="22"/>
          <w:lang w:val="en-GB"/>
        </w:rPr>
        <w:t>eding</w:t>
      </w:r>
      <w:r w:rsidRPr="002B073E">
        <w:rPr>
          <w:rFonts w:ascii="Avenir Next" w:hAnsi="Avenir Next" w:cs="Arial"/>
          <w:color w:val="808080" w:themeColor="background1" w:themeShade="80"/>
          <w:sz w:val="22"/>
          <w:szCs w:val="22"/>
          <w:lang w:val="en-GB"/>
        </w:rPr>
        <w:t xml:space="preserve"> to be recognized is the most appropriate, as it ensures that all requests for recognition would have the same analysis parameter. </w:t>
      </w:r>
      <w:r w:rsidR="000A41F9" w:rsidRPr="000A41F9">
        <w:rPr>
          <w:rFonts w:ascii="Avenir Next" w:hAnsi="Avenir Next" w:cs="Arial"/>
          <w:color w:val="808080" w:themeColor="background1" w:themeShade="80"/>
          <w:sz w:val="22"/>
          <w:szCs w:val="22"/>
          <w:lang w:val="en-GB"/>
        </w:rPr>
        <w:t xml:space="preserve">Thus, different jurisdictions would not establish different </w:t>
      </w:r>
      <w:r w:rsidR="000A41F9">
        <w:rPr>
          <w:rFonts w:ascii="Avenir Next" w:hAnsi="Avenir Next" w:cs="Arial"/>
          <w:color w:val="808080" w:themeColor="background1" w:themeShade="80"/>
          <w:sz w:val="22"/>
          <w:szCs w:val="22"/>
          <w:lang w:val="en-GB"/>
        </w:rPr>
        <w:t>COMI</w:t>
      </w:r>
      <w:r w:rsidR="000A41F9" w:rsidRPr="000A41F9">
        <w:rPr>
          <w:rFonts w:ascii="Avenir Next" w:hAnsi="Avenir Next" w:cs="Arial"/>
          <w:color w:val="808080" w:themeColor="background1" w:themeShade="80"/>
          <w:sz w:val="22"/>
          <w:szCs w:val="22"/>
          <w:lang w:val="en-GB"/>
        </w:rPr>
        <w:t xml:space="preserve">s when determining the </w:t>
      </w:r>
      <w:r w:rsidR="000A41F9">
        <w:rPr>
          <w:rFonts w:ascii="Avenir Next" w:hAnsi="Avenir Next" w:cs="Arial"/>
          <w:color w:val="808080" w:themeColor="background1" w:themeShade="80"/>
          <w:sz w:val="22"/>
          <w:szCs w:val="22"/>
          <w:lang w:val="en-GB"/>
        </w:rPr>
        <w:t xml:space="preserve">foreign </w:t>
      </w:r>
      <w:r w:rsidR="000A41F9" w:rsidRPr="000A41F9">
        <w:rPr>
          <w:rFonts w:ascii="Avenir Next" w:hAnsi="Avenir Next" w:cs="Arial"/>
          <w:color w:val="808080" w:themeColor="background1" w:themeShade="80"/>
          <w:sz w:val="22"/>
          <w:szCs w:val="22"/>
          <w:lang w:val="en-GB"/>
        </w:rPr>
        <w:t>main proce</w:t>
      </w:r>
      <w:r w:rsidR="000A41F9">
        <w:rPr>
          <w:rFonts w:ascii="Avenir Next" w:hAnsi="Avenir Next" w:cs="Arial"/>
          <w:color w:val="808080" w:themeColor="background1" w:themeShade="80"/>
          <w:sz w:val="22"/>
          <w:szCs w:val="22"/>
          <w:lang w:val="en-GB"/>
        </w:rPr>
        <w:t>eding</w:t>
      </w:r>
      <w:r w:rsidR="000A41F9" w:rsidRPr="000A41F9">
        <w:rPr>
          <w:rFonts w:ascii="Avenir Next" w:hAnsi="Avenir Next" w:cs="Arial"/>
          <w:color w:val="808080" w:themeColor="background1" w:themeShade="80"/>
          <w:sz w:val="22"/>
          <w:szCs w:val="22"/>
          <w:lang w:val="en-GB"/>
        </w:rPr>
        <w:t>, avoiding hierarchy conflict.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4A3FE423" w:rsidR="00867A8F" w:rsidRDefault="00F1407A" w:rsidP="00B2585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relate to the Timely Notice of a foreign </w:t>
      </w:r>
      <w:r w:rsidR="00A7439C">
        <w:rPr>
          <w:rFonts w:ascii="Avenir Next" w:hAnsi="Avenir Next" w:cs="Arial"/>
          <w:color w:val="808080" w:themeColor="background1" w:themeShade="80"/>
          <w:sz w:val="22"/>
          <w:szCs w:val="22"/>
          <w:lang w:val="en-GB"/>
        </w:rPr>
        <w:t>creditor</w:t>
      </w:r>
      <w:r w:rsidR="00D35F00">
        <w:rPr>
          <w:rFonts w:ascii="Avenir Next" w:hAnsi="Avenir Next" w:cs="Arial"/>
          <w:color w:val="808080" w:themeColor="background1" w:themeShade="80"/>
          <w:sz w:val="22"/>
          <w:szCs w:val="22"/>
          <w:lang w:val="en-GB"/>
        </w:rPr>
        <w:t xml:space="preserve">, </w:t>
      </w:r>
      <w:r w:rsidR="003F745A" w:rsidRPr="003F745A">
        <w:rPr>
          <w:rFonts w:ascii="Avenir Next" w:hAnsi="Avenir Next" w:cs="Arial"/>
          <w:color w:val="808080" w:themeColor="background1" w:themeShade="80"/>
          <w:sz w:val="22"/>
          <w:szCs w:val="22"/>
          <w:lang w:val="en-GB"/>
        </w:rPr>
        <w:t xml:space="preserve">provided for in </w:t>
      </w:r>
      <w:r w:rsidR="007C73B3">
        <w:rPr>
          <w:rFonts w:ascii="Avenir Next" w:hAnsi="Avenir Next" w:cs="Arial"/>
          <w:color w:val="808080" w:themeColor="background1" w:themeShade="80"/>
          <w:sz w:val="22"/>
          <w:szCs w:val="22"/>
          <w:lang w:val="en-GB"/>
        </w:rPr>
        <w:t>A</w:t>
      </w:r>
      <w:r w:rsidR="003F745A" w:rsidRPr="003F745A">
        <w:rPr>
          <w:rFonts w:ascii="Avenir Next" w:hAnsi="Avenir Next" w:cs="Arial"/>
          <w:color w:val="808080" w:themeColor="background1" w:themeShade="80"/>
          <w:sz w:val="22"/>
          <w:szCs w:val="22"/>
          <w:lang w:val="en-GB"/>
        </w:rPr>
        <w:t xml:space="preserve">rticle 14 of the </w:t>
      </w:r>
      <w:r w:rsidR="008978CA">
        <w:rPr>
          <w:rFonts w:ascii="Avenir Next" w:hAnsi="Avenir Next" w:cs="Arial"/>
          <w:color w:val="808080" w:themeColor="background1" w:themeShade="80"/>
          <w:sz w:val="22"/>
          <w:szCs w:val="22"/>
          <w:lang w:val="en-GB"/>
        </w:rPr>
        <w:t>M</w:t>
      </w:r>
      <w:r w:rsidR="003F745A" w:rsidRPr="003F745A">
        <w:rPr>
          <w:rFonts w:ascii="Avenir Next" w:hAnsi="Avenir Next" w:cs="Arial"/>
          <w:color w:val="808080" w:themeColor="background1" w:themeShade="80"/>
          <w:sz w:val="22"/>
          <w:szCs w:val="22"/>
          <w:lang w:val="en-GB"/>
        </w:rPr>
        <w:t xml:space="preserve">odel </w:t>
      </w:r>
      <w:r w:rsidR="008978CA">
        <w:rPr>
          <w:rFonts w:ascii="Avenir Next" w:hAnsi="Avenir Next" w:cs="Arial"/>
          <w:color w:val="808080" w:themeColor="background1" w:themeShade="80"/>
          <w:sz w:val="22"/>
          <w:szCs w:val="22"/>
          <w:lang w:val="en-GB"/>
        </w:rPr>
        <w:t>L</w:t>
      </w:r>
      <w:r w:rsidR="003F745A" w:rsidRPr="003F745A">
        <w:rPr>
          <w:rFonts w:ascii="Avenir Next" w:hAnsi="Avenir Next" w:cs="Arial"/>
          <w:color w:val="808080" w:themeColor="background1" w:themeShade="80"/>
          <w:sz w:val="22"/>
          <w:szCs w:val="22"/>
          <w:lang w:val="en-GB"/>
        </w:rPr>
        <w:t>aw</w:t>
      </w:r>
      <w:r w:rsidR="003F745A">
        <w:rPr>
          <w:rFonts w:ascii="Avenir Next" w:hAnsi="Avenir Next" w:cs="Arial"/>
          <w:color w:val="808080" w:themeColor="background1" w:themeShade="80"/>
          <w:sz w:val="22"/>
          <w:szCs w:val="22"/>
          <w:lang w:val="en-GB"/>
        </w:rPr>
        <w:t xml:space="preserve">. </w:t>
      </w:r>
      <w:r w:rsidR="007C73B3" w:rsidRPr="007C73B3">
        <w:rPr>
          <w:rFonts w:ascii="Avenir Next" w:hAnsi="Avenir Next" w:cs="Arial"/>
          <w:color w:val="808080" w:themeColor="background1" w:themeShade="80"/>
          <w:sz w:val="22"/>
          <w:szCs w:val="22"/>
          <w:lang w:val="en-GB"/>
        </w:rPr>
        <w:t>According to DECLERCQ, the Article 14 "requiring that foreign creditors should be notified whenever notification is required for local creditors in the enacting State".</w:t>
      </w:r>
      <w:r w:rsidR="007C73B3">
        <w:rPr>
          <w:rStyle w:val="Refdenotaderodap"/>
          <w:rFonts w:ascii="Avenir Next" w:hAnsi="Avenir Next" w:cs="Arial"/>
          <w:color w:val="808080" w:themeColor="background1" w:themeShade="80"/>
          <w:sz w:val="22"/>
          <w:szCs w:val="22"/>
          <w:lang w:val="en-GB"/>
        </w:rPr>
        <w:footnoteReference w:id="6"/>
      </w:r>
      <w:r w:rsidR="007C73B3">
        <w:rPr>
          <w:rFonts w:ascii="Avenir Next" w:hAnsi="Avenir Next" w:cs="Arial"/>
          <w:color w:val="808080" w:themeColor="background1" w:themeShade="80"/>
          <w:sz w:val="22"/>
          <w:szCs w:val="22"/>
          <w:lang w:val="en-GB"/>
        </w:rPr>
        <w:t xml:space="preserve"> </w:t>
      </w:r>
      <w:r w:rsidR="00B25850" w:rsidRPr="00B25850">
        <w:rPr>
          <w:rFonts w:ascii="Avenir Next" w:hAnsi="Avenir Next" w:cs="Arial"/>
          <w:color w:val="808080" w:themeColor="background1" w:themeShade="80"/>
          <w:sz w:val="22"/>
          <w:szCs w:val="22"/>
          <w:lang w:val="en-GB"/>
        </w:rPr>
        <w:t xml:space="preserve">Paragraph 3 </w:t>
      </w:r>
      <w:r w:rsidR="00236000">
        <w:rPr>
          <w:rFonts w:ascii="Avenir Next" w:hAnsi="Avenir Next" w:cs="Arial"/>
          <w:color w:val="808080" w:themeColor="background1" w:themeShade="80"/>
          <w:sz w:val="22"/>
          <w:szCs w:val="22"/>
          <w:lang w:val="en-GB"/>
        </w:rPr>
        <w:t>of Article 14 specifies</w:t>
      </w:r>
      <w:r w:rsidR="00B25850" w:rsidRPr="00B25850">
        <w:rPr>
          <w:rFonts w:ascii="Avenir Next" w:hAnsi="Avenir Next" w:cs="Arial"/>
          <w:color w:val="808080" w:themeColor="background1" w:themeShade="80"/>
          <w:sz w:val="22"/>
          <w:szCs w:val="22"/>
          <w:lang w:val="en-GB"/>
        </w:rPr>
        <w:t xml:space="preserve"> that when a notification of commencement of proceedings to foreign creditors shall: (a) indicate a reasonable time period for filing claims and specify the</w:t>
      </w:r>
      <w:r w:rsidR="00B25850">
        <w:rPr>
          <w:rFonts w:ascii="Avenir Next" w:hAnsi="Avenir Next" w:cs="Arial"/>
          <w:color w:val="808080" w:themeColor="background1" w:themeShade="80"/>
          <w:sz w:val="22"/>
          <w:szCs w:val="22"/>
          <w:lang w:val="en-GB"/>
        </w:rPr>
        <w:t xml:space="preserve"> </w:t>
      </w:r>
      <w:r w:rsidR="00B25850" w:rsidRPr="00B25850">
        <w:rPr>
          <w:rFonts w:ascii="Avenir Next" w:hAnsi="Avenir Next" w:cs="Arial"/>
          <w:color w:val="808080" w:themeColor="background1" w:themeShade="80"/>
          <w:sz w:val="22"/>
          <w:szCs w:val="22"/>
          <w:lang w:val="en-GB"/>
        </w:rPr>
        <w:t>place for their filing; (b) indicate whether secured creditors need to file their secured claims; and (c) contain any other information required to be included in such a</w:t>
      </w:r>
      <w:r w:rsidR="00B25850">
        <w:rPr>
          <w:rFonts w:ascii="Avenir Next" w:hAnsi="Avenir Next" w:cs="Arial"/>
          <w:color w:val="808080" w:themeColor="background1" w:themeShade="80"/>
          <w:sz w:val="22"/>
          <w:szCs w:val="22"/>
          <w:lang w:val="en-GB"/>
        </w:rPr>
        <w:t xml:space="preserve"> </w:t>
      </w:r>
      <w:r w:rsidR="00B25850" w:rsidRPr="00B25850">
        <w:rPr>
          <w:rFonts w:ascii="Avenir Next" w:hAnsi="Avenir Next" w:cs="Arial"/>
          <w:color w:val="808080" w:themeColor="background1" w:themeShade="80"/>
          <w:sz w:val="22"/>
          <w:szCs w:val="22"/>
          <w:lang w:val="en-GB"/>
        </w:rPr>
        <w:t>notification to creditors pursuant to the law of this State and the orders of</w:t>
      </w:r>
      <w:r w:rsidR="00B25850">
        <w:rPr>
          <w:rFonts w:ascii="Avenir Next" w:hAnsi="Avenir Next" w:cs="Arial"/>
          <w:color w:val="808080" w:themeColor="background1" w:themeShade="80"/>
          <w:sz w:val="22"/>
          <w:szCs w:val="22"/>
          <w:lang w:val="en-GB"/>
        </w:rPr>
        <w:t xml:space="preserve"> </w:t>
      </w:r>
      <w:r w:rsidR="00B25850" w:rsidRPr="00B25850">
        <w:rPr>
          <w:rFonts w:ascii="Avenir Next" w:hAnsi="Avenir Next" w:cs="Arial"/>
          <w:color w:val="808080" w:themeColor="background1" w:themeShade="80"/>
          <w:sz w:val="22"/>
          <w:szCs w:val="22"/>
          <w:lang w:val="en-GB"/>
        </w:rPr>
        <w:t>the court.</w:t>
      </w:r>
    </w:p>
    <w:p w14:paraId="7DF424BD" w14:textId="77777777" w:rsidR="005058BA" w:rsidRDefault="005058BA" w:rsidP="00B25850">
      <w:pPr>
        <w:ind w:left="720" w:hanging="720"/>
        <w:jc w:val="both"/>
        <w:rPr>
          <w:rFonts w:ascii="Avenir Next" w:hAnsi="Avenir Next" w:cs="Arial"/>
          <w:color w:val="808080" w:themeColor="background1" w:themeShade="80"/>
          <w:sz w:val="22"/>
          <w:szCs w:val="22"/>
          <w:lang w:val="en-GB"/>
        </w:rPr>
      </w:pPr>
    </w:p>
    <w:p w14:paraId="716CFE66" w14:textId="5D5C89D4" w:rsidR="00593044" w:rsidRDefault="001A1640" w:rsidP="0076594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w:t>
      </w:r>
      <w:r w:rsidR="00474CA0">
        <w:rPr>
          <w:rFonts w:ascii="Avenir Next" w:hAnsi="Avenir Next" w:cs="Arial"/>
          <w:color w:val="808080" w:themeColor="background1" w:themeShade="80"/>
          <w:sz w:val="22"/>
          <w:szCs w:val="22"/>
          <w:lang w:val="en-GB"/>
        </w:rPr>
        <w:t xml:space="preserve">“Safe Conduct Rule” </w:t>
      </w:r>
      <w:r w:rsidR="00DD0C47">
        <w:rPr>
          <w:rFonts w:ascii="Avenir Next" w:hAnsi="Avenir Next" w:cs="Arial"/>
          <w:color w:val="808080" w:themeColor="background1" w:themeShade="80"/>
          <w:sz w:val="22"/>
          <w:szCs w:val="22"/>
          <w:lang w:val="en-GB"/>
        </w:rPr>
        <w:t xml:space="preserve">mentioned in Statement 2 is provided for in Article 10 of the Model Law. </w:t>
      </w:r>
      <w:r w:rsidR="00ED562C">
        <w:rPr>
          <w:rFonts w:ascii="Avenir Next" w:hAnsi="Avenir Next" w:cs="Arial"/>
          <w:color w:val="808080" w:themeColor="background1" w:themeShade="80"/>
          <w:sz w:val="22"/>
          <w:szCs w:val="22"/>
          <w:lang w:val="en-GB"/>
        </w:rPr>
        <w:t xml:space="preserve">The </w:t>
      </w:r>
      <w:r w:rsidR="004B292F">
        <w:rPr>
          <w:rFonts w:ascii="Avenir Next" w:hAnsi="Avenir Next" w:cs="Arial"/>
          <w:color w:val="808080" w:themeColor="background1" w:themeShade="80"/>
          <w:sz w:val="22"/>
          <w:szCs w:val="22"/>
          <w:lang w:val="en-GB"/>
        </w:rPr>
        <w:t xml:space="preserve">rule </w:t>
      </w:r>
      <w:r w:rsidR="00BA5392">
        <w:rPr>
          <w:rFonts w:ascii="Avenir Next" w:hAnsi="Avenir Next" w:cs="Arial"/>
          <w:color w:val="808080" w:themeColor="background1" w:themeShade="80"/>
          <w:sz w:val="22"/>
          <w:szCs w:val="22"/>
          <w:lang w:val="en-GB"/>
        </w:rPr>
        <w:t>ensures</w:t>
      </w:r>
      <w:r w:rsidR="004B292F">
        <w:rPr>
          <w:rFonts w:ascii="Avenir Next" w:hAnsi="Avenir Next" w:cs="Arial"/>
          <w:color w:val="808080" w:themeColor="background1" w:themeShade="80"/>
          <w:sz w:val="22"/>
          <w:szCs w:val="22"/>
          <w:lang w:val="en-GB"/>
        </w:rPr>
        <w:t xml:space="preserve"> “</w:t>
      </w:r>
      <w:r w:rsidR="004B292F" w:rsidRPr="004B292F">
        <w:rPr>
          <w:rFonts w:ascii="Avenir Next" w:hAnsi="Avenir Next" w:cs="Arial"/>
          <w:color w:val="808080" w:themeColor="background1" w:themeShade="80"/>
          <w:sz w:val="22"/>
          <w:szCs w:val="22"/>
          <w:lang w:val="en-GB"/>
        </w:rPr>
        <w:t>that the court in the</w:t>
      </w:r>
      <w:r w:rsidR="004B292F">
        <w:rPr>
          <w:rFonts w:ascii="Avenir Next" w:hAnsi="Avenir Next" w:cs="Arial"/>
          <w:color w:val="808080" w:themeColor="background1" w:themeShade="80"/>
          <w:sz w:val="22"/>
          <w:szCs w:val="22"/>
          <w:lang w:val="en-GB"/>
        </w:rPr>
        <w:t xml:space="preserve"> </w:t>
      </w:r>
      <w:r w:rsidR="004B292F" w:rsidRPr="004B292F">
        <w:rPr>
          <w:rFonts w:ascii="Avenir Next" w:hAnsi="Avenir Next" w:cs="Arial"/>
          <w:color w:val="808080" w:themeColor="background1" w:themeShade="80"/>
          <w:sz w:val="22"/>
          <w:szCs w:val="22"/>
          <w:lang w:val="en-GB"/>
        </w:rPr>
        <w:t>enacting State does not assume jurisdiction over all the assets of the debtor on the sole ground</w:t>
      </w:r>
      <w:r w:rsidR="004B292F">
        <w:rPr>
          <w:rFonts w:ascii="Avenir Next" w:hAnsi="Avenir Next" w:cs="Arial"/>
          <w:color w:val="808080" w:themeColor="background1" w:themeShade="80"/>
          <w:sz w:val="22"/>
          <w:szCs w:val="22"/>
          <w:lang w:val="en-GB"/>
        </w:rPr>
        <w:t xml:space="preserve"> </w:t>
      </w:r>
      <w:r w:rsidR="004B292F" w:rsidRPr="004B292F">
        <w:rPr>
          <w:rFonts w:ascii="Avenir Next" w:hAnsi="Avenir Next" w:cs="Arial"/>
          <w:color w:val="808080" w:themeColor="background1" w:themeShade="80"/>
          <w:sz w:val="22"/>
          <w:szCs w:val="22"/>
          <w:lang w:val="en-GB"/>
        </w:rPr>
        <w:t>of the fact that the foreign representative has made an application for the recognition of a</w:t>
      </w:r>
      <w:r w:rsidR="004B292F">
        <w:rPr>
          <w:rFonts w:ascii="Avenir Next" w:hAnsi="Avenir Next" w:cs="Arial"/>
          <w:color w:val="808080" w:themeColor="background1" w:themeShade="80"/>
          <w:sz w:val="22"/>
          <w:szCs w:val="22"/>
          <w:lang w:val="en-GB"/>
        </w:rPr>
        <w:t xml:space="preserve"> </w:t>
      </w:r>
      <w:r w:rsidR="004B292F" w:rsidRPr="004B292F">
        <w:rPr>
          <w:rFonts w:ascii="Avenir Next" w:hAnsi="Avenir Next" w:cs="Arial"/>
          <w:color w:val="808080" w:themeColor="background1" w:themeShade="80"/>
          <w:sz w:val="22"/>
          <w:szCs w:val="22"/>
          <w:lang w:val="en-GB"/>
        </w:rPr>
        <w:t>foreign proceeding</w:t>
      </w:r>
      <w:r w:rsidR="004B292F">
        <w:rPr>
          <w:rFonts w:ascii="Avenir Next" w:hAnsi="Avenir Next" w:cs="Arial"/>
          <w:color w:val="808080" w:themeColor="background1" w:themeShade="80"/>
          <w:sz w:val="22"/>
          <w:szCs w:val="22"/>
          <w:lang w:val="en-GB"/>
        </w:rPr>
        <w:t>”.</w:t>
      </w:r>
      <w:r w:rsidR="004B292F">
        <w:rPr>
          <w:rStyle w:val="Refdenotaderodap"/>
          <w:rFonts w:ascii="Avenir Next" w:hAnsi="Avenir Next" w:cs="Arial"/>
          <w:color w:val="808080" w:themeColor="background1" w:themeShade="80"/>
          <w:sz w:val="22"/>
          <w:szCs w:val="22"/>
          <w:lang w:val="en-GB"/>
        </w:rPr>
        <w:footnoteReference w:id="7"/>
      </w:r>
    </w:p>
    <w:p w14:paraId="3D48C900" w14:textId="77777777" w:rsidR="00765948" w:rsidRDefault="00765948" w:rsidP="00765948">
      <w:pPr>
        <w:ind w:left="720" w:hanging="720"/>
        <w:jc w:val="both"/>
        <w:rPr>
          <w:rFonts w:ascii="Avenir Next" w:hAnsi="Avenir Next" w:cs="Arial"/>
          <w:color w:val="808080" w:themeColor="background1" w:themeShade="80"/>
          <w:sz w:val="22"/>
          <w:szCs w:val="22"/>
          <w:lang w:val="en-GB"/>
        </w:rPr>
      </w:pPr>
    </w:p>
    <w:p w14:paraId="61701DD3" w14:textId="03282356" w:rsidR="00867A8F" w:rsidRDefault="00DC4380" w:rsidP="005E0252">
      <w:pPr>
        <w:ind w:left="720" w:hanging="720"/>
        <w:jc w:val="both"/>
        <w:rPr>
          <w:rFonts w:ascii="Avenir Next" w:hAnsi="Avenir Next" w:cs="Arial"/>
          <w:color w:val="808080" w:themeColor="background1" w:themeShade="80"/>
          <w:sz w:val="22"/>
          <w:szCs w:val="22"/>
          <w:lang w:val="en-GB"/>
        </w:rPr>
      </w:pPr>
      <w:r w:rsidRPr="00DC4380">
        <w:rPr>
          <w:rFonts w:ascii="Avenir Next" w:hAnsi="Avenir Next" w:cs="Arial"/>
          <w:color w:val="808080" w:themeColor="background1" w:themeShade="80"/>
          <w:sz w:val="22"/>
          <w:szCs w:val="22"/>
          <w:lang w:val="en-GB"/>
        </w:rPr>
        <w:t>Statement 3 refers to the rebuttable presumption that</w:t>
      </w:r>
      <w:r w:rsidR="005E0252" w:rsidRPr="005E0252">
        <w:t xml:space="preserve"> </w:t>
      </w:r>
      <w:r w:rsidR="005E0252" w:rsidRPr="005E0252">
        <w:rPr>
          <w:rFonts w:ascii="Avenir Next" w:hAnsi="Avenir Next" w:cs="Arial"/>
          <w:color w:val="808080" w:themeColor="background1" w:themeShade="80"/>
          <w:sz w:val="22"/>
          <w:szCs w:val="22"/>
          <w:lang w:val="en-GB"/>
        </w:rPr>
        <w:t>the debtor’s registered</w:t>
      </w:r>
      <w:r w:rsidR="005E0252">
        <w:rPr>
          <w:rFonts w:ascii="Avenir Next" w:hAnsi="Avenir Next" w:cs="Arial"/>
          <w:color w:val="808080" w:themeColor="background1" w:themeShade="80"/>
          <w:sz w:val="22"/>
          <w:szCs w:val="22"/>
          <w:lang w:val="en-GB"/>
        </w:rPr>
        <w:t xml:space="preserve"> </w:t>
      </w:r>
      <w:r w:rsidR="005E0252" w:rsidRPr="005E0252">
        <w:rPr>
          <w:rFonts w:ascii="Avenir Next" w:hAnsi="Avenir Next" w:cs="Arial"/>
          <w:color w:val="808080" w:themeColor="background1" w:themeShade="80"/>
          <w:sz w:val="22"/>
          <w:szCs w:val="22"/>
          <w:lang w:val="en-GB"/>
        </w:rPr>
        <w:t>office, or habitual residence in the case of an individual,</w:t>
      </w:r>
      <w:r w:rsidR="005E0252">
        <w:rPr>
          <w:rFonts w:ascii="Avenir Next" w:hAnsi="Avenir Next" w:cs="Arial"/>
          <w:color w:val="808080" w:themeColor="background1" w:themeShade="80"/>
          <w:sz w:val="22"/>
          <w:szCs w:val="22"/>
          <w:lang w:val="en-GB"/>
        </w:rPr>
        <w:t xml:space="preserve"> </w:t>
      </w:r>
      <w:r w:rsidR="00BA5392">
        <w:rPr>
          <w:rFonts w:ascii="Avenir Next" w:hAnsi="Avenir Next" w:cs="Arial"/>
          <w:color w:val="808080" w:themeColor="background1" w:themeShade="80"/>
          <w:sz w:val="22"/>
          <w:szCs w:val="22"/>
          <w:lang w:val="en-GB"/>
        </w:rPr>
        <w:t xml:space="preserve">is the COMI, </w:t>
      </w:r>
      <w:r w:rsidRPr="00DC4380">
        <w:rPr>
          <w:rFonts w:ascii="Avenir Next" w:hAnsi="Avenir Next" w:cs="Arial"/>
          <w:color w:val="808080" w:themeColor="background1" w:themeShade="80"/>
          <w:sz w:val="22"/>
          <w:szCs w:val="22"/>
          <w:lang w:val="en-GB"/>
        </w:rPr>
        <w:t>as provided for in paragraph 3 of Article 16 of the Model Law.</w:t>
      </w:r>
      <w:r w:rsidR="00EC6E52">
        <w:rPr>
          <w:rStyle w:val="Refdenotaderodap"/>
          <w:rFonts w:ascii="Avenir Next" w:hAnsi="Avenir Next" w:cs="Arial"/>
          <w:color w:val="808080" w:themeColor="background1" w:themeShade="80"/>
          <w:sz w:val="22"/>
          <w:szCs w:val="22"/>
          <w:lang w:val="en-GB"/>
        </w:rPr>
        <w:footnoteReference w:id="8"/>
      </w:r>
    </w:p>
    <w:p w14:paraId="21D1089A" w14:textId="77777777" w:rsidR="00DC4380" w:rsidRPr="00E2622D" w:rsidRDefault="00DC4380"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417DB7A" w14:textId="7B3C0B21" w:rsidR="00CB56CE" w:rsidRDefault="00F57252" w:rsidP="00707FC8">
      <w:pPr>
        <w:jc w:val="both"/>
        <w:rPr>
          <w:rFonts w:ascii="Avenir Next" w:hAnsi="Avenir Next" w:cs="Arial"/>
          <w:b/>
          <w:sz w:val="22"/>
          <w:szCs w:val="22"/>
          <w:lang w:val="en-GB"/>
        </w:rPr>
      </w:pPr>
      <w:r w:rsidRPr="00F57252">
        <w:rPr>
          <w:rFonts w:ascii="Avenir Next" w:hAnsi="Avenir Next" w:cs="Arial"/>
          <w:color w:val="808080" w:themeColor="background1" w:themeShade="80"/>
          <w:sz w:val="22"/>
          <w:szCs w:val="22"/>
          <w:lang w:val="en-GB"/>
        </w:rPr>
        <w:t>In this case, the English Court of Appeal understood that the Moratorium Continuation</w:t>
      </w:r>
      <w:r w:rsidRPr="00F57252">
        <w:rPr>
          <w:rFonts w:ascii="Avenir Next" w:hAnsi="Avenir Next" w:cs="Arial"/>
          <w:color w:val="808080" w:themeColor="background1" w:themeShade="80"/>
          <w:sz w:val="22"/>
          <w:szCs w:val="22"/>
          <w:lang w:val="en-GB"/>
        </w:rPr>
        <w:t xml:space="preserve"> </w:t>
      </w:r>
      <w:r w:rsidRPr="00F57252">
        <w:rPr>
          <w:rFonts w:ascii="Avenir Next" w:hAnsi="Avenir Next" w:cs="Arial"/>
          <w:color w:val="808080" w:themeColor="background1" w:themeShade="80"/>
          <w:sz w:val="22"/>
          <w:szCs w:val="22"/>
          <w:lang w:val="en-GB"/>
        </w:rPr>
        <w:t xml:space="preserve">would not be a necessary or appropriate means of protecting the interest of IBA's creditors. In addition, the English Court of </w:t>
      </w:r>
      <w:r w:rsidR="00D476BA" w:rsidRPr="00F57252">
        <w:rPr>
          <w:rFonts w:ascii="Avenir Next" w:hAnsi="Avenir Next" w:cs="Arial"/>
          <w:color w:val="808080" w:themeColor="background1" w:themeShade="80"/>
          <w:sz w:val="22"/>
          <w:szCs w:val="22"/>
          <w:lang w:val="en-GB"/>
        </w:rPr>
        <w:t xml:space="preserve">Appeal </w:t>
      </w:r>
      <w:r w:rsidR="00D476BA">
        <w:rPr>
          <w:rFonts w:ascii="Avenir Next" w:hAnsi="Avenir Next" w:cs="Arial"/>
          <w:color w:val="808080" w:themeColor="background1" w:themeShade="80"/>
          <w:sz w:val="22"/>
          <w:szCs w:val="22"/>
          <w:lang w:val="en-GB"/>
        </w:rPr>
        <w:t>also</w:t>
      </w:r>
      <w:r>
        <w:rPr>
          <w:rFonts w:ascii="Avenir Next" w:hAnsi="Avenir Next" w:cs="Arial"/>
          <w:color w:val="808080" w:themeColor="background1" w:themeShade="80"/>
          <w:sz w:val="22"/>
          <w:szCs w:val="22"/>
          <w:lang w:val="en-GB"/>
        </w:rPr>
        <w:t xml:space="preserve"> </w:t>
      </w:r>
      <w:r w:rsidRPr="00F57252">
        <w:rPr>
          <w:rFonts w:ascii="Avenir Next" w:hAnsi="Avenir Next" w:cs="Arial"/>
          <w:color w:val="808080" w:themeColor="background1" w:themeShade="80"/>
          <w:sz w:val="22"/>
          <w:szCs w:val="22"/>
          <w:lang w:val="en-GB"/>
        </w:rPr>
        <w:t>understood that the Model Law does not authorize the granting of relief after the conclusion of the foreign procedure.</w:t>
      </w:r>
      <w:r w:rsidR="00D476BA">
        <w:rPr>
          <w:rStyle w:val="Refdenotaderodap"/>
          <w:rFonts w:ascii="Avenir Next" w:hAnsi="Avenir Next" w:cs="Arial"/>
          <w:color w:val="808080" w:themeColor="background1" w:themeShade="80"/>
          <w:sz w:val="22"/>
          <w:szCs w:val="22"/>
          <w:lang w:val="en-GB"/>
        </w:rPr>
        <w:footnoteReference w:id="9"/>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1348A57F" w14:textId="77777777" w:rsidR="00440DF7" w:rsidRPr="00440DF7" w:rsidRDefault="00440DF7" w:rsidP="00440DF7">
      <w:pPr>
        <w:jc w:val="both"/>
        <w:rPr>
          <w:rFonts w:ascii="Avenir Next" w:hAnsi="Avenir Next" w:cs="Arial"/>
          <w:color w:val="808080" w:themeColor="background1" w:themeShade="80"/>
          <w:sz w:val="22"/>
          <w:szCs w:val="22"/>
          <w:lang w:val="en-GB"/>
        </w:rPr>
      </w:pPr>
    </w:p>
    <w:p w14:paraId="23D246F2" w14:textId="4EC2BC18" w:rsidR="009C54E3" w:rsidRDefault="004C3D3A" w:rsidP="009E5162">
      <w:pPr>
        <w:jc w:val="both"/>
        <w:rPr>
          <w:rFonts w:ascii="Avenir Next" w:hAnsi="Avenir Next" w:cs="Arial"/>
          <w:color w:val="808080" w:themeColor="background1" w:themeShade="80"/>
          <w:sz w:val="22"/>
          <w:szCs w:val="22"/>
          <w:lang w:val="en-GB"/>
        </w:rPr>
      </w:pPr>
      <w:r w:rsidRPr="003D0091">
        <w:rPr>
          <w:rFonts w:ascii="Avenir Next" w:hAnsi="Avenir Next" w:cs="Arial"/>
          <w:color w:val="808080" w:themeColor="background1" w:themeShade="80"/>
          <w:sz w:val="22"/>
          <w:szCs w:val="22"/>
          <w:lang w:val="en-GB"/>
        </w:rPr>
        <w:t xml:space="preserve">Article 29 of the Model Law states that in case of concurrent proceedings, the court </w:t>
      </w:r>
      <w:r>
        <w:rPr>
          <w:rFonts w:ascii="Avenir Next" w:hAnsi="Avenir Next" w:cs="Arial"/>
          <w:color w:val="808080" w:themeColor="background1" w:themeShade="80"/>
          <w:sz w:val="22"/>
          <w:szCs w:val="22"/>
          <w:lang w:val="en-GB"/>
        </w:rPr>
        <w:t>shall</w:t>
      </w:r>
      <w:r w:rsidRPr="003D0091">
        <w:rPr>
          <w:rFonts w:ascii="Avenir Next" w:hAnsi="Avenir Next" w:cs="Arial"/>
          <w:color w:val="808080" w:themeColor="background1" w:themeShade="80"/>
          <w:sz w:val="22"/>
          <w:szCs w:val="22"/>
          <w:lang w:val="en-GB"/>
        </w:rPr>
        <w:t xml:space="preserve"> seek cooperation and coordination </w:t>
      </w:r>
      <w:r>
        <w:rPr>
          <w:rFonts w:ascii="Avenir Next" w:hAnsi="Avenir Next" w:cs="Arial"/>
          <w:color w:val="808080" w:themeColor="background1" w:themeShade="80"/>
          <w:sz w:val="22"/>
          <w:szCs w:val="22"/>
          <w:lang w:val="en-GB"/>
        </w:rPr>
        <w:t>under</w:t>
      </w:r>
      <w:r w:rsidRPr="003D0091">
        <w:rPr>
          <w:rFonts w:ascii="Avenir Next" w:hAnsi="Avenir Next" w:cs="Arial"/>
          <w:color w:val="808080" w:themeColor="background1" w:themeShade="80"/>
          <w:sz w:val="22"/>
          <w:szCs w:val="22"/>
          <w:lang w:val="en-GB"/>
        </w:rPr>
        <w:t xml:space="preserve"> Articles 25, 26 and 27 of the Model Law.</w:t>
      </w:r>
      <w:r>
        <w:rPr>
          <w:rFonts w:ascii="Avenir Next" w:hAnsi="Avenir Next" w:cs="Arial"/>
          <w:color w:val="808080" w:themeColor="background1" w:themeShade="80"/>
          <w:sz w:val="22"/>
          <w:szCs w:val="22"/>
          <w:lang w:val="en-GB"/>
        </w:rPr>
        <w:t xml:space="preserve"> </w:t>
      </w:r>
      <w:r w:rsidR="00440DF7" w:rsidRPr="00440DF7">
        <w:rPr>
          <w:rFonts w:ascii="Avenir Next" w:hAnsi="Avenir Next" w:cs="Arial"/>
          <w:color w:val="808080" w:themeColor="background1" w:themeShade="80"/>
          <w:sz w:val="22"/>
          <w:szCs w:val="22"/>
          <w:lang w:val="en-GB"/>
        </w:rPr>
        <w:t>The domestic procedure has a superior hierarchy in relation to the foreign proce</w:t>
      </w:r>
      <w:r w:rsidR="00366466">
        <w:rPr>
          <w:rFonts w:ascii="Avenir Next" w:hAnsi="Avenir Next" w:cs="Arial"/>
          <w:color w:val="808080" w:themeColor="background1" w:themeShade="80"/>
          <w:sz w:val="22"/>
          <w:szCs w:val="22"/>
          <w:lang w:val="en-GB"/>
        </w:rPr>
        <w:t>eding</w:t>
      </w:r>
      <w:r w:rsidR="00440DF7" w:rsidRPr="00440DF7">
        <w:rPr>
          <w:rFonts w:ascii="Avenir Next" w:hAnsi="Avenir Next" w:cs="Arial"/>
          <w:color w:val="808080" w:themeColor="background1" w:themeShade="80"/>
          <w:sz w:val="22"/>
          <w:szCs w:val="22"/>
          <w:lang w:val="en-GB"/>
        </w:rPr>
        <w:t>, due to the supremacy of the domestic insolvency procedure.</w:t>
      </w:r>
      <w:r w:rsidR="00366466">
        <w:rPr>
          <w:rFonts w:ascii="Avenir Next" w:hAnsi="Avenir Next" w:cs="Arial"/>
          <w:color w:val="808080" w:themeColor="background1" w:themeShade="80"/>
          <w:sz w:val="22"/>
          <w:szCs w:val="22"/>
          <w:lang w:val="en-GB"/>
        </w:rPr>
        <w:t xml:space="preserve"> </w:t>
      </w:r>
      <w:r w:rsidR="000452CD">
        <w:rPr>
          <w:rFonts w:ascii="Avenir Next" w:hAnsi="Avenir Next" w:cs="Arial"/>
          <w:color w:val="808080" w:themeColor="background1" w:themeShade="80"/>
          <w:sz w:val="22"/>
          <w:szCs w:val="22"/>
          <w:lang w:val="en-GB"/>
        </w:rPr>
        <w:t>In this case, a</w:t>
      </w:r>
      <w:r w:rsidR="00366466">
        <w:rPr>
          <w:rFonts w:ascii="Avenir Next" w:hAnsi="Avenir Next" w:cs="Arial"/>
          <w:color w:val="808080" w:themeColor="background1" w:themeShade="80"/>
          <w:sz w:val="22"/>
          <w:szCs w:val="22"/>
          <w:lang w:val="en-GB"/>
        </w:rPr>
        <w:t xml:space="preserve">ccording to </w:t>
      </w:r>
      <w:r w:rsidR="00366466" w:rsidRPr="00366466">
        <w:rPr>
          <w:rFonts w:ascii="Avenir Next" w:hAnsi="Avenir Next" w:cs="Arial"/>
          <w:color w:val="808080" w:themeColor="background1" w:themeShade="80"/>
          <w:sz w:val="22"/>
          <w:szCs w:val="22"/>
          <w:lang w:val="en-GB"/>
        </w:rPr>
        <w:t>DECLERCQ</w:t>
      </w:r>
      <w:r w:rsidR="002870D7">
        <w:rPr>
          <w:rFonts w:ascii="Avenir Next" w:hAnsi="Avenir Next" w:cs="Arial"/>
          <w:color w:val="808080" w:themeColor="background1" w:themeShade="80"/>
          <w:sz w:val="22"/>
          <w:szCs w:val="22"/>
          <w:lang w:val="en-GB"/>
        </w:rPr>
        <w:t>, “</w:t>
      </w:r>
      <w:r w:rsidR="009E5162" w:rsidRPr="009E5162">
        <w:rPr>
          <w:rFonts w:ascii="Avenir Next" w:hAnsi="Avenir Next" w:cs="Arial"/>
          <w:color w:val="808080" w:themeColor="background1" w:themeShade="80"/>
          <w:sz w:val="22"/>
          <w:szCs w:val="22"/>
          <w:lang w:val="en-GB"/>
        </w:rPr>
        <w:t>any relief granted either on an interim basis based on Article 19, or post</w:t>
      </w:r>
      <w:r w:rsidR="009E5162">
        <w:rPr>
          <w:rFonts w:ascii="Avenir Next" w:hAnsi="Avenir Next" w:cs="Arial"/>
          <w:color w:val="808080" w:themeColor="background1" w:themeShade="80"/>
          <w:sz w:val="22"/>
          <w:szCs w:val="22"/>
          <w:lang w:val="en-GB"/>
        </w:rPr>
        <w:t>-</w:t>
      </w:r>
      <w:r w:rsidR="009E5162" w:rsidRPr="009E5162">
        <w:rPr>
          <w:rFonts w:ascii="Avenir Next" w:hAnsi="Avenir Next" w:cs="Arial"/>
          <w:color w:val="808080" w:themeColor="background1" w:themeShade="80"/>
          <w:sz w:val="22"/>
          <w:szCs w:val="22"/>
          <w:lang w:val="en-GB"/>
        </w:rPr>
        <w:t>recognition based on Article 21, must be consistent with the domestic insolvency proceedings.</w:t>
      </w:r>
      <w:r w:rsidR="009E5162">
        <w:rPr>
          <w:rFonts w:ascii="Avenir Next" w:hAnsi="Avenir Next" w:cs="Arial"/>
          <w:color w:val="808080" w:themeColor="background1" w:themeShade="80"/>
          <w:sz w:val="22"/>
          <w:szCs w:val="22"/>
          <w:lang w:val="en-GB"/>
        </w:rPr>
        <w:t xml:space="preserve"> </w:t>
      </w:r>
      <w:r w:rsidR="009E5162" w:rsidRPr="009E5162">
        <w:rPr>
          <w:rFonts w:ascii="Avenir Next" w:hAnsi="Avenir Next" w:cs="Arial"/>
          <w:color w:val="808080" w:themeColor="background1" w:themeShade="80"/>
          <w:sz w:val="22"/>
          <w:szCs w:val="22"/>
          <w:lang w:val="en-GB"/>
        </w:rPr>
        <w:t>In the case of a foreign main proceeding, the automatic relief of Article 20 does not apply</w:t>
      </w:r>
      <w:r w:rsidR="009E5162">
        <w:rPr>
          <w:rFonts w:ascii="Avenir Next" w:hAnsi="Avenir Next" w:cs="Arial"/>
          <w:color w:val="808080" w:themeColor="background1" w:themeShade="80"/>
          <w:sz w:val="22"/>
          <w:szCs w:val="22"/>
          <w:lang w:val="en-GB"/>
        </w:rPr>
        <w:t>”.</w:t>
      </w:r>
      <w:r w:rsidR="009E5162">
        <w:rPr>
          <w:rStyle w:val="Refdenotaderodap"/>
          <w:rFonts w:ascii="Avenir Next" w:hAnsi="Avenir Next" w:cs="Arial"/>
          <w:color w:val="808080" w:themeColor="background1" w:themeShade="80"/>
          <w:sz w:val="22"/>
          <w:szCs w:val="22"/>
          <w:lang w:val="en-GB"/>
        </w:rPr>
        <w:footnoteReference w:id="10"/>
      </w:r>
    </w:p>
    <w:p w14:paraId="100CE5B8" w14:textId="77777777" w:rsidR="0028084E" w:rsidRDefault="0028084E" w:rsidP="009E5162">
      <w:pPr>
        <w:jc w:val="both"/>
        <w:rPr>
          <w:rFonts w:ascii="Avenir Next" w:hAnsi="Avenir Next" w:cs="Arial"/>
          <w:color w:val="808080" w:themeColor="background1" w:themeShade="80"/>
          <w:sz w:val="22"/>
          <w:szCs w:val="22"/>
          <w:lang w:val="en-GB"/>
        </w:rPr>
      </w:pPr>
    </w:p>
    <w:p w14:paraId="70463451" w14:textId="6595AD5E" w:rsidR="0028084E" w:rsidRDefault="0028084E" w:rsidP="003A254A">
      <w:pPr>
        <w:jc w:val="both"/>
        <w:rPr>
          <w:rFonts w:ascii="Avenir Next" w:hAnsi="Avenir Next" w:cs="Arial"/>
          <w:color w:val="808080" w:themeColor="background1" w:themeShade="80"/>
          <w:sz w:val="22"/>
          <w:szCs w:val="22"/>
          <w:lang w:val="en-GB"/>
        </w:rPr>
      </w:pPr>
      <w:r w:rsidRPr="0028084E">
        <w:rPr>
          <w:rFonts w:ascii="Avenir Next" w:hAnsi="Avenir Next" w:cs="Arial"/>
          <w:color w:val="808080" w:themeColor="background1" w:themeShade="80"/>
          <w:sz w:val="22"/>
          <w:szCs w:val="22"/>
          <w:lang w:val="en-GB"/>
        </w:rPr>
        <w:t xml:space="preserve">Furthermore, Article 29(c) provides that when granting, </w:t>
      </w:r>
      <w:proofErr w:type="gramStart"/>
      <w:r w:rsidR="003A254A" w:rsidRPr="003A254A">
        <w:rPr>
          <w:rFonts w:ascii="Avenir Next" w:hAnsi="Avenir Next" w:cs="Arial"/>
          <w:color w:val="808080" w:themeColor="background1" w:themeShade="80"/>
          <w:sz w:val="22"/>
          <w:szCs w:val="22"/>
          <w:lang w:val="en-GB"/>
        </w:rPr>
        <w:t>extending</w:t>
      </w:r>
      <w:proofErr w:type="gramEnd"/>
      <w:r w:rsidR="003A254A" w:rsidRPr="003A254A">
        <w:rPr>
          <w:rFonts w:ascii="Avenir Next" w:hAnsi="Avenir Next" w:cs="Arial"/>
          <w:color w:val="808080" w:themeColor="background1" w:themeShade="80"/>
          <w:sz w:val="22"/>
          <w:szCs w:val="22"/>
          <w:lang w:val="en-GB"/>
        </w:rPr>
        <w:t xml:space="preserve"> or modifying relief granted to a representative of a foreign non-main proceeding, the court</w:t>
      </w:r>
      <w:r w:rsidR="000314E5">
        <w:rPr>
          <w:rFonts w:ascii="Avenir Next" w:hAnsi="Avenir Next" w:cs="Arial"/>
          <w:color w:val="808080" w:themeColor="background1" w:themeShade="80"/>
          <w:sz w:val="22"/>
          <w:szCs w:val="22"/>
          <w:lang w:val="en-GB"/>
        </w:rPr>
        <w:t xml:space="preserve"> in an enacting State</w:t>
      </w:r>
      <w:r w:rsidR="003A254A" w:rsidRPr="003A254A">
        <w:rPr>
          <w:rFonts w:ascii="Avenir Next" w:hAnsi="Avenir Next" w:cs="Arial"/>
          <w:color w:val="808080" w:themeColor="background1" w:themeShade="80"/>
          <w:sz w:val="22"/>
          <w:szCs w:val="22"/>
          <w:lang w:val="en-GB"/>
        </w:rPr>
        <w:t xml:space="preserve"> must be satisfied that the</w:t>
      </w:r>
      <w:r w:rsidR="003A254A">
        <w:rPr>
          <w:rFonts w:ascii="Avenir Next" w:hAnsi="Avenir Next" w:cs="Arial"/>
          <w:color w:val="808080" w:themeColor="background1" w:themeShade="80"/>
          <w:sz w:val="22"/>
          <w:szCs w:val="22"/>
          <w:lang w:val="en-GB"/>
        </w:rPr>
        <w:t xml:space="preserve"> </w:t>
      </w:r>
      <w:r w:rsidR="003A254A" w:rsidRPr="003A254A">
        <w:rPr>
          <w:rFonts w:ascii="Avenir Next" w:hAnsi="Avenir Next" w:cs="Arial"/>
          <w:color w:val="808080" w:themeColor="background1" w:themeShade="80"/>
          <w:sz w:val="22"/>
          <w:szCs w:val="22"/>
          <w:lang w:val="en-GB"/>
        </w:rPr>
        <w:t>relief relates to assets that, under the law of this State, should be administered in the foreign non-main proceeding or concerns information required</w:t>
      </w:r>
      <w:r w:rsidR="003A254A">
        <w:rPr>
          <w:rFonts w:ascii="Avenir Next" w:hAnsi="Avenir Next" w:cs="Arial"/>
          <w:color w:val="808080" w:themeColor="background1" w:themeShade="80"/>
          <w:sz w:val="22"/>
          <w:szCs w:val="22"/>
          <w:lang w:val="en-GB"/>
        </w:rPr>
        <w:t xml:space="preserve"> </w:t>
      </w:r>
      <w:r w:rsidR="003A254A" w:rsidRPr="003A254A">
        <w:rPr>
          <w:rFonts w:ascii="Avenir Next" w:hAnsi="Avenir Next" w:cs="Arial"/>
          <w:color w:val="808080" w:themeColor="background1" w:themeShade="80"/>
          <w:sz w:val="22"/>
          <w:szCs w:val="22"/>
          <w:lang w:val="en-GB"/>
        </w:rPr>
        <w:t>in that proceeding.</w:t>
      </w:r>
      <w:r w:rsidR="003F138E">
        <w:rPr>
          <w:rStyle w:val="Refdenotaderodap"/>
          <w:rFonts w:ascii="Avenir Next" w:hAnsi="Avenir Next" w:cs="Arial"/>
          <w:color w:val="808080" w:themeColor="background1" w:themeShade="80"/>
          <w:sz w:val="22"/>
          <w:szCs w:val="22"/>
          <w:lang w:val="en-GB"/>
        </w:rPr>
        <w:footnoteReference w:id="11"/>
      </w:r>
    </w:p>
    <w:p w14:paraId="5B085FF6" w14:textId="77777777" w:rsidR="009C54E3" w:rsidRDefault="009C54E3" w:rsidP="00707FC8">
      <w:pPr>
        <w:jc w:val="both"/>
        <w:rPr>
          <w:rFonts w:ascii="Avenir Next" w:hAnsi="Avenir Next" w:cs="Arial"/>
          <w:color w:val="808080" w:themeColor="background1" w:themeShade="80"/>
          <w:sz w:val="22"/>
          <w:szCs w:val="22"/>
          <w:lang w:val="en-GB"/>
        </w:rPr>
      </w:pPr>
    </w:p>
    <w:p w14:paraId="396F3E81" w14:textId="54F8775F" w:rsidR="00257437" w:rsidRDefault="00C02522" w:rsidP="00707FC8">
      <w:pPr>
        <w:jc w:val="both"/>
        <w:rPr>
          <w:rFonts w:ascii="Avenir Next" w:hAnsi="Avenir Next" w:cs="Arial"/>
          <w:color w:val="808080" w:themeColor="background1" w:themeShade="80"/>
          <w:sz w:val="22"/>
          <w:szCs w:val="22"/>
          <w:lang w:val="en-GB"/>
        </w:rPr>
      </w:pPr>
      <w:r w:rsidRPr="00C02522">
        <w:rPr>
          <w:rFonts w:ascii="Avenir Next" w:hAnsi="Avenir Next" w:cs="Arial"/>
          <w:color w:val="808080" w:themeColor="background1" w:themeShade="80"/>
          <w:sz w:val="22"/>
          <w:szCs w:val="22"/>
          <w:lang w:val="en-GB"/>
        </w:rPr>
        <w:lastRenderedPageBreak/>
        <w:t xml:space="preserve">From the time of filing the application for recognition of the foreign proceeding, </w:t>
      </w:r>
      <w:r w:rsidR="009C54E3" w:rsidRPr="009C54E3">
        <w:rPr>
          <w:rFonts w:ascii="Avenir Next" w:hAnsi="Avenir Next" w:cs="Arial"/>
          <w:color w:val="808080" w:themeColor="background1" w:themeShade="80"/>
          <w:sz w:val="22"/>
          <w:szCs w:val="22"/>
          <w:lang w:val="en-GB"/>
        </w:rPr>
        <w:t>Article 18 of the Model Law requires that the</w:t>
      </w:r>
      <w:r w:rsidRPr="00C02522">
        <w:rPr>
          <w:rFonts w:ascii="Avenir Next" w:hAnsi="Avenir Next" w:cs="Arial"/>
          <w:color w:val="808080" w:themeColor="background1" w:themeShade="80"/>
          <w:sz w:val="22"/>
          <w:szCs w:val="22"/>
          <w:lang w:val="en-GB"/>
        </w:rPr>
        <w:t xml:space="preserve"> foreign representative</w:t>
      </w:r>
      <w:r>
        <w:rPr>
          <w:rFonts w:ascii="Avenir Next" w:hAnsi="Avenir Next" w:cs="Arial"/>
          <w:color w:val="808080" w:themeColor="background1" w:themeShade="80"/>
          <w:sz w:val="22"/>
          <w:szCs w:val="22"/>
          <w:lang w:val="en-GB"/>
        </w:rPr>
        <w:t xml:space="preserve"> </w:t>
      </w:r>
      <w:r w:rsidR="00E87702" w:rsidRPr="00E87702">
        <w:rPr>
          <w:rFonts w:ascii="Avenir Next" w:hAnsi="Avenir Next" w:cs="Arial"/>
          <w:color w:val="808080" w:themeColor="background1" w:themeShade="80"/>
          <w:sz w:val="22"/>
          <w:szCs w:val="22"/>
          <w:lang w:val="en-GB"/>
        </w:rPr>
        <w:t>has the duty to update the court</w:t>
      </w:r>
      <w:r w:rsidR="00C441E9">
        <w:rPr>
          <w:rFonts w:ascii="Avenir Next" w:hAnsi="Avenir Next" w:cs="Arial"/>
          <w:color w:val="808080" w:themeColor="background1" w:themeShade="80"/>
          <w:sz w:val="22"/>
          <w:szCs w:val="22"/>
          <w:lang w:val="en-GB"/>
        </w:rPr>
        <w:t xml:space="preserve"> in the enacting State</w:t>
      </w:r>
      <w:r w:rsidR="00E87702" w:rsidRPr="00E87702">
        <w:rPr>
          <w:rFonts w:ascii="Avenir Next" w:hAnsi="Avenir Next" w:cs="Arial"/>
          <w:color w:val="808080" w:themeColor="background1" w:themeShade="80"/>
          <w:sz w:val="22"/>
          <w:szCs w:val="22"/>
          <w:lang w:val="en-GB"/>
        </w:rPr>
        <w:t xml:space="preserve"> of any substantial change in the status of the foreign proce</w:t>
      </w:r>
      <w:r w:rsidR="00C441E9">
        <w:rPr>
          <w:rFonts w:ascii="Avenir Next" w:hAnsi="Avenir Next" w:cs="Arial"/>
          <w:color w:val="808080" w:themeColor="background1" w:themeShade="80"/>
          <w:sz w:val="22"/>
          <w:szCs w:val="22"/>
          <w:lang w:val="en-GB"/>
        </w:rPr>
        <w:t>eding</w:t>
      </w:r>
      <w:r w:rsidR="00E87702" w:rsidRPr="00E87702">
        <w:rPr>
          <w:rFonts w:ascii="Avenir Next" w:hAnsi="Avenir Next" w:cs="Arial"/>
          <w:color w:val="808080" w:themeColor="background1" w:themeShade="80"/>
          <w:sz w:val="22"/>
          <w:szCs w:val="22"/>
          <w:lang w:val="en-GB"/>
        </w:rPr>
        <w:t xml:space="preserve"> or </w:t>
      </w:r>
      <w:r w:rsidR="000D3054">
        <w:rPr>
          <w:rFonts w:ascii="Avenir Next" w:hAnsi="Avenir Next" w:cs="Arial"/>
          <w:color w:val="808080" w:themeColor="background1" w:themeShade="80"/>
          <w:sz w:val="22"/>
          <w:szCs w:val="22"/>
          <w:lang w:val="en-GB"/>
        </w:rPr>
        <w:t xml:space="preserve">in the status of the </w:t>
      </w:r>
      <w:r w:rsidR="00E87702" w:rsidRPr="00E87702">
        <w:rPr>
          <w:rFonts w:ascii="Avenir Next" w:hAnsi="Avenir Next" w:cs="Arial"/>
          <w:color w:val="808080" w:themeColor="background1" w:themeShade="80"/>
          <w:sz w:val="22"/>
          <w:szCs w:val="22"/>
          <w:lang w:val="en-GB"/>
        </w:rPr>
        <w:t>foreign representative</w:t>
      </w:r>
      <w:r w:rsidR="000D3054">
        <w:rPr>
          <w:rFonts w:ascii="Avenir Next" w:hAnsi="Avenir Next" w:cs="Arial"/>
          <w:color w:val="808080" w:themeColor="background1" w:themeShade="80"/>
          <w:sz w:val="22"/>
          <w:szCs w:val="22"/>
          <w:lang w:val="en-GB"/>
        </w:rPr>
        <w:t xml:space="preserve">’s </w:t>
      </w:r>
      <w:r w:rsidR="000D3054" w:rsidRPr="000D3054">
        <w:rPr>
          <w:rFonts w:ascii="Avenir Next" w:hAnsi="Avenir Next" w:cs="Arial"/>
          <w:color w:val="808080" w:themeColor="background1" w:themeShade="80"/>
          <w:sz w:val="22"/>
          <w:szCs w:val="22"/>
          <w:lang w:val="en-GB"/>
        </w:rPr>
        <w:t>appointment</w:t>
      </w:r>
      <w:r w:rsidR="00E87702" w:rsidRPr="00E87702">
        <w:rPr>
          <w:rFonts w:ascii="Avenir Next" w:hAnsi="Avenir Next" w:cs="Arial"/>
          <w:color w:val="808080" w:themeColor="background1" w:themeShade="80"/>
          <w:sz w:val="22"/>
          <w:szCs w:val="22"/>
          <w:lang w:val="en-GB"/>
        </w:rPr>
        <w:t>. In addition, the foreign representative must report any other foreign proceedings relating to the same debtor that come to his knowledge.</w:t>
      </w:r>
      <w:r w:rsidR="00F90F17">
        <w:rPr>
          <w:rStyle w:val="Refdenotaderodap"/>
          <w:rFonts w:ascii="Avenir Next" w:hAnsi="Avenir Next" w:cs="Arial"/>
          <w:color w:val="808080" w:themeColor="background1" w:themeShade="80"/>
          <w:sz w:val="22"/>
          <w:szCs w:val="22"/>
          <w:lang w:val="en-GB"/>
        </w:rPr>
        <w:footnoteReference w:id="12"/>
      </w:r>
      <w:r w:rsidR="00F90F17">
        <w:rPr>
          <w:rFonts w:ascii="Avenir Next" w:hAnsi="Avenir Next" w:cs="Arial"/>
          <w:color w:val="808080" w:themeColor="background1" w:themeShade="80"/>
          <w:sz w:val="22"/>
          <w:szCs w:val="22"/>
          <w:lang w:val="en-GB"/>
        </w:rPr>
        <w:t xml:space="preserve"> </w:t>
      </w:r>
    </w:p>
    <w:p w14:paraId="7F4EC8B0" w14:textId="77777777" w:rsidR="00C02522" w:rsidRPr="00E2622D" w:rsidRDefault="00C02522"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A7BDBDE" w:rsidR="00867A8F" w:rsidRDefault="009E155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w:t>
      </w:r>
      <w:r w:rsidR="002F012B">
        <w:rPr>
          <w:rFonts w:ascii="Avenir Next" w:hAnsi="Avenir Next" w:cs="Arial"/>
          <w:color w:val="808080" w:themeColor="background1" w:themeShade="80"/>
          <w:sz w:val="22"/>
          <w:szCs w:val="22"/>
          <w:lang w:val="en-GB"/>
        </w:rPr>
        <w:t xml:space="preserve">g to </w:t>
      </w:r>
      <w:r w:rsidR="00263631" w:rsidRPr="00263631">
        <w:rPr>
          <w:rFonts w:ascii="Avenir Next" w:hAnsi="Avenir Next" w:cs="Arial"/>
          <w:color w:val="808080" w:themeColor="background1" w:themeShade="80"/>
          <w:sz w:val="22"/>
          <w:szCs w:val="22"/>
          <w:lang w:val="en-GB"/>
        </w:rPr>
        <w:t>DECLERCQ</w:t>
      </w:r>
      <w:r w:rsidR="00263631">
        <w:rPr>
          <w:rFonts w:ascii="Avenir Next" w:hAnsi="Avenir Next" w:cs="Arial"/>
          <w:color w:val="808080" w:themeColor="background1" w:themeShade="80"/>
          <w:sz w:val="22"/>
          <w:szCs w:val="22"/>
          <w:lang w:val="en-GB"/>
        </w:rPr>
        <w:t>,</w:t>
      </w:r>
    </w:p>
    <w:p w14:paraId="21D4D0AD" w14:textId="77777777" w:rsidR="002F012B" w:rsidRDefault="002F012B" w:rsidP="00867A8F">
      <w:pPr>
        <w:ind w:left="720" w:hanging="720"/>
        <w:jc w:val="both"/>
        <w:rPr>
          <w:rFonts w:ascii="Avenir Next" w:hAnsi="Avenir Next" w:cs="Arial"/>
          <w:color w:val="808080" w:themeColor="background1" w:themeShade="80"/>
          <w:sz w:val="22"/>
          <w:szCs w:val="22"/>
          <w:lang w:val="en-GB"/>
        </w:rPr>
      </w:pPr>
    </w:p>
    <w:p w14:paraId="43F4EFAC" w14:textId="334EA826" w:rsidR="002F012B" w:rsidRDefault="002F012B" w:rsidP="002F012B">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2F012B">
        <w:rPr>
          <w:rFonts w:ascii="Avenir Next" w:hAnsi="Avenir Next" w:cs="Arial"/>
          <w:color w:val="808080" w:themeColor="background1" w:themeShade="80"/>
          <w:sz w:val="22"/>
          <w:szCs w:val="22"/>
          <w:lang w:val="en-GB"/>
        </w:rPr>
        <w:t xml:space="preserve"> typically, a domestic insolvency proceeding is limited to assets located in the enacting State, in certain situations it may be meaningful for the local insolvency proceeding to also include certain assets abroad, especially when there is no foreign proceeding necessary or available in the foreign State where these foreign assets are situated</w:t>
      </w:r>
      <w:r>
        <w:rPr>
          <w:rFonts w:ascii="Avenir Next" w:hAnsi="Avenir Next" w:cs="Arial"/>
          <w:color w:val="808080" w:themeColor="background1" w:themeShade="80"/>
          <w:sz w:val="22"/>
          <w:szCs w:val="22"/>
          <w:lang w:val="en-GB"/>
        </w:rPr>
        <w:t>”</w:t>
      </w:r>
      <w:r w:rsidRPr="002F012B">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13"/>
      </w:r>
    </w:p>
    <w:p w14:paraId="3228C568" w14:textId="77777777" w:rsidR="002F012B" w:rsidRDefault="002F012B" w:rsidP="00867A8F">
      <w:pPr>
        <w:ind w:left="720" w:hanging="720"/>
        <w:jc w:val="both"/>
        <w:rPr>
          <w:rFonts w:ascii="Avenir Next" w:hAnsi="Avenir Next" w:cs="Arial"/>
          <w:color w:val="808080" w:themeColor="background1" w:themeShade="80"/>
          <w:sz w:val="22"/>
          <w:szCs w:val="22"/>
          <w:lang w:val="en-GB"/>
        </w:rPr>
      </w:pPr>
    </w:p>
    <w:p w14:paraId="51824301" w14:textId="6B5C34E1" w:rsidR="00257437" w:rsidRDefault="003D122A" w:rsidP="00707FC8">
      <w:pPr>
        <w:ind w:left="720" w:hanging="720"/>
        <w:jc w:val="both"/>
        <w:rPr>
          <w:rFonts w:ascii="Avenir Next" w:hAnsi="Avenir Next" w:cs="Arial"/>
          <w:color w:val="808080" w:themeColor="background1" w:themeShade="80"/>
          <w:sz w:val="22"/>
          <w:szCs w:val="22"/>
          <w:lang w:val="en-GB"/>
        </w:rPr>
      </w:pPr>
      <w:r w:rsidRPr="003D122A">
        <w:rPr>
          <w:rFonts w:ascii="Avenir Next" w:hAnsi="Avenir Next" w:cs="Arial"/>
          <w:color w:val="808080" w:themeColor="background1" w:themeShade="80"/>
          <w:sz w:val="22"/>
          <w:szCs w:val="22"/>
          <w:lang w:val="en-GB"/>
        </w:rPr>
        <w:t>Article 9 of the Model Law guarantees access to the foreign representative and creditors to the</w:t>
      </w:r>
      <w:r w:rsidR="001A186F">
        <w:rPr>
          <w:rFonts w:ascii="Avenir Next" w:hAnsi="Avenir Next" w:cs="Arial"/>
          <w:color w:val="808080" w:themeColor="background1" w:themeShade="80"/>
          <w:sz w:val="22"/>
          <w:szCs w:val="22"/>
          <w:lang w:val="en-GB"/>
        </w:rPr>
        <w:t xml:space="preserve"> enacting</w:t>
      </w:r>
      <w:r w:rsidRPr="003D122A">
        <w:rPr>
          <w:rFonts w:ascii="Avenir Next" w:hAnsi="Avenir Next" w:cs="Arial"/>
          <w:color w:val="808080" w:themeColor="background1" w:themeShade="80"/>
          <w:sz w:val="22"/>
          <w:szCs w:val="22"/>
          <w:lang w:val="en-GB"/>
        </w:rPr>
        <w:t xml:space="preserve"> State court. In turn, Article 12 guarantees the right of the foreign representative to participate in the proce</w:t>
      </w:r>
      <w:r w:rsidR="001A186F">
        <w:rPr>
          <w:rFonts w:ascii="Avenir Next" w:hAnsi="Avenir Next" w:cs="Arial"/>
          <w:color w:val="808080" w:themeColor="background1" w:themeShade="80"/>
          <w:sz w:val="22"/>
          <w:szCs w:val="22"/>
          <w:lang w:val="en-GB"/>
        </w:rPr>
        <w:t>eding</w:t>
      </w:r>
      <w:r w:rsidRPr="003D122A">
        <w:rPr>
          <w:rFonts w:ascii="Avenir Next" w:hAnsi="Avenir Next" w:cs="Arial"/>
          <w:color w:val="808080" w:themeColor="background1" w:themeShade="80"/>
          <w:sz w:val="22"/>
          <w:szCs w:val="22"/>
          <w:lang w:val="en-GB"/>
        </w:rPr>
        <w:t xml:space="preserve"> under the law of the </w:t>
      </w:r>
      <w:r w:rsidR="001A186F">
        <w:rPr>
          <w:rFonts w:ascii="Avenir Next" w:hAnsi="Avenir Next" w:cs="Arial"/>
          <w:color w:val="808080" w:themeColor="background1" w:themeShade="80"/>
          <w:sz w:val="22"/>
          <w:szCs w:val="22"/>
          <w:lang w:val="en-GB"/>
        </w:rPr>
        <w:t xml:space="preserve">enacting </w:t>
      </w:r>
      <w:r w:rsidRPr="003D122A">
        <w:rPr>
          <w:rFonts w:ascii="Avenir Next" w:hAnsi="Avenir Next" w:cs="Arial"/>
          <w:color w:val="808080" w:themeColor="background1" w:themeShade="80"/>
          <w:sz w:val="22"/>
          <w:szCs w:val="22"/>
          <w:lang w:val="en-GB"/>
        </w:rPr>
        <w:t xml:space="preserve">State. </w:t>
      </w:r>
      <w:r w:rsidR="001A186F" w:rsidRPr="00263631">
        <w:rPr>
          <w:rFonts w:ascii="Avenir Next" w:hAnsi="Avenir Next" w:cs="Arial"/>
          <w:color w:val="808080" w:themeColor="background1" w:themeShade="80"/>
          <w:sz w:val="22"/>
          <w:szCs w:val="22"/>
          <w:lang w:val="en-GB"/>
        </w:rPr>
        <w:t>DECLERCQ</w:t>
      </w:r>
      <w:r w:rsidR="001A186F" w:rsidRPr="003D122A">
        <w:rPr>
          <w:rFonts w:ascii="Avenir Next" w:hAnsi="Avenir Next" w:cs="Arial"/>
          <w:color w:val="808080" w:themeColor="background1" w:themeShade="80"/>
          <w:sz w:val="22"/>
          <w:szCs w:val="22"/>
          <w:lang w:val="en-GB"/>
        </w:rPr>
        <w:t xml:space="preserve"> </w:t>
      </w:r>
      <w:r w:rsidRPr="003D122A">
        <w:rPr>
          <w:rFonts w:ascii="Avenir Next" w:hAnsi="Avenir Next" w:cs="Arial"/>
          <w:color w:val="808080" w:themeColor="background1" w:themeShade="80"/>
          <w:sz w:val="22"/>
          <w:szCs w:val="22"/>
          <w:lang w:val="en-GB"/>
        </w:rPr>
        <w:t>says that:</w:t>
      </w:r>
    </w:p>
    <w:p w14:paraId="12225510" w14:textId="77777777" w:rsidR="001A186F" w:rsidRDefault="001A186F" w:rsidP="00707FC8">
      <w:pPr>
        <w:ind w:left="720" w:hanging="720"/>
        <w:jc w:val="both"/>
        <w:rPr>
          <w:rFonts w:ascii="Avenir Next" w:hAnsi="Avenir Next" w:cs="Arial"/>
          <w:color w:val="808080" w:themeColor="background1" w:themeShade="80"/>
          <w:sz w:val="22"/>
          <w:szCs w:val="22"/>
          <w:lang w:val="en-GB"/>
        </w:rPr>
      </w:pPr>
    </w:p>
    <w:p w14:paraId="110165E2" w14:textId="177EFD24" w:rsidR="00D4309F" w:rsidRDefault="00D4309F" w:rsidP="00D4309F">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D4309F">
        <w:rPr>
          <w:rFonts w:ascii="Avenir Next" w:hAnsi="Avenir Next" w:cs="Arial"/>
          <w:color w:val="808080" w:themeColor="background1" w:themeShade="80"/>
          <w:sz w:val="22"/>
          <w:szCs w:val="22"/>
          <w:lang w:val="en-GB"/>
        </w:rPr>
        <w:t xml:space="preserve">Article 12 is another article that provides the foreign representative with standing, but this time recognition of the foreign proceeding is required for this standing to be available. When a domestic insolvency proceeding in the enacting State is opened in respect of the </w:t>
      </w:r>
      <w:proofErr w:type="gramStart"/>
      <w:r w:rsidRPr="00D4309F">
        <w:rPr>
          <w:rFonts w:ascii="Avenir Next" w:hAnsi="Avenir Next" w:cs="Arial"/>
          <w:color w:val="808080" w:themeColor="background1" w:themeShade="80"/>
          <w:sz w:val="22"/>
          <w:szCs w:val="22"/>
          <w:lang w:val="en-GB"/>
        </w:rPr>
        <w:t>debtor, and</w:t>
      </w:r>
      <w:proofErr w:type="gramEnd"/>
      <w:r w:rsidRPr="00D4309F">
        <w:rPr>
          <w:rFonts w:ascii="Avenir Next" w:hAnsi="Avenir Next" w:cs="Arial"/>
          <w:color w:val="808080" w:themeColor="background1" w:themeShade="80"/>
          <w:sz w:val="22"/>
          <w:szCs w:val="22"/>
          <w:lang w:val="en-GB"/>
        </w:rPr>
        <w:t xml:space="preserve"> following recognition of the foreign proceeding in the enacting State, the foreign representative will have standing to make petitions, requests or submissions concerning issues such as the protection, realisation or distribution of assets or co-operation with the foreign proceeding. However, article 12 does not vest the foreign representative with any specific powers or rights</w:t>
      </w:r>
      <w:r>
        <w:rPr>
          <w:rFonts w:ascii="Avenir Next" w:hAnsi="Avenir Next" w:cs="Arial"/>
          <w:color w:val="808080" w:themeColor="background1" w:themeShade="80"/>
          <w:sz w:val="22"/>
          <w:szCs w:val="22"/>
          <w:lang w:val="en-GB"/>
        </w:rPr>
        <w:t>”</w:t>
      </w:r>
      <w:r w:rsidRPr="00D4309F">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14"/>
      </w:r>
    </w:p>
    <w:p w14:paraId="23E35AEB" w14:textId="77777777" w:rsidR="00D4309F" w:rsidRDefault="00D4309F" w:rsidP="00707FC8">
      <w:pPr>
        <w:ind w:left="720" w:hanging="720"/>
        <w:jc w:val="both"/>
        <w:rPr>
          <w:rFonts w:ascii="Avenir Next" w:hAnsi="Avenir Next" w:cs="Arial"/>
          <w:color w:val="808080" w:themeColor="background1" w:themeShade="80"/>
          <w:sz w:val="22"/>
          <w:szCs w:val="22"/>
          <w:lang w:val="en-GB"/>
        </w:rPr>
      </w:pPr>
    </w:p>
    <w:p w14:paraId="5CD83E20" w14:textId="3428CAAF" w:rsidR="00EA6D31" w:rsidRDefault="001D3CA5" w:rsidP="00707FC8">
      <w:pPr>
        <w:ind w:left="720" w:hanging="720"/>
        <w:jc w:val="both"/>
        <w:rPr>
          <w:rFonts w:ascii="Avenir Next" w:hAnsi="Avenir Next" w:cs="Arial"/>
          <w:color w:val="808080" w:themeColor="background1" w:themeShade="80"/>
          <w:sz w:val="22"/>
          <w:szCs w:val="22"/>
          <w:lang w:val="en-GB"/>
        </w:rPr>
      </w:pPr>
      <w:r w:rsidRPr="001D3CA5">
        <w:rPr>
          <w:rFonts w:ascii="Avenir Next" w:hAnsi="Avenir Next" w:cs="Arial"/>
          <w:color w:val="808080" w:themeColor="background1" w:themeShade="80"/>
          <w:sz w:val="22"/>
          <w:szCs w:val="22"/>
          <w:lang w:val="en-GB"/>
        </w:rPr>
        <w:t>Once the foreign representative's access to the State's court has been established, Article 27(c) of the Model Law provides for the possibility of co-operation in relation to the debtor's assets.</w:t>
      </w:r>
    </w:p>
    <w:p w14:paraId="07DCA823" w14:textId="77777777" w:rsidR="001D3CA5" w:rsidRDefault="001D3CA5" w:rsidP="00707FC8">
      <w:pPr>
        <w:ind w:left="720" w:hanging="720"/>
        <w:jc w:val="both"/>
        <w:rPr>
          <w:rFonts w:ascii="Avenir Next" w:hAnsi="Avenir Next" w:cs="Arial"/>
          <w:color w:val="808080" w:themeColor="background1" w:themeShade="80"/>
          <w:sz w:val="22"/>
          <w:szCs w:val="22"/>
          <w:lang w:val="en-GB"/>
        </w:rPr>
      </w:pPr>
    </w:p>
    <w:p w14:paraId="2FA1649C" w14:textId="6D5E9B16" w:rsidR="003707BC" w:rsidRDefault="00977574" w:rsidP="00707FC8">
      <w:pPr>
        <w:ind w:left="720" w:hanging="720"/>
        <w:jc w:val="both"/>
        <w:rPr>
          <w:rFonts w:ascii="Avenir Next" w:hAnsi="Avenir Next" w:cs="Arial"/>
          <w:color w:val="808080" w:themeColor="background1" w:themeShade="80"/>
          <w:sz w:val="22"/>
          <w:szCs w:val="22"/>
          <w:lang w:val="en-GB"/>
        </w:rPr>
      </w:pPr>
      <w:r w:rsidRPr="00977574">
        <w:rPr>
          <w:rFonts w:ascii="Avenir Next" w:hAnsi="Avenir Next" w:cs="Arial"/>
          <w:color w:val="808080" w:themeColor="background1" w:themeShade="80"/>
          <w:sz w:val="22"/>
          <w:szCs w:val="22"/>
          <w:lang w:val="en-GB"/>
        </w:rPr>
        <w:lastRenderedPageBreak/>
        <w:t>Co-operation allows the alignment of measures taken in insolvency proceedings involving the same debtor. In this way, rights in both processes benefit from the gain of legal certainty and a greater chance of success in the insolvency procedure.</w:t>
      </w:r>
    </w:p>
    <w:p w14:paraId="005FCA0B" w14:textId="77777777" w:rsidR="003707BC" w:rsidRPr="00E2622D" w:rsidRDefault="003707BC"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53BC8319" w:rsidR="00867A8F" w:rsidRDefault="00B14F32"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the foreign proceeding opened in State B is qualify as a “foreign proceeding”</w:t>
      </w:r>
      <w:r w:rsidR="005819C7">
        <w:rPr>
          <w:rFonts w:ascii="Avenir Next" w:hAnsi="Avenir Next" w:cs="Arial"/>
          <w:color w:val="808080" w:themeColor="background1" w:themeShade="80"/>
          <w:sz w:val="22"/>
          <w:szCs w:val="22"/>
          <w:lang w:val="en-GB"/>
        </w:rPr>
        <w:t xml:space="preserve"> within the meaning of </w:t>
      </w:r>
      <w:r w:rsidR="0005722B">
        <w:rPr>
          <w:rFonts w:ascii="Avenir Next" w:hAnsi="Avenir Next" w:cs="Arial"/>
          <w:color w:val="808080" w:themeColor="background1" w:themeShade="80"/>
          <w:sz w:val="22"/>
          <w:szCs w:val="22"/>
          <w:lang w:val="en-GB"/>
        </w:rPr>
        <w:t>A</w:t>
      </w:r>
      <w:r w:rsidR="005819C7">
        <w:rPr>
          <w:rFonts w:ascii="Avenir Next" w:hAnsi="Avenir Next" w:cs="Arial"/>
          <w:color w:val="808080" w:themeColor="background1" w:themeShade="80"/>
          <w:sz w:val="22"/>
          <w:szCs w:val="22"/>
          <w:lang w:val="en-GB"/>
        </w:rPr>
        <w:t xml:space="preserve">rticle 2(a) of the Model Law and that </w:t>
      </w:r>
      <w:r w:rsidR="00F35862">
        <w:rPr>
          <w:rFonts w:ascii="Avenir Next" w:hAnsi="Avenir Next" w:cs="Arial"/>
          <w:color w:val="808080" w:themeColor="background1" w:themeShade="80"/>
          <w:sz w:val="22"/>
          <w:szCs w:val="22"/>
          <w:lang w:val="en-GB"/>
        </w:rPr>
        <w:t xml:space="preserve">the applicant </w:t>
      </w:r>
      <w:r w:rsidR="0094182B">
        <w:rPr>
          <w:rFonts w:ascii="Avenir Next" w:hAnsi="Avenir Next" w:cs="Arial"/>
          <w:color w:val="808080" w:themeColor="background1" w:themeShade="80"/>
          <w:sz w:val="22"/>
          <w:szCs w:val="22"/>
          <w:lang w:val="en-GB"/>
        </w:rPr>
        <w:t xml:space="preserve">is qualify as “foreign representative” </w:t>
      </w:r>
      <w:r w:rsidR="00812CD7">
        <w:rPr>
          <w:rFonts w:ascii="Avenir Next" w:hAnsi="Avenir Next" w:cs="Arial"/>
          <w:color w:val="808080" w:themeColor="background1" w:themeShade="80"/>
          <w:sz w:val="22"/>
          <w:szCs w:val="22"/>
          <w:lang w:val="en-GB"/>
        </w:rPr>
        <w:t xml:space="preserve">within the meaning of </w:t>
      </w:r>
      <w:r w:rsidR="0005722B">
        <w:rPr>
          <w:rFonts w:ascii="Avenir Next" w:hAnsi="Avenir Next" w:cs="Arial"/>
          <w:color w:val="808080" w:themeColor="background1" w:themeShade="80"/>
          <w:sz w:val="22"/>
          <w:szCs w:val="22"/>
          <w:lang w:val="en-GB"/>
        </w:rPr>
        <w:t>A</w:t>
      </w:r>
      <w:r w:rsidR="00812CD7">
        <w:rPr>
          <w:rFonts w:ascii="Avenir Next" w:hAnsi="Avenir Next" w:cs="Arial"/>
          <w:color w:val="808080" w:themeColor="background1" w:themeShade="80"/>
          <w:sz w:val="22"/>
          <w:szCs w:val="22"/>
          <w:lang w:val="en-GB"/>
        </w:rPr>
        <w:t>rticle(d) of the Model Law</w:t>
      </w:r>
      <w:r w:rsidR="003157F3">
        <w:rPr>
          <w:rFonts w:ascii="Avenir Next" w:hAnsi="Avenir Next" w:cs="Arial"/>
          <w:color w:val="808080" w:themeColor="background1" w:themeShade="80"/>
          <w:sz w:val="22"/>
          <w:szCs w:val="22"/>
          <w:lang w:val="en-GB"/>
        </w:rPr>
        <w:t xml:space="preserve">, </w:t>
      </w:r>
      <w:r w:rsidR="00656B78" w:rsidRPr="00656B78">
        <w:rPr>
          <w:rFonts w:ascii="Avenir Next" w:hAnsi="Avenir Next" w:cs="Arial"/>
          <w:color w:val="808080" w:themeColor="background1" w:themeShade="80"/>
          <w:sz w:val="22"/>
          <w:szCs w:val="22"/>
          <w:lang w:val="en-GB"/>
        </w:rPr>
        <w:t>the conditions provided for, respectively, in Article 17(1)(a) and 17(1)(b) of the Model Law would be fulfilled.</w:t>
      </w:r>
    </w:p>
    <w:p w14:paraId="7E5D96C4" w14:textId="77777777" w:rsidR="00CB351C" w:rsidRDefault="00CB351C" w:rsidP="00867A8F">
      <w:pPr>
        <w:ind w:left="720" w:hanging="720"/>
        <w:jc w:val="both"/>
        <w:rPr>
          <w:rFonts w:ascii="Avenir Next" w:hAnsi="Avenir Next" w:cs="Arial"/>
          <w:color w:val="808080" w:themeColor="background1" w:themeShade="80"/>
          <w:sz w:val="22"/>
          <w:szCs w:val="22"/>
          <w:lang w:val="en-GB"/>
        </w:rPr>
      </w:pPr>
    </w:p>
    <w:p w14:paraId="045A6642" w14:textId="1E3AB405" w:rsidR="000A703C" w:rsidRDefault="000A703C" w:rsidP="000A703C">
      <w:pPr>
        <w:ind w:left="720" w:hanging="720"/>
        <w:jc w:val="both"/>
        <w:rPr>
          <w:rFonts w:ascii="Avenir Next" w:hAnsi="Avenir Next" w:cs="Arial"/>
          <w:color w:val="808080" w:themeColor="background1" w:themeShade="80"/>
          <w:sz w:val="22"/>
          <w:szCs w:val="22"/>
          <w:lang w:val="en-GB"/>
        </w:rPr>
      </w:pPr>
      <w:r w:rsidRPr="000A703C">
        <w:rPr>
          <w:rFonts w:ascii="Avenir Next" w:hAnsi="Avenir Next" w:cs="Arial"/>
          <w:color w:val="808080" w:themeColor="background1" w:themeShade="80"/>
          <w:sz w:val="22"/>
          <w:szCs w:val="22"/>
          <w:lang w:val="en-GB"/>
        </w:rPr>
        <w:t xml:space="preserve">The requirements of </w:t>
      </w:r>
      <w:r w:rsidR="0005722B">
        <w:rPr>
          <w:rFonts w:ascii="Avenir Next" w:hAnsi="Avenir Next" w:cs="Arial"/>
          <w:color w:val="808080" w:themeColor="background1" w:themeShade="80"/>
          <w:sz w:val="22"/>
          <w:szCs w:val="22"/>
          <w:lang w:val="en-GB"/>
        </w:rPr>
        <w:t>A</w:t>
      </w:r>
      <w:r w:rsidRPr="000A703C">
        <w:rPr>
          <w:rFonts w:ascii="Avenir Next" w:hAnsi="Avenir Next" w:cs="Arial"/>
          <w:color w:val="808080" w:themeColor="background1" w:themeShade="80"/>
          <w:sz w:val="22"/>
          <w:szCs w:val="22"/>
          <w:lang w:val="en-GB"/>
        </w:rPr>
        <w:t xml:space="preserve">rticle 15 of the Model Law must also be met for the foreign </w:t>
      </w:r>
      <w:r w:rsidR="00DE24D5">
        <w:rPr>
          <w:rFonts w:ascii="Avenir Next" w:hAnsi="Avenir Next" w:cs="Arial"/>
          <w:color w:val="808080" w:themeColor="background1" w:themeShade="80"/>
          <w:sz w:val="22"/>
          <w:szCs w:val="22"/>
          <w:lang w:val="en-GB"/>
        </w:rPr>
        <w:t>proceeding</w:t>
      </w:r>
      <w:r w:rsidRPr="000A703C">
        <w:rPr>
          <w:rFonts w:ascii="Avenir Next" w:hAnsi="Avenir Next" w:cs="Arial"/>
          <w:color w:val="808080" w:themeColor="background1" w:themeShade="80"/>
          <w:sz w:val="22"/>
          <w:szCs w:val="22"/>
          <w:lang w:val="en-GB"/>
        </w:rPr>
        <w:t xml:space="preserve"> to be recognized under </w:t>
      </w:r>
      <w:r w:rsidR="0005722B">
        <w:rPr>
          <w:rFonts w:ascii="Avenir Next" w:hAnsi="Avenir Next" w:cs="Arial"/>
          <w:color w:val="808080" w:themeColor="background1" w:themeShade="80"/>
          <w:sz w:val="22"/>
          <w:szCs w:val="22"/>
          <w:lang w:val="en-GB"/>
        </w:rPr>
        <w:t>A</w:t>
      </w:r>
      <w:r w:rsidRPr="000A703C">
        <w:rPr>
          <w:rFonts w:ascii="Avenir Next" w:hAnsi="Avenir Next" w:cs="Arial"/>
          <w:color w:val="808080" w:themeColor="background1" w:themeShade="80"/>
          <w:sz w:val="22"/>
          <w:szCs w:val="22"/>
          <w:lang w:val="en-GB"/>
        </w:rPr>
        <w:t>rticle 17(1)(c)</w:t>
      </w:r>
      <w:r w:rsidR="00DE24D5">
        <w:rPr>
          <w:rFonts w:ascii="Avenir Next" w:hAnsi="Avenir Next" w:cs="Arial"/>
          <w:color w:val="808080" w:themeColor="background1" w:themeShade="80"/>
          <w:sz w:val="22"/>
          <w:szCs w:val="22"/>
          <w:lang w:val="en-GB"/>
        </w:rPr>
        <w:t xml:space="preserve"> of the Model Law</w:t>
      </w:r>
      <w:r w:rsidRPr="000A703C">
        <w:rPr>
          <w:rFonts w:ascii="Avenir Next" w:hAnsi="Avenir Next" w:cs="Arial"/>
          <w:color w:val="808080" w:themeColor="background1" w:themeShade="80"/>
          <w:sz w:val="22"/>
          <w:szCs w:val="22"/>
          <w:lang w:val="en-GB"/>
        </w:rPr>
        <w:t>.</w:t>
      </w:r>
    </w:p>
    <w:p w14:paraId="5E9684B8" w14:textId="77777777" w:rsidR="00325EB4" w:rsidRDefault="00325EB4" w:rsidP="000A703C">
      <w:pPr>
        <w:ind w:left="720" w:hanging="720"/>
        <w:jc w:val="both"/>
        <w:rPr>
          <w:rFonts w:ascii="Avenir Next" w:hAnsi="Avenir Next" w:cs="Arial"/>
          <w:color w:val="808080" w:themeColor="background1" w:themeShade="80"/>
          <w:sz w:val="22"/>
          <w:szCs w:val="22"/>
          <w:lang w:val="en-GB"/>
        </w:rPr>
      </w:pPr>
    </w:p>
    <w:p w14:paraId="58912A78" w14:textId="1D9342EE" w:rsidR="00325EB4" w:rsidRPr="000A703C" w:rsidRDefault="001C3837" w:rsidP="00032139">
      <w:pPr>
        <w:ind w:left="720" w:hanging="720"/>
        <w:jc w:val="both"/>
        <w:rPr>
          <w:rFonts w:ascii="Avenir Next" w:hAnsi="Avenir Next" w:cs="Arial"/>
          <w:color w:val="808080" w:themeColor="background1" w:themeShade="80"/>
          <w:sz w:val="22"/>
          <w:szCs w:val="22"/>
          <w:lang w:val="en-GB"/>
        </w:rPr>
      </w:pPr>
      <w:r w:rsidRPr="001C3837">
        <w:rPr>
          <w:rFonts w:ascii="Avenir Next" w:hAnsi="Avenir Next" w:cs="Arial"/>
          <w:color w:val="808080" w:themeColor="background1" w:themeShade="80"/>
          <w:sz w:val="22"/>
          <w:szCs w:val="22"/>
          <w:lang w:val="en-GB"/>
        </w:rPr>
        <w:t>Article 15(2) requires that the application be accompanied by one of the following documents:</w:t>
      </w:r>
      <w:r>
        <w:rPr>
          <w:rFonts w:ascii="Avenir Next" w:hAnsi="Avenir Next" w:cs="Arial"/>
          <w:color w:val="808080" w:themeColor="background1" w:themeShade="80"/>
          <w:sz w:val="22"/>
          <w:szCs w:val="22"/>
          <w:lang w:val="en-GB"/>
        </w:rPr>
        <w:t xml:space="preserve"> (a) </w:t>
      </w:r>
      <w:r w:rsidR="00032139" w:rsidRPr="00032139">
        <w:rPr>
          <w:rFonts w:ascii="Avenir Next" w:hAnsi="Avenir Next" w:cs="Arial"/>
          <w:color w:val="808080" w:themeColor="background1" w:themeShade="80"/>
          <w:sz w:val="22"/>
          <w:szCs w:val="22"/>
          <w:lang w:val="en-GB"/>
        </w:rPr>
        <w:t>A certified copy of the decision commencing the foreign proceeding and appointing the foreign</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representative; or</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(b) A certificate from the foreign court affirming the existence of the</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foreign proceeding and of the appointment of the foreign representative; or</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(c) In the absence of evidence referred to in subparagraphs (a) and (b),</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any other evidence acceptable to the court of the existence of the foreign</w:t>
      </w:r>
      <w:r w:rsidR="00032139">
        <w:rPr>
          <w:rFonts w:ascii="Avenir Next" w:hAnsi="Avenir Next" w:cs="Arial"/>
          <w:color w:val="808080" w:themeColor="background1" w:themeShade="80"/>
          <w:sz w:val="22"/>
          <w:szCs w:val="22"/>
          <w:lang w:val="en-GB"/>
        </w:rPr>
        <w:t xml:space="preserve"> </w:t>
      </w:r>
      <w:r w:rsidR="00032139" w:rsidRPr="00032139">
        <w:rPr>
          <w:rFonts w:ascii="Avenir Next" w:hAnsi="Avenir Next" w:cs="Arial"/>
          <w:color w:val="808080" w:themeColor="background1" w:themeShade="80"/>
          <w:sz w:val="22"/>
          <w:szCs w:val="22"/>
          <w:lang w:val="en-GB"/>
        </w:rPr>
        <w:t>proceeding and of the appointment of the foreign representative.</w:t>
      </w:r>
      <w:r w:rsidR="00481321">
        <w:rPr>
          <w:rStyle w:val="Refdenotaderodap"/>
          <w:rFonts w:ascii="Avenir Next" w:hAnsi="Avenir Next" w:cs="Arial"/>
          <w:color w:val="808080" w:themeColor="background1" w:themeShade="80"/>
          <w:sz w:val="22"/>
          <w:szCs w:val="22"/>
          <w:lang w:val="en-GB"/>
        </w:rPr>
        <w:footnoteReference w:id="15"/>
      </w:r>
    </w:p>
    <w:p w14:paraId="1B11A6F4" w14:textId="77777777" w:rsidR="000A703C" w:rsidRDefault="000A703C" w:rsidP="000A703C">
      <w:pPr>
        <w:ind w:left="720" w:hanging="720"/>
        <w:jc w:val="both"/>
        <w:rPr>
          <w:rFonts w:ascii="Avenir Next" w:hAnsi="Avenir Next" w:cs="Arial"/>
          <w:color w:val="808080" w:themeColor="background1" w:themeShade="80"/>
          <w:sz w:val="22"/>
          <w:szCs w:val="22"/>
          <w:lang w:val="en-GB"/>
        </w:rPr>
      </w:pPr>
    </w:p>
    <w:p w14:paraId="6D41AF73" w14:textId="51C25379" w:rsidR="0053765B" w:rsidRDefault="00AC724C" w:rsidP="0053765B">
      <w:pPr>
        <w:ind w:left="720" w:hanging="720"/>
        <w:jc w:val="both"/>
        <w:rPr>
          <w:rFonts w:ascii="Avenir Next" w:hAnsi="Avenir Next" w:cs="Arial"/>
          <w:color w:val="808080" w:themeColor="background1" w:themeShade="80"/>
          <w:sz w:val="22"/>
          <w:szCs w:val="22"/>
          <w:lang w:val="en-GB"/>
        </w:rPr>
      </w:pPr>
      <w:r w:rsidRPr="00AC724C">
        <w:rPr>
          <w:rFonts w:ascii="Avenir Next" w:hAnsi="Avenir Next" w:cs="Arial"/>
          <w:color w:val="808080" w:themeColor="background1" w:themeShade="80"/>
          <w:sz w:val="22"/>
          <w:szCs w:val="22"/>
          <w:lang w:val="en-GB"/>
        </w:rPr>
        <w:t xml:space="preserve">Pursuant to </w:t>
      </w:r>
      <w:r w:rsidR="0005722B">
        <w:rPr>
          <w:rFonts w:ascii="Avenir Next" w:hAnsi="Avenir Next" w:cs="Arial"/>
          <w:color w:val="808080" w:themeColor="background1" w:themeShade="80"/>
          <w:sz w:val="22"/>
          <w:szCs w:val="22"/>
          <w:lang w:val="en-GB"/>
        </w:rPr>
        <w:t>A</w:t>
      </w:r>
      <w:r w:rsidRPr="00AC724C">
        <w:rPr>
          <w:rFonts w:ascii="Avenir Next" w:hAnsi="Avenir Next" w:cs="Arial"/>
          <w:color w:val="808080" w:themeColor="background1" w:themeShade="80"/>
          <w:sz w:val="22"/>
          <w:szCs w:val="22"/>
          <w:lang w:val="en-GB"/>
        </w:rPr>
        <w:t>rticle 15(3) of the Model Law, the application for recognition must also be accompanied by a statement identifying all foreign proceedings relating to the debtor that are known to the foreign representative</w:t>
      </w:r>
      <w:r>
        <w:rPr>
          <w:rFonts w:ascii="Avenir Next" w:hAnsi="Avenir Next" w:cs="Arial"/>
          <w:color w:val="808080" w:themeColor="background1" w:themeShade="80"/>
          <w:sz w:val="22"/>
          <w:szCs w:val="22"/>
          <w:lang w:val="en-GB"/>
        </w:rPr>
        <w:t>.</w:t>
      </w:r>
      <w:r w:rsidR="003C2C01">
        <w:rPr>
          <w:rStyle w:val="Refdenotaderodap"/>
          <w:rFonts w:ascii="Avenir Next" w:hAnsi="Avenir Next" w:cs="Arial"/>
          <w:color w:val="808080" w:themeColor="background1" w:themeShade="80"/>
          <w:sz w:val="22"/>
          <w:szCs w:val="22"/>
          <w:lang w:val="en-GB"/>
        </w:rPr>
        <w:footnoteReference w:id="16"/>
      </w:r>
    </w:p>
    <w:p w14:paraId="01022FFE" w14:textId="77777777" w:rsidR="00AC724C" w:rsidRPr="0053765B" w:rsidRDefault="00AC724C" w:rsidP="0053765B">
      <w:pPr>
        <w:ind w:left="720" w:hanging="720"/>
        <w:jc w:val="both"/>
        <w:rPr>
          <w:rFonts w:ascii="Avenir Next" w:hAnsi="Avenir Next" w:cs="Arial"/>
          <w:color w:val="808080" w:themeColor="background1" w:themeShade="80"/>
          <w:sz w:val="22"/>
          <w:szCs w:val="22"/>
          <w:lang w:val="en-GB"/>
        </w:rPr>
      </w:pPr>
    </w:p>
    <w:p w14:paraId="7D275053" w14:textId="232CED6F" w:rsidR="0053765B" w:rsidRDefault="0053765B" w:rsidP="0053765B">
      <w:pPr>
        <w:ind w:left="720" w:hanging="720"/>
        <w:jc w:val="both"/>
        <w:rPr>
          <w:rFonts w:ascii="Avenir Next" w:hAnsi="Avenir Next" w:cs="Arial"/>
          <w:color w:val="808080" w:themeColor="background1" w:themeShade="80"/>
          <w:sz w:val="22"/>
          <w:szCs w:val="22"/>
          <w:lang w:val="en-GB"/>
        </w:rPr>
      </w:pPr>
      <w:r w:rsidRPr="0053765B">
        <w:rPr>
          <w:rFonts w:ascii="Avenir Next" w:hAnsi="Avenir Next" w:cs="Arial"/>
          <w:color w:val="808080" w:themeColor="background1" w:themeShade="80"/>
          <w:sz w:val="22"/>
          <w:szCs w:val="22"/>
          <w:lang w:val="en-GB"/>
        </w:rPr>
        <w:t xml:space="preserve">Furthermore, </w:t>
      </w:r>
      <w:r w:rsidR="0005722B">
        <w:rPr>
          <w:rFonts w:ascii="Avenir Next" w:hAnsi="Avenir Next" w:cs="Arial"/>
          <w:color w:val="808080" w:themeColor="background1" w:themeShade="80"/>
          <w:sz w:val="22"/>
          <w:szCs w:val="22"/>
          <w:lang w:val="en-GB"/>
        </w:rPr>
        <w:t>A</w:t>
      </w:r>
      <w:r w:rsidRPr="0053765B">
        <w:rPr>
          <w:rFonts w:ascii="Avenir Next" w:hAnsi="Avenir Next" w:cs="Arial"/>
          <w:color w:val="808080" w:themeColor="background1" w:themeShade="80"/>
          <w:sz w:val="22"/>
          <w:szCs w:val="22"/>
          <w:lang w:val="en-GB"/>
        </w:rPr>
        <w:t xml:space="preserve">rticle 15(4) of the Model Law authorizes the court </w:t>
      </w:r>
      <w:r>
        <w:rPr>
          <w:rFonts w:ascii="Avenir Next" w:hAnsi="Avenir Next" w:cs="Arial"/>
          <w:color w:val="808080" w:themeColor="background1" w:themeShade="80"/>
          <w:sz w:val="22"/>
          <w:szCs w:val="22"/>
          <w:lang w:val="en-GB"/>
        </w:rPr>
        <w:t xml:space="preserve">of the enacting State </w:t>
      </w:r>
      <w:r w:rsidRPr="0053765B">
        <w:rPr>
          <w:rFonts w:ascii="Avenir Next" w:hAnsi="Avenir Next" w:cs="Arial"/>
          <w:color w:val="808080" w:themeColor="background1" w:themeShade="80"/>
          <w:sz w:val="22"/>
          <w:szCs w:val="22"/>
          <w:lang w:val="en-GB"/>
        </w:rPr>
        <w:t>to require a translation of the documents provided in support of the application for recognition into an official language of that State.</w:t>
      </w:r>
      <w:r w:rsidR="003C2C01">
        <w:rPr>
          <w:rStyle w:val="Refdenotaderodap"/>
          <w:rFonts w:ascii="Avenir Next" w:hAnsi="Avenir Next" w:cs="Arial"/>
          <w:color w:val="808080" w:themeColor="background1" w:themeShade="80"/>
          <w:sz w:val="22"/>
          <w:szCs w:val="22"/>
          <w:lang w:val="en-GB"/>
        </w:rPr>
        <w:footnoteReference w:id="17"/>
      </w:r>
    </w:p>
    <w:p w14:paraId="270049F1" w14:textId="77777777" w:rsidR="0053765B" w:rsidRPr="000A703C" w:rsidRDefault="0053765B" w:rsidP="0053765B">
      <w:pPr>
        <w:ind w:left="720" w:hanging="720"/>
        <w:jc w:val="both"/>
        <w:rPr>
          <w:rFonts w:ascii="Avenir Next" w:hAnsi="Avenir Next" w:cs="Arial"/>
          <w:color w:val="808080" w:themeColor="background1" w:themeShade="80"/>
          <w:sz w:val="22"/>
          <w:szCs w:val="22"/>
          <w:lang w:val="en-GB"/>
        </w:rPr>
      </w:pPr>
    </w:p>
    <w:p w14:paraId="0B6F6769" w14:textId="6B9C610C" w:rsidR="00246E65" w:rsidRDefault="000A703C" w:rsidP="00246E65">
      <w:pPr>
        <w:ind w:left="720" w:hanging="720"/>
        <w:jc w:val="both"/>
        <w:rPr>
          <w:rFonts w:ascii="Avenir Next" w:hAnsi="Avenir Next" w:cs="Arial"/>
          <w:color w:val="808080" w:themeColor="background1" w:themeShade="80"/>
          <w:sz w:val="22"/>
          <w:szCs w:val="22"/>
          <w:lang w:val="en-GB"/>
        </w:rPr>
      </w:pPr>
      <w:r w:rsidRPr="000A703C">
        <w:rPr>
          <w:rFonts w:ascii="Avenir Next" w:hAnsi="Avenir Next" w:cs="Arial"/>
          <w:color w:val="808080" w:themeColor="background1" w:themeShade="80"/>
          <w:sz w:val="22"/>
          <w:szCs w:val="22"/>
          <w:lang w:val="en-GB"/>
        </w:rPr>
        <w:t xml:space="preserve">In addition, the application must be made before a </w:t>
      </w:r>
      <w:r w:rsidR="00DE24D5">
        <w:rPr>
          <w:rFonts w:ascii="Avenir Next" w:hAnsi="Avenir Next" w:cs="Arial"/>
          <w:color w:val="808080" w:themeColor="background1" w:themeShade="80"/>
          <w:sz w:val="22"/>
          <w:szCs w:val="22"/>
          <w:lang w:val="en-GB"/>
        </w:rPr>
        <w:t xml:space="preserve">competent </w:t>
      </w:r>
      <w:r w:rsidRPr="000A703C">
        <w:rPr>
          <w:rFonts w:ascii="Avenir Next" w:hAnsi="Avenir Next" w:cs="Arial"/>
          <w:color w:val="808080" w:themeColor="background1" w:themeShade="80"/>
          <w:sz w:val="22"/>
          <w:szCs w:val="22"/>
          <w:lang w:val="en-GB"/>
        </w:rPr>
        <w:t>court or authority</w:t>
      </w:r>
      <w:r w:rsidR="00DE24D5">
        <w:rPr>
          <w:rFonts w:ascii="Avenir Next" w:hAnsi="Avenir Next" w:cs="Arial"/>
          <w:color w:val="808080" w:themeColor="background1" w:themeShade="80"/>
          <w:sz w:val="22"/>
          <w:szCs w:val="22"/>
          <w:lang w:val="en-GB"/>
        </w:rPr>
        <w:t xml:space="preserve"> of the enactin</w:t>
      </w:r>
      <w:r w:rsidR="008100C0">
        <w:rPr>
          <w:rFonts w:ascii="Avenir Next" w:hAnsi="Avenir Next" w:cs="Arial"/>
          <w:color w:val="808080" w:themeColor="background1" w:themeShade="80"/>
          <w:sz w:val="22"/>
          <w:szCs w:val="22"/>
          <w:lang w:val="en-GB"/>
        </w:rPr>
        <w:t>g State</w:t>
      </w:r>
      <w:r w:rsidRPr="000A703C">
        <w:rPr>
          <w:rFonts w:ascii="Avenir Next" w:hAnsi="Avenir Next" w:cs="Arial"/>
          <w:color w:val="808080" w:themeColor="background1" w:themeShade="80"/>
          <w:sz w:val="22"/>
          <w:szCs w:val="22"/>
          <w:lang w:val="en-GB"/>
        </w:rPr>
        <w:t xml:space="preserve">, </w:t>
      </w:r>
      <w:r w:rsidR="008100C0">
        <w:rPr>
          <w:rFonts w:ascii="Avenir Next" w:hAnsi="Avenir Next" w:cs="Arial"/>
          <w:color w:val="808080" w:themeColor="background1" w:themeShade="80"/>
          <w:sz w:val="22"/>
          <w:szCs w:val="22"/>
          <w:lang w:val="en-GB"/>
        </w:rPr>
        <w:t xml:space="preserve">as </w:t>
      </w:r>
      <w:r w:rsidRPr="000A703C">
        <w:rPr>
          <w:rFonts w:ascii="Avenir Next" w:hAnsi="Avenir Next" w:cs="Arial"/>
          <w:color w:val="808080" w:themeColor="background1" w:themeShade="80"/>
          <w:sz w:val="22"/>
          <w:szCs w:val="22"/>
          <w:lang w:val="en-GB"/>
        </w:rPr>
        <w:t xml:space="preserve">described </w:t>
      </w:r>
      <w:r w:rsidR="00467F07">
        <w:rPr>
          <w:rFonts w:ascii="Avenir Next" w:hAnsi="Avenir Next" w:cs="Arial"/>
          <w:color w:val="808080" w:themeColor="background1" w:themeShade="80"/>
          <w:sz w:val="22"/>
          <w:szCs w:val="22"/>
          <w:lang w:val="en-GB"/>
        </w:rPr>
        <w:t xml:space="preserve">as such </w:t>
      </w:r>
      <w:r w:rsidRPr="000A703C">
        <w:rPr>
          <w:rFonts w:ascii="Avenir Next" w:hAnsi="Avenir Next" w:cs="Arial"/>
          <w:color w:val="808080" w:themeColor="background1" w:themeShade="80"/>
          <w:sz w:val="22"/>
          <w:szCs w:val="22"/>
          <w:lang w:val="en-GB"/>
        </w:rPr>
        <w:t xml:space="preserve">in </w:t>
      </w:r>
      <w:r w:rsidR="0005722B">
        <w:rPr>
          <w:rFonts w:ascii="Avenir Next" w:hAnsi="Avenir Next" w:cs="Arial"/>
          <w:color w:val="808080" w:themeColor="background1" w:themeShade="80"/>
          <w:sz w:val="22"/>
          <w:szCs w:val="22"/>
          <w:lang w:val="en-GB"/>
        </w:rPr>
        <w:t>A</w:t>
      </w:r>
      <w:r w:rsidR="008100C0">
        <w:rPr>
          <w:rFonts w:ascii="Avenir Next" w:hAnsi="Avenir Next" w:cs="Arial"/>
          <w:color w:val="808080" w:themeColor="background1" w:themeShade="80"/>
          <w:sz w:val="22"/>
          <w:szCs w:val="22"/>
          <w:lang w:val="en-GB"/>
        </w:rPr>
        <w:t>rticle</w:t>
      </w:r>
      <w:r w:rsidRPr="000A703C">
        <w:rPr>
          <w:rFonts w:ascii="Avenir Next" w:hAnsi="Avenir Next" w:cs="Arial"/>
          <w:color w:val="808080" w:themeColor="background1" w:themeShade="80"/>
          <w:sz w:val="22"/>
          <w:szCs w:val="22"/>
          <w:lang w:val="en-GB"/>
        </w:rPr>
        <w:t xml:space="preserve"> 4 of the Model Law, </w:t>
      </w:r>
      <w:proofErr w:type="gramStart"/>
      <w:r w:rsidRPr="000A703C">
        <w:rPr>
          <w:rFonts w:ascii="Avenir Next" w:hAnsi="Avenir Next" w:cs="Arial"/>
          <w:color w:val="808080" w:themeColor="background1" w:themeShade="80"/>
          <w:sz w:val="22"/>
          <w:szCs w:val="22"/>
          <w:lang w:val="en-GB"/>
        </w:rPr>
        <w:t>in order to</w:t>
      </w:r>
      <w:proofErr w:type="gramEnd"/>
      <w:r w:rsidRPr="000A703C">
        <w:rPr>
          <w:rFonts w:ascii="Avenir Next" w:hAnsi="Avenir Next" w:cs="Arial"/>
          <w:color w:val="808080" w:themeColor="background1" w:themeShade="80"/>
          <w:sz w:val="22"/>
          <w:szCs w:val="22"/>
          <w:lang w:val="en-GB"/>
        </w:rPr>
        <w:t xml:space="preserve"> </w:t>
      </w:r>
      <w:r w:rsidR="008100C0" w:rsidRPr="000A703C">
        <w:rPr>
          <w:rFonts w:ascii="Avenir Next" w:hAnsi="Avenir Next" w:cs="Arial"/>
          <w:color w:val="808080" w:themeColor="background1" w:themeShade="80"/>
          <w:sz w:val="22"/>
          <w:szCs w:val="22"/>
          <w:lang w:val="en-GB"/>
        </w:rPr>
        <w:t>fulfil</w:t>
      </w:r>
      <w:r w:rsidRPr="000A703C">
        <w:rPr>
          <w:rFonts w:ascii="Avenir Next" w:hAnsi="Avenir Next" w:cs="Arial"/>
          <w:color w:val="808080" w:themeColor="background1" w:themeShade="80"/>
          <w:sz w:val="22"/>
          <w:szCs w:val="22"/>
          <w:lang w:val="en-GB"/>
        </w:rPr>
        <w:t xml:space="preserve"> the condition of </w:t>
      </w:r>
      <w:r w:rsidR="0005722B">
        <w:rPr>
          <w:rFonts w:ascii="Avenir Next" w:hAnsi="Avenir Next" w:cs="Arial"/>
          <w:color w:val="808080" w:themeColor="background1" w:themeShade="80"/>
          <w:sz w:val="22"/>
          <w:szCs w:val="22"/>
          <w:lang w:val="en-GB"/>
        </w:rPr>
        <w:t>A</w:t>
      </w:r>
      <w:r w:rsidR="008100C0">
        <w:rPr>
          <w:rFonts w:ascii="Avenir Next" w:hAnsi="Avenir Next" w:cs="Arial"/>
          <w:color w:val="808080" w:themeColor="background1" w:themeShade="80"/>
          <w:sz w:val="22"/>
          <w:szCs w:val="22"/>
          <w:lang w:val="en-GB"/>
        </w:rPr>
        <w:t>rticle</w:t>
      </w:r>
      <w:r w:rsidRPr="000A703C">
        <w:rPr>
          <w:rFonts w:ascii="Avenir Next" w:hAnsi="Avenir Next" w:cs="Arial"/>
          <w:color w:val="808080" w:themeColor="background1" w:themeShade="80"/>
          <w:sz w:val="22"/>
          <w:szCs w:val="22"/>
          <w:lang w:val="en-GB"/>
        </w:rPr>
        <w:t xml:space="preserve"> 17(1)(d) of the Model Law.</w:t>
      </w:r>
    </w:p>
    <w:p w14:paraId="4B1AB2FE" w14:textId="77777777" w:rsidR="0005722B" w:rsidRPr="0005722B" w:rsidRDefault="0005722B" w:rsidP="00717167">
      <w:pPr>
        <w:jc w:val="both"/>
        <w:rPr>
          <w:rFonts w:ascii="Avenir Next" w:hAnsi="Avenir Next" w:cs="Arial"/>
          <w:color w:val="808080" w:themeColor="background1" w:themeShade="80"/>
          <w:sz w:val="22"/>
          <w:szCs w:val="22"/>
          <w:lang w:val="en-GB"/>
        </w:rPr>
      </w:pPr>
    </w:p>
    <w:p w14:paraId="2CCB4485" w14:textId="0A7EDB7D" w:rsidR="0005722B" w:rsidRDefault="0005722B" w:rsidP="00844AC4">
      <w:pPr>
        <w:ind w:left="720" w:hanging="720"/>
        <w:jc w:val="both"/>
        <w:rPr>
          <w:rFonts w:ascii="Avenir Next" w:hAnsi="Avenir Next" w:cs="Arial"/>
          <w:color w:val="808080" w:themeColor="background1" w:themeShade="80"/>
          <w:sz w:val="22"/>
          <w:szCs w:val="22"/>
          <w:lang w:val="en-GB"/>
        </w:rPr>
      </w:pPr>
      <w:r w:rsidRPr="0005722B">
        <w:rPr>
          <w:rFonts w:ascii="Avenir Next" w:hAnsi="Avenir Next" w:cs="Arial"/>
          <w:color w:val="808080" w:themeColor="background1" w:themeShade="80"/>
          <w:sz w:val="22"/>
          <w:szCs w:val="22"/>
          <w:lang w:val="en-GB"/>
        </w:rPr>
        <w:t xml:space="preserve">Finally, it is worth noting that Article 17(1) of the Model Law </w:t>
      </w:r>
      <w:proofErr w:type="gramStart"/>
      <w:r w:rsidRPr="0005722B">
        <w:rPr>
          <w:rFonts w:ascii="Avenir Next" w:hAnsi="Avenir Next" w:cs="Arial"/>
          <w:color w:val="808080" w:themeColor="background1" w:themeShade="80"/>
          <w:sz w:val="22"/>
          <w:szCs w:val="22"/>
          <w:lang w:val="en-GB"/>
        </w:rPr>
        <w:t>subjects</w:t>
      </w:r>
      <w:proofErr w:type="gramEnd"/>
      <w:r w:rsidRPr="0005722B">
        <w:rPr>
          <w:rFonts w:ascii="Avenir Next" w:hAnsi="Avenir Next" w:cs="Arial"/>
          <w:color w:val="808080" w:themeColor="background1" w:themeShade="80"/>
          <w:sz w:val="22"/>
          <w:szCs w:val="22"/>
          <w:lang w:val="en-GB"/>
        </w:rPr>
        <w:t xml:space="preserve"> recognition to the public policy exception provided for in Article 6 of the Model Law.</w:t>
      </w:r>
      <w:r w:rsidR="000404E6">
        <w:rPr>
          <w:rFonts w:ascii="Avenir Next" w:hAnsi="Avenir Next" w:cs="Arial"/>
          <w:color w:val="808080" w:themeColor="background1" w:themeShade="80"/>
          <w:sz w:val="22"/>
          <w:szCs w:val="22"/>
          <w:lang w:val="en-GB"/>
        </w:rPr>
        <w:t xml:space="preserve"> </w:t>
      </w:r>
      <w:r w:rsidR="005042CC" w:rsidRPr="005042CC">
        <w:rPr>
          <w:rFonts w:ascii="Avenir Next" w:hAnsi="Avenir Next" w:cs="Arial"/>
          <w:color w:val="808080" w:themeColor="background1" w:themeShade="80"/>
          <w:sz w:val="22"/>
          <w:szCs w:val="22"/>
          <w:lang w:val="en-GB"/>
        </w:rPr>
        <w:t xml:space="preserve">The public policy exception is a provision of the Model Law </w:t>
      </w:r>
      <w:proofErr w:type="gramStart"/>
      <w:r w:rsidR="005042CC" w:rsidRPr="005042CC">
        <w:rPr>
          <w:rFonts w:ascii="Avenir Next" w:hAnsi="Avenir Next" w:cs="Arial"/>
          <w:color w:val="808080" w:themeColor="background1" w:themeShade="80"/>
          <w:sz w:val="22"/>
          <w:szCs w:val="22"/>
          <w:lang w:val="en-GB"/>
        </w:rPr>
        <w:t>in order to</w:t>
      </w:r>
      <w:proofErr w:type="gramEnd"/>
      <w:r w:rsidR="005042CC" w:rsidRPr="005042CC">
        <w:rPr>
          <w:rFonts w:ascii="Avenir Next" w:hAnsi="Avenir Next" w:cs="Arial"/>
          <w:color w:val="808080" w:themeColor="background1" w:themeShade="80"/>
          <w:sz w:val="22"/>
          <w:szCs w:val="22"/>
          <w:lang w:val="en-GB"/>
        </w:rPr>
        <w:t xml:space="preserve"> protect the sovereignty of the </w:t>
      </w:r>
      <w:r w:rsidR="005042CC">
        <w:rPr>
          <w:rFonts w:ascii="Avenir Next" w:hAnsi="Avenir Next" w:cs="Arial"/>
          <w:color w:val="808080" w:themeColor="background1" w:themeShade="80"/>
          <w:sz w:val="22"/>
          <w:szCs w:val="22"/>
          <w:lang w:val="en-GB"/>
        </w:rPr>
        <w:t xml:space="preserve">enacting </w:t>
      </w:r>
      <w:r w:rsidR="005042CC" w:rsidRPr="005042CC">
        <w:rPr>
          <w:rFonts w:ascii="Avenir Next" w:hAnsi="Avenir Next" w:cs="Arial"/>
          <w:color w:val="808080" w:themeColor="background1" w:themeShade="80"/>
          <w:sz w:val="22"/>
          <w:szCs w:val="22"/>
          <w:lang w:val="en-GB"/>
        </w:rPr>
        <w:t>State. According to John "</w:t>
      </w:r>
      <w:r w:rsidR="00844AC4" w:rsidRPr="00844AC4">
        <w:rPr>
          <w:rFonts w:ascii="Avenir Next" w:hAnsi="Avenir Next" w:cs="Arial"/>
          <w:color w:val="808080" w:themeColor="background1" w:themeShade="80"/>
          <w:sz w:val="22"/>
          <w:szCs w:val="22"/>
          <w:lang w:val="en-GB"/>
        </w:rPr>
        <w:t>the use of the expression “manifestly” in this exception emphasises that</w:t>
      </w:r>
      <w:r w:rsidR="00844AC4">
        <w:rPr>
          <w:rFonts w:ascii="Avenir Next" w:hAnsi="Avenir Next" w:cs="Arial"/>
          <w:color w:val="808080" w:themeColor="background1" w:themeShade="80"/>
          <w:sz w:val="22"/>
          <w:szCs w:val="22"/>
          <w:lang w:val="en-GB"/>
        </w:rPr>
        <w:t xml:space="preserve"> </w:t>
      </w:r>
      <w:r w:rsidR="00844AC4" w:rsidRPr="00844AC4">
        <w:rPr>
          <w:rFonts w:ascii="Avenir Next" w:hAnsi="Avenir Next" w:cs="Arial"/>
          <w:color w:val="808080" w:themeColor="background1" w:themeShade="80"/>
          <w:sz w:val="22"/>
          <w:szCs w:val="22"/>
          <w:lang w:val="en-GB"/>
        </w:rPr>
        <w:t xml:space="preserve">public policy </w:t>
      </w:r>
      <w:r w:rsidR="00844AC4" w:rsidRPr="00844AC4">
        <w:rPr>
          <w:rFonts w:ascii="Avenir Next" w:hAnsi="Avenir Next" w:cs="Arial"/>
          <w:color w:val="808080" w:themeColor="background1" w:themeShade="80"/>
          <w:sz w:val="22"/>
          <w:szCs w:val="22"/>
          <w:lang w:val="en-GB"/>
        </w:rPr>
        <w:lastRenderedPageBreak/>
        <w:t>exceptions should be interpreted restrictively and should only apply in exceptional</w:t>
      </w:r>
      <w:r w:rsidR="00844AC4">
        <w:rPr>
          <w:rFonts w:ascii="Avenir Next" w:hAnsi="Avenir Next" w:cs="Arial"/>
          <w:color w:val="808080" w:themeColor="background1" w:themeShade="80"/>
          <w:sz w:val="22"/>
          <w:szCs w:val="22"/>
          <w:lang w:val="en-GB"/>
        </w:rPr>
        <w:t xml:space="preserve"> </w:t>
      </w:r>
      <w:r w:rsidR="00844AC4" w:rsidRPr="00844AC4">
        <w:rPr>
          <w:rFonts w:ascii="Avenir Next" w:hAnsi="Avenir Next" w:cs="Arial"/>
          <w:color w:val="808080" w:themeColor="background1" w:themeShade="80"/>
          <w:sz w:val="22"/>
          <w:szCs w:val="22"/>
          <w:lang w:val="en-GB"/>
        </w:rPr>
        <w:t>circumstances concerning matters of fundamental importance for the enacting State</w:t>
      </w:r>
      <w:r w:rsidR="005042CC" w:rsidRPr="005042CC">
        <w:rPr>
          <w:rFonts w:ascii="Avenir Next" w:hAnsi="Avenir Next" w:cs="Arial"/>
          <w:color w:val="808080" w:themeColor="background1" w:themeShade="80"/>
          <w:sz w:val="22"/>
          <w:szCs w:val="22"/>
          <w:lang w:val="en-GB"/>
        </w:rPr>
        <w:t>".</w:t>
      </w:r>
      <w:r w:rsidR="007951EC">
        <w:rPr>
          <w:rStyle w:val="Refdenotaderodap"/>
          <w:rFonts w:ascii="Avenir Next" w:hAnsi="Avenir Next" w:cs="Arial"/>
          <w:color w:val="808080" w:themeColor="background1" w:themeShade="80"/>
          <w:sz w:val="22"/>
          <w:szCs w:val="22"/>
          <w:lang w:val="en-GB"/>
        </w:rPr>
        <w:footnoteReference w:id="18"/>
      </w:r>
    </w:p>
    <w:p w14:paraId="581BCD51" w14:textId="77777777" w:rsidR="005545A6" w:rsidRPr="005545A6" w:rsidRDefault="005545A6" w:rsidP="005545A6">
      <w:pPr>
        <w:jc w:val="both"/>
        <w:rPr>
          <w:rFonts w:ascii="Avenir Next" w:hAnsi="Avenir Next" w:cs="Arial"/>
          <w:color w:val="808080" w:themeColor="background1" w:themeShade="80"/>
          <w:sz w:val="22"/>
          <w:szCs w:val="22"/>
          <w:lang w:val="en-GB"/>
        </w:rPr>
      </w:pPr>
    </w:p>
    <w:p w14:paraId="6C0A67ED" w14:textId="7CA2CA1C" w:rsidR="005545A6" w:rsidRDefault="005545A6" w:rsidP="001A1DC4">
      <w:pPr>
        <w:jc w:val="both"/>
        <w:rPr>
          <w:rFonts w:ascii="Avenir Next" w:hAnsi="Avenir Next" w:cs="Arial"/>
          <w:color w:val="808080" w:themeColor="background1" w:themeShade="80"/>
          <w:sz w:val="22"/>
          <w:szCs w:val="22"/>
          <w:lang w:val="en-GB"/>
        </w:rPr>
      </w:pPr>
      <w:r w:rsidRPr="005545A6">
        <w:rPr>
          <w:rFonts w:ascii="Avenir Next" w:hAnsi="Avenir Next" w:cs="Arial"/>
          <w:color w:val="808080" w:themeColor="background1" w:themeShade="80"/>
          <w:sz w:val="22"/>
          <w:szCs w:val="22"/>
          <w:lang w:val="en-GB"/>
        </w:rPr>
        <w:t>In addition, the author indicates that "</w:t>
      </w:r>
      <w:r w:rsidR="001A1DC4" w:rsidRPr="001A1DC4">
        <w:t xml:space="preserve"> </w:t>
      </w:r>
      <w:r w:rsidR="001A1DC4" w:rsidRPr="001A1DC4">
        <w:rPr>
          <w:rFonts w:ascii="Avenir Next" w:hAnsi="Avenir Next" w:cs="Arial"/>
          <w:color w:val="808080" w:themeColor="background1" w:themeShade="80"/>
          <w:sz w:val="22"/>
          <w:szCs w:val="22"/>
          <w:lang w:val="en-GB"/>
        </w:rPr>
        <w:t>as a general rule the public policy exception (of</w:t>
      </w:r>
      <w:r w:rsidR="001A1DC4">
        <w:rPr>
          <w:rFonts w:ascii="Avenir Next" w:hAnsi="Avenir Next" w:cs="Arial"/>
          <w:color w:val="808080" w:themeColor="background1" w:themeShade="80"/>
          <w:sz w:val="22"/>
          <w:szCs w:val="22"/>
          <w:lang w:val="en-GB"/>
        </w:rPr>
        <w:t xml:space="preserve"> </w:t>
      </w:r>
      <w:r w:rsidR="001A1DC4" w:rsidRPr="001A1DC4">
        <w:rPr>
          <w:rFonts w:ascii="Avenir Next" w:hAnsi="Avenir Next" w:cs="Arial"/>
          <w:color w:val="808080" w:themeColor="background1" w:themeShade="80"/>
          <w:sz w:val="22"/>
          <w:szCs w:val="22"/>
          <w:lang w:val="en-GB"/>
        </w:rPr>
        <w:t>article 6 of the Model Law) should rarely be the basis for refusing an application for recognition,</w:t>
      </w:r>
      <w:r w:rsidR="001A1DC4">
        <w:rPr>
          <w:rFonts w:ascii="Avenir Next" w:hAnsi="Avenir Next" w:cs="Arial"/>
          <w:color w:val="808080" w:themeColor="background1" w:themeShade="80"/>
          <w:sz w:val="22"/>
          <w:szCs w:val="22"/>
          <w:lang w:val="en-GB"/>
        </w:rPr>
        <w:t xml:space="preserve"> </w:t>
      </w:r>
      <w:r w:rsidR="001A1DC4" w:rsidRPr="001A1DC4">
        <w:rPr>
          <w:rFonts w:ascii="Avenir Next" w:hAnsi="Avenir Next" w:cs="Arial"/>
          <w:color w:val="808080" w:themeColor="background1" w:themeShade="80"/>
          <w:sz w:val="22"/>
          <w:szCs w:val="22"/>
          <w:lang w:val="en-GB"/>
        </w:rPr>
        <w:t>even though it might be a basis for limiting the nature of relief accorded</w:t>
      </w:r>
      <w:r w:rsidRPr="005545A6">
        <w:rPr>
          <w:rFonts w:ascii="Avenir Next" w:hAnsi="Avenir Next" w:cs="Arial"/>
          <w:color w:val="808080" w:themeColor="background1" w:themeShade="80"/>
          <w:sz w:val="22"/>
          <w:szCs w:val="22"/>
          <w:lang w:val="en-GB"/>
        </w:rPr>
        <w:t>".</w:t>
      </w:r>
      <w:r w:rsidR="001A1DC4">
        <w:rPr>
          <w:rStyle w:val="Refdenotaderodap"/>
          <w:rFonts w:ascii="Avenir Next" w:hAnsi="Avenir Next" w:cs="Arial"/>
          <w:color w:val="808080" w:themeColor="background1" w:themeShade="80"/>
          <w:sz w:val="22"/>
          <w:szCs w:val="22"/>
          <w:lang w:val="en-GB"/>
        </w:rPr>
        <w:footnoteReference w:id="19"/>
      </w:r>
    </w:p>
    <w:p w14:paraId="072215C8" w14:textId="77777777" w:rsidR="005545A6" w:rsidRPr="00BB1A8C" w:rsidRDefault="005545A6" w:rsidP="00BB1A8C">
      <w:pPr>
        <w:jc w:val="both"/>
        <w:rPr>
          <w:rFonts w:ascii="Avenir Next" w:hAnsi="Avenir Next" w:cs="Arial"/>
          <w:color w:val="808080" w:themeColor="background1" w:themeShade="80"/>
          <w:sz w:val="22"/>
          <w:szCs w:val="22"/>
          <w:lang w:val="en-GB"/>
        </w:rPr>
      </w:pPr>
    </w:p>
    <w:p w14:paraId="0DE98A5E" w14:textId="0C174E47" w:rsidR="00246E65" w:rsidRDefault="00AA0F07" w:rsidP="00BB1A8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00BB1A8C" w:rsidRPr="00BB1A8C">
        <w:rPr>
          <w:rFonts w:ascii="Avenir Next" w:hAnsi="Avenir Next" w:cs="Arial"/>
          <w:color w:val="808080" w:themeColor="background1" w:themeShade="80"/>
          <w:sz w:val="22"/>
          <w:szCs w:val="22"/>
          <w:lang w:val="en-GB"/>
        </w:rPr>
        <w:t xml:space="preserve">nce the </w:t>
      </w:r>
      <w:proofErr w:type="gramStart"/>
      <w:r w:rsidR="00BB1A8C" w:rsidRPr="00BB1A8C">
        <w:rPr>
          <w:rFonts w:ascii="Avenir Next" w:hAnsi="Avenir Next" w:cs="Arial"/>
          <w:color w:val="808080" w:themeColor="background1" w:themeShade="80"/>
          <w:sz w:val="22"/>
          <w:szCs w:val="22"/>
          <w:lang w:val="en-GB"/>
        </w:rPr>
        <w:t>aforementioned requirements</w:t>
      </w:r>
      <w:proofErr w:type="gramEnd"/>
      <w:r w:rsidR="00BB1A8C" w:rsidRPr="00BB1A8C">
        <w:rPr>
          <w:rFonts w:ascii="Avenir Next" w:hAnsi="Avenir Next" w:cs="Arial"/>
          <w:color w:val="808080" w:themeColor="background1" w:themeShade="80"/>
          <w:sz w:val="22"/>
          <w:szCs w:val="22"/>
          <w:lang w:val="en-GB"/>
        </w:rPr>
        <w:t xml:space="preserve"> are met, DECLERCQ</w:t>
      </w:r>
      <w:r w:rsidR="00BB1A8C" w:rsidRPr="00BB1A8C">
        <w:rPr>
          <w:rFonts w:ascii="Avenir Next" w:hAnsi="Avenir Next" w:cs="Arial"/>
          <w:color w:val="808080" w:themeColor="background1" w:themeShade="80"/>
          <w:sz w:val="22"/>
          <w:szCs w:val="22"/>
          <w:lang w:val="en-GB"/>
        </w:rPr>
        <w:t xml:space="preserve"> </w:t>
      </w:r>
      <w:r w:rsidR="00BB1A8C" w:rsidRPr="00BB1A8C">
        <w:rPr>
          <w:rFonts w:ascii="Avenir Next" w:hAnsi="Avenir Next" w:cs="Arial"/>
          <w:color w:val="808080" w:themeColor="background1" w:themeShade="80"/>
          <w:sz w:val="22"/>
          <w:szCs w:val="22"/>
          <w:lang w:val="en-GB"/>
        </w:rPr>
        <w:t>points out that:</w:t>
      </w:r>
    </w:p>
    <w:p w14:paraId="7EB8456A" w14:textId="77777777" w:rsidR="00BB1A8C" w:rsidRDefault="00BB1A8C" w:rsidP="00BB1A8C">
      <w:pPr>
        <w:ind w:left="720" w:hanging="720"/>
        <w:jc w:val="both"/>
        <w:rPr>
          <w:rFonts w:ascii="Avenir Next" w:hAnsi="Avenir Next" w:cs="Arial"/>
          <w:color w:val="808080" w:themeColor="background1" w:themeShade="80"/>
          <w:sz w:val="22"/>
          <w:szCs w:val="22"/>
          <w:lang w:val="en-GB"/>
        </w:rPr>
      </w:pPr>
    </w:p>
    <w:p w14:paraId="06C46C7A" w14:textId="5C2C5E20" w:rsidR="00246E65" w:rsidRDefault="00246E65" w:rsidP="00246E65">
      <w:p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246E65">
        <w:rPr>
          <w:rFonts w:ascii="Avenir Next" w:hAnsi="Avenir Next" w:cs="Arial"/>
          <w:color w:val="808080" w:themeColor="background1" w:themeShade="80"/>
          <w:sz w:val="22"/>
          <w:szCs w:val="22"/>
          <w:lang w:val="en-GB"/>
        </w:rPr>
        <w:t>If the foreign proceeding takes place in the State where the debtor has its</w:t>
      </w:r>
      <w:r>
        <w:rPr>
          <w:rFonts w:ascii="Avenir Next" w:hAnsi="Avenir Next" w:cs="Arial"/>
          <w:color w:val="808080" w:themeColor="background1" w:themeShade="80"/>
          <w:sz w:val="22"/>
          <w:szCs w:val="22"/>
          <w:lang w:val="en-GB"/>
        </w:rPr>
        <w:t xml:space="preserve"> </w:t>
      </w:r>
      <w:r w:rsidRPr="00246E65">
        <w:rPr>
          <w:rFonts w:ascii="Avenir Next" w:hAnsi="Avenir Next" w:cs="Arial"/>
          <w:color w:val="808080" w:themeColor="background1" w:themeShade="80"/>
          <w:sz w:val="22"/>
          <w:szCs w:val="22"/>
          <w:lang w:val="en-GB"/>
        </w:rPr>
        <w:t>COMI, the foreign proceedings will be recognised as foreign main proceedings (paragraph</w:t>
      </w:r>
      <w:r>
        <w:rPr>
          <w:rFonts w:ascii="Avenir Next" w:hAnsi="Avenir Next" w:cs="Arial"/>
          <w:color w:val="808080" w:themeColor="background1" w:themeShade="80"/>
          <w:sz w:val="22"/>
          <w:szCs w:val="22"/>
          <w:lang w:val="en-GB"/>
        </w:rPr>
        <w:t xml:space="preserve"> </w:t>
      </w:r>
      <w:r w:rsidRPr="00246E65">
        <w:rPr>
          <w:rFonts w:ascii="Avenir Next" w:hAnsi="Avenir Next" w:cs="Arial"/>
          <w:color w:val="808080" w:themeColor="background1" w:themeShade="80"/>
          <w:sz w:val="22"/>
          <w:szCs w:val="22"/>
          <w:lang w:val="en-GB"/>
        </w:rPr>
        <w:t>2(a)) and if the debtor only has an establishment in the foreign State where the foreign</w:t>
      </w:r>
      <w:r>
        <w:rPr>
          <w:rFonts w:ascii="Avenir Next" w:hAnsi="Avenir Next" w:cs="Arial"/>
          <w:color w:val="808080" w:themeColor="background1" w:themeShade="80"/>
          <w:sz w:val="22"/>
          <w:szCs w:val="22"/>
          <w:lang w:val="en-GB"/>
        </w:rPr>
        <w:t xml:space="preserve"> </w:t>
      </w:r>
      <w:r w:rsidRPr="00246E65">
        <w:rPr>
          <w:rFonts w:ascii="Avenir Next" w:hAnsi="Avenir Next" w:cs="Arial"/>
          <w:color w:val="808080" w:themeColor="background1" w:themeShade="80"/>
          <w:sz w:val="22"/>
          <w:szCs w:val="22"/>
          <w:lang w:val="en-GB"/>
        </w:rPr>
        <w:t>proceedings were opened, then the foreign proceedings will be recognised in the enacting</w:t>
      </w:r>
      <w:r w:rsidR="004411FA">
        <w:rPr>
          <w:rFonts w:ascii="Avenir Next" w:hAnsi="Avenir Next" w:cs="Arial"/>
          <w:color w:val="808080" w:themeColor="background1" w:themeShade="80"/>
          <w:sz w:val="22"/>
          <w:szCs w:val="22"/>
          <w:lang w:val="en-GB"/>
        </w:rPr>
        <w:t xml:space="preserve"> </w:t>
      </w:r>
      <w:r w:rsidRPr="00246E65">
        <w:rPr>
          <w:rFonts w:ascii="Avenir Next" w:hAnsi="Avenir Next" w:cs="Arial"/>
          <w:color w:val="808080" w:themeColor="background1" w:themeShade="80"/>
          <w:sz w:val="22"/>
          <w:szCs w:val="22"/>
          <w:lang w:val="en-GB"/>
        </w:rPr>
        <w:t>State as foreign non-main proceedings (paragraph 2(b))</w:t>
      </w:r>
      <w:r>
        <w:rPr>
          <w:rFonts w:ascii="Avenir Next" w:hAnsi="Avenir Next" w:cs="Arial"/>
          <w:color w:val="808080" w:themeColor="background1" w:themeShade="80"/>
          <w:sz w:val="22"/>
          <w:szCs w:val="22"/>
          <w:lang w:val="en-GB"/>
        </w:rPr>
        <w:t>”.</w:t>
      </w:r>
      <w:r w:rsidR="004411FA">
        <w:rPr>
          <w:rStyle w:val="Refdenotaderodap"/>
          <w:rFonts w:ascii="Avenir Next" w:hAnsi="Avenir Next" w:cs="Arial"/>
          <w:color w:val="808080" w:themeColor="background1" w:themeShade="80"/>
          <w:sz w:val="22"/>
          <w:szCs w:val="22"/>
          <w:lang w:val="en-GB"/>
        </w:rPr>
        <w:footnoteReference w:id="20"/>
      </w:r>
    </w:p>
    <w:p w14:paraId="78D1DA80" w14:textId="77777777" w:rsidR="00783CCD" w:rsidRDefault="00783CCD" w:rsidP="00783CCD">
      <w:pPr>
        <w:jc w:val="both"/>
        <w:rPr>
          <w:rFonts w:ascii="Avenir Next" w:hAnsi="Avenir Next" w:cs="Arial"/>
          <w:color w:val="808080" w:themeColor="background1" w:themeShade="80"/>
          <w:sz w:val="22"/>
          <w:szCs w:val="22"/>
          <w:lang w:val="en-GB"/>
        </w:rPr>
      </w:pPr>
    </w:p>
    <w:p w14:paraId="2DE6E531" w14:textId="1CF39B05" w:rsidR="00783CCD" w:rsidRPr="00246E65" w:rsidRDefault="00783CCD" w:rsidP="00783CCD">
      <w:pPr>
        <w:jc w:val="both"/>
        <w:rPr>
          <w:rFonts w:ascii="Avenir Next" w:hAnsi="Avenir Next" w:cs="Arial"/>
          <w:color w:val="808080" w:themeColor="background1" w:themeShade="80"/>
          <w:sz w:val="22"/>
          <w:szCs w:val="22"/>
          <w:lang w:val="en-GB"/>
        </w:rPr>
      </w:pPr>
      <w:r w:rsidRPr="00783CCD">
        <w:rPr>
          <w:rFonts w:ascii="Avenir Next" w:hAnsi="Avenir Next" w:cs="Arial"/>
          <w:color w:val="808080" w:themeColor="background1" w:themeShade="80"/>
          <w:sz w:val="22"/>
          <w:szCs w:val="22"/>
          <w:lang w:val="en-GB"/>
        </w:rPr>
        <w:t>Therefore,</w:t>
      </w:r>
      <w:r w:rsidR="008F7334" w:rsidRPr="008F7334">
        <w:rPr>
          <w:rFonts w:ascii="Avenir Next" w:hAnsi="Avenir Next" w:cs="Arial"/>
          <w:color w:val="808080" w:themeColor="background1" w:themeShade="80"/>
          <w:sz w:val="22"/>
          <w:szCs w:val="22"/>
          <w:lang w:val="en-GB"/>
        </w:rPr>
        <w:t xml:space="preserve"> absent any exception from public policy,</w:t>
      </w:r>
      <w:r w:rsidR="00A413FD">
        <w:rPr>
          <w:rFonts w:ascii="Avenir Next" w:hAnsi="Avenir Next" w:cs="Arial"/>
          <w:color w:val="808080" w:themeColor="background1" w:themeShade="80"/>
          <w:sz w:val="22"/>
          <w:szCs w:val="22"/>
          <w:lang w:val="en-GB"/>
        </w:rPr>
        <w:t xml:space="preserve"> </w:t>
      </w:r>
      <w:r w:rsidRPr="00783CCD">
        <w:rPr>
          <w:rFonts w:ascii="Avenir Next" w:hAnsi="Avenir Next" w:cs="Arial"/>
          <w:color w:val="808080" w:themeColor="background1" w:themeShade="80"/>
          <w:sz w:val="22"/>
          <w:szCs w:val="22"/>
          <w:lang w:val="en-GB"/>
        </w:rPr>
        <w:t xml:space="preserve">an application accompanied by the documents required by </w:t>
      </w:r>
      <w:r w:rsidR="0005722B">
        <w:rPr>
          <w:rFonts w:ascii="Avenir Next" w:hAnsi="Avenir Next" w:cs="Arial"/>
          <w:color w:val="808080" w:themeColor="background1" w:themeShade="80"/>
          <w:sz w:val="22"/>
          <w:szCs w:val="22"/>
          <w:lang w:val="en-GB"/>
        </w:rPr>
        <w:t>A</w:t>
      </w:r>
      <w:r w:rsidRPr="00783CCD">
        <w:rPr>
          <w:rFonts w:ascii="Avenir Next" w:hAnsi="Avenir Next" w:cs="Arial"/>
          <w:color w:val="808080" w:themeColor="background1" w:themeShade="80"/>
          <w:sz w:val="22"/>
          <w:szCs w:val="22"/>
          <w:lang w:val="en-GB"/>
        </w:rPr>
        <w:t xml:space="preserve">rticle 15 of the Model Law and which </w:t>
      </w:r>
      <w:proofErr w:type="spellStart"/>
      <w:r w:rsidRPr="00783CCD">
        <w:rPr>
          <w:rFonts w:ascii="Avenir Next" w:hAnsi="Avenir Next" w:cs="Arial"/>
          <w:color w:val="808080" w:themeColor="background1" w:themeShade="80"/>
          <w:sz w:val="22"/>
          <w:szCs w:val="22"/>
          <w:lang w:val="en-GB"/>
        </w:rPr>
        <w:t>fulfills</w:t>
      </w:r>
      <w:proofErr w:type="spellEnd"/>
      <w:r w:rsidRPr="00783CCD">
        <w:rPr>
          <w:rFonts w:ascii="Avenir Next" w:hAnsi="Avenir Next" w:cs="Arial"/>
          <w:color w:val="808080" w:themeColor="background1" w:themeShade="80"/>
          <w:sz w:val="22"/>
          <w:szCs w:val="22"/>
          <w:lang w:val="en-GB"/>
        </w:rPr>
        <w:t xml:space="preserve"> the conditions of </w:t>
      </w:r>
      <w:r w:rsidR="0005722B">
        <w:rPr>
          <w:rFonts w:ascii="Avenir Next" w:hAnsi="Avenir Next" w:cs="Arial"/>
          <w:color w:val="808080" w:themeColor="background1" w:themeShade="80"/>
          <w:sz w:val="22"/>
          <w:szCs w:val="22"/>
          <w:lang w:val="en-GB"/>
        </w:rPr>
        <w:t>A</w:t>
      </w:r>
      <w:r w:rsidRPr="00783CCD">
        <w:rPr>
          <w:rFonts w:ascii="Avenir Next" w:hAnsi="Avenir Next" w:cs="Arial"/>
          <w:color w:val="808080" w:themeColor="background1" w:themeShade="80"/>
          <w:sz w:val="22"/>
          <w:szCs w:val="22"/>
          <w:lang w:val="en-GB"/>
        </w:rPr>
        <w:t>rticle 17(1) of the Model Law may be recognized by the court</w:t>
      </w:r>
      <w:r>
        <w:rPr>
          <w:rFonts w:ascii="Avenir Next" w:hAnsi="Avenir Next" w:cs="Arial"/>
          <w:color w:val="808080" w:themeColor="background1" w:themeShade="80"/>
          <w:sz w:val="22"/>
          <w:szCs w:val="22"/>
          <w:lang w:val="en-GB"/>
        </w:rPr>
        <w:t xml:space="preserve"> of the enacting State</w:t>
      </w:r>
      <w:r w:rsidRPr="00783CCD">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17F03B4" w14:textId="3A5ACF22" w:rsidR="00A14577" w:rsidRDefault="00A14577" w:rsidP="00F9524F">
      <w:pPr>
        <w:ind w:left="720" w:hanging="720"/>
        <w:jc w:val="both"/>
        <w:rPr>
          <w:rFonts w:ascii="Avenir Next" w:hAnsi="Avenir Next" w:cs="Arial"/>
          <w:color w:val="808080" w:themeColor="background1" w:themeShade="80"/>
          <w:sz w:val="22"/>
          <w:szCs w:val="22"/>
          <w:lang w:val="en-GB"/>
        </w:rPr>
      </w:pPr>
      <w:proofErr w:type="gramStart"/>
      <w:r w:rsidRPr="00A14577">
        <w:rPr>
          <w:rFonts w:ascii="Avenir Next" w:hAnsi="Avenir Next" w:cs="Arial"/>
          <w:color w:val="808080" w:themeColor="background1" w:themeShade="80"/>
          <w:sz w:val="22"/>
          <w:szCs w:val="22"/>
          <w:lang w:val="en-GB"/>
        </w:rPr>
        <w:t>With regard to</w:t>
      </w:r>
      <w:proofErr w:type="gramEnd"/>
      <w:r w:rsidRPr="00A14577">
        <w:rPr>
          <w:rFonts w:ascii="Avenir Next" w:hAnsi="Avenir Next" w:cs="Arial"/>
          <w:color w:val="808080" w:themeColor="background1" w:themeShade="80"/>
          <w:sz w:val="22"/>
          <w:szCs w:val="22"/>
          <w:lang w:val="en-GB"/>
        </w:rPr>
        <w:t xml:space="preserve"> relief, the Model Law has three situations: (a) pre-recognition relief under Article 19; (b) automatic relief in case of recognition of a main foreign proceeding pursuant to Article 20; and (c) post-recognition relief provided for in Article 21 of the Model Law.</w:t>
      </w:r>
    </w:p>
    <w:p w14:paraId="4F1B4AF2" w14:textId="77777777" w:rsidR="00CD1B0A" w:rsidRPr="00CD1B0A" w:rsidRDefault="00CD1B0A" w:rsidP="00CD1B0A">
      <w:pPr>
        <w:ind w:left="720" w:hanging="720"/>
        <w:jc w:val="both"/>
        <w:rPr>
          <w:rFonts w:ascii="Avenir Next" w:hAnsi="Avenir Next" w:cs="Arial"/>
          <w:color w:val="808080" w:themeColor="background1" w:themeShade="80"/>
          <w:sz w:val="22"/>
          <w:szCs w:val="22"/>
          <w:lang w:val="en-GB"/>
        </w:rPr>
      </w:pPr>
    </w:p>
    <w:p w14:paraId="6F9C1CFF" w14:textId="5C05E65F" w:rsidR="00726794" w:rsidRDefault="00CD1B0A" w:rsidP="00D83233">
      <w:pPr>
        <w:ind w:left="720" w:hanging="720"/>
        <w:jc w:val="both"/>
        <w:rPr>
          <w:rFonts w:ascii="Avenir Next" w:hAnsi="Avenir Next" w:cs="Arial"/>
          <w:color w:val="808080" w:themeColor="background1" w:themeShade="80"/>
          <w:sz w:val="22"/>
          <w:szCs w:val="22"/>
          <w:lang w:val="en-GB"/>
        </w:rPr>
      </w:pPr>
      <w:r w:rsidRPr="00CD1B0A">
        <w:rPr>
          <w:rFonts w:ascii="Avenir Next" w:hAnsi="Avenir Next" w:cs="Arial"/>
          <w:color w:val="808080" w:themeColor="background1" w:themeShade="80"/>
          <w:sz w:val="22"/>
          <w:szCs w:val="22"/>
          <w:lang w:val="en-GB"/>
        </w:rPr>
        <w:t xml:space="preserve">The foreign representative may request relief of a provisional nature in urgent cases, which will take effect between the application and the decision on the recognition of the </w:t>
      </w:r>
      <w:r w:rsidR="00F9524F">
        <w:rPr>
          <w:rFonts w:ascii="Avenir Next" w:hAnsi="Avenir Next" w:cs="Arial"/>
          <w:color w:val="808080" w:themeColor="background1" w:themeShade="80"/>
          <w:sz w:val="22"/>
          <w:szCs w:val="22"/>
          <w:lang w:val="en-GB"/>
        </w:rPr>
        <w:t xml:space="preserve">foreign </w:t>
      </w:r>
      <w:proofErr w:type="gramStart"/>
      <w:r w:rsidRPr="00CD1B0A">
        <w:rPr>
          <w:rFonts w:ascii="Avenir Next" w:hAnsi="Avenir Next" w:cs="Arial"/>
          <w:color w:val="808080" w:themeColor="background1" w:themeShade="80"/>
          <w:sz w:val="22"/>
          <w:szCs w:val="22"/>
          <w:lang w:val="en-GB"/>
        </w:rPr>
        <w:t>proce</w:t>
      </w:r>
      <w:r w:rsidR="00F9524F">
        <w:rPr>
          <w:rFonts w:ascii="Avenir Next" w:hAnsi="Avenir Next" w:cs="Arial"/>
          <w:color w:val="808080" w:themeColor="background1" w:themeShade="80"/>
          <w:sz w:val="22"/>
          <w:szCs w:val="22"/>
          <w:lang w:val="en-GB"/>
        </w:rPr>
        <w:t>eding</w:t>
      </w:r>
      <w:r w:rsidR="00384DB2" w:rsidRPr="00384DB2">
        <w:t xml:space="preserve"> </w:t>
      </w:r>
      <w:r w:rsidR="00384DB2" w:rsidRPr="00384DB2">
        <w:rPr>
          <w:rFonts w:ascii="Avenir Next" w:hAnsi="Avenir Next" w:cs="Arial"/>
          <w:color w:val="808080" w:themeColor="background1" w:themeShade="80"/>
          <w:sz w:val="22"/>
          <w:szCs w:val="22"/>
          <w:lang w:val="en-GB"/>
        </w:rPr>
        <w:t>,</w:t>
      </w:r>
      <w:proofErr w:type="gramEnd"/>
      <w:r w:rsidR="00384DB2" w:rsidRPr="00384DB2">
        <w:rPr>
          <w:rFonts w:ascii="Avenir Next" w:hAnsi="Avenir Next" w:cs="Arial"/>
          <w:color w:val="808080" w:themeColor="background1" w:themeShade="80"/>
          <w:sz w:val="22"/>
          <w:szCs w:val="22"/>
          <w:lang w:val="en-GB"/>
        </w:rPr>
        <w:t xml:space="preserve"> in accordance with Article 19(3) of the Model Law</w:t>
      </w:r>
      <w:r w:rsidRPr="00CD1B0A">
        <w:rPr>
          <w:rFonts w:ascii="Avenir Next" w:hAnsi="Avenir Next" w:cs="Arial"/>
          <w:color w:val="808080" w:themeColor="background1" w:themeShade="80"/>
          <w:sz w:val="22"/>
          <w:szCs w:val="22"/>
          <w:lang w:val="en-GB"/>
        </w:rPr>
        <w:t>. In this regard, Article 19(1) of the Model Law provides that the court may grant at its discretion any of the following reliefs</w:t>
      </w:r>
      <w:r w:rsidR="00726794">
        <w:rPr>
          <w:rFonts w:ascii="Avenir Next" w:hAnsi="Avenir Next" w:cs="Arial"/>
          <w:color w:val="808080" w:themeColor="background1" w:themeShade="80"/>
          <w:sz w:val="22"/>
          <w:szCs w:val="22"/>
          <w:lang w:val="en-GB"/>
        </w:rPr>
        <w:t>: (a) s</w:t>
      </w:r>
      <w:r w:rsidR="00726794" w:rsidRPr="00726794">
        <w:rPr>
          <w:rFonts w:ascii="Avenir Next" w:hAnsi="Avenir Next" w:cs="Arial"/>
          <w:color w:val="808080" w:themeColor="background1" w:themeShade="80"/>
          <w:sz w:val="22"/>
          <w:szCs w:val="22"/>
          <w:lang w:val="en-GB"/>
        </w:rPr>
        <w:t>taying execution against the debtor’s assets;</w:t>
      </w:r>
      <w:r w:rsidR="00726794">
        <w:rPr>
          <w:rFonts w:ascii="Avenir Next" w:hAnsi="Avenir Next" w:cs="Arial"/>
          <w:color w:val="808080" w:themeColor="background1" w:themeShade="80"/>
          <w:sz w:val="22"/>
          <w:szCs w:val="22"/>
          <w:lang w:val="en-GB"/>
        </w:rPr>
        <w:t xml:space="preserve"> </w:t>
      </w:r>
      <w:r w:rsidR="00726794" w:rsidRPr="00726794">
        <w:rPr>
          <w:rFonts w:ascii="Avenir Next" w:hAnsi="Avenir Next" w:cs="Arial"/>
          <w:color w:val="808080" w:themeColor="background1" w:themeShade="80"/>
          <w:sz w:val="22"/>
          <w:szCs w:val="22"/>
          <w:lang w:val="en-GB"/>
        </w:rPr>
        <w:t xml:space="preserve">(b) </w:t>
      </w:r>
      <w:r w:rsidR="00726794">
        <w:rPr>
          <w:rFonts w:ascii="Avenir Next" w:hAnsi="Avenir Next" w:cs="Arial"/>
          <w:color w:val="808080" w:themeColor="background1" w:themeShade="80"/>
          <w:sz w:val="22"/>
          <w:szCs w:val="22"/>
          <w:lang w:val="en-GB"/>
        </w:rPr>
        <w:t>e</w:t>
      </w:r>
      <w:r w:rsidR="00726794" w:rsidRPr="00726794">
        <w:rPr>
          <w:rFonts w:ascii="Avenir Next" w:hAnsi="Avenir Next" w:cs="Arial"/>
          <w:color w:val="808080" w:themeColor="background1" w:themeShade="80"/>
          <w:sz w:val="22"/>
          <w:szCs w:val="22"/>
          <w:lang w:val="en-GB"/>
        </w:rPr>
        <w:t>ntrusting the administration or realization of all or part of the</w:t>
      </w:r>
      <w:r w:rsidR="00726794">
        <w:rPr>
          <w:rFonts w:ascii="Avenir Next" w:hAnsi="Avenir Next" w:cs="Arial"/>
          <w:color w:val="808080" w:themeColor="background1" w:themeShade="80"/>
          <w:sz w:val="22"/>
          <w:szCs w:val="22"/>
          <w:lang w:val="en-GB"/>
        </w:rPr>
        <w:t xml:space="preserve"> </w:t>
      </w:r>
      <w:r w:rsidR="00726794" w:rsidRPr="00726794">
        <w:rPr>
          <w:rFonts w:ascii="Avenir Next" w:hAnsi="Avenir Next" w:cs="Arial"/>
          <w:color w:val="808080" w:themeColor="background1" w:themeShade="80"/>
          <w:sz w:val="22"/>
          <w:szCs w:val="22"/>
          <w:lang w:val="en-GB"/>
        </w:rPr>
        <w:t>debtor’s assets located in this State to the foreign representative or another</w:t>
      </w:r>
      <w:r w:rsidR="00756AA9">
        <w:rPr>
          <w:rFonts w:ascii="Avenir Next" w:hAnsi="Avenir Next" w:cs="Arial"/>
          <w:color w:val="808080" w:themeColor="background1" w:themeShade="80"/>
          <w:sz w:val="22"/>
          <w:szCs w:val="22"/>
          <w:lang w:val="en-GB"/>
        </w:rPr>
        <w:t xml:space="preserve"> </w:t>
      </w:r>
      <w:r w:rsidR="00726794" w:rsidRPr="00726794">
        <w:rPr>
          <w:rFonts w:ascii="Avenir Next" w:hAnsi="Avenir Next" w:cs="Arial"/>
          <w:color w:val="808080" w:themeColor="background1" w:themeShade="80"/>
          <w:sz w:val="22"/>
          <w:szCs w:val="22"/>
          <w:lang w:val="en-GB"/>
        </w:rPr>
        <w:t>person designated by the court, in order to protect and preserve the value</w:t>
      </w:r>
      <w:r w:rsidR="00726794">
        <w:rPr>
          <w:rFonts w:ascii="Avenir Next" w:hAnsi="Avenir Next" w:cs="Arial"/>
          <w:color w:val="808080" w:themeColor="background1" w:themeShade="80"/>
          <w:sz w:val="22"/>
          <w:szCs w:val="22"/>
          <w:lang w:val="en-GB"/>
        </w:rPr>
        <w:t xml:space="preserve"> </w:t>
      </w:r>
      <w:r w:rsidR="00726794" w:rsidRPr="00726794">
        <w:rPr>
          <w:rFonts w:ascii="Avenir Next" w:hAnsi="Avenir Next" w:cs="Arial"/>
          <w:color w:val="808080" w:themeColor="background1" w:themeShade="80"/>
          <w:sz w:val="22"/>
          <w:szCs w:val="22"/>
          <w:lang w:val="en-GB"/>
        </w:rPr>
        <w:t>of assets that, by their nature or because of other circumstances, are perishable, susceptible to devaluation or otherwise in jeopardy;</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 xml:space="preserve">(c) </w:t>
      </w:r>
      <w:r w:rsidR="00756AA9">
        <w:rPr>
          <w:rFonts w:ascii="Avenir Next" w:hAnsi="Avenir Next" w:cs="Arial"/>
          <w:color w:val="808080" w:themeColor="background1" w:themeShade="80"/>
          <w:sz w:val="22"/>
          <w:szCs w:val="22"/>
          <w:lang w:val="en-GB"/>
        </w:rPr>
        <w:t>s</w:t>
      </w:r>
      <w:r w:rsidR="00756AA9" w:rsidRPr="007A3471">
        <w:rPr>
          <w:rFonts w:ascii="Avenir Next" w:hAnsi="Avenir Next" w:cs="Arial"/>
          <w:color w:val="808080" w:themeColor="background1" w:themeShade="80"/>
          <w:sz w:val="22"/>
          <w:szCs w:val="22"/>
          <w:lang w:val="en-GB"/>
        </w:rPr>
        <w:t>uspending the right to transfer, encumber or otherwise dispose of</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any assets of the debtor to the extent this right has not been suspended under</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paragraph 1 (c) of article 20;</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 xml:space="preserve">(d) </w:t>
      </w:r>
      <w:r w:rsidR="00756AA9">
        <w:rPr>
          <w:rFonts w:ascii="Avenir Next" w:hAnsi="Avenir Next" w:cs="Arial"/>
          <w:color w:val="808080" w:themeColor="background1" w:themeShade="80"/>
          <w:sz w:val="22"/>
          <w:szCs w:val="22"/>
          <w:lang w:val="en-GB"/>
        </w:rPr>
        <w:t>p</w:t>
      </w:r>
      <w:r w:rsidR="00756AA9" w:rsidRPr="007A3471">
        <w:rPr>
          <w:rFonts w:ascii="Avenir Next" w:hAnsi="Avenir Next" w:cs="Arial"/>
          <w:color w:val="808080" w:themeColor="background1" w:themeShade="80"/>
          <w:sz w:val="22"/>
          <w:szCs w:val="22"/>
          <w:lang w:val="en-GB"/>
        </w:rPr>
        <w:t>roviding for the examination of witnesses, the taking of evidence</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or the delivery of information concerning the debtor’s assets, affairs, rights,</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obligations or liabilities;</w:t>
      </w:r>
      <w:r w:rsidR="00756AA9">
        <w:rPr>
          <w:rFonts w:ascii="Avenir Next" w:hAnsi="Avenir Next" w:cs="Arial"/>
          <w:color w:val="808080" w:themeColor="background1" w:themeShade="80"/>
          <w:sz w:val="22"/>
          <w:szCs w:val="22"/>
          <w:lang w:val="en-GB"/>
        </w:rPr>
        <w:t xml:space="preserve"> </w:t>
      </w:r>
      <w:r w:rsidR="00756AA9">
        <w:rPr>
          <w:rFonts w:ascii="Avenir Next" w:hAnsi="Avenir Next" w:cs="Arial"/>
          <w:color w:val="808080" w:themeColor="background1" w:themeShade="80"/>
          <w:sz w:val="22"/>
          <w:szCs w:val="22"/>
          <w:lang w:val="en-GB"/>
        </w:rPr>
        <w:t xml:space="preserve">and </w:t>
      </w:r>
      <w:r w:rsidR="00756AA9" w:rsidRPr="007A3471">
        <w:rPr>
          <w:rFonts w:ascii="Avenir Next" w:hAnsi="Avenir Next" w:cs="Arial"/>
          <w:color w:val="808080" w:themeColor="background1" w:themeShade="80"/>
          <w:sz w:val="22"/>
          <w:szCs w:val="22"/>
          <w:lang w:val="en-GB"/>
        </w:rPr>
        <w:t xml:space="preserve">(g) </w:t>
      </w:r>
      <w:r w:rsidR="00756AA9">
        <w:rPr>
          <w:rFonts w:ascii="Avenir Next" w:hAnsi="Avenir Next" w:cs="Arial"/>
          <w:color w:val="808080" w:themeColor="background1" w:themeShade="80"/>
          <w:sz w:val="22"/>
          <w:szCs w:val="22"/>
          <w:lang w:val="en-GB"/>
        </w:rPr>
        <w:t>g</w:t>
      </w:r>
      <w:r w:rsidR="00756AA9" w:rsidRPr="007A3471">
        <w:rPr>
          <w:rFonts w:ascii="Avenir Next" w:hAnsi="Avenir Next" w:cs="Arial"/>
          <w:color w:val="808080" w:themeColor="background1" w:themeShade="80"/>
          <w:sz w:val="22"/>
          <w:szCs w:val="22"/>
          <w:lang w:val="en-GB"/>
        </w:rPr>
        <w:t>ranting any additional relief that may be available under</w:t>
      </w:r>
      <w:r w:rsidR="00756AA9">
        <w:rPr>
          <w:rFonts w:ascii="Avenir Next" w:hAnsi="Avenir Next" w:cs="Arial"/>
          <w:color w:val="808080" w:themeColor="background1" w:themeShade="80"/>
          <w:sz w:val="22"/>
          <w:szCs w:val="22"/>
          <w:lang w:val="en-GB"/>
        </w:rPr>
        <w:t xml:space="preserve"> </w:t>
      </w:r>
      <w:r w:rsidR="00756AA9" w:rsidRPr="007A3471">
        <w:rPr>
          <w:rFonts w:ascii="Avenir Next" w:hAnsi="Avenir Next" w:cs="Arial"/>
          <w:color w:val="808080" w:themeColor="background1" w:themeShade="80"/>
          <w:sz w:val="22"/>
          <w:szCs w:val="22"/>
          <w:lang w:val="en-GB"/>
        </w:rPr>
        <w:t>the law of the enacting State.</w:t>
      </w:r>
    </w:p>
    <w:p w14:paraId="2151D9B0" w14:textId="77777777" w:rsidR="00D83233" w:rsidRPr="00D83233" w:rsidRDefault="00D83233" w:rsidP="00D83233">
      <w:pPr>
        <w:ind w:left="720" w:hanging="720"/>
        <w:jc w:val="both"/>
        <w:rPr>
          <w:rFonts w:ascii="Avenir Next" w:hAnsi="Avenir Next" w:cs="Arial"/>
          <w:color w:val="808080" w:themeColor="background1" w:themeShade="80"/>
          <w:sz w:val="22"/>
          <w:szCs w:val="22"/>
          <w:lang w:val="en-GB"/>
        </w:rPr>
      </w:pPr>
    </w:p>
    <w:p w14:paraId="3174681C" w14:textId="03586871" w:rsidR="00D83233" w:rsidRDefault="00D83233" w:rsidP="00D83233">
      <w:pPr>
        <w:ind w:left="720" w:hanging="720"/>
        <w:jc w:val="both"/>
        <w:rPr>
          <w:rFonts w:ascii="Avenir Next" w:hAnsi="Avenir Next" w:cs="Arial"/>
          <w:color w:val="808080" w:themeColor="background1" w:themeShade="80"/>
          <w:sz w:val="22"/>
          <w:szCs w:val="22"/>
          <w:lang w:val="en-GB"/>
        </w:rPr>
      </w:pPr>
      <w:r w:rsidRPr="00D83233">
        <w:rPr>
          <w:rFonts w:ascii="Avenir Next" w:hAnsi="Avenir Next" w:cs="Arial"/>
          <w:color w:val="808080" w:themeColor="background1" w:themeShade="80"/>
          <w:sz w:val="22"/>
          <w:szCs w:val="22"/>
          <w:lang w:val="en-GB"/>
        </w:rPr>
        <w:lastRenderedPageBreak/>
        <w:t>Pre-recognition relief cannot interfere with the administration of the foreign</w:t>
      </w:r>
      <w:r>
        <w:rPr>
          <w:rFonts w:ascii="Avenir Next" w:hAnsi="Avenir Next" w:cs="Arial"/>
          <w:color w:val="808080" w:themeColor="background1" w:themeShade="80"/>
          <w:sz w:val="22"/>
          <w:szCs w:val="22"/>
          <w:lang w:val="en-GB"/>
        </w:rPr>
        <w:t xml:space="preserve"> main</w:t>
      </w:r>
      <w:r w:rsidRPr="00D83233">
        <w:rPr>
          <w:rFonts w:ascii="Avenir Next" w:hAnsi="Avenir Next" w:cs="Arial"/>
          <w:color w:val="808080" w:themeColor="background1" w:themeShade="80"/>
          <w:sz w:val="22"/>
          <w:szCs w:val="22"/>
          <w:lang w:val="en-GB"/>
        </w:rPr>
        <w:t xml:space="preserve"> proceeding, otherwise the court may refuse it under </w:t>
      </w:r>
      <w:r>
        <w:rPr>
          <w:rFonts w:ascii="Avenir Next" w:hAnsi="Avenir Next" w:cs="Arial"/>
          <w:color w:val="808080" w:themeColor="background1" w:themeShade="80"/>
          <w:sz w:val="22"/>
          <w:szCs w:val="22"/>
          <w:lang w:val="en-GB"/>
        </w:rPr>
        <w:t>Article</w:t>
      </w:r>
      <w:r w:rsidRPr="00D83233">
        <w:rPr>
          <w:rFonts w:ascii="Avenir Next" w:hAnsi="Avenir Next" w:cs="Arial"/>
          <w:color w:val="808080" w:themeColor="background1" w:themeShade="80"/>
          <w:sz w:val="22"/>
          <w:szCs w:val="22"/>
          <w:lang w:val="en-GB"/>
        </w:rPr>
        <w:t xml:space="preserve"> 19(4) of the Model Law.</w:t>
      </w:r>
    </w:p>
    <w:p w14:paraId="52010D9E" w14:textId="77777777" w:rsidR="00D83233" w:rsidRDefault="00D83233" w:rsidP="00707FC8">
      <w:pPr>
        <w:ind w:left="720" w:hanging="720"/>
        <w:jc w:val="both"/>
        <w:rPr>
          <w:rFonts w:ascii="Avenir Next" w:hAnsi="Avenir Next" w:cs="Arial"/>
          <w:color w:val="808080" w:themeColor="background1" w:themeShade="80"/>
          <w:sz w:val="22"/>
          <w:szCs w:val="22"/>
          <w:lang w:val="en-GB"/>
        </w:rPr>
      </w:pPr>
    </w:p>
    <w:p w14:paraId="78A58266" w14:textId="64305B2D" w:rsidR="001D6D8B" w:rsidRDefault="001D6D8B" w:rsidP="00707FC8">
      <w:pPr>
        <w:ind w:left="720" w:hanging="720"/>
        <w:jc w:val="both"/>
        <w:rPr>
          <w:rFonts w:ascii="Avenir Next" w:hAnsi="Avenir Next" w:cs="Arial"/>
          <w:color w:val="808080" w:themeColor="background1" w:themeShade="80"/>
          <w:sz w:val="22"/>
          <w:szCs w:val="22"/>
          <w:lang w:val="en-GB"/>
        </w:rPr>
      </w:pPr>
      <w:r w:rsidRPr="001D6D8B">
        <w:rPr>
          <w:rFonts w:ascii="Avenir Next" w:hAnsi="Avenir Next" w:cs="Arial"/>
          <w:color w:val="808080" w:themeColor="background1" w:themeShade="80"/>
          <w:sz w:val="22"/>
          <w:szCs w:val="22"/>
          <w:lang w:val="en-GB"/>
        </w:rPr>
        <w:t xml:space="preserve">In addition, </w:t>
      </w:r>
      <w:r>
        <w:rPr>
          <w:rFonts w:ascii="Avenir Next" w:hAnsi="Avenir Next" w:cs="Arial"/>
          <w:color w:val="808080" w:themeColor="background1" w:themeShade="80"/>
          <w:sz w:val="22"/>
          <w:szCs w:val="22"/>
          <w:lang w:val="en-GB"/>
        </w:rPr>
        <w:t>Article</w:t>
      </w:r>
      <w:r w:rsidRPr="001D6D8B">
        <w:rPr>
          <w:rFonts w:ascii="Avenir Next" w:hAnsi="Avenir Next" w:cs="Arial"/>
          <w:color w:val="808080" w:themeColor="background1" w:themeShade="80"/>
          <w:sz w:val="22"/>
          <w:szCs w:val="22"/>
          <w:lang w:val="en-GB"/>
        </w:rPr>
        <w:t xml:space="preserve"> 19(2) of the Model Law provides for notice of relief of a provisional nature.</w:t>
      </w:r>
    </w:p>
    <w:p w14:paraId="0F1AB86C" w14:textId="77777777" w:rsidR="001D6D8B" w:rsidRDefault="001D6D8B" w:rsidP="00707FC8">
      <w:pPr>
        <w:ind w:left="720" w:hanging="720"/>
        <w:jc w:val="both"/>
        <w:rPr>
          <w:rFonts w:ascii="Avenir Next" w:hAnsi="Avenir Next" w:cs="Arial"/>
          <w:color w:val="808080" w:themeColor="background1" w:themeShade="80"/>
          <w:sz w:val="22"/>
          <w:szCs w:val="22"/>
          <w:lang w:val="en-GB"/>
        </w:rPr>
      </w:pPr>
    </w:p>
    <w:p w14:paraId="4FD74759" w14:textId="7250B006" w:rsidR="00DF5BB2" w:rsidRDefault="00CE51BF" w:rsidP="00DF5BB2">
      <w:pPr>
        <w:ind w:left="720" w:hanging="720"/>
        <w:jc w:val="both"/>
        <w:rPr>
          <w:rFonts w:ascii="Avenir Next" w:hAnsi="Avenir Next" w:cs="Arial"/>
          <w:color w:val="808080" w:themeColor="background1" w:themeShade="80"/>
          <w:sz w:val="22"/>
          <w:szCs w:val="22"/>
          <w:lang w:val="en-GB"/>
        </w:rPr>
      </w:pPr>
      <w:r w:rsidRPr="00CE51BF">
        <w:rPr>
          <w:rFonts w:ascii="Avenir Next" w:hAnsi="Avenir Next" w:cs="Arial"/>
          <w:color w:val="808080" w:themeColor="background1" w:themeShade="80"/>
          <w:sz w:val="22"/>
          <w:szCs w:val="22"/>
          <w:lang w:val="en-GB"/>
        </w:rPr>
        <w:t>With the recognition of a foreign</w:t>
      </w:r>
      <w:r>
        <w:rPr>
          <w:rFonts w:ascii="Avenir Next" w:hAnsi="Avenir Next" w:cs="Arial"/>
          <w:color w:val="808080" w:themeColor="background1" w:themeShade="80"/>
          <w:sz w:val="22"/>
          <w:szCs w:val="22"/>
          <w:lang w:val="en-GB"/>
        </w:rPr>
        <w:t xml:space="preserve"> main</w:t>
      </w:r>
      <w:r w:rsidRPr="00CE51BF">
        <w:rPr>
          <w:rFonts w:ascii="Avenir Next" w:hAnsi="Avenir Next" w:cs="Arial"/>
          <w:color w:val="808080" w:themeColor="background1" w:themeShade="80"/>
          <w:sz w:val="22"/>
          <w:szCs w:val="22"/>
          <w:lang w:val="en-GB"/>
        </w:rPr>
        <w:t xml:space="preserve"> proceeding, </w:t>
      </w:r>
      <w:r>
        <w:rPr>
          <w:rFonts w:ascii="Avenir Next" w:hAnsi="Avenir Next" w:cs="Arial"/>
          <w:color w:val="808080" w:themeColor="background1" w:themeShade="80"/>
          <w:sz w:val="22"/>
          <w:szCs w:val="22"/>
          <w:lang w:val="en-GB"/>
        </w:rPr>
        <w:t>Article</w:t>
      </w:r>
      <w:r w:rsidRPr="00CE51BF">
        <w:rPr>
          <w:rFonts w:ascii="Avenir Next" w:hAnsi="Avenir Next" w:cs="Arial"/>
          <w:color w:val="808080" w:themeColor="background1" w:themeShade="80"/>
          <w:sz w:val="22"/>
          <w:szCs w:val="22"/>
          <w:lang w:val="en-GB"/>
        </w:rPr>
        <w:t xml:space="preserve"> 20(1) of the Model Law stipulates that</w:t>
      </w:r>
      <w:r w:rsidR="00DF5BB2">
        <w:rPr>
          <w:rFonts w:ascii="Avenir Next" w:hAnsi="Avenir Next" w:cs="Arial"/>
          <w:color w:val="808080" w:themeColor="background1" w:themeShade="80"/>
          <w:sz w:val="22"/>
          <w:szCs w:val="22"/>
          <w:lang w:val="en-GB"/>
        </w:rPr>
        <w:t>: (a) c</w:t>
      </w:r>
      <w:r w:rsidR="00DF5BB2" w:rsidRPr="00DF5BB2">
        <w:rPr>
          <w:rFonts w:ascii="Avenir Next" w:hAnsi="Avenir Next" w:cs="Arial"/>
          <w:color w:val="808080" w:themeColor="background1" w:themeShade="80"/>
          <w:sz w:val="22"/>
          <w:szCs w:val="22"/>
          <w:lang w:val="en-GB"/>
        </w:rPr>
        <w:t>ommencement or continuation of individual actions or individual</w:t>
      </w:r>
      <w:r w:rsidR="00DF5BB2">
        <w:rPr>
          <w:rFonts w:ascii="Avenir Next" w:hAnsi="Avenir Next" w:cs="Arial"/>
          <w:color w:val="808080" w:themeColor="background1" w:themeShade="80"/>
          <w:sz w:val="22"/>
          <w:szCs w:val="22"/>
          <w:lang w:val="en-GB"/>
        </w:rPr>
        <w:t xml:space="preserve"> </w:t>
      </w:r>
      <w:r w:rsidR="00DF5BB2" w:rsidRPr="00DF5BB2">
        <w:rPr>
          <w:rFonts w:ascii="Avenir Next" w:hAnsi="Avenir Next" w:cs="Arial"/>
          <w:color w:val="808080" w:themeColor="background1" w:themeShade="80"/>
          <w:sz w:val="22"/>
          <w:szCs w:val="22"/>
          <w:lang w:val="en-GB"/>
        </w:rPr>
        <w:t xml:space="preserve">proceedings concerning the debtor’s assets, rights, </w:t>
      </w:r>
      <w:proofErr w:type="gramStart"/>
      <w:r w:rsidR="00DF5BB2" w:rsidRPr="00DF5BB2">
        <w:rPr>
          <w:rFonts w:ascii="Avenir Next" w:hAnsi="Avenir Next" w:cs="Arial"/>
          <w:color w:val="808080" w:themeColor="background1" w:themeShade="80"/>
          <w:sz w:val="22"/>
          <w:szCs w:val="22"/>
          <w:lang w:val="en-GB"/>
        </w:rPr>
        <w:t>obligations</w:t>
      </w:r>
      <w:proofErr w:type="gramEnd"/>
      <w:r w:rsidR="00DF5BB2" w:rsidRPr="00DF5BB2">
        <w:rPr>
          <w:rFonts w:ascii="Avenir Next" w:hAnsi="Avenir Next" w:cs="Arial"/>
          <w:color w:val="808080" w:themeColor="background1" w:themeShade="80"/>
          <w:sz w:val="22"/>
          <w:szCs w:val="22"/>
          <w:lang w:val="en-GB"/>
        </w:rPr>
        <w:t xml:space="preserve"> or liabilities</w:t>
      </w:r>
      <w:r w:rsidR="00DF5BB2">
        <w:rPr>
          <w:rFonts w:ascii="Avenir Next" w:hAnsi="Avenir Next" w:cs="Arial"/>
          <w:color w:val="808080" w:themeColor="background1" w:themeShade="80"/>
          <w:sz w:val="22"/>
          <w:szCs w:val="22"/>
          <w:lang w:val="en-GB"/>
        </w:rPr>
        <w:t xml:space="preserve"> </w:t>
      </w:r>
      <w:r w:rsidR="00DF5BB2" w:rsidRPr="00DF5BB2">
        <w:rPr>
          <w:rFonts w:ascii="Avenir Next" w:hAnsi="Avenir Next" w:cs="Arial"/>
          <w:color w:val="808080" w:themeColor="background1" w:themeShade="80"/>
          <w:sz w:val="22"/>
          <w:szCs w:val="22"/>
          <w:lang w:val="en-GB"/>
        </w:rPr>
        <w:t>is stayed;</w:t>
      </w:r>
      <w:r w:rsidR="00DF5BB2">
        <w:rPr>
          <w:rFonts w:ascii="Avenir Next" w:hAnsi="Avenir Next" w:cs="Arial"/>
          <w:color w:val="808080" w:themeColor="background1" w:themeShade="80"/>
          <w:sz w:val="22"/>
          <w:szCs w:val="22"/>
          <w:lang w:val="en-GB"/>
        </w:rPr>
        <w:t xml:space="preserve"> </w:t>
      </w:r>
      <w:r w:rsidR="00DF5BB2" w:rsidRPr="00DF5BB2">
        <w:rPr>
          <w:rFonts w:ascii="Avenir Next" w:hAnsi="Avenir Next" w:cs="Arial"/>
          <w:color w:val="808080" w:themeColor="background1" w:themeShade="80"/>
          <w:sz w:val="22"/>
          <w:szCs w:val="22"/>
          <w:lang w:val="en-GB"/>
        </w:rPr>
        <w:t xml:space="preserve">(b) </w:t>
      </w:r>
      <w:r w:rsidR="00DF5BB2">
        <w:rPr>
          <w:rFonts w:ascii="Avenir Next" w:hAnsi="Avenir Next" w:cs="Arial"/>
          <w:color w:val="808080" w:themeColor="background1" w:themeShade="80"/>
          <w:sz w:val="22"/>
          <w:szCs w:val="22"/>
          <w:lang w:val="en-GB"/>
        </w:rPr>
        <w:t>e</w:t>
      </w:r>
      <w:r w:rsidR="00DF5BB2" w:rsidRPr="00DF5BB2">
        <w:rPr>
          <w:rFonts w:ascii="Avenir Next" w:hAnsi="Avenir Next" w:cs="Arial"/>
          <w:color w:val="808080" w:themeColor="background1" w:themeShade="80"/>
          <w:sz w:val="22"/>
          <w:szCs w:val="22"/>
          <w:lang w:val="en-GB"/>
        </w:rPr>
        <w:t>xecution against the debtor’s assets is stayed; and</w:t>
      </w:r>
      <w:r w:rsidR="00DF5BB2">
        <w:rPr>
          <w:rFonts w:ascii="Avenir Next" w:hAnsi="Avenir Next" w:cs="Arial"/>
          <w:color w:val="808080" w:themeColor="background1" w:themeShade="80"/>
          <w:sz w:val="22"/>
          <w:szCs w:val="22"/>
          <w:lang w:val="en-GB"/>
        </w:rPr>
        <w:t xml:space="preserve"> </w:t>
      </w:r>
      <w:r w:rsidR="00DF5BB2" w:rsidRPr="00DF5BB2">
        <w:rPr>
          <w:rFonts w:ascii="Avenir Next" w:hAnsi="Avenir Next" w:cs="Arial"/>
          <w:color w:val="808080" w:themeColor="background1" w:themeShade="80"/>
          <w:sz w:val="22"/>
          <w:szCs w:val="22"/>
          <w:lang w:val="en-GB"/>
        </w:rPr>
        <w:t xml:space="preserve">(c) </w:t>
      </w:r>
      <w:r w:rsidR="00DF5BB2">
        <w:rPr>
          <w:rFonts w:ascii="Avenir Next" w:hAnsi="Avenir Next" w:cs="Arial"/>
          <w:color w:val="808080" w:themeColor="background1" w:themeShade="80"/>
          <w:sz w:val="22"/>
          <w:szCs w:val="22"/>
          <w:lang w:val="en-GB"/>
        </w:rPr>
        <w:t>t</w:t>
      </w:r>
      <w:r w:rsidR="00DF5BB2" w:rsidRPr="00DF5BB2">
        <w:rPr>
          <w:rFonts w:ascii="Avenir Next" w:hAnsi="Avenir Next" w:cs="Arial"/>
          <w:color w:val="808080" w:themeColor="background1" w:themeShade="80"/>
          <w:sz w:val="22"/>
          <w:szCs w:val="22"/>
          <w:lang w:val="en-GB"/>
        </w:rPr>
        <w:t>he right to transfer, encumber or otherwise dispose of any assets</w:t>
      </w:r>
      <w:r w:rsidR="00DF5BB2">
        <w:rPr>
          <w:rFonts w:ascii="Avenir Next" w:hAnsi="Avenir Next" w:cs="Arial"/>
          <w:color w:val="808080" w:themeColor="background1" w:themeShade="80"/>
          <w:sz w:val="22"/>
          <w:szCs w:val="22"/>
          <w:lang w:val="en-GB"/>
        </w:rPr>
        <w:t xml:space="preserve"> </w:t>
      </w:r>
      <w:r w:rsidR="00DF5BB2" w:rsidRPr="00DF5BB2">
        <w:rPr>
          <w:rFonts w:ascii="Avenir Next" w:hAnsi="Avenir Next" w:cs="Arial"/>
          <w:color w:val="808080" w:themeColor="background1" w:themeShade="80"/>
          <w:sz w:val="22"/>
          <w:szCs w:val="22"/>
          <w:lang w:val="en-GB"/>
        </w:rPr>
        <w:t>of the debtor is suspended.</w:t>
      </w:r>
    </w:p>
    <w:p w14:paraId="4E3E97B0" w14:textId="77777777" w:rsidR="002A17EC" w:rsidRPr="002A17EC" w:rsidRDefault="002A17EC" w:rsidP="002A17EC">
      <w:pPr>
        <w:ind w:left="720" w:hanging="720"/>
        <w:jc w:val="both"/>
        <w:rPr>
          <w:rFonts w:ascii="Avenir Next" w:hAnsi="Avenir Next" w:cs="Arial"/>
          <w:color w:val="808080" w:themeColor="background1" w:themeShade="80"/>
          <w:sz w:val="22"/>
          <w:szCs w:val="22"/>
          <w:lang w:val="en-GB"/>
        </w:rPr>
      </w:pPr>
    </w:p>
    <w:p w14:paraId="7AB0DAE1" w14:textId="5958ECA5" w:rsidR="009D1183" w:rsidRDefault="002A17EC" w:rsidP="009D1183">
      <w:pPr>
        <w:ind w:left="720" w:hanging="720"/>
        <w:jc w:val="both"/>
        <w:rPr>
          <w:rFonts w:ascii="Avenir Next" w:hAnsi="Avenir Next" w:cs="Arial"/>
          <w:color w:val="808080" w:themeColor="background1" w:themeShade="80"/>
          <w:sz w:val="22"/>
          <w:szCs w:val="22"/>
          <w:lang w:val="en-GB"/>
        </w:rPr>
      </w:pPr>
      <w:r w:rsidRPr="002A17EC">
        <w:rPr>
          <w:rFonts w:ascii="Avenir Next" w:hAnsi="Avenir Next" w:cs="Arial"/>
          <w:color w:val="808080" w:themeColor="background1" w:themeShade="80"/>
          <w:sz w:val="22"/>
          <w:szCs w:val="22"/>
          <w:lang w:val="en-GB"/>
        </w:rPr>
        <w:t>At the request of the foreign representative, Article 21(1) provides that the court</w:t>
      </w:r>
      <w:r>
        <w:rPr>
          <w:rFonts w:ascii="Avenir Next" w:hAnsi="Avenir Next" w:cs="Arial"/>
          <w:color w:val="808080" w:themeColor="background1" w:themeShade="80"/>
          <w:sz w:val="22"/>
          <w:szCs w:val="22"/>
          <w:lang w:val="en-GB"/>
        </w:rPr>
        <w:t xml:space="preserve"> </w:t>
      </w:r>
      <w:r w:rsidR="00CA2B7C" w:rsidRPr="00CA2B7C">
        <w:rPr>
          <w:rFonts w:ascii="Avenir Next" w:hAnsi="Avenir Next" w:cs="Arial"/>
          <w:color w:val="808080" w:themeColor="background1" w:themeShade="80"/>
          <w:sz w:val="22"/>
          <w:szCs w:val="22"/>
          <w:lang w:val="en-GB"/>
        </w:rPr>
        <w:t>may</w:t>
      </w:r>
      <w:r w:rsidR="00CA2B7C">
        <w:rPr>
          <w:rFonts w:ascii="Avenir Next" w:hAnsi="Avenir Next" w:cs="Arial"/>
          <w:color w:val="808080" w:themeColor="background1" w:themeShade="80"/>
          <w:sz w:val="22"/>
          <w:szCs w:val="22"/>
          <w:lang w:val="en-GB"/>
        </w:rPr>
        <w:t xml:space="preserve"> </w:t>
      </w:r>
      <w:r w:rsidR="00CA2B7C" w:rsidRPr="00CA2B7C">
        <w:rPr>
          <w:rFonts w:ascii="Avenir Next" w:hAnsi="Avenir Next" w:cs="Arial"/>
          <w:color w:val="808080" w:themeColor="background1" w:themeShade="80"/>
          <w:sz w:val="22"/>
          <w:szCs w:val="22"/>
          <w:lang w:val="en-GB"/>
        </w:rPr>
        <w:t>grant any appropriate relief, including</w:t>
      </w:r>
      <w:r w:rsidR="007A3471">
        <w:rPr>
          <w:rFonts w:ascii="Avenir Next" w:hAnsi="Avenir Next" w:cs="Arial"/>
          <w:color w:val="808080" w:themeColor="background1" w:themeShade="80"/>
          <w:sz w:val="22"/>
          <w:szCs w:val="22"/>
          <w:lang w:val="en-GB"/>
        </w:rPr>
        <w:t xml:space="preserve">: </w:t>
      </w:r>
      <w:r w:rsidR="00E21187">
        <w:rPr>
          <w:rFonts w:ascii="Avenir Next" w:hAnsi="Avenir Next" w:cs="Arial"/>
          <w:color w:val="808080" w:themeColor="background1" w:themeShade="80"/>
          <w:sz w:val="22"/>
          <w:szCs w:val="22"/>
          <w:lang w:val="en-GB"/>
        </w:rPr>
        <w:t>s</w:t>
      </w:r>
      <w:r w:rsidR="007A3471" w:rsidRPr="007A3471">
        <w:rPr>
          <w:rFonts w:ascii="Avenir Next" w:hAnsi="Avenir Next" w:cs="Arial"/>
          <w:color w:val="808080" w:themeColor="background1" w:themeShade="80"/>
          <w:sz w:val="22"/>
          <w:szCs w:val="22"/>
          <w:lang w:val="en-GB"/>
        </w:rPr>
        <w:t>taying the commencement or continuation of individual actions</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or individual proceedings concerning the debtor’s assets, rights, obligations</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or liabilities, to the extent they have not been stayed under paragraph 1 (a)</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of article 20;</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 xml:space="preserve">(b) </w:t>
      </w:r>
      <w:r w:rsidR="00E21187">
        <w:rPr>
          <w:rFonts w:ascii="Avenir Next" w:hAnsi="Avenir Next" w:cs="Arial"/>
          <w:color w:val="808080" w:themeColor="background1" w:themeShade="80"/>
          <w:sz w:val="22"/>
          <w:szCs w:val="22"/>
          <w:lang w:val="en-GB"/>
        </w:rPr>
        <w:t>s</w:t>
      </w:r>
      <w:r w:rsidR="007A3471" w:rsidRPr="007A3471">
        <w:rPr>
          <w:rFonts w:ascii="Avenir Next" w:hAnsi="Avenir Next" w:cs="Arial"/>
          <w:color w:val="808080" w:themeColor="background1" w:themeShade="80"/>
          <w:sz w:val="22"/>
          <w:szCs w:val="22"/>
          <w:lang w:val="en-GB"/>
        </w:rPr>
        <w:t>taying execution against the debtor’s assets to the extent it has</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not been stayed under paragraph 1 (b) of article 20;</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 xml:space="preserve">(c) </w:t>
      </w:r>
      <w:r w:rsidR="00E21187">
        <w:rPr>
          <w:rFonts w:ascii="Avenir Next" w:hAnsi="Avenir Next" w:cs="Arial"/>
          <w:color w:val="808080" w:themeColor="background1" w:themeShade="80"/>
          <w:sz w:val="22"/>
          <w:szCs w:val="22"/>
          <w:lang w:val="en-GB"/>
        </w:rPr>
        <w:t>s</w:t>
      </w:r>
      <w:r w:rsidR="007A3471" w:rsidRPr="007A3471">
        <w:rPr>
          <w:rFonts w:ascii="Avenir Next" w:hAnsi="Avenir Next" w:cs="Arial"/>
          <w:color w:val="808080" w:themeColor="background1" w:themeShade="80"/>
          <w:sz w:val="22"/>
          <w:szCs w:val="22"/>
          <w:lang w:val="en-GB"/>
        </w:rPr>
        <w:t>uspending the right to transfer, encumber or otherwise dispose of</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any assets of the debtor to the extent this right has not been suspended under</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paragraph 1 (c) of article 20;</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 xml:space="preserve">(d) </w:t>
      </w:r>
      <w:r w:rsidR="00E21187">
        <w:rPr>
          <w:rFonts w:ascii="Avenir Next" w:hAnsi="Avenir Next" w:cs="Arial"/>
          <w:color w:val="808080" w:themeColor="background1" w:themeShade="80"/>
          <w:sz w:val="22"/>
          <w:szCs w:val="22"/>
          <w:lang w:val="en-GB"/>
        </w:rPr>
        <w:t>p</w:t>
      </w:r>
      <w:r w:rsidR="007A3471" w:rsidRPr="007A3471">
        <w:rPr>
          <w:rFonts w:ascii="Avenir Next" w:hAnsi="Avenir Next" w:cs="Arial"/>
          <w:color w:val="808080" w:themeColor="background1" w:themeShade="80"/>
          <w:sz w:val="22"/>
          <w:szCs w:val="22"/>
          <w:lang w:val="en-GB"/>
        </w:rPr>
        <w:t>roviding for the examination of witnesses, the taking of evidence</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or the delivery of information concerning the debtor’s assets, affairs, rights,</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obligations or liabilities;</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 xml:space="preserve">(e) </w:t>
      </w:r>
      <w:r w:rsidR="00E21187">
        <w:rPr>
          <w:rFonts w:ascii="Avenir Next" w:hAnsi="Avenir Next" w:cs="Arial"/>
          <w:color w:val="808080" w:themeColor="background1" w:themeShade="80"/>
          <w:sz w:val="22"/>
          <w:szCs w:val="22"/>
          <w:lang w:val="en-GB"/>
        </w:rPr>
        <w:t>e</w:t>
      </w:r>
      <w:r w:rsidR="007A3471" w:rsidRPr="007A3471">
        <w:rPr>
          <w:rFonts w:ascii="Avenir Next" w:hAnsi="Avenir Next" w:cs="Arial"/>
          <w:color w:val="808080" w:themeColor="background1" w:themeShade="80"/>
          <w:sz w:val="22"/>
          <w:szCs w:val="22"/>
          <w:lang w:val="en-GB"/>
        </w:rPr>
        <w:t>ntrusting the administration or realization of all or part of the</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debtor’s assets located in this State to the foreign representative or another</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person designated by the court;</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 xml:space="preserve">(f) </w:t>
      </w:r>
      <w:r w:rsidR="00E21187">
        <w:rPr>
          <w:rFonts w:ascii="Avenir Next" w:hAnsi="Avenir Next" w:cs="Arial"/>
          <w:color w:val="808080" w:themeColor="background1" w:themeShade="80"/>
          <w:sz w:val="22"/>
          <w:szCs w:val="22"/>
          <w:lang w:val="en-GB"/>
        </w:rPr>
        <w:t>e</w:t>
      </w:r>
      <w:r w:rsidR="007A3471" w:rsidRPr="007A3471">
        <w:rPr>
          <w:rFonts w:ascii="Avenir Next" w:hAnsi="Avenir Next" w:cs="Arial"/>
          <w:color w:val="808080" w:themeColor="background1" w:themeShade="80"/>
          <w:sz w:val="22"/>
          <w:szCs w:val="22"/>
          <w:lang w:val="en-GB"/>
        </w:rPr>
        <w:t>xtending relief granted under paragraph 1 of article 19;</w:t>
      </w:r>
      <w:r w:rsidR="004168FC">
        <w:rPr>
          <w:rFonts w:ascii="Avenir Next" w:hAnsi="Avenir Next" w:cs="Arial"/>
          <w:color w:val="808080" w:themeColor="background1" w:themeShade="80"/>
          <w:sz w:val="22"/>
          <w:szCs w:val="22"/>
          <w:lang w:val="en-GB"/>
        </w:rPr>
        <w:t xml:space="preserve"> </w:t>
      </w:r>
      <w:r w:rsidR="00E21187">
        <w:rPr>
          <w:rFonts w:ascii="Avenir Next" w:hAnsi="Avenir Next" w:cs="Arial"/>
          <w:color w:val="808080" w:themeColor="background1" w:themeShade="80"/>
          <w:sz w:val="22"/>
          <w:szCs w:val="22"/>
          <w:lang w:val="en-GB"/>
        </w:rPr>
        <w:t xml:space="preserve">and </w:t>
      </w:r>
      <w:r w:rsidR="007A3471" w:rsidRPr="007A3471">
        <w:rPr>
          <w:rFonts w:ascii="Avenir Next" w:hAnsi="Avenir Next" w:cs="Arial"/>
          <w:color w:val="808080" w:themeColor="background1" w:themeShade="80"/>
          <w:sz w:val="22"/>
          <w:szCs w:val="22"/>
          <w:lang w:val="en-GB"/>
        </w:rPr>
        <w:t xml:space="preserve">(g) </w:t>
      </w:r>
      <w:r w:rsidR="00756AA9">
        <w:rPr>
          <w:rFonts w:ascii="Avenir Next" w:hAnsi="Avenir Next" w:cs="Arial"/>
          <w:color w:val="808080" w:themeColor="background1" w:themeShade="80"/>
          <w:sz w:val="22"/>
          <w:szCs w:val="22"/>
          <w:lang w:val="en-GB"/>
        </w:rPr>
        <w:t>g</w:t>
      </w:r>
      <w:r w:rsidR="007A3471" w:rsidRPr="007A3471">
        <w:rPr>
          <w:rFonts w:ascii="Avenir Next" w:hAnsi="Avenir Next" w:cs="Arial"/>
          <w:color w:val="808080" w:themeColor="background1" w:themeShade="80"/>
          <w:sz w:val="22"/>
          <w:szCs w:val="22"/>
          <w:lang w:val="en-GB"/>
        </w:rPr>
        <w:t>ranting any additional relief that may be available under</w:t>
      </w:r>
      <w:r w:rsidR="004168FC">
        <w:rPr>
          <w:rFonts w:ascii="Avenir Next" w:hAnsi="Avenir Next" w:cs="Arial"/>
          <w:color w:val="808080" w:themeColor="background1" w:themeShade="80"/>
          <w:sz w:val="22"/>
          <w:szCs w:val="22"/>
          <w:lang w:val="en-GB"/>
        </w:rPr>
        <w:t xml:space="preserve"> </w:t>
      </w:r>
      <w:r w:rsidR="007A3471" w:rsidRPr="007A3471">
        <w:rPr>
          <w:rFonts w:ascii="Avenir Next" w:hAnsi="Avenir Next" w:cs="Arial"/>
          <w:color w:val="808080" w:themeColor="background1" w:themeShade="80"/>
          <w:sz w:val="22"/>
          <w:szCs w:val="22"/>
          <w:lang w:val="en-GB"/>
        </w:rPr>
        <w:t>the law of the enacting State</w:t>
      </w:r>
      <w:r w:rsidR="009D1183">
        <w:rPr>
          <w:rFonts w:ascii="Avenir Next" w:hAnsi="Avenir Next" w:cs="Arial"/>
          <w:color w:val="808080" w:themeColor="background1" w:themeShade="80"/>
          <w:sz w:val="22"/>
          <w:szCs w:val="22"/>
          <w:lang w:val="en-GB"/>
        </w:rPr>
        <w:t>.</w:t>
      </w:r>
    </w:p>
    <w:p w14:paraId="0719F85D" w14:textId="77777777" w:rsidR="009D1183" w:rsidRPr="009D1183" w:rsidRDefault="009D1183" w:rsidP="009D1183">
      <w:pPr>
        <w:jc w:val="both"/>
        <w:rPr>
          <w:rFonts w:ascii="Avenir Next" w:hAnsi="Avenir Next" w:cs="Arial"/>
          <w:color w:val="808080" w:themeColor="background1" w:themeShade="80"/>
          <w:sz w:val="22"/>
          <w:szCs w:val="22"/>
          <w:lang w:val="en-GB"/>
        </w:rPr>
      </w:pPr>
    </w:p>
    <w:p w14:paraId="2CF34B65" w14:textId="1E1CE686" w:rsidR="009D1183" w:rsidRDefault="009D1183" w:rsidP="00092AD2">
      <w:pPr>
        <w:ind w:left="720" w:hanging="720"/>
        <w:jc w:val="both"/>
        <w:rPr>
          <w:rFonts w:ascii="Avenir Next" w:hAnsi="Avenir Next" w:cs="Arial"/>
          <w:color w:val="808080" w:themeColor="background1" w:themeShade="80"/>
          <w:sz w:val="22"/>
          <w:szCs w:val="22"/>
          <w:lang w:val="en-GB"/>
        </w:rPr>
      </w:pPr>
      <w:r w:rsidRPr="009D1183">
        <w:rPr>
          <w:rFonts w:ascii="Avenir Next" w:hAnsi="Avenir Next" w:cs="Arial"/>
          <w:color w:val="808080" w:themeColor="background1" w:themeShade="80"/>
          <w:sz w:val="22"/>
          <w:szCs w:val="22"/>
          <w:lang w:val="en-GB"/>
        </w:rPr>
        <w:t>The relief provided for in Article 21 may be granted either to the foreign</w:t>
      </w:r>
      <w:r>
        <w:rPr>
          <w:rFonts w:ascii="Avenir Next" w:hAnsi="Avenir Next" w:cs="Arial"/>
          <w:color w:val="808080" w:themeColor="background1" w:themeShade="80"/>
          <w:sz w:val="22"/>
          <w:szCs w:val="22"/>
          <w:lang w:val="en-GB"/>
        </w:rPr>
        <w:t xml:space="preserve"> main</w:t>
      </w:r>
      <w:r w:rsidRPr="009D1183">
        <w:rPr>
          <w:rFonts w:ascii="Avenir Next" w:hAnsi="Avenir Next" w:cs="Arial"/>
          <w:color w:val="808080" w:themeColor="background1" w:themeShade="80"/>
          <w:sz w:val="22"/>
          <w:szCs w:val="22"/>
          <w:lang w:val="en-GB"/>
        </w:rPr>
        <w:t xml:space="preserve"> proceeding, in addition to the automatic relief provided for in Article 20, or to the foreign</w:t>
      </w:r>
      <w:r>
        <w:rPr>
          <w:rFonts w:ascii="Avenir Next" w:hAnsi="Avenir Next" w:cs="Arial"/>
          <w:color w:val="808080" w:themeColor="background1" w:themeShade="80"/>
          <w:sz w:val="22"/>
          <w:szCs w:val="22"/>
          <w:lang w:val="en-GB"/>
        </w:rPr>
        <w:t xml:space="preserve"> non-main</w:t>
      </w:r>
      <w:r w:rsidRPr="009D1183">
        <w:rPr>
          <w:rFonts w:ascii="Avenir Next" w:hAnsi="Avenir Next" w:cs="Arial"/>
          <w:color w:val="808080" w:themeColor="background1" w:themeShade="80"/>
          <w:sz w:val="22"/>
          <w:szCs w:val="22"/>
          <w:lang w:val="en-GB"/>
        </w:rPr>
        <w:t xml:space="preserve"> proceeding.</w:t>
      </w:r>
      <w:r w:rsidR="00705590">
        <w:rPr>
          <w:rFonts w:ascii="Avenir Next" w:hAnsi="Avenir Next" w:cs="Arial"/>
          <w:color w:val="808080" w:themeColor="background1" w:themeShade="80"/>
          <w:sz w:val="22"/>
          <w:szCs w:val="22"/>
          <w:lang w:val="en-GB"/>
        </w:rPr>
        <w:t xml:space="preserve"> According to </w:t>
      </w:r>
      <w:r w:rsidR="005A6138" w:rsidRPr="005A6138">
        <w:rPr>
          <w:rFonts w:ascii="Avenir Next" w:hAnsi="Avenir Next" w:cs="Arial"/>
          <w:color w:val="808080" w:themeColor="background1" w:themeShade="80"/>
          <w:sz w:val="22"/>
          <w:szCs w:val="22"/>
          <w:lang w:val="en-GB"/>
        </w:rPr>
        <w:t>DECLERCQ</w:t>
      </w:r>
      <w:r w:rsidR="00705590">
        <w:rPr>
          <w:rFonts w:ascii="Avenir Next" w:hAnsi="Avenir Next" w:cs="Arial"/>
          <w:color w:val="808080" w:themeColor="background1" w:themeShade="80"/>
          <w:sz w:val="22"/>
          <w:szCs w:val="22"/>
          <w:lang w:val="en-GB"/>
        </w:rPr>
        <w:t>, th</w:t>
      </w:r>
      <w:r w:rsidR="00092AD2">
        <w:rPr>
          <w:rFonts w:ascii="Avenir Next" w:hAnsi="Avenir Next" w:cs="Arial"/>
          <w:color w:val="808080" w:themeColor="background1" w:themeShade="80"/>
          <w:sz w:val="22"/>
          <w:szCs w:val="22"/>
          <w:lang w:val="en-GB"/>
        </w:rPr>
        <w:t>is Article “</w:t>
      </w:r>
      <w:r w:rsidR="00092AD2" w:rsidRPr="00092AD2">
        <w:rPr>
          <w:rFonts w:ascii="Avenir Next" w:hAnsi="Avenir Next" w:cs="Arial"/>
          <w:color w:val="808080" w:themeColor="background1" w:themeShade="80"/>
          <w:sz w:val="22"/>
          <w:szCs w:val="22"/>
          <w:lang w:val="en-GB"/>
        </w:rPr>
        <w:t>provides the court in the enacting State with the discretionary power – where</w:t>
      </w:r>
      <w:r w:rsidR="00092AD2">
        <w:rPr>
          <w:rFonts w:ascii="Avenir Next" w:hAnsi="Avenir Next" w:cs="Arial"/>
          <w:color w:val="808080" w:themeColor="background1" w:themeShade="80"/>
          <w:sz w:val="22"/>
          <w:szCs w:val="22"/>
          <w:lang w:val="en-GB"/>
        </w:rPr>
        <w:t xml:space="preserve"> </w:t>
      </w:r>
      <w:r w:rsidR="00092AD2" w:rsidRPr="00092AD2">
        <w:rPr>
          <w:rFonts w:ascii="Avenir Next" w:hAnsi="Avenir Next" w:cs="Arial"/>
          <w:color w:val="808080" w:themeColor="background1" w:themeShade="80"/>
          <w:sz w:val="22"/>
          <w:szCs w:val="22"/>
          <w:lang w:val="en-GB"/>
        </w:rPr>
        <w:t>necessary to protect the assets of the debtor or the interest of creditors and at the request of</w:t>
      </w:r>
      <w:r w:rsidR="00092AD2">
        <w:rPr>
          <w:rFonts w:ascii="Avenir Next" w:hAnsi="Avenir Next" w:cs="Arial"/>
          <w:color w:val="808080" w:themeColor="background1" w:themeShade="80"/>
          <w:sz w:val="22"/>
          <w:szCs w:val="22"/>
          <w:lang w:val="en-GB"/>
        </w:rPr>
        <w:t xml:space="preserve"> </w:t>
      </w:r>
      <w:r w:rsidR="00092AD2" w:rsidRPr="00092AD2">
        <w:rPr>
          <w:rFonts w:ascii="Avenir Next" w:hAnsi="Avenir Next" w:cs="Arial"/>
          <w:color w:val="808080" w:themeColor="background1" w:themeShade="80"/>
          <w:sz w:val="22"/>
          <w:szCs w:val="22"/>
          <w:lang w:val="en-GB"/>
        </w:rPr>
        <w:t>the foreign representative – to grant appropriate relief</w:t>
      </w:r>
      <w:r w:rsidR="00092AD2">
        <w:rPr>
          <w:rFonts w:ascii="Avenir Next" w:hAnsi="Avenir Next" w:cs="Arial"/>
          <w:color w:val="808080" w:themeColor="background1" w:themeShade="80"/>
          <w:sz w:val="22"/>
          <w:szCs w:val="22"/>
          <w:lang w:val="en-GB"/>
        </w:rPr>
        <w:t>”.</w:t>
      </w:r>
      <w:r w:rsidR="005A6138">
        <w:rPr>
          <w:rStyle w:val="Refdenotaderodap"/>
          <w:rFonts w:ascii="Avenir Next" w:hAnsi="Avenir Next" w:cs="Arial"/>
          <w:color w:val="808080" w:themeColor="background1" w:themeShade="80"/>
          <w:sz w:val="22"/>
          <w:szCs w:val="22"/>
          <w:lang w:val="en-GB"/>
        </w:rPr>
        <w:footnoteReference w:id="21"/>
      </w:r>
    </w:p>
    <w:p w14:paraId="722C9A37" w14:textId="77777777" w:rsidR="00663614" w:rsidRDefault="00663614" w:rsidP="00092AD2">
      <w:pPr>
        <w:ind w:left="720" w:hanging="720"/>
        <w:jc w:val="both"/>
        <w:rPr>
          <w:rFonts w:ascii="Avenir Next" w:hAnsi="Avenir Next" w:cs="Arial"/>
          <w:color w:val="808080" w:themeColor="background1" w:themeShade="80"/>
          <w:sz w:val="22"/>
          <w:szCs w:val="22"/>
          <w:lang w:val="en-GB"/>
        </w:rPr>
      </w:pPr>
    </w:p>
    <w:p w14:paraId="14567BE3" w14:textId="77777777" w:rsidR="00663614" w:rsidRPr="00663614" w:rsidRDefault="00663614" w:rsidP="00663614">
      <w:pPr>
        <w:ind w:left="720" w:hanging="720"/>
        <w:jc w:val="both"/>
        <w:rPr>
          <w:rFonts w:ascii="Avenir Next" w:hAnsi="Avenir Next" w:cs="Arial"/>
          <w:color w:val="808080" w:themeColor="background1" w:themeShade="80"/>
          <w:sz w:val="22"/>
          <w:szCs w:val="22"/>
          <w:lang w:val="en-GB"/>
        </w:rPr>
      </w:pPr>
    </w:p>
    <w:p w14:paraId="54DB74F4" w14:textId="77777777" w:rsidR="00663614" w:rsidRPr="00663614" w:rsidRDefault="00663614" w:rsidP="00663614">
      <w:pPr>
        <w:ind w:left="720" w:hanging="720"/>
        <w:jc w:val="both"/>
        <w:rPr>
          <w:rFonts w:ascii="Avenir Next" w:hAnsi="Avenir Next" w:cs="Arial"/>
          <w:color w:val="808080" w:themeColor="background1" w:themeShade="80"/>
          <w:sz w:val="22"/>
          <w:szCs w:val="22"/>
          <w:lang w:val="en-GB"/>
        </w:rPr>
      </w:pPr>
      <w:r w:rsidRPr="00663614">
        <w:rPr>
          <w:rFonts w:ascii="Avenir Next" w:hAnsi="Avenir Next" w:cs="Arial"/>
          <w:color w:val="808080" w:themeColor="background1" w:themeShade="80"/>
          <w:sz w:val="22"/>
          <w:szCs w:val="22"/>
          <w:lang w:val="en-GB"/>
        </w:rPr>
        <w:t xml:space="preserve">The relief granted under the Model Law is not unlimited, it must be consistent with the internal law of the State. In this sense, the Model Law protects the sovereignty of the State by establishing the public policy exception in its </w:t>
      </w:r>
      <w:proofErr w:type="gramStart"/>
      <w:r w:rsidRPr="00663614">
        <w:rPr>
          <w:rFonts w:ascii="Avenir Next" w:hAnsi="Avenir Next" w:cs="Arial"/>
          <w:color w:val="808080" w:themeColor="background1" w:themeShade="80"/>
          <w:sz w:val="22"/>
          <w:szCs w:val="22"/>
          <w:lang w:val="en-GB"/>
        </w:rPr>
        <w:t>Article</w:t>
      </w:r>
      <w:proofErr w:type="gramEnd"/>
      <w:r w:rsidRPr="00663614">
        <w:rPr>
          <w:rFonts w:ascii="Avenir Next" w:hAnsi="Avenir Next" w:cs="Arial"/>
          <w:color w:val="808080" w:themeColor="background1" w:themeShade="80"/>
          <w:sz w:val="22"/>
          <w:szCs w:val="22"/>
          <w:lang w:val="en-GB"/>
        </w:rPr>
        <w:t xml:space="preserve"> 6.</w:t>
      </w:r>
    </w:p>
    <w:p w14:paraId="0222850B" w14:textId="77777777" w:rsidR="00663614" w:rsidRPr="00663614" w:rsidRDefault="00663614" w:rsidP="00663614">
      <w:pPr>
        <w:ind w:left="720" w:hanging="720"/>
        <w:jc w:val="both"/>
        <w:rPr>
          <w:rFonts w:ascii="Avenir Next" w:hAnsi="Avenir Next" w:cs="Arial"/>
          <w:color w:val="808080" w:themeColor="background1" w:themeShade="80"/>
          <w:sz w:val="22"/>
          <w:szCs w:val="22"/>
          <w:lang w:val="en-GB"/>
        </w:rPr>
      </w:pPr>
    </w:p>
    <w:p w14:paraId="0F8B85DC" w14:textId="48292DBD" w:rsidR="00663614" w:rsidRDefault="00663614" w:rsidP="00213E08">
      <w:pPr>
        <w:ind w:left="720" w:hanging="720"/>
        <w:jc w:val="both"/>
        <w:rPr>
          <w:rFonts w:ascii="Avenir Next" w:hAnsi="Avenir Next" w:cs="Arial"/>
          <w:color w:val="808080" w:themeColor="background1" w:themeShade="80"/>
          <w:sz w:val="22"/>
          <w:szCs w:val="22"/>
          <w:lang w:val="en-GB"/>
        </w:rPr>
      </w:pPr>
      <w:r w:rsidRPr="00663614">
        <w:rPr>
          <w:rFonts w:ascii="Avenir Next" w:hAnsi="Avenir Next" w:cs="Arial"/>
          <w:color w:val="808080" w:themeColor="background1" w:themeShade="80"/>
          <w:sz w:val="22"/>
          <w:szCs w:val="22"/>
          <w:lang w:val="en-GB"/>
        </w:rPr>
        <w:t>The English court has already established several limitations on the relief that can be granted under the Model Law.</w:t>
      </w:r>
      <w:r w:rsidR="00DC0F74">
        <w:rPr>
          <w:rStyle w:val="Refdenotaderodap"/>
          <w:rFonts w:ascii="Avenir Next" w:hAnsi="Avenir Next" w:cs="Arial"/>
          <w:color w:val="808080" w:themeColor="background1" w:themeShade="80"/>
          <w:sz w:val="22"/>
          <w:szCs w:val="22"/>
          <w:lang w:val="en-GB"/>
        </w:rPr>
        <w:footnoteReference w:id="22"/>
      </w:r>
      <w:r w:rsidRPr="00663614">
        <w:rPr>
          <w:rFonts w:ascii="Avenir Next" w:hAnsi="Avenir Next" w:cs="Arial"/>
          <w:color w:val="808080" w:themeColor="background1" w:themeShade="80"/>
          <w:sz w:val="22"/>
          <w:szCs w:val="22"/>
          <w:lang w:val="en-GB"/>
        </w:rPr>
        <w:t xml:space="preserve"> An example of this is the Gibbs rule, which, according to </w:t>
      </w:r>
      <w:r w:rsidR="00783797" w:rsidRPr="00783797">
        <w:rPr>
          <w:rFonts w:ascii="Avenir Next" w:hAnsi="Avenir Next" w:cs="Arial"/>
          <w:color w:val="808080" w:themeColor="background1" w:themeShade="80"/>
          <w:sz w:val="22"/>
          <w:szCs w:val="22"/>
          <w:lang w:val="en-GB"/>
        </w:rPr>
        <w:t>DECLERCQ</w:t>
      </w:r>
      <w:r w:rsidR="00213E08">
        <w:rPr>
          <w:rFonts w:ascii="Avenir Next" w:hAnsi="Avenir Next" w:cs="Arial"/>
          <w:color w:val="808080" w:themeColor="background1" w:themeShade="80"/>
          <w:sz w:val="22"/>
          <w:szCs w:val="22"/>
          <w:lang w:val="en-GB"/>
        </w:rPr>
        <w:t>,</w:t>
      </w:r>
      <w:r w:rsidRPr="00663614">
        <w:rPr>
          <w:rFonts w:ascii="Avenir Next" w:hAnsi="Avenir Next" w:cs="Arial"/>
          <w:color w:val="808080" w:themeColor="background1" w:themeShade="80"/>
          <w:sz w:val="22"/>
          <w:szCs w:val="22"/>
          <w:lang w:val="en-GB"/>
        </w:rPr>
        <w:t xml:space="preserve"> "</w:t>
      </w:r>
      <w:r w:rsidR="00213E08" w:rsidRPr="00213E08">
        <w:rPr>
          <w:rFonts w:ascii="Avenir Next" w:hAnsi="Avenir Next" w:cs="Arial"/>
          <w:color w:val="808080" w:themeColor="background1" w:themeShade="80"/>
          <w:sz w:val="22"/>
          <w:szCs w:val="22"/>
          <w:lang w:val="en-GB"/>
        </w:rPr>
        <w:t>stands for the general proposition that a debt governed by English law cannot be discharged</w:t>
      </w:r>
      <w:r w:rsidR="00213E08">
        <w:rPr>
          <w:rFonts w:ascii="Avenir Next" w:hAnsi="Avenir Next" w:cs="Arial"/>
          <w:color w:val="808080" w:themeColor="background1" w:themeShade="80"/>
          <w:sz w:val="22"/>
          <w:szCs w:val="22"/>
          <w:lang w:val="en-GB"/>
        </w:rPr>
        <w:t xml:space="preserve"> </w:t>
      </w:r>
      <w:r w:rsidR="00213E08" w:rsidRPr="00213E08">
        <w:rPr>
          <w:rFonts w:ascii="Avenir Next" w:hAnsi="Avenir Next" w:cs="Arial"/>
          <w:color w:val="808080" w:themeColor="background1" w:themeShade="80"/>
          <w:sz w:val="22"/>
          <w:szCs w:val="22"/>
          <w:lang w:val="en-GB"/>
        </w:rPr>
        <w:t>or compromised by a foreign insolvency proceeding</w:t>
      </w:r>
      <w:r w:rsidRPr="00663614">
        <w:rPr>
          <w:rFonts w:ascii="Avenir Next" w:hAnsi="Avenir Next" w:cs="Arial"/>
          <w:color w:val="808080" w:themeColor="background1" w:themeShade="80"/>
          <w:sz w:val="22"/>
          <w:szCs w:val="22"/>
          <w:lang w:val="en-GB"/>
        </w:rPr>
        <w:t>".</w:t>
      </w:r>
      <w:r w:rsidR="00AB7751">
        <w:rPr>
          <w:rStyle w:val="Refdenotaderodap"/>
          <w:rFonts w:ascii="Avenir Next" w:hAnsi="Avenir Next" w:cs="Arial"/>
          <w:color w:val="808080" w:themeColor="background1" w:themeShade="80"/>
          <w:sz w:val="22"/>
          <w:szCs w:val="22"/>
          <w:lang w:val="en-GB"/>
        </w:rPr>
        <w:footnoteReference w:id="23"/>
      </w:r>
    </w:p>
    <w:p w14:paraId="34C72D4F" w14:textId="77777777" w:rsidR="00C7514B" w:rsidRDefault="00C7514B" w:rsidP="00213E08">
      <w:pPr>
        <w:ind w:left="720" w:hanging="720"/>
        <w:jc w:val="both"/>
        <w:rPr>
          <w:rFonts w:ascii="Avenir Next" w:hAnsi="Avenir Next" w:cs="Arial"/>
          <w:color w:val="808080" w:themeColor="background1" w:themeShade="80"/>
          <w:sz w:val="22"/>
          <w:szCs w:val="22"/>
          <w:lang w:val="en-GB"/>
        </w:rPr>
      </w:pPr>
    </w:p>
    <w:p w14:paraId="2AA71DE5" w14:textId="747B747F" w:rsidR="00C7514B" w:rsidRDefault="000E0162" w:rsidP="00013C2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w:t>
      </w:r>
      <w:r w:rsidR="00C7514B" w:rsidRPr="00C7514B">
        <w:rPr>
          <w:rFonts w:ascii="Avenir Next" w:hAnsi="Avenir Next" w:cs="Arial"/>
          <w:color w:val="808080" w:themeColor="background1" w:themeShade="80"/>
          <w:sz w:val="22"/>
          <w:szCs w:val="22"/>
          <w:lang w:val="en-GB"/>
        </w:rPr>
        <w:t xml:space="preserve"> 22(1) of the Model Law adds that in granting or denying relief under article 19 or 21, or in modifying or terminating relief under article 22(3), the court of the enacting State must be satisfied that the interests of the creditors and other interested persons, including the debtor, are adequately protected.</w:t>
      </w:r>
      <w:r w:rsidR="00135FF0">
        <w:rPr>
          <w:rFonts w:ascii="Avenir Next" w:hAnsi="Avenir Next" w:cs="Arial"/>
          <w:color w:val="808080" w:themeColor="background1" w:themeShade="80"/>
          <w:sz w:val="22"/>
          <w:szCs w:val="22"/>
          <w:lang w:val="en-GB"/>
        </w:rPr>
        <w:t xml:space="preserve"> </w:t>
      </w:r>
      <w:r w:rsidR="00135FF0" w:rsidRPr="00135FF0">
        <w:rPr>
          <w:rFonts w:ascii="Avenir Next" w:hAnsi="Avenir Next" w:cs="Arial"/>
          <w:color w:val="808080" w:themeColor="background1" w:themeShade="80"/>
          <w:sz w:val="22"/>
          <w:szCs w:val="22"/>
          <w:lang w:val="en-GB"/>
        </w:rPr>
        <w:t xml:space="preserve">On the subject, </w:t>
      </w:r>
      <w:r w:rsidR="00013C26" w:rsidRPr="00783797">
        <w:rPr>
          <w:rFonts w:ascii="Avenir Next" w:hAnsi="Avenir Next" w:cs="Arial"/>
          <w:color w:val="808080" w:themeColor="background1" w:themeShade="80"/>
          <w:sz w:val="22"/>
          <w:szCs w:val="22"/>
          <w:lang w:val="en-GB"/>
        </w:rPr>
        <w:t>DECLERCQ</w:t>
      </w:r>
      <w:r w:rsidR="00013C26" w:rsidRPr="00135FF0">
        <w:rPr>
          <w:rFonts w:ascii="Avenir Next" w:hAnsi="Avenir Next" w:cs="Arial"/>
          <w:color w:val="808080" w:themeColor="background1" w:themeShade="80"/>
          <w:sz w:val="22"/>
          <w:szCs w:val="22"/>
          <w:lang w:val="en-GB"/>
        </w:rPr>
        <w:t xml:space="preserve"> </w:t>
      </w:r>
      <w:r w:rsidR="00135FF0" w:rsidRPr="00135FF0">
        <w:rPr>
          <w:rFonts w:ascii="Avenir Next" w:hAnsi="Avenir Next" w:cs="Arial"/>
          <w:color w:val="808080" w:themeColor="background1" w:themeShade="80"/>
          <w:sz w:val="22"/>
          <w:szCs w:val="22"/>
          <w:lang w:val="en-GB"/>
        </w:rPr>
        <w:t xml:space="preserve">argues that </w:t>
      </w:r>
      <w:r w:rsidR="00013C26">
        <w:rPr>
          <w:rFonts w:ascii="Avenir Next" w:hAnsi="Avenir Next" w:cs="Arial"/>
          <w:color w:val="808080" w:themeColor="background1" w:themeShade="80"/>
          <w:sz w:val="22"/>
          <w:szCs w:val="22"/>
          <w:lang w:val="en-GB"/>
        </w:rPr>
        <w:t>“[t]</w:t>
      </w:r>
      <w:r w:rsidR="00013C26" w:rsidRPr="00013C26">
        <w:rPr>
          <w:rFonts w:ascii="Avenir Next" w:hAnsi="Avenir Next" w:cs="Arial"/>
          <w:color w:val="808080" w:themeColor="background1" w:themeShade="80"/>
          <w:sz w:val="22"/>
          <w:szCs w:val="22"/>
          <w:lang w:val="en-GB"/>
        </w:rPr>
        <w:t xml:space="preserve">he </w:t>
      </w:r>
      <w:proofErr w:type="gramStart"/>
      <w:r w:rsidR="00013C26" w:rsidRPr="00013C26">
        <w:rPr>
          <w:rFonts w:ascii="Avenir Next" w:hAnsi="Avenir Next" w:cs="Arial"/>
          <w:color w:val="808080" w:themeColor="background1" w:themeShade="80"/>
          <w:sz w:val="22"/>
          <w:szCs w:val="22"/>
          <w:lang w:val="en-GB"/>
        </w:rPr>
        <w:t>court</w:t>
      </w:r>
      <w:proofErr w:type="gramEnd"/>
      <w:r w:rsidR="00013C26" w:rsidRPr="00013C26">
        <w:rPr>
          <w:rFonts w:ascii="Avenir Next" w:hAnsi="Avenir Next" w:cs="Arial"/>
          <w:color w:val="808080" w:themeColor="background1" w:themeShade="80"/>
          <w:sz w:val="22"/>
          <w:szCs w:val="22"/>
          <w:lang w:val="en-GB"/>
        </w:rPr>
        <w:t xml:space="preserve"> in the enacting </w:t>
      </w:r>
      <w:r w:rsidR="00013C26" w:rsidRPr="00013C26">
        <w:rPr>
          <w:rFonts w:ascii="Avenir Next" w:hAnsi="Avenir Next" w:cs="Arial"/>
          <w:color w:val="808080" w:themeColor="background1" w:themeShade="80"/>
          <w:sz w:val="22"/>
          <w:szCs w:val="22"/>
          <w:lang w:val="en-GB"/>
        </w:rPr>
        <w:lastRenderedPageBreak/>
        <w:t>State must strike an appropriate balance between the relief that may</w:t>
      </w:r>
      <w:r w:rsidR="00013C26">
        <w:rPr>
          <w:rFonts w:ascii="Avenir Next" w:hAnsi="Avenir Next" w:cs="Arial"/>
          <w:color w:val="808080" w:themeColor="background1" w:themeShade="80"/>
          <w:sz w:val="22"/>
          <w:szCs w:val="22"/>
          <w:lang w:val="en-GB"/>
        </w:rPr>
        <w:t xml:space="preserve"> </w:t>
      </w:r>
      <w:r w:rsidR="00013C26" w:rsidRPr="00013C26">
        <w:rPr>
          <w:rFonts w:ascii="Avenir Next" w:hAnsi="Avenir Next" w:cs="Arial"/>
          <w:color w:val="808080" w:themeColor="background1" w:themeShade="80"/>
          <w:sz w:val="22"/>
          <w:szCs w:val="22"/>
          <w:lang w:val="en-GB"/>
        </w:rPr>
        <w:t>be granted to the foreign representative and the interests of the persons that may be affected</w:t>
      </w:r>
      <w:r w:rsidR="00013C26">
        <w:rPr>
          <w:rFonts w:ascii="Avenir Next" w:hAnsi="Avenir Next" w:cs="Arial"/>
          <w:color w:val="808080" w:themeColor="background1" w:themeShade="80"/>
          <w:sz w:val="22"/>
          <w:szCs w:val="22"/>
          <w:lang w:val="en-GB"/>
        </w:rPr>
        <w:t xml:space="preserve"> </w:t>
      </w:r>
      <w:r w:rsidR="00013C26" w:rsidRPr="00013C26">
        <w:rPr>
          <w:rFonts w:ascii="Avenir Next" w:hAnsi="Avenir Next" w:cs="Arial"/>
          <w:color w:val="808080" w:themeColor="background1" w:themeShade="80"/>
          <w:sz w:val="22"/>
          <w:szCs w:val="22"/>
          <w:lang w:val="en-GB"/>
        </w:rPr>
        <w:t>by the relief</w:t>
      </w:r>
      <w:r w:rsidR="00135FF0" w:rsidRPr="00135FF0">
        <w:rPr>
          <w:rFonts w:ascii="Avenir Next" w:hAnsi="Avenir Next" w:cs="Arial"/>
          <w:color w:val="808080" w:themeColor="background1" w:themeShade="80"/>
          <w:sz w:val="22"/>
          <w:szCs w:val="22"/>
          <w:lang w:val="en-GB"/>
        </w:rPr>
        <w:t>".</w:t>
      </w:r>
      <w:r w:rsidR="00013C26">
        <w:rPr>
          <w:rStyle w:val="Refdenotaderodap"/>
          <w:rFonts w:ascii="Avenir Next" w:hAnsi="Avenir Next" w:cs="Arial"/>
          <w:color w:val="808080" w:themeColor="background1" w:themeShade="80"/>
          <w:sz w:val="22"/>
          <w:szCs w:val="22"/>
          <w:lang w:val="en-GB"/>
        </w:rPr>
        <w:footnoteReference w:id="24"/>
      </w:r>
    </w:p>
    <w:p w14:paraId="6BB3C8CB" w14:textId="77777777" w:rsidR="00D474E3" w:rsidRDefault="00D474E3" w:rsidP="00013C26">
      <w:pPr>
        <w:ind w:left="720" w:hanging="720"/>
        <w:jc w:val="both"/>
        <w:rPr>
          <w:rFonts w:ascii="Avenir Next" w:hAnsi="Avenir Next" w:cs="Arial"/>
          <w:color w:val="808080" w:themeColor="background1" w:themeShade="80"/>
          <w:sz w:val="22"/>
          <w:szCs w:val="22"/>
          <w:lang w:val="en-GB"/>
        </w:rPr>
      </w:pPr>
    </w:p>
    <w:p w14:paraId="6AF76DA5" w14:textId="4BA253A7" w:rsidR="00D474E3" w:rsidRPr="009D1183" w:rsidRDefault="00D474E3" w:rsidP="00013C26">
      <w:pPr>
        <w:ind w:left="720" w:hanging="720"/>
        <w:jc w:val="both"/>
        <w:rPr>
          <w:rFonts w:ascii="Avenir Next" w:hAnsi="Avenir Next" w:cs="Arial"/>
          <w:color w:val="808080" w:themeColor="background1" w:themeShade="80"/>
          <w:sz w:val="22"/>
          <w:szCs w:val="22"/>
          <w:lang w:val="en-GB"/>
        </w:rPr>
      </w:pPr>
      <w:r w:rsidRPr="00D474E3">
        <w:rPr>
          <w:rFonts w:ascii="Avenir Next" w:hAnsi="Avenir Next" w:cs="Arial"/>
          <w:color w:val="808080" w:themeColor="background1" w:themeShade="80"/>
          <w:sz w:val="22"/>
          <w:szCs w:val="22"/>
          <w:lang w:val="en-GB"/>
        </w:rPr>
        <w:t>Therefore, the Model Law provides for various reliefs that may be granted automatically or at the discretion of a court</w:t>
      </w:r>
      <w:r w:rsidR="00867EE9">
        <w:rPr>
          <w:rFonts w:ascii="Avenir Next" w:hAnsi="Avenir Next" w:cs="Arial"/>
          <w:color w:val="808080" w:themeColor="background1" w:themeShade="80"/>
          <w:sz w:val="22"/>
          <w:szCs w:val="22"/>
          <w:lang w:val="en-GB"/>
        </w:rPr>
        <w:t xml:space="preserve"> of the enacting State</w:t>
      </w:r>
      <w:r w:rsidRPr="00D474E3">
        <w:rPr>
          <w:rFonts w:ascii="Avenir Next" w:hAnsi="Avenir Next" w:cs="Arial"/>
          <w:color w:val="808080" w:themeColor="background1" w:themeShade="80"/>
          <w:sz w:val="22"/>
          <w:szCs w:val="22"/>
          <w:lang w:val="en-GB"/>
        </w:rPr>
        <w:t xml:space="preserve">. In this sense, the relief granted must respect the sovereignty of the </w:t>
      </w:r>
      <w:r w:rsidR="00867EE9">
        <w:rPr>
          <w:rFonts w:ascii="Avenir Next" w:hAnsi="Avenir Next" w:cs="Arial"/>
          <w:color w:val="808080" w:themeColor="background1" w:themeShade="80"/>
          <w:sz w:val="22"/>
          <w:szCs w:val="22"/>
          <w:lang w:val="en-GB"/>
        </w:rPr>
        <w:t xml:space="preserve">enacting </w:t>
      </w:r>
      <w:r w:rsidRPr="00D474E3">
        <w:rPr>
          <w:rFonts w:ascii="Avenir Next" w:hAnsi="Avenir Next" w:cs="Arial"/>
          <w:color w:val="808080" w:themeColor="background1" w:themeShade="80"/>
          <w:sz w:val="22"/>
          <w:szCs w:val="22"/>
          <w:lang w:val="en-GB"/>
        </w:rPr>
        <w:t>State and have a balance between the interests involved.</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713408F5" w:rsidR="00D5244F" w:rsidRDefault="00717E5B" w:rsidP="00707FC8">
      <w:pPr>
        <w:jc w:val="both"/>
        <w:rPr>
          <w:rFonts w:ascii="Avenir Next" w:hAnsi="Avenir Next" w:cs="Arial"/>
          <w:b/>
          <w:sz w:val="22"/>
          <w:szCs w:val="22"/>
          <w:lang w:val="en-GB"/>
        </w:rPr>
      </w:pPr>
      <w:r w:rsidRPr="00717E5B">
        <w:rPr>
          <w:rFonts w:ascii="Avenir Next" w:hAnsi="Avenir Next" w:cs="Arial"/>
          <w:color w:val="808080" w:themeColor="background1" w:themeShade="80"/>
          <w:sz w:val="22"/>
          <w:szCs w:val="22"/>
          <w:lang w:val="en-GB"/>
        </w:rPr>
        <w:t>In line with the recent English case</w:t>
      </w:r>
      <w:r w:rsidR="00CC170B">
        <w:rPr>
          <w:rFonts w:ascii="Avenir Next" w:hAnsi="Avenir Next" w:cs="Arial"/>
          <w:color w:val="808080" w:themeColor="background1" w:themeShade="80"/>
          <w:sz w:val="22"/>
          <w:szCs w:val="22"/>
          <w:lang w:val="en-GB"/>
        </w:rPr>
        <w:t xml:space="preserve"> </w:t>
      </w:r>
      <w:r w:rsidR="00CC170B" w:rsidRPr="00CC170B">
        <w:rPr>
          <w:rFonts w:ascii="Avenir Next" w:hAnsi="Avenir Next" w:cs="Arial"/>
          <w:color w:val="808080" w:themeColor="background1" w:themeShade="80"/>
          <w:sz w:val="22"/>
          <w:szCs w:val="22"/>
          <w:lang w:val="en-GB"/>
        </w:rPr>
        <w:t xml:space="preserve">between Igor </w:t>
      </w:r>
      <w:proofErr w:type="spellStart"/>
      <w:r w:rsidR="00CC170B" w:rsidRPr="00CC170B">
        <w:rPr>
          <w:rFonts w:ascii="Avenir Next" w:hAnsi="Avenir Next" w:cs="Arial"/>
          <w:color w:val="808080" w:themeColor="background1" w:themeShade="80"/>
          <w:sz w:val="22"/>
          <w:szCs w:val="22"/>
          <w:lang w:val="en-GB"/>
        </w:rPr>
        <w:t>Vitalievich</w:t>
      </w:r>
      <w:proofErr w:type="spellEnd"/>
      <w:r w:rsidR="00CC170B" w:rsidRPr="00CC170B">
        <w:rPr>
          <w:rFonts w:ascii="Avenir Next" w:hAnsi="Avenir Next" w:cs="Arial"/>
          <w:color w:val="808080" w:themeColor="background1" w:themeShade="80"/>
          <w:sz w:val="22"/>
          <w:szCs w:val="22"/>
          <w:lang w:val="en-GB"/>
        </w:rPr>
        <w:t xml:space="preserve"> </w:t>
      </w:r>
      <w:proofErr w:type="spellStart"/>
      <w:r w:rsidR="00CC170B" w:rsidRPr="00CC170B">
        <w:rPr>
          <w:rFonts w:ascii="Avenir Next" w:hAnsi="Avenir Next" w:cs="Arial"/>
          <w:color w:val="808080" w:themeColor="background1" w:themeShade="80"/>
          <w:sz w:val="22"/>
          <w:szCs w:val="22"/>
          <w:lang w:val="en-GB"/>
        </w:rPr>
        <w:t>Protasov</w:t>
      </w:r>
      <w:proofErr w:type="spellEnd"/>
      <w:r w:rsidR="00CC170B" w:rsidRPr="00CC170B">
        <w:rPr>
          <w:rFonts w:ascii="Avenir Next" w:hAnsi="Avenir Next" w:cs="Arial"/>
          <w:color w:val="808080" w:themeColor="background1" w:themeShade="80"/>
          <w:sz w:val="22"/>
          <w:szCs w:val="22"/>
          <w:lang w:val="en-GB"/>
        </w:rPr>
        <w:t xml:space="preserve"> and </w:t>
      </w:r>
      <w:proofErr w:type="spellStart"/>
      <w:r w:rsidR="00CC170B" w:rsidRPr="00CC170B">
        <w:rPr>
          <w:rFonts w:ascii="Avenir Next" w:hAnsi="Avenir Next" w:cs="Arial"/>
          <w:color w:val="808080" w:themeColor="background1" w:themeShade="80"/>
          <w:sz w:val="22"/>
          <w:szCs w:val="22"/>
          <w:lang w:val="en-GB"/>
        </w:rPr>
        <w:t>Khadzhi</w:t>
      </w:r>
      <w:proofErr w:type="spellEnd"/>
      <w:r w:rsidR="00CC170B" w:rsidRPr="00CC170B">
        <w:rPr>
          <w:rFonts w:ascii="Avenir Next" w:hAnsi="Avenir Next" w:cs="Arial"/>
          <w:color w:val="808080" w:themeColor="background1" w:themeShade="80"/>
          <w:sz w:val="22"/>
          <w:szCs w:val="22"/>
          <w:lang w:val="en-GB"/>
        </w:rPr>
        <w:t xml:space="preserve">-Murat </w:t>
      </w:r>
      <w:proofErr w:type="spellStart"/>
      <w:r w:rsidR="00CC170B" w:rsidRPr="00CC170B">
        <w:rPr>
          <w:rFonts w:ascii="Avenir Next" w:hAnsi="Avenir Next" w:cs="Arial"/>
          <w:color w:val="808080" w:themeColor="background1" w:themeShade="80"/>
          <w:sz w:val="22"/>
          <w:szCs w:val="22"/>
          <w:lang w:val="en-GB"/>
        </w:rPr>
        <w:t>Derev</w:t>
      </w:r>
      <w:proofErr w:type="spellEnd"/>
      <w:r w:rsidRPr="00717E5B">
        <w:rPr>
          <w:rFonts w:ascii="Avenir Next" w:hAnsi="Avenir Next" w:cs="Arial"/>
          <w:color w:val="808080" w:themeColor="background1" w:themeShade="80"/>
          <w:sz w:val="22"/>
          <w:szCs w:val="22"/>
          <w:lang w:val="en-GB"/>
        </w:rPr>
        <w:t>,</w:t>
      </w:r>
      <w:r w:rsidR="00EC2255">
        <w:rPr>
          <w:rStyle w:val="Refdenotaderodap"/>
          <w:rFonts w:ascii="Avenir Next" w:hAnsi="Avenir Next" w:cs="Arial"/>
          <w:color w:val="808080" w:themeColor="background1" w:themeShade="80"/>
          <w:sz w:val="22"/>
          <w:szCs w:val="22"/>
          <w:lang w:val="en-GB"/>
        </w:rPr>
        <w:footnoteReference w:id="25"/>
      </w:r>
      <w:r w:rsidRPr="00717E5B">
        <w:rPr>
          <w:rFonts w:ascii="Avenir Next" w:hAnsi="Avenir Next" w:cs="Arial"/>
          <w:color w:val="808080" w:themeColor="background1" w:themeShade="80"/>
          <w:sz w:val="22"/>
          <w:szCs w:val="22"/>
          <w:lang w:val="en-GB"/>
        </w:rPr>
        <w:t xml:space="preserve"> the Model Law aims to place the foreign representative in the same position as the </w:t>
      </w:r>
      <w:r w:rsidR="00064A9B" w:rsidRPr="00064A9B">
        <w:rPr>
          <w:rFonts w:ascii="Avenir Next" w:hAnsi="Avenir Next" w:cs="Arial"/>
          <w:color w:val="808080" w:themeColor="background1" w:themeShade="80"/>
          <w:sz w:val="22"/>
          <w:szCs w:val="22"/>
          <w:lang w:val="en-GB"/>
        </w:rPr>
        <w:t xml:space="preserve">officeholder </w:t>
      </w:r>
      <w:r w:rsidRPr="00717E5B">
        <w:rPr>
          <w:rFonts w:ascii="Avenir Next" w:hAnsi="Avenir Next" w:cs="Arial"/>
          <w:color w:val="808080" w:themeColor="background1" w:themeShade="80"/>
          <w:sz w:val="22"/>
          <w:szCs w:val="22"/>
          <w:lang w:val="en-GB"/>
        </w:rPr>
        <w:t>appointed in domestic jurisdiction. In this regard, relief measures granted pursuant to Article 21 of the Model Law must respect the same range of relief available in a domestic insolvency proce</w:t>
      </w:r>
      <w:r w:rsidR="00064A9B">
        <w:rPr>
          <w:rFonts w:ascii="Avenir Next" w:hAnsi="Avenir Next" w:cs="Arial"/>
          <w:color w:val="808080" w:themeColor="background1" w:themeShade="80"/>
          <w:sz w:val="22"/>
          <w:szCs w:val="22"/>
          <w:lang w:val="en-GB"/>
        </w:rPr>
        <w:t>eding</w:t>
      </w:r>
      <w:r w:rsidRPr="00717E5B">
        <w:rPr>
          <w:rFonts w:ascii="Avenir Next" w:hAnsi="Avenir Next" w:cs="Arial"/>
          <w:color w:val="808080" w:themeColor="background1" w:themeShade="80"/>
          <w:sz w:val="22"/>
          <w:szCs w:val="22"/>
          <w:lang w:val="en-GB"/>
        </w:rPr>
        <w:t>. Therefore, in the case, the English court understood that a freezing order would not be granted in an English proce</w:t>
      </w:r>
      <w:r w:rsidR="003A057E">
        <w:rPr>
          <w:rFonts w:ascii="Avenir Next" w:hAnsi="Avenir Next" w:cs="Arial"/>
          <w:color w:val="808080" w:themeColor="background1" w:themeShade="80"/>
          <w:sz w:val="22"/>
          <w:szCs w:val="22"/>
          <w:lang w:val="en-GB"/>
        </w:rPr>
        <w:t>eding</w:t>
      </w:r>
      <w:r w:rsidRPr="00717E5B">
        <w:rPr>
          <w:rFonts w:ascii="Avenir Next" w:hAnsi="Avenir Next" w:cs="Arial"/>
          <w:color w:val="808080" w:themeColor="background1" w:themeShade="80"/>
          <w:sz w:val="22"/>
          <w:szCs w:val="22"/>
          <w:lang w:val="en-GB"/>
        </w:rPr>
        <w:t>, so that it would not be possible to recognize such an order in a foreign proce</w:t>
      </w:r>
      <w:r w:rsidR="003A057E">
        <w:rPr>
          <w:rFonts w:ascii="Avenir Next" w:hAnsi="Avenir Next" w:cs="Arial"/>
          <w:color w:val="808080" w:themeColor="background1" w:themeShade="80"/>
          <w:sz w:val="22"/>
          <w:szCs w:val="22"/>
          <w:lang w:val="en-GB"/>
        </w:rPr>
        <w:t>eding</w:t>
      </w:r>
      <w:r w:rsidRPr="00717E5B">
        <w:rPr>
          <w:rFonts w:ascii="Avenir Next" w:hAnsi="Avenir Next" w:cs="Arial"/>
          <w:color w:val="808080" w:themeColor="background1" w:themeShade="80"/>
          <w:sz w:val="22"/>
          <w:szCs w:val="22"/>
          <w:lang w:val="en-GB"/>
        </w:rPr>
        <w:t>.</w:t>
      </w:r>
      <w:r w:rsidR="003A057E">
        <w:rPr>
          <w:rStyle w:val="Refdenotaderodap"/>
          <w:rFonts w:ascii="Avenir Next" w:hAnsi="Avenir Next" w:cs="Arial"/>
          <w:color w:val="808080" w:themeColor="background1" w:themeShade="80"/>
          <w:sz w:val="22"/>
          <w:szCs w:val="22"/>
          <w:lang w:val="en-GB"/>
        </w:rPr>
        <w:footnoteReference w:id="26"/>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7606744B" w14:textId="77777777" w:rsidR="00E02235" w:rsidRPr="00E2622D" w:rsidRDefault="00E02235"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Default="00A153F7" w:rsidP="00707FC8">
      <w:pPr>
        <w:jc w:val="both"/>
        <w:rPr>
          <w:rFonts w:ascii="Avenir Next" w:hAnsi="Avenir Next" w:cs="Arial"/>
          <w:sz w:val="22"/>
          <w:szCs w:val="22"/>
          <w:lang w:val="en-GB"/>
        </w:rPr>
      </w:pPr>
    </w:p>
    <w:bookmarkEnd w:id="3"/>
    <w:p w14:paraId="6D8F5E51" w14:textId="61114206" w:rsidR="0077498C" w:rsidRDefault="00B66C1F" w:rsidP="00707FC8">
      <w:pPr>
        <w:jc w:val="both"/>
        <w:rPr>
          <w:rFonts w:ascii="Avenir Next" w:hAnsi="Avenir Next" w:cs="Arial"/>
          <w:color w:val="808080" w:themeColor="background1" w:themeShade="80"/>
          <w:sz w:val="22"/>
          <w:szCs w:val="22"/>
          <w:lang w:val="en-GB"/>
        </w:rPr>
      </w:pPr>
      <w:r w:rsidRPr="00B66C1F">
        <w:rPr>
          <w:rFonts w:ascii="Avenir Next" w:hAnsi="Avenir Next" w:cs="Arial"/>
          <w:color w:val="808080" w:themeColor="background1" w:themeShade="80"/>
          <w:sz w:val="22"/>
          <w:szCs w:val="22"/>
          <w:lang w:val="en-GB"/>
        </w:rPr>
        <w:t>Article 2(</w:t>
      </w:r>
      <w:proofErr w:type="spellStart"/>
      <w:r w:rsidRPr="00B66C1F">
        <w:rPr>
          <w:rFonts w:ascii="Avenir Next" w:hAnsi="Avenir Next" w:cs="Arial"/>
          <w:color w:val="808080" w:themeColor="background1" w:themeShade="80"/>
          <w:sz w:val="22"/>
          <w:szCs w:val="22"/>
          <w:lang w:val="en-GB"/>
        </w:rPr>
        <w:t>i</w:t>
      </w:r>
      <w:proofErr w:type="spellEnd"/>
      <w:r w:rsidRPr="00B66C1F">
        <w:rPr>
          <w:rFonts w:ascii="Avenir Next" w:hAnsi="Avenir Next" w:cs="Arial"/>
          <w:color w:val="808080" w:themeColor="background1" w:themeShade="80"/>
          <w:sz w:val="22"/>
          <w:szCs w:val="22"/>
          <w:lang w:val="en-GB"/>
        </w:rPr>
        <w:t xml:space="preserve">) of the CBIR adopts the definition of </w:t>
      </w:r>
      <w:r w:rsidR="00211D8D">
        <w:rPr>
          <w:rFonts w:ascii="Avenir Next" w:hAnsi="Avenir Next" w:cs="Arial"/>
          <w:color w:val="808080" w:themeColor="background1" w:themeShade="80"/>
          <w:sz w:val="22"/>
          <w:szCs w:val="22"/>
          <w:lang w:val="en-GB"/>
        </w:rPr>
        <w:t>“</w:t>
      </w:r>
      <w:r w:rsidRPr="00B66C1F">
        <w:rPr>
          <w:rFonts w:ascii="Avenir Next" w:hAnsi="Avenir Next" w:cs="Arial"/>
          <w:color w:val="808080" w:themeColor="background1" w:themeShade="80"/>
          <w:sz w:val="22"/>
          <w:szCs w:val="22"/>
          <w:lang w:val="en-GB"/>
        </w:rPr>
        <w:t>foreign proceeding</w:t>
      </w:r>
      <w:r w:rsidR="00211D8D">
        <w:rPr>
          <w:rFonts w:ascii="Avenir Next" w:hAnsi="Avenir Next" w:cs="Arial"/>
          <w:color w:val="808080" w:themeColor="background1" w:themeShade="80"/>
          <w:sz w:val="22"/>
          <w:szCs w:val="22"/>
          <w:lang w:val="en-GB"/>
        </w:rPr>
        <w:t>”</w:t>
      </w:r>
      <w:r w:rsidRPr="00B66C1F">
        <w:rPr>
          <w:rFonts w:ascii="Avenir Next" w:hAnsi="Avenir Next" w:cs="Arial"/>
          <w:color w:val="808080" w:themeColor="background1" w:themeShade="80"/>
          <w:sz w:val="22"/>
          <w:szCs w:val="22"/>
          <w:lang w:val="en-GB"/>
        </w:rPr>
        <w:t xml:space="preserve"> provided for in Article 2(a) of the Model Law.</w:t>
      </w:r>
      <w:r w:rsidR="00D915FB" w:rsidRPr="00D915FB">
        <w:rPr>
          <w:rFonts w:ascii="Avenir Next" w:hAnsi="Avenir Next" w:cs="Arial"/>
          <w:color w:val="808080" w:themeColor="background1" w:themeShade="80"/>
          <w:sz w:val="22"/>
          <w:szCs w:val="22"/>
          <w:lang w:val="en-GB"/>
        </w:rPr>
        <w:t xml:space="preserve"> </w:t>
      </w:r>
      <w:r w:rsidR="00D915FB" w:rsidRPr="00961ED5">
        <w:rPr>
          <w:rFonts w:ascii="Avenir Next" w:hAnsi="Avenir Next" w:cs="Arial"/>
          <w:color w:val="808080" w:themeColor="background1" w:themeShade="80"/>
          <w:sz w:val="22"/>
          <w:szCs w:val="22"/>
          <w:lang w:val="en-GB"/>
        </w:rPr>
        <w:t>According to the UNCITRAL Guide to Enactment:</w:t>
      </w:r>
    </w:p>
    <w:p w14:paraId="08073787" w14:textId="77777777" w:rsidR="009349E5" w:rsidRDefault="009349E5" w:rsidP="00707FC8">
      <w:pPr>
        <w:jc w:val="both"/>
        <w:rPr>
          <w:rFonts w:ascii="Avenir Next" w:hAnsi="Avenir Next" w:cs="Arial"/>
          <w:color w:val="808080" w:themeColor="background1" w:themeShade="80"/>
          <w:sz w:val="22"/>
          <w:szCs w:val="22"/>
          <w:lang w:val="en-GB"/>
        </w:rPr>
      </w:pPr>
    </w:p>
    <w:p w14:paraId="40B92C5C" w14:textId="32B79EA1" w:rsidR="009349E5" w:rsidRPr="009349E5" w:rsidRDefault="009349E5" w:rsidP="009349E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349E5">
        <w:rPr>
          <w:rFonts w:ascii="Avenir Next" w:hAnsi="Avenir Next" w:cs="Arial"/>
          <w:color w:val="808080" w:themeColor="background1" w:themeShade="80"/>
          <w:sz w:val="22"/>
          <w:szCs w:val="22"/>
          <w:lang w:val="en-GB"/>
        </w:rPr>
        <w:t>The attributes required for a foreign proceeding to fall within the scope</w:t>
      </w:r>
      <w:r>
        <w:rPr>
          <w:rFonts w:ascii="Avenir Next" w:hAnsi="Avenir Next" w:cs="Arial"/>
          <w:color w:val="808080" w:themeColor="background1" w:themeShade="80"/>
          <w:sz w:val="22"/>
          <w:szCs w:val="22"/>
          <w:lang w:val="en-GB"/>
        </w:rPr>
        <w:t xml:space="preserve"> </w:t>
      </w:r>
      <w:r w:rsidRPr="009349E5">
        <w:rPr>
          <w:rFonts w:ascii="Avenir Next" w:hAnsi="Avenir Next" w:cs="Arial"/>
          <w:color w:val="808080" w:themeColor="background1" w:themeShade="80"/>
          <w:sz w:val="22"/>
          <w:szCs w:val="22"/>
          <w:lang w:val="en-GB"/>
        </w:rPr>
        <w:t>of the Model Law include the following: basis in insolvency-related law of</w:t>
      </w:r>
      <w:r>
        <w:rPr>
          <w:rFonts w:ascii="Avenir Next" w:hAnsi="Avenir Next" w:cs="Arial"/>
          <w:color w:val="808080" w:themeColor="background1" w:themeShade="80"/>
          <w:sz w:val="22"/>
          <w:szCs w:val="22"/>
          <w:lang w:val="en-GB"/>
        </w:rPr>
        <w:t xml:space="preserve"> </w:t>
      </w:r>
      <w:r w:rsidRPr="009349E5">
        <w:rPr>
          <w:rFonts w:ascii="Avenir Next" w:hAnsi="Avenir Next" w:cs="Arial"/>
          <w:color w:val="808080" w:themeColor="background1" w:themeShade="80"/>
          <w:sz w:val="22"/>
          <w:szCs w:val="22"/>
          <w:lang w:val="en-GB"/>
        </w:rPr>
        <w:t>the originating State; involvement of creditors collectively; control or supervision of the assets and affairs of the debtor by a court or another official</w:t>
      </w:r>
      <w:r>
        <w:rPr>
          <w:rFonts w:ascii="Avenir Next" w:hAnsi="Avenir Next" w:cs="Arial"/>
          <w:color w:val="808080" w:themeColor="background1" w:themeShade="80"/>
          <w:sz w:val="22"/>
          <w:szCs w:val="22"/>
          <w:lang w:val="en-GB"/>
        </w:rPr>
        <w:t xml:space="preserve"> </w:t>
      </w:r>
      <w:r w:rsidRPr="009349E5">
        <w:rPr>
          <w:rFonts w:ascii="Avenir Next" w:hAnsi="Avenir Next" w:cs="Arial"/>
          <w:color w:val="808080" w:themeColor="background1" w:themeShade="80"/>
          <w:sz w:val="22"/>
          <w:szCs w:val="22"/>
          <w:lang w:val="en-GB"/>
        </w:rPr>
        <w:t>body; and reorganization or liquidation of the debtor as the purpose of the</w:t>
      </w:r>
    </w:p>
    <w:p w14:paraId="04993A84" w14:textId="02D3CD64" w:rsidR="009349E5" w:rsidRDefault="009349E5" w:rsidP="009349E5">
      <w:pPr>
        <w:ind w:left="720"/>
        <w:jc w:val="both"/>
        <w:rPr>
          <w:rFonts w:ascii="Avenir Next" w:hAnsi="Avenir Next" w:cs="Arial"/>
          <w:color w:val="808080" w:themeColor="background1" w:themeShade="80"/>
          <w:sz w:val="22"/>
          <w:szCs w:val="22"/>
          <w:lang w:val="en-GB"/>
        </w:rPr>
      </w:pPr>
      <w:r w:rsidRPr="009349E5">
        <w:rPr>
          <w:rFonts w:ascii="Avenir Next" w:hAnsi="Avenir Next" w:cs="Arial"/>
          <w:color w:val="808080" w:themeColor="background1" w:themeShade="80"/>
          <w:sz w:val="22"/>
          <w:szCs w:val="22"/>
          <w:lang w:val="en-GB"/>
        </w:rPr>
        <w:t>proceeding (article 2, subparagraph (a)). Whether a foreign proceeding possesses or possessed those elements would be determined at the time the</w:t>
      </w:r>
      <w:r>
        <w:rPr>
          <w:rFonts w:ascii="Avenir Next" w:hAnsi="Avenir Next" w:cs="Arial"/>
          <w:color w:val="808080" w:themeColor="background1" w:themeShade="80"/>
          <w:sz w:val="22"/>
          <w:szCs w:val="22"/>
          <w:lang w:val="en-GB"/>
        </w:rPr>
        <w:t xml:space="preserve"> </w:t>
      </w:r>
      <w:r w:rsidRPr="009349E5">
        <w:rPr>
          <w:rFonts w:ascii="Avenir Next" w:hAnsi="Avenir Next" w:cs="Arial"/>
          <w:color w:val="808080" w:themeColor="background1" w:themeShade="80"/>
          <w:sz w:val="22"/>
          <w:szCs w:val="22"/>
          <w:lang w:val="en-GB"/>
        </w:rPr>
        <w:t>application for recognition is considered</w:t>
      </w:r>
      <w:r>
        <w:rPr>
          <w:rFonts w:ascii="Avenir Next" w:hAnsi="Avenir Next" w:cs="Arial"/>
          <w:color w:val="808080" w:themeColor="background1" w:themeShade="80"/>
          <w:sz w:val="22"/>
          <w:szCs w:val="22"/>
          <w:lang w:val="en-GB"/>
        </w:rPr>
        <w:t>”</w:t>
      </w:r>
      <w:r w:rsidRPr="009349E5">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27"/>
      </w:r>
    </w:p>
    <w:p w14:paraId="7637A8AE" w14:textId="77777777" w:rsidR="0012140E" w:rsidRDefault="0012140E" w:rsidP="00707FC8">
      <w:pPr>
        <w:jc w:val="both"/>
        <w:rPr>
          <w:rFonts w:ascii="Avenir Next" w:hAnsi="Avenir Next" w:cs="Arial"/>
          <w:color w:val="808080" w:themeColor="background1" w:themeShade="80"/>
          <w:sz w:val="22"/>
          <w:szCs w:val="22"/>
          <w:lang w:val="en-GB"/>
        </w:rPr>
      </w:pPr>
    </w:p>
    <w:p w14:paraId="07900A74" w14:textId="66962B2A" w:rsidR="00D915FB" w:rsidRDefault="00D92F2C" w:rsidP="00707FC8">
      <w:pPr>
        <w:jc w:val="both"/>
        <w:rPr>
          <w:rFonts w:ascii="Avenir Next" w:hAnsi="Avenir Next" w:cs="Arial"/>
          <w:color w:val="808080" w:themeColor="background1" w:themeShade="80"/>
          <w:sz w:val="22"/>
          <w:szCs w:val="22"/>
          <w:lang w:val="en-GB"/>
        </w:rPr>
      </w:pPr>
      <w:r w:rsidRPr="00D92F2C">
        <w:rPr>
          <w:rFonts w:ascii="Avenir Next" w:hAnsi="Avenir Next" w:cs="Arial"/>
          <w:color w:val="808080" w:themeColor="background1" w:themeShade="80"/>
          <w:sz w:val="22"/>
          <w:szCs w:val="22"/>
          <w:lang w:val="en-GB"/>
        </w:rPr>
        <w:t xml:space="preserve">Aware that a reorganization or liquidation may be operated under a law that is not </w:t>
      </w:r>
      <w:r w:rsidR="005F332F" w:rsidRPr="00D92F2C">
        <w:rPr>
          <w:rFonts w:ascii="Avenir Next" w:hAnsi="Avenir Next" w:cs="Arial"/>
          <w:color w:val="808080" w:themeColor="background1" w:themeShade="80"/>
          <w:sz w:val="22"/>
          <w:szCs w:val="22"/>
          <w:lang w:val="en-GB"/>
        </w:rPr>
        <w:t>labelled</w:t>
      </w:r>
      <w:r w:rsidRPr="00D92F2C">
        <w:rPr>
          <w:rFonts w:ascii="Avenir Next" w:hAnsi="Avenir Next" w:cs="Arial"/>
          <w:color w:val="808080" w:themeColor="background1" w:themeShade="80"/>
          <w:sz w:val="22"/>
          <w:szCs w:val="22"/>
          <w:lang w:val="en-GB"/>
        </w:rPr>
        <w:t xml:space="preserve"> as an insolvency law, the </w:t>
      </w:r>
      <w:r w:rsidR="005F332F" w:rsidRPr="00961ED5">
        <w:rPr>
          <w:rFonts w:ascii="Avenir Next" w:hAnsi="Avenir Next" w:cs="Arial"/>
          <w:color w:val="808080" w:themeColor="background1" w:themeShade="80"/>
          <w:sz w:val="22"/>
          <w:szCs w:val="22"/>
          <w:lang w:val="en-GB"/>
        </w:rPr>
        <w:t>UNCITRAL Guide to Enactment</w:t>
      </w:r>
      <w:r w:rsidRPr="00D92F2C">
        <w:rPr>
          <w:rFonts w:ascii="Avenir Next" w:hAnsi="Avenir Next" w:cs="Arial"/>
          <w:color w:val="808080" w:themeColor="background1" w:themeShade="80"/>
          <w:sz w:val="22"/>
          <w:szCs w:val="22"/>
          <w:lang w:val="en-GB"/>
        </w:rPr>
        <w:t xml:space="preserve"> allows for the recognition of a foreign proceeding </w:t>
      </w:r>
      <w:r w:rsidRPr="00D92F2C">
        <w:rPr>
          <w:rFonts w:ascii="Avenir Next" w:hAnsi="Avenir Next" w:cs="Arial"/>
          <w:color w:val="808080" w:themeColor="background1" w:themeShade="80"/>
          <w:sz w:val="22"/>
          <w:szCs w:val="22"/>
          <w:lang w:val="en-GB"/>
        </w:rPr>
        <w:lastRenderedPageBreak/>
        <w:t xml:space="preserve">carried out under an </w:t>
      </w:r>
      <w:r w:rsidR="005F332F" w:rsidRPr="005F332F">
        <w:rPr>
          <w:rFonts w:ascii="Avenir Next" w:hAnsi="Avenir Next" w:cs="Arial"/>
          <w:color w:val="808080" w:themeColor="background1" w:themeShade="80"/>
          <w:sz w:val="22"/>
          <w:szCs w:val="22"/>
          <w:lang w:val="en-GB"/>
        </w:rPr>
        <w:t>insolvency-related law</w:t>
      </w:r>
      <w:r w:rsidRPr="00D92F2C">
        <w:rPr>
          <w:rFonts w:ascii="Avenir Next" w:hAnsi="Avenir Next" w:cs="Arial"/>
          <w:color w:val="808080" w:themeColor="background1" w:themeShade="80"/>
          <w:sz w:val="22"/>
          <w:szCs w:val="22"/>
          <w:lang w:val="en-GB"/>
        </w:rPr>
        <w:t>.</w:t>
      </w:r>
      <w:r w:rsidR="00BA6BB5">
        <w:rPr>
          <w:rStyle w:val="Refdenotaderodap"/>
          <w:rFonts w:ascii="Avenir Next" w:hAnsi="Avenir Next" w:cs="Arial"/>
          <w:color w:val="808080" w:themeColor="background1" w:themeShade="80"/>
          <w:sz w:val="22"/>
          <w:szCs w:val="22"/>
          <w:lang w:val="en-GB"/>
        </w:rPr>
        <w:footnoteReference w:id="28"/>
      </w:r>
      <w:r w:rsidRPr="00D92F2C">
        <w:rPr>
          <w:rFonts w:ascii="Avenir Next" w:hAnsi="Avenir Next" w:cs="Arial"/>
          <w:color w:val="808080" w:themeColor="background1" w:themeShade="80"/>
          <w:sz w:val="22"/>
          <w:szCs w:val="22"/>
          <w:lang w:val="en-GB"/>
        </w:rPr>
        <w:t xml:space="preserve"> The LBBA is not an insolvency law. However, its </w:t>
      </w:r>
      <w:proofErr w:type="gramStart"/>
      <w:r w:rsidRPr="00D92F2C">
        <w:rPr>
          <w:rFonts w:ascii="Avenir Next" w:hAnsi="Avenir Next" w:cs="Arial"/>
          <w:color w:val="808080" w:themeColor="background1" w:themeShade="80"/>
          <w:sz w:val="22"/>
          <w:szCs w:val="22"/>
          <w:lang w:val="en-GB"/>
        </w:rPr>
        <w:t>Article</w:t>
      </w:r>
      <w:proofErr w:type="gramEnd"/>
      <w:r w:rsidRPr="00D92F2C">
        <w:rPr>
          <w:rFonts w:ascii="Avenir Next" w:hAnsi="Avenir Next" w:cs="Arial"/>
          <w:color w:val="808080" w:themeColor="background1" w:themeShade="80"/>
          <w:sz w:val="22"/>
          <w:szCs w:val="22"/>
          <w:lang w:val="en-GB"/>
        </w:rPr>
        <w:t xml:space="preserve"> 76 obliges the NB to classify the bank as insolvent if it </w:t>
      </w:r>
      <w:r w:rsidR="00BA6BB5" w:rsidRPr="00D92F2C">
        <w:rPr>
          <w:rFonts w:ascii="Avenir Next" w:hAnsi="Avenir Next" w:cs="Arial"/>
          <w:color w:val="808080" w:themeColor="background1" w:themeShade="80"/>
          <w:sz w:val="22"/>
          <w:szCs w:val="22"/>
          <w:lang w:val="en-GB"/>
        </w:rPr>
        <w:t>fulfils</w:t>
      </w:r>
      <w:r w:rsidRPr="00D92F2C">
        <w:rPr>
          <w:rFonts w:ascii="Avenir Next" w:hAnsi="Avenir Next" w:cs="Arial"/>
          <w:color w:val="808080" w:themeColor="background1" w:themeShade="80"/>
          <w:sz w:val="22"/>
          <w:szCs w:val="22"/>
          <w:lang w:val="en-GB"/>
        </w:rPr>
        <w:t xml:space="preserve"> its criteria. In that sense, the LBBA can be considered </w:t>
      </w:r>
      <w:r w:rsidR="00385324" w:rsidRPr="00D92F2C">
        <w:rPr>
          <w:rFonts w:ascii="Avenir Next" w:hAnsi="Avenir Next" w:cs="Arial"/>
          <w:color w:val="808080" w:themeColor="background1" w:themeShade="80"/>
          <w:sz w:val="22"/>
          <w:szCs w:val="22"/>
          <w:lang w:val="en-GB"/>
        </w:rPr>
        <w:t>an</w:t>
      </w:r>
      <w:r w:rsidRPr="00D92F2C">
        <w:rPr>
          <w:rFonts w:ascii="Avenir Next" w:hAnsi="Avenir Next" w:cs="Arial"/>
          <w:color w:val="808080" w:themeColor="background1" w:themeShade="80"/>
          <w:sz w:val="22"/>
          <w:szCs w:val="22"/>
          <w:lang w:val="en-GB"/>
        </w:rPr>
        <w:t xml:space="preserve"> </w:t>
      </w:r>
      <w:r w:rsidR="00BA6BB5" w:rsidRPr="009349E5">
        <w:rPr>
          <w:rFonts w:ascii="Avenir Next" w:hAnsi="Avenir Next" w:cs="Arial"/>
          <w:color w:val="808080" w:themeColor="background1" w:themeShade="80"/>
          <w:sz w:val="22"/>
          <w:szCs w:val="22"/>
          <w:lang w:val="en-GB"/>
        </w:rPr>
        <w:t>insolvency-related law</w:t>
      </w:r>
      <w:r w:rsidRPr="00D92F2C">
        <w:rPr>
          <w:rFonts w:ascii="Avenir Next" w:hAnsi="Avenir Next" w:cs="Arial"/>
          <w:color w:val="808080" w:themeColor="background1" w:themeShade="80"/>
          <w:sz w:val="22"/>
          <w:szCs w:val="22"/>
          <w:lang w:val="en-GB"/>
        </w:rPr>
        <w:t>.</w:t>
      </w:r>
    </w:p>
    <w:p w14:paraId="4CCFFA7B" w14:textId="77777777" w:rsidR="0062159E" w:rsidRDefault="0062159E" w:rsidP="00707FC8">
      <w:pPr>
        <w:jc w:val="both"/>
        <w:rPr>
          <w:rFonts w:ascii="Avenir Next" w:hAnsi="Avenir Next" w:cs="Arial"/>
          <w:color w:val="808080" w:themeColor="background1" w:themeShade="80"/>
          <w:sz w:val="22"/>
          <w:szCs w:val="22"/>
          <w:lang w:val="en-GB"/>
        </w:rPr>
      </w:pPr>
    </w:p>
    <w:p w14:paraId="7DF6B6B9" w14:textId="05ABF10A" w:rsidR="0062159E" w:rsidRDefault="0062159E" w:rsidP="00707FC8">
      <w:pPr>
        <w:jc w:val="both"/>
        <w:rPr>
          <w:rFonts w:ascii="Avenir Next" w:hAnsi="Avenir Next" w:cs="Arial"/>
          <w:color w:val="808080" w:themeColor="background1" w:themeShade="80"/>
          <w:sz w:val="22"/>
          <w:szCs w:val="22"/>
          <w:lang w:val="en-GB"/>
        </w:rPr>
      </w:pPr>
      <w:r w:rsidRPr="0062159E">
        <w:rPr>
          <w:rFonts w:ascii="Avenir Next" w:hAnsi="Avenir Next" w:cs="Arial"/>
          <w:color w:val="808080" w:themeColor="background1" w:themeShade="80"/>
          <w:sz w:val="22"/>
          <w:szCs w:val="22"/>
          <w:lang w:val="en-GB"/>
        </w:rPr>
        <w:t xml:space="preserve">That was enough for the English court in the </w:t>
      </w:r>
      <w:proofErr w:type="spellStart"/>
      <w:r w:rsidRPr="0062159E">
        <w:rPr>
          <w:rFonts w:ascii="Avenir Next" w:hAnsi="Avenir Next" w:cs="Arial"/>
          <w:color w:val="808080" w:themeColor="background1" w:themeShade="80"/>
          <w:sz w:val="22"/>
          <w:szCs w:val="22"/>
          <w:lang w:val="en-GB"/>
        </w:rPr>
        <w:t>Agr</w:t>
      </w:r>
      <w:r w:rsidR="004A5761">
        <w:rPr>
          <w:rFonts w:ascii="Avenir Next" w:hAnsi="Avenir Next" w:cs="Arial"/>
          <w:color w:val="808080" w:themeColor="background1" w:themeShade="80"/>
          <w:sz w:val="22"/>
          <w:szCs w:val="22"/>
          <w:lang w:val="en-GB"/>
        </w:rPr>
        <w:t>o</w:t>
      </w:r>
      <w:r w:rsidRPr="0062159E">
        <w:rPr>
          <w:rFonts w:ascii="Avenir Next" w:hAnsi="Avenir Next" w:cs="Arial"/>
          <w:color w:val="808080" w:themeColor="background1" w:themeShade="80"/>
          <w:sz w:val="22"/>
          <w:szCs w:val="22"/>
          <w:lang w:val="en-GB"/>
        </w:rPr>
        <w:t>kor</w:t>
      </w:r>
      <w:proofErr w:type="spellEnd"/>
      <w:r w:rsidRPr="0062159E">
        <w:rPr>
          <w:rFonts w:ascii="Avenir Next" w:hAnsi="Avenir Next" w:cs="Arial"/>
          <w:color w:val="808080" w:themeColor="background1" w:themeShade="80"/>
          <w:sz w:val="22"/>
          <w:szCs w:val="22"/>
          <w:lang w:val="en-GB"/>
        </w:rPr>
        <w:t xml:space="preserve"> case, according to </w:t>
      </w:r>
      <w:r w:rsidR="00DA2587" w:rsidRPr="00DA2587">
        <w:rPr>
          <w:rFonts w:ascii="Avenir Next" w:hAnsi="Avenir Next" w:cs="Arial"/>
          <w:color w:val="808080" w:themeColor="background1" w:themeShade="80"/>
          <w:sz w:val="22"/>
          <w:szCs w:val="22"/>
          <w:lang w:val="en-GB"/>
        </w:rPr>
        <w:t>DECLERCQ</w:t>
      </w:r>
      <w:r w:rsidRPr="0062159E">
        <w:rPr>
          <w:rFonts w:ascii="Avenir Next" w:hAnsi="Avenir Next" w:cs="Arial"/>
          <w:color w:val="808080" w:themeColor="background1" w:themeShade="80"/>
          <w:sz w:val="22"/>
          <w:szCs w:val="22"/>
          <w:lang w:val="en-GB"/>
        </w:rPr>
        <w:t>:</w:t>
      </w:r>
    </w:p>
    <w:p w14:paraId="727F2235" w14:textId="77777777" w:rsidR="004A5761" w:rsidRDefault="004A5761" w:rsidP="00707FC8">
      <w:pPr>
        <w:jc w:val="both"/>
        <w:rPr>
          <w:rFonts w:ascii="Avenir Next" w:hAnsi="Avenir Next" w:cs="Arial"/>
          <w:color w:val="808080" w:themeColor="background1" w:themeShade="80"/>
          <w:sz w:val="22"/>
          <w:szCs w:val="22"/>
          <w:lang w:val="en-GB"/>
        </w:rPr>
      </w:pPr>
    </w:p>
    <w:p w14:paraId="2C23E7FF" w14:textId="2A721E9D" w:rsidR="004A5761" w:rsidRDefault="004A5761" w:rsidP="00CB154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CB1542" w:rsidRPr="00CB1542">
        <w:rPr>
          <w:rFonts w:ascii="Avenir Next" w:hAnsi="Avenir Next" w:cs="Arial"/>
          <w:color w:val="808080" w:themeColor="background1" w:themeShade="80"/>
          <w:sz w:val="22"/>
          <w:szCs w:val="22"/>
          <w:lang w:val="en-GB"/>
        </w:rPr>
        <w:t xml:space="preserve">Law relating to insolvency: The Model Law does not require </w:t>
      </w:r>
      <w:r w:rsidR="00CB1542">
        <w:rPr>
          <w:rFonts w:ascii="Avenir Next" w:hAnsi="Avenir Next" w:cs="Arial"/>
          <w:color w:val="808080" w:themeColor="background1" w:themeShade="80"/>
          <w:sz w:val="22"/>
          <w:szCs w:val="22"/>
          <w:lang w:val="en-GB"/>
        </w:rPr>
        <w:t>‘</w:t>
      </w:r>
      <w:r w:rsidR="00CB1542" w:rsidRPr="00CB1542">
        <w:rPr>
          <w:rFonts w:ascii="Avenir Next" w:hAnsi="Avenir Next" w:cs="Arial"/>
          <w:color w:val="808080" w:themeColor="background1" w:themeShade="80"/>
          <w:sz w:val="22"/>
          <w:szCs w:val="22"/>
          <w:lang w:val="en-GB"/>
        </w:rPr>
        <w:t>insolvency law</w:t>
      </w:r>
      <w:r w:rsidR="00CB1542">
        <w:rPr>
          <w:rFonts w:ascii="Avenir Next" w:hAnsi="Avenir Next" w:cs="Arial"/>
          <w:color w:val="808080" w:themeColor="background1" w:themeShade="80"/>
          <w:sz w:val="22"/>
          <w:szCs w:val="22"/>
          <w:lang w:val="en-GB"/>
        </w:rPr>
        <w:t>’</w:t>
      </w:r>
      <w:r w:rsidR="00CB1542" w:rsidRPr="00CB1542">
        <w:rPr>
          <w:rFonts w:ascii="Avenir Next" w:hAnsi="Avenir Next" w:cs="Arial"/>
          <w:color w:val="808080" w:themeColor="background1" w:themeShade="80"/>
          <w:sz w:val="22"/>
          <w:szCs w:val="22"/>
          <w:lang w:val="en-GB"/>
        </w:rPr>
        <w:t xml:space="preserve"> as a label; it is</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sufficient if the law deals with or addresses insolvency or severe financial distress, which the</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 xml:space="preserve">Lex </w:t>
      </w:r>
      <w:proofErr w:type="spellStart"/>
      <w:r w:rsidR="00CB1542" w:rsidRPr="00CB1542">
        <w:rPr>
          <w:rFonts w:ascii="Avenir Next" w:hAnsi="Avenir Next" w:cs="Arial"/>
          <w:color w:val="808080" w:themeColor="background1" w:themeShade="80"/>
          <w:sz w:val="22"/>
          <w:szCs w:val="22"/>
          <w:lang w:val="en-GB"/>
        </w:rPr>
        <w:t>Agrokor</w:t>
      </w:r>
      <w:proofErr w:type="spellEnd"/>
      <w:r w:rsidR="00CB1542" w:rsidRPr="00CB1542">
        <w:rPr>
          <w:rFonts w:ascii="Avenir Next" w:hAnsi="Avenir Next" w:cs="Arial"/>
          <w:color w:val="808080" w:themeColor="background1" w:themeShade="80"/>
          <w:sz w:val="22"/>
          <w:szCs w:val="22"/>
          <w:lang w:val="en-GB"/>
        </w:rPr>
        <w:t xml:space="preserve"> does. The </w:t>
      </w:r>
      <w:r w:rsidR="00CB1542">
        <w:rPr>
          <w:rFonts w:ascii="Avenir Next" w:hAnsi="Avenir Next" w:cs="Arial"/>
          <w:color w:val="808080" w:themeColor="background1" w:themeShade="80"/>
          <w:sz w:val="22"/>
          <w:szCs w:val="22"/>
          <w:lang w:val="en-GB"/>
        </w:rPr>
        <w:t>‘</w:t>
      </w:r>
      <w:r w:rsidR="00CB1542" w:rsidRPr="00CB1542">
        <w:rPr>
          <w:rFonts w:ascii="Avenir Next" w:hAnsi="Avenir Next" w:cs="Arial"/>
          <w:color w:val="808080" w:themeColor="background1" w:themeShade="80"/>
          <w:sz w:val="22"/>
          <w:szCs w:val="22"/>
          <w:lang w:val="en-GB"/>
        </w:rPr>
        <w:t>law relating to insolvency</w:t>
      </w:r>
      <w:r w:rsidR="00CB1542">
        <w:rPr>
          <w:rFonts w:ascii="Avenir Next" w:hAnsi="Avenir Next" w:cs="Arial"/>
          <w:color w:val="808080" w:themeColor="background1" w:themeShade="80"/>
          <w:sz w:val="22"/>
          <w:szCs w:val="22"/>
          <w:lang w:val="en-GB"/>
        </w:rPr>
        <w:t>’</w:t>
      </w:r>
      <w:r w:rsidR="00CB1542" w:rsidRPr="00CB1542">
        <w:rPr>
          <w:rFonts w:ascii="Avenir Next" w:hAnsi="Avenir Next" w:cs="Arial"/>
          <w:color w:val="808080" w:themeColor="background1" w:themeShade="80"/>
          <w:sz w:val="22"/>
          <w:szCs w:val="22"/>
          <w:lang w:val="en-GB"/>
        </w:rPr>
        <w:t xml:space="preserve"> requirement is satisfied if insolvency is</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one of the grounds on which the proceeding could be commenced, even if insolvency could</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not actually be demonstrated and there was another basis for commencing the proceeding.</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 xml:space="preserve">At the commencement of the proceedings, it was unchallenged evidence that </w:t>
      </w:r>
      <w:proofErr w:type="spellStart"/>
      <w:r w:rsidR="00CB1542" w:rsidRPr="00CB1542">
        <w:rPr>
          <w:rFonts w:ascii="Avenir Next" w:hAnsi="Avenir Next" w:cs="Arial"/>
          <w:color w:val="808080" w:themeColor="background1" w:themeShade="80"/>
          <w:sz w:val="22"/>
          <w:szCs w:val="22"/>
          <w:lang w:val="en-GB"/>
        </w:rPr>
        <w:t>Agrokor</w:t>
      </w:r>
      <w:proofErr w:type="spellEnd"/>
      <w:r w:rsidR="00CB1542" w:rsidRPr="00CB1542">
        <w:rPr>
          <w:rFonts w:ascii="Avenir Next" w:hAnsi="Avenir Next" w:cs="Arial"/>
          <w:color w:val="808080" w:themeColor="background1" w:themeShade="80"/>
          <w:sz w:val="22"/>
          <w:szCs w:val="22"/>
          <w:lang w:val="en-GB"/>
        </w:rPr>
        <w:t xml:space="preserve"> and</w:t>
      </w:r>
      <w:r w:rsidR="00CB1542">
        <w:rPr>
          <w:rFonts w:ascii="Avenir Next" w:hAnsi="Avenir Next" w:cs="Arial"/>
          <w:color w:val="808080" w:themeColor="background1" w:themeShade="80"/>
          <w:sz w:val="22"/>
          <w:szCs w:val="22"/>
          <w:lang w:val="en-GB"/>
        </w:rPr>
        <w:t xml:space="preserve"> </w:t>
      </w:r>
      <w:r w:rsidR="00CB1542" w:rsidRPr="00CB1542">
        <w:rPr>
          <w:rFonts w:ascii="Avenir Next" w:hAnsi="Avenir Next" w:cs="Arial"/>
          <w:color w:val="808080" w:themeColor="background1" w:themeShade="80"/>
          <w:sz w:val="22"/>
          <w:szCs w:val="22"/>
          <w:lang w:val="en-GB"/>
        </w:rPr>
        <w:t>the wider group was in a state of serious financial distress</w:t>
      </w:r>
      <w:r>
        <w:rPr>
          <w:rFonts w:ascii="Avenir Next" w:hAnsi="Avenir Next" w:cs="Arial"/>
          <w:color w:val="808080" w:themeColor="background1" w:themeShade="80"/>
          <w:sz w:val="22"/>
          <w:szCs w:val="22"/>
          <w:lang w:val="en-GB"/>
        </w:rPr>
        <w:t>”</w:t>
      </w:r>
      <w:r w:rsidR="00DA2587">
        <w:rPr>
          <w:rFonts w:ascii="Avenir Next" w:hAnsi="Avenir Next" w:cs="Arial"/>
          <w:color w:val="808080" w:themeColor="background1" w:themeShade="80"/>
          <w:sz w:val="22"/>
          <w:szCs w:val="22"/>
          <w:lang w:val="en-GB"/>
        </w:rPr>
        <w:t>.</w:t>
      </w:r>
      <w:r w:rsidR="00DA2587">
        <w:rPr>
          <w:rStyle w:val="Refdenotaderodap"/>
          <w:rFonts w:ascii="Avenir Next" w:hAnsi="Avenir Next" w:cs="Arial"/>
          <w:color w:val="808080" w:themeColor="background1" w:themeShade="80"/>
          <w:sz w:val="22"/>
          <w:szCs w:val="22"/>
          <w:lang w:val="en-GB"/>
        </w:rPr>
        <w:footnoteReference w:id="29"/>
      </w:r>
    </w:p>
    <w:p w14:paraId="46D52E2F" w14:textId="77777777" w:rsidR="00E41ABE" w:rsidRDefault="00E41ABE" w:rsidP="00707FC8">
      <w:pPr>
        <w:jc w:val="both"/>
        <w:rPr>
          <w:rFonts w:ascii="Avenir Next" w:hAnsi="Avenir Next" w:cs="Arial"/>
          <w:color w:val="808080" w:themeColor="background1" w:themeShade="80"/>
          <w:sz w:val="22"/>
          <w:szCs w:val="22"/>
          <w:lang w:val="en-GB"/>
        </w:rPr>
      </w:pPr>
    </w:p>
    <w:p w14:paraId="395F003F" w14:textId="106C3EB0" w:rsidR="00E41ABE" w:rsidRDefault="00E41ABE" w:rsidP="00707FC8">
      <w:pPr>
        <w:jc w:val="both"/>
        <w:rPr>
          <w:rFonts w:ascii="Avenir Next" w:hAnsi="Avenir Next" w:cs="Arial"/>
          <w:color w:val="808080" w:themeColor="background1" w:themeShade="80"/>
          <w:sz w:val="22"/>
          <w:szCs w:val="22"/>
          <w:lang w:val="en-GB"/>
        </w:rPr>
      </w:pPr>
      <w:proofErr w:type="gramStart"/>
      <w:r w:rsidRPr="00E41ABE">
        <w:rPr>
          <w:rFonts w:ascii="Avenir Next" w:hAnsi="Avenir Next" w:cs="Arial"/>
          <w:color w:val="808080" w:themeColor="background1" w:themeShade="80"/>
          <w:sz w:val="22"/>
          <w:szCs w:val="22"/>
          <w:lang w:val="en-GB"/>
        </w:rPr>
        <w:t>It is clear that this</w:t>
      </w:r>
      <w:proofErr w:type="gramEnd"/>
      <w:r w:rsidRPr="00E41ABE">
        <w:rPr>
          <w:rFonts w:ascii="Avenir Next" w:hAnsi="Avenir Next" w:cs="Arial"/>
          <w:color w:val="808080" w:themeColor="background1" w:themeShade="80"/>
          <w:sz w:val="22"/>
          <w:szCs w:val="22"/>
          <w:lang w:val="en-GB"/>
        </w:rPr>
        <w:t xml:space="preserve"> is a collective procedure. Considering the powers attributed to the liquidator, the DGF</w:t>
      </w:r>
      <w:r>
        <w:rPr>
          <w:rFonts w:ascii="Avenir Next" w:hAnsi="Avenir Next" w:cs="Arial"/>
          <w:color w:val="808080" w:themeColor="background1" w:themeShade="80"/>
          <w:sz w:val="22"/>
          <w:szCs w:val="22"/>
          <w:lang w:val="en-GB"/>
        </w:rPr>
        <w:t xml:space="preserve"> </w:t>
      </w:r>
      <w:r w:rsidRPr="00E41ABE">
        <w:rPr>
          <w:rFonts w:ascii="Avenir Next" w:hAnsi="Avenir Next" w:cs="Arial"/>
          <w:color w:val="808080" w:themeColor="background1" w:themeShade="80"/>
          <w:sz w:val="22"/>
          <w:szCs w:val="22"/>
          <w:lang w:val="en-GB"/>
        </w:rPr>
        <w:t>has extensive powers</w:t>
      </w:r>
      <w:r>
        <w:rPr>
          <w:rFonts w:ascii="Avenir Next" w:hAnsi="Avenir Next" w:cs="Arial"/>
          <w:color w:val="808080" w:themeColor="background1" w:themeShade="80"/>
          <w:sz w:val="22"/>
          <w:szCs w:val="22"/>
          <w:lang w:val="en-GB"/>
        </w:rPr>
        <w:t xml:space="preserve"> </w:t>
      </w:r>
      <w:r w:rsidR="00CF0DB8" w:rsidRPr="00CF0DB8">
        <w:rPr>
          <w:rFonts w:ascii="Avenir Next" w:hAnsi="Avenir Next" w:cs="Arial"/>
          <w:color w:val="808080" w:themeColor="background1" w:themeShade="80"/>
          <w:sz w:val="22"/>
          <w:szCs w:val="22"/>
          <w:lang w:val="en-GB"/>
        </w:rPr>
        <w:t>to administer the liquidation of the debtor’s assets or affairs, as established in article 37 of the DGF Law.</w:t>
      </w:r>
      <w:r w:rsidR="00CF0DB8">
        <w:rPr>
          <w:rFonts w:ascii="Avenir Next" w:hAnsi="Avenir Next" w:cs="Arial"/>
          <w:color w:val="808080" w:themeColor="background1" w:themeShade="80"/>
          <w:sz w:val="22"/>
          <w:szCs w:val="22"/>
          <w:lang w:val="en-GB"/>
        </w:rPr>
        <w:t xml:space="preserve"> </w:t>
      </w:r>
      <w:r w:rsidR="00764624" w:rsidRPr="00764624">
        <w:rPr>
          <w:rFonts w:ascii="Avenir Next" w:hAnsi="Avenir Next" w:cs="Arial"/>
          <w:color w:val="808080" w:themeColor="background1" w:themeShade="80"/>
          <w:sz w:val="22"/>
          <w:szCs w:val="22"/>
          <w:lang w:val="en-GB"/>
        </w:rPr>
        <w:t xml:space="preserve">In turn, Article 36(5) </w:t>
      </w:r>
      <w:r w:rsidR="00764624">
        <w:rPr>
          <w:rFonts w:ascii="Avenir Next" w:hAnsi="Avenir Next" w:cs="Arial"/>
          <w:color w:val="808080" w:themeColor="background1" w:themeShade="80"/>
          <w:sz w:val="22"/>
          <w:szCs w:val="22"/>
          <w:lang w:val="en-GB"/>
        </w:rPr>
        <w:t xml:space="preserve">of DGF Law </w:t>
      </w:r>
      <w:r w:rsidR="00764624" w:rsidRPr="00764624">
        <w:rPr>
          <w:rFonts w:ascii="Avenir Next" w:hAnsi="Avenir Next" w:cs="Arial"/>
          <w:color w:val="808080" w:themeColor="background1" w:themeShade="80"/>
          <w:sz w:val="22"/>
          <w:szCs w:val="22"/>
          <w:lang w:val="en-GB"/>
        </w:rPr>
        <w:t>establishes a moratorium which prevents the claims of depositors or creditors being satisfied; execution or enforcement against the bank’s assets; encumbrances and restrictions being created over the bank’s property; and interest being charged.</w:t>
      </w:r>
      <w:r w:rsidR="00764624">
        <w:rPr>
          <w:rFonts w:ascii="Avenir Next" w:hAnsi="Avenir Next" w:cs="Arial"/>
          <w:color w:val="808080" w:themeColor="background1" w:themeShade="80"/>
          <w:sz w:val="22"/>
          <w:szCs w:val="22"/>
          <w:lang w:val="en-GB"/>
        </w:rPr>
        <w:t xml:space="preserve"> </w:t>
      </w:r>
      <w:r w:rsidR="00F36F8E" w:rsidRPr="00F36F8E">
        <w:rPr>
          <w:rFonts w:ascii="Avenir Next" w:hAnsi="Avenir Next" w:cs="Arial"/>
          <w:color w:val="808080" w:themeColor="background1" w:themeShade="80"/>
          <w:sz w:val="22"/>
          <w:szCs w:val="22"/>
          <w:lang w:val="en-GB"/>
        </w:rPr>
        <w:t xml:space="preserve">Furthermore, on September 7, 2020, the DGF decided to approve an amended list of creditor claims. Such elements demonstrate that the procedure involves the </w:t>
      </w:r>
      <w:r w:rsidR="00F36F8E" w:rsidRPr="00F36F8E">
        <w:rPr>
          <w:rFonts w:ascii="Avenir Next" w:hAnsi="Avenir Next" w:cs="Arial"/>
          <w:color w:val="808080" w:themeColor="background1" w:themeShade="80"/>
          <w:sz w:val="22"/>
          <w:szCs w:val="22"/>
          <w:lang w:val="en-GB"/>
        </w:rPr>
        <w:t>collectively</w:t>
      </w:r>
      <w:r w:rsidR="00F36F8E" w:rsidRPr="00F36F8E">
        <w:rPr>
          <w:rFonts w:ascii="Avenir Next" w:hAnsi="Avenir Next" w:cs="Arial"/>
          <w:color w:val="808080" w:themeColor="background1" w:themeShade="80"/>
          <w:sz w:val="22"/>
          <w:szCs w:val="22"/>
          <w:lang w:val="en-GB"/>
        </w:rPr>
        <w:t xml:space="preserve"> of the debtor's assets and </w:t>
      </w:r>
      <w:r w:rsidR="00FD4FEA">
        <w:rPr>
          <w:rFonts w:ascii="Avenir Next" w:hAnsi="Avenir Next" w:cs="Arial"/>
          <w:color w:val="808080" w:themeColor="background1" w:themeShade="80"/>
          <w:sz w:val="22"/>
          <w:szCs w:val="22"/>
          <w:lang w:val="en-GB"/>
        </w:rPr>
        <w:t>liabilities</w:t>
      </w:r>
      <w:r w:rsidR="00F36F8E" w:rsidRPr="00F36F8E">
        <w:rPr>
          <w:rFonts w:ascii="Avenir Next" w:hAnsi="Avenir Next" w:cs="Arial"/>
          <w:color w:val="808080" w:themeColor="background1" w:themeShade="80"/>
          <w:sz w:val="22"/>
          <w:szCs w:val="22"/>
          <w:lang w:val="en-GB"/>
        </w:rPr>
        <w:t>.</w:t>
      </w:r>
      <w:r w:rsidR="00E96E55">
        <w:rPr>
          <w:rStyle w:val="Refdenotaderodap"/>
          <w:rFonts w:ascii="Avenir Next" w:hAnsi="Avenir Next" w:cs="Arial"/>
          <w:color w:val="808080" w:themeColor="background1" w:themeShade="80"/>
          <w:sz w:val="22"/>
          <w:szCs w:val="22"/>
          <w:lang w:val="en-GB"/>
        </w:rPr>
        <w:footnoteReference w:id="30"/>
      </w:r>
    </w:p>
    <w:p w14:paraId="677562AF" w14:textId="77777777" w:rsidR="0027190B" w:rsidRDefault="0027190B" w:rsidP="00707FC8">
      <w:pPr>
        <w:jc w:val="both"/>
        <w:rPr>
          <w:rFonts w:ascii="Avenir Next" w:hAnsi="Avenir Next" w:cs="Arial"/>
          <w:color w:val="808080" w:themeColor="background1" w:themeShade="80"/>
          <w:sz w:val="22"/>
          <w:szCs w:val="22"/>
          <w:lang w:val="en-GB"/>
        </w:rPr>
      </w:pPr>
    </w:p>
    <w:p w14:paraId="3E8AD5FC" w14:textId="67B23ABF" w:rsidR="00DB4F64" w:rsidRDefault="0027190B" w:rsidP="005F4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27190B">
        <w:rPr>
          <w:rFonts w:ascii="Avenir Next" w:hAnsi="Avenir Next" w:cs="Arial"/>
          <w:color w:val="808080" w:themeColor="background1" w:themeShade="80"/>
          <w:sz w:val="22"/>
          <w:szCs w:val="22"/>
          <w:lang w:val="en-GB"/>
        </w:rPr>
        <w:t>control or supervision of the assets and affairs of the debtor by a court or another official body</w:t>
      </w:r>
      <w:r>
        <w:rPr>
          <w:rFonts w:ascii="Avenir Next" w:hAnsi="Avenir Next" w:cs="Arial"/>
          <w:color w:val="808080" w:themeColor="background1" w:themeShade="80"/>
          <w:sz w:val="22"/>
          <w:szCs w:val="22"/>
          <w:lang w:val="en-GB"/>
        </w:rPr>
        <w:t xml:space="preserve"> is the most sensitive </w:t>
      </w:r>
      <w:r w:rsidR="00FD1285">
        <w:rPr>
          <w:rFonts w:ascii="Avenir Next" w:hAnsi="Avenir Next" w:cs="Arial"/>
          <w:color w:val="808080" w:themeColor="background1" w:themeShade="80"/>
          <w:sz w:val="22"/>
          <w:szCs w:val="22"/>
          <w:lang w:val="en-GB"/>
        </w:rPr>
        <w:t>attribute require</w:t>
      </w:r>
      <w:r w:rsidR="00DC556E">
        <w:rPr>
          <w:rFonts w:ascii="Avenir Next" w:hAnsi="Avenir Next" w:cs="Arial"/>
          <w:color w:val="808080" w:themeColor="background1" w:themeShade="80"/>
          <w:sz w:val="22"/>
          <w:szCs w:val="22"/>
          <w:lang w:val="en-GB"/>
        </w:rPr>
        <w:t xml:space="preserve">d in this case. </w:t>
      </w:r>
      <w:r w:rsidR="005F4E2C">
        <w:rPr>
          <w:rFonts w:ascii="Avenir Next" w:hAnsi="Avenir Next" w:cs="Arial"/>
          <w:color w:val="808080" w:themeColor="background1" w:themeShade="80"/>
          <w:sz w:val="22"/>
          <w:szCs w:val="22"/>
          <w:lang w:val="en-GB"/>
        </w:rPr>
        <w:t>That because</w:t>
      </w:r>
      <w:r w:rsidR="009D5B53">
        <w:rPr>
          <w:rFonts w:ascii="Avenir Next" w:hAnsi="Avenir Next" w:cs="Arial"/>
          <w:color w:val="808080" w:themeColor="background1" w:themeShade="80"/>
          <w:sz w:val="22"/>
          <w:szCs w:val="22"/>
          <w:lang w:val="en-GB"/>
        </w:rPr>
        <w:t>, a</w:t>
      </w:r>
      <w:r w:rsidR="009D5B53" w:rsidRPr="00961ED5">
        <w:rPr>
          <w:rFonts w:ascii="Avenir Next" w:hAnsi="Avenir Next" w:cs="Arial"/>
          <w:color w:val="808080" w:themeColor="background1" w:themeShade="80"/>
          <w:sz w:val="22"/>
          <w:szCs w:val="22"/>
          <w:lang w:val="en-GB"/>
        </w:rPr>
        <w:t>ccording to the UNCITRAL Guide to Enactment:</w:t>
      </w:r>
      <w:r w:rsidR="005F4E2C">
        <w:rPr>
          <w:rFonts w:ascii="Avenir Next" w:hAnsi="Avenir Next" w:cs="Arial"/>
          <w:color w:val="808080" w:themeColor="background1" w:themeShade="80"/>
          <w:sz w:val="22"/>
          <w:szCs w:val="22"/>
          <w:lang w:val="en-GB"/>
        </w:rPr>
        <w:t xml:space="preserve"> </w:t>
      </w:r>
    </w:p>
    <w:p w14:paraId="072B5554" w14:textId="77777777" w:rsidR="00DB4F64" w:rsidRDefault="00DB4F64" w:rsidP="005F4E2C">
      <w:pPr>
        <w:jc w:val="both"/>
        <w:rPr>
          <w:rFonts w:ascii="Avenir Next" w:hAnsi="Avenir Next" w:cs="Arial"/>
          <w:color w:val="808080" w:themeColor="background1" w:themeShade="80"/>
          <w:sz w:val="22"/>
          <w:szCs w:val="22"/>
          <w:lang w:val="en-GB"/>
        </w:rPr>
      </w:pPr>
    </w:p>
    <w:p w14:paraId="4D198E54" w14:textId="1BE23E1D" w:rsidR="0027190B" w:rsidRDefault="005F4E2C" w:rsidP="00DB4F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B4F64">
        <w:rPr>
          <w:rFonts w:ascii="Avenir Next" w:hAnsi="Avenir Next" w:cs="Arial"/>
          <w:color w:val="808080" w:themeColor="background1" w:themeShade="80"/>
          <w:sz w:val="22"/>
          <w:szCs w:val="22"/>
          <w:lang w:val="en-GB"/>
        </w:rPr>
        <w:t>T</w:t>
      </w:r>
      <w:r w:rsidRPr="005F4E2C">
        <w:rPr>
          <w:rFonts w:ascii="Avenir Next" w:hAnsi="Avenir Next" w:cs="Arial"/>
          <w:color w:val="808080" w:themeColor="background1" w:themeShade="80"/>
          <w:sz w:val="22"/>
          <w:szCs w:val="22"/>
          <w:lang w:val="en-GB"/>
        </w:rPr>
        <w:t>he Model Law specifies neither the level of control or supervision</w:t>
      </w:r>
      <w:r>
        <w:rPr>
          <w:rFonts w:ascii="Avenir Next" w:hAnsi="Avenir Next" w:cs="Arial"/>
          <w:color w:val="808080" w:themeColor="background1" w:themeShade="80"/>
          <w:sz w:val="22"/>
          <w:szCs w:val="22"/>
          <w:lang w:val="en-GB"/>
        </w:rPr>
        <w:t xml:space="preserve"> </w:t>
      </w:r>
      <w:r w:rsidRPr="005F4E2C">
        <w:rPr>
          <w:rFonts w:ascii="Avenir Next" w:hAnsi="Avenir Next" w:cs="Arial"/>
          <w:color w:val="808080" w:themeColor="background1" w:themeShade="80"/>
          <w:sz w:val="22"/>
          <w:szCs w:val="22"/>
          <w:lang w:val="en-GB"/>
        </w:rPr>
        <w:t>required to satisfy this aspect of the definition nor the time at which that</w:t>
      </w:r>
      <w:r>
        <w:rPr>
          <w:rFonts w:ascii="Avenir Next" w:hAnsi="Avenir Next" w:cs="Arial"/>
          <w:color w:val="808080" w:themeColor="background1" w:themeShade="80"/>
          <w:sz w:val="22"/>
          <w:szCs w:val="22"/>
          <w:lang w:val="en-GB"/>
        </w:rPr>
        <w:t xml:space="preserve"> </w:t>
      </w:r>
      <w:r w:rsidRPr="005F4E2C">
        <w:rPr>
          <w:rFonts w:ascii="Avenir Next" w:hAnsi="Avenir Next" w:cs="Arial"/>
          <w:color w:val="808080" w:themeColor="background1" w:themeShade="80"/>
          <w:sz w:val="22"/>
          <w:szCs w:val="22"/>
          <w:lang w:val="en-GB"/>
        </w:rPr>
        <w:t>control or supervision should arise</w:t>
      </w:r>
      <w:r w:rsidR="009D5B53">
        <w:rPr>
          <w:rFonts w:ascii="Avenir Next" w:hAnsi="Avenir Next" w:cs="Arial"/>
          <w:color w:val="808080" w:themeColor="background1" w:themeShade="80"/>
          <w:sz w:val="22"/>
          <w:szCs w:val="22"/>
          <w:lang w:val="en-GB"/>
        </w:rPr>
        <w:t xml:space="preserve">. </w:t>
      </w:r>
      <w:r w:rsidR="009D5B53" w:rsidRPr="009D5B53">
        <w:rPr>
          <w:rFonts w:ascii="Avenir Next" w:hAnsi="Avenir Next" w:cs="Arial"/>
          <w:color w:val="808080" w:themeColor="background1" w:themeShade="80"/>
          <w:sz w:val="22"/>
          <w:szCs w:val="22"/>
          <w:lang w:val="en-GB"/>
        </w:rPr>
        <w:t>Although it is intended that the control or supervision required under subparagraph (a) should be formal in nature, it may be potential rather than actual. As noted in paragraph 71, a proceeding in which the debtor retains some measure of control over its assets, albeit under court supervision, such as a debtor-in-possession would satisfy this requirement. Control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31"/>
      </w:r>
      <w:r w:rsidR="00EC08D4">
        <w:rPr>
          <w:rFonts w:ascii="Avenir Next" w:hAnsi="Avenir Next" w:cs="Arial"/>
          <w:color w:val="808080" w:themeColor="background1" w:themeShade="80"/>
          <w:sz w:val="22"/>
          <w:szCs w:val="22"/>
          <w:lang w:val="en-GB"/>
        </w:rPr>
        <w:t xml:space="preserve"> </w:t>
      </w:r>
    </w:p>
    <w:p w14:paraId="5807E2F5" w14:textId="77777777" w:rsidR="00D92F2C" w:rsidRDefault="00D92F2C" w:rsidP="00707FC8">
      <w:pPr>
        <w:jc w:val="both"/>
        <w:rPr>
          <w:rFonts w:ascii="Avenir Next" w:hAnsi="Avenir Next" w:cs="Arial"/>
          <w:color w:val="808080" w:themeColor="background1" w:themeShade="80"/>
          <w:sz w:val="22"/>
          <w:szCs w:val="22"/>
          <w:lang w:val="en-GB"/>
        </w:rPr>
      </w:pPr>
    </w:p>
    <w:p w14:paraId="4D7CC645" w14:textId="7B070697" w:rsidR="00DD4D8F" w:rsidRDefault="004C09F9"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497891">
        <w:rPr>
          <w:rFonts w:ascii="Avenir Next" w:hAnsi="Avenir Next" w:cs="Arial"/>
          <w:color w:val="808080" w:themeColor="background1" w:themeShade="80"/>
          <w:sz w:val="22"/>
          <w:szCs w:val="22"/>
          <w:lang w:val="en-GB"/>
        </w:rPr>
        <w:t xml:space="preserve">he </w:t>
      </w:r>
      <w:r w:rsidR="00497891" w:rsidRPr="00497891">
        <w:rPr>
          <w:rFonts w:ascii="Avenir Next" w:hAnsi="Avenir Next" w:cs="Arial"/>
          <w:color w:val="808080" w:themeColor="background1" w:themeShade="80"/>
          <w:sz w:val="22"/>
          <w:szCs w:val="22"/>
          <w:lang w:val="en-GB"/>
        </w:rPr>
        <w:t>DGF is a governmental body of Country A</w:t>
      </w:r>
      <w:r w:rsidR="002807C1">
        <w:rPr>
          <w:rFonts w:ascii="Avenir Next" w:hAnsi="Avenir Next" w:cs="Arial"/>
          <w:color w:val="808080" w:themeColor="background1" w:themeShade="80"/>
          <w:sz w:val="22"/>
          <w:szCs w:val="22"/>
          <w:lang w:val="en-GB"/>
        </w:rPr>
        <w:t xml:space="preserve"> </w:t>
      </w:r>
      <w:r w:rsidR="00D1793F">
        <w:rPr>
          <w:rFonts w:ascii="Avenir Next" w:hAnsi="Avenir Next" w:cs="Arial"/>
          <w:color w:val="808080" w:themeColor="background1" w:themeShade="80"/>
          <w:sz w:val="22"/>
          <w:szCs w:val="22"/>
          <w:lang w:val="en-GB"/>
        </w:rPr>
        <w:t>whose</w:t>
      </w:r>
      <w:r w:rsidR="002807C1">
        <w:rPr>
          <w:rFonts w:ascii="Avenir Next" w:hAnsi="Avenir Next" w:cs="Arial"/>
          <w:color w:val="808080" w:themeColor="background1" w:themeShade="80"/>
          <w:sz w:val="22"/>
          <w:szCs w:val="22"/>
          <w:lang w:val="en-GB"/>
        </w:rPr>
        <w:t xml:space="preserve"> </w:t>
      </w:r>
      <w:r w:rsidR="002807C1" w:rsidRPr="002807C1">
        <w:rPr>
          <w:rFonts w:ascii="Avenir Next" w:hAnsi="Avenir Next" w:cs="Arial"/>
          <w:color w:val="808080" w:themeColor="background1" w:themeShade="80"/>
          <w:sz w:val="22"/>
          <w:szCs w:val="22"/>
          <w:lang w:val="en-GB"/>
        </w:rPr>
        <w:t>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w:t>
      </w:r>
    </w:p>
    <w:p w14:paraId="42FF5540" w14:textId="77777777" w:rsidR="00E6439D" w:rsidRDefault="00E6439D" w:rsidP="00707FC8">
      <w:pPr>
        <w:jc w:val="both"/>
        <w:rPr>
          <w:rFonts w:ascii="Avenir Next" w:hAnsi="Avenir Next" w:cs="Arial"/>
          <w:color w:val="808080" w:themeColor="background1" w:themeShade="80"/>
          <w:sz w:val="22"/>
          <w:szCs w:val="22"/>
          <w:lang w:val="en-GB"/>
        </w:rPr>
      </w:pPr>
    </w:p>
    <w:p w14:paraId="7A94D0D4" w14:textId="06C3A820" w:rsidR="00E6439D" w:rsidRDefault="006E067B" w:rsidP="00E6439D">
      <w:pPr>
        <w:jc w:val="both"/>
        <w:rPr>
          <w:rFonts w:ascii="Avenir Next" w:hAnsi="Avenir Next" w:cs="Arial"/>
          <w:color w:val="808080" w:themeColor="background1" w:themeShade="80"/>
          <w:sz w:val="22"/>
          <w:szCs w:val="22"/>
          <w:lang w:val="en-GB"/>
        </w:rPr>
      </w:pPr>
      <w:r w:rsidRPr="006E067B">
        <w:rPr>
          <w:rFonts w:ascii="Avenir Next" w:hAnsi="Avenir Next" w:cs="Arial"/>
          <w:color w:val="808080" w:themeColor="background1" w:themeShade="80"/>
          <w:sz w:val="22"/>
          <w:szCs w:val="22"/>
          <w:lang w:val="en-GB"/>
        </w:rPr>
        <w:t xml:space="preserve">Although, according to DECLERCQ, in the </w:t>
      </w:r>
      <w:proofErr w:type="spellStart"/>
      <w:r w:rsidRPr="006E067B">
        <w:rPr>
          <w:rFonts w:ascii="Avenir Next" w:hAnsi="Avenir Next" w:cs="Arial"/>
          <w:color w:val="808080" w:themeColor="background1" w:themeShade="80"/>
          <w:sz w:val="22"/>
          <w:szCs w:val="22"/>
          <w:lang w:val="en-GB"/>
        </w:rPr>
        <w:t>Agrokor</w:t>
      </w:r>
      <w:proofErr w:type="spellEnd"/>
      <w:r w:rsidRPr="006E067B">
        <w:rPr>
          <w:rFonts w:ascii="Avenir Next" w:hAnsi="Avenir Next" w:cs="Arial"/>
          <w:color w:val="808080" w:themeColor="background1" w:themeShade="80"/>
          <w:sz w:val="22"/>
          <w:szCs w:val="22"/>
          <w:lang w:val="en-GB"/>
        </w:rPr>
        <w:t xml:space="preserve"> case, the English court </w:t>
      </w:r>
      <w:proofErr w:type="spellStart"/>
      <w:r w:rsidRPr="006E067B">
        <w:rPr>
          <w:rFonts w:ascii="Avenir Next" w:hAnsi="Avenir Next" w:cs="Arial"/>
          <w:color w:val="808080" w:themeColor="background1" w:themeShade="80"/>
          <w:sz w:val="22"/>
          <w:szCs w:val="22"/>
          <w:lang w:val="en-GB"/>
        </w:rPr>
        <w:t>helded</w:t>
      </w:r>
      <w:proofErr w:type="spellEnd"/>
      <w:r w:rsidR="00E6439D">
        <w:rPr>
          <w:rFonts w:ascii="Avenir Next" w:hAnsi="Avenir Next" w:cs="Arial"/>
          <w:color w:val="808080" w:themeColor="background1" w:themeShade="80"/>
          <w:sz w:val="22"/>
          <w:szCs w:val="22"/>
          <w:lang w:val="en-GB"/>
        </w:rPr>
        <w:t xml:space="preserve">: </w:t>
      </w:r>
    </w:p>
    <w:p w14:paraId="3A1C452F" w14:textId="77777777" w:rsidR="00E6439D" w:rsidRDefault="00E6439D" w:rsidP="00E6439D">
      <w:pPr>
        <w:jc w:val="both"/>
        <w:rPr>
          <w:rFonts w:ascii="Avenir Next" w:hAnsi="Avenir Next" w:cs="Arial"/>
          <w:color w:val="808080" w:themeColor="background1" w:themeShade="80"/>
          <w:sz w:val="22"/>
          <w:szCs w:val="22"/>
          <w:lang w:val="en-GB"/>
        </w:rPr>
      </w:pPr>
    </w:p>
    <w:p w14:paraId="5062D511" w14:textId="57E61A8F" w:rsidR="00E6439D" w:rsidRDefault="00E6439D" w:rsidP="0048574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t>
      </w:r>
      <w:r w:rsidRPr="00580FCD">
        <w:rPr>
          <w:rFonts w:ascii="Avenir Next" w:hAnsi="Avenir Next" w:cs="Arial"/>
          <w:color w:val="808080" w:themeColor="background1" w:themeShade="80"/>
          <w:sz w:val="22"/>
          <w:szCs w:val="22"/>
          <w:lang w:val="en-GB"/>
        </w:rPr>
        <w:t xml:space="preserve">Court supervision: The level of court supervision required by the Model Law is relatively low. Under the CBIR it can be potential, rather than actual and indirect rather than direct. The fact that the Lex </w:t>
      </w:r>
      <w:proofErr w:type="spellStart"/>
      <w:r w:rsidRPr="00580FCD">
        <w:rPr>
          <w:rFonts w:ascii="Avenir Next" w:hAnsi="Avenir Next" w:cs="Arial"/>
          <w:color w:val="808080" w:themeColor="background1" w:themeShade="80"/>
          <w:sz w:val="22"/>
          <w:szCs w:val="22"/>
          <w:lang w:val="en-GB"/>
        </w:rPr>
        <w:t>Agrokor</w:t>
      </w:r>
      <w:proofErr w:type="spellEnd"/>
      <w:r w:rsidRPr="00580FCD">
        <w:rPr>
          <w:rFonts w:ascii="Avenir Next" w:hAnsi="Avenir Next" w:cs="Arial"/>
          <w:color w:val="808080" w:themeColor="background1" w:themeShade="80"/>
          <w:sz w:val="22"/>
          <w:szCs w:val="22"/>
          <w:lang w:val="en-GB"/>
        </w:rPr>
        <w:t xml:space="preserve"> also gave some control to the Croatian government, did not negate the supervision of the court</w:t>
      </w:r>
      <w:r>
        <w:rPr>
          <w:rFonts w:ascii="Avenir Next" w:hAnsi="Avenir Next" w:cs="Arial"/>
          <w:color w:val="808080" w:themeColor="background1" w:themeShade="80"/>
          <w:sz w:val="22"/>
          <w:szCs w:val="22"/>
          <w:lang w:val="en-GB"/>
        </w:rPr>
        <w:t>”</w:t>
      </w:r>
      <w:r w:rsidRPr="00580FCD">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32"/>
      </w:r>
    </w:p>
    <w:p w14:paraId="164E3483" w14:textId="77777777" w:rsidR="00DD4D8F" w:rsidRDefault="00DD4D8F" w:rsidP="00707FC8">
      <w:pPr>
        <w:jc w:val="both"/>
        <w:rPr>
          <w:rFonts w:ascii="Avenir Next" w:hAnsi="Avenir Next" w:cs="Arial"/>
          <w:color w:val="808080" w:themeColor="background1" w:themeShade="80"/>
          <w:sz w:val="22"/>
          <w:szCs w:val="22"/>
          <w:lang w:val="en-GB"/>
        </w:rPr>
      </w:pPr>
    </w:p>
    <w:p w14:paraId="67695049" w14:textId="3C9C14C3" w:rsidR="00253E45" w:rsidRDefault="006E27DD" w:rsidP="00707FC8">
      <w:pPr>
        <w:jc w:val="both"/>
        <w:rPr>
          <w:rFonts w:ascii="Avenir Next" w:hAnsi="Avenir Next" w:cs="Arial"/>
          <w:color w:val="808080" w:themeColor="background1" w:themeShade="80"/>
          <w:sz w:val="22"/>
          <w:szCs w:val="22"/>
          <w:lang w:val="en-GB"/>
        </w:rPr>
      </w:pPr>
      <w:r w:rsidRPr="006E27DD">
        <w:rPr>
          <w:rFonts w:ascii="Avenir Next" w:hAnsi="Avenir Next" w:cs="Arial"/>
          <w:color w:val="808080" w:themeColor="background1" w:themeShade="80"/>
          <w:sz w:val="22"/>
          <w:szCs w:val="22"/>
          <w:lang w:val="en-GB"/>
        </w:rPr>
        <w:t xml:space="preserve">In this case, the DGF would qualify as a foreign representative (as we will see below) and cannot be considered at the same time as an official body for control and supervision, although it is a governmental body. Considering its independence and impossibility of interference by the NB or other public authority, the requirement of court </w:t>
      </w:r>
      <w:r w:rsidR="00F070E5">
        <w:rPr>
          <w:rFonts w:ascii="Avenir Next" w:hAnsi="Avenir Next" w:cs="Arial"/>
          <w:color w:val="808080" w:themeColor="background1" w:themeShade="80"/>
          <w:sz w:val="22"/>
          <w:szCs w:val="22"/>
          <w:lang w:val="en-GB"/>
        </w:rPr>
        <w:t xml:space="preserve">supervision </w:t>
      </w:r>
      <w:r w:rsidRPr="006E27DD">
        <w:rPr>
          <w:rFonts w:ascii="Avenir Next" w:hAnsi="Avenir Next" w:cs="Arial"/>
          <w:color w:val="808080" w:themeColor="background1" w:themeShade="80"/>
          <w:sz w:val="22"/>
          <w:szCs w:val="22"/>
          <w:lang w:val="en-GB"/>
        </w:rPr>
        <w:t>would not be met.</w:t>
      </w:r>
    </w:p>
    <w:p w14:paraId="0AC83346" w14:textId="77777777" w:rsidR="001622A4" w:rsidRDefault="001622A4" w:rsidP="00707FC8">
      <w:pPr>
        <w:jc w:val="both"/>
        <w:rPr>
          <w:rFonts w:ascii="Avenir Next" w:hAnsi="Avenir Next" w:cs="Arial"/>
          <w:color w:val="808080" w:themeColor="background1" w:themeShade="80"/>
          <w:sz w:val="22"/>
          <w:szCs w:val="22"/>
          <w:lang w:val="en-GB"/>
        </w:rPr>
      </w:pPr>
    </w:p>
    <w:p w14:paraId="37703B7C" w14:textId="61535047" w:rsidR="001622A4" w:rsidRDefault="000D2EE7" w:rsidP="003C1B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last attribute is the p</w:t>
      </w:r>
      <w:r w:rsidR="00097B63">
        <w:rPr>
          <w:rFonts w:ascii="Avenir Next" w:hAnsi="Avenir Next" w:cs="Arial"/>
          <w:color w:val="808080" w:themeColor="background1" w:themeShade="80"/>
          <w:sz w:val="22"/>
          <w:szCs w:val="22"/>
          <w:lang w:val="en-GB"/>
        </w:rPr>
        <w:t xml:space="preserve">urpose of reorganization or liquidation. The English court </w:t>
      </w:r>
      <w:r w:rsidR="005E554C">
        <w:rPr>
          <w:rFonts w:ascii="Avenir Next" w:hAnsi="Avenir Next" w:cs="Arial"/>
          <w:color w:val="808080" w:themeColor="background1" w:themeShade="80"/>
          <w:sz w:val="22"/>
          <w:szCs w:val="22"/>
          <w:lang w:val="en-GB"/>
        </w:rPr>
        <w:t xml:space="preserve">addressed this element </w:t>
      </w:r>
      <w:r w:rsidR="003C1B85">
        <w:rPr>
          <w:rFonts w:ascii="Avenir Next" w:hAnsi="Avenir Next" w:cs="Arial"/>
          <w:color w:val="808080" w:themeColor="background1" w:themeShade="80"/>
          <w:sz w:val="22"/>
          <w:szCs w:val="22"/>
          <w:lang w:val="en-GB"/>
        </w:rPr>
        <w:t>on</w:t>
      </w:r>
      <w:r w:rsidR="005E554C">
        <w:rPr>
          <w:rFonts w:ascii="Avenir Next" w:hAnsi="Avenir Next" w:cs="Arial"/>
          <w:color w:val="808080" w:themeColor="background1" w:themeShade="80"/>
          <w:sz w:val="22"/>
          <w:szCs w:val="22"/>
          <w:lang w:val="en-GB"/>
        </w:rPr>
        <w:t xml:space="preserve"> 27 January 2020</w:t>
      </w:r>
      <w:r w:rsidR="00690D43">
        <w:rPr>
          <w:rFonts w:ascii="Avenir Next" w:hAnsi="Avenir Next" w:cs="Arial"/>
          <w:color w:val="808080" w:themeColor="background1" w:themeShade="80"/>
          <w:sz w:val="22"/>
          <w:szCs w:val="22"/>
          <w:lang w:val="en-GB"/>
        </w:rPr>
        <w:t xml:space="preserve"> </w:t>
      </w:r>
      <w:r w:rsidR="003C1B85" w:rsidRPr="003C1B85">
        <w:rPr>
          <w:rFonts w:ascii="Avenir Next" w:hAnsi="Avenir Next" w:cs="Arial"/>
          <w:color w:val="808080" w:themeColor="background1" w:themeShade="80"/>
          <w:sz w:val="22"/>
          <w:szCs w:val="22"/>
          <w:lang w:val="en-GB"/>
        </w:rPr>
        <w:t>In the matter of Sturgeon Central Asia Balanced</w:t>
      </w:r>
      <w:r w:rsidR="003C1B85">
        <w:rPr>
          <w:rFonts w:ascii="Avenir Next" w:hAnsi="Avenir Next" w:cs="Arial"/>
          <w:color w:val="808080" w:themeColor="background1" w:themeShade="80"/>
          <w:sz w:val="22"/>
          <w:szCs w:val="22"/>
          <w:lang w:val="en-GB"/>
        </w:rPr>
        <w:t xml:space="preserve"> </w:t>
      </w:r>
      <w:r w:rsidR="003C1B85" w:rsidRPr="003C1B85">
        <w:rPr>
          <w:rFonts w:ascii="Avenir Next" w:hAnsi="Avenir Next" w:cs="Arial"/>
          <w:color w:val="808080" w:themeColor="background1" w:themeShade="80"/>
          <w:sz w:val="22"/>
          <w:szCs w:val="22"/>
          <w:lang w:val="en-GB"/>
        </w:rPr>
        <w:t>Fund Ltd [2020] EWHC 123 (Ch) at 6, where it held that “read in context and employing a purposive approach,</w:t>
      </w:r>
      <w:r w:rsidR="003C1B85">
        <w:rPr>
          <w:rFonts w:ascii="Avenir Next" w:hAnsi="Avenir Next" w:cs="Arial"/>
          <w:color w:val="808080" w:themeColor="background1" w:themeShade="80"/>
          <w:sz w:val="22"/>
          <w:szCs w:val="22"/>
          <w:lang w:val="en-GB"/>
        </w:rPr>
        <w:t xml:space="preserve"> </w:t>
      </w:r>
      <w:r w:rsidR="003C1B85" w:rsidRPr="003C1B85">
        <w:rPr>
          <w:rFonts w:ascii="Avenir Next" w:hAnsi="Avenir Next" w:cs="Arial"/>
          <w:color w:val="808080" w:themeColor="background1" w:themeShade="80"/>
          <w:sz w:val="22"/>
          <w:szCs w:val="22"/>
          <w:lang w:val="en-GB"/>
        </w:rPr>
        <w:t>the words ‘for the purpose’ in [article 2(a) MLCBI] should be read as meaning the purpose of insolvency</w:t>
      </w:r>
      <w:r w:rsidR="003C1B85">
        <w:rPr>
          <w:rFonts w:ascii="Avenir Next" w:hAnsi="Avenir Next" w:cs="Arial"/>
          <w:color w:val="808080" w:themeColor="background1" w:themeShade="80"/>
          <w:sz w:val="22"/>
          <w:szCs w:val="22"/>
          <w:lang w:val="en-GB"/>
        </w:rPr>
        <w:t xml:space="preserve"> </w:t>
      </w:r>
      <w:r w:rsidR="009E19C4">
        <w:rPr>
          <w:rFonts w:ascii="Avenir Next" w:hAnsi="Avenir Next" w:cs="Arial"/>
          <w:color w:val="808080" w:themeColor="background1" w:themeShade="80"/>
          <w:sz w:val="22"/>
          <w:szCs w:val="22"/>
          <w:lang w:val="en-GB"/>
        </w:rPr>
        <w:t>(</w:t>
      </w:r>
      <w:r w:rsidR="003C1B85" w:rsidRPr="003C1B85">
        <w:rPr>
          <w:rFonts w:ascii="Avenir Next" w:hAnsi="Avenir Next" w:cs="Arial"/>
          <w:color w:val="808080" w:themeColor="background1" w:themeShade="80"/>
          <w:sz w:val="22"/>
          <w:szCs w:val="22"/>
          <w:lang w:val="en-GB"/>
        </w:rPr>
        <w:t>liquidation) or severe financial distress (reorganisation)”.</w:t>
      </w:r>
      <w:r w:rsidR="003C1B85">
        <w:rPr>
          <w:rStyle w:val="Refdenotaderodap"/>
          <w:rFonts w:ascii="Avenir Next" w:hAnsi="Avenir Next" w:cs="Arial"/>
          <w:color w:val="808080" w:themeColor="background1" w:themeShade="80"/>
          <w:sz w:val="22"/>
          <w:szCs w:val="22"/>
          <w:lang w:val="en-GB"/>
        </w:rPr>
        <w:footnoteReference w:id="33"/>
      </w:r>
      <w:r w:rsidR="00B55A9B">
        <w:rPr>
          <w:rFonts w:ascii="Avenir Next" w:hAnsi="Avenir Next" w:cs="Arial"/>
          <w:color w:val="808080" w:themeColor="background1" w:themeShade="80"/>
          <w:sz w:val="22"/>
          <w:szCs w:val="22"/>
          <w:lang w:val="en-GB"/>
        </w:rPr>
        <w:t xml:space="preserve"> </w:t>
      </w:r>
      <w:r w:rsidR="00B55A9B" w:rsidRPr="00B55A9B">
        <w:rPr>
          <w:rFonts w:ascii="Avenir Next" w:hAnsi="Avenir Next" w:cs="Arial"/>
          <w:color w:val="808080" w:themeColor="background1" w:themeShade="80"/>
          <w:sz w:val="22"/>
          <w:szCs w:val="22"/>
          <w:lang w:val="en-GB"/>
        </w:rPr>
        <w:t>In this case, the settlement purpose of the proce</w:t>
      </w:r>
      <w:r w:rsidR="00B55A9B">
        <w:rPr>
          <w:rFonts w:ascii="Avenir Next" w:hAnsi="Avenir Next" w:cs="Arial"/>
          <w:color w:val="808080" w:themeColor="background1" w:themeShade="80"/>
          <w:sz w:val="22"/>
          <w:szCs w:val="22"/>
          <w:lang w:val="en-GB"/>
        </w:rPr>
        <w:t>eding</w:t>
      </w:r>
      <w:r w:rsidR="00B55A9B" w:rsidRPr="00B55A9B">
        <w:rPr>
          <w:rFonts w:ascii="Avenir Next" w:hAnsi="Avenir Next" w:cs="Arial"/>
          <w:color w:val="808080" w:themeColor="background1" w:themeShade="80"/>
          <w:sz w:val="22"/>
          <w:szCs w:val="22"/>
          <w:lang w:val="en-GB"/>
        </w:rPr>
        <w:t xml:space="preserve"> is evident.</w:t>
      </w:r>
    </w:p>
    <w:p w14:paraId="1D5B0302" w14:textId="40C648CA" w:rsidR="00253E45" w:rsidRDefault="0094346F" w:rsidP="00707FC8">
      <w:pPr>
        <w:jc w:val="both"/>
        <w:rPr>
          <w:rFonts w:ascii="Avenir Next" w:hAnsi="Avenir Next" w:cs="Arial"/>
          <w:color w:val="808080" w:themeColor="background1" w:themeShade="80"/>
          <w:sz w:val="22"/>
          <w:szCs w:val="22"/>
          <w:lang w:val="en-GB"/>
        </w:rPr>
      </w:pPr>
      <w:r w:rsidRPr="0094346F">
        <w:rPr>
          <w:rFonts w:ascii="Avenir Next" w:hAnsi="Avenir Next" w:cs="Arial"/>
          <w:color w:val="808080" w:themeColor="background1" w:themeShade="80"/>
          <w:sz w:val="22"/>
          <w:szCs w:val="22"/>
          <w:lang w:val="en-GB"/>
        </w:rPr>
        <w:t>Therefore, although most of the attributes were verified, the lack of court supervision justifies the non-recognition of the procedure as a foreign proce</w:t>
      </w:r>
      <w:r w:rsidR="00D4789E">
        <w:rPr>
          <w:rFonts w:ascii="Avenir Next" w:hAnsi="Avenir Next" w:cs="Arial"/>
          <w:color w:val="808080" w:themeColor="background1" w:themeShade="80"/>
          <w:sz w:val="22"/>
          <w:szCs w:val="22"/>
          <w:lang w:val="en-GB"/>
        </w:rPr>
        <w:t>eding</w:t>
      </w:r>
      <w:r w:rsidRPr="0094346F">
        <w:rPr>
          <w:rFonts w:ascii="Avenir Next" w:hAnsi="Avenir Next" w:cs="Arial"/>
          <w:color w:val="808080" w:themeColor="background1" w:themeShade="80"/>
          <w:sz w:val="22"/>
          <w:szCs w:val="22"/>
          <w:lang w:val="en-GB"/>
        </w:rPr>
        <w:t xml:space="preserve"> under Article 2(a) of the Model Law.</w:t>
      </w:r>
    </w:p>
    <w:p w14:paraId="0D23391E" w14:textId="77777777" w:rsidR="0094346F" w:rsidRDefault="0094346F" w:rsidP="00707FC8">
      <w:pPr>
        <w:jc w:val="both"/>
        <w:rPr>
          <w:rFonts w:ascii="Avenir Next" w:hAnsi="Avenir Next" w:cs="Arial"/>
          <w:color w:val="808080" w:themeColor="background1" w:themeShade="80"/>
          <w:sz w:val="22"/>
          <w:szCs w:val="22"/>
          <w:lang w:val="en-GB"/>
        </w:rPr>
      </w:pPr>
    </w:p>
    <w:p w14:paraId="15819A64" w14:textId="2295F820" w:rsidR="004A5761" w:rsidRDefault="0012140E" w:rsidP="00707FC8">
      <w:pPr>
        <w:jc w:val="both"/>
        <w:rPr>
          <w:rFonts w:ascii="Avenir Next" w:hAnsi="Avenir Next" w:cs="Arial"/>
          <w:color w:val="808080" w:themeColor="background1" w:themeShade="80"/>
          <w:sz w:val="22"/>
          <w:szCs w:val="22"/>
          <w:lang w:val="en-GB"/>
        </w:rPr>
      </w:pPr>
      <w:proofErr w:type="gramStart"/>
      <w:r w:rsidRPr="0012140E">
        <w:rPr>
          <w:rFonts w:ascii="Avenir Next" w:hAnsi="Avenir Next" w:cs="Arial"/>
          <w:color w:val="808080" w:themeColor="background1" w:themeShade="80"/>
          <w:sz w:val="22"/>
          <w:szCs w:val="22"/>
          <w:lang w:val="en-GB"/>
        </w:rPr>
        <w:t>With regard to</w:t>
      </w:r>
      <w:proofErr w:type="gramEnd"/>
      <w:r w:rsidRPr="0012140E">
        <w:rPr>
          <w:rFonts w:ascii="Avenir Next" w:hAnsi="Avenir Next" w:cs="Arial"/>
          <w:color w:val="808080" w:themeColor="background1" w:themeShade="80"/>
          <w:sz w:val="22"/>
          <w:szCs w:val="22"/>
          <w:lang w:val="en-GB"/>
        </w:rPr>
        <w:t xml:space="preserve"> foreign representatives, Article 2(j) of the CBIR adopts the same definition as Article 2(d) of the Model Law.</w:t>
      </w:r>
      <w:r w:rsidR="00961ED5">
        <w:rPr>
          <w:rFonts w:ascii="Avenir Next" w:hAnsi="Avenir Next" w:cs="Arial"/>
          <w:color w:val="808080" w:themeColor="background1" w:themeShade="80"/>
          <w:sz w:val="22"/>
          <w:szCs w:val="22"/>
          <w:lang w:val="en-GB"/>
        </w:rPr>
        <w:t xml:space="preserve"> </w:t>
      </w:r>
      <w:r w:rsidR="00961ED5" w:rsidRPr="00961ED5">
        <w:rPr>
          <w:rFonts w:ascii="Avenir Next" w:hAnsi="Avenir Next" w:cs="Arial"/>
          <w:color w:val="808080" w:themeColor="background1" w:themeShade="80"/>
          <w:sz w:val="22"/>
          <w:szCs w:val="22"/>
          <w:lang w:val="en-GB"/>
        </w:rPr>
        <w:t>According to the UNCITRAL Guide to Enactment:</w:t>
      </w:r>
    </w:p>
    <w:p w14:paraId="6A708B7A" w14:textId="77777777" w:rsidR="00961ED5" w:rsidRDefault="00961ED5" w:rsidP="00707FC8">
      <w:pPr>
        <w:jc w:val="both"/>
        <w:rPr>
          <w:rFonts w:ascii="Avenir Next" w:hAnsi="Avenir Next" w:cs="Arial"/>
          <w:color w:val="808080" w:themeColor="background1" w:themeShade="80"/>
          <w:sz w:val="22"/>
          <w:szCs w:val="22"/>
          <w:lang w:val="en-GB"/>
        </w:rPr>
      </w:pPr>
    </w:p>
    <w:p w14:paraId="0A12320D" w14:textId="4D742156" w:rsidR="00301235" w:rsidRPr="00301235" w:rsidRDefault="00301235" w:rsidP="0030123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301235">
        <w:rPr>
          <w:rFonts w:ascii="Avenir Next" w:hAnsi="Avenir Next" w:cs="Arial"/>
          <w:color w:val="808080" w:themeColor="background1" w:themeShade="80"/>
          <w:sz w:val="22"/>
          <w:szCs w:val="22"/>
          <w:lang w:val="en-GB"/>
        </w:rPr>
        <w:t>Subparagraph (d) recognizes that the foreign representative may be a</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person authorized in the foreign proceedings to administer those proceedings,</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 xml:space="preserve">which would include seeking recognition, </w:t>
      </w:r>
      <w:proofErr w:type="gramStart"/>
      <w:r w:rsidRPr="00301235">
        <w:rPr>
          <w:rFonts w:ascii="Avenir Next" w:hAnsi="Avenir Next" w:cs="Arial"/>
          <w:color w:val="808080" w:themeColor="background1" w:themeShade="80"/>
          <w:sz w:val="22"/>
          <w:szCs w:val="22"/>
          <w:lang w:val="en-GB"/>
        </w:rPr>
        <w:t>relief</w:t>
      </w:r>
      <w:proofErr w:type="gramEnd"/>
      <w:r w:rsidRPr="00301235">
        <w:rPr>
          <w:rFonts w:ascii="Avenir Next" w:hAnsi="Avenir Next" w:cs="Arial"/>
          <w:color w:val="808080" w:themeColor="background1" w:themeShade="80"/>
          <w:sz w:val="22"/>
          <w:szCs w:val="22"/>
          <w:lang w:val="en-GB"/>
        </w:rPr>
        <w:t xml:space="preserve"> and cooperation in another</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jurisdiction, or they may simply be a person authorized specifically for the</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purposes of representing those proceedings. The Model Law does not specify</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that the foreign representative must be authorized by the court (as defined</w:t>
      </w:r>
    </w:p>
    <w:p w14:paraId="1C896268" w14:textId="12F21F3D" w:rsidR="00961ED5" w:rsidRDefault="00301235" w:rsidP="00301235">
      <w:pPr>
        <w:ind w:left="720"/>
        <w:jc w:val="both"/>
        <w:rPr>
          <w:rFonts w:ascii="Avenir Next" w:hAnsi="Avenir Next" w:cs="Arial"/>
          <w:color w:val="808080" w:themeColor="background1" w:themeShade="80"/>
          <w:sz w:val="22"/>
          <w:szCs w:val="22"/>
          <w:lang w:val="en-GB"/>
        </w:rPr>
      </w:pPr>
      <w:r w:rsidRPr="00301235">
        <w:rPr>
          <w:rFonts w:ascii="Avenir Next" w:hAnsi="Avenir Next" w:cs="Arial"/>
          <w:color w:val="808080" w:themeColor="background1" w:themeShade="80"/>
          <w:sz w:val="22"/>
          <w:szCs w:val="22"/>
          <w:lang w:val="en-GB"/>
        </w:rPr>
        <w:t>in article 2, subparagraph (e)) and the definition is thus sufficiently broad</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to include appointments that might be made by a special agency other than</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the court. It also includes appointment made on an interim basis (see</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paras. 79-80 above). The fact of appointment of the foreign representative</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in the foreign proceeding to act in either or both of those capacities</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is sufficient for the purposes of the Model Law; article 15 requires either a certified copy of the decision appointing the representative, a certificate affirming</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the appointment or other evidence of that appointment that is acceptable to</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the receiving court. The definition in subparagraph (d) is sufficiently broad</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to include debtors who remain in possession after the commencement of</w:t>
      </w:r>
      <w:r>
        <w:rPr>
          <w:rFonts w:ascii="Avenir Next" w:hAnsi="Avenir Next" w:cs="Arial"/>
          <w:color w:val="808080" w:themeColor="background1" w:themeShade="80"/>
          <w:sz w:val="22"/>
          <w:szCs w:val="22"/>
          <w:lang w:val="en-GB"/>
        </w:rPr>
        <w:t xml:space="preserve"> </w:t>
      </w:r>
      <w:r w:rsidRPr="00301235">
        <w:rPr>
          <w:rFonts w:ascii="Avenir Next" w:hAnsi="Avenir Next" w:cs="Arial"/>
          <w:color w:val="808080" w:themeColor="background1" w:themeShade="80"/>
          <w:sz w:val="22"/>
          <w:szCs w:val="22"/>
          <w:lang w:val="en-GB"/>
        </w:rPr>
        <w:t>insolvency proceedings</w:t>
      </w:r>
      <w:r>
        <w:rPr>
          <w:rFonts w:ascii="Avenir Next" w:hAnsi="Avenir Next" w:cs="Arial"/>
          <w:color w:val="808080" w:themeColor="background1" w:themeShade="80"/>
          <w:sz w:val="22"/>
          <w:szCs w:val="22"/>
          <w:lang w:val="en-GB"/>
        </w:rPr>
        <w:t>”</w:t>
      </w:r>
      <w:r w:rsidRPr="00301235">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34"/>
      </w:r>
    </w:p>
    <w:p w14:paraId="1CC9B15D" w14:textId="77777777" w:rsidR="00961ED5" w:rsidRDefault="00961ED5" w:rsidP="00707FC8">
      <w:pPr>
        <w:jc w:val="both"/>
        <w:rPr>
          <w:rFonts w:ascii="Avenir Next" w:hAnsi="Avenir Next" w:cs="Arial"/>
          <w:color w:val="808080" w:themeColor="background1" w:themeShade="80"/>
          <w:sz w:val="22"/>
          <w:szCs w:val="22"/>
          <w:lang w:val="en-GB"/>
        </w:rPr>
      </w:pPr>
    </w:p>
    <w:p w14:paraId="5C9B373B" w14:textId="6385BA07" w:rsidR="00211D8D" w:rsidRDefault="001107FB" w:rsidP="00B54122">
      <w:pPr>
        <w:jc w:val="both"/>
        <w:rPr>
          <w:rFonts w:ascii="Avenir Next" w:hAnsi="Avenir Next" w:cs="Arial"/>
          <w:color w:val="808080" w:themeColor="background1" w:themeShade="80"/>
          <w:sz w:val="22"/>
          <w:szCs w:val="22"/>
          <w:lang w:val="en-GB"/>
        </w:rPr>
      </w:pPr>
      <w:r w:rsidRPr="001107FB">
        <w:rPr>
          <w:rFonts w:ascii="Avenir Next" w:hAnsi="Avenir Next" w:cs="Arial"/>
          <w:color w:val="808080" w:themeColor="background1" w:themeShade="80"/>
          <w:sz w:val="22"/>
          <w:szCs w:val="22"/>
          <w:lang w:val="en-GB"/>
        </w:rPr>
        <w:t xml:space="preserve">Therefore, as pointed out by the </w:t>
      </w:r>
      <w:r w:rsidRPr="00961ED5">
        <w:rPr>
          <w:rFonts w:ascii="Avenir Next" w:hAnsi="Avenir Next" w:cs="Arial"/>
          <w:color w:val="808080" w:themeColor="background1" w:themeShade="80"/>
          <w:sz w:val="22"/>
          <w:szCs w:val="22"/>
          <w:lang w:val="en-GB"/>
        </w:rPr>
        <w:t>UNCITRAL Guide to Enactment</w:t>
      </w:r>
      <w:r w:rsidRPr="001107FB">
        <w:rPr>
          <w:rFonts w:ascii="Avenir Next" w:hAnsi="Avenir Next" w:cs="Arial"/>
          <w:color w:val="808080" w:themeColor="background1" w:themeShade="80"/>
          <w:sz w:val="22"/>
          <w:szCs w:val="22"/>
          <w:lang w:val="en-GB"/>
        </w:rPr>
        <w:t>, it is not necessary for the foreign representative to be appointed by the foreign court,</w:t>
      </w:r>
      <w:r>
        <w:rPr>
          <w:rStyle w:val="Refdenotaderodap"/>
          <w:rFonts w:ascii="Avenir Next" w:hAnsi="Avenir Next" w:cs="Arial"/>
          <w:color w:val="808080" w:themeColor="background1" w:themeShade="80"/>
          <w:sz w:val="22"/>
          <w:szCs w:val="22"/>
          <w:lang w:val="en-GB"/>
        </w:rPr>
        <w:footnoteReference w:id="35"/>
      </w:r>
      <w:r w:rsidRPr="001107FB">
        <w:rPr>
          <w:rFonts w:ascii="Avenir Next" w:hAnsi="Avenir Next" w:cs="Arial"/>
          <w:color w:val="808080" w:themeColor="background1" w:themeShade="80"/>
          <w:sz w:val="22"/>
          <w:szCs w:val="22"/>
          <w:lang w:val="en-GB"/>
        </w:rPr>
        <w:t xml:space="preserve"> but may be appointed by a special agent</w:t>
      </w:r>
      <w:r w:rsidR="00F918D2">
        <w:rPr>
          <w:rFonts w:ascii="Avenir Next" w:hAnsi="Avenir Next" w:cs="Arial"/>
          <w:color w:val="808080" w:themeColor="background1" w:themeShade="80"/>
          <w:sz w:val="22"/>
          <w:szCs w:val="22"/>
          <w:lang w:val="en-GB"/>
        </w:rPr>
        <w:t xml:space="preserve">. </w:t>
      </w:r>
      <w:r w:rsidR="00F918D2" w:rsidRPr="00F918D2">
        <w:rPr>
          <w:rFonts w:ascii="Avenir Next" w:hAnsi="Avenir Next" w:cs="Arial"/>
          <w:color w:val="808080" w:themeColor="background1" w:themeShade="80"/>
          <w:sz w:val="22"/>
          <w:szCs w:val="22"/>
          <w:lang w:val="en-GB"/>
        </w:rPr>
        <w:t>It is worth adding that Article 2(e) of the Model Law defines that</w:t>
      </w:r>
      <w:r w:rsidR="00F918D2">
        <w:t xml:space="preserve"> </w:t>
      </w:r>
      <w:r w:rsidR="00B54122" w:rsidRPr="00B54122">
        <w:rPr>
          <w:rFonts w:ascii="Avenir Next" w:hAnsi="Avenir Next" w:cs="Arial"/>
          <w:color w:val="808080" w:themeColor="background1" w:themeShade="80"/>
          <w:sz w:val="22"/>
          <w:szCs w:val="22"/>
          <w:lang w:val="en-GB"/>
        </w:rPr>
        <w:t>“</w:t>
      </w:r>
      <w:r w:rsidR="00F918D2">
        <w:rPr>
          <w:rFonts w:ascii="Avenir Next" w:hAnsi="Avenir Next" w:cs="Arial"/>
          <w:color w:val="808080" w:themeColor="background1" w:themeShade="80"/>
          <w:sz w:val="22"/>
          <w:szCs w:val="22"/>
          <w:lang w:val="en-GB"/>
        </w:rPr>
        <w:t>f</w:t>
      </w:r>
      <w:r w:rsidR="00B54122" w:rsidRPr="00B54122">
        <w:rPr>
          <w:rFonts w:ascii="Avenir Next" w:hAnsi="Avenir Next" w:cs="Arial"/>
          <w:color w:val="808080" w:themeColor="background1" w:themeShade="80"/>
          <w:sz w:val="22"/>
          <w:szCs w:val="22"/>
          <w:lang w:val="en-GB"/>
        </w:rPr>
        <w:t>oreign court” means a judicial or other authority competent to</w:t>
      </w:r>
      <w:r w:rsidR="00B54122">
        <w:rPr>
          <w:rFonts w:ascii="Avenir Next" w:hAnsi="Avenir Next" w:cs="Arial"/>
          <w:color w:val="808080" w:themeColor="background1" w:themeShade="80"/>
          <w:sz w:val="22"/>
          <w:szCs w:val="22"/>
          <w:lang w:val="en-GB"/>
        </w:rPr>
        <w:t xml:space="preserve"> </w:t>
      </w:r>
      <w:r w:rsidR="00B54122" w:rsidRPr="00B54122">
        <w:rPr>
          <w:rFonts w:ascii="Avenir Next" w:hAnsi="Avenir Next" w:cs="Arial"/>
          <w:color w:val="808080" w:themeColor="background1" w:themeShade="80"/>
          <w:sz w:val="22"/>
          <w:szCs w:val="22"/>
          <w:lang w:val="en-GB"/>
        </w:rPr>
        <w:t>control or supervise a foreign proceeding</w:t>
      </w:r>
      <w:r w:rsidR="00B54122">
        <w:rPr>
          <w:rFonts w:ascii="Avenir Next" w:hAnsi="Avenir Next" w:cs="Arial"/>
          <w:color w:val="808080" w:themeColor="background1" w:themeShade="80"/>
          <w:sz w:val="22"/>
          <w:szCs w:val="22"/>
          <w:lang w:val="en-GB"/>
        </w:rPr>
        <w:t>.</w:t>
      </w:r>
    </w:p>
    <w:p w14:paraId="200DE619" w14:textId="77777777" w:rsidR="00044533" w:rsidRDefault="00044533" w:rsidP="00B54122">
      <w:pPr>
        <w:jc w:val="both"/>
        <w:rPr>
          <w:rFonts w:ascii="Avenir Next" w:hAnsi="Avenir Next" w:cs="Arial"/>
          <w:color w:val="808080" w:themeColor="background1" w:themeShade="80"/>
          <w:sz w:val="22"/>
          <w:szCs w:val="22"/>
          <w:lang w:val="en-GB"/>
        </w:rPr>
      </w:pPr>
    </w:p>
    <w:p w14:paraId="6BB61D7A" w14:textId="7011A208" w:rsidR="00044533" w:rsidRDefault="00AE2247" w:rsidP="00B54122">
      <w:pPr>
        <w:jc w:val="both"/>
        <w:rPr>
          <w:rFonts w:ascii="Avenir Next" w:hAnsi="Avenir Next" w:cs="Arial"/>
          <w:color w:val="808080" w:themeColor="background1" w:themeShade="80"/>
          <w:sz w:val="22"/>
          <w:szCs w:val="22"/>
          <w:lang w:val="en-GB"/>
        </w:rPr>
      </w:pPr>
      <w:r w:rsidRPr="00AE2247">
        <w:rPr>
          <w:rFonts w:ascii="Avenir Next" w:hAnsi="Avenir Next" w:cs="Arial"/>
          <w:color w:val="808080" w:themeColor="background1" w:themeShade="80"/>
          <w:sz w:val="22"/>
          <w:szCs w:val="22"/>
          <w:lang w:val="en-GB"/>
        </w:rPr>
        <w:t>In the specific case,</w:t>
      </w:r>
      <w:r>
        <w:rPr>
          <w:rFonts w:ascii="Avenir Next" w:hAnsi="Avenir Next" w:cs="Arial"/>
          <w:color w:val="808080" w:themeColor="background1" w:themeShade="80"/>
          <w:sz w:val="22"/>
          <w:szCs w:val="22"/>
          <w:lang w:val="en-GB"/>
        </w:rPr>
        <w:t xml:space="preserve"> </w:t>
      </w:r>
      <w:r w:rsidR="00181090" w:rsidRPr="00181090">
        <w:rPr>
          <w:rFonts w:ascii="Avenir Next" w:hAnsi="Avenir Next" w:cs="Arial"/>
          <w:color w:val="808080" w:themeColor="background1" w:themeShade="80"/>
          <w:sz w:val="22"/>
          <w:szCs w:val="22"/>
          <w:lang w:val="en-GB"/>
        </w:rPr>
        <w:t xml:space="preserve">Article 77 of the LBBA provides that the DGF becomes liquidator of </w:t>
      </w:r>
      <w:r w:rsidR="00181090">
        <w:rPr>
          <w:rFonts w:ascii="Avenir Next" w:hAnsi="Avenir Next" w:cs="Arial"/>
          <w:color w:val="808080" w:themeColor="background1" w:themeShade="80"/>
          <w:sz w:val="22"/>
          <w:szCs w:val="22"/>
          <w:lang w:val="en-GB"/>
        </w:rPr>
        <w:t>the</w:t>
      </w:r>
      <w:r w:rsidR="00181090" w:rsidRPr="00181090">
        <w:rPr>
          <w:rFonts w:ascii="Avenir Next" w:hAnsi="Avenir Next" w:cs="Arial"/>
          <w:color w:val="808080" w:themeColor="background1" w:themeShade="80"/>
          <w:sz w:val="22"/>
          <w:szCs w:val="22"/>
          <w:lang w:val="en-GB"/>
        </w:rPr>
        <w:t xml:space="preserve"> </w:t>
      </w:r>
      <w:r w:rsidR="00181090">
        <w:rPr>
          <w:rFonts w:ascii="Avenir Next" w:hAnsi="Avenir Next" w:cs="Arial"/>
          <w:color w:val="808080" w:themeColor="background1" w:themeShade="80"/>
          <w:sz w:val="22"/>
          <w:szCs w:val="22"/>
          <w:lang w:val="en-GB"/>
        </w:rPr>
        <w:t>B</w:t>
      </w:r>
      <w:r w:rsidR="00181090" w:rsidRPr="00181090">
        <w:rPr>
          <w:rFonts w:ascii="Avenir Next" w:hAnsi="Avenir Next" w:cs="Arial"/>
          <w:color w:val="808080" w:themeColor="background1" w:themeShade="80"/>
          <w:sz w:val="22"/>
          <w:szCs w:val="22"/>
          <w:lang w:val="en-GB"/>
        </w:rPr>
        <w:t>ank</w:t>
      </w:r>
      <w:r w:rsidR="00181090">
        <w:rPr>
          <w:rFonts w:ascii="Avenir Next" w:hAnsi="Avenir Next" w:cs="Arial"/>
          <w:color w:val="808080" w:themeColor="background1" w:themeShade="80"/>
          <w:sz w:val="22"/>
          <w:szCs w:val="22"/>
          <w:lang w:val="en-GB"/>
        </w:rPr>
        <w:t xml:space="preserve">. As liquidator, the DGF </w:t>
      </w:r>
      <w:r w:rsidR="006C3845" w:rsidRPr="006C3845">
        <w:rPr>
          <w:rFonts w:ascii="Avenir Next" w:hAnsi="Avenir Next" w:cs="Arial"/>
          <w:color w:val="808080" w:themeColor="background1" w:themeShade="80"/>
          <w:sz w:val="22"/>
          <w:szCs w:val="22"/>
          <w:lang w:val="en-GB"/>
        </w:rPr>
        <w:t>has extensive powers</w:t>
      </w:r>
      <w:r w:rsidR="006C3845">
        <w:rPr>
          <w:rFonts w:ascii="Avenir Next" w:hAnsi="Avenir Next" w:cs="Arial"/>
          <w:color w:val="808080" w:themeColor="background1" w:themeShade="80"/>
          <w:sz w:val="22"/>
          <w:szCs w:val="22"/>
          <w:lang w:val="en-GB"/>
        </w:rPr>
        <w:t xml:space="preserve"> to administer the liquidation of the debtor’s assets or affairs</w:t>
      </w:r>
      <w:r w:rsidR="00F44924">
        <w:rPr>
          <w:rFonts w:ascii="Avenir Next" w:hAnsi="Avenir Next" w:cs="Arial"/>
          <w:color w:val="808080" w:themeColor="background1" w:themeShade="80"/>
          <w:sz w:val="22"/>
          <w:szCs w:val="22"/>
          <w:lang w:val="en-GB"/>
        </w:rPr>
        <w:t>,</w:t>
      </w:r>
      <w:r w:rsidR="003A5148" w:rsidRPr="003A5148">
        <w:rPr>
          <w:rFonts w:ascii="Avenir Next" w:hAnsi="Avenir Next" w:cs="Arial"/>
          <w:color w:val="808080" w:themeColor="background1" w:themeShade="80"/>
          <w:sz w:val="22"/>
          <w:szCs w:val="22"/>
          <w:lang w:val="en-GB"/>
        </w:rPr>
        <w:t xml:space="preserve"> </w:t>
      </w:r>
      <w:r w:rsidR="00361E87" w:rsidRPr="00361E87">
        <w:rPr>
          <w:rFonts w:ascii="Avenir Next" w:hAnsi="Avenir Next" w:cs="Arial"/>
          <w:color w:val="808080" w:themeColor="background1" w:themeShade="80"/>
          <w:sz w:val="22"/>
          <w:szCs w:val="22"/>
          <w:lang w:val="en-GB"/>
        </w:rPr>
        <w:lastRenderedPageBreak/>
        <w:t>as established in article 37 of the D</w:t>
      </w:r>
      <w:r w:rsidR="0005576F">
        <w:rPr>
          <w:rFonts w:ascii="Avenir Next" w:hAnsi="Avenir Next" w:cs="Arial"/>
          <w:color w:val="808080" w:themeColor="background1" w:themeShade="80"/>
          <w:sz w:val="22"/>
          <w:szCs w:val="22"/>
          <w:lang w:val="en-GB"/>
        </w:rPr>
        <w:t>GF</w:t>
      </w:r>
      <w:r w:rsidR="00361E87" w:rsidRPr="00361E87">
        <w:rPr>
          <w:rFonts w:ascii="Avenir Next" w:hAnsi="Avenir Next" w:cs="Arial"/>
          <w:color w:val="808080" w:themeColor="background1" w:themeShade="80"/>
          <w:sz w:val="22"/>
          <w:szCs w:val="22"/>
          <w:lang w:val="en-GB"/>
        </w:rPr>
        <w:t xml:space="preserve"> Law.</w:t>
      </w:r>
      <w:r w:rsidR="00D30B81">
        <w:rPr>
          <w:rFonts w:ascii="Avenir Next" w:hAnsi="Avenir Next" w:cs="Arial"/>
          <w:color w:val="808080" w:themeColor="background1" w:themeShade="80"/>
          <w:sz w:val="22"/>
          <w:szCs w:val="22"/>
          <w:lang w:val="en-GB"/>
        </w:rPr>
        <w:t xml:space="preserve"> </w:t>
      </w:r>
      <w:r w:rsidR="00510850">
        <w:rPr>
          <w:rFonts w:ascii="Avenir Next" w:hAnsi="Avenir Next" w:cs="Arial"/>
          <w:color w:val="808080" w:themeColor="background1" w:themeShade="80"/>
          <w:sz w:val="22"/>
          <w:szCs w:val="22"/>
          <w:lang w:val="en-GB"/>
        </w:rPr>
        <w:t>T</w:t>
      </w:r>
      <w:r w:rsidR="00510850" w:rsidRPr="003A5148">
        <w:rPr>
          <w:rFonts w:ascii="Avenir Next" w:hAnsi="Avenir Next" w:cs="Arial"/>
          <w:color w:val="808080" w:themeColor="background1" w:themeShade="80"/>
          <w:sz w:val="22"/>
          <w:szCs w:val="22"/>
          <w:lang w:val="en-GB"/>
        </w:rPr>
        <w:t>hus,</w:t>
      </w:r>
      <w:r w:rsidR="003A5148" w:rsidRPr="003A5148">
        <w:rPr>
          <w:rFonts w:ascii="Avenir Next" w:hAnsi="Avenir Next" w:cs="Arial"/>
          <w:color w:val="808080" w:themeColor="background1" w:themeShade="80"/>
          <w:sz w:val="22"/>
          <w:szCs w:val="22"/>
          <w:lang w:val="en-GB"/>
        </w:rPr>
        <w:t xml:space="preserve"> fulfilling the requirements to be a foreign representative under Article 2(d) of the Model Law and 2(j) of the CBIR.</w:t>
      </w:r>
    </w:p>
    <w:p w14:paraId="3DD5664F" w14:textId="77777777" w:rsidR="003B1465" w:rsidRDefault="003B1465" w:rsidP="00B54122">
      <w:pPr>
        <w:jc w:val="both"/>
        <w:rPr>
          <w:rFonts w:ascii="Avenir Next" w:hAnsi="Avenir Next" w:cs="Arial"/>
          <w:color w:val="808080" w:themeColor="background1" w:themeShade="80"/>
          <w:sz w:val="22"/>
          <w:szCs w:val="22"/>
          <w:lang w:val="en-GB"/>
        </w:rPr>
      </w:pPr>
    </w:p>
    <w:p w14:paraId="517EB582" w14:textId="274240F4" w:rsidR="003B1465" w:rsidRDefault="00A40806" w:rsidP="00B541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Ms G, o</w:t>
      </w:r>
      <w:r w:rsidR="00D7731D">
        <w:rPr>
          <w:rFonts w:ascii="Avenir Next" w:hAnsi="Avenir Next" w:cs="Arial"/>
          <w:color w:val="808080" w:themeColor="background1" w:themeShade="80"/>
          <w:sz w:val="22"/>
          <w:szCs w:val="22"/>
          <w:lang w:val="en-GB"/>
        </w:rPr>
        <w:t xml:space="preserve">n the other hand, </w:t>
      </w:r>
      <w:r w:rsidR="009C0432" w:rsidRPr="009C0432">
        <w:rPr>
          <w:rFonts w:ascii="Avenir Next" w:hAnsi="Avenir Next" w:cs="Arial"/>
          <w:color w:val="808080" w:themeColor="background1" w:themeShade="80"/>
          <w:sz w:val="22"/>
          <w:szCs w:val="22"/>
          <w:lang w:val="en-GB"/>
        </w:rPr>
        <w:t>was appointed by Deliberation of the Board of Directors of the DGF, as expressly provided for article 48(3) of the DGF Law that empowers the DGF to delegate its powers. H</w:t>
      </w:r>
      <w:r w:rsidR="00A93852">
        <w:rPr>
          <w:rFonts w:ascii="Avenir Next" w:hAnsi="Avenir Next" w:cs="Arial"/>
          <w:color w:val="808080" w:themeColor="background1" w:themeShade="80"/>
          <w:sz w:val="22"/>
          <w:szCs w:val="22"/>
          <w:lang w:val="en-GB"/>
        </w:rPr>
        <w:t>er</w:t>
      </w:r>
      <w:r w:rsidR="009C0432" w:rsidRPr="009C0432">
        <w:rPr>
          <w:rFonts w:ascii="Avenir Next" w:hAnsi="Avenir Next" w:cs="Arial"/>
          <w:color w:val="808080" w:themeColor="background1" w:themeShade="80"/>
          <w:sz w:val="22"/>
          <w:szCs w:val="22"/>
          <w:lang w:val="en-GB"/>
        </w:rPr>
        <w:t xml:space="preserve"> appointment was carried out with a restriction of powers, among which the exclusion of the power to arrange for the sale of the Bank's assets, which remained with the D</w:t>
      </w:r>
      <w:r w:rsidR="0005576F">
        <w:rPr>
          <w:rFonts w:ascii="Avenir Next" w:hAnsi="Avenir Next" w:cs="Arial"/>
          <w:color w:val="808080" w:themeColor="background1" w:themeShade="80"/>
          <w:sz w:val="22"/>
          <w:szCs w:val="22"/>
          <w:lang w:val="en-GB"/>
        </w:rPr>
        <w:t>GF</w:t>
      </w:r>
      <w:r w:rsidR="00ED4693">
        <w:rPr>
          <w:rFonts w:ascii="Avenir Next" w:hAnsi="Avenir Next" w:cs="Arial"/>
          <w:color w:val="808080" w:themeColor="background1" w:themeShade="80"/>
          <w:sz w:val="22"/>
          <w:szCs w:val="22"/>
          <w:lang w:val="en-GB"/>
        </w:rPr>
        <w:t xml:space="preserve"> </w:t>
      </w:r>
      <w:r w:rsidR="00461776" w:rsidRPr="00461776">
        <w:rPr>
          <w:rFonts w:ascii="Avenir Next" w:hAnsi="Avenir Next" w:cs="Arial"/>
          <w:color w:val="808080" w:themeColor="background1" w:themeShade="80"/>
          <w:sz w:val="22"/>
          <w:szCs w:val="22"/>
          <w:lang w:val="en-GB"/>
        </w:rPr>
        <w:t>as the Bank’s formally appointed liquidator</w:t>
      </w:r>
      <w:r w:rsidR="009C0432" w:rsidRPr="009C0432">
        <w:rPr>
          <w:rFonts w:ascii="Avenir Next" w:hAnsi="Avenir Next" w:cs="Arial"/>
          <w:color w:val="808080" w:themeColor="background1" w:themeShade="80"/>
          <w:sz w:val="22"/>
          <w:szCs w:val="22"/>
          <w:lang w:val="en-GB"/>
        </w:rPr>
        <w:t>.</w:t>
      </w:r>
    </w:p>
    <w:p w14:paraId="4CFB0E8C" w14:textId="77777777" w:rsidR="00510850" w:rsidRDefault="00510850" w:rsidP="00B54122">
      <w:pPr>
        <w:jc w:val="both"/>
        <w:rPr>
          <w:rFonts w:ascii="Avenir Next" w:hAnsi="Avenir Next" w:cs="Arial"/>
          <w:color w:val="808080" w:themeColor="background1" w:themeShade="80"/>
          <w:sz w:val="22"/>
          <w:szCs w:val="22"/>
          <w:lang w:val="en-GB"/>
        </w:rPr>
      </w:pPr>
    </w:p>
    <w:p w14:paraId="3A07138F" w14:textId="141B86BC" w:rsidR="00510850" w:rsidRDefault="00510850" w:rsidP="00B54122">
      <w:pPr>
        <w:jc w:val="both"/>
        <w:rPr>
          <w:rFonts w:ascii="Avenir Next" w:hAnsi="Avenir Next" w:cs="Arial"/>
          <w:color w:val="808080" w:themeColor="background1" w:themeShade="80"/>
          <w:sz w:val="22"/>
          <w:szCs w:val="22"/>
          <w:lang w:val="en-GB"/>
        </w:rPr>
      </w:pPr>
      <w:r w:rsidRPr="00510850">
        <w:rPr>
          <w:rFonts w:ascii="Avenir Next" w:hAnsi="Avenir Next" w:cs="Arial"/>
          <w:color w:val="808080" w:themeColor="background1" w:themeShade="80"/>
          <w:sz w:val="22"/>
          <w:szCs w:val="22"/>
          <w:lang w:val="en-GB"/>
        </w:rPr>
        <w:t xml:space="preserve">The exclusion of the power to arrange for the sale of the Bank's assets represents a major limitation on </w:t>
      </w:r>
      <w:r w:rsidR="00C9725C">
        <w:rPr>
          <w:rFonts w:ascii="Avenir Next" w:hAnsi="Avenir Next" w:cs="Arial"/>
          <w:color w:val="808080" w:themeColor="background1" w:themeShade="80"/>
          <w:sz w:val="22"/>
          <w:szCs w:val="22"/>
          <w:lang w:val="en-GB"/>
        </w:rPr>
        <w:t>Ms G</w:t>
      </w:r>
      <w:r w:rsidRPr="00510850">
        <w:rPr>
          <w:rFonts w:ascii="Avenir Next" w:hAnsi="Avenir Next" w:cs="Arial"/>
          <w:color w:val="808080" w:themeColor="background1" w:themeShade="80"/>
          <w:sz w:val="22"/>
          <w:szCs w:val="22"/>
          <w:lang w:val="en-GB"/>
        </w:rPr>
        <w:t>'s ability to manage the liquidation of the Bank's assets. This could be a factor for not recognizing her as a foreign representative.</w:t>
      </w:r>
      <w:r w:rsidR="005F43FF">
        <w:rPr>
          <w:rFonts w:ascii="Avenir Next" w:hAnsi="Avenir Next" w:cs="Arial"/>
          <w:color w:val="808080" w:themeColor="background1" w:themeShade="80"/>
          <w:sz w:val="22"/>
          <w:szCs w:val="22"/>
          <w:lang w:val="en-GB"/>
        </w:rPr>
        <w:t xml:space="preserve"> </w:t>
      </w:r>
      <w:r w:rsidR="005F43FF" w:rsidRPr="005F43FF">
        <w:rPr>
          <w:rFonts w:ascii="Avenir Next" w:hAnsi="Avenir Next" w:cs="Arial"/>
          <w:color w:val="808080" w:themeColor="background1" w:themeShade="80"/>
          <w:sz w:val="22"/>
          <w:szCs w:val="22"/>
          <w:lang w:val="en-GB"/>
        </w:rPr>
        <w:t xml:space="preserve">However, considering that the application was made jointly with the DGF, and considering </w:t>
      </w:r>
      <w:r w:rsidR="0005576F">
        <w:rPr>
          <w:rFonts w:ascii="Avenir Next" w:hAnsi="Avenir Next" w:cs="Arial"/>
          <w:color w:val="808080" w:themeColor="background1" w:themeShade="80"/>
          <w:sz w:val="22"/>
          <w:szCs w:val="22"/>
          <w:lang w:val="en-GB"/>
        </w:rPr>
        <w:t>her</w:t>
      </w:r>
      <w:r w:rsidR="005F43FF" w:rsidRPr="005F43FF">
        <w:rPr>
          <w:rFonts w:ascii="Avenir Next" w:hAnsi="Avenir Next" w:cs="Arial"/>
          <w:color w:val="808080" w:themeColor="background1" w:themeShade="80"/>
          <w:sz w:val="22"/>
          <w:szCs w:val="22"/>
          <w:lang w:val="en-GB"/>
        </w:rPr>
        <w:t xml:space="preserve"> capacity as DGF's agent, the </w:t>
      </w:r>
      <w:r w:rsidR="0005576F">
        <w:rPr>
          <w:rFonts w:ascii="Avenir Next" w:hAnsi="Avenir Next" w:cs="Arial"/>
          <w:color w:val="808080" w:themeColor="background1" w:themeShade="80"/>
          <w:sz w:val="22"/>
          <w:szCs w:val="22"/>
          <w:lang w:val="en-GB"/>
        </w:rPr>
        <w:t>A</w:t>
      </w:r>
      <w:r w:rsidR="005F43FF" w:rsidRPr="005F43FF">
        <w:rPr>
          <w:rFonts w:ascii="Avenir Next" w:hAnsi="Avenir Next" w:cs="Arial"/>
          <w:color w:val="808080" w:themeColor="background1" w:themeShade="80"/>
          <w:sz w:val="22"/>
          <w:szCs w:val="22"/>
          <w:lang w:val="en-GB"/>
        </w:rPr>
        <w:t>pplicants, together, fit the definition of foreign representatives.</w:t>
      </w:r>
    </w:p>
    <w:p w14:paraId="3784BF42" w14:textId="77777777" w:rsidR="00302311" w:rsidRDefault="00302311" w:rsidP="00B54122">
      <w:pPr>
        <w:jc w:val="both"/>
        <w:rPr>
          <w:rFonts w:ascii="Avenir Next" w:hAnsi="Avenir Next" w:cs="Arial"/>
          <w:color w:val="808080" w:themeColor="background1" w:themeShade="80"/>
          <w:sz w:val="22"/>
          <w:szCs w:val="22"/>
          <w:lang w:val="en-GB"/>
        </w:rPr>
      </w:pPr>
    </w:p>
    <w:p w14:paraId="693037D3" w14:textId="067A1285" w:rsidR="00302311" w:rsidRDefault="00302311" w:rsidP="00577127">
      <w:pPr>
        <w:jc w:val="both"/>
        <w:rPr>
          <w:rFonts w:ascii="Avenir Next" w:hAnsi="Avenir Next" w:cs="Arial"/>
          <w:color w:val="808080" w:themeColor="background1" w:themeShade="80"/>
          <w:sz w:val="22"/>
          <w:szCs w:val="22"/>
          <w:lang w:val="en-GB"/>
        </w:rPr>
      </w:pPr>
      <w:r w:rsidRPr="00302311">
        <w:rPr>
          <w:rFonts w:ascii="Avenir Next" w:hAnsi="Avenir Next" w:cs="Arial"/>
          <w:color w:val="808080" w:themeColor="background1" w:themeShade="80"/>
          <w:sz w:val="22"/>
          <w:szCs w:val="22"/>
          <w:lang w:val="en-GB"/>
        </w:rPr>
        <w:t>Furthermore, it is important to point out that the recognition of foreign representatives does not give them the same powers as an English liquidator, as decided in the cases</w:t>
      </w:r>
      <w:r w:rsidR="00EF591A">
        <w:rPr>
          <w:rFonts w:ascii="Avenir Next" w:hAnsi="Avenir Next" w:cs="Arial"/>
          <w:color w:val="808080" w:themeColor="background1" w:themeShade="80"/>
          <w:sz w:val="22"/>
          <w:szCs w:val="22"/>
          <w:lang w:val="en-GB"/>
        </w:rPr>
        <w:t xml:space="preserve"> </w:t>
      </w:r>
      <w:r w:rsidR="0071192D" w:rsidRPr="0071192D">
        <w:rPr>
          <w:rFonts w:ascii="Avenir Next" w:hAnsi="Avenir Next" w:cs="Arial"/>
          <w:color w:val="808080" w:themeColor="background1" w:themeShade="80"/>
          <w:sz w:val="22"/>
          <w:szCs w:val="22"/>
          <w:lang w:val="en-GB"/>
        </w:rPr>
        <w:t xml:space="preserve">n </w:t>
      </w:r>
      <w:proofErr w:type="spellStart"/>
      <w:r w:rsidR="0071192D" w:rsidRPr="0071192D">
        <w:rPr>
          <w:rFonts w:ascii="Avenir Next" w:hAnsi="Avenir Next" w:cs="Arial"/>
          <w:color w:val="808080" w:themeColor="background1" w:themeShade="80"/>
          <w:sz w:val="22"/>
          <w:szCs w:val="22"/>
          <w:lang w:val="en-GB"/>
        </w:rPr>
        <w:t>Candey</w:t>
      </w:r>
      <w:proofErr w:type="spellEnd"/>
      <w:r w:rsidR="0071192D" w:rsidRPr="0071192D">
        <w:rPr>
          <w:rFonts w:ascii="Avenir Next" w:hAnsi="Avenir Next" w:cs="Arial"/>
          <w:color w:val="808080" w:themeColor="background1" w:themeShade="80"/>
          <w:sz w:val="22"/>
          <w:szCs w:val="22"/>
          <w:lang w:val="en-GB"/>
        </w:rPr>
        <w:t xml:space="preserve"> Ltd v Crumpler an another (as joint liquidators of Peak Hotels and Resorts Ltd</w:t>
      </w:r>
      <w:r w:rsidR="0071192D">
        <w:rPr>
          <w:rFonts w:ascii="Avenir Next" w:hAnsi="Avenir Next" w:cs="Arial"/>
          <w:color w:val="808080" w:themeColor="background1" w:themeShade="80"/>
          <w:sz w:val="22"/>
          <w:szCs w:val="22"/>
          <w:lang w:val="en-GB"/>
        </w:rPr>
        <w:t xml:space="preserve"> </w:t>
      </w:r>
      <w:r w:rsidR="0071192D" w:rsidRPr="0071192D">
        <w:rPr>
          <w:rFonts w:ascii="Avenir Next" w:hAnsi="Avenir Next" w:cs="Arial"/>
          <w:color w:val="808080" w:themeColor="background1" w:themeShade="80"/>
          <w:sz w:val="22"/>
          <w:szCs w:val="22"/>
          <w:lang w:val="en-GB"/>
        </w:rPr>
        <w:t xml:space="preserve">(in liquidation) [2020] EWHC </w:t>
      </w:r>
      <w:proofErr w:type="spellStart"/>
      <w:r w:rsidR="0071192D" w:rsidRPr="0071192D">
        <w:rPr>
          <w:rFonts w:ascii="Avenir Next" w:hAnsi="Avenir Next" w:cs="Arial"/>
          <w:color w:val="808080" w:themeColor="background1" w:themeShade="80"/>
          <w:sz w:val="22"/>
          <w:szCs w:val="22"/>
          <w:lang w:val="en-GB"/>
        </w:rPr>
        <w:t>Civ</w:t>
      </w:r>
      <w:proofErr w:type="spellEnd"/>
      <w:r w:rsidR="0071192D" w:rsidRPr="0071192D">
        <w:rPr>
          <w:rFonts w:ascii="Avenir Next" w:hAnsi="Avenir Next" w:cs="Arial"/>
          <w:color w:val="808080" w:themeColor="background1" w:themeShade="80"/>
          <w:sz w:val="22"/>
          <w:szCs w:val="22"/>
          <w:lang w:val="en-GB"/>
        </w:rPr>
        <w:t xml:space="preserve"> 26</w:t>
      </w:r>
      <w:r w:rsidR="0071192D" w:rsidRPr="0071192D">
        <w:rPr>
          <w:rFonts w:ascii="Avenir Next" w:hAnsi="Avenir Next" w:cs="Arial"/>
          <w:color w:val="808080" w:themeColor="background1" w:themeShade="80"/>
          <w:sz w:val="22"/>
          <w:szCs w:val="22"/>
          <w:lang w:val="en-GB"/>
        </w:rPr>
        <w:t xml:space="preserve"> </w:t>
      </w:r>
      <w:r w:rsidR="00EF591A">
        <w:rPr>
          <w:rFonts w:ascii="Avenir Next" w:hAnsi="Avenir Next" w:cs="Arial"/>
          <w:color w:val="808080" w:themeColor="background1" w:themeShade="80"/>
          <w:sz w:val="22"/>
          <w:szCs w:val="22"/>
          <w:lang w:val="en-GB"/>
        </w:rPr>
        <w:t xml:space="preserve">and </w:t>
      </w:r>
      <w:r w:rsidR="00577127" w:rsidRPr="00577127">
        <w:rPr>
          <w:rFonts w:ascii="Avenir Next" w:hAnsi="Avenir Next" w:cs="Arial"/>
          <w:color w:val="808080" w:themeColor="background1" w:themeShade="80"/>
          <w:sz w:val="22"/>
          <w:szCs w:val="22"/>
          <w:lang w:val="en-GB"/>
        </w:rPr>
        <w:t>Brian Glasgow (the Bankruptcy Trustee of Harlequin Property (SVG) Ltd) v ELS Law Ltd and</w:t>
      </w:r>
      <w:r w:rsidR="00577127">
        <w:rPr>
          <w:rFonts w:ascii="Avenir Next" w:hAnsi="Avenir Next" w:cs="Arial"/>
          <w:color w:val="808080" w:themeColor="background1" w:themeShade="80"/>
          <w:sz w:val="22"/>
          <w:szCs w:val="22"/>
          <w:lang w:val="en-GB"/>
        </w:rPr>
        <w:t xml:space="preserve"> </w:t>
      </w:r>
      <w:r w:rsidR="00577127" w:rsidRPr="00577127">
        <w:rPr>
          <w:rFonts w:ascii="Avenir Next" w:hAnsi="Avenir Next" w:cs="Arial"/>
          <w:color w:val="808080" w:themeColor="background1" w:themeShade="80"/>
          <w:sz w:val="22"/>
          <w:szCs w:val="22"/>
          <w:lang w:val="en-GB"/>
        </w:rPr>
        <w:t>others [2017] EWCH 3004 (Ch)</w:t>
      </w:r>
      <w:r w:rsidR="00577127">
        <w:rPr>
          <w:rFonts w:ascii="Avenir Next" w:hAnsi="Avenir Next" w:cs="Arial"/>
          <w:color w:val="808080" w:themeColor="background1" w:themeShade="80"/>
          <w:sz w:val="22"/>
          <w:szCs w:val="22"/>
          <w:lang w:val="en-GB"/>
        </w:rPr>
        <w:t>.</w:t>
      </w:r>
      <w:r w:rsidR="00577127">
        <w:rPr>
          <w:rStyle w:val="Refdenotaderodap"/>
          <w:rFonts w:ascii="Avenir Next" w:hAnsi="Avenir Next" w:cs="Arial"/>
          <w:color w:val="808080" w:themeColor="background1" w:themeShade="80"/>
          <w:sz w:val="22"/>
          <w:szCs w:val="22"/>
          <w:lang w:val="en-GB"/>
        </w:rPr>
        <w:footnoteReference w:id="36"/>
      </w:r>
    </w:p>
    <w:p w14:paraId="58105E98" w14:textId="77777777" w:rsidR="006C4349" w:rsidRDefault="006C4349" w:rsidP="00577127">
      <w:pPr>
        <w:jc w:val="both"/>
        <w:rPr>
          <w:rFonts w:ascii="Avenir Next" w:hAnsi="Avenir Next" w:cs="Arial"/>
          <w:color w:val="808080" w:themeColor="background1" w:themeShade="80"/>
          <w:sz w:val="22"/>
          <w:szCs w:val="22"/>
          <w:lang w:val="en-GB"/>
        </w:rPr>
      </w:pPr>
    </w:p>
    <w:p w14:paraId="21454CA9" w14:textId="26AE69A7" w:rsidR="006C4349" w:rsidRDefault="006C4349" w:rsidP="00577127">
      <w:pPr>
        <w:jc w:val="both"/>
        <w:rPr>
          <w:rFonts w:ascii="Avenir Next" w:hAnsi="Avenir Next" w:cs="Arial"/>
          <w:color w:val="808080" w:themeColor="background1" w:themeShade="80"/>
          <w:sz w:val="22"/>
          <w:szCs w:val="22"/>
          <w:lang w:val="en-GB"/>
        </w:rPr>
      </w:pPr>
      <w:r w:rsidRPr="006C4349">
        <w:rPr>
          <w:rFonts w:ascii="Avenir Next" w:hAnsi="Avenir Next" w:cs="Arial"/>
          <w:color w:val="808080" w:themeColor="background1" w:themeShade="80"/>
          <w:sz w:val="22"/>
          <w:szCs w:val="22"/>
          <w:lang w:val="en-GB"/>
        </w:rPr>
        <w:t xml:space="preserve">Even if the necessary documentation has been presented under Article 15(2) of the Model Law and considering that the foreign representative is qualified as such under Article 2(d) of the Model Law, </w:t>
      </w:r>
      <w:r w:rsidR="006C4427" w:rsidRPr="006C4427">
        <w:rPr>
          <w:rFonts w:ascii="Avenir Next" w:hAnsi="Avenir Next" w:cs="Arial"/>
          <w:color w:val="808080" w:themeColor="background1" w:themeShade="80"/>
          <w:sz w:val="22"/>
          <w:szCs w:val="22"/>
          <w:lang w:val="en-GB"/>
        </w:rPr>
        <w:t>it is not possible to recognize the foreign procedure that was not fulfilled the requirement of Section 17(1)(a) of the Model Law.</w:t>
      </w:r>
    </w:p>
    <w:p w14:paraId="03164FD1" w14:textId="77777777" w:rsidR="00211D8D" w:rsidRPr="00E2622D" w:rsidRDefault="00211D8D"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EndPr>
      <w:rPr>
        <w:rStyle w:val="Nmerodepgina"/>
      </w:rPr>
    </w:sdtEndPr>
    <w:sdtContent>
      <w:p w14:paraId="75DFA1A2" w14:textId="570584C7"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sidR="000E4E5B">
          <w:rPr>
            <w:rStyle w:val="Nmerodepgina"/>
          </w:rPr>
          <w:fldChar w:fldCharType="separate"/>
        </w:r>
        <w:r w:rsidR="000E4E5B">
          <w:rPr>
            <w:rStyle w:val="Nmerodepgina"/>
            <w:noProof/>
          </w:rPr>
          <w:t>1</w: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DE4621E" w:rsidR="000300E0" w:rsidRPr="00B46CE2" w:rsidRDefault="00C358AD" w:rsidP="000300E0">
    <w:pPr>
      <w:pStyle w:val="Rodap"/>
      <w:ind w:right="360"/>
      <w:rPr>
        <w:rFonts w:ascii="Avenir Next" w:hAnsi="Avenir Next"/>
        <w:sz w:val="22"/>
        <w:szCs w:val="22"/>
      </w:rPr>
    </w:pPr>
    <w:r w:rsidRPr="00830B93">
      <w:rPr>
        <w:rFonts w:ascii="Avenir Next" w:hAnsi="Avenir Next" w:cs="Arial"/>
        <w:sz w:val="22"/>
        <w:szCs w:val="22"/>
      </w:rPr>
      <w:t>202223-981</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 w:id="1">
    <w:p w14:paraId="397D1875" w14:textId="7E804DCE" w:rsidR="0032003A" w:rsidRPr="0032003A" w:rsidRDefault="0032003A" w:rsidP="0055795C">
      <w:pPr>
        <w:pStyle w:val="Textodenotaderodap"/>
        <w:jc w:val="both"/>
        <w:rPr>
          <w:lang w:val="pt-BR"/>
        </w:rPr>
      </w:pPr>
      <w:r>
        <w:rPr>
          <w:rStyle w:val="Refdenotaderodap"/>
        </w:rPr>
        <w:footnoteRef/>
      </w:r>
      <w:r>
        <w:t xml:space="preserve"> </w:t>
      </w:r>
      <w:r w:rsidR="00FB77F8">
        <w:t>DECLERCQ, Peter J M</w:t>
      </w:r>
      <w:r w:rsidRPr="0032003A">
        <w:t xml:space="preserve">, Module </w:t>
      </w:r>
      <w:r w:rsidR="00342FCF">
        <w:t>2A</w:t>
      </w:r>
      <w:r w:rsidRPr="0032003A">
        <w:t xml:space="preserve"> Guidance Text: </w:t>
      </w:r>
      <w:r w:rsidR="00342FCF">
        <w:t>UNCITRAL Model Laws Relating to</w:t>
      </w:r>
      <w:r w:rsidR="00342FCF">
        <w:t xml:space="preserve"> </w:t>
      </w:r>
      <w:r w:rsidR="00342FCF">
        <w:t>Insolvency</w:t>
      </w:r>
      <w:r w:rsidRPr="0032003A">
        <w:t xml:space="preserve">, INSOL International, London (2022), p </w:t>
      </w:r>
      <w:r>
        <w:t>28</w:t>
      </w:r>
      <w:r w:rsidRPr="0032003A">
        <w:t>.</w:t>
      </w:r>
    </w:p>
  </w:footnote>
  <w:footnote w:id="2">
    <w:p w14:paraId="237C4AF1" w14:textId="38DF736E" w:rsidR="00DA1674" w:rsidRPr="00DA1674" w:rsidRDefault="00DA1674" w:rsidP="006A4623">
      <w:pPr>
        <w:pStyle w:val="Textodenotaderodap"/>
        <w:jc w:val="both"/>
        <w:rPr>
          <w:lang w:val="pt-BR"/>
        </w:rPr>
      </w:pPr>
      <w:r>
        <w:rPr>
          <w:rStyle w:val="Refdenotaderodap"/>
        </w:rPr>
        <w:footnoteRef/>
      </w:r>
      <w:r>
        <w:t xml:space="preserve"> </w:t>
      </w:r>
      <w:r w:rsidR="00631267" w:rsidRPr="00631267">
        <w:t>UNCITRAL Guide to Enactment, p 7</w:t>
      </w:r>
      <w:r w:rsidR="00637C8B">
        <w:t>5</w:t>
      </w:r>
      <w:r w:rsidR="00631267" w:rsidRPr="00631267">
        <w:t>, para 1</w:t>
      </w:r>
      <w:r w:rsidR="00BD67ED">
        <w:t>59.</w:t>
      </w:r>
    </w:p>
  </w:footnote>
  <w:footnote w:id="3">
    <w:p w14:paraId="04C544C8" w14:textId="1F95580F" w:rsidR="006D56E9" w:rsidRPr="006D56E9" w:rsidRDefault="006D56E9" w:rsidP="006A4623">
      <w:pPr>
        <w:pStyle w:val="Textodenotaderodap"/>
        <w:jc w:val="both"/>
        <w:rPr>
          <w:lang w:val="pt-BR"/>
        </w:rPr>
      </w:pPr>
      <w:r>
        <w:rPr>
          <w:rStyle w:val="Refdenotaderodap"/>
        </w:rPr>
        <w:footnoteRef/>
      </w:r>
      <w:r>
        <w:t xml:space="preserve"> </w:t>
      </w:r>
      <w:r w:rsidRPr="00631267">
        <w:t>UNCITRAL Guide to Enactment, p</w:t>
      </w:r>
      <w:r>
        <w:t>p</w:t>
      </w:r>
      <w:r w:rsidRPr="00631267">
        <w:t xml:space="preserve"> 7</w:t>
      </w:r>
      <w:r>
        <w:t>5</w:t>
      </w:r>
      <w:r>
        <w:t>-</w:t>
      </w:r>
      <w:r w:rsidR="007F1512">
        <w:t>76</w:t>
      </w:r>
      <w:r w:rsidRPr="00631267">
        <w:t>, para 1</w:t>
      </w:r>
      <w:r w:rsidR="007F1512">
        <w:t>60</w:t>
      </w:r>
      <w:r>
        <w:t>.</w:t>
      </w:r>
    </w:p>
  </w:footnote>
  <w:footnote w:id="4">
    <w:p w14:paraId="72B5F56A" w14:textId="08DF6DB4" w:rsidR="00A515CB" w:rsidRPr="00A515CB" w:rsidRDefault="00A515CB"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w:t>
      </w:r>
      <w:r>
        <w:t>p</w:t>
      </w:r>
      <w:r w:rsidRPr="0032003A">
        <w:t xml:space="preserve">p </w:t>
      </w:r>
      <w:r>
        <w:t>28</w:t>
      </w:r>
      <w:r>
        <w:t>-29</w:t>
      </w:r>
      <w:r w:rsidRPr="0032003A">
        <w:t>.</w:t>
      </w:r>
    </w:p>
  </w:footnote>
  <w:footnote w:id="5">
    <w:p w14:paraId="13F0687E" w14:textId="34C1C641" w:rsidR="00482336" w:rsidRPr="00482336" w:rsidRDefault="00482336"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w:t>
      </w:r>
      <w:r>
        <w:t>p</w:t>
      </w:r>
      <w:r w:rsidRPr="0032003A">
        <w:t xml:space="preserve">p </w:t>
      </w:r>
      <w:r>
        <w:t>28-29</w:t>
      </w:r>
      <w:r w:rsidRPr="0032003A">
        <w:t>.</w:t>
      </w:r>
    </w:p>
  </w:footnote>
  <w:footnote w:id="6">
    <w:p w14:paraId="032379B9" w14:textId="3CB4BFC8" w:rsidR="007C73B3" w:rsidRPr="007C73B3" w:rsidRDefault="007C73B3"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w:t>
      </w:r>
      <w:r>
        <w:t>p</w:t>
      </w:r>
      <w:r w:rsidRPr="0032003A">
        <w:t xml:space="preserve"> </w:t>
      </w:r>
      <w:r>
        <w:t>23</w:t>
      </w:r>
      <w:r w:rsidRPr="0032003A">
        <w:t>.</w:t>
      </w:r>
    </w:p>
  </w:footnote>
  <w:footnote w:id="7">
    <w:p w14:paraId="43B01061" w14:textId="0BAE6711" w:rsidR="004B292F" w:rsidRPr="004B292F" w:rsidRDefault="004B292F"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22</w:t>
      </w:r>
      <w:r w:rsidRPr="0032003A">
        <w:t>.</w:t>
      </w:r>
    </w:p>
  </w:footnote>
  <w:footnote w:id="8">
    <w:p w14:paraId="35E04088" w14:textId="226C37D1" w:rsidR="00EC6E52" w:rsidRPr="00EC6E52" w:rsidRDefault="00EC6E52"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w:t>
      </w:r>
      <w:r>
        <w:t>6</w:t>
      </w:r>
      <w:r w:rsidRPr="0032003A">
        <w:t>.</w:t>
      </w:r>
    </w:p>
  </w:footnote>
  <w:footnote w:id="9">
    <w:p w14:paraId="4983FAB5" w14:textId="3E22E0B2" w:rsidR="00D476BA" w:rsidRPr="00D476BA" w:rsidRDefault="00D476BA"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w:t>
      </w:r>
      <w:r>
        <w:t>pp 40-41</w:t>
      </w:r>
      <w:r w:rsidRPr="0032003A">
        <w:t>.</w:t>
      </w:r>
    </w:p>
  </w:footnote>
  <w:footnote w:id="10">
    <w:p w14:paraId="07469CDE" w14:textId="5949C853" w:rsidR="009E5162" w:rsidRPr="009E5162" w:rsidRDefault="009E5162"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rsidR="00F4441D">
        <w:t>47</w:t>
      </w:r>
      <w:r w:rsidRPr="0032003A">
        <w:t>.</w:t>
      </w:r>
    </w:p>
  </w:footnote>
  <w:footnote w:id="11">
    <w:p w14:paraId="3A28EC6E" w14:textId="19CC1DC9" w:rsidR="003F138E" w:rsidRPr="003F138E" w:rsidRDefault="003F138E"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47</w:t>
      </w:r>
      <w:r w:rsidRPr="0032003A">
        <w:t>.</w:t>
      </w:r>
    </w:p>
  </w:footnote>
  <w:footnote w:id="12">
    <w:p w14:paraId="1E3FCA7F" w14:textId="4C664C42" w:rsidR="00F90F17" w:rsidRPr="00F90F17" w:rsidRDefault="00F90F17" w:rsidP="002F012B">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w:t>
      </w:r>
      <w:r>
        <w:t>9</w:t>
      </w:r>
      <w:r w:rsidRPr="0032003A">
        <w:t>.</w:t>
      </w:r>
    </w:p>
  </w:footnote>
  <w:footnote w:id="13">
    <w:p w14:paraId="6B9596F0" w14:textId="7A58A6CA" w:rsidR="002F012B" w:rsidRPr="002F012B" w:rsidRDefault="002F012B" w:rsidP="002F012B">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rsidR="00263631">
        <w:t>46</w:t>
      </w:r>
      <w:r w:rsidRPr="0032003A">
        <w:t>.</w:t>
      </w:r>
    </w:p>
  </w:footnote>
  <w:footnote w:id="14">
    <w:p w14:paraId="7DC1F9AF" w14:textId="68B6CC2C" w:rsidR="00D4309F" w:rsidRPr="00D4309F" w:rsidRDefault="00D4309F" w:rsidP="00557E52">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rsidR="00E10DEE">
        <w:t>22</w:t>
      </w:r>
      <w:r w:rsidRPr="0032003A">
        <w:t>.</w:t>
      </w:r>
    </w:p>
  </w:footnote>
  <w:footnote w:id="15">
    <w:p w14:paraId="357B674C" w14:textId="4EC7C263" w:rsidR="00481321" w:rsidRPr="00481321" w:rsidRDefault="00481321"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rsidR="003C2C01">
        <w:t>25</w:t>
      </w:r>
      <w:r w:rsidRPr="0032003A">
        <w:t>.</w:t>
      </w:r>
    </w:p>
  </w:footnote>
  <w:footnote w:id="16">
    <w:p w14:paraId="3182900E" w14:textId="1A9EF3CA" w:rsidR="003C2C01" w:rsidRPr="003C2C01" w:rsidRDefault="003C2C01"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25</w:t>
      </w:r>
      <w:r w:rsidRPr="0032003A">
        <w:t>.</w:t>
      </w:r>
    </w:p>
  </w:footnote>
  <w:footnote w:id="17">
    <w:p w14:paraId="69A23783" w14:textId="040E1675" w:rsidR="003C2C01" w:rsidRPr="003C2C01" w:rsidRDefault="003C2C01"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25</w:t>
      </w:r>
      <w:r w:rsidRPr="0032003A">
        <w:t>.</w:t>
      </w:r>
    </w:p>
  </w:footnote>
  <w:footnote w:id="18">
    <w:p w14:paraId="3FB6FFFC" w14:textId="12BC4E5E" w:rsidR="007951EC" w:rsidRPr="007951EC" w:rsidRDefault="007951EC"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19</w:t>
      </w:r>
      <w:r w:rsidRPr="0032003A">
        <w:t>.</w:t>
      </w:r>
    </w:p>
  </w:footnote>
  <w:footnote w:id="19">
    <w:p w14:paraId="0C308504" w14:textId="6C2E2BC4" w:rsidR="001A1DC4" w:rsidRPr="001A1DC4" w:rsidRDefault="001A1DC4"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w:t>
      </w:r>
      <w:r>
        <w:t>9</w:t>
      </w:r>
      <w:r w:rsidRPr="0032003A">
        <w:t>.</w:t>
      </w:r>
    </w:p>
  </w:footnote>
  <w:footnote w:id="20">
    <w:p w14:paraId="2D23CB51" w14:textId="18DBCA36" w:rsidR="004411FA" w:rsidRPr="004411FA" w:rsidRDefault="004411FA"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2</w:t>
      </w:r>
      <w:r>
        <w:t>6</w:t>
      </w:r>
      <w:r w:rsidRPr="0032003A">
        <w:t>.</w:t>
      </w:r>
    </w:p>
  </w:footnote>
  <w:footnote w:id="21">
    <w:p w14:paraId="3535F7A1" w14:textId="7E2867DE" w:rsidR="005A6138" w:rsidRPr="005A6138" w:rsidRDefault="005A6138"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30</w:t>
      </w:r>
      <w:r w:rsidRPr="0032003A">
        <w:t>.</w:t>
      </w:r>
    </w:p>
  </w:footnote>
  <w:footnote w:id="22">
    <w:p w14:paraId="18BC0008" w14:textId="4174DB10" w:rsidR="00DC0F74" w:rsidRPr="00DC0F74" w:rsidRDefault="00DC0F74" w:rsidP="00734FAC">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INSOL International, London (2022), p</w:t>
      </w:r>
      <w:r w:rsidR="00AB7751">
        <w:t>p</w:t>
      </w:r>
      <w:r w:rsidRPr="0032003A">
        <w:t xml:space="preserve"> </w:t>
      </w:r>
      <w:r>
        <w:t>3</w:t>
      </w:r>
      <w:r>
        <w:t>3-34</w:t>
      </w:r>
      <w:r w:rsidRPr="0032003A">
        <w:t>.</w:t>
      </w:r>
    </w:p>
  </w:footnote>
  <w:footnote w:id="23">
    <w:p w14:paraId="6ECC9096" w14:textId="43C62ACD" w:rsidR="00AB7751" w:rsidRPr="00AB7751" w:rsidRDefault="00AB7751" w:rsidP="00734FAC">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3</w:t>
      </w:r>
      <w:r>
        <w:t>7</w:t>
      </w:r>
      <w:r w:rsidRPr="0032003A">
        <w:t>.</w:t>
      </w:r>
    </w:p>
  </w:footnote>
  <w:footnote w:id="24">
    <w:p w14:paraId="3F313076" w14:textId="66AF509F" w:rsidR="00013C26" w:rsidRPr="00013C26" w:rsidRDefault="00013C26" w:rsidP="006A4623">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41</w:t>
      </w:r>
      <w:r w:rsidRPr="0032003A">
        <w:t>.</w:t>
      </w:r>
    </w:p>
  </w:footnote>
  <w:footnote w:id="25">
    <w:p w14:paraId="7448898D" w14:textId="0720EA8D" w:rsidR="00EC2255" w:rsidRPr="00EC2255" w:rsidRDefault="00EC2255">
      <w:pPr>
        <w:pStyle w:val="Textodenotaderodap"/>
        <w:rPr>
          <w:lang w:val="pt-BR"/>
        </w:rPr>
      </w:pPr>
      <w:r>
        <w:rPr>
          <w:rStyle w:val="Refdenotaderodap"/>
        </w:rPr>
        <w:footnoteRef/>
      </w:r>
      <w:r>
        <w:t xml:space="preserve"> </w:t>
      </w:r>
      <w:r w:rsidRPr="00EC2255">
        <w:t xml:space="preserve">Order of 24 February 2021 by </w:t>
      </w:r>
      <w:proofErr w:type="spellStart"/>
      <w:r w:rsidRPr="00EC2255">
        <w:t>Mr</w:t>
      </w:r>
      <w:proofErr w:type="spellEnd"/>
      <w:r w:rsidRPr="00EC2255">
        <w:t xml:space="preserve"> Justice Adam Johnson, [2021] EWHC 392 (CH) (the </w:t>
      </w:r>
      <w:proofErr w:type="spellStart"/>
      <w:r w:rsidRPr="00EC2255">
        <w:t>Protasov</w:t>
      </w:r>
      <w:proofErr w:type="spellEnd"/>
      <w:r w:rsidRPr="00EC2255">
        <w:t xml:space="preserve"> v </w:t>
      </w:r>
      <w:proofErr w:type="spellStart"/>
      <w:r w:rsidRPr="00EC2255">
        <w:t>Derev</w:t>
      </w:r>
      <w:proofErr w:type="spellEnd"/>
      <w:r w:rsidRPr="00EC2255">
        <w:t xml:space="preserve"> Case).</w:t>
      </w:r>
    </w:p>
  </w:footnote>
  <w:footnote w:id="26">
    <w:p w14:paraId="2627EA79" w14:textId="04EF73A4" w:rsidR="003A057E" w:rsidRPr="003A057E" w:rsidRDefault="003A057E" w:rsidP="00734FAC">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rsidR="00EC2255">
        <w:t>34</w:t>
      </w:r>
      <w:r w:rsidRPr="0032003A">
        <w:t>.</w:t>
      </w:r>
    </w:p>
  </w:footnote>
  <w:footnote w:id="27">
    <w:p w14:paraId="127B3432" w14:textId="6C1D0FDB" w:rsidR="009349E5" w:rsidRPr="009349E5" w:rsidRDefault="009349E5">
      <w:pPr>
        <w:pStyle w:val="Textodenotaderodap"/>
        <w:rPr>
          <w:lang w:val="pt-BR"/>
        </w:rPr>
      </w:pPr>
      <w:r>
        <w:rPr>
          <w:rStyle w:val="Refdenotaderodap"/>
        </w:rPr>
        <w:footnoteRef/>
      </w:r>
      <w:r>
        <w:t xml:space="preserve"> </w:t>
      </w:r>
      <w:r w:rsidRPr="00631267">
        <w:t xml:space="preserve">UNCITRAL Guide to Enactment, p </w:t>
      </w:r>
      <w:r w:rsidR="00D915FB">
        <w:t>39</w:t>
      </w:r>
      <w:r w:rsidRPr="00631267">
        <w:t xml:space="preserve">, para </w:t>
      </w:r>
      <w:r w:rsidR="00D915FB">
        <w:t>6</w:t>
      </w:r>
      <w:r>
        <w:t>6.</w:t>
      </w:r>
    </w:p>
  </w:footnote>
  <w:footnote w:id="28">
    <w:p w14:paraId="41D8C41D" w14:textId="6C5F7EC0" w:rsidR="00BA6BB5" w:rsidRPr="00BA6BB5" w:rsidRDefault="00BA6BB5" w:rsidP="009313D9">
      <w:pPr>
        <w:pStyle w:val="Textodenotaderodap"/>
        <w:jc w:val="both"/>
        <w:rPr>
          <w:lang w:val="pt-BR"/>
        </w:rPr>
      </w:pPr>
      <w:r>
        <w:rPr>
          <w:rStyle w:val="Refdenotaderodap"/>
        </w:rPr>
        <w:footnoteRef/>
      </w:r>
      <w:r>
        <w:t xml:space="preserve"> </w:t>
      </w:r>
      <w:r w:rsidRPr="00631267">
        <w:t xml:space="preserve">UNCITRAL Guide to Enactment, p </w:t>
      </w:r>
      <w:r w:rsidR="00385324">
        <w:t>41</w:t>
      </w:r>
      <w:r w:rsidRPr="00631267">
        <w:t xml:space="preserve">, para </w:t>
      </w:r>
      <w:r w:rsidR="00385324">
        <w:t>73</w:t>
      </w:r>
      <w:r>
        <w:t>.</w:t>
      </w:r>
    </w:p>
  </w:footnote>
  <w:footnote w:id="29">
    <w:p w14:paraId="3F193E73" w14:textId="431D2B42" w:rsidR="00DA2587" w:rsidRPr="00DA2587" w:rsidRDefault="00DA2587" w:rsidP="009313D9">
      <w:pPr>
        <w:pStyle w:val="Textodenotaderodap"/>
        <w:jc w:val="both"/>
        <w:rPr>
          <w:lang w:val="pt-BR"/>
        </w:rPr>
      </w:pPr>
      <w:r>
        <w:rPr>
          <w:rStyle w:val="Refdenotaderodap"/>
        </w:rPr>
        <w:footnoteRef/>
      </w:r>
      <w:r>
        <w:t xml:space="preserve"> </w:t>
      </w:r>
      <w:r w:rsidRPr="00DA2587">
        <w:t xml:space="preserve">DECLERCQ, Peter J M, Module 2A Guidance Text: UNCITRAL Model Laws Relating to Insolvency, INSOL International, London (2022), p </w:t>
      </w:r>
      <w:r>
        <w:t>16</w:t>
      </w:r>
      <w:r w:rsidRPr="00DA2587">
        <w:t>.</w:t>
      </w:r>
    </w:p>
  </w:footnote>
  <w:footnote w:id="30">
    <w:p w14:paraId="23ADAC4C" w14:textId="6BF97176" w:rsidR="00E96E55" w:rsidRPr="00E96E55" w:rsidRDefault="00E96E55" w:rsidP="009313D9">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14</w:t>
      </w:r>
      <w:r w:rsidRPr="0032003A">
        <w:t>.</w:t>
      </w:r>
    </w:p>
  </w:footnote>
  <w:footnote w:id="31">
    <w:p w14:paraId="187C38DA" w14:textId="4D160B35" w:rsidR="005F4E2C" w:rsidRPr="005F4E2C" w:rsidRDefault="005F4E2C" w:rsidP="009313D9">
      <w:pPr>
        <w:pStyle w:val="Textodenotaderodap"/>
        <w:jc w:val="both"/>
        <w:rPr>
          <w:lang w:val="pt-BR"/>
        </w:rPr>
      </w:pPr>
      <w:r>
        <w:rPr>
          <w:rStyle w:val="Refdenotaderodap"/>
        </w:rPr>
        <w:footnoteRef/>
      </w:r>
      <w:r>
        <w:t xml:space="preserve"> </w:t>
      </w:r>
      <w:r w:rsidRPr="00631267">
        <w:t xml:space="preserve">UNCITRAL Guide to Enactment, p </w:t>
      </w:r>
      <w:r>
        <w:t>4</w:t>
      </w:r>
      <w:r w:rsidR="00E55886">
        <w:t>1</w:t>
      </w:r>
      <w:r w:rsidRPr="00631267">
        <w:t xml:space="preserve">, para </w:t>
      </w:r>
      <w:r w:rsidR="00E55886">
        <w:t>74</w:t>
      </w:r>
      <w:r>
        <w:t>.</w:t>
      </w:r>
    </w:p>
  </w:footnote>
  <w:footnote w:id="32">
    <w:p w14:paraId="5EEC291C" w14:textId="77777777" w:rsidR="00E6439D" w:rsidRPr="00580FCD" w:rsidRDefault="00E6439D" w:rsidP="009313D9">
      <w:pPr>
        <w:pStyle w:val="Textodenotaderodap"/>
        <w:jc w:val="both"/>
        <w:rPr>
          <w:lang w:val="pt-BR"/>
        </w:rPr>
      </w:pPr>
      <w:r>
        <w:rPr>
          <w:rStyle w:val="Refdenotaderodap"/>
        </w:rPr>
        <w:footnoteRef/>
      </w:r>
      <w:r>
        <w:t xml:space="preserve"> </w:t>
      </w:r>
      <w:r w:rsidRPr="00DA2587">
        <w:t xml:space="preserve">DECLERCQ, Peter J M, Module 2A Guidance Text: UNCITRAL Model Laws Relating to Insolvency, INSOL International, London (2022), p </w:t>
      </w:r>
      <w:r>
        <w:t>16</w:t>
      </w:r>
      <w:r w:rsidRPr="00DA2587">
        <w:t>.</w:t>
      </w:r>
    </w:p>
  </w:footnote>
  <w:footnote w:id="33">
    <w:p w14:paraId="385E62D8" w14:textId="4F7AF398" w:rsidR="003C1B85" w:rsidRPr="003C1B85" w:rsidRDefault="003C1B85" w:rsidP="009313D9">
      <w:pPr>
        <w:pStyle w:val="Textodenotaderodap"/>
        <w:jc w:val="both"/>
        <w:rPr>
          <w:lang w:val="pt-BR"/>
        </w:rPr>
      </w:pPr>
      <w:r>
        <w:rPr>
          <w:rStyle w:val="Refdenotaderodap"/>
        </w:rPr>
        <w:footnoteRef/>
      </w:r>
      <w:r>
        <w:t xml:space="preserve"> </w:t>
      </w:r>
      <w:r w:rsidRPr="00DA2587">
        <w:t xml:space="preserve">DECLERCQ, Peter J M, Module 2A Guidance Text: UNCITRAL Model Laws Relating to Insolvency, INSOL International, London (2022), p </w:t>
      </w:r>
      <w:r>
        <w:t>16</w:t>
      </w:r>
      <w:r>
        <w:t>-17</w:t>
      </w:r>
      <w:r w:rsidRPr="00DA2587">
        <w:t>.</w:t>
      </w:r>
    </w:p>
  </w:footnote>
  <w:footnote w:id="34">
    <w:p w14:paraId="6DA51DA1" w14:textId="38C6EA26" w:rsidR="00301235" w:rsidRPr="00301235" w:rsidRDefault="00301235" w:rsidP="009313D9">
      <w:pPr>
        <w:pStyle w:val="Textodenotaderodap"/>
        <w:jc w:val="both"/>
        <w:rPr>
          <w:lang w:val="pt-BR"/>
        </w:rPr>
      </w:pPr>
      <w:r>
        <w:rPr>
          <w:rStyle w:val="Refdenotaderodap"/>
        </w:rPr>
        <w:footnoteRef/>
      </w:r>
      <w:r>
        <w:t xml:space="preserve"> </w:t>
      </w:r>
      <w:r w:rsidRPr="00631267">
        <w:t xml:space="preserve">UNCITRAL Guide to Enactment, p </w:t>
      </w:r>
      <w:r w:rsidR="0083085D">
        <w:t>46</w:t>
      </w:r>
      <w:r w:rsidRPr="00631267">
        <w:t xml:space="preserve">, para </w:t>
      </w:r>
      <w:r>
        <w:t>86</w:t>
      </w:r>
      <w:r>
        <w:t>.</w:t>
      </w:r>
    </w:p>
  </w:footnote>
  <w:footnote w:id="35">
    <w:p w14:paraId="1C96957D" w14:textId="5458D804" w:rsidR="001107FB" w:rsidRPr="001107FB" w:rsidRDefault="001107FB" w:rsidP="009313D9">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17</w:t>
      </w:r>
      <w:r w:rsidRPr="0032003A">
        <w:t>.</w:t>
      </w:r>
    </w:p>
  </w:footnote>
  <w:footnote w:id="36">
    <w:p w14:paraId="14251ED5" w14:textId="737A3197" w:rsidR="00577127" w:rsidRPr="00577127" w:rsidRDefault="00577127" w:rsidP="009313D9">
      <w:pPr>
        <w:pStyle w:val="Textodenotaderodap"/>
        <w:jc w:val="both"/>
        <w:rPr>
          <w:lang w:val="pt-BR"/>
        </w:rPr>
      </w:pPr>
      <w:r>
        <w:rPr>
          <w:rStyle w:val="Refdenotaderodap"/>
        </w:rPr>
        <w:footnoteRef/>
      </w:r>
      <w:r>
        <w:t xml:space="preserve"> </w:t>
      </w:r>
      <w:r>
        <w:t>DECLERCQ, Peter J M</w:t>
      </w:r>
      <w:r w:rsidRPr="0032003A">
        <w:t xml:space="preserve">, Module </w:t>
      </w:r>
      <w:r>
        <w:t>2A</w:t>
      </w:r>
      <w:r w:rsidRPr="0032003A">
        <w:t xml:space="preserve"> Guidance Text: </w:t>
      </w:r>
      <w:r>
        <w:t>UNCITRAL Model Laws Relating to Insolvency</w:t>
      </w:r>
      <w:r w:rsidRPr="0032003A">
        <w:t xml:space="preserve">, INSOL International, London (2022), p </w:t>
      </w:r>
      <w:r>
        <w:t>17</w:t>
      </w:r>
      <w:r w:rsidRPr="0032003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687009">
    <w:abstractNumId w:val="1"/>
  </w:num>
  <w:num w:numId="2" w16cid:durableId="1630278772">
    <w:abstractNumId w:val="48"/>
  </w:num>
  <w:num w:numId="3" w16cid:durableId="1172112111">
    <w:abstractNumId w:val="33"/>
  </w:num>
  <w:num w:numId="4" w16cid:durableId="304089980">
    <w:abstractNumId w:val="43"/>
  </w:num>
  <w:num w:numId="5" w16cid:durableId="395250478">
    <w:abstractNumId w:val="6"/>
  </w:num>
  <w:num w:numId="6" w16cid:durableId="724642437">
    <w:abstractNumId w:val="41"/>
  </w:num>
  <w:num w:numId="7" w16cid:durableId="1401367259">
    <w:abstractNumId w:val="18"/>
  </w:num>
  <w:num w:numId="8" w16cid:durableId="1970356261">
    <w:abstractNumId w:val="35"/>
  </w:num>
  <w:num w:numId="9" w16cid:durableId="404380296">
    <w:abstractNumId w:val="21"/>
  </w:num>
  <w:num w:numId="10" w16cid:durableId="371349793">
    <w:abstractNumId w:val="12"/>
  </w:num>
  <w:num w:numId="11" w16cid:durableId="1464618062">
    <w:abstractNumId w:val="23"/>
  </w:num>
  <w:num w:numId="12" w16cid:durableId="1872063489">
    <w:abstractNumId w:val="39"/>
  </w:num>
  <w:num w:numId="13" w16cid:durableId="1718620610">
    <w:abstractNumId w:val="4"/>
  </w:num>
  <w:num w:numId="14" w16cid:durableId="131942249">
    <w:abstractNumId w:val="30"/>
  </w:num>
  <w:num w:numId="15" w16cid:durableId="1340884100">
    <w:abstractNumId w:val="13"/>
  </w:num>
  <w:num w:numId="16" w16cid:durableId="535000327">
    <w:abstractNumId w:val="14"/>
  </w:num>
  <w:num w:numId="17" w16cid:durableId="892042215">
    <w:abstractNumId w:val="25"/>
  </w:num>
  <w:num w:numId="18" w16cid:durableId="116874142">
    <w:abstractNumId w:val="5"/>
  </w:num>
  <w:num w:numId="19" w16cid:durableId="1021247668">
    <w:abstractNumId w:val="24"/>
  </w:num>
  <w:num w:numId="20" w16cid:durableId="1138571777">
    <w:abstractNumId w:val="47"/>
  </w:num>
  <w:num w:numId="21" w16cid:durableId="342443526">
    <w:abstractNumId w:val="16"/>
  </w:num>
  <w:num w:numId="22" w16cid:durableId="1396195476">
    <w:abstractNumId w:val="38"/>
  </w:num>
  <w:num w:numId="23" w16cid:durableId="836502675">
    <w:abstractNumId w:val="45"/>
  </w:num>
  <w:num w:numId="24" w16cid:durableId="1472140092">
    <w:abstractNumId w:val="37"/>
  </w:num>
  <w:num w:numId="25" w16cid:durableId="1999922272">
    <w:abstractNumId w:val="29"/>
  </w:num>
  <w:num w:numId="26" w16cid:durableId="1546138470">
    <w:abstractNumId w:val="46"/>
  </w:num>
  <w:num w:numId="27" w16cid:durableId="790246214">
    <w:abstractNumId w:val="42"/>
  </w:num>
  <w:num w:numId="28" w16cid:durableId="859852304">
    <w:abstractNumId w:val="8"/>
  </w:num>
  <w:num w:numId="29" w16cid:durableId="1704673028">
    <w:abstractNumId w:val="9"/>
  </w:num>
  <w:num w:numId="30" w16cid:durableId="646126560">
    <w:abstractNumId w:val="26"/>
  </w:num>
  <w:num w:numId="31" w16cid:durableId="2014599128">
    <w:abstractNumId w:val="2"/>
  </w:num>
  <w:num w:numId="32" w16cid:durableId="1808084675">
    <w:abstractNumId w:val="28"/>
  </w:num>
  <w:num w:numId="33" w16cid:durableId="497308426">
    <w:abstractNumId w:val="0"/>
  </w:num>
  <w:num w:numId="34" w16cid:durableId="1806073163">
    <w:abstractNumId w:val="34"/>
  </w:num>
  <w:num w:numId="35" w16cid:durableId="437919190">
    <w:abstractNumId w:val="20"/>
  </w:num>
  <w:num w:numId="36" w16cid:durableId="723942752">
    <w:abstractNumId w:val="36"/>
  </w:num>
  <w:num w:numId="37" w16cid:durableId="90319256">
    <w:abstractNumId w:val="22"/>
  </w:num>
  <w:num w:numId="38" w16cid:durableId="15008262">
    <w:abstractNumId w:val="32"/>
  </w:num>
  <w:num w:numId="39" w16cid:durableId="501552424">
    <w:abstractNumId w:val="3"/>
  </w:num>
  <w:num w:numId="40" w16cid:durableId="663778838">
    <w:abstractNumId w:val="19"/>
  </w:num>
  <w:num w:numId="41" w16cid:durableId="1327199816">
    <w:abstractNumId w:val="40"/>
  </w:num>
  <w:num w:numId="42" w16cid:durableId="1013338139">
    <w:abstractNumId w:val="15"/>
  </w:num>
  <w:num w:numId="43" w16cid:durableId="1605960373">
    <w:abstractNumId w:val="27"/>
  </w:num>
  <w:num w:numId="44" w16cid:durableId="1396050853">
    <w:abstractNumId w:val="11"/>
  </w:num>
  <w:num w:numId="45" w16cid:durableId="1898931826">
    <w:abstractNumId w:val="10"/>
  </w:num>
  <w:num w:numId="46" w16cid:durableId="336153067">
    <w:abstractNumId w:val="31"/>
  </w:num>
  <w:num w:numId="47" w16cid:durableId="847864444">
    <w:abstractNumId w:val="17"/>
  </w:num>
  <w:num w:numId="48" w16cid:durableId="1950356168">
    <w:abstractNumId w:val="7"/>
  </w:num>
  <w:num w:numId="49" w16cid:durableId="27607721">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C26"/>
    <w:rsid w:val="00020557"/>
    <w:rsid w:val="000232A1"/>
    <w:rsid w:val="000250C7"/>
    <w:rsid w:val="00025CCF"/>
    <w:rsid w:val="000300E0"/>
    <w:rsid w:val="0003114A"/>
    <w:rsid w:val="000314E5"/>
    <w:rsid w:val="00032139"/>
    <w:rsid w:val="000352C1"/>
    <w:rsid w:val="0003619C"/>
    <w:rsid w:val="00037621"/>
    <w:rsid w:val="000404E6"/>
    <w:rsid w:val="00044533"/>
    <w:rsid w:val="00044D46"/>
    <w:rsid w:val="00045088"/>
    <w:rsid w:val="000452CD"/>
    <w:rsid w:val="00045904"/>
    <w:rsid w:val="000464F7"/>
    <w:rsid w:val="0005141D"/>
    <w:rsid w:val="0005576F"/>
    <w:rsid w:val="0005722B"/>
    <w:rsid w:val="00060E02"/>
    <w:rsid w:val="00064A9B"/>
    <w:rsid w:val="00065166"/>
    <w:rsid w:val="00067A88"/>
    <w:rsid w:val="00070B92"/>
    <w:rsid w:val="00073474"/>
    <w:rsid w:val="00077D49"/>
    <w:rsid w:val="00082609"/>
    <w:rsid w:val="000851CC"/>
    <w:rsid w:val="00092AD2"/>
    <w:rsid w:val="00093BE8"/>
    <w:rsid w:val="00097B63"/>
    <w:rsid w:val="000A41F9"/>
    <w:rsid w:val="000A68ED"/>
    <w:rsid w:val="000A703C"/>
    <w:rsid w:val="000B4FEB"/>
    <w:rsid w:val="000B5FF1"/>
    <w:rsid w:val="000B609F"/>
    <w:rsid w:val="000C147F"/>
    <w:rsid w:val="000C6BB9"/>
    <w:rsid w:val="000D2EE7"/>
    <w:rsid w:val="000D3054"/>
    <w:rsid w:val="000D32A9"/>
    <w:rsid w:val="000D55A8"/>
    <w:rsid w:val="000E0162"/>
    <w:rsid w:val="000E4841"/>
    <w:rsid w:val="000E4D93"/>
    <w:rsid w:val="000E4E5B"/>
    <w:rsid w:val="000E6325"/>
    <w:rsid w:val="000F1677"/>
    <w:rsid w:val="000F3D6C"/>
    <w:rsid w:val="000F579C"/>
    <w:rsid w:val="00101707"/>
    <w:rsid w:val="001019C2"/>
    <w:rsid w:val="001107FB"/>
    <w:rsid w:val="00114082"/>
    <w:rsid w:val="0011473D"/>
    <w:rsid w:val="00115C85"/>
    <w:rsid w:val="0012140E"/>
    <w:rsid w:val="00123855"/>
    <w:rsid w:val="00126A4D"/>
    <w:rsid w:val="00126D5C"/>
    <w:rsid w:val="0013037B"/>
    <w:rsid w:val="00135FF0"/>
    <w:rsid w:val="001374D8"/>
    <w:rsid w:val="00140E0A"/>
    <w:rsid w:val="0014171F"/>
    <w:rsid w:val="0014622C"/>
    <w:rsid w:val="00150303"/>
    <w:rsid w:val="00151F58"/>
    <w:rsid w:val="00152348"/>
    <w:rsid w:val="00152845"/>
    <w:rsid w:val="0015456D"/>
    <w:rsid w:val="0015549B"/>
    <w:rsid w:val="00155FA2"/>
    <w:rsid w:val="001578CB"/>
    <w:rsid w:val="00161F1B"/>
    <w:rsid w:val="001622A4"/>
    <w:rsid w:val="00162829"/>
    <w:rsid w:val="001672E0"/>
    <w:rsid w:val="00167C32"/>
    <w:rsid w:val="0017257C"/>
    <w:rsid w:val="00176079"/>
    <w:rsid w:val="0017652E"/>
    <w:rsid w:val="00180548"/>
    <w:rsid w:val="00180AC4"/>
    <w:rsid w:val="00180CCE"/>
    <w:rsid w:val="00181090"/>
    <w:rsid w:val="00182648"/>
    <w:rsid w:val="0018267A"/>
    <w:rsid w:val="00182779"/>
    <w:rsid w:val="001830DF"/>
    <w:rsid w:val="0018610A"/>
    <w:rsid w:val="00190FD2"/>
    <w:rsid w:val="001966D9"/>
    <w:rsid w:val="001A1640"/>
    <w:rsid w:val="001A186F"/>
    <w:rsid w:val="001A1DC4"/>
    <w:rsid w:val="001A24E7"/>
    <w:rsid w:val="001A2B78"/>
    <w:rsid w:val="001A7E9A"/>
    <w:rsid w:val="001B0F70"/>
    <w:rsid w:val="001B5016"/>
    <w:rsid w:val="001C3837"/>
    <w:rsid w:val="001C45FC"/>
    <w:rsid w:val="001D02C5"/>
    <w:rsid w:val="001D3CA5"/>
    <w:rsid w:val="001D4862"/>
    <w:rsid w:val="001D6D8B"/>
    <w:rsid w:val="001E25B9"/>
    <w:rsid w:val="001E49E0"/>
    <w:rsid w:val="001E60C3"/>
    <w:rsid w:val="001E7B5A"/>
    <w:rsid w:val="001F5DFA"/>
    <w:rsid w:val="001F7412"/>
    <w:rsid w:val="00200FDD"/>
    <w:rsid w:val="00201874"/>
    <w:rsid w:val="00202133"/>
    <w:rsid w:val="0020264E"/>
    <w:rsid w:val="0020725B"/>
    <w:rsid w:val="00211D8D"/>
    <w:rsid w:val="00213E08"/>
    <w:rsid w:val="002175BA"/>
    <w:rsid w:val="0022599E"/>
    <w:rsid w:val="002305E8"/>
    <w:rsid w:val="0023198D"/>
    <w:rsid w:val="0023317E"/>
    <w:rsid w:val="00234F2C"/>
    <w:rsid w:val="00236000"/>
    <w:rsid w:val="00240B0E"/>
    <w:rsid w:val="0024116D"/>
    <w:rsid w:val="00241B44"/>
    <w:rsid w:val="00245EFB"/>
    <w:rsid w:val="00246E65"/>
    <w:rsid w:val="00250E19"/>
    <w:rsid w:val="0025386E"/>
    <w:rsid w:val="00253E45"/>
    <w:rsid w:val="00257437"/>
    <w:rsid w:val="00263631"/>
    <w:rsid w:val="002638B0"/>
    <w:rsid w:val="00264FFF"/>
    <w:rsid w:val="002650D7"/>
    <w:rsid w:val="002654E8"/>
    <w:rsid w:val="0026647A"/>
    <w:rsid w:val="002668D3"/>
    <w:rsid w:val="002675BE"/>
    <w:rsid w:val="0027190B"/>
    <w:rsid w:val="0027299F"/>
    <w:rsid w:val="00276913"/>
    <w:rsid w:val="002807C1"/>
    <w:rsid w:val="0028084E"/>
    <w:rsid w:val="0028135B"/>
    <w:rsid w:val="00282480"/>
    <w:rsid w:val="00284EBE"/>
    <w:rsid w:val="002870D7"/>
    <w:rsid w:val="0029433F"/>
    <w:rsid w:val="00294829"/>
    <w:rsid w:val="00294F3B"/>
    <w:rsid w:val="0029690F"/>
    <w:rsid w:val="002A17EC"/>
    <w:rsid w:val="002A1EEC"/>
    <w:rsid w:val="002A2A60"/>
    <w:rsid w:val="002B073E"/>
    <w:rsid w:val="002B1C45"/>
    <w:rsid w:val="002C13C8"/>
    <w:rsid w:val="002C3547"/>
    <w:rsid w:val="002D0021"/>
    <w:rsid w:val="002D3473"/>
    <w:rsid w:val="002D5C95"/>
    <w:rsid w:val="002E00F8"/>
    <w:rsid w:val="002E1BB5"/>
    <w:rsid w:val="002E2322"/>
    <w:rsid w:val="002E38E2"/>
    <w:rsid w:val="002F012B"/>
    <w:rsid w:val="002F1956"/>
    <w:rsid w:val="002F3440"/>
    <w:rsid w:val="002F4EC0"/>
    <w:rsid w:val="002F6AEE"/>
    <w:rsid w:val="002F71BE"/>
    <w:rsid w:val="002F75A3"/>
    <w:rsid w:val="002F78CA"/>
    <w:rsid w:val="00301235"/>
    <w:rsid w:val="00302311"/>
    <w:rsid w:val="00303C2F"/>
    <w:rsid w:val="00312911"/>
    <w:rsid w:val="003144EF"/>
    <w:rsid w:val="003148CA"/>
    <w:rsid w:val="00315506"/>
    <w:rsid w:val="003157F3"/>
    <w:rsid w:val="0032003A"/>
    <w:rsid w:val="00322F3B"/>
    <w:rsid w:val="00325EB4"/>
    <w:rsid w:val="00326292"/>
    <w:rsid w:val="00326415"/>
    <w:rsid w:val="00330937"/>
    <w:rsid w:val="00330B01"/>
    <w:rsid w:val="00330F31"/>
    <w:rsid w:val="0033442A"/>
    <w:rsid w:val="00334648"/>
    <w:rsid w:val="0033768C"/>
    <w:rsid w:val="00337938"/>
    <w:rsid w:val="00340769"/>
    <w:rsid w:val="00341AA6"/>
    <w:rsid w:val="00342459"/>
    <w:rsid w:val="003427B9"/>
    <w:rsid w:val="00342FCF"/>
    <w:rsid w:val="00346B16"/>
    <w:rsid w:val="00361A0A"/>
    <w:rsid w:val="00361E87"/>
    <w:rsid w:val="0036565C"/>
    <w:rsid w:val="003656D6"/>
    <w:rsid w:val="0036625E"/>
    <w:rsid w:val="00366466"/>
    <w:rsid w:val="0036760B"/>
    <w:rsid w:val="003707BC"/>
    <w:rsid w:val="0037465A"/>
    <w:rsid w:val="0037544E"/>
    <w:rsid w:val="00380BAB"/>
    <w:rsid w:val="00382C98"/>
    <w:rsid w:val="00384DB2"/>
    <w:rsid w:val="00385324"/>
    <w:rsid w:val="0038533C"/>
    <w:rsid w:val="00386568"/>
    <w:rsid w:val="00387106"/>
    <w:rsid w:val="00391F3E"/>
    <w:rsid w:val="003948D5"/>
    <w:rsid w:val="00396821"/>
    <w:rsid w:val="00397D3A"/>
    <w:rsid w:val="003A051E"/>
    <w:rsid w:val="003A057E"/>
    <w:rsid w:val="003A254A"/>
    <w:rsid w:val="003A2FEE"/>
    <w:rsid w:val="003A5148"/>
    <w:rsid w:val="003B1310"/>
    <w:rsid w:val="003B1465"/>
    <w:rsid w:val="003B170F"/>
    <w:rsid w:val="003B3C5F"/>
    <w:rsid w:val="003C089D"/>
    <w:rsid w:val="003C1B85"/>
    <w:rsid w:val="003C2C01"/>
    <w:rsid w:val="003C4471"/>
    <w:rsid w:val="003C66B1"/>
    <w:rsid w:val="003D0091"/>
    <w:rsid w:val="003D0A6D"/>
    <w:rsid w:val="003D122A"/>
    <w:rsid w:val="003E0B16"/>
    <w:rsid w:val="003E67D1"/>
    <w:rsid w:val="003F0E08"/>
    <w:rsid w:val="003F138E"/>
    <w:rsid w:val="003F745A"/>
    <w:rsid w:val="00405DC1"/>
    <w:rsid w:val="0040710D"/>
    <w:rsid w:val="0041139B"/>
    <w:rsid w:val="004137C3"/>
    <w:rsid w:val="00413D3A"/>
    <w:rsid w:val="00415F1F"/>
    <w:rsid w:val="004168FC"/>
    <w:rsid w:val="0042108F"/>
    <w:rsid w:val="00422242"/>
    <w:rsid w:val="00424D07"/>
    <w:rsid w:val="00430FED"/>
    <w:rsid w:val="00432179"/>
    <w:rsid w:val="00434292"/>
    <w:rsid w:val="00434A8C"/>
    <w:rsid w:val="00435583"/>
    <w:rsid w:val="00436884"/>
    <w:rsid w:val="00437297"/>
    <w:rsid w:val="00440DF7"/>
    <w:rsid w:val="004411FA"/>
    <w:rsid w:val="00443403"/>
    <w:rsid w:val="00444284"/>
    <w:rsid w:val="00445CE6"/>
    <w:rsid w:val="00447FE6"/>
    <w:rsid w:val="004534C2"/>
    <w:rsid w:val="0045446F"/>
    <w:rsid w:val="0045683E"/>
    <w:rsid w:val="00461776"/>
    <w:rsid w:val="00467F07"/>
    <w:rsid w:val="0047025B"/>
    <w:rsid w:val="00474CA0"/>
    <w:rsid w:val="00475FB8"/>
    <w:rsid w:val="00481321"/>
    <w:rsid w:val="00482336"/>
    <w:rsid w:val="00482DC2"/>
    <w:rsid w:val="00485744"/>
    <w:rsid w:val="00491675"/>
    <w:rsid w:val="00493855"/>
    <w:rsid w:val="0049508F"/>
    <w:rsid w:val="00497891"/>
    <w:rsid w:val="004A171E"/>
    <w:rsid w:val="004A5761"/>
    <w:rsid w:val="004A57DD"/>
    <w:rsid w:val="004A7B51"/>
    <w:rsid w:val="004A7D71"/>
    <w:rsid w:val="004A7EF3"/>
    <w:rsid w:val="004B11FD"/>
    <w:rsid w:val="004B1A76"/>
    <w:rsid w:val="004B23A2"/>
    <w:rsid w:val="004B292F"/>
    <w:rsid w:val="004C09F9"/>
    <w:rsid w:val="004C3D3A"/>
    <w:rsid w:val="004C4E97"/>
    <w:rsid w:val="004D1A5A"/>
    <w:rsid w:val="004D2FFF"/>
    <w:rsid w:val="004D3721"/>
    <w:rsid w:val="004D64F9"/>
    <w:rsid w:val="004E0549"/>
    <w:rsid w:val="004E2E92"/>
    <w:rsid w:val="004E30B0"/>
    <w:rsid w:val="004E622C"/>
    <w:rsid w:val="004F5FDF"/>
    <w:rsid w:val="0050157D"/>
    <w:rsid w:val="005042CC"/>
    <w:rsid w:val="005058BA"/>
    <w:rsid w:val="00506803"/>
    <w:rsid w:val="0050682B"/>
    <w:rsid w:val="00507AAC"/>
    <w:rsid w:val="00510850"/>
    <w:rsid w:val="005177FE"/>
    <w:rsid w:val="0052263B"/>
    <w:rsid w:val="00524728"/>
    <w:rsid w:val="00530003"/>
    <w:rsid w:val="00530E88"/>
    <w:rsid w:val="005331CA"/>
    <w:rsid w:val="0053353F"/>
    <w:rsid w:val="00533739"/>
    <w:rsid w:val="0053765B"/>
    <w:rsid w:val="00537970"/>
    <w:rsid w:val="00540B44"/>
    <w:rsid w:val="00540E3A"/>
    <w:rsid w:val="00544127"/>
    <w:rsid w:val="00544273"/>
    <w:rsid w:val="005463A9"/>
    <w:rsid w:val="00553EB2"/>
    <w:rsid w:val="005545A6"/>
    <w:rsid w:val="00556777"/>
    <w:rsid w:val="0055688E"/>
    <w:rsid w:val="0055795C"/>
    <w:rsid w:val="00557E52"/>
    <w:rsid w:val="00560534"/>
    <w:rsid w:val="0056391B"/>
    <w:rsid w:val="005650E2"/>
    <w:rsid w:val="00565292"/>
    <w:rsid w:val="0056535A"/>
    <w:rsid w:val="00565DEE"/>
    <w:rsid w:val="00567AD7"/>
    <w:rsid w:val="00567F31"/>
    <w:rsid w:val="00573E73"/>
    <w:rsid w:val="00575B2D"/>
    <w:rsid w:val="005768BA"/>
    <w:rsid w:val="00577127"/>
    <w:rsid w:val="00580FCD"/>
    <w:rsid w:val="005819C7"/>
    <w:rsid w:val="005833D0"/>
    <w:rsid w:val="005846F3"/>
    <w:rsid w:val="0058622F"/>
    <w:rsid w:val="00587461"/>
    <w:rsid w:val="00590023"/>
    <w:rsid w:val="00592F82"/>
    <w:rsid w:val="00593044"/>
    <w:rsid w:val="0059577C"/>
    <w:rsid w:val="005A0CCA"/>
    <w:rsid w:val="005A6138"/>
    <w:rsid w:val="005A6AEE"/>
    <w:rsid w:val="005A726D"/>
    <w:rsid w:val="005B396B"/>
    <w:rsid w:val="005B67AC"/>
    <w:rsid w:val="005C2C94"/>
    <w:rsid w:val="005C36BC"/>
    <w:rsid w:val="005C4865"/>
    <w:rsid w:val="005D43E0"/>
    <w:rsid w:val="005D58A3"/>
    <w:rsid w:val="005E0252"/>
    <w:rsid w:val="005E1B79"/>
    <w:rsid w:val="005E3530"/>
    <w:rsid w:val="005E554C"/>
    <w:rsid w:val="005E5C28"/>
    <w:rsid w:val="005F026D"/>
    <w:rsid w:val="005F21F4"/>
    <w:rsid w:val="005F2D0B"/>
    <w:rsid w:val="005F332F"/>
    <w:rsid w:val="005F43FF"/>
    <w:rsid w:val="005F4B31"/>
    <w:rsid w:val="005F4E2C"/>
    <w:rsid w:val="00610388"/>
    <w:rsid w:val="00612CA5"/>
    <w:rsid w:val="006153EC"/>
    <w:rsid w:val="0062008E"/>
    <w:rsid w:val="0062159E"/>
    <w:rsid w:val="00621A17"/>
    <w:rsid w:val="00622586"/>
    <w:rsid w:val="00622C2B"/>
    <w:rsid w:val="00622DCB"/>
    <w:rsid w:val="00627CC9"/>
    <w:rsid w:val="00627E7B"/>
    <w:rsid w:val="00630542"/>
    <w:rsid w:val="00631267"/>
    <w:rsid w:val="00632E44"/>
    <w:rsid w:val="00634622"/>
    <w:rsid w:val="00636808"/>
    <w:rsid w:val="00637C8B"/>
    <w:rsid w:val="00641002"/>
    <w:rsid w:val="00641515"/>
    <w:rsid w:val="00644476"/>
    <w:rsid w:val="00646DF5"/>
    <w:rsid w:val="00651AE3"/>
    <w:rsid w:val="00654C2F"/>
    <w:rsid w:val="00656B78"/>
    <w:rsid w:val="00657087"/>
    <w:rsid w:val="0066252C"/>
    <w:rsid w:val="00663614"/>
    <w:rsid w:val="006661EF"/>
    <w:rsid w:val="0067294B"/>
    <w:rsid w:val="00677736"/>
    <w:rsid w:val="0067785F"/>
    <w:rsid w:val="00677AEB"/>
    <w:rsid w:val="00680EF2"/>
    <w:rsid w:val="006839C2"/>
    <w:rsid w:val="00687A1D"/>
    <w:rsid w:val="00687BB2"/>
    <w:rsid w:val="00690D43"/>
    <w:rsid w:val="006920CC"/>
    <w:rsid w:val="00692AB2"/>
    <w:rsid w:val="006958A1"/>
    <w:rsid w:val="0069647C"/>
    <w:rsid w:val="00697EA1"/>
    <w:rsid w:val="006A1850"/>
    <w:rsid w:val="006A2646"/>
    <w:rsid w:val="006A3DF0"/>
    <w:rsid w:val="006A4623"/>
    <w:rsid w:val="006A62A2"/>
    <w:rsid w:val="006A6530"/>
    <w:rsid w:val="006B435A"/>
    <w:rsid w:val="006B4C64"/>
    <w:rsid w:val="006B4FFC"/>
    <w:rsid w:val="006C3845"/>
    <w:rsid w:val="006C4349"/>
    <w:rsid w:val="006C4427"/>
    <w:rsid w:val="006D0E6E"/>
    <w:rsid w:val="006D56E9"/>
    <w:rsid w:val="006D6BD5"/>
    <w:rsid w:val="006E067B"/>
    <w:rsid w:val="006E27DD"/>
    <w:rsid w:val="006E481A"/>
    <w:rsid w:val="006E5298"/>
    <w:rsid w:val="006F2CE3"/>
    <w:rsid w:val="006F734A"/>
    <w:rsid w:val="00700D83"/>
    <w:rsid w:val="00703819"/>
    <w:rsid w:val="00704852"/>
    <w:rsid w:val="00705590"/>
    <w:rsid w:val="00706297"/>
    <w:rsid w:val="00706AD5"/>
    <w:rsid w:val="007074E9"/>
    <w:rsid w:val="00707FC8"/>
    <w:rsid w:val="0071192D"/>
    <w:rsid w:val="00713DA4"/>
    <w:rsid w:val="00714BF1"/>
    <w:rsid w:val="00717167"/>
    <w:rsid w:val="00717E5B"/>
    <w:rsid w:val="00721383"/>
    <w:rsid w:val="0072554C"/>
    <w:rsid w:val="00725911"/>
    <w:rsid w:val="00726794"/>
    <w:rsid w:val="00731DBD"/>
    <w:rsid w:val="007333CC"/>
    <w:rsid w:val="0073399A"/>
    <w:rsid w:val="00734FAC"/>
    <w:rsid w:val="00743F77"/>
    <w:rsid w:val="00751F66"/>
    <w:rsid w:val="00756AA9"/>
    <w:rsid w:val="007603F5"/>
    <w:rsid w:val="007619BE"/>
    <w:rsid w:val="00764624"/>
    <w:rsid w:val="00764DB0"/>
    <w:rsid w:val="00765948"/>
    <w:rsid w:val="00766F8A"/>
    <w:rsid w:val="0076764D"/>
    <w:rsid w:val="0077498C"/>
    <w:rsid w:val="00777183"/>
    <w:rsid w:val="00783797"/>
    <w:rsid w:val="00783CCD"/>
    <w:rsid w:val="00784128"/>
    <w:rsid w:val="00784B4B"/>
    <w:rsid w:val="007854ED"/>
    <w:rsid w:val="00793173"/>
    <w:rsid w:val="007951EC"/>
    <w:rsid w:val="007A3471"/>
    <w:rsid w:val="007A3C75"/>
    <w:rsid w:val="007B3AC7"/>
    <w:rsid w:val="007B497A"/>
    <w:rsid w:val="007C1FCC"/>
    <w:rsid w:val="007C32A8"/>
    <w:rsid w:val="007C3FE5"/>
    <w:rsid w:val="007C6201"/>
    <w:rsid w:val="007C6988"/>
    <w:rsid w:val="007C73B3"/>
    <w:rsid w:val="007D28A1"/>
    <w:rsid w:val="007D7C92"/>
    <w:rsid w:val="007E1154"/>
    <w:rsid w:val="007E6BA4"/>
    <w:rsid w:val="007E7678"/>
    <w:rsid w:val="007F1512"/>
    <w:rsid w:val="007F41F8"/>
    <w:rsid w:val="007F60D0"/>
    <w:rsid w:val="0080454E"/>
    <w:rsid w:val="00804C32"/>
    <w:rsid w:val="00806302"/>
    <w:rsid w:val="00807119"/>
    <w:rsid w:val="008100C0"/>
    <w:rsid w:val="00812CD7"/>
    <w:rsid w:val="00817D57"/>
    <w:rsid w:val="00822764"/>
    <w:rsid w:val="008241C4"/>
    <w:rsid w:val="0082483F"/>
    <w:rsid w:val="008264CB"/>
    <w:rsid w:val="008279C0"/>
    <w:rsid w:val="0083085D"/>
    <w:rsid w:val="00835FD1"/>
    <w:rsid w:val="00844AC4"/>
    <w:rsid w:val="0084683C"/>
    <w:rsid w:val="008512FA"/>
    <w:rsid w:val="00853A74"/>
    <w:rsid w:val="00857763"/>
    <w:rsid w:val="00860E61"/>
    <w:rsid w:val="00867A8F"/>
    <w:rsid w:val="00867EE9"/>
    <w:rsid w:val="008723F3"/>
    <w:rsid w:val="00874467"/>
    <w:rsid w:val="00881DE6"/>
    <w:rsid w:val="008837A6"/>
    <w:rsid w:val="0089145D"/>
    <w:rsid w:val="008978CA"/>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8F7334"/>
    <w:rsid w:val="0090421A"/>
    <w:rsid w:val="00905A43"/>
    <w:rsid w:val="00907DC2"/>
    <w:rsid w:val="00910ACC"/>
    <w:rsid w:val="00912C79"/>
    <w:rsid w:val="009260A2"/>
    <w:rsid w:val="009313D9"/>
    <w:rsid w:val="009349E5"/>
    <w:rsid w:val="00935E99"/>
    <w:rsid w:val="0094182B"/>
    <w:rsid w:val="00942123"/>
    <w:rsid w:val="0094346F"/>
    <w:rsid w:val="00946D73"/>
    <w:rsid w:val="00951031"/>
    <w:rsid w:val="0095207B"/>
    <w:rsid w:val="00954461"/>
    <w:rsid w:val="00956085"/>
    <w:rsid w:val="00957951"/>
    <w:rsid w:val="00961ED5"/>
    <w:rsid w:val="00962045"/>
    <w:rsid w:val="00967EDA"/>
    <w:rsid w:val="00970897"/>
    <w:rsid w:val="00977574"/>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432"/>
    <w:rsid w:val="009C0850"/>
    <w:rsid w:val="009C0B8E"/>
    <w:rsid w:val="009C1BC8"/>
    <w:rsid w:val="009C2442"/>
    <w:rsid w:val="009C54E3"/>
    <w:rsid w:val="009D0811"/>
    <w:rsid w:val="009D0EE1"/>
    <w:rsid w:val="009D1183"/>
    <w:rsid w:val="009D30BB"/>
    <w:rsid w:val="009D5B53"/>
    <w:rsid w:val="009D64BA"/>
    <w:rsid w:val="009E1554"/>
    <w:rsid w:val="009E19C4"/>
    <w:rsid w:val="009E2AEB"/>
    <w:rsid w:val="009E2E27"/>
    <w:rsid w:val="009E358A"/>
    <w:rsid w:val="009E4DE3"/>
    <w:rsid w:val="009E5162"/>
    <w:rsid w:val="00A047EE"/>
    <w:rsid w:val="00A114EA"/>
    <w:rsid w:val="00A14577"/>
    <w:rsid w:val="00A153F7"/>
    <w:rsid w:val="00A2274A"/>
    <w:rsid w:val="00A235B7"/>
    <w:rsid w:val="00A27A7A"/>
    <w:rsid w:val="00A407EF"/>
    <w:rsid w:val="00A40806"/>
    <w:rsid w:val="00A413FD"/>
    <w:rsid w:val="00A45B5E"/>
    <w:rsid w:val="00A46B4C"/>
    <w:rsid w:val="00A5117B"/>
    <w:rsid w:val="00A515CB"/>
    <w:rsid w:val="00A5202E"/>
    <w:rsid w:val="00A54000"/>
    <w:rsid w:val="00A54689"/>
    <w:rsid w:val="00A60074"/>
    <w:rsid w:val="00A6627C"/>
    <w:rsid w:val="00A70BBC"/>
    <w:rsid w:val="00A71019"/>
    <w:rsid w:val="00A7439C"/>
    <w:rsid w:val="00A81029"/>
    <w:rsid w:val="00A83CB5"/>
    <w:rsid w:val="00A865A7"/>
    <w:rsid w:val="00A93852"/>
    <w:rsid w:val="00A96489"/>
    <w:rsid w:val="00AA0F07"/>
    <w:rsid w:val="00AA3A42"/>
    <w:rsid w:val="00AA5311"/>
    <w:rsid w:val="00AA7BAA"/>
    <w:rsid w:val="00AB685C"/>
    <w:rsid w:val="00AB6C2D"/>
    <w:rsid w:val="00AB7751"/>
    <w:rsid w:val="00AC08F7"/>
    <w:rsid w:val="00AC3839"/>
    <w:rsid w:val="00AC7082"/>
    <w:rsid w:val="00AC724C"/>
    <w:rsid w:val="00AD3FEA"/>
    <w:rsid w:val="00AD44D4"/>
    <w:rsid w:val="00AD7BBD"/>
    <w:rsid w:val="00AE2247"/>
    <w:rsid w:val="00AF228E"/>
    <w:rsid w:val="00B04137"/>
    <w:rsid w:val="00B1112C"/>
    <w:rsid w:val="00B11D19"/>
    <w:rsid w:val="00B12936"/>
    <w:rsid w:val="00B14819"/>
    <w:rsid w:val="00B14F32"/>
    <w:rsid w:val="00B17AA9"/>
    <w:rsid w:val="00B25850"/>
    <w:rsid w:val="00B32DE4"/>
    <w:rsid w:val="00B33578"/>
    <w:rsid w:val="00B370C3"/>
    <w:rsid w:val="00B411AE"/>
    <w:rsid w:val="00B46CE2"/>
    <w:rsid w:val="00B54122"/>
    <w:rsid w:val="00B55A9B"/>
    <w:rsid w:val="00B60190"/>
    <w:rsid w:val="00B61419"/>
    <w:rsid w:val="00B66C1F"/>
    <w:rsid w:val="00B72F5F"/>
    <w:rsid w:val="00B736DF"/>
    <w:rsid w:val="00B74FBD"/>
    <w:rsid w:val="00B77352"/>
    <w:rsid w:val="00B82586"/>
    <w:rsid w:val="00B829A3"/>
    <w:rsid w:val="00B86DB1"/>
    <w:rsid w:val="00B87869"/>
    <w:rsid w:val="00B91190"/>
    <w:rsid w:val="00BA0E44"/>
    <w:rsid w:val="00BA47C5"/>
    <w:rsid w:val="00BA5392"/>
    <w:rsid w:val="00BA6BB5"/>
    <w:rsid w:val="00BB0F2B"/>
    <w:rsid w:val="00BB1A8C"/>
    <w:rsid w:val="00BD0D57"/>
    <w:rsid w:val="00BD67ED"/>
    <w:rsid w:val="00BE1A50"/>
    <w:rsid w:val="00BF50F7"/>
    <w:rsid w:val="00C02522"/>
    <w:rsid w:val="00C02F29"/>
    <w:rsid w:val="00C10C13"/>
    <w:rsid w:val="00C16D71"/>
    <w:rsid w:val="00C17111"/>
    <w:rsid w:val="00C20747"/>
    <w:rsid w:val="00C20AFE"/>
    <w:rsid w:val="00C22A25"/>
    <w:rsid w:val="00C23B79"/>
    <w:rsid w:val="00C24838"/>
    <w:rsid w:val="00C33D50"/>
    <w:rsid w:val="00C35671"/>
    <w:rsid w:val="00C358AD"/>
    <w:rsid w:val="00C35B77"/>
    <w:rsid w:val="00C370D3"/>
    <w:rsid w:val="00C376EB"/>
    <w:rsid w:val="00C4003A"/>
    <w:rsid w:val="00C441E9"/>
    <w:rsid w:val="00C46EC1"/>
    <w:rsid w:val="00C504E5"/>
    <w:rsid w:val="00C5134E"/>
    <w:rsid w:val="00C53E2C"/>
    <w:rsid w:val="00C550C8"/>
    <w:rsid w:val="00C56B61"/>
    <w:rsid w:val="00C606C3"/>
    <w:rsid w:val="00C620F4"/>
    <w:rsid w:val="00C668B6"/>
    <w:rsid w:val="00C67ECE"/>
    <w:rsid w:val="00C7161B"/>
    <w:rsid w:val="00C72848"/>
    <w:rsid w:val="00C7514B"/>
    <w:rsid w:val="00C76EB3"/>
    <w:rsid w:val="00C7736C"/>
    <w:rsid w:val="00C82D87"/>
    <w:rsid w:val="00C841ED"/>
    <w:rsid w:val="00C85F17"/>
    <w:rsid w:val="00C8712A"/>
    <w:rsid w:val="00C91324"/>
    <w:rsid w:val="00C914F7"/>
    <w:rsid w:val="00C963D3"/>
    <w:rsid w:val="00C9725C"/>
    <w:rsid w:val="00CA2B7C"/>
    <w:rsid w:val="00CA6E0D"/>
    <w:rsid w:val="00CB1542"/>
    <w:rsid w:val="00CB2CBB"/>
    <w:rsid w:val="00CB351C"/>
    <w:rsid w:val="00CB56CE"/>
    <w:rsid w:val="00CB7CAC"/>
    <w:rsid w:val="00CC0EA0"/>
    <w:rsid w:val="00CC170B"/>
    <w:rsid w:val="00CC5335"/>
    <w:rsid w:val="00CC5BA4"/>
    <w:rsid w:val="00CC70BB"/>
    <w:rsid w:val="00CD1B0A"/>
    <w:rsid w:val="00CD3420"/>
    <w:rsid w:val="00CD4998"/>
    <w:rsid w:val="00CE1035"/>
    <w:rsid w:val="00CE51BF"/>
    <w:rsid w:val="00CF0DB8"/>
    <w:rsid w:val="00CF2819"/>
    <w:rsid w:val="00CF40E4"/>
    <w:rsid w:val="00CF4F9D"/>
    <w:rsid w:val="00CF70DC"/>
    <w:rsid w:val="00D148DC"/>
    <w:rsid w:val="00D1793F"/>
    <w:rsid w:val="00D17FDC"/>
    <w:rsid w:val="00D30B81"/>
    <w:rsid w:val="00D35F00"/>
    <w:rsid w:val="00D4309F"/>
    <w:rsid w:val="00D444C5"/>
    <w:rsid w:val="00D45AEA"/>
    <w:rsid w:val="00D474E3"/>
    <w:rsid w:val="00D476BA"/>
    <w:rsid w:val="00D4789E"/>
    <w:rsid w:val="00D5244F"/>
    <w:rsid w:val="00D52E4F"/>
    <w:rsid w:val="00D56A37"/>
    <w:rsid w:val="00D57202"/>
    <w:rsid w:val="00D6386E"/>
    <w:rsid w:val="00D63EFD"/>
    <w:rsid w:val="00D64826"/>
    <w:rsid w:val="00D7731D"/>
    <w:rsid w:val="00D80000"/>
    <w:rsid w:val="00D80DF2"/>
    <w:rsid w:val="00D83233"/>
    <w:rsid w:val="00D84752"/>
    <w:rsid w:val="00D85AB0"/>
    <w:rsid w:val="00D86B3B"/>
    <w:rsid w:val="00D8748A"/>
    <w:rsid w:val="00D915FB"/>
    <w:rsid w:val="00D92F2C"/>
    <w:rsid w:val="00D93196"/>
    <w:rsid w:val="00D94A4D"/>
    <w:rsid w:val="00D977AB"/>
    <w:rsid w:val="00D97A93"/>
    <w:rsid w:val="00DA1083"/>
    <w:rsid w:val="00DA1674"/>
    <w:rsid w:val="00DA2587"/>
    <w:rsid w:val="00DA26C8"/>
    <w:rsid w:val="00DB243C"/>
    <w:rsid w:val="00DB45DD"/>
    <w:rsid w:val="00DB482A"/>
    <w:rsid w:val="00DB4F64"/>
    <w:rsid w:val="00DB56F2"/>
    <w:rsid w:val="00DB6EF5"/>
    <w:rsid w:val="00DC0F74"/>
    <w:rsid w:val="00DC3089"/>
    <w:rsid w:val="00DC4380"/>
    <w:rsid w:val="00DC4420"/>
    <w:rsid w:val="00DC556E"/>
    <w:rsid w:val="00DD0802"/>
    <w:rsid w:val="00DD0A50"/>
    <w:rsid w:val="00DD0C47"/>
    <w:rsid w:val="00DD2E11"/>
    <w:rsid w:val="00DD4D8F"/>
    <w:rsid w:val="00DE03AF"/>
    <w:rsid w:val="00DE121C"/>
    <w:rsid w:val="00DE24D5"/>
    <w:rsid w:val="00DE2A27"/>
    <w:rsid w:val="00DE3705"/>
    <w:rsid w:val="00DE6633"/>
    <w:rsid w:val="00DF5BB2"/>
    <w:rsid w:val="00DF5F53"/>
    <w:rsid w:val="00DF75F8"/>
    <w:rsid w:val="00DF7A3A"/>
    <w:rsid w:val="00E00C00"/>
    <w:rsid w:val="00E02235"/>
    <w:rsid w:val="00E04A7C"/>
    <w:rsid w:val="00E059FB"/>
    <w:rsid w:val="00E069C4"/>
    <w:rsid w:val="00E07275"/>
    <w:rsid w:val="00E07866"/>
    <w:rsid w:val="00E07C5A"/>
    <w:rsid w:val="00E10DEE"/>
    <w:rsid w:val="00E15BA9"/>
    <w:rsid w:val="00E160F6"/>
    <w:rsid w:val="00E21187"/>
    <w:rsid w:val="00E25B22"/>
    <w:rsid w:val="00E2622D"/>
    <w:rsid w:val="00E26E19"/>
    <w:rsid w:val="00E27E3C"/>
    <w:rsid w:val="00E31DF3"/>
    <w:rsid w:val="00E32814"/>
    <w:rsid w:val="00E33448"/>
    <w:rsid w:val="00E33486"/>
    <w:rsid w:val="00E34181"/>
    <w:rsid w:val="00E41ABE"/>
    <w:rsid w:val="00E43764"/>
    <w:rsid w:val="00E450A4"/>
    <w:rsid w:val="00E47D7C"/>
    <w:rsid w:val="00E506BE"/>
    <w:rsid w:val="00E55547"/>
    <w:rsid w:val="00E55886"/>
    <w:rsid w:val="00E57410"/>
    <w:rsid w:val="00E60F1F"/>
    <w:rsid w:val="00E6302B"/>
    <w:rsid w:val="00E6439D"/>
    <w:rsid w:val="00E6452F"/>
    <w:rsid w:val="00E64619"/>
    <w:rsid w:val="00E64F45"/>
    <w:rsid w:val="00E6742D"/>
    <w:rsid w:val="00E71CB0"/>
    <w:rsid w:val="00E73529"/>
    <w:rsid w:val="00E77C3D"/>
    <w:rsid w:val="00E82E22"/>
    <w:rsid w:val="00E850FE"/>
    <w:rsid w:val="00E87702"/>
    <w:rsid w:val="00E909F0"/>
    <w:rsid w:val="00E90D47"/>
    <w:rsid w:val="00E93993"/>
    <w:rsid w:val="00E9597C"/>
    <w:rsid w:val="00E96E55"/>
    <w:rsid w:val="00EA0913"/>
    <w:rsid w:val="00EA0A2F"/>
    <w:rsid w:val="00EA6D31"/>
    <w:rsid w:val="00EB146B"/>
    <w:rsid w:val="00EB45AC"/>
    <w:rsid w:val="00EC08D4"/>
    <w:rsid w:val="00EC2255"/>
    <w:rsid w:val="00EC2AEA"/>
    <w:rsid w:val="00EC6E52"/>
    <w:rsid w:val="00EC7B11"/>
    <w:rsid w:val="00EC7F95"/>
    <w:rsid w:val="00ED0BC4"/>
    <w:rsid w:val="00ED3771"/>
    <w:rsid w:val="00ED4693"/>
    <w:rsid w:val="00ED4AB7"/>
    <w:rsid w:val="00ED562C"/>
    <w:rsid w:val="00ED6A32"/>
    <w:rsid w:val="00EE4971"/>
    <w:rsid w:val="00EF090E"/>
    <w:rsid w:val="00EF591A"/>
    <w:rsid w:val="00F033DA"/>
    <w:rsid w:val="00F070E5"/>
    <w:rsid w:val="00F11AAB"/>
    <w:rsid w:val="00F13FB1"/>
    <w:rsid w:val="00F1407A"/>
    <w:rsid w:val="00F15AFB"/>
    <w:rsid w:val="00F17BC1"/>
    <w:rsid w:val="00F17C87"/>
    <w:rsid w:val="00F20272"/>
    <w:rsid w:val="00F223E7"/>
    <w:rsid w:val="00F2288D"/>
    <w:rsid w:val="00F25779"/>
    <w:rsid w:val="00F2750A"/>
    <w:rsid w:val="00F27CD8"/>
    <w:rsid w:val="00F30351"/>
    <w:rsid w:val="00F3323E"/>
    <w:rsid w:val="00F341F4"/>
    <w:rsid w:val="00F34F9D"/>
    <w:rsid w:val="00F35862"/>
    <w:rsid w:val="00F35CCE"/>
    <w:rsid w:val="00F36F8E"/>
    <w:rsid w:val="00F4441D"/>
    <w:rsid w:val="00F44924"/>
    <w:rsid w:val="00F55241"/>
    <w:rsid w:val="00F5524B"/>
    <w:rsid w:val="00F57252"/>
    <w:rsid w:val="00F60538"/>
    <w:rsid w:val="00F61DD2"/>
    <w:rsid w:val="00F6523A"/>
    <w:rsid w:val="00F66AFF"/>
    <w:rsid w:val="00F71433"/>
    <w:rsid w:val="00F7241A"/>
    <w:rsid w:val="00F83E76"/>
    <w:rsid w:val="00F87BEA"/>
    <w:rsid w:val="00F90A57"/>
    <w:rsid w:val="00F90F17"/>
    <w:rsid w:val="00F918D2"/>
    <w:rsid w:val="00F9524F"/>
    <w:rsid w:val="00F97C5B"/>
    <w:rsid w:val="00FA05D2"/>
    <w:rsid w:val="00FA359A"/>
    <w:rsid w:val="00FA3D50"/>
    <w:rsid w:val="00FB009F"/>
    <w:rsid w:val="00FB25B0"/>
    <w:rsid w:val="00FB6136"/>
    <w:rsid w:val="00FB77F8"/>
    <w:rsid w:val="00FC374A"/>
    <w:rsid w:val="00FC7B47"/>
    <w:rsid w:val="00FD035C"/>
    <w:rsid w:val="00FD1285"/>
    <w:rsid w:val="00FD1A35"/>
    <w:rsid w:val="00FD1FE6"/>
    <w:rsid w:val="00FD36C5"/>
    <w:rsid w:val="00FD428C"/>
    <w:rsid w:val="00FD4FEA"/>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20</Pages>
  <Words>8195</Words>
  <Characters>44255</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lastModifiedBy>
  <cp:revision>283</cp:revision>
  <cp:lastPrinted>2019-08-27T05:42:00Z</cp:lastPrinted>
  <dcterms:created xsi:type="dcterms:W3CDTF">2022-07-22T09:49:00Z</dcterms:created>
  <dcterms:modified xsi:type="dcterms:W3CDTF">2023-03-01T16:56:00Z</dcterms:modified>
</cp:coreProperties>
</file>