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B130CB" w:rsidRDefault="00CE0ECD" w:rsidP="00B77B19">
      <w:pPr>
        <w:pStyle w:val="AODocTxt"/>
        <w:numPr>
          <w:ilvl w:val="0"/>
          <w:numId w:val="14"/>
        </w:numPr>
        <w:spacing w:before="0" w:line="240" w:lineRule="auto"/>
        <w:ind w:left="426"/>
        <w:rPr>
          <w:rFonts w:ascii="Avenir Next" w:hAnsi="Avenir Next"/>
          <w:highlight w:val="yellow"/>
        </w:rPr>
      </w:pPr>
      <w:r w:rsidRPr="00B130CB">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B130CB">
        <w:rPr>
          <w:rFonts w:ascii="Avenir Next" w:hAnsi="Avenir Next"/>
          <w:highlight w:val="yellow"/>
        </w:rPr>
        <w:t>(b)</w:t>
      </w:r>
      <w:r w:rsidRPr="00B130CB">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B130CB" w:rsidRDefault="00CE0ECD" w:rsidP="00097D56">
      <w:pPr>
        <w:pStyle w:val="AODocTxt"/>
        <w:numPr>
          <w:ilvl w:val="0"/>
          <w:numId w:val="16"/>
        </w:numPr>
        <w:spacing w:before="0" w:line="240" w:lineRule="auto"/>
        <w:ind w:left="426"/>
        <w:rPr>
          <w:rFonts w:ascii="Avenir Next" w:hAnsi="Avenir Next"/>
          <w:highlight w:val="yellow"/>
        </w:rPr>
      </w:pPr>
      <w:r w:rsidRPr="00B130CB">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B130CB" w:rsidRDefault="00CE0ECD" w:rsidP="00A82B32">
      <w:pPr>
        <w:pStyle w:val="AODocTxt"/>
        <w:numPr>
          <w:ilvl w:val="0"/>
          <w:numId w:val="18"/>
        </w:numPr>
        <w:spacing w:before="0" w:line="240" w:lineRule="auto"/>
        <w:ind w:left="426"/>
        <w:rPr>
          <w:rFonts w:ascii="Avenir Next" w:hAnsi="Avenir Next"/>
          <w:highlight w:val="yellow"/>
        </w:rPr>
      </w:pPr>
      <w:r w:rsidRPr="00B130CB">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B130CB" w:rsidRDefault="00CE0ECD" w:rsidP="00E421C6">
      <w:pPr>
        <w:pStyle w:val="AODocTxt"/>
        <w:numPr>
          <w:ilvl w:val="0"/>
          <w:numId w:val="20"/>
        </w:numPr>
        <w:spacing w:before="0" w:line="240" w:lineRule="auto"/>
        <w:ind w:left="426"/>
        <w:rPr>
          <w:rFonts w:ascii="Avenir Next" w:hAnsi="Avenir Next"/>
          <w:highlight w:val="yellow"/>
        </w:rPr>
      </w:pPr>
      <w:r w:rsidRPr="00B130CB">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3E5907" w:rsidRDefault="00CE0ECD" w:rsidP="00E421C6">
      <w:pPr>
        <w:pStyle w:val="AODocTxt"/>
        <w:numPr>
          <w:ilvl w:val="0"/>
          <w:numId w:val="22"/>
        </w:numPr>
        <w:spacing w:before="0" w:line="240" w:lineRule="auto"/>
        <w:ind w:left="426"/>
        <w:rPr>
          <w:rFonts w:ascii="Avenir Next" w:hAnsi="Avenir Next"/>
          <w:highlight w:val="yellow"/>
        </w:rPr>
      </w:pPr>
      <w:r w:rsidRPr="003E5907">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3E5907" w:rsidRDefault="00CE0ECD" w:rsidP="000346E7">
      <w:pPr>
        <w:pStyle w:val="AODocTxt"/>
        <w:numPr>
          <w:ilvl w:val="0"/>
          <w:numId w:val="24"/>
        </w:numPr>
        <w:spacing w:before="0" w:line="240" w:lineRule="auto"/>
        <w:ind w:left="426"/>
        <w:rPr>
          <w:rFonts w:ascii="Avenir Next" w:hAnsi="Avenir Next"/>
          <w:highlight w:val="yellow"/>
        </w:rPr>
      </w:pPr>
      <w:r w:rsidRPr="003E5907">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3E5907" w:rsidRDefault="00CE0ECD" w:rsidP="004830F8">
      <w:pPr>
        <w:pStyle w:val="AODocTxt"/>
        <w:numPr>
          <w:ilvl w:val="0"/>
          <w:numId w:val="26"/>
        </w:numPr>
        <w:spacing w:before="0" w:line="240" w:lineRule="auto"/>
        <w:ind w:left="426"/>
        <w:rPr>
          <w:rFonts w:ascii="Avenir Next" w:hAnsi="Avenir Next"/>
          <w:highlight w:val="yellow"/>
        </w:rPr>
      </w:pPr>
      <w:r w:rsidRPr="003E5907">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Pr="003E5907" w:rsidRDefault="00CE0ECD" w:rsidP="004830F8">
      <w:pPr>
        <w:pStyle w:val="AODocTxt"/>
        <w:numPr>
          <w:ilvl w:val="0"/>
          <w:numId w:val="26"/>
        </w:numPr>
        <w:spacing w:before="0" w:line="240" w:lineRule="auto"/>
        <w:ind w:left="426"/>
        <w:rPr>
          <w:rFonts w:ascii="Avenir Next" w:hAnsi="Avenir Next"/>
        </w:rPr>
      </w:pPr>
      <w:r w:rsidRPr="003E5907">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3E5907" w:rsidRDefault="00CE0ECD" w:rsidP="004830F8">
      <w:pPr>
        <w:pStyle w:val="AODocTxt"/>
        <w:numPr>
          <w:ilvl w:val="0"/>
          <w:numId w:val="28"/>
        </w:numPr>
        <w:spacing w:before="0" w:line="240" w:lineRule="auto"/>
        <w:ind w:left="426"/>
        <w:rPr>
          <w:rFonts w:ascii="Avenir Next" w:hAnsi="Avenir Next"/>
          <w:highlight w:val="yellow"/>
        </w:rPr>
      </w:pPr>
      <w:r w:rsidRPr="003E5907">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3E5907" w:rsidRDefault="00CE0ECD" w:rsidP="00AA0280">
      <w:pPr>
        <w:pStyle w:val="AODocTxt"/>
        <w:numPr>
          <w:ilvl w:val="0"/>
          <w:numId w:val="30"/>
        </w:numPr>
        <w:spacing w:before="0" w:line="240" w:lineRule="auto"/>
        <w:ind w:left="426"/>
        <w:rPr>
          <w:rFonts w:ascii="Avenir Next" w:hAnsi="Avenir Next"/>
          <w:highlight w:val="yellow"/>
        </w:rPr>
      </w:pPr>
      <w:r w:rsidRPr="003E5907">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2C4C8661" w:rsidR="00E41578" w:rsidRPr="00E41578" w:rsidRDefault="00455BF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Setoff occurs where A owes B money, while at the same time, B owes A money. </w:t>
      </w:r>
      <w:r w:rsidR="00956B9C">
        <w:rPr>
          <w:rFonts w:ascii="Avenir Next" w:hAnsi="Avenir Next" w:cs="Arial"/>
          <w:color w:val="7B7B7B" w:themeColor="accent3" w:themeShade="BF"/>
          <w:sz w:val="22"/>
          <w:szCs w:val="22"/>
          <w:lang w:val="en-GB"/>
        </w:rPr>
        <w:t xml:space="preserve">Setoff refers to A’s debt to B being extinguished by the amount of B’s debt to A. If setoff were permitted in B’s </w:t>
      </w:r>
      <w:r w:rsidR="00F96CC5">
        <w:rPr>
          <w:rFonts w:ascii="Avenir Next" w:hAnsi="Avenir Next" w:cs="Arial"/>
          <w:color w:val="7B7B7B" w:themeColor="accent3" w:themeShade="BF"/>
          <w:sz w:val="22"/>
          <w:szCs w:val="22"/>
          <w:lang w:val="en-GB"/>
        </w:rPr>
        <w:t>insolvency</w:t>
      </w:r>
      <w:r w:rsidR="00956B9C">
        <w:rPr>
          <w:rFonts w:ascii="Avenir Next" w:hAnsi="Avenir Next" w:cs="Arial"/>
          <w:color w:val="7B7B7B" w:themeColor="accent3" w:themeShade="BF"/>
          <w:sz w:val="22"/>
          <w:szCs w:val="22"/>
          <w:lang w:val="en-GB"/>
        </w:rPr>
        <w:t xml:space="preserve"> proceedings, A would in effect recover the full amount of its debt from B (because A’s debt would be offset by that full amount). This is not permitted in many circumstances because it places A in a better position than B’s other unsecured creditors.</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4EC1CD7D" w14:textId="128C8338" w:rsidR="00622C36" w:rsidRDefault="00956B9C" w:rsidP="00956B9C">
      <w:pPr>
        <w:jc w:val="both"/>
        <w:rPr>
          <w:rFonts w:ascii="Avenir Next" w:hAnsi="Avenir Next"/>
        </w:rPr>
      </w:pPr>
      <w:r>
        <w:rPr>
          <w:rFonts w:ascii="Avenir Next" w:hAnsi="Avenir Next" w:cs="Arial"/>
          <w:color w:val="7B7B7B" w:themeColor="accent3" w:themeShade="BF"/>
          <w:sz w:val="22"/>
          <w:szCs w:val="22"/>
          <w:lang w:val="en-GB"/>
        </w:rPr>
        <w:t>The first point of reference should be the Federal Rules of Bankruptcy Procedure. One should also have regard to the Federal Rules of Civil Procedure and the local rules of the bankruptcy court in which the filing will be made.</w:t>
      </w: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53E1720C" w14:textId="7705012C" w:rsidR="003A5537" w:rsidRDefault="00956B9C" w:rsidP="00956B9C">
      <w:pPr>
        <w:jc w:val="both"/>
        <w:rPr>
          <w:rFonts w:ascii="Avenir Next" w:hAnsi="Avenir Next"/>
        </w:rPr>
      </w:pPr>
      <w:r>
        <w:rPr>
          <w:rFonts w:ascii="Avenir Next" w:hAnsi="Avenir Next" w:cs="Arial"/>
          <w:color w:val="7B7B7B" w:themeColor="accent3" w:themeShade="BF"/>
          <w:sz w:val="22"/>
          <w:szCs w:val="22"/>
          <w:lang w:val="en-GB"/>
        </w:rPr>
        <w:t>The absolute priority rule requires that one category of claims is paid in full before payment begins on the next category of claims. It can be deviated from in Chapter 11 proceedings, where the affected creditors (</w:t>
      </w:r>
      <w:r w:rsidRPr="00956B9C">
        <w:rPr>
          <w:rFonts w:ascii="Avenir Next" w:hAnsi="Avenir Next" w:cs="Arial"/>
          <w:i/>
          <w:iCs/>
          <w:color w:val="7B7B7B" w:themeColor="accent3" w:themeShade="BF"/>
          <w:sz w:val="22"/>
          <w:szCs w:val="22"/>
          <w:lang w:val="en-GB"/>
        </w:rPr>
        <w:t>ie</w:t>
      </w:r>
      <w:r>
        <w:rPr>
          <w:rFonts w:ascii="Avenir Next" w:hAnsi="Avenir Next" w:cs="Arial"/>
          <w:color w:val="7B7B7B" w:themeColor="accent3" w:themeShade="BF"/>
          <w:sz w:val="22"/>
          <w:szCs w:val="22"/>
          <w:lang w:val="en-GB"/>
        </w:rPr>
        <w:t xml:space="preserve">., the creditors in relation to the first category of claims) consent to the deviation. </w:t>
      </w: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3CCCEB61" w:rsidR="00E41578" w:rsidRPr="00E41578" w:rsidRDefault="000E590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priming lien is a lien that is granted on encumbered property, but takes priority either senior or equal to that of the </w:t>
      </w:r>
      <w:r w:rsidR="00814D5C">
        <w:rPr>
          <w:rFonts w:ascii="Avenir Next" w:hAnsi="Avenir Next" w:cs="Arial"/>
          <w:color w:val="7B7B7B" w:themeColor="accent3" w:themeShade="BF"/>
          <w:sz w:val="22"/>
          <w:szCs w:val="22"/>
          <w:lang w:val="en-GB"/>
        </w:rPr>
        <w:t>existing</w:t>
      </w:r>
      <w:r>
        <w:rPr>
          <w:rFonts w:ascii="Avenir Next" w:hAnsi="Avenir Next" w:cs="Arial"/>
          <w:color w:val="7B7B7B" w:themeColor="accent3" w:themeShade="BF"/>
          <w:sz w:val="22"/>
          <w:szCs w:val="22"/>
          <w:lang w:val="en-GB"/>
        </w:rPr>
        <w:t xml:space="preserve"> lien on the property. Such a lien will be granted if a debtor is able to show that it has been unable to obtain credit in the form of: (a) unsecured debt that is given administrative </w:t>
      </w:r>
      <w:r>
        <w:rPr>
          <w:rFonts w:ascii="Avenir Next" w:hAnsi="Avenir Next" w:cs="Arial"/>
          <w:color w:val="7B7B7B" w:themeColor="accent3" w:themeShade="BF"/>
          <w:sz w:val="22"/>
          <w:szCs w:val="22"/>
          <w:lang w:val="en-GB"/>
        </w:rPr>
        <w:lastRenderedPageBreak/>
        <w:t>expense priority; (b) unsecured debt that is given priority ahead of administrative expenses; (c) secured debt with a lien on unencumbered property; or (d) secured debt with a junior lien on encumbered property. Thus, it will only be granted where a debtor’s assets are insufficient to: (a) fully satisfy administrative expenses; and (b) accommodate a junior lien.</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1A13F83A" w:rsidR="00E41578" w:rsidRDefault="000E590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preference is a transfer from debtor to a creditor within a certain period prior to </w:t>
      </w:r>
      <w:r w:rsidR="00026CCC">
        <w:rPr>
          <w:rFonts w:ascii="Avenir Next" w:hAnsi="Avenir Next" w:cs="Arial"/>
          <w:color w:val="7B7B7B" w:themeColor="accent3" w:themeShade="BF"/>
          <w:sz w:val="22"/>
          <w:szCs w:val="22"/>
          <w:lang w:val="en-GB"/>
        </w:rPr>
        <w:t xml:space="preserve">the petition that must be returned if it exceeds the amount that the creditor would obtain under Chapter 7 liquidation. There is no need to show fault on the part of either the debtor or the creditor. The elements of a preference claim are: (a) a transfer of an interest of the debtor in property – this could include a transfer of assets or a granting of security over assets; (b) for the benefit of a creditor; (c) for and on account of an antecedent debt – the transfer must be made in relation to a pre-existing debt from the debtor to the creditor, it cannot be a contemporaneous exchange of value (eg. a purchase of new goods from the creditor); (d) made while the debtor was insolvent; (e) made during the suspect period – 90 days before petition for non-insiders and 3 years before petition for insiders; and (f) that enables the creditor to receive more than it would have in a Chapter 7 liquidation. </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0CD676B4" w:rsidR="00E41578" w:rsidRPr="00F96CC5" w:rsidRDefault="00F96CC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bankruptcy court may enter a final order </w:t>
      </w:r>
      <w:r w:rsidR="00384164">
        <w:rPr>
          <w:rFonts w:ascii="Avenir Next" w:hAnsi="Avenir Next" w:cs="Arial"/>
          <w:color w:val="7B7B7B" w:themeColor="accent3" w:themeShade="BF"/>
          <w:sz w:val="22"/>
          <w:szCs w:val="22"/>
          <w:lang w:val="en-GB"/>
        </w:rPr>
        <w:t xml:space="preserve">in relation to a core matter it has jurisdiction over, either by law or by consent of parties. </w:t>
      </w:r>
      <w:r>
        <w:rPr>
          <w:rFonts w:ascii="Avenir Next" w:hAnsi="Avenir Next" w:cs="Arial"/>
          <w:color w:val="7B7B7B" w:themeColor="accent3" w:themeShade="BF"/>
          <w:sz w:val="22"/>
          <w:szCs w:val="22"/>
          <w:lang w:val="en-GB"/>
        </w:rPr>
        <w:t xml:space="preserve">Appeals from bankruptcy court orders are typically heard by the district courts. In some circuits, it is a Bankruptcy Appellate Panel made up of judges from the bankruptcy court who reviews the appeal. For non-final orders, leave must be sought for an appeal to be brought. When they are reviewed by the appellate court, they are reviewed </w:t>
      </w:r>
      <w:r>
        <w:rPr>
          <w:rFonts w:ascii="Avenir Next" w:hAnsi="Avenir Next" w:cs="Arial"/>
          <w:i/>
          <w:iCs/>
          <w:color w:val="7B7B7B" w:themeColor="accent3" w:themeShade="BF"/>
          <w:sz w:val="22"/>
          <w:szCs w:val="22"/>
          <w:lang w:val="en-GB"/>
        </w:rPr>
        <w:t>de novo</w:t>
      </w:r>
      <w:r>
        <w:rPr>
          <w:rFonts w:ascii="Avenir Next" w:hAnsi="Avenir Next" w:cs="Arial"/>
          <w:color w:val="7B7B7B" w:themeColor="accent3" w:themeShade="BF"/>
          <w:sz w:val="22"/>
          <w:szCs w:val="22"/>
          <w:lang w:val="en-GB"/>
        </w:rPr>
        <w:t xml:space="preserve"> in respect of all findings of fact and conclusions of law.</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7277B2BB" w:rsidR="00E41578" w:rsidRPr="00E41578" w:rsidRDefault="0038416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Pursuant to section</w:t>
      </w:r>
      <w:r w:rsidRPr="00384164">
        <w:rPr>
          <w:rFonts w:ascii="Avenir Next" w:hAnsi="Avenir Next" w:cs="Arial"/>
          <w:color w:val="7B7B7B" w:themeColor="accent3" w:themeShade="BF"/>
          <w:sz w:val="22"/>
          <w:szCs w:val="22"/>
          <w:lang w:val="en-GB"/>
        </w:rPr>
        <w:t xml:space="preserve"> 1520</w:t>
      </w:r>
      <w:r>
        <w:rPr>
          <w:rFonts w:ascii="Avenir Next" w:hAnsi="Avenir Next" w:cs="Arial"/>
          <w:color w:val="7B7B7B" w:themeColor="accent3" w:themeShade="BF"/>
          <w:sz w:val="22"/>
          <w:szCs w:val="22"/>
          <w:lang w:val="en-GB"/>
        </w:rPr>
        <w:t xml:space="preserve"> of the Bankruptcy Code, sections 361, 362 and 552 automatically apply. Pursuant to section 1521, the following relief may be granted on a discretionary basis for foreign proceedings: (a) a stay of proceedings; (b) stay of execution; (c) suspension of transfers; (d) examination of witnesses; (e) entrustment of the administration and realisation of the debtor’s assets to the foreign representative; (f) relief under s 1519(a); and (g) relief other than that under sections 522, 544, 545, 547, 548, 550 and 724(a).</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lastRenderedPageBreak/>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5A12ACFA" w:rsidR="00E41578" w:rsidRPr="00E41578" w:rsidRDefault="001406D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Directors owe their corporation a fiduciary duty of loyalty which requires them to act in the best interests of their corporation and exercise reasonable care in decision making. Directors are protected from liability for errors of judgment by the “business judgment rule”. This rule presumes that any act of the directors was done in good faith and with reasonable information. This presumption can then be rebutted by actual evidence that the directors acted in bad faith, did not genuinely believe that they were acting in the corporation’s best interests or were not acting with reasonable information. Thus, by virtue of the business judgment rule, where the directors have acted reasonably, they will not be in breach of their duties simply because their actions turned out to be harmful to the company. These directors’ duties are owed only to the corporation and its shareholders. They are not owed to creditors even where the corporation is potentially or actually insolvent. </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2C47FDAD" w14:textId="69E19FA4" w:rsidR="001406D5" w:rsidRPr="001406D5" w:rsidRDefault="001406D5"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qualify as a petitioning creditor, the creditor’s claim must: (a) be non-contingent – this means that the claim must not depend on the occurrence of a future event, and the claim must be matured in the sense that all the requirements for it to arise, other than passage of time, have been met; (b) not be the subject of a </w:t>
      </w:r>
      <w:r>
        <w:rPr>
          <w:rFonts w:ascii="Avenir Next" w:hAnsi="Avenir Next" w:cs="Arial"/>
          <w:i/>
          <w:iCs/>
          <w:color w:val="7B7B7B" w:themeColor="accent3" w:themeShade="BF"/>
          <w:sz w:val="22"/>
          <w:szCs w:val="22"/>
          <w:lang w:val="en-GB"/>
        </w:rPr>
        <w:t xml:space="preserve">bona fide </w:t>
      </w:r>
      <w:r>
        <w:rPr>
          <w:rFonts w:ascii="Avenir Next" w:hAnsi="Avenir Next" w:cs="Arial"/>
          <w:color w:val="7B7B7B" w:themeColor="accent3" w:themeShade="BF"/>
          <w:sz w:val="22"/>
          <w:szCs w:val="22"/>
          <w:lang w:val="en-GB"/>
        </w:rPr>
        <w:t xml:space="preserve"> dispute as to liability or amount – this means that there cannot be an objectively reasonable basis to dispute the claim as a matter of fact or law; and (c) the claim must amount to at least USD 16,750. </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 xml:space="preserve">(i) DOJ </w:t>
      </w:r>
      <w:r w:rsidRPr="003A5A76">
        <w:rPr>
          <w:rFonts w:ascii="Avenir Next" w:hAnsi="Avenir Next"/>
        </w:rPr>
        <w:t>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5C1174E8" w:rsidR="00F03051" w:rsidRDefault="0019771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Upon the filing of any plenary petition (including a Chapter 11 petition), a worldwide stay pursuant to section 362 comes into effect. </w:t>
      </w:r>
    </w:p>
    <w:p w14:paraId="24BEDC7F" w14:textId="7FA2E760" w:rsidR="0019771D" w:rsidRDefault="0019771D" w:rsidP="0019771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DOJ investigation would be able to continue without interruption. This is because the s 362 stay does not operate as a stay against the continuation of investigation by a </w:t>
      </w:r>
      <w:r>
        <w:rPr>
          <w:rFonts w:ascii="Avenir Next" w:hAnsi="Avenir Next" w:cs="Arial"/>
          <w:color w:val="7B7B7B" w:themeColor="accent3" w:themeShade="BF"/>
          <w:sz w:val="22"/>
          <w:szCs w:val="22"/>
          <w:lang w:val="en-GB"/>
        </w:rPr>
        <w:lastRenderedPageBreak/>
        <w:t xml:space="preserve">securities regulatory organisation (s 362(b)(25)). The DOJ investigation relates to potential breaches of security regulations by Speculation Inc, and is therefore unaffected by the stay. </w:t>
      </w:r>
    </w:p>
    <w:p w14:paraId="279337FA" w14:textId="55FB26B5" w:rsidR="0019771D" w:rsidRDefault="0019771D" w:rsidP="0019771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broke</w:t>
      </w:r>
      <w:r w:rsidR="00A96A53">
        <w:rPr>
          <w:rFonts w:ascii="Avenir Next" w:hAnsi="Avenir Next" w:cs="Arial"/>
          <w:color w:val="7B7B7B" w:themeColor="accent3" w:themeShade="BF"/>
          <w:sz w:val="22"/>
          <w:szCs w:val="22"/>
          <w:lang w:val="en-GB"/>
        </w:rPr>
        <w:t xml:space="preserve">r will not be able to enforce the margin loan default on the shares that it holds as collateral. This is pursuant to s 362(a)(5). Further, the broker will not be able to recover the margin loan default by commencing proceedings against Speculation Inc, because this is prohibited by s 362(a)(1). </w:t>
      </w:r>
      <w:r w:rsidR="003A5A76">
        <w:rPr>
          <w:rFonts w:ascii="Avenir Next" w:hAnsi="Avenir Next" w:cs="Arial"/>
          <w:color w:val="7B7B7B" w:themeColor="accent3" w:themeShade="BF"/>
          <w:sz w:val="22"/>
          <w:szCs w:val="22"/>
          <w:lang w:val="en-GB"/>
        </w:rPr>
        <w:t>That said, there is an exception for securities contracts contained in s 362(b)(6) that could apply to the broker. If its contract with Speculation Inc constitutes a “security agreement”, it could be able to exercise any contractual rights pursuant to that contract to offset or net out the margin loan default. However, more information would be necessary to determine if this exception applies.</w:t>
      </w:r>
    </w:p>
    <w:p w14:paraId="7926D03D" w14:textId="53567789" w:rsidR="00A96A53" w:rsidRDefault="00A96A53" w:rsidP="0019771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landlord will not be able to commence proceedings to recover the rental arrears pursuant to s 362(a)(1). </w:t>
      </w:r>
      <w:r w:rsidR="003A5A76">
        <w:rPr>
          <w:rFonts w:ascii="Avenir Next" w:hAnsi="Avenir Next" w:cs="Arial"/>
          <w:color w:val="7B7B7B" w:themeColor="accent3" w:themeShade="BF"/>
          <w:sz w:val="22"/>
          <w:szCs w:val="22"/>
          <w:lang w:val="en-GB"/>
        </w:rPr>
        <w:t>However, they would not be prevented from evicting Speculation Inc if the terms of the rental agreement allow them to do so.</w:t>
      </w:r>
    </w:p>
    <w:p w14:paraId="28028302" w14:textId="4C774427" w:rsidR="00A96A53" w:rsidRPr="0019771D" w:rsidRDefault="00B346B5" w:rsidP="0019771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suit against Speculation Inc would constitute a judicial proceeding against Speculation Inc, and therefore its continuation would be stayed pursuant to s 362(a)(1). If the suit has already concluded and judgment has been given in the employee’s favour, she will not be able to enforce the judgment pursuant to s 362(a)(2). </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212AB9CD" w:rsidR="00F03051" w:rsidRDefault="008A0C82"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Chapter 15, the English scheme of arrangement can be recognised as long as it constitutes “a collective judicial or administrative proceeding in a foreign country … under a law relating to insolvency or adjustment of debt in which proceeding the assets and affairs of the debtor are subject to control or supervision by a foreign court, for the purpose of reorganization or liquidation”, and an application for recognition is brought in the US by someone empowered to act in the English scheme. The English scheme certainly constitutes a foreign proceeding and therefore it will be recognised unless it is contrary to US public policy (which does not appear to be the case). There is also a further requirement, that Stella has an establishment in the UK, given my conclusion that the English scheme is likely to be recognised as a foreign non-main proceeding. </w:t>
      </w:r>
      <w:r w:rsidR="00745E38">
        <w:rPr>
          <w:rFonts w:ascii="Avenir Next" w:hAnsi="Avenir Next" w:cs="Arial"/>
          <w:color w:val="7B7B7B" w:themeColor="accent3" w:themeShade="BF"/>
          <w:sz w:val="22"/>
          <w:szCs w:val="22"/>
          <w:lang w:val="en-GB"/>
        </w:rPr>
        <w:t>On the facts, Stella’s retail stores in England will satisfy this requirement.</w:t>
      </w:r>
    </w:p>
    <w:p w14:paraId="12AAE421" w14:textId="40FE902B" w:rsidR="008A0C82" w:rsidRDefault="008A0C82" w:rsidP="00F03051">
      <w:pPr>
        <w:jc w:val="both"/>
        <w:rPr>
          <w:rFonts w:ascii="Avenir Next" w:hAnsi="Avenir Next" w:cs="Arial"/>
          <w:color w:val="7B7B7B" w:themeColor="accent3" w:themeShade="BF"/>
          <w:sz w:val="22"/>
          <w:szCs w:val="22"/>
          <w:lang w:val="en-GB"/>
        </w:rPr>
      </w:pPr>
    </w:p>
    <w:p w14:paraId="00ED94B9" w14:textId="659FDEAF" w:rsidR="008A0C82" w:rsidRPr="00745E38" w:rsidRDefault="008A0C82" w:rsidP="00F03051">
      <w:pPr>
        <w:jc w:val="both"/>
      </w:pPr>
      <w:r>
        <w:rPr>
          <w:rFonts w:ascii="Avenir Next" w:hAnsi="Avenir Next" w:cs="Arial"/>
          <w:color w:val="7B7B7B" w:themeColor="accent3" w:themeShade="BF"/>
          <w:sz w:val="22"/>
          <w:szCs w:val="22"/>
          <w:lang w:val="en-GB"/>
        </w:rPr>
        <w:t>T</w:t>
      </w:r>
      <w:r w:rsidR="00745E38">
        <w:rPr>
          <w:rFonts w:ascii="Avenir Next" w:hAnsi="Avenir Next" w:cs="Arial"/>
          <w:color w:val="7B7B7B" w:themeColor="accent3" w:themeShade="BF"/>
          <w:sz w:val="22"/>
          <w:szCs w:val="22"/>
          <w:lang w:val="en-GB"/>
        </w:rPr>
        <w:t>he English scheme is like</w:t>
      </w:r>
      <w:r>
        <w:rPr>
          <w:rFonts w:ascii="Avenir Next" w:hAnsi="Avenir Next" w:cs="Arial"/>
          <w:color w:val="7B7B7B" w:themeColor="accent3" w:themeShade="BF"/>
          <w:sz w:val="22"/>
          <w:szCs w:val="22"/>
          <w:lang w:val="en-GB"/>
        </w:rPr>
        <w:t xml:space="preserve"> to be</w:t>
      </w:r>
      <w:r w:rsidR="00745E38">
        <w:rPr>
          <w:rFonts w:ascii="Avenir Next" w:hAnsi="Avenir Next" w:cs="Arial"/>
          <w:color w:val="7B7B7B" w:themeColor="accent3" w:themeShade="BF"/>
          <w:sz w:val="22"/>
          <w:szCs w:val="22"/>
          <w:lang w:val="en-GB"/>
        </w:rPr>
        <w:t xml:space="preserve"> recognised</w:t>
      </w:r>
      <w:r>
        <w:rPr>
          <w:rFonts w:ascii="Avenir Next" w:hAnsi="Avenir Next" w:cs="Arial"/>
          <w:color w:val="7B7B7B" w:themeColor="accent3" w:themeShade="BF"/>
          <w:sz w:val="22"/>
          <w:szCs w:val="22"/>
          <w:lang w:val="en-GB"/>
        </w:rPr>
        <w:t xml:space="preserve"> as a foreign non-main proceeding. </w:t>
      </w:r>
      <w:r w:rsidR="00745E38">
        <w:rPr>
          <w:rFonts w:ascii="Avenir Next" w:hAnsi="Avenir Next" w:cs="Arial"/>
          <w:color w:val="7B7B7B" w:themeColor="accent3" w:themeShade="BF"/>
          <w:sz w:val="22"/>
          <w:szCs w:val="22"/>
          <w:lang w:val="en-GB"/>
        </w:rPr>
        <w:t>Pursuant to s 1516, France will be presumed to be Stella’s COMI because that is where Stella has its registered office. This presumption can be rebutted by evidence showing that Stella’s COMI is in fact in England instead. The COMI of an entity is determined by a variety of factors, including the location of its headquarters, the location of its management, the location of its primary assets, the location of a majority of its creditors and the jurisdiction whose law will apply to most disputes</w:t>
      </w:r>
      <w:r w:rsidR="00225B7E">
        <w:rPr>
          <w:rFonts w:ascii="Avenir Next" w:hAnsi="Avenir Next" w:cs="Arial"/>
          <w:color w:val="7B7B7B" w:themeColor="accent3" w:themeShade="BF"/>
          <w:sz w:val="22"/>
          <w:szCs w:val="22"/>
          <w:lang w:val="en-GB"/>
        </w:rPr>
        <w:t xml:space="preserve">: </w:t>
      </w:r>
      <w:r w:rsidR="00225B7E" w:rsidRPr="00745E38">
        <w:rPr>
          <w:rFonts w:ascii="Avenir Next" w:hAnsi="Avenir Next" w:cs="Arial"/>
          <w:i/>
          <w:iCs/>
          <w:color w:val="7B7B7B" w:themeColor="accent3" w:themeShade="BF"/>
          <w:sz w:val="22"/>
          <w:szCs w:val="22"/>
          <w:lang w:val="en-GB"/>
        </w:rPr>
        <w:t>In re SPhinX LTD</w:t>
      </w:r>
      <w:r w:rsidR="00225B7E">
        <w:rPr>
          <w:rFonts w:ascii="Avenir Next" w:hAnsi="Avenir Next" w:cs="Arial"/>
          <w:i/>
          <w:iCs/>
          <w:color w:val="7B7B7B" w:themeColor="accent3" w:themeShade="BF"/>
          <w:sz w:val="22"/>
          <w:szCs w:val="22"/>
          <w:lang w:val="en-GB"/>
        </w:rPr>
        <w:t xml:space="preserve">, </w:t>
      </w:r>
      <w:r w:rsidR="00225B7E">
        <w:rPr>
          <w:rFonts w:ascii="Avenir Next" w:hAnsi="Avenir Next" w:cs="Arial"/>
          <w:color w:val="7B7B7B" w:themeColor="accent3" w:themeShade="BF"/>
          <w:sz w:val="22"/>
          <w:szCs w:val="22"/>
          <w:lang w:val="en-GB"/>
        </w:rPr>
        <w:t>2006 Bankr. LEXIS 2078</w:t>
      </w:r>
      <w:r w:rsidR="00745E38">
        <w:rPr>
          <w:rFonts w:ascii="Avenir Next" w:hAnsi="Avenir Next" w:cs="Arial"/>
          <w:color w:val="7B7B7B" w:themeColor="accent3" w:themeShade="BF"/>
          <w:sz w:val="22"/>
          <w:szCs w:val="22"/>
          <w:lang w:val="en-GB"/>
        </w:rPr>
        <w:t xml:space="preserve">. A COMI must also be readily ascertainable by creditors and third parties on the basis of objective evidence. In this case, Stella does not have its headquarters in England, nor does it appear that its management is located there. </w:t>
      </w:r>
      <w:r w:rsidR="00BC2364">
        <w:rPr>
          <w:rFonts w:ascii="Avenir Next" w:hAnsi="Avenir Next" w:cs="Arial"/>
          <w:color w:val="7B7B7B" w:themeColor="accent3" w:themeShade="BF"/>
          <w:sz w:val="22"/>
          <w:szCs w:val="22"/>
          <w:lang w:val="en-GB"/>
        </w:rPr>
        <w:t>I recognise that</w:t>
      </w:r>
      <w:r w:rsidR="00745E38">
        <w:rPr>
          <w:rFonts w:ascii="Avenir Next" w:hAnsi="Avenir Next" w:cs="Arial"/>
          <w:color w:val="7B7B7B" w:themeColor="accent3" w:themeShade="BF"/>
          <w:sz w:val="22"/>
          <w:szCs w:val="22"/>
          <w:lang w:val="en-GB"/>
        </w:rPr>
        <w:t xml:space="preserve"> Stella’s funding, which appears to be the main source </w:t>
      </w:r>
      <w:r w:rsidR="00745E38">
        <w:rPr>
          <w:rFonts w:ascii="Avenir Next" w:hAnsi="Avenir Next" w:cs="Arial"/>
          <w:color w:val="7B7B7B" w:themeColor="accent3" w:themeShade="BF"/>
          <w:sz w:val="22"/>
          <w:szCs w:val="22"/>
          <w:lang w:val="en-GB"/>
        </w:rPr>
        <w:lastRenderedPageBreak/>
        <w:t>of its debt, comes from Eurobonds which are governed by English law.</w:t>
      </w:r>
      <w:r w:rsidR="00BC2364">
        <w:rPr>
          <w:rFonts w:ascii="Avenir Next" w:hAnsi="Avenir Next" w:cs="Arial"/>
          <w:color w:val="7B7B7B" w:themeColor="accent3" w:themeShade="BF"/>
          <w:sz w:val="22"/>
          <w:szCs w:val="22"/>
          <w:lang w:val="en-GB"/>
        </w:rPr>
        <w:t xml:space="preserve"> However, this does not seem to be enough to displace France as Stella’s COMI.</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28F8D260" w:rsidR="00F03051" w:rsidRPr="00E41578" w:rsidRDefault="00B346B5"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executory contract is one whereby there are material unperformed obligations on both sides</w:t>
      </w:r>
      <w:r w:rsidR="00D376F9">
        <w:rPr>
          <w:rFonts w:ascii="Avenir Next" w:hAnsi="Avenir Next" w:cs="Arial"/>
          <w:color w:val="7B7B7B" w:themeColor="accent3" w:themeShade="BF"/>
          <w:sz w:val="22"/>
          <w:szCs w:val="22"/>
          <w:lang w:val="en-GB"/>
        </w:rPr>
        <w:t xml:space="preserve"> such that the failure of either to complete performance would constitute a material breach excusing performance of the other</w:t>
      </w:r>
      <w:r>
        <w:rPr>
          <w:rFonts w:ascii="Avenir Next" w:hAnsi="Avenir Next" w:cs="Arial"/>
          <w:color w:val="7B7B7B" w:themeColor="accent3" w:themeShade="BF"/>
          <w:sz w:val="22"/>
          <w:szCs w:val="22"/>
          <w:lang w:val="en-GB"/>
        </w:rPr>
        <w:t>. In this case, GameMart pays ToyCo on a monthly basis</w:t>
      </w:r>
      <w:r w:rsidR="00C01DFC">
        <w:rPr>
          <w:rFonts w:ascii="Avenir Next" w:hAnsi="Avenir Next" w:cs="Arial"/>
          <w:color w:val="7B7B7B" w:themeColor="accent3" w:themeShade="BF"/>
          <w:sz w:val="22"/>
          <w:szCs w:val="22"/>
          <w:lang w:val="en-GB"/>
        </w:rPr>
        <w:t xml:space="preserve"> (as opposed to one lump sum at the beginning of the license)</w:t>
      </w:r>
      <w:r>
        <w:rPr>
          <w:rFonts w:ascii="Avenir Next" w:hAnsi="Avenir Next" w:cs="Arial"/>
          <w:color w:val="7B7B7B" w:themeColor="accent3" w:themeShade="BF"/>
          <w:sz w:val="22"/>
          <w:szCs w:val="22"/>
          <w:lang w:val="en-GB"/>
        </w:rPr>
        <w:t>. This means, for the remainder of the 10-year license period, there are unper</w:t>
      </w:r>
      <w:r w:rsidR="00C01DFC">
        <w:rPr>
          <w:rFonts w:ascii="Avenir Next" w:hAnsi="Avenir Next" w:cs="Arial"/>
          <w:color w:val="7B7B7B" w:themeColor="accent3" w:themeShade="BF"/>
          <w:sz w:val="22"/>
          <w:szCs w:val="22"/>
          <w:lang w:val="en-GB"/>
        </w:rPr>
        <w:t>formed obligations on both the licensee’s and the licensor’s sides, and the license is therefore executory.</w:t>
      </w:r>
    </w:p>
    <w:p w14:paraId="092CCA5C" w14:textId="186450DB" w:rsidR="00E01803" w:rsidRDefault="00E01803"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6EF51C1F" w14:textId="77777777" w:rsidR="008B599A" w:rsidRDefault="00A76452"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sidR="00C01DFC">
        <w:rPr>
          <w:rFonts w:ascii="Avenir Next" w:hAnsi="Avenir Next" w:cs="Arial"/>
          <w:color w:val="7B7B7B" w:themeColor="accent3" w:themeShade="BF"/>
          <w:sz w:val="22"/>
          <w:szCs w:val="22"/>
          <w:lang w:val="en-GB"/>
        </w:rPr>
        <w:t xml:space="preserve">t depends on intellectual property law. </w:t>
      </w:r>
      <w:r>
        <w:rPr>
          <w:rFonts w:ascii="Avenir Next" w:hAnsi="Avenir Next" w:cs="Arial"/>
          <w:color w:val="7B7B7B" w:themeColor="accent3" w:themeShade="BF"/>
          <w:sz w:val="22"/>
          <w:szCs w:val="22"/>
          <w:lang w:val="en-GB"/>
        </w:rPr>
        <w:t xml:space="preserve">Pursuant so s 365(c)(1), an executory contract cannot be assigned where applicable law excuses a party from accepting assignment, and that party does not consent. In this case, the applicable law would be intellectual property law. </w:t>
      </w:r>
      <w:r w:rsidR="00C01DFC">
        <w:rPr>
          <w:rFonts w:ascii="Avenir Next" w:hAnsi="Avenir Next" w:cs="Arial"/>
          <w:color w:val="7B7B7B" w:themeColor="accent3" w:themeShade="BF"/>
          <w:sz w:val="22"/>
          <w:szCs w:val="22"/>
          <w:lang w:val="en-GB"/>
        </w:rPr>
        <w:t>Intellectual property law dictates that the license of a trademark may not be assigned without the consent of the licensor</w:t>
      </w:r>
      <w:r w:rsidR="008B599A">
        <w:rPr>
          <w:rFonts w:ascii="Avenir Next" w:hAnsi="Avenir Next" w:cs="Arial"/>
          <w:color w:val="7B7B7B" w:themeColor="accent3" w:themeShade="BF"/>
          <w:sz w:val="22"/>
          <w:szCs w:val="22"/>
          <w:lang w:val="en-GB"/>
        </w:rPr>
        <w:t xml:space="preserve"> because it provides that the licensor cannot be compelled to accept performance from a party other than the licensee</w:t>
      </w:r>
      <w:r w:rsidR="00C01DFC">
        <w:rPr>
          <w:rFonts w:ascii="Avenir Next" w:hAnsi="Avenir Next" w:cs="Arial"/>
          <w:color w:val="7B7B7B" w:themeColor="accent3" w:themeShade="BF"/>
          <w:sz w:val="22"/>
          <w:szCs w:val="22"/>
          <w:lang w:val="en-GB"/>
        </w:rPr>
        <w:t xml:space="preserve">: </w:t>
      </w:r>
      <w:r w:rsidR="00C01DFC">
        <w:rPr>
          <w:rFonts w:ascii="Avenir Next" w:hAnsi="Avenir Next" w:cs="Arial"/>
          <w:i/>
          <w:iCs/>
          <w:color w:val="7B7B7B" w:themeColor="accent3" w:themeShade="BF"/>
          <w:sz w:val="22"/>
          <w:szCs w:val="22"/>
          <w:lang w:val="en-GB"/>
        </w:rPr>
        <w:t xml:space="preserve">In re Trump Entertainment Resorts, Inc, </w:t>
      </w:r>
      <w:r w:rsidR="00C01DFC">
        <w:rPr>
          <w:rFonts w:ascii="Avenir Next" w:hAnsi="Avenir Next" w:cs="Arial"/>
          <w:color w:val="7B7B7B" w:themeColor="accent3" w:themeShade="BF"/>
          <w:sz w:val="22"/>
          <w:szCs w:val="22"/>
          <w:lang w:val="en-GB"/>
        </w:rPr>
        <w:t xml:space="preserve">526 BR 116. </w:t>
      </w:r>
      <w:r>
        <w:rPr>
          <w:rFonts w:ascii="Avenir Next" w:hAnsi="Avenir Next" w:cs="Arial"/>
          <w:color w:val="7B7B7B" w:themeColor="accent3" w:themeShade="BF"/>
          <w:sz w:val="22"/>
          <w:szCs w:val="22"/>
          <w:lang w:val="en-GB"/>
        </w:rPr>
        <w:t>Even if such a rule applies</w:t>
      </w:r>
      <w:r w:rsidR="008B599A">
        <w:rPr>
          <w:rFonts w:ascii="Avenir Next" w:hAnsi="Avenir Next" w:cs="Arial"/>
          <w:color w:val="7B7B7B" w:themeColor="accent3" w:themeShade="BF"/>
          <w:sz w:val="22"/>
          <w:szCs w:val="22"/>
          <w:lang w:val="en-GB"/>
        </w:rPr>
        <w:t xml:space="preserve"> to patents</w:t>
      </w:r>
      <w:r>
        <w:rPr>
          <w:rFonts w:ascii="Avenir Next" w:hAnsi="Avenir Next" w:cs="Arial"/>
          <w:color w:val="7B7B7B" w:themeColor="accent3" w:themeShade="BF"/>
          <w:sz w:val="22"/>
          <w:szCs w:val="22"/>
          <w:lang w:val="en-GB"/>
        </w:rPr>
        <w:t xml:space="preserve">, the </w:t>
      </w:r>
      <w:r w:rsidR="008B599A">
        <w:rPr>
          <w:rFonts w:ascii="Avenir Next" w:hAnsi="Avenir Next" w:cs="Arial"/>
          <w:color w:val="7B7B7B" w:themeColor="accent3" w:themeShade="BF"/>
          <w:sz w:val="22"/>
          <w:szCs w:val="22"/>
          <w:lang w:val="en-GB"/>
        </w:rPr>
        <w:t xml:space="preserve">next question is whether the </w:t>
      </w:r>
      <w:r>
        <w:rPr>
          <w:rFonts w:ascii="Avenir Next" w:hAnsi="Avenir Next" w:cs="Arial"/>
          <w:color w:val="7B7B7B" w:themeColor="accent3" w:themeShade="BF"/>
          <w:sz w:val="22"/>
          <w:szCs w:val="22"/>
          <w:lang w:val="en-GB"/>
        </w:rPr>
        <w:t xml:space="preserve">rule </w:t>
      </w:r>
      <w:r w:rsidR="008B599A">
        <w:rPr>
          <w:rFonts w:ascii="Avenir Next" w:hAnsi="Avenir Next" w:cs="Arial"/>
          <w:color w:val="7B7B7B" w:themeColor="accent3" w:themeShade="BF"/>
          <w:sz w:val="22"/>
          <w:szCs w:val="22"/>
          <w:lang w:val="en-GB"/>
        </w:rPr>
        <w:t>will be</w:t>
      </w:r>
      <w:r>
        <w:rPr>
          <w:rFonts w:ascii="Avenir Next" w:hAnsi="Avenir Next" w:cs="Arial"/>
          <w:color w:val="7B7B7B" w:themeColor="accent3" w:themeShade="BF"/>
          <w:sz w:val="22"/>
          <w:szCs w:val="22"/>
          <w:lang w:val="en-GB"/>
        </w:rPr>
        <w:t xml:space="preserve"> one that parties are free to contract around. </w:t>
      </w:r>
      <w:r w:rsidR="008B599A">
        <w:rPr>
          <w:rFonts w:ascii="Avenir Next" w:hAnsi="Avenir Next" w:cs="Arial"/>
          <w:color w:val="7B7B7B" w:themeColor="accent3" w:themeShade="BF"/>
          <w:sz w:val="22"/>
          <w:szCs w:val="22"/>
          <w:lang w:val="en-GB"/>
        </w:rPr>
        <w:t>If it is (like with trademarks)</w:t>
      </w:r>
      <w:r>
        <w:rPr>
          <w:rFonts w:ascii="Avenir Next" w:hAnsi="Avenir Next" w:cs="Arial"/>
          <w:color w:val="7B7B7B" w:themeColor="accent3" w:themeShade="BF"/>
          <w:sz w:val="22"/>
          <w:szCs w:val="22"/>
          <w:lang w:val="en-GB"/>
        </w:rPr>
        <w:t>, the terms of the license will then become relevant. For example, if the license contains a provision prohibiting GameMart from sublicensing or assigning its rights to others, it will be clear that parties did not intend to depart from the default rule. While such terms are themselves unenforceable in bankruptcy due to s 365</w:t>
      </w:r>
      <w:r w:rsidR="008B599A">
        <w:rPr>
          <w:rFonts w:ascii="Avenir Next" w:hAnsi="Avenir Next" w:cs="Arial"/>
          <w:color w:val="7B7B7B" w:themeColor="accent3" w:themeShade="BF"/>
          <w:sz w:val="22"/>
          <w:szCs w:val="22"/>
          <w:lang w:val="en-GB"/>
        </w:rPr>
        <w:t>(f)(1)</w:t>
      </w:r>
      <w:r>
        <w:rPr>
          <w:rFonts w:ascii="Avenir Next" w:hAnsi="Avenir Next" w:cs="Arial"/>
          <w:color w:val="7B7B7B" w:themeColor="accent3" w:themeShade="BF"/>
          <w:sz w:val="22"/>
          <w:szCs w:val="22"/>
          <w:lang w:val="en-GB"/>
        </w:rPr>
        <w:t>, they are relevant in this case because of intellectual property law</w:t>
      </w:r>
      <w:r w:rsidR="008B599A">
        <w:rPr>
          <w:rFonts w:ascii="Avenir Next" w:hAnsi="Avenir Next" w:cs="Arial"/>
          <w:color w:val="7B7B7B" w:themeColor="accent3" w:themeShade="BF"/>
          <w:sz w:val="22"/>
          <w:szCs w:val="22"/>
          <w:lang w:val="en-GB"/>
        </w:rPr>
        <w:t xml:space="preserve"> and s 365(c)(1)</w:t>
      </w:r>
      <w:r>
        <w:rPr>
          <w:rFonts w:ascii="Avenir Next" w:hAnsi="Avenir Next" w:cs="Arial"/>
          <w:color w:val="7B7B7B" w:themeColor="accent3" w:themeShade="BF"/>
          <w:sz w:val="22"/>
          <w:szCs w:val="22"/>
          <w:lang w:val="en-GB"/>
        </w:rPr>
        <w:t xml:space="preserve">. </w:t>
      </w:r>
    </w:p>
    <w:p w14:paraId="030E430E" w14:textId="77777777" w:rsidR="008B599A" w:rsidRDefault="008B599A" w:rsidP="00F03051">
      <w:pPr>
        <w:jc w:val="both"/>
        <w:rPr>
          <w:rFonts w:ascii="Avenir Next" w:hAnsi="Avenir Next" w:cs="Arial"/>
          <w:color w:val="7B7B7B" w:themeColor="accent3" w:themeShade="BF"/>
          <w:sz w:val="22"/>
          <w:szCs w:val="22"/>
          <w:lang w:val="en-GB"/>
        </w:rPr>
      </w:pPr>
    </w:p>
    <w:p w14:paraId="7AF79EF8" w14:textId="4C44B631" w:rsidR="00F03051" w:rsidRPr="00C01DFC" w:rsidRDefault="00A76452"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conclude, therefore, GameMart can transfer the Xblox license without ToyCo’s consent so long as doing so is not prohibited by intellectual property law.</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317371E5" w:rsidR="00F03051" w:rsidRPr="00E41578" w:rsidRDefault="00A76452"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it may do so. While there is a specific provision stating that it may not, s 365(f)(1) provides that a debtor may assign an executory contract notwithstanding any provision restricting such assignment. Upon the transfer, </w:t>
      </w:r>
      <w:r w:rsidR="008B599A">
        <w:rPr>
          <w:rFonts w:ascii="Avenir Next" w:hAnsi="Avenir Next" w:cs="Arial"/>
          <w:color w:val="7B7B7B" w:themeColor="accent3" w:themeShade="BF"/>
          <w:sz w:val="22"/>
          <w:szCs w:val="22"/>
          <w:lang w:val="en-GB"/>
        </w:rPr>
        <w:t>the assignee</w:t>
      </w:r>
      <w:r>
        <w:rPr>
          <w:rFonts w:ascii="Avenir Next" w:hAnsi="Avenir Next" w:cs="Arial"/>
          <w:color w:val="7B7B7B" w:themeColor="accent3" w:themeShade="BF"/>
          <w:sz w:val="22"/>
          <w:szCs w:val="22"/>
          <w:lang w:val="en-GB"/>
        </w:rPr>
        <w:t xml:space="preserve"> will have to </w:t>
      </w:r>
      <w:r w:rsidR="008B599A">
        <w:rPr>
          <w:rFonts w:ascii="Avenir Next" w:hAnsi="Avenir Next" w:cs="Arial"/>
          <w:color w:val="7B7B7B" w:themeColor="accent3" w:themeShade="BF"/>
          <w:sz w:val="22"/>
          <w:szCs w:val="22"/>
          <w:lang w:val="en-GB"/>
        </w:rPr>
        <w:t>provide Land Corp adequate assurance of future performance.</w:t>
      </w:r>
      <w:r>
        <w:rPr>
          <w:rFonts w:ascii="Avenir Next" w:hAnsi="Avenir Next" w:cs="Arial"/>
          <w:color w:val="7B7B7B" w:themeColor="accent3" w:themeShade="BF"/>
          <w:sz w:val="22"/>
          <w:szCs w:val="22"/>
          <w:lang w:val="en-GB"/>
        </w:rPr>
        <w:t xml:space="preserve"> </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BEA2" w14:textId="77777777" w:rsidR="00CF2C35" w:rsidRDefault="00CF2C35" w:rsidP="00241B44">
      <w:r>
        <w:separator/>
      </w:r>
    </w:p>
  </w:endnote>
  <w:endnote w:type="continuationSeparator" w:id="0">
    <w:p w14:paraId="42A5BE79" w14:textId="77777777" w:rsidR="00CF2C35" w:rsidRDefault="00CF2C3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75363CFC" w:rsidR="00241FA3" w:rsidRPr="00494B81" w:rsidRDefault="003E5907" w:rsidP="009B4976">
    <w:pPr>
      <w:pStyle w:val="Footer"/>
      <w:ind w:right="360"/>
      <w:rPr>
        <w:rFonts w:ascii="Avenir Next" w:hAnsi="Avenir Next" w:cs="Arial"/>
        <w:sz w:val="22"/>
        <w:szCs w:val="22"/>
        <w:lang w:val="en-GB"/>
      </w:rPr>
    </w:pPr>
    <w:r>
      <w:rPr>
        <w:rFonts w:ascii="Avenir Next" w:hAnsi="Avenir Next" w:cs="Arial"/>
        <w:sz w:val="22"/>
        <w:szCs w:val="22"/>
        <w:lang w:val="en-GB"/>
      </w:rPr>
      <w:t>202223-809</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2CA6" w14:textId="77777777" w:rsidR="00CF2C35" w:rsidRDefault="00CF2C35" w:rsidP="00241B44">
      <w:r>
        <w:separator/>
      </w:r>
    </w:p>
  </w:footnote>
  <w:footnote w:type="continuationSeparator" w:id="0">
    <w:p w14:paraId="2F031A9D" w14:textId="77777777" w:rsidR="00CF2C35" w:rsidRDefault="00CF2C3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835723"/>
    <w:multiLevelType w:val="hybridMultilevel"/>
    <w:tmpl w:val="DE2828C6"/>
    <w:lvl w:ilvl="0" w:tplc="FB9055D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7419294">
    <w:abstractNumId w:val="22"/>
  </w:num>
  <w:num w:numId="2" w16cid:durableId="1991907544">
    <w:abstractNumId w:val="25"/>
  </w:num>
  <w:num w:numId="3" w16cid:durableId="1808467805">
    <w:abstractNumId w:val="4"/>
  </w:num>
  <w:num w:numId="4" w16cid:durableId="1796174635">
    <w:abstractNumId w:val="8"/>
  </w:num>
  <w:num w:numId="5" w16cid:durableId="1005666088">
    <w:abstractNumId w:val="10"/>
  </w:num>
  <w:num w:numId="6" w16cid:durableId="590160077">
    <w:abstractNumId w:val="28"/>
  </w:num>
  <w:num w:numId="7" w16cid:durableId="199901336">
    <w:abstractNumId w:val="5"/>
  </w:num>
  <w:num w:numId="8" w16cid:durableId="2072847592">
    <w:abstractNumId w:val="30"/>
  </w:num>
  <w:num w:numId="9" w16cid:durableId="2136219357">
    <w:abstractNumId w:val="11"/>
  </w:num>
  <w:num w:numId="10" w16cid:durableId="2005475662">
    <w:abstractNumId w:val="24"/>
  </w:num>
  <w:num w:numId="11" w16cid:durableId="1606880668">
    <w:abstractNumId w:val="14"/>
  </w:num>
  <w:num w:numId="12" w16cid:durableId="1549952627">
    <w:abstractNumId w:val="21"/>
  </w:num>
  <w:num w:numId="13" w16cid:durableId="1133790760">
    <w:abstractNumId w:val="0"/>
  </w:num>
  <w:num w:numId="14" w16cid:durableId="1738477565">
    <w:abstractNumId w:val="9"/>
  </w:num>
  <w:num w:numId="15" w16cid:durableId="1054619175">
    <w:abstractNumId w:val="17"/>
  </w:num>
  <w:num w:numId="16" w16cid:durableId="675228623">
    <w:abstractNumId w:val="7"/>
  </w:num>
  <w:num w:numId="17" w16cid:durableId="1359088405">
    <w:abstractNumId w:val="3"/>
  </w:num>
  <w:num w:numId="18" w16cid:durableId="6642244">
    <w:abstractNumId w:val="2"/>
  </w:num>
  <w:num w:numId="19" w16cid:durableId="1953244889">
    <w:abstractNumId w:val="26"/>
  </w:num>
  <w:num w:numId="20" w16cid:durableId="1732733565">
    <w:abstractNumId w:val="6"/>
  </w:num>
  <w:num w:numId="21" w16cid:durableId="1176000113">
    <w:abstractNumId w:val="23"/>
  </w:num>
  <w:num w:numId="22" w16cid:durableId="1704673721">
    <w:abstractNumId w:val="31"/>
  </w:num>
  <w:num w:numId="23" w16cid:durableId="1932470413">
    <w:abstractNumId w:val="12"/>
  </w:num>
  <w:num w:numId="24" w16cid:durableId="1601332919">
    <w:abstractNumId w:val="27"/>
  </w:num>
  <w:num w:numId="25" w16cid:durableId="933395672">
    <w:abstractNumId w:val="18"/>
  </w:num>
  <w:num w:numId="26" w16cid:durableId="1868443410">
    <w:abstractNumId w:val="19"/>
  </w:num>
  <w:num w:numId="27" w16cid:durableId="512379258">
    <w:abstractNumId w:val="15"/>
  </w:num>
  <w:num w:numId="28" w16cid:durableId="536546068">
    <w:abstractNumId w:val="29"/>
  </w:num>
  <w:num w:numId="29" w16cid:durableId="1744525056">
    <w:abstractNumId w:val="1"/>
  </w:num>
  <w:num w:numId="30" w16cid:durableId="894000373">
    <w:abstractNumId w:val="16"/>
  </w:num>
  <w:num w:numId="31" w16cid:durableId="1256086777">
    <w:abstractNumId w:val="20"/>
  </w:num>
  <w:num w:numId="32" w16cid:durableId="129802658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CCC"/>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C4C5B"/>
    <w:rsid w:val="000D55A8"/>
    <w:rsid w:val="000E4841"/>
    <w:rsid w:val="000E590B"/>
    <w:rsid w:val="000F1677"/>
    <w:rsid w:val="000F3D6C"/>
    <w:rsid w:val="000F7FC2"/>
    <w:rsid w:val="00101707"/>
    <w:rsid w:val="00102CC9"/>
    <w:rsid w:val="0011473D"/>
    <w:rsid w:val="00115C85"/>
    <w:rsid w:val="0012224B"/>
    <w:rsid w:val="00123855"/>
    <w:rsid w:val="00126A4D"/>
    <w:rsid w:val="001406D5"/>
    <w:rsid w:val="0014171F"/>
    <w:rsid w:val="0014622C"/>
    <w:rsid w:val="00152348"/>
    <w:rsid w:val="0015456D"/>
    <w:rsid w:val="00155FA2"/>
    <w:rsid w:val="00160679"/>
    <w:rsid w:val="00161F1B"/>
    <w:rsid w:val="00162829"/>
    <w:rsid w:val="00171C23"/>
    <w:rsid w:val="00180548"/>
    <w:rsid w:val="00180AC4"/>
    <w:rsid w:val="00180CCE"/>
    <w:rsid w:val="0018267A"/>
    <w:rsid w:val="00182779"/>
    <w:rsid w:val="001830DF"/>
    <w:rsid w:val="001966D9"/>
    <w:rsid w:val="0019771D"/>
    <w:rsid w:val="00197E4B"/>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25B7E"/>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44EF"/>
    <w:rsid w:val="00323167"/>
    <w:rsid w:val="003238E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4164"/>
    <w:rsid w:val="0038533C"/>
    <w:rsid w:val="00386568"/>
    <w:rsid w:val="00390B57"/>
    <w:rsid w:val="003948D5"/>
    <w:rsid w:val="00396821"/>
    <w:rsid w:val="00397D3A"/>
    <w:rsid w:val="003A051E"/>
    <w:rsid w:val="003A5537"/>
    <w:rsid w:val="003A5A76"/>
    <w:rsid w:val="003A75F4"/>
    <w:rsid w:val="003B170F"/>
    <w:rsid w:val="003B3C5F"/>
    <w:rsid w:val="003B7184"/>
    <w:rsid w:val="003C3388"/>
    <w:rsid w:val="003C4471"/>
    <w:rsid w:val="003C53FE"/>
    <w:rsid w:val="003D0A6D"/>
    <w:rsid w:val="003E0B16"/>
    <w:rsid w:val="003E5907"/>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5BFB"/>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22909"/>
    <w:rsid w:val="0073158B"/>
    <w:rsid w:val="007333CC"/>
    <w:rsid w:val="0073399A"/>
    <w:rsid w:val="00745E38"/>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14D5C"/>
    <w:rsid w:val="0082483F"/>
    <w:rsid w:val="008279C0"/>
    <w:rsid w:val="00834F92"/>
    <w:rsid w:val="008723F3"/>
    <w:rsid w:val="00881DE6"/>
    <w:rsid w:val="008837A6"/>
    <w:rsid w:val="0089145D"/>
    <w:rsid w:val="00895EF1"/>
    <w:rsid w:val="008A0C82"/>
    <w:rsid w:val="008A4DF2"/>
    <w:rsid w:val="008A6CFE"/>
    <w:rsid w:val="008A771D"/>
    <w:rsid w:val="008B4F15"/>
    <w:rsid w:val="008B5333"/>
    <w:rsid w:val="008B599A"/>
    <w:rsid w:val="008B6223"/>
    <w:rsid w:val="008C66E0"/>
    <w:rsid w:val="008E3339"/>
    <w:rsid w:val="008F20FC"/>
    <w:rsid w:val="008F5FFE"/>
    <w:rsid w:val="00902FA7"/>
    <w:rsid w:val="00905A43"/>
    <w:rsid w:val="00912C79"/>
    <w:rsid w:val="00921B8C"/>
    <w:rsid w:val="0092565E"/>
    <w:rsid w:val="0093467C"/>
    <w:rsid w:val="00942123"/>
    <w:rsid w:val="0095207B"/>
    <w:rsid w:val="00956B9C"/>
    <w:rsid w:val="00962045"/>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3312"/>
    <w:rsid w:val="009E45DF"/>
    <w:rsid w:val="009E4DE3"/>
    <w:rsid w:val="009F275E"/>
    <w:rsid w:val="009F3464"/>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76452"/>
    <w:rsid w:val="00A81029"/>
    <w:rsid w:val="00A82B32"/>
    <w:rsid w:val="00A94F58"/>
    <w:rsid w:val="00A95463"/>
    <w:rsid w:val="00A96489"/>
    <w:rsid w:val="00A96A53"/>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30CB"/>
    <w:rsid w:val="00B14819"/>
    <w:rsid w:val="00B15E2F"/>
    <w:rsid w:val="00B17AA9"/>
    <w:rsid w:val="00B27E6E"/>
    <w:rsid w:val="00B346B5"/>
    <w:rsid w:val="00B44713"/>
    <w:rsid w:val="00B56103"/>
    <w:rsid w:val="00B64929"/>
    <w:rsid w:val="00B736DF"/>
    <w:rsid w:val="00B743D6"/>
    <w:rsid w:val="00B74FBD"/>
    <w:rsid w:val="00B77B19"/>
    <w:rsid w:val="00B77F46"/>
    <w:rsid w:val="00B82586"/>
    <w:rsid w:val="00B829A3"/>
    <w:rsid w:val="00B86DB1"/>
    <w:rsid w:val="00B87869"/>
    <w:rsid w:val="00B9639B"/>
    <w:rsid w:val="00BB0F2B"/>
    <w:rsid w:val="00BC2364"/>
    <w:rsid w:val="00BD4A58"/>
    <w:rsid w:val="00BD7337"/>
    <w:rsid w:val="00BE4FF3"/>
    <w:rsid w:val="00BF50F7"/>
    <w:rsid w:val="00C01DFC"/>
    <w:rsid w:val="00C02F29"/>
    <w:rsid w:val="00C05A9F"/>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2819"/>
    <w:rsid w:val="00CF2C35"/>
    <w:rsid w:val="00CF4F9D"/>
    <w:rsid w:val="00CF70DC"/>
    <w:rsid w:val="00D041E0"/>
    <w:rsid w:val="00D04AFE"/>
    <w:rsid w:val="00D06A30"/>
    <w:rsid w:val="00D14336"/>
    <w:rsid w:val="00D148DC"/>
    <w:rsid w:val="00D17FDC"/>
    <w:rsid w:val="00D21021"/>
    <w:rsid w:val="00D21D8C"/>
    <w:rsid w:val="00D316F2"/>
    <w:rsid w:val="00D34584"/>
    <w:rsid w:val="00D376F9"/>
    <w:rsid w:val="00D53719"/>
    <w:rsid w:val="00D61CC1"/>
    <w:rsid w:val="00D63EFD"/>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21C6"/>
    <w:rsid w:val="00E42E98"/>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738F"/>
    <w:rsid w:val="00ED74BC"/>
    <w:rsid w:val="00EE4971"/>
    <w:rsid w:val="00EF090E"/>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4270"/>
    <w:rsid w:val="00F92140"/>
    <w:rsid w:val="00F96CC5"/>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11</Pages>
  <Words>3772</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Nikhil COOMARASWAMY (JUDICIARY)</cp:lastModifiedBy>
  <cp:revision>11</cp:revision>
  <cp:lastPrinted>2019-08-27T05:42:00Z</cp:lastPrinted>
  <dcterms:created xsi:type="dcterms:W3CDTF">2022-07-01T09:50:00Z</dcterms:created>
  <dcterms:modified xsi:type="dcterms:W3CDTF">2023-03-01T15:38:00Z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2023-02-27T01:20:51Z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3456b670-1a6b-432c-a730-fdd5a4b25e98</vt:lpwstr>
  </property>
  <property fmtid="{D5CDD505-2E9C-101B-9397-08002B2CF9AE}" pid="8" name="MSIP_Label_5434c4c7-833e-41e4-b0ab-cdb227a2f6f7_ContentBits">
    <vt:lpwstr>0</vt:lpwstr>
  </property>
</Properties>
</file>