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7B0A01" w:rsidRDefault="00436884" w:rsidP="00436884">
      <w:pPr>
        <w:pStyle w:val="ListParagraph"/>
        <w:numPr>
          <w:ilvl w:val="0"/>
          <w:numId w:val="12"/>
        </w:numPr>
        <w:ind w:left="426"/>
        <w:jc w:val="both"/>
        <w:rPr>
          <w:rFonts w:ascii="Avenir Next" w:hAnsi="Avenir Next" w:cs="Arial"/>
          <w:sz w:val="22"/>
          <w:szCs w:val="22"/>
          <w:lang w:val="en-GB"/>
        </w:rPr>
      </w:pPr>
      <w:r w:rsidRPr="007B0A01">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7B0A01" w:rsidRDefault="00436884" w:rsidP="00436884">
      <w:pPr>
        <w:pStyle w:val="ListParagraph"/>
        <w:numPr>
          <w:ilvl w:val="0"/>
          <w:numId w:val="12"/>
        </w:numPr>
        <w:ind w:left="426"/>
        <w:jc w:val="both"/>
        <w:rPr>
          <w:rFonts w:ascii="Avenir Next" w:hAnsi="Avenir Next" w:cs="Arial"/>
          <w:sz w:val="22"/>
          <w:szCs w:val="22"/>
          <w:highlight w:val="yellow"/>
          <w:lang w:val="en-GB"/>
        </w:rPr>
      </w:pPr>
      <w:r w:rsidRPr="007B0A01">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245623" w:rsidRDefault="00436884" w:rsidP="00436884">
      <w:pPr>
        <w:pStyle w:val="ListParagraph"/>
        <w:numPr>
          <w:ilvl w:val="0"/>
          <w:numId w:val="14"/>
        </w:numPr>
        <w:ind w:left="426"/>
        <w:jc w:val="both"/>
        <w:rPr>
          <w:rFonts w:ascii="Avenir Next" w:hAnsi="Avenir Next" w:cs="Arial"/>
          <w:sz w:val="22"/>
          <w:szCs w:val="22"/>
          <w:highlight w:val="yellow"/>
          <w:lang w:val="en-GB"/>
        </w:rPr>
      </w:pPr>
      <w:r w:rsidRPr="00245623">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245623" w:rsidRDefault="00853A74" w:rsidP="00853A74">
      <w:pPr>
        <w:pStyle w:val="ListParagraph"/>
        <w:numPr>
          <w:ilvl w:val="0"/>
          <w:numId w:val="16"/>
        </w:numPr>
        <w:ind w:left="426"/>
        <w:jc w:val="both"/>
        <w:rPr>
          <w:rFonts w:ascii="Avenir Next" w:hAnsi="Avenir Next" w:cs="Arial"/>
          <w:sz w:val="22"/>
          <w:szCs w:val="22"/>
          <w:highlight w:val="yellow"/>
          <w:lang w:val="en-GB"/>
        </w:rPr>
      </w:pPr>
      <w:r w:rsidRPr="00245623">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245623" w:rsidRDefault="00436884" w:rsidP="00436884">
      <w:pPr>
        <w:pStyle w:val="ListParagraph"/>
        <w:numPr>
          <w:ilvl w:val="0"/>
          <w:numId w:val="18"/>
        </w:numPr>
        <w:ind w:left="426"/>
        <w:jc w:val="both"/>
        <w:rPr>
          <w:rFonts w:ascii="Avenir Next" w:hAnsi="Avenir Next" w:cs="Arial"/>
          <w:sz w:val="22"/>
          <w:szCs w:val="22"/>
          <w:highlight w:val="yellow"/>
          <w:lang w:val="en-GB"/>
        </w:rPr>
      </w:pPr>
      <w:r w:rsidRPr="00245623">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245623" w:rsidRDefault="00C504E5" w:rsidP="00C504E5">
      <w:pPr>
        <w:pStyle w:val="ListParagraph"/>
        <w:numPr>
          <w:ilvl w:val="0"/>
          <w:numId w:val="20"/>
        </w:numPr>
        <w:ind w:left="426"/>
        <w:jc w:val="both"/>
        <w:rPr>
          <w:rFonts w:ascii="Avenir Next" w:hAnsi="Avenir Next" w:cs="Arial"/>
          <w:sz w:val="22"/>
          <w:szCs w:val="22"/>
          <w:highlight w:val="yellow"/>
          <w:lang w:val="en-GB"/>
        </w:rPr>
      </w:pPr>
      <w:r w:rsidRPr="00245623">
        <w:rPr>
          <w:rFonts w:ascii="Avenir Next" w:hAnsi="Avenir Next" w:cs="Arial"/>
          <w:sz w:val="22"/>
          <w:szCs w:val="22"/>
          <w:highlight w:val="yellow"/>
          <w:lang w:val="en-GB"/>
        </w:rPr>
        <w:t xml:space="preserve">Both the foreign main proceedings in South Africa and the foreign non-main proceedings in </w:t>
      </w:r>
      <w:r w:rsidR="004137C3" w:rsidRPr="00245623">
        <w:rPr>
          <w:rFonts w:ascii="Avenir Next" w:hAnsi="Avenir Next" w:cs="Arial"/>
          <w:sz w:val="22"/>
          <w:szCs w:val="22"/>
          <w:highlight w:val="yellow"/>
          <w:lang w:val="en-GB"/>
        </w:rPr>
        <w:t xml:space="preserve">Argentina </w:t>
      </w:r>
      <w:r w:rsidRPr="00245623">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4D3206" w:rsidRDefault="00B72F5F" w:rsidP="00114082">
      <w:pPr>
        <w:pStyle w:val="ListParagraph"/>
        <w:numPr>
          <w:ilvl w:val="0"/>
          <w:numId w:val="26"/>
        </w:numPr>
        <w:ind w:left="426"/>
        <w:jc w:val="both"/>
        <w:rPr>
          <w:rFonts w:ascii="Avenir Next" w:hAnsi="Avenir Next" w:cs="Arial"/>
          <w:sz w:val="22"/>
          <w:szCs w:val="22"/>
          <w:highlight w:val="yellow"/>
          <w:lang w:val="en-GB"/>
        </w:rPr>
      </w:pPr>
      <w:r w:rsidRPr="004D3206">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4D3206">
        <w:rPr>
          <w:rFonts w:ascii="Avenir Next" w:hAnsi="Avenir Next" w:cs="Arial"/>
          <w:sz w:val="22"/>
          <w:szCs w:val="22"/>
          <w:highlight w:val="yellow"/>
          <w:lang w:val="en-GB"/>
        </w:rPr>
        <w:t>will</w:t>
      </w:r>
      <w:r w:rsidRPr="004D3206">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4D3206" w:rsidRDefault="00436884" w:rsidP="00436884">
      <w:pPr>
        <w:pStyle w:val="ListParagraph"/>
        <w:numPr>
          <w:ilvl w:val="0"/>
          <w:numId w:val="27"/>
        </w:numPr>
        <w:ind w:left="426"/>
        <w:jc w:val="both"/>
        <w:rPr>
          <w:rFonts w:ascii="Avenir Next" w:hAnsi="Avenir Next" w:cs="Arial"/>
          <w:sz w:val="22"/>
          <w:szCs w:val="22"/>
          <w:highlight w:val="yellow"/>
          <w:lang w:val="en-GB"/>
        </w:rPr>
      </w:pPr>
      <w:r w:rsidRPr="004D3206">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4D3206" w:rsidRDefault="00436884" w:rsidP="00436884">
      <w:pPr>
        <w:pStyle w:val="ListParagraph"/>
        <w:numPr>
          <w:ilvl w:val="0"/>
          <w:numId w:val="28"/>
        </w:numPr>
        <w:ind w:left="426"/>
        <w:jc w:val="both"/>
        <w:rPr>
          <w:rFonts w:ascii="Avenir Next" w:hAnsi="Avenir Next" w:cs="Arial"/>
          <w:sz w:val="22"/>
          <w:szCs w:val="22"/>
          <w:lang w:val="en-GB"/>
        </w:rPr>
      </w:pPr>
      <w:r w:rsidRPr="004D3206">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4D3206" w:rsidRDefault="00436884" w:rsidP="00436884">
      <w:pPr>
        <w:pStyle w:val="ListParagraph"/>
        <w:numPr>
          <w:ilvl w:val="0"/>
          <w:numId w:val="28"/>
        </w:numPr>
        <w:ind w:left="426"/>
        <w:jc w:val="both"/>
        <w:rPr>
          <w:rFonts w:ascii="Avenir Next" w:hAnsi="Avenir Next" w:cs="Arial"/>
          <w:sz w:val="22"/>
          <w:szCs w:val="22"/>
          <w:highlight w:val="yellow"/>
          <w:lang w:val="en-GB"/>
        </w:rPr>
      </w:pPr>
      <w:r w:rsidRPr="004D3206">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4D3206" w:rsidRDefault="00436884" w:rsidP="00436884">
      <w:pPr>
        <w:pStyle w:val="ListParagraph"/>
        <w:numPr>
          <w:ilvl w:val="0"/>
          <w:numId w:val="29"/>
        </w:numPr>
        <w:ind w:left="426"/>
        <w:jc w:val="both"/>
        <w:rPr>
          <w:rFonts w:ascii="Avenir Next" w:hAnsi="Avenir Next" w:cs="Arial"/>
          <w:sz w:val="22"/>
          <w:szCs w:val="22"/>
          <w:highlight w:val="yellow"/>
          <w:lang w:val="en-GB"/>
        </w:rPr>
      </w:pPr>
      <w:r w:rsidRPr="004D3206">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4D3206" w:rsidRDefault="00436884" w:rsidP="00436884">
      <w:pPr>
        <w:pStyle w:val="ListParagraph"/>
        <w:numPr>
          <w:ilvl w:val="0"/>
          <w:numId w:val="30"/>
        </w:numPr>
        <w:ind w:left="426"/>
        <w:jc w:val="both"/>
        <w:rPr>
          <w:rFonts w:ascii="Avenir Next" w:hAnsi="Avenir Next" w:cs="Arial"/>
          <w:sz w:val="22"/>
          <w:szCs w:val="22"/>
          <w:highlight w:val="yellow"/>
          <w:lang w:val="en-GB"/>
        </w:rPr>
      </w:pPr>
      <w:r w:rsidRPr="004D3206">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4D3206">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504E0A4E" w:rsidR="00CB56CE" w:rsidRPr="00C17CB1" w:rsidRDefault="00C17CB1" w:rsidP="00707FC8">
      <w:pPr>
        <w:ind w:left="720" w:hanging="720"/>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MLCBI does not expressly state the appropriate date for determining the COMI of a debtor. The Guide to Enactment and Interpretation </w:t>
      </w:r>
      <w:r w:rsidR="007B0A01">
        <w:rPr>
          <w:rFonts w:ascii="Avenir Next" w:hAnsi="Avenir Next" w:cs="Arial"/>
          <w:color w:val="808080" w:themeColor="background1" w:themeShade="80"/>
          <w:sz w:val="22"/>
          <w:szCs w:val="22"/>
          <w:lang w:val="en-GB"/>
        </w:rPr>
        <w:t xml:space="preserve">(“GEI”) </w:t>
      </w:r>
      <w:r>
        <w:rPr>
          <w:rFonts w:ascii="Avenir Next" w:hAnsi="Avenir Next" w:cs="Arial"/>
          <w:color w:val="808080" w:themeColor="background1" w:themeShade="80"/>
          <w:sz w:val="22"/>
          <w:szCs w:val="22"/>
          <w:lang w:val="en-GB"/>
        </w:rPr>
        <w:t>for the MLCBI provides at para 159 that the appropriate date should be the date of commencement of the foreign proceedings in respect of the debtor.</w:t>
      </w:r>
    </w:p>
    <w:p w14:paraId="3DA0DD63" w14:textId="707A437F" w:rsidR="00C17CB1" w:rsidRDefault="00C17CB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courts have taken a different approach in </w:t>
      </w:r>
      <w:r>
        <w:rPr>
          <w:rFonts w:ascii="Avenir Next" w:hAnsi="Avenir Next" w:cs="Arial"/>
          <w:i/>
          <w:iCs/>
          <w:color w:val="808080" w:themeColor="background1" w:themeShade="80"/>
          <w:sz w:val="22"/>
          <w:szCs w:val="22"/>
          <w:lang w:val="en-GB"/>
        </w:rPr>
        <w:t xml:space="preserve">Morning Mist Holdings Ltd v Krys (Matter of Fairfield Sentry Ltd) </w:t>
      </w:r>
      <w:r>
        <w:rPr>
          <w:rFonts w:ascii="Avenir Next" w:hAnsi="Avenir Next" w:cs="Arial"/>
          <w:color w:val="808080" w:themeColor="background1" w:themeShade="80"/>
          <w:sz w:val="22"/>
          <w:szCs w:val="22"/>
          <w:lang w:val="en-GB"/>
        </w:rPr>
        <w:t xml:space="preserve">(2nd Cir Appeals Apr. 16, 2013). There, the court held that the period between the commencement of the foreign proceedings and the </w:t>
      </w:r>
      <w:r w:rsidR="00411641">
        <w:rPr>
          <w:rFonts w:ascii="Avenir Next" w:hAnsi="Avenir Next" w:cs="Arial"/>
          <w:color w:val="808080" w:themeColor="background1" w:themeShade="80"/>
          <w:sz w:val="22"/>
          <w:szCs w:val="22"/>
          <w:lang w:val="en-GB"/>
        </w:rPr>
        <w:t>filing of the recognition application could also be considered when determining a debtor’s COMI.</w:t>
      </w:r>
    </w:p>
    <w:p w14:paraId="1D7C4365" w14:textId="28319E8B" w:rsidR="007B0A01" w:rsidRPr="007B0A01" w:rsidRDefault="007B0A01"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my view, the approach taken in the GEI is preferrable, given that it provides a clear result that can be applied to </w:t>
      </w:r>
      <w:r>
        <w:rPr>
          <w:rFonts w:ascii="Avenir Next" w:hAnsi="Avenir Next" w:cs="Arial"/>
          <w:i/>
          <w:iCs/>
          <w:color w:val="808080" w:themeColor="background1" w:themeShade="80"/>
          <w:sz w:val="22"/>
          <w:szCs w:val="22"/>
          <w:lang w:val="en-GB"/>
        </w:rPr>
        <w:t>all</w:t>
      </w:r>
      <w:r>
        <w:rPr>
          <w:rFonts w:ascii="Avenir Next" w:hAnsi="Avenir Next" w:cs="Arial"/>
          <w:color w:val="808080" w:themeColor="background1" w:themeShade="80"/>
          <w:sz w:val="22"/>
          <w:szCs w:val="22"/>
          <w:lang w:val="en-GB"/>
        </w:rPr>
        <w:t xml:space="preserve"> insolvency proceedings. Using the date of the recognition application, while maybe appropriate in some cases, would not be appropriate in cases where: the debtor’s activities cease upon the commencement of the foreign proceedings; or the debtor</w:t>
      </w:r>
      <w:r w:rsidR="00C5094B">
        <w:rPr>
          <w:rFonts w:ascii="Avenir Next" w:hAnsi="Avenir Next" w:cs="Arial"/>
          <w:color w:val="808080" w:themeColor="background1" w:themeShade="80"/>
          <w:sz w:val="22"/>
          <w:szCs w:val="22"/>
          <w:lang w:val="en-GB"/>
        </w:rPr>
        <w:t xml:space="preserve"> is subject to laws which recognise the COMI of its reorganising entity rather than of the debtor itself following the commencement of the foreign proceedings.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14271458" w14:textId="77777777" w:rsidR="00C5094B" w:rsidRDefault="00C5094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Article 14, which provides that notice must be given to foreign creditors whenever it is required to be given to local creditors, and sets out the substantive information that such notification must contain.</w:t>
      </w:r>
    </w:p>
    <w:p w14:paraId="1AA136A8" w14:textId="77777777" w:rsidR="00C5094B" w:rsidRDefault="00C5094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Article 10, which ensures that the court in the enacting state does not assume jurisdiction over all the debtor’s assets simply by virtue of the recognition application.</w:t>
      </w:r>
    </w:p>
    <w:p w14:paraId="428DC0DA" w14:textId="2C788F7F" w:rsidR="00867A8F" w:rsidRPr="00B77352" w:rsidRDefault="00C5094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w:t>
      </w:r>
      <w:r w:rsidR="00D9170F">
        <w:rPr>
          <w:rFonts w:ascii="Avenir Next" w:hAnsi="Avenir Next" w:cs="Arial"/>
          <w:color w:val="808080" w:themeColor="background1" w:themeShade="80"/>
          <w:sz w:val="22"/>
          <w:szCs w:val="22"/>
          <w:lang w:val="en-GB"/>
        </w:rPr>
        <w:t>Article 16(3), which provides that a debtor’s COMI will be presumed to be the place of its habitual residence (for individuals) or its registered office (for a corporation) in the absence of proof to the contrary.</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5A2530C0" w:rsidR="00867A8F" w:rsidRPr="000426F1" w:rsidRDefault="000426F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Pr>
          <w:rFonts w:ascii="Avenir Next" w:hAnsi="Avenir Next" w:cs="Arial"/>
          <w:i/>
          <w:iCs/>
          <w:color w:val="808080" w:themeColor="background1" w:themeShade="80"/>
          <w:sz w:val="22"/>
          <w:szCs w:val="22"/>
          <w:lang w:val="en-GB"/>
        </w:rPr>
        <w:t>IBA</w:t>
      </w:r>
      <w:r w:rsidR="007079A4">
        <w:rPr>
          <w:rFonts w:ascii="Avenir Next" w:hAnsi="Avenir Next" w:cs="Arial"/>
          <w:i/>
          <w:iCs/>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issue was whether the English court should exercise its discretion to grant </w:t>
      </w:r>
      <w:r w:rsidR="007079A4">
        <w:rPr>
          <w:rFonts w:ascii="Avenir Next" w:hAnsi="Avenir Next" w:cs="Arial"/>
          <w:color w:val="808080" w:themeColor="background1" w:themeShade="80"/>
          <w:sz w:val="22"/>
          <w:szCs w:val="22"/>
          <w:lang w:val="en-GB"/>
        </w:rPr>
        <w:t>an indefinite Moratorium Continuation</w:t>
      </w:r>
      <w:r>
        <w:rPr>
          <w:rFonts w:ascii="Avenir Next" w:hAnsi="Avenir Next" w:cs="Arial"/>
          <w:color w:val="808080" w:themeColor="background1" w:themeShade="80"/>
          <w:sz w:val="22"/>
          <w:szCs w:val="22"/>
          <w:lang w:val="en-GB"/>
        </w:rPr>
        <w:t xml:space="preserve"> in respect of a debtor who was subject </w:t>
      </w:r>
      <w:r w:rsidR="007079A4">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 xml:space="preserve">reconstruction proceedings in Azerbaijan. The problem with an indefinite Moratorium Continuation is that it can be seen to conflict with the rule from </w:t>
      </w:r>
      <w:r>
        <w:rPr>
          <w:rFonts w:ascii="Avenir Next" w:hAnsi="Avenir Next" w:cs="Arial"/>
          <w:i/>
          <w:iCs/>
          <w:color w:val="808080" w:themeColor="background1" w:themeShade="80"/>
          <w:sz w:val="22"/>
          <w:szCs w:val="22"/>
          <w:lang w:val="en-GB"/>
        </w:rPr>
        <w:t>Gibbs</w:t>
      </w:r>
      <w:r>
        <w:rPr>
          <w:rFonts w:ascii="Avenir Next" w:hAnsi="Avenir Next" w:cs="Arial"/>
          <w:color w:val="808080" w:themeColor="background1" w:themeShade="80"/>
          <w:sz w:val="22"/>
          <w:szCs w:val="22"/>
          <w:lang w:val="en-GB"/>
        </w:rPr>
        <w:t xml:space="preserve">, which is that a debt governed by English law cannot be discharged or compromised by a foreign insolvency proceeding. In the High Court, it was suggested that the indefinite Moratorium Continuation would not conflict the rule from </w:t>
      </w:r>
      <w:r>
        <w:rPr>
          <w:rFonts w:ascii="Avenir Next" w:hAnsi="Avenir Next" w:cs="Arial"/>
          <w:i/>
          <w:iCs/>
          <w:color w:val="808080" w:themeColor="background1" w:themeShade="80"/>
          <w:sz w:val="22"/>
          <w:szCs w:val="22"/>
          <w:lang w:val="en-GB"/>
        </w:rPr>
        <w:t>Gibbs</w:t>
      </w:r>
      <w:r>
        <w:rPr>
          <w:rFonts w:ascii="Avenir Next" w:hAnsi="Avenir Next" w:cs="Arial"/>
          <w:color w:val="808080" w:themeColor="background1" w:themeShade="80"/>
          <w:sz w:val="22"/>
          <w:szCs w:val="22"/>
          <w:lang w:val="en-GB"/>
        </w:rPr>
        <w:t xml:space="preserve">, because under the indefinite Moratorium Continuation, the English debts would not technically be “discharged”, they would simply be rendered unenforceable. The High Court rejected this suggestion. </w:t>
      </w:r>
      <w:r w:rsidR="007079A4">
        <w:rPr>
          <w:rFonts w:ascii="Avenir Next" w:hAnsi="Avenir Next" w:cs="Arial"/>
          <w:color w:val="808080" w:themeColor="background1" w:themeShade="80"/>
          <w:sz w:val="22"/>
          <w:szCs w:val="22"/>
          <w:lang w:val="en-GB"/>
        </w:rPr>
        <w:t>While the Court of Appeal disagreed with the High Court on the question of jurisdiction under Article 21, t</w:t>
      </w:r>
      <w:r>
        <w:rPr>
          <w:rFonts w:ascii="Avenir Next" w:hAnsi="Avenir Next" w:cs="Arial"/>
          <w:color w:val="808080" w:themeColor="background1" w:themeShade="80"/>
          <w:sz w:val="22"/>
          <w:szCs w:val="22"/>
          <w:lang w:val="en-GB"/>
        </w:rPr>
        <w:t xml:space="preserve">he Court of Appeal agreed that granting the indefinite Moratorium Continuation would in substance prevent English creditors from enforcing the rights accorded to them by the rule from </w:t>
      </w:r>
      <w:r>
        <w:rPr>
          <w:rFonts w:ascii="Avenir Next" w:hAnsi="Avenir Next" w:cs="Arial"/>
          <w:i/>
          <w:iCs/>
          <w:color w:val="808080" w:themeColor="background1" w:themeShade="80"/>
          <w:sz w:val="22"/>
          <w:szCs w:val="22"/>
          <w:lang w:val="en-GB"/>
        </w:rPr>
        <w:t xml:space="preserve">Gibbs. </w:t>
      </w:r>
      <w:r>
        <w:rPr>
          <w:rFonts w:ascii="Avenir Next" w:hAnsi="Avenir Next" w:cs="Arial"/>
          <w:color w:val="808080" w:themeColor="background1" w:themeShade="80"/>
          <w:sz w:val="22"/>
          <w:szCs w:val="22"/>
          <w:lang w:val="en-GB"/>
        </w:rPr>
        <w:t xml:space="preserve">Thus, it decided that an English court </w:t>
      </w:r>
      <w:r w:rsidR="007079A4">
        <w:rPr>
          <w:rFonts w:ascii="Avenir Next" w:hAnsi="Avenir Next" w:cs="Arial"/>
          <w:color w:val="808080" w:themeColor="background1" w:themeShade="80"/>
          <w:sz w:val="22"/>
          <w:szCs w:val="22"/>
          <w:lang w:val="en-GB"/>
        </w:rPr>
        <w:t>sh</w:t>
      </w:r>
      <w:r>
        <w:rPr>
          <w:rFonts w:ascii="Avenir Next" w:hAnsi="Avenir Next" w:cs="Arial"/>
          <w:color w:val="808080" w:themeColor="background1" w:themeShade="80"/>
          <w:sz w:val="22"/>
          <w:szCs w:val="22"/>
          <w:lang w:val="en-GB"/>
        </w:rPr>
        <w:t>ould only exercise its discretion under Article 21 to grant such a continuation if: the stay was necessary to protect the interests of the debtor’s creditors; and the stay would be an appropriate way to achieve such protection.</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47A951A7" w14:textId="77777777" w:rsidR="00073F74" w:rsidRDefault="007079A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recognition, the court in an enacting state should seek cooperation and coordination with the court in the foreign proceeding pursuant to Article 29. </w:t>
      </w:r>
    </w:p>
    <w:p w14:paraId="18F91E21" w14:textId="3A2DA7E5" w:rsidR="00867A8F" w:rsidRPr="00B77352" w:rsidRDefault="00073F7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is subject to an ongoing duty to inform the court of the enacting state promptly of any substantial change in the status of the foreign proceeding, or any other foreign proceeding that becomes known to them, pursuant to Article 18.</w:t>
      </w:r>
      <w:r w:rsidR="007079A4">
        <w:rPr>
          <w:rFonts w:ascii="Avenir Next" w:hAnsi="Avenir Next" w:cs="Arial"/>
          <w:color w:val="808080" w:themeColor="background1" w:themeShade="80"/>
          <w:sz w:val="22"/>
          <w:szCs w:val="22"/>
          <w:lang w:val="en-GB"/>
        </w:rPr>
        <w:t xml:space="preserve">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1824301" w14:textId="2EAD6F21" w:rsidR="00257437" w:rsidRPr="00BF412E" w:rsidRDefault="00073F74" w:rsidP="00707FC8">
      <w:pPr>
        <w:ind w:left="720" w:hanging="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Without the Model Law, the foreign representative’s ability to secure the value of the debtor’s assets in State A would depend on the domestic insolvency law of State A. </w:t>
      </w:r>
      <w:r w:rsidR="00E76F49">
        <w:rPr>
          <w:rFonts w:ascii="Avenir Next" w:hAnsi="Avenir Next" w:cs="Arial"/>
          <w:color w:val="808080" w:themeColor="background1" w:themeShade="80"/>
          <w:sz w:val="22"/>
          <w:szCs w:val="22"/>
          <w:lang w:val="en-GB"/>
        </w:rPr>
        <w:t xml:space="preserve">Also, his access to State A’s courts could be subject to certain requirements imposed by State A. Further, depending on the domestic law of State A, making an application to their courts may prejudice the foreign representative’s rights in respect of the debtor’s assets within State A’s jurisdiction. </w:t>
      </w:r>
      <w:r>
        <w:rPr>
          <w:rFonts w:ascii="Avenir Next" w:hAnsi="Avenir Next" w:cs="Arial"/>
          <w:color w:val="808080" w:themeColor="background1" w:themeShade="80"/>
          <w:sz w:val="22"/>
          <w:szCs w:val="22"/>
          <w:lang w:val="en-GB"/>
        </w:rPr>
        <w:t xml:space="preserve">With the Model Law, however, the foreign representative </w:t>
      </w:r>
      <w:r w:rsidR="00E76F49">
        <w:rPr>
          <w:rFonts w:ascii="Avenir Next" w:hAnsi="Avenir Next" w:cs="Arial"/>
          <w:color w:val="808080" w:themeColor="background1" w:themeShade="80"/>
          <w:sz w:val="22"/>
          <w:szCs w:val="22"/>
          <w:lang w:val="en-GB"/>
        </w:rPr>
        <w:t>is able to rely on the rights conferred by Articles 9–1</w:t>
      </w:r>
      <w:r w:rsidR="00BF412E">
        <w:rPr>
          <w:rFonts w:ascii="Avenir Next" w:hAnsi="Avenir Next" w:cs="Arial"/>
          <w:color w:val="808080" w:themeColor="background1" w:themeShade="80"/>
          <w:sz w:val="22"/>
          <w:szCs w:val="22"/>
          <w:lang w:val="en-GB"/>
        </w:rPr>
        <w:t>2</w:t>
      </w:r>
      <w:r w:rsidR="00E76F49">
        <w:rPr>
          <w:rFonts w:ascii="Avenir Next" w:hAnsi="Avenir Next" w:cs="Arial"/>
          <w:color w:val="808080" w:themeColor="background1" w:themeShade="80"/>
          <w:sz w:val="22"/>
          <w:szCs w:val="22"/>
          <w:lang w:val="en-GB"/>
        </w:rPr>
        <w:t xml:space="preserve"> to gain access to State A’s courts: (a) without having to satisfy formal requirements; (b) without prejudicing his rights in respect of the debtor’s assets in State A; and (c) to commence insolvency proceedings in State A under its domestic law. </w:t>
      </w:r>
      <w:r w:rsidR="00BF412E">
        <w:rPr>
          <w:rFonts w:ascii="Avenir Next" w:hAnsi="Avenir Next" w:cs="Arial"/>
          <w:color w:val="808080" w:themeColor="background1" w:themeShade="80"/>
          <w:sz w:val="22"/>
          <w:szCs w:val="22"/>
          <w:lang w:val="en-GB"/>
        </w:rPr>
        <w:t>For a foreign representative considering his options, (a) and (b) would be especially helpful. Further, Article 25(1) obliges the courts in State A to cooperate with the foreign representative “to the maximum extent possible”. For a foreign representative considering his options, what is likely to be most beneficial is cooperation in the form of communication of information pursuant to Article 27(</w:t>
      </w:r>
      <w:r w:rsidR="00BF412E">
        <w:rPr>
          <w:rFonts w:ascii="Avenir Next" w:hAnsi="Avenir Next" w:cs="Arial"/>
          <w:i/>
          <w:iCs/>
          <w:color w:val="808080" w:themeColor="background1" w:themeShade="80"/>
          <w:sz w:val="22"/>
          <w:szCs w:val="22"/>
          <w:lang w:val="en-GB"/>
        </w:rPr>
        <w:t>b</w:t>
      </w:r>
      <w:r w:rsidR="00BF412E">
        <w:rPr>
          <w:rFonts w:ascii="Avenir Next" w:hAnsi="Avenir Next" w:cs="Arial"/>
          <w:color w:val="808080" w:themeColor="background1" w:themeShade="80"/>
          <w:sz w:val="22"/>
          <w:szCs w:val="22"/>
          <w:lang w:val="en-GB"/>
        </w:rPr>
        <w:t xml:space="preserv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4A745B61" w:rsidR="00867A8F" w:rsidRDefault="00BF412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relevant Articles would be Articles 15–17. </w:t>
      </w:r>
    </w:p>
    <w:p w14:paraId="6CE26C15" w14:textId="45594549" w:rsidR="00BF412E" w:rsidRDefault="00BF412E" w:rsidP="00867A8F">
      <w:pPr>
        <w:ind w:left="720" w:hanging="720"/>
        <w:jc w:val="both"/>
        <w:rPr>
          <w:rFonts w:ascii="Avenir Next" w:hAnsi="Avenir Next" w:cs="Arial"/>
          <w:color w:val="808080" w:themeColor="background1" w:themeShade="80"/>
          <w:sz w:val="22"/>
          <w:szCs w:val="22"/>
          <w:lang w:val="en-GB"/>
        </w:rPr>
      </w:pPr>
    </w:p>
    <w:p w14:paraId="0CC3CB7A" w14:textId="655972B9" w:rsidR="00BF412E" w:rsidRDefault="00BF412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the foreign representative will have to comply with the formal requirements in Article 15. He will have to provide in his recognition application: (a) a certified copy of the decision commencing the proceeding in State B and appointing the foreign representative; (b) a certificate from State B’s court affirming the existence of the proceeding in State B and the foreign representative’s appointment as such; or (c) </w:t>
      </w:r>
      <w:r w:rsidR="00CE7F24">
        <w:rPr>
          <w:rFonts w:ascii="Avenir Next" w:hAnsi="Avenir Next" w:cs="Arial"/>
          <w:color w:val="808080" w:themeColor="background1" w:themeShade="80"/>
          <w:sz w:val="22"/>
          <w:szCs w:val="22"/>
          <w:lang w:val="en-GB"/>
        </w:rPr>
        <w:t xml:space="preserve">any other evidence acceptable to the court to confirm the existence of the proceeding in State B and the foreign representative’s appointment as such. The “other evidence” referred to in (c) could constitute copies of minutes, court orders, reports to creditors, correspondence with relevant authorities </w:t>
      </w:r>
      <w:r w:rsidR="00CE7F24">
        <w:rPr>
          <w:rFonts w:ascii="Avenir Next" w:hAnsi="Avenir Next" w:cs="Arial"/>
          <w:color w:val="808080" w:themeColor="background1" w:themeShade="80"/>
          <w:sz w:val="22"/>
          <w:szCs w:val="22"/>
          <w:lang w:val="en-GB"/>
        </w:rPr>
        <w:lastRenderedPageBreak/>
        <w:t>concerning the foreign proceedings or registration of the foreign representative as the debtor’s liquidator. The courts have also considered that, in order to rely on the catch-all in (c), the foreign representative will have to explain why the documents in (a) and (b) are not available. He will also have to provide a statement identifying all other foreign proceedings known to him. All such documents may need to be translated into State A’s official language.</w:t>
      </w:r>
    </w:p>
    <w:p w14:paraId="3392FDA6" w14:textId="29198600" w:rsidR="00207215" w:rsidRDefault="00207215" w:rsidP="00867A8F">
      <w:pPr>
        <w:ind w:left="720" w:hanging="720"/>
        <w:jc w:val="both"/>
        <w:rPr>
          <w:rFonts w:ascii="Avenir Next" w:hAnsi="Avenir Next" w:cs="Arial"/>
          <w:color w:val="808080" w:themeColor="background1" w:themeShade="80"/>
          <w:sz w:val="22"/>
          <w:szCs w:val="22"/>
          <w:lang w:val="en-GB"/>
        </w:rPr>
      </w:pPr>
    </w:p>
    <w:p w14:paraId="5336666C" w14:textId="1C1FE31F" w:rsidR="00207215" w:rsidRDefault="0020721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Next, the foreign representative will have to convince the court in State A that the substantive requirements under Article 17(2) are met. He will have to first consider whether or not State B is the debtor’s COMI. If so, he will have to convince the court in State A that this is the case such that the State B proceeding can be recognised as a foreign main proceeding pursuant to Article 17(2)(</w:t>
      </w:r>
      <w:r>
        <w:rPr>
          <w:rFonts w:ascii="Avenir Next" w:hAnsi="Avenir Next" w:cs="Arial"/>
          <w:i/>
          <w:iCs/>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In determining whether State B is the debtor’s COMI, the court in State A will first consider whether the debtor’s registered office is in State B. If it is, then Article 16(3) gives rise to a rebuttable presumption that State B is the debtor’s COMI. If, instead, the foreign representative wishes to have State B recognised as the debtor’s COMI despite the fact that its registered office is in another jurisdiction, he will have to </w:t>
      </w:r>
      <w:r w:rsidRPr="00B85336">
        <w:rPr>
          <w:rFonts w:ascii="Avenir Next" w:hAnsi="Avenir Next" w:cs="Arial"/>
          <w:i/>
          <w:iCs/>
          <w:color w:val="808080" w:themeColor="background1" w:themeShade="80"/>
          <w:sz w:val="22"/>
          <w:szCs w:val="22"/>
          <w:lang w:val="en-GB"/>
        </w:rPr>
        <w:t>prove</w:t>
      </w:r>
      <w:r>
        <w:rPr>
          <w:rFonts w:ascii="Avenir Next" w:hAnsi="Avenir Next" w:cs="Arial"/>
          <w:color w:val="808080" w:themeColor="background1" w:themeShade="80"/>
          <w:sz w:val="22"/>
          <w:szCs w:val="22"/>
          <w:lang w:val="en-GB"/>
        </w:rPr>
        <w:t xml:space="preserve"> that State B is the debtor’s COMI. Principally, the court in State A will be concerned with where the central administration of the debtor takes place, and whether that is readily ascertainable by creditors. The court may also have regard to other secondary factors, but ultimately its decision will be a holistic one based on all the circumstances.</w:t>
      </w:r>
    </w:p>
    <w:p w14:paraId="0E58E53F" w14:textId="06F57027" w:rsidR="00207215" w:rsidRPr="00207215" w:rsidRDefault="00207215" w:rsidP="00955DE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If the foreign representative considers that State B is </w:t>
      </w:r>
      <w:r>
        <w:rPr>
          <w:rFonts w:ascii="Avenir Next" w:hAnsi="Avenir Next" w:cs="Arial"/>
          <w:i/>
          <w:iCs/>
          <w:color w:val="808080" w:themeColor="background1" w:themeShade="80"/>
          <w:sz w:val="22"/>
          <w:szCs w:val="22"/>
          <w:lang w:val="en-GB"/>
        </w:rPr>
        <w:t xml:space="preserve">not </w:t>
      </w:r>
      <w:r>
        <w:rPr>
          <w:rFonts w:ascii="Avenir Next" w:hAnsi="Avenir Next" w:cs="Arial"/>
          <w:color w:val="808080" w:themeColor="background1" w:themeShade="80"/>
          <w:sz w:val="22"/>
          <w:szCs w:val="22"/>
          <w:lang w:val="en-GB"/>
        </w:rPr>
        <w:t>the debtor’s COMI, he will have to then show that the debtor has an establishment in State B such that the State B proceedings can be recognised</w:t>
      </w:r>
      <w:r w:rsidR="00B85336">
        <w:rPr>
          <w:rFonts w:ascii="Avenir Next" w:hAnsi="Avenir Next" w:cs="Arial"/>
          <w:color w:val="808080" w:themeColor="background1" w:themeShade="80"/>
          <w:sz w:val="22"/>
          <w:szCs w:val="22"/>
          <w:lang w:val="en-GB"/>
        </w:rPr>
        <w:t xml:space="preserve"> as foreign non-main proceedings</w:t>
      </w:r>
      <w:r>
        <w:rPr>
          <w:rFonts w:ascii="Avenir Next" w:hAnsi="Avenir Next" w:cs="Arial"/>
          <w:color w:val="808080" w:themeColor="background1" w:themeShade="80"/>
          <w:sz w:val="22"/>
          <w:szCs w:val="22"/>
          <w:lang w:val="en-GB"/>
        </w:rPr>
        <w:t xml:space="preserve"> pursuant to Article 17(2)(</w:t>
      </w:r>
      <w:r>
        <w:rPr>
          <w:rFonts w:ascii="Avenir Next" w:hAnsi="Avenir Next" w:cs="Arial"/>
          <w:i/>
          <w:iCs/>
          <w:color w:val="808080" w:themeColor="background1" w:themeShade="80"/>
          <w:sz w:val="22"/>
          <w:szCs w:val="22"/>
          <w:lang w:val="en-GB"/>
        </w:rPr>
        <w:t>b</w:t>
      </w:r>
      <w:r>
        <w:rPr>
          <w:rFonts w:ascii="Avenir Next" w:hAnsi="Avenir Next" w:cs="Arial"/>
          <w:color w:val="808080" w:themeColor="background1" w:themeShade="80"/>
          <w:sz w:val="22"/>
          <w:szCs w:val="22"/>
          <w:lang w:val="en-GB"/>
        </w:rPr>
        <w:t>). “Establishment” is defined in Article 2(</w:t>
      </w:r>
      <w:r>
        <w:rPr>
          <w:rFonts w:ascii="Avenir Next" w:hAnsi="Avenir Next" w:cs="Arial"/>
          <w:i/>
          <w:iCs/>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 as </w:t>
      </w:r>
      <w:r w:rsidR="00955DE4">
        <w:rPr>
          <w:rFonts w:ascii="Avenir Next" w:hAnsi="Avenir Next" w:cs="Arial"/>
          <w:color w:val="808080" w:themeColor="background1" w:themeShade="80"/>
          <w:sz w:val="22"/>
          <w:szCs w:val="22"/>
          <w:lang w:val="en-GB"/>
        </w:rPr>
        <w:t>“</w:t>
      </w:r>
      <w:r w:rsidR="00955DE4" w:rsidRPr="00955DE4">
        <w:rPr>
          <w:rFonts w:ascii="Avenir Next" w:hAnsi="Avenir Next" w:cs="Arial"/>
          <w:color w:val="808080" w:themeColor="background1" w:themeShade="80"/>
          <w:sz w:val="22"/>
          <w:szCs w:val="22"/>
          <w:lang w:val="en-GB"/>
        </w:rPr>
        <w:t>any place of operations where the debtor</w:t>
      </w:r>
      <w:r w:rsidR="00955DE4">
        <w:rPr>
          <w:rFonts w:ascii="Avenir Next" w:hAnsi="Avenir Next" w:cs="Arial"/>
          <w:color w:val="808080" w:themeColor="background1" w:themeShade="80"/>
          <w:sz w:val="22"/>
          <w:szCs w:val="22"/>
          <w:lang w:val="en-GB"/>
        </w:rPr>
        <w:t xml:space="preserve"> </w:t>
      </w:r>
      <w:r w:rsidR="00955DE4" w:rsidRPr="00955DE4">
        <w:rPr>
          <w:rFonts w:ascii="Avenir Next" w:hAnsi="Avenir Next" w:cs="Arial"/>
          <w:color w:val="808080" w:themeColor="background1" w:themeShade="80"/>
          <w:sz w:val="22"/>
          <w:szCs w:val="22"/>
          <w:lang w:val="en-GB"/>
        </w:rPr>
        <w:t>carries out a non-transitory economic activity with human means and goods</w:t>
      </w:r>
      <w:r w:rsidR="00955DE4">
        <w:rPr>
          <w:rFonts w:ascii="Avenir Next" w:hAnsi="Avenir Next" w:cs="Arial"/>
          <w:color w:val="808080" w:themeColor="background1" w:themeShade="80"/>
          <w:sz w:val="22"/>
          <w:szCs w:val="22"/>
          <w:lang w:val="en-GB"/>
        </w:rPr>
        <w:t xml:space="preserve"> </w:t>
      </w:r>
      <w:r w:rsidR="00955DE4" w:rsidRPr="00955DE4">
        <w:rPr>
          <w:rFonts w:ascii="Avenir Next" w:hAnsi="Avenir Next" w:cs="Arial"/>
          <w:color w:val="808080" w:themeColor="background1" w:themeShade="80"/>
          <w:sz w:val="22"/>
          <w:szCs w:val="22"/>
          <w:lang w:val="en-GB"/>
        </w:rPr>
        <w:t>or services.</w:t>
      </w:r>
      <w:r w:rsidR="00955DE4">
        <w:rPr>
          <w:rFonts w:ascii="Avenir Next" w:hAnsi="Avenir Next" w:cs="Arial"/>
          <w:color w:val="808080" w:themeColor="background1" w:themeShade="80"/>
          <w:sz w:val="22"/>
          <w:szCs w:val="22"/>
          <w:lang w:val="en-GB"/>
        </w:rPr>
        <w:t>”</w:t>
      </w:r>
    </w:p>
    <w:p w14:paraId="55FD6CF8" w14:textId="5C11AAEE" w:rsidR="00CE7F24" w:rsidRDefault="00CE7F24" w:rsidP="00867A8F">
      <w:pPr>
        <w:ind w:left="720" w:hanging="720"/>
        <w:jc w:val="both"/>
        <w:rPr>
          <w:rFonts w:ascii="Avenir Next" w:hAnsi="Avenir Next" w:cs="Arial"/>
          <w:color w:val="808080" w:themeColor="background1" w:themeShade="80"/>
          <w:sz w:val="22"/>
          <w:szCs w:val="22"/>
          <w:lang w:val="en-GB"/>
        </w:rPr>
      </w:pPr>
    </w:p>
    <w:p w14:paraId="2CD743C1" w14:textId="083E3AC3" w:rsidR="00955DE4" w:rsidRPr="00B77352" w:rsidRDefault="00955DE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the foreign representative will have to consider the exclusion in Article 6, which provides that the court in State A may refuse to recognise the foreign proceeding in State B if it would be manifestly contrary to the public policy of State A. The courts have recognised that this exception should be construed narrowly by virtue of the word “manifestly”. One example of recognition being denied on this ground could be where the foreign representative pursued the proceeding in State B contrary to a</w:t>
      </w:r>
      <w:r w:rsidR="00DD54E4">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automatic stay in prior insolvency proceedings commenced in State A. </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0CB4A80F" w:rsidR="00867A8F" w:rsidRDefault="00955DE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Pre-recognition relief </w:t>
      </w:r>
      <w:r w:rsidR="003263DC">
        <w:rPr>
          <w:rFonts w:ascii="Avenir Next" w:hAnsi="Avenir Next" w:cs="Arial"/>
          <w:color w:val="808080" w:themeColor="background1" w:themeShade="80"/>
          <w:sz w:val="22"/>
          <w:szCs w:val="22"/>
          <w:lang w:val="en-GB"/>
        </w:rPr>
        <w:t xml:space="preserve">is provided for under Article 19. Article 19 recognises that relief may be necessary </w:t>
      </w:r>
      <w:r w:rsidR="00584E4A">
        <w:rPr>
          <w:rFonts w:ascii="Avenir Next" w:hAnsi="Avenir Next" w:cs="Arial"/>
          <w:color w:val="808080" w:themeColor="background1" w:themeShade="80"/>
          <w:sz w:val="22"/>
          <w:szCs w:val="22"/>
          <w:lang w:val="en-GB"/>
        </w:rPr>
        <w:t xml:space="preserve">to urgently protect the assets of the debtor in State A. Thus, it </w:t>
      </w:r>
      <w:r w:rsidR="00B85336">
        <w:rPr>
          <w:rFonts w:ascii="Avenir Next" w:hAnsi="Avenir Next" w:cs="Arial"/>
          <w:color w:val="808080" w:themeColor="background1" w:themeShade="80"/>
          <w:sz w:val="22"/>
          <w:szCs w:val="22"/>
          <w:lang w:val="en-GB"/>
        </w:rPr>
        <w:t>provides</w:t>
      </w:r>
      <w:r w:rsidR="00584E4A">
        <w:rPr>
          <w:rFonts w:ascii="Avenir Next" w:hAnsi="Avenir Next" w:cs="Arial"/>
          <w:color w:val="808080" w:themeColor="background1" w:themeShade="80"/>
          <w:sz w:val="22"/>
          <w:szCs w:val="22"/>
          <w:lang w:val="en-GB"/>
        </w:rPr>
        <w:t xml:space="preserve"> the foreign representative </w:t>
      </w:r>
      <w:r w:rsidR="00B85336">
        <w:rPr>
          <w:rFonts w:ascii="Avenir Next" w:hAnsi="Avenir Next" w:cs="Arial"/>
          <w:color w:val="808080" w:themeColor="background1" w:themeShade="80"/>
          <w:sz w:val="22"/>
          <w:szCs w:val="22"/>
          <w:lang w:val="en-GB"/>
        </w:rPr>
        <w:t>with</w:t>
      </w:r>
      <w:r w:rsidR="00584E4A">
        <w:rPr>
          <w:rFonts w:ascii="Avenir Next" w:hAnsi="Avenir Next" w:cs="Arial"/>
          <w:color w:val="808080" w:themeColor="background1" w:themeShade="80"/>
          <w:sz w:val="22"/>
          <w:szCs w:val="22"/>
          <w:lang w:val="en-GB"/>
        </w:rPr>
        <w:t xml:space="preserve"> relief for the period between the making of the recognition application and the determination of the recognition application. Under Article 19, the foreign representative can obtain a stay of execution against the debtor’s assets in State A, the entrusting of the debtor’s assets in State A to him or another person designated by the court to protect and preserve their value, a suspension of the right to transfer encumber or otherwise dispose of the debtor’s assets, the examination of witnesses and taking of evidence, and any other relief that is available in under State A’s laws. Relief under Article 19 will not be </w:t>
      </w:r>
      <w:r w:rsidR="00584E4A">
        <w:rPr>
          <w:rFonts w:ascii="Avenir Next" w:hAnsi="Avenir Next" w:cs="Arial"/>
          <w:color w:val="808080" w:themeColor="background1" w:themeShade="80"/>
          <w:sz w:val="22"/>
          <w:szCs w:val="22"/>
          <w:lang w:val="en-GB"/>
        </w:rPr>
        <w:lastRenderedPageBreak/>
        <w:t xml:space="preserve">granted if such relief would interfere with the administration of a foreign main proceeding (Article 19(4)). </w:t>
      </w:r>
    </w:p>
    <w:p w14:paraId="44E995E5" w14:textId="4F1AED45" w:rsidR="00DD54E4" w:rsidRDefault="00317E39" w:rsidP="00DD54E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Post recognition relief is governed by Articles 20 and 21. Article 20 sets out relief that is automatically granted upon the recognition of a foreign main proceeding. There will be a stay of execution in State A against the debtor’s assets, a stay of commencing or continuing individual actions against the debtor’s assets, and a suspension of the right to transfer encumber or otherwise dispose of the debtor’s assets. </w:t>
      </w:r>
    </w:p>
    <w:p w14:paraId="570D3C7E" w14:textId="31D6921B" w:rsidR="00DD54E4" w:rsidRDefault="00DD54E4" w:rsidP="00DD54E4">
      <w:pPr>
        <w:ind w:left="720" w:hanging="720"/>
        <w:jc w:val="both"/>
        <w:rPr>
          <w:rFonts w:ascii="Avenir Next" w:hAnsi="Avenir Next" w:cs="Arial"/>
          <w:color w:val="808080" w:themeColor="background1" w:themeShade="80"/>
          <w:sz w:val="22"/>
          <w:szCs w:val="22"/>
          <w:lang w:val="en-GB"/>
        </w:rPr>
      </w:pPr>
    </w:p>
    <w:p w14:paraId="7241EAE3" w14:textId="76B51DB5" w:rsidR="00DD54E4" w:rsidRDefault="00DD54E4" w:rsidP="00DD54E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involves post recognition relief that is discretionary. It applies to both foreign non-main and foreign main proceedings. In addition to the relief provided by Article 20, Article 21 also allows for the examination of witnesses and taking of evidence, the entrusting of the debtor’s assets of the foreign representative, any relief available under State A’s laws or the extension of pre-recognition relief. In granting relief under this Article, State A’s court will have to be satisfied that the relief relates to assets which, under State A law, should be administered in the foreign non-main proceedings or concerns information required in that proceeding.</w:t>
      </w:r>
    </w:p>
    <w:p w14:paraId="1D41976D" w14:textId="5CE90AD4" w:rsidR="00AC4324" w:rsidRDefault="00AC4324" w:rsidP="00DD54E4">
      <w:pPr>
        <w:ind w:left="720" w:hanging="720"/>
        <w:jc w:val="both"/>
        <w:rPr>
          <w:rFonts w:ascii="Avenir Next" w:hAnsi="Avenir Next" w:cs="Arial"/>
          <w:color w:val="808080" w:themeColor="background1" w:themeShade="80"/>
          <w:sz w:val="22"/>
          <w:szCs w:val="22"/>
          <w:lang w:val="en-GB"/>
        </w:rPr>
      </w:pPr>
    </w:p>
    <w:p w14:paraId="73514593" w14:textId="0110C216" w:rsidR="00AC4324" w:rsidRPr="00AC4324" w:rsidRDefault="00AC4324" w:rsidP="00DD54E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choosing whether to grant relief under Article 21, State A may have regard to its own law. For example, in the </w:t>
      </w:r>
      <w:r>
        <w:rPr>
          <w:rFonts w:ascii="Avenir Next" w:hAnsi="Avenir Next" w:cs="Arial"/>
          <w:i/>
          <w:iCs/>
          <w:color w:val="808080" w:themeColor="background1" w:themeShade="80"/>
          <w:sz w:val="22"/>
          <w:szCs w:val="22"/>
          <w:lang w:val="en-GB"/>
        </w:rPr>
        <w:t xml:space="preserve">IBA </w:t>
      </w:r>
      <w:r>
        <w:rPr>
          <w:rFonts w:ascii="Avenir Next" w:hAnsi="Avenir Next" w:cs="Arial"/>
          <w:color w:val="808080" w:themeColor="background1" w:themeShade="80"/>
          <w:sz w:val="22"/>
          <w:szCs w:val="22"/>
          <w:lang w:val="en-GB"/>
        </w:rPr>
        <w:t>case, the UK Court of Appeal declined to grant relief under Article 21 because doing so would be in conflict with the common law rule applicable in the UK.</w:t>
      </w:r>
    </w:p>
    <w:p w14:paraId="4A0E319B" w14:textId="406F21B8" w:rsidR="00867A8F" w:rsidRDefault="00867A8F" w:rsidP="00DD54E4">
      <w:pPr>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841A1DE" w14:textId="42147BC5" w:rsidR="00D5244F" w:rsidRPr="00AC4324" w:rsidRDefault="00AC4324" w:rsidP="00707FC8">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 xml:space="preserve">Once </w:t>
      </w:r>
      <w:r w:rsidR="00B85336">
        <w:rPr>
          <w:rFonts w:ascii="Avenir Next" w:hAnsi="Avenir Next" w:cs="Arial"/>
          <w:color w:val="808080" w:themeColor="background1" w:themeShade="80"/>
          <w:sz w:val="22"/>
          <w:szCs w:val="22"/>
          <w:lang w:val="en-GB"/>
        </w:rPr>
        <w:t>a state recognises</w:t>
      </w:r>
      <w:r>
        <w:rPr>
          <w:rFonts w:ascii="Avenir Next" w:hAnsi="Avenir Next" w:cs="Arial"/>
          <w:color w:val="808080" w:themeColor="background1" w:themeShade="80"/>
          <w:sz w:val="22"/>
          <w:szCs w:val="22"/>
          <w:lang w:val="en-GB"/>
        </w:rPr>
        <w:t xml:space="preserve"> a foreign main proceeding, the insolvency infrastructure of that state will be available to the foreign representative, including </w:t>
      </w:r>
      <w:r w:rsidR="00B85336">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avenues to obtain the protection which was initially provided by the interim freezing order. There will therefore (other than in exceptional cases) no longer be any need for a worldwide freezing order, nor would such an order be justified. This was what the UK court decided in </w:t>
      </w:r>
      <w:r>
        <w:rPr>
          <w:rFonts w:ascii="Avenir Next" w:hAnsi="Avenir Next" w:cs="Arial"/>
          <w:i/>
          <w:iCs/>
          <w:color w:val="808080" w:themeColor="background1" w:themeShade="80"/>
          <w:sz w:val="22"/>
          <w:szCs w:val="22"/>
          <w:lang w:val="en-GB"/>
        </w:rPr>
        <w:t xml:space="preserve">Igor Vitalievich Protasov v Kadzhi-Murat Derev </w:t>
      </w:r>
      <w:r>
        <w:rPr>
          <w:rFonts w:ascii="Avenir Next" w:hAnsi="Avenir Next" w:cs="Arial"/>
          <w:color w:val="808080" w:themeColor="background1" w:themeShade="80"/>
          <w:sz w:val="22"/>
          <w:szCs w:val="22"/>
          <w:lang w:val="en-GB"/>
        </w:rPr>
        <w:t xml:space="preserve">[2021] EWHC 392 (CH).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w:t>
      </w:r>
      <w:r w:rsidRPr="00E2622D">
        <w:rPr>
          <w:rFonts w:ascii="Avenir Next" w:hAnsi="Avenir Next" w:cs="Arial"/>
          <w:color w:val="000000"/>
          <w:sz w:val="22"/>
          <w:szCs w:val="22"/>
          <w:lang w:val="en-GB" w:eastAsia="en-GB"/>
        </w:rPr>
        <w:lastRenderedPageBreak/>
        <w:t>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in the manner prescribed by the DGF Law. </w:t>
      </w:r>
      <w:r w:rsidRPr="00E2622D">
        <w:rPr>
          <w:rFonts w:ascii="Avenir Next" w:hAnsi="Avenir Next" w:cs="Arial"/>
          <w:color w:val="000000"/>
          <w:sz w:val="22"/>
          <w:szCs w:val="22"/>
          <w:lang w:val="en-GB" w:eastAsia="en-GB"/>
        </w:rPr>
        <w:lastRenderedPageBreak/>
        <w:t>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31F93E24"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41D1B7BB" w14:textId="1597D708" w:rsidR="007F6D84" w:rsidRDefault="007F6D84" w:rsidP="00957951">
      <w:pPr>
        <w:ind w:left="720" w:hanging="720"/>
        <w:jc w:val="both"/>
        <w:rPr>
          <w:rFonts w:ascii="Avenir Next" w:hAnsi="Avenir Next" w:cs="Arial"/>
          <w:color w:val="000000"/>
          <w:sz w:val="22"/>
          <w:szCs w:val="22"/>
          <w:lang w:val="en-GB" w:eastAsia="en-GB"/>
        </w:rPr>
      </w:pPr>
    </w:p>
    <w:p w14:paraId="7D211802" w14:textId="1B656255" w:rsidR="007F6D84" w:rsidRDefault="00BA14F1" w:rsidP="00957951">
      <w:pPr>
        <w:ind w:left="720" w:hanging="720"/>
        <w:jc w:val="both"/>
        <w:rPr>
          <w:rFonts w:ascii="Avenir Next" w:hAnsi="Avenir Next" w:cs="Arial"/>
          <w:color w:val="808080" w:themeColor="background1" w:themeShade="80"/>
          <w:sz w:val="22"/>
          <w:szCs w:val="22"/>
          <w:lang w:val="en-GB"/>
        </w:rPr>
      </w:pPr>
      <w:r w:rsidRPr="00BA14F1">
        <w:rPr>
          <w:rFonts w:ascii="Avenir Next" w:hAnsi="Avenir Next" w:cs="Arial"/>
          <w:color w:val="808080" w:themeColor="background1" w:themeShade="80"/>
          <w:sz w:val="22"/>
          <w:szCs w:val="22"/>
          <w:lang w:val="en-GB"/>
        </w:rPr>
        <w:t xml:space="preserve">To be a </w:t>
      </w:r>
      <w:r>
        <w:rPr>
          <w:rFonts w:ascii="Avenir Next" w:hAnsi="Avenir Next" w:cs="Arial"/>
          <w:color w:val="808080" w:themeColor="background1" w:themeShade="80"/>
          <w:sz w:val="22"/>
          <w:szCs w:val="22"/>
          <w:lang w:val="en-GB"/>
        </w:rPr>
        <w:t>“foreign proceeding” under Article 2(</w:t>
      </w:r>
      <w:r>
        <w:rPr>
          <w:rFonts w:ascii="Avenir Next" w:hAnsi="Avenir Next" w:cs="Arial"/>
          <w:i/>
          <w:iCs/>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the Bank’s liquidation must be: </w:t>
      </w:r>
    </w:p>
    <w:p w14:paraId="1B7A0E7A" w14:textId="665A46DD" w:rsidR="00BA14F1" w:rsidRDefault="00BA14F1" w:rsidP="00BA14F1">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collective judicial or administrative proceeding;</w:t>
      </w:r>
    </w:p>
    <w:p w14:paraId="2C682303" w14:textId="2F8DF450" w:rsidR="00BA14F1" w:rsidRDefault="00BA14F1" w:rsidP="00BA14F1">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 law relating to insolvency; </w:t>
      </w:r>
    </w:p>
    <w:p w14:paraId="670ACF4B" w14:textId="43125BF6" w:rsidR="00BA14F1" w:rsidRDefault="00BA14F1" w:rsidP="00BA14F1">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which the assets and affairs of the Bank are subject to control or supervision of a foreign court; </w:t>
      </w:r>
    </w:p>
    <w:p w14:paraId="325EC349" w14:textId="0F5F2F09" w:rsidR="00BA14F1" w:rsidRDefault="00BA14F1" w:rsidP="00BA14F1">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purpose of reorganisation or liquidation.</w:t>
      </w:r>
    </w:p>
    <w:p w14:paraId="519C1D0C" w14:textId="21BC61A2" w:rsidR="00BA14F1" w:rsidRDefault="00BA14F1" w:rsidP="00BA14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will deal with each of these requirements in turn. </w:t>
      </w:r>
    </w:p>
    <w:p w14:paraId="52FA38D3" w14:textId="6462E099" w:rsidR="00BA14F1" w:rsidRDefault="00BA14F1" w:rsidP="00BA14F1">
      <w:pPr>
        <w:jc w:val="both"/>
        <w:rPr>
          <w:rFonts w:ascii="Avenir Next" w:hAnsi="Avenir Next" w:cs="Arial"/>
          <w:color w:val="808080" w:themeColor="background1" w:themeShade="80"/>
          <w:sz w:val="22"/>
          <w:szCs w:val="22"/>
          <w:lang w:val="en-GB"/>
        </w:rPr>
      </w:pPr>
    </w:p>
    <w:p w14:paraId="404F47A4" w14:textId="6454E840" w:rsidR="00BA14F1" w:rsidRPr="00BA14F1" w:rsidRDefault="00BA14F1" w:rsidP="00BA14F1">
      <w:pPr>
        <w:jc w:val="both"/>
        <w:rPr>
          <w:rFonts w:ascii="Avenir Next" w:hAnsi="Avenir Next" w:cs="Arial"/>
          <w:b/>
          <w:bCs/>
          <w:color w:val="808080" w:themeColor="background1" w:themeShade="80"/>
          <w:sz w:val="22"/>
          <w:szCs w:val="22"/>
          <w:u w:val="single"/>
          <w:lang w:val="en-GB"/>
        </w:rPr>
      </w:pPr>
      <w:r w:rsidRPr="00BA14F1">
        <w:rPr>
          <w:rFonts w:ascii="Avenir Next" w:hAnsi="Avenir Next" w:cs="Arial"/>
          <w:b/>
          <w:bCs/>
          <w:color w:val="808080" w:themeColor="background1" w:themeShade="80"/>
          <w:sz w:val="22"/>
          <w:szCs w:val="22"/>
          <w:u w:val="single"/>
          <w:lang w:val="en-GB"/>
        </w:rPr>
        <w:t>Collective judicial or administrative proceeding</w:t>
      </w:r>
    </w:p>
    <w:p w14:paraId="285EBA84" w14:textId="5B8E665C" w:rsidR="00BA14F1" w:rsidRDefault="00BA14F1" w:rsidP="00BA14F1">
      <w:pPr>
        <w:jc w:val="both"/>
        <w:rPr>
          <w:rFonts w:ascii="Avenir Next" w:hAnsi="Avenir Next" w:cs="Arial"/>
          <w:color w:val="808080" w:themeColor="background1" w:themeShade="80"/>
          <w:sz w:val="22"/>
          <w:szCs w:val="22"/>
          <w:lang w:val="en-GB"/>
        </w:rPr>
      </w:pPr>
    </w:p>
    <w:p w14:paraId="00F9CDD0" w14:textId="2F28D70E" w:rsidR="00330076" w:rsidRDefault="00330076" w:rsidP="00BA14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per [69]–[70] of the GEI, the MLCBI only covers “collective” proceedings, given that its purpose is to achieve a coordinated, global, solution for all stakeholders in insolvency proceedings. It is not intended to be utilised by individual creditors or groups of creditors who have commenced proceedings against the debtor in another state. When determining whether proceedings are “collective” the court will consider whether substantially all of the assets and liabilities of the debtor are dealt with in the proceeding, subject to local priorities, statutory exceptions, and local exclusions relating to the rights of secured creditors. </w:t>
      </w:r>
    </w:p>
    <w:p w14:paraId="4CCEFCD7" w14:textId="3BC6AC42" w:rsidR="00330076" w:rsidRDefault="00330076" w:rsidP="00BA14F1">
      <w:pPr>
        <w:jc w:val="both"/>
        <w:rPr>
          <w:rFonts w:ascii="Avenir Next" w:hAnsi="Avenir Next" w:cs="Arial"/>
          <w:color w:val="808080" w:themeColor="background1" w:themeShade="80"/>
          <w:sz w:val="22"/>
          <w:szCs w:val="22"/>
          <w:lang w:val="en-GB"/>
        </w:rPr>
      </w:pPr>
    </w:p>
    <w:p w14:paraId="4FCB25E2" w14:textId="26DD1EE4" w:rsidR="00330076" w:rsidRDefault="00330076" w:rsidP="00BA14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my view, the Bank’s liquidation is a collective proceeding.</w:t>
      </w:r>
      <w:r w:rsidR="00A76D50">
        <w:rPr>
          <w:rFonts w:ascii="Avenir Next" w:hAnsi="Avenir Next" w:cs="Arial"/>
          <w:color w:val="808080" w:themeColor="background1" w:themeShade="80"/>
          <w:sz w:val="22"/>
          <w:szCs w:val="22"/>
          <w:lang w:val="en-GB"/>
        </w:rPr>
        <w:t xml:space="preserve"> Cases have considered that collective proceedings involve the imposition of an orderly regime that affects the rights of all creditors, and all the assets of the debtor. Once liquidation of the Bank commences, DGF alienates its property and funds. Further, public encumbrances and restrictions on disposal of bank property are terminated, and offsetting of counter-claims is prohibited. DGF also has the power to dispose of the Bank’s assets and to take steps to recover the Bank’s property. </w:t>
      </w:r>
      <w:r w:rsidR="009F58A1">
        <w:rPr>
          <w:rFonts w:ascii="Avenir Next" w:hAnsi="Avenir Next" w:cs="Arial"/>
          <w:color w:val="808080" w:themeColor="background1" w:themeShade="80"/>
          <w:sz w:val="22"/>
          <w:szCs w:val="22"/>
          <w:lang w:val="en-GB"/>
        </w:rPr>
        <w:t xml:space="preserve">Creditors are also prevented from executing or </w:t>
      </w:r>
      <w:r w:rsidR="009F58A1">
        <w:rPr>
          <w:rFonts w:ascii="Avenir Next" w:hAnsi="Avenir Next" w:cs="Arial"/>
          <w:color w:val="808080" w:themeColor="background1" w:themeShade="80"/>
          <w:sz w:val="22"/>
          <w:szCs w:val="22"/>
          <w:lang w:val="en-GB"/>
        </w:rPr>
        <w:lastRenderedPageBreak/>
        <w:t>enforcing claims against the Bank’s property under Article 36(5) of the DGF Law</w:t>
      </w:r>
      <w:r w:rsidR="003121EC">
        <w:rPr>
          <w:rFonts w:ascii="Avenir Next" w:hAnsi="Avenir Next" w:cs="Arial"/>
          <w:color w:val="808080" w:themeColor="background1" w:themeShade="80"/>
          <w:sz w:val="22"/>
          <w:szCs w:val="22"/>
          <w:lang w:val="en-GB"/>
        </w:rPr>
        <w:t xml:space="preserve"> in the administration period prior to liquidation</w:t>
      </w:r>
      <w:r w:rsidR="009F58A1">
        <w:rPr>
          <w:rFonts w:ascii="Avenir Next" w:hAnsi="Avenir Next" w:cs="Arial"/>
          <w:color w:val="808080" w:themeColor="background1" w:themeShade="80"/>
          <w:sz w:val="22"/>
          <w:szCs w:val="22"/>
          <w:lang w:val="en-GB"/>
        </w:rPr>
        <w:t>. Finally, it is also relevant that the Bank’s liquidation commences upon revocation of its license by the NB – it does not commence upon the petition of an individual creditor. All of these facts point towards the Bank’s liquidation being collective in nature. The Bank’s liquidation is not one whereby a creditor, or a group of creditors, enforces and recovers their debt as against the Bank. However, one point which I may require more information is the role that creditors have in the Bank’s liquidation. It is not apparent on the facts provided what their role is, or if they have one. Their participation need not be explicitly provided for in the DGF Law, but it must be the case that at least in practice, creditors are able to have a say in proceedings. The courts have considered the participation of creditors to be a requirement of collective proceedings.</w:t>
      </w:r>
    </w:p>
    <w:p w14:paraId="0BF6E101" w14:textId="1922A47B" w:rsidR="00B85336" w:rsidRDefault="00B85336" w:rsidP="00BA14F1">
      <w:pPr>
        <w:jc w:val="both"/>
        <w:rPr>
          <w:rFonts w:ascii="Avenir Next" w:hAnsi="Avenir Next" w:cs="Arial"/>
          <w:color w:val="808080" w:themeColor="background1" w:themeShade="80"/>
          <w:sz w:val="22"/>
          <w:szCs w:val="22"/>
          <w:lang w:val="en-GB"/>
        </w:rPr>
      </w:pPr>
    </w:p>
    <w:p w14:paraId="610CB03D" w14:textId="429904D7" w:rsidR="00B85336" w:rsidRDefault="00B85336" w:rsidP="00BA14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proceedings may not be considered judicial due to the limited role of the courts, they are undoubtedly administrative in that they are carried out by a statutorily authorised body, and governed by a statute.</w:t>
      </w:r>
    </w:p>
    <w:p w14:paraId="32F319ED" w14:textId="77777777" w:rsidR="00BA14F1" w:rsidRDefault="00BA14F1" w:rsidP="00BA14F1">
      <w:pPr>
        <w:jc w:val="both"/>
        <w:rPr>
          <w:rFonts w:ascii="Avenir Next" w:hAnsi="Avenir Next" w:cs="Arial"/>
          <w:color w:val="808080" w:themeColor="background1" w:themeShade="80"/>
          <w:sz w:val="22"/>
          <w:szCs w:val="22"/>
          <w:lang w:val="en-GB"/>
        </w:rPr>
      </w:pPr>
    </w:p>
    <w:p w14:paraId="0B8D5791" w14:textId="50795902" w:rsidR="00BA14F1" w:rsidRDefault="00BA14F1" w:rsidP="00BA14F1">
      <w:pPr>
        <w:jc w:val="both"/>
        <w:rPr>
          <w:rFonts w:ascii="Avenir Next" w:hAnsi="Avenir Next" w:cs="Arial"/>
          <w:b/>
          <w:bCs/>
          <w:color w:val="808080" w:themeColor="background1" w:themeShade="80"/>
          <w:sz w:val="22"/>
          <w:szCs w:val="22"/>
          <w:u w:val="single"/>
          <w:lang w:val="en-GB"/>
        </w:rPr>
      </w:pPr>
      <w:r w:rsidRPr="00BA14F1">
        <w:rPr>
          <w:rFonts w:ascii="Avenir Next" w:hAnsi="Avenir Next" w:cs="Arial"/>
          <w:b/>
          <w:bCs/>
          <w:color w:val="808080" w:themeColor="background1" w:themeShade="80"/>
          <w:sz w:val="22"/>
          <w:szCs w:val="22"/>
          <w:u w:val="single"/>
          <w:lang w:val="en-GB"/>
        </w:rPr>
        <w:t>Law relating to insolvency</w:t>
      </w:r>
    </w:p>
    <w:p w14:paraId="5A58841B" w14:textId="10D0EC9C" w:rsidR="009F58A1" w:rsidRDefault="009F58A1" w:rsidP="00BA14F1">
      <w:pPr>
        <w:jc w:val="both"/>
        <w:rPr>
          <w:rFonts w:ascii="Avenir Next" w:hAnsi="Avenir Next" w:cs="Arial"/>
          <w:b/>
          <w:bCs/>
          <w:color w:val="808080" w:themeColor="background1" w:themeShade="80"/>
          <w:sz w:val="22"/>
          <w:szCs w:val="22"/>
          <w:u w:val="single"/>
          <w:lang w:val="en-GB"/>
        </w:rPr>
      </w:pPr>
    </w:p>
    <w:p w14:paraId="3A11C642" w14:textId="7A9A8AAB" w:rsidR="009F58A1" w:rsidRPr="00CE45B9" w:rsidRDefault="00CE45B9" w:rsidP="00BA14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proceedings must also be pursuant to a law relating to insolvency. The law need not be specifically labelled as insolvency law, but it must deal with insolvency or financial distress (GEI at para 73). In my view, this is true of the LBBA and the DGF Law. These statutes deal with financial distress and insolvency – the liquidation of the Bank is triggered first by the NB’s identification of the Bank as insolvent under article 76 or 77 of the LBBA. </w:t>
      </w:r>
      <w:r w:rsidR="003121EC">
        <w:rPr>
          <w:rFonts w:ascii="Avenir Next" w:hAnsi="Avenir Next" w:cs="Arial"/>
          <w:color w:val="808080" w:themeColor="background1" w:themeShade="80"/>
          <w:sz w:val="22"/>
          <w:szCs w:val="22"/>
          <w:lang w:val="en-GB"/>
        </w:rPr>
        <w:t>This then brings in the DGF pursuant to art 34 of the DGF Law. Once the DGF is involved, it is clear that the Bank’s liquidation is not a simple process aimed at dissolving its legal status. Instead, the DGF embarks on a complicated process which involves taking control of the Bank’s assets, dealing with creditors’ claims and recovering assets from third parties. Thus, I would say that the Bank’s liquidation occurs pursuant to laws relating to insolvency.</w:t>
      </w:r>
    </w:p>
    <w:p w14:paraId="47019F9B" w14:textId="77777777" w:rsidR="00BA14F1" w:rsidRDefault="00BA14F1" w:rsidP="00BA14F1">
      <w:pPr>
        <w:jc w:val="both"/>
        <w:rPr>
          <w:rFonts w:ascii="Avenir Next" w:hAnsi="Avenir Next" w:cs="Arial"/>
          <w:color w:val="808080" w:themeColor="background1" w:themeShade="80"/>
          <w:sz w:val="22"/>
          <w:szCs w:val="22"/>
          <w:lang w:val="en-GB"/>
        </w:rPr>
      </w:pPr>
    </w:p>
    <w:p w14:paraId="65D2FC51" w14:textId="15C6BA75" w:rsidR="00BA14F1" w:rsidRDefault="00BA14F1" w:rsidP="00BA14F1">
      <w:pPr>
        <w:jc w:val="both"/>
        <w:rPr>
          <w:rFonts w:ascii="Avenir Next" w:hAnsi="Avenir Next" w:cs="Arial"/>
          <w:b/>
          <w:bCs/>
          <w:color w:val="808080" w:themeColor="background1" w:themeShade="80"/>
          <w:sz w:val="22"/>
          <w:szCs w:val="22"/>
          <w:u w:val="single"/>
          <w:lang w:val="en-GB"/>
        </w:rPr>
      </w:pPr>
      <w:r w:rsidRPr="00BA14F1">
        <w:rPr>
          <w:rFonts w:ascii="Avenir Next" w:hAnsi="Avenir Next" w:cs="Arial"/>
          <w:b/>
          <w:bCs/>
          <w:color w:val="808080" w:themeColor="background1" w:themeShade="80"/>
          <w:sz w:val="22"/>
          <w:szCs w:val="22"/>
          <w:u w:val="single"/>
          <w:lang w:val="en-GB"/>
        </w:rPr>
        <w:t>Assets and affairs subject to control or supervision of foreign court</w:t>
      </w:r>
    </w:p>
    <w:p w14:paraId="03EBE98F" w14:textId="6A48A41E" w:rsidR="003121EC" w:rsidRDefault="003121EC" w:rsidP="00BA14F1">
      <w:pPr>
        <w:jc w:val="both"/>
        <w:rPr>
          <w:rFonts w:ascii="Avenir Next" w:hAnsi="Avenir Next" w:cs="Arial"/>
          <w:color w:val="808080" w:themeColor="background1" w:themeShade="80"/>
          <w:sz w:val="22"/>
          <w:szCs w:val="22"/>
          <w:lang w:val="en-GB"/>
        </w:rPr>
      </w:pPr>
    </w:p>
    <w:p w14:paraId="0671A77D" w14:textId="0DF52223" w:rsidR="00BA14F1" w:rsidRDefault="003121EC" w:rsidP="00BA14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Bank’s liquidation, it is clear that the DGF (or its delegate) has control over the assets and affairs of the Bank. Upon liquidation, all powers of the bank’s management and control bodies are terminated and the DGF alienates the bank’s property and funds. For the Bank’s liquidation to be considered a foreign proceeding under Article 2(</w:t>
      </w:r>
      <w:r>
        <w:rPr>
          <w:rFonts w:ascii="Avenir Next" w:hAnsi="Avenir Next" w:cs="Arial"/>
          <w:i/>
          <w:iCs/>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however, it must be shown that the assets and affairs are subject to control of Country A’s court. Para 74 of the GEI recognises that control or supervision exercised by an insolvency representative who is in turn subject to control or supervision by the court would be sufficient. </w:t>
      </w:r>
      <w:r w:rsidR="00D2166A">
        <w:rPr>
          <w:rFonts w:ascii="Avenir Next" w:hAnsi="Avenir Next" w:cs="Arial"/>
          <w:color w:val="808080" w:themeColor="background1" w:themeShade="80"/>
          <w:sz w:val="22"/>
          <w:szCs w:val="22"/>
          <w:lang w:val="en-GB"/>
        </w:rPr>
        <w:t>I note that articles 3(3) and 3(7) of the DGF Law provide that neither the public authorities nor the NB have any right to interfere in the exercise of its powers. This does not mention whether the DGF is subject to the supervision of the court in the exercise of its powers. However, given that the DGF’s role is statutory, it is likely that the courts retain a supervisory role over the DGF, and are able to determine whether it has fulfilled its statutory functions/properly exercised its statutory powers. Thus, on the facts provided, I would say that it is likely that the courts of Country A have oversight over DGF’s administration of Bank’s liquidation, and that therefore this requirement is satisfied.</w:t>
      </w:r>
    </w:p>
    <w:p w14:paraId="66B49421" w14:textId="77777777" w:rsidR="00BA14F1" w:rsidRDefault="00BA14F1" w:rsidP="00BA14F1">
      <w:pPr>
        <w:jc w:val="both"/>
        <w:rPr>
          <w:rFonts w:ascii="Avenir Next" w:hAnsi="Avenir Next" w:cs="Arial"/>
          <w:color w:val="808080" w:themeColor="background1" w:themeShade="80"/>
          <w:sz w:val="22"/>
          <w:szCs w:val="22"/>
          <w:lang w:val="en-GB"/>
        </w:rPr>
      </w:pPr>
    </w:p>
    <w:p w14:paraId="6FE6BE07" w14:textId="7FE3AB9E" w:rsidR="00BA14F1" w:rsidRDefault="00BA14F1" w:rsidP="00BA14F1">
      <w:pPr>
        <w:jc w:val="both"/>
        <w:rPr>
          <w:rFonts w:ascii="Avenir Next" w:hAnsi="Avenir Next" w:cs="Arial"/>
          <w:b/>
          <w:bCs/>
          <w:color w:val="808080" w:themeColor="background1" w:themeShade="80"/>
          <w:sz w:val="22"/>
          <w:szCs w:val="22"/>
          <w:u w:val="single"/>
          <w:lang w:val="en-GB"/>
        </w:rPr>
      </w:pPr>
      <w:r w:rsidRPr="00BA14F1">
        <w:rPr>
          <w:rFonts w:ascii="Avenir Next" w:hAnsi="Avenir Next" w:cs="Arial"/>
          <w:b/>
          <w:bCs/>
          <w:color w:val="808080" w:themeColor="background1" w:themeShade="80"/>
          <w:sz w:val="22"/>
          <w:szCs w:val="22"/>
          <w:u w:val="single"/>
          <w:lang w:val="en-GB"/>
        </w:rPr>
        <w:t>Purpose of reorganisation or liquidation</w:t>
      </w:r>
    </w:p>
    <w:p w14:paraId="5C3BC8A1" w14:textId="7C8CA89E" w:rsidR="00D2166A" w:rsidRDefault="00D2166A" w:rsidP="00BA14F1">
      <w:pPr>
        <w:jc w:val="both"/>
        <w:rPr>
          <w:rFonts w:ascii="Avenir Next" w:hAnsi="Avenir Next" w:cs="Arial"/>
          <w:b/>
          <w:bCs/>
          <w:color w:val="808080" w:themeColor="background1" w:themeShade="80"/>
          <w:sz w:val="22"/>
          <w:szCs w:val="22"/>
          <w:u w:val="single"/>
          <w:lang w:val="en-GB"/>
        </w:rPr>
      </w:pPr>
    </w:p>
    <w:p w14:paraId="3B2DB753" w14:textId="521A097F" w:rsidR="00D2166A" w:rsidRDefault="002A35C8" w:rsidP="00BA14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GEI provides, as a contrast to proceedings for the purpose of reorganisation or liquidation, the following examples: proceedings designed to prevent dissipation and waste; proceedings to prevent detriment to investors rather than to all creditors; or proceedings in which the powers and duties imposed on the foreign representative are more limited than the powers and duties typically associated with liquidation and reorganisation. In the case of the Bank’s liquidation, the DGF’s powers </w:t>
      </w:r>
      <w:r>
        <w:rPr>
          <w:rFonts w:ascii="Avenir Next" w:hAnsi="Avenir Next" w:cs="Arial"/>
          <w:color w:val="808080" w:themeColor="background1" w:themeShade="80"/>
          <w:sz w:val="22"/>
          <w:szCs w:val="22"/>
          <w:lang w:val="en-GB"/>
        </w:rPr>
        <w:lastRenderedPageBreak/>
        <w:t>and duties are extensive. They are far from confined to the preservation of assets or dissipation of waste. The DGF has the power to compile a register of creditor claims and to seek to satisfy those claims, to recover property belonging to the Bank, to pursue claims against third parties and the general power to do what is necessary to complete the Bank’s liquidation. The DGF therefore has the power to take steps to effect the reorganisation and liquidation of the Bank. It would follow that these powers are provided because that is the purpose of the Bank’s liquidation.</w:t>
      </w:r>
    </w:p>
    <w:p w14:paraId="4BEB275A" w14:textId="175175D9" w:rsidR="002A35C8" w:rsidRDefault="002A35C8" w:rsidP="00BA14F1">
      <w:pPr>
        <w:jc w:val="both"/>
        <w:rPr>
          <w:rFonts w:ascii="Avenir Next" w:hAnsi="Avenir Next" w:cs="Arial"/>
          <w:color w:val="808080" w:themeColor="background1" w:themeShade="80"/>
          <w:sz w:val="22"/>
          <w:szCs w:val="22"/>
          <w:lang w:val="en-GB"/>
        </w:rPr>
      </w:pPr>
    </w:p>
    <w:p w14:paraId="2B22CA9E" w14:textId="62B559B3" w:rsidR="002A35C8" w:rsidRDefault="002A35C8" w:rsidP="00BA14F1">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Conclusion</w:t>
      </w:r>
    </w:p>
    <w:p w14:paraId="623F05FC" w14:textId="26D58C36" w:rsidR="002A35C8" w:rsidRDefault="002A35C8" w:rsidP="00BA14F1">
      <w:pPr>
        <w:jc w:val="both"/>
        <w:rPr>
          <w:rFonts w:ascii="Avenir Next" w:hAnsi="Avenir Next" w:cs="Arial"/>
          <w:color w:val="808080" w:themeColor="background1" w:themeShade="80"/>
          <w:sz w:val="22"/>
          <w:szCs w:val="22"/>
          <w:lang w:val="en-GB"/>
        </w:rPr>
      </w:pPr>
    </w:p>
    <w:p w14:paraId="6970AA2A" w14:textId="2020DA33" w:rsidR="002A35C8" w:rsidRPr="002A35C8" w:rsidRDefault="002A35C8" w:rsidP="00BA14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I would conclude that the Bank’s liquidation would constitute a foreign proceeding. Ideally, however, I would require more information </w:t>
      </w:r>
      <w:r w:rsidR="00DF7F39">
        <w:rPr>
          <w:rFonts w:ascii="Avenir Next" w:hAnsi="Avenir Next" w:cs="Arial"/>
          <w:color w:val="808080" w:themeColor="background1" w:themeShade="80"/>
          <w:sz w:val="22"/>
          <w:szCs w:val="22"/>
          <w:lang w:val="en-GB"/>
        </w:rPr>
        <w:t>on the role of creditors in the Bank’s liquidation.</w:t>
      </w:r>
    </w:p>
    <w:p w14:paraId="17BCAFA3" w14:textId="7B018760" w:rsidR="00BA14F1" w:rsidRPr="00BA14F1" w:rsidRDefault="00BA14F1" w:rsidP="00BA14F1">
      <w:pPr>
        <w:jc w:val="both"/>
        <w:rPr>
          <w:rFonts w:ascii="Avenir Next" w:hAnsi="Avenir Next" w:cs="Arial"/>
          <w:color w:val="808080" w:themeColor="background1" w:themeShade="80"/>
          <w:sz w:val="22"/>
          <w:szCs w:val="22"/>
          <w:lang w:val="en-GB"/>
        </w:rPr>
      </w:pP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275FA8F3"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1BE144A0" w14:textId="2C127981" w:rsidR="00DF7F39" w:rsidRDefault="00DF7F39" w:rsidP="00957951">
      <w:pPr>
        <w:ind w:left="720" w:hanging="720"/>
        <w:jc w:val="both"/>
        <w:rPr>
          <w:rFonts w:ascii="Avenir Next" w:hAnsi="Avenir Next" w:cs="Arial"/>
          <w:color w:val="000000"/>
          <w:sz w:val="22"/>
          <w:szCs w:val="22"/>
          <w:lang w:val="en-GB" w:eastAsia="en-GB"/>
        </w:rPr>
      </w:pPr>
    </w:p>
    <w:p w14:paraId="5BCC195C" w14:textId="1D5EFB8E" w:rsidR="00DF7F39" w:rsidRDefault="00DF7F39" w:rsidP="00DF7F39">
      <w:pPr>
        <w:jc w:val="both"/>
        <w:rPr>
          <w:rFonts w:ascii="Avenir Next" w:hAnsi="Avenir Next" w:cs="Arial"/>
          <w:color w:val="808080" w:themeColor="background1" w:themeShade="80"/>
          <w:sz w:val="22"/>
          <w:szCs w:val="22"/>
          <w:lang w:val="en-GB"/>
        </w:rPr>
      </w:pPr>
      <w:r w:rsidRPr="00DF7F39">
        <w:rPr>
          <w:rFonts w:ascii="Avenir Next" w:hAnsi="Avenir Next" w:cs="Arial"/>
          <w:color w:val="808080" w:themeColor="background1" w:themeShade="80"/>
          <w:sz w:val="22"/>
          <w:szCs w:val="22"/>
          <w:lang w:val="en-GB"/>
        </w:rPr>
        <w:t xml:space="preserve">Under Article 2 (d), a foreign representative is someone </w:t>
      </w:r>
      <w:r>
        <w:rPr>
          <w:rFonts w:ascii="Avenir Next" w:hAnsi="Avenir Next" w:cs="Arial"/>
          <w:color w:val="808080" w:themeColor="background1" w:themeShade="80"/>
          <w:sz w:val="22"/>
          <w:szCs w:val="22"/>
          <w:lang w:val="en-GB"/>
        </w:rPr>
        <w:t>who is authorised in the foreign proceeding to administer those proceedings.</w:t>
      </w:r>
    </w:p>
    <w:p w14:paraId="5FE533A7" w14:textId="76FB68ED" w:rsidR="00211EFA" w:rsidRDefault="00211EFA" w:rsidP="00DF7F39">
      <w:pPr>
        <w:jc w:val="both"/>
        <w:rPr>
          <w:rFonts w:ascii="Avenir Next" w:hAnsi="Avenir Next" w:cs="Arial"/>
          <w:color w:val="808080" w:themeColor="background1" w:themeShade="80"/>
          <w:sz w:val="22"/>
          <w:szCs w:val="22"/>
          <w:lang w:val="en-GB"/>
        </w:rPr>
      </w:pPr>
    </w:p>
    <w:p w14:paraId="558668F2" w14:textId="116E9B76" w:rsidR="00C268D5" w:rsidRDefault="00C268D5" w:rsidP="00DF7F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GEI notes that the foreign representative need not be authorised by the foreign court, and that authorisation by a special agency is sufficient. Thus, it should not pose a problem that the DGF assumes its role automatically through statute, and that Ms G assumes her role through appointment by the DGF, as provided</w:t>
      </w:r>
      <w:r w:rsidR="00DE746E">
        <w:rPr>
          <w:rFonts w:ascii="Avenir Next" w:hAnsi="Avenir Next" w:cs="Arial"/>
          <w:color w:val="808080" w:themeColor="background1" w:themeShade="80"/>
          <w:sz w:val="22"/>
          <w:szCs w:val="22"/>
          <w:lang w:val="en-GB"/>
        </w:rPr>
        <w:t xml:space="preserve"> for</w:t>
      </w:r>
      <w:r>
        <w:rPr>
          <w:rFonts w:ascii="Avenir Next" w:hAnsi="Avenir Next" w:cs="Arial"/>
          <w:color w:val="808080" w:themeColor="background1" w:themeShade="80"/>
          <w:sz w:val="22"/>
          <w:szCs w:val="22"/>
          <w:lang w:val="en-GB"/>
        </w:rPr>
        <w:t xml:space="preserve"> by statute. In this case, DGF assumed its powers over the Bank’s liquidation pursuant to statute: Article 77 of the LBBA. Ms G’s authorisation is also statutory – she was appointed by the DGF pursuant to article 48(3) of the DGF Law. This provision essentially allows Ms G to represent DGF and act on its behalf.</w:t>
      </w:r>
      <w:r w:rsidR="00DE746E">
        <w:rPr>
          <w:rFonts w:ascii="Avenir Next" w:hAnsi="Avenir Next" w:cs="Arial"/>
          <w:color w:val="808080" w:themeColor="background1" w:themeShade="80"/>
          <w:sz w:val="22"/>
          <w:szCs w:val="22"/>
          <w:lang w:val="en-GB"/>
        </w:rPr>
        <w:t xml:space="preserve"> Bo</w:t>
      </w:r>
      <w:r>
        <w:rPr>
          <w:rFonts w:ascii="Avenir Next" w:hAnsi="Avenir Next" w:cs="Arial"/>
          <w:color w:val="808080" w:themeColor="background1" w:themeShade="80"/>
          <w:sz w:val="22"/>
          <w:szCs w:val="22"/>
          <w:lang w:val="en-GB"/>
        </w:rPr>
        <w:t>th</w:t>
      </w:r>
      <w:r w:rsidR="00DE746E">
        <w:rPr>
          <w:rFonts w:ascii="Avenir Next" w:hAnsi="Avenir Next" w:cs="Arial"/>
          <w:color w:val="808080" w:themeColor="background1" w:themeShade="80"/>
          <w:sz w:val="22"/>
          <w:szCs w:val="22"/>
          <w:lang w:val="en-GB"/>
        </w:rPr>
        <w:t xml:space="preserve"> the DGF and Ms G</w:t>
      </w:r>
      <w:r>
        <w:rPr>
          <w:rFonts w:ascii="Avenir Next" w:hAnsi="Avenir Next" w:cs="Arial"/>
          <w:color w:val="808080" w:themeColor="background1" w:themeShade="80"/>
          <w:sz w:val="22"/>
          <w:szCs w:val="22"/>
          <w:lang w:val="en-GB"/>
        </w:rPr>
        <w:t xml:space="preserve"> were authorised in the context of the Bank’s liquidation. </w:t>
      </w:r>
    </w:p>
    <w:p w14:paraId="41DAF50D" w14:textId="77777777" w:rsidR="00C268D5" w:rsidRDefault="00C268D5" w:rsidP="00DF7F39">
      <w:pPr>
        <w:jc w:val="both"/>
        <w:rPr>
          <w:rFonts w:ascii="Avenir Next" w:hAnsi="Avenir Next" w:cs="Arial"/>
          <w:color w:val="808080" w:themeColor="background1" w:themeShade="80"/>
          <w:sz w:val="22"/>
          <w:szCs w:val="22"/>
          <w:lang w:val="en-GB"/>
        </w:rPr>
      </w:pPr>
    </w:p>
    <w:p w14:paraId="532801E9" w14:textId="0244A148" w:rsidR="00211EFA" w:rsidRDefault="00DE746E" w:rsidP="00DF7F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also clear that they have been authorised to “administer” the Bank’s liquidation. </w:t>
      </w:r>
      <w:r w:rsidR="00C268D5">
        <w:rPr>
          <w:rFonts w:ascii="Avenir Next" w:hAnsi="Avenir Next" w:cs="Arial"/>
          <w:color w:val="808080" w:themeColor="background1" w:themeShade="80"/>
          <w:sz w:val="22"/>
          <w:szCs w:val="22"/>
          <w:lang w:val="en-GB"/>
        </w:rPr>
        <w:t xml:space="preserve">Under Article 77 of the LBBA, DGF has all the powers of a liquidator under Country A’s laws. </w:t>
      </w:r>
      <w:r w:rsidR="00211EFA">
        <w:rPr>
          <w:rFonts w:ascii="Avenir Next" w:hAnsi="Avenir Next" w:cs="Arial"/>
          <w:color w:val="808080" w:themeColor="background1" w:themeShade="80"/>
          <w:sz w:val="22"/>
          <w:szCs w:val="22"/>
          <w:lang w:val="en-GB"/>
        </w:rPr>
        <w:t xml:space="preserve">Pursuant to Resolution 1513, </w:t>
      </w:r>
      <w:r w:rsidR="00C268D5">
        <w:rPr>
          <w:rFonts w:ascii="Avenir Next" w:hAnsi="Avenir Next" w:cs="Arial"/>
          <w:color w:val="808080" w:themeColor="background1" w:themeShade="80"/>
          <w:sz w:val="22"/>
          <w:szCs w:val="22"/>
          <w:lang w:val="en-GB"/>
        </w:rPr>
        <w:t>Ms G</w:t>
      </w:r>
      <w:r w:rsidR="00211EFA">
        <w:rPr>
          <w:rFonts w:ascii="Avenir Next" w:hAnsi="Avenir Next" w:cs="Arial"/>
          <w:color w:val="808080" w:themeColor="background1" w:themeShade="80"/>
          <w:sz w:val="22"/>
          <w:szCs w:val="22"/>
          <w:lang w:val="en-GB"/>
        </w:rPr>
        <w:t xml:space="preserve"> was given all DGF’s liquidation powers except for three, which remain vested in DGF. This means that DGF and Ms G collectively hold all the powers of liquidation,</w:t>
      </w:r>
      <w:r>
        <w:rPr>
          <w:rFonts w:ascii="Avenir Next" w:hAnsi="Avenir Next" w:cs="Arial"/>
          <w:color w:val="808080" w:themeColor="background1" w:themeShade="80"/>
          <w:sz w:val="22"/>
          <w:szCs w:val="22"/>
          <w:lang w:val="en-GB"/>
        </w:rPr>
        <w:t xml:space="preserve"> though</w:t>
      </w:r>
      <w:r w:rsidR="00211EFA">
        <w:rPr>
          <w:rFonts w:ascii="Avenir Next" w:hAnsi="Avenir Next" w:cs="Arial"/>
          <w:color w:val="808080" w:themeColor="background1" w:themeShade="80"/>
          <w:sz w:val="22"/>
          <w:szCs w:val="22"/>
          <w:lang w:val="en-GB"/>
        </w:rPr>
        <w:t xml:space="preserve"> neither of them holds all the powers individually.</w:t>
      </w:r>
      <w:r w:rsidR="008C0A96">
        <w:rPr>
          <w:rFonts w:ascii="Avenir Next" w:hAnsi="Avenir Next" w:cs="Arial"/>
          <w:color w:val="808080" w:themeColor="background1" w:themeShade="80"/>
          <w:sz w:val="22"/>
          <w:szCs w:val="22"/>
          <w:lang w:val="en-GB"/>
        </w:rPr>
        <w:t xml:space="preserve"> These powers allow the DGF and Ms G to, on the Bank’s behalf, take all the actions necessary to administer its liquidation</w:t>
      </w:r>
      <w:r w:rsidR="00C268D5">
        <w:rPr>
          <w:rFonts w:ascii="Avenir Next" w:hAnsi="Avenir Next" w:cs="Arial"/>
          <w:color w:val="808080" w:themeColor="background1" w:themeShade="80"/>
          <w:sz w:val="22"/>
          <w:szCs w:val="22"/>
          <w:lang w:val="en-GB"/>
        </w:rPr>
        <w:t>. This entails significant control over the Bank’s assets and affairs</w:t>
      </w:r>
      <w:r w:rsidR="008C0A9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There is no other body that can administer the Bank’s liquidation, because there is no other body with such powers. The Bank’s control over its own affairs and assets ceased upon the commencement of its liquidation.</w:t>
      </w:r>
    </w:p>
    <w:p w14:paraId="5E9360F4" w14:textId="0576AA20" w:rsidR="008C0A96" w:rsidRDefault="008C0A96" w:rsidP="00DF7F39">
      <w:pPr>
        <w:jc w:val="both"/>
        <w:rPr>
          <w:rFonts w:ascii="Avenir Next" w:hAnsi="Avenir Next" w:cs="Arial"/>
          <w:color w:val="808080" w:themeColor="background1" w:themeShade="80"/>
          <w:sz w:val="22"/>
          <w:szCs w:val="22"/>
          <w:lang w:val="en-GB"/>
        </w:rPr>
      </w:pPr>
    </w:p>
    <w:p w14:paraId="346941A0" w14:textId="5D11211F" w:rsidR="008C0A96" w:rsidRDefault="008C0A96" w:rsidP="00DF7F39">
      <w:pPr>
        <w:jc w:val="both"/>
        <w:rPr>
          <w:rFonts w:ascii="Avenir Next" w:hAnsi="Avenir Next" w:cs="Arial"/>
          <w:color w:val="000000"/>
          <w:sz w:val="22"/>
          <w:szCs w:val="22"/>
          <w:lang w:val="en-GB" w:eastAsia="en-GB"/>
        </w:rPr>
      </w:pPr>
      <w:r>
        <w:rPr>
          <w:rFonts w:ascii="Avenir Next" w:hAnsi="Avenir Next" w:cs="Arial"/>
          <w:color w:val="808080" w:themeColor="background1" w:themeShade="80"/>
          <w:sz w:val="22"/>
          <w:szCs w:val="22"/>
          <w:lang w:val="en-GB"/>
        </w:rPr>
        <w:t xml:space="preserve">I note that there is no specific provision in the DGF Law which entitles the </w:t>
      </w:r>
      <w:r w:rsidR="00C268D5">
        <w:rPr>
          <w:rFonts w:ascii="Avenir Next" w:hAnsi="Avenir Next" w:cs="Arial"/>
          <w:color w:val="808080" w:themeColor="background1" w:themeShade="80"/>
          <w:sz w:val="22"/>
          <w:szCs w:val="22"/>
          <w:lang w:val="en-GB"/>
        </w:rPr>
        <w:t>DGF or Ms G to act as “representative” of the Bank’s liquidation. However, this does not change my answer because it is sufficient that, by virtue of the analysis above, the DGF and Ms G were authorised to administer the Bank’s liquidation.</w:t>
      </w:r>
      <w:r w:rsidR="00DE746E">
        <w:rPr>
          <w:rFonts w:ascii="Avenir Next" w:hAnsi="Avenir Next" w:cs="Arial"/>
          <w:color w:val="808080" w:themeColor="background1" w:themeShade="80"/>
          <w:sz w:val="22"/>
          <w:szCs w:val="22"/>
          <w:lang w:val="en-GB"/>
        </w:rPr>
        <w:t xml:space="preserve"> The requirements of administration of liquidation and representation of liquidation are disjunctive.</w:t>
      </w:r>
    </w:p>
    <w:p w14:paraId="215FD1E2" w14:textId="77777777" w:rsidR="00DF7F39" w:rsidRPr="00E2622D" w:rsidRDefault="00DF7F39" w:rsidP="00957951">
      <w:pPr>
        <w:ind w:left="720" w:hanging="720"/>
        <w:jc w:val="both"/>
        <w:rPr>
          <w:rFonts w:ascii="Avenir Next" w:hAnsi="Avenir Next" w:cs="Arial"/>
          <w:color w:val="000000"/>
          <w:sz w:val="22"/>
          <w:szCs w:val="22"/>
          <w:lang w:val="en-GB" w:eastAsia="en-GB"/>
        </w:rPr>
      </w:pPr>
    </w:p>
    <w:p w14:paraId="61FFC9F1" w14:textId="258253CE" w:rsidR="00857763"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13D5DBA2" w14:textId="0E578882" w:rsidR="007F6D84" w:rsidRDefault="007F6D84" w:rsidP="008A7470">
      <w:pPr>
        <w:jc w:val="both"/>
        <w:rPr>
          <w:rFonts w:ascii="Avenir Next Demi Bold" w:hAnsi="Avenir Next Demi Bold" w:cs="Arial"/>
          <w:b/>
          <w:bCs/>
          <w:sz w:val="22"/>
          <w:szCs w:val="22"/>
          <w:lang w:val="en-GB"/>
        </w:rPr>
      </w:pPr>
    </w:p>
    <w:p w14:paraId="4F1C8E9C" w14:textId="77777777" w:rsidR="007F6D84" w:rsidRPr="00A70BBC" w:rsidRDefault="007F6D84" w:rsidP="008A7470">
      <w:pPr>
        <w:jc w:val="both"/>
        <w:rPr>
          <w:rFonts w:ascii="Avenir Next Demi Bold" w:hAnsi="Avenir Next Demi Bold" w:cs="Arial"/>
          <w:b/>
          <w:bCs/>
          <w:sz w:val="22"/>
          <w:szCs w:val="22"/>
          <w:lang w:val="en-GB"/>
        </w:rPr>
      </w:pP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lastRenderedPageBreak/>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F31A" w14:textId="77777777" w:rsidR="001421FE" w:rsidRDefault="001421FE" w:rsidP="00241B44">
      <w:r>
        <w:separator/>
      </w:r>
    </w:p>
  </w:endnote>
  <w:endnote w:type="continuationSeparator" w:id="0">
    <w:p w14:paraId="3ADB90D7" w14:textId="77777777" w:rsidR="001421FE" w:rsidRDefault="001421F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21F4023D"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5623">
          <w:rPr>
            <w:rStyle w:val="PageNumber"/>
            <w:noProof/>
          </w:rPr>
          <w:t>5</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12C8133" w:rsidR="000300E0" w:rsidRPr="00B46CE2" w:rsidRDefault="00245623" w:rsidP="000300E0">
    <w:pPr>
      <w:pStyle w:val="Footer"/>
      <w:ind w:right="360"/>
      <w:rPr>
        <w:rFonts w:ascii="Avenir Next" w:hAnsi="Avenir Next"/>
        <w:sz w:val="22"/>
        <w:szCs w:val="22"/>
      </w:rPr>
    </w:pPr>
    <w:r>
      <w:rPr>
        <w:rFonts w:ascii="Avenir Next" w:hAnsi="Avenir Next"/>
        <w:sz w:val="22"/>
        <w:szCs w:val="22"/>
      </w:rPr>
      <w:t>202223-809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3942" w14:textId="77777777" w:rsidR="001421FE" w:rsidRDefault="001421FE" w:rsidP="00241B44">
      <w:r>
        <w:separator/>
      </w:r>
    </w:p>
  </w:footnote>
  <w:footnote w:type="continuationSeparator" w:id="0">
    <w:p w14:paraId="351FACB1" w14:textId="77777777" w:rsidR="001421FE" w:rsidRDefault="001421F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99B8" w14:textId="77777777" w:rsidR="00DE746E" w:rsidRDefault="00DE7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E36D" w14:textId="77777777" w:rsidR="00DE746E" w:rsidRDefault="00DE7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955E" w14:textId="77777777" w:rsidR="00DE746E" w:rsidRDefault="00DE7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2D84A3F"/>
    <w:multiLevelType w:val="hybridMultilevel"/>
    <w:tmpl w:val="0576C5A6"/>
    <w:lvl w:ilvl="0" w:tplc="74401EA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6985803">
    <w:abstractNumId w:val="1"/>
  </w:num>
  <w:num w:numId="2" w16cid:durableId="2062248073">
    <w:abstractNumId w:val="49"/>
  </w:num>
  <w:num w:numId="3" w16cid:durableId="1423842278">
    <w:abstractNumId w:val="34"/>
  </w:num>
  <w:num w:numId="4" w16cid:durableId="249192697">
    <w:abstractNumId w:val="44"/>
  </w:num>
  <w:num w:numId="5" w16cid:durableId="634456617">
    <w:abstractNumId w:val="6"/>
  </w:num>
  <w:num w:numId="6" w16cid:durableId="119151875">
    <w:abstractNumId w:val="42"/>
  </w:num>
  <w:num w:numId="7" w16cid:durableId="797181328">
    <w:abstractNumId w:val="18"/>
  </w:num>
  <w:num w:numId="8" w16cid:durableId="783501059">
    <w:abstractNumId w:val="36"/>
  </w:num>
  <w:num w:numId="9" w16cid:durableId="1901281096">
    <w:abstractNumId w:val="22"/>
  </w:num>
  <w:num w:numId="10" w16cid:durableId="64762572">
    <w:abstractNumId w:val="12"/>
  </w:num>
  <w:num w:numId="11" w16cid:durableId="1300189869">
    <w:abstractNumId w:val="24"/>
  </w:num>
  <w:num w:numId="12" w16cid:durableId="657656408">
    <w:abstractNumId w:val="40"/>
  </w:num>
  <w:num w:numId="13" w16cid:durableId="662507173">
    <w:abstractNumId w:val="4"/>
  </w:num>
  <w:num w:numId="14" w16cid:durableId="1288312686">
    <w:abstractNumId w:val="31"/>
  </w:num>
  <w:num w:numId="15" w16cid:durableId="642976160">
    <w:abstractNumId w:val="13"/>
  </w:num>
  <w:num w:numId="16" w16cid:durableId="157889075">
    <w:abstractNumId w:val="14"/>
  </w:num>
  <w:num w:numId="17" w16cid:durableId="532235302">
    <w:abstractNumId w:val="26"/>
  </w:num>
  <w:num w:numId="18" w16cid:durableId="631443568">
    <w:abstractNumId w:val="5"/>
  </w:num>
  <w:num w:numId="19" w16cid:durableId="1336154791">
    <w:abstractNumId w:val="25"/>
  </w:num>
  <w:num w:numId="20" w16cid:durableId="292491109">
    <w:abstractNumId w:val="48"/>
  </w:num>
  <w:num w:numId="21" w16cid:durableId="148904219">
    <w:abstractNumId w:val="16"/>
  </w:num>
  <w:num w:numId="22" w16cid:durableId="253130067">
    <w:abstractNumId w:val="39"/>
  </w:num>
  <w:num w:numId="23" w16cid:durableId="1723360892">
    <w:abstractNumId w:val="46"/>
  </w:num>
  <w:num w:numId="24" w16cid:durableId="511995909">
    <w:abstractNumId w:val="38"/>
  </w:num>
  <w:num w:numId="25" w16cid:durableId="1462921888">
    <w:abstractNumId w:val="30"/>
  </w:num>
  <w:num w:numId="26" w16cid:durableId="1211262031">
    <w:abstractNumId w:val="47"/>
  </w:num>
  <w:num w:numId="27" w16cid:durableId="1453936765">
    <w:abstractNumId w:val="43"/>
  </w:num>
  <w:num w:numId="28" w16cid:durableId="540744997">
    <w:abstractNumId w:val="8"/>
  </w:num>
  <w:num w:numId="29" w16cid:durableId="62291500">
    <w:abstractNumId w:val="9"/>
  </w:num>
  <w:num w:numId="30" w16cid:durableId="190266899">
    <w:abstractNumId w:val="27"/>
  </w:num>
  <w:num w:numId="31" w16cid:durableId="1704011389">
    <w:abstractNumId w:val="2"/>
  </w:num>
  <w:num w:numId="32" w16cid:durableId="387608047">
    <w:abstractNumId w:val="29"/>
  </w:num>
  <w:num w:numId="33" w16cid:durableId="904487518">
    <w:abstractNumId w:val="0"/>
  </w:num>
  <w:num w:numId="34" w16cid:durableId="5643920">
    <w:abstractNumId w:val="35"/>
  </w:num>
  <w:num w:numId="35" w16cid:durableId="924992949">
    <w:abstractNumId w:val="20"/>
  </w:num>
  <w:num w:numId="36" w16cid:durableId="2067488638">
    <w:abstractNumId w:val="37"/>
  </w:num>
  <w:num w:numId="37" w16cid:durableId="1458913157">
    <w:abstractNumId w:val="23"/>
  </w:num>
  <w:num w:numId="38" w16cid:durableId="1326401112">
    <w:abstractNumId w:val="33"/>
  </w:num>
  <w:num w:numId="39" w16cid:durableId="688607964">
    <w:abstractNumId w:val="3"/>
  </w:num>
  <w:num w:numId="40" w16cid:durableId="543106239">
    <w:abstractNumId w:val="19"/>
  </w:num>
  <w:num w:numId="41" w16cid:durableId="1092319728">
    <w:abstractNumId w:val="41"/>
  </w:num>
  <w:num w:numId="42" w16cid:durableId="1495150272">
    <w:abstractNumId w:val="15"/>
  </w:num>
  <w:num w:numId="43" w16cid:durableId="247538630">
    <w:abstractNumId w:val="28"/>
  </w:num>
  <w:num w:numId="44" w16cid:durableId="1924606387">
    <w:abstractNumId w:val="11"/>
  </w:num>
  <w:num w:numId="45" w16cid:durableId="634677123">
    <w:abstractNumId w:val="10"/>
  </w:num>
  <w:num w:numId="46" w16cid:durableId="2025402043">
    <w:abstractNumId w:val="32"/>
  </w:num>
  <w:num w:numId="47" w16cid:durableId="1145245650">
    <w:abstractNumId w:val="17"/>
  </w:num>
  <w:num w:numId="48" w16cid:durableId="722482564">
    <w:abstractNumId w:val="7"/>
  </w:num>
  <w:num w:numId="49" w16cid:durableId="1892378548">
    <w:abstractNumId w:val="45"/>
  </w:num>
  <w:num w:numId="50" w16cid:durableId="73736623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26F1"/>
    <w:rsid w:val="00044D46"/>
    <w:rsid w:val="00045088"/>
    <w:rsid w:val="00045904"/>
    <w:rsid w:val="000464F7"/>
    <w:rsid w:val="0005141D"/>
    <w:rsid w:val="00060E02"/>
    <w:rsid w:val="00065166"/>
    <w:rsid w:val="00067A88"/>
    <w:rsid w:val="00070B92"/>
    <w:rsid w:val="00073474"/>
    <w:rsid w:val="00073F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21FE"/>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15"/>
    <w:rsid w:val="0020725B"/>
    <w:rsid w:val="00211EFA"/>
    <w:rsid w:val="002175BA"/>
    <w:rsid w:val="0022599E"/>
    <w:rsid w:val="002305E8"/>
    <w:rsid w:val="0023198D"/>
    <w:rsid w:val="0023317E"/>
    <w:rsid w:val="00234F2C"/>
    <w:rsid w:val="00240B0E"/>
    <w:rsid w:val="0024116D"/>
    <w:rsid w:val="00241B44"/>
    <w:rsid w:val="00245623"/>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A35C8"/>
    <w:rsid w:val="002B1C45"/>
    <w:rsid w:val="002C13C8"/>
    <w:rsid w:val="002C3547"/>
    <w:rsid w:val="002C70D8"/>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1EC"/>
    <w:rsid w:val="00312911"/>
    <w:rsid w:val="003144EF"/>
    <w:rsid w:val="003148CA"/>
    <w:rsid w:val="00315506"/>
    <w:rsid w:val="00317E39"/>
    <w:rsid w:val="00322F3B"/>
    <w:rsid w:val="00326292"/>
    <w:rsid w:val="003263DC"/>
    <w:rsid w:val="00326415"/>
    <w:rsid w:val="00330076"/>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1641"/>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206"/>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4E4A"/>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9A4"/>
    <w:rsid w:val="00707FC8"/>
    <w:rsid w:val="00713DA4"/>
    <w:rsid w:val="00714BF1"/>
    <w:rsid w:val="00721383"/>
    <w:rsid w:val="0072554C"/>
    <w:rsid w:val="00725911"/>
    <w:rsid w:val="00731DBD"/>
    <w:rsid w:val="007333CC"/>
    <w:rsid w:val="0073399A"/>
    <w:rsid w:val="007378B1"/>
    <w:rsid w:val="00751F66"/>
    <w:rsid w:val="007603F5"/>
    <w:rsid w:val="00762922"/>
    <w:rsid w:val="00764DB0"/>
    <w:rsid w:val="00766F8A"/>
    <w:rsid w:val="0076764D"/>
    <w:rsid w:val="0077498C"/>
    <w:rsid w:val="00777183"/>
    <w:rsid w:val="00784128"/>
    <w:rsid w:val="00784B4B"/>
    <w:rsid w:val="007854ED"/>
    <w:rsid w:val="00793173"/>
    <w:rsid w:val="00793943"/>
    <w:rsid w:val="007B0A01"/>
    <w:rsid w:val="007B3AC7"/>
    <w:rsid w:val="007B497A"/>
    <w:rsid w:val="007C1FCC"/>
    <w:rsid w:val="007C32A8"/>
    <w:rsid w:val="007C3FE5"/>
    <w:rsid w:val="007C6201"/>
    <w:rsid w:val="007C6988"/>
    <w:rsid w:val="007D28A1"/>
    <w:rsid w:val="007D7C92"/>
    <w:rsid w:val="007E1154"/>
    <w:rsid w:val="007E6BA4"/>
    <w:rsid w:val="007E7678"/>
    <w:rsid w:val="007F41F8"/>
    <w:rsid w:val="007F60D0"/>
    <w:rsid w:val="007F6D84"/>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0A96"/>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5DE4"/>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F58A1"/>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76D50"/>
    <w:rsid w:val="00A81029"/>
    <w:rsid w:val="00A83CB5"/>
    <w:rsid w:val="00A865A7"/>
    <w:rsid w:val="00A96489"/>
    <w:rsid w:val="00AA3A42"/>
    <w:rsid w:val="00AA5311"/>
    <w:rsid w:val="00AA7BAA"/>
    <w:rsid w:val="00AB685C"/>
    <w:rsid w:val="00AB6C2D"/>
    <w:rsid w:val="00AC08F7"/>
    <w:rsid w:val="00AC3839"/>
    <w:rsid w:val="00AC4324"/>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5336"/>
    <w:rsid w:val="00B86DB1"/>
    <w:rsid w:val="00B87869"/>
    <w:rsid w:val="00BA0E44"/>
    <w:rsid w:val="00BA14F1"/>
    <w:rsid w:val="00BA47C5"/>
    <w:rsid w:val="00BB0F2B"/>
    <w:rsid w:val="00BD0D57"/>
    <w:rsid w:val="00BE1A50"/>
    <w:rsid w:val="00BF412E"/>
    <w:rsid w:val="00BF50F7"/>
    <w:rsid w:val="00C02F29"/>
    <w:rsid w:val="00C10C13"/>
    <w:rsid w:val="00C17111"/>
    <w:rsid w:val="00C17CB1"/>
    <w:rsid w:val="00C20747"/>
    <w:rsid w:val="00C20AFE"/>
    <w:rsid w:val="00C22A25"/>
    <w:rsid w:val="00C23B79"/>
    <w:rsid w:val="00C268D5"/>
    <w:rsid w:val="00C33D50"/>
    <w:rsid w:val="00C35671"/>
    <w:rsid w:val="00C35B77"/>
    <w:rsid w:val="00C370D3"/>
    <w:rsid w:val="00C376EB"/>
    <w:rsid w:val="00C4003A"/>
    <w:rsid w:val="00C46EC1"/>
    <w:rsid w:val="00C504E5"/>
    <w:rsid w:val="00C5094B"/>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45B9"/>
    <w:rsid w:val="00CE7F24"/>
    <w:rsid w:val="00CF2819"/>
    <w:rsid w:val="00CF4F9D"/>
    <w:rsid w:val="00CF70DC"/>
    <w:rsid w:val="00D148DC"/>
    <w:rsid w:val="00D17FDC"/>
    <w:rsid w:val="00D2166A"/>
    <w:rsid w:val="00D444C5"/>
    <w:rsid w:val="00D45AEA"/>
    <w:rsid w:val="00D5244F"/>
    <w:rsid w:val="00D52E4F"/>
    <w:rsid w:val="00D56A37"/>
    <w:rsid w:val="00D57202"/>
    <w:rsid w:val="00D6386E"/>
    <w:rsid w:val="00D63EFD"/>
    <w:rsid w:val="00D64826"/>
    <w:rsid w:val="00D6691B"/>
    <w:rsid w:val="00D80DF2"/>
    <w:rsid w:val="00D84752"/>
    <w:rsid w:val="00D85AB0"/>
    <w:rsid w:val="00D86B3B"/>
    <w:rsid w:val="00D8748A"/>
    <w:rsid w:val="00D9170F"/>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D54E4"/>
    <w:rsid w:val="00DE03AF"/>
    <w:rsid w:val="00DE121C"/>
    <w:rsid w:val="00DE2A27"/>
    <w:rsid w:val="00DE3705"/>
    <w:rsid w:val="00DE6633"/>
    <w:rsid w:val="00DE746E"/>
    <w:rsid w:val="00DF75F8"/>
    <w:rsid w:val="00DF7A3A"/>
    <w:rsid w:val="00DF7F39"/>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6F4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17</Pages>
  <Words>6886</Words>
  <Characters>39255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Nikhil COOMARASWAMY (JUDICIARY)</cp:lastModifiedBy>
  <cp:revision>10</cp:revision>
  <cp:lastPrinted>2019-08-27T05:42:00Z</cp:lastPrinted>
  <dcterms:created xsi:type="dcterms:W3CDTF">2023-02-24T00:43:00Z</dcterms:created>
  <dcterms:modified xsi:type="dcterms:W3CDTF">2023-03-01T15:32:00Z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2023-02-24T00:43:20Z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94f1ec95-f01e-4951-b4d6-2d0edf748d1a</vt:lpwstr>
  </property>
  <property fmtid="{D5CDD505-2E9C-101B-9397-08002B2CF9AE}" pid="8" name="MSIP_Label_5434c4c7-833e-41e4-b0ab-cdb227a2f6f7_ContentBits">
    <vt:lpwstr>0</vt:lpwstr>
  </property>
</Properties>
</file>