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3B3F75">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3B3F75">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A6835" w:rsidRDefault="00436884" w:rsidP="003B3F75">
      <w:pPr>
        <w:pStyle w:val="ListParagraph"/>
        <w:numPr>
          <w:ilvl w:val="0"/>
          <w:numId w:val="1"/>
        </w:numPr>
        <w:ind w:left="426"/>
        <w:jc w:val="both"/>
        <w:rPr>
          <w:rFonts w:ascii="Avenir Next" w:hAnsi="Avenir Next" w:cs="Arial"/>
          <w:sz w:val="22"/>
          <w:szCs w:val="22"/>
          <w:highlight w:val="yellow"/>
          <w:lang w:val="en-GB"/>
        </w:rPr>
      </w:pPr>
      <w:r w:rsidRPr="008A683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3B3F75">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3B3F7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3B3F7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3B3F7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8A6835" w:rsidRDefault="00436884" w:rsidP="003B3F75">
      <w:pPr>
        <w:pStyle w:val="ListParagraph"/>
        <w:numPr>
          <w:ilvl w:val="0"/>
          <w:numId w:val="2"/>
        </w:numPr>
        <w:ind w:left="426"/>
        <w:jc w:val="both"/>
        <w:rPr>
          <w:rFonts w:ascii="Avenir Next" w:hAnsi="Avenir Next" w:cs="Arial"/>
          <w:sz w:val="22"/>
          <w:szCs w:val="22"/>
          <w:highlight w:val="yellow"/>
          <w:lang w:val="en-GB"/>
        </w:rPr>
      </w:pPr>
      <w:r w:rsidRPr="008A6835">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3B3F7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3B3F7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0041C0" w:rsidRDefault="00853A74" w:rsidP="003B3F75">
      <w:pPr>
        <w:pStyle w:val="ListParagraph"/>
        <w:numPr>
          <w:ilvl w:val="0"/>
          <w:numId w:val="3"/>
        </w:numPr>
        <w:ind w:left="426"/>
        <w:jc w:val="both"/>
        <w:rPr>
          <w:rFonts w:ascii="Avenir Next" w:hAnsi="Avenir Next" w:cs="Arial"/>
          <w:sz w:val="22"/>
          <w:szCs w:val="22"/>
          <w:highlight w:val="yellow"/>
          <w:lang w:val="en-GB"/>
        </w:rPr>
      </w:pPr>
      <w:r w:rsidRPr="000041C0">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3B3F7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3B3F7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7A10E5" w:rsidRDefault="00436884" w:rsidP="003B3F75">
      <w:pPr>
        <w:pStyle w:val="ListParagraph"/>
        <w:numPr>
          <w:ilvl w:val="0"/>
          <w:numId w:val="4"/>
        </w:numPr>
        <w:ind w:left="426"/>
        <w:jc w:val="both"/>
        <w:rPr>
          <w:rFonts w:ascii="Avenir Next" w:hAnsi="Avenir Next" w:cs="Arial"/>
          <w:sz w:val="22"/>
          <w:szCs w:val="22"/>
          <w:highlight w:val="yellow"/>
          <w:lang w:val="en-GB"/>
        </w:rPr>
      </w:pPr>
      <w:r w:rsidRPr="007A10E5">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3B3F7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3B3F7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3B3F7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3B3F7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514611" w:rsidRDefault="00C504E5" w:rsidP="003B3F75">
      <w:pPr>
        <w:pStyle w:val="ListParagraph"/>
        <w:numPr>
          <w:ilvl w:val="0"/>
          <w:numId w:val="5"/>
        </w:numPr>
        <w:ind w:left="426"/>
        <w:jc w:val="both"/>
        <w:rPr>
          <w:rFonts w:ascii="Avenir Next" w:hAnsi="Avenir Next" w:cs="Arial"/>
          <w:sz w:val="22"/>
          <w:szCs w:val="22"/>
          <w:highlight w:val="yellow"/>
          <w:lang w:val="en-GB"/>
        </w:rPr>
      </w:pPr>
      <w:r w:rsidRPr="00514611">
        <w:rPr>
          <w:rFonts w:ascii="Avenir Next" w:hAnsi="Avenir Next" w:cs="Arial"/>
          <w:sz w:val="22"/>
          <w:szCs w:val="22"/>
          <w:highlight w:val="yellow"/>
          <w:lang w:val="en-GB"/>
        </w:rPr>
        <w:t xml:space="preserve">Both the foreign main proceedings in South Africa and the foreign non-main proceedings in </w:t>
      </w:r>
      <w:r w:rsidR="004137C3" w:rsidRPr="00514611">
        <w:rPr>
          <w:rFonts w:ascii="Avenir Next" w:hAnsi="Avenir Next" w:cs="Arial"/>
          <w:sz w:val="22"/>
          <w:szCs w:val="22"/>
          <w:highlight w:val="yellow"/>
          <w:lang w:val="en-GB"/>
        </w:rPr>
        <w:t xml:space="preserve">Argentina </w:t>
      </w:r>
      <w:r w:rsidRPr="00514611">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3B3F7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3B3F7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3B3F7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3B3F7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FC2CE7" w:rsidRDefault="00B72F5F" w:rsidP="003B3F75">
      <w:pPr>
        <w:pStyle w:val="ListParagraph"/>
        <w:numPr>
          <w:ilvl w:val="0"/>
          <w:numId w:val="6"/>
        </w:numPr>
        <w:ind w:left="426"/>
        <w:jc w:val="both"/>
        <w:rPr>
          <w:rFonts w:ascii="Avenir Next" w:hAnsi="Avenir Next" w:cs="Arial"/>
          <w:sz w:val="22"/>
          <w:szCs w:val="22"/>
          <w:highlight w:val="yellow"/>
          <w:lang w:val="en-GB"/>
        </w:rPr>
      </w:pPr>
      <w:r w:rsidRPr="00FC2CE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C2CE7">
        <w:rPr>
          <w:rFonts w:ascii="Avenir Next" w:hAnsi="Avenir Next" w:cs="Arial"/>
          <w:sz w:val="22"/>
          <w:szCs w:val="22"/>
          <w:highlight w:val="yellow"/>
          <w:lang w:val="en-GB"/>
        </w:rPr>
        <w:t>will</w:t>
      </w:r>
      <w:r w:rsidRPr="00FC2CE7">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3B3F7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550F9B" w:rsidRDefault="00436884" w:rsidP="003B3F75">
      <w:pPr>
        <w:pStyle w:val="ListParagraph"/>
        <w:numPr>
          <w:ilvl w:val="0"/>
          <w:numId w:val="7"/>
        </w:numPr>
        <w:ind w:left="426"/>
        <w:jc w:val="both"/>
        <w:rPr>
          <w:rFonts w:ascii="Avenir Next" w:hAnsi="Avenir Next" w:cs="Arial"/>
          <w:sz w:val="22"/>
          <w:szCs w:val="22"/>
          <w:highlight w:val="yellow"/>
          <w:lang w:val="en-GB"/>
        </w:rPr>
      </w:pPr>
      <w:r w:rsidRPr="00550F9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3B3F7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3B3F7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3B3F7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3B3F7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3B3F7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073EB" w:rsidRDefault="00436884" w:rsidP="003B3F75">
      <w:pPr>
        <w:pStyle w:val="ListParagraph"/>
        <w:numPr>
          <w:ilvl w:val="0"/>
          <w:numId w:val="8"/>
        </w:numPr>
        <w:ind w:left="426"/>
        <w:jc w:val="both"/>
        <w:rPr>
          <w:rFonts w:ascii="Avenir Next" w:hAnsi="Avenir Next" w:cs="Arial"/>
          <w:sz w:val="22"/>
          <w:szCs w:val="22"/>
          <w:highlight w:val="yellow"/>
          <w:lang w:val="en-GB"/>
        </w:rPr>
      </w:pPr>
      <w:r w:rsidRPr="007073E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3B3F7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3B3F7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E154A" w:rsidRDefault="00436884" w:rsidP="003B3F75">
      <w:pPr>
        <w:pStyle w:val="ListParagraph"/>
        <w:numPr>
          <w:ilvl w:val="0"/>
          <w:numId w:val="9"/>
        </w:numPr>
        <w:ind w:left="426"/>
        <w:jc w:val="both"/>
        <w:rPr>
          <w:rFonts w:ascii="Avenir Next" w:hAnsi="Avenir Next" w:cs="Arial"/>
          <w:sz w:val="22"/>
          <w:szCs w:val="22"/>
          <w:highlight w:val="yellow"/>
          <w:lang w:val="en-GB"/>
        </w:rPr>
      </w:pPr>
      <w:r w:rsidRPr="003E154A">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3B3F7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461891" w:rsidRDefault="00436884" w:rsidP="003B3F75">
      <w:pPr>
        <w:pStyle w:val="ListParagraph"/>
        <w:numPr>
          <w:ilvl w:val="0"/>
          <w:numId w:val="10"/>
        </w:numPr>
        <w:ind w:left="426"/>
        <w:jc w:val="both"/>
        <w:rPr>
          <w:rFonts w:ascii="Avenir Next" w:hAnsi="Avenir Next" w:cs="Arial"/>
          <w:sz w:val="22"/>
          <w:szCs w:val="22"/>
          <w:highlight w:val="yellow"/>
          <w:lang w:val="en-GB"/>
        </w:rPr>
      </w:pPr>
      <w:r w:rsidRPr="0046189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6189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3B3F75">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3B3F75">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3B3F75">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2D7E6843" w14:textId="77777777" w:rsidR="00C378B9" w:rsidRDefault="00C378B9" w:rsidP="00707FC8">
      <w:pPr>
        <w:jc w:val="both"/>
        <w:rPr>
          <w:rFonts w:ascii="Avenir Next Demi Bold" w:hAnsi="Avenir Next Demi Bold" w:cs="Arial"/>
          <w:b/>
          <w:bCs/>
          <w:sz w:val="22"/>
          <w:szCs w:val="22"/>
          <w:lang w:val="en-GB"/>
        </w:rPr>
      </w:pPr>
    </w:p>
    <w:p w14:paraId="77A0DC48" w14:textId="77777777" w:rsidR="00C378B9" w:rsidRDefault="00C378B9">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657293E6"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71D01FA7" w14:textId="77777777" w:rsidR="00BD528C" w:rsidRDefault="00BD528C" w:rsidP="00BD528C">
      <w:pPr>
        <w:jc w:val="both"/>
        <w:rPr>
          <w:rFonts w:ascii="Avenir Next" w:hAnsi="Avenir Next" w:cs="Arial"/>
          <w:color w:val="808080" w:themeColor="background1" w:themeShade="80"/>
          <w:sz w:val="22"/>
          <w:szCs w:val="22"/>
          <w:lang w:val="en-GB"/>
        </w:rPr>
      </w:pPr>
      <w:r w:rsidRPr="00BD528C">
        <w:rPr>
          <w:rFonts w:ascii="Avenir Next" w:hAnsi="Avenir Next" w:cs="Arial"/>
          <w:i/>
          <w:iCs/>
          <w:color w:val="808080" w:themeColor="background1" w:themeShade="80"/>
          <w:sz w:val="22"/>
          <w:szCs w:val="22"/>
          <w:lang w:val="en-GB"/>
        </w:rPr>
        <w:t>Prima facie</w:t>
      </w:r>
      <w:r>
        <w:rPr>
          <w:rFonts w:ascii="Avenir Next" w:hAnsi="Avenir Next" w:cs="Arial"/>
          <w:color w:val="808080" w:themeColor="background1" w:themeShade="80"/>
          <w:sz w:val="22"/>
          <w:szCs w:val="22"/>
          <w:lang w:val="en-GB"/>
        </w:rPr>
        <w:t xml:space="preserve">, the COMI is to be determined as at the date of commencement of the foreign proceeding.  </w:t>
      </w:r>
    </w:p>
    <w:p w14:paraId="3DA72A5E" w14:textId="77777777" w:rsidR="00BD528C" w:rsidRDefault="00BD528C" w:rsidP="00BD528C">
      <w:pPr>
        <w:jc w:val="both"/>
        <w:rPr>
          <w:rFonts w:ascii="Avenir Next" w:hAnsi="Avenir Next" w:cs="Arial"/>
          <w:color w:val="808080" w:themeColor="background1" w:themeShade="80"/>
          <w:sz w:val="22"/>
          <w:szCs w:val="22"/>
          <w:lang w:val="en-GB"/>
        </w:rPr>
      </w:pPr>
    </w:p>
    <w:p w14:paraId="1360AE91" w14:textId="4C1C334A" w:rsidR="00BD528C" w:rsidRDefault="00BD528C" w:rsidP="00BD52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(1) does not define COMI; and (2) contains rebuttable presumptions as to the location of the COMI of </w:t>
      </w:r>
      <w:r w:rsidR="00200E90">
        <w:rPr>
          <w:rFonts w:ascii="Avenir Next" w:hAnsi="Avenir Next" w:cs="Arial"/>
          <w:color w:val="808080" w:themeColor="background1" w:themeShade="80"/>
          <w:sz w:val="22"/>
          <w:szCs w:val="22"/>
          <w:lang w:val="en-GB"/>
        </w:rPr>
        <w:t xml:space="preserve">a debtor (its registered office) or </w:t>
      </w:r>
      <w:r>
        <w:rPr>
          <w:rFonts w:ascii="Avenir Next" w:hAnsi="Avenir Next" w:cs="Arial"/>
          <w:color w:val="808080" w:themeColor="background1" w:themeShade="80"/>
          <w:sz w:val="22"/>
          <w:szCs w:val="22"/>
          <w:lang w:val="en-GB"/>
        </w:rPr>
        <w:t xml:space="preserve">an individual debtor (their habitual residence) (Art. 16(3)).  </w:t>
      </w:r>
      <w:r w:rsidR="00C378B9">
        <w:rPr>
          <w:rFonts w:ascii="Avenir Next" w:hAnsi="Avenir Next" w:cs="Arial"/>
          <w:color w:val="808080" w:themeColor="background1" w:themeShade="80"/>
          <w:sz w:val="22"/>
          <w:szCs w:val="22"/>
          <w:lang w:val="en-GB"/>
        </w:rPr>
        <w:t>But i</w:t>
      </w:r>
      <w:r>
        <w:rPr>
          <w:rFonts w:ascii="Avenir Next" w:hAnsi="Avenir Next" w:cs="Arial"/>
          <w:color w:val="808080" w:themeColor="background1" w:themeShade="80"/>
          <w:sz w:val="22"/>
          <w:szCs w:val="22"/>
          <w:lang w:val="en-GB"/>
        </w:rPr>
        <w:t xml:space="preserve">n either case, determination of the COMI is to be a holistic exercise, preferably drawing on the factors identified in the UNCITRAL Guide to Enactment and / or the EC Insolvency Regulation, and including in particular the requirement that the COMI be readily ascertainable by third parties including creditors.  </w:t>
      </w:r>
    </w:p>
    <w:p w14:paraId="7ECB20DE" w14:textId="77777777" w:rsidR="00BD528C" w:rsidRDefault="00BD528C" w:rsidP="00BD528C">
      <w:pPr>
        <w:jc w:val="both"/>
        <w:rPr>
          <w:rFonts w:ascii="Avenir Next" w:hAnsi="Avenir Next" w:cs="Arial"/>
          <w:color w:val="808080" w:themeColor="background1" w:themeShade="80"/>
          <w:sz w:val="22"/>
          <w:szCs w:val="22"/>
          <w:lang w:val="en-GB"/>
        </w:rPr>
      </w:pPr>
    </w:p>
    <w:p w14:paraId="2E0618A6" w14:textId="6162F78F" w:rsidR="00BD528C" w:rsidRDefault="00BD528C" w:rsidP="00BD52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potential tension therefore exists between a debtor's registered office (which is relatively easily relocatable at will) and its actual centre of commercial activities and administration (which is generally less so), a tension explored in the </w:t>
      </w:r>
      <w:r w:rsidR="00C378B9">
        <w:rPr>
          <w:rFonts w:ascii="Avenir Next" w:hAnsi="Avenir Next" w:cs="Arial"/>
          <w:color w:val="808080" w:themeColor="background1" w:themeShade="80"/>
          <w:sz w:val="22"/>
          <w:szCs w:val="22"/>
          <w:lang w:val="en-GB"/>
        </w:rPr>
        <w:t xml:space="preserve">2013 </w:t>
      </w:r>
      <w:r>
        <w:rPr>
          <w:rFonts w:ascii="Avenir Next" w:hAnsi="Avenir Next" w:cs="Arial"/>
          <w:color w:val="808080" w:themeColor="background1" w:themeShade="80"/>
          <w:sz w:val="22"/>
          <w:szCs w:val="22"/>
          <w:lang w:val="en-GB"/>
        </w:rPr>
        <w:t xml:space="preserve">United States </w:t>
      </w:r>
      <w:r w:rsidRPr="00BD528C">
        <w:rPr>
          <w:rFonts w:ascii="Avenir Next" w:hAnsi="Avenir Next" w:cs="Arial"/>
          <w:i/>
          <w:iCs/>
          <w:color w:val="808080" w:themeColor="background1" w:themeShade="80"/>
          <w:sz w:val="22"/>
          <w:szCs w:val="22"/>
          <w:lang w:val="en-GB"/>
        </w:rPr>
        <w:t>Morning Mist</w:t>
      </w:r>
      <w:r>
        <w:rPr>
          <w:rFonts w:ascii="Avenir Next" w:hAnsi="Avenir Next" w:cs="Arial"/>
          <w:color w:val="808080" w:themeColor="background1" w:themeShade="80"/>
          <w:sz w:val="22"/>
          <w:szCs w:val="22"/>
          <w:lang w:val="en-GB"/>
        </w:rPr>
        <w:t xml:space="preserve"> judgment.  </w:t>
      </w:r>
      <w:r w:rsidRPr="00567C0C">
        <w:rPr>
          <w:rFonts w:ascii="Avenir Next" w:hAnsi="Avenir Next" w:cs="Arial"/>
          <w:i/>
          <w:iCs/>
          <w:color w:val="808080" w:themeColor="background1" w:themeShade="80"/>
          <w:sz w:val="22"/>
          <w:szCs w:val="22"/>
          <w:lang w:val="en-GB"/>
        </w:rPr>
        <w:t>Morning Mist</w:t>
      </w:r>
      <w:r w:rsidR="00C378B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examined the commercial reality of a debtor's operations in the period between commencement of the foreign proceeding and the application for recognition in the enacting State,</w:t>
      </w:r>
      <w:r w:rsidR="00C378B9">
        <w:rPr>
          <w:rFonts w:ascii="Avenir Next" w:hAnsi="Avenir Next" w:cs="Arial"/>
          <w:color w:val="808080" w:themeColor="background1" w:themeShade="80"/>
          <w:sz w:val="22"/>
          <w:szCs w:val="22"/>
          <w:lang w:val="en-GB"/>
        </w:rPr>
        <w:t xml:space="preserve"> the Court's concern being to ensure a debtor had not sought to manipulate its COMI in bad faith.  In the UK, the </w:t>
      </w:r>
      <w:r w:rsidR="00C378B9" w:rsidRPr="00C378B9">
        <w:rPr>
          <w:rFonts w:ascii="Avenir Next" w:hAnsi="Avenir Next" w:cs="Arial"/>
          <w:i/>
          <w:iCs/>
          <w:color w:val="808080" w:themeColor="background1" w:themeShade="80"/>
          <w:sz w:val="22"/>
          <w:szCs w:val="22"/>
          <w:lang w:val="en-GB"/>
        </w:rPr>
        <w:t>Morning Mist</w:t>
      </w:r>
      <w:r w:rsidR="00C378B9">
        <w:rPr>
          <w:rFonts w:ascii="Avenir Next" w:hAnsi="Avenir Next" w:cs="Arial"/>
          <w:color w:val="808080" w:themeColor="background1" w:themeShade="80"/>
          <w:sz w:val="22"/>
          <w:szCs w:val="22"/>
          <w:lang w:val="en-GB"/>
        </w:rPr>
        <w:t xml:space="preserve"> "filing approach" was followed in the unpublished 2019 </w:t>
      </w:r>
      <w:r w:rsidR="00C378B9" w:rsidRPr="00C378B9">
        <w:rPr>
          <w:rFonts w:ascii="Avenir Next" w:hAnsi="Avenir Next" w:cs="Arial"/>
          <w:i/>
          <w:iCs/>
          <w:color w:val="808080" w:themeColor="background1" w:themeShade="80"/>
          <w:sz w:val="22"/>
          <w:szCs w:val="22"/>
          <w:lang w:val="en-GB"/>
        </w:rPr>
        <w:t>Re Toisa Limited</w:t>
      </w:r>
      <w:r w:rsidR="00C378B9">
        <w:rPr>
          <w:rFonts w:ascii="Avenir Next" w:hAnsi="Avenir Next" w:cs="Arial"/>
          <w:color w:val="808080" w:themeColor="background1" w:themeShade="80"/>
          <w:sz w:val="22"/>
          <w:szCs w:val="22"/>
          <w:lang w:val="en-GB"/>
        </w:rPr>
        <w:t xml:space="preserve"> judgment – but more recently, in </w:t>
      </w:r>
      <w:r w:rsidR="00C378B9" w:rsidRPr="00C378B9">
        <w:rPr>
          <w:rFonts w:ascii="Avenir Next" w:hAnsi="Avenir Next" w:cs="Arial"/>
          <w:i/>
          <w:iCs/>
          <w:color w:val="808080" w:themeColor="background1" w:themeShade="80"/>
          <w:sz w:val="22"/>
          <w:szCs w:val="22"/>
          <w:lang w:val="en-GB"/>
        </w:rPr>
        <w:t>Li Shu Chung</w:t>
      </w:r>
      <w:r w:rsidR="00C378B9">
        <w:rPr>
          <w:rFonts w:ascii="Avenir Next" w:hAnsi="Avenir Next" w:cs="Arial"/>
          <w:color w:val="808080" w:themeColor="background1" w:themeShade="80"/>
          <w:sz w:val="22"/>
          <w:szCs w:val="22"/>
          <w:lang w:val="en-GB"/>
        </w:rPr>
        <w:t xml:space="preserve"> [2021] EWHC 3346 (Ch), the "commencement approach" was preferred, suggesting the English Courts may </w:t>
      </w:r>
      <w:r w:rsidR="008C0353">
        <w:rPr>
          <w:rFonts w:ascii="Avenir Next" w:hAnsi="Avenir Next" w:cs="Arial"/>
          <w:color w:val="808080" w:themeColor="background1" w:themeShade="80"/>
          <w:sz w:val="22"/>
          <w:szCs w:val="22"/>
          <w:lang w:val="en-GB"/>
        </w:rPr>
        <w:t xml:space="preserve">now </w:t>
      </w:r>
      <w:r w:rsidR="00C378B9">
        <w:rPr>
          <w:rFonts w:ascii="Avenir Next" w:hAnsi="Avenir Next" w:cs="Arial"/>
          <w:color w:val="808080" w:themeColor="background1" w:themeShade="80"/>
          <w:sz w:val="22"/>
          <w:szCs w:val="22"/>
          <w:lang w:val="en-GB"/>
        </w:rPr>
        <w:t>prefer the latter method.</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028CF09C" w14:textId="5975AD9F" w:rsidR="001000AB" w:rsidRDefault="001000AB" w:rsidP="001000AB">
      <w:pPr>
        <w:ind w:left="1440" w:hanging="144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Statement 1: </w:t>
      </w:r>
      <w:r>
        <w:rPr>
          <w:rFonts w:ascii="Avenir Next" w:hAnsi="Avenir Next" w:cs="Arial"/>
          <w:color w:val="808080" w:themeColor="background1" w:themeShade="80"/>
          <w:sz w:val="22"/>
          <w:szCs w:val="22"/>
          <w:lang w:val="en-GB"/>
        </w:rPr>
        <w:tab/>
      </w:r>
      <w:r w:rsidR="004C464F">
        <w:rPr>
          <w:rFonts w:ascii="Avenir Next" w:hAnsi="Avenir Next" w:cs="Arial"/>
          <w:color w:val="808080" w:themeColor="background1" w:themeShade="80"/>
          <w:sz w:val="22"/>
          <w:szCs w:val="22"/>
          <w:lang w:val="en-GB"/>
        </w:rPr>
        <w:t>This statement refers to the regime outlined in Article 14 whereby (subject to the relevant court's discretion) the enacting state's creditor notification requirements are also to be applied to known creditors overseas, who are entitled to individual notice including of the matters set out in Article 14(3), and which sidesteps the usual diplomatic channels in the interests of simplicity and speed.</w:t>
      </w:r>
    </w:p>
    <w:p w14:paraId="61F15669" w14:textId="77777777" w:rsidR="001000AB" w:rsidRDefault="001000AB" w:rsidP="001000AB">
      <w:pPr>
        <w:ind w:left="1440" w:hanging="1440"/>
        <w:jc w:val="both"/>
        <w:rPr>
          <w:rFonts w:ascii="Avenir Next" w:hAnsi="Avenir Next" w:cs="Arial"/>
          <w:color w:val="808080" w:themeColor="background1" w:themeShade="80"/>
          <w:sz w:val="22"/>
          <w:szCs w:val="22"/>
          <w:lang w:val="en-GB"/>
        </w:rPr>
      </w:pPr>
    </w:p>
    <w:p w14:paraId="0952CFE8" w14:textId="6B77A0FB" w:rsidR="001000AB" w:rsidRDefault="001000AB" w:rsidP="001000AB">
      <w:pPr>
        <w:ind w:left="1440" w:hanging="144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Statement 2: </w:t>
      </w:r>
      <w:r>
        <w:rPr>
          <w:rFonts w:ascii="Avenir Next" w:hAnsi="Avenir Next" w:cs="Arial"/>
          <w:color w:val="808080" w:themeColor="background1" w:themeShade="80"/>
          <w:sz w:val="22"/>
          <w:szCs w:val="22"/>
          <w:lang w:val="en-GB"/>
        </w:rPr>
        <w:tab/>
      </w:r>
      <w:r w:rsidR="00DB0B61">
        <w:rPr>
          <w:rFonts w:ascii="Avenir Next" w:hAnsi="Avenir Next" w:cs="Arial"/>
          <w:color w:val="808080" w:themeColor="background1" w:themeShade="80"/>
          <w:sz w:val="22"/>
          <w:szCs w:val="22"/>
          <w:lang w:val="en-GB"/>
        </w:rPr>
        <w:t>This statement refers to the principle set out in Article 10, i.e. that an application for recognition of a foreign proceeding made in the enacting state does not subject the assets and affairs of the debtor to the jurisdiction of the enacting state for purposes beyond the application.</w:t>
      </w:r>
    </w:p>
    <w:p w14:paraId="0855DCF4" w14:textId="610A3A9B" w:rsidR="000262AC" w:rsidRDefault="000262AC" w:rsidP="00867A8F">
      <w:pPr>
        <w:ind w:left="720" w:hanging="720"/>
        <w:jc w:val="both"/>
        <w:rPr>
          <w:rFonts w:ascii="Avenir Next" w:hAnsi="Avenir Next" w:cs="Arial"/>
          <w:color w:val="808080" w:themeColor="background1" w:themeShade="80"/>
          <w:sz w:val="22"/>
          <w:szCs w:val="22"/>
          <w:lang w:val="en-GB"/>
        </w:rPr>
      </w:pPr>
    </w:p>
    <w:p w14:paraId="3A528B41" w14:textId="7FD5B860" w:rsidR="00CB56CE" w:rsidRDefault="000262AC" w:rsidP="00420D1F">
      <w:pPr>
        <w:ind w:left="1440" w:hanging="144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Statement 3: </w:t>
      </w:r>
      <w:r w:rsidR="00420D1F">
        <w:rPr>
          <w:rFonts w:ascii="Avenir Next" w:hAnsi="Avenir Next" w:cs="Arial"/>
          <w:color w:val="808080" w:themeColor="background1" w:themeShade="80"/>
          <w:sz w:val="22"/>
          <w:szCs w:val="22"/>
          <w:lang w:val="en-GB"/>
        </w:rPr>
        <w:tab/>
      </w:r>
      <w:r w:rsidR="00200E90">
        <w:rPr>
          <w:rFonts w:ascii="Avenir Next" w:hAnsi="Avenir Next" w:cs="Arial"/>
          <w:color w:val="808080" w:themeColor="background1" w:themeShade="80"/>
          <w:sz w:val="22"/>
          <w:szCs w:val="22"/>
          <w:lang w:val="en-GB"/>
        </w:rPr>
        <w:t>This statement addresses the Article 16(3) presumptions as to the location of a debtor's COMI (its registered office) or an individual debtor (their habitual residence).  COMI is not a defined term in the MLCBI.</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564F366A" w:rsidR="00867A8F" w:rsidRDefault="00764275" w:rsidP="00764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IBA case the foreign representative, who had obtained the English Court's recognition, sought discretionary relief under Article 21 to continue an automatic moratorium granted under Article 20.  The application was opposed by creditors who wished to pursue their English-law debt claims (which they alleged continued to exist pursuant to the Gibbs Rule) contrary to an Azeri-law restructuring under which all creditors' claims had been compromised.  The continuation application was aimed at interdicting these creditors' efforts.</w:t>
      </w:r>
    </w:p>
    <w:p w14:paraId="37E76B0F" w14:textId="4402DD2A" w:rsidR="00764275" w:rsidRDefault="00764275" w:rsidP="00764275">
      <w:pPr>
        <w:jc w:val="both"/>
        <w:rPr>
          <w:rFonts w:ascii="Avenir Next" w:hAnsi="Avenir Next" w:cs="Arial"/>
          <w:color w:val="808080" w:themeColor="background1" w:themeShade="80"/>
          <w:sz w:val="22"/>
          <w:szCs w:val="22"/>
          <w:lang w:val="en-GB"/>
        </w:rPr>
      </w:pPr>
    </w:p>
    <w:p w14:paraId="01FDE61F" w14:textId="77777777" w:rsidR="00167CA6" w:rsidRDefault="00764275" w:rsidP="00764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instance Court denied the foreign representative</w:t>
      </w:r>
      <w:r w:rsidR="008669A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 application. In upholding that decision, the Court of Appeal held (with reference to the necessity test in Article 21(1)) that the proposed continuation was neither a necessary nor appropriate means to protect the interests of IBA's creditors</w:t>
      </w:r>
      <w:r w:rsidR="00167CA6">
        <w:rPr>
          <w:rFonts w:ascii="Avenir Next" w:hAnsi="Avenir Next" w:cs="Arial"/>
          <w:color w:val="808080" w:themeColor="background1" w:themeShade="80"/>
          <w:sz w:val="22"/>
          <w:szCs w:val="22"/>
          <w:lang w:val="en-GB"/>
        </w:rPr>
        <w:t xml:space="preserve"> (which the Court held, in effect, was the test for indefinite relief)</w:t>
      </w:r>
      <w:r>
        <w:rPr>
          <w:rFonts w:ascii="Avenir Next" w:hAnsi="Avenir Next" w:cs="Arial"/>
          <w:color w:val="808080" w:themeColor="background1" w:themeShade="80"/>
          <w:sz w:val="22"/>
          <w:szCs w:val="22"/>
          <w:lang w:val="en-GB"/>
        </w:rPr>
        <w:t>.</w:t>
      </w:r>
      <w:r w:rsidR="008669A3">
        <w:rPr>
          <w:rFonts w:ascii="Avenir Next" w:hAnsi="Avenir Next" w:cs="Arial"/>
          <w:color w:val="808080" w:themeColor="background1" w:themeShade="80"/>
          <w:sz w:val="22"/>
          <w:szCs w:val="22"/>
          <w:lang w:val="en-GB"/>
        </w:rPr>
        <w:t xml:space="preserve">  </w:t>
      </w:r>
    </w:p>
    <w:p w14:paraId="20EA0F9F" w14:textId="77777777" w:rsidR="00167CA6" w:rsidRDefault="00167CA6" w:rsidP="00764275">
      <w:pPr>
        <w:jc w:val="both"/>
        <w:rPr>
          <w:rFonts w:ascii="Avenir Next" w:hAnsi="Avenir Next" w:cs="Arial"/>
          <w:color w:val="808080" w:themeColor="background1" w:themeShade="80"/>
          <w:sz w:val="22"/>
          <w:szCs w:val="22"/>
          <w:lang w:val="en-GB"/>
        </w:rPr>
      </w:pPr>
    </w:p>
    <w:p w14:paraId="3B2615DF" w14:textId="77777777" w:rsidR="00167CA6" w:rsidRDefault="008669A3" w:rsidP="00764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Doubly fatal to the application was the Court's finding that the Article 18 obligation to update the Court required the foreign proceeding to continue in existence – and by extension, the lack of any clear wording or machinery in the Model Law suggesting that relief should continue beyond the lifetime of the foreign proceeding (and by extension the foreign representative's term in office) meant that the indefinite continuation of a moratorium ought not to be granted.</w:t>
      </w:r>
      <w:r w:rsidR="006B1463">
        <w:rPr>
          <w:rFonts w:ascii="Avenir Next" w:hAnsi="Avenir Next" w:cs="Arial"/>
          <w:color w:val="808080" w:themeColor="background1" w:themeShade="80"/>
          <w:sz w:val="22"/>
          <w:szCs w:val="22"/>
          <w:lang w:val="en-GB"/>
        </w:rPr>
        <w:t xml:space="preserve">  In particular, the Court noted that had the Model Law so intended, it would undoubtedly have dealt with the point explicitly and provided an appropriate mechanism.</w:t>
      </w:r>
      <w:r>
        <w:rPr>
          <w:rFonts w:ascii="Avenir Next" w:hAnsi="Avenir Next" w:cs="Arial"/>
          <w:color w:val="808080" w:themeColor="background1" w:themeShade="80"/>
          <w:sz w:val="22"/>
          <w:szCs w:val="22"/>
          <w:lang w:val="en-GB"/>
        </w:rPr>
        <w:t xml:space="preserve">  </w:t>
      </w:r>
    </w:p>
    <w:p w14:paraId="13FFBC69" w14:textId="77777777" w:rsidR="00167CA6" w:rsidRDefault="00167CA6" w:rsidP="00764275">
      <w:pPr>
        <w:jc w:val="both"/>
        <w:rPr>
          <w:rFonts w:ascii="Avenir Next" w:hAnsi="Avenir Next" w:cs="Arial"/>
          <w:color w:val="808080" w:themeColor="background1" w:themeShade="80"/>
          <w:sz w:val="22"/>
          <w:szCs w:val="22"/>
          <w:lang w:val="en-GB"/>
        </w:rPr>
      </w:pPr>
    </w:p>
    <w:p w14:paraId="6BC29392" w14:textId="3F21EFF7" w:rsidR="008669A3" w:rsidRDefault="008669A3" w:rsidP="00764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of Appeal also noted that an "artificial" continuation of the foreign proceeding, beyond the point where it had served its purpose as an insolvency proceeding and into a period when the debtor had resumed normal trading, would not be sufficient to justify a continuation.</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0A7B7305" w:rsidR="00257437" w:rsidRDefault="00B365A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Chapter V of the MLCBI sets out a clear hierarchy of insolvency proceedings.  Where domestic proceedings pre-date the recognition of a foreign main proceeding, </w:t>
      </w:r>
      <w:r w:rsidR="00622456">
        <w:rPr>
          <w:rFonts w:ascii="Avenir Next" w:hAnsi="Avenir Next" w:cs="Arial"/>
          <w:color w:val="808080" w:themeColor="background1" w:themeShade="80"/>
          <w:sz w:val="22"/>
          <w:szCs w:val="22"/>
          <w:lang w:val="en-GB"/>
        </w:rPr>
        <w:t xml:space="preserve">Article 29(a) provides that (1) any reliefs granted under Articles 19 or 21 (i.e. the reliefs available upon the making of an application for, or grant of, recognition) must be consistent with those granted in the domestic proceeding; and (2) the automatic reliefs set out in Article 20 </w:t>
      </w:r>
      <w:r w:rsidR="00E07640">
        <w:rPr>
          <w:rFonts w:ascii="Avenir Next" w:hAnsi="Avenir Next" w:cs="Arial"/>
          <w:color w:val="808080" w:themeColor="background1" w:themeShade="80"/>
          <w:sz w:val="22"/>
          <w:szCs w:val="22"/>
          <w:lang w:val="en-GB"/>
        </w:rPr>
        <w:t xml:space="preserve">(which would normally follow recognition of a foreign main proceeding) </w:t>
      </w:r>
      <w:r w:rsidR="00622456">
        <w:rPr>
          <w:rFonts w:ascii="Avenir Next" w:hAnsi="Avenir Next" w:cs="Arial"/>
          <w:color w:val="808080" w:themeColor="background1" w:themeShade="80"/>
          <w:sz w:val="22"/>
          <w:szCs w:val="22"/>
          <w:lang w:val="en-GB"/>
        </w:rPr>
        <w:t>do not apply.</w:t>
      </w:r>
    </w:p>
    <w:p w14:paraId="2ECAEB66" w14:textId="39B57216" w:rsidR="00E07640" w:rsidRDefault="00E07640" w:rsidP="00707FC8">
      <w:pPr>
        <w:jc w:val="both"/>
        <w:rPr>
          <w:rFonts w:ascii="Avenir Next" w:hAnsi="Avenir Next" w:cs="Arial"/>
          <w:color w:val="808080" w:themeColor="background1" w:themeShade="80"/>
          <w:sz w:val="22"/>
          <w:szCs w:val="22"/>
          <w:lang w:val="en-GB"/>
        </w:rPr>
      </w:pPr>
    </w:p>
    <w:p w14:paraId="00E67B28" w14:textId="287B7CFC" w:rsidR="00E07640" w:rsidRDefault="00E07640"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18 requires the foreign representative, on an ongoing basis from the point of filing the application for recognition of the foreign proceeding</w:t>
      </w:r>
      <w:r w:rsidR="00286A29">
        <w:rPr>
          <w:rFonts w:ascii="Avenir Next" w:hAnsi="Avenir Next" w:cs="Arial"/>
          <w:color w:val="808080" w:themeColor="background1" w:themeShade="80"/>
          <w:sz w:val="22"/>
          <w:szCs w:val="22"/>
          <w:lang w:val="en-GB"/>
        </w:rPr>
        <w:t xml:space="preserve"> with the court of the enacting state</w:t>
      </w:r>
      <w:r>
        <w:rPr>
          <w:rFonts w:ascii="Avenir Next" w:hAnsi="Avenir Next" w:cs="Arial"/>
          <w:color w:val="808080" w:themeColor="background1" w:themeShade="80"/>
          <w:sz w:val="22"/>
          <w:szCs w:val="22"/>
          <w:lang w:val="en-GB"/>
        </w:rPr>
        <w:t xml:space="preserve"> and thereafter, to keep the court in the enacting state informed of "</w:t>
      </w:r>
      <w:r w:rsidRPr="00E07640">
        <w:rPr>
          <w:rFonts w:ascii="Avenir Next" w:hAnsi="Avenir Next" w:cs="Arial"/>
          <w:i/>
          <w:iCs/>
          <w:color w:val="808080" w:themeColor="background1" w:themeShade="80"/>
          <w:sz w:val="22"/>
          <w:szCs w:val="22"/>
          <w:lang w:val="en-GB"/>
        </w:rPr>
        <w:t>any substantial change</w:t>
      </w:r>
      <w:r>
        <w:rPr>
          <w:rFonts w:ascii="Avenir Next" w:hAnsi="Avenir Next" w:cs="Arial"/>
          <w:color w:val="808080" w:themeColor="background1" w:themeShade="80"/>
          <w:sz w:val="22"/>
          <w:szCs w:val="22"/>
          <w:lang w:val="en-GB"/>
        </w:rPr>
        <w:t>" in the status of the foreign proceeding and/or his or her own appointment; and of any other foreign proceeding regarding the same debtor of which the foreign representative becomes aware.</w:t>
      </w:r>
    </w:p>
    <w:p w14:paraId="2C96A8F0" w14:textId="2ADBB7E9" w:rsidR="00B365A1" w:rsidRDefault="00B365A1" w:rsidP="00707FC8">
      <w:pPr>
        <w:jc w:val="both"/>
        <w:rPr>
          <w:rFonts w:ascii="Avenir Next" w:hAnsi="Avenir Next" w:cs="Arial"/>
          <w:color w:val="808080" w:themeColor="background1" w:themeShade="80"/>
          <w:sz w:val="22"/>
          <w:szCs w:val="22"/>
          <w:lang w:val="en-GB"/>
        </w:rPr>
      </w:pPr>
    </w:p>
    <w:p w14:paraId="4A2B2C60" w14:textId="77777777" w:rsidR="00B365A1" w:rsidRPr="00E2622D" w:rsidRDefault="00B365A1" w:rsidP="00707FC8">
      <w:pPr>
        <w:jc w:val="both"/>
        <w:rPr>
          <w:rFonts w:ascii="Avenir Next" w:hAnsi="Avenir Next" w:cs="Arial"/>
          <w:bCs/>
          <w:sz w:val="22"/>
          <w:szCs w:val="22"/>
          <w:lang w:val="en-GB"/>
        </w:rPr>
      </w:pPr>
    </w:p>
    <w:p w14:paraId="6B38DF35" w14:textId="77777777" w:rsidR="009C00BA" w:rsidRDefault="009C00B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0A9E71" w14:textId="515955AE"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3645F89E" w14:textId="76B751FA" w:rsidR="00D867AC" w:rsidRDefault="00D867AC" w:rsidP="001B46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Access by foreign representatives (and creditors) to the courts of the enacting state is a fundamental principle of the Model Law.  Article 9 grants foreign representatives </w:t>
      </w:r>
      <w:r w:rsidRPr="00D867AC">
        <w:rPr>
          <w:rFonts w:ascii="Avenir Next" w:hAnsi="Avenir Next" w:cs="Arial"/>
          <w:i/>
          <w:iCs/>
          <w:color w:val="808080" w:themeColor="background1" w:themeShade="80"/>
          <w:sz w:val="22"/>
          <w:szCs w:val="22"/>
          <w:lang w:val="en-GB"/>
        </w:rPr>
        <w:t>locus standi</w:t>
      </w:r>
      <w:r>
        <w:rPr>
          <w:rFonts w:ascii="Avenir Next" w:hAnsi="Avenir Next" w:cs="Arial"/>
          <w:color w:val="808080" w:themeColor="background1" w:themeShade="80"/>
          <w:sz w:val="22"/>
          <w:szCs w:val="22"/>
          <w:lang w:val="en-GB"/>
        </w:rPr>
        <w:t xml:space="preserve"> in the local courts (though without more, vests no substantive powers in him or her); Article</w:t>
      </w:r>
      <w:r w:rsidR="004159D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11 </w:t>
      </w:r>
      <w:r w:rsidR="004159D7">
        <w:rPr>
          <w:rFonts w:ascii="Avenir Next" w:hAnsi="Avenir Next" w:cs="Arial"/>
          <w:color w:val="808080" w:themeColor="background1" w:themeShade="80"/>
          <w:sz w:val="22"/>
          <w:szCs w:val="22"/>
          <w:lang w:val="en-GB"/>
        </w:rPr>
        <w:t xml:space="preserve">and 12 </w:t>
      </w:r>
      <w:r>
        <w:rPr>
          <w:rFonts w:ascii="Avenir Next" w:hAnsi="Avenir Next" w:cs="Arial"/>
          <w:color w:val="808080" w:themeColor="background1" w:themeShade="80"/>
          <w:sz w:val="22"/>
          <w:szCs w:val="22"/>
          <w:lang w:val="en-GB"/>
        </w:rPr>
        <w:t>allow the foreign representative to request</w:t>
      </w:r>
      <w:r w:rsidR="004159D7">
        <w:rPr>
          <w:rFonts w:ascii="Avenir Next" w:hAnsi="Avenir Next" w:cs="Arial"/>
          <w:color w:val="808080" w:themeColor="background1" w:themeShade="80"/>
          <w:sz w:val="22"/>
          <w:szCs w:val="22"/>
          <w:lang w:val="en-GB"/>
        </w:rPr>
        <w:t>, on the same terms as local creditor,</w:t>
      </w:r>
      <w:r>
        <w:rPr>
          <w:rFonts w:ascii="Avenir Next" w:hAnsi="Avenir Next" w:cs="Arial"/>
          <w:color w:val="808080" w:themeColor="background1" w:themeShade="80"/>
          <w:sz w:val="22"/>
          <w:szCs w:val="22"/>
          <w:lang w:val="en-GB"/>
        </w:rPr>
        <w:t xml:space="preserve"> the commencement of </w:t>
      </w:r>
      <w:r w:rsidR="004159D7">
        <w:rPr>
          <w:rFonts w:ascii="Avenir Next" w:hAnsi="Avenir Next" w:cs="Arial"/>
          <w:color w:val="808080" w:themeColor="background1" w:themeShade="80"/>
          <w:sz w:val="22"/>
          <w:szCs w:val="22"/>
          <w:lang w:val="en-GB"/>
        </w:rPr>
        <w:t xml:space="preserve">a (and following recognition, participate in an existing) </w:t>
      </w:r>
      <w:r>
        <w:rPr>
          <w:rFonts w:ascii="Avenir Next" w:hAnsi="Avenir Next" w:cs="Arial"/>
          <w:color w:val="808080" w:themeColor="background1" w:themeShade="80"/>
          <w:sz w:val="22"/>
          <w:szCs w:val="22"/>
          <w:lang w:val="en-GB"/>
        </w:rPr>
        <w:t>domestic insolvency proceeding.</w:t>
      </w:r>
    </w:p>
    <w:p w14:paraId="305B799C" w14:textId="77777777" w:rsidR="00D867AC" w:rsidRDefault="00D867AC" w:rsidP="001B4676">
      <w:pPr>
        <w:jc w:val="both"/>
        <w:rPr>
          <w:rFonts w:ascii="Avenir Next" w:hAnsi="Avenir Next" w:cs="Arial"/>
          <w:color w:val="808080" w:themeColor="background1" w:themeShade="80"/>
          <w:sz w:val="22"/>
          <w:szCs w:val="22"/>
          <w:lang w:val="en-GB"/>
        </w:rPr>
      </w:pPr>
    </w:p>
    <w:p w14:paraId="1F5D12A6" w14:textId="54415C8F" w:rsidR="000B060C" w:rsidRDefault="004159D7" w:rsidP="001B46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Thereafter, </w:t>
      </w:r>
      <w:r w:rsidR="001B4676">
        <w:rPr>
          <w:rFonts w:ascii="Avenir Next" w:hAnsi="Avenir Next" w:cs="Arial"/>
          <w:color w:val="808080" w:themeColor="background1" w:themeShade="80"/>
          <w:sz w:val="22"/>
          <w:szCs w:val="22"/>
          <w:lang w:val="en-GB"/>
        </w:rPr>
        <w:t>Articles 25 to 27 of the Model Law address cross-border cooperation, aimed at overcoming a common lacuna in local laws: the lack of effective mechanisms for coordination between judges in different jurisdictions, and the consequential increase in time and costs of cross-border insolvency.</w:t>
      </w:r>
      <w:r w:rsidR="000B060C">
        <w:rPr>
          <w:rFonts w:ascii="Avenir Next" w:hAnsi="Avenir Next" w:cs="Arial"/>
          <w:color w:val="808080" w:themeColor="background1" w:themeShade="80"/>
          <w:sz w:val="22"/>
          <w:szCs w:val="22"/>
          <w:lang w:val="en-GB"/>
        </w:rPr>
        <w:t xml:space="preserve">  </w:t>
      </w:r>
    </w:p>
    <w:p w14:paraId="51A40072" w14:textId="77777777" w:rsidR="000B060C" w:rsidRDefault="000B060C" w:rsidP="001B4676">
      <w:pPr>
        <w:jc w:val="both"/>
        <w:rPr>
          <w:rFonts w:ascii="Avenir Next" w:hAnsi="Avenir Next" w:cs="Arial"/>
          <w:color w:val="808080" w:themeColor="background1" w:themeShade="80"/>
          <w:sz w:val="22"/>
          <w:szCs w:val="22"/>
          <w:lang w:val="en-GB"/>
        </w:rPr>
      </w:pPr>
    </w:p>
    <w:p w14:paraId="51824301" w14:textId="4681A135" w:rsidR="00257437" w:rsidRDefault="000B060C" w:rsidP="001B46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aside, the 2022 Judicial Perspective, Guide on Enactment, and Digest on Case Law each include extensive commentary and guidance on the meaning and scope of cooperation, to which our foreign representative might usefully refer.</w:t>
      </w:r>
    </w:p>
    <w:p w14:paraId="7E0FE683" w14:textId="430B35C9" w:rsidR="00231C57" w:rsidRDefault="00231C57" w:rsidP="001B4676">
      <w:pPr>
        <w:jc w:val="both"/>
        <w:rPr>
          <w:rFonts w:ascii="Avenir Next" w:hAnsi="Avenir Next" w:cs="Arial"/>
          <w:color w:val="808080" w:themeColor="background1" w:themeShade="80"/>
          <w:sz w:val="22"/>
          <w:szCs w:val="22"/>
          <w:lang w:val="en-GB"/>
        </w:rPr>
      </w:pPr>
    </w:p>
    <w:p w14:paraId="5B6E353F" w14:textId="5F29705E" w:rsidR="00E8240E" w:rsidRDefault="00231C57" w:rsidP="00231C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25(1) obliges the court of the enacting state</w:t>
      </w:r>
      <w:r w:rsidR="000B0544">
        <w:rPr>
          <w:rFonts w:ascii="Avenir Next" w:hAnsi="Avenir Next" w:cs="Arial"/>
          <w:color w:val="808080" w:themeColor="background1" w:themeShade="80"/>
          <w:sz w:val="22"/>
          <w:szCs w:val="22"/>
          <w:lang w:val="en-GB"/>
        </w:rPr>
        <w:t xml:space="preserve"> (i.e. State A)</w:t>
      </w:r>
      <w:r>
        <w:rPr>
          <w:rFonts w:ascii="Avenir Next" w:hAnsi="Avenir Next" w:cs="Arial"/>
          <w:color w:val="808080" w:themeColor="background1" w:themeShade="80"/>
          <w:sz w:val="22"/>
          <w:szCs w:val="22"/>
          <w:lang w:val="en-GB"/>
        </w:rPr>
        <w:t xml:space="preserve"> to cooperate "to the maximum extent possible"</w:t>
      </w:r>
      <w:r w:rsidRPr="00231C5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with foreign courts or foreign representatives.  The obligation to cooperate</w:t>
      </w:r>
      <w:r w:rsidR="00E8240E">
        <w:rPr>
          <w:rFonts w:ascii="Avenir Next" w:hAnsi="Avenir Next" w:cs="Arial"/>
          <w:color w:val="808080" w:themeColor="background1" w:themeShade="80"/>
          <w:sz w:val="22"/>
          <w:szCs w:val="22"/>
          <w:lang w:val="en-GB"/>
        </w:rPr>
        <w:t>:</w:t>
      </w:r>
    </w:p>
    <w:p w14:paraId="722878C6" w14:textId="77777777" w:rsidR="00E8240E" w:rsidRDefault="00E8240E" w:rsidP="00231C57">
      <w:pPr>
        <w:jc w:val="both"/>
        <w:rPr>
          <w:rFonts w:ascii="Avenir Next" w:hAnsi="Avenir Next" w:cs="Arial"/>
          <w:color w:val="808080" w:themeColor="background1" w:themeShade="80"/>
          <w:sz w:val="22"/>
          <w:szCs w:val="22"/>
          <w:lang w:val="en-GB"/>
        </w:rPr>
      </w:pPr>
    </w:p>
    <w:p w14:paraId="1F81BABB" w14:textId="19921572" w:rsidR="00274CBF" w:rsidRDefault="00274CBF" w:rsidP="00E824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as a result, not only authorised but also mandated ("</w:t>
      </w:r>
      <w:r w:rsidRPr="00274CBF">
        <w:rPr>
          <w:rFonts w:ascii="Avenir Next" w:hAnsi="Avenir Next" w:cs="Arial"/>
          <w:i/>
          <w:iCs/>
          <w:color w:val="808080" w:themeColor="background1" w:themeShade="80"/>
          <w:sz w:val="22"/>
          <w:szCs w:val="22"/>
          <w:u w:val="single"/>
          <w:lang w:val="en-GB"/>
        </w:rPr>
        <w:t>shall</w:t>
      </w:r>
      <w:r>
        <w:rPr>
          <w:rFonts w:ascii="Avenir Next" w:hAnsi="Avenir Next" w:cs="Arial"/>
          <w:color w:val="808080" w:themeColor="background1" w:themeShade="80"/>
          <w:sz w:val="22"/>
          <w:szCs w:val="22"/>
          <w:lang w:val="en-GB"/>
        </w:rPr>
        <w:t xml:space="preserve"> cooperate");</w:t>
      </w:r>
    </w:p>
    <w:p w14:paraId="5006103C" w14:textId="77777777" w:rsidR="00274CBF" w:rsidRDefault="00274CBF" w:rsidP="00274CBF">
      <w:pPr>
        <w:pStyle w:val="ListParagraph"/>
        <w:jc w:val="both"/>
        <w:rPr>
          <w:rFonts w:ascii="Avenir Next" w:hAnsi="Avenir Next" w:cs="Arial"/>
          <w:color w:val="808080" w:themeColor="background1" w:themeShade="80"/>
          <w:sz w:val="22"/>
          <w:szCs w:val="22"/>
          <w:lang w:val="en-GB"/>
        </w:rPr>
      </w:pPr>
    </w:p>
    <w:p w14:paraId="29C2E383" w14:textId="7B050F07" w:rsidR="00E8240E" w:rsidRDefault="00E8240E" w:rsidP="00E824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00231C57" w:rsidRPr="00E8240E">
        <w:rPr>
          <w:rFonts w:ascii="Avenir Next" w:hAnsi="Avenir Next" w:cs="Arial"/>
          <w:color w:val="808080" w:themeColor="background1" w:themeShade="80"/>
          <w:sz w:val="22"/>
          <w:szCs w:val="22"/>
          <w:lang w:val="en-GB"/>
        </w:rPr>
        <w:t xml:space="preserve">oes not depend upon securing formal recognition under the </w:t>
      </w:r>
      <w:r w:rsidR="00D867AC">
        <w:rPr>
          <w:rFonts w:ascii="Avenir Next" w:hAnsi="Avenir Next" w:cs="Arial"/>
          <w:color w:val="808080" w:themeColor="background1" w:themeShade="80"/>
          <w:sz w:val="22"/>
          <w:szCs w:val="22"/>
          <w:lang w:val="en-GB"/>
        </w:rPr>
        <w:t>Model Law</w:t>
      </w:r>
      <w:r w:rsidR="00231C57" w:rsidRPr="00E8240E">
        <w:rPr>
          <w:rFonts w:ascii="Avenir Next" w:hAnsi="Avenir Next" w:cs="Arial"/>
          <w:color w:val="808080" w:themeColor="background1" w:themeShade="80"/>
          <w:sz w:val="22"/>
          <w:szCs w:val="22"/>
          <w:lang w:val="en-GB"/>
        </w:rPr>
        <w:t xml:space="preserve"> (and can therefore occur at an early stage and without having made an application for recognition)</w:t>
      </w:r>
      <w:r>
        <w:rPr>
          <w:rFonts w:ascii="Avenir Next" w:hAnsi="Avenir Next" w:cs="Arial"/>
          <w:color w:val="808080" w:themeColor="background1" w:themeShade="80"/>
          <w:sz w:val="22"/>
          <w:szCs w:val="22"/>
          <w:lang w:val="en-GB"/>
        </w:rPr>
        <w:t>;</w:t>
      </w:r>
    </w:p>
    <w:p w14:paraId="4E013793" w14:textId="77777777" w:rsidR="00E8240E" w:rsidRDefault="00E8240E" w:rsidP="00E8240E">
      <w:pPr>
        <w:pStyle w:val="ListParagraph"/>
        <w:jc w:val="both"/>
        <w:rPr>
          <w:rFonts w:ascii="Avenir Next" w:hAnsi="Avenir Next" w:cs="Arial"/>
          <w:color w:val="808080" w:themeColor="background1" w:themeShade="80"/>
          <w:sz w:val="22"/>
          <w:szCs w:val="22"/>
          <w:lang w:val="en-GB"/>
        </w:rPr>
      </w:pPr>
    </w:p>
    <w:p w14:paraId="4E72AEE9" w14:textId="306FB755" w:rsidR="00E8240E" w:rsidRDefault="00E8240E" w:rsidP="00E824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231C57" w:rsidRPr="00E8240E">
        <w:rPr>
          <w:rFonts w:ascii="Avenir Next" w:hAnsi="Avenir Next" w:cs="Arial"/>
          <w:color w:val="808080" w:themeColor="background1" w:themeShade="80"/>
          <w:sz w:val="22"/>
          <w:szCs w:val="22"/>
          <w:lang w:val="en-GB"/>
        </w:rPr>
        <w:t>s further encouraged by Article 25(2), which entitles the Court to communicate directly with, or request information or assistance directly from, foreign courts or foreign representatives</w:t>
      </w:r>
      <w:r>
        <w:rPr>
          <w:rFonts w:ascii="Avenir Next" w:hAnsi="Avenir Next" w:cs="Arial"/>
          <w:color w:val="808080" w:themeColor="background1" w:themeShade="80"/>
          <w:sz w:val="22"/>
          <w:szCs w:val="22"/>
          <w:lang w:val="en-GB"/>
        </w:rPr>
        <w:t>; and</w:t>
      </w:r>
    </w:p>
    <w:p w14:paraId="20AD0A4C" w14:textId="77777777" w:rsidR="00E8240E" w:rsidRPr="00E8240E" w:rsidRDefault="00E8240E" w:rsidP="00E8240E">
      <w:pPr>
        <w:pStyle w:val="ListParagraph"/>
        <w:rPr>
          <w:rFonts w:ascii="Avenir Next" w:hAnsi="Avenir Next" w:cs="Arial"/>
          <w:color w:val="808080" w:themeColor="background1" w:themeShade="80"/>
          <w:sz w:val="22"/>
          <w:szCs w:val="22"/>
          <w:lang w:val="en-GB"/>
        </w:rPr>
      </w:pPr>
    </w:p>
    <w:p w14:paraId="5E1C2BD6" w14:textId="31F4F608" w:rsidR="00231C57" w:rsidRPr="00E8240E" w:rsidRDefault="00E8240E" w:rsidP="00E824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not restricted </w:t>
      </w:r>
      <w:r w:rsidRPr="00E8240E">
        <w:rPr>
          <w:rFonts w:ascii="Avenir Next" w:hAnsi="Avenir Next" w:cs="Arial"/>
          <w:color w:val="808080" w:themeColor="background1" w:themeShade="80"/>
          <w:sz w:val="22"/>
          <w:szCs w:val="22"/>
          <w:lang w:val="en-GB"/>
        </w:rPr>
        <w:t>to foreign proceedings qualify</w:t>
      </w:r>
      <w:r>
        <w:rPr>
          <w:rFonts w:ascii="Avenir Next" w:hAnsi="Avenir Next" w:cs="Arial"/>
          <w:color w:val="808080" w:themeColor="background1" w:themeShade="80"/>
          <w:sz w:val="22"/>
          <w:szCs w:val="22"/>
          <w:lang w:val="en-GB"/>
        </w:rPr>
        <w:t>ing</w:t>
      </w:r>
      <w:r w:rsidRPr="00E8240E">
        <w:rPr>
          <w:rFonts w:ascii="Avenir Next" w:hAnsi="Avenir Next" w:cs="Arial"/>
          <w:color w:val="808080" w:themeColor="background1" w:themeShade="80"/>
          <w:sz w:val="22"/>
          <w:szCs w:val="22"/>
          <w:lang w:val="en-GB"/>
        </w:rPr>
        <w:t xml:space="preserve"> for recognition </w:t>
      </w:r>
      <w:r>
        <w:rPr>
          <w:rFonts w:ascii="Avenir Next" w:hAnsi="Avenir Next" w:cs="Arial"/>
          <w:color w:val="808080" w:themeColor="background1" w:themeShade="80"/>
          <w:sz w:val="22"/>
          <w:szCs w:val="22"/>
          <w:lang w:val="en-GB"/>
        </w:rPr>
        <w:t xml:space="preserve">via </w:t>
      </w:r>
      <w:r w:rsidRPr="00E8240E">
        <w:rPr>
          <w:rFonts w:ascii="Avenir Next" w:hAnsi="Avenir Next" w:cs="Arial"/>
          <w:color w:val="808080" w:themeColor="background1" w:themeShade="80"/>
          <w:sz w:val="22"/>
          <w:szCs w:val="22"/>
          <w:lang w:val="en-GB"/>
        </w:rPr>
        <w:t xml:space="preserve">Article 17, meaning cooperation is available </w:t>
      </w:r>
      <w:r w:rsidR="005905CC">
        <w:rPr>
          <w:rFonts w:ascii="Avenir Next" w:hAnsi="Avenir Next" w:cs="Arial"/>
          <w:color w:val="808080" w:themeColor="background1" w:themeShade="80"/>
          <w:sz w:val="22"/>
          <w:szCs w:val="22"/>
          <w:lang w:val="en-GB"/>
        </w:rPr>
        <w:t xml:space="preserve">on the basis of assets within the enacting state, i.e. </w:t>
      </w:r>
      <w:r w:rsidRPr="00E8240E">
        <w:rPr>
          <w:rFonts w:ascii="Avenir Next" w:hAnsi="Avenir Next" w:cs="Arial"/>
          <w:color w:val="808080" w:themeColor="background1" w:themeShade="80"/>
          <w:sz w:val="22"/>
          <w:szCs w:val="22"/>
          <w:lang w:val="en-GB"/>
        </w:rPr>
        <w:t xml:space="preserve">beyond the </w:t>
      </w:r>
      <w:r w:rsidR="005905CC">
        <w:rPr>
          <w:rFonts w:ascii="Avenir Next" w:hAnsi="Avenir Next" w:cs="Arial"/>
          <w:color w:val="808080" w:themeColor="background1" w:themeShade="80"/>
          <w:sz w:val="22"/>
          <w:szCs w:val="22"/>
          <w:lang w:val="en-GB"/>
        </w:rPr>
        <w:t xml:space="preserve">limited </w:t>
      </w:r>
      <w:r w:rsidRPr="00E8240E">
        <w:rPr>
          <w:rFonts w:ascii="Avenir Next" w:hAnsi="Avenir Next" w:cs="Arial"/>
          <w:color w:val="808080" w:themeColor="background1" w:themeShade="80"/>
          <w:sz w:val="22"/>
          <w:szCs w:val="22"/>
          <w:lang w:val="en-GB"/>
        </w:rPr>
        <w:t>scope of foreign main or non-main proceedings.</w:t>
      </w:r>
    </w:p>
    <w:p w14:paraId="26DC9073" w14:textId="301CB62A" w:rsidR="00231C57" w:rsidRDefault="00231C57" w:rsidP="001B4676">
      <w:pPr>
        <w:jc w:val="both"/>
        <w:rPr>
          <w:rFonts w:ascii="Avenir Next" w:hAnsi="Avenir Next" w:cs="Arial"/>
          <w:color w:val="808080" w:themeColor="background1" w:themeShade="80"/>
          <w:sz w:val="22"/>
          <w:szCs w:val="22"/>
          <w:lang w:val="en-GB"/>
        </w:rPr>
      </w:pPr>
    </w:p>
    <w:p w14:paraId="5885354F" w14:textId="289459EF" w:rsidR="00DA76E0" w:rsidRDefault="00DA76E0" w:rsidP="001B46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obligation to cooperate is not limited to the courts of the enacting state.  Instead, Article 26(1) requires local insolvency practitioners to cooperate (subject to the supervision of the local court) "to the maximum extent possible" with foreign courts or foreign representatives, and to do so directly.</w:t>
      </w:r>
    </w:p>
    <w:p w14:paraId="5E4AF698" w14:textId="7CE31E13" w:rsidR="00702362" w:rsidRDefault="00702362" w:rsidP="001B4676">
      <w:pPr>
        <w:jc w:val="both"/>
        <w:rPr>
          <w:rFonts w:ascii="Avenir Next" w:hAnsi="Avenir Next" w:cs="Arial"/>
          <w:color w:val="808080" w:themeColor="background1" w:themeShade="80"/>
          <w:sz w:val="22"/>
          <w:szCs w:val="22"/>
          <w:lang w:val="en-GB"/>
        </w:rPr>
      </w:pPr>
    </w:p>
    <w:p w14:paraId="4126DCB1" w14:textId="0861203B" w:rsidR="000B0544" w:rsidRDefault="00702362" w:rsidP="001B46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27 provides that cooperation under Articles 25 and 26 is to be "implemented by any appropriate means", and sets out a non-exhaustive list including the use of court-appointed representatives, coordination of the debtor's assets and affairs, communication by (in the court's view) appropriate means</w:t>
      </w:r>
      <w:r w:rsidR="000B0544">
        <w:rPr>
          <w:rFonts w:ascii="Avenir Next" w:hAnsi="Avenir Next" w:cs="Arial"/>
          <w:color w:val="808080" w:themeColor="background1" w:themeShade="80"/>
          <w:sz w:val="22"/>
          <w:szCs w:val="22"/>
          <w:lang w:val="en-GB"/>
        </w:rPr>
        <w:t>, and implementation or approval of appropriate agreements for coordinating proceedings.</w:t>
      </w:r>
    </w:p>
    <w:p w14:paraId="4D6948EC" w14:textId="77777777" w:rsidR="000B0544" w:rsidRDefault="000B0544" w:rsidP="001B4676">
      <w:pPr>
        <w:jc w:val="both"/>
        <w:rPr>
          <w:rFonts w:ascii="Avenir Next" w:hAnsi="Avenir Next" w:cs="Arial"/>
          <w:color w:val="808080" w:themeColor="background1" w:themeShade="80"/>
          <w:sz w:val="22"/>
          <w:szCs w:val="22"/>
          <w:lang w:val="en-GB"/>
        </w:rPr>
      </w:pPr>
    </w:p>
    <w:p w14:paraId="3005BE95" w14:textId="12A09F05" w:rsidR="00702362" w:rsidRDefault="004B6023" w:rsidP="001B46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is obvious from the above, the MLCBI cooperation regime, including its scope, extent and timing, are largely in the discretion of the local courts.  </w:t>
      </w:r>
      <w:r w:rsidR="000B0544">
        <w:rPr>
          <w:rFonts w:ascii="Avenir Next" w:hAnsi="Avenir Next" w:cs="Arial"/>
          <w:color w:val="808080" w:themeColor="background1" w:themeShade="80"/>
          <w:sz w:val="22"/>
          <w:szCs w:val="22"/>
          <w:lang w:val="en-GB"/>
        </w:rPr>
        <w:t>The UNCITRAL Digest on Caselaw suggests that, fundamentally</w:t>
      </w:r>
      <w:r w:rsidR="00274CBF">
        <w:rPr>
          <w:rFonts w:ascii="Avenir Next" w:hAnsi="Avenir Next" w:cs="Arial"/>
          <w:color w:val="808080" w:themeColor="background1" w:themeShade="80"/>
          <w:sz w:val="22"/>
          <w:szCs w:val="22"/>
          <w:lang w:val="en-GB"/>
        </w:rPr>
        <w:t>, the general principle is that</w:t>
      </w:r>
      <w:r w:rsidR="000B0544">
        <w:rPr>
          <w:rFonts w:ascii="Avenir Next" w:hAnsi="Avenir Next" w:cs="Arial"/>
          <w:color w:val="808080" w:themeColor="background1" w:themeShade="80"/>
          <w:sz w:val="22"/>
          <w:szCs w:val="22"/>
          <w:lang w:val="en-GB"/>
        </w:rPr>
        <w:t>:</w:t>
      </w:r>
    </w:p>
    <w:p w14:paraId="698B708A" w14:textId="25695618" w:rsidR="000B0544" w:rsidRDefault="000B0544" w:rsidP="001B4676">
      <w:pPr>
        <w:jc w:val="both"/>
        <w:rPr>
          <w:rFonts w:ascii="Avenir Next" w:hAnsi="Avenir Next" w:cs="Arial"/>
          <w:color w:val="808080" w:themeColor="background1" w:themeShade="80"/>
          <w:sz w:val="22"/>
          <w:szCs w:val="22"/>
          <w:lang w:val="en-GB"/>
        </w:rPr>
      </w:pPr>
    </w:p>
    <w:p w14:paraId="5518A924" w14:textId="3C5B9814" w:rsidR="000B0544" w:rsidRPr="000B0544" w:rsidRDefault="000B0544" w:rsidP="000B0544">
      <w:pPr>
        <w:ind w:left="720"/>
        <w:jc w:val="both"/>
        <w:rPr>
          <w:rFonts w:ascii="Avenir Next" w:hAnsi="Avenir Next" w:cs="Arial"/>
          <w:i/>
          <w:iCs/>
          <w:color w:val="808080" w:themeColor="background1" w:themeShade="80"/>
          <w:sz w:val="22"/>
          <w:szCs w:val="22"/>
          <w:lang w:val="en-GB"/>
        </w:rPr>
      </w:pPr>
      <w:r w:rsidRPr="000B0544">
        <w:rPr>
          <w:rFonts w:ascii="Avenir Next" w:hAnsi="Avenir Next" w:cs="Arial"/>
          <w:i/>
          <w:iCs/>
          <w:color w:val="808080" w:themeColor="background1" w:themeShade="80"/>
          <w:sz w:val="22"/>
          <w:szCs w:val="22"/>
          <w:lang w:val="en-GB"/>
        </w:rPr>
        <w:t xml:space="preserve">What article 25 envisaged </w:t>
      </w:r>
      <w:r w:rsidR="00274CBF">
        <w:rPr>
          <w:rFonts w:ascii="Avenir Next" w:hAnsi="Avenir Next" w:cs="Arial"/>
          <w:i/>
          <w:iCs/>
          <w:color w:val="808080" w:themeColor="background1" w:themeShade="80"/>
          <w:sz w:val="22"/>
          <w:szCs w:val="22"/>
          <w:lang w:val="en-GB"/>
        </w:rPr>
        <w:t>[…]</w:t>
      </w:r>
      <w:r w:rsidRPr="000B0544">
        <w:rPr>
          <w:rFonts w:ascii="Avenir Next" w:hAnsi="Avenir Next" w:cs="Arial"/>
          <w:i/>
          <w:iCs/>
          <w:color w:val="808080" w:themeColor="background1" w:themeShade="80"/>
          <w:sz w:val="22"/>
          <w:szCs w:val="22"/>
          <w:lang w:val="en-GB"/>
        </w:rPr>
        <w:t xml:space="preserve"> was some form of collaboration, joint enterprise or agreed parallel or complementary action of two or more courts in relation to the exercise of the independent jurisdiction of each within the framework of the law of the States concerned and not that one State should disregard important provisions of its own legal system.</w:t>
      </w:r>
    </w:p>
    <w:p w14:paraId="6352004D" w14:textId="6F38EB98" w:rsidR="001B4676" w:rsidRDefault="001B4676" w:rsidP="001B4676">
      <w:pPr>
        <w:jc w:val="both"/>
        <w:rPr>
          <w:rFonts w:ascii="Avenir Next" w:hAnsi="Avenir Next" w:cs="Arial"/>
          <w:sz w:val="22"/>
          <w:szCs w:val="22"/>
          <w:lang w:val="en-GB"/>
        </w:rPr>
      </w:pPr>
    </w:p>
    <w:p w14:paraId="75B30633" w14:textId="08260F91" w:rsidR="0039581F" w:rsidRPr="00FF23A0" w:rsidRDefault="0039581F" w:rsidP="001B4676">
      <w:pPr>
        <w:jc w:val="both"/>
        <w:rPr>
          <w:rFonts w:ascii="Avenir Next" w:hAnsi="Avenir Next" w:cs="Arial"/>
          <w:color w:val="808080" w:themeColor="background1" w:themeShade="80"/>
          <w:sz w:val="22"/>
          <w:szCs w:val="22"/>
          <w:lang w:val="en-GB"/>
        </w:rPr>
      </w:pPr>
      <w:r w:rsidRPr="00FF23A0">
        <w:rPr>
          <w:rFonts w:ascii="Avenir Next" w:hAnsi="Avenir Next" w:cs="Arial"/>
          <w:color w:val="808080" w:themeColor="background1" w:themeShade="80"/>
          <w:sz w:val="22"/>
          <w:szCs w:val="22"/>
          <w:lang w:val="en-GB"/>
        </w:rPr>
        <w:t>An important factor in the courts' supervision of cooperation, the commentaries suggest, is that cooperation "</w:t>
      </w:r>
      <w:r w:rsidRPr="00FF23A0">
        <w:rPr>
          <w:rFonts w:ascii="Avenir Next" w:hAnsi="Avenir Next" w:cs="Arial"/>
          <w:i/>
          <w:iCs/>
          <w:color w:val="808080" w:themeColor="background1" w:themeShade="80"/>
          <w:sz w:val="22"/>
          <w:szCs w:val="22"/>
          <w:lang w:val="en-GB"/>
        </w:rPr>
        <w:t>should be done carefully and with appropriate safeguards for the protection of the substantive and procedural rights of the parties</w:t>
      </w:r>
      <w:r w:rsidRPr="00FF23A0">
        <w:rPr>
          <w:rFonts w:ascii="Avenir Next" w:hAnsi="Avenir Next" w:cs="Arial"/>
          <w:color w:val="808080" w:themeColor="background1" w:themeShade="80"/>
          <w:sz w:val="22"/>
          <w:szCs w:val="22"/>
          <w:lang w:val="en-GB"/>
        </w:rPr>
        <w:t>"</w:t>
      </w:r>
      <w:r w:rsidR="008C0A06" w:rsidRPr="00FF23A0">
        <w:rPr>
          <w:rFonts w:ascii="Avenir Next" w:hAnsi="Avenir Next" w:cs="Arial"/>
          <w:color w:val="808080" w:themeColor="background1" w:themeShade="80"/>
          <w:sz w:val="22"/>
          <w:szCs w:val="22"/>
          <w:lang w:val="en-GB"/>
        </w:rPr>
        <w:t>, openly, with advance notice to and ideally in the presence of concerned parties (see the 2022 Judicial Perspective</w:t>
      </w:r>
      <w:r w:rsidR="00FF23A0">
        <w:rPr>
          <w:rFonts w:ascii="Avenir Next" w:hAnsi="Avenir Next" w:cs="Arial"/>
          <w:color w:val="808080" w:themeColor="background1" w:themeShade="80"/>
          <w:sz w:val="22"/>
          <w:szCs w:val="22"/>
          <w:lang w:val="en-GB"/>
        </w:rPr>
        <w:t>, for example</w:t>
      </w:r>
      <w:r w:rsidR="008C0A06" w:rsidRPr="00FF23A0">
        <w:rPr>
          <w:rFonts w:ascii="Avenir Next" w:hAnsi="Avenir Next" w:cs="Arial"/>
          <w:color w:val="808080" w:themeColor="background1" w:themeShade="80"/>
          <w:sz w:val="22"/>
          <w:szCs w:val="22"/>
          <w:lang w:val="en-GB"/>
        </w:rPr>
        <w:t>).</w:t>
      </w:r>
      <w:r w:rsidR="00D867AC" w:rsidRPr="00FF23A0">
        <w:rPr>
          <w:rFonts w:ascii="Avenir Next" w:hAnsi="Avenir Next" w:cs="Arial"/>
          <w:color w:val="808080" w:themeColor="background1" w:themeShade="80"/>
          <w:sz w:val="22"/>
          <w:szCs w:val="22"/>
          <w:lang w:val="en-GB"/>
        </w:rPr>
        <w:t xml:space="preserve">  Simultaneous hearings, cross-border insolvency agreements, </w:t>
      </w:r>
      <w:r w:rsidR="00FF23A0">
        <w:rPr>
          <w:rFonts w:ascii="Avenir Next" w:hAnsi="Avenir Next" w:cs="Arial"/>
          <w:color w:val="808080" w:themeColor="background1" w:themeShade="80"/>
          <w:sz w:val="22"/>
          <w:szCs w:val="22"/>
          <w:lang w:val="en-GB"/>
        </w:rPr>
        <w:t>and similar arrangements may be available to our foreign representative.</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C060086" w14:textId="5339FA21" w:rsidR="006264AC" w:rsidRDefault="006264A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 regime for recognition of foreign proceedings is set out in Articles 15 to 18.</w:t>
      </w:r>
    </w:p>
    <w:p w14:paraId="67C53A20" w14:textId="77777777" w:rsidR="006264AC" w:rsidRDefault="006264AC" w:rsidP="00707FC8">
      <w:pPr>
        <w:jc w:val="both"/>
        <w:rPr>
          <w:rFonts w:ascii="Avenir Next" w:hAnsi="Avenir Next" w:cs="Arial"/>
          <w:color w:val="808080" w:themeColor="background1" w:themeShade="80"/>
          <w:sz w:val="22"/>
          <w:szCs w:val="22"/>
          <w:lang w:val="en-GB"/>
        </w:rPr>
      </w:pPr>
    </w:p>
    <w:p w14:paraId="713C0C0F" w14:textId="7543905C" w:rsidR="0017257C" w:rsidRDefault="00FF23A0" w:rsidP="00707FC8">
      <w:pPr>
        <w:jc w:val="both"/>
        <w:rPr>
          <w:rFonts w:ascii="Avenir Next" w:hAnsi="Avenir Next" w:cs="Arial"/>
          <w:color w:val="808080" w:themeColor="background1" w:themeShade="80"/>
          <w:sz w:val="22"/>
          <w:szCs w:val="22"/>
          <w:lang w:val="en-GB"/>
        </w:rPr>
      </w:pPr>
      <w:r w:rsidRPr="006C7525">
        <w:rPr>
          <w:rFonts w:ascii="Avenir Next" w:hAnsi="Avenir Next" w:cs="Arial"/>
          <w:color w:val="808080" w:themeColor="background1" w:themeShade="80"/>
          <w:sz w:val="22"/>
          <w:szCs w:val="22"/>
          <w:lang w:val="en-GB"/>
        </w:rPr>
        <w:t xml:space="preserve">Article 15 sets out the evidential requirements for recognition of a foreign proceeding; these largely relate to documentary requirements </w:t>
      </w:r>
      <w:r w:rsidR="00ED135C">
        <w:rPr>
          <w:rFonts w:ascii="Avenir Next" w:hAnsi="Avenir Next" w:cs="Arial"/>
          <w:color w:val="808080" w:themeColor="background1" w:themeShade="80"/>
          <w:sz w:val="22"/>
          <w:szCs w:val="22"/>
          <w:lang w:val="en-GB"/>
        </w:rPr>
        <w:t>and in summary require the submission of proof acceptable to the court of the enacting state of the existence of the foreign proceedings and appointment of the foreign representative, and disclosure of any other foreign proceedings of which the foreign representative is aware.</w:t>
      </w:r>
    </w:p>
    <w:p w14:paraId="395962CA" w14:textId="352FAE49" w:rsidR="00ED135C" w:rsidRDefault="00ED135C" w:rsidP="00707FC8">
      <w:pPr>
        <w:jc w:val="both"/>
        <w:rPr>
          <w:rFonts w:ascii="Avenir Next" w:hAnsi="Avenir Next" w:cs="Arial"/>
          <w:color w:val="808080" w:themeColor="background1" w:themeShade="80"/>
          <w:sz w:val="22"/>
          <w:szCs w:val="22"/>
          <w:lang w:val="en-GB"/>
        </w:rPr>
      </w:pPr>
    </w:p>
    <w:p w14:paraId="013DE444" w14:textId="7FA605EB" w:rsidR="00ED135C" w:rsidRDefault="00ED135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documentary requirements are important because they also inform the Article 16 provisions regarding the extent to which the enacting state's court is entitled to presume that the foreign proceeding and the foreign representative fall within the scope of Article 2(a) and (d) respectively: if the documents submitted so indicate, the court is entitled so to presume.</w:t>
      </w:r>
      <w:r w:rsidR="009F4012">
        <w:rPr>
          <w:rFonts w:ascii="Avenir Next" w:hAnsi="Avenir Next" w:cs="Arial"/>
          <w:color w:val="808080" w:themeColor="background1" w:themeShade="80"/>
          <w:sz w:val="22"/>
          <w:szCs w:val="22"/>
          <w:lang w:val="en-GB"/>
        </w:rPr>
        <w:t xml:space="preserve">  Article 16 also contains the Model Law's rebuttable presumptions regarding the debtor's COMI (habitual residence for an individual; registered office otherwise).</w:t>
      </w:r>
    </w:p>
    <w:p w14:paraId="17D05C18" w14:textId="2F69BF2A" w:rsidR="009F4012" w:rsidRDefault="009F4012" w:rsidP="00707FC8">
      <w:pPr>
        <w:jc w:val="both"/>
        <w:rPr>
          <w:rFonts w:ascii="Avenir Next" w:hAnsi="Avenir Next" w:cs="Arial"/>
          <w:color w:val="808080" w:themeColor="background1" w:themeShade="80"/>
          <w:sz w:val="22"/>
          <w:szCs w:val="22"/>
          <w:lang w:val="en-GB"/>
        </w:rPr>
      </w:pPr>
    </w:p>
    <w:p w14:paraId="0E8CD6E4" w14:textId="387398FD" w:rsidR="00A43533" w:rsidRDefault="009F4012"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Thereafter, Article 17 requires that the court determine the application for recognition as soon as possible (Article 17(3)</w:t>
      </w:r>
      <w:r w:rsidR="00A60920">
        <w:rPr>
          <w:rFonts w:ascii="Avenir Next" w:hAnsi="Avenir Next" w:cs="Arial"/>
          <w:color w:val="808080" w:themeColor="background1" w:themeShade="80"/>
          <w:sz w:val="22"/>
          <w:szCs w:val="22"/>
          <w:lang w:val="en-GB"/>
        </w:rPr>
        <w:t>), while leaving the door open for subsequent modification or termination of recognition if it later emerges that either (1) recognition should not have been granted (whether on the terms granted or at all), or (2) the grounds justifying recognition later cease to exist.</w:t>
      </w:r>
      <w:r w:rsidR="00A43533">
        <w:rPr>
          <w:rFonts w:ascii="Avenir Next" w:hAnsi="Avenir Next" w:cs="Arial"/>
          <w:color w:val="808080" w:themeColor="background1" w:themeShade="80"/>
          <w:sz w:val="22"/>
          <w:szCs w:val="22"/>
          <w:lang w:val="en-GB"/>
        </w:rPr>
        <w:t xml:space="preserve">  </w:t>
      </w:r>
      <w:r w:rsidR="006264AC">
        <w:rPr>
          <w:rFonts w:ascii="Avenir Next" w:hAnsi="Avenir Next" w:cs="Arial"/>
          <w:color w:val="808080" w:themeColor="background1" w:themeShade="80"/>
          <w:sz w:val="22"/>
          <w:szCs w:val="22"/>
          <w:lang w:val="en-GB"/>
        </w:rPr>
        <w:t>Article 18 imposes an ongoing disclosure obligation on the foreign representative to facilitate this, and generally keep the court up to date on developments.</w:t>
      </w:r>
      <w:r w:rsidR="00A36C31">
        <w:rPr>
          <w:rFonts w:ascii="Avenir Next" w:hAnsi="Avenir Next" w:cs="Arial"/>
          <w:color w:val="808080" w:themeColor="background1" w:themeShade="80"/>
          <w:sz w:val="22"/>
          <w:szCs w:val="22"/>
          <w:lang w:val="en-GB"/>
        </w:rPr>
        <w:t xml:space="preserve"> A similar obligation of full and frank disclosure is directed at avoiding abuses of process (see </w:t>
      </w:r>
      <w:r w:rsidR="00A36C31" w:rsidRPr="00A36C31">
        <w:rPr>
          <w:rFonts w:ascii="Avenir Next" w:hAnsi="Avenir Next" w:cs="Arial"/>
          <w:i/>
          <w:iCs/>
          <w:color w:val="808080" w:themeColor="background1" w:themeShade="80"/>
          <w:sz w:val="22"/>
          <w:szCs w:val="22"/>
          <w:lang w:val="en-GB"/>
        </w:rPr>
        <w:t>Nordic Trustee</w:t>
      </w:r>
      <w:r w:rsidR="00A36C31">
        <w:rPr>
          <w:rFonts w:ascii="Avenir Next" w:hAnsi="Avenir Next" w:cs="Arial"/>
          <w:color w:val="808080" w:themeColor="background1" w:themeShade="80"/>
          <w:sz w:val="22"/>
          <w:szCs w:val="22"/>
          <w:lang w:val="en-GB"/>
        </w:rPr>
        <w:t xml:space="preserve"> [2016] EWHC 25 (Ch), for example).</w:t>
      </w:r>
    </w:p>
    <w:p w14:paraId="0193C347" w14:textId="77777777" w:rsidR="00A43533" w:rsidRDefault="00A43533" w:rsidP="00707FC8">
      <w:pPr>
        <w:jc w:val="both"/>
        <w:rPr>
          <w:rFonts w:ascii="Avenir Next" w:hAnsi="Avenir Next" w:cs="Arial"/>
          <w:color w:val="808080" w:themeColor="background1" w:themeShade="80"/>
          <w:sz w:val="22"/>
          <w:szCs w:val="22"/>
          <w:lang w:val="en-GB"/>
        </w:rPr>
      </w:pPr>
    </w:p>
    <w:p w14:paraId="06D77BD0" w14:textId="159BFB24" w:rsidR="009F4012" w:rsidRPr="006C7525" w:rsidRDefault="00A4353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17 is mandatory in the sense that if the recognition criteria listed in Article 17(1) are fulfilled, the court is bound (subject to the public policy exception set out in Article 6) to recognise the foreign proceeding.  Thereafter, Article 17(2) sets out the different classifications of proceeding (foreign main / foreign non-main) that the court may determine and the basis for so deciding, i.e. the presence respectively of the debtor's COMI, or an establishment, in the foreign state.</w:t>
      </w:r>
    </w:p>
    <w:p w14:paraId="3AEA95E3" w14:textId="5484E959" w:rsidR="00FF23A0" w:rsidRPr="006C7525" w:rsidRDefault="00FF23A0" w:rsidP="00707FC8">
      <w:pPr>
        <w:jc w:val="both"/>
        <w:rPr>
          <w:rFonts w:ascii="Avenir Next" w:hAnsi="Avenir Next" w:cs="Arial"/>
          <w:color w:val="808080" w:themeColor="background1" w:themeShade="80"/>
          <w:sz w:val="22"/>
          <w:szCs w:val="22"/>
          <w:lang w:val="en-GB"/>
        </w:rPr>
      </w:pPr>
    </w:p>
    <w:p w14:paraId="09F8EAE7" w14:textId="1B6F2580" w:rsidR="00FF23A0" w:rsidRPr="006C7525" w:rsidRDefault="00F77E6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also be noted that a</w:t>
      </w:r>
      <w:r w:rsidR="00FF23A0" w:rsidRPr="006C7525">
        <w:rPr>
          <w:rFonts w:ascii="Avenir Next" w:hAnsi="Avenir Next" w:cs="Arial"/>
          <w:color w:val="808080" w:themeColor="background1" w:themeShade="80"/>
          <w:sz w:val="22"/>
          <w:szCs w:val="22"/>
          <w:lang w:val="en-GB"/>
        </w:rPr>
        <w:t xml:space="preserve"> key feature of the Model Law regime </w:t>
      </w:r>
      <w:r>
        <w:rPr>
          <w:rFonts w:ascii="Avenir Next" w:hAnsi="Avenir Next" w:cs="Arial"/>
          <w:color w:val="808080" w:themeColor="background1" w:themeShade="80"/>
          <w:sz w:val="22"/>
          <w:szCs w:val="22"/>
          <w:lang w:val="en-GB"/>
        </w:rPr>
        <w:t xml:space="preserve">are </w:t>
      </w:r>
      <w:r w:rsidR="00FF23A0" w:rsidRPr="006C7525">
        <w:rPr>
          <w:rFonts w:ascii="Avenir Next" w:hAnsi="Avenir Next" w:cs="Arial"/>
          <w:color w:val="808080" w:themeColor="background1" w:themeShade="80"/>
          <w:sz w:val="22"/>
          <w:szCs w:val="22"/>
          <w:lang w:val="en-GB"/>
        </w:rPr>
        <w:t xml:space="preserve">the restrictions imposed on the court of the enacting state.  Put simply, the court is not to </w:t>
      </w:r>
      <w:r>
        <w:rPr>
          <w:rFonts w:ascii="Avenir Next" w:hAnsi="Avenir Next" w:cs="Arial"/>
          <w:color w:val="808080" w:themeColor="background1" w:themeShade="80"/>
          <w:sz w:val="22"/>
          <w:szCs w:val="22"/>
          <w:lang w:val="en-GB"/>
        </w:rPr>
        <w:t>"reopen" the validity of the commencement of the foreign proceeding under the applicable law in the foreign state.  This helps limit to court to the application before it, and avoids the court being obliged to make determinations as to the application of foreign law.</w:t>
      </w:r>
      <w:r w:rsidR="001864BF">
        <w:rPr>
          <w:rFonts w:ascii="Avenir Next" w:hAnsi="Avenir Next" w:cs="Arial"/>
          <w:color w:val="808080" w:themeColor="background1" w:themeShade="80"/>
          <w:sz w:val="22"/>
          <w:szCs w:val="22"/>
          <w:lang w:val="en-GB"/>
        </w:rPr>
        <w:t xml:space="preserve">  </w:t>
      </w:r>
      <w:r w:rsidR="000F25FB">
        <w:rPr>
          <w:rFonts w:ascii="Avenir Next" w:hAnsi="Avenir Next" w:cs="Arial"/>
          <w:color w:val="808080" w:themeColor="background1" w:themeShade="80"/>
          <w:sz w:val="22"/>
          <w:szCs w:val="22"/>
          <w:lang w:val="en-GB"/>
        </w:rPr>
        <w:t>In principle, t</w:t>
      </w:r>
      <w:r w:rsidR="001864BF">
        <w:rPr>
          <w:rFonts w:ascii="Avenir Next" w:hAnsi="Avenir Next" w:cs="Arial"/>
          <w:color w:val="808080" w:themeColor="background1" w:themeShade="80"/>
          <w:sz w:val="22"/>
          <w:szCs w:val="22"/>
          <w:lang w:val="en-GB"/>
        </w:rPr>
        <w:t>he Model Law also imposes no reciprocity requirement</w:t>
      </w:r>
      <w:r w:rsidR="000F25FB">
        <w:rPr>
          <w:rFonts w:ascii="Avenir Next" w:hAnsi="Avenir Next" w:cs="Arial"/>
          <w:color w:val="808080" w:themeColor="background1" w:themeShade="80"/>
          <w:sz w:val="22"/>
          <w:szCs w:val="22"/>
          <w:lang w:val="en-GB"/>
        </w:rPr>
        <w:t>, i.e. recognition is not to be refused purely because a court in the foreign state would decline to provide equivalent relief to an insolvency representative from the enacting state – and states that have sought to include such a requirement in their local implementations of the Model Law (notably, South Africa) have generally seriously impaired the usefulness of the Model Law as a result.</w:t>
      </w:r>
    </w:p>
    <w:p w14:paraId="1C883398" w14:textId="77777777" w:rsidR="00FF23A0" w:rsidRDefault="00FF23A0"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799AB536" w14:textId="3F26DD2A" w:rsidR="00761A83" w:rsidRDefault="00761A83" w:rsidP="00D0333E">
      <w:pPr>
        <w:jc w:val="both"/>
        <w:rPr>
          <w:rFonts w:ascii="Avenir Next" w:hAnsi="Avenir Next" w:cs="Arial"/>
          <w:color w:val="808080" w:themeColor="background1" w:themeShade="80"/>
          <w:sz w:val="22"/>
          <w:szCs w:val="22"/>
          <w:lang w:val="en-GB"/>
        </w:rPr>
      </w:pPr>
    </w:p>
    <w:p w14:paraId="655CD70B" w14:textId="0584EA06" w:rsidR="00D5244F" w:rsidRDefault="004C0994" w:rsidP="004C0994">
      <w:pPr>
        <w:jc w:val="both"/>
        <w:rPr>
          <w:rFonts w:ascii="Avenir Next" w:hAnsi="Avenir Next" w:cs="Arial"/>
          <w:color w:val="808080" w:themeColor="background1" w:themeShade="80"/>
          <w:sz w:val="22"/>
          <w:szCs w:val="22"/>
          <w:lang w:val="en-GB"/>
        </w:rPr>
      </w:pPr>
      <w:r w:rsidRPr="004C0994">
        <w:rPr>
          <w:rFonts w:ascii="Avenir Next" w:hAnsi="Avenir Next" w:cs="Arial"/>
          <w:color w:val="808080" w:themeColor="background1" w:themeShade="80"/>
          <w:sz w:val="22"/>
          <w:szCs w:val="22"/>
          <w:lang w:val="en-GB"/>
        </w:rPr>
        <w:t xml:space="preserve">The Model Law sets out a regime for relief in relation to foreign proceedings involving </w:t>
      </w:r>
      <w:r w:rsidR="00B139DC" w:rsidRPr="004C0994">
        <w:rPr>
          <w:rFonts w:ascii="Avenir Next" w:hAnsi="Avenir Next" w:cs="Arial"/>
          <w:color w:val="808080" w:themeColor="background1" w:themeShade="80"/>
          <w:sz w:val="22"/>
          <w:szCs w:val="22"/>
          <w:lang w:val="en-GB"/>
        </w:rPr>
        <w:t>interim collective pre-recognition relief (Article 19)</w:t>
      </w:r>
      <w:r w:rsidR="00B139DC">
        <w:rPr>
          <w:rFonts w:ascii="Avenir Next" w:hAnsi="Avenir Next" w:cs="Arial"/>
          <w:color w:val="808080" w:themeColor="background1" w:themeShade="80"/>
          <w:sz w:val="22"/>
          <w:szCs w:val="22"/>
          <w:lang w:val="en-GB"/>
        </w:rPr>
        <w:t xml:space="preserve">; </w:t>
      </w:r>
      <w:r w:rsidR="00B139DC" w:rsidRPr="004C0994">
        <w:rPr>
          <w:rFonts w:ascii="Avenir Next" w:hAnsi="Avenir Next" w:cs="Arial"/>
          <w:color w:val="808080" w:themeColor="background1" w:themeShade="80"/>
          <w:sz w:val="22"/>
          <w:szCs w:val="22"/>
          <w:lang w:val="en-GB"/>
        </w:rPr>
        <w:t xml:space="preserve">automatic relief upon recognition of a foreign main proceeding (Article 20)(1)); and </w:t>
      </w:r>
      <w:r w:rsidRPr="004C0994">
        <w:rPr>
          <w:rFonts w:ascii="Avenir Next" w:hAnsi="Avenir Next" w:cs="Arial"/>
          <w:color w:val="808080" w:themeColor="background1" w:themeShade="80"/>
          <w:sz w:val="22"/>
          <w:szCs w:val="22"/>
          <w:lang w:val="en-GB"/>
        </w:rPr>
        <w:t>post-recognition discretionary relief (Article 21(1))</w:t>
      </w:r>
      <w:r w:rsidR="00B139DC">
        <w:rPr>
          <w:rFonts w:ascii="Avenir Next" w:hAnsi="Avenir Next" w:cs="Arial"/>
          <w:color w:val="808080" w:themeColor="background1" w:themeShade="80"/>
          <w:sz w:val="22"/>
          <w:szCs w:val="22"/>
          <w:lang w:val="en-GB"/>
        </w:rPr>
        <w:t>.</w:t>
      </w:r>
    </w:p>
    <w:p w14:paraId="593A8D12" w14:textId="3642D6B0" w:rsidR="00B328BD" w:rsidRDefault="00B328BD" w:rsidP="004C0994">
      <w:pPr>
        <w:jc w:val="both"/>
        <w:rPr>
          <w:rFonts w:ascii="Avenir Next" w:hAnsi="Avenir Next" w:cs="Arial"/>
          <w:color w:val="808080" w:themeColor="background1" w:themeShade="80"/>
          <w:sz w:val="22"/>
          <w:szCs w:val="22"/>
          <w:lang w:val="en-GB"/>
        </w:rPr>
      </w:pPr>
    </w:p>
    <w:p w14:paraId="3D32EE09" w14:textId="13112199" w:rsidR="00B328BD" w:rsidRDefault="00B328BD" w:rsidP="004C09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Pre-recognition relief under Article 19 can include the </w:t>
      </w:r>
      <w:r w:rsidR="00626E85">
        <w:rPr>
          <w:rFonts w:ascii="Avenir Next" w:hAnsi="Avenir Next" w:cs="Arial"/>
          <w:color w:val="808080" w:themeColor="background1" w:themeShade="80"/>
          <w:sz w:val="22"/>
          <w:szCs w:val="22"/>
          <w:lang w:val="en-GB"/>
        </w:rPr>
        <w:t xml:space="preserve">various powers listed at Article 19(1)(a) to (c), applies to both foreign main and non-main proceedings, and is generally directed at maintaining the </w:t>
      </w:r>
      <w:r w:rsidR="00626E85" w:rsidRPr="00B139DC">
        <w:rPr>
          <w:rFonts w:ascii="Avenir Next" w:hAnsi="Avenir Next" w:cs="Arial"/>
          <w:i/>
          <w:iCs/>
          <w:color w:val="808080" w:themeColor="background1" w:themeShade="80"/>
          <w:sz w:val="22"/>
          <w:szCs w:val="22"/>
          <w:lang w:val="en-GB"/>
        </w:rPr>
        <w:t>status quo</w:t>
      </w:r>
      <w:r w:rsidR="00626E85">
        <w:rPr>
          <w:rFonts w:ascii="Avenir Next" w:hAnsi="Avenir Next" w:cs="Arial"/>
          <w:color w:val="808080" w:themeColor="background1" w:themeShade="80"/>
          <w:sz w:val="22"/>
          <w:szCs w:val="22"/>
          <w:lang w:val="en-GB"/>
        </w:rPr>
        <w:t xml:space="preserve"> of the debtor's affairs in the enacting state pending the determination (as soon as possible, under Article 17(3)) of the recognition application.</w:t>
      </w:r>
      <w:r w:rsidR="00B139DC">
        <w:rPr>
          <w:rFonts w:ascii="Avenir Next" w:hAnsi="Avenir Next" w:cs="Arial"/>
          <w:color w:val="808080" w:themeColor="background1" w:themeShade="80"/>
          <w:sz w:val="22"/>
          <w:szCs w:val="22"/>
          <w:lang w:val="en-GB"/>
        </w:rPr>
        <w:t xml:space="preserve">  These reliefs can include a stay of execution against the debtor's assets, various routes to protecting vulnerable assets, and a limited selection of the post-recognition discretionary reliefs available under Article 21 (in particular, suspending rights in relation to the debtor's assets, promoting investigation of the debtor's affairs, and granting similar reliefs to those available to local insolvency office-holders).</w:t>
      </w:r>
    </w:p>
    <w:p w14:paraId="1342B19E" w14:textId="00A4B55F" w:rsidR="00310449" w:rsidRDefault="00310449" w:rsidP="004C0994">
      <w:pPr>
        <w:jc w:val="both"/>
        <w:rPr>
          <w:rFonts w:ascii="Avenir Next" w:hAnsi="Avenir Next" w:cs="Arial"/>
          <w:color w:val="808080" w:themeColor="background1" w:themeShade="80"/>
          <w:sz w:val="22"/>
          <w:szCs w:val="22"/>
          <w:lang w:val="en-GB"/>
        </w:rPr>
      </w:pPr>
    </w:p>
    <w:p w14:paraId="49CEAF1D" w14:textId="58E4328A" w:rsidR="00310449" w:rsidRDefault="00310449" w:rsidP="004C09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Automatic relief under Article 20(1) where the foreign proceedings are opened in the debtor's COMI (and are therefore foreign main proceedings under Article 2(b)) includes a moratorium on commencement or continuation of claims against the debtor and its assets, a stay of execution against the debtor's assets, and a freeze on dealings with the debtor's assets.</w:t>
      </w:r>
      <w:r w:rsidR="00B16C35">
        <w:rPr>
          <w:rFonts w:ascii="Avenir Next" w:hAnsi="Avenir Next" w:cs="Arial"/>
          <w:color w:val="808080" w:themeColor="background1" w:themeShade="80"/>
          <w:sz w:val="22"/>
          <w:szCs w:val="22"/>
          <w:lang w:val="en-GB"/>
        </w:rPr>
        <w:t xml:space="preserve">  The focus here, rather than on preservation </w:t>
      </w:r>
      <w:r w:rsidR="00B16C35" w:rsidRPr="00B16C35">
        <w:rPr>
          <w:rFonts w:ascii="Avenir Next" w:hAnsi="Avenir Next" w:cs="Arial"/>
          <w:i/>
          <w:iCs/>
          <w:color w:val="808080" w:themeColor="background1" w:themeShade="80"/>
          <w:sz w:val="22"/>
          <w:szCs w:val="22"/>
          <w:lang w:val="en-GB"/>
        </w:rPr>
        <w:t>per se</w:t>
      </w:r>
      <w:r w:rsidR="00B16C35">
        <w:rPr>
          <w:rFonts w:ascii="Avenir Next" w:hAnsi="Avenir Next" w:cs="Arial"/>
          <w:color w:val="808080" w:themeColor="background1" w:themeShade="80"/>
          <w:sz w:val="22"/>
          <w:szCs w:val="22"/>
          <w:lang w:val="en-GB"/>
        </w:rPr>
        <w:t>, is on allowing time for an orderly cross-border insolvency proceeding to be organised</w:t>
      </w:r>
      <w:r w:rsidR="003240AF">
        <w:rPr>
          <w:rFonts w:ascii="Avenir Next" w:hAnsi="Avenir Next" w:cs="Arial"/>
          <w:color w:val="808080" w:themeColor="background1" w:themeShade="80"/>
          <w:sz w:val="22"/>
          <w:szCs w:val="22"/>
          <w:lang w:val="en-GB"/>
        </w:rPr>
        <w:t xml:space="preserve">, </w:t>
      </w:r>
      <w:r w:rsidR="00B16C35">
        <w:rPr>
          <w:rFonts w:ascii="Avenir Next" w:hAnsi="Avenir Next" w:cs="Arial"/>
          <w:color w:val="808080" w:themeColor="background1" w:themeShade="80"/>
          <w:sz w:val="22"/>
          <w:szCs w:val="22"/>
          <w:lang w:val="en-GB"/>
        </w:rPr>
        <w:t>albeit there are practical and potentially local statutory limits on the extent to which arbitral proceedings might be restrained</w:t>
      </w:r>
      <w:r w:rsidR="00E645B3">
        <w:rPr>
          <w:rFonts w:ascii="Avenir Next" w:hAnsi="Avenir Next" w:cs="Arial"/>
          <w:color w:val="808080" w:themeColor="background1" w:themeShade="80"/>
          <w:sz w:val="22"/>
          <w:szCs w:val="22"/>
          <w:lang w:val="en-GB"/>
        </w:rPr>
        <w:t xml:space="preserve"> – see Article 20(6) of the UK's Cross-Border Insolvency Regulations</w:t>
      </w:r>
      <w:r w:rsidR="003240AF">
        <w:rPr>
          <w:rFonts w:ascii="Avenir Next" w:hAnsi="Avenir Next" w:cs="Arial"/>
          <w:color w:val="808080" w:themeColor="background1" w:themeShade="80"/>
          <w:sz w:val="22"/>
          <w:szCs w:val="22"/>
          <w:lang w:val="en-GB"/>
        </w:rPr>
        <w:t>.  Similarly, Articles 20(3) and (4) contain provisions permitting commencement of actions to the extent necessary to protect assets, and preserving the right to commence (and file claims in) domestic proceedings.</w:t>
      </w:r>
    </w:p>
    <w:p w14:paraId="4573AEFA" w14:textId="020C744E" w:rsidR="00626C20" w:rsidRDefault="00626C20" w:rsidP="004C0994">
      <w:pPr>
        <w:jc w:val="both"/>
        <w:rPr>
          <w:rFonts w:ascii="Avenir Next" w:hAnsi="Avenir Next" w:cs="Arial"/>
          <w:color w:val="808080" w:themeColor="background1" w:themeShade="80"/>
          <w:sz w:val="22"/>
          <w:szCs w:val="22"/>
          <w:lang w:val="en-GB"/>
        </w:rPr>
      </w:pPr>
    </w:p>
    <w:p w14:paraId="447E3D55" w14:textId="4444AAB4" w:rsidR="00B328BD" w:rsidRDefault="00626C20" w:rsidP="00626C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w:t>
      </w:r>
      <w:r w:rsidRPr="004C0994">
        <w:rPr>
          <w:rFonts w:ascii="Avenir Next" w:hAnsi="Avenir Next" w:cs="Arial"/>
          <w:color w:val="808080" w:themeColor="background1" w:themeShade="80"/>
          <w:sz w:val="22"/>
          <w:szCs w:val="22"/>
          <w:lang w:val="en-GB"/>
        </w:rPr>
        <w:t xml:space="preserve">ost-recognition discretionary relief </w:t>
      </w:r>
      <w:r>
        <w:rPr>
          <w:rFonts w:ascii="Avenir Next" w:hAnsi="Avenir Next" w:cs="Arial"/>
          <w:color w:val="808080" w:themeColor="background1" w:themeShade="80"/>
          <w:sz w:val="22"/>
          <w:szCs w:val="22"/>
          <w:lang w:val="en-GB"/>
        </w:rPr>
        <w:t xml:space="preserve">set out in </w:t>
      </w:r>
      <w:r w:rsidRPr="004C0994">
        <w:rPr>
          <w:rFonts w:ascii="Avenir Next" w:hAnsi="Avenir Next" w:cs="Arial"/>
          <w:color w:val="808080" w:themeColor="background1" w:themeShade="80"/>
          <w:sz w:val="22"/>
          <w:szCs w:val="22"/>
          <w:lang w:val="en-GB"/>
        </w:rPr>
        <w:t>Article 21(1)</w:t>
      </w:r>
      <w:r>
        <w:rPr>
          <w:rFonts w:ascii="Avenir Next" w:hAnsi="Avenir Next" w:cs="Arial"/>
          <w:color w:val="808080" w:themeColor="background1" w:themeShade="80"/>
          <w:sz w:val="22"/>
          <w:szCs w:val="22"/>
          <w:lang w:val="en-GB"/>
        </w:rPr>
        <w:t xml:space="preserve"> may be invoked in both main and non-main foreign proceedings where such relief is </w:t>
      </w:r>
      <w:r w:rsidRPr="00626C20">
        <w:rPr>
          <w:rFonts w:ascii="Avenir Next" w:hAnsi="Avenir Next" w:cs="Arial"/>
          <w:color w:val="808080" w:themeColor="background1" w:themeShade="80"/>
          <w:sz w:val="22"/>
          <w:szCs w:val="22"/>
          <w:lang w:val="en-GB"/>
        </w:rPr>
        <w:t>necessary to protect the assets of the debtor or the interests of</w:t>
      </w:r>
      <w:r>
        <w:rPr>
          <w:rFonts w:ascii="Avenir Next" w:hAnsi="Avenir Next" w:cs="Arial"/>
          <w:color w:val="808080" w:themeColor="background1" w:themeShade="80"/>
          <w:sz w:val="22"/>
          <w:szCs w:val="22"/>
          <w:lang w:val="en-GB"/>
        </w:rPr>
        <w:t xml:space="preserve"> </w:t>
      </w:r>
      <w:r w:rsidRPr="00626C20">
        <w:rPr>
          <w:rFonts w:ascii="Avenir Next" w:hAnsi="Avenir Next" w:cs="Arial"/>
          <w:color w:val="808080" w:themeColor="background1" w:themeShade="80"/>
          <w:sz w:val="22"/>
          <w:szCs w:val="22"/>
          <w:lang w:val="en-GB"/>
        </w:rPr>
        <w:t>the creditors</w:t>
      </w:r>
      <w:r w:rsidR="007A53D3">
        <w:rPr>
          <w:rFonts w:ascii="Avenir Next" w:hAnsi="Avenir Next" w:cs="Arial"/>
          <w:color w:val="808080" w:themeColor="background1" w:themeShade="80"/>
          <w:sz w:val="22"/>
          <w:szCs w:val="22"/>
          <w:lang w:val="en-GB"/>
        </w:rPr>
        <w:t xml:space="preserve">.  The relief can be "any appropriate relief" </w:t>
      </w:r>
      <w:r>
        <w:rPr>
          <w:rFonts w:ascii="Avenir Next" w:hAnsi="Avenir Next" w:cs="Arial"/>
          <w:color w:val="808080" w:themeColor="background1" w:themeShade="80"/>
          <w:sz w:val="22"/>
          <w:szCs w:val="22"/>
          <w:lang w:val="en-GB"/>
        </w:rPr>
        <w:t xml:space="preserve">(and see the English Court of Appeal's decision in the </w:t>
      </w:r>
      <w:r w:rsidRPr="00626C20">
        <w:rPr>
          <w:rFonts w:ascii="Avenir Next" w:hAnsi="Avenir Next" w:cs="Arial"/>
          <w:i/>
          <w:iCs/>
          <w:color w:val="808080" w:themeColor="background1" w:themeShade="80"/>
          <w:sz w:val="22"/>
          <w:szCs w:val="22"/>
          <w:lang w:val="en-GB"/>
        </w:rPr>
        <w:t>IBA Case</w:t>
      </w:r>
      <w:r>
        <w:rPr>
          <w:rFonts w:ascii="Avenir Next" w:hAnsi="Avenir Next" w:cs="Arial"/>
          <w:color w:val="808080" w:themeColor="background1" w:themeShade="80"/>
          <w:sz w:val="22"/>
          <w:szCs w:val="22"/>
          <w:lang w:val="en-GB"/>
        </w:rPr>
        <w:t xml:space="preserve"> [2018] EWCA Civ 2802 on th</w:t>
      </w:r>
      <w:r w:rsidR="007A53D3">
        <w:rPr>
          <w:rFonts w:ascii="Avenir Next" w:hAnsi="Avenir Next" w:cs="Arial"/>
          <w:color w:val="808080" w:themeColor="background1" w:themeShade="80"/>
          <w:sz w:val="22"/>
          <w:szCs w:val="22"/>
          <w:lang w:val="en-GB"/>
        </w:rPr>
        <w:t>e scope of this consideration)</w:t>
      </w:r>
      <w:r w:rsidR="00CF3229">
        <w:rPr>
          <w:rFonts w:ascii="Avenir Next" w:hAnsi="Avenir Next" w:cs="Arial"/>
          <w:color w:val="808080" w:themeColor="background1" w:themeShade="80"/>
          <w:sz w:val="22"/>
          <w:szCs w:val="22"/>
          <w:lang w:val="en-GB"/>
        </w:rPr>
        <w:t>, including those powers listed in Article 21(a) to (g), which range from suspending execution to granting reliefs similar to those available in domestic proceedings.</w:t>
      </w:r>
      <w:r w:rsidR="001039D0">
        <w:rPr>
          <w:rFonts w:ascii="Avenir Next" w:hAnsi="Avenir Next" w:cs="Arial"/>
          <w:color w:val="808080" w:themeColor="background1" w:themeShade="80"/>
          <w:sz w:val="22"/>
          <w:szCs w:val="22"/>
          <w:lang w:val="en-GB"/>
        </w:rPr>
        <w:t xml:space="preserve">  The foreign representative or a person nominated by the court may also be entrusted with distribution of the debtor's assets within the enacting state, provided that local creditors' rights are adequately protected.</w:t>
      </w:r>
      <w:r w:rsidR="00D8324D">
        <w:rPr>
          <w:rFonts w:ascii="Avenir Next" w:hAnsi="Avenir Next" w:cs="Arial"/>
          <w:color w:val="808080" w:themeColor="background1" w:themeShade="80"/>
          <w:sz w:val="22"/>
          <w:szCs w:val="22"/>
          <w:lang w:val="en-GB"/>
        </w:rPr>
        <w:t xml:space="preserve">  But in the case of a foreign non-main proceeding, regardless of the relief granted the court must be content that under the law of the enacting state the assets in question, or information required, properly fall within that proceeding (Article 21(3))</w:t>
      </w:r>
      <w:r w:rsidR="00020D39">
        <w:rPr>
          <w:rFonts w:ascii="Avenir Next" w:hAnsi="Avenir Next" w:cs="Arial"/>
          <w:color w:val="808080" w:themeColor="background1" w:themeShade="80"/>
          <w:sz w:val="22"/>
          <w:szCs w:val="22"/>
          <w:lang w:val="en-GB"/>
        </w:rPr>
        <w:t xml:space="preserve">  The court is also likely to </w:t>
      </w:r>
      <w:r w:rsidR="00F60BCD">
        <w:rPr>
          <w:rFonts w:ascii="Avenir Next" w:hAnsi="Avenir Next" w:cs="Arial"/>
          <w:color w:val="808080" w:themeColor="background1" w:themeShade="80"/>
          <w:sz w:val="22"/>
          <w:szCs w:val="22"/>
          <w:lang w:val="en-GB"/>
        </w:rPr>
        <w:t xml:space="preserve">take a cautious </w:t>
      </w:r>
      <w:r w:rsidR="00020D39">
        <w:rPr>
          <w:rFonts w:ascii="Avenir Next" w:hAnsi="Avenir Next" w:cs="Arial"/>
          <w:color w:val="808080" w:themeColor="background1" w:themeShade="80"/>
          <w:sz w:val="22"/>
          <w:szCs w:val="22"/>
          <w:lang w:val="en-GB"/>
        </w:rPr>
        <w:t xml:space="preserve">approach </w:t>
      </w:r>
      <w:r w:rsidR="00F60BCD">
        <w:rPr>
          <w:rFonts w:ascii="Avenir Next" w:hAnsi="Avenir Next" w:cs="Arial"/>
          <w:color w:val="808080" w:themeColor="background1" w:themeShade="80"/>
          <w:sz w:val="22"/>
          <w:szCs w:val="22"/>
          <w:lang w:val="en-GB"/>
        </w:rPr>
        <w:t>where relief sought engages potentially sensitive issues of international law, including enforcement of foreign insolvency-related judgments (</w:t>
      </w:r>
      <w:r w:rsidR="00F60BCD" w:rsidRPr="00F60BCD">
        <w:rPr>
          <w:rFonts w:ascii="Avenir Next" w:hAnsi="Avenir Next" w:cs="Arial"/>
          <w:i/>
          <w:iCs/>
          <w:color w:val="808080" w:themeColor="background1" w:themeShade="80"/>
          <w:sz w:val="22"/>
          <w:szCs w:val="22"/>
          <w:lang w:val="en-GB"/>
        </w:rPr>
        <w:t>Rubin v Eurofinance</w:t>
      </w:r>
      <w:r w:rsidR="00F60BCD">
        <w:rPr>
          <w:rFonts w:ascii="Avenir Next" w:hAnsi="Avenir Next" w:cs="Arial"/>
          <w:color w:val="808080" w:themeColor="background1" w:themeShade="80"/>
          <w:sz w:val="22"/>
          <w:szCs w:val="22"/>
          <w:lang w:val="en-GB"/>
        </w:rPr>
        <w:t xml:space="preserve"> [2010] UKSC 46), application of foreign law principles to local-law contracts (</w:t>
      </w:r>
      <w:r w:rsidR="00F60BCD" w:rsidRPr="00F60BCD">
        <w:rPr>
          <w:rFonts w:ascii="Avenir Next" w:hAnsi="Avenir Next" w:cs="Arial"/>
          <w:i/>
          <w:iCs/>
          <w:color w:val="808080" w:themeColor="background1" w:themeShade="80"/>
          <w:sz w:val="22"/>
          <w:szCs w:val="22"/>
          <w:lang w:val="en-GB"/>
        </w:rPr>
        <w:t>Pan Ocean</w:t>
      </w:r>
      <w:r w:rsidR="00F60BCD">
        <w:rPr>
          <w:rFonts w:ascii="Avenir Next" w:hAnsi="Avenir Next" w:cs="Arial"/>
          <w:color w:val="808080" w:themeColor="background1" w:themeShade="80"/>
          <w:sz w:val="22"/>
          <w:szCs w:val="22"/>
          <w:lang w:val="en-GB"/>
        </w:rPr>
        <w:t xml:space="preserve"> [2014] EWHC 2124 (Ch)) and continuation of pre-recognition relief (</w:t>
      </w:r>
      <w:r w:rsidR="00F60BCD" w:rsidRPr="001D17E2">
        <w:rPr>
          <w:rFonts w:ascii="Avenir Next" w:hAnsi="Avenir Next" w:cs="Arial"/>
          <w:i/>
          <w:iCs/>
          <w:color w:val="808080" w:themeColor="background1" w:themeShade="80"/>
          <w:sz w:val="22"/>
          <w:szCs w:val="22"/>
          <w:lang w:val="en-GB"/>
        </w:rPr>
        <w:t>Igor Vitalievich Protasov and Khadzhi-Murat Derev</w:t>
      </w:r>
      <w:r w:rsidR="00F60BCD">
        <w:rPr>
          <w:rFonts w:ascii="Avenir Next" w:hAnsi="Avenir Next" w:cs="Arial"/>
          <w:color w:val="808080" w:themeColor="background1" w:themeShade="80"/>
          <w:sz w:val="22"/>
          <w:szCs w:val="22"/>
          <w:lang w:val="en-GB"/>
        </w:rPr>
        <w:t xml:space="preserve"> [2021] EWHC 392 (Ch)).</w:t>
      </w:r>
    </w:p>
    <w:p w14:paraId="3F544B32" w14:textId="77777777" w:rsidR="00B328BD" w:rsidRPr="004C0994" w:rsidRDefault="00B328BD" w:rsidP="004C0994">
      <w:pPr>
        <w:jc w:val="both"/>
        <w:rPr>
          <w:rFonts w:ascii="Avenir Next" w:hAnsi="Avenir Next" w:cs="Arial"/>
          <w:color w:val="808080" w:themeColor="background1" w:themeShade="80"/>
          <w:sz w:val="22"/>
          <w:szCs w:val="22"/>
          <w:lang w:val="en-GB"/>
        </w:rPr>
      </w:pPr>
    </w:p>
    <w:p w14:paraId="5C42931B" w14:textId="372D4116" w:rsidR="004C0994" w:rsidRDefault="00F60BCD" w:rsidP="004C09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w:t>
      </w:r>
      <w:r w:rsidR="004C0994" w:rsidRPr="004C0994">
        <w:rPr>
          <w:rFonts w:ascii="Avenir Next" w:hAnsi="Avenir Next" w:cs="Arial"/>
          <w:color w:val="808080" w:themeColor="background1" w:themeShade="80"/>
          <w:sz w:val="22"/>
          <w:szCs w:val="22"/>
          <w:lang w:val="en-GB"/>
        </w:rPr>
        <w:t>s an aside, we are told there is no concurrence and can therefore ignore the restrictions on these three species of relief set out in Articles 29(a) and (b) and 30(a) and (b).</w:t>
      </w:r>
    </w:p>
    <w:p w14:paraId="367FB4A9" w14:textId="1ADCD7E4" w:rsidR="004C0994" w:rsidRDefault="004C0994"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8C187DA" w14:textId="77777777" w:rsidR="00435998" w:rsidRDefault="001D17E2" w:rsidP="001D17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1D17E2">
        <w:rPr>
          <w:rFonts w:ascii="Avenir Next" w:hAnsi="Avenir Next" w:cs="Arial"/>
          <w:i/>
          <w:iCs/>
          <w:color w:val="808080" w:themeColor="background1" w:themeShade="80"/>
          <w:sz w:val="22"/>
          <w:szCs w:val="22"/>
          <w:lang w:val="en-GB"/>
        </w:rPr>
        <w:t>Igor Vitalievich Protasov and Khadzhi-Murat Derev</w:t>
      </w:r>
      <w:r>
        <w:rPr>
          <w:rFonts w:ascii="Avenir Next" w:hAnsi="Avenir Next" w:cs="Arial"/>
          <w:color w:val="808080" w:themeColor="background1" w:themeShade="80"/>
          <w:sz w:val="22"/>
          <w:szCs w:val="22"/>
          <w:lang w:val="en-GB"/>
        </w:rPr>
        <w:t xml:space="preserve"> [2021] EWHC 392 (CH) the English Court declined to exercise its discretionary power under Article 21 to continue a pre-recognition worldwide freezing order granted pursuant to Article 19.  </w:t>
      </w:r>
    </w:p>
    <w:p w14:paraId="75FEFA6C" w14:textId="77777777" w:rsidR="00435998" w:rsidRDefault="00435998" w:rsidP="001D17E2">
      <w:pPr>
        <w:jc w:val="both"/>
        <w:rPr>
          <w:rFonts w:ascii="Avenir Next" w:hAnsi="Avenir Next" w:cs="Arial"/>
          <w:color w:val="808080" w:themeColor="background1" w:themeShade="80"/>
          <w:sz w:val="22"/>
          <w:szCs w:val="22"/>
          <w:lang w:val="en-GB"/>
        </w:rPr>
      </w:pPr>
    </w:p>
    <w:p w14:paraId="43BA3014" w14:textId="77777777" w:rsidR="00435998" w:rsidRDefault="001D17E2" w:rsidP="001D17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reasoned that while its jurisdiction to grant freezing relief was not impaired by recognition</w:t>
      </w:r>
      <w:r w:rsidR="00351511">
        <w:rPr>
          <w:rFonts w:ascii="Avenir Next" w:hAnsi="Avenir Next" w:cs="Arial"/>
          <w:color w:val="808080" w:themeColor="background1" w:themeShade="80"/>
          <w:sz w:val="22"/>
          <w:szCs w:val="22"/>
          <w:lang w:val="en-GB"/>
        </w:rPr>
        <w:t xml:space="preserve">, given that: </w:t>
      </w:r>
    </w:p>
    <w:p w14:paraId="3DC6EF3A" w14:textId="77777777" w:rsidR="00435998" w:rsidRDefault="00435998" w:rsidP="001D17E2">
      <w:pPr>
        <w:jc w:val="both"/>
        <w:rPr>
          <w:rFonts w:ascii="Avenir Next" w:hAnsi="Avenir Next" w:cs="Arial"/>
          <w:color w:val="808080" w:themeColor="background1" w:themeShade="80"/>
          <w:sz w:val="22"/>
          <w:szCs w:val="22"/>
          <w:lang w:val="en-GB"/>
        </w:rPr>
      </w:pPr>
    </w:p>
    <w:p w14:paraId="39CE4354" w14:textId="49705E09" w:rsidR="00435998" w:rsidRDefault="00351511" w:rsidP="0043599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w:t>
      </w:r>
      <w:r w:rsidR="001D17E2">
        <w:rPr>
          <w:rFonts w:ascii="Avenir Next" w:hAnsi="Avenir Next" w:cs="Arial"/>
          <w:color w:val="808080" w:themeColor="background1" w:themeShade="80"/>
          <w:sz w:val="22"/>
          <w:szCs w:val="22"/>
          <w:lang w:val="en-GB"/>
        </w:rPr>
        <w:t xml:space="preserve"> </w:t>
      </w:r>
      <w:r w:rsidR="00435998">
        <w:rPr>
          <w:rFonts w:ascii="Avenir Next" w:hAnsi="Avenir Next" w:cs="Arial"/>
          <w:color w:val="808080" w:themeColor="background1" w:themeShade="80"/>
          <w:sz w:val="22"/>
          <w:szCs w:val="22"/>
          <w:lang w:val="en-GB"/>
        </w:rPr>
        <w:tab/>
      </w:r>
      <w:r w:rsidR="001D17E2" w:rsidRPr="001D17E2">
        <w:rPr>
          <w:rFonts w:ascii="Avenir Next" w:hAnsi="Avenir Next" w:cs="Arial"/>
          <w:color w:val="808080" w:themeColor="background1" w:themeShade="80"/>
          <w:sz w:val="22"/>
          <w:szCs w:val="22"/>
          <w:lang w:val="en-GB"/>
        </w:rPr>
        <w:t>Article 19(</w:t>
      </w:r>
      <w:r w:rsidR="001D17E2">
        <w:rPr>
          <w:rFonts w:ascii="Avenir Next" w:hAnsi="Avenir Next" w:cs="Arial"/>
          <w:color w:val="808080" w:themeColor="background1" w:themeShade="80"/>
          <w:sz w:val="22"/>
          <w:szCs w:val="22"/>
          <w:lang w:val="en-GB"/>
        </w:rPr>
        <w:t>3</w:t>
      </w:r>
      <w:r w:rsidR="001D17E2" w:rsidRPr="001D17E2">
        <w:rPr>
          <w:rFonts w:ascii="Avenir Next" w:hAnsi="Avenir Next" w:cs="Arial"/>
          <w:color w:val="808080" w:themeColor="background1" w:themeShade="80"/>
          <w:sz w:val="22"/>
          <w:szCs w:val="22"/>
          <w:lang w:val="en-GB"/>
        </w:rPr>
        <w:t xml:space="preserve">) </w:t>
      </w:r>
      <w:r w:rsidR="001D17E2">
        <w:rPr>
          <w:rFonts w:ascii="Avenir Next" w:hAnsi="Avenir Next" w:cs="Arial"/>
          <w:color w:val="808080" w:themeColor="background1" w:themeShade="80"/>
          <w:sz w:val="22"/>
          <w:szCs w:val="22"/>
          <w:lang w:val="en-GB"/>
        </w:rPr>
        <w:t xml:space="preserve">provides that </w:t>
      </w:r>
      <w:r w:rsidR="001D17E2" w:rsidRPr="001D17E2">
        <w:rPr>
          <w:rFonts w:ascii="Avenir Next" w:hAnsi="Avenir Next" w:cs="Arial"/>
          <w:color w:val="808080" w:themeColor="background1" w:themeShade="80"/>
          <w:sz w:val="22"/>
          <w:szCs w:val="22"/>
          <w:lang w:val="en-GB"/>
        </w:rPr>
        <w:t xml:space="preserve">any interim relief expires when the application for recognition is decided unless </w:t>
      </w:r>
      <w:r w:rsidR="001D17E2">
        <w:rPr>
          <w:rFonts w:ascii="Avenir Next" w:hAnsi="Avenir Next" w:cs="Arial"/>
          <w:color w:val="808080" w:themeColor="background1" w:themeShade="80"/>
          <w:sz w:val="22"/>
          <w:szCs w:val="22"/>
          <w:lang w:val="en-GB"/>
        </w:rPr>
        <w:t>specifically</w:t>
      </w:r>
      <w:r w:rsidR="001D17E2" w:rsidRPr="001D17E2">
        <w:rPr>
          <w:rFonts w:ascii="Avenir Next" w:hAnsi="Avenir Next" w:cs="Arial"/>
          <w:color w:val="808080" w:themeColor="background1" w:themeShade="80"/>
          <w:sz w:val="22"/>
          <w:szCs w:val="22"/>
          <w:lang w:val="en-GB"/>
        </w:rPr>
        <w:t xml:space="preserve"> extended under Article 21</w:t>
      </w:r>
      <w:r w:rsidR="001D17E2">
        <w:rPr>
          <w:rFonts w:ascii="Avenir Next" w:hAnsi="Avenir Next" w:cs="Arial"/>
          <w:color w:val="808080" w:themeColor="background1" w:themeShade="80"/>
          <w:sz w:val="22"/>
          <w:szCs w:val="22"/>
          <w:lang w:val="en-GB"/>
        </w:rPr>
        <w:t>(1)</w:t>
      </w:r>
      <w:r w:rsidR="001D17E2" w:rsidRPr="001D17E2">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w:t>
      </w:r>
      <w:r w:rsidR="001D17E2">
        <w:rPr>
          <w:rFonts w:ascii="Avenir Next" w:hAnsi="Avenir Next" w:cs="Arial"/>
          <w:color w:val="808080" w:themeColor="background1" w:themeShade="80"/>
          <w:sz w:val="22"/>
          <w:szCs w:val="22"/>
          <w:lang w:val="en-GB"/>
        </w:rPr>
        <w:t xml:space="preserve"> </w:t>
      </w:r>
    </w:p>
    <w:p w14:paraId="564B97FF" w14:textId="77777777" w:rsidR="00435998" w:rsidRDefault="00435998" w:rsidP="001D17E2">
      <w:pPr>
        <w:jc w:val="both"/>
        <w:rPr>
          <w:rFonts w:ascii="Avenir Next" w:hAnsi="Avenir Next" w:cs="Arial"/>
          <w:color w:val="808080" w:themeColor="background1" w:themeShade="80"/>
          <w:sz w:val="22"/>
          <w:szCs w:val="22"/>
          <w:lang w:val="en-GB"/>
        </w:rPr>
      </w:pPr>
    </w:p>
    <w:p w14:paraId="62F42D9F" w14:textId="31868147" w:rsidR="00435998" w:rsidRDefault="00351511" w:rsidP="0043599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w:t>
      </w:r>
      <w:r w:rsidR="001D17E2">
        <w:rPr>
          <w:rFonts w:ascii="Avenir Next" w:hAnsi="Avenir Next" w:cs="Arial"/>
          <w:color w:val="808080" w:themeColor="background1" w:themeShade="80"/>
          <w:sz w:val="22"/>
          <w:szCs w:val="22"/>
          <w:lang w:val="en-GB"/>
        </w:rPr>
        <w:t xml:space="preserve"> </w:t>
      </w:r>
      <w:r w:rsidR="00435998">
        <w:rPr>
          <w:rFonts w:ascii="Avenir Next" w:hAnsi="Avenir Next" w:cs="Arial"/>
          <w:color w:val="808080" w:themeColor="background1" w:themeShade="80"/>
          <w:sz w:val="22"/>
          <w:szCs w:val="22"/>
          <w:lang w:val="en-GB"/>
        </w:rPr>
        <w:tab/>
      </w:r>
      <w:r w:rsidR="001D17E2">
        <w:rPr>
          <w:rFonts w:ascii="Avenir Next" w:hAnsi="Avenir Next" w:cs="Arial"/>
          <w:color w:val="808080" w:themeColor="background1" w:themeShade="80"/>
          <w:sz w:val="22"/>
          <w:szCs w:val="22"/>
          <w:lang w:val="en-GB"/>
        </w:rPr>
        <w:t>Article 20(1)(c) suspends the debtor's right to deal with his assets (which in practice would have a similar effect to the freezing order)</w:t>
      </w:r>
      <w:r>
        <w:rPr>
          <w:rFonts w:ascii="Avenir Next" w:hAnsi="Avenir Next" w:cs="Arial"/>
          <w:color w:val="808080" w:themeColor="background1" w:themeShade="80"/>
          <w:sz w:val="22"/>
          <w:szCs w:val="22"/>
          <w:lang w:val="en-GB"/>
        </w:rPr>
        <w:t xml:space="preserve">; </w:t>
      </w:r>
      <w:r w:rsidR="00435998">
        <w:rPr>
          <w:rFonts w:ascii="Avenir Next" w:hAnsi="Avenir Next" w:cs="Arial"/>
          <w:color w:val="808080" w:themeColor="background1" w:themeShade="80"/>
          <w:sz w:val="22"/>
          <w:szCs w:val="22"/>
          <w:lang w:val="en-GB"/>
        </w:rPr>
        <w:t xml:space="preserve"> and</w:t>
      </w:r>
    </w:p>
    <w:p w14:paraId="788A14C3" w14:textId="77777777" w:rsidR="00435998" w:rsidRDefault="00435998" w:rsidP="001D17E2">
      <w:pPr>
        <w:jc w:val="both"/>
        <w:rPr>
          <w:rFonts w:ascii="Avenir Next" w:hAnsi="Avenir Next" w:cs="Arial"/>
          <w:color w:val="808080" w:themeColor="background1" w:themeShade="80"/>
          <w:sz w:val="22"/>
          <w:szCs w:val="22"/>
          <w:lang w:val="en-GB"/>
        </w:rPr>
      </w:pPr>
    </w:p>
    <w:p w14:paraId="30EC54AA" w14:textId="2343D3FC" w:rsidR="00435998" w:rsidRDefault="00351511" w:rsidP="0043599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435998">
        <w:rPr>
          <w:rFonts w:ascii="Avenir Next" w:hAnsi="Avenir Next" w:cs="Arial"/>
          <w:color w:val="808080" w:themeColor="background1" w:themeShade="80"/>
          <w:sz w:val="22"/>
          <w:szCs w:val="22"/>
          <w:lang w:val="en-GB"/>
        </w:rPr>
        <w:tab/>
        <w:t>U</w:t>
      </w:r>
      <w:r>
        <w:rPr>
          <w:rFonts w:ascii="Avenir Next" w:hAnsi="Avenir Next" w:cs="Arial"/>
          <w:color w:val="808080" w:themeColor="background1" w:themeShade="80"/>
          <w:sz w:val="22"/>
          <w:szCs w:val="22"/>
          <w:lang w:val="en-GB"/>
        </w:rPr>
        <w:t xml:space="preserve">nder the English Insolvency Act 1986 the bankrupt's assets are controlled by the trustee in bankruptcy and the bankruptcy process is subject to the general supervision of the Court, the result being that the temporary suspension of the respondent's dealings with his goods contained in the freezing order was replaced by a permanent suspension of his rights pursuant to Article 20(1). </w:t>
      </w:r>
    </w:p>
    <w:p w14:paraId="34C65EDB" w14:textId="77777777" w:rsidR="00435998" w:rsidRDefault="00435998" w:rsidP="001D17E2">
      <w:pPr>
        <w:jc w:val="both"/>
        <w:rPr>
          <w:rFonts w:ascii="Avenir Next" w:hAnsi="Avenir Next" w:cs="Arial"/>
          <w:color w:val="808080" w:themeColor="background1" w:themeShade="80"/>
          <w:sz w:val="22"/>
          <w:szCs w:val="22"/>
          <w:lang w:val="en-GB"/>
        </w:rPr>
      </w:pPr>
    </w:p>
    <w:p w14:paraId="39D4F571" w14:textId="5AE92EFE" w:rsidR="00867A8F" w:rsidRPr="00E2622D" w:rsidRDefault="00351511"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As a result,</w:t>
      </w:r>
      <w:r w:rsidR="001D17E2">
        <w:rPr>
          <w:rFonts w:ascii="Avenir Next" w:hAnsi="Avenir Next" w:cs="Arial"/>
          <w:color w:val="808080" w:themeColor="background1" w:themeShade="80"/>
          <w:sz w:val="22"/>
          <w:szCs w:val="22"/>
          <w:lang w:val="en-GB"/>
        </w:rPr>
        <w:t xml:space="preserve"> it was not appropriate to </w:t>
      </w:r>
      <w:r>
        <w:rPr>
          <w:rFonts w:ascii="Avenir Next" w:hAnsi="Avenir Next" w:cs="Arial"/>
          <w:color w:val="808080" w:themeColor="background1" w:themeShade="80"/>
          <w:sz w:val="22"/>
          <w:szCs w:val="22"/>
          <w:lang w:val="en-GB"/>
        </w:rPr>
        <w:t xml:space="preserve">set a new precedent by </w:t>
      </w:r>
      <w:r w:rsidR="001D17E2">
        <w:rPr>
          <w:rFonts w:ascii="Avenir Next" w:hAnsi="Avenir Next" w:cs="Arial"/>
          <w:color w:val="808080" w:themeColor="background1" w:themeShade="80"/>
          <w:sz w:val="22"/>
          <w:szCs w:val="22"/>
          <w:lang w:val="en-GB"/>
        </w:rPr>
        <w:t>leav</w:t>
      </w:r>
      <w:r>
        <w:rPr>
          <w:rFonts w:ascii="Avenir Next" w:hAnsi="Avenir Next" w:cs="Arial"/>
          <w:color w:val="808080" w:themeColor="background1" w:themeShade="80"/>
          <w:sz w:val="22"/>
          <w:szCs w:val="22"/>
          <w:lang w:val="en-GB"/>
        </w:rPr>
        <w:t>ing</w:t>
      </w:r>
      <w:r w:rsidR="001D17E2">
        <w:rPr>
          <w:rFonts w:ascii="Avenir Next" w:hAnsi="Avenir Next" w:cs="Arial"/>
          <w:color w:val="808080" w:themeColor="background1" w:themeShade="80"/>
          <w:sz w:val="22"/>
          <w:szCs w:val="22"/>
          <w:lang w:val="en-GB"/>
        </w:rPr>
        <w:t xml:space="preserve"> the pre-recognition freezing order in place</w:t>
      </w:r>
      <w:r w:rsidR="008247F6">
        <w:rPr>
          <w:rFonts w:ascii="Avenir Next" w:hAnsi="Avenir Next" w:cs="Arial"/>
          <w:color w:val="808080" w:themeColor="background1" w:themeShade="80"/>
          <w:sz w:val="22"/>
          <w:szCs w:val="22"/>
          <w:lang w:val="en-GB"/>
        </w:rPr>
        <w:t xml:space="preserve"> – an approach that seems likely to be repeated.</w:t>
      </w:r>
    </w:p>
    <w:p w14:paraId="5807C275" w14:textId="77777777" w:rsidR="004060E4" w:rsidRDefault="004060E4">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6726D6B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4B225462" w14:textId="5A510A1D" w:rsidR="00867A8F"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3B3F7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3B3F7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3B3F7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3B3F75">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3B3F75">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3B3F7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3B3F7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3B3F7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3B3F7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3B3F7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3B3F7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3B3F7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3B3F7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3B3F7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3B3F7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3B3F7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57A79844" w14:textId="77777777" w:rsidR="007A5453" w:rsidRPr="00E2622D" w:rsidRDefault="007A5453"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3E7315B9" w:rsidR="009B5832" w:rsidRPr="005761CC" w:rsidRDefault="0088774C" w:rsidP="007B3ED6">
      <w:pPr>
        <w:jc w:val="both"/>
        <w:rPr>
          <w:rFonts w:ascii="Avenir Next" w:hAnsi="Avenir Next" w:cs="Arial"/>
          <w:b/>
          <w:bCs/>
          <w:color w:val="808080" w:themeColor="background1" w:themeShade="80"/>
          <w:sz w:val="22"/>
          <w:szCs w:val="22"/>
          <w:u w:val="single"/>
          <w:lang w:val="en-GB"/>
        </w:rPr>
      </w:pPr>
      <w:r w:rsidRPr="005761CC">
        <w:rPr>
          <w:rFonts w:ascii="Avenir Next" w:hAnsi="Avenir Next" w:cs="Arial"/>
          <w:b/>
          <w:bCs/>
          <w:color w:val="808080" w:themeColor="background1" w:themeShade="80"/>
          <w:sz w:val="22"/>
          <w:szCs w:val="22"/>
          <w:u w:val="single"/>
          <w:lang w:val="en-GB"/>
        </w:rPr>
        <w:t>Q4.1.1.</w:t>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p>
    <w:p w14:paraId="56863A4C" w14:textId="77777777" w:rsidR="0088774C" w:rsidRPr="005761CC" w:rsidRDefault="0088774C" w:rsidP="007B3ED6">
      <w:pPr>
        <w:jc w:val="both"/>
        <w:rPr>
          <w:rFonts w:ascii="Avenir Next" w:hAnsi="Avenir Next" w:cs="Arial"/>
          <w:color w:val="808080" w:themeColor="background1" w:themeShade="80"/>
          <w:sz w:val="22"/>
          <w:szCs w:val="22"/>
          <w:lang w:val="en-GB"/>
        </w:rPr>
      </w:pPr>
    </w:p>
    <w:p w14:paraId="2E13FBA8" w14:textId="3D6B3572" w:rsidR="00835D9A" w:rsidRPr="005761CC" w:rsidRDefault="00632D7F"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The fact pattern </w:t>
      </w:r>
      <w:r w:rsidR="007B3ED6" w:rsidRPr="005761CC">
        <w:rPr>
          <w:rFonts w:ascii="Avenir Next" w:hAnsi="Avenir Next" w:cs="Arial"/>
          <w:color w:val="808080" w:themeColor="background1" w:themeShade="80"/>
          <w:sz w:val="22"/>
          <w:szCs w:val="22"/>
          <w:lang w:val="en-GB"/>
        </w:rPr>
        <w:t>is</w:t>
      </w:r>
      <w:r w:rsidRPr="005761CC">
        <w:rPr>
          <w:rFonts w:ascii="Avenir Next" w:hAnsi="Avenir Next" w:cs="Arial"/>
          <w:color w:val="808080" w:themeColor="background1" w:themeShade="80"/>
          <w:sz w:val="22"/>
          <w:szCs w:val="22"/>
          <w:lang w:val="en-GB"/>
        </w:rPr>
        <w:t xml:space="preserve"> reminiscent of the </w:t>
      </w:r>
      <w:r w:rsidR="00835D9A" w:rsidRPr="005761CC">
        <w:rPr>
          <w:rFonts w:ascii="Avenir Next" w:hAnsi="Avenir Next" w:cs="Arial"/>
          <w:color w:val="808080" w:themeColor="background1" w:themeShade="80"/>
          <w:sz w:val="22"/>
          <w:szCs w:val="22"/>
          <w:lang w:val="en-GB"/>
        </w:rPr>
        <w:t xml:space="preserve">leading case on the English </w:t>
      </w:r>
      <w:r w:rsidR="00550E77" w:rsidRPr="005761CC">
        <w:rPr>
          <w:rFonts w:ascii="Avenir Next" w:hAnsi="Avenir Next" w:cs="Arial"/>
          <w:color w:val="808080" w:themeColor="background1" w:themeShade="80"/>
          <w:sz w:val="22"/>
          <w:szCs w:val="22"/>
          <w:lang w:val="en-GB"/>
        </w:rPr>
        <w:t>recognition of foreign proceedings</w:t>
      </w:r>
      <w:r w:rsidR="0088774C" w:rsidRPr="005761CC">
        <w:rPr>
          <w:rFonts w:ascii="Avenir Next" w:hAnsi="Avenir Next" w:cs="Arial"/>
          <w:color w:val="808080" w:themeColor="background1" w:themeShade="80"/>
          <w:sz w:val="22"/>
          <w:szCs w:val="22"/>
          <w:lang w:val="en-GB"/>
        </w:rPr>
        <w:t xml:space="preserve"> and the definition of "foreign proceeding" under the English </w:t>
      </w:r>
      <w:r w:rsidR="00C059C6" w:rsidRPr="005761CC">
        <w:rPr>
          <w:rFonts w:ascii="Avenir Next" w:hAnsi="Avenir Next" w:cs="Arial"/>
          <w:color w:val="808080" w:themeColor="background1" w:themeShade="80"/>
          <w:sz w:val="22"/>
          <w:szCs w:val="22"/>
          <w:lang w:val="en-GB"/>
        </w:rPr>
        <w:t xml:space="preserve">CBIR </w:t>
      </w:r>
      <w:r w:rsidR="0088774C" w:rsidRPr="005761CC">
        <w:rPr>
          <w:rFonts w:ascii="Avenir Next" w:hAnsi="Avenir Next" w:cs="Arial"/>
          <w:color w:val="808080" w:themeColor="background1" w:themeShade="80"/>
          <w:sz w:val="22"/>
          <w:szCs w:val="22"/>
          <w:lang w:val="en-GB"/>
        </w:rPr>
        <w:t>implementation of Article 2(a)</w:t>
      </w:r>
      <w:r w:rsidR="00550E77" w:rsidRPr="005761CC">
        <w:rPr>
          <w:rFonts w:ascii="Avenir Next" w:hAnsi="Avenir Next" w:cs="Arial"/>
          <w:color w:val="808080" w:themeColor="background1" w:themeShade="80"/>
          <w:sz w:val="22"/>
          <w:szCs w:val="22"/>
          <w:lang w:val="en-GB"/>
        </w:rPr>
        <w:t xml:space="preserve">, the </w:t>
      </w:r>
      <w:r w:rsidRPr="005761CC">
        <w:rPr>
          <w:rFonts w:ascii="Avenir Next" w:hAnsi="Avenir Next" w:cs="Arial"/>
          <w:color w:val="808080" w:themeColor="background1" w:themeShade="80"/>
          <w:sz w:val="22"/>
          <w:szCs w:val="22"/>
          <w:lang w:val="en-GB"/>
        </w:rPr>
        <w:t>Agrokor case (</w:t>
      </w:r>
      <w:r w:rsidRPr="005761CC">
        <w:rPr>
          <w:rFonts w:ascii="Avenir Next" w:hAnsi="Avenir Next" w:cs="Arial"/>
          <w:i/>
          <w:iCs/>
          <w:color w:val="808080" w:themeColor="background1" w:themeShade="80"/>
          <w:sz w:val="22"/>
          <w:szCs w:val="22"/>
          <w:lang w:val="en-GB"/>
        </w:rPr>
        <w:t>Agrokor DD</w:t>
      </w:r>
      <w:r w:rsidRPr="005761CC">
        <w:rPr>
          <w:rFonts w:ascii="Avenir Next" w:hAnsi="Avenir Next" w:cs="Arial"/>
          <w:color w:val="808080" w:themeColor="background1" w:themeShade="80"/>
          <w:sz w:val="22"/>
          <w:szCs w:val="22"/>
          <w:lang w:val="en-GB"/>
        </w:rPr>
        <w:t xml:space="preserve"> [2017] EWHC 2791 (Ch)): we have an overseas financial institution in a jurisdiction that (like Croatia in Agrokor) has not adopted the MLCBI, a detailed local law providing for the liquidation of financial institutions, and an application to the English Courts for recognition of the foreign process under the English CBIR.</w:t>
      </w:r>
      <w:r w:rsidR="003A7770" w:rsidRPr="005761CC">
        <w:rPr>
          <w:rFonts w:ascii="Avenir Next" w:hAnsi="Avenir Next" w:cs="Arial"/>
          <w:color w:val="808080" w:themeColor="background1" w:themeShade="80"/>
          <w:sz w:val="22"/>
          <w:szCs w:val="22"/>
          <w:lang w:val="en-GB"/>
        </w:rPr>
        <w:t xml:space="preserve">  Reference should also be made in this regard to the Judicial Perspective, in particular discussion at paragraphs 73 </w:t>
      </w:r>
      <w:r w:rsidR="003A7770" w:rsidRPr="005761CC">
        <w:rPr>
          <w:rFonts w:ascii="Avenir Next" w:hAnsi="Avenir Next" w:cs="Arial"/>
          <w:i/>
          <w:iCs/>
          <w:color w:val="808080" w:themeColor="background1" w:themeShade="80"/>
          <w:sz w:val="22"/>
          <w:szCs w:val="22"/>
          <w:lang w:val="en-GB"/>
        </w:rPr>
        <w:t>et seq.</w:t>
      </w:r>
      <w:r w:rsidR="003A7770" w:rsidRPr="005761CC">
        <w:rPr>
          <w:rFonts w:ascii="Avenir Next" w:hAnsi="Avenir Next" w:cs="Arial"/>
          <w:color w:val="808080" w:themeColor="background1" w:themeShade="80"/>
          <w:sz w:val="22"/>
          <w:szCs w:val="22"/>
          <w:lang w:val="en-GB"/>
        </w:rPr>
        <w:t xml:space="preserve"> thereof of the ingredients for "foreign proceeding".</w:t>
      </w:r>
    </w:p>
    <w:p w14:paraId="4E8E4CF2" w14:textId="77777777" w:rsidR="00835D9A" w:rsidRPr="005761CC" w:rsidRDefault="00835D9A" w:rsidP="007B3ED6">
      <w:pPr>
        <w:jc w:val="both"/>
        <w:rPr>
          <w:rFonts w:ascii="Avenir Next" w:hAnsi="Avenir Next" w:cs="Arial"/>
          <w:color w:val="808080" w:themeColor="background1" w:themeShade="80"/>
          <w:sz w:val="22"/>
          <w:szCs w:val="22"/>
          <w:lang w:val="en-GB"/>
        </w:rPr>
      </w:pPr>
    </w:p>
    <w:p w14:paraId="3DBADF81" w14:textId="2ACBC1C2" w:rsidR="00632D7F" w:rsidRPr="005761CC" w:rsidRDefault="00305C24"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T</w:t>
      </w:r>
      <w:r w:rsidR="00835D9A" w:rsidRPr="005761CC">
        <w:rPr>
          <w:rFonts w:ascii="Avenir Next" w:hAnsi="Avenir Next" w:cs="Arial"/>
          <w:color w:val="808080" w:themeColor="background1" w:themeShade="80"/>
          <w:sz w:val="22"/>
          <w:szCs w:val="22"/>
          <w:lang w:val="en-GB"/>
        </w:rPr>
        <w:t>he fact pattern does not appear to raise the</w:t>
      </w:r>
      <w:r w:rsidRPr="005761CC">
        <w:rPr>
          <w:rFonts w:ascii="Avenir Next" w:hAnsi="Avenir Next" w:cs="Arial"/>
          <w:color w:val="808080" w:themeColor="background1" w:themeShade="80"/>
          <w:sz w:val="22"/>
          <w:szCs w:val="22"/>
          <w:lang w:val="en-GB"/>
        </w:rPr>
        <w:t xml:space="preserve"> foreign</w:t>
      </w:r>
      <w:r w:rsidR="00835D9A" w:rsidRPr="005761CC">
        <w:rPr>
          <w:rFonts w:ascii="Avenir Next" w:hAnsi="Avenir Next" w:cs="Arial"/>
          <w:color w:val="808080" w:themeColor="background1" w:themeShade="80"/>
          <w:sz w:val="22"/>
          <w:szCs w:val="22"/>
          <w:lang w:val="en-GB"/>
        </w:rPr>
        <w:t xml:space="preserve"> </w:t>
      </w:r>
      <w:r w:rsidR="00632D7F" w:rsidRPr="005761CC">
        <w:rPr>
          <w:rFonts w:ascii="Avenir Next" w:hAnsi="Avenir Next" w:cs="Arial"/>
          <w:color w:val="808080" w:themeColor="background1" w:themeShade="80"/>
          <w:sz w:val="22"/>
          <w:szCs w:val="22"/>
          <w:lang w:val="en-GB"/>
        </w:rPr>
        <w:t>group</w:t>
      </w:r>
      <w:r w:rsidR="00835D9A" w:rsidRPr="005761CC">
        <w:rPr>
          <w:rFonts w:ascii="Avenir Next" w:hAnsi="Avenir Next" w:cs="Arial"/>
          <w:color w:val="808080" w:themeColor="background1" w:themeShade="80"/>
          <w:sz w:val="22"/>
          <w:szCs w:val="22"/>
          <w:lang w:val="en-GB"/>
        </w:rPr>
        <w:t>-</w:t>
      </w:r>
      <w:r w:rsidR="00632D7F" w:rsidRPr="005761CC">
        <w:rPr>
          <w:rFonts w:ascii="Avenir Next" w:hAnsi="Avenir Next" w:cs="Arial"/>
          <w:color w:val="808080" w:themeColor="background1" w:themeShade="80"/>
          <w:sz w:val="22"/>
          <w:szCs w:val="22"/>
          <w:lang w:val="en-GB"/>
        </w:rPr>
        <w:t xml:space="preserve">liquidation </w:t>
      </w:r>
      <w:r w:rsidR="00835D9A" w:rsidRPr="005761CC">
        <w:rPr>
          <w:rFonts w:ascii="Avenir Next" w:hAnsi="Avenir Next" w:cs="Arial"/>
          <w:color w:val="808080" w:themeColor="background1" w:themeShade="80"/>
          <w:sz w:val="22"/>
          <w:szCs w:val="22"/>
          <w:lang w:val="en-GB"/>
        </w:rPr>
        <w:t>issues encountered in Agrokor</w:t>
      </w:r>
      <w:r w:rsidRPr="005761CC">
        <w:rPr>
          <w:rFonts w:ascii="Avenir Next" w:hAnsi="Avenir Next" w:cs="Arial"/>
          <w:color w:val="808080" w:themeColor="background1" w:themeShade="80"/>
          <w:sz w:val="22"/>
          <w:szCs w:val="22"/>
          <w:lang w:val="en-GB"/>
        </w:rPr>
        <w:t>: although there is a reference to dissipation of the proceeds of an alleged fraud to multiple recipients, including some in England, CBBC's liquidation in Country A under the LBBA and the DGF Law is apparently a process concerning CBBC itself alone.</w:t>
      </w:r>
    </w:p>
    <w:p w14:paraId="0C33B620" w14:textId="54EE2862" w:rsidR="00632D7F" w:rsidRPr="005761CC" w:rsidRDefault="00632D7F" w:rsidP="007B3ED6">
      <w:pPr>
        <w:jc w:val="both"/>
        <w:rPr>
          <w:rFonts w:ascii="Avenir Next" w:hAnsi="Avenir Next" w:cs="Arial"/>
          <w:color w:val="808080" w:themeColor="background1" w:themeShade="80"/>
          <w:sz w:val="22"/>
          <w:szCs w:val="22"/>
          <w:lang w:val="en-GB"/>
        </w:rPr>
      </w:pPr>
    </w:p>
    <w:p w14:paraId="4F902CDD" w14:textId="52B397A0" w:rsidR="00C059C6" w:rsidRPr="005761CC" w:rsidRDefault="00C059C6" w:rsidP="007B3ED6">
      <w:pPr>
        <w:jc w:val="both"/>
        <w:rPr>
          <w:rFonts w:ascii="Avenir Next" w:hAnsi="Avenir Next" w:cs="Arial"/>
          <w:color w:val="808080" w:themeColor="background1" w:themeShade="80"/>
          <w:sz w:val="22"/>
          <w:szCs w:val="22"/>
          <w:u w:val="single"/>
          <w:lang w:val="en-GB"/>
        </w:rPr>
      </w:pPr>
      <w:r w:rsidRPr="005761CC">
        <w:rPr>
          <w:rFonts w:ascii="Avenir Next" w:hAnsi="Avenir Next" w:cs="Arial"/>
          <w:color w:val="808080" w:themeColor="background1" w:themeShade="80"/>
          <w:sz w:val="22"/>
          <w:szCs w:val="22"/>
          <w:u w:val="single"/>
          <w:lang w:val="en-GB"/>
        </w:rPr>
        <w:t>Country A's characterisation of its laws</w:t>
      </w:r>
    </w:p>
    <w:p w14:paraId="0BCD0F95" w14:textId="77777777" w:rsidR="00C059C6" w:rsidRPr="005761CC" w:rsidRDefault="00C059C6" w:rsidP="007B3ED6">
      <w:pPr>
        <w:jc w:val="both"/>
        <w:rPr>
          <w:rFonts w:ascii="Avenir Next" w:hAnsi="Avenir Next" w:cs="Arial"/>
          <w:color w:val="808080" w:themeColor="background1" w:themeShade="80"/>
          <w:sz w:val="22"/>
          <w:szCs w:val="22"/>
          <w:lang w:val="en-GB"/>
        </w:rPr>
      </w:pPr>
    </w:p>
    <w:p w14:paraId="0CC5108F" w14:textId="41D0FB1C" w:rsidR="00CC4E84" w:rsidRPr="005761CC" w:rsidRDefault="00CC4E84"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The starting point is </w:t>
      </w:r>
      <w:r w:rsidR="00B514CC" w:rsidRPr="005761CC">
        <w:rPr>
          <w:rFonts w:ascii="Avenir Next" w:hAnsi="Avenir Next" w:cs="Arial"/>
          <w:color w:val="808080" w:themeColor="background1" w:themeShade="80"/>
          <w:sz w:val="22"/>
          <w:szCs w:val="22"/>
          <w:lang w:val="en-GB"/>
        </w:rPr>
        <w:t xml:space="preserve">jurisdictional, in that </w:t>
      </w:r>
      <w:r w:rsidRPr="005761CC">
        <w:rPr>
          <w:rFonts w:ascii="Avenir Next" w:hAnsi="Avenir Next" w:cs="Arial"/>
          <w:color w:val="808080" w:themeColor="background1" w:themeShade="80"/>
          <w:sz w:val="22"/>
          <w:szCs w:val="22"/>
          <w:lang w:val="en-GB"/>
        </w:rPr>
        <w:t>the English Court must decide whether the CBBC's liquidation fulfils the criteria for recognition under the CBIR. The CBIR are English regulations and this is therefore a question of English law. The English Court is not bound by how Country A categorises the LBBA, the DGF Law</w:t>
      </w:r>
      <w:r w:rsidR="00B514CC" w:rsidRPr="005761CC">
        <w:rPr>
          <w:rFonts w:ascii="Avenir Next" w:hAnsi="Avenir Next" w:cs="Arial"/>
          <w:color w:val="808080" w:themeColor="background1" w:themeShade="80"/>
          <w:sz w:val="22"/>
          <w:szCs w:val="22"/>
          <w:lang w:val="en-GB"/>
        </w:rPr>
        <w:t>,</w:t>
      </w:r>
      <w:r w:rsidRPr="005761CC">
        <w:rPr>
          <w:rFonts w:ascii="Avenir Next" w:hAnsi="Avenir Next" w:cs="Arial"/>
          <w:color w:val="808080" w:themeColor="background1" w:themeShade="80"/>
          <w:sz w:val="22"/>
          <w:szCs w:val="22"/>
          <w:lang w:val="en-GB"/>
        </w:rPr>
        <w:t xml:space="preserve"> or CBBC's liquidation generally (whether as an insolvency proceeding or otherwise) and the foreign classification</w:t>
      </w:r>
      <w:r w:rsidR="00755DBD" w:rsidRPr="005761CC">
        <w:rPr>
          <w:rFonts w:ascii="Avenir Next" w:hAnsi="Avenir Next" w:cs="Arial"/>
          <w:color w:val="808080" w:themeColor="background1" w:themeShade="80"/>
          <w:sz w:val="22"/>
          <w:szCs w:val="22"/>
          <w:lang w:val="en-GB"/>
        </w:rPr>
        <w:t>, if any,</w:t>
      </w:r>
      <w:r w:rsidRPr="005761CC">
        <w:rPr>
          <w:rFonts w:ascii="Avenir Next" w:hAnsi="Avenir Next" w:cs="Arial"/>
          <w:color w:val="808080" w:themeColor="background1" w:themeShade="80"/>
          <w:sz w:val="22"/>
          <w:szCs w:val="22"/>
          <w:lang w:val="en-GB"/>
        </w:rPr>
        <w:t xml:space="preserve"> is irrelevant to the English Court's determination.</w:t>
      </w:r>
      <w:r w:rsidR="00EA69A9" w:rsidRPr="005761CC">
        <w:rPr>
          <w:rFonts w:ascii="Avenir Next" w:hAnsi="Avenir Next" w:cs="Arial"/>
          <w:color w:val="808080" w:themeColor="background1" w:themeShade="80"/>
          <w:sz w:val="22"/>
          <w:szCs w:val="22"/>
          <w:lang w:val="en-GB"/>
        </w:rPr>
        <w:t xml:space="preserve">  The English Court must look at the substance, not the form, of the CBBC liquidation.</w:t>
      </w:r>
    </w:p>
    <w:p w14:paraId="6489E461" w14:textId="3FC43145" w:rsidR="00835D9A" w:rsidRPr="005761CC" w:rsidRDefault="00835D9A" w:rsidP="007B3ED6">
      <w:pPr>
        <w:jc w:val="both"/>
        <w:rPr>
          <w:rFonts w:ascii="Avenir Next" w:hAnsi="Avenir Next" w:cs="Arial"/>
          <w:color w:val="808080" w:themeColor="background1" w:themeShade="80"/>
          <w:sz w:val="22"/>
          <w:szCs w:val="22"/>
          <w:lang w:val="en-GB"/>
        </w:rPr>
      </w:pPr>
    </w:p>
    <w:p w14:paraId="64A2F536" w14:textId="55C2030B" w:rsidR="003D7578" w:rsidRPr="005761CC" w:rsidRDefault="003D7578" w:rsidP="007B3ED6">
      <w:pPr>
        <w:jc w:val="both"/>
        <w:rPr>
          <w:rFonts w:ascii="Avenir Next" w:hAnsi="Avenir Next" w:cs="Arial"/>
          <w:color w:val="808080" w:themeColor="background1" w:themeShade="80"/>
          <w:sz w:val="22"/>
          <w:szCs w:val="22"/>
          <w:u w:val="single"/>
          <w:lang w:val="en-GB"/>
        </w:rPr>
      </w:pPr>
      <w:r w:rsidRPr="005761CC">
        <w:rPr>
          <w:rFonts w:ascii="Avenir Next" w:hAnsi="Avenir Next" w:cs="Arial"/>
          <w:color w:val="808080" w:themeColor="background1" w:themeShade="80"/>
          <w:sz w:val="22"/>
          <w:szCs w:val="22"/>
          <w:u w:val="single"/>
          <w:lang w:val="en-GB"/>
        </w:rPr>
        <w:t>A law relating to insolvency?</w:t>
      </w:r>
    </w:p>
    <w:p w14:paraId="2F7234B7" w14:textId="77777777" w:rsidR="003D7578" w:rsidRPr="005761CC" w:rsidRDefault="003D7578" w:rsidP="007B3ED6">
      <w:pPr>
        <w:jc w:val="both"/>
        <w:rPr>
          <w:rFonts w:ascii="Avenir Next" w:hAnsi="Avenir Next" w:cs="Arial"/>
          <w:color w:val="808080" w:themeColor="background1" w:themeShade="80"/>
          <w:sz w:val="22"/>
          <w:szCs w:val="22"/>
          <w:lang w:val="en-GB"/>
        </w:rPr>
      </w:pPr>
    </w:p>
    <w:p w14:paraId="3A0CA4C2" w14:textId="150F731A" w:rsidR="00A35881" w:rsidRPr="005761CC" w:rsidRDefault="00A35881"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Article 2(a) requires that CCBC's liquidation be conducted pursuant to a "law relating to insolvency" (the Court noting in </w:t>
      </w:r>
      <w:r w:rsidRPr="005761CC">
        <w:rPr>
          <w:rFonts w:ascii="Avenir Next" w:hAnsi="Avenir Next" w:cs="Arial"/>
          <w:i/>
          <w:iCs/>
          <w:color w:val="808080" w:themeColor="background1" w:themeShade="80"/>
          <w:sz w:val="22"/>
          <w:szCs w:val="22"/>
          <w:lang w:val="en-GB"/>
        </w:rPr>
        <w:t>Agrokor</w:t>
      </w:r>
      <w:r w:rsidRPr="005761CC">
        <w:rPr>
          <w:rFonts w:ascii="Avenir Next" w:hAnsi="Avenir Next" w:cs="Arial"/>
          <w:color w:val="808080" w:themeColor="background1" w:themeShade="80"/>
          <w:sz w:val="22"/>
          <w:szCs w:val="22"/>
          <w:lang w:val="en-GB"/>
        </w:rPr>
        <w:t xml:space="preserve"> that "relating to" denotes "</w:t>
      </w:r>
      <w:r w:rsidRPr="005761CC">
        <w:rPr>
          <w:rFonts w:ascii="Avenir Next" w:hAnsi="Avenir Next" w:cs="Arial"/>
          <w:i/>
          <w:iCs/>
          <w:color w:val="808080" w:themeColor="background1" w:themeShade="80"/>
          <w:sz w:val="22"/>
          <w:szCs w:val="22"/>
          <w:lang w:val="en-GB"/>
        </w:rPr>
        <w:t>wide words of connection</w:t>
      </w:r>
      <w:r w:rsidRPr="005761CC">
        <w:rPr>
          <w:rFonts w:ascii="Avenir Next" w:hAnsi="Avenir Next" w:cs="Arial"/>
          <w:color w:val="808080" w:themeColor="background1" w:themeShade="80"/>
          <w:sz w:val="22"/>
          <w:szCs w:val="22"/>
          <w:lang w:val="en-GB"/>
        </w:rPr>
        <w:t xml:space="preserve">"). The UNCITRAL Guide to Enactment </w:t>
      </w:r>
      <w:r w:rsidR="00452661" w:rsidRPr="005761CC">
        <w:rPr>
          <w:rFonts w:ascii="Avenir Next" w:hAnsi="Avenir Next" w:cs="Arial"/>
          <w:color w:val="808080" w:themeColor="background1" w:themeShade="80"/>
          <w:sz w:val="22"/>
          <w:szCs w:val="22"/>
          <w:lang w:val="en-GB"/>
        </w:rPr>
        <w:t>explains</w:t>
      </w:r>
      <w:r w:rsidRPr="005761CC">
        <w:rPr>
          <w:rFonts w:ascii="Avenir Next" w:hAnsi="Avenir Next" w:cs="Arial"/>
          <w:color w:val="808080" w:themeColor="background1" w:themeShade="80"/>
          <w:sz w:val="22"/>
          <w:szCs w:val="22"/>
          <w:lang w:val="en-GB"/>
        </w:rPr>
        <w:t xml:space="preserve"> at paragraph 73 that:</w:t>
      </w:r>
    </w:p>
    <w:p w14:paraId="1D329EF5" w14:textId="77777777" w:rsidR="00452661" w:rsidRPr="005761CC" w:rsidRDefault="00452661" w:rsidP="007B3ED6">
      <w:pPr>
        <w:jc w:val="both"/>
        <w:rPr>
          <w:rFonts w:ascii="Avenir Next" w:hAnsi="Avenir Next" w:cs="Arial"/>
          <w:color w:val="808080" w:themeColor="background1" w:themeShade="80"/>
          <w:sz w:val="22"/>
          <w:szCs w:val="22"/>
          <w:lang w:val="en-GB"/>
        </w:rPr>
      </w:pPr>
    </w:p>
    <w:p w14:paraId="1219899C" w14:textId="788148E6" w:rsidR="00A35881" w:rsidRPr="005761CC" w:rsidRDefault="00A35881" w:rsidP="007B3ED6">
      <w:pPr>
        <w:ind w:left="720"/>
        <w:jc w:val="both"/>
        <w:rPr>
          <w:rFonts w:ascii="Avenir Next" w:hAnsi="Avenir Next" w:cs="Arial"/>
          <w:i/>
          <w:iCs/>
          <w:color w:val="808080" w:themeColor="background1" w:themeShade="80"/>
          <w:sz w:val="22"/>
          <w:szCs w:val="22"/>
          <w:lang w:val="en-GB"/>
        </w:rPr>
      </w:pPr>
      <w:r w:rsidRPr="005761CC">
        <w:rPr>
          <w:rFonts w:ascii="Avenir Next" w:hAnsi="Avenir Next" w:cs="Arial"/>
          <w:i/>
          <w:iCs/>
          <w:color w:val="808080" w:themeColor="background1" w:themeShade="80"/>
          <w:sz w:val="22"/>
          <w:szCs w:val="22"/>
          <w:lang w:val="en-GB"/>
        </w:rPr>
        <w:t>"liquidation and reorganisation might be conducted under law that is not labelled as insolvency law (e</w:t>
      </w:r>
      <w:r w:rsidR="00452661" w:rsidRPr="005761CC">
        <w:rPr>
          <w:rFonts w:ascii="Avenir Next" w:hAnsi="Avenir Next" w:cs="Arial"/>
          <w:i/>
          <w:iCs/>
          <w:color w:val="808080" w:themeColor="background1" w:themeShade="80"/>
          <w:sz w:val="22"/>
          <w:szCs w:val="22"/>
          <w:lang w:val="en-GB"/>
        </w:rPr>
        <w:t>.</w:t>
      </w:r>
      <w:r w:rsidRPr="005761CC">
        <w:rPr>
          <w:rFonts w:ascii="Avenir Next" w:hAnsi="Avenir Next" w:cs="Arial"/>
          <w:i/>
          <w:iCs/>
          <w:color w:val="808080" w:themeColor="background1" w:themeShade="80"/>
          <w:sz w:val="22"/>
          <w:szCs w:val="22"/>
          <w:lang w:val="en-GB"/>
        </w:rPr>
        <w:t>g</w:t>
      </w:r>
      <w:r w:rsidR="00452661" w:rsidRPr="005761CC">
        <w:rPr>
          <w:rFonts w:ascii="Avenir Next" w:hAnsi="Avenir Next" w:cs="Arial"/>
          <w:i/>
          <w:iCs/>
          <w:color w:val="808080" w:themeColor="background1" w:themeShade="80"/>
          <w:sz w:val="22"/>
          <w:szCs w:val="22"/>
          <w:lang w:val="en-GB"/>
        </w:rPr>
        <w:t>.</w:t>
      </w:r>
      <w:r w:rsidRPr="005761CC">
        <w:rPr>
          <w:rFonts w:ascii="Avenir Next" w:hAnsi="Avenir Next" w:cs="Arial"/>
          <w:i/>
          <w:iCs/>
          <w:color w:val="808080" w:themeColor="background1" w:themeShade="80"/>
          <w:sz w:val="22"/>
          <w:szCs w:val="22"/>
          <w:lang w:val="en-GB"/>
        </w:rPr>
        <w:t xml:space="preserve"> company law), but which nevertheless deals with or addresses insolvency or severe financial distress."</w:t>
      </w:r>
    </w:p>
    <w:p w14:paraId="72735732" w14:textId="77777777" w:rsidR="00A35881" w:rsidRPr="005761CC" w:rsidRDefault="00A35881" w:rsidP="007B3ED6">
      <w:pPr>
        <w:jc w:val="both"/>
        <w:rPr>
          <w:rFonts w:ascii="Avenir Next" w:hAnsi="Avenir Next" w:cs="Arial"/>
          <w:color w:val="808080" w:themeColor="background1" w:themeShade="80"/>
          <w:sz w:val="22"/>
          <w:szCs w:val="22"/>
          <w:lang w:val="en-GB"/>
        </w:rPr>
      </w:pPr>
    </w:p>
    <w:p w14:paraId="4DBEB29A" w14:textId="77777777" w:rsidR="00452661" w:rsidRPr="005761CC" w:rsidRDefault="00A35881"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Country A's insolvency regime for financial institutions sets out detailed criteria for determining a bank's insolvency including by reason financial distress (listed at LBBA Article 76); </w:t>
      </w:r>
      <w:r w:rsidR="00821655" w:rsidRPr="005761CC">
        <w:rPr>
          <w:rFonts w:ascii="Avenir Next" w:hAnsi="Avenir Next" w:cs="Arial"/>
          <w:color w:val="808080" w:themeColor="background1" w:themeShade="80"/>
          <w:sz w:val="22"/>
          <w:szCs w:val="22"/>
          <w:lang w:val="en-GB"/>
        </w:rPr>
        <w:t xml:space="preserve">the fact </w:t>
      </w:r>
      <w:r w:rsidRPr="005761CC">
        <w:rPr>
          <w:rFonts w:ascii="Avenir Next" w:hAnsi="Avenir Next" w:cs="Arial"/>
          <w:color w:val="808080" w:themeColor="background1" w:themeShade="80"/>
          <w:sz w:val="22"/>
          <w:szCs w:val="22"/>
          <w:lang w:val="en-GB"/>
        </w:rPr>
        <w:t xml:space="preserve">that these criteria might be short-cut by direct revocation of the target's banking licence and </w:t>
      </w:r>
      <w:r w:rsidR="00821655" w:rsidRPr="005761CC">
        <w:rPr>
          <w:rFonts w:ascii="Avenir Next" w:hAnsi="Avenir Next" w:cs="Arial"/>
          <w:color w:val="808080" w:themeColor="background1" w:themeShade="80"/>
          <w:sz w:val="22"/>
          <w:szCs w:val="22"/>
          <w:lang w:val="en-GB"/>
        </w:rPr>
        <w:t xml:space="preserve">(provisional) </w:t>
      </w:r>
      <w:r w:rsidRPr="005761CC">
        <w:rPr>
          <w:rFonts w:ascii="Avenir Next" w:hAnsi="Avenir Next" w:cs="Arial"/>
          <w:color w:val="808080" w:themeColor="background1" w:themeShade="80"/>
          <w:sz w:val="22"/>
          <w:szCs w:val="22"/>
          <w:lang w:val="en-GB"/>
        </w:rPr>
        <w:t xml:space="preserve">liquidation under LBBA Article 77 and DGF Law Article 34 does not place this regime outside the scope of Article 2(a).  </w:t>
      </w:r>
    </w:p>
    <w:p w14:paraId="721EC26F" w14:textId="77777777" w:rsidR="00452661" w:rsidRPr="005761CC" w:rsidRDefault="00452661" w:rsidP="007B3ED6">
      <w:pPr>
        <w:jc w:val="both"/>
        <w:rPr>
          <w:rFonts w:ascii="Avenir Next" w:hAnsi="Avenir Next" w:cs="Arial"/>
          <w:color w:val="808080" w:themeColor="background1" w:themeShade="80"/>
          <w:sz w:val="22"/>
          <w:szCs w:val="22"/>
          <w:lang w:val="en-GB"/>
        </w:rPr>
      </w:pPr>
    </w:p>
    <w:p w14:paraId="051BE1AF" w14:textId="27D6AFB0" w:rsidR="00A35881" w:rsidRPr="005761CC" w:rsidRDefault="00A35881"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As was discussed at length in </w:t>
      </w:r>
      <w:r w:rsidRPr="005761CC">
        <w:rPr>
          <w:rFonts w:ascii="Avenir Next" w:hAnsi="Avenir Next" w:cs="Arial"/>
          <w:i/>
          <w:iCs/>
          <w:color w:val="808080" w:themeColor="background1" w:themeShade="80"/>
          <w:sz w:val="22"/>
          <w:szCs w:val="22"/>
          <w:lang w:val="en-GB"/>
        </w:rPr>
        <w:t>Agrokor</w:t>
      </w:r>
      <w:r w:rsidR="00335929" w:rsidRPr="005761CC">
        <w:rPr>
          <w:rFonts w:ascii="Avenir Next" w:hAnsi="Avenir Next" w:cs="Arial"/>
          <w:color w:val="808080" w:themeColor="background1" w:themeShade="80"/>
          <w:sz w:val="22"/>
          <w:szCs w:val="22"/>
          <w:lang w:val="en-GB"/>
        </w:rPr>
        <w:t xml:space="preserve"> with reference to English, Australian</w:t>
      </w:r>
      <w:r w:rsidR="003B640A" w:rsidRPr="005761CC">
        <w:rPr>
          <w:rFonts w:ascii="Avenir Next" w:hAnsi="Avenir Next" w:cs="Arial"/>
          <w:color w:val="808080" w:themeColor="background1" w:themeShade="80"/>
          <w:sz w:val="22"/>
          <w:szCs w:val="22"/>
          <w:lang w:val="en-GB"/>
        </w:rPr>
        <w:t>, United States</w:t>
      </w:r>
      <w:r w:rsidR="00335929" w:rsidRPr="005761CC">
        <w:rPr>
          <w:rFonts w:ascii="Avenir Next" w:hAnsi="Avenir Next" w:cs="Arial"/>
          <w:color w:val="808080" w:themeColor="background1" w:themeShade="80"/>
          <w:sz w:val="22"/>
          <w:szCs w:val="22"/>
          <w:lang w:val="en-GB"/>
        </w:rPr>
        <w:t xml:space="preserve"> and Singaporean case law,</w:t>
      </w:r>
      <w:r w:rsidRPr="005761CC">
        <w:rPr>
          <w:rFonts w:ascii="Avenir Next" w:hAnsi="Avenir Next" w:cs="Arial"/>
          <w:color w:val="808080" w:themeColor="background1" w:themeShade="80"/>
          <w:sz w:val="22"/>
          <w:szCs w:val="22"/>
          <w:lang w:val="en-GB"/>
        </w:rPr>
        <w:t xml:space="preserve"> a law providing for other routes into liquidation (including on a "just and equitable" basis) is acceptable.  Quoting </w:t>
      </w:r>
      <w:r w:rsidRPr="005761CC">
        <w:rPr>
          <w:rFonts w:ascii="Avenir Next" w:hAnsi="Avenir Next" w:cs="Arial"/>
          <w:i/>
          <w:iCs/>
          <w:color w:val="808080" w:themeColor="background1" w:themeShade="80"/>
          <w:sz w:val="22"/>
          <w:szCs w:val="22"/>
          <w:lang w:val="en-GB"/>
        </w:rPr>
        <w:t>Re Stanford International Bank Limited</w:t>
      </w:r>
      <w:r w:rsidRPr="005761CC">
        <w:rPr>
          <w:rFonts w:ascii="Avenir Next" w:hAnsi="Avenir Next" w:cs="Arial"/>
          <w:color w:val="808080" w:themeColor="background1" w:themeShade="80"/>
          <w:sz w:val="22"/>
          <w:szCs w:val="22"/>
          <w:lang w:val="en-GB"/>
        </w:rPr>
        <w:t xml:space="preserve"> [2011] Ch 33</w:t>
      </w:r>
      <w:r w:rsidR="003F1AC2" w:rsidRPr="005761CC">
        <w:rPr>
          <w:rFonts w:ascii="Avenir Next" w:hAnsi="Avenir Next" w:cs="Arial"/>
          <w:color w:val="808080" w:themeColor="background1" w:themeShade="80"/>
          <w:sz w:val="22"/>
          <w:szCs w:val="22"/>
          <w:lang w:val="en-GB"/>
        </w:rPr>
        <w:t xml:space="preserve"> that </w:t>
      </w:r>
      <w:r w:rsidRPr="005761CC">
        <w:rPr>
          <w:rFonts w:ascii="Avenir Next" w:hAnsi="Avenir Next" w:cs="Arial"/>
          <w:i/>
          <w:iCs/>
          <w:color w:val="808080" w:themeColor="background1" w:themeShade="80"/>
          <w:sz w:val="22"/>
          <w:szCs w:val="22"/>
          <w:lang w:val="en-GB"/>
        </w:rPr>
        <w:t>"</w:t>
      </w:r>
      <w:r w:rsidR="003F1AC2" w:rsidRPr="005761CC">
        <w:rPr>
          <w:rFonts w:ascii="Avenir Next" w:hAnsi="Avenir Next" w:cs="Arial"/>
          <w:i/>
          <w:iCs/>
          <w:color w:val="808080" w:themeColor="background1" w:themeShade="80"/>
          <w:sz w:val="22"/>
          <w:szCs w:val="22"/>
          <w:lang w:val="en-GB"/>
        </w:rPr>
        <w:t xml:space="preserve">[a] </w:t>
      </w:r>
      <w:r w:rsidRPr="005761CC">
        <w:rPr>
          <w:rFonts w:ascii="Avenir Next" w:hAnsi="Avenir Next" w:cs="Arial"/>
          <w:i/>
          <w:iCs/>
          <w:color w:val="808080" w:themeColor="background1" w:themeShade="80"/>
          <w:sz w:val="22"/>
          <w:szCs w:val="22"/>
          <w:lang w:val="en-GB"/>
        </w:rPr>
        <w:t>law allowing winding up on the regulatory ground was a law comprehending several grounds, including insolvency, so that it was correct to characterise it as a law relating to insolvency."</w:t>
      </w:r>
      <w:r w:rsidR="003F1AC2" w:rsidRPr="005761CC">
        <w:rPr>
          <w:rFonts w:ascii="Avenir Next" w:hAnsi="Avenir Next" w:cs="Arial"/>
          <w:color w:val="808080" w:themeColor="background1" w:themeShade="80"/>
          <w:sz w:val="22"/>
          <w:szCs w:val="22"/>
          <w:lang w:val="en-GB"/>
        </w:rPr>
        <w:t>, the Agrokor Court concluded that:</w:t>
      </w:r>
    </w:p>
    <w:p w14:paraId="54CB5FFF" w14:textId="192E9115" w:rsidR="003F1AC2" w:rsidRPr="005761CC" w:rsidRDefault="003F1AC2" w:rsidP="007B3ED6">
      <w:pPr>
        <w:jc w:val="both"/>
        <w:rPr>
          <w:rFonts w:ascii="Avenir Next" w:hAnsi="Avenir Next" w:cs="Arial"/>
          <w:color w:val="808080" w:themeColor="background1" w:themeShade="80"/>
          <w:sz w:val="22"/>
          <w:szCs w:val="22"/>
          <w:lang w:val="en-GB"/>
        </w:rPr>
      </w:pPr>
    </w:p>
    <w:p w14:paraId="2A808522" w14:textId="00AFF746" w:rsidR="003F1AC2" w:rsidRPr="005761CC" w:rsidRDefault="003F1AC2" w:rsidP="007B3ED6">
      <w:pPr>
        <w:ind w:left="720"/>
        <w:jc w:val="both"/>
        <w:rPr>
          <w:rFonts w:ascii="Avenir Next" w:hAnsi="Avenir Next" w:cs="Arial"/>
          <w:i/>
          <w:iCs/>
          <w:color w:val="808080" w:themeColor="background1" w:themeShade="80"/>
          <w:sz w:val="22"/>
          <w:szCs w:val="22"/>
          <w:lang w:val="en-GB"/>
        </w:rPr>
      </w:pPr>
      <w:r w:rsidRPr="005761CC">
        <w:rPr>
          <w:rFonts w:ascii="Avenir Next" w:hAnsi="Avenir Next" w:cs="Arial"/>
          <w:i/>
          <w:iCs/>
          <w:color w:val="808080" w:themeColor="background1" w:themeShade="80"/>
          <w:sz w:val="22"/>
          <w:szCs w:val="22"/>
          <w:lang w:val="en-GB"/>
        </w:rPr>
        <w:t>63.  From these authorities and guides to interpretation, it is clear that the requirement that the law under which the proceeding is brought be "an insolvency law" is satisfied if insolvency is one of the grounds on which the proceeding can be commenced, even if […] insolvency could not actually be demonstrated, and there was another basis for commencing the proceeding. The matter is obviously all the clearer if insolvency can indeed be demonstrated.</w:t>
      </w:r>
    </w:p>
    <w:p w14:paraId="434C334C" w14:textId="77777777" w:rsidR="00335929" w:rsidRPr="005761CC" w:rsidRDefault="00335929" w:rsidP="007B3ED6">
      <w:pPr>
        <w:jc w:val="both"/>
        <w:rPr>
          <w:rFonts w:ascii="Avenir Next" w:hAnsi="Avenir Next" w:cs="Arial"/>
          <w:color w:val="808080" w:themeColor="background1" w:themeShade="80"/>
          <w:sz w:val="22"/>
          <w:szCs w:val="22"/>
          <w:lang w:val="en-GB"/>
        </w:rPr>
      </w:pPr>
    </w:p>
    <w:p w14:paraId="5DE82B69" w14:textId="5B1169D5" w:rsidR="00335929" w:rsidRPr="005761CC" w:rsidRDefault="00A8797D"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It therefore seems likely that the CBBC liquidation will be held to be conducted under "a law relating to insolvency" within the meaning of Article 2(a).</w:t>
      </w:r>
    </w:p>
    <w:p w14:paraId="4615F528" w14:textId="79DC9AA8" w:rsidR="00A8797D" w:rsidRPr="005761CC" w:rsidRDefault="00A8797D" w:rsidP="007B3ED6">
      <w:pPr>
        <w:jc w:val="both"/>
        <w:rPr>
          <w:rFonts w:ascii="Avenir Next" w:hAnsi="Avenir Next" w:cs="Arial"/>
          <w:color w:val="808080" w:themeColor="background1" w:themeShade="80"/>
          <w:sz w:val="22"/>
          <w:szCs w:val="22"/>
          <w:lang w:val="en-GB"/>
        </w:rPr>
      </w:pPr>
    </w:p>
    <w:p w14:paraId="1F261F63" w14:textId="11DB2ABA" w:rsidR="003D7578" w:rsidRPr="005761CC" w:rsidRDefault="003D7578" w:rsidP="007B3ED6">
      <w:pPr>
        <w:jc w:val="both"/>
        <w:rPr>
          <w:rFonts w:ascii="Avenir Next" w:hAnsi="Avenir Next" w:cs="Arial"/>
          <w:color w:val="808080" w:themeColor="background1" w:themeShade="80"/>
          <w:sz w:val="22"/>
          <w:szCs w:val="22"/>
          <w:u w:val="single"/>
          <w:lang w:val="en-GB"/>
        </w:rPr>
      </w:pPr>
      <w:r w:rsidRPr="005761CC">
        <w:rPr>
          <w:rFonts w:ascii="Avenir Next" w:hAnsi="Avenir Next" w:cs="Arial"/>
          <w:color w:val="808080" w:themeColor="background1" w:themeShade="80"/>
          <w:sz w:val="22"/>
          <w:szCs w:val="22"/>
          <w:u w:val="single"/>
          <w:lang w:val="en-GB"/>
        </w:rPr>
        <w:t>Control or supervision by the foreign court?</w:t>
      </w:r>
    </w:p>
    <w:p w14:paraId="640A4A98" w14:textId="77777777" w:rsidR="003D7578" w:rsidRPr="005761CC" w:rsidRDefault="003D7578" w:rsidP="007B3ED6">
      <w:pPr>
        <w:jc w:val="both"/>
        <w:rPr>
          <w:rFonts w:ascii="Avenir Next" w:hAnsi="Avenir Next" w:cs="Arial"/>
          <w:color w:val="808080" w:themeColor="background1" w:themeShade="80"/>
          <w:sz w:val="22"/>
          <w:szCs w:val="22"/>
          <w:lang w:val="en-GB"/>
        </w:rPr>
      </w:pPr>
    </w:p>
    <w:p w14:paraId="3FA3729B" w14:textId="762D9B27" w:rsidR="007B3ED6" w:rsidRPr="005761CC" w:rsidRDefault="00A8797D"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Article 2(a) requires that</w:t>
      </w:r>
      <w:r w:rsidR="000B3878" w:rsidRPr="005761CC">
        <w:rPr>
          <w:rFonts w:ascii="Avenir Next" w:hAnsi="Avenir Next" w:cs="Arial"/>
          <w:color w:val="808080" w:themeColor="background1" w:themeShade="80"/>
          <w:sz w:val="22"/>
          <w:szCs w:val="22"/>
          <w:lang w:val="en-GB"/>
        </w:rPr>
        <w:t xml:space="preserve"> the proceeding be "</w:t>
      </w:r>
      <w:r w:rsidR="000B3878" w:rsidRPr="005761CC">
        <w:rPr>
          <w:rFonts w:ascii="Avenir Next" w:hAnsi="Avenir Next" w:cs="Arial"/>
          <w:i/>
          <w:iCs/>
          <w:color w:val="808080" w:themeColor="background1" w:themeShade="80"/>
          <w:sz w:val="22"/>
          <w:szCs w:val="22"/>
          <w:lang w:val="en-GB"/>
        </w:rPr>
        <w:t>judicial or administrative</w:t>
      </w:r>
      <w:r w:rsidR="000B3878" w:rsidRPr="005761CC">
        <w:rPr>
          <w:rFonts w:ascii="Avenir Next" w:hAnsi="Avenir Next" w:cs="Arial"/>
          <w:color w:val="808080" w:themeColor="background1" w:themeShade="80"/>
          <w:sz w:val="22"/>
          <w:szCs w:val="22"/>
          <w:lang w:val="en-GB"/>
        </w:rPr>
        <w:t>" and</w:t>
      </w:r>
      <w:r w:rsidRPr="005761CC">
        <w:rPr>
          <w:rFonts w:ascii="Avenir Next" w:hAnsi="Avenir Next" w:cs="Arial"/>
          <w:color w:val="808080" w:themeColor="background1" w:themeShade="80"/>
          <w:sz w:val="22"/>
          <w:szCs w:val="22"/>
          <w:lang w:val="en-GB"/>
        </w:rPr>
        <w:t xml:space="preserve"> </w:t>
      </w:r>
      <w:r w:rsidR="000B3878" w:rsidRPr="005761CC">
        <w:rPr>
          <w:rFonts w:ascii="Avenir Next" w:hAnsi="Avenir Next" w:cs="Arial"/>
          <w:color w:val="808080" w:themeColor="background1" w:themeShade="80"/>
          <w:sz w:val="22"/>
          <w:szCs w:val="22"/>
          <w:lang w:val="en-GB"/>
        </w:rPr>
        <w:t xml:space="preserve">that </w:t>
      </w:r>
      <w:r w:rsidRPr="005761CC">
        <w:rPr>
          <w:rFonts w:ascii="Avenir Next" w:hAnsi="Avenir Next" w:cs="Arial"/>
          <w:color w:val="808080" w:themeColor="background1" w:themeShade="80"/>
          <w:sz w:val="22"/>
          <w:szCs w:val="22"/>
          <w:lang w:val="en-GB"/>
        </w:rPr>
        <w:t>"</w:t>
      </w:r>
      <w:r w:rsidRPr="005761CC">
        <w:rPr>
          <w:rFonts w:ascii="Avenir Next" w:hAnsi="Avenir Next" w:cs="Arial"/>
          <w:i/>
          <w:iCs/>
          <w:color w:val="808080" w:themeColor="background1" w:themeShade="80"/>
          <w:sz w:val="22"/>
          <w:szCs w:val="22"/>
          <w:lang w:val="en-GB"/>
        </w:rPr>
        <w:t>the assets and affairs of the debtor are subject to control or supervision by a foreign court</w:t>
      </w:r>
      <w:r w:rsidRPr="005761CC">
        <w:rPr>
          <w:rFonts w:ascii="Avenir Next" w:hAnsi="Avenir Next" w:cs="Arial"/>
          <w:color w:val="808080" w:themeColor="background1" w:themeShade="80"/>
          <w:sz w:val="22"/>
          <w:szCs w:val="22"/>
          <w:lang w:val="en-GB"/>
        </w:rPr>
        <w:t>". The Guide to Enactment explains that the MLCBI</w:t>
      </w:r>
      <w:r w:rsidR="00042C36" w:rsidRPr="005761CC">
        <w:rPr>
          <w:rFonts w:ascii="Avenir Next" w:hAnsi="Avenir Next" w:cs="Arial"/>
          <w:color w:val="808080" w:themeColor="background1" w:themeShade="80"/>
          <w:sz w:val="22"/>
          <w:szCs w:val="22"/>
          <w:lang w:val="en-GB"/>
        </w:rPr>
        <w:t xml:space="preserve"> sets this bar relatively low</w:t>
      </w:r>
      <w:r w:rsidR="007B3ED6" w:rsidRPr="005761CC">
        <w:rPr>
          <w:rFonts w:ascii="Avenir Next" w:hAnsi="Avenir Next" w:cs="Arial"/>
          <w:color w:val="808080" w:themeColor="background1" w:themeShade="80"/>
          <w:sz w:val="22"/>
          <w:szCs w:val="22"/>
          <w:lang w:val="en-GB"/>
        </w:rPr>
        <w:t>:</w:t>
      </w:r>
    </w:p>
    <w:p w14:paraId="304CDC30" w14:textId="77777777" w:rsidR="007B3ED6" w:rsidRPr="005761CC" w:rsidRDefault="007B3ED6" w:rsidP="007B3ED6">
      <w:pPr>
        <w:ind w:left="720" w:firstLine="45"/>
        <w:jc w:val="both"/>
        <w:rPr>
          <w:rFonts w:ascii="Avenir Next" w:hAnsi="Avenir Next" w:cs="Arial"/>
          <w:color w:val="808080" w:themeColor="background1" w:themeShade="80"/>
          <w:sz w:val="22"/>
          <w:szCs w:val="22"/>
          <w:lang w:val="en-GB"/>
        </w:rPr>
      </w:pPr>
    </w:p>
    <w:p w14:paraId="0A5CC84E" w14:textId="25DF1C09" w:rsidR="00A8797D" w:rsidRPr="005761CC" w:rsidRDefault="00A8797D" w:rsidP="007B3ED6">
      <w:pPr>
        <w:ind w:left="720" w:firstLine="45"/>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w:t>
      </w:r>
      <w:r w:rsidR="000B3878" w:rsidRPr="005761CC">
        <w:rPr>
          <w:rFonts w:ascii="Avenir Next" w:hAnsi="Avenir Next" w:cs="Arial"/>
          <w:i/>
          <w:iCs/>
          <w:color w:val="808080" w:themeColor="background1" w:themeShade="80"/>
          <w:sz w:val="22"/>
          <w:szCs w:val="22"/>
          <w:lang w:val="en-GB"/>
        </w:rPr>
        <w:t>The Model Law</w:t>
      </w:r>
      <w:r w:rsidR="000B3878" w:rsidRPr="005761CC">
        <w:rPr>
          <w:rFonts w:ascii="Avenir Next" w:hAnsi="Avenir Next" w:cs="Arial"/>
          <w:color w:val="808080" w:themeColor="background1" w:themeShade="80"/>
          <w:sz w:val="22"/>
          <w:szCs w:val="22"/>
          <w:lang w:val="en-GB"/>
        </w:rPr>
        <w:t xml:space="preserve"> </w:t>
      </w:r>
      <w:r w:rsidRPr="005761CC">
        <w:rPr>
          <w:rFonts w:ascii="Avenir Next" w:hAnsi="Avenir Next" w:cs="Arial"/>
          <w:i/>
          <w:iCs/>
          <w:color w:val="808080" w:themeColor="background1" w:themeShade="80"/>
          <w:sz w:val="22"/>
          <w:szCs w:val="22"/>
          <w:lang w:val="en-GB"/>
        </w:rPr>
        <w:t xml:space="preserve">specifies neither the level of control or supervision required to satisfy this aspect of the definition nor the time at which that control or supervision should arise. Although it is intended that the control or supervision required </w:t>
      </w:r>
      <w:r w:rsidR="00CC23B7" w:rsidRPr="005761CC">
        <w:rPr>
          <w:rFonts w:ascii="Avenir Next" w:hAnsi="Avenir Next" w:cs="Arial"/>
          <w:i/>
          <w:iCs/>
          <w:color w:val="808080" w:themeColor="background1" w:themeShade="80"/>
          <w:sz w:val="22"/>
          <w:szCs w:val="22"/>
          <w:lang w:val="en-GB"/>
        </w:rPr>
        <w:t xml:space="preserve">[…] </w:t>
      </w:r>
      <w:r w:rsidRPr="005761CC">
        <w:rPr>
          <w:rFonts w:ascii="Avenir Next" w:hAnsi="Avenir Next" w:cs="Arial"/>
          <w:i/>
          <w:iCs/>
          <w:color w:val="808080" w:themeColor="background1" w:themeShade="80"/>
          <w:sz w:val="22"/>
          <w:szCs w:val="22"/>
          <w:lang w:val="en-GB"/>
        </w:rPr>
        <w:t>should be formal in nature, it may be potential rather than actual</w:t>
      </w:r>
      <w:r w:rsidR="00CC23B7" w:rsidRPr="005761CC">
        <w:rPr>
          <w:rFonts w:ascii="Avenir Next" w:hAnsi="Avenir Next" w:cs="Arial"/>
          <w:i/>
          <w:iCs/>
          <w:color w:val="808080" w:themeColor="background1" w:themeShade="80"/>
          <w:sz w:val="22"/>
          <w:szCs w:val="22"/>
          <w:lang w:val="en-GB"/>
        </w:rPr>
        <w:t xml:space="preserve"> [and]</w:t>
      </w:r>
      <w:r w:rsidRPr="005761CC">
        <w:rPr>
          <w:rFonts w:ascii="Avenir Next" w:hAnsi="Avenir Next" w:cs="Arial"/>
          <w:i/>
          <w:iCs/>
          <w:color w:val="808080" w:themeColor="background1" w:themeShade="80"/>
          <w:sz w:val="22"/>
          <w:szCs w:val="22"/>
          <w:lang w:val="en-GB"/>
        </w:rPr>
        <w:t xml:space="preserve"> a proceeding in which the debtor retains some measure of control over its assets, albeit under court supervision, such as a debtor in possession would satisfy this requirement. Control or supervision may be exercised not only directly by the court and also by an insolvency representative where, for example, the insolvency representative is subject to control or supervision by the court. </w:t>
      </w:r>
      <w:r w:rsidRPr="005761CC">
        <w:rPr>
          <w:rFonts w:ascii="Avenir Next" w:hAnsi="Avenir Next" w:cs="Arial"/>
          <w:i/>
          <w:iCs/>
          <w:color w:val="808080" w:themeColor="background1" w:themeShade="80"/>
          <w:sz w:val="22"/>
          <w:szCs w:val="22"/>
          <w:u w:val="single"/>
          <w:lang w:val="en-GB"/>
        </w:rPr>
        <w:t>Mere supervision of an insolvency representative by a licensing authority would not be sufficient</w:t>
      </w:r>
      <w:r w:rsidRPr="005761CC">
        <w:rPr>
          <w:rFonts w:ascii="Avenir Next" w:hAnsi="Avenir Next" w:cs="Arial"/>
          <w:i/>
          <w:iCs/>
          <w:color w:val="808080" w:themeColor="background1" w:themeShade="80"/>
          <w:sz w:val="22"/>
          <w:szCs w:val="22"/>
          <w:lang w:val="en-GB"/>
        </w:rPr>
        <w:t>.</w:t>
      </w:r>
      <w:r w:rsidRPr="005761CC">
        <w:rPr>
          <w:rFonts w:ascii="Avenir Next" w:hAnsi="Avenir Next" w:cs="Arial"/>
          <w:color w:val="808080" w:themeColor="background1" w:themeShade="80"/>
          <w:sz w:val="22"/>
          <w:szCs w:val="22"/>
          <w:lang w:val="en-GB"/>
        </w:rPr>
        <w:t>"</w:t>
      </w:r>
      <w:r w:rsidR="00D53A8D" w:rsidRPr="005761CC">
        <w:rPr>
          <w:rFonts w:ascii="Avenir Next" w:hAnsi="Avenir Next" w:cs="Arial"/>
          <w:color w:val="808080" w:themeColor="background1" w:themeShade="80"/>
          <w:sz w:val="22"/>
          <w:szCs w:val="22"/>
          <w:lang w:val="en-GB"/>
        </w:rPr>
        <w:t xml:space="preserve"> (emphasis added)</w:t>
      </w:r>
    </w:p>
    <w:p w14:paraId="473365B7" w14:textId="77777777" w:rsidR="00CC23B7" w:rsidRPr="005761CC" w:rsidRDefault="00CC23B7" w:rsidP="007B3ED6">
      <w:pPr>
        <w:jc w:val="both"/>
        <w:rPr>
          <w:rFonts w:ascii="Avenir Next" w:hAnsi="Avenir Next" w:cs="Arial"/>
          <w:color w:val="808080" w:themeColor="background1" w:themeShade="80"/>
          <w:sz w:val="22"/>
          <w:szCs w:val="22"/>
          <w:lang w:val="en-GB"/>
        </w:rPr>
      </w:pPr>
    </w:p>
    <w:p w14:paraId="25EA6365" w14:textId="2B3114AD" w:rsidR="00CC23B7" w:rsidRPr="005761CC" w:rsidRDefault="00CC23B7"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The Agrokor Court examined this point in detail in the context of Croatian proceedings which placed a very high degree of control in the hands of the foreign representative.  On our facts, the NB and the DGF (both of which are governmental bodies) exercise a similar level of authority over the assets of distressed or insolvent financial institutions in Country A (see the summary of the DGF's </w:t>
      </w:r>
      <w:r w:rsidR="00D53A8D" w:rsidRPr="005761CC">
        <w:rPr>
          <w:rFonts w:ascii="Avenir Next" w:hAnsi="Avenir Next" w:cs="Arial"/>
          <w:color w:val="808080" w:themeColor="background1" w:themeShade="80"/>
          <w:sz w:val="22"/>
          <w:szCs w:val="22"/>
          <w:lang w:val="en-GB"/>
        </w:rPr>
        <w:t xml:space="preserve">extensive </w:t>
      </w:r>
      <w:r w:rsidRPr="005761CC">
        <w:rPr>
          <w:rFonts w:ascii="Avenir Next" w:hAnsi="Avenir Next" w:cs="Arial"/>
          <w:color w:val="808080" w:themeColor="background1" w:themeShade="80"/>
          <w:sz w:val="22"/>
          <w:szCs w:val="22"/>
          <w:lang w:val="en-GB"/>
        </w:rPr>
        <w:t xml:space="preserve">powers under Article 37 of the DGF Law).  We are told that the DGF enjoys statutory independence from the NB under Articles 3(3) and 3(7) of the DGF Law; we are not told the extent to which the DGF, and the liquidation process more generally, are accountable to the </w:t>
      </w:r>
      <w:r w:rsidR="004115BE" w:rsidRPr="005761CC">
        <w:rPr>
          <w:rFonts w:ascii="Avenir Next" w:hAnsi="Avenir Next" w:cs="Arial"/>
          <w:color w:val="808080" w:themeColor="background1" w:themeShade="80"/>
          <w:sz w:val="22"/>
          <w:szCs w:val="22"/>
          <w:lang w:val="en-GB"/>
        </w:rPr>
        <w:t>c</w:t>
      </w:r>
      <w:r w:rsidRPr="005761CC">
        <w:rPr>
          <w:rFonts w:ascii="Avenir Next" w:hAnsi="Avenir Next" w:cs="Arial"/>
          <w:color w:val="808080" w:themeColor="background1" w:themeShade="80"/>
          <w:sz w:val="22"/>
          <w:szCs w:val="22"/>
          <w:lang w:val="en-GB"/>
        </w:rPr>
        <w:t>ourts of Country A.  As set out in Agrokor, this latter issue is the key point:</w:t>
      </w:r>
    </w:p>
    <w:p w14:paraId="7D34E51B" w14:textId="71463A16" w:rsidR="00CC23B7" w:rsidRPr="005761CC" w:rsidRDefault="00CC23B7" w:rsidP="007B3ED6">
      <w:pPr>
        <w:jc w:val="both"/>
        <w:rPr>
          <w:rFonts w:ascii="Avenir Next" w:hAnsi="Avenir Next" w:cs="Arial"/>
          <w:color w:val="808080" w:themeColor="background1" w:themeShade="80"/>
          <w:sz w:val="22"/>
          <w:szCs w:val="22"/>
          <w:lang w:val="en-GB"/>
        </w:rPr>
      </w:pPr>
    </w:p>
    <w:p w14:paraId="2E2F52CF" w14:textId="134A87B2" w:rsidR="00CC23B7" w:rsidRPr="005761CC" w:rsidRDefault="00CC23B7" w:rsidP="007B3ED6">
      <w:pPr>
        <w:ind w:left="720"/>
        <w:jc w:val="both"/>
        <w:rPr>
          <w:rFonts w:ascii="Avenir Next" w:hAnsi="Avenir Next" w:cs="Arial"/>
          <w:i/>
          <w:iCs/>
          <w:color w:val="808080" w:themeColor="background1" w:themeShade="80"/>
          <w:sz w:val="22"/>
          <w:szCs w:val="22"/>
          <w:lang w:val="en-GB"/>
        </w:rPr>
      </w:pPr>
      <w:r w:rsidRPr="005761CC">
        <w:rPr>
          <w:rFonts w:ascii="Avenir Next" w:hAnsi="Avenir Next" w:cs="Arial"/>
          <w:i/>
          <w:iCs/>
          <w:color w:val="808080" w:themeColor="background1" w:themeShade="80"/>
          <w:sz w:val="22"/>
          <w:szCs w:val="22"/>
          <w:lang w:val="en-GB"/>
        </w:rPr>
        <w:t>92.  [That the Bank of England (as regulator) has considerable powers in the winding up of a bank] is nothing to the point because the test which I am to apply is whether the proceeding is subject to the control or supervision of the court, and not whether the government has any particular power in relation to it. If I conclude (taking account of the roles and powers of the various actors) that overall the proceeding is subject to the control and supervision of the court, it is irrelevant that the government also has powers in relation to it.</w:t>
      </w:r>
    </w:p>
    <w:p w14:paraId="4745CBED" w14:textId="77777777" w:rsidR="00CC23B7" w:rsidRPr="005761CC" w:rsidRDefault="00CC23B7" w:rsidP="007B3ED6">
      <w:pPr>
        <w:jc w:val="both"/>
        <w:rPr>
          <w:rFonts w:ascii="Avenir Next" w:hAnsi="Avenir Next" w:cs="Arial"/>
          <w:color w:val="808080" w:themeColor="background1" w:themeShade="80"/>
          <w:sz w:val="22"/>
          <w:szCs w:val="22"/>
          <w:lang w:val="en-GB"/>
        </w:rPr>
      </w:pPr>
    </w:p>
    <w:p w14:paraId="46E52EE1" w14:textId="557C2D9E" w:rsidR="00A8797D" w:rsidRPr="005761CC" w:rsidRDefault="00423018"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More information would probably be required on this point, since on a plain reading of the fact pattern, the CBBC liquidation appears to be virtually exclusively under the control of the NB, the DGF and its delegates</w:t>
      </w:r>
      <w:r w:rsidR="0084670F" w:rsidRPr="005761CC">
        <w:rPr>
          <w:rFonts w:ascii="Avenir Next" w:hAnsi="Avenir Next" w:cs="Arial"/>
          <w:color w:val="808080" w:themeColor="background1" w:themeShade="80"/>
          <w:sz w:val="22"/>
          <w:szCs w:val="22"/>
          <w:lang w:val="en-GB"/>
        </w:rPr>
        <w:t>: "</w:t>
      </w:r>
      <w:r w:rsidR="0084670F" w:rsidRPr="005761CC">
        <w:rPr>
          <w:rFonts w:ascii="Avenir Next" w:hAnsi="Avenir Next" w:cs="Arial"/>
          <w:i/>
          <w:iCs/>
          <w:color w:val="808080" w:themeColor="background1" w:themeShade="80"/>
          <w:sz w:val="22"/>
          <w:szCs w:val="22"/>
          <w:lang w:val="en-GB"/>
        </w:rPr>
        <w:t xml:space="preserve">neither public authorities </w:t>
      </w:r>
      <w:r w:rsidR="0084670F" w:rsidRPr="005761CC">
        <w:rPr>
          <w:rFonts w:ascii="Avenir Next" w:hAnsi="Avenir Next" w:cs="Arial"/>
          <w:color w:val="808080" w:themeColor="background1" w:themeShade="80"/>
          <w:sz w:val="22"/>
          <w:szCs w:val="22"/>
          <w:lang w:val="en-GB"/>
        </w:rPr>
        <w:t xml:space="preserve">[quaere whether </w:t>
      </w:r>
      <w:r w:rsidR="0062756C" w:rsidRPr="005761CC">
        <w:rPr>
          <w:rFonts w:ascii="Avenir Next" w:hAnsi="Avenir Next" w:cs="Arial"/>
          <w:color w:val="808080" w:themeColor="background1" w:themeShade="80"/>
          <w:sz w:val="22"/>
          <w:szCs w:val="22"/>
          <w:lang w:val="en-GB"/>
        </w:rPr>
        <w:t xml:space="preserve">that </w:t>
      </w:r>
      <w:r w:rsidR="0084670F" w:rsidRPr="005761CC">
        <w:rPr>
          <w:rFonts w:ascii="Avenir Next" w:hAnsi="Avenir Next" w:cs="Arial"/>
          <w:color w:val="808080" w:themeColor="background1" w:themeShade="80"/>
          <w:sz w:val="22"/>
          <w:szCs w:val="22"/>
          <w:lang w:val="en-GB"/>
        </w:rPr>
        <w:t>includ</w:t>
      </w:r>
      <w:r w:rsidR="0062756C" w:rsidRPr="005761CC">
        <w:rPr>
          <w:rFonts w:ascii="Avenir Next" w:hAnsi="Avenir Next" w:cs="Arial"/>
          <w:color w:val="808080" w:themeColor="background1" w:themeShade="80"/>
          <w:sz w:val="22"/>
          <w:szCs w:val="22"/>
          <w:lang w:val="en-GB"/>
        </w:rPr>
        <w:t>es</w:t>
      </w:r>
      <w:r w:rsidR="0084670F" w:rsidRPr="005761CC">
        <w:rPr>
          <w:rFonts w:ascii="Avenir Next" w:hAnsi="Avenir Next" w:cs="Arial"/>
          <w:color w:val="808080" w:themeColor="background1" w:themeShade="80"/>
          <w:sz w:val="22"/>
          <w:szCs w:val="22"/>
          <w:lang w:val="en-GB"/>
        </w:rPr>
        <w:t xml:space="preserve"> the courts]</w:t>
      </w:r>
      <w:r w:rsidR="0084670F" w:rsidRPr="005761CC">
        <w:rPr>
          <w:rFonts w:ascii="Avenir Next" w:hAnsi="Avenir Next" w:cs="Arial"/>
          <w:i/>
          <w:iCs/>
          <w:color w:val="808080" w:themeColor="background1" w:themeShade="80"/>
          <w:sz w:val="22"/>
          <w:szCs w:val="22"/>
          <w:lang w:val="en-GB"/>
        </w:rPr>
        <w:t xml:space="preserve"> nor the NB have any right to interfere in the exercise of [the DGF's] functions and powers</w:t>
      </w:r>
      <w:r w:rsidR="0084670F" w:rsidRPr="005761CC">
        <w:rPr>
          <w:rFonts w:ascii="Avenir Next" w:hAnsi="Avenir Next" w:cs="Arial"/>
          <w:color w:val="808080" w:themeColor="background1" w:themeShade="80"/>
          <w:sz w:val="22"/>
          <w:szCs w:val="22"/>
          <w:lang w:val="en-GB"/>
        </w:rPr>
        <w:t>".</w:t>
      </w:r>
    </w:p>
    <w:p w14:paraId="65C9CA07" w14:textId="56B9561B" w:rsidR="00A8797D" w:rsidRPr="005761CC" w:rsidRDefault="00A8797D" w:rsidP="007B3ED6">
      <w:pPr>
        <w:jc w:val="both"/>
        <w:rPr>
          <w:rFonts w:ascii="Avenir Next" w:hAnsi="Avenir Next" w:cs="Arial"/>
          <w:color w:val="808080" w:themeColor="background1" w:themeShade="80"/>
          <w:sz w:val="22"/>
          <w:szCs w:val="22"/>
          <w:lang w:val="en-GB"/>
        </w:rPr>
      </w:pPr>
    </w:p>
    <w:p w14:paraId="1F292646" w14:textId="6F9EC13D" w:rsidR="00047E7D" w:rsidRPr="005761CC" w:rsidRDefault="00047E7D" w:rsidP="007B3ED6">
      <w:pPr>
        <w:jc w:val="both"/>
        <w:rPr>
          <w:rFonts w:ascii="Avenir Next" w:hAnsi="Avenir Next" w:cs="Arial"/>
          <w:color w:val="808080" w:themeColor="background1" w:themeShade="80"/>
          <w:sz w:val="22"/>
          <w:szCs w:val="22"/>
          <w:u w:val="single"/>
          <w:lang w:val="en-GB"/>
        </w:rPr>
      </w:pPr>
      <w:r w:rsidRPr="005761CC">
        <w:rPr>
          <w:rFonts w:ascii="Avenir Next" w:hAnsi="Avenir Next" w:cs="Arial"/>
          <w:color w:val="808080" w:themeColor="background1" w:themeShade="80"/>
          <w:sz w:val="22"/>
          <w:szCs w:val="22"/>
          <w:u w:val="single"/>
          <w:lang w:val="en-GB"/>
        </w:rPr>
        <w:t>Purpose of the proceedings</w:t>
      </w:r>
    </w:p>
    <w:p w14:paraId="16ED9263" w14:textId="38682BA2" w:rsidR="00047E7D" w:rsidRPr="005761CC" w:rsidRDefault="00047E7D" w:rsidP="007B3ED6">
      <w:pPr>
        <w:jc w:val="both"/>
        <w:rPr>
          <w:rFonts w:ascii="Avenir Next" w:hAnsi="Avenir Next" w:cs="Arial"/>
          <w:color w:val="808080" w:themeColor="background1" w:themeShade="80"/>
          <w:sz w:val="22"/>
          <w:szCs w:val="22"/>
          <w:lang w:val="en-GB"/>
        </w:rPr>
      </w:pPr>
    </w:p>
    <w:p w14:paraId="0F5EC40A" w14:textId="19000B7C" w:rsidR="00047E7D" w:rsidRPr="005761CC" w:rsidRDefault="00047E7D"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Article 2(a) requires that the proceedings be "for the purpose of reorganisation or liquidation".  </w:t>
      </w:r>
    </w:p>
    <w:p w14:paraId="701F2A9E" w14:textId="76B2F298" w:rsidR="00047E7D" w:rsidRPr="005761CC" w:rsidRDefault="00047E7D" w:rsidP="007B3ED6">
      <w:pPr>
        <w:jc w:val="both"/>
        <w:rPr>
          <w:rFonts w:ascii="Avenir Next" w:hAnsi="Avenir Next" w:cs="Arial"/>
          <w:color w:val="808080" w:themeColor="background1" w:themeShade="80"/>
          <w:sz w:val="22"/>
          <w:szCs w:val="22"/>
          <w:lang w:val="en-GB"/>
        </w:rPr>
      </w:pPr>
    </w:p>
    <w:p w14:paraId="75E4DF95" w14:textId="0DD46D15" w:rsidR="00F216E9" w:rsidRPr="005761CC" w:rsidRDefault="00F216E9" w:rsidP="00F216E9">
      <w:pPr>
        <w:jc w:val="both"/>
        <w:rPr>
          <w:rFonts w:ascii="Avenir Next" w:hAnsi="Avenir Next" w:cs="Arial"/>
          <w:color w:val="808080" w:themeColor="background1" w:themeShade="80"/>
          <w:sz w:val="22"/>
          <w:szCs w:val="22"/>
          <w:lang w:val="en-GB"/>
        </w:rPr>
      </w:pPr>
      <w:r w:rsidRPr="005761CC">
        <w:rPr>
          <w:rFonts w:ascii="Avenir Next" w:hAnsi="Avenir Next" w:cs="Arial"/>
          <w:i/>
          <w:iCs/>
          <w:color w:val="808080" w:themeColor="background1" w:themeShade="80"/>
          <w:sz w:val="22"/>
          <w:szCs w:val="22"/>
          <w:lang w:val="en-GB"/>
        </w:rPr>
        <w:t>Re Sturgeon Central Asia</w:t>
      </w:r>
      <w:r w:rsidRPr="005761CC">
        <w:rPr>
          <w:rFonts w:ascii="Avenir Next" w:hAnsi="Avenir Next" w:cs="Arial"/>
          <w:color w:val="808080" w:themeColor="background1" w:themeShade="80"/>
          <w:sz w:val="22"/>
          <w:szCs w:val="22"/>
          <w:lang w:val="en-GB"/>
        </w:rPr>
        <w:t xml:space="preserve"> [2020] EWHC 123 (Ch) suggests that this requirement should be read purposively, emphasising the goals of insolvency (i.e. an ordered liquidation and the protection of creditors' interests) or recovery from financial distress (including protection for the debtor during any restructuring).</w:t>
      </w:r>
    </w:p>
    <w:p w14:paraId="204FC31B" w14:textId="22F03DAA" w:rsidR="00F216E9" w:rsidRPr="005761CC" w:rsidRDefault="00F216E9" w:rsidP="00F216E9">
      <w:pPr>
        <w:jc w:val="both"/>
        <w:rPr>
          <w:rFonts w:ascii="Avenir Next" w:hAnsi="Avenir Next" w:cs="Arial"/>
          <w:color w:val="808080" w:themeColor="background1" w:themeShade="80"/>
          <w:sz w:val="22"/>
          <w:szCs w:val="22"/>
          <w:lang w:val="en-GB"/>
        </w:rPr>
      </w:pPr>
    </w:p>
    <w:p w14:paraId="74BD85C3" w14:textId="30345DA9" w:rsidR="00F216E9" w:rsidRPr="005761CC" w:rsidRDefault="00F216E9" w:rsidP="00F216E9">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It is difficult to see that the CBBC liquidation fulfils these criteria</w:t>
      </w:r>
      <w:r w:rsidR="00042C36" w:rsidRPr="005761CC">
        <w:rPr>
          <w:rFonts w:ascii="Avenir Next" w:hAnsi="Avenir Next" w:cs="Arial"/>
          <w:color w:val="808080" w:themeColor="background1" w:themeShade="80"/>
          <w:sz w:val="22"/>
          <w:szCs w:val="22"/>
          <w:lang w:val="en-GB"/>
        </w:rPr>
        <w:t xml:space="preserve"> insofar as reorganisation is concerned</w:t>
      </w:r>
      <w:r w:rsidRPr="005761CC">
        <w:rPr>
          <w:rFonts w:ascii="Avenir Next" w:hAnsi="Avenir Next" w:cs="Arial"/>
          <w:color w:val="808080" w:themeColor="background1" w:themeShade="80"/>
          <w:sz w:val="22"/>
          <w:szCs w:val="22"/>
          <w:lang w:val="en-GB"/>
        </w:rPr>
        <w:t xml:space="preserve">.  The outcome seems </w:t>
      </w:r>
      <w:r w:rsidR="00042C36" w:rsidRPr="005761CC">
        <w:rPr>
          <w:rFonts w:ascii="Avenir Next" w:hAnsi="Avenir Next" w:cs="Arial"/>
          <w:color w:val="808080" w:themeColor="background1" w:themeShade="80"/>
          <w:sz w:val="22"/>
          <w:szCs w:val="22"/>
          <w:lang w:val="en-GB"/>
        </w:rPr>
        <w:t>quite</w:t>
      </w:r>
      <w:r w:rsidRPr="005761CC">
        <w:rPr>
          <w:rFonts w:ascii="Avenir Next" w:hAnsi="Avenir Next" w:cs="Arial"/>
          <w:color w:val="808080" w:themeColor="background1" w:themeShade="80"/>
          <w:sz w:val="22"/>
          <w:szCs w:val="22"/>
          <w:lang w:val="en-GB"/>
        </w:rPr>
        <w:t xml:space="preserve"> fixed: LBBA Article 75 grants "troubled" institutions 180 days (a relatively short period) to rectify any breaches of the LBBA criteria or the NB's regulations, following which the target is either confirmed as compliant or classified as insolvent.  Once declared insolvent, the DGF </w:t>
      </w:r>
      <w:r w:rsidR="00042C36" w:rsidRPr="005761CC">
        <w:rPr>
          <w:rFonts w:ascii="Avenir Next" w:hAnsi="Avenir Next" w:cs="Arial"/>
          <w:color w:val="808080" w:themeColor="background1" w:themeShade="80"/>
          <w:sz w:val="22"/>
          <w:szCs w:val="22"/>
          <w:lang w:val="en-GB"/>
        </w:rPr>
        <w:t xml:space="preserve">is obliged immediately to commence </w:t>
      </w:r>
      <w:r w:rsidRPr="005761CC">
        <w:rPr>
          <w:rFonts w:ascii="Avenir Next" w:hAnsi="Avenir Next" w:cs="Arial"/>
          <w:color w:val="808080" w:themeColor="background1" w:themeShade="80"/>
          <w:sz w:val="22"/>
          <w:szCs w:val="22"/>
          <w:lang w:val="en-GB"/>
        </w:rPr>
        <w:t>liquidation, during which its sole end goal is to "remove [the bank] from the market".</w:t>
      </w:r>
      <w:r w:rsidR="00042C36" w:rsidRPr="005761CC">
        <w:rPr>
          <w:rFonts w:ascii="Avenir Next" w:hAnsi="Avenir Next" w:cs="Arial"/>
          <w:color w:val="808080" w:themeColor="background1" w:themeShade="80"/>
          <w:sz w:val="22"/>
          <w:szCs w:val="22"/>
          <w:lang w:val="en-GB"/>
        </w:rPr>
        <w:t xml:space="preserve">  A short period of provisional administration does not appear to provide an opportunity to restructure the institution: the focus is on an aggressive and irrevocable liquidation, starting with the defenestration of management, termination of normal banking activities and a push towards collection of assets and pursuit of claims.</w:t>
      </w:r>
    </w:p>
    <w:p w14:paraId="757A6D3C" w14:textId="77777777" w:rsidR="00F216E9" w:rsidRPr="005761CC" w:rsidRDefault="00F216E9" w:rsidP="00F216E9">
      <w:pPr>
        <w:jc w:val="both"/>
        <w:rPr>
          <w:rFonts w:ascii="Avenir Next" w:hAnsi="Avenir Next" w:cs="Arial"/>
          <w:color w:val="808080" w:themeColor="background1" w:themeShade="80"/>
          <w:sz w:val="22"/>
          <w:szCs w:val="22"/>
          <w:lang w:val="en-GB"/>
        </w:rPr>
      </w:pPr>
    </w:p>
    <w:p w14:paraId="10F60076" w14:textId="4857D7FB" w:rsidR="00047E7D" w:rsidRPr="005761CC" w:rsidRDefault="00F216E9" w:rsidP="00F216E9">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The Agrokor Court held that a law whose purpose was</w:t>
      </w:r>
      <w:r w:rsidR="00047E7D" w:rsidRPr="005761CC">
        <w:rPr>
          <w:rFonts w:ascii="Avenir Next" w:hAnsi="Avenir Next" w:cs="Arial"/>
          <w:color w:val="808080" w:themeColor="background1" w:themeShade="80"/>
          <w:sz w:val="22"/>
          <w:szCs w:val="22"/>
          <w:lang w:val="en-GB"/>
        </w:rPr>
        <w:t xml:space="preserve"> to protect the stability of the economic system by </w:t>
      </w:r>
      <w:r w:rsidRPr="005761CC">
        <w:rPr>
          <w:rFonts w:ascii="Avenir Next" w:hAnsi="Avenir Next" w:cs="Arial"/>
          <w:color w:val="808080" w:themeColor="background1" w:themeShade="80"/>
          <w:sz w:val="22"/>
          <w:szCs w:val="22"/>
          <w:lang w:val="en-GB"/>
        </w:rPr>
        <w:t xml:space="preserve">permitting the restructuring of key </w:t>
      </w:r>
      <w:r w:rsidR="00047E7D" w:rsidRPr="005761CC">
        <w:rPr>
          <w:rFonts w:ascii="Avenir Next" w:hAnsi="Avenir Next" w:cs="Arial"/>
          <w:color w:val="808080" w:themeColor="background1" w:themeShade="80"/>
          <w:sz w:val="22"/>
          <w:szCs w:val="22"/>
          <w:lang w:val="en-GB"/>
        </w:rPr>
        <w:t xml:space="preserve">companies which were in financial difficulty did not </w:t>
      </w:r>
      <w:r w:rsidRPr="005761CC">
        <w:rPr>
          <w:rFonts w:ascii="Avenir Next" w:hAnsi="Avenir Next" w:cs="Arial"/>
          <w:color w:val="808080" w:themeColor="background1" w:themeShade="80"/>
          <w:sz w:val="22"/>
          <w:szCs w:val="22"/>
          <w:lang w:val="en-GB"/>
        </w:rPr>
        <w:t xml:space="preserve">automatically </w:t>
      </w:r>
      <w:r w:rsidR="00047E7D" w:rsidRPr="005761CC">
        <w:rPr>
          <w:rFonts w:ascii="Avenir Next" w:hAnsi="Avenir Next" w:cs="Arial"/>
          <w:color w:val="808080" w:themeColor="background1" w:themeShade="80"/>
          <w:sz w:val="22"/>
          <w:szCs w:val="22"/>
          <w:lang w:val="en-GB"/>
        </w:rPr>
        <w:t>mean that the purpose of the law was to protect important companies at the expense of creditors</w:t>
      </w:r>
      <w:r w:rsidR="00042C36" w:rsidRPr="005761CC">
        <w:rPr>
          <w:rFonts w:ascii="Avenir Next" w:hAnsi="Avenir Next" w:cs="Arial"/>
          <w:color w:val="808080" w:themeColor="background1" w:themeShade="80"/>
          <w:sz w:val="22"/>
          <w:szCs w:val="22"/>
          <w:lang w:val="en-GB"/>
        </w:rPr>
        <w:t xml:space="preserve"> – but that such a regime would still fall within Article 2(a) because "</w:t>
      </w:r>
      <w:r w:rsidR="00042C36" w:rsidRPr="005761CC">
        <w:rPr>
          <w:rFonts w:ascii="Avenir Next" w:hAnsi="Avenir Next" w:cs="Arial"/>
          <w:i/>
          <w:iCs/>
          <w:color w:val="808080" w:themeColor="background1" w:themeShade="80"/>
          <w:sz w:val="22"/>
          <w:szCs w:val="22"/>
          <w:lang w:val="en-GB"/>
        </w:rPr>
        <w:t>it can nonetheless be described as a law for the purposes of reorganisation or liquidation within the meaning of the CBIR</w:t>
      </w:r>
      <w:r w:rsidR="00042C36" w:rsidRPr="005761CC">
        <w:rPr>
          <w:rFonts w:ascii="Avenir Next" w:hAnsi="Avenir Next" w:cs="Arial"/>
          <w:color w:val="808080" w:themeColor="background1" w:themeShade="80"/>
          <w:sz w:val="22"/>
          <w:szCs w:val="22"/>
          <w:lang w:val="en-GB"/>
        </w:rPr>
        <w:t>".</w:t>
      </w:r>
    </w:p>
    <w:p w14:paraId="6D059B89" w14:textId="0B2CD16E" w:rsidR="00042C36" w:rsidRPr="005761CC" w:rsidRDefault="00042C36" w:rsidP="00F216E9">
      <w:pPr>
        <w:jc w:val="both"/>
        <w:rPr>
          <w:rFonts w:ascii="Avenir Next" w:hAnsi="Avenir Next" w:cs="Arial"/>
          <w:color w:val="808080" w:themeColor="background1" w:themeShade="80"/>
          <w:sz w:val="22"/>
          <w:szCs w:val="22"/>
          <w:lang w:val="en-GB"/>
        </w:rPr>
      </w:pPr>
    </w:p>
    <w:p w14:paraId="516B29C6" w14:textId="5FD10276" w:rsidR="00042C36" w:rsidRPr="005761CC" w:rsidRDefault="00042C36" w:rsidP="00F216E9">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Accordingly, despite its laser focus on liquidation over reorganisation, the CBBC proceedings probably fall with Article 2(a) in this respect.</w:t>
      </w:r>
    </w:p>
    <w:p w14:paraId="705846E6" w14:textId="05A4E430" w:rsidR="00042C36" w:rsidRPr="005761CC" w:rsidRDefault="00042C36" w:rsidP="00F216E9">
      <w:pPr>
        <w:jc w:val="both"/>
        <w:rPr>
          <w:rFonts w:ascii="Avenir Next" w:hAnsi="Avenir Next" w:cs="Arial"/>
          <w:color w:val="808080" w:themeColor="background1" w:themeShade="80"/>
          <w:sz w:val="22"/>
          <w:szCs w:val="22"/>
          <w:lang w:val="en-GB"/>
        </w:rPr>
      </w:pPr>
    </w:p>
    <w:p w14:paraId="21D2B804" w14:textId="067051BC" w:rsidR="00042C36" w:rsidRPr="005761CC" w:rsidRDefault="000B3878" w:rsidP="00F216E9">
      <w:pPr>
        <w:jc w:val="both"/>
        <w:rPr>
          <w:rFonts w:ascii="Avenir Next" w:hAnsi="Avenir Next" w:cs="Arial"/>
          <w:color w:val="808080" w:themeColor="background1" w:themeShade="80"/>
          <w:sz w:val="22"/>
          <w:szCs w:val="22"/>
          <w:u w:val="single"/>
          <w:lang w:val="en-GB"/>
        </w:rPr>
      </w:pPr>
      <w:r w:rsidRPr="005761CC">
        <w:rPr>
          <w:rFonts w:ascii="Avenir Next" w:hAnsi="Avenir Next" w:cs="Arial"/>
          <w:color w:val="808080" w:themeColor="background1" w:themeShade="80"/>
          <w:sz w:val="22"/>
          <w:szCs w:val="22"/>
          <w:u w:val="single"/>
          <w:lang w:val="en-GB"/>
        </w:rPr>
        <w:t>Collective in nature</w:t>
      </w:r>
    </w:p>
    <w:p w14:paraId="65B348B3" w14:textId="77777777" w:rsidR="00047E7D" w:rsidRPr="005761CC" w:rsidRDefault="00047E7D" w:rsidP="007B3ED6">
      <w:pPr>
        <w:jc w:val="both"/>
        <w:rPr>
          <w:rFonts w:ascii="Avenir Next" w:hAnsi="Avenir Next" w:cs="Arial"/>
          <w:color w:val="808080" w:themeColor="background1" w:themeShade="80"/>
          <w:sz w:val="22"/>
          <w:szCs w:val="22"/>
          <w:lang w:val="en-GB"/>
        </w:rPr>
      </w:pPr>
    </w:p>
    <w:p w14:paraId="4C20B96E" w14:textId="77777777" w:rsidR="00A133B4" w:rsidRPr="005761CC" w:rsidRDefault="000B3878" w:rsidP="000B3878">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Article 2(a) requires that the proceedings be </w:t>
      </w:r>
      <w:r w:rsidR="00A133B4" w:rsidRPr="005761CC">
        <w:rPr>
          <w:rFonts w:ascii="Avenir Next" w:hAnsi="Avenir Next" w:cs="Arial"/>
          <w:color w:val="808080" w:themeColor="background1" w:themeShade="80"/>
          <w:sz w:val="22"/>
          <w:szCs w:val="22"/>
          <w:lang w:val="en-GB"/>
        </w:rPr>
        <w:t xml:space="preserve">a </w:t>
      </w:r>
      <w:r w:rsidRPr="005761CC">
        <w:rPr>
          <w:rFonts w:ascii="Avenir Next" w:hAnsi="Avenir Next" w:cs="Arial"/>
          <w:color w:val="808080" w:themeColor="background1" w:themeShade="80"/>
          <w:sz w:val="22"/>
          <w:szCs w:val="22"/>
          <w:lang w:val="en-GB"/>
        </w:rPr>
        <w:t>"</w:t>
      </w:r>
      <w:r w:rsidR="00A133B4" w:rsidRPr="005761CC">
        <w:rPr>
          <w:rFonts w:ascii="Avenir Next" w:hAnsi="Avenir Next" w:cs="Arial"/>
          <w:i/>
          <w:iCs/>
          <w:color w:val="808080" w:themeColor="background1" w:themeShade="80"/>
          <w:sz w:val="22"/>
          <w:szCs w:val="22"/>
          <w:lang w:val="en-GB"/>
        </w:rPr>
        <w:t>collective judicial or administrative proceeding</w:t>
      </w:r>
      <w:r w:rsidRPr="005761CC">
        <w:rPr>
          <w:rFonts w:ascii="Avenir Next" w:hAnsi="Avenir Next" w:cs="Arial"/>
          <w:color w:val="808080" w:themeColor="background1" w:themeShade="80"/>
          <w:sz w:val="22"/>
          <w:szCs w:val="22"/>
          <w:lang w:val="en-GB"/>
        </w:rPr>
        <w:t xml:space="preserve">".  </w:t>
      </w:r>
    </w:p>
    <w:p w14:paraId="428FC4FA" w14:textId="77777777" w:rsidR="00A133B4" w:rsidRPr="005761CC" w:rsidRDefault="00A133B4" w:rsidP="000B3878">
      <w:pPr>
        <w:jc w:val="both"/>
        <w:rPr>
          <w:rFonts w:ascii="Avenir Next" w:hAnsi="Avenir Next" w:cs="Arial"/>
          <w:color w:val="808080" w:themeColor="background1" w:themeShade="80"/>
          <w:sz w:val="22"/>
          <w:szCs w:val="22"/>
          <w:lang w:val="en-GB"/>
        </w:rPr>
      </w:pPr>
    </w:p>
    <w:p w14:paraId="74284D71" w14:textId="677B2EA4" w:rsidR="000B3878" w:rsidRPr="005761CC" w:rsidRDefault="00A133B4" w:rsidP="000B3878">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The Judicial Perspective explains that</w:t>
      </w:r>
      <w:r w:rsidR="007236AC" w:rsidRPr="005761CC">
        <w:rPr>
          <w:rFonts w:ascii="Avenir Next" w:hAnsi="Avenir Next" w:cs="Arial"/>
          <w:color w:val="808080" w:themeColor="background1" w:themeShade="80"/>
          <w:sz w:val="22"/>
          <w:szCs w:val="22"/>
          <w:lang w:val="en-GB"/>
        </w:rPr>
        <w:t xml:space="preserve"> collectivity emphasises achieving a coordinated global solution for all stakeholders, and not </w:t>
      </w:r>
      <w:r w:rsidRPr="005761CC">
        <w:rPr>
          <w:rFonts w:ascii="Avenir Next" w:hAnsi="Avenir Next" w:cs="Arial"/>
          <w:color w:val="808080" w:themeColor="background1" w:themeShade="80"/>
          <w:sz w:val="22"/>
          <w:szCs w:val="22"/>
          <w:lang w:val="en-GB"/>
        </w:rPr>
        <w:t>"</w:t>
      </w:r>
      <w:r w:rsidR="007236AC" w:rsidRPr="005761CC">
        <w:rPr>
          <w:rFonts w:ascii="Avenir Next" w:hAnsi="Avenir Next" w:cs="Arial"/>
          <w:i/>
          <w:iCs/>
          <w:color w:val="808080" w:themeColor="background1" w:themeShade="80"/>
          <w:sz w:val="22"/>
          <w:szCs w:val="22"/>
          <w:lang w:val="en-GB"/>
        </w:rPr>
        <w:t>merely as a collection device for a particular creditor or group of creditors who might have initiated a collection proceeding in another State, or as a tool for gathering up assets in a winding up</w:t>
      </w:r>
      <w:r w:rsidRPr="005761CC">
        <w:rPr>
          <w:rFonts w:ascii="Avenir Next" w:hAnsi="Avenir Next" w:cs="Arial"/>
          <w:color w:val="808080" w:themeColor="background1" w:themeShade="80"/>
          <w:sz w:val="22"/>
          <w:szCs w:val="22"/>
          <w:lang w:val="en-GB"/>
        </w:rPr>
        <w:t>"</w:t>
      </w:r>
      <w:r w:rsidR="007236AC" w:rsidRPr="005761CC">
        <w:rPr>
          <w:rFonts w:ascii="Avenir Next" w:hAnsi="Avenir Next" w:cs="Arial"/>
          <w:color w:val="808080" w:themeColor="background1" w:themeShade="80"/>
          <w:sz w:val="22"/>
          <w:szCs w:val="22"/>
          <w:lang w:val="en-GB"/>
        </w:rPr>
        <w:t>.</w:t>
      </w:r>
    </w:p>
    <w:p w14:paraId="0802E4FA" w14:textId="1F1E089D" w:rsidR="00A8797D" w:rsidRPr="005761CC" w:rsidRDefault="00A8797D" w:rsidP="007B3ED6">
      <w:pPr>
        <w:jc w:val="both"/>
        <w:rPr>
          <w:rFonts w:ascii="Avenir Next" w:hAnsi="Avenir Next" w:cs="Arial"/>
          <w:color w:val="808080" w:themeColor="background1" w:themeShade="80"/>
          <w:sz w:val="22"/>
          <w:szCs w:val="22"/>
          <w:lang w:val="en-GB"/>
        </w:rPr>
      </w:pPr>
    </w:p>
    <w:p w14:paraId="5E3D21FC" w14:textId="7FBD2A49" w:rsidR="007236AC" w:rsidRPr="005761CC" w:rsidRDefault="007236AC" w:rsidP="007B3ED6">
      <w:pPr>
        <w:jc w:val="both"/>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This is difficult to reconcile with the very aggressive approach of the CBBC liquidation</w:t>
      </w:r>
      <w:r w:rsidR="00F55B89" w:rsidRPr="005761CC">
        <w:rPr>
          <w:rFonts w:ascii="Avenir Next" w:hAnsi="Avenir Next" w:cs="Arial"/>
          <w:color w:val="808080" w:themeColor="background1" w:themeShade="80"/>
          <w:sz w:val="22"/>
          <w:szCs w:val="22"/>
          <w:lang w:val="en-GB"/>
        </w:rPr>
        <w:t xml:space="preserve"> and its seeming focus on the orderly dissolution of financial institutions and the protection of Country A's financial system</w:t>
      </w:r>
      <w:r w:rsidRPr="005761CC">
        <w:rPr>
          <w:rFonts w:ascii="Avenir Next" w:hAnsi="Avenir Next" w:cs="Arial"/>
          <w:color w:val="808080" w:themeColor="background1" w:themeShade="80"/>
          <w:sz w:val="22"/>
          <w:szCs w:val="22"/>
          <w:lang w:val="en-GB"/>
        </w:rPr>
        <w:t xml:space="preserve">, </w:t>
      </w:r>
      <w:r w:rsidR="00E52D76" w:rsidRPr="005761CC">
        <w:rPr>
          <w:rFonts w:ascii="Avenir Next" w:hAnsi="Avenir Next" w:cs="Arial"/>
          <w:color w:val="808080" w:themeColor="background1" w:themeShade="80"/>
          <w:sz w:val="22"/>
          <w:szCs w:val="22"/>
          <w:lang w:val="en-GB"/>
        </w:rPr>
        <w:t>which</w:t>
      </w:r>
      <w:r w:rsidR="007F3BE3" w:rsidRPr="005761CC">
        <w:rPr>
          <w:rFonts w:ascii="Avenir Next" w:hAnsi="Avenir Next" w:cs="Arial"/>
          <w:color w:val="808080" w:themeColor="background1" w:themeShade="80"/>
          <w:sz w:val="22"/>
          <w:szCs w:val="22"/>
          <w:lang w:val="en-GB"/>
        </w:rPr>
        <w:t xml:space="preserve"> while nodding to identifying existing creditors also</w:t>
      </w:r>
      <w:r w:rsidR="00E52D76" w:rsidRPr="005761CC">
        <w:rPr>
          <w:rFonts w:ascii="Avenir Next" w:hAnsi="Avenir Next" w:cs="Arial"/>
          <w:color w:val="808080" w:themeColor="background1" w:themeShade="80"/>
          <w:sz w:val="22"/>
          <w:szCs w:val="22"/>
          <w:lang w:val="en-GB"/>
        </w:rPr>
        <w:t xml:space="preserve"> includes </w:t>
      </w:r>
      <w:r w:rsidRPr="005761CC">
        <w:rPr>
          <w:rFonts w:ascii="Avenir Next" w:hAnsi="Avenir Next" w:cs="Arial"/>
          <w:i/>
          <w:iCs/>
          <w:color w:val="808080" w:themeColor="background1" w:themeShade="80"/>
          <w:sz w:val="22"/>
          <w:szCs w:val="22"/>
          <w:lang w:val="en-GB"/>
        </w:rPr>
        <w:t xml:space="preserve">inter alia </w:t>
      </w:r>
      <w:r w:rsidRPr="005761CC">
        <w:rPr>
          <w:rFonts w:ascii="Avenir Next" w:hAnsi="Avenir Next" w:cs="Arial"/>
          <w:color w:val="808080" w:themeColor="background1" w:themeShade="80"/>
          <w:sz w:val="22"/>
          <w:szCs w:val="22"/>
          <w:lang w:val="en-GB"/>
        </w:rPr>
        <w:t>immediately deeming all debts to be due, alienating the bank's property and funds, terminating any encumbrances on the bank's property and prohibiting offsetting of counterclaims.</w:t>
      </w:r>
      <w:r w:rsidR="00CF44A4" w:rsidRPr="005761CC">
        <w:rPr>
          <w:rFonts w:ascii="Avenir Next" w:hAnsi="Avenir Next" w:cs="Arial"/>
          <w:color w:val="808080" w:themeColor="background1" w:themeShade="80"/>
          <w:sz w:val="22"/>
          <w:szCs w:val="22"/>
          <w:lang w:val="en-GB"/>
        </w:rPr>
        <w:t xml:space="preserve">  It would be helpful in this regard to have evidence as to the statutory duties of liquidators in Country A, and the extent to which they are obliged to consider the interests of all creditors</w:t>
      </w:r>
      <w:r w:rsidR="00A32A7A" w:rsidRPr="005761CC">
        <w:rPr>
          <w:rFonts w:ascii="Avenir Next" w:hAnsi="Avenir Next" w:cs="Arial"/>
          <w:color w:val="808080" w:themeColor="background1" w:themeShade="80"/>
          <w:sz w:val="22"/>
          <w:szCs w:val="22"/>
          <w:lang w:val="en-GB"/>
        </w:rPr>
        <w:t xml:space="preserve"> (and see for example the focus on creditors' interests in the Australian case </w:t>
      </w:r>
      <w:r w:rsidR="00A32A7A" w:rsidRPr="005761CC">
        <w:rPr>
          <w:rFonts w:ascii="Avenir Next" w:hAnsi="Avenir Next" w:cs="Arial"/>
          <w:i/>
          <w:iCs/>
          <w:color w:val="808080" w:themeColor="background1" w:themeShade="80"/>
          <w:sz w:val="22"/>
          <w:szCs w:val="22"/>
          <w:lang w:val="en-GB"/>
        </w:rPr>
        <w:t>Re Betcorp Ltd</w:t>
      </w:r>
      <w:r w:rsidR="00A32A7A" w:rsidRPr="005761CC">
        <w:rPr>
          <w:rFonts w:ascii="Avenir Next" w:hAnsi="Avenir Next" w:cs="Arial"/>
          <w:color w:val="808080" w:themeColor="background1" w:themeShade="80"/>
          <w:sz w:val="22"/>
          <w:szCs w:val="22"/>
          <w:lang w:val="en-GB"/>
        </w:rPr>
        <w:t xml:space="preserve"> 400 BR 266 (2009))</w:t>
      </w:r>
      <w:r w:rsidR="00CF44A4" w:rsidRPr="005761CC">
        <w:rPr>
          <w:rFonts w:ascii="Avenir Next" w:hAnsi="Avenir Next" w:cs="Arial"/>
          <w:color w:val="808080" w:themeColor="background1" w:themeShade="80"/>
          <w:sz w:val="22"/>
          <w:szCs w:val="22"/>
          <w:lang w:val="en-GB"/>
        </w:rPr>
        <w:t>.</w:t>
      </w:r>
    </w:p>
    <w:p w14:paraId="769F785A" w14:textId="170C4070" w:rsidR="00A8797D" w:rsidRPr="005761CC" w:rsidRDefault="00A8797D">
      <w:pPr>
        <w:rPr>
          <w:rFonts w:ascii="Avenir Next" w:hAnsi="Avenir Next" w:cs="Arial"/>
          <w:color w:val="808080" w:themeColor="background1" w:themeShade="80"/>
          <w:sz w:val="22"/>
          <w:szCs w:val="22"/>
          <w:lang w:val="en-GB"/>
        </w:rPr>
      </w:pPr>
    </w:p>
    <w:p w14:paraId="4C10BD5D" w14:textId="3C3BC951" w:rsidR="00F55B89" w:rsidRPr="005761CC" w:rsidRDefault="00F55B89">
      <w:pPr>
        <w:rPr>
          <w:rFonts w:ascii="Avenir Next" w:hAnsi="Avenir Next" w:cs="Arial"/>
          <w:color w:val="808080" w:themeColor="background1" w:themeShade="80"/>
          <w:sz w:val="22"/>
          <w:szCs w:val="22"/>
          <w:u w:val="single"/>
          <w:lang w:val="en-GB"/>
        </w:rPr>
      </w:pPr>
      <w:r w:rsidRPr="005761CC">
        <w:rPr>
          <w:rFonts w:ascii="Avenir Next" w:hAnsi="Avenir Next" w:cs="Arial"/>
          <w:color w:val="808080" w:themeColor="background1" w:themeShade="80"/>
          <w:sz w:val="22"/>
          <w:szCs w:val="22"/>
          <w:u w:val="single"/>
          <w:lang w:val="en-GB"/>
        </w:rPr>
        <w:t>Conclusion</w:t>
      </w:r>
    </w:p>
    <w:p w14:paraId="5CA70B41" w14:textId="0F67ACDC" w:rsidR="00F55B89" w:rsidRPr="005761CC" w:rsidRDefault="00F55B89">
      <w:pPr>
        <w:rPr>
          <w:rFonts w:ascii="Avenir Next" w:hAnsi="Avenir Next" w:cs="Arial"/>
          <w:color w:val="808080" w:themeColor="background1" w:themeShade="80"/>
          <w:sz w:val="22"/>
          <w:szCs w:val="22"/>
          <w:lang w:val="en-GB"/>
        </w:rPr>
      </w:pPr>
    </w:p>
    <w:p w14:paraId="175F2B26" w14:textId="5FB33030" w:rsidR="00F55B89" w:rsidRPr="005761CC" w:rsidRDefault="00F55B89">
      <w:p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On the basis of the above, and while there are elements of the CBBC liquidation that </w:t>
      </w:r>
      <w:r w:rsidR="004F2BD0" w:rsidRPr="005761CC">
        <w:rPr>
          <w:rFonts w:ascii="Avenir Next" w:hAnsi="Avenir Next" w:cs="Arial"/>
          <w:color w:val="808080" w:themeColor="background1" w:themeShade="80"/>
          <w:sz w:val="22"/>
          <w:szCs w:val="22"/>
          <w:lang w:val="en-GB"/>
        </w:rPr>
        <w:t xml:space="preserve">clearly </w:t>
      </w:r>
      <w:r w:rsidRPr="005761CC">
        <w:rPr>
          <w:rFonts w:ascii="Avenir Next" w:hAnsi="Avenir Next" w:cs="Arial"/>
          <w:color w:val="808080" w:themeColor="background1" w:themeShade="80"/>
          <w:sz w:val="22"/>
          <w:szCs w:val="22"/>
          <w:lang w:val="en-GB"/>
        </w:rPr>
        <w:t>satisfy the Article 2(a) definition, there are also areas (primarily, the focus on protecting Country A's economic stability and avoiding</w:t>
      </w:r>
      <w:r w:rsidR="005A6D49" w:rsidRPr="005761CC">
        <w:rPr>
          <w:rFonts w:ascii="Avenir Next" w:hAnsi="Avenir Next" w:cs="Arial"/>
          <w:color w:val="808080" w:themeColor="background1" w:themeShade="80"/>
          <w:sz w:val="22"/>
          <w:szCs w:val="22"/>
          <w:lang w:val="en-GB"/>
        </w:rPr>
        <w:t xml:space="preserve"> or mitigating the effects of</w:t>
      </w:r>
      <w:r w:rsidRPr="005761CC">
        <w:rPr>
          <w:rFonts w:ascii="Avenir Next" w:hAnsi="Avenir Next" w:cs="Arial"/>
          <w:color w:val="808080" w:themeColor="background1" w:themeShade="80"/>
          <w:sz w:val="22"/>
          <w:szCs w:val="22"/>
          <w:lang w:val="en-GB"/>
        </w:rPr>
        <w:t xml:space="preserve"> the collapse of </w:t>
      </w:r>
      <w:r w:rsidR="004D5F58" w:rsidRPr="005761CC">
        <w:rPr>
          <w:rFonts w:ascii="Avenir Next" w:hAnsi="Avenir Next" w:cs="Arial"/>
          <w:color w:val="808080" w:themeColor="background1" w:themeShade="80"/>
          <w:sz w:val="22"/>
          <w:szCs w:val="22"/>
          <w:lang w:val="en-GB"/>
        </w:rPr>
        <w:t>local</w:t>
      </w:r>
      <w:r w:rsidRPr="005761CC">
        <w:rPr>
          <w:rFonts w:ascii="Avenir Next" w:hAnsi="Avenir Next" w:cs="Arial"/>
          <w:color w:val="808080" w:themeColor="background1" w:themeShade="80"/>
          <w:sz w:val="22"/>
          <w:szCs w:val="22"/>
          <w:lang w:val="en-GB"/>
        </w:rPr>
        <w:t xml:space="preserve"> financial institutions) where more evidence would be required before saying with complete confidence that it qualifies as a "foreign proceeding" under the English CBIR.</w:t>
      </w:r>
    </w:p>
    <w:p w14:paraId="039FEA1B" w14:textId="77777777" w:rsidR="00F55B89" w:rsidRPr="005761CC" w:rsidRDefault="00F55B89">
      <w:pPr>
        <w:rPr>
          <w:rFonts w:ascii="Avenir Next" w:hAnsi="Avenir Next" w:cs="Arial"/>
          <w:color w:val="808080" w:themeColor="background1" w:themeShade="80"/>
          <w:sz w:val="22"/>
          <w:szCs w:val="22"/>
          <w:lang w:val="en-GB"/>
        </w:rPr>
      </w:pPr>
    </w:p>
    <w:p w14:paraId="4599B49E" w14:textId="77777777" w:rsidR="00A8797D" w:rsidRPr="005761CC" w:rsidRDefault="00A8797D">
      <w:pPr>
        <w:rPr>
          <w:rFonts w:ascii="Avenir Next" w:hAnsi="Avenir Next" w:cs="Arial"/>
          <w:color w:val="808080" w:themeColor="background1" w:themeShade="80"/>
          <w:sz w:val="22"/>
          <w:szCs w:val="22"/>
          <w:lang w:val="en-GB"/>
        </w:rPr>
      </w:pPr>
    </w:p>
    <w:p w14:paraId="1952384D" w14:textId="3A8D457F" w:rsidR="00483D42" w:rsidRPr="005761CC" w:rsidRDefault="00483D42" w:rsidP="00483D42">
      <w:pPr>
        <w:jc w:val="both"/>
        <w:rPr>
          <w:rFonts w:ascii="Avenir Next" w:hAnsi="Avenir Next" w:cs="Arial"/>
          <w:b/>
          <w:bCs/>
          <w:color w:val="808080" w:themeColor="background1" w:themeShade="80"/>
          <w:sz w:val="22"/>
          <w:szCs w:val="22"/>
          <w:u w:val="single"/>
          <w:lang w:val="en-GB"/>
        </w:rPr>
      </w:pPr>
      <w:r w:rsidRPr="005761CC">
        <w:rPr>
          <w:rFonts w:ascii="Avenir Next" w:hAnsi="Avenir Next" w:cs="Arial"/>
          <w:b/>
          <w:bCs/>
          <w:color w:val="808080" w:themeColor="background1" w:themeShade="80"/>
          <w:sz w:val="22"/>
          <w:szCs w:val="22"/>
          <w:u w:val="single"/>
          <w:lang w:val="en-GB"/>
        </w:rPr>
        <w:t>Q4.1.2.</w:t>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r w:rsidR="005761CC">
        <w:rPr>
          <w:rFonts w:ascii="Avenir Next" w:hAnsi="Avenir Next" w:cs="Arial"/>
          <w:b/>
          <w:bCs/>
          <w:color w:val="808080" w:themeColor="background1" w:themeShade="80"/>
          <w:sz w:val="22"/>
          <w:szCs w:val="22"/>
          <w:u w:val="single"/>
          <w:lang w:val="en-GB"/>
        </w:rPr>
        <w:tab/>
      </w:r>
    </w:p>
    <w:p w14:paraId="0246990D" w14:textId="77777777" w:rsidR="00483D42" w:rsidRPr="005761CC" w:rsidRDefault="00483D42" w:rsidP="00483D42">
      <w:pPr>
        <w:jc w:val="both"/>
        <w:rPr>
          <w:rFonts w:ascii="Avenir Next" w:hAnsi="Avenir Next" w:cs="Arial"/>
          <w:color w:val="808080" w:themeColor="background1" w:themeShade="80"/>
          <w:sz w:val="22"/>
          <w:szCs w:val="22"/>
          <w:lang w:val="en-GB"/>
        </w:rPr>
      </w:pPr>
    </w:p>
    <w:p w14:paraId="5771487C" w14:textId="33621B42" w:rsidR="00AE63BB" w:rsidRPr="005761CC" w:rsidRDefault="006845AA" w:rsidP="00483D42">
      <w:p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Are the Applicants "foreign representatives" ("</w:t>
      </w:r>
      <w:r w:rsidRPr="005761CC">
        <w:rPr>
          <w:rFonts w:ascii="Avenir Next" w:hAnsi="Avenir Next" w:cs="Arial"/>
          <w:b/>
          <w:bCs/>
          <w:color w:val="808080" w:themeColor="background1" w:themeShade="80"/>
          <w:sz w:val="22"/>
          <w:szCs w:val="22"/>
          <w:lang w:val="en-GB"/>
        </w:rPr>
        <w:t>FRs</w:t>
      </w:r>
      <w:r w:rsidRPr="005761CC">
        <w:rPr>
          <w:rFonts w:ascii="Avenir Next" w:hAnsi="Avenir Next" w:cs="Arial"/>
          <w:color w:val="808080" w:themeColor="background1" w:themeShade="80"/>
          <w:sz w:val="22"/>
          <w:szCs w:val="22"/>
          <w:lang w:val="en-GB"/>
        </w:rPr>
        <w:t>") under Article 2(d)?</w:t>
      </w:r>
    </w:p>
    <w:p w14:paraId="4368902D" w14:textId="1D6FD874" w:rsidR="006845AA" w:rsidRPr="005761CC" w:rsidRDefault="006845AA" w:rsidP="00483D42">
      <w:pPr>
        <w:rPr>
          <w:rFonts w:ascii="Avenir Next" w:hAnsi="Avenir Next" w:cs="Arial"/>
          <w:color w:val="808080" w:themeColor="background1" w:themeShade="80"/>
          <w:sz w:val="22"/>
          <w:szCs w:val="22"/>
          <w:lang w:val="en-GB"/>
        </w:rPr>
      </w:pPr>
    </w:p>
    <w:p w14:paraId="66CFA644" w14:textId="73383807" w:rsidR="006845AA" w:rsidRPr="005761CC" w:rsidRDefault="009E47B8" w:rsidP="00483D42">
      <w:p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With reference to the Article 2(d) definition, t</w:t>
      </w:r>
      <w:r w:rsidR="006845AA" w:rsidRPr="005761CC">
        <w:rPr>
          <w:rFonts w:ascii="Avenir Next" w:hAnsi="Avenir Next" w:cs="Arial"/>
          <w:color w:val="808080" w:themeColor="background1" w:themeShade="80"/>
          <w:sz w:val="22"/>
          <w:szCs w:val="22"/>
          <w:lang w:val="en-GB"/>
        </w:rPr>
        <w:t xml:space="preserve">he 2021 </w:t>
      </w:r>
      <w:r w:rsidRPr="005761CC">
        <w:rPr>
          <w:rFonts w:ascii="Avenir Next" w:hAnsi="Avenir Next" w:cs="Arial"/>
          <w:color w:val="808080" w:themeColor="background1" w:themeShade="80"/>
          <w:sz w:val="22"/>
          <w:szCs w:val="22"/>
          <w:lang w:val="en-GB"/>
        </w:rPr>
        <w:t xml:space="preserve">UNCITRAL </w:t>
      </w:r>
      <w:r w:rsidR="006845AA" w:rsidRPr="005761CC">
        <w:rPr>
          <w:rFonts w:ascii="Avenir Next" w:hAnsi="Avenir Next" w:cs="Arial"/>
          <w:color w:val="808080" w:themeColor="background1" w:themeShade="80"/>
          <w:sz w:val="22"/>
          <w:szCs w:val="22"/>
          <w:lang w:val="en-GB"/>
        </w:rPr>
        <w:t>Digest of Case Law on the MLCBI notes</w:t>
      </w:r>
      <w:r w:rsidRPr="005761CC">
        <w:rPr>
          <w:rFonts w:ascii="Avenir Next" w:hAnsi="Avenir Next" w:cs="Arial"/>
          <w:color w:val="808080" w:themeColor="background1" w:themeShade="80"/>
          <w:sz w:val="22"/>
          <w:szCs w:val="22"/>
          <w:lang w:val="en-GB"/>
        </w:rPr>
        <w:t xml:space="preserve"> </w:t>
      </w:r>
      <w:r w:rsidR="006845AA" w:rsidRPr="005761CC">
        <w:rPr>
          <w:rFonts w:ascii="Avenir Next" w:hAnsi="Avenir Next" w:cs="Arial"/>
          <w:color w:val="808080" w:themeColor="background1" w:themeShade="80"/>
          <w:sz w:val="22"/>
          <w:szCs w:val="22"/>
          <w:lang w:val="en-GB"/>
        </w:rPr>
        <w:t>(</w:t>
      </w:r>
      <w:r w:rsidR="00AB7FDE" w:rsidRPr="005761CC">
        <w:rPr>
          <w:rFonts w:ascii="Avenir Next" w:hAnsi="Avenir Next" w:cs="Arial"/>
          <w:color w:val="808080" w:themeColor="background1" w:themeShade="80"/>
          <w:sz w:val="22"/>
          <w:szCs w:val="22"/>
          <w:lang w:val="en-GB"/>
        </w:rPr>
        <w:t xml:space="preserve">at </w:t>
      </w:r>
      <w:r w:rsidR="006845AA" w:rsidRPr="005761CC">
        <w:rPr>
          <w:rFonts w:ascii="Avenir Next" w:hAnsi="Avenir Next" w:cs="Arial"/>
          <w:color w:val="808080" w:themeColor="background1" w:themeShade="80"/>
          <w:sz w:val="22"/>
          <w:szCs w:val="22"/>
          <w:lang w:val="en-GB"/>
        </w:rPr>
        <w:t xml:space="preserve">paragraphs 37 </w:t>
      </w:r>
      <w:r w:rsidRPr="005761CC">
        <w:rPr>
          <w:rFonts w:ascii="Avenir Next" w:hAnsi="Avenir Next" w:cs="Arial"/>
          <w:color w:val="808080" w:themeColor="background1" w:themeShade="80"/>
          <w:sz w:val="22"/>
          <w:szCs w:val="22"/>
          <w:lang w:val="en-GB"/>
        </w:rPr>
        <w:t>to 40</w:t>
      </w:r>
      <w:r w:rsidR="006845AA" w:rsidRPr="005761CC">
        <w:rPr>
          <w:rFonts w:ascii="Avenir Next" w:hAnsi="Avenir Next" w:cs="Arial"/>
          <w:color w:val="808080" w:themeColor="background1" w:themeShade="80"/>
          <w:sz w:val="22"/>
          <w:szCs w:val="22"/>
          <w:lang w:val="en-GB"/>
        </w:rPr>
        <w:t>)</w:t>
      </w:r>
      <w:r w:rsidR="00AB7FDE" w:rsidRPr="005761CC">
        <w:rPr>
          <w:rFonts w:ascii="Avenir Next" w:hAnsi="Avenir Next" w:cs="Arial"/>
          <w:color w:val="808080" w:themeColor="background1" w:themeShade="80"/>
          <w:sz w:val="22"/>
          <w:szCs w:val="22"/>
          <w:lang w:val="en-GB"/>
        </w:rPr>
        <w:t xml:space="preserve"> that</w:t>
      </w:r>
      <w:r w:rsidR="00252DAA" w:rsidRPr="005761CC">
        <w:rPr>
          <w:rFonts w:ascii="Avenir Next" w:hAnsi="Avenir Next" w:cs="Arial"/>
          <w:color w:val="808080" w:themeColor="background1" w:themeShade="80"/>
          <w:sz w:val="22"/>
          <w:szCs w:val="22"/>
          <w:lang w:val="en-GB"/>
        </w:rPr>
        <w:t>, to paraphrase</w:t>
      </w:r>
      <w:r w:rsidR="006845AA" w:rsidRPr="005761CC">
        <w:rPr>
          <w:rFonts w:ascii="Avenir Next" w:hAnsi="Avenir Next" w:cs="Arial"/>
          <w:color w:val="808080" w:themeColor="background1" w:themeShade="80"/>
          <w:sz w:val="22"/>
          <w:szCs w:val="22"/>
          <w:lang w:val="en-GB"/>
        </w:rPr>
        <w:t>:</w:t>
      </w:r>
    </w:p>
    <w:p w14:paraId="2224D4C7" w14:textId="7A03A1E4" w:rsidR="006845AA" w:rsidRPr="005761CC" w:rsidRDefault="006845AA" w:rsidP="00483D42">
      <w:pPr>
        <w:rPr>
          <w:rFonts w:ascii="Avenir Next" w:hAnsi="Avenir Next" w:cs="Arial"/>
          <w:color w:val="808080" w:themeColor="background1" w:themeShade="80"/>
          <w:sz w:val="22"/>
          <w:szCs w:val="22"/>
          <w:lang w:val="en-GB"/>
        </w:rPr>
      </w:pPr>
    </w:p>
    <w:p w14:paraId="7866B298" w14:textId="0089D9D7" w:rsidR="006845AA" w:rsidRPr="005761CC" w:rsidRDefault="006845AA" w:rsidP="003B3F75">
      <w:pPr>
        <w:pStyle w:val="ListParagraph"/>
        <w:numPr>
          <w:ilvl w:val="0"/>
          <w:numId w:val="15"/>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The MLCBI does not require that the FR must be authorized </w:t>
      </w:r>
      <w:r w:rsidRPr="005761CC">
        <w:rPr>
          <w:rFonts w:ascii="Avenir Next" w:hAnsi="Avenir Next" w:cs="Arial"/>
          <w:color w:val="808080" w:themeColor="background1" w:themeShade="80"/>
          <w:sz w:val="22"/>
          <w:szCs w:val="22"/>
          <w:u w:val="single"/>
          <w:lang w:val="en-GB"/>
        </w:rPr>
        <w:t>by</w:t>
      </w:r>
      <w:r w:rsidRPr="005761CC">
        <w:rPr>
          <w:rFonts w:ascii="Avenir Next" w:hAnsi="Avenir Next" w:cs="Arial"/>
          <w:color w:val="808080" w:themeColor="background1" w:themeShade="80"/>
          <w:sz w:val="22"/>
          <w:szCs w:val="22"/>
          <w:lang w:val="en-GB"/>
        </w:rPr>
        <w:t xml:space="preserve"> the foreign court, meaning that appointments made by an agency other than the foreign court are permissible;</w:t>
      </w:r>
    </w:p>
    <w:p w14:paraId="4376CD9E"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3A11DDD9" w14:textId="3FBB0F4D" w:rsidR="006845AA" w:rsidRPr="005761CC" w:rsidRDefault="006845AA" w:rsidP="003B3F75">
      <w:pPr>
        <w:pStyle w:val="ListParagraph"/>
        <w:numPr>
          <w:ilvl w:val="0"/>
          <w:numId w:val="15"/>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Instead, the emphasis is on the authorisation being made in the course of or for the purposes of the </w:t>
      </w:r>
      <w:r w:rsidR="009E47B8" w:rsidRPr="005761CC">
        <w:rPr>
          <w:rFonts w:ascii="Avenir Next" w:hAnsi="Avenir Next" w:cs="Arial"/>
          <w:color w:val="808080" w:themeColor="background1" w:themeShade="80"/>
          <w:sz w:val="22"/>
          <w:szCs w:val="22"/>
          <w:lang w:val="en-GB"/>
        </w:rPr>
        <w:t>proceeding, rather than on the body providing the authorisation (which could even include the debtor itself);</w:t>
      </w:r>
    </w:p>
    <w:p w14:paraId="6458B601"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41221B1B" w14:textId="405D2989" w:rsidR="009E47B8" w:rsidRPr="005761CC" w:rsidRDefault="009E47B8" w:rsidP="003B3F75">
      <w:pPr>
        <w:pStyle w:val="ListParagraph"/>
        <w:numPr>
          <w:ilvl w:val="0"/>
          <w:numId w:val="15"/>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"A person or body" could include a firm, rather than an individual (e.g. a firm of accountants);</w:t>
      </w:r>
    </w:p>
    <w:p w14:paraId="5303359C"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0087FAEE" w14:textId="01A94012" w:rsidR="009E47B8" w:rsidRPr="005761CC" w:rsidRDefault="009E47B8" w:rsidP="003B3F75">
      <w:pPr>
        <w:pStyle w:val="ListParagraph"/>
        <w:numPr>
          <w:ilvl w:val="0"/>
          <w:numId w:val="15"/>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To the extent that a FR seeks recognition on the basis that they are authorised to administer the reorganisation or liquidation (as opposed to the second </w:t>
      </w:r>
      <w:r w:rsidR="00252DAA" w:rsidRPr="005761CC">
        <w:rPr>
          <w:rFonts w:ascii="Avenir Next" w:hAnsi="Avenir Next" w:cs="Arial"/>
          <w:color w:val="808080" w:themeColor="background1" w:themeShade="80"/>
          <w:sz w:val="22"/>
          <w:szCs w:val="22"/>
          <w:lang w:val="en-GB"/>
        </w:rPr>
        <w:t>limb</w:t>
      </w:r>
      <w:r w:rsidRPr="005761CC">
        <w:rPr>
          <w:rFonts w:ascii="Avenir Next" w:hAnsi="Avenir Next" w:cs="Arial"/>
          <w:color w:val="808080" w:themeColor="background1" w:themeShade="80"/>
          <w:sz w:val="22"/>
          <w:szCs w:val="22"/>
          <w:lang w:val="en-GB"/>
        </w:rPr>
        <w:t xml:space="preserve"> of the FR definition, i.e. where the FR's authority stems only from an authorisation to act as a representative of the foreign proceeding), the FR must actually enjoy a power to administer the debtor's assets and affairs</w:t>
      </w:r>
      <w:r w:rsidR="00C54563" w:rsidRPr="005761CC">
        <w:rPr>
          <w:rFonts w:ascii="Avenir Next" w:hAnsi="Avenir Next" w:cs="Arial"/>
          <w:color w:val="808080" w:themeColor="background1" w:themeShade="80"/>
          <w:sz w:val="22"/>
          <w:szCs w:val="22"/>
          <w:lang w:val="en-GB"/>
        </w:rPr>
        <w:t xml:space="preserve"> (see </w:t>
      </w:r>
      <w:r w:rsidR="00C54563" w:rsidRPr="005761CC">
        <w:rPr>
          <w:rFonts w:ascii="Avenir Next" w:hAnsi="Avenir Next" w:cs="Arial"/>
          <w:i/>
          <w:iCs/>
          <w:color w:val="808080" w:themeColor="background1" w:themeShade="80"/>
          <w:sz w:val="22"/>
          <w:szCs w:val="22"/>
          <w:lang w:val="en-GB"/>
        </w:rPr>
        <w:t>Stanford International Bank</w:t>
      </w:r>
      <w:r w:rsidR="00375004" w:rsidRPr="005761CC">
        <w:rPr>
          <w:rFonts w:ascii="Avenir Next" w:hAnsi="Avenir Next" w:cs="Arial"/>
          <w:i/>
          <w:iCs/>
          <w:color w:val="808080" w:themeColor="background1" w:themeShade="80"/>
          <w:sz w:val="22"/>
          <w:szCs w:val="22"/>
          <w:lang w:val="en-GB"/>
        </w:rPr>
        <w:t xml:space="preserve"> Ltd</w:t>
      </w:r>
      <w:r w:rsidR="00C54563" w:rsidRPr="005761CC">
        <w:rPr>
          <w:rFonts w:ascii="Avenir Next" w:hAnsi="Avenir Next" w:cs="Arial"/>
          <w:color w:val="808080" w:themeColor="background1" w:themeShade="80"/>
          <w:sz w:val="22"/>
          <w:szCs w:val="22"/>
          <w:lang w:val="en-GB"/>
        </w:rPr>
        <w:t xml:space="preserve"> [2010] EWCA Civ. 137)</w:t>
      </w:r>
      <w:r w:rsidRPr="005761CC">
        <w:rPr>
          <w:rFonts w:ascii="Avenir Next" w:hAnsi="Avenir Next" w:cs="Arial"/>
          <w:color w:val="808080" w:themeColor="background1" w:themeShade="80"/>
          <w:sz w:val="22"/>
          <w:szCs w:val="22"/>
          <w:lang w:val="en-GB"/>
        </w:rPr>
        <w:t>.</w:t>
      </w:r>
    </w:p>
    <w:p w14:paraId="4062457C" w14:textId="1510867C" w:rsidR="00483D42" w:rsidRPr="005761CC" w:rsidRDefault="00483D42" w:rsidP="00483D42">
      <w:pPr>
        <w:rPr>
          <w:rFonts w:ascii="Avenir Next" w:hAnsi="Avenir Next" w:cs="Arial"/>
          <w:color w:val="808080" w:themeColor="background1" w:themeShade="80"/>
          <w:sz w:val="22"/>
          <w:szCs w:val="22"/>
          <w:lang w:val="en-GB"/>
        </w:rPr>
      </w:pPr>
    </w:p>
    <w:p w14:paraId="48ACD2DB" w14:textId="3077CEFE" w:rsidR="009E47B8" w:rsidRPr="005761CC" w:rsidRDefault="009E47B8">
      <w:p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Applying these points to our facts:</w:t>
      </w:r>
    </w:p>
    <w:p w14:paraId="7F4CB3BF" w14:textId="3C989F8C" w:rsidR="009E47B8" w:rsidRPr="005761CC" w:rsidRDefault="009E47B8">
      <w:pPr>
        <w:rPr>
          <w:rFonts w:ascii="Avenir Next" w:hAnsi="Avenir Next" w:cs="Arial"/>
          <w:color w:val="808080" w:themeColor="background1" w:themeShade="80"/>
          <w:sz w:val="22"/>
          <w:szCs w:val="22"/>
          <w:lang w:val="en-GB"/>
        </w:rPr>
      </w:pPr>
    </w:p>
    <w:p w14:paraId="462D8CC2" w14:textId="58AFE1E4" w:rsidR="009E47B8" w:rsidRDefault="009E47B8"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Ms G's position as applicant arises from her authorisation as delegate of the DGF in the exercise of its powers under Article 48(3) of the DGF Law;</w:t>
      </w:r>
    </w:p>
    <w:p w14:paraId="6E79CFFA" w14:textId="77777777" w:rsidR="005761CC" w:rsidRPr="005761CC" w:rsidRDefault="005761CC" w:rsidP="005761CC">
      <w:pPr>
        <w:pStyle w:val="ListParagraph"/>
        <w:rPr>
          <w:rFonts w:ascii="Avenir Next" w:hAnsi="Avenir Next" w:cs="Arial"/>
          <w:color w:val="808080" w:themeColor="background1" w:themeShade="80"/>
          <w:sz w:val="22"/>
          <w:szCs w:val="22"/>
          <w:lang w:val="en-GB"/>
        </w:rPr>
      </w:pPr>
    </w:p>
    <w:p w14:paraId="26662976" w14:textId="3BB9690C" w:rsidR="0026573B" w:rsidRPr="005761CC" w:rsidRDefault="0026573B"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She is therefore authorised by the DGF, rather than Country A's courts (though as discussed above, that is no obstacle under Article 2(d) of the MLCBI);</w:t>
      </w:r>
    </w:p>
    <w:p w14:paraId="52FFB625"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14D6891D" w14:textId="36FB798A" w:rsidR="009E47B8" w:rsidRPr="005761CC" w:rsidRDefault="009E47B8"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Her powers are granted (Article 2(1)(17) of the DGF Law) to allow her "</w:t>
      </w:r>
      <w:r w:rsidRPr="005761CC">
        <w:rPr>
          <w:rFonts w:ascii="Avenir Next" w:hAnsi="Avenir Next" w:cs="Arial"/>
          <w:i/>
          <w:iCs/>
          <w:color w:val="808080" w:themeColor="background1" w:themeShade="80"/>
          <w:sz w:val="22"/>
          <w:szCs w:val="22"/>
          <w:lang w:val="en-GB"/>
        </w:rPr>
        <w:t>to perform actions to ensure the bank's withdrawal from the market […] and/or bank liquidation</w:t>
      </w:r>
      <w:r w:rsidRPr="005761CC">
        <w:rPr>
          <w:rFonts w:ascii="Avenir Next" w:hAnsi="Avenir Next" w:cs="Arial"/>
          <w:color w:val="808080" w:themeColor="background1" w:themeShade="80"/>
          <w:sz w:val="22"/>
          <w:szCs w:val="22"/>
          <w:lang w:val="en-GB"/>
        </w:rPr>
        <w:t>"</w:t>
      </w:r>
      <w:r w:rsidR="003B3F75" w:rsidRPr="005761CC">
        <w:rPr>
          <w:rFonts w:ascii="Avenir Next" w:hAnsi="Avenir Next" w:cs="Arial"/>
          <w:color w:val="808080" w:themeColor="background1" w:themeShade="80"/>
          <w:sz w:val="22"/>
          <w:szCs w:val="22"/>
          <w:lang w:val="en-GB"/>
        </w:rPr>
        <w:t>;</w:t>
      </w:r>
    </w:p>
    <w:p w14:paraId="0C31029F"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2743B001" w14:textId="35D86323" w:rsidR="00D71C28" w:rsidRPr="005761CC" w:rsidRDefault="00D71C28"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Her authorisation is therefore made in the context of the liquidation of CBBC (i.e. the first part of the Article 2(d) definition), rather than for the purposes of acting as representative of the foreign proceeding;</w:t>
      </w:r>
    </w:p>
    <w:p w14:paraId="06A31C5B"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1558A35C" w14:textId="19265B99" w:rsidR="00D71C28" w:rsidRPr="005761CC" w:rsidRDefault="00D71C28"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As mentioned above it will therefore be important to establish that Ms G's powers extend to administration of CBBC's reorganisation or liquidation including of its assets or affairs at the time of the application for recognition;</w:t>
      </w:r>
    </w:p>
    <w:p w14:paraId="39777B7D"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09F2CCD4" w14:textId="6D2E4C2E" w:rsidR="00D71C28" w:rsidRPr="005761CC" w:rsidRDefault="00D71C28"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Ms G's powers are extensive but (as we are told) do not extend to the full range of powers enjoyed by the DGF: Resolution 1513 expressly excludes </w:t>
      </w:r>
      <w:r w:rsidRPr="005761CC">
        <w:rPr>
          <w:rFonts w:ascii="Avenir Next" w:hAnsi="Avenir Next" w:cs="Arial"/>
          <w:i/>
          <w:iCs/>
          <w:color w:val="808080" w:themeColor="background1" w:themeShade="80"/>
          <w:sz w:val="22"/>
          <w:szCs w:val="22"/>
          <w:lang w:val="en-GB"/>
        </w:rPr>
        <w:t>inter alia</w:t>
      </w:r>
      <w:r w:rsidRPr="005761CC">
        <w:rPr>
          <w:rFonts w:ascii="Avenir Next" w:hAnsi="Avenir Next" w:cs="Arial"/>
          <w:color w:val="808080" w:themeColor="background1" w:themeShade="80"/>
          <w:sz w:val="22"/>
          <w:szCs w:val="22"/>
          <w:lang w:val="en-GB"/>
        </w:rPr>
        <w:t xml:space="preserve"> the power to claim damages from related parties, and to arrange the sale of CBBC's assets</w:t>
      </w:r>
      <w:r w:rsidR="00511D4F" w:rsidRPr="005761CC">
        <w:rPr>
          <w:rFonts w:ascii="Avenir Next" w:hAnsi="Avenir Next" w:cs="Arial"/>
          <w:color w:val="808080" w:themeColor="background1" w:themeShade="80"/>
          <w:sz w:val="22"/>
          <w:szCs w:val="22"/>
          <w:lang w:val="en-GB"/>
        </w:rPr>
        <w:t>;</w:t>
      </w:r>
    </w:p>
    <w:p w14:paraId="7F6711F5"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01256DF0" w14:textId="00B7FD85" w:rsidR="00D71C28" w:rsidRPr="005761CC" w:rsidRDefault="00D71C28"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 xml:space="preserve">The English Court will need to consider whether the reservation of those powers to DGF disqualifies Ms G from </w:t>
      </w:r>
      <w:r w:rsidR="001C6292" w:rsidRPr="005761CC">
        <w:rPr>
          <w:rFonts w:ascii="Avenir Next" w:hAnsi="Avenir Next" w:cs="Arial"/>
          <w:color w:val="808080" w:themeColor="background1" w:themeShade="80"/>
          <w:sz w:val="22"/>
          <w:szCs w:val="22"/>
          <w:lang w:val="en-GB"/>
        </w:rPr>
        <w:t>being an FR because she is not authorised to administer the bank's assets or affairs within the meaning of the first limb of the Article 2(d) definition;</w:t>
      </w:r>
    </w:p>
    <w:p w14:paraId="772A5F6B"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44C36C69" w14:textId="2826B488" w:rsidR="00D71C28" w:rsidRPr="005761CC" w:rsidRDefault="001C6292" w:rsidP="003B3F75">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However, as a practical point, this may be of less importance to DGF and the authorities of Country A because the application to the English Courts has been made jointly by Ms G and DGF itself, which may go some way to addressing any absence the Court may identify in the scope of Ms G's powers</w:t>
      </w:r>
      <w:r w:rsidR="00047FE9" w:rsidRPr="005761CC">
        <w:rPr>
          <w:rFonts w:ascii="Avenir Next" w:hAnsi="Avenir Next" w:cs="Arial"/>
          <w:color w:val="808080" w:themeColor="background1" w:themeShade="80"/>
          <w:sz w:val="22"/>
          <w:szCs w:val="22"/>
          <w:lang w:val="en-GB"/>
        </w:rPr>
        <w:t xml:space="preserve"> because those powers are reserved to the other Applicant</w:t>
      </w:r>
      <w:r w:rsidR="00511D4F" w:rsidRPr="005761CC">
        <w:rPr>
          <w:rFonts w:ascii="Avenir Next" w:hAnsi="Avenir Next" w:cs="Arial"/>
          <w:color w:val="808080" w:themeColor="background1" w:themeShade="80"/>
          <w:sz w:val="22"/>
          <w:szCs w:val="22"/>
          <w:lang w:val="en-GB"/>
        </w:rPr>
        <w:t>;</w:t>
      </w:r>
    </w:p>
    <w:p w14:paraId="728641ED" w14:textId="77777777" w:rsidR="00511D4F" w:rsidRPr="005761CC" w:rsidRDefault="00511D4F" w:rsidP="00511D4F">
      <w:pPr>
        <w:pStyle w:val="ListParagraph"/>
        <w:rPr>
          <w:rFonts w:ascii="Avenir Next" w:hAnsi="Avenir Next" w:cs="Arial"/>
          <w:color w:val="808080" w:themeColor="background1" w:themeShade="80"/>
          <w:sz w:val="22"/>
          <w:szCs w:val="22"/>
          <w:lang w:val="en-GB"/>
        </w:rPr>
      </w:pPr>
    </w:p>
    <w:p w14:paraId="4D7DE24F" w14:textId="51A038D0" w:rsidR="0026573B" w:rsidRDefault="00511D4F" w:rsidP="00511D4F">
      <w:pPr>
        <w:pStyle w:val="ListParagraph"/>
        <w:numPr>
          <w:ilvl w:val="0"/>
          <w:numId w:val="16"/>
        </w:numPr>
        <w:rPr>
          <w:rFonts w:ascii="Avenir Next" w:hAnsi="Avenir Next" w:cs="Arial"/>
          <w:color w:val="808080" w:themeColor="background1" w:themeShade="80"/>
          <w:sz w:val="22"/>
          <w:szCs w:val="22"/>
          <w:lang w:val="en-GB"/>
        </w:rPr>
      </w:pPr>
      <w:r w:rsidRPr="005761CC">
        <w:rPr>
          <w:rFonts w:ascii="Avenir Next" w:hAnsi="Avenir Next" w:cs="Arial"/>
          <w:color w:val="808080" w:themeColor="background1" w:themeShade="80"/>
          <w:sz w:val="22"/>
          <w:szCs w:val="22"/>
          <w:lang w:val="en-GB"/>
        </w:rPr>
        <w:t>It is also, of course, open to the DGF to seek to rectify any issues in this regard by specifically authorising Ms G to act as representative of the CBBC proceeding (i.e. bringing her within the second limb of the Article 2(d) definition)</w:t>
      </w:r>
      <w:r w:rsidR="00BC3BE1" w:rsidRPr="005761CC">
        <w:rPr>
          <w:rFonts w:ascii="Avenir Next" w:hAnsi="Avenir Next" w:cs="Arial"/>
          <w:color w:val="808080" w:themeColor="background1" w:themeShade="80"/>
          <w:sz w:val="22"/>
          <w:szCs w:val="22"/>
          <w:lang w:val="en-GB"/>
        </w:rPr>
        <w:t xml:space="preserve"> – though this may introduce problems of timing, if that authorisation is granted after the recognition application is filed.</w:t>
      </w:r>
    </w:p>
    <w:p w14:paraId="2E602309" w14:textId="77777777" w:rsidR="004855DC" w:rsidRPr="004855DC" w:rsidRDefault="004855DC" w:rsidP="004855DC">
      <w:pPr>
        <w:pStyle w:val="ListParagraph"/>
        <w:rPr>
          <w:rFonts w:ascii="Avenir Next" w:hAnsi="Avenir Next" w:cs="Arial"/>
          <w:color w:val="808080" w:themeColor="background1" w:themeShade="80"/>
          <w:sz w:val="22"/>
          <w:szCs w:val="22"/>
          <w:lang w:val="en-GB"/>
        </w:rPr>
      </w:pPr>
    </w:p>
    <w:p w14:paraId="0AB07409" w14:textId="7F7492CE" w:rsidR="004855DC" w:rsidRPr="004855DC" w:rsidRDefault="004855DC" w:rsidP="004855D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END OF ANSWERS</w:t>
      </w:r>
    </w:p>
    <w:sectPr w:rsidR="004855DC" w:rsidRPr="004855DC"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754FE582"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1C37">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7948F62" w:rsidR="000300E0" w:rsidRPr="00B46CE2" w:rsidRDefault="00CF1C37" w:rsidP="000300E0">
    <w:pPr>
      <w:pStyle w:val="Footer"/>
      <w:ind w:right="360"/>
      <w:rPr>
        <w:rFonts w:ascii="Avenir Next" w:hAnsi="Avenir Next"/>
        <w:sz w:val="22"/>
        <w:szCs w:val="22"/>
      </w:rPr>
    </w:pPr>
    <w:r>
      <w:rPr>
        <w:rFonts w:ascii="Avenir Next" w:hAnsi="Avenir Next"/>
        <w:sz w:val="22"/>
        <w:szCs w:val="22"/>
      </w:rPr>
      <w:t>202223-876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A27463"/>
    <w:multiLevelType w:val="hybridMultilevel"/>
    <w:tmpl w:val="EDB62394"/>
    <w:lvl w:ilvl="0" w:tplc="24BA657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D00B4C"/>
    <w:multiLevelType w:val="hybridMultilevel"/>
    <w:tmpl w:val="F8FC5C50"/>
    <w:lvl w:ilvl="0" w:tplc="CA966FE4">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6C46A3"/>
    <w:multiLevelType w:val="hybridMultilevel"/>
    <w:tmpl w:val="06BE1A7C"/>
    <w:lvl w:ilvl="0" w:tplc="17EC39F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5935332">
    <w:abstractNumId w:val="12"/>
  </w:num>
  <w:num w:numId="2" w16cid:durableId="1682002732">
    <w:abstractNumId w:val="11"/>
  </w:num>
  <w:num w:numId="3" w16cid:durableId="1314336136">
    <w:abstractNumId w:val="5"/>
  </w:num>
  <w:num w:numId="4" w16cid:durableId="2003506492">
    <w:abstractNumId w:val="2"/>
  </w:num>
  <w:num w:numId="5" w16cid:durableId="590705111">
    <w:abstractNumId w:val="16"/>
  </w:num>
  <w:num w:numId="6" w16cid:durableId="142551584">
    <w:abstractNumId w:val="15"/>
  </w:num>
  <w:num w:numId="7" w16cid:durableId="128790549">
    <w:abstractNumId w:val="13"/>
  </w:num>
  <w:num w:numId="8" w16cid:durableId="1612586064">
    <w:abstractNumId w:val="3"/>
  </w:num>
  <w:num w:numId="9" w16cid:durableId="456994634">
    <w:abstractNumId w:val="4"/>
  </w:num>
  <w:num w:numId="10" w16cid:durableId="1482501848">
    <w:abstractNumId w:val="9"/>
  </w:num>
  <w:num w:numId="11" w16cid:durableId="1131554469">
    <w:abstractNumId w:val="0"/>
  </w:num>
  <w:num w:numId="12" w16cid:durableId="1540976209">
    <w:abstractNumId w:val="6"/>
  </w:num>
  <w:num w:numId="13" w16cid:durableId="267740936">
    <w:abstractNumId w:val="7"/>
  </w:num>
  <w:num w:numId="14" w16cid:durableId="250509870">
    <w:abstractNumId w:val="1"/>
  </w:num>
  <w:num w:numId="15" w16cid:durableId="1591885933">
    <w:abstractNumId w:val="10"/>
  </w:num>
  <w:num w:numId="16" w16cid:durableId="647633471">
    <w:abstractNumId w:val="14"/>
  </w:num>
  <w:num w:numId="17" w16cid:durableId="9282288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41C0"/>
    <w:rsid w:val="000077DD"/>
    <w:rsid w:val="00010BA0"/>
    <w:rsid w:val="00011778"/>
    <w:rsid w:val="000128B3"/>
    <w:rsid w:val="00020557"/>
    <w:rsid w:val="00020D39"/>
    <w:rsid w:val="000232A1"/>
    <w:rsid w:val="000250C7"/>
    <w:rsid w:val="00025CCF"/>
    <w:rsid w:val="000262AC"/>
    <w:rsid w:val="000300E0"/>
    <w:rsid w:val="0003114A"/>
    <w:rsid w:val="000352C1"/>
    <w:rsid w:val="0003619C"/>
    <w:rsid w:val="00037621"/>
    <w:rsid w:val="00042C36"/>
    <w:rsid w:val="00044D46"/>
    <w:rsid w:val="00045088"/>
    <w:rsid w:val="00045904"/>
    <w:rsid w:val="000464F7"/>
    <w:rsid w:val="00047E7D"/>
    <w:rsid w:val="00047FE9"/>
    <w:rsid w:val="0005141D"/>
    <w:rsid w:val="00060E02"/>
    <w:rsid w:val="00063359"/>
    <w:rsid w:val="00065166"/>
    <w:rsid w:val="00067A88"/>
    <w:rsid w:val="00070B92"/>
    <w:rsid w:val="00073474"/>
    <w:rsid w:val="00077D49"/>
    <w:rsid w:val="00082609"/>
    <w:rsid w:val="000851CC"/>
    <w:rsid w:val="00093BE8"/>
    <w:rsid w:val="000A68ED"/>
    <w:rsid w:val="000B0544"/>
    <w:rsid w:val="000B060C"/>
    <w:rsid w:val="000B3878"/>
    <w:rsid w:val="000B4FEB"/>
    <w:rsid w:val="000B5FF1"/>
    <w:rsid w:val="000B609F"/>
    <w:rsid w:val="000C147F"/>
    <w:rsid w:val="000C6BB9"/>
    <w:rsid w:val="000D32A9"/>
    <w:rsid w:val="000D55A8"/>
    <w:rsid w:val="000E4841"/>
    <w:rsid w:val="000E6325"/>
    <w:rsid w:val="000F1677"/>
    <w:rsid w:val="000F25FB"/>
    <w:rsid w:val="000F3D6C"/>
    <w:rsid w:val="000F579C"/>
    <w:rsid w:val="001000AB"/>
    <w:rsid w:val="00101707"/>
    <w:rsid w:val="001039D0"/>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67CA6"/>
    <w:rsid w:val="0017257C"/>
    <w:rsid w:val="00176079"/>
    <w:rsid w:val="0017652E"/>
    <w:rsid w:val="00180548"/>
    <w:rsid w:val="00180AC4"/>
    <w:rsid w:val="00180CCE"/>
    <w:rsid w:val="00182648"/>
    <w:rsid w:val="0018267A"/>
    <w:rsid w:val="00182779"/>
    <w:rsid w:val="001830DF"/>
    <w:rsid w:val="001864BF"/>
    <w:rsid w:val="00190FD2"/>
    <w:rsid w:val="001966D9"/>
    <w:rsid w:val="001A24E7"/>
    <w:rsid w:val="001A2B78"/>
    <w:rsid w:val="001A7E9A"/>
    <w:rsid w:val="001B0F70"/>
    <w:rsid w:val="001B4676"/>
    <w:rsid w:val="001B5016"/>
    <w:rsid w:val="001C45FC"/>
    <w:rsid w:val="001C6292"/>
    <w:rsid w:val="001D02C5"/>
    <w:rsid w:val="001D17E2"/>
    <w:rsid w:val="001D4862"/>
    <w:rsid w:val="001E25B9"/>
    <w:rsid w:val="001E49E0"/>
    <w:rsid w:val="001E60C3"/>
    <w:rsid w:val="001E7B5A"/>
    <w:rsid w:val="001F7412"/>
    <w:rsid w:val="00200E90"/>
    <w:rsid w:val="00200FDD"/>
    <w:rsid w:val="00201874"/>
    <w:rsid w:val="00202133"/>
    <w:rsid w:val="0020264E"/>
    <w:rsid w:val="0020725B"/>
    <w:rsid w:val="00214509"/>
    <w:rsid w:val="002175BA"/>
    <w:rsid w:val="0022599E"/>
    <w:rsid w:val="002305E8"/>
    <w:rsid w:val="0023198D"/>
    <w:rsid w:val="00231C57"/>
    <w:rsid w:val="0023317E"/>
    <w:rsid w:val="00234F2C"/>
    <w:rsid w:val="00240B0E"/>
    <w:rsid w:val="0024116D"/>
    <w:rsid w:val="00241B44"/>
    <w:rsid w:val="00245EFB"/>
    <w:rsid w:val="00250E19"/>
    <w:rsid w:val="00252DAA"/>
    <w:rsid w:val="0025386E"/>
    <w:rsid w:val="00257437"/>
    <w:rsid w:val="002638B0"/>
    <w:rsid w:val="00264FFF"/>
    <w:rsid w:val="002650D7"/>
    <w:rsid w:val="002654E8"/>
    <w:rsid w:val="0026573B"/>
    <w:rsid w:val="0026647A"/>
    <w:rsid w:val="002668D3"/>
    <w:rsid w:val="002675BE"/>
    <w:rsid w:val="0027299F"/>
    <w:rsid w:val="00274CBF"/>
    <w:rsid w:val="00276913"/>
    <w:rsid w:val="0028135B"/>
    <w:rsid w:val="00282480"/>
    <w:rsid w:val="00284EBE"/>
    <w:rsid w:val="00286A29"/>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51CE"/>
    <w:rsid w:val="002F71BE"/>
    <w:rsid w:val="002F75A3"/>
    <w:rsid w:val="002F78CA"/>
    <w:rsid w:val="00301003"/>
    <w:rsid w:val="00303C2F"/>
    <w:rsid w:val="00305C24"/>
    <w:rsid w:val="00310449"/>
    <w:rsid w:val="00312911"/>
    <w:rsid w:val="003144EF"/>
    <w:rsid w:val="003148CA"/>
    <w:rsid w:val="00315506"/>
    <w:rsid w:val="00322F3B"/>
    <w:rsid w:val="003240AF"/>
    <w:rsid w:val="00326292"/>
    <w:rsid w:val="00326415"/>
    <w:rsid w:val="00330937"/>
    <w:rsid w:val="00330F31"/>
    <w:rsid w:val="0033442A"/>
    <w:rsid w:val="00334648"/>
    <w:rsid w:val="00335929"/>
    <w:rsid w:val="0033768C"/>
    <w:rsid w:val="00337938"/>
    <w:rsid w:val="00340769"/>
    <w:rsid w:val="00341AA6"/>
    <w:rsid w:val="00342459"/>
    <w:rsid w:val="003427B9"/>
    <w:rsid w:val="00346B16"/>
    <w:rsid w:val="00351511"/>
    <w:rsid w:val="00351FB2"/>
    <w:rsid w:val="00361A0A"/>
    <w:rsid w:val="003625E5"/>
    <w:rsid w:val="0036565C"/>
    <w:rsid w:val="0036625E"/>
    <w:rsid w:val="0036760B"/>
    <w:rsid w:val="0037465A"/>
    <w:rsid w:val="00375004"/>
    <w:rsid w:val="0037544E"/>
    <w:rsid w:val="00380BAB"/>
    <w:rsid w:val="00382C98"/>
    <w:rsid w:val="0038533C"/>
    <w:rsid w:val="00386568"/>
    <w:rsid w:val="00387106"/>
    <w:rsid w:val="00391F3E"/>
    <w:rsid w:val="003948D5"/>
    <w:rsid w:val="0039581F"/>
    <w:rsid w:val="00396821"/>
    <w:rsid w:val="00397D3A"/>
    <w:rsid w:val="003A051E"/>
    <w:rsid w:val="003A2FEE"/>
    <w:rsid w:val="003A7770"/>
    <w:rsid w:val="003B1310"/>
    <w:rsid w:val="003B170F"/>
    <w:rsid w:val="003B3C5F"/>
    <w:rsid w:val="003B3F75"/>
    <w:rsid w:val="003B640A"/>
    <w:rsid w:val="003C089D"/>
    <w:rsid w:val="003C4471"/>
    <w:rsid w:val="003C66B1"/>
    <w:rsid w:val="003D0A6D"/>
    <w:rsid w:val="003D7578"/>
    <w:rsid w:val="003E0B16"/>
    <w:rsid w:val="003E154A"/>
    <w:rsid w:val="003E67D1"/>
    <w:rsid w:val="003F1AC2"/>
    <w:rsid w:val="00401A83"/>
    <w:rsid w:val="00405DC1"/>
    <w:rsid w:val="004060E4"/>
    <w:rsid w:val="0040710D"/>
    <w:rsid w:val="0041139B"/>
    <w:rsid w:val="004115BE"/>
    <w:rsid w:val="004137C3"/>
    <w:rsid w:val="00413D3A"/>
    <w:rsid w:val="004159D7"/>
    <w:rsid w:val="00415F1F"/>
    <w:rsid w:val="00420D1F"/>
    <w:rsid w:val="0042108F"/>
    <w:rsid w:val="00422242"/>
    <w:rsid w:val="00423018"/>
    <w:rsid w:val="00424D07"/>
    <w:rsid w:val="00430FED"/>
    <w:rsid w:val="00432179"/>
    <w:rsid w:val="00434292"/>
    <w:rsid w:val="0043478C"/>
    <w:rsid w:val="00434A8C"/>
    <w:rsid w:val="00435583"/>
    <w:rsid w:val="00435998"/>
    <w:rsid w:val="00436884"/>
    <w:rsid w:val="00437297"/>
    <w:rsid w:val="00443403"/>
    <w:rsid w:val="00444284"/>
    <w:rsid w:val="00445CE6"/>
    <w:rsid w:val="00447FE6"/>
    <w:rsid w:val="00452661"/>
    <w:rsid w:val="004534C2"/>
    <w:rsid w:val="0045446F"/>
    <w:rsid w:val="0045683E"/>
    <w:rsid w:val="00461891"/>
    <w:rsid w:val="0047025B"/>
    <w:rsid w:val="00480348"/>
    <w:rsid w:val="00480ED4"/>
    <w:rsid w:val="00483D42"/>
    <w:rsid w:val="004855DC"/>
    <w:rsid w:val="00491675"/>
    <w:rsid w:val="00493855"/>
    <w:rsid w:val="0049508F"/>
    <w:rsid w:val="004A171E"/>
    <w:rsid w:val="004A57DD"/>
    <w:rsid w:val="004A7B51"/>
    <w:rsid w:val="004A7D71"/>
    <w:rsid w:val="004A7EF3"/>
    <w:rsid w:val="004B11FD"/>
    <w:rsid w:val="004B23A2"/>
    <w:rsid w:val="004B6023"/>
    <w:rsid w:val="004C07AA"/>
    <w:rsid w:val="004C0994"/>
    <w:rsid w:val="004C464F"/>
    <w:rsid w:val="004C4E97"/>
    <w:rsid w:val="004D1A5A"/>
    <w:rsid w:val="004D2FFF"/>
    <w:rsid w:val="004D3721"/>
    <w:rsid w:val="004D5F58"/>
    <w:rsid w:val="004D64F9"/>
    <w:rsid w:val="004E0549"/>
    <w:rsid w:val="004E2E92"/>
    <w:rsid w:val="004E30B0"/>
    <w:rsid w:val="004E622C"/>
    <w:rsid w:val="004F2BD0"/>
    <w:rsid w:val="004F5FDF"/>
    <w:rsid w:val="0050157D"/>
    <w:rsid w:val="00503A03"/>
    <w:rsid w:val="00506803"/>
    <w:rsid w:val="0050682B"/>
    <w:rsid w:val="00507AAC"/>
    <w:rsid w:val="00511D4F"/>
    <w:rsid w:val="00514611"/>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0E77"/>
    <w:rsid w:val="00550F9B"/>
    <w:rsid w:val="00553EB2"/>
    <w:rsid w:val="00556777"/>
    <w:rsid w:val="0055688E"/>
    <w:rsid w:val="00560534"/>
    <w:rsid w:val="0056391B"/>
    <w:rsid w:val="005650E2"/>
    <w:rsid w:val="00565292"/>
    <w:rsid w:val="0056535A"/>
    <w:rsid w:val="00565DEE"/>
    <w:rsid w:val="00567AD7"/>
    <w:rsid w:val="00567C0C"/>
    <w:rsid w:val="00567F31"/>
    <w:rsid w:val="00573E73"/>
    <w:rsid w:val="00575511"/>
    <w:rsid w:val="00575B2D"/>
    <w:rsid w:val="005761CC"/>
    <w:rsid w:val="005833D0"/>
    <w:rsid w:val="005846F3"/>
    <w:rsid w:val="0058622F"/>
    <w:rsid w:val="00587461"/>
    <w:rsid w:val="00590023"/>
    <w:rsid w:val="005905CC"/>
    <w:rsid w:val="00592F82"/>
    <w:rsid w:val="005A0CCA"/>
    <w:rsid w:val="005A6D49"/>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1BC6"/>
    <w:rsid w:val="00612CA5"/>
    <w:rsid w:val="006147F6"/>
    <w:rsid w:val="006153EC"/>
    <w:rsid w:val="00621A17"/>
    <w:rsid w:val="00622456"/>
    <w:rsid w:val="00622586"/>
    <w:rsid w:val="00622C2B"/>
    <w:rsid w:val="00622DCB"/>
    <w:rsid w:val="006261E8"/>
    <w:rsid w:val="006264AC"/>
    <w:rsid w:val="00626C20"/>
    <w:rsid w:val="00626E85"/>
    <w:rsid w:val="0062756C"/>
    <w:rsid w:val="00627CC9"/>
    <w:rsid w:val="00627E7B"/>
    <w:rsid w:val="00630542"/>
    <w:rsid w:val="00632D7F"/>
    <w:rsid w:val="00632E44"/>
    <w:rsid w:val="00634622"/>
    <w:rsid w:val="00636808"/>
    <w:rsid w:val="00641002"/>
    <w:rsid w:val="00641515"/>
    <w:rsid w:val="00651AE3"/>
    <w:rsid w:val="00652FC5"/>
    <w:rsid w:val="00654C2F"/>
    <w:rsid w:val="00657087"/>
    <w:rsid w:val="0066252C"/>
    <w:rsid w:val="006661EF"/>
    <w:rsid w:val="0067294B"/>
    <w:rsid w:val="00677736"/>
    <w:rsid w:val="0067785F"/>
    <w:rsid w:val="00677AEB"/>
    <w:rsid w:val="00680EF2"/>
    <w:rsid w:val="006839C2"/>
    <w:rsid w:val="006845AA"/>
    <w:rsid w:val="00687A1D"/>
    <w:rsid w:val="006920CC"/>
    <w:rsid w:val="00692AB2"/>
    <w:rsid w:val="0069647C"/>
    <w:rsid w:val="00697EA1"/>
    <w:rsid w:val="006A1850"/>
    <w:rsid w:val="006A2646"/>
    <w:rsid w:val="006A3DF0"/>
    <w:rsid w:val="006A6530"/>
    <w:rsid w:val="006A6DFD"/>
    <w:rsid w:val="006B0117"/>
    <w:rsid w:val="006B1463"/>
    <w:rsid w:val="006B435A"/>
    <w:rsid w:val="006B4C64"/>
    <w:rsid w:val="006B4FFC"/>
    <w:rsid w:val="006C7525"/>
    <w:rsid w:val="006D0E6E"/>
    <w:rsid w:val="006D6BD5"/>
    <w:rsid w:val="006E481A"/>
    <w:rsid w:val="006E5298"/>
    <w:rsid w:val="006F2CE3"/>
    <w:rsid w:val="006F734A"/>
    <w:rsid w:val="00700D83"/>
    <w:rsid w:val="00702362"/>
    <w:rsid w:val="00703819"/>
    <w:rsid w:val="00704852"/>
    <w:rsid w:val="00706297"/>
    <w:rsid w:val="00706AD5"/>
    <w:rsid w:val="007073EB"/>
    <w:rsid w:val="007074E9"/>
    <w:rsid w:val="00707FC8"/>
    <w:rsid w:val="00713DA4"/>
    <w:rsid w:val="00714BF1"/>
    <w:rsid w:val="00721383"/>
    <w:rsid w:val="007236AC"/>
    <w:rsid w:val="0072554C"/>
    <w:rsid w:val="00725911"/>
    <w:rsid w:val="00731DBD"/>
    <w:rsid w:val="007333CC"/>
    <w:rsid w:val="0073399A"/>
    <w:rsid w:val="00751F66"/>
    <w:rsid w:val="00755DBD"/>
    <w:rsid w:val="007603F5"/>
    <w:rsid w:val="00761A83"/>
    <w:rsid w:val="00764275"/>
    <w:rsid w:val="00764DB0"/>
    <w:rsid w:val="00766F8A"/>
    <w:rsid w:val="0076764D"/>
    <w:rsid w:val="0077498C"/>
    <w:rsid w:val="00777183"/>
    <w:rsid w:val="00784128"/>
    <w:rsid w:val="00784B4B"/>
    <w:rsid w:val="007854ED"/>
    <w:rsid w:val="00785941"/>
    <w:rsid w:val="00793173"/>
    <w:rsid w:val="007A10E5"/>
    <w:rsid w:val="007A53D3"/>
    <w:rsid w:val="007A5453"/>
    <w:rsid w:val="007B3AC7"/>
    <w:rsid w:val="007B3ED6"/>
    <w:rsid w:val="007B497A"/>
    <w:rsid w:val="007C1FCC"/>
    <w:rsid w:val="007C32A8"/>
    <w:rsid w:val="007C3FE5"/>
    <w:rsid w:val="007C6201"/>
    <w:rsid w:val="007C6988"/>
    <w:rsid w:val="007D28A1"/>
    <w:rsid w:val="007D7C92"/>
    <w:rsid w:val="007E1154"/>
    <w:rsid w:val="007E6BA4"/>
    <w:rsid w:val="007E7678"/>
    <w:rsid w:val="007F244B"/>
    <w:rsid w:val="007F3BE3"/>
    <w:rsid w:val="007F41F8"/>
    <w:rsid w:val="007F60D0"/>
    <w:rsid w:val="0080454E"/>
    <w:rsid w:val="00804C32"/>
    <w:rsid w:val="00804C90"/>
    <w:rsid w:val="00806302"/>
    <w:rsid w:val="00807119"/>
    <w:rsid w:val="00817D57"/>
    <w:rsid w:val="00821655"/>
    <w:rsid w:val="00822764"/>
    <w:rsid w:val="008241C4"/>
    <w:rsid w:val="008247F6"/>
    <w:rsid w:val="0082483F"/>
    <w:rsid w:val="008264CB"/>
    <w:rsid w:val="008279C0"/>
    <w:rsid w:val="00835D9A"/>
    <w:rsid w:val="00835FD1"/>
    <w:rsid w:val="0084670F"/>
    <w:rsid w:val="0084683C"/>
    <w:rsid w:val="008512FA"/>
    <w:rsid w:val="00853A74"/>
    <w:rsid w:val="00857763"/>
    <w:rsid w:val="00860E61"/>
    <w:rsid w:val="008669A3"/>
    <w:rsid w:val="00867A8F"/>
    <w:rsid w:val="008723F3"/>
    <w:rsid w:val="00881DE6"/>
    <w:rsid w:val="008837A6"/>
    <w:rsid w:val="0088774C"/>
    <w:rsid w:val="0089145D"/>
    <w:rsid w:val="008A0C6E"/>
    <w:rsid w:val="008A46CF"/>
    <w:rsid w:val="008A4DF2"/>
    <w:rsid w:val="008A6835"/>
    <w:rsid w:val="008A6CFE"/>
    <w:rsid w:val="008A7470"/>
    <w:rsid w:val="008B1A08"/>
    <w:rsid w:val="008B2DE3"/>
    <w:rsid w:val="008B5333"/>
    <w:rsid w:val="008B6223"/>
    <w:rsid w:val="008B7A11"/>
    <w:rsid w:val="008C0353"/>
    <w:rsid w:val="008C0A06"/>
    <w:rsid w:val="008C66E0"/>
    <w:rsid w:val="008C76A2"/>
    <w:rsid w:val="008E2DFA"/>
    <w:rsid w:val="008E3339"/>
    <w:rsid w:val="008E549B"/>
    <w:rsid w:val="008F18EF"/>
    <w:rsid w:val="008F20FC"/>
    <w:rsid w:val="008F2B24"/>
    <w:rsid w:val="008F37F1"/>
    <w:rsid w:val="008F5FFE"/>
    <w:rsid w:val="0090421A"/>
    <w:rsid w:val="00905A43"/>
    <w:rsid w:val="00907DC2"/>
    <w:rsid w:val="00912C79"/>
    <w:rsid w:val="009260A2"/>
    <w:rsid w:val="00942123"/>
    <w:rsid w:val="00951031"/>
    <w:rsid w:val="0095207B"/>
    <w:rsid w:val="00954461"/>
    <w:rsid w:val="00956085"/>
    <w:rsid w:val="00957951"/>
    <w:rsid w:val="00962045"/>
    <w:rsid w:val="00963BE5"/>
    <w:rsid w:val="00967EDA"/>
    <w:rsid w:val="00970897"/>
    <w:rsid w:val="00980314"/>
    <w:rsid w:val="009816D0"/>
    <w:rsid w:val="00991428"/>
    <w:rsid w:val="0099225E"/>
    <w:rsid w:val="00992676"/>
    <w:rsid w:val="00996691"/>
    <w:rsid w:val="009A4880"/>
    <w:rsid w:val="009A7865"/>
    <w:rsid w:val="009B0723"/>
    <w:rsid w:val="009B07AD"/>
    <w:rsid w:val="009B0883"/>
    <w:rsid w:val="009B15E2"/>
    <w:rsid w:val="009B5832"/>
    <w:rsid w:val="009B6312"/>
    <w:rsid w:val="009B640D"/>
    <w:rsid w:val="009C00BA"/>
    <w:rsid w:val="009C0850"/>
    <w:rsid w:val="009C0B8E"/>
    <w:rsid w:val="009C1BC8"/>
    <w:rsid w:val="009C2442"/>
    <w:rsid w:val="009D0811"/>
    <w:rsid w:val="009D0EE1"/>
    <w:rsid w:val="009D30BB"/>
    <w:rsid w:val="009E2AEB"/>
    <w:rsid w:val="009E2E27"/>
    <w:rsid w:val="009E47B8"/>
    <w:rsid w:val="009E4DE3"/>
    <w:rsid w:val="009F4012"/>
    <w:rsid w:val="00A047EE"/>
    <w:rsid w:val="00A114EA"/>
    <w:rsid w:val="00A133B4"/>
    <w:rsid w:val="00A153F7"/>
    <w:rsid w:val="00A2274A"/>
    <w:rsid w:val="00A235B7"/>
    <w:rsid w:val="00A27A7A"/>
    <w:rsid w:val="00A32A7A"/>
    <w:rsid w:val="00A34188"/>
    <w:rsid w:val="00A35881"/>
    <w:rsid w:val="00A36C31"/>
    <w:rsid w:val="00A407EF"/>
    <w:rsid w:val="00A43533"/>
    <w:rsid w:val="00A46B4C"/>
    <w:rsid w:val="00A5117B"/>
    <w:rsid w:val="00A54000"/>
    <w:rsid w:val="00A54689"/>
    <w:rsid w:val="00A60074"/>
    <w:rsid w:val="00A60920"/>
    <w:rsid w:val="00A6627C"/>
    <w:rsid w:val="00A70BBC"/>
    <w:rsid w:val="00A71019"/>
    <w:rsid w:val="00A81029"/>
    <w:rsid w:val="00A83CB5"/>
    <w:rsid w:val="00A865A7"/>
    <w:rsid w:val="00A8797D"/>
    <w:rsid w:val="00A96489"/>
    <w:rsid w:val="00AA3A42"/>
    <w:rsid w:val="00AA5311"/>
    <w:rsid w:val="00AA7BAA"/>
    <w:rsid w:val="00AB685C"/>
    <w:rsid w:val="00AB6C2D"/>
    <w:rsid w:val="00AB7FDE"/>
    <w:rsid w:val="00AC08F7"/>
    <w:rsid w:val="00AC3839"/>
    <w:rsid w:val="00AC7082"/>
    <w:rsid w:val="00AD3FEA"/>
    <w:rsid w:val="00AD5265"/>
    <w:rsid w:val="00AD7BBD"/>
    <w:rsid w:val="00AE63BB"/>
    <w:rsid w:val="00AF228E"/>
    <w:rsid w:val="00B04137"/>
    <w:rsid w:val="00B1112C"/>
    <w:rsid w:val="00B11D19"/>
    <w:rsid w:val="00B12936"/>
    <w:rsid w:val="00B139DC"/>
    <w:rsid w:val="00B14819"/>
    <w:rsid w:val="00B16C35"/>
    <w:rsid w:val="00B17AA9"/>
    <w:rsid w:val="00B328BD"/>
    <w:rsid w:val="00B32DE4"/>
    <w:rsid w:val="00B33578"/>
    <w:rsid w:val="00B365A1"/>
    <w:rsid w:val="00B370C3"/>
    <w:rsid w:val="00B411AE"/>
    <w:rsid w:val="00B46CE2"/>
    <w:rsid w:val="00B514CC"/>
    <w:rsid w:val="00B60190"/>
    <w:rsid w:val="00B61419"/>
    <w:rsid w:val="00B72F5F"/>
    <w:rsid w:val="00B736DF"/>
    <w:rsid w:val="00B74FBD"/>
    <w:rsid w:val="00B77352"/>
    <w:rsid w:val="00B82586"/>
    <w:rsid w:val="00B829A3"/>
    <w:rsid w:val="00B86DB1"/>
    <w:rsid w:val="00B87869"/>
    <w:rsid w:val="00BA0E44"/>
    <w:rsid w:val="00BA47C5"/>
    <w:rsid w:val="00BB0F2B"/>
    <w:rsid w:val="00BC3BE1"/>
    <w:rsid w:val="00BD0D57"/>
    <w:rsid w:val="00BD528C"/>
    <w:rsid w:val="00BE1A50"/>
    <w:rsid w:val="00BF50F7"/>
    <w:rsid w:val="00C02F29"/>
    <w:rsid w:val="00C059C6"/>
    <w:rsid w:val="00C10C13"/>
    <w:rsid w:val="00C17111"/>
    <w:rsid w:val="00C20747"/>
    <w:rsid w:val="00C20AFE"/>
    <w:rsid w:val="00C22A25"/>
    <w:rsid w:val="00C23B79"/>
    <w:rsid w:val="00C26245"/>
    <w:rsid w:val="00C33D50"/>
    <w:rsid w:val="00C35671"/>
    <w:rsid w:val="00C35B77"/>
    <w:rsid w:val="00C370D3"/>
    <w:rsid w:val="00C376EB"/>
    <w:rsid w:val="00C378B9"/>
    <w:rsid w:val="00C4003A"/>
    <w:rsid w:val="00C46EC1"/>
    <w:rsid w:val="00C504E5"/>
    <w:rsid w:val="00C53E2C"/>
    <w:rsid w:val="00C54563"/>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23B7"/>
    <w:rsid w:val="00CC4E84"/>
    <w:rsid w:val="00CC5335"/>
    <w:rsid w:val="00CC5BA4"/>
    <w:rsid w:val="00CC70BB"/>
    <w:rsid w:val="00CD3420"/>
    <w:rsid w:val="00CD4998"/>
    <w:rsid w:val="00CE1035"/>
    <w:rsid w:val="00CF1C37"/>
    <w:rsid w:val="00CF2819"/>
    <w:rsid w:val="00CF3229"/>
    <w:rsid w:val="00CF44A4"/>
    <w:rsid w:val="00CF4F9D"/>
    <w:rsid w:val="00CF70DC"/>
    <w:rsid w:val="00D0037A"/>
    <w:rsid w:val="00D0333E"/>
    <w:rsid w:val="00D148DC"/>
    <w:rsid w:val="00D17FDC"/>
    <w:rsid w:val="00D27999"/>
    <w:rsid w:val="00D444C5"/>
    <w:rsid w:val="00D45AEA"/>
    <w:rsid w:val="00D5244F"/>
    <w:rsid w:val="00D52E4F"/>
    <w:rsid w:val="00D53A8D"/>
    <w:rsid w:val="00D56A37"/>
    <w:rsid w:val="00D57202"/>
    <w:rsid w:val="00D6386E"/>
    <w:rsid w:val="00D63EFD"/>
    <w:rsid w:val="00D64826"/>
    <w:rsid w:val="00D71C28"/>
    <w:rsid w:val="00D80DF2"/>
    <w:rsid w:val="00D8324D"/>
    <w:rsid w:val="00D84752"/>
    <w:rsid w:val="00D85AB0"/>
    <w:rsid w:val="00D867AC"/>
    <w:rsid w:val="00D86B3B"/>
    <w:rsid w:val="00D8748A"/>
    <w:rsid w:val="00D93196"/>
    <w:rsid w:val="00D94A4D"/>
    <w:rsid w:val="00D97A93"/>
    <w:rsid w:val="00DA1083"/>
    <w:rsid w:val="00DA26C8"/>
    <w:rsid w:val="00DA76E0"/>
    <w:rsid w:val="00DB0B61"/>
    <w:rsid w:val="00DB243C"/>
    <w:rsid w:val="00DB45DD"/>
    <w:rsid w:val="00DB482A"/>
    <w:rsid w:val="00DB56F2"/>
    <w:rsid w:val="00DB6EF5"/>
    <w:rsid w:val="00DC3089"/>
    <w:rsid w:val="00DC4420"/>
    <w:rsid w:val="00DD0802"/>
    <w:rsid w:val="00DD0A50"/>
    <w:rsid w:val="00DD2E11"/>
    <w:rsid w:val="00DD4A54"/>
    <w:rsid w:val="00DE03AF"/>
    <w:rsid w:val="00DE121C"/>
    <w:rsid w:val="00DE2A27"/>
    <w:rsid w:val="00DE3705"/>
    <w:rsid w:val="00DE6633"/>
    <w:rsid w:val="00DF75F8"/>
    <w:rsid w:val="00DF7A3A"/>
    <w:rsid w:val="00E00C00"/>
    <w:rsid w:val="00E04A7C"/>
    <w:rsid w:val="00E059FB"/>
    <w:rsid w:val="00E069C4"/>
    <w:rsid w:val="00E07275"/>
    <w:rsid w:val="00E07640"/>
    <w:rsid w:val="00E07866"/>
    <w:rsid w:val="00E07C5A"/>
    <w:rsid w:val="00E15BA9"/>
    <w:rsid w:val="00E25B22"/>
    <w:rsid w:val="00E2622D"/>
    <w:rsid w:val="00E26E19"/>
    <w:rsid w:val="00E27E3C"/>
    <w:rsid w:val="00E31DF3"/>
    <w:rsid w:val="00E32814"/>
    <w:rsid w:val="00E33448"/>
    <w:rsid w:val="00E33486"/>
    <w:rsid w:val="00E34181"/>
    <w:rsid w:val="00E37413"/>
    <w:rsid w:val="00E450A4"/>
    <w:rsid w:val="00E506BE"/>
    <w:rsid w:val="00E52D76"/>
    <w:rsid w:val="00E55547"/>
    <w:rsid w:val="00E57410"/>
    <w:rsid w:val="00E6302B"/>
    <w:rsid w:val="00E6452F"/>
    <w:rsid w:val="00E645B3"/>
    <w:rsid w:val="00E64619"/>
    <w:rsid w:val="00E64F45"/>
    <w:rsid w:val="00E6742D"/>
    <w:rsid w:val="00E71CB0"/>
    <w:rsid w:val="00E73529"/>
    <w:rsid w:val="00E77C3D"/>
    <w:rsid w:val="00E8240E"/>
    <w:rsid w:val="00E82E22"/>
    <w:rsid w:val="00E850FE"/>
    <w:rsid w:val="00E909F0"/>
    <w:rsid w:val="00E90D47"/>
    <w:rsid w:val="00E93993"/>
    <w:rsid w:val="00E9597C"/>
    <w:rsid w:val="00EA0913"/>
    <w:rsid w:val="00EA0A2F"/>
    <w:rsid w:val="00EA69A9"/>
    <w:rsid w:val="00EA6D31"/>
    <w:rsid w:val="00EB146B"/>
    <w:rsid w:val="00EB45AC"/>
    <w:rsid w:val="00EC2AEA"/>
    <w:rsid w:val="00EC7B11"/>
    <w:rsid w:val="00EC7F95"/>
    <w:rsid w:val="00ED0BC4"/>
    <w:rsid w:val="00ED1353"/>
    <w:rsid w:val="00ED135C"/>
    <w:rsid w:val="00ED3771"/>
    <w:rsid w:val="00ED4852"/>
    <w:rsid w:val="00ED4AB7"/>
    <w:rsid w:val="00ED6A32"/>
    <w:rsid w:val="00EE4971"/>
    <w:rsid w:val="00EF090E"/>
    <w:rsid w:val="00F033DA"/>
    <w:rsid w:val="00F11AAB"/>
    <w:rsid w:val="00F13FB1"/>
    <w:rsid w:val="00F17BC1"/>
    <w:rsid w:val="00F17C87"/>
    <w:rsid w:val="00F20272"/>
    <w:rsid w:val="00F216E9"/>
    <w:rsid w:val="00F223E7"/>
    <w:rsid w:val="00F2288D"/>
    <w:rsid w:val="00F25779"/>
    <w:rsid w:val="00F2750A"/>
    <w:rsid w:val="00F27CD8"/>
    <w:rsid w:val="00F30351"/>
    <w:rsid w:val="00F3323E"/>
    <w:rsid w:val="00F341F4"/>
    <w:rsid w:val="00F34F9D"/>
    <w:rsid w:val="00F35CCE"/>
    <w:rsid w:val="00F502C4"/>
    <w:rsid w:val="00F55241"/>
    <w:rsid w:val="00F5524B"/>
    <w:rsid w:val="00F55B89"/>
    <w:rsid w:val="00F60538"/>
    <w:rsid w:val="00F60BCD"/>
    <w:rsid w:val="00F61DD2"/>
    <w:rsid w:val="00F6523A"/>
    <w:rsid w:val="00F66AFF"/>
    <w:rsid w:val="00F71433"/>
    <w:rsid w:val="00F7241A"/>
    <w:rsid w:val="00F77E6E"/>
    <w:rsid w:val="00F83E76"/>
    <w:rsid w:val="00F87BEA"/>
    <w:rsid w:val="00F90A57"/>
    <w:rsid w:val="00F97C5B"/>
    <w:rsid w:val="00FA05D2"/>
    <w:rsid w:val="00FA359A"/>
    <w:rsid w:val="00FA3D50"/>
    <w:rsid w:val="00FB009F"/>
    <w:rsid w:val="00FB25B0"/>
    <w:rsid w:val="00FB6136"/>
    <w:rsid w:val="00FC2CE7"/>
    <w:rsid w:val="00FC374A"/>
    <w:rsid w:val="00FC7B47"/>
    <w:rsid w:val="00FD035C"/>
    <w:rsid w:val="00FD1A35"/>
    <w:rsid w:val="00FD1FE6"/>
    <w:rsid w:val="00FD36C5"/>
    <w:rsid w:val="00FD428C"/>
    <w:rsid w:val="00FD6310"/>
    <w:rsid w:val="00FD7C7B"/>
    <w:rsid w:val="00FD7FD0"/>
    <w:rsid w:val="00FE1D12"/>
    <w:rsid w:val="00FE2122"/>
    <w:rsid w:val="00FE2A86"/>
    <w:rsid w:val="00FF23A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22</Pages>
  <Words>8510</Words>
  <Characters>48509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Beeley</cp:lastModifiedBy>
  <cp:revision>186</cp:revision>
  <cp:lastPrinted>2019-08-27T05:42:00Z</cp:lastPrinted>
  <dcterms:created xsi:type="dcterms:W3CDTF">2023-02-23T11:14:00Z</dcterms:created>
  <dcterms:modified xsi:type="dcterms:W3CDTF">2023-03-01T16:31:00Z</dcterms:modified>
</cp:coreProperties>
</file>