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proofErr w:type="gramStart"/>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w:t>
      </w:r>
      <w:proofErr w:type="gramEnd"/>
      <w:r w:rsidRPr="0015549B">
        <w:rPr>
          <w:rFonts w:ascii="Avenir Next Demi Bold" w:hAnsi="Avenir Next Demi Bold" w:cs="Arial"/>
          <w:b/>
          <w:bCs/>
          <w:color w:val="FF0000"/>
          <w:sz w:val="22"/>
          <w:szCs w:val="22"/>
          <w:lang w:val="en-GB"/>
        </w:rPr>
        <w:t xml:space="preserv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A25082" w:rsidRDefault="00436884">
      <w:pPr>
        <w:pStyle w:val="ListParagraph"/>
        <w:numPr>
          <w:ilvl w:val="0"/>
          <w:numId w:val="1"/>
        </w:numPr>
        <w:ind w:left="426"/>
        <w:jc w:val="both"/>
        <w:rPr>
          <w:rFonts w:ascii="Avenir Next" w:hAnsi="Avenir Next" w:cs="Arial"/>
          <w:sz w:val="22"/>
          <w:szCs w:val="22"/>
          <w:highlight w:val="yellow"/>
          <w:lang w:val="en-GB"/>
        </w:rPr>
      </w:pPr>
      <w:r w:rsidRPr="00A25082">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1D28FB" w:rsidRDefault="00436884">
      <w:pPr>
        <w:pStyle w:val="ListParagraph"/>
        <w:numPr>
          <w:ilvl w:val="0"/>
          <w:numId w:val="2"/>
        </w:numPr>
        <w:ind w:left="426"/>
        <w:jc w:val="both"/>
        <w:rPr>
          <w:rFonts w:ascii="Avenir Next" w:hAnsi="Avenir Next" w:cs="Arial"/>
          <w:sz w:val="22"/>
          <w:szCs w:val="22"/>
          <w:lang w:val="en-GB"/>
        </w:rPr>
      </w:pPr>
      <w:r w:rsidRPr="001D28FB">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1D28FB" w:rsidRDefault="00436884">
      <w:pPr>
        <w:pStyle w:val="ListParagraph"/>
        <w:numPr>
          <w:ilvl w:val="0"/>
          <w:numId w:val="2"/>
        </w:numPr>
        <w:ind w:left="426"/>
        <w:jc w:val="both"/>
        <w:rPr>
          <w:rFonts w:ascii="Avenir Next" w:hAnsi="Avenir Next" w:cs="Arial"/>
          <w:sz w:val="22"/>
          <w:szCs w:val="22"/>
          <w:highlight w:val="yellow"/>
          <w:lang w:val="en-GB"/>
        </w:rPr>
      </w:pPr>
      <w:proofErr w:type="gramStart"/>
      <w:r w:rsidRPr="001D28FB">
        <w:rPr>
          <w:rFonts w:ascii="Avenir Next" w:hAnsi="Avenir Next" w:cs="Arial"/>
          <w:sz w:val="22"/>
          <w:szCs w:val="22"/>
          <w:highlight w:val="yellow"/>
          <w:lang w:val="en-GB"/>
        </w:rPr>
        <w:t>All of</w:t>
      </w:r>
      <w:proofErr w:type="gramEnd"/>
      <w:r w:rsidRPr="001D28FB">
        <w:rPr>
          <w:rFonts w:ascii="Avenir Next" w:hAnsi="Avenir Next" w:cs="Arial"/>
          <w:sz w:val="22"/>
          <w:szCs w:val="22"/>
          <w:highlight w:val="yellow"/>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966D17">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pPr>
        <w:pStyle w:val="ListParagraph"/>
        <w:numPr>
          <w:ilvl w:val="0"/>
          <w:numId w:val="3"/>
        </w:numPr>
        <w:ind w:left="426"/>
        <w:jc w:val="both"/>
        <w:rPr>
          <w:rFonts w:ascii="Avenir Next" w:hAnsi="Avenir Next" w:cs="Arial"/>
          <w:sz w:val="22"/>
          <w:szCs w:val="22"/>
          <w:lang w:val="en-GB"/>
        </w:rPr>
      </w:pPr>
      <w:r w:rsidRPr="00966D17">
        <w:rPr>
          <w:rFonts w:ascii="Avenir Next" w:hAnsi="Avenir Next" w:cs="Arial"/>
          <w:sz w:val="22"/>
          <w:szCs w:val="22"/>
          <w:highlight w:val="yellow"/>
          <w:lang w:val="en-GB"/>
        </w:rPr>
        <w:t>The registered office of the debtor is in the jurisdiction of the enacting State, but the debtor has an establishment in the jurisdiction where the foreign proceedings were opened</w:t>
      </w:r>
      <w:r w:rsidRPr="00E2622D">
        <w:rPr>
          <w:rFonts w:ascii="Avenir Next" w:hAnsi="Avenir Next" w:cs="Arial"/>
          <w:sz w:val="22"/>
          <w:szCs w:val="22"/>
          <w:lang w:val="en-GB"/>
        </w:rPr>
        <w:t>.</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B77352" w:rsidRDefault="00853A74">
      <w:pPr>
        <w:pStyle w:val="ListParagraph"/>
        <w:numPr>
          <w:ilvl w:val="0"/>
          <w:numId w:val="3"/>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553FF1" w:rsidRDefault="00436884">
      <w:pPr>
        <w:pStyle w:val="ListParagraph"/>
        <w:numPr>
          <w:ilvl w:val="0"/>
          <w:numId w:val="4"/>
        </w:numPr>
        <w:ind w:left="426"/>
        <w:jc w:val="both"/>
        <w:rPr>
          <w:rFonts w:ascii="Avenir Next" w:hAnsi="Avenir Next" w:cs="Arial"/>
          <w:sz w:val="22"/>
          <w:szCs w:val="22"/>
          <w:highlight w:val="yellow"/>
          <w:lang w:val="en-GB"/>
        </w:rPr>
      </w:pPr>
      <w:r w:rsidRPr="00553FF1">
        <w:rPr>
          <w:rFonts w:ascii="Avenir Next" w:hAnsi="Avenir Next" w:cs="Arial"/>
          <w:sz w:val="22"/>
          <w:szCs w:val="22"/>
          <w:highlight w:val="yellow"/>
          <w:lang w:val="en-GB"/>
        </w:rPr>
        <w:t>The public policy exception.</w:t>
      </w:r>
    </w:p>
    <w:p w14:paraId="3BBF87C7" w14:textId="77777777" w:rsidR="00436884" w:rsidRPr="00553FF1" w:rsidRDefault="00436884" w:rsidP="00436884">
      <w:pPr>
        <w:jc w:val="both"/>
        <w:rPr>
          <w:rFonts w:ascii="Avenir Next" w:hAnsi="Avenir Next" w:cs="Arial"/>
          <w:color w:val="FF0000"/>
          <w:sz w:val="22"/>
          <w:szCs w:val="22"/>
          <w:lang w:val="en-GB"/>
        </w:rPr>
      </w:pPr>
    </w:p>
    <w:p w14:paraId="3DC8ABE5"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safe conduct </w:t>
      </w:r>
      <w:proofErr w:type="gramStart"/>
      <w:r w:rsidRPr="00E2622D">
        <w:rPr>
          <w:rFonts w:ascii="Avenir Next" w:hAnsi="Avenir Next" w:cs="Arial"/>
          <w:sz w:val="22"/>
          <w:szCs w:val="22"/>
          <w:lang w:val="en-GB"/>
        </w:rPr>
        <w:t>rule</w:t>
      </w:r>
      <w:proofErr w:type="gramEnd"/>
      <w:r w:rsidRPr="00E2622D">
        <w:rPr>
          <w:rFonts w:ascii="Avenir Next" w:hAnsi="Avenir Next" w:cs="Arial"/>
          <w:sz w:val="22"/>
          <w:szCs w:val="22"/>
          <w:lang w:val="en-GB"/>
        </w:rPr>
        <w:t>.</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1F16FD">
        <w:rPr>
          <w:rFonts w:ascii="Avenir Next Demi Bold" w:hAnsi="Avenir Next Demi Bold" w:cs="Arial"/>
          <w:b/>
          <w:bCs/>
          <w:sz w:val="22"/>
          <w:szCs w:val="22"/>
          <w:lang w:val="en-GB"/>
        </w:rPr>
        <w:t>Question 1.5</w:t>
      </w:r>
      <w:r w:rsidRPr="000D32A9">
        <w:rPr>
          <w:rFonts w:ascii="Avenir Next Demi Bold" w:hAnsi="Avenir Next Demi Bold" w:cs="Arial"/>
          <w:b/>
          <w:bCs/>
          <w:sz w:val="22"/>
          <w:szCs w:val="22"/>
          <w:lang w:val="en-GB"/>
        </w:rPr>
        <w:t xml:space="preserve">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B77352" w:rsidRDefault="00C504E5">
      <w:pPr>
        <w:pStyle w:val="ListParagraph"/>
        <w:numPr>
          <w:ilvl w:val="0"/>
          <w:numId w:val="5"/>
        </w:numPr>
        <w:ind w:left="426"/>
        <w:jc w:val="both"/>
        <w:rPr>
          <w:rFonts w:ascii="Avenir Next" w:hAnsi="Avenir Next" w:cs="Arial"/>
          <w:sz w:val="22"/>
          <w:szCs w:val="22"/>
          <w:lang w:val="en-GB"/>
        </w:rPr>
      </w:pPr>
      <w:r w:rsidRPr="001F16FD">
        <w:rPr>
          <w:rFonts w:ascii="Avenir Next" w:hAnsi="Avenir Next" w:cs="Arial"/>
          <w:sz w:val="22"/>
          <w:szCs w:val="22"/>
          <w:highlight w:val="yellow"/>
          <w:lang w:val="en-GB"/>
        </w:rPr>
        <w:t xml:space="preserve">Both the foreign main proceedings in South Africa and the foreign non-main proceedings in </w:t>
      </w:r>
      <w:r w:rsidR="004137C3" w:rsidRPr="001F16FD">
        <w:rPr>
          <w:rFonts w:ascii="Avenir Next" w:hAnsi="Avenir Next" w:cs="Arial"/>
          <w:sz w:val="22"/>
          <w:szCs w:val="22"/>
          <w:highlight w:val="yellow"/>
          <w:lang w:val="en-GB"/>
        </w:rPr>
        <w:t xml:space="preserve">Argentina </w:t>
      </w:r>
      <w:r w:rsidRPr="001F16FD">
        <w:rPr>
          <w:rFonts w:ascii="Avenir Next" w:hAnsi="Avenir Next" w:cs="Arial"/>
          <w:sz w:val="22"/>
          <w:szCs w:val="22"/>
          <w:highlight w:val="yellow"/>
          <w:lang w:val="en-GB"/>
        </w:rPr>
        <w:t>will be recognised in the UK</w:t>
      </w:r>
      <w:r w:rsidRPr="00B77352">
        <w:rPr>
          <w:rFonts w:ascii="Avenir Next" w:hAnsi="Avenir Next" w:cs="Arial"/>
          <w:sz w:val="22"/>
          <w:szCs w:val="22"/>
          <w:lang w:val="en-GB"/>
        </w:rPr>
        <w:t>.</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1F16FD" w:rsidRDefault="00C504E5">
      <w:pPr>
        <w:pStyle w:val="ListParagraph"/>
        <w:numPr>
          <w:ilvl w:val="0"/>
          <w:numId w:val="5"/>
        </w:numPr>
        <w:ind w:left="426"/>
        <w:jc w:val="both"/>
        <w:rPr>
          <w:rFonts w:ascii="Avenir Next" w:hAnsi="Avenir Next" w:cs="Arial"/>
          <w:sz w:val="22"/>
          <w:szCs w:val="22"/>
          <w:lang w:val="en-GB"/>
        </w:rPr>
      </w:pPr>
      <w:r w:rsidRPr="001F16FD">
        <w:rPr>
          <w:rFonts w:ascii="Avenir Next" w:hAnsi="Avenir Next" w:cs="Arial"/>
          <w:sz w:val="22"/>
          <w:szCs w:val="22"/>
          <w:lang w:val="en-GB"/>
        </w:rPr>
        <w:t xml:space="preserve">None of the statements in (a), (b) </w:t>
      </w:r>
      <w:r w:rsidR="002E00F8" w:rsidRPr="001F16FD">
        <w:rPr>
          <w:rFonts w:ascii="Avenir Next" w:hAnsi="Avenir Next" w:cs="Arial"/>
          <w:sz w:val="22"/>
          <w:szCs w:val="22"/>
          <w:lang w:val="en-GB"/>
        </w:rPr>
        <w:t>or</w:t>
      </w:r>
      <w:r w:rsidRPr="001F16F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B77352" w:rsidRDefault="00B72F5F">
      <w:pPr>
        <w:pStyle w:val="ListParagraph"/>
        <w:numPr>
          <w:ilvl w:val="0"/>
          <w:numId w:val="6"/>
        </w:numPr>
        <w:ind w:left="426"/>
        <w:jc w:val="both"/>
        <w:rPr>
          <w:rFonts w:ascii="Avenir Next" w:hAnsi="Avenir Next" w:cs="Arial"/>
          <w:sz w:val="22"/>
          <w:szCs w:val="22"/>
          <w:lang w:val="en-GB"/>
        </w:rPr>
      </w:pPr>
      <w:r w:rsidRPr="007E39AF">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7E39AF">
        <w:rPr>
          <w:rFonts w:ascii="Avenir Next" w:hAnsi="Avenir Next" w:cs="Arial"/>
          <w:sz w:val="22"/>
          <w:szCs w:val="22"/>
          <w:highlight w:val="yellow"/>
          <w:lang w:val="en-GB"/>
        </w:rPr>
        <w:t>will</w:t>
      </w:r>
      <w:r w:rsidRPr="007E39AF">
        <w:rPr>
          <w:rFonts w:ascii="Avenir Next" w:hAnsi="Avenir Next" w:cs="Arial"/>
          <w:sz w:val="22"/>
          <w:szCs w:val="22"/>
          <w:highlight w:val="yellow"/>
          <w:lang w:val="en-GB"/>
        </w:rPr>
        <w:t xml:space="preserve"> not be either adjusted or terminated if consistent with the domestic insolvency proceedings</w:t>
      </w:r>
      <w:r w:rsidRPr="00B77352">
        <w:rPr>
          <w:rFonts w:ascii="Avenir Next" w:hAnsi="Avenir Next" w:cs="Arial"/>
          <w:sz w:val="22"/>
          <w:szCs w:val="22"/>
          <w:lang w:val="en-GB"/>
        </w:rPr>
        <w:t xml:space="preserve">.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AA147C" w:rsidRDefault="00436884">
      <w:pPr>
        <w:pStyle w:val="ListParagraph"/>
        <w:numPr>
          <w:ilvl w:val="0"/>
          <w:numId w:val="7"/>
        </w:numPr>
        <w:ind w:left="426"/>
        <w:jc w:val="both"/>
        <w:rPr>
          <w:rFonts w:ascii="Avenir Next" w:hAnsi="Avenir Next" w:cs="Arial"/>
          <w:sz w:val="22"/>
          <w:szCs w:val="22"/>
          <w:highlight w:val="yellow"/>
          <w:lang w:val="en-GB"/>
        </w:rPr>
      </w:pPr>
      <w:r w:rsidRPr="00AA147C">
        <w:rPr>
          <w:rFonts w:ascii="Avenir Next" w:hAnsi="Avenir Next" w:cs="Arial"/>
          <w:sz w:val="22"/>
          <w:szCs w:val="22"/>
          <w:highlight w:val="yellow"/>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B77352" w:rsidRDefault="00436884">
      <w:pPr>
        <w:pStyle w:val="ListParagraph"/>
        <w:numPr>
          <w:ilvl w:val="0"/>
          <w:numId w:val="7"/>
        </w:numPr>
        <w:ind w:left="426"/>
        <w:jc w:val="both"/>
        <w:rPr>
          <w:rFonts w:ascii="Avenir Next" w:hAnsi="Avenir Next" w:cs="Arial"/>
          <w:sz w:val="22"/>
          <w:szCs w:val="22"/>
          <w:lang w:val="en-GB"/>
        </w:rPr>
      </w:pPr>
      <w:r w:rsidRPr="00B77352">
        <w:rPr>
          <w:rFonts w:ascii="Avenir Next" w:hAnsi="Avenir Next"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pPr>
        <w:pStyle w:val="ListParagraph"/>
        <w:numPr>
          <w:ilvl w:val="0"/>
          <w:numId w:val="7"/>
        </w:numPr>
        <w:ind w:left="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2B78F1" w:rsidRDefault="00436884">
      <w:pPr>
        <w:pStyle w:val="ListParagraph"/>
        <w:numPr>
          <w:ilvl w:val="0"/>
          <w:numId w:val="8"/>
        </w:numPr>
        <w:ind w:left="426"/>
        <w:jc w:val="both"/>
        <w:rPr>
          <w:rFonts w:ascii="Avenir Next" w:hAnsi="Avenir Next" w:cs="Arial"/>
          <w:sz w:val="22"/>
          <w:szCs w:val="22"/>
          <w:lang w:val="en-GB"/>
        </w:rPr>
      </w:pPr>
      <w:r w:rsidRPr="002B78F1">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B77352" w:rsidRDefault="00436884">
      <w:pPr>
        <w:pStyle w:val="ListParagraph"/>
        <w:numPr>
          <w:ilvl w:val="0"/>
          <w:numId w:val="8"/>
        </w:numPr>
        <w:ind w:left="426"/>
        <w:jc w:val="both"/>
        <w:rPr>
          <w:rFonts w:ascii="Avenir Next" w:hAnsi="Avenir Next" w:cs="Arial"/>
          <w:sz w:val="22"/>
          <w:szCs w:val="22"/>
          <w:lang w:val="en-GB"/>
        </w:rPr>
      </w:pPr>
      <w:proofErr w:type="gramStart"/>
      <w:r w:rsidRPr="002B78F1">
        <w:rPr>
          <w:rFonts w:ascii="Avenir Next" w:hAnsi="Avenir Next" w:cs="Arial"/>
          <w:sz w:val="22"/>
          <w:szCs w:val="22"/>
          <w:highlight w:val="yellow"/>
          <w:lang w:val="en-GB"/>
        </w:rPr>
        <w:t>All of</w:t>
      </w:r>
      <w:proofErr w:type="gramEnd"/>
      <w:r w:rsidRPr="002B78F1">
        <w:rPr>
          <w:rFonts w:ascii="Avenir Next" w:hAnsi="Avenir Next" w:cs="Arial"/>
          <w:sz w:val="22"/>
          <w:szCs w:val="22"/>
          <w:highlight w:val="yellow"/>
          <w:lang w:val="en-GB"/>
        </w:rPr>
        <w:t xml:space="preserve"> the above</w:t>
      </w:r>
      <w:r w:rsidRPr="00B77352">
        <w:rPr>
          <w:rFonts w:ascii="Avenir Next" w:hAnsi="Avenir Next" w:cs="Arial"/>
          <w:sz w:val="22"/>
          <w:szCs w:val="22"/>
          <w:lang w:val="en-GB"/>
        </w:rPr>
        <w:t>.</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343EF8" w:rsidRDefault="00436884">
      <w:pPr>
        <w:pStyle w:val="ListParagraph"/>
        <w:numPr>
          <w:ilvl w:val="0"/>
          <w:numId w:val="9"/>
        </w:numPr>
        <w:ind w:left="426"/>
        <w:jc w:val="both"/>
        <w:rPr>
          <w:rFonts w:ascii="Avenir Next" w:hAnsi="Avenir Next" w:cs="Arial"/>
          <w:sz w:val="22"/>
          <w:szCs w:val="22"/>
          <w:lang w:val="en-GB"/>
        </w:rPr>
      </w:pPr>
      <w:r w:rsidRPr="00343EF8">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343EF8" w:rsidRDefault="00436884">
      <w:pPr>
        <w:pStyle w:val="ListParagraph"/>
        <w:numPr>
          <w:ilvl w:val="0"/>
          <w:numId w:val="9"/>
        </w:numPr>
        <w:ind w:left="426"/>
        <w:jc w:val="both"/>
        <w:rPr>
          <w:rFonts w:ascii="Avenir Next" w:hAnsi="Avenir Next" w:cs="Arial"/>
          <w:sz w:val="22"/>
          <w:szCs w:val="22"/>
          <w:highlight w:val="yellow"/>
          <w:lang w:val="en-GB"/>
        </w:rPr>
      </w:pPr>
      <w:r w:rsidRPr="00343EF8">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2676EB" w:rsidRDefault="00436884">
      <w:pPr>
        <w:pStyle w:val="ListParagraph"/>
        <w:numPr>
          <w:ilvl w:val="0"/>
          <w:numId w:val="10"/>
        </w:numPr>
        <w:ind w:left="426"/>
        <w:jc w:val="both"/>
        <w:rPr>
          <w:rFonts w:ascii="Avenir Next" w:hAnsi="Avenir Next" w:cs="Arial"/>
          <w:sz w:val="22"/>
          <w:szCs w:val="22"/>
          <w:highlight w:val="yellow"/>
          <w:lang w:val="en-GB"/>
        </w:rPr>
      </w:pPr>
      <w:r w:rsidRPr="002676EB">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2676EB">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66FD2EFD" w14:textId="77777777" w:rsidR="004E79D2" w:rsidRDefault="00244C26"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ML</w:t>
      </w:r>
      <w:r w:rsidR="00F4684D">
        <w:rPr>
          <w:rFonts w:ascii="Avenir Next" w:hAnsi="Avenir Next" w:cs="Arial"/>
          <w:color w:val="808080" w:themeColor="background1" w:themeShade="80"/>
          <w:sz w:val="22"/>
          <w:szCs w:val="22"/>
          <w:lang w:val="en-GB"/>
        </w:rPr>
        <w:t xml:space="preserve">CBI does not provide a </w:t>
      </w:r>
      <w:r w:rsidR="004B624E">
        <w:rPr>
          <w:rFonts w:ascii="Avenir Next" w:hAnsi="Avenir Next" w:cs="Arial"/>
          <w:color w:val="808080" w:themeColor="background1" w:themeShade="80"/>
          <w:sz w:val="22"/>
          <w:szCs w:val="22"/>
          <w:lang w:val="en-GB"/>
        </w:rPr>
        <w:t xml:space="preserve">guide on when the appropriate </w:t>
      </w:r>
      <w:r w:rsidR="009B4700">
        <w:rPr>
          <w:rFonts w:ascii="Avenir Next" w:hAnsi="Avenir Next" w:cs="Arial"/>
          <w:color w:val="808080" w:themeColor="background1" w:themeShade="80"/>
          <w:sz w:val="22"/>
          <w:szCs w:val="22"/>
          <w:lang w:val="en-GB"/>
        </w:rPr>
        <w:t xml:space="preserve">date is to determine COMI as search different jurisdictions have taken </w:t>
      </w:r>
      <w:r w:rsidR="00113A0C">
        <w:rPr>
          <w:rFonts w:ascii="Avenir Next" w:hAnsi="Avenir Next" w:cs="Arial"/>
          <w:color w:val="808080" w:themeColor="background1" w:themeShade="80"/>
          <w:sz w:val="22"/>
          <w:szCs w:val="22"/>
          <w:lang w:val="en-GB"/>
        </w:rPr>
        <w:t xml:space="preserve">different approaches. </w:t>
      </w:r>
    </w:p>
    <w:p w14:paraId="203A21B1" w14:textId="7ACC95A9" w:rsidR="004E79D2" w:rsidRDefault="00113A0C"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European approach as set out in the case of </w:t>
      </w:r>
      <w:r w:rsidR="001109FC" w:rsidRPr="001109FC">
        <w:rPr>
          <w:rFonts w:ascii="Avenir Next" w:hAnsi="Avenir Next" w:cs="Arial"/>
          <w:i/>
          <w:iCs/>
          <w:color w:val="808080" w:themeColor="background1" w:themeShade="80"/>
          <w:sz w:val="22"/>
          <w:szCs w:val="22"/>
          <w:lang w:val="en-GB"/>
        </w:rPr>
        <w:t xml:space="preserve">Susanne </w:t>
      </w:r>
      <w:proofErr w:type="spellStart"/>
      <w:r w:rsidR="001109FC" w:rsidRPr="001109FC">
        <w:rPr>
          <w:rFonts w:ascii="Avenir Next" w:hAnsi="Avenir Next" w:cs="Arial"/>
          <w:i/>
          <w:iCs/>
          <w:color w:val="808080" w:themeColor="background1" w:themeShade="80"/>
          <w:sz w:val="22"/>
          <w:szCs w:val="22"/>
          <w:lang w:val="en-GB"/>
        </w:rPr>
        <w:t>Staubitz</w:t>
      </w:r>
      <w:proofErr w:type="spellEnd"/>
      <w:r w:rsidR="001109FC" w:rsidRPr="001109FC">
        <w:rPr>
          <w:rFonts w:ascii="Avenir Next" w:hAnsi="Avenir Next" w:cs="Arial"/>
          <w:i/>
          <w:iCs/>
          <w:color w:val="808080" w:themeColor="background1" w:themeShade="80"/>
          <w:sz w:val="22"/>
          <w:szCs w:val="22"/>
          <w:lang w:val="en-GB"/>
        </w:rPr>
        <w:t>-Schreiber Case</w:t>
      </w:r>
      <w:r w:rsidR="004C28A5">
        <w:rPr>
          <w:rStyle w:val="FootnoteReference"/>
          <w:rFonts w:ascii="Avenir Next" w:hAnsi="Avenir Next" w:cs="Arial"/>
          <w:i/>
          <w:iCs/>
          <w:color w:val="808080" w:themeColor="background1" w:themeShade="80"/>
          <w:sz w:val="22"/>
          <w:szCs w:val="22"/>
          <w:lang w:val="en-GB"/>
        </w:rPr>
        <w:footnoteReference w:id="2"/>
      </w:r>
      <w:r w:rsidR="001109FC" w:rsidRPr="001109FC">
        <w:rPr>
          <w:rFonts w:ascii="Avenir Next" w:hAnsi="Avenir Next" w:cs="Arial"/>
          <w:color w:val="808080" w:themeColor="background1" w:themeShade="80"/>
          <w:sz w:val="22"/>
          <w:szCs w:val="22"/>
          <w:lang w:val="en-GB"/>
        </w:rPr>
        <w:t xml:space="preserve"> </w:t>
      </w:r>
      <w:r w:rsidR="00CC4BC0">
        <w:rPr>
          <w:rFonts w:ascii="Avenir Next" w:hAnsi="Avenir Next" w:cs="Arial"/>
          <w:color w:val="808080" w:themeColor="background1" w:themeShade="80"/>
          <w:sz w:val="22"/>
          <w:szCs w:val="22"/>
          <w:lang w:val="en-GB"/>
        </w:rPr>
        <w:t>is the commencement of the foreign insolvency proceeding</w:t>
      </w:r>
      <w:r w:rsidR="00AA45CB">
        <w:rPr>
          <w:rFonts w:ascii="Avenir Next" w:hAnsi="Avenir Next" w:cs="Arial"/>
          <w:color w:val="808080" w:themeColor="background1" w:themeShade="80"/>
          <w:sz w:val="22"/>
          <w:szCs w:val="22"/>
          <w:lang w:val="en-GB"/>
        </w:rPr>
        <w:t xml:space="preserve">. </w:t>
      </w:r>
      <w:r w:rsidR="001B3124">
        <w:rPr>
          <w:rFonts w:ascii="Avenir Next" w:hAnsi="Avenir Next" w:cs="Arial"/>
          <w:color w:val="808080" w:themeColor="background1" w:themeShade="80"/>
          <w:sz w:val="22"/>
          <w:szCs w:val="22"/>
          <w:lang w:val="en-GB"/>
        </w:rPr>
        <w:t xml:space="preserve">This is the </w:t>
      </w:r>
      <w:proofErr w:type="spellStart"/>
      <w:r w:rsidR="00EE545B">
        <w:rPr>
          <w:rFonts w:ascii="Avenir Next" w:hAnsi="Avenir Next" w:cs="Arial"/>
          <w:color w:val="808080" w:themeColor="background1" w:themeShade="80"/>
          <w:sz w:val="22"/>
          <w:szCs w:val="22"/>
          <w:lang w:val="en-GB"/>
        </w:rPr>
        <w:t>tiing</w:t>
      </w:r>
      <w:proofErr w:type="spellEnd"/>
      <w:r w:rsidR="00EE545B">
        <w:rPr>
          <w:rFonts w:ascii="Avenir Next" w:hAnsi="Avenir Next" w:cs="Arial"/>
          <w:color w:val="808080" w:themeColor="background1" w:themeShade="80"/>
          <w:sz w:val="22"/>
          <w:szCs w:val="22"/>
          <w:lang w:val="en-GB"/>
        </w:rPr>
        <w:t xml:space="preserve"> of COMI that has been </w:t>
      </w:r>
      <w:proofErr w:type="spellStart"/>
      <w:r w:rsidR="00EE545B">
        <w:rPr>
          <w:rFonts w:ascii="Avenir Next" w:hAnsi="Avenir Next" w:cs="Arial"/>
          <w:color w:val="808080" w:themeColor="background1" w:themeShade="80"/>
          <w:sz w:val="22"/>
          <w:szCs w:val="22"/>
          <w:lang w:val="en-GB"/>
        </w:rPr>
        <w:t>suported</w:t>
      </w:r>
      <w:proofErr w:type="spellEnd"/>
      <w:r w:rsidR="00EE545B">
        <w:rPr>
          <w:rFonts w:ascii="Avenir Next" w:hAnsi="Avenir Next" w:cs="Arial"/>
          <w:color w:val="808080" w:themeColor="background1" w:themeShade="80"/>
          <w:sz w:val="22"/>
          <w:szCs w:val="22"/>
          <w:lang w:val="en-GB"/>
        </w:rPr>
        <w:t xml:space="preserve"> by the UNCITRAL</w:t>
      </w:r>
      <w:r w:rsidR="007F316E">
        <w:rPr>
          <w:rFonts w:ascii="Avenir Next" w:hAnsi="Avenir Next" w:cs="Arial"/>
          <w:color w:val="808080" w:themeColor="background1" w:themeShade="80"/>
          <w:sz w:val="22"/>
          <w:szCs w:val="22"/>
          <w:lang w:val="en-GB"/>
        </w:rPr>
        <w:t xml:space="preserve"> Secretaria</w:t>
      </w:r>
      <w:r w:rsidR="00032028">
        <w:rPr>
          <w:rFonts w:ascii="Avenir Next" w:hAnsi="Avenir Next" w:cs="Arial"/>
          <w:color w:val="808080" w:themeColor="background1" w:themeShade="80"/>
          <w:sz w:val="22"/>
          <w:szCs w:val="22"/>
          <w:lang w:val="en-GB"/>
        </w:rPr>
        <w:t>t</w:t>
      </w:r>
      <w:r w:rsidR="00B27A1B">
        <w:rPr>
          <w:rFonts w:ascii="Avenir Next" w:hAnsi="Avenir Next" w:cs="Arial"/>
          <w:color w:val="808080" w:themeColor="background1" w:themeShade="80"/>
          <w:sz w:val="22"/>
          <w:szCs w:val="22"/>
          <w:lang w:val="en-GB"/>
        </w:rPr>
        <w:t>.</w:t>
      </w:r>
      <w:r w:rsidR="003D19B2">
        <w:rPr>
          <w:rStyle w:val="FootnoteReference"/>
          <w:rFonts w:ascii="Avenir Next" w:hAnsi="Avenir Next" w:cs="Arial"/>
          <w:color w:val="808080" w:themeColor="background1" w:themeShade="80"/>
          <w:sz w:val="22"/>
          <w:szCs w:val="22"/>
          <w:lang w:val="en-GB"/>
        </w:rPr>
        <w:footnoteReference w:id="3"/>
      </w:r>
      <w:r w:rsidR="00B27A1B">
        <w:rPr>
          <w:rFonts w:ascii="Avenir Next" w:hAnsi="Avenir Next" w:cs="Arial"/>
          <w:color w:val="808080" w:themeColor="background1" w:themeShade="80"/>
          <w:sz w:val="22"/>
          <w:szCs w:val="22"/>
          <w:lang w:val="en-GB"/>
        </w:rPr>
        <w:t xml:space="preserve"> </w:t>
      </w:r>
    </w:p>
    <w:p w14:paraId="224B9D2F" w14:textId="1C0E47EA" w:rsidR="004E79D2" w:rsidRDefault="007D315E"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US </w:t>
      </w:r>
      <w:proofErr w:type="spellStart"/>
      <w:r>
        <w:rPr>
          <w:rFonts w:ascii="Avenir Next" w:hAnsi="Avenir Next" w:cs="Arial"/>
          <w:color w:val="808080" w:themeColor="background1" w:themeShade="80"/>
          <w:sz w:val="22"/>
          <w:szCs w:val="22"/>
          <w:lang w:val="en-GB"/>
        </w:rPr>
        <w:t>apporach</w:t>
      </w:r>
      <w:proofErr w:type="spellEnd"/>
      <w:r>
        <w:rPr>
          <w:rFonts w:ascii="Avenir Next" w:hAnsi="Avenir Next" w:cs="Arial"/>
          <w:color w:val="808080" w:themeColor="background1" w:themeShade="80"/>
          <w:sz w:val="22"/>
          <w:szCs w:val="22"/>
          <w:lang w:val="en-GB"/>
        </w:rPr>
        <w:t xml:space="preserve"> </w:t>
      </w:r>
      <w:r w:rsidR="00E204B4">
        <w:rPr>
          <w:rFonts w:ascii="Avenir Next" w:hAnsi="Avenir Next" w:cs="Arial"/>
          <w:color w:val="808080" w:themeColor="background1" w:themeShade="80"/>
          <w:sz w:val="22"/>
          <w:szCs w:val="22"/>
          <w:lang w:val="en-GB"/>
        </w:rPr>
        <w:t xml:space="preserve">is upon </w:t>
      </w:r>
      <w:r w:rsidR="009E49F7">
        <w:rPr>
          <w:rFonts w:ascii="Avenir Next" w:hAnsi="Avenir Next" w:cs="Arial"/>
          <w:color w:val="808080" w:themeColor="background1" w:themeShade="80"/>
          <w:sz w:val="22"/>
          <w:szCs w:val="22"/>
          <w:lang w:val="en-GB"/>
        </w:rPr>
        <w:t xml:space="preserve">filing of the </w:t>
      </w:r>
      <w:r w:rsidR="00EC50C5">
        <w:rPr>
          <w:rFonts w:ascii="Avenir Next" w:hAnsi="Avenir Next" w:cs="Arial"/>
          <w:color w:val="808080" w:themeColor="background1" w:themeShade="80"/>
          <w:sz w:val="22"/>
          <w:szCs w:val="22"/>
          <w:lang w:val="en-GB"/>
        </w:rPr>
        <w:t>recogni</w:t>
      </w:r>
      <w:r w:rsidR="00C362F9">
        <w:rPr>
          <w:rFonts w:ascii="Avenir Next" w:hAnsi="Avenir Next" w:cs="Arial"/>
          <w:color w:val="808080" w:themeColor="background1" w:themeShade="80"/>
          <w:sz w:val="22"/>
          <w:szCs w:val="22"/>
          <w:lang w:val="en-GB"/>
        </w:rPr>
        <w:t>tion application</w:t>
      </w:r>
      <w:r w:rsidR="00044800">
        <w:rPr>
          <w:rFonts w:ascii="Avenir Next" w:hAnsi="Avenir Next" w:cs="Arial"/>
          <w:color w:val="808080" w:themeColor="background1" w:themeShade="80"/>
          <w:sz w:val="22"/>
          <w:szCs w:val="22"/>
          <w:lang w:val="en-GB"/>
        </w:rPr>
        <w:t xml:space="preserve"> </w:t>
      </w:r>
      <w:proofErr w:type="gramStart"/>
      <w:r w:rsidR="00044800">
        <w:rPr>
          <w:rFonts w:ascii="Avenir Next" w:hAnsi="Avenir Next" w:cs="Arial"/>
          <w:color w:val="808080" w:themeColor="background1" w:themeShade="80"/>
          <w:sz w:val="22"/>
          <w:szCs w:val="22"/>
          <w:lang w:val="en-GB"/>
        </w:rPr>
        <w:t xml:space="preserve">per </w:t>
      </w:r>
      <w:r w:rsidR="006A1983" w:rsidRPr="006A1983">
        <w:rPr>
          <w:rFonts w:ascii="Avenir Next" w:hAnsi="Avenir Next" w:cs="Arial"/>
          <w:color w:val="808080" w:themeColor="background1" w:themeShade="80"/>
          <w:sz w:val="22"/>
          <w:szCs w:val="22"/>
          <w:lang w:val="en-GB"/>
        </w:rPr>
        <w:t xml:space="preserve"> </w:t>
      </w:r>
      <w:bookmarkStart w:id="2" w:name="_Hlk128229081"/>
      <w:r w:rsidR="006A1983" w:rsidRPr="006A1983">
        <w:rPr>
          <w:rFonts w:ascii="Avenir Next" w:hAnsi="Avenir Next" w:cs="Arial"/>
          <w:i/>
          <w:iCs/>
          <w:color w:val="808080" w:themeColor="background1" w:themeShade="80"/>
          <w:sz w:val="22"/>
          <w:szCs w:val="22"/>
          <w:lang w:val="en-GB"/>
        </w:rPr>
        <w:t>In</w:t>
      </w:r>
      <w:proofErr w:type="gramEnd"/>
      <w:r w:rsidR="006A1983" w:rsidRPr="006A1983">
        <w:rPr>
          <w:rFonts w:ascii="Avenir Next" w:hAnsi="Avenir Next" w:cs="Arial"/>
          <w:i/>
          <w:iCs/>
          <w:color w:val="808080" w:themeColor="background1" w:themeShade="80"/>
          <w:sz w:val="22"/>
          <w:szCs w:val="22"/>
          <w:lang w:val="en-GB"/>
        </w:rPr>
        <w:t xml:space="preserve"> re Ran</w:t>
      </w:r>
      <w:bookmarkEnd w:id="2"/>
      <w:r w:rsidR="00E31207">
        <w:rPr>
          <w:rFonts w:ascii="Avenir Next" w:hAnsi="Avenir Next" w:cs="Arial"/>
          <w:color w:val="808080" w:themeColor="background1" w:themeShade="80"/>
          <w:sz w:val="22"/>
          <w:szCs w:val="22"/>
          <w:lang w:val="en-GB"/>
        </w:rPr>
        <w:t xml:space="preserve">. </w:t>
      </w:r>
      <w:r w:rsidR="00A41034">
        <w:rPr>
          <w:rStyle w:val="FootnoteReference"/>
          <w:rFonts w:ascii="Avenir Next" w:hAnsi="Avenir Next" w:cs="Arial"/>
          <w:color w:val="808080" w:themeColor="background1" w:themeShade="80"/>
          <w:sz w:val="22"/>
          <w:szCs w:val="22"/>
          <w:lang w:val="en-GB"/>
        </w:rPr>
        <w:footnoteReference w:id="4"/>
      </w:r>
      <w:r w:rsidR="00936065">
        <w:rPr>
          <w:rFonts w:ascii="Avenir Next" w:hAnsi="Avenir Next" w:cs="Arial"/>
          <w:color w:val="808080" w:themeColor="background1" w:themeShade="80"/>
          <w:sz w:val="22"/>
          <w:szCs w:val="22"/>
          <w:lang w:val="en-GB"/>
        </w:rPr>
        <w:t xml:space="preserve">The courts reached that decision by </w:t>
      </w:r>
      <w:proofErr w:type="spellStart"/>
      <w:r w:rsidR="00936065">
        <w:rPr>
          <w:rFonts w:ascii="Avenir Next" w:hAnsi="Avenir Next" w:cs="Arial"/>
          <w:color w:val="808080" w:themeColor="background1" w:themeShade="80"/>
          <w:sz w:val="22"/>
          <w:szCs w:val="22"/>
          <w:lang w:val="en-GB"/>
        </w:rPr>
        <w:t>determing</w:t>
      </w:r>
      <w:proofErr w:type="spellEnd"/>
      <w:r w:rsidR="00936065">
        <w:rPr>
          <w:rFonts w:ascii="Avenir Next" w:hAnsi="Avenir Next" w:cs="Arial"/>
          <w:color w:val="808080" w:themeColor="background1" w:themeShade="80"/>
          <w:sz w:val="22"/>
          <w:szCs w:val="22"/>
          <w:lang w:val="en-GB"/>
        </w:rPr>
        <w:t xml:space="preserve"> that t</w:t>
      </w:r>
      <w:r w:rsidR="00FF4993">
        <w:rPr>
          <w:rFonts w:ascii="Avenir Next" w:hAnsi="Avenir Next" w:cs="Arial"/>
          <w:color w:val="808080" w:themeColor="background1" w:themeShade="80"/>
          <w:sz w:val="22"/>
          <w:szCs w:val="22"/>
          <w:lang w:val="en-GB"/>
        </w:rPr>
        <w:t xml:space="preserve">he use of present tense in </w:t>
      </w:r>
      <w:r w:rsidR="00776EAE">
        <w:rPr>
          <w:rFonts w:ascii="Avenir Next" w:hAnsi="Avenir Next" w:cs="Arial"/>
          <w:color w:val="808080" w:themeColor="background1" w:themeShade="80"/>
          <w:sz w:val="22"/>
          <w:szCs w:val="22"/>
          <w:lang w:val="en-GB"/>
        </w:rPr>
        <w:t>US Bank</w:t>
      </w:r>
      <w:r w:rsidR="006A25EC">
        <w:rPr>
          <w:rFonts w:ascii="Avenir Next" w:hAnsi="Avenir Next" w:cs="Arial"/>
          <w:color w:val="808080" w:themeColor="background1" w:themeShade="80"/>
          <w:sz w:val="22"/>
          <w:szCs w:val="22"/>
          <w:lang w:val="en-GB"/>
        </w:rPr>
        <w:t xml:space="preserve">ruptcy Code </w:t>
      </w:r>
      <w:r w:rsidR="003E43DE" w:rsidRPr="003E43DE">
        <w:rPr>
          <w:rFonts w:ascii="Avenir Next" w:hAnsi="Avenir Next" w:cs="Arial"/>
          <w:color w:val="808080" w:themeColor="background1" w:themeShade="80"/>
          <w:sz w:val="22"/>
          <w:szCs w:val="22"/>
          <w:lang w:val="en-GB"/>
        </w:rPr>
        <w:t>§</w:t>
      </w:r>
      <w:r w:rsidR="00DC30DE">
        <w:rPr>
          <w:rFonts w:ascii="Avenir Next" w:hAnsi="Avenir Next" w:cs="Arial"/>
          <w:color w:val="808080" w:themeColor="background1" w:themeShade="80"/>
          <w:sz w:val="22"/>
          <w:szCs w:val="22"/>
          <w:lang w:val="en-GB"/>
        </w:rPr>
        <w:t>15</w:t>
      </w:r>
      <w:r w:rsidR="00660ECD">
        <w:rPr>
          <w:rFonts w:ascii="Avenir Next" w:hAnsi="Avenir Next" w:cs="Arial"/>
          <w:color w:val="808080" w:themeColor="background1" w:themeShade="80"/>
          <w:sz w:val="22"/>
          <w:szCs w:val="22"/>
          <w:lang w:val="en-GB"/>
        </w:rPr>
        <w:t>02</w:t>
      </w:r>
      <w:r w:rsidR="00103C89">
        <w:rPr>
          <w:rFonts w:ascii="Avenir Next" w:hAnsi="Avenir Next" w:cs="Arial"/>
          <w:color w:val="808080" w:themeColor="background1" w:themeShade="80"/>
          <w:sz w:val="22"/>
          <w:szCs w:val="22"/>
          <w:lang w:val="en-GB"/>
        </w:rPr>
        <w:t xml:space="preserve"> indicated that COMI should be vie</w:t>
      </w:r>
      <w:r w:rsidR="00F016FF">
        <w:rPr>
          <w:rFonts w:ascii="Avenir Next" w:hAnsi="Avenir Next" w:cs="Arial"/>
          <w:color w:val="808080" w:themeColor="background1" w:themeShade="80"/>
          <w:sz w:val="22"/>
          <w:szCs w:val="22"/>
          <w:lang w:val="en-GB"/>
        </w:rPr>
        <w:t>wed in the present tense</w:t>
      </w:r>
      <w:r w:rsidR="00337B69">
        <w:rPr>
          <w:rFonts w:ascii="Avenir Next" w:hAnsi="Avenir Next" w:cs="Arial"/>
          <w:color w:val="808080" w:themeColor="background1" w:themeShade="80"/>
          <w:sz w:val="22"/>
          <w:szCs w:val="22"/>
          <w:lang w:val="en-GB"/>
        </w:rPr>
        <w:t xml:space="preserve"> and by using this m</w:t>
      </w:r>
      <w:r w:rsidR="00FB2DBD">
        <w:rPr>
          <w:rFonts w:ascii="Avenir Next" w:hAnsi="Avenir Next" w:cs="Arial"/>
          <w:color w:val="808080" w:themeColor="background1" w:themeShade="80"/>
          <w:sz w:val="22"/>
          <w:szCs w:val="22"/>
          <w:lang w:val="en-GB"/>
        </w:rPr>
        <w:t xml:space="preserve">easure </w:t>
      </w:r>
      <w:r w:rsidR="00AF1EA2">
        <w:rPr>
          <w:rFonts w:ascii="Avenir Next" w:hAnsi="Avenir Next" w:cs="Arial"/>
          <w:color w:val="808080" w:themeColor="background1" w:themeShade="80"/>
          <w:sz w:val="22"/>
          <w:szCs w:val="22"/>
          <w:lang w:val="en-GB"/>
        </w:rPr>
        <w:t xml:space="preserve">will provide a consistency across </w:t>
      </w:r>
      <w:r w:rsidR="0024198F">
        <w:rPr>
          <w:rFonts w:ascii="Avenir Next" w:hAnsi="Avenir Next" w:cs="Arial"/>
          <w:color w:val="808080" w:themeColor="background1" w:themeShade="80"/>
          <w:sz w:val="22"/>
          <w:szCs w:val="22"/>
          <w:lang w:val="en-GB"/>
        </w:rPr>
        <w:t>different jurisdictions.</w:t>
      </w:r>
      <w:r w:rsidR="00EF4768">
        <w:rPr>
          <w:rStyle w:val="FootnoteReference"/>
          <w:rFonts w:ascii="Avenir Next" w:hAnsi="Avenir Next" w:cs="Arial"/>
          <w:color w:val="808080" w:themeColor="background1" w:themeShade="80"/>
          <w:sz w:val="22"/>
          <w:szCs w:val="22"/>
          <w:lang w:val="en-GB"/>
        </w:rPr>
        <w:footnoteReference w:id="5"/>
      </w:r>
      <w:r w:rsidR="009F0537">
        <w:rPr>
          <w:rFonts w:ascii="Avenir Next" w:hAnsi="Avenir Next" w:cs="Arial"/>
          <w:color w:val="808080" w:themeColor="background1" w:themeShade="80"/>
          <w:sz w:val="22"/>
          <w:szCs w:val="22"/>
          <w:lang w:val="en-GB"/>
        </w:rPr>
        <w:t xml:space="preserve"> </w:t>
      </w:r>
    </w:p>
    <w:p w14:paraId="654B0E66" w14:textId="177A8E11" w:rsidR="00CB56CE" w:rsidRPr="00B77352" w:rsidRDefault="009F0537"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Australian approach </w:t>
      </w:r>
      <w:r w:rsidR="00A8222B">
        <w:rPr>
          <w:rFonts w:ascii="Avenir Next" w:hAnsi="Avenir Next" w:cs="Arial"/>
          <w:color w:val="808080" w:themeColor="background1" w:themeShade="80"/>
          <w:sz w:val="22"/>
          <w:szCs w:val="22"/>
          <w:lang w:val="en-GB"/>
        </w:rPr>
        <w:t xml:space="preserve">has taken an </w:t>
      </w:r>
      <w:proofErr w:type="spellStart"/>
      <w:r w:rsidR="00A8222B">
        <w:rPr>
          <w:rFonts w:ascii="Avenir Next" w:hAnsi="Avenir Next" w:cs="Arial"/>
          <w:color w:val="808080" w:themeColor="background1" w:themeShade="80"/>
          <w:sz w:val="22"/>
          <w:szCs w:val="22"/>
          <w:lang w:val="en-GB"/>
        </w:rPr>
        <w:t>appraoch</w:t>
      </w:r>
      <w:proofErr w:type="spellEnd"/>
      <w:r w:rsidR="00A8222B">
        <w:rPr>
          <w:rFonts w:ascii="Avenir Next" w:hAnsi="Avenir Next" w:cs="Arial"/>
          <w:color w:val="808080" w:themeColor="background1" w:themeShade="80"/>
          <w:sz w:val="22"/>
          <w:szCs w:val="22"/>
          <w:lang w:val="en-GB"/>
        </w:rPr>
        <w:t xml:space="preserve"> that is similar but different from the US approach regarding the </w:t>
      </w:r>
      <w:proofErr w:type="gramStart"/>
      <w:r w:rsidR="00A8222B">
        <w:rPr>
          <w:rFonts w:ascii="Avenir Next" w:hAnsi="Avenir Next" w:cs="Arial"/>
          <w:color w:val="808080" w:themeColor="background1" w:themeShade="80"/>
          <w:sz w:val="22"/>
          <w:szCs w:val="22"/>
          <w:lang w:val="en-GB"/>
        </w:rPr>
        <w:t>timing  of</w:t>
      </w:r>
      <w:proofErr w:type="gramEnd"/>
      <w:r w:rsidR="00A8222B">
        <w:rPr>
          <w:rFonts w:ascii="Avenir Next" w:hAnsi="Avenir Next" w:cs="Arial"/>
          <w:color w:val="808080" w:themeColor="background1" w:themeShade="80"/>
          <w:sz w:val="22"/>
          <w:szCs w:val="22"/>
          <w:lang w:val="en-GB"/>
        </w:rPr>
        <w:t xml:space="preserve"> COMI. </w:t>
      </w:r>
      <w:r w:rsidR="00BA07FC">
        <w:rPr>
          <w:rFonts w:ascii="Avenir Next" w:hAnsi="Avenir Next" w:cs="Arial"/>
          <w:color w:val="808080" w:themeColor="background1" w:themeShade="80"/>
          <w:sz w:val="22"/>
          <w:szCs w:val="22"/>
          <w:lang w:val="en-GB"/>
        </w:rPr>
        <w:t xml:space="preserve"> The case of </w:t>
      </w:r>
      <w:r w:rsidR="00BA07FC" w:rsidRPr="00127217">
        <w:rPr>
          <w:rFonts w:ascii="Avenir Next" w:hAnsi="Avenir Next" w:cs="Arial"/>
          <w:i/>
          <w:iCs/>
          <w:color w:val="808080" w:themeColor="background1" w:themeShade="80"/>
          <w:sz w:val="22"/>
          <w:szCs w:val="22"/>
          <w:lang w:val="en-GB"/>
        </w:rPr>
        <w:t>Australian Equity Investors</w:t>
      </w:r>
      <w:r w:rsidR="00202973">
        <w:rPr>
          <w:rStyle w:val="FootnoteReference"/>
          <w:rFonts w:ascii="Avenir Next" w:hAnsi="Avenir Next" w:cs="Arial"/>
          <w:i/>
          <w:iCs/>
          <w:color w:val="808080" w:themeColor="background1" w:themeShade="80"/>
          <w:sz w:val="22"/>
          <w:szCs w:val="22"/>
          <w:lang w:val="en-GB"/>
        </w:rPr>
        <w:footnoteReference w:id="6"/>
      </w:r>
      <w:r w:rsidR="00BA07FC" w:rsidRPr="00BA07FC">
        <w:rPr>
          <w:rFonts w:ascii="Avenir Next" w:hAnsi="Avenir Next" w:cs="Arial"/>
          <w:color w:val="808080" w:themeColor="background1" w:themeShade="80"/>
          <w:sz w:val="22"/>
          <w:szCs w:val="22"/>
          <w:lang w:val="en-GB"/>
        </w:rPr>
        <w:t xml:space="preserve"> </w:t>
      </w:r>
      <w:r w:rsidR="00E35B59">
        <w:rPr>
          <w:rFonts w:ascii="Avenir Next" w:hAnsi="Avenir Next" w:cs="Arial"/>
          <w:color w:val="808080" w:themeColor="background1" w:themeShade="80"/>
          <w:sz w:val="22"/>
          <w:szCs w:val="22"/>
          <w:lang w:val="en-GB"/>
        </w:rPr>
        <w:t>determined that the date of decision of t</w:t>
      </w:r>
      <w:r w:rsidR="00D27EE7">
        <w:rPr>
          <w:rFonts w:ascii="Avenir Next" w:hAnsi="Avenir Next" w:cs="Arial"/>
          <w:color w:val="808080" w:themeColor="background1" w:themeShade="80"/>
          <w:sz w:val="22"/>
          <w:szCs w:val="22"/>
          <w:lang w:val="en-GB"/>
        </w:rPr>
        <w:t>he recogni</w:t>
      </w:r>
      <w:r w:rsidR="002E2B02">
        <w:rPr>
          <w:rFonts w:ascii="Avenir Next" w:hAnsi="Avenir Next" w:cs="Arial"/>
          <w:color w:val="808080" w:themeColor="background1" w:themeShade="80"/>
          <w:sz w:val="22"/>
          <w:szCs w:val="22"/>
          <w:lang w:val="en-GB"/>
        </w:rPr>
        <w:t xml:space="preserve">tion application is the </w:t>
      </w:r>
      <w:r w:rsidR="00707261">
        <w:rPr>
          <w:rFonts w:ascii="Avenir Next" w:hAnsi="Avenir Next" w:cs="Arial"/>
          <w:color w:val="808080" w:themeColor="background1" w:themeShade="80"/>
          <w:sz w:val="22"/>
          <w:szCs w:val="22"/>
          <w:lang w:val="en-GB"/>
        </w:rPr>
        <w:t>date to determine COMI</w:t>
      </w:r>
      <w:r w:rsidR="00127217">
        <w:rPr>
          <w:rFonts w:ascii="Avenir Next" w:hAnsi="Avenir Next" w:cs="Arial"/>
          <w:color w:val="808080" w:themeColor="background1" w:themeShade="80"/>
          <w:sz w:val="22"/>
          <w:szCs w:val="22"/>
          <w:lang w:val="en-GB"/>
        </w:rPr>
        <w:t>, however, there was no reasoning provided as to why the approach was taken.</w:t>
      </w:r>
      <w:r w:rsidR="00CC094E">
        <w:rPr>
          <w:rFonts w:ascii="Avenir Next" w:hAnsi="Avenir Next" w:cs="Arial"/>
          <w:color w:val="808080" w:themeColor="background1" w:themeShade="80"/>
          <w:sz w:val="22"/>
          <w:szCs w:val="22"/>
          <w:lang w:val="en-GB"/>
        </w:rPr>
        <w:t xml:space="preserve"> This </w:t>
      </w:r>
      <w:proofErr w:type="spellStart"/>
      <w:r w:rsidR="00CC094E">
        <w:rPr>
          <w:rFonts w:ascii="Avenir Next" w:hAnsi="Avenir Next" w:cs="Arial"/>
          <w:color w:val="808080" w:themeColor="background1" w:themeShade="80"/>
          <w:sz w:val="22"/>
          <w:szCs w:val="22"/>
          <w:lang w:val="en-GB"/>
        </w:rPr>
        <w:t>appraoch</w:t>
      </w:r>
      <w:proofErr w:type="spellEnd"/>
      <w:r w:rsidR="00CC094E">
        <w:rPr>
          <w:rFonts w:ascii="Avenir Next" w:hAnsi="Avenir Next" w:cs="Arial"/>
          <w:color w:val="808080" w:themeColor="background1" w:themeShade="80"/>
          <w:sz w:val="22"/>
          <w:szCs w:val="22"/>
          <w:lang w:val="en-GB"/>
        </w:rPr>
        <w:t xml:space="preserve"> has been taken in other Australian cases</w:t>
      </w:r>
      <w:r w:rsidR="009B0416">
        <w:rPr>
          <w:rFonts w:ascii="Avenir Next" w:hAnsi="Avenir Next" w:cs="Arial"/>
          <w:color w:val="808080" w:themeColor="background1" w:themeShade="80"/>
          <w:sz w:val="22"/>
          <w:szCs w:val="22"/>
          <w:lang w:val="en-GB"/>
        </w:rPr>
        <w:t>.</w:t>
      </w:r>
      <w:r w:rsidR="009B0416">
        <w:rPr>
          <w:rStyle w:val="FootnoteReference"/>
          <w:rFonts w:ascii="Avenir Next" w:hAnsi="Avenir Next" w:cs="Arial"/>
          <w:color w:val="808080" w:themeColor="background1" w:themeShade="80"/>
          <w:sz w:val="22"/>
          <w:szCs w:val="22"/>
          <w:lang w:val="en-GB"/>
        </w:rPr>
        <w:footnoteReference w:id="7"/>
      </w: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w:t>
      </w:r>
      <w:proofErr w:type="gramStart"/>
      <w:r w:rsidRPr="00E2622D">
        <w:rPr>
          <w:rFonts w:ascii="Avenir Next" w:hAnsi="Avenir Next" w:cs="Arial"/>
          <w:sz w:val="22"/>
          <w:szCs w:val="22"/>
          <w:lang w:val="en-GB"/>
        </w:rPr>
        <w:t>particular provisions / concepts</w:t>
      </w:r>
      <w:proofErr w:type="gramEnd"/>
      <w:r w:rsidRPr="00E2622D">
        <w:rPr>
          <w:rFonts w:ascii="Avenir Next" w:hAnsi="Avenir Next" w:cs="Arial"/>
          <w:sz w:val="22"/>
          <w:szCs w:val="22"/>
          <w:lang w:val="en-GB"/>
        </w:rPr>
        <w:t xml:space="preserve">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4E7CA6EC" w14:textId="2E62FC93" w:rsidR="004913E7" w:rsidRDefault="00BE08AC" w:rsidP="00867A8F">
      <w:pPr>
        <w:ind w:left="720" w:hanging="720"/>
        <w:jc w:val="both"/>
        <w:rPr>
          <w:rFonts w:ascii="Avenir Next" w:hAnsi="Avenir Next" w:cs="Arial"/>
          <w:color w:val="808080" w:themeColor="background1" w:themeShade="80"/>
          <w:sz w:val="22"/>
          <w:szCs w:val="22"/>
          <w:lang w:val="en-GB"/>
        </w:rPr>
      </w:pPr>
      <w:r w:rsidRPr="00BE08AC">
        <w:rPr>
          <w:rFonts w:ascii="Avenir Next" w:hAnsi="Avenir Next" w:cs="Arial"/>
          <w:color w:val="808080" w:themeColor="background1" w:themeShade="80"/>
          <w:sz w:val="22"/>
          <w:szCs w:val="22"/>
          <w:lang w:val="en-GB"/>
        </w:rPr>
        <w:t>UNCITRAL Model Law on Cross-Border Insolvency Law with Guide to Enactment and Interpretation</w:t>
      </w:r>
      <w:r>
        <w:rPr>
          <w:rFonts w:ascii="Avenir Next" w:hAnsi="Avenir Next" w:cs="Arial"/>
          <w:color w:val="808080" w:themeColor="background1" w:themeShade="80"/>
          <w:sz w:val="22"/>
          <w:szCs w:val="22"/>
          <w:lang w:val="en-GB"/>
        </w:rPr>
        <w:t xml:space="preserve">. </w:t>
      </w:r>
    </w:p>
    <w:p w14:paraId="428DC0DA" w14:textId="279D095B" w:rsidR="00867A8F" w:rsidRDefault="001C50F0"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w:t>
      </w:r>
      <w:r w:rsidR="00625088">
        <w:rPr>
          <w:rFonts w:ascii="Avenir Next" w:hAnsi="Avenir Next" w:cs="Arial"/>
          <w:color w:val="808080" w:themeColor="background1" w:themeShade="80"/>
          <w:sz w:val="22"/>
          <w:szCs w:val="22"/>
          <w:lang w:val="en-GB"/>
        </w:rPr>
        <w:t xml:space="preserve"> 1</w:t>
      </w:r>
      <w:r w:rsidR="00D0387D">
        <w:rPr>
          <w:rFonts w:ascii="Avenir Next" w:hAnsi="Avenir Next" w:cs="Arial"/>
          <w:color w:val="808080" w:themeColor="background1" w:themeShade="80"/>
          <w:sz w:val="22"/>
          <w:szCs w:val="22"/>
          <w:lang w:val="en-GB"/>
        </w:rPr>
        <w:t>:</w:t>
      </w:r>
      <w:r w:rsidR="007F2FE1">
        <w:rPr>
          <w:rFonts w:ascii="Avenir Next" w:hAnsi="Avenir Next" w:cs="Arial"/>
          <w:color w:val="808080" w:themeColor="background1" w:themeShade="80"/>
          <w:sz w:val="22"/>
          <w:szCs w:val="22"/>
          <w:lang w:val="en-GB"/>
        </w:rPr>
        <w:t xml:space="preserve"> </w:t>
      </w:r>
      <w:r w:rsidR="007F2FE1" w:rsidRPr="002F248E">
        <w:rPr>
          <w:rFonts w:ascii="Avenir Next" w:hAnsi="Avenir Next" w:cs="Arial"/>
          <w:i/>
          <w:iCs/>
          <w:color w:val="808080" w:themeColor="background1" w:themeShade="80"/>
          <w:sz w:val="22"/>
          <w:szCs w:val="22"/>
          <w:lang w:val="en-GB"/>
        </w:rPr>
        <w:t>Article 14 Notification to foreign creditors of a proceeding under</w:t>
      </w:r>
      <w:r w:rsidR="007F2FE1">
        <w:rPr>
          <w:rFonts w:ascii="Avenir Next" w:hAnsi="Avenir Next" w:cs="Arial"/>
          <w:color w:val="808080" w:themeColor="background1" w:themeShade="80"/>
          <w:sz w:val="22"/>
          <w:szCs w:val="22"/>
          <w:lang w:val="en-GB"/>
        </w:rPr>
        <w:t xml:space="preserve"> </w:t>
      </w:r>
      <w:r w:rsidR="00786CF2">
        <w:rPr>
          <w:rFonts w:ascii="Avenir Next" w:hAnsi="Avenir Next" w:cs="Arial"/>
          <w:color w:val="808080" w:themeColor="background1" w:themeShade="80"/>
          <w:sz w:val="22"/>
          <w:szCs w:val="22"/>
          <w:lang w:val="en-GB"/>
        </w:rPr>
        <w:t>[</w:t>
      </w:r>
      <w:proofErr w:type="spellStart"/>
      <w:r w:rsidR="0050114D">
        <w:rPr>
          <w:rFonts w:ascii="Avenir Next" w:hAnsi="Avenir Next" w:cs="Arial"/>
          <w:color w:val="808080" w:themeColor="background1" w:themeShade="80"/>
          <w:sz w:val="22"/>
          <w:szCs w:val="22"/>
          <w:lang w:val="en-GB"/>
        </w:rPr>
        <w:t>idetify</w:t>
      </w:r>
      <w:proofErr w:type="spellEnd"/>
      <w:r w:rsidR="0050114D">
        <w:rPr>
          <w:rFonts w:ascii="Avenir Next" w:hAnsi="Avenir Next" w:cs="Arial"/>
          <w:color w:val="808080" w:themeColor="background1" w:themeShade="80"/>
          <w:sz w:val="22"/>
          <w:szCs w:val="22"/>
          <w:lang w:val="en-GB"/>
        </w:rPr>
        <w:t xml:space="preserve"> laws of the enacting State relating to insolvency</w:t>
      </w:r>
      <w:r w:rsidR="00786CF2">
        <w:rPr>
          <w:rFonts w:ascii="Avenir Next" w:hAnsi="Avenir Next" w:cs="Arial"/>
          <w:color w:val="808080" w:themeColor="background1" w:themeShade="80"/>
          <w:sz w:val="22"/>
          <w:szCs w:val="22"/>
          <w:lang w:val="en-GB"/>
        </w:rPr>
        <w:t>]</w:t>
      </w:r>
    </w:p>
    <w:p w14:paraId="490AB648" w14:textId="49AB9D4C" w:rsidR="00625088" w:rsidRDefault="00625088"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2</w:t>
      </w:r>
      <w:r w:rsidR="00717DFA">
        <w:rPr>
          <w:rFonts w:ascii="Avenir Next" w:hAnsi="Avenir Next" w:cs="Arial"/>
          <w:color w:val="808080" w:themeColor="background1" w:themeShade="80"/>
          <w:sz w:val="22"/>
          <w:szCs w:val="22"/>
          <w:lang w:val="en-GB"/>
        </w:rPr>
        <w:t xml:space="preserve">: </w:t>
      </w:r>
      <w:r w:rsidR="00F502EC" w:rsidRPr="002F248E">
        <w:rPr>
          <w:rFonts w:ascii="Avenir Next" w:hAnsi="Avenir Next" w:cs="Arial"/>
          <w:i/>
          <w:iCs/>
          <w:color w:val="808080" w:themeColor="background1" w:themeShade="80"/>
          <w:sz w:val="22"/>
          <w:szCs w:val="22"/>
          <w:lang w:val="en-GB"/>
        </w:rPr>
        <w:t xml:space="preserve">Article 10 </w:t>
      </w:r>
      <w:r w:rsidR="00A60441" w:rsidRPr="002F248E">
        <w:rPr>
          <w:rFonts w:ascii="Avenir Next" w:hAnsi="Avenir Next" w:cs="Arial"/>
          <w:i/>
          <w:iCs/>
          <w:color w:val="808080" w:themeColor="background1" w:themeShade="80"/>
          <w:sz w:val="22"/>
          <w:szCs w:val="22"/>
          <w:lang w:val="en-GB"/>
        </w:rPr>
        <w:t>Lim</w:t>
      </w:r>
      <w:r w:rsidR="00D0387D" w:rsidRPr="002F248E">
        <w:rPr>
          <w:rFonts w:ascii="Avenir Next" w:hAnsi="Avenir Next" w:cs="Arial"/>
          <w:i/>
          <w:iCs/>
          <w:color w:val="808080" w:themeColor="background1" w:themeShade="80"/>
          <w:sz w:val="22"/>
          <w:szCs w:val="22"/>
          <w:lang w:val="en-GB"/>
        </w:rPr>
        <w:t>i</w:t>
      </w:r>
      <w:r w:rsidR="00A60441" w:rsidRPr="002F248E">
        <w:rPr>
          <w:rFonts w:ascii="Avenir Next" w:hAnsi="Avenir Next" w:cs="Arial"/>
          <w:i/>
          <w:iCs/>
          <w:color w:val="808080" w:themeColor="background1" w:themeShade="80"/>
          <w:sz w:val="22"/>
          <w:szCs w:val="22"/>
          <w:lang w:val="en-GB"/>
        </w:rPr>
        <w:t>ted Jurisdiction</w:t>
      </w:r>
    </w:p>
    <w:p w14:paraId="36AA6EA6" w14:textId="2F634A3C" w:rsidR="00625088" w:rsidRPr="00B77352" w:rsidRDefault="00625088"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3</w:t>
      </w:r>
      <w:r w:rsidR="00D32EA8">
        <w:rPr>
          <w:rFonts w:ascii="Avenir Next" w:hAnsi="Avenir Next" w:cs="Arial"/>
          <w:color w:val="808080" w:themeColor="background1" w:themeShade="80"/>
          <w:sz w:val="22"/>
          <w:szCs w:val="22"/>
          <w:lang w:val="en-GB"/>
        </w:rPr>
        <w:t xml:space="preserve"> </w:t>
      </w:r>
      <w:r w:rsidR="00D32EA8" w:rsidRPr="006621EB">
        <w:rPr>
          <w:rFonts w:ascii="Avenir Next" w:hAnsi="Avenir Next" w:cs="Arial"/>
          <w:i/>
          <w:iCs/>
          <w:color w:val="808080" w:themeColor="background1" w:themeShade="80"/>
          <w:sz w:val="22"/>
          <w:szCs w:val="22"/>
          <w:lang w:val="en-GB"/>
        </w:rPr>
        <w:t>Art 15</w:t>
      </w:r>
      <w:r w:rsidR="007D1971" w:rsidRPr="006621EB">
        <w:rPr>
          <w:rFonts w:ascii="Avenir Next" w:hAnsi="Avenir Next" w:cs="Arial"/>
          <w:i/>
          <w:iCs/>
          <w:color w:val="808080" w:themeColor="background1" w:themeShade="80"/>
          <w:sz w:val="22"/>
          <w:szCs w:val="22"/>
          <w:lang w:val="en-GB"/>
        </w:rPr>
        <w:t xml:space="preserve"> </w:t>
      </w:r>
      <w:r w:rsidR="006621EB" w:rsidRPr="006621EB">
        <w:rPr>
          <w:rFonts w:ascii="Avenir Next" w:hAnsi="Avenir Next" w:cs="Arial"/>
          <w:i/>
          <w:iCs/>
          <w:color w:val="808080" w:themeColor="background1" w:themeShade="80"/>
          <w:sz w:val="22"/>
          <w:szCs w:val="22"/>
          <w:lang w:val="en-GB"/>
        </w:rPr>
        <w:t>This Article lays down the requirements of notification of creditors</w:t>
      </w:r>
    </w:p>
    <w:p w14:paraId="3A528B41" w14:textId="532C3167" w:rsidR="00CB56CE" w:rsidRDefault="00CB56CE" w:rsidP="00707FC8">
      <w:pPr>
        <w:ind w:left="720" w:hanging="720"/>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741D1873" w14:textId="0C666261" w:rsidR="00867A8F" w:rsidRPr="00B77352" w:rsidRDefault="0015068F"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IBA case upheld the long standing ‘Gibbs Rule’</w:t>
      </w:r>
      <w:r w:rsidR="009E6B9D">
        <w:rPr>
          <w:rFonts w:ascii="Avenir Next" w:hAnsi="Avenir Next" w:cs="Arial"/>
          <w:color w:val="808080" w:themeColor="background1" w:themeShade="80"/>
          <w:sz w:val="22"/>
          <w:szCs w:val="22"/>
          <w:lang w:val="en-GB"/>
        </w:rPr>
        <w:t>.</w:t>
      </w:r>
      <w:r>
        <w:rPr>
          <w:rStyle w:val="FootnoteReference"/>
          <w:rFonts w:ascii="Avenir Next" w:hAnsi="Avenir Next" w:cs="Arial"/>
          <w:color w:val="808080" w:themeColor="background1" w:themeShade="80"/>
          <w:sz w:val="22"/>
          <w:szCs w:val="22"/>
          <w:lang w:val="en-GB"/>
        </w:rPr>
        <w:footnoteReference w:id="8"/>
      </w:r>
      <w:r w:rsidR="009E6B9D">
        <w:rPr>
          <w:rFonts w:ascii="Avenir Next" w:hAnsi="Avenir Next" w:cs="Arial"/>
          <w:color w:val="808080" w:themeColor="background1" w:themeShade="80"/>
          <w:sz w:val="22"/>
          <w:szCs w:val="22"/>
          <w:lang w:val="en-GB"/>
        </w:rPr>
        <w:t xml:space="preserve"> The Gibbs rule states </w:t>
      </w:r>
      <w:r w:rsidR="00CB0956">
        <w:rPr>
          <w:rFonts w:ascii="Avenir Next" w:hAnsi="Avenir Next" w:cs="Arial"/>
          <w:color w:val="808080" w:themeColor="background1" w:themeShade="80"/>
          <w:sz w:val="22"/>
          <w:szCs w:val="22"/>
          <w:lang w:val="en-GB"/>
        </w:rPr>
        <w:t xml:space="preserve">only </w:t>
      </w:r>
      <w:r w:rsidR="004A1F32">
        <w:rPr>
          <w:rFonts w:ascii="Avenir Next" w:hAnsi="Avenir Next" w:cs="Arial"/>
          <w:color w:val="808080" w:themeColor="background1" w:themeShade="80"/>
          <w:sz w:val="22"/>
          <w:szCs w:val="22"/>
          <w:lang w:val="en-GB"/>
        </w:rPr>
        <w:t>English</w:t>
      </w:r>
      <w:r w:rsidR="00CB0956">
        <w:rPr>
          <w:rFonts w:ascii="Avenir Next" w:hAnsi="Avenir Next" w:cs="Arial"/>
          <w:color w:val="808080" w:themeColor="background1" w:themeShade="80"/>
          <w:sz w:val="22"/>
          <w:szCs w:val="22"/>
          <w:lang w:val="en-GB"/>
        </w:rPr>
        <w:t xml:space="preserve"> courts </w:t>
      </w:r>
      <w:proofErr w:type="gramStart"/>
      <w:r w:rsidR="00CB0956">
        <w:rPr>
          <w:rFonts w:ascii="Avenir Next" w:hAnsi="Avenir Next" w:cs="Arial"/>
          <w:color w:val="808080" w:themeColor="background1" w:themeShade="80"/>
          <w:sz w:val="22"/>
          <w:szCs w:val="22"/>
          <w:lang w:val="en-GB"/>
        </w:rPr>
        <w:t>are able to</w:t>
      </w:r>
      <w:proofErr w:type="gramEnd"/>
      <w:r w:rsidR="00CB0956">
        <w:rPr>
          <w:rFonts w:ascii="Avenir Next" w:hAnsi="Avenir Next" w:cs="Arial"/>
          <w:color w:val="808080" w:themeColor="background1" w:themeShade="80"/>
          <w:sz w:val="22"/>
          <w:szCs w:val="22"/>
          <w:lang w:val="en-GB"/>
        </w:rPr>
        <w:t xml:space="preserve"> discharge </w:t>
      </w:r>
      <w:r w:rsidR="004A1F32">
        <w:rPr>
          <w:rFonts w:ascii="Avenir Next" w:hAnsi="Avenir Next" w:cs="Arial"/>
          <w:color w:val="808080" w:themeColor="background1" w:themeShade="80"/>
          <w:sz w:val="22"/>
          <w:szCs w:val="22"/>
          <w:lang w:val="en-GB"/>
        </w:rPr>
        <w:t xml:space="preserve">debt </w:t>
      </w:r>
      <w:r w:rsidR="009A764B">
        <w:rPr>
          <w:rFonts w:ascii="Avenir Next" w:hAnsi="Avenir Next" w:cs="Arial"/>
          <w:color w:val="808080" w:themeColor="background1" w:themeShade="80"/>
          <w:sz w:val="22"/>
          <w:szCs w:val="22"/>
          <w:lang w:val="en-GB"/>
        </w:rPr>
        <w:t>arising in England.</w:t>
      </w:r>
      <w:r w:rsidR="005A2D88">
        <w:rPr>
          <w:rStyle w:val="FootnoteReference"/>
          <w:rFonts w:ascii="Avenir Next" w:hAnsi="Avenir Next" w:cs="Arial"/>
          <w:color w:val="808080" w:themeColor="background1" w:themeShade="80"/>
          <w:sz w:val="22"/>
          <w:szCs w:val="22"/>
          <w:lang w:val="en-GB"/>
        </w:rPr>
        <w:footnoteReference w:id="9"/>
      </w:r>
      <w:r w:rsidR="009A764B">
        <w:rPr>
          <w:rFonts w:ascii="Avenir Next" w:hAnsi="Avenir Next" w:cs="Arial"/>
          <w:color w:val="808080" w:themeColor="background1" w:themeShade="80"/>
          <w:sz w:val="22"/>
          <w:szCs w:val="22"/>
          <w:lang w:val="en-GB"/>
        </w:rPr>
        <w:t xml:space="preserve"> The court in IBA felt that granting a</w:t>
      </w:r>
      <w:r w:rsidR="00C70885">
        <w:rPr>
          <w:rFonts w:ascii="Avenir Next" w:hAnsi="Avenir Next" w:cs="Arial"/>
          <w:color w:val="808080" w:themeColor="background1" w:themeShade="80"/>
          <w:sz w:val="22"/>
          <w:szCs w:val="22"/>
          <w:lang w:val="en-GB"/>
        </w:rPr>
        <w:t>n</w:t>
      </w:r>
      <w:r w:rsidR="009A764B">
        <w:rPr>
          <w:rFonts w:ascii="Avenir Next" w:hAnsi="Avenir Next" w:cs="Arial"/>
          <w:color w:val="808080" w:themeColor="background1" w:themeShade="80"/>
          <w:sz w:val="22"/>
          <w:szCs w:val="22"/>
          <w:lang w:val="en-GB"/>
        </w:rPr>
        <w:t xml:space="preserve"> </w:t>
      </w:r>
      <w:r w:rsidR="0066005C">
        <w:rPr>
          <w:rFonts w:ascii="Avenir Next" w:hAnsi="Avenir Next" w:cs="Arial"/>
          <w:color w:val="808080" w:themeColor="background1" w:themeShade="80"/>
          <w:sz w:val="22"/>
          <w:szCs w:val="22"/>
          <w:lang w:val="en-GB"/>
        </w:rPr>
        <w:t>indefinite Moratorium Continuation would be similar to discharging a debt and hence a court outside England could not do so under the Gibbs</w:t>
      </w:r>
      <w:r w:rsidR="00FF2E5F">
        <w:rPr>
          <w:rFonts w:ascii="Avenir Next" w:hAnsi="Avenir Next" w:cs="Arial"/>
          <w:color w:val="808080" w:themeColor="background1" w:themeShade="80"/>
          <w:sz w:val="22"/>
          <w:szCs w:val="22"/>
          <w:lang w:val="en-GB"/>
        </w:rPr>
        <w:t xml:space="preserve"> Rule.</w:t>
      </w:r>
    </w:p>
    <w:p w14:paraId="3417DB7A" w14:textId="1B3FE37F"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0E4269">
        <w:rPr>
          <w:rFonts w:ascii="Avenir Next Demi Bold" w:hAnsi="Avenir Next Demi Bold" w:cs="Arial"/>
          <w:b/>
          <w:bCs/>
          <w:sz w:val="22"/>
          <w:szCs w:val="22"/>
          <w:lang w:val="en-GB"/>
        </w:rPr>
        <w:t>Question 2.4</w:t>
      </w:r>
      <w:r w:rsidRPr="000E4269">
        <w:rPr>
          <w:rFonts w:ascii="Avenir Next Demi Bold" w:hAnsi="Avenir Next Demi Bold" w:cs="Arial"/>
          <w:b/>
          <w:bCs/>
          <w:sz w:val="22"/>
          <w:szCs w:val="22"/>
          <w:lang w:val="en-GB"/>
        </w:rPr>
        <w:tab/>
        <w:t>[</w:t>
      </w:r>
      <w:r w:rsidR="00067A88" w:rsidRPr="000E4269">
        <w:rPr>
          <w:rFonts w:ascii="Avenir Next Demi Bold" w:hAnsi="Avenir Next Demi Bold" w:cs="Arial"/>
          <w:b/>
          <w:bCs/>
          <w:sz w:val="22"/>
          <w:szCs w:val="22"/>
          <w:lang w:val="en-GB"/>
        </w:rPr>
        <w:t>2</w:t>
      </w:r>
      <w:r w:rsidRPr="000E4269">
        <w:rPr>
          <w:rFonts w:ascii="Avenir Next Demi Bold" w:hAnsi="Avenir Next Demi Bold" w:cs="Arial"/>
          <w:b/>
          <w:bCs/>
          <w:sz w:val="22"/>
          <w:szCs w:val="22"/>
          <w:lang w:val="en-GB"/>
        </w:rPr>
        <w:t xml:space="preserve"> marks]</w:t>
      </w:r>
      <w:r w:rsidRPr="00C7161B">
        <w:rPr>
          <w:rFonts w:ascii="Avenir Next Demi Bold" w:hAnsi="Avenir Next Demi Bold" w:cs="Arial"/>
          <w:b/>
          <w:bCs/>
          <w:sz w:val="22"/>
          <w:szCs w:val="22"/>
          <w:lang w:val="en-GB"/>
        </w:rPr>
        <w:t xml:space="preserve">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396F3E81" w14:textId="392C028A" w:rsidR="00257437" w:rsidRDefault="00FD7B08"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Art </w:t>
      </w:r>
      <w:r w:rsidR="00B32257">
        <w:rPr>
          <w:rFonts w:ascii="Avenir Next" w:hAnsi="Avenir Next" w:cs="Arial"/>
          <w:color w:val="808080" w:themeColor="background1" w:themeShade="80"/>
          <w:sz w:val="22"/>
          <w:szCs w:val="22"/>
          <w:lang w:val="en-GB"/>
        </w:rPr>
        <w:t xml:space="preserve">20 there are effects </w:t>
      </w:r>
      <w:r w:rsidR="00845F65">
        <w:rPr>
          <w:rFonts w:ascii="Avenir Next" w:hAnsi="Avenir Next" w:cs="Arial"/>
          <w:color w:val="808080" w:themeColor="background1" w:themeShade="80"/>
          <w:sz w:val="22"/>
          <w:szCs w:val="22"/>
          <w:lang w:val="en-GB"/>
        </w:rPr>
        <w:t xml:space="preserve">on domestic </w:t>
      </w:r>
      <w:r w:rsidR="000E4269">
        <w:rPr>
          <w:rFonts w:ascii="Avenir Next" w:hAnsi="Avenir Next" w:cs="Arial"/>
          <w:color w:val="808080" w:themeColor="background1" w:themeShade="80"/>
          <w:sz w:val="22"/>
          <w:szCs w:val="22"/>
          <w:lang w:val="en-GB"/>
        </w:rPr>
        <w:t>proceedings:</w:t>
      </w:r>
    </w:p>
    <w:p w14:paraId="500F2F78" w14:textId="3CEA39FA" w:rsidR="000E4269" w:rsidRDefault="00D273B8">
      <w:pPr>
        <w:pStyle w:val="ListParagraph"/>
        <w:numPr>
          <w:ilvl w:val="0"/>
          <w:numId w:val="16"/>
        </w:numPr>
        <w:jc w:val="both"/>
        <w:rPr>
          <w:rFonts w:ascii="Avenir Next" w:hAnsi="Avenir Next" w:cs="Arial"/>
          <w:bCs/>
          <w:sz w:val="22"/>
          <w:szCs w:val="22"/>
          <w:lang w:val="en-GB"/>
        </w:rPr>
      </w:pPr>
      <w:r>
        <w:rPr>
          <w:rFonts w:ascii="Avenir Next" w:hAnsi="Avenir Next" w:cs="Arial"/>
          <w:bCs/>
          <w:sz w:val="22"/>
          <w:szCs w:val="22"/>
          <w:lang w:val="en-GB"/>
        </w:rPr>
        <w:t>A stay on d</w:t>
      </w:r>
      <w:r w:rsidR="00BB0F52">
        <w:rPr>
          <w:rFonts w:ascii="Avenir Next" w:hAnsi="Avenir Next" w:cs="Arial"/>
          <w:bCs/>
          <w:sz w:val="22"/>
          <w:szCs w:val="22"/>
          <w:lang w:val="en-GB"/>
        </w:rPr>
        <w:t xml:space="preserve">omestic proceedings </w:t>
      </w:r>
      <w:proofErr w:type="spellStart"/>
      <w:r w:rsidR="00ED4C52">
        <w:rPr>
          <w:rFonts w:ascii="Avenir Next" w:hAnsi="Avenir Next" w:cs="Arial"/>
          <w:bCs/>
          <w:sz w:val="22"/>
          <w:szCs w:val="22"/>
          <w:lang w:val="en-GB"/>
        </w:rPr>
        <w:t>comcerning</w:t>
      </w:r>
      <w:proofErr w:type="spellEnd"/>
      <w:r w:rsidR="00ED4C52">
        <w:rPr>
          <w:rFonts w:ascii="Avenir Next" w:hAnsi="Avenir Next" w:cs="Arial"/>
          <w:bCs/>
          <w:sz w:val="22"/>
          <w:szCs w:val="22"/>
          <w:lang w:val="en-GB"/>
        </w:rPr>
        <w:t xml:space="preserve"> the debtor</w:t>
      </w:r>
      <w:r w:rsidR="00272DE7">
        <w:rPr>
          <w:rFonts w:ascii="Avenir Next" w:hAnsi="Avenir Next" w:cs="Arial"/>
          <w:bCs/>
          <w:sz w:val="22"/>
          <w:szCs w:val="22"/>
          <w:lang w:val="en-GB"/>
        </w:rPr>
        <w:t>’s assets</w:t>
      </w:r>
      <w:r w:rsidR="00725FF9">
        <w:rPr>
          <w:rFonts w:ascii="Avenir Next" w:hAnsi="Avenir Next" w:cs="Arial"/>
          <w:bCs/>
          <w:sz w:val="22"/>
          <w:szCs w:val="22"/>
          <w:lang w:val="en-GB"/>
        </w:rPr>
        <w:t>, rights, obligations</w:t>
      </w:r>
      <w:r w:rsidR="00D665F7">
        <w:rPr>
          <w:rFonts w:ascii="Avenir Next" w:hAnsi="Avenir Next" w:cs="Arial"/>
          <w:bCs/>
          <w:sz w:val="22"/>
          <w:szCs w:val="22"/>
          <w:lang w:val="en-GB"/>
        </w:rPr>
        <w:t xml:space="preserve"> or </w:t>
      </w:r>
      <w:proofErr w:type="gramStart"/>
      <w:r w:rsidR="00D665F7">
        <w:rPr>
          <w:rFonts w:ascii="Avenir Next" w:hAnsi="Avenir Next" w:cs="Arial"/>
          <w:bCs/>
          <w:sz w:val="22"/>
          <w:szCs w:val="22"/>
          <w:lang w:val="en-GB"/>
        </w:rPr>
        <w:t>liabilities</w:t>
      </w:r>
      <w:r>
        <w:rPr>
          <w:rFonts w:ascii="Avenir Next" w:hAnsi="Avenir Next" w:cs="Arial"/>
          <w:bCs/>
          <w:sz w:val="22"/>
          <w:szCs w:val="22"/>
          <w:lang w:val="en-GB"/>
        </w:rPr>
        <w:t>;</w:t>
      </w:r>
      <w:proofErr w:type="gramEnd"/>
    </w:p>
    <w:p w14:paraId="3C73E89E" w14:textId="6D41E974" w:rsidR="00D273B8" w:rsidRDefault="001F7143">
      <w:pPr>
        <w:pStyle w:val="ListParagraph"/>
        <w:numPr>
          <w:ilvl w:val="0"/>
          <w:numId w:val="16"/>
        </w:numPr>
        <w:jc w:val="both"/>
        <w:rPr>
          <w:rFonts w:ascii="Avenir Next" w:hAnsi="Avenir Next" w:cs="Arial"/>
          <w:bCs/>
          <w:sz w:val="22"/>
          <w:szCs w:val="22"/>
          <w:lang w:val="en-GB"/>
        </w:rPr>
      </w:pPr>
      <w:r>
        <w:rPr>
          <w:rFonts w:ascii="Avenir Next" w:hAnsi="Avenir Next" w:cs="Arial"/>
          <w:bCs/>
          <w:sz w:val="22"/>
          <w:szCs w:val="22"/>
          <w:lang w:val="en-GB"/>
        </w:rPr>
        <w:t xml:space="preserve">A stay on domestic </w:t>
      </w:r>
      <w:r w:rsidR="00EA74E6">
        <w:rPr>
          <w:rFonts w:ascii="Avenir Next" w:hAnsi="Avenir Next" w:cs="Arial"/>
          <w:bCs/>
          <w:sz w:val="22"/>
          <w:szCs w:val="22"/>
          <w:lang w:val="en-GB"/>
        </w:rPr>
        <w:t>executions against the debtor’s assets</w:t>
      </w:r>
      <w:r w:rsidR="00DA08F4">
        <w:rPr>
          <w:rFonts w:ascii="Avenir Next" w:hAnsi="Avenir Next" w:cs="Arial"/>
          <w:bCs/>
          <w:sz w:val="22"/>
          <w:szCs w:val="22"/>
          <w:lang w:val="en-GB"/>
        </w:rPr>
        <w:t>; and</w:t>
      </w:r>
    </w:p>
    <w:p w14:paraId="3C109F35" w14:textId="77777777" w:rsidR="00DA08F4" w:rsidRPr="00996BD9" w:rsidRDefault="00DA08F4" w:rsidP="00996BD9">
      <w:pPr>
        <w:ind w:left="360"/>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E7690B">
        <w:rPr>
          <w:rFonts w:ascii="Avenir Next Demi Bold" w:hAnsi="Avenir Next Demi Bold" w:cs="Arial"/>
          <w:b/>
          <w:bCs/>
          <w:sz w:val="22"/>
          <w:szCs w:val="22"/>
          <w:lang w:val="en-GB"/>
        </w:rPr>
        <w:t>QUESTION</w:t>
      </w:r>
      <w:r w:rsidR="00962045" w:rsidRPr="00E7690B">
        <w:rPr>
          <w:rFonts w:ascii="Avenir Next Demi Bold" w:hAnsi="Avenir Next Demi Bold" w:cs="Arial"/>
          <w:b/>
          <w:bCs/>
          <w:sz w:val="22"/>
          <w:szCs w:val="22"/>
          <w:lang w:val="en-GB"/>
        </w:rPr>
        <w:t xml:space="preserve"> 3 (essay-type questions) [15 marks</w:t>
      </w:r>
      <w:r w:rsidR="006A2646" w:rsidRPr="00E7690B">
        <w:rPr>
          <w:rFonts w:ascii="Avenir Next Demi Bold" w:hAnsi="Avenir Next Demi Bold" w:cs="Arial"/>
          <w:b/>
          <w:bCs/>
          <w:sz w:val="22"/>
          <w:szCs w:val="22"/>
          <w:lang w:val="en-GB"/>
        </w:rPr>
        <w:t xml:space="preserve"> in total</w:t>
      </w:r>
      <w:r w:rsidR="00962045" w:rsidRPr="00E7690B">
        <w:rPr>
          <w:rFonts w:ascii="Avenir Next Demi Bold" w:hAnsi="Avenir Next Demi Bold" w:cs="Arial"/>
          <w:b/>
          <w:bCs/>
          <w:sz w:val="22"/>
          <w:szCs w:val="22"/>
          <w:lang w:val="en-GB"/>
        </w:rPr>
        <w:t>]</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3"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t>
      </w:r>
      <w:proofErr w:type="gramStart"/>
      <w:r w:rsidRPr="00E2622D">
        <w:rPr>
          <w:rFonts w:ascii="Avenir Next" w:hAnsi="Avenir Next" w:cs="Arial"/>
          <w:sz w:val="22"/>
          <w:szCs w:val="22"/>
          <w:lang w:val="en-GB"/>
        </w:rPr>
        <w:t>whether or not</w:t>
      </w:r>
      <w:proofErr w:type="gramEnd"/>
      <w:r w:rsidRPr="00E2622D">
        <w:rPr>
          <w:rFonts w:ascii="Avenir Next" w:hAnsi="Avenir Next"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A13CAB">
        <w:rPr>
          <w:rFonts w:ascii="Avenir Next Demi Bold" w:hAnsi="Avenir Next Demi Bold" w:cs="Arial"/>
          <w:b/>
          <w:bCs/>
          <w:sz w:val="22"/>
          <w:szCs w:val="22"/>
          <w:highlight w:val="red"/>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3"/>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08475351" w14:textId="584AB45E" w:rsidR="00867A8F" w:rsidRPr="00B77352" w:rsidRDefault="00F74CB6"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representative will be able to utilise the domestic proc</w:t>
      </w:r>
      <w:r w:rsidR="004E16EE">
        <w:rPr>
          <w:rFonts w:ascii="Avenir Next" w:hAnsi="Avenir Next" w:cs="Arial"/>
          <w:color w:val="808080" w:themeColor="background1" w:themeShade="80"/>
          <w:sz w:val="22"/>
          <w:szCs w:val="22"/>
          <w:lang w:val="en-GB"/>
        </w:rPr>
        <w:t>edure of state A.</w:t>
      </w:r>
    </w:p>
    <w:p w14:paraId="51824301" w14:textId="50E784A3" w:rsidR="00257437" w:rsidRDefault="00257437" w:rsidP="00707FC8">
      <w:pPr>
        <w:ind w:left="720" w:hanging="720"/>
        <w:jc w:val="both"/>
        <w:rPr>
          <w:rFonts w:ascii="Avenir Next" w:hAnsi="Avenir Next" w:cs="Arial"/>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AF244A">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w:t>
      </w:r>
      <w:proofErr w:type="gramStart"/>
      <w:r w:rsidRPr="00E2622D">
        <w:rPr>
          <w:rFonts w:ascii="Avenir Next" w:hAnsi="Avenir Next" w:cs="Arial"/>
          <w:sz w:val="22"/>
          <w:szCs w:val="22"/>
          <w:lang w:val="en-GB"/>
        </w:rPr>
        <w:t xml:space="preserve">Assuming </w:t>
      </w:r>
      <w:r w:rsidR="00A54000">
        <w:rPr>
          <w:rFonts w:ascii="Avenir Next" w:hAnsi="Avenir Next" w:cs="Arial"/>
          <w:sz w:val="22"/>
          <w:szCs w:val="22"/>
          <w:lang w:val="en-GB"/>
        </w:rPr>
        <w:t>that</w:t>
      </w:r>
      <w:proofErr w:type="gramEnd"/>
      <w:r w:rsidR="00A54000">
        <w:rPr>
          <w:rFonts w:ascii="Avenir Next" w:hAnsi="Avenir Next" w:cs="Arial"/>
          <w:sz w:val="22"/>
          <w:szCs w:val="22"/>
          <w:lang w:val="en-GB"/>
        </w:rPr>
        <w:t xml:space="preserve">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3937CDFF" w14:textId="2FBF87BF" w:rsidR="00867A8F" w:rsidRPr="00B77352" w:rsidRDefault="00CF1EA6"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requirements of </w:t>
      </w:r>
      <w:r w:rsidR="002D5940">
        <w:rPr>
          <w:rFonts w:ascii="Avenir Next" w:hAnsi="Avenir Next" w:cs="Arial"/>
          <w:color w:val="808080" w:themeColor="background1" w:themeShade="80"/>
          <w:sz w:val="22"/>
          <w:szCs w:val="22"/>
          <w:lang w:val="en-GB"/>
        </w:rPr>
        <w:t>art 17(1) must be fulfilled</w:t>
      </w:r>
      <w:r w:rsidR="00A170C1">
        <w:rPr>
          <w:rFonts w:ascii="Avenir Next" w:hAnsi="Avenir Next" w:cs="Arial"/>
          <w:color w:val="808080" w:themeColor="background1" w:themeShade="80"/>
          <w:sz w:val="22"/>
          <w:szCs w:val="22"/>
          <w:lang w:val="en-GB"/>
        </w:rPr>
        <w:t xml:space="preserve"> which as mentioned above art 17(</w:t>
      </w:r>
      <w:r w:rsidR="008803A3">
        <w:rPr>
          <w:rFonts w:ascii="Avenir Next" w:hAnsi="Avenir Next" w:cs="Arial"/>
          <w:color w:val="808080" w:themeColor="background1" w:themeShade="80"/>
          <w:sz w:val="22"/>
          <w:szCs w:val="22"/>
          <w:lang w:val="en-GB"/>
        </w:rPr>
        <w:t xml:space="preserve">1)(a) and (b). </w:t>
      </w:r>
      <w:r w:rsidR="004B5945">
        <w:rPr>
          <w:rFonts w:ascii="Avenir Next" w:hAnsi="Avenir Next" w:cs="Arial"/>
          <w:color w:val="808080" w:themeColor="background1" w:themeShade="80"/>
          <w:sz w:val="22"/>
          <w:szCs w:val="22"/>
          <w:lang w:val="en-GB"/>
        </w:rPr>
        <w:t xml:space="preserve">In addition, </w:t>
      </w:r>
      <w:r w:rsidR="00690F2F">
        <w:rPr>
          <w:rFonts w:ascii="Avenir Next" w:hAnsi="Avenir Next" w:cs="Arial"/>
          <w:color w:val="808080" w:themeColor="background1" w:themeShade="80"/>
          <w:sz w:val="22"/>
          <w:szCs w:val="22"/>
          <w:lang w:val="en-GB"/>
        </w:rPr>
        <w:t xml:space="preserve">it </w:t>
      </w:r>
      <w:r w:rsidR="0049257A">
        <w:rPr>
          <w:rFonts w:ascii="Avenir Next" w:hAnsi="Avenir Next" w:cs="Arial"/>
          <w:color w:val="808080" w:themeColor="background1" w:themeShade="80"/>
          <w:sz w:val="22"/>
          <w:szCs w:val="22"/>
          <w:lang w:val="en-GB"/>
        </w:rPr>
        <w:t>must</w:t>
      </w:r>
      <w:r w:rsidR="00690F2F">
        <w:rPr>
          <w:rFonts w:ascii="Avenir Next" w:hAnsi="Avenir Next" w:cs="Arial"/>
          <w:color w:val="808080" w:themeColor="background1" w:themeShade="80"/>
          <w:sz w:val="22"/>
          <w:szCs w:val="22"/>
          <w:lang w:val="en-GB"/>
        </w:rPr>
        <w:t xml:space="preserve"> be established whether </w:t>
      </w:r>
      <w:r w:rsidR="00521000">
        <w:rPr>
          <w:rFonts w:ascii="Avenir Next" w:hAnsi="Avenir Next" w:cs="Arial"/>
          <w:color w:val="808080" w:themeColor="background1" w:themeShade="80"/>
          <w:sz w:val="22"/>
          <w:szCs w:val="22"/>
          <w:lang w:val="en-GB"/>
        </w:rPr>
        <w:t xml:space="preserve">the debtor’s </w:t>
      </w:r>
      <w:r w:rsidR="000118E0">
        <w:rPr>
          <w:rFonts w:ascii="Avenir Next" w:hAnsi="Avenir Next" w:cs="Arial"/>
          <w:color w:val="808080" w:themeColor="background1" w:themeShade="80"/>
          <w:sz w:val="22"/>
          <w:szCs w:val="22"/>
          <w:lang w:val="en-GB"/>
        </w:rPr>
        <w:t>COMI for</w:t>
      </w:r>
      <w:r w:rsidR="00690F2F">
        <w:rPr>
          <w:rFonts w:ascii="Avenir Next" w:hAnsi="Avenir Next" w:cs="Arial"/>
          <w:color w:val="808080" w:themeColor="background1" w:themeShade="80"/>
          <w:sz w:val="22"/>
          <w:szCs w:val="22"/>
          <w:lang w:val="en-GB"/>
        </w:rPr>
        <w:t xml:space="preserve"> the purposes of</w:t>
      </w:r>
      <w:r w:rsidR="000118E0">
        <w:rPr>
          <w:rFonts w:ascii="Avenir Next" w:hAnsi="Avenir Next" w:cs="Arial"/>
          <w:color w:val="808080" w:themeColor="background1" w:themeShade="80"/>
          <w:sz w:val="22"/>
          <w:szCs w:val="22"/>
          <w:lang w:val="en-GB"/>
        </w:rPr>
        <w:t xml:space="preserve"> </w:t>
      </w:r>
      <w:r w:rsidR="00110EA3">
        <w:rPr>
          <w:rFonts w:ascii="Avenir Next" w:hAnsi="Avenir Next" w:cs="Arial"/>
          <w:color w:val="808080" w:themeColor="background1" w:themeShade="80"/>
          <w:sz w:val="22"/>
          <w:szCs w:val="22"/>
          <w:lang w:val="en-GB"/>
        </w:rPr>
        <w:t xml:space="preserve">foreign main proceedings </w:t>
      </w:r>
      <w:r w:rsidR="007E3CF2">
        <w:rPr>
          <w:rFonts w:ascii="Avenir Next" w:hAnsi="Avenir Next" w:cs="Arial"/>
          <w:color w:val="808080" w:themeColor="background1" w:themeShade="80"/>
          <w:sz w:val="22"/>
          <w:szCs w:val="22"/>
          <w:lang w:val="en-GB"/>
        </w:rPr>
        <w:t>is in</w:t>
      </w:r>
      <w:r w:rsidR="00690F2F">
        <w:rPr>
          <w:rFonts w:ascii="Avenir Next" w:hAnsi="Avenir Next" w:cs="Arial"/>
          <w:color w:val="808080" w:themeColor="background1" w:themeShade="80"/>
          <w:sz w:val="22"/>
          <w:szCs w:val="22"/>
          <w:lang w:val="en-GB"/>
        </w:rPr>
        <w:t xml:space="preserve"> State A</w:t>
      </w:r>
      <w:r w:rsidR="004F2CEE">
        <w:rPr>
          <w:rFonts w:ascii="Avenir Next" w:hAnsi="Avenir Next" w:cs="Arial"/>
          <w:color w:val="808080" w:themeColor="background1" w:themeShade="80"/>
          <w:sz w:val="22"/>
          <w:szCs w:val="22"/>
          <w:lang w:val="en-GB"/>
        </w:rPr>
        <w:t>.</w:t>
      </w:r>
      <w:r w:rsidR="007E3CF2">
        <w:rPr>
          <w:rStyle w:val="FootnoteReference"/>
          <w:rFonts w:ascii="Avenir Next" w:hAnsi="Avenir Next" w:cs="Arial"/>
          <w:color w:val="808080" w:themeColor="background1" w:themeShade="80"/>
          <w:sz w:val="22"/>
          <w:szCs w:val="22"/>
          <w:lang w:val="en-GB"/>
        </w:rPr>
        <w:footnoteReference w:id="10"/>
      </w:r>
      <w:r w:rsidR="004F2CEE">
        <w:rPr>
          <w:rFonts w:ascii="Avenir Next" w:hAnsi="Avenir Next" w:cs="Arial"/>
          <w:color w:val="808080" w:themeColor="background1" w:themeShade="80"/>
          <w:sz w:val="22"/>
          <w:szCs w:val="22"/>
          <w:lang w:val="en-GB"/>
        </w:rPr>
        <w:t xml:space="preserve"> </w:t>
      </w:r>
      <w:r w:rsidR="0049257A">
        <w:rPr>
          <w:rFonts w:ascii="Avenir Next" w:hAnsi="Avenir Next" w:cs="Arial"/>
          <w:color w:val="808080" w:themeColor="background1" w:themeShade="80"/>
          <w:sz w:val="22"/>
          <w:szCs w:val="22"/>
          <w:lang w:val="en-GB"/>
        </w:rPr>
        <w:t xml:space="preserve">For </w:t>
      </w:r>
      <w:r w:rsidR="003F48CC">
        <w:rPr>
          <w:rFonts w:ascii="Avenir Next" w:hAnsi="Avenir Next" w:cs="Arial"/>
          <w:color w:val="808080" w:themeColor="background1" w:themeShade="80"/>
          <w:sz w:val="22"/>
          <w:szCs w:val="22"/>
          <w:lang w:val="en-GB"/>
        </w:rPr>
        <w:t>a foreign non-main proceeding to be recognised in State A the debtor</w:t>
      </w:r>
      <w:r w:rsidR="007E3CF2">
        <w:rPr>
          <w:rFonts w:ascii="Avenir Next" w:hAnsi="Avenir Next" w:cs="Arial"/>
          <w:color w:val="808080" w:themeColor="background1" w:themeShade="80"/>
          <w:sz w:val="22"/>
          <w:szCs w:val="22"/>
          <w:lang w:val="en-GB"/>
        </w:rPr>
        <w:t>’s establishment must be in that country</w:t>
      </w:r>
      <w:r w:rsidR="00110EA3">
        <w:rPr>
          <w:rFonts w:ascii="Avenir Next" w:hAnsi="Avenir Next" w:cs="Arial"/>
          <w:color w:val="808080" w:themeColor="background1" w:themeShade="80"/>
          <w:sz w:val="22"/>
          <w:szCs w:val="22"/>
          <w:lang w:val="en-GB"/>
        </w:rPr>
        <w:t>.</w:t>
      </w:r>
      <w:r w:rsidR="00110EA3">
        <w:rPr>
          <w:rStyle w:val="FootnoteReference"/>
          <w:rFonts w:ascii="Avenir Next" w:hAnsi="Avenir Next" w:cs="Arial"/>
          <w:color w:val="808080" w:themeColor="background1" w:themeShade="80"/>
          <w:sz w:val="22"/>
          <w:szCs w:val="22"/>
          <w:lang w:val="en-GB"/>
        </w:rPr>
        <w:footnoteReference w:id="11"/>
      </w:r>
      <w:r w:rsidR="00110EA3">
        <w:rPr>
          <w:rFonts w:ascii="Avenir Next" w:hAnsi="Avenir Next" w:cs="Arial"/>
          <w:color w:val="808080" w:themeColor="background1" w:themeShade="80"/>
          <w:sz w:val="22"/>
          <w:szCs w:val="22"/>
          <w:lang w:val="en-GB"/>
        </w:rPr>
        <w:t xml:space="preserve"> </w:t>
      </w:r>
    </w:p>
    <w:p w14:paraId="713C0C0F" w14:textId="2CE67087" w:rsidR="0017257C" w:rsidRDefault="0017257C" w:rsidP="00707FC8">
      <w:pPr>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AF0117">
        <w:rPr>
          <w:rFonts w:ascii="Avenir Next Demi Bold" w:hAnsi="Avenir Next Demi Bold" w:cs="Arial"/>
          <w:b/>
          <w:bCs/>
          <w:sz w:val="22"/>
          <w:szCs w:val="22"/>
          <w:shd w:val="clear" w:color="auto" w:fill="FFFFFF"/>
          <w:lang w:val="en-GB"/>
        </w:rPr>
        <w:t xml:space="preserve">Question 3.3 </w:t>
      </w:r>
      <w:r w:rsidRPr="00AF0117">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59586374" w14:textId="75687F14" w:rsidR="00867A8F" w:rsidRDefault="007F5CD2"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several pre-</w:t>
      </w:r>
      <w:r w:rsidR="007E0B23">
        <w:rPr>
          <w:rFonts w:ascii="Avenir Next" w:hAnsi="Avenir Next" w:cs="Arial"/>
          <w:color w:val="808080" w:themeColor="background1" w:themeShade="80"/>
          <w:sz w:val="22"/>
          <w:szCs w:val="22"/>
          <w:lang w:val="en-GB"/>
        </w:rPr>
        <w:t>recognition relief</w:t>
      </w:r>
      <w:r w:rsidR="005717F3">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that can be provided as listed in art 19(1). </w:t>
      </w:r>
      <w:r w:rsidR="00C81842">
        <w:rPr>
          <w:rFonts w:ascii="Avenir Next" w:hAnsi="Avenir Next" w:cs="Arial"/>
          <w:color w:val="808080" w:themeColor="background1" w:themeShade="80"/>
          <w:sz w:val="22"/>
          <w:szCs w:val="22"/>
          <w:lang w:val="en-GB"/>
        </w:rPr>
        <w:t xml:space="preserve">The list of </w:t>
      </w:r>
      <w:r w:rsidR="007E0B23">
        <w:rPr>
          <w:rFonts w:ascii="Avenir Next" w:hAnsi="Avenir Next" w:cs="Arial"/>
          <w:color w:val="808080" w:themeColor="background1" w:themeShade="80"/>
          <w:sz w:val="22"/>
          <w:szCs w:val="22"/>
          <w:lang w:val="en-GB"/>
        </w:rPr>
        <w:t xml:space="preserve">includes: </w:t>
      </w:r>
      <w:r w:rsidR="00F00A0D">
        <w:rPr>
          <w:rFonts w:ascii="Avenir Next" w:hAnsi="Avenir Next" w:cs="Arial"/>
          <w:color w:val="808080" w:themeColor="background1" w:themeShade="80"/>
          <w:sz w:val="22"/>
          <w:szCs w:val="22"/>
          <w:lang w:val="en-GB"/>
        </w:rPr>
        <w:t>a stay of execution</w:t>
      </w:r>
      <w:r w:rsidR="005717F3">
        <w:rPr>
          <w:rFonts w:ascii="Avenir Next" w:hAnsi="Avenir Next" w:cs="Arial"/>
          <w:color w:val="808080" w:themeColor="background1" w:themeShade="80"/>
          <w:sz w:val="22"/>
          <w:szCs w:val="22"/>
          <w:lang w:val="en-GB"/>
        </w:rPr>
        <w:t xml:space="preserve"> against the debtor’s assets</w:t>
      </w:r>
      <w:r w:rsidR="00B02AE1">
        <w:rPr>
          <w:rFonts w:ascii="Avenir Next" w:hAnsi="Avenir Next" w:cs="Arial"/>
          <w:color w:val="808080" w:themeColor="background1" w:themeShade="80"/>
          <w:sz w:val="22"/>
          <w:szCs w:val="22"/>
          <w:lang w:val="en-GB"/>
        </w:rPr>
        <w:t>; the realisation of the debtor’s assets in the enacting country</w:t>
      </w:r>
      <w:r w:rsidR="0004574B">
        <w:rPr>
          <w:rFonts w:ascii="Avenir Next" w:hAnsi="Avenir Next" w:cs="Arial"/>
          <w:color w:val="808080" w:themeColor="background1" w:themeShade="80"/>
          <w:sz w:val="22"/>
          <w:szCs w:val="22"/>
          <w:lang w:val="en-GB"/>
        </w:rPr>
        <w:t xml:space="preserve">; suspending the debtor’s rights to dispose or </w:t>
      </w:r>
      <w:r w:rsidR="00240F97">
        <w:rPr>
          <w:rFonts w:ascii="Avenir Next" w:hAnsi="Avenir Next" w:cs="Arial"/>
          <w:color w:val="808080" w:themeColor="background1" w:themeShade="80"/>
          <w:sz w:val="22"/>
          <w:szCs w:val="22"/>
          <w:lang w:val="en-GB"/>
        </w:rPr>
        <w:t xml:space="preserve">transfer </w:t>
      </w:r>
      <w:r w:rsidR="00390857">
        <w:rPr>
          <w:rFonts w:ascii="Avenir Next" w:hAnsi="Avenir Next" w:cs="Arial"/>
          <w:color w:val="808080" w:themeColor="background1" w:themeShade="80"/>
          <w:sz w:val="22"/>
          <w:szCs w:val="22"/>
          <w:lang w:val="en-GB"/>
        </w:rPr>
        <w:t xml:space="preserve">the debtor’s assets; </w:t>
      </w:r>
      <w:r w:rsidR="00220875">
        <w:rPr>
          <w:rFonts w:ascii="Avenir Next" w:hAnsi="Avenir Next" w:cs="Arial"/>
          <w:color w:val="808080" w:themeColor="background1" w:themeShade="80"/>
          <w:sz w:val="22"/>
          <w:szCs w:val="22"/>
          <w:lang w:val="en-GB"/>
        </w:rPr>
        <w:t>ability to examine witnesses that can testify to the assets and other affairs of the debtor</w:t>
      </w:r>
      <w:r w:rsidR="003B63E3">
        <w:rPr>
          <w:rFonts w:ascii="Avenir Next" w:hAnsi="Avenir Next" w:cs="Arial"/>
          <w:color w:val="808080" w:themeColor="background1" w:themeShade="80"/>
          <w:sz w:val="22"/>
          <w:szCs w:val="22"/>
          <w:lang w:val="en-GB"/>
        </w:rPr>
        <w:t xml:space="preserve"> and the ability to utilise any other available procedure that may be available under the enacting </w:t>
      </w:r>
      <w:r w:rsidR="00A0359A">
        <w:rPr>
          <w:rFonts w:ascii="Avenir Next" w:hAnsi="Avenir Next" w:cs="Arial"/>
          <w:color w:val="808080" w:themeColor="background1" w:themeShade="80"/>
          <w:sz w:val="22"/>
          <w:szCs w:val="22"/>
          <w:lang w:val="en-GB"/>
        </w:rPr>
        <w:t>country.</w:t>
      </w:r>
      <w:r w:rsidR="002F77A2">
        <w:rPr>
          <w:rStyle w:val="FootnoteReference"/>
          <w:rFonts w:ascii="Avenir Next" w:hAnsi="Avenir Next" w:cs="Arial"/>
          <w:color w:val="808080" w:themeColor="background1" w:themeShade="80"/>
          <w:sz w:val="22"/>
          <w:szCs w:val="22"/>
          <w:lang w:val="en-GB"/>
        </w:rPr>
        <w:footnoteReference w:id="12"/>
      </w:r>
      <w:r w:rsidR="00A0359A">
        <w:rPr>
          <w:rFonts w:ascii="Avenir Next" w:hAnsi="Avenir Next" w:cs="Arial"/>
          <w:color w:val="808080" w:themeColor="background1" w:themeShade="80"/>
          <w:sz w:val="22"/>
          <w:szCs w:val="22"/>
          <w:lang w:val="en-GB"/>
        </w:rPr>
        <w:t xml:space="preserve"> It ought to be noted the word ‘including’ under art 1</w:t>
      </w:r>
      <w:r w:rsidR="00436000">
        <w:rPr>
          <w:rFonts w:ascii="Avenir Next" w:hAnsi="Avenir Next" w:cs="Arial"/>
          <w:color w:val="808080" w:themeColor="background1" w:themeShade="80"/>
          <w:sz w:val="22"/>
          <w:szCs w:val="22"/>
          <w:lang w:val="en-GB"/>
        </w:rPr>
        <w:t>9(1) connotes that other relief may be provided other than the ones that are referred to</w:t>
      </w:r>
      <w:r w:rsidR="00375161">
        <w:rPr>
          <w:rFonts w:ascii="Avenir Next" w:hAnsi="Avenir Next" w:cs="Arial"/>
          <w:color w:val="808080" w:themeColor="background1" w:themeShade="80"/>
          <w:sz w:val="22"/>
          <w:szCs w:val="22"/>
          <w:lang w:val="en-GB"/>
        </w:rPr>
        <w:t xml:space="preserve"> an approach that was taken by </w:t>
      </w:r>
      <w:r w:rsidR="00C6368F">
        <w:rPr>
          <w:rFonts w:ascii="Avenir Next" w:hAnsi="Avenir Next" w:cs="Arial"/>
          <w:color w:val="808080" w:themeColor="background1" w:themeShade="80"/>
          <w:sz w:val="22"/>
          <w:szCs w:val="22"/>
          <w:lang w:val="en-GB"/>
        </w:rPr>
        <w:t>New Zealand which provided a provisional relief in the form of a search warrant</w:t>
      </w:r>
      <w:r w:rsidR="008D518C">
        <w:rPr>
          <w:rFonts w:ascii="Avenir Next" w:hAnsi="Avenir Next" w:cs="Arial"/>
          <w:color w:val="808080" w:themeColor="background1" w:themeShade="80"/>
          <w:sz w:val="22"/>
          <w:szCs w:val="22"/>
          <w:lang w:val="en-GB"/>
        </w:rPr>
        <w:t xml:space="preserve"> to English bankruptcy trustees.</w:t>
      </w:r>
      <w:r w:rsidR="008D518C">
        <w:rPr>
          <w:rStyle w:val="FootnoteReference"/>
          <w:rFonts w:ascii="Avenir Next" w:hAnsi="Avenir Next" w:cs="Arial"/>
          <w:color w:val="808080" w:themeColor="background1" w:themeShade="80"/>
          <w:sz w:val="22"/>
          <w:szCs w:val="22"/>
          <w:lang w:val="en-GB"/>
        </w:rPr>
        <w:footnoteReference w:id="13"/>
      </w:r>
      <w:r w:rsidR="00D42A9C">
        <w:rPr>
          <w:rFonts w:ascii="Avenir Next" w:hAnsi="Avenir Next" w:cs="Arial"/>
          <w:color w:val="808080" w:themeColor="background1" w:themeShade="80"/>
          <w:sz w:val="22"/>
          <w:szCs w:val="22"/>
          <w:lang w:val="en-GB"/>
        </w:rPr>
        <w:t xml:space="preserve"> The pre-recognition relief automatically terminates when </w:t>
      </w:r>
      <w:r w:rsidR="00F53F57">
        <w:rPr>
          <w:rFonts w:ascii="Avenir Next" w:hAnsi="Avenir Next" w:cs="Arial"/>
          <w:color w:val="808080" w:themeColor="background1" w:themeShade="80"/>
          <w:sz w:val="22"/>
          <w:szCs w:val="22"/>
          <w:lang w:val="en-GB"/>
        </w:rPr>
        <w:t xml:space="preserve">upon the successful application of </w:t>
      </w:r>
      <w:r w:rsidR="0077254F">
        <w:rPr>
          <w:rFonts w:ascii="Avenir Next" w:hAnsi="Avenir Next" w:cs="Arial"/>
          <w:color w:val="808080" w:themeColor="background1" w:themeShade="80"/>
          <w:sz w:val="22"/>
          <w:szCs w:val="22"/>
          <w:lang w:val="en-GB"/>
        </w:rPr>
        <w:t>recognition application.</w:t>
      </w:r>
      <w:r w:rsidR="0077254F">
        <w:rPr>
          <w:rStyle w:val="FootnoteReference"/>
          <w:rFonts w:ascii="Avenir Next" w:hAnsi="Avenir Next" w:cs="Arial"/>
          <w:color w:val="808080" w:themeColor="background1" w:themeShade="80"/>
          <w:sz w:val="22"/>
          <w:szCs w:val="22"/>
          <w:lang w:val="en-GB"/>
        </w:rPr>
        <w:footnoteReference w:id="14"/>
      </w:r>
      <w:r w:rsidR="004F1CD3">
        <w:rPr>
          <w:rFonts w:ascii="Avenir Next" w:hAnsi="Avenir Next" w:cs="Arial"/>
          <w:color w:val="808080" w:themeColor="background1" w:themeShade="80"/>
          <w:sz w:val="22"/>
          <w:szCs w:val="22"/>
          <w:lang w:val="en-GB"/>
        </w:rPr>
        <w:t xml:space="preserve"> In addition, the courts have the ability to refuse any pre-recognition relief, if it is deemed that</w:t>
      </w:r>
      <w:r w:rsidR="00E7690B">
        <w:rPr>
          <w:rFonts w:ascii="Avenir Next" w:hAnsi="Avenir Next" w:cs="Arial"/>
          <w:color w:val="808080" w:themeColor="background1" w:themeShade="80"/>
          <w:sz w:val="22"/>
          <w:szCs w:val="22"/>
          <w:lang w:val="en-GB"/>
        </w:rPr>
        <w:t xml:space="preserve"> it</w:t>
      </w:r>
      <w:r w:rsidR="004F1CD3">
        <w:rPr>
          <w:rFonts w:ascii="Avenir Next" w:hAnsi="Avenir Next" w:cs="Arial"/>
          <w:color w:val="808080" w:themeColor="background1" w:themeShade="80"/>
          <w:sz w:val="22"/>
          <w:szCs w:val="22"/>
          <w:lang w:val="en-GB"/>
        </w:rPr>
        <w:t xml:space="preserve"> will interfere with th</w:t>
      </w:r>
      <w:r w:rsidR="007154F3">
        <w:rPr>
          <w:rFonts w:ascii="Avenir Next" w:hAnsi="Avenir Next" w:cs="Arial"/>
          <w:color w:val="808080" w:themeColor="background1" w:themeShade="80"/>
          <w:sz w:val="22"/>
          <w:szCs w:val="22"/>
          <w:lang w:val="en-GB"/>
        </w:rPr>
        <w:t>e administration of</w:t>
      </w:r>
      <w:r w:rsidR="00CB73BD">
        <w:rPr>
          <w:rFonts w:ascii="Avenir Next" w:hAnsi="Avenir Next" w:cs="Arial"/>
          <w:color w:val="808080" w:themeColor="background1" w:themeShade="80"/>
          <w:sz w:val="22"/>
          <w:szCs w:val="22"/>
          <w:lang w:val="en-GB"/>
        </w:rPr>
        <w:t xml:space="preserve"> a foreign main proceeding. </w:t>
      </w:r>
    </w:p>
    <w:p w14:paraId="44E014E8" w14:textId="77777777" w:rsidR="0051090D" w:rsidRPr="00B77352" w:rsidRDefault="0051090D" w:rsidP="00867A8F">
      <w:pPr>
        <w:ind w:left="720" w:hanging="720"/>
        <w:jc w:val="both"/>
        <w:rPr>
          <w:rFonts w:ascii="Avenir Next" w:hAnsi="Avenir Next" w:cs="Arial"/>
          <w:color w:val="808080" w:themeColor="background1" w:themeShade="80"/>
          <w:sz w:val="22"/>
          <w:szCs w:val="22"/>
          <w:lang w:val="en-GB"/>
        </w:rPr>
      </w:pPr>
    </w:p>
    <w:p w14:paraId="655CD70B" w14:textId="6C36B387" w:rsidR="00D5244F" w:rsidRDefault="00C426A3" w:rsidP="00707FC8">
      <w:pPr>
        <w:ind w:left="720" w:hanging="720"/>
        <w:jc w:val="both"/>
        <w:rPr>
          <w:rFonts w:ascii="Avenir Next" w:hAnsi="Avenir Next" w:cs="Arial"/>
          <w:sz w:val="22"/>
          <w:szCs w:val="22"/>
          <w:lang w:val="en-GB"/>
        </w:rPr>
      </w:pPr>
      <w:r>
        <w:rPr>
          <w:rFonts w:ascii="Avenir Next" w:hAnsi="Avenir Next" w:cs="Arial"/>
          <w:sz w:val="22"/>
          <w:szCs w:val="22"/>
          <w:lang w:val="en-GB"/>
        </w:rPr>
        <w:t>Under art 21(1) courts of enacting countries have discretiona</w:t>
      </w:r>
      <w:r w:rsidR="00A70BBA">
        <w:rPr>
          <w:rFonts w:ascii="Avenir Next" w:hAnsi="Avenir Next" w:cs="Arial"/>
          <w:sz w:val="22"/>
          <w:szCs w:val="22"/>
          <w:lang w:val="en-GB"/>
        </w:rPr>
        <w:t xml:space="preserve">ry powers to grant post-recognition relief. </w:t>
      </w:r>
      <w:r w:rsidR="00756103">
        <w:rPr>
          <w:rFonts w:ascii="Avenir Next" w:hAnsi="Avenir Next" w:cs="Arial"/>
          <w:sz w:val="22"/>
          <w:szCs w:val="22"/>
          <w:lang w:val="en-GB"/>
        </w:rPr>
        <w:t>The relief includes but not limited to: stay of</w:t>
      </w:r>
      <w:r w:rsidR="00BB20EF">
        <w:rPr>
          <w:rFonts w:ascii="Avenir Next" w:hAnsi="Avenir Next" w:cs="Arial"/>
          <w:sz w:val="22"/>
          <w:szCs w:val="22"/>
          <w:lang w:val="en-GB"/>
        </w:rPr>
        <w:t xml:space="preserve"> commencement or continuation of individual actions against the debtor; </w:t>
      </w:r>
      <w:r w:rsidR="005D2B0C">
        <w:rPr>
          <w:rFonts w:ascii="Avenir Next" w:hAnsi="Avenir Next" w:cs="Arial"/>
          <w:sz w:val="22"/>
          <w:szCs w:val="22"/>
          <w:lang w:val="en-GB"/>
        </w:rPr>
        <w:t xml:space="preserve">stay of execution of actions aimed at the assets of the debtor, </w:t>
      </w:r>
      <w:r w:rsidR="00A319CE">
        <w:rPr>
          <w:rFonts w:ascii="Avenir Next" w:hAnsi="Avenir Next" w:cs="Arial"/>
          <w:sz w:val="22"/>
          <w:szCs w:val="22"/>
          <w:lang w:val="en-GB"/>
        </w:rPr>
        <w:t>freezing the rights to deal with the assets of the debtor</w:t>
      </w:r>
      <w:r w:rsidR="008C6C9B">
        <w:rPr>
          <w:rFonts w:ascii="Avenir Next" w:hAnsi="Avenir Next" w:cs="Arial"/>
          <w:sz w:val="22"/>
          <w:szCs w:val="22"/>
          <w:lang w:val="en-GB"/>
        </w:rPr>
        <w:t xml:space="preserve"> or the interest in them; </w:t>
      </w:r>
      <w:r w:rsidR="007C3CA6">
        <w:rPr>
          <w:rFonts w:ascii="Avenir Next" w:hAnsi="Avenir Next" w:cs="Arial"/>
          <w:sz w:val="22"/>
          <w:szCs w:val="22"/>
          <w:lang w:val="en-GB"/>
        </w:rPr>
        <w:t xml:space="preserve">providing means for witnesses to be examined regarding the assets and affairs of the debtor; </w:t>
      </w:r>
      <w:r w:rsidR="000D59A0">
        <w:rPr>
          <w:rFonts w:ascii="Avenir Next" w:hAnsi="Avenir Next" w:cs="Arial"/>
          <w:sz w:val="22"/>
          <w:szCs w:val="22"/>
          <w:lang w:val="en-GB"/>
        </w:rPr>
        <w:t xml:space="preserve">appointing an administrator in charge of realising the assets of the debtor in the enacting country; </w:t>
      </w:r>
      <w:r w:rsidR="00DA7D19">
        <w:rPr>
          <w:rFonts w:ascii="Avenir Next" w:hAnsi="Avenir Next" w:cs="Arial"/>
          <w:sz w:val="22"/>
          <w:szCs w:val="22"/>
          <w:lang w:val="en-GB"/>
        </w:rPr>
        <w:t>and any other relief that maybe avai</w:t>
      </w:r>
      <w:r w:rsidR="00EA6ADF">
        <w:rPr>
          <w:rFonts w:ascii="Avenir Next" w:hAnsi="Avenir Next" w:cs="Arial"/>
          <w:sz w:val="22"/>
          <w:szCs w:val="22"/>
          <w:lang w:val="en-GB"/>
        </w:rPr>
        <w:t>la</w:t>
      </w:r>
      <w:r w:rsidR="00DA7D19">
        <w:rPr>
          <w:rFonts w:ascii="Avenir Next" w:hAnsi="Avenir Next" w:cs="Arial"/>
          <w:sz w:val="22"/>
          <w:szCs w:val="22"/>
          <w:lang w:val="en-GB"/>
        </w:rPr>
        <w:t>ble in the enacting country.</w:t>
      </w:r>
      <w:r w:rsidR="00EA6ADF">
        <w:rPr>
          <w:rStyle w:val="FootnoteReference"/>
          <w:rFonts w:ascii="Avenir Next" w:hAnsi="Avenir Next" w:cs="Arial"/>
          <w:sz w:val="22"/>
          <w:szCs w:val="22"/>
          <w:lang w:val="en-GB"/>
        </w:rPr>
        <w:footnoteReference w:id="15"/>
      </w:r>
    </w:p>
    <w:p w14:paraId="3AD64608" w14:textId="494971FA" w:rsidR="00867A8F" w:rsidRDefault="00867A8F" w:rsidP="00707FC8">
      <w:pPr>
        <w:ind w:left="720" w:hanging="720"/>
        <w:jc w:val="both"/>
        <w:rPr>
          <w:rFonts w:ascii="Avenir Next" w:hAnsi="Avenir Next" w:cs="Arial"/>
          <w:sz w:val="22"/>
          <w:szCs w:val="22"/>
          <w:lang w:val="en-GB"/>
        </w:rPr>
      </w:pPr>
    </w:p>
    <w:p w14:paraId="029C47C8" w14:textId="407A62D4" w:rsidR="00867A8F" w:rsidRDefault="00867A8F" w:rsidP="003E242D">
      <w:pPr>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BA1433">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158FCD20" w:rsidR="000077D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48BD08A9" w14:textId="77777777" w:rsidR="00E7690B" w:rsidRPr="00E2622D" w:rsidRDefault="00E7690B" w:rsidP="000077DD">
      <w:pPr>
        <w:jc w:val="both"/>
        <w:rPr>
          <w:rFonts w:ascii="Avenir Next" w:hAnsi="Avenir Next" w:cs="Arial"/>
          <w:sz w:val="22"/>
          <w:szCs w:val="22"/>
          <w:lang w:val="en-GB"/>
        </w:rPr>
      </w:pPr>
    </w:p>
    <w:p w14:paraId="0BBA86B8" w14:textId="6EA4D383" w:rsidR="00980314" w:rsidRPr="00D64649" w:rsidRDefault="00D835D6" w:rsidP="000077DD">
      <w:pPr>
        <w:jc w:val="both"/>
        <w:rPr>
          <w:rFonts w:ascii="Avenir Next" w:hAnsi="Avenir Next" w:cs="Arial"/>
          <w:sz w:val="22"/>
          <w:szCs w:val="22"/>
          <w:lang w:val="en-GB"/>
        </w:rPr>
      </w:pPr>
      <w:r>
        <w:rPr>
          <w:rFonts w:ascii="Avenir Next" w:hAnsi="Avenir Next" w:cs="Arial"/>
          <w:sz w:val="22"/>
          <w:szCs w:val="22"/>
          <w:lang w:val="en-GB"/>
        </w:rPr>
        <w:t xml:space="preserve">A </w:t>
      </w:r>
      <w:r w:rsidR="00D64649">
        <w:rPr>
          <w:rFonts w:ascii="Avenir Next" w:hAnsi="Avenir Next" w:cs="Arial"/>
          <w:sz w:val="22"/>
          <w:szCs w:val="22"/>
          <w:lang w:val="en-GB"/>
        </w:rPr>
        <w:t>worldwide</w:t>
      </w:r>
      <w:r>
        <w:rPr>
          <w:rFonts w:ascii="Avenir Next" w:hAnsi="Avenir Next" w:cs="Arial"/>
          <w:sz w:val="22"/>
          <w:szCs w:val="22"/>
          <w:lang w:val="en-GB"/>
        </w:rPr>
        <w:t xml:space="preserve"> freez</w:t>
      </w:r>
      <w:r w:rsidR="0064268A">
        <w:rPr>
          <w:rFonts w:ascii="Avenir Next" w:hAnsi="Avenir Next" w:cs="Arial"/>
          <w:sz w:val="22"/>
          <w:szCs w:val="22"/>
          <w:lang w:val="en-GB"/>
        </w:rPr>
        <w:t xml:space="preserve">ing order is granted by a court in another jurisdiction. The English court in the case of </w:t>
      </w:r>
      <w:r w:rsidR="00623F4C">
        <w:rPr>
          <w:rFonts w:ascii="Avenir Next" w:hAnsi="Avenir Next" w:cs="Arial"/>
          <w:i/>
          <w:iCs/>
          <w:sz w:val="22"/>
          <w:szCs w:val="22"/>
          <w:lang w:val="en-GB"/>
        </w:rPr>
        <w:t xml:space="preserve">Igor </w:t>
      </w:r>
      <w:proofErr w:type="spellStart"/>
      <w:r w:rsidR="00623F4C">
        <w:rPr>
          <w:rFonts w:ascii="Avenir Next" w:hAnsi="Avenir Next" w:cs="Arial"/>
          <w:i/>
          <w:iCs/>
          <w:sz w:val="22"/>
          <w:szCs w:val="22"/>
          <w:lang w:val="en-GB"/>
        </w:rPr>
        <w:t>Vitalievich</w:t>
      </w:r>
      <w:proofErr w:type="spellEnd"/>
      <w:r w:rsidR="00623F4C">
        <w:rPr>
          <w:rFonts w:ascii="Avenir Next" w:hAnsi="Avenir Next" w:cs="Arial"/>
          <w:i/>
          <w:iCs/>
          <w:sz w:val="22"/>
          <w:szCs w:val="22"/>
          <w:lang w:val="en-GB"/>
        </w:rPr>
        <w:t xml:space="preserve"> </w:t>
      </w:r>
      <w:proofErr w:type="spellStart"/>
      <w:r w:rsidR="00623F4C">
        <w:rPr>
          <w:rFonts w:ascii="Avenir Next" w:hAnsi="Avenir Next" w:cs="Arial"/>
          <w:i/>
          <w:iCs/>
          <w:sz w:val="22"/>
          <w:szCs w:val="22"/>
          <w:lang w:val="en-GB"/>
        </w:rPr>
        <w:t>Protasov</w:t>
      </w:r>
      <w:proofErr w:type="spellEnd"/>
      <w:r w:rsidR="00623F4C">
        <w:rPr>
          <w:rFonts w:ascii="Avenir Next" w:hAnsi="Avenir Next" w:cs="Arial"/>
          <w:i/>
          <w:iCs/>
          <w:sz w:val="22"/>
          <w:szCs w:val="22"/>
          <w:lang w:val="en-GB"/>
        </w:rPr>
        <w:t xml:space="preserve"> and </w:t>
      </w:r>
      <w:proofErr w:type="spellStart"/>
      <w:r w:rsidR="00623F4C">
        <w:rPr>
          <w:rFonts w:ascii="Avenir Next" w:hAnsi="Avenir Next" w:cs="Arial"/>
          <w:i/>
          <w:iCs/>
          <w:sz w:val="22"/>
          <w:szCs w:val="22"/>
          <w:lang w:val="en-GB"/>
        </w:rPr>
        <w:t>Khadzhi</w:t>
      </w:r>
      <w:proofErr w:type="spellEnd"/>
      <w:r w:rsidR="00623F4C">
        <w:rPr>
          <w:rFonts w:ascii="Avenir Next" w:hAnsi="Avenir Next" w:cs="Arial"/>
          <w:i/>
          <w:iCs/>
          <w:sz w:val="22"/>
          <w:szCs w:val="22"/>
          <w:lang w:val="en-GB"/>
        </w:rPr>
        <w:t>-Mu</w:t>
      </w:r>
      <w:r w:rsidR="000201B6">
        <w:rPr>
          <w:rFonts w:ascii="Avenir Next" w:hAnsi="Avenir Next" w:cs="Arial"/>
          <w:i/>
          <w:iCs/>
          <w:sz w:val="22"/>
          <w:szCs w:val="22"/>
          <w:lang w:val="en-GB"/>
        </w:rPr>
        <w:t xml:space="preserve">rat </w:t>
      </w:r>
      <w:proofErr w:type="spellStart"/>
      <w:r w:rsidR="000201B6">
        <w:rPr>
          <w:rFonts w:ascii="Avenir Next" w:hAnsi="Avenir Next" w:cs="Arial"/>
          <w:i/>
          <w:iCs/>
          <w:sz w:val="22"/>
          <w:szCs w:val="22"/>
          <w:lang w:val="en-GB"/>
        </w:rPr>
        <w:t>Derev</w:t>
      </w:r>
      <w:proofErr w:type="spellEnd"/>
      <w:r w:rsidR="000201B6">
        <w:rPr>
          <w:rStyle w:val="FootnoteReference"/>
          <w:rFonts w:ascii="Avenir Next" w:hAnsi="Avenir Next" w:cs="Arial"/>
          <w:i/>
          <w:iCs/>
          <w:sz w:val="22"/>
          <w:szCs w:val="22"/>
          <w:lang w:val="en-GB"/>
        </w:rPr>
        <w:footnoteReference w:id="16"/>
      </w:r>
      <w:r w:rsidR="00D64649">
        <w:rPr>
          <w:rFonts w:ascii="Avenir Next" w:hAnsi="Avenir Next" w:cs="Arial"/>
          <w:i/>
          <w:iCs/>
          <w:sz w:val="22"/>
          <w:szCs w:val="22"/>
          <w:lang w:val="en-GB"/>
        </w:rPr>
        <w:t xml:space="preserve"> </w:t>
      </w:r>
      <w:r w:rsidR="00D64649">
        <w:rPr>
          <w:rFonts w:ascii="Avenir Next" w:hAnsi="Avenir Next" w:cs="Arial"/>
          <w:sz w:val="22"/>
          <w:szCs w:val="22"/>
          <w:lang w:val="en-GB"/>
        </w:rPr>
        <w:t xml:space="preserve">the aim of the </w:t>
      </w:r>
      <w:r w:rsidR="009A4DCF">
        <w:rPr>
          <w:rFonts w:ascii="Avenir Next" w:hAnsi="Avenir Next" w:cs="Arial"/>
          <w:sz w:val="22"/>
          <w:szCs w:val="22"/>
          <w:lang w:val="en-GB"/>
        </w:rPr>
        <w:t xml:space="preserve">Model law is to provide access to the same domestic protection that the </w:t>
      </w:r>
      <w:r w:rsidR="0047402B">
        <w:rPr>
          <w:rFonts w:ascii="Avenir Next" w:hAnsi="Avenir Next" w:cs="Arial"/>
          <w:sz w:val="22"/>
          <w:szCs w:val="22"/>
          <w:lang w:val="en-GB"/>
        </w:rPr>
        <w:t>domestic creditors and debtor are experiencing. Hence, enforcing a</w:t>
      </w:r>
      <w:r w:rsidR="003E27ED">
        <w:rPr>
          <w:rFonts w:ascii="Avenir Next" w:hAnsi="Avenir Next" w:cs="Arial"/>
          <w:sz w:val="22"/>
          <w:szCs w:val="22"/>
          <w:lang w:val="en-GB"/>
        </w:rPr>
        <w:t xml:space="preserve"> </w:t>
      </w:r>
      <w:r w:rsidR="00A842F2">
        <w:rPr>
          <w:rFonts w:ascii="Avenir Next" w:hAnsi="Avenir Next" w:cs="Arial"/>
          <w:sz w:val="22"/>
          <w:szCs w:val="22"/>
          <w:lang w:val="en-GB"/>
        </w:rPr>
        <w:t xml:space="preserve">worldwide freezing order granted before recognition will hinder </w:t>
      </w:r>
      <w:r w:rsidR="00BA1433">
        <w:rPr>
          <w:rFonts w:ascii="Avenir Next" w:hAnsi="Avenir Next" w:cs="Arial"/>
          <w:sz w:val="22"/>
          <w:szCs w:val="22"/>
          <w:lang w:val="en-GB"/>
        </w:rPr>
        <w:t>this.</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5"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6"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7" w:name="para20"/>
      <w:bookmarkEnd w:id="6"/>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8" w:name="para21"/>
      <w:bookmarkEnd w:id="7"/>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10" w:name="para23"/>
      <w:bookmarkEnd w:id="9"/>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w:t>
      </w:r>
      <w:proofErr w:type="gramStart"/>
      <w:r w:rsidRPr="00E2622D">
        <w:rPr>
          <w:rFonts w:ascii="Avenir Next" w:hAnsi="Avenir Next" w:cs="Arial"/>
          <w:color w:val="000000"/>
          <w:sz w:val="22"/>
          <w:szCs w:val="22"/>
          <w:lang w:val="en-GB" w:eastAsia="en-GB"/>
        </w:rPr>
        <w:t>million dollar</w:t>
      </w:r>
      <w:proofErr w:type="gramEnd"/>
      <w:r w:rsidRPr="00E2622D">
        <w:rPr>
          <w:rFonts w:ascii="Avenir Next" w:hAnsi="Avenir Next" w:cs="Arial"/>
          <w:color w:val="000000"/>
          <w:sz w:val="22"/>
          <w:szCs w:val="22"/>
          <w:lang w:val="en-GB" w:eastAsia="en-GB"/>
        </w:rPr>
        <w:t xml:space="preserve"> fraud resulting in monies being sent to many overseas companies, including entities incorporated and registered in England.</w:t>
      </w:r>
      <w:bookmarkStart w:id="11" w:name="para24"/>
      <w:bookmarkEnd w:id="10"/>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2" w:name="para25"/>
      <w:bookmarkEnd w:id="11"/>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proofErr w:type="gramStart"/>
      <w:r w:rsidRPr="00E2622D">
        <w:rPr>
          <w:rFonts w:ascii="Avenir Next" w:hAnsi="Avenir Next" w:cs="Arial"/>
          <w:color w:val="000000"/>
          <w:sz w:val="22"/>
          <w:szCs w:val="22"/>
          <w:lang w:val="en-GB" w:eastAsia="en-GB"/>
        </w:rPr>
        <w:t>a number of</w:t>
      </w:r>
      <w:proofErr w:type="gramEnd"/>
      <w:r w:rsidRPr="00E2622D">
        <w:rPr>
          <w:rFonts w:ascii="Avenir Next" w:hAnsi="Avenir Next" w:cs="Arial"/>
          <w:color w:val="000000"/>
          <w:sz w:val="22"/>
          <w:szCs w:val="22"/>
          <w:lang w:val="en-GB" w:eastAsia="en-GB"/>
        </w:rPr>
        <w:t xml:space="preserve"> stages:</w:t>
      </w:r>
      <w:bookmarkEnd w:id="12"/>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3"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4"/>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5"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5"/>
    </w:p>
    <w:p w14:paraId="609677EF" w14:textId="08F672A0"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third of the minimum level specified by </w:t>
      </w:r>
      <w:proofErr w:type="gramStart"/>
      <w:r w:rsidRPr="00E2622D">
        <w:rPr>
          <w:rFonts w:ascii="Avenir Next" w:hAnsi="Avenir Next" w:cs="Arial"/>
          <w:color w:val="000000"/>
          <w:sz w:val="22"/>
          <w:szCs w:val="22"/>
          <w:lang w:val="en-GB" w:eastAsia="en-GB"/>
        </w:rPr>
        <w:t>law;</w:t>
      </w:r>
      <w:proofErr w:type="gramEnd"/>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within five consecutive working days, the bank has failed to meet 2% or more of its obligations to depositors or </w:t>
      </w:r>
      <w:proofErr w:type="gramStart"/>
      <w:r w:rsidRPr="00E2622D">
        <w:rPr>
          <w:rFonts w:ascii="Avenir Next" w:hAnsi="Avenir Next" w:cs="Arial"/>
          <w:color w:val="000000"/>
          <w:sz w:val="22"/>
          <w:szCs w:val="22"/>
          <w:lang w:val="en-GB" w:eastAsia="en-GB"/>
        </w:rPr>
        <w:t>creditors;</w:t>
      </w:r>
      <w:proofErr w:type="gramEnd"/>
      <w:r w:rsidRPr="00E2622D">
        <w:rPr>
          <w:rFonts w:ascii="Avenir Next" w:hAnsi="Avenir Next" w:cs="Arial"/>
          <w:color w:val="000000"/>
          <w:sz w:val="22"/>
          <w:szCs w:val="22"/>
          <w:lang w:val="en-GB" w:eastAsia="en-GB"/>
        </w:rPr>
        <w:t xml:space="preserve">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6" w:name="para29"/>
      <w:r w:rsidRPr="00E2622D">
        <w:rPr>
          <w:rFonts w:ascii="Avenir Next" w:hAnsi="Avenir Next" w:cs="Arial"/>
          <w:color w:val="000000"/>
          <w:sz w:val="22"/>
          <w:szCs w:val="22"/>
          <w:lang w:val="en-GB" w:eastAsia="en-GB"/>
        </w:rPr>
        <w:t xml:space="preserve">The NB </w:t>
      </w:r>
      <w:proofErr w:type="gramStart"/>
      <w:r w:rsidRPr="00E2622D">
        <w:rPr>
          <w:rFonts w:ascii="Avenir Next" w:hAnsi="Avenir Next" w:cs="Arial"/>
          <w:color w:val="000000"/>
          <w:sz w:val="22"/>
          <w:szCs w:val="22"/>
          <w:lang w:val="en-GB" w:eastAsia="en-GB"/>
        </w:rPr>
        <w:t>has the ability to</w:t>
      </w:r>
      <w:proofErr w:type="gramEnd"/>
      <w:r w:rsidRPr="00E2622D">
        <w:rPr>
          <w:rFonts w:ascii="Avenir Next" w:hAnsi="Avenir Next" w:cs="Arial"/>
          <w:color w:val="000000"/>
          <w:sz w:val="22"/>
          <w:szCs w:val="22"/>
          <w:lang w:val="en-GB" w:eastAsia="en-GB"/>
        </w:rPr>
        <w:t xml:space="preserve">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6"/>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7"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7C5ABA10" w:rsidR="008A7470" w:rsidRPr="00E2622D" w:rsidRDefault="008A7470">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9"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20" w:name="para33"/>
      <w:bookmarkEnd w:id="19"/>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property and funds. Public encumbrances and restrictions on disposal of bank property are terminated and offsetting of </w:t>
      </w:r>
      <w:proofErr w:type="gramStart"/>
      <w:r w:rsidRPr="00E2622D">
        <w:rPr>
          <w:rFonts w:ascii="Avenir Next" w:hAnsi="Avenir Next" w:cs="Arial"/>
          <w:color w:val="000000"/>
          <w:sz w:val="22"/>
          <w:szCs w:val="22"/>
          <w:lang w:val="en-GB" w:eastAsia="en-GB"/>
        </w:rPr>
        <w:t>counter-claims</w:t>
      </w:r>
      <w:proofErr w:type="gramEnd"/>
      <w:r w:rsidRPr="00E2622D">
        <w:rPr>
          <w:rFonts w:ascii="Avenir Next" w:hAnsi="Avenir Next" w:cs="Arial"/>
          <w:color w:val="000000"/>
          <w:sz w:val="22"/>
          <w:szCs w:val="22"/>
          <w:lang w:val="en-GB" w:eastAsia="en-GB"/>
        </w:rPr>
        <w:t xml:space="preserve"> is prohibited.</w:t>
      </w:r>
      <w:bookmarkStart w:id="22" w:name="para35"/>
      <w:bookmarkEnd w:id="21"/>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management powers and take over management of the property (including the money) of the </w:t>
      </w:r>
      <w:proofErr w:type="gramStart"/>
      <w:r w:rsidRPr="00E2622D">
        <w:rPr>
          <w:rFonts w:ascii="Avenir Next" w:hAnsi="Avenir Next" w:cs="Arial"/>
          <w:color w:val="000000"/>
          <w:sz w:val="22"/>
          <w:szCs w:val="22"/>
          <w:lang w:val="en-GB" w:eastAsia="en-GB"/>
        </w:rPr>
        <w:t>bank;</w:t>
      </w:r>
      <w:proofErr w:type="gramEnd"/>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compile a register of creditor claims and to seek to satisfy those </w:t>
      </w:r>
      <w:proofErr w:type="gramStart"/>
      <w:r w:rsidRPr="00E2622D">
        <w:rPr>
          <w:rFonts w:ascii="Avenir Next" w:hAnsi="Avenir Next" w:cs="Arial"/>
          <w:color w:val="000000"/>
          <w:sz w:val="22"/>
          <w:szCs w:val="22"/>
          <w:lang w:val="en-GB" w:eastAsia="en-GB"/>
        </w:rPr>
        <w:t>claims;</w:t>
      </w:r>
      <w:proofErr w:type="gramEnd"/>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take steps to find, identify and recover property belonging to the </w:t>
      </w:r>
      <w:proofErr w:type="gramStart"/>
      <w:r w:rsidRPr="00E2622D">
        <w:rPr>
          <w:rFonts w:ascii="Avenir Next" w:hAnsi="Avenir Next" w:cs="Arial"/>
          <w:color w:val="000000"/>
          <w:sz w:val="22"/>
          <w:szCs w:val="22"/>
          <w:lang w:val="en-GB" w:eastAsia="en-GB"/>
        </w:rPr>
        <w:t>bank;</w:t>
      </w:r>
      <w:proofErr w:type="gramEnd"/>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dismiss employees and withdraw from/terminate </w:t>
      </w:r>
      <w:proofErr w:type="gramStart"/>
      <w:r w:rsidRPr="00E2622D">
        <w:rPr>
          <w:rFonts w:ascii="Avenir Next" w:hAnsi="Avenir Next" w:cs="Arial"/>
          <w:color w:val="000000"/>
          <w:sz w:val="22"/>
          <w:szCs w:val="22"/>
          <w:lang w:val="en-GB" w:eastAsia="en-GB"/>
        </w:rPr>
        <w:t>contracts;</w:t>
      </w:r>
      <w:proofErr w:type="gramEnd"/>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3" w:name="para36"/>
      <w:r w:rsidRPr="00E2622D">
        <w:rPr>
          <w:rFonts w:ascii="Avenir Next" w:hAnsi="Avenir Next" w:cs="Arial"/>
          <w:color w:val="000000"/>
          <w:sz w:val="22"/>
          <w:szCs w:val="22"/>
          <w:lang w:val="en-GB" w:eastAsia="en-GB"/>
        </w:rPr>
        <w:t xml:space="preserve">The DGF also has powers of sale, </w:t>
      </w:r>
      <w:proofErr w:type="gramStart"/>
      <w:r w:rsidRPr="00E2622D">
        <w:rPr>
          <w:rFonts w:ascii="Avenir Next" w:hAnsi="Avenir Next" w:cs="Arial"/>
          <w:color w:val="000000"/>
          <w:sz w:val="22"/>
          <w:szCs w:val="22"/>
          <w:lang w:val="en-GB" w:eastAsia="en-GB"/>
        </w:rPr>
        <w:t>distribution</w:t>
      </w:r>
      <w:proofErr w:type="gramEnd"/>
      <w:r w:rsidRPr="00E2622D">
        <w:rPr>
          <w:rFonts w:ascii="Avenir Next" w:hAnsi="Avenir Next" w:cs="Arial"/>
          <w:color w:val="000000"/>
          <w:sz w:val="22"/>
          <w:szCs w:val="22"/>
          <w:lang w:val="en-GB" w:eastAsia="en-GB"/>
        </w:rPr>
        <w:t xml:space="preserve"> and the power to bring claims for compensation against persons for harm inflicted on the insolvent bank.</w:t>
      </w:r>
      <w:bookmarkEnd w:id="23"/>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E2622D">
        <w:rPr>
          <w:rFonts w:ascii="Avenir Next" w:hAnsi="Avenir Next" w:cs="Arial"/>
          <w:color w:val="000000"/>
          <w:sz w:val="22"/>
          <w:szCs w:val="22"/>
          <w:lang w:val="en-GB" w:eastAsia="en-GB"/>
        </w:rPr>
        <w:t>enter into</w:t>
      </w:r>
      <w:proofErr w:type="gramEnd"/>
      <w:r w:rsidRPr="00E2622D">
        <w:rPr>
          <w:rFonts w:ascii="Avenir Next" w:hAnsi="Avenir Next" w:cs="Arial"/>
          <w:color w:val="000000"/>
          <w:sz w:val="22"/>
          <w:szCs w:val="22"/>
          <w:lang w:val="en-GB" w:eastAsia="en-GB"/>
        </w:rPr>
        <w:t xml:space="preserve">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4"/>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5"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5"/>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6"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6"/>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 breach, </w:t>
      </w:r>
      <w:proofErr w:type="gramStart"/>
      <w:r w:rsidRPr="00E2622D">
        <w:rPr>
          <w:rFonts w:ascii="Avenir Next" w:hAnsi="Avenir Next" w:cs="Arial"/>
          <w:color w:val="000000"/>
          <w:sz w:val="22"/>
          <w:szCs w:val="22"/>
          <w:lang w:val="en-GB" w:eastAsia="en-GB"/>
        </w:rPr>
        <w:t>for eight consecutive reporting periods,</w:t>
      </w:r>
      <w:proofErr w:type="gramEnd"/>
      <w:r w:rsidRPr="00E2622D">
        <w:rPr>
          <w:rFonts w:ascii="Avenir Next" w:hAnsi="Avenir Next" w:cs="Arial"/>
          <w:color w:val="000000"/>
          <w:sz w:val="22"/>
          <w:szCs w:val="22"/>
          <w:lang w:val="en-GB" w:eastAsia="en-GB"/>
        </w:rPr>
        <w:t xml:space="preserve">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w:t>
      </w:r>
      <w:proofErr w:type="gramStart"/>
      <w:r w:rsidR="008A7470" w:rsidRPr="00E2622D">
        <w:rPr>
          <w:rFonts w:ascii="Avenir Next" w:hAnsi="Avenir Next" w:cs="Arial"/>
          <w:color w:val="000000"/>
          <w:sz w:val="22"/>
          <w:szCs w:val="22"/>
          <w:lang w:val="en-GB" w:eastAsia="en-GB"/>
        </w:rPr>
        <w:t>activities;</w:t>
      </w:r>
      <w:proofErr w:type="gramEnd"/>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 reduction in its holding of highly liquid </w:t>
      </w:r>
      <w:proofErr w:type="gramStart"/>
      <w:r w:rsidRPr="00E2622D">
        <w:rPr>
          <w:rFonts w:ascii="Avenir Next" w:hAnsi="Avenir Next" w:cs="Arial"/>
          <w:color w:val="000000"/>
          <w:sz w:val="22"/>
          <w:szCs w:val="22"/>
          <w:lang w:val="en-GB" w:eastAsia="en-GB"/>
        </w:rPr>
        <w:t>assets;</w:t>
      </w:r>
      <w:proofErr w:type="gramEnd"/>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7"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It delegates to her </w:t>
      </w:r>
      <w:proofErr w:type="gramStart"/>
      <w:r w:rsidRPr="00E2622D">
        <w:rPr>
          <w:rFonts w:ascii="Avenir Next" w:hAnsi="Avenir Next" w:cs="Arial"/>
          <w:color w:val="000000"/>
          <w:sz w:val="22"/>
          <w:szCs w:val="22"/>
          <w:lang w:val="en-GB" w:eastAsia="en-GB"/>
        </w:rPr>
        <w:t>all liquidation</w:t>
      </w:r>
      <w:proofErr w:type="gramEnd"/>
      <w:r w:rsidRPr="00E2622D">
        <w:rPr>
          <w:rFonts w:ascii="Avenir Next" w:hAnsi="Avenir Next"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9" w:name="para41"/>
      <w:bookmarkEnd w:id="28"/>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9"/>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55771FD1" w14:textId="77777777" w:rsidR="00922E87" w:rsidRDefault="002A2DE6" w:rsidP="00957951">
      <w:pPr>
        <w:ind w:left="720" w:hanging="720"/>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There are several requirements that must be fulfilled </w:t>
      </w:r>
      <w:proofErr w:type="gramStart"/>
      <w:r>
        <w:rPr>
          <w:rFonts w:ascii="Avenir Next" w:hAnsi="Avenir Next" w:cs="Arial"/>
          <w:color w:val="000000"/>
          <w:sz w:val="22"/>
          <w:szCs w:val="22"/>
          <w:lang w:val="en-GB" w:eastAsia="en-GB"/>
        </w:rPr>
        <w:t>in order for</w:t>
      </w:r>
      <w:proofErr w:type="gramEnd"/>
      <w:r>
        <w:rPr>
          <w:rFonts w:ascii="Avenir Next" w:hAnsi="Avenir Next" w:cs="Arial"/>
          <w:color w:val="000000"/>
          <w:sz w:val="22"/>
          <w:szCs w:val="22"/>
          <w:lang w:val="en-GB" w:eastAsia="en-GB"/>
        </w:rPr>
        <w:t xml:space="preserve"> the </w:t>
      </w:r>
      <w:r w:rsidR="0065432A">
        <w:rPr>
          <w:rFonts w:ascii="Avenir Next" w:hAnsi="Avenir Next" w:cs="Arial"/>
          <w:color w:val="000000"/>
          <w:sz w:val="22"/>
          <w:szCs w:val="22"/>
          <w:lang w:val="en-GB" w:eastAsia="en-GB"/>
        </w:rPr>
        <w:t xml:space="preserve">liquidation to be termed as a </w:t>
      </w:r>
      <w:r w:rsidR="002F4A43">
        <w:rPr>
          <w:rFonts w:ascii="Avenir Next" w:hAnsi="Avenir Next" w:cs="Arial"/>
          <w:color w:val="000000"/>
          <w:sz w:val="22"/>
          <w:szCs w:val="22"/>
          <w:lang w:val="en-GB" w:eastAsia="en-GB"/>
        </w:rPr>
        <w:t>foreign proceeding</w:t>
      </w:r>
      <w:r w:rsidR="001A165B">
        <w:rPr>
          <w:rFonts w:ascii="Avenir Next" w:hAnsi="Avenir Next" w:cs="Arial"/>
          <w:color w:val="000000"/>
          <w:sz w:val="22"/>
          <w:szCs w:val="22"/>
          <w:lang w:val="en-GB" w:eastAsia="en-GB"/>
        </w:rPr>
        <w:t>.</w:t>
      </w:r>
      <w:r w:rsidR="00D37919">
        <w:rPr>
          <w:rStyle w:val="FootnoteReference"/>
          <w:rFonts w:ascii="Avenir Next" w:hAnsi="Avenir Next" w:cs="Arial"/>
          <w:color w:val="000000"/>
          <w:sz w:val="22"/>
          <w:szCs w:val="22"/>
          <w:lang w:val="en-GB" w:eastAsia="en-GB"/>
        </w:rPr>
        <w:footnoteReference w:id="17"/>
      </w:r>
      <w:r w:rsidR="00CB5A9C">
        <w:rPr>
          <w:rFonts w:ascii="Avenir Next" w:hAnsi="Avenir Next" w:cs="Arial"/>
          <w:color w:val="000000"/>
          <w:sz w:val="22"/>
          <w:szCs w:val="22"/>
          <w:lang w:val="en-GB" w:eastAsia="en-GB"/>
        </w:rPr>
        <w:t xml:space="preserve"> </w:t>
      </w:r>
    </w:p>
    <w:p w14:paraId="2D57B99B" w14:textId="77777777" w:rsidR="00922E87" w:rsidRDefault="00FE789E">
      <w:pPr>
        <w:pStyle w:val="ListParagraph"/>
        <w:numPr>
          <w:ilvl w:val="0"/>
          <w:numId w:val="15"/>
        </w:numPr>
        <w:jc w:val="both"/>
        <w:rPr>
          <w:rFonts w:ascii="Avenir Next" w:hAnsi="Avenir Next" w:cs="Arial"/>
          <w:color w:val="000000"/>
          <w:sz w:val="22"/>
          <w:szCs w:val="22"/>
          <w:lang w:val="en-GB" w:eastAsia="en-GB"/>
        </w:rPr>
      </w:pPr>
      <w:r w:rsidRPr="00922E87">
        <w:rPr>
          <w:rFonts w:ascii="Avenir Next" w:hAnsi="Avenir Next" w:cs="Arial"/>
          <w:color w:val="000000"/>
          <w:sz w:val="22"/>
          <w:szCs w:val="22"/>
          <w:lang w:val="en-GB" w:eastAsia="en-GB"/>
        </w:rPr>
        <w:t xml:space="preserve">Applying one of the requirements, the liquidation of </w:t>
      </w:r>
      <w:r w:rsidR="00F52172" w:rsidRPr="00922E87">
        <w:rPr>
          <w:rFonts w:ascii="Avenir Next" w:hAnsi="Avenir Next" w:cs="Arial"/>
          <w:color w:val="000000"/>
          <w:sz w:val="22"/>
          <w:szCs w:val="22"/>
          <w:lang w:val="en-GB" w:eastAsia="en-GB"/>
        </w:rPr>
        <w:t xml:space="preserve">DGF </w:t>
      </w:r>
      <w:r w:rsidR="00B77786" w:rsidRPr="00922E87">
        <w:rPr>
          <w:rFonts w:ascii="Avenir Next" w:hAnsi="Avenir Next" w:cs="Arial"/>
          <w:color w:val="000000"/>
          <w:sz w:val="22"/>
          <w:szCs w:val="22"/>
          <w:lang w:val="en-GB" w:eastAsia="en-GB"/>
        </w:rPr>
        <w:t xml:space="preserve">can be termed as a </w:t>
      </w:r>
      <w:r w:rsidR="00922E87" w:rsidRPr="00922E87">
        <w:rPr>
          <w:rFonts w:ascii="Avenir Next" w:hAnsi="Avenir Next" w:cs="Arial"/>
          <w:color w:val="000000"/>
          <w:sz w:val="22"/>
          <w:szCs w:val="22"/>
          <w:lang w:val="en-GB" w:eastAsia="en-GB"/>
        </w:rPr>
        <w:t>proceeding</w:t>
      </w:r>
      <w:r w:rsidR="00B77786" w:rsidRPr="00922E87">
        <w:rPr>
          <w:rFonts w:ascii="Avenir Next" w:hAnsi="Avenir Next" w:cs="Arial"/>
          <w:color w:val="000000"/>
          <w:sz w:val="22"/>
          <w:szCs w:val="22"/>
          <w:lang w:val="en-GB" w:eastAsia="en-GB"/>
        </w:rPr>
        <w:t xml:space="preserve"> for the purposes of </w:t>
      </w:r>
      <w:r w:rsidR="007D0AA9" w:rsidRPr="00922E87">
        <w:rPr>
          <w:rFonts w:ascii="Avenir Next" w:hAnsi="Avenir Next" w:cs="Arial"/>
          <w:color w:val="000000"/>
          <w:sz w:val="22"/>
          <w:szCs w:val="22"/>
          <w:lang w:val="en-GB" w:eastAsia="en-GB"/>
        </w:rPr>
        <w:t xml:space="preserve">art 2(a). </w:t>
      </w:r>
      <w:r w:rsidR="00C10393" w:rsidRPr="00922E87">
        <w:rPr>
          <w:rFonts w:ascii="Avenir Next" w:hAnsi="Avenir Next" w:cs="Arial"/>
          <w:color w:val="000000"/>
          <w:sz w:val="22"/>
          <w:szCs w:val="22"/>
          <w:lang w:val="en-GB" w:eastAsia="en-GB"/>
        </w:rPr>
        <w:t>The word proceeding</w:t>
      </w:r>
      <w:r w:rsidR="00A1328B" w:rsidRPr="00922E87">
        <w:rPr>
          <w:rFonts w:ascii="Avenir Next" w:hAnsi="Avenir Next" w:cs="Arial"/>
          <w:color w:val="000000"/>
          <w:sz w:val="22"/>
          <w:szCs w:val="22"/>
          <w:lang w:val="en-GB" w:eastAsia="en-GB"/>
        </w:rPr>
        <w:t xml:space="preserve"> has a wide meaning to include</w:t>
      </w:r>
      <w:r w:rsidR="002C659E" w:rsidRPr="00922E87">
        <w:rPr>
          <w:rFonts w:ascii="Avenir Next" w:hAnsi="Avenir Next" w:cs="Arial"/>
          <w:color w:val="000000"/>
          <w:sz w:val="22"/>
          <w:szCs w:val="22"/>
          <w:lang w:val="en-GB" w:eastAsia="en-GB"/>
        </w:rPr>
        <w:t xml:space="preserve"> acts </w:t>
      </w:r>
      <w:r w:rsidR="006F62ED" w:rsidRPr="00922E87">
        <w:rPr>
          <w:rFonts w:ascii="Avenir Next" w:hAnsi="Avenir Next" w:cs="Arial"/>
          <w:color w:val="000000"/>
          <w:sz w:val="22"/>
          <w:szCs w:val="22"/>
          <w:lang w:val="en-GB" w:eastAsia="en-GB"/>
        </w:rPr>
        <w:t>and formalities that are set down in law to provide a framework</w:t>
      </w:r>
      <w:r w:rsidR="006D70B1" w:rsidRPr="00922E87">
        <w:rPr>
          <w:rFonts w:ascii="Avenir Next" w:hAnsi="Avenir Next" w:cs="Arial"/>
          <w:color w:val="000000"/>
          <w:sz w:val="22"/>
          <w:szCs w:val="22"/>
          <w:lang w:val="en-GB" w:eastAsia="en-GB"/>
        </w:rPr>
        <w:t xml:space="preserve"> </w:t>
      </w:r>
      <w:r w:rsidR="00C21DB9" w:rsidRPr="00922E87">
        <w:rPr>
          <w:rFonts w:ascii="Avenir Next" w:hAnsi="Avenir Next" w:cs="Arial"/>
          <w:color w:val="000000"/>
          <w:sz w:val="22"/>
          <w:szCs w:val="22"/>
          <w:lang w:val="en-GB" w:eastAsia="en-GB"/>
        </w:rPr>
        <w:t>to constrain the actions of the company</w:t>
      </w:r>
      <w:r w:rsidR="008407FC" w:rsidRPr="00922E87">
        <w:rPr>
          <w:rFonts w:ascii="Avenir Next" w:hAnsi="Avenir Next" w:cs="Arial"/>
          <w:color w:val="000000"/>
          <w:sz w:val="22"/>
          <w:szCs w:val="22"/>
          <w:lang w:val="en-GB" w:eastAsia="en-GB"/>
        </w:rPr>
        <w:t xml:space="preserve"> and regulate the final distribution</w:t>
      </w:r>
      <w:r w:rsidR="00E43006" w:rsidRPr="00922E87">
        <w:rPr>
          <w:rFonts w:ascii="Avenir Next" w:hAnsi="Avenir Next" w:cs="Arial"/>
          <w:color w:val="000000"/>
          <w:sz w:val="22"/>
          <w:szCs w:val="22"/>
          <w:lang w:val="en-GB" w:eastAsia="en-GB"/>
        </w:rPr>
        <w:t>, per art</w:t>
      </w:r>
      <w:r w:rsidR="00456AE0" w:rsidRPr="00922E87">
        <w:rPr>
          <w:rFonts w:ascii="Avenir Next" w:hAnsi="Avenir Next" w:cs="Arial"/>
          <w:color w:val="000000"/>
          <w:sz w:val="22"/>
          <w:szCs w:val="22"/>
          <w:lang w:val="en-GB" w:eastAsia="en-GB"/>
        </w:rPr>
        <w:t xml:space="preserve"> 76,</w:t>
      </w:r>
      <w:r w:rsidR="00E43006" w:rsidRPr="00922E87">
        <w:rPr>
          <w:rFonts w:ascii="Avenir Next" w:hAnsi="Avenir Next" w:cs="Arial"/>
          <w:color w:val="000000"/>
          <w:sz w:val="22"/>
          <w:szCs w:val="22"/>
          <w:lang w:val="en-GB" w:eastAsia="en-GB"/>
        </w:rPr>
        <w:t xml:space="preserve"> </w:t>
      </w:r>
      <w:r w:rsidR="006C4E9C" w:rsidRPr="00922E87">
        <w:rPr>
          <w:rFonts w:ascii="Avenir Next" w:hAnsi="Avenir Next" w:cs="Arial"/>
          <w:color w:val="000000"/>
          <w:sz w:val="22"/>
          <w:szCs w:val="22"/>
          <w:lang w:val="en-GB" w:eastAsia="en-GB"/>
        </w:rPr>
        <w:t>77 of the LLBA</w:t>
      </w:r>
      <w:r w:rsidR="00CB7D74" w:rsidRPr="00922E87">
        <w:rPr>
          <w:rFonts w:ascii="Avenir Next" w:hAnsi="Avenir Next" w:cs="Arial"/>
          <w:color w:val="000000"/>
          <w:sz w:val="22"/>
          <w:szCs w:val="22"/>
          <w:lang w:val="en-GB" w:eastAsia="en-GB"/>
        </w:rPr>
        <w:t xml:space="preserve"> among others</w:t>
      </w:r>
      <w:r w:rsidR="008407FC" w:rsidRPr="00922E87">
        <w:rPr>
          <w:rFonts w:ascii="Avenir Next" w:hAnsi="Avenir Next" w:cs="Arial"/>
          <w:color w:val="000000"/>
          <w:sz w:val="22"/>
          <w:szCs w:val="22"/>
          <w:lang w:val="en-GB" w:eastAsia="en-GB"/>
        </w:rPr>
        <w:t>.</w:t>
      </w:r>
      <w:r w:rsidR="008407FC">
        <w:rPr>
          <w:rStyle w:val="FootnoteReference"/>
          <w:rFonts w:ascii="Avenir Next" w:hAnsi="Avenir Next" w:cs="Arial"/>
          <w:color w:val="000000"/>
          <w:sz w:val="22"/>
          <w:szCs w:val="22"/>
          <w:lang w:val="en-GB" w:eastAsia="en-GB"/>
        </w:rPr>
        <w:footnoteReference w:id="18"/>
      </w:r>
      <w:r w:rsidR="008407FC" w:rsidRPr="00922E87">
        <w:rPr>
          <w:rFonts w:ascii="Avenir Next" w:hAnsi="Avenir Next" w:cs="Arial"/>
          <w:color w:val="000000"/>
          <w:sz w:val="22"/>
          <w:szCs w:val="22"/>
          <w:lang w:val="en-GB" w:eastAsia="en-GB"/>
        </w:rPr>
        <w:t xml:space="preserve"> </w:t>
      </w:r>
    </w:p>
    <w:p w14:paraId="490979D7" w14:textId="66BB5CB5" w:rsidR="00FC4B29" w:rsidRDefault="002971F5">
      <w:pPr>
        <w:pStyle w:val="ListParagraph"/>
        <w:numPr>
          <w:ilvl w:val="0"/>
          <w:numId w:val="15"/>
        </w:num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T</w:t>
      </w:r>
      <w:r w:rsidR="001F1CAA" w:rsidRPr="00922E87">
        <w:rPr>
          <w:rFonts w:ascii="Avenir Next" w:hAnsi="Avenir Next" w:cs="Arial"/>
          <w:color w:val="000000"/>
          <w:sz w:val="22"/>
          <w:szCs w:val="22"/>
          <w:lang w:val="en-GB" w:eastAsia="en-GB"/>
        </w:rPr>
        <w:t xml:space="preserve">he </w:t>
      </w:r>
      <w:r w:rsidR="006149B1" w:rsidRPr="00922E87">
        <w:rPr>
          <w:rFonts w:ascii="Avenir Next" w:hAnsi="Avenir Next" w:cs="Arial"/>
          <w:color w:val="000000"/>
          <w:sz w:val="22"/>
          <w:szCs w:val="22"/>
          <w:lang w:val="en-GB" w:eastAsia="en-GB"/>
        </w:rPr>
        <w:t>liquidation pr</w:t>
      </w:r>
      <w:r w:rsidR="007E49E7" w:rsidRPr="00922E87">
        <w:rPr>
          <w:rFonts w:ascii="Avenir Next" w:hAnsi="Avenir Next" w:cs="Arial"/>
          <w:color w:val="000000"/>
          <w:sz w:val="22"/>
          <w:szCs w:val="22"/>
          <w:lang w:val="en-GB" w:eastAsia="en-GB"/>
        </w:rPr>
        <w:t xml:space="preserve">ocedure of LLBA </w:t>
      </w:r>
      <w:r w:rsidR="00B204CE" w:rsidRPr="00922E87">
        <w:rPr>
          <w:rFonts w:ascii="Avenir Next" w:hAnsi="Avenir Next" w:cs="Arial"/>
          <w:color w:val="000000"/>
          <w:sz w:val="22"/>
          <w:szCs w:val="22"/>
          <w:lang w:val="en-GB" w:eastAsia="en-GB"/>
        </w:rPr>
        <w:t>concerns all the creditors</w:t>
      </w:r>
      <w:r w:rsidR="003E6BE6" w:rsidRPr="00922E87">
        <w:rPr>
          <w:rFonts w:ascii="Avenir Next" w:hAnsi="Avenir Next" w:cs="Arial"/>
          <w:color w:val="000000"/>
          <w:sz w:val="22"/>
          <w:szCs w:val="22"/>
          <w:lang w:val="en-GB" w:eastAsia="en-GB"/>
        </w:rPr>
        <w:t xml:space="preserve"> under art 77</w:t>
      </w:r>
      <w:r w:rsidR="00FA571A" w:rsidRPr="00922E87">
        <w:rPr>
          <w:rFonts w:ascii="Avenir Next" w:hAnsi="Avenir Next" w:cs="Arial"/>
          <w:color w:val="000000"/>
          <w:sz w:val="22"/>
          <w:szCs w:val="22"/>
          <w:lang w:val="en-GB" w:eastAsia="en-GB"/>
        </w:rPr>
        <w:t xml:space="preserve">, for example all monies become due </w:t>
      </w:r>
      <w:r w:rsidR="00736FEC" w:rsidRPr="00922E87">
        <w:rPr>
          <w:rFonts w:ascii="Avenir Next" w:hAnsi="Avenir Next" w:cs="Arial"/>
          <w:color w:val="000000"/>
          <w:sz w:val="22"/>
          <w:szCs w:val="22"/>
          <w:lang w:val="en-GB" w:eastAsia="en-GB"/>
        </w:rPr>
        <w:t xml:space="preserve">and that the designated person can take control of the assets of the </w:t>
      </w:r>
      <w:r w:rsidR="002701CC" w:rsidRPr="00922E87">
        <w:rPr>
          <w:rFonts w:ascii="Avenir Next" w:hAnsi="Avenir Next" w:cs="Arial"/>
          <w:color w:val="000000"/>
          <w:sz w:val="22"/>
          <w:szCs w:val="22"/>
          <w:lang w:val="en-GB" w:eastAsia="en-GB"/>
        </w:rPr>
        <w:t>Bank</w:t>
      </w:r>
      <w:r w:rsidR="00335048" w:rsidRPr="00922E87">
        <w:rPr>
          <w:rFonts w:ascii="Avenir Next" w:hAnsi="Avenir Next" w:cs="Arial"/>
          <w:color w:val="000000"/>
          <w:sz w:val="22"/>
          <w:szCs w:val="22"/>
          <w:lang w:val="en-GB" w:eastAsia="en-GB"/>
        </w:rPr>
        <w:t xml:space="preserve"> thus </w:t>
      </w:r>
      <w:r w:rsidR="00922E87" w:rsidRPr="00922E87">
        <w:rPr>
          <w:rFonts w:ascii="Avenir Next" w:hAnsi="Avenir Next" w:cs="Arial"/>
          <w:color w:val="000000"/>
          <w:sz w:val="22"/>
          <w:szCs w:val="22"/>
          <w:lang w:val="en-GB" w:eastAsia="en-GB"/>
        </w:rPr>
        <w:t>fulfilling the requirement that for it to be a collective process</w:t>
      </w:r>
      <w:r w:rsidR="002701CC" w:rsidRPr="00922E87">
        <w:rPr>
          <w:rFonts w:ascii="Avenir Next" w:hAnsi="Avenir Next" w:cs="Arial"/>
          <w:color w:val="000000"/>
          <w:sz w:val="22"/>
          <w:szCs w:val="22"/>
          <w:lang w:val="en-GB" w:eastAsia="en-GB"/>
        </w:rPr>
        <w:t>.</w:t>
      </w:r>
      <w:r w:rsidR="002701CC">
        <w:rPr>
          <w:rStyle w:val="FootnoteReference"/>
          <w:rFonts w:ascii="Avenir Next" w:hAnsi="Avenir Next" w:cs="Arial"/>
          <w:color w:val="000000"/>
          <w:sz w:val="22"/>
          <w:szCs w:val="22"/>
          <w:lang w:val="en-GB" w:eastAsia="en-GB"/>
        </w:rPr>
        <w:footnoteReference w:id="19"/>
      </w:r>
    </w:p>
    <w:p w14:paraId="36A0C838" w14:textId="6420858F" w:rsidR="00922E87" w:rsidRDefault="002971F5">
      <w:pPr>
        <w:pStyle w:val="ListParagraph"/>
        <w:numPr>
          <w:ilvl w:val="0"/>
          <w:numId w:val="15"/>
        </w:num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Under art 2(a)</w:t>
      </w:r>
      <w:r w:rsidR="00CB1723">
        <w:rPr>
          <w:rFonts w:ascii="Avenir Next" w:hAnsi="Avenir Next" w:cs="Arial"/>
          <w:color w:val="000000"/>
          <w:sz w:val="22"/>
          <w:szCs w:val="22"/>
          <w:lang w:val="en-GB" w:eastAsia="en-GB"/>
        </w:rPr>
        <w:t xml:space="preserve"> the Bank’s liquidation is an administrative process because it is governed by the </w:t>
      </w:r>
      <w:r w:rsidR="006E513D">
        <w:rPr>
          <w:rFonts w:ascii="Avenir Next" w:hAnsi="Avenir Next" w:cs="Arial"/>
          <w:color w:val="000000"/>
          <w:sz w:val="22"/>
          <w:szCs w:val="22"/>
          <w:lang w:val="en-GB" w:eastAsia="en-GB"/>
        </w:rPr>
        <w:t>DGF a governmental body</w:t>
      </w:r>
      <w:r w:rsidR="008D06A3">
        <w:rPr>
          <w:rFonts w:ascii="Avenir Next" w:hAnsi="Avenir Next" w:cs="Arial"/>
          <w:color w:val="000000"/>
          <w:sz w:val="22"/>
          <w:szCs w:val="22"/>
          <w:lang w:val="en-GB" w:eastAsia="en-GB"/>
        </w:rPr>
        <w:t xml:space="preserve"> </w:t>
      </w:r>
      <w:r w:rsidR="00F25827">
        <w:rPr>
          <w:rFonts w:ascii="Avenir Next" w:hAnsi="Avenir Next" w:cs="Arial"/>
          <w:color w:val="000000"/>
          <w:sz w:val="22"/>
          <w:szCs w:val="22"/>
          <w:lang w:val="en-GB" w:eastAsia="en-GB"/>
        </w:rPr>
        <w:t>whose one task is winding of insolvent bank</w:t>
      </w:r>
      <w:r w:rsidR="008969E0">
        <w:rPr>
          <w:rFonts w:ascii="Avenir Next" w:hAnsi="Avenir Next" w:cs="Arial"/>
          <w:color w:val="000000"/>
          <w:sz w:val="22"/>
          <w:szCs w:val="22"/>
          <w:lang w:val="en-GB" w:eastAsia="en-GB"/>
        </w:rPr>
        <w:t>, thus fulfilling another requirement.</w:t>
      </w:r>
    </w:p>
    <w:p w14:paraId="6D6B6F4B" w14:textId="44BD8FE3" w:rsidR="008969E0" w:rsidRDefault="005A7650">
      <w:pPr>
        <w:pStyle w:val="ListParagraph"/>
        <w:numPr>
          <w:ilvl w:val="0"/>
          <w:numId w:val="15"/>
        </w:num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Art 77 </w:t>
      </w:r>
      <w:r w:rsidR="003221CD">
        <w:rPr>
          <w:rFonts w:ascii="Avenir Next" w:hAnsi="Avenir Next" w:cs="Arial"/>
          <w:color w:val="000000"/>
          <w:sz w:val="22"/>
          <w:szCs w:val="22"/>
          <w:lang w:val="en-GB" w:eastAsia="en-GB"/>
        </w:rPr>
        <w:t xml:space="preserve">of LBBA, the DGF law </w:t>
      </w:r>
      <w:r w:rsidR="00F14AD8">
        <w:rPr>
          <w:rFonts w:ascii="Avenir Next" w:hAnsi="Avenir Next" w:cs="Arial"/>
          <w:color w:val="000000"/>
          <w:sz w:val="22"/>
          <w:szCs w:val="22"/>
          <w:lang w:val="en-GB" w:eastAsia="en-GB"/>
        </w:rPr>
        <w:t>deal with matters of insolvency, hence fulfilling another condition.</w:t>
      </w:r>
      <w:r w:rsidR="00F14AD8">
        <w:rPr>
          <w:rStyle w:val="FootnoteReference"/>
          <w:rFonts w:ascii="Avenir Next" w:hAnsi="Avenir Next" w:cs="Arial"/>
          <w:color w:val="000000"/>
          <w:sz w:val="22"/>
          <w:szCs w:val="22"/>
          <w:lang w:val="en-GB" w:eastAsia="en-GB"/>
        </w:rPr>
        <w:footnoteReference w:id="20"/>
      </w:r>
    </w:p>
    <w:p w14:paraId="1675EBBD" w14:textId="3994E370" w:rsidR="00322D65" w:rsidRDefault="00322D65">
      <w:pPr>
        <w:pStyle w:val="ListParagraph"/>
        <w:numPr>
          <w:ilvl w:val="0"/>
          <w:numId w:val="15"/>
        </w:num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However, the liquidation of country A is not supervised by any court</w:t>
      </w:r>
      <w:r w:rsidR="001C1296">
        <w:rPr>
          <w:rFonts w:ascii="Avenir Next" w:hAnsi="Avenir Next" w:cs="Arial"/>
          <w:color w:val="000000"/>
          <w:sz w:val="22"/>
          <w:szCs w:val="22"/>
          <w:lang w:val="en-GB" w:eastAsia="en-GB"/>
        </w:rPr>
        <w:t>.</w:t>
      </w:r>
    </w:p>
    <w:p w14:paraId="58518E84" w14:textId="77777777" w:rsidR="001C1296" w:rsidRDefault="001C1296" w:rsidP="001C1296">
      <w:pPr>
        <w:pStyle w:val="ListParagraph"/>
        <w:jc w:val="both"/>
        <w:rPr>
          <w:rFonts w:ascii="Avenir Next" w:hAnsi="Avenir Next" w:cs="Arial"/>
          <w:color w:val="000000"/>
          <w:sz w:val="22"/>
          <w:szCs w:val="22"/>
          <w:lang w:val="en-GB" w:eastAsia="en-GB"/>
        </w:rPr>
      </w:pPr>
    </w:p>
    <w:p w14:paraId="515F2F2A" w14:textId="3BF78D44" w:rsidR="001C1296" w:rsidRPr="00922E87" w:rsidRDefault="001C1296" w:rsidP="001C1296">
      <w:pPr>
        <w:pStyle w:val="ListParagraph"/>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In conclusion the Bank’s liquidation</w:t>
      </w:r>
      <w:r w:rsidR="00D02B1B">
        <w:rPr>
          <w:rFonts w:ascii="Avenir Next" w:hAnsi="Avenir Next" w:cs="Arial"/>
          <w:color w:val="000000"/>
          <w:sz w:val="22"/>
          <w:szCs w:val="22"/>
          <w:lang w:val="en-GB" w:eastAsia="en-GB"/>
        </w:rPr>
        <w:t xml:space="preserve"> in country A is not a foreign proceeding for the purposes</w:t>
      </w:r>
      <w:r w:rsidR="00027B7D">
        <w:rPr>
          <w:rFonts w:ascii="Avenir Next" w:hAnsi="Avenir Next" w:cs="Arial"/>
          <w:color w:val="000000"/>
          <w:sz w:val="22"/>
          <w:szCs w:val="22"/>
          <w:lang w:val="en-GB" w:eastAsia="en-GB"/>
        </w:rPr>
        <w:t xml:space="preserve"> of art 2(a).</w:t>
      </w:r>
    </w:p>
    <w:p w14:paraId="057F6AC3" w14:textId="77777777" w:rsidR="00767F42" w:rsidRDefault="00767F42" w:rsidP="00957951">
      <w:pPr>
        <w:ind w:left="720" w:hanging="720"/>
        <w:jc w:val="both"/>
        <w:rPr>
          <w:rFonts w:ascii="Avenir Next" w:hAnsi="Avenir Next" w:cs="Arial"/>
          <w:color w:val="000000"/>
          <w:sz w:val="22"/>
          <w:szCs w:val="22"/>
          <w:lang w:val="en-GB" w:eastAsia="en-GB"/>
        </w:rPr>
      </w:pPr>
    </w:p>
    <w:p w14:paraId="24088FD2" w14:textId="77777777" w:rsidR="006659CB" w:rsidRPr="00E2622D" w:rsidRDefault="006659CB" w:rsidP="00957951">
      <w:pPr>
        <w:ind w:left="720" w:hanging="720"/>
        <w:jc w:val="both"/>
        <w:rPr>
          <w:rFonts w:ascii="Avenir Next" w:hAnsi="Avenir Next" w:cs="Arial"/>
          <w:color w:val="000000"/>
          <w:sz w:val="22"/>
          <w:szCs w:val="22"/>
          <w:lang w:val="en-GB" w:eastAsia="en-GB"/>
        </w:rPr>
      </w:pP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5A89144F" w14:textId="32D2C73D" w:rsidR="00B66264" w:rsidRPr="00E2622D" w:rsidRDefault="00011256" w:rsidP="00957951">
      <w:pPr>
        <w:ind w:left="720" w:hanging="720"/>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There are requirements </w:t>
      </w:r>
      <w:r w:rsidR="00B05D20">
        <w:rPr>
          <w:rFonts w:ascii="Avenir Next" w:hAnsi="Avenir Next" w:cs="Arial"/>
          <w:color w:val="000000"/>
          <w:sz w:val="22"/>
          <w:szCs w:val="22"/>
          <w:lang w:val="en-GB" w:eastAsia="en-GB"/>
        </w:rPr>
        <w:t xml:space="preserve">that </w:t>
      </w:r>
      <w:r w:rsidR="003F3673">
        <w:rPr>
          <w:rFonts w:ascii="Avenir Next" w:hAnsi="Avenir Next" w:cs="Arial"/>
          <w:color w:val="000000"/>
          <w:sz w:val="22"/>
          <w:szCs w:val="22"/>
          <w:lang w:val="en-GB" w:eastAsia="en-GB"/>
        </w:rPr>
        <w:t>must</w:t>
      </w:r>
      <w:r w:rsidR="00B05D20">
        <w:rPr>
          <w:rFonts w:ascii="Avenir Next" w:hAnsi="Avenir Next" w:cs="Arial"/>
          <w:color w:val="000000"/>
          <w:sz w:val="22"/>
          <w:szCs w:val="22"/>
          <w:lang w:val="en-GB" w:eastAsia="en-GB"/>
        </w:rPr>
        <w:t xml:space="preserve"> be fulfilled for the Applicants to be considered as foreign representatives</w:t>
      </w:r>
      <w:r w:rsidR="00B814BE">
        <w:rPr>
          <w:rFonts w:ascii="Avenir Next" w:hAnsi="Avenir Next" w:cs="Arial"/>
          <w:color w:val="000000"/>
          <w:sz w:val="22"/>
          <w:szCs w:val="22"/>
          <w:lang w:val="en-GB" w:eastAsia="en-GB"/>
        </w:rPr>
        <w:t>. The applicants were appointed by DGF</w:t>
      </w:r>
      <w:r w:rsidR="003F3673">
        <w:rPr>
          <w:rFonts w:ascii="Avenir Next" w:hAnsi="Avenir Next" w:cs="Arial"/>
          <w:color w:val="000000"/>
          <w:sz w:val="22"/>
          <w:szCs w:val="22"/>
          <w:lang w:val="en-GB" w:eastAsia="en-GB"/>
        </w:rPr>
        <w:t xml:space="preserve"> </w:t>
      </w:r>
      <w:r w:rsidR="00247F87">
        <w:rPr>
          <w:rFonts w:ascii="Avenir Next" w:hAnsi="Avenir Next" w:cs="Arial"/>
          <w:color w:val="000000"/>
          <w:sz w:val="22"/>
          <w:szCs w:val="22"/>
          <w:lang w:val="en-GB" w:eastAsia="en-GB"/>
        </w:rPr>
        <w:t xml:space="preserve">in country A to administer the liquidation of the Bank. However, </w:t>
      </w:r>
      <w:r w:rsidR="00E46B10">
        <w:rPr>
          <w:rFonts w:ascii="Avenir Next" w:hAnsi="Avenir Next" w:cs="Arial"/>
          <w:color w:val="000000"/>
          <w:sz w:val="22"/>
          <w:szCs w:val="22"/>
          <w:lang w:val="en-GB" w:eastAsia="en-GB"/>
        </w:rPr>
        <w:t xml:space="preserve">the authorisation is not from a </w:t>
      </w:r>
      <w:proofErr w:type="gramStart"/>
      <w:r w:rsidR="00E46B10">
        <w:rPr>
          <w:rFonts w:ascii="Avenir Next" w:hAnsi="Avenir Next" w:cs="Arial"/>
          <w:color w:val="000000"/>
          <w:sz w:val="22"/>
          <w:szCs w:val="22"/>
          <w:lang w:val="en-GB" w:eastAsia="en-GB"/>
        </w:rPr>
        <w:t xml:space="preserve">foreign </w:t>
      </w:r>
      <w:r w:rsidR="008947B3">
        <w:rPr>
          <w:rFonts w:ascii="Avenir Next" w:hAnsi="Avenir Next" w:cs="Arial"/>
          <w:color w:val="000000"/>
          <w:sz w:val="22"/>
          <w:szCs w:val="22"/>
          <w:lang w:val="en-GB" w:eastAsia="en-GB"/>
        </w:rPr>
        <w:t>proceedings</w:t>
      </w:r>
      <w:proofErr w:type="gramEnd"/>
      <w:r w:rsidR="00E46B10">
        <w:rPr>
          <w:rFonts w:ascii="Avenir Next" w:hAnsi="Avenir Next" w:cs="Arial"/>
          <w:color w:val="000000"/>
          <w:sz w:val="22"/>
          <w:szCs w:val="22"/>
          <w:lang w:val="en-GB" w:eastAsia="en-GB"/>
        </w:rPr>
        <w:t xml:space="preserve"> as discussed above. Inconclusion, </w:t>
      </w:r>
      <w:r w:rsidR="008947B3">
        <w:rPr>
          <w:rFonts w:ascii="Avenir Next" w:hAnsi="Avenir Next" w:cs="Arial"/>
          <w:color w:val="000000"/>
          <w:sz w:val="22"/>
          <w:szCs w:val="22"/>
          <w:lang w:val="en-GB" w:eastAsia="en-GB"/>
        </w:rPr>
        <w:t xml:space="preserve">the applicants are not foreign representatives. </w:t>
      </w:r>
    </w:p>
    <w:p w14:paraId="61FFC9F1" w14:textId="0F2F8523" w:rsidR="00857763"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6A2AF4E4" w14:textId="77777777" w:rsidR="00027B7D" w:rsidRPr="00027B7D" w:rsidRDefault="00027B7D" w:rsidP="008A7470">
      <w:pPr>
        <w:jc w:val="both"/>
        <w:rPr>
          <w:rFonts w:ascii="Avenir Next Demi Bold" w:hAnsi="Avenir Next Demi Bold" w:cs="Arial"/>
          <w:sz w:val="22"/>
          <w:szCs w:val="22"/>
          <w:lang w:val="en-GB"/>
        </w:rPr>
      </w:pP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proofErr w:type="gramStart"/>
      <w:r w:rsidRPr="00E2622D">
        <w:rPr>
          <w:rFonts w:ascii="Avenir Next" w:hAnsi="Avenir Next" w:cs="Arial"/>
          <w:sz w:val="22"/>
          <w:szCs w:val="22"/>
          <w:lang w:val="en-GB"/>
        </w:rPr>
        <w:t>For the purpose of</w:t>
      </w:r>
      <w:proofErr w:type="gramEnd"/>
      <w:r w:rsidRPr="00E2622D">
        <w:rPr>
          <w:rFonts w:ascii="Avenir Next" w:hAnsi="Avenir Next" w:cs="Arial"/>
          <w:sz w:val="22"/>
          <w:szCs w:val="22"/>
          <w:lang w:val="en-GB"/>
        </w:rPr>
        <w:t xml:space="preserve">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5"/>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0580E" w14:textId="77777777" w:rsidR="00C5335E" w:rsidRDefault="00C5335E" w:rsidP="00241B44">
      <w:r>
        <w:separator/>
      </w:r>
    </w:p>
  </w:endnote>
  <w:endnote w:type="continuationSeparator" w:id="0">
    <w:p w14:paraId="3A7F857B" w14:textId="77777777" w:rsidR="00C5335E" w:rsidRDefault="00C5335E" w:rsidP="00241B44">
      <w:r>
        <w:continuationSeparator/>
      </w:r>
    </w:p>
  </w:endnote>
  <w:endnote w:type="continuationNotice" w:id="1">
    <w:p w14:paraId="6802E0E9" w14:textId="77777777" w:rsidR="00C5335E" w:rsidRDefault="00C53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2421EB13"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436EF9">
          <w:rPr>
            <w:rStyle w:val="PageNumber"/>
          </w:rPr>
          <w:fldChar w:fldCharType="separate"/>
        </w:r>
        <w:r w:rsidR="00436EF9">
          <w:rPr>
            <w:rStyle w:val="PageNumber"/>
            <w:noProof/>
          </w:rPr>
          <w:t>1</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5"/>
      <w:gridCol w:w="451"/>
    </w:tblGrid>
    <w:tr w:rsidR="009128FA" w14:paraId="23E95DDF" w14:textId="77777777">
      <w:trPr>
        <w:jc w:val="right"/>
      </w:trPr>
      <w:tc>
        <w:tcPr>
          <w:tcW w:w="4795" w:type="dxa"/>
          <w:vAlign w:val="center"/>
        </w:tcPr>
        <w:sdt>
          <w:sdtPr>
            <w:rPr>
              <w:rFonts w:ascii="Calibri" w:hAnsi="Calibri" w:cs="Calibri"/>
              <w:color w:val="979797"/>
              <w:shd w:val="clear" w:color="auto" w:fill="FFFFFF"/>
            </w:rPr>
            <w:alias w:val="Author"/>
            <w:tag w:val=""/>
            <w:id w:val="1534539408"/>
            <w:placeholder>
              <w:docPart w:val="2862EBF0541143DBA952B25BC1B764FB"/>
            </w:placeholder>
            <w:dataBinding w:prefixMappings="xmlns:ns0='http://purl.org/dc/elements/1.1/' xmlns:ns1='http://schemas.openxmlformats.org/package/2006/metadata/core-properties' " w:xpath="/ns1:coreProperties[1]/ns0:creator[1]" w:storeItemID="{6C3C8BC8-F283-45AE-878A-BAB7291924A1}"/>
            <w:text/>
          </w:sdtPr>
          <w:sdtContent>
            <w:p w14:paraId="3A84EC76" w14:textId="2329FA7C" w:rsidR="009128FA" w:rsidRDefault="009128FA">
              <w:pPr>
                <w:pStyle w:val="Header"/>
                <w:jc w:val="right"/>
                <w:rPr>
                  <w:caps/>
                  <w:color w:val="000000" w:themeColor="text1"/>
                </w:rPr>
              </w:pPr>
              <w:r w:rsidRPr="009128FA">
                <w:rPr>
                  <w:rFonts w:ascii="Calibri" w:hAnsi="Calibri" w:cs="Calibri"/>
                  <w:color w:val="979797"/>
                  <w:shd w:val="clear" w:color="auto" w:fill="FFFFFF"/>
                </w:rPr>
                <w:t>202223-964</w:t>
              </w:r>
            </w:p>
          </w:sdtContent>
        </w:sdt>
      </w:tc>
      <w:tc>
        <w:tcPr>
          <w:tcW w:w="250" w:type="pct"/>
          <w:shd w:val="clear" w:color="auto" w:fill="ED7D31" w:themeFill="accent2"/>
          <w:vAlign w:val="center"/>
        </w:tcPr>
        <w:p w14:paraId="1870368C" w14:textId="77777777" w:rsidR="009128FA" w:rsidRDefault="009128FA">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71AB" w14:textId="77777777" w:rsidR="006B4B5E" w:rsidRDefault="004A5591" w:rsidP="000300E0">
    <w:pPr>
      <w:pStyle w:val="Footer"/>
      <w:ind w:right="360"/>
      <w:rPr>
        <w:rFonts w:ascii="Avenir Next" w:hAnsi="Avenir Next"/>
        <w:sz w:val="22"/>
        <w:szCs w:val="22"/>
      </w:rPr>
    </w:pPr>
    <w:r>
      <w:rPr>
        <w:rFonts w:ascii="Avenir Next" w:hAnsi="Avenir Next" w:cs="Arial"/>
        <w:sz w:val="22"/>
        <w:szCs w:val="22"/>
        <w:lang w:val="en-GB"/>
      </w:rPr>
      <w:t>202223-964</w:t>
    </w:r>
  </w:p>
  <w:p w14:paraId="3D5E5745" w14:textId="04A3FE4B" w:rsidR="000300E0" w:rsidRPr="00B46CE2" w:rsidRDefault="00B46CE2" w:rsidP="000300E0">
    <w:pPr>
      <w:pStyle w:val="Footer"/>
      <w:ind w:right="360"/>
      <w:rPr>
        <w:rFonts w:ascii="Avenir Next" w:hAnsi="Avenir Next"/>
        <w:sz w:val="22"/>
        <w:szCs w:val="22"/>
      </w:rPr>
    </w:pPr>
    <w:r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DBFAE" w14:textId="77777777" w:rsidR="00C5335E" w:rsidRDefault="00C5335E" w:rsidP="00241B44">
      <w:r>
        <w:separator/>
      </w:r>
    </w:p>
  </w:footnote>
  <w:footnote w:type="continuationSeparator" w:id="0">
    <w:p w14:paraId="0A7318DA" w14:textId="77777777" w:rsidR="00C5335E" w:rsidRDefault="00C5335E" w:rsidP="00241B44">
      <w:r>
        <w:continuationSeparator/>
      </w:r>
    </w:p>
  </w:footnote>
  <w:footnote w:type="continuationNotice" w:id="1">
    <w:p w14:paraId="4C4C8EEA" w14:textId="77777777" w:rsidR="00C5335E" w:rsidRDefault="00C5335E"/>
  </w:footnote>
  <w:footnote w:id="2">
    <w:p w14:paraId="2A5A5081" w14:textId="7E74C51F" w:rsidR="004C28A5" w:rsidRPr="00343EF8" w:rsidRDefault="004C28A5">
      <w:pPr>
        <w:pStyle w:val="FootnoteText"/>
        <w:rPr>
          <w:lang w:val="de-DE"/>
        </w:rPr>
      </w:pPr>
      <w:r>
        <w:rPr>
          <w:rStyle w:val="FootnoteReference"/>
        </w:rPr>
        <w:footnoteRef/>
      </w:r>
      <w:r w:rsidRPr="00343EF8">
        <w:rPr>
          <w:lang w:val="de-DE"/>
        </w:rPr>
        <w:t xml:space="preserve"> </w:t>
      </w:r>
      <w:r w:rsidR="00A41034" w:rsidRPr="00343EF8">
        <w:rPr>
          <w:i/>
          <w:iCs/>
          <w:lang w:val="de-DE"/>
        </w:rPr>
        <w:t xml:space="preserve">Susanne </w:t>
      </w:r>
      <w:proofErr w:type="spellStart"/>
      <w:r w:rsidR="00A41034" w:rsidRPr="00343EF8">
        <w:rPr>
          <w:i/>
          <w:iCs/>
          <w:lang w:val="de-DE"/>
        </w:rPr>
        <w:t>Staubitz</w:t>
      </w:r>
      <w:proofErr w:type="spellEnd"/>
      <w:r w:rsidR="00A41034" w:rsidRPr="00343EF8">
        <w:rPr>
          <w:i/>
          <w:iCs/>
          <w:lang w:val="de-DE"/>
        </w:rPr>
        <w:t xml:space="preserve">-Schreiber </w:t>
      </w:r>
      <w:proofErr w:type="gramStart"/>
      <w:r w:rsidR="00A41034" w:rsidRPr="00343EF8">
        <w:rPr>
          <w:i/>
          <w:iCs/>
          <w:lang w:val="de-DE"/>
        </w:rPr>
        <w:t>Case</w:t>
      </w:r>
      <w:r w:rsidR="00A41034" w:rsidRPr="00343EF8">
        <w:rPr>
          <w:lang w:val="de-DE"/>
        </w:rPr>
        <w:t xml:space="preserve">  C</w:t>
      </w:r>
      <w:proofErr w:type="gramEnd"/>
      <w:r w:rsidR="00A41034" w:rsidRPr="00343EF8">
        <w:rPr>
          <w:lang w:val="de-DE"/>
        </w:rPr>
        <w:t>-1/04 [2006] ECR 1-701</w:t>
      </w:r>
      <w:r w:rsidR="0032096F" w:rsidRPr="00343EF8">
        <w:rPr>
          <w:lang w:val="de-DE"/>
        </w:rPr>
        <w:t>.</w:t>
      </w:r>
    </w:p>
  </w:footnote>
  <w:footnote w:id="3">
    <w:p w14:paraId="159676C6" w14:textId="27AF7B10" w:rsidR="003D19B2" w:rsidRPr="003D19B2" w:rsidRDefault="003D19B2">
      <w:pPr>
        <w:pStyle w:val="FootnoteText"/>
        <w:rPr>
          <w:lang w:val="en-GB"/>
        </w:rPr>
      </w:pPr>
      <w:r>
        <w:rPr>
          <w:rStyle w:val="FootnoteReference"/>
        </w:rPr>
        <w:footnoteRef/>
      </w:r>
      <w:r>
        <w:t xml:space="preserve"> </w:t>
      </w:r>
      <w:r w:rsidR="00BD5C26">
        <w:t>The UNCITRAL Guide to Enactment</w:t>
      </w:r>
      <w:r w:rsidR="007D5DE7">
        <w:t>.</w:t>
      </w:r>
    </w:p>
  </w:footnote>
  <w:footnote w:id="4">
    <w:p w14:paraId="13B31136" w14:textId="2A4D9C5F" w:rsidR="00A41034" w:rsidRPr="00A41034" w:rsidRDefault="00A41034">
      <w:pPr>
        <w:pStyle w:val="FootnoteText"/>
        <w:rPr>
          <w:lang w:val="en-GB"/>
        </w:rPr>
      </w:pPr>
      <w:r>
        <w:rPr>
          <w:rStyle w:val="FootnoteReference"/>
        </w:rPr>
        <w:footnoteRef/>
      </w:r>
      <w:r>
        <w:t xml:space="preserve"> </w:t>
      </w:r>
      <w:r w:rsidR="0032096F" w:rsidRPr="0032096F">
        <w:rPr>
          <w:i/>
          <w:iCs/>
        </w:rPr>
        <w:t xml:space="preserve">In </w:t>
      </w:r>
      <w:proofErr w:type="gramStart"/>
      <w:r w:rsidR="0032096F" w:rsidRPr="0032096F">
        <w:rPr>
          <w:i/>
          <w:iCs/>
        </w:rPr>
        <w:t>re Ran</w:t>
      </w:r>
      <w:proofErr w:type="gramEnd"/>
      <w:r w:rsidR="0032096F" w:rsidRPr="0032096F">
        <w:t xml:space="preserve"> 607 F 3d 1017 (5th Cir, 2010)</w:t>
      </w:r>
      <w:r w:rsidR="0032096F">
        <w:t>.</w:t>
      </w:r>
    </w:p>
  </w:footnote>
  <w:footnote w:id="5">
    <w:p w14:paraId="5899CF71" w14:textId="08485947" w:rsidR="00EF4768" w:rsidRPr="00EF4768" w:rsidRDefault="00EF4768">
      <w:pPr>
        <w:pStyle w:val="FootnoteText"/>
        <w:rPr>
          <w:lang w:val="en-GB"/>
        </w:rPr>
      </w:pPr>
      <w:r>
        <w:rPr>
          <w:rStyle w:val="FootnoteReference"/>
        </w:rPr>
        <w:footnoteRef/>
      </w:r>
      <w:r>
        <w:t xml:space="preserve"> </w:t>
      </w:r>
      <w:r>
        <w:rPr>
          <w:lang w:val="en-GB"/>
        </w:rPr>
        <w:t>Ian Fox and David McInt</w:t>
      </w:r>
      <w:r w:rsidR="006B21DF">
        <w:rPr>
          <w:lang w:val="en-GB"/>
        </w:rPr>
        <w:t>osh, ‘Timing is everything</w:t>
      </w:r>
      <w:r w:rsidR="003C5ACC">
        <w:rPr>
          <w:lang w:val="en-GB"/>
        </w:rPr>
        <w:t>: different approache</w:t>
      </w:r>
      <w:r w:rsidR="003C27AD">
        <w:rPr>
          <w:lang w:val="en-GB"/>
        </w:rPr>
        <w:t xml:space="preserve">s to the </w:t>
      </w:r>
      <w:r w:rsidR="009D2DB0">
        <w:rPr>
          <w:lang w:val="en-GB"/>
        </w:rPr>
        <w:t xml:space="preserve">relevant date for </w:t>
      </w:r>
      <w:proofErr w:type="spellStart"/>
      <w:r w:rsidR="009D2DB0">
        <w:rPr>
          <w:lang w:val="en-GB"/>
        </w:rPr>
        <w:t>determing</w:t>
      </w:r>
      <w:proofErr w:type="spellEnd"/>
      <w:r w:rsidR="009D2DB0">
        <w:rPr>
          <w:lang w:val="en-GB"/>
        </w:rPr>
        <w:t xml:space="preserve"> COMI in cross-border reco</w:t>
      </w:r>
      <w:r w:rsidR="003B2ECC">
        <w:rPr>
          <w:lang w:val="en-GB"/>
        </w:rPr>
        <w:t>gnition proceedings</w:t>
      </w:r>
      <w:r w:rsidR="00D86E57">
        <w:rPr>
          <w:lang w:val="en-GB"/>
        </w:rPr>
        <w:t>’ (2019) 4 CR</w:t>
      </w:r>
      <w:r w:rsidR="00EE29CA">
        <w:rPr>
          <w:lang w:val="en-GB"/>
        </w:rPr>
        <w:t>I 142.</w:t>
      </w:r>
    </w:p>
  </w:footnote>
  <w:footnote w:id="6">
    <w:p w14:paraId="41FF97BE" w14:textId="70FF916A" w:rsidR="00202973" w:rsidRPr="00202973" w:rsidRDefault="00202973">
      <w:pPr>
        <w:pStyle w:val="FootnoteText"/>
        <w:rPr>
          <w:lang w:val="en-GB"/>
        </w:rPr>
      </w:pPr>
      <w:r>
        <w:rPr>
          <w:rStyle w:val="FootnoteReference"/>
        </w:rPr>
        <w:footnoteRef/>
      </w:r>
      <w:r>
        <w:t xml:space="preserve"> </w:t>
      </w:r>
      <w:r w:rsidRPr="00202973">
        <w:rPr>
          <w:i/>
          <w:iCs/>
        </w:rPr>
        <w:t>Australian Equity Investors</w:t>
      </w:r>
      <w:r w:rsidRPr="00202973">
        <w:t xml:space="preserve"> [2012] FCA 1002</w:t>
      </w:r>
      <w:r>
        <w:t>.</w:t>
      </w:r>
    </w:p>
  </w:footnote>
  <w:footnote w:id="7">
    <w:p w14:paraId="5AF66D6D" w14:textId="1FB29FD1" w:rsidR="009B0416" w:rsidRPr="009B0416" w:rsidRDefault="009B0416">
      <w:pPr>
        <w:pStyle w:val="FootnoteText"/>
        <w:rPr>
          <w:lang w:val="en-GB"/>
        </w:rPr>
      </w:pPr>
      <w:r>
        <w:rPr>
          <w:rStyle w:val="FootnoteReference"/>
        </w:rPr>
        <w:footnoteRef/>
      </w:r>
      <w:r>
        <w:t xml:space="preserve"> </w:t>
      </w:r>
      <w:r w:rsidR="00D54682" w:rsidRPr="00D54682">
        <w:rPr>
          <w:i/>
          <w:iCs/>
        </w:rPr>
        <w:t>Legend International Holdings Inc</w:t>
      </w:r>
      <w:r w:rsidR="00D54682" w:rsidRPr="00D54682">
        <w:t xml:space="preserve"> [2016] VSC 308 and </w:t>
      </w:r>
      <w:r w:rsidR="00D54682" w:rsidRPr="00D54682">
        <w:rPr>
          <w:i/>
          <w:iCs/>
        </w:rPr>
        <w:t>Wood v Astra Resources Ltd</w:t>
      </w:r>
      <w:r w:rsidR="00D54682" w:rsidRPr="00D54682">
        <w:t xml:space="preserve"> [2016] FCA 1192.</w:t>
      </w:r>
    </w:p>
  </w:footnote>
  <w:footnote w:id="8">
    <w:p w14:paraId="62754540" w14:textId="2C330126" w:rsidR="0015068F" w:rsidRPr="0015068F" w:rsidRDefault="0015068F">
      <w:pPr>
        <w:pStyle w:val="FootnoteText"/>
        <w:rPr>
          <w:lang w:val="en-GB"/>
        </w:rPr>
      </w:pPr>
      <w:r>
        <w:rPr>
          <w:rStyle w:val="FootnoteReference"/>
        </w:rPr>
        <w:footnoteRef/>
      </w:r>
      <w:r>
        <w:t xml:space="preserve"> </w:t>
      </w:r>
      <w:r w:rsidR="009E6B9D" w:rsidRPr="009E6B9D">
        <w:rPr>
          <w:i/>
          <w:iCs/>
        </w:rPr>
        <w:t>Re OJSC International Bank of Azerbaijan</w:t>
      </w:r>
      <w:r w:rsidR="009E6B9D" w:rsidRPr="009E6B9D">
        <w:t xml:space="preserve"> [2018] EWCA Civ 2802</w:t>
      </w:r>
      <w:r w:rsidR="009E6B9D">
        <w:t>.</w:t>
      </w:r>
    </w:p>
  </w:footnote>
  <w:footnote w:id="9">
    <w:p w14:paraId="387236B7" w14:textId="7CFEEF77" w:rsidR="005A2D88" w:rsidRPr="005A2D88" w:rsidRDefault="005A2D88">
      <w:pPr>
        <w:pStyle w:val="FootnoteText"/>
        <w:rPr>
          <w:lang w:val="fr-FR"/>
        </w:rPr>
      </w:pPr>
      <w:r>
        <w:rPr>
          <w:rStyle w:val="FootnoteReference"/>
        </w:rPr>
        <w:footnoteRef/>
      </w:r>
      <w:r w:rsidRPr="005A2D88">
        <w:rPr>
          <w:lang w:val="fr-FR"/>
        </w:rPr>
        <w:t xml:space="preserve"> </w:t>
      </w:r>
      <w:r w:rsidRPr="005A2D88">
        <w:rPr>
          <w:i/>
          <w:iCs/>
          <w:lang w:val="fr-FR"/>
        </w:rPr>
        <w:t xml:space="preserve">Antony Gibbs &amp; Sons v La </w:t>
      </w:r>
      <w:proofErr w:type="spellStart"/>
      <w:r w:rsidRPr="005A2D88">
        <w:rPr>
          <w:i/>
          <w:iCs/>
          <w:lang w:val="fr-FR"/>
        </w:rPr>
        <w:t>Societe</w:t>
      </w:r>
      <w:proofErr w:type="spellEnd"/>
      <w:r w:rsidRPr="005A2D88">
        <w:rPr>
          <w:i/>
          <w:iCs/>
          <w:lang w:val="fr-FR"/>
        </w:rPr>
        <w:t xml:space="preserve"> </w:t>
      </w:r>
      <w:proofErr w:type="spellStart"/>
      <w:r w:rsidRPr="005A2D88">
        <w:rPr>
          <w:i/>
          <w:iCs/>
          <w:lang w:val="fr-FR"/>
        </w:rPr>
        <w:t>lndustrielle</w:t>
      </w:r>
      <w:proofErr w:type="spellEnd"/>
      <w:r w:rsidRPr="005A2D88">
        <w:rPr>
          <w:i/>
          <w:iCs/>
          <w:lang w:val="fr-FR"/>
        </w:rPr>
        <w:t xml:space="preserve"> et Commerciale des </w:t>
      </w:r>
      <w:proofErr w:type="spellStart"/>
      <w:r w:rsidRPr="005A2D88">
        <w:rPr>
          <w:i/>
          <w:iCs/>
          <w:lang w:val="fr-FR"/>
        </w:rPr>
        <w:t>Metaux</w:t>
      </w:r>
      <w:proofErr w:type="spellEnd"/>
      <w:r w:rsidRPr="005A2D88">
        <w:rPr>
          <w:lang w:val="fr-FR"/>
        </w:rPr>
        <w:t xml:space="preserve"> [1890] QB 399, at 399-400 (Eng.).</w:t>
      </w:r>
    </w:p>
  </w:footnote>
  <w:footnote w:id="10">
    <w:p w14:paraId="61C77743" w14:textId="333B2D97" w:rsidR="007E3CF2" w:rsidRPr="007E3CF2" w:rsidRDefault="007E3CF2">
      <w:pPr>
        <w:pStyle w:val="FootnoteText"/>
      </w:pPr>
      <w:r>
        <w:rPr>
          <w:rStyle w:val="FootnoteReference"/>
        </w:rPr>
        <w:footnoteRef/>
      </w:r>
      <w:r>
        <w:t xml:space="preserve"> </w:t>
      </w:r>
      <w:r w:rsidRPr="007E3CF2">
        <w:t>UNCITRAL Model Law on Cross-Border Insolvency, art 17(2)</w:t>
      </w:r>
      <w:r>
        <w:t>(</w:t>
      </w:r>
      <w:r w:rsidR="00497487">
        <w:t>a)</w:t>
      </w:r>
      <w:r w:rsidRPr="007E3CF2">
        <w:t>.</w:t>
      </w:r>
    </w:p>
  </w:footnote>
  <w:footnote w:id="11">
    <w:p w14:paraId="44D36458" w14:textId="2BD9A0E4" w:rsidR="00110EA3" w:rsidRPr="00110EA3" w:rsidRDefault="00110EA3">
      <w:pPr>
        <w:pStyle w:val="FootnoteText"/>
      </w:pPr>
      <w:r>
        <w:rPr>
          <w:rStyle w:val="FootnoteReference"/>
        </w:rPr>
        <w:footnoteRef/>
      </w:r>
      <w:r>
        <w:t xml:space="preserve"> </w:t>
      </w:r>
      <w:bookmarkStart w:id="4" w:name="_Hlk128551872"/>
      <w:r>
        <w:rPr>
          <w:lang w:val="en-GB"/>
        </w:rPr>
        <w:t>UNCITRAL Model Law on Cross-Border Insolvency, art 17(2)</w:t>
      </w:r>
      <w:r w:rsidR="00497487">
        <w:rPr>
          <w:lang w:val="en-GB"/>
        </w:rPr>
        <w:t>(b)</w:t>
      </w:r>
      <w:r>
        <w:rPr>
          <w:lang w:val="en-GB"/>
        </w:rPr>
        <w:t>.</w:t>
      </w:r>
      <w:bookmarkEnd w:id="4"/>
    </w:p>
  </w:footnote>
  <w:footnote w:id="12">
    <w:p w14:paraId="37795573" w14:textId="75273C88" w:rsidR="002F77A2" w:rsidRPr="002F77A2" w:rsidRDefault="002F77A2">
      <w:pPr>
        <w:pStyle w:val="FootnoteText"/>
        <w:rPr>
          <w:lang w:val="en-GB"/>
        </w:rPr>
      </w:pPr>
      <w:r>
        <w:rPr>
          <w:rStyle w:val="FootnoteReference"/>
        </w:rPr>
        <w:footnoteRef/>
      </w:r>
      <w:r>
        <w:t xml:space="preserve"> </w:t>
      </w:r>
      <w:r>
        <w:rPr>
          <w:lang w:val="en-GB"/>
        </w:rPr>
        <w:t>UNCITRAL Model Law on Cross-Border Insolvency</w:t>
      </w:r>
      <w:r w:rsidR="00CB1ABF">
        <w:rPr>
          <w:lang w:val="en-GB"/>
        </w:rPr>
        <w:t xml:space="preserve">, art 19 (1). Note that art 19(1)(c) refers to </w:t>
      </w:r>
      <w:r w:rsidR="00C14C00">
        <w:rPr>
          <w:lang w:val="en-GB"/>
        </w:rPr>
        <w:t>art 21(1)(c</w:t>
      </w:r>
      <w:proofErr w:type="gramStart"/>
      <w:r w:rsidR="00C14C00">
        <w:rPr>
          <w:lang w:val="en-GB"/>
        </w:rPr>
        <w:t>),(</w:t>
      </w:r>
      <w:proofErr w:type="gramEnd"/>
      <w:r w:rsidR="00C14C00">
        <w:rPr>
          <w:lang w:val="en-GB"/>
        </w:rPr>
        <w:t xml:space="preserve">d) and </w:t>
      </w:r>
      <w:r w:rsidR="00C9332A">
        <w:rPr>
          <w:lang w:val="en-GB"/>
        </w:rPr>
        <w:t>(g).</w:t>
      </w:r>
    </w:p>
  </w:footnote>
  <w:footnote w:id="13">
    <w:p w14:paraId="55D06AFE" w14:textId="5E1BFA50" w:rsidR="008D518C" w:rsidRPr="002F77A2" w:rsidRDefault="008D518C">
      <w:pPr>
        <w:pStyle w:val="FootnoteText"/>
        <w:rPr>
          <w:lang w:val="en-GB"/>
        </w:rPr>
      </w:pPr>
      <w:r>
        <w:rPr>
          <w:rStyle w:val="FootnoteReference"/>
        </w:rPr>
        <w:footnoteRef/>
      </w:r>
      <w:r w:rsidRPr="002F77A2">
        <w:rPr>
          <w:lang w:val="en-GB"/>
        </w:rPr>
        <w:t xml:space="preserve"> </w:t>
      </w:r>
      <w:r w:rsidR="00331388" w:rsidRPr="002F77A2">
        <w:rPr>
          <w:i/>
          <w:iCs/>
          <w:lang w:val="en-GB"/>
        </w:rPr>
        <w:t xml:space="preserve">Williams v Simpson </w:t>
      </w:r>
      <w:r w:rsidR="00331388" w:rsidRPr="002F77A2">
        <w:rPr>
          <w:lang w:val="en-GB"/>
        </w:rPr>
        <w:t>[2010] NZHC 1631</w:t>
      </w:r>
      <w:r w:rsidR="002F77A2" w:rsidRPr="002F77A2">
        <w:rPr>
          <w:lang w:val="en-GB"/>
        </w:rPr>
        <w:t>.</w:t>
      </w:r>
    </w:p>
  </w:footnote>
  <w:footnote w:id="14">
    <w:p w14:paraId="4F77F86B" w14:textId="77DDE2EA" w:rsidR="0077254F" w:rsidRPr="0077254F" w:rsidRDefault="0077254F">
      <w:pPr>
        <w:pStyle w:val="FootnoteText"/>
      </w:pPr>
      <w:r>
        <w:rPr>
          <w:rStyle w:val="FootnoteReference"/>
        </w:rPr>
        <w:footnoteRef/>
      </w:r>
      <w:r>
        <w:t xml:space="preserve"> </w:t>
      </w:r>
      <w:r>
        <w:rPr>
          <w:lang w:val="en-GB"/>
        </w:rPr>
        <w:t>UNCITRAL Model Law on Cross-Border Insolvency, art 19 (2).</w:t>
      </w:r>
    </w:p>
  </w:footnote>
  <w:footnote w:id="15">
    <w:p w14:paraId="09923729" w14:textId="394E7982" w:rsidR="00EA6ADF" w:rsidRPr="00EA6ADF" w:rsidRDefault="00EA6ADF">
      <w:pPr>
        <w:pStyle w:val="FootnoteText"/>
      </w:pPr>
      <w:r>
        <w:rPr>
          <w:rStyle w:val="FootnoteReference"/>
        </w:rPr>
        <w:footnoteRef/>
      </w:r>
      <w:r>
        <w:t xml:space="preserve"> </w:t>
      </w:r>
      <w:r>
        <w:rPr>
          <w:lang w:val="en-GB"/>
        </w:rPr>
        <w:t>UNCITRAL Model Law on Cross-Border Insolvency, art 21 (1).</w:t>
      </w:r>
    </w:p>
  </w:footnote>
  <w:footnote w:id="16">
    <w:p w14:paraId="51D93F2E" w14:textId="00133EFF" w:rsidR="000201B6" w:rsidRPr="0077254F" w:rsidRDefault="000201B6">
      <w:pPr>
        <w:pStyle w:val="FootnoteText"/>
        <w:rPr>
          <w:lang w:val="en-GB"/>
        </w:rPr>
      </w:pPr>
      <w:r>
        <w:rPr>
          <w:rStyle w:val="FootnoteReference"/>
        </w:rPr>
        <w:footnoteRef/>
      </w:r>
      <w:r w:rsidRPr="0077254F">
        <w:rPr>
          <w:lang w:val="en-GB"/>
        </w:rPr>
        <w:t xml:space="preserve"> </w:t>
      </w:r>
      <w:r w:rsidRPr="0077254F">
        <w:rPr>
          <w:i/>
          <w:iCs/>
          <w:lang w:val="en-GB"/>
        </w:rPr>
        <w:t xml:space="preserve">Igor </w:t>
      </w:r>
      <w:proofErr w:type="spellStart"/>
      <w:r w:rsidRPr="0077254F">
        <w:rPr>
          <w:i/>
          <w:iCs/>
          <w:lang w:val="en-GB"/>
        </w:rPr>
        <w:t>Vitalievich</w:t>
      </w:r>
      <w:proofErr w:type="spellEnd"/>
      <w:r w:rsidRPr="0077254F">
        <w:rPr>
          <w:i/>
          <w:iCs/>
          <w:lang w:val="en-GB"/>
        </w:rPr>
        <w:t xml:space="preserve"> </w:t>
      </w:r>
      <w:proofErr w:type="spellStart"/>
      <w:r w:rsidRPr="0077254F">
        <w:rPr>
          <w:i/>
          <w:iCs/>
          <w:lang w:val="en-GB"/>
        </w:rPr>
        <w:t>Protasov</w:t>
      </w:r>
      <w:proofErr w:type="spellEnd"/>
      <w:r w:rsidRPr="0077254F">
        <w:rPr>
          <w:i/>
          <w:iCs/>
          <w:lang w:val="en-GB"/>
        </w:rPr>
        <w:t xml:space="preserve"> and </w:t>
      </w:r>
      <w:proofErr w:type="spellStart"/>
      <w:r w:rsidRPr="0077254F">
        <w:rPr>
          <w:i/>
          <w:iCs/>
          <w:lang w:val="en-GB"/>
        </w:rPr>
        <w:t>Khadzhi</w:t>
      </w:r>
      <w:proofErr w:type="spellEnd"/>
      <w:r w:rsidRPr="0077254F">
        <w:rPr>
          <w:i/>
          <w:iCs/>
          <w:lang w:val="en-GB"/>
        </w:rPr>
        <w:t xml:space="preserve">-Murat </w:t>
      </w:r>
      <w:proofErr w:type="spellStart"/>
      <w:r w:rsidRPr="0077254F">
        <w:rPr>
          <w:i/>
          <w:iCs/>
          <w:lang w:val="en-GB"/>
        </w:rPr>
        <w:t>Derev</w:t>
      </w:r>
      <w:proofErr w:type="spellEnd"/>
      <w:r w:rsidRPr="0077254F">
        <w:rPr>
          <w:i/>
          <w:iCs/>
          <w:lang w:val="en-GB"/>
        </w:rPr>
        <w:t xml:space="preserve"> </w:t>
      </w:r>
      <w:r w:rsidR="00FB3402" w:rsidRPr="0077254F">
        <w:rPr>
          <w:lang w:val="en-GB"/>
        </w:rPr>
        <w:t>[2021] EWCA 392 (CH).</w:t>
      </w:r>
    </w:p>
  </w:footnote>
  <w:footnote w:id="17">
    <w:p w14:paraId="0907782B" w14:textId="7FAF06D8" w:rsidR="00D37919" w:rsidRPr="004F5685" w:rsidRDefault="00D37919">
      <w:pPr>
        <w:pStyle w:val="FootnoteText"/>
        <w:rPr>
          <w:lang w:val="en-GB"/>
        </w:rPr>
      </w:pPr>
      <w:r>
        <w:rPr>
          <w:rStyle w:val="FootnoteReference"/>
        </w:rPr>
        <w:footnoteRef/>
      </w:r>
      <w:r>
        <w:t xml:space="preserve"> </w:t>
      </w:r>
      <w:r w:rsidR="006E6A3E">
        <w:rPr>
          <w:i/>
          <w:iCs/>
          <w:lang w:val="en-GB"/>
        </w:rPr>
        <w:t>Re Stanford</w:t>
      </w:r>
      <w:r w:rsidR="00005924">
        <w:rPr>
          <w:i/>
          <w:iCs/>
          <w:lang w:val="en-GB"/>
        </w:rPr>
        <w:t xml:space="preserve"> International </w:t>
      </w:r>
      <w:r w:rsidR="008865F1">
        <w:rPr>
          <w:i/>
          <w:iCs/>
          <w:lang w:val="en-GB"/>
        </w:rPr>
        <w:t>Bank</w:t>
      </w:r>
      <w:r w:rsidR="004F5685">
        <w:rPr>
          <w:i/>
          <w:iCs/>
          <w:lang w:val="en-GB"/>
        </w:rPr>
        <w:t xml:space="preserve"> </w:t>
      </w:r>
      <w:r w:rsidR="004F5685">
        <w:rPr>
          <w:lang w:val="en-GB"/>
        </w:rPr>
        <w:t>[</w:t>
      </w:r>
      <w:r w:rsidR="0010150D">
        <w:rPr>
          <w:lang w:val="en-GB"/>
        </w:rPr>
        <w:t>201</w:t>
      </w:r>
      <w:r w:rsidR="00FC3813">
        <w:rPr>
          <w:lang w:val="en-GB"/>
        </w:rPr>
        <w:t xml:space="preserve">1] </w:t>
      </w:r>
      <w:r w:rsidR="006932F1">
        <w:rPr>
          <w:lang w:val="en-GB"/>
        </w:rPr>
        <w:t xml:space="preserve">Ch </w:t>
      </w:r>
      <w:r w:rsidR="005A41BC">
        <w:rPr>
          <w:lang w:val="en-GB"/>
        </w:rPr>
        <w:t>33 [23].</w:t>
      </w:r>
    </w:p>
  </w:footnote>
  <w:footnote w:id="18">
    <w:p w14:paraId="39A0BA01" w14:textId="2B870DCD" w:rsidR="008407FC" w:rsidRPr="00B73A4F" w:rsidRDefault="008407FC">
      <w:pPr>
        <w:pStyle w:val="FootnoteText"/>
        <w:rPr>
          <w:lang w:val="en-GB"/>
        </w:rPr>
      </w:pPr>
      <w:r>
        <w:rPr>
          <w:rStyle w:val="FootnoteReference"/>
        </w:rPr>
        <w:footnoteRef/>
      </w:r>
      <w:r>
        <w:t xml:space="preserve"> </w:t>
      </w:r>
      <w:r w:rsidR="00444243">
        <w:rPr>
          <w:i/>
          <w:iCs/>
          <w:lang w:val="en-GB"/>
        </w:rPr>
        <w:t>F</w:t>
      </w:r>
      <w:r w:rsidR="00AE1B7D">
        <w:rPr>
          <w:i/>
          <w:iCs/>
          <w:lang w:val="en-GB"/>
        </w:rPr>
        <w:t>lynn v Wallace</w:t>
      </w:r>
      <w:r w:rsidR="004C3641">
        <w:rPr>
          <w:i/>
          <w:iCs/>
          <w:lang w:val="en-GB"/>
        </w:rPr>
        <w:t xml:space="preserve"> (In </w:t>
      </w:r>
      <w:r w:rsidR="00DE2474">
        <w:rPr>
          <w:i/>
          <w:iCs/>
          <w:lang w:val="en-GB"/>
        </w:rPr>
        <w:t xml:space="preserve">re Irish </w:t>
      </w:r>
      <w:r w:rsidR="0022341D">
        <w:rPr>
          <w:i/>
          <w:iCs/>
          <w:lang w:val="en-GB"/>
        </w:rPr>
        <w:t xml:space="preserve">Bank </w:t>
      </w:r>
      <w:r w:rsidR="00E940F8">
        <w:rPr>
          <w:i/>
          <w:iCs/>
          <w:lang w:val="en-GB"/>
        </w:rPr>
        <w:t>Resolution</w:t>
      </w:r>
      <w:r w:rsidR="00B55756">
        <w:rPr>
          <w:i/>
          <w:iCs/>
          <w:lang w:val="en-GB"/>
        </w:rPr>
        <w:t xml:space="preserve"> Corporat</w:t>
      </w:r>
      <w:r w:rsidR="00E10A77">
        <w:rPr>
          <w:i/>
          <w:iCs/>
          <w:lang w:val="en-GB"/>
        </w:rPr>
        <w:t>ion</w:t>
      </w:r>
      <w:r w:rsidR="001E6B7A">
        <w:rPr>
          <w:i/>
          <w:iCs/>
          <w:lang w:val="en-GB"/>
        </w:rPr>
        <w:t xml:space="preserve"> (In </w:t>
      </w:r>
      <w:r w:rsidR="008263D2">
        <w:rPr>
          <w:i/>
          <w:iCs/>
          <w:lang w:val="en-GB"/>
        </w:rPr>
        <w:t>Special Liqui</w:t>
      </w:r>
      <w:r w:rsidR="00B73A4F">
        <w:rPr>
          <w:i/>
          <w:iCs/>
          <w:lang w:val="en-GB"/>
        </w:rPr>
        <w:t xml:space="preserve">dation), </w:t>
      </w:r>
      <w:r w:rsidR="00650FF5">
        <w:rPr>
          <w:lang w:val="en-GB"/>
        </w:rPr>
        <w:t>5</w:t>
      </w:r>
      <w:r w:rsidR="00203E1A">
        <w:rPr>
          <w:lang w:val="en-GB"/>
        </w:rPr>
        <w:t xml:space="preserve">38 BR </w:t>
      </w:r>
      <w:r w:rsidR="004251A0">
        <w:rPr>
          <w:lang w:val="en-GB"/>
        </w:rPr>
        <w:t>6</w:t>
      </w:r>
      <w:r w:rsidR="005A6F8A">
        <w:rPr>
          <w:lang w:val="en-GB"/>
        </w:rPr>
        <w:t>92 (D Del 2015).</w:t>
      </w:r>
    </w:p>
  </w:footnote>
  <w:footnote w:id="19">
    <w:p w14:paraId="7D60F2EB" w14:textId="32FE0B5E" w:rsidR="002701CC" w:rsidRPr="00EF5D8B" w:rsidRDefault="002701CC">
      <w:pPr>
        <w:pStyle w:val="FootnoteText"/>
        <w:rPr>
          <w:lang w:val="en-GB"/>
        </w:rPr>
      </w:pPr>
      <w:r>
        <w:rPr>
          <w:rStyle w:val="FootnoteReference"/>
        </w:rPr>
        <w:footnoteRef/>
      </w:r>
      <w:r>
        <w:t xml:space="preserve"> </w:t>
      </w:r>
      <w:r w:rsidR="00C805FA">
        <w:rPr>
          <w:i/>
          <w:iCs/>
          <w:lang w:val="en-GB"/>
        </w:rPr>
        <w:t>Re</w:t>
      </w:r>
      <w:r w:rsidR="002F1C0F">
        <w:rPr>
          <w:i/>
          <w:iCs/>
          <w:lang w:val="en-GB"/>
        </w:rPr>
        <w:t xml:space="preserve"> Stanford </w:t>
      </w:r>
      <w:r w:rsidR="007D41F9">
        <w:rPr>
          <w:i/>
          <w:iCs/>
          <w:lang w:val="en-GB"/>
        </w:rPr>
        <w:t xml:space="preserve">International </w:t>
      </w:r>
      <w:r w:rsidR="00AB7323">
        <w:rPr>
          <w:i/>
          <w:iCs/>
          <w:lang w:val="en-GB"/>
        </w:rPr>
        <w:t xml:space="preserve">Bank </w:t>
      </w:r>
      <w:r w:rsidR="00EF5D8B">
        <w:rPr>
          <w:lang w:val="en-GB"/>
        </w:rPr>
        <w:t xml:space="preserve">[2010] </w:t>
      </w:r>
      <w:r w:rsidR="009D25DF">
        <w:rPr>
          <w:lang w:val="en-GB"/>
        </w:rPr>
        <w:t xml:space="preserve">EWCA </w:t>
      </w:r>
      <w:proofErr w:type="spellStart"/>
      <w:r w:rsidR="008F4C8D">
        <w:rPr>
          <w:lang w:val="en-GB"/>
        </w:rPr>
        <w:t>Civ</w:t>
      </w:r>
      <w:proofErr w:type="spellEnd"/>
      <w:r w:rsidR="008F4C8D">
        <w:rPr>
          <w:lang w:val="en-GB"/>
        </w:rPr>
        <w:t xml:space="preserve"> 137.</w:t>
      </w:r>
    </w:p>
  </w:footnote>
  <w:footnote w:id="20">
    <w:p w14:paraId="3745DA25" w14:textId="6187E653" w:rsidR="00F14AD8" w:rsidRPr="00AB6801" w:rsidRDefault="00F14AD8">
      <w:pPr>
        <w:pStyle w:val="FootnoteText"/>
        <w:rPr>
          <w:lang w:val="en-GB"/>
        </w:rPr>
      </w:pPr>
      <w:r>
        <w:rPr>
          <w:rStyle w:val="FootnoteReference"/>
        </w:rPr>
        <w:footnoteRef/>
      </w:r>
      <w:r>
        <w:t xml:space="preserve"> </w:t>
      </w:r>
      <w:r w:rsidR="001A18CE">
        <w:rPr>
          <w:lang w:val="en-GB"/>
        </w:rPr>
        <w:t xml:space="preserve">Bob Wessels, Bruce A </w:t>
      </w:r>
      <w:proofErr w:type="gramStart"/>
      <w:r w:rsidR="001A18CE">
        <w:rPr>
          <w:lang w:val="en-GB"/>
        </w:rPr>
        <w:t>Markell</w:t>
      </w:r>
      <w:proofErr w:type="gramEnd"/>
      <w:r w:rsidR="001A18CE">
        <w:rPr>
          <w:lang w:val="en-GB"/>
        </w:rPr>
        <w:t xml:space="preserve"> and Jason J </w:t>
      </w:r>
      <w:proofErr w:type="spellStart"/>
      <w:r w:rsidR="001A18CE">
        <w:rPr>
          <w:lang w:val="en-GB"/>
        </w:rPr>
        <w:t>Kilborn</w:t>
      </w:r>
      <w:proofErr w:type="spellEnd"/>
      <w:r w:rsidR="004414AB">
        <w:rPr>
          <w:lang w:val="en-GB"/>
        </w:rPr>
        <w:t xml:space="preserve">, </w:t>
      </w:r>
      <w:r w:rsidR="004414AB">
        <w:rPr>
          <w:i/>
          <w:iCs/>
          <w:lang w:val="en-GB"/>
        </w:rPr>
        <w:t xml:space="preserve">International Cooperation in </w:t>
      </w:r>
      <w:r w:rsidR="00AB6801">
        <w:rPr>
          <w:i/>
          <w:iCs/>
          <w:lang w:val="en-GB"/>
        </w:rPr>
        <w:t>B</w:t>
      </w:r>
      <w:r w:rsidR="004414AB">
        <w:rPr>
          <w:i/>
          <w:iCs/>
          <w:lang w:val="en-GB"/>
        </w:rPr>
        <w:t>ankruptcy and Insolvency</w:t>
      </w:r>
      <w:r w:rsidR="00AB6801">
        <w:rPr>
          <w:i/>
          <w:iCs/>
          <w:lang w:val="en-GB"/>
        </w:rPr>
        <w:t xml:space="preserve"> Matters </w:t>
      </w:r>
      <w:r w:rsidR="00AB6801">
        <w:rPr>
          <w:lang w:val="en-GB"/>
        </w:rPr>
        <w:t>(OUP, 2009)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4C79C2"/>
    <w:multiLevelType w:val="hybridMultilevel"/>
    <w:tmpl w:val="B6EAD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A4D1E12"/>
    <w:multiLevelType w:val="hybridMultilevel"/>
    <w:tmpl w:val="795A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83502465">
    <w:abstractNumId w:val="12"/>
  </w:num>
  <w:num w:numId="2" w16cid:durableId="1442146998">
    <w:abstractNumId w:val="11"/>
  </w:num>
  <w:num w:numId="3" w16cid:durableId="1277375069">
    <w:abstractNumId w:val="5"/>
  </w:num>
  <w:num w:numId="4" w16cid:durableId="902764055">
    <w:abstractNumId w:val="2"/>
  </w:num>
  <w:num w:numId="5" w16cid:durableId="1497071542">
    <w:abstractNumId w:val="15"/>
  </w:num>
  <w:num w:numId="6" w16cid:durableId="1543596671">
    <w:abstractNumId w:val="14"/>
  </w:num>
  <w:num w:numId="7" w16cid:durableId="645596668">
    <w:abstractNumId w:val="13"/>
  </w:num>
  <w:num w:numId="8" w16cid:durableId="2042591072">
    <w:abstractNumId w:val="3"/>
  </w:num>
  <w:num w:numId="9" w16cid:durableId="757091745">
    <w:abstractNumId w:val="4"/>
  </w:num>
  <w:num w:numId="10" w16cid:durableId="2136676060">
    <w:abstractNumId w:val="9"/>
  </w:num>
  <w:num w:numId="11" w16cid:durableId="273052027">
    <w:abstractNumId w:val="0"/>
  </w:num>
  <w:num w:numId="12" w16cid:durableId="1838617549">
    <w:abstractNumId w:val="7"/>
  </w:num>
  <w:num w:numId="13" w16cid:durableId="565534759">
    <w:abstractNumId w:val="8"/>
  </w:num>
  <w:num w:numId="14" w16cid:durableId="925728509">
    <w:abstractNumId w:val="1"/>
  </w:num>
  <w:num w:numId="15" w16cid:durableId="384261203">
    <w:abstractNumId w:val="6"/>
  </w:num>
  <w:num w:numId="16" w16cid:durableId="20155736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QwMDc3NrM0NLc0sDBV0lEKTi0uzszPAykwrAUAYfZqxCwAAAA="/>
  </w:docVars>
  <w:rsids>
    <w:rsidRoot w:val="00045088"/>
    <w:rsid w:val="00001E0C"/>
    <w:rsid w:val="0000580F"/>
    <w:rsid w:val="00005924"/>
    <w:rsid w:val="0000673B"/>
    <w:rsid w:val="000077DD"/>
    <w:rsid w:val="00007ABB"/>
    <w:rsid w:val="00010BA0"/>
    <w:rsid w:val="00011256"/>
    <w:rsid w:val="00011778"/>
    <w:rsid w:val="000118E0"/>
    <w:rsid w:val="000201B6"/>
    <w:rsid w:val="00020557"/>
    <w:rsid w:val="000232A1"/>
    <w:rsid w:val="000250C7"/>
    <w:rsid w:val="00025CCF"/>
    <w:rsid w:val="00027B7D"/>
    <w:rsid w:val="000300E0"/>
    <w:rsid w:val="0003114A"/>
    <w:rsid w:val="00032028"/>
    <w:rsid w:val="0003490F"/>
    <w:rsid w:val="000352C1"/>
    <w:rsid w:val="0003619C"/>
    <w:rsid w:val="00037621"/>
    <w:rsid w:val="000433D1"/>
    <w:rsid w:val="00044800"/>
    <w:rsid w:val="0004483D"/>
    <w:rsid w:val="00044D46"/>
    <w:rsid w:val="00045088"/>
    <w:rsid w:val="0004574B"/>
    <w:rsid w:val="00045904"/>
    <w:rsid w:val="000464F7"/>
    <w:rsid w:val="0005141D"/>
    <w:rsid w:val="00060E02"/>
    <w:rsid w:val="00065166"/>
    <w:rsid w:val="00067A88"/>
    <w:rsid w:val="00070B92"/>
    <w:rsid w:val="00073474"/>
    <w:rsid w:val="00077154"/>
    <w:rsid w:val="00077D49"/>
    <w:rsid w:val="00082609"/>
    <w:rsid w:val="000851CC"/>
    <w:rsid w:val="00093BE8"/>
    <w:rsid w:val="000A0A98"/>
    <w:rsid w:val="000A54A5"/>
    <w:rsid w:val="000A68ED"/>
    <w:rsid w:val="000B2C69"/>
    <w:rsid w:val="000B4FEB"/>
    <w:rsid w:val="000B5FF1"/>
    <w:rsid w:val="000B609F"/>
    <w:rsid w:val="000B696F"/>
    <w:rsid w:val="000C147F"/>
    <w:rsid w:val="000C6BB9"/>
    <w:rsid w:val="000D32A9"/>
    <w:rsid w:val="000D55A8"/>
    <w:rsid w:val="000D59A0"/>
    <w:rsid w:val="000E25C1"/>
    <w:rsid w:val="000E3AF5"/>
    <w:rsid w:val="000E4269"/>
    <w:rsid w:val="000E4841"/>
    <w:rsid w:val="000E6325"/>
    <w:rsid w:val="000F1677"/>
    <w:rsid w:val="000F3D6C"/>
    <w:rsid w:val="000F579C"/>
    <w:rsid w:val="0010150D"/>
    <w:rsid w:val="00101707"/>
    <w:rsid w:val="00103C89"/>
    <w:rsid w:val="00105C68"/>
    <w:rsid w:val="001109FC"/>
    <w:rsid w:val="00110EA3"/>
    <w:rsid w:val="00113A0C"/>
    <w:rsid w:val="00114082"/>
    <w:rsid w:val="0011473D"/>
    <w:rsid w:val="00115C85"/>
    <w:rsid w:val="00123855"/>
    <w:rsid w:val="00126653"/>
    <w:rsid w:val="00126A4D"/>
    <w:rsid w:val="00127217"/>
    <w:rsid w:val="00134492"/>
    <w:rsid w:val="001349F5"/>
    <w:rsid w:val="001374D8"/>
    <w:rsid w:val="00140E0A"/>
    <w:rsid w:val="0014171F"/>
    <w:rsid w:val="0014453C"/>
    <w:rsid w:val="0014622C"/>
    <w:rsid w:val="0015068F"/>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84BB5"/>
    <w:rsid w:val="00186A41"/>
    <w:rsid w:val="00190FD2"/>
    <w:rsid w:val="001966D9"/>
    <w:rsid w:val="00196938"/>
    <w:rsid w:val="0019771D"/>
    <w:rsid w:val="001A124E"/>
    <w:rsid w:val="001A165B"/>
    <w:rsid w:val="001A18CE"/>
    <w:rsid w:val="001A24E7"/>
    <w:rsid w:val="001A2B78"/>
    <w:rsid w:val="001A7E9A"/>
    <w:rsid w:val="001B0F70"/>
    <w:rsid w:val="001B3124"/>
    <w:rsid w:val="001B5016"/>
    <w:rsid w:val="001C1296"/>
    <w:rsid w:val="001C45FC"/>
    <w:rsid w:val="001C50F0"/>
    <w:rsid w:val="001C5D3F"/>
    <w:rsid w:val="001C5F7D"/>
    <w:rsid w:val="001D02C5"/>
    <w:rsid w:val="001D28FB"/>
    <w:rsid w:val="001D4862"/>
    <w:rsid w:val="001D603E"/>
    <w:rsid w:val="001D6D94"/>
    <w:rsid w:val="001E25B9"/>
    <w:rsid w:val="001E49E0"/>
    <w:rsid w:val="001E5A23"/>
    <w:rsid w:val="001E60C3"/>
    <w:rsid w:val="001E66D9"/>
    <w:rsid w:val="001E6B7A"/>
    <w:rsid w:val="001E7B5A"/>
    <w:rsid w:val="001F16FD"/>
    <w:rsid w:val="001F1CAA"/>
    <w:rsid w:val="001F324D"/>
    <w:rsid w:val="001F7143"/>
    <w:rsid w:val="001F7412"/>
    <w:rsid w:val="00200FDD"/>
    <w:rsid w:val="00201874"/>
    <w:rsid w:val="00202133"/>
    <w:rsid w:val="0020264E"/>
    <w:rsid w:val="00202973"/>
    <w:rsid w:val="00203E1A"/>
    <w:rsid w:val="0020725B"/>
    <w:rsid w:val="00213F3A"/>
    <w:rsid w:val="002175BA"/>
    <w:rsid w:val="00220614"/>
    <w:rsid w:val="00220875"/>
    <w:rsid w:val="0022341D"/>
    <w:rsid w:val="0022599E"/>
    <w:rsid w:val="002305E8"/>
    <w:rsid w:val="0023198D"/>
    <w:rsid w:val="0023317E"/>
    <w:rsid w:val="00234F2C"/>
    <w:rsid w:val="00240B0E"/>
    <w:rsid w:val="00240F97"/>
    <w:rsid w:val="0024116D"/>
    <w:rsid w:val="0024198F"/>
    <w:rsid w:val="00241B44"/>
    <w:rsid w:val="00243CBA"/>
    <w:rsid w:val="00244C26"/>
    <w:rsid w:val="00245EFB"/>
    <w:rsid w:val="00247F87"/>
    <w:rsid w:val="00250E19"/>
    <w:rsid w:val="0025386E"/>
    <w:rsid w:val="00257437"/>
    <w:rsid w:val="002638B0"/>
    <w:rsid w:val="00264FFF"/>
    <w:rsid w:val="002650D7"/>
    <w:rsid w:val="002654E8"/>
    <w:rsid w:val="0026647A"/>
    <w:rsid w:val="002668D3"/>
    <w:rsid w:val="002675BE"/>
    <w:rsid w:val="002676EB"/>
    <w:rsid w:val="002701CC"/>
    <w:rsid w:val="0027299F"/>
    <w:rsid w:val="00272DE7"/>
    <w:rsid w:val="00275CB2"/>
    <w:rsid w:val="00276913"/>
    <w:rsid w:val="0028135B"/>
    <w:rsid w:val="00282480"/>
    <w:rsid w:val="00282D50"/>
    <w:rsid w:val="00284EBE"/>
    <w:rsid w:val="0029433F"/>
    <w:rsid w:val="00294829"/>
    <w:rsid w:val="00294F3B"/>
    <w:rsid w:val="0029690F"/>
    <w:rsid w:val="002971F5"/>
    <w:rsid w:val="002A1EEC"/>
    <w:rsid w:val="002A2A60"/>
    <w:rsid w:val="002A2DE6"/>
    <w:rsid w:val="002A3A9A"/>
    <w:rsid w:val="002B1C45"/>
    <w:rsid w:val="002B7801"/>
    <w:rsid w:val="002B78F1"/>
    <w:rsid w:val="002C13C8"/>
    <w:rsid w:val="002C3547"/>
    <w:rsid w:val="002C659E"/>
    <w:rsid w:val="002D0021"/>
    <w:rsid w:val="002D3473"/>
    <w:rsid w:val="002D5940"/>
    <w:rsid w:val="002D5C95"/>
    <w:rsid w:val="002E00F8"/>
    <w:rsid w:val="002E1BB5"/>
    <w:rsid w:val="002E2322"/>
    <w:rsid w:val="002E2B02"/>
    <w:rsid w:val="002E38E2"/>
    <w:rsid w:val="002F051C"/>
    <w:rsid w:val="002F1956"/>
    <w:rsid w:val="002F1C0F"/>
    <w:rsid w:val="002F248E"/>
    <w:rsid w:val="002F3440"/>
    <w:rsid w:val="002F4A43"/>
    <w:rsid w:val="002F4EC0"/>
    <w:rsid w:val="002F71BE"/>
    <w:rsid w:val="002F75A3"/>
    <w:rsid w:val="002F77A2"/>
    <w:rsid w:val="002F78CA"/>
    <w:rsid w:val="00301736"/>
    <w:rsid w:val="003025CB"/>
    <w:rsid w:val="00303C2F"/>
    <w:rsid w:val="0031180A"/>
    <w:rsid w:val="00312911"/>
    <w:rsid w:val="003144EF"/>
    <w:rsid w:val="003148CA"/>
    <w:rsid w:val="00315506"/>
    <w:rsid w:val="0032096F"/>
    <w:rsid w:val="003221CD"/>
    <w:rsid w:val="00322D65"/>
    <w:rsid w:val="00322F3B"/>
    <w:rsid w:val="00322F81"/>
    <w:rsid w:val="00326292"/>
    <w:rsid w:val="00326415"/>
    <w:rsid w:val="00330937"/>
    <w:rsid w:val="00330F31"/>
    <w:rsid w:val="00331388"/>
    <w:rsid w:val="0033442A"/>
    <w:rsid w:val="003345D8"/>
    <w:rsid w:val="00334648"/>
    <w:rsid w:val="00335048"/>
    <w:rsid w:val="0033768C"/>
    <w:rsid w:val="00337938"/>
    <w:rsid w:val="00337B69"/>
    <w:rsid w:val="00340769"/>
    <w:rsid w:val="00341AA6"/>
    <w:rsid w:val="00342459"/>
    <w:rsid w:val="003427B9"/>
    <w:rsid w:val="00343EF8"/>
    <w:rsid w:val="0034454C"/>
    <w:rsid w:val="00346B16"/>
    <w:rsid w:val="00350585"/>
    <w:rsid w:val="00361A0A"/>
    <w:rsid w:val="0036565C"/>
    <w:rsid w:val="0036625E"/>
    <w:rsid w:val="00366DC4"/>
    <w:rsid w:val="00367454"/>
    <w:rsid w:val="0036760B"/>
    <w:rsid w:val="0037465A"/>
    <w:rsid w:val="00375161"/>
    <w:rsid w:val="0037544E"/>
    <w:rsid w:val="00380BAB"/>
    <w:rsid w:val="00382C98"/>
    <w:rsid w:val="0038533C"/>
    <w:rsid w:val="0038537B"/>
    <w:rsid w:val="00386568"/>
    <w:rsid w:val="00386EA4"/>
    <w:rsid w:val="00387106"/>
    <w:rsid w:val="00390857"/>
    <w:rsid w:val="00391F3E"/>
    <w:rsid w:val="003948D5"/>
    <w:rsid w:val="00396821"/>
    <w:rsid w:val="00397D3A"/>
    <w:rsid w:val="003A051E"/>
    <w:rsid w:val="003A2FEE"/>
    <w:rsid w:val="003B0185"/>
    <w:rsid w:val="003B1310"/>
    <w:rsid w:val="003B170F"/>
    <w:rsid w:val="003B2ECC"/>
    <w:rsid w:val="003B3C5F"/>
    <w:rsid w:val="003B63E3"/>
    <w:rsid w:val="003C089D"/>
    <w:rsid w:val="003C27AD"/>
    <w:rsid w:val="003C3E2B"/>
    <w:rsid w:val="003C4471"/>
    <w:rsid w:val="003C5ACC"/>
    <w:rsid w:val="003C66B1"/>
    <w:rsid w:val="003D0A6D"/>
    <w:rsid w:val="003D19B2"/>
    <w:rsid w:val="003E0963"/>
    <w:rsid w:val="003E0B16"/>
    <w:rsid w:val="003E242D"/>
    <w:rsid w:val="003E27ED"/>
    <w:rsid w:val="003E43DE"/>
    <w:rsid w:val="003E67D1"/>
    <w:rsid w:val="003E6BE6"/>
    <w:rsid w:val="003F3673"/>
    <w:rsid w:val="003F48CC"/>
    <w:rsid w:val="003F4AAB"/>
    <w:rsid w:val="00403D54"/>
    <w:rsid w:val="00405DC1"/>
    <w:rsid w:val="0040710D"/>
    <w:rsid w:val="0041139B"/>
    <w:rsid w:val="004137C3"/>
    <w:rsid w:val="00413D3A"/>
    <w:rsid w:val="00414F20"/>
    <w:rsid w:val="00415F1F"/>
    <w:rsid w:val="0041718C"/>
    <w:rsid w:val="00417B41"/>
    <w:rsid w:val="0042108F"/>
    <w:rsid w:val="00422242"/>
    <w:rsid w:val="004234CD"/>
    <w:rsid w:val="00423CA3"/>
    <w:rsid w:val="00424D07"/>
    <w:rsid w:val="004251A0"/>
    <w:rsid w:val="00425A47"/>
    <w:rsid w:val="00430FED"/>
    <w:rsid w:val="00432179"/>
    <w:rsid w:val="00432906"/>
    <w:rsid w:val="00433EAF"/>
    <w:rsid w:val="00434292"/>
    <w:rsid w:val="00434A8C"/>
    <w:rsid w:val="00435583"/>
    <w:rsid w:val="00436000"/>
    <w:rsid w:val="00436884"/>
    <w:rsid w:val="00436EF9"/>
    <w:rsid w:val="00437297"/>
    <w:rsid w:val="004414AB"/>
    <w:rsid w:val="00443403"/>
    <w:rsid w:val="00444243"/>
    <w:rsid w:val="00444284"/>
    <w:rsid w:val="0044551D"/>
    <w:rsid w:val="00445CE6"/>
    <w:rsid w:val="00447FE6"/>
    <w:rsid w:val="004534C2"/>
    <w:rsid w:val="0045446F"/>
    <w:rsid w:val="0045683E"/>
    <w:rsid w:val="00456AE0"/>
    <w:rsid w:val="00465864"/>
    <w:rsid w:val="00466106"/>
    <w:rsid w:val="0047025B"/>
    <w:rsid w:val="0047402B"/>
    <w:rsid w:val="00480DF9"/>
    <w:rsid w:val="004913E7"/>
    <w:rsid w:val="00491675"/>
    <w:rsid w:val="0049257A"/>
    <w:rsid w:val="00493855"/>
    <w:rsid w:val="0049508F"/>
    <w:rsid w:val="004966A1"/>
    <w:rsid w:val="00497487"/>
    <w:rsid w:val="004A07D9"/>
    <w:rsid w:val="004A171E"/>
    <w:rsid w:val="004A1F32"/>
    <w:rsid w:val="004A5591"/>
    <w:rsid w:val="004A57DD"/>
    <w:rsid w:val="004A7B51"/>
    <w:rsid w:val="004A7CDE"/>
    <w:rsid w:val="004A7D71"/>
    <w:rsid w:val="004A7EF3"/>
    <w:rsid w:val="004B11FD"/>
    <w:rsid w:val="004B23A2"/>
    <w:rsid w:val="004B3370"/>
    <w:rsid w:val="004B5945"/>
    <w:rsid w:val="004B624E"/>
    <w:rsid w:val="004C28A5"/>
    <w:rsid w:val="004C3641"/>
    <w:rsid w:val="004C4E97"/>
    <w:rsid w:val="004D1A5A"/>
    <w:rsid w:val="004D2FFF"/>
    <w:rsid w:val="004D3721"/>
    <w:rsid w:val="004D64F9"/>
    <w:rsid w:val="004E0549"/>
    <w:rsid w:val="004E16EE"/>
    <w:rsid w:val="004E2E92"/>
    <w:rsid w:val="004E30B0"/>
    <w:rsid w:val="004E32A1"/>
    <w:rsid w:val="004E4AD2"/>
    <w:rsid w:val="004E622C"/>
    <w:rsid w:val="004E79D2"/>
    <w:rsid w:val="004F1A0A"/>
    <w:rsid w:val="004F1CD3"/>
    <w:rsid w:val="004F2CEE"/>
    <w:rsid w:val="004F41C5"/>
    <w:rsid w:val="004F5685"/>
    <w:rsid w:val="004F5FDF"/>
    <w:rsid w:val="004F6268"/>
    <w:rsid w:val="0050114D"/>
    <w:rsid w:val="0050157D"/>
    <w:rsid w:val="00506803"/>
    <w:rsid w:val="0050682B"/>
    <w:rsid w:val="00507AAC"/>
    <w:rsid w:val="0051090D"/>
    <w:rsid w:val="00510DCB"/>
    <w:rsid w:val="005177FE"/>
    <w:rsid w:val="00521000"/>
    <w:rsid w:val="0052263B"/>
    <w:rsid w:val="00524728"/>
    <w:rsid w:val="00530003"/>
    <w:rsid w:val="00530E88"/>
    <w:rsid w:val="005331CA"/>
    <w:rsid w:val="0053353F"/>
    <w:rsid w:val="00533739"/>
    <w:rsid w:val="00537970"/>
    <w:rsid w:val="00540B44"/>
    <w:rsid w:val="00540E3A"/>
    <w:rsid w:val="00541654"/>
    <w:rsid w:val="00544127"/>
    <w:rsid w:val="00544273"/>
    <w:rsid w:val="0054537C"/>
    <w:rsid w:val="005463A9"/>
    <w:rsid w:val="00553EB2"/>
    <w:rsid w:val="00553FF1"/>
    <w:rsid w:val="00556777"/>
    <w:rsid w:val="0055688E"/>
    <w:rsid w:val="00560534"/>
    <w:rsid w:val="00560626"/>
    <w:rsid w:val="005629A4"/>
    <w:rsid w:val="0056391B"/>
    <w:rsid w:val="005650E2"/>
    <w:rsid w:val="00565292"/>
    <w:rsid w:val="0056535A"/>
    <w:rsid w:val="00565DEE"/>
    <w:rsid w:val="00567AD7"/>
    <w:rsid w:val="00567F31"/>
    <w:rsid w:val="00570ECE"/>
    <w:rsid w:val="005717F3"/>
    <w:rsid w:val="005726D8"/>
    <w:rsid w:val="00573E73"/>
    <w:rsid w:val="00575B2D"/>
    <w:rsid w:val="0058272A"/>
    <w:rsid w:val="005833D0"/>
    <w:rsid w:val="005846F3"/>
    <w:rsid w:val="0058622F"/>
    <w:rsid w:val="00587461"/>
    <w:rsid w:val="00590023"/>
    <w:rsid w:val="00592F82"/>
    <w:rsid w:val="005A0CCA"/>
    <w:rsid w:val="005A0EC9"/>
    <w:rsid w:val="005A2D88"/>
    <w:rsid w:val="005A3752"/>
    <w:rsid w:val="005A41BC"/>
    <w:rsid w:val="005A651D"/>
    <w:rsid w:val="005A6F8A"/>
    <w:rsid w:val="005A726D"/>
    <w:rsid w:val="005A7650"/>
    <w:rsid w:val="005B67AC"/>
    <w:rsid w:val="005C29E9"/>
    <w:rsid w:val="005C2A84"/>
    <w:rsid w:val="005C2C94"/>
    <w:rsid w:val="005C36BC"/>
    <w:rsid w:val="005C4865"/>
    <w:rsid w:val="005C553A"/>
    <w:rsid w:val="005D1EA1"/>
    <w:rsid w:val="005D2B0C"/>
    <w:rsid w:val="005D43E0"/>
    <w:rsid w:val="005D58A3"/>
    <w:rsid w:val="005D7B07"/>
    <w:rsid w:val="005E1B79"/>
    <w:rsid w:val="005E5C28"/>
    <w:rsid w:val="005F026D"/>
    <w:rsid w:val="005F1143"/>
    <w:rsid w:val="005F21F4"/>
    <w:rsid w:val="005F2D0B"/>
    <w:rsid w:val="005F2EC0"/>
    <w:rsid w:val="005F4B31"/>
    <w:rsid w:val="005F73AB"/>
    <w:rsid w:val="0060104F"/>
    <w:rsid w:val="00605E48"/>
    <w:rsid w:val="00610388"/>
    <w:rsid w:val="00612CA5"/>
    <w:rsid w:val="006149B1"/>
    <w:rsid w:val="006153EC"/>
    <w:rsid w:val="00615A27"/>
    <w:rsid w:val="00620BE6"/>
    <w:rsid w:val="00621A17"/>
    <w:rsid w:val="00622586"/>
    <w:rsid w:val="00622C2B"/>
    <w:rsid w:val="00622DCB"/>
    <w:rsid w:val="0062365F"/>
    <w:rsid w:val="00623F4C"/>
    <w:rsid w:val="00625088"/>
    <w:rsid w:val="00627CC9"/>
    <w:rsid w:val="00627E7B"/>
    <w:rsid w:val="00630542"/>
    <w:rsid w:val="00632E44"/>
    <w:rsid w:val="00634622"/>
    <w:rsid w:val="00636808"/>
    <w:rsid w:val="00636DA1"/>
    <w:rsid w:val="00641002"/>
    <w:rsid w:val="00641515"/>
    <w:rsid w:val="0064268A"/>
    <w:rsid w:val="00650FF5"/>
    <w:rsid w:val="00651AE3"/>
    <w:rsid w:val="0065318F"/>
    <w:rsid w:val="00653B2F"/>
    <w:rsid w:val="0065432A"/>
    <w:rsid w:val="00654C2F"/>
    <w:rsid w:val="00657087"/>
    <w:rsid w:val="0066005C"/>
    <w:rsid w:val="00660ECD"/>
    <w:rsid w:val="006621EB"/>
    <w:rsid w:val="0066252C"/>
    <w:rsid w:val="006659CB"/>
    <w:rsid w:val="006661EF"/>
    <w:rsid w:val="00667819"/>
    <w:rsid w:val="0067294B"/>
    <w:rsid w:val="00677736"/>
    <w:rsid w:val="0067785F"/>
    <w:rsid w:val="00677AEB"/>
    <w:rsid w:val="00677EB6"/>
    <w:rsid w:val="00680EF2"/>
    <w:rsid w:val="00681E8D"/>
    <w:rsid w:val="00683018"/>
    <w:rsid w:val="006839C2"/>
    <w:rsid w:val="00687A1D"/>
    <w:rsid w:val="00690F2F"/>
    <w:rsid w:val="006920CC"/>
    <w:rsid w:val="00692AB2"/>
    <w:rsid w:val="006932F1"/>
    <w:rsid w:val="00694FD2"/>
    <w:rsid w:val="0069647C"/>
    <w:rsid w:val="00697EA1"/>
    <w:rsid w:val="006A1850"/>
    <w:rsid w:val="006A1983"/>
    <w:rsid w:val="006A25EC"/>
    <w:rsid w:val="006A2646"/>
    <w:rsid w:val="006A3DF0"/>
    <w:rsid w:val="006A5A68"/>
    <w:rsid w:val="006A6530"/>
    <w:rsid w:val="006B114C"/>
    <w:rsid w:val="006B1CB6"/>
    <w:rsid w:val="006B21DF"/>
    <w:rsid w:val="006B4147"/>
    <w:rsid w:val="006B435A"/>
    <w:rsid w:val="006B4B5E"/>
    <w:rsid w:val="006B4C64"/>
    <w:rsid w:val="006B4FFC"/>
    <w:rsid w:val="006C4E9C"/>
    <w:rsid w:val="006D0E6E"/>
    <w:rsid w:val="006D6BD5"/>
    <w:rsid w:val="006D70B1"/>
    <w:rsid w:val="006E481A"/>
    <w:rsid w:val="006E513D"/>
    <w:rsid w:val="006E5298"/>
    <w:rsid w:val="006E5A49"/>
    <w:rsid w:val="006E5C6D"/>
    <w:rsid w:val="006E6A3E"/>
    <w:rsid w:val="006F2CE3"/>
    <w:rsid w:val="006F62ED"/>
    <w:rsid w:val="006F734A"/>
    <w:rsid w:val="00700D83"/>
    <w:rsid w:val="007010DE"/>
    <w:rsid w:val="00703819"/>
    <w:rsid w:val="00704852"/>
    <w:rsid w:val="00706297"/>
    <w:rsid w:val="00706AD5"/>
    <w:rsid w:val="00707261"/>
    <w:rsid w:val="007074E9"/>
    <w:rsid w:val="00707FC8"/>
    <w:rsid w:val="00713DA4"/>
    <w:rsid w:val="00714BF1"/>
    <w:rsid w:val="00714E76"/>
    <w:rsid w:val="007154F3"/>
    <w:rsid w:val="00717DFA"/>
    <w:rsid w:val="00721383"/>
    <w:rsid w:val="0072554C"/>
    <w:rsid w:val="00725911"/>
    <w:rsid w:val="00725FF9"/>
    <w:rsid w:val="00731DBD"/>
    <w:rsid w:val="007333CC"/>
    <w:rsid w:val="0073399A"/>
    <w:rsid w:val="00736FEC"/>
    <w:rsid w:val="00740ABF"/>
    <w:rsid w:val="00744458"/>
    <w:rsid w:val="00747198"/>
    <w:rsid w:val="0075092F"/>
    <w:rsid w:val="00751C22"/>
    <w:rsid w:val="00751F66"/>
    <w:rsid w:val="00753EF7"/>
    <w:rsid w:val="00755D49"/>
    <w:rsid w:val="00756103"/>
    <w:rsid w:val="007603F5"/>
    <w:rsid w:val="00760F83"/>
    <w:rsid w:val="007631D0"/>
    <w:rsid w:val="00764DB0"/>
    <w:rsid w:val="00766F8A"/>
    <w:rsid w:val="007674E9"/>
    <w:rsid w:val="0076764D"/>
    <w:rsid w:val="00767F42"/>
    <w:rsid w:val="0077254F"/>
    <w:rsid w:val="0077498C"/>
    <w:rsid w:val="00776EAE"/>
    <w:rsid w:val="00777183"/>
    <w:rsid w:val="00784128"/>
    <w:rsid w:val="00784B4B"/>
    <w:rsid w:val="007854ED"/>
    <w:rsid w:val="00786CF2"/>
    <w:rsid w:val="00793173"/>
    <w:rsid w:val="007A1704"/>
    <w:rsid w:val="007B3AC7"/>
    <w:rsid w:val="007B497A"/>
    <w:rsid w:val="007C1FCC"/>
    <w:rsid w:val="007C32A8"/>
    <w:rsid w:val="007C3CA6"/>
    <w:rsid w:val="007C3FE5"/>
    <w:rsid w:val="007C6201"/>
    <w:rsid w:val="007C6988"/>
    <w:rsid w:val="007C7AB7"/>
    <w:rsid w:val="007D056F"/>
    <w:rsid w:val="007D0AA9"/>
    <w:rsid w:val="007D1971"/>
    <w:rsid w:val="007D28A1"/>
    <w:rsid w:val="007D315E"/>
    <w:rsid w:val="007D40AC"/>
    <w:rsid w:val="007D41F9"/>
    <w:rsid w:val="007D5DE7"/>
    <w:rsid w:val="007D7C92"/>
    <w:rsid w:val="007D7FAB"/>
    <w:rsid w:val="007E0B23"/>
    <w:rsid w:val="007E1154"/>
    <w:rsid w:val="007E24A4"/>
    <w:rsid w:val="007E3801"/>
    <w:rsid w:val="007E39AF"/>
    <w:rsid w:val="007E3CF2"/>
    <w:rsid w:val="007E49E7"/>
    <w:rsid w:val="007E6BA4"/>
    <w:rsid w:val="007E7678"/>
    <w:rsid w:val="007F1948"/>
    <w:rsid w:val="007F2FE1"/>
    <w:rsid w:val="007F316E"/>
    <w:rsid w:val="007F41F8"/>
    <w:rsid w:val="007F42A1"/>
    <w:rsid w:val="007F5CD2"/>
    <w:rsid w:val="007F60D0"/>
    <w:rsid w:val="0080454E"/>
    <w:rsid w:val="00804C32"/>
    <w:rsid w:val="00806302"/>
    <w:rsid w:val="00807119"/>
    <w:rsid w:val="008107D5"/>
    <w:rsid w:val="00810E9C"/>
    <w:rsid w:val="008137EE"/>
    <w:rsid w:val="00817D57"/>
    <w:rsid w:val="00822764"/>
    <w:rsid w:val="008241C4"/>
    <w:rsid w:val="0082483F"/>
    <w:rsid w:val="008263D2"/>
    <w:rsid w:val="008264CB"/>
    <w:rsid w:val="008279C0"/>
    <w:rsid w:val="00835FD1"/>
    <w:rsid w:val="008407FC"/>
    <w:rsid w:val="00844D2A"/>
    <w:rsid w:val="00844FCD"/>
    <w:rsid w:val="00845F65"/>
    <w:rsid w:val="0084683C"/>
    <w:rsid w:val="00846967"/>
    <w:rsid w:val="00846A5E"/>
    <w:rsid w:val="00846C64"/>
    <w:rsid w:val="00850DF5"/>
    <w:rsid w:val="008512FA"/>
    <w:rsid w:val="00853A74"/>
    <w:rsid w:val="00857763"/>
    <w:rsid w:val="00860E61"/>
    <w:rsid w:val="00863D3D"/>
    <w:rsid w:val="00867A8F"/>
    <w:rsid w:val="008723F3"/>
    <w:rsid w:val="008777F8"/>
    <w:rsid w:val="008803A3"/>
    <w:rsid w:val="00881D8C"/>
    <w:rsid w:val="00881DE6"/>
    <w:rsid w:val="008837A6"/>
    <w:rsid w:val="008865F1"/>
    <w:rsid w:val="0089145D"/>
    <w:rsid w:val="008947B3"/>
    <w:rsid w:val="008969E0"/>
    <w:rsid w:val="008A0C6E"/>
    <w:rsid w:val="008A46CF"/>
    <w:rsid w:val="008A4DF2"/>
    <w:rsid w:val="008A6CFE"/>
    <w:rsid w:val="008A7470"/>
    <w:rsid w:val="008B1A08"/>
    <w:rsid w:val="008B2DE3"/>
    <w:rsid w:val="008B5333"/>
    <w:rsid w:val="008B6223"/>
    <w:rsid w:val="008C66E0"/>
    <w:rsid w:val="008C6C9B"/>
    <w:rsid w:val="008D06A3"/>
    <w:rsid w:val="008D20EE"/>
    <w:rsid w:val="008D4BD2"/>
    <w:rsid w:val="008D518C"/>
    <w:rsid w:val="008E1491"/>
    <w:rsid w:val="008E2DFA"/>
    <w:rsid w:val="008E3339"/>
    <w:rsid w:val="008E549B"/>
    <w:rsid w:val="008F18EF"/>
    <w:rsid w:val="008F20FC"/>
    <w:rsid w:val="008F2B24"/>
    <w:rsid w:val="008F4C8D"/>
    <w:rsid w:val="008F5FFE"/>
    <w:rsid w:val="0090421A"/>
    <w:rsid w:val="00904355"/>
    <w:rsid w:val="00905A43"/>
    <w:rsid w:val="00907DC2"/>
    <w:rsid w:val="00910A83"/>
    <w:rsid w:val="009128FA"/>
    <w:rsid w:val="00912C79"/>
    <w:rsid w:val="00912F81"/>
    <w:rsid w:val="00914AD6"/>
    <w:rsid w:val="00915840"/>
    <w:rsid w:val="00920678"/>
    <w:rsid w:val="00922E87"/>
    <w:rsid w:val="009260A2"/>
    <w:rsid w:val="00926CDF"/>
    <w:rsid w:val="00930EAE"/>
    <w:rsid w:val="00931450"/>
    <w:rsid w:val="00935FBC"/>
    <w:rsid w:val="00936065"/>
    <w:rsid w:val="00942123"/>
    <w:rsid w:val="00951031"/>
    <w:rsid w:val="0095207B"/>
    <w:rsid w:val="00953360"/>
    <w:rsid w:val="00954461"/>
    <w:rsid w:val="00956085"/>
    <w:rsid w:val="00957951"/>
    <w:rsid w:val="00962045"/>
    <w:rsid w:val="00965021"/>
    <w:rsid w:val="009651DE"/>
    <w:rsid w:val="00966D17"/>
    <w:rsid w:val="00967EDA"/>
    <w:rsid w:val="00970897"/>
    <w:rsid w:val="009719CC"/>
    <w:rsid w:val="00980314"/>
    <w:rsid w:val="009816D0"/>
    <w:rsid w:val="00991428"/>
    <w:rsid w:val="00992676"/>
    <w:rsid w:val="00996691"/>
    <w:rsid w:val="00996BD9"/>
    <w:rsid w:val="009A102D"/>
    <w:rsid w:val="009A4880"/>
    <w:rsid w:val="009A4DCF"/>
    <w:rsid w:val="009A764B"/>
    <w:rsid w:val="009A7865"/>
    <w:rsid w:val="009B0416"/>
    <w:rsid w:val="009B0723"/>
    <w:rsid w:val="009B07AD"/>
    <w:rsid w:val="009B0883"/>
    <w:rsid w:val="009B15E2"/>
    <w:rsid w:val="009B4700"/>
    <w:rsid w:val="009B5832"/>
    <w:rsid w:val="009B6312"/>
    <w:rsid w:val="009B640D"/>
    <w:rsid w:val="009C0850"/>
    <w:rsid w:val="009C0B8E"/>
    <w:rsid w:val="009C1BC8"/>
    <w:rsid w:val="009C214A"/>
    <w:rsid w:val="009C2442"/>
    <w:rsid w:val="009D0811"/>
    <w:rsid w:val="009D0EE1"/>
    <w:rsid w:val="009D25DF"/>
    <w:rsid w:val="009D2DB0"/>
    <w:rsid w:val="009D30BB"/>
    <w:rsid w:val="009D36E4"/>
    <w:rsid w:val="009E2AEB"/>
    <w:rsid w:val="009E2E27"/>
    <w:rsid w:val="009E46DD"/>
    <w:rsid w:val="009E49F7"/>
    <w:rsid w:val="009E4DE3"/>
    <w:rsid w:val="009E6B9D"/>
    <w:rsid w:val="009F0537"/>
    <w:rsid w:val="00A0302B"/>
    <w:rsid w:val="00A0359A"/>
    <w:rsid w:val="00A047EE"/>
    <w:rsid w:val="00A07D73"/>
    <w:rsid w:val="00A10990"/>
    <w:rsid w:val="00A114EA"/>
    <w:rsid w:val="00A1328B"/>
    <w:rsid w:val="00A13CAB"/>
    <w:rsid w:val="00A153F7"/>
    <w:rsid w:val="00A170C1"/>
    <w:rsid w:val="00A2274A"/>
    <w:rsid w:val="00A235B7"/>
    <w:rsid w:val="00A25082"/>
    <w:rsid w:val="00A27A7A"/>
    <w:rsid w:val="00A319CE"/>
    <w:rsid w:val="00A376DB"/>
    <w:rsid w:val="00A407EF"/>
    <w:rsid w:val="00A41034"/>
    <w:rsid w:val="00A436B0"/>
    <w:rsid w:val="00A46B4C"/>
    <w:rsid w:val="00A474E7"/>
    <w:rsid w:val="00A5117B"/>
    <w:rsid w:val="00A54000"/>
    <w:rsid w:val="00A54689"/>
    <w:rsid w:val="00A60074"/>
    <w:rsid w:val="00A60441"/>
    <w:rsid w:val="00A66080"/>
    <w:rsid w:val="00A6627C"/>
    <w:rsid w:val="00A70BBA"/>
    <w:rsid w:val="00A70BBC"/>
    <w:rsid w:val="00A70DF7"/>
    <w:rsid w:val="00A71019"/>
    <w:rsid w:val="00A724A2"/>
    <w:rsid w:val="00A81029"/>
    <w:rsid w:val="00A8222B"/>
    <w:rsid w:val="00A82851"/>
    <w:rsid w:val="00A83CB5"/>
    <w:rsid w:val="00A842F2"/>
    <w:rsid w:val="00A865A7"/>
    <w:rsid w:val="00A96489"/>
    <w:rsid w:val="00A97F71"/>
    <w:rsid w:val="00AA147C"/>
    <w:rsid w:val="00AA305C"/>
    <w:rsid w:val="00AA3A42"/>
    <w:rsid w:val="00AA45CB"/>
    <w:rsid w:val="00AA5311"/>
    <w:rsid w:val="00AA7BAA"/>
    <w:rsid w:val="00AA7F4E"/>
    <w:rsid w:val="00AB5961"/>
    <w:rsid w:val="00AB6801"/>
    <w:rsid w:val="00AB685C"/>
    <w:rsid w:val="00AB6C2D"/>
    <w:rsid w:val="00AB7323"/>
    <w:rsid w:val="00AB7F50"/>
    <w:rsid w:val="00AC08F7"/>
    <w:rsid w:val="00AC3839"/>
    <w:rsid w:val="00AC7082"/>
    <w:rsid w:val="00AC75EE"/>
    <w:rsid w:val="00AD26C8"/>
    <w:rsid w:val="00AD3ACD"/>
    <w:rsid w:val="00AD3FEA"/>
    <w:rsid w:val="00AD7BBD"/>
    <w:rsid w:val="00AE1B7D"/>
    <w:rsid w:val="00AF0117"/>
    <w:rsid w:val="00AF1EA2"/>
    <w:rsid w:val="00AF228E"/>
    <w:rsid w:val="00AF244A"/>
    <w:rsid w:val="00B02AE1"/>
    <w:rsid w:val="00B04137"/>
    <w:rsid w:val="00B04471"/>
    <w:rsid w:val="00B05D20"/>
    <w:rsid w:val="00B10E90"/>
    <w:rsid w:val="00B1112C"/>
    <w:rsid w:val="00B11D19"/>
    <w:rsid w:val="00B12936"/>
    <w:rsid w:val="00B14819"/>
    <w:rsid w:val="00B17AA9"/>
    <w:rsid w:val="00B204CE"/>
    <w:rsid w:val="00B278A3"/>
    <w:rsid w:val="00B27A1B"/>
    <w:rsid w:val="00B32257"/>
    <w:rsid w:val="00B32DE4"/>
    <w:rsid w:val="00B33578"/>
    <w:rsid w:val="00B370C3"/>
    <w:rsid w:val="00B411AE"/>
    <w:rsid w:val="00B46CE2"/>
    <w:rsid w:val="00B55756"/>
    <w:rsid w:val="00B60190"/>
    <w:rsid w:val="00B61419"/>
    <w:rsid w:val="00B62276"/>
    <w:rsid w:val="00B66264"/>
    <w:rsid w:val="00B66E5C"/>
    <w:rsid w:val="00B72480"/>
    <w:rsid w:val="00B72F5F"/>
    <w:rsid w:val="00B736DF"/>
    <w:rsid w:val="00B73A4F"/>
    <w:rsid w:val="00B74FBD"/>
    <w:rsid w:val="00B77352"/>
    <w:rsid w:val="00B77786"/>
    <w:rsid w:val="00B814BE"/>
    <w:rsid w:val="00B82586"/>
    <w:rsid w:val="00B829A3"/>
    <w:rsid w:val="00B83AAE"/>
    <w:rsid w:val="00B86DB1"/>
    <w:rsid w:val="00B87869"/>
    <w:rsid w:val="00B91F3C"/>
    <w:rsid w:val="00BA07FC"/>
    <w:rsid w:val="00BA0E44"/>
    <w:rsid w:val="00BA1433"/>
    <w:rsid w:val="00BA47C5"/>
    <w:rsid w:val="00BB0F2B"/>
    <w:rsid w:val="00BB0F52"/>
    <w:rsid w:val="00BB20EF"/>
    <w:rsid w:val="00BC0B3D"/>
    <w:rsid w:val="00BC7FC6"/>
    <w:rsid w:val="00BD0D57"/>
    <w:rsid w:val="00BD0FA4"/>
    <w:rsid w:val="00BD55F7"/>
    <w:rsid w:val="00BD5C26"/>
    <w:rsid w:val="00BD7B36"/>
    <w:rsid w:val="00BE08AC"/>
    <w:rsid w:val="00BE1A50"/>
    <w:rsid w:val="00BF0875"/>
    <w:rsid w:val="00BF10E9"/>
    <w:rsid w:val="00BF50F7"/>
    <w:rsid w:val="00C02EAF"/>
    <w:rsid w:val="00C02F29"/>
    <w:rsid w:val="00C07477"/>
    <w:rsid w:val="00C07F8E"/>
    <w:rsid w:val="00C10393"/>
    <w:rsid w:val="00C10C13"/>
    <w:rsid w:val="00C10FF0"/>
    <w:rsid w:val="00C1402A"/>
    <w:rsid w:val="00C14C00"/>
    <w:rsid w:val="00C17111"/>
    <w:rsid w:val="00C20747"/>
    <w:rsid w:val="00C20AFE"/>
    <w:rsid w:val="00C21DB9"/>
    <w:rsid w:val="00C22A25"/>
    <w:rsid w:val="00C23B79"/>
    <w:rsid w:val="00C27746"/>
    <w:rsid w:val="00C33D50"/>
    <w:rsid w:val="00C353CB"/>
    <w:rsid w:val="00C35671"/>
    <w:rsid w:val="00C35B77"/>
    <w:rsid w:val="00C362F9"/>
    <w:rsid w:val="00C370D3"/>
    <w:rsid w:val="00C376EB"/>
    <w:rsid w:val="00C4003A"/>
    <w:rsid w:val="00C426A3"/>
    <w:rsid w:val="00C45183"/>
    <w:rsid w:val="00C46EC1"/>
    <w:rsid w:val="00C504E5"/>
    <w:rsid w:val="00C5335E"/>
    <w:rsid w:val="00C53E2C"/>
    <w:rsid w:val="00C550C8"/>
    <w:rsid w:val="00C56B61"/>
    <w:rsid w:val="00C606C3"/>
    <w:rsid w:val="00C620F4"/>
    <w:rsid w:val="00C6368F"/>
    <w:rsid w:val="00C668B6"/>
    <w:rsid w:val="00C67ECE"/>
    <w:rsid w:val="00C70885"/>
    <w:rsid w:val="00C7161B"/>
    <w:rsid w:val="00C72848"/>
    <w:rsid w:val="00C7736C"/>
    <w:rsid w:val="00C805FA"/>
    <w:rsid w:val="00C81842"/>
    <w:rsid w:val="00C82D87"/>
    <w:rsid w:val="00C841ED"/>
    <w:rsid w:val="00C85F17"/>
    <w:rsid w:val="00C8712A"/>
    <w:rsid w:val="00C91324"/>
    <w:rsid w:val="00C914F7"/>
    <w:rsid w:val="00C91B89"/>
    <w:rsid w:val="00C9332A"/>
    <w:rsid w:val="00C94906"/>
    <w:rsid w:val="00C963D3"/>
    <w:rsid w:val="00CA0D8E"/>
    <w:rsid w:val="00CA6E0D"/>
    <w:rsid w:val="00CB0956"/>
    <w:rsid w:val="00CB1723"/>
    <w:rsid w:val="00CB1ABF"/>
    <w:rsid w:val="00CB24CE"/>
    <w:rsid w:val="00CB2CBB"/>
    <w:rsid w:val="00CB56CE"/>
    <w:rsid w:val="00CB5A9C"/>
    <w:rsid w:val="00CB73BD"/>
    <w:rsid w:val="00CB7CAC"/>
    <w:rsid w:val="00CB7D74"/>
    <w:rsid w:val="00CC094E"/>
    <w:rsid w:val="00CC0EA0"/>
    <w:rsid w:val="00CC4BC0"/>
    <w:rsid w:val="00CC5335"/>
    <w:rsid w:val="00CC5BA4"/>
    <w:rsid w:val="00CC70BB"/>
    <w:rsid w:val="00CD0F87"/>
    <w:rsid w:val="00CD3117"/>
    <w:rsid w:val="00CD3420"/>
    <w:rsid w:val="00CD4998"/>
    <w:rsid w:val="00CD7C0A"/>
    <w:rsid w:val="00CE1035"/>
    <w:rsid w:val="00CE399A"/>
    <w:rsid w:val="00CE607F"/>
    <w:rsid w:val="00CF124F"/>
    <w:rsid w:val="00CF14D8"/>
    <w:rsid w:val="00CF1EA6"/>
    <w:rsid w:val="00CF2819"/>
    <w:rsid w:val="00CF2C57"/>
    <w:rsid w:val="00CF4F9D"/>
    <w:rsid w:val="00CF70DC"/>
    <w:rsid w:val="00D029A6"/>
    <w:rsid w:val="00D02B1B"/>
    <w:rsid w:val="00D0387D"/>
    <w:rsid w:val="00D06920"/>
    <w:rsid w:val="00D101AC"/>
    <w:rsid w:val="00D10B30"/>
    <w:rsid w:val="00D118DD"/>
    <w:rsid w:val="00D148DC"/>
    <w:rsid w:val="00D1514E"/>
    <w:rsid w:val="00D15C2E"/>
    <w:rsid w:val="00D17FDC"/>
    <w:rsid w:val="00D273B8"/>
    <w:rsid w:val="00D27EE7"/>
    <w:rsid w:val="00D32EA8"/>
    <w:rsid w:val="00D33AB7"/>
    <w:rsid w:val="00D37919"/>
    <w:rsid w:val="00D42A9C"/>
    <w:rsid w:val="00D444C5"/>
    <w:rsid w:val="00D45AEA"/>
    <w:rsid w:val="00D5244F"/>
    <w:rsid w:val="00D52E4F"/>
    <w:rsid w:val="00D54682"/>
    <w:rsid w:val="00D554FA"/>
    <w:rsid w:val="00D569AC"/>
    <w:rsid w:val="00D56A37"/>
    <w:rsid w:val="00D57202"/>
    <w:rsid w:val="00D6172D"/>
    <w:rsid w:val="00D6386E"/>
    <w:rsid w:val="00D63EFD"/>
    <w:rsid w:val="00D64649"/>
    <w:rsid w:val="00D64826"/>
    <w:rsid w:val="00D665F7"/>
    <w:rsid w:val="00D703FC"/>
    <w:rsid w:val="00D71139"/>
    <w:rsid w:val="00D74865"/>
    <w:rsid w:val="00D76656"/>
    <w:rsid w:val="00D80DF2"/>
    <w:rsid w:val="00D835D6"/>
    <w:rsid w:val="00D84752"/>
    <w:rsid w:val="00D85AB0"/>
    <w:rsid w:val="00D86B3B"/>
    <w:rsid w:val="00D86E57"/>
    <w:rsid w:val="00D8748A"/>
    <w:rsid w:val="00D87C21"/>
    <w:rsid w:val="00D9055B"/>
    <w:rsid w:val="00D919AA"/>
    <w:rsid w:val="00D93196"/>
    <w:rsid w:val="00D942F6"/>
    <w:rsid w:val="00D94A4D"/>
    <w:rsid w:val="00D97A93"/>
    <w:rsid w:val="00DA08F4"/>
    <w:rsid w:val="00DA1083"/>
    <w:rsid w:val="00DA26C8"/>
    <w:rsid w:val="00DA5D7C"/>
    <w:rsid w:val="00DA7D19"/>
    <w:rsid w:val="00DB1351"/>
    <w:rsid w:val="00DB243C"/>
    <w:rsid w:val="00DB45DD"/>
    <w:rsid w:val="00DB482A"/>
    <w:rsid w:val="00DB4AE3"/>
    <w:rsid w:val="00DB56F2"/>
    <w:rsid w:val="00DB6EF5"/>
    <w:rsid w:val="00DC3089"/>
    <w:rsid w:val="00DC30DE"/>
    <w:rsid w:val="00DC4420"/>
    <w:rsid w:val="00DD0802"/>
    <w:rsid w:val="00DD0A50"/>
    <w:rsid w:val="00DD2047"/>
    <w:rsid w:val="00DD2E11"/>
    <w:rsid w:val="00DD4AFD"/>
    <w:rsid w:val="00DE03AF"/>
    <w:rsid w:val="00DE121C"/>
    <w:rsid w:val="00DE2474"/>
    <w:rsid w:val="00DE2A27"/>
    <w:rsid w:val="00DE3705"/>
    <w:rsid w:val="00DE3C5C"/>
    <w:rsid w:val="00DE6633"/>
    <w:rsid w:val="00DF12DB"/>
    <w:rsid w:val="00DF75F8"/>
    <w:rsid w:val="00DF7A3A"/>
    <w:rsid w:val="00E00C00"/>
    <w:rsid w:val="00E02278"/>
    <w:rsid w:val="00E04A7C"/>
    <w:rsid w:val="00E059FB"/>
    <w:rsid w:val="00E069C4"/>
    <w:rsid w:val="00E07275"/>
    <w:rsid w:val="00E07866"/>
    <w:rsid w:val="00E07C5A"/>
    <w:rsid w:val="00E10A77"/>
    <w:rsid w:val="00E11DB3"/>
    <w:rsid w:val="00E15BA9"/>
    <w:rsid w:val="00E204B4"/>
    <w:rsid w:val="00E25B22"/>
    <w:rsid w:val="00E25F7B"/>
    <w:rsid w:val="00E2622D"/>
    <w:rsid w:val="00E26E19"/>
    <w:rsid w:val="00E27E3C"/>
    <w:rsid w:val="00E31207"/>
    <w:rsid w:val="00E31DF3"/>
    <w:rsid w:val="00E32610"/>
    <w:rsid w:val="00E32814"/>
    <w:rsid w:val="00E32852"/>
    <w:rsid w:val="00E33448"/>
    <w:rsid w:val="00E33486"/>
    <w:rsid w:val="00E34181"/>
    <w:rsid w:val="00E35B59"/>
    <w:rsid w:val="00E40B16"/>
    <w:rsid w:val="00E43006"/>
    <w:rsid w:val="00E450A4"/>
    <w:rsid w:val="00E46B10"/>
    <w:rsid w:val="00E506BE"/>
    <w:rsid w:val="00E55547"/>
    <w:rsid w:val="00E559DB"/>
    <w:rsid w:val="00E57410"/>
    <w:rsid w:val="00E615E9"/>
    <w:rsid w:val="00E6302B"/>
    <w:rsid w:val="00E63574"/>
    <w:rsid w:val="00E6452F"/>
    <w:rsid w:val="00E64619"/>
    <w:rsid w:val="00E64F45"/>
    <w:rsid w:val="00E6742D"/>
    <w:rsid w:val="00E71CB0"/>
    <w:rsid w:val="00E73529"/>
    <w:rsid w:val="00E76779"/>
    <w:rsid w:val="00E7690B"/>
    <w:rsid w:val="00E77C3D"/>
    <w:rsid w:val="00E82E22"/>
    <w:rsid w:val="00E850FE"/>
    <w:rsid w:val="00E909F0"/>
    <w:rsid w:val="00E90D47"/>
    <w:rsid w:val="00E93993"/>
    <w:rsid w:val="00E940F8"/>
    <w:rsid w:val="00E9597C"/>
    <w:rsid w:val="00EA0913"/>
    <w:rsid w:val="00EA0A2F"/>
    <w:rsid w:val="00EA5C5E"/>
    <w:rsid w:val="00EA6ADF"/>
    <w:rsid w:val="00EA6D31"/>
    <w:rsid w:val="00EA74E6"/>
    <w:rsid w:val="00EB146B"/>
    <w:rsid w:val="00EB1E4C"/>
    <w:rsid w:val="00EB45AC"/>
    <w:rsid w:val="00EC0E2D"/>
    <w:rsid w:val="00EC1F81"/>
    <w:rsid w:val="00EC2AEA"/>
    <w:rsid w:val="00EC50C5"/>
    <w:rsid w:val="00EC7B11"/>
    <w:rsid w:val="00EC7F95"/>
    <w:rsid w:val="00ED0BC4"/>
    <w:rsid w:val="00ED3147"/>
    <w:rsid w:val="00ED3541"/>
    <w:rsid w:val="00ED3771"/>
    <w:rsid w:val="00ED4AB7"/>
    <w:rsid w:val="00ED4C52"/>
    <w:rsid w:val="00ED6A32"/>
    <w:rsid w:val="00EE29CA"/>
    <w:rsid w:val="00EE4971"/>
    <w:rsid w:val="00EE545B"/>
    <w:rsid w:val="00EE7F83"/>
    <w:rsid w:val="00EF090E"/>
    <w:rsid w:val="00EF4768"/>
    <w:rsid w:val="00EF5D8B"/>
    <w:rsid w:val="00F00A0D"/>
    <w:rsid w:val="00F016FF"/>
    <w:rsid w:val="00F033DA"/>
    <w:rsid w:val="00F0464F"/>
    <w:rsid w:val="00F11AAB"/>
    <w:rsid w:val="00F126A4"/>
    <w:rsid w:val="00F13FB1"/>
    <w:rsid w:val="00F14AD8"/>
    <w:rsid w:val="00F17BC1"/>
    <w:rsid w:val="00F17C87"/>
    <w:rsid w:val="00F20272"/>
    <w:rsid w:val="00F223E7"/>
    <w:rsid w:val="00F2288D"/>
    <w:rsid w:val="00F25779"/>
    <w:rsid w:val="00F25827"/>
    <w:rsid w:val="00F2750A"/>
    <w:rsid w:val="00F27CD8"/>
    <w:rsid w:val="00F30351"/>
    <w:rsid w:val="00F30F90"/>
    <w:rsid w:val="00F3323E"/>
    <w:rsid w:val="00F341F4"/>
    <w:rsid w:val="00F34F9D"/>
    <w:rsid w:val="00F35CCE"/>
    <w:rsid w:val="00F4626C"/>
    <w:rsid w:val="00F4684D"/>
    <w:rsid w:val="00F502EC"/>
    <w:rsid w:val="00F51074"/>
    <w:rsid w:val="00F52172"/>
    <w:rsid w:val="00F53F57"/>
    <w:rsid w:val="00F55241"/>
    <w:rsid w:val="00F5524B"/>
    <w:rsid w:val="00F60538"/>
    <w:rsid w:val="00F61DD2"/>
    <w:rsid w:val="00F6523A"/>
    <w:rsid w:val="00F66AFF"/>
    <w:rsid w:val="00F71433"/>
    <w:rsid w:val="00F7241A"/>
    <w:rsid w:val="00F74CB6"/>
    <w:rsid w:val="00F83E76"/>
    <w:rsid w:val="00F87BEA"/>
    <w:rsid w:val="00F90A57"/>
    <w:rsid w:val="00F97C5B"/>
    <w:rsid w:val="00FA05D2"/>
    <w:rsid w:val="00FA359A"/>
    <w:rsid w:val="00FA3D50"/>
    <w:rsid w:val="00FA571A"/>
    <w:rsid w:val="00FB009F"/>
    <w:rsid w:val="00FB25B0"/>
    <w:rsid w:val="00FB2DBD"/>
    <w:rsid w:val="00FB3402"/>
    <w:rsid w:val="00FB6136"/>
    <w:rsid w:val="00FC374A"/>
    <w:rsid w:val="00FC3813"/>
    <w:rsid w:val="00FC4B29"/>
    <w:rsid w:val="00FC7B47"/>
    <w:rsid w:val="00FD035C"/>
    <w:rsid w:val="00FD1A35"/>
    <w:rsid w:val="00FD1FE6"/>
    <w:rsid w:val="00FD36C5"/>
    <w:rsid w:val="00FD428C"/>
    <w:rsid w:val="00FD6310"/>
    <w:rsid w:val="00FD7B08"/>
    <w:rsid w:val="00FD7C7B"/>
    <w:rsid w:val="00FD7FD0"/>
    <w:rsid w:val="00FE1D12"/>
    <w:rsid w:val="00FE2122"/>
    <w:rsid w:val="00FE2A86"/>
    <w:rsid w:val="00FE789E"/>
    <w:rsid w:val="00FF296F"/>
    <w:rsid w:val="00FF2E5F"/>
    <w:rsid w:val="00FF342D"/>
    <w:rsid w:val="00FF4993"/>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74FB8A73-5336-416E-9A17-17C5725E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62EBF0541143DBA952B25BC1B764FB"/>
        <w:category>
          <w:name w:val="General"/>
          <w:gallery w:val="placeholder"/>
        </w:category>
        <w:types>
          <w:type w:val="bbPlcHdr"/>
        </w:types>
        <w:behaviors>
          <w:behavior w:val="content"/>
        </w:behaviors>
        <w:guid w:val="{D656F31A-BACC-43C5-B93B-22C8D534F7E9}"/>
      </w:docPartPr>
      <w:docPartBody>
        <w:p w:rsidR="008B7CC6" w:rsidRDefault="004657F5" w:rsidP="004657F5">
          <w:pPr>
            <w:pStyle w:val="2862EBF0541143DBA952B25BC1B764FB"/>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7F5"/>
    <w:rsid w:val="003F1CAC"/>
    <w:rsid w:val="004657F5"/>
    <w:rsid w:val="008B7CC6"/>
    <w:rsid w:val="00B05581"/>
    <w:rsid w:val="00B308A9"/>
    <w:rsid w:val="00E550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62EBF0541143DBA952B25BC1B764FB">
    <w:name w:val="2862EBF0541143DBA952B25BC1B764FB"/>
    <w:rsid w:val="004657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4844</Words>
  <Characters>27612</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202223-964</dc:creator>
  <cp:keywords/>
  <dc:description/>
  <cp:lastModifiedBy>Gatoto, Phoebe</cp:lastModifiedBy>
  <cp:revision>322</cp:revision>
  <cp:lastPrinted>2019-08-27T13:42:00Z</cp:lastPrinted>
  <dcterms:created xsi:type="dcterms:W3CDTF">2023-01-30T21:43:00Z</dcterms:created>
  <dcterms:modified xsi:type="dcterms:W3CDTF">2023-03-01T16:00:00Z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24488fe692ba3bcd2d5abbe3e43aecc411488f6af6654daa631808aa0c2740de</vt:lpwstr>
  </property>
</Properties>
</file>