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6C2272">
        <w:rPr>
          <w:rFonts w:ascii="Avenir Next" w:hAnsi="Avenir Next"/>
          <w:highlight w:val="yellow"/>
        </w:rPr>
        <w:t>All of</w:t>
      </w:r>
      <w:proofErr w:type="gramEnd"/>
      <w:r w:rsidRPr="006C2272">
        <w:rPr>
          <w:rFonts w:ascii="Avenir Next" w:hAnsi="Avenir Next"/>
          <w:highlight w:val="yellow"/>
        </w:rPr>
        <w:t xml:space="preserve">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F85167">
        <w:rPr>
          <w:rFonts w:ascii="Avenir Next" w:hAnsi="Avenir Next"/>
          <w:highlight w:val="yellow"/>
        </w:rPr>
        <w:t>An environmental advocacy group that opposes ABC Corp’s operations</w:t>
      </w:r>
      <w:r w:rsidRPr="002C4932">
        <w:rPr>
          <w:rFonts w:ascii="Avenir Next" w:hAnsi="Avenir Next"/>
        </w:rPr>
        <w:t>.</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FB2144" w:rsidRDefault="00CE0ECD" w:rsidP="00097D56">
      <w:pPr>
        <w:pStyle w:val="AODocTxt"/>
        <w:numPr>
          <w:ilvl w:val="0"/>
          <w:numId w:val="16"/>
        </w:numPr>
        <w:spacing w:before="0" w:line="240" w:lineRule="auto"/>
        <w:ind w:left="426"/>
        <w:rPr>
          <w:rFonts w:ascii="Avenir Next" w:hAnsi="Avenir Next"/>
          <w:highlight w:val="yellow"/>
        </w:rPr>
      </w:pPr>
      <w:r w:rsidRPr="00FB2144">
        <w:rPr>
          <w:rFonts w:ascii="Avenir Next" w:hAnsi="Avenir Next"/>
          <w:highlight w:val="yellow"/>
        </w:rPr>
        <w:t xml:space="preserve">A </w:t>
      </w:r>
      <w:r w:rsidR="00D06A30" w:rsidRPr="00FB2144">
        <w:rPr>
          <w:rFonts w:ascii="Avenir Next" w:hAnsi="Avenir Next"/>
          <w:highlight w:val="yellow"/>
        </w:rPr>
        <w:t>10</w:t>
      </w:r>
      <w:r w:rsidRPr="00FB2144">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Pr="00C15E84" w:rsidRDefault="00CE0ECD" w:rsidP="00A82B32">
      <w:pPr>
        <w:pStyle w:val="AODocTxt"/>
        <w:numPr>
          <w:ilvl w:val="0"/>
          <w:numId w:val="18"/>
        </w:numPr>
        <w:spacing w:before="0" w:line="240" w:lineRule="auto"/>
        <w:ind w:left="426"/>
        <w:rPr>
          <w:rFonts w:ascii="Avenir Next" w:hAnsi="Avenir Next"/>
          <w:highlight w:val="yellow"/>
        </w:rPr>
      </w:pPr>
      <w:r w:rsidRPr="00C15E84">
        <w:rPr>
          <w:rFonts w:ascii="Avenir Next" w:hAnsi="Avenir Next"/>
          <w:highlight w:val="yellow"/>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Pr="00C15E84" w:rsidRDefault="00CE0ECD" w:rsidP="00A82B32">
      <w:pPr>
        <w:pStyle w:val="AODocTxt"/>
        <w:numPr>
          <w:ilvl w:val="0"/>
          <w:numId w:val="18"/>
        </w:numPr>
        <w:spacing w:before="0" w:line="240" w:lineRule="auto"/>
        <w:ind w:left="426"/>
        <w:rPr>
          <w:rFonts w:ascii="Avenir Next" w:hAnsi="Avenir Next"/>
        </w:rPr>
      </w:pPr>
      <w:proofErr w:type="gramStart"/>
      <w:r w:rsidRPr="00C15E84">
        <w:rPr>
          <w:rFonts w:ascii="Avenir Next" w:hAnsi="Avenir Next"/>
        </w:rPr>
        <w:t>All of</w:t>
      </w:r>
      <w:proofErr w:type="gramEnd"/>
      <w:r w:rsidRPr="00C15E84">
        <w:rPr>
          <w:rFonts w:ascii="Avenir Next" w:hAnsi="Avenir Next"/>
        </w:rPr>
        <w:t xml:space="preserve"> the above.</w:t>
      </w:r>
    </w:p>
    <w:p w14:paraId="6B54A696" w14:textId="77777777" w:rsidR="00D04AFE" w:rsidRPr="00C15E84" w:rsidRDefault="00D04AFE" w:rsidP="00A82B32">
      <w:pPr>
        <w:pStyle w:val="AODocTxt"/>
        <w:spacing w:before="0" w:line="240" w:lineRule="auto"/>
        <w:ind w:left="426" w:hanging="720"/>
        <w:rPr>
          <w:rFonts w:ascii="Avenir Next" w:hAnsi="Avenir Next"/>
        </w:rPr>
      </w:pPr>
    </w:p>
    <w:p w14:paraId="2112EC59" w14:textId="485CC293" w:rsidR="00CE0ECD" w:rsidRPr="00C15E84" w:rsidRDefault="00CE0ECD" w:rsidP="00A82B32">
      <w:pPr>
        <w:pStyle w:val="AODocTxt"/>
        <w:numPr>
          <w:ilvl w:val="0"/>
          <w:numId w:val="18"/>
        </w:numPr>
        <w:spacing w:before="0" w:line="240" w:lineRule="auto"/>
        <w:ind w:left="426"/>
        <w:rPr>
          <w:rFonts w:ascii="Avenir Next" w:hAnsi="Avenir Next"/>
        </w:rPr>
      </w:pPr>
      <w:r w:rsidRPr="00C15E84">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F6BF4" w:rsidRDefault="00CE0ECD" w:rsidP="00E421C6">
      <w:pPr>
        <w:pStyle w:val="AODocTxt"/>
        <w:numPr>
          <w:ilvl w:val="0"/>
          <w:numId w:val="20"/>
        </w:numPr>
        <w:spacing w:before="0" w:line="240" w:lineRule="auto"/>
        <w:ind w:left="426"/>
        <w:rPr>
          <w:rFonts w:ascii="Avenir Next" w:hAnsi="Avenir Next"/>
          <w:highlight w:val="yellow"/>
        </w:rPr>
      </w:pPr>
      <w:r w:rsidRPr="002F6BF4">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8918AD" w:rsidRDefault="00CE0ECD" w:rsidP="00E421C6">
      <w:pPr>
        <w:pStyle w:val="AODocTxt"/>
        <w:numPr>
          <w:ilvl w:val="0"/>
          <w:numId w:val="22"/>
        </w:numPr>
        <w:spacing w:before="0" w:line="240" w:lineRule="auto"/>
        <w:ind w:left="426"/>
        <w:rPr>
          <w:rFonts w:ascii="Avenir Next" w:hAnsi="Avenir Next"/>
          <w:highlight w:val="yellow"/>
        </w:rPr>
      </w:pPr>
      <w:r w:rsidRPr="008918AD">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D4772" w:rsidRDefault="00CE0ECD" w:rsidP="000346E7">
      <w:pPr>
        <w:pStyle w:val="AODocTxt"/>
        <w:numPr>
          <w:ilvl w:val="0"/>
          <w:numId w:val="24"/>
        </w:numPr>
        <w:spacing w:before="0" w:line="240" w:lineRule="auto"/>
        <w:ind w:left="426"/>
        <w:rPr>
          <w:rFonts w:ascii="Avenir Next" w:hAnsi="Avenir Next"/>
          <w:highlight w:val="yellow"/>
        </w:rPr>
      </w:pPr>
      <w:r w:rsidRPr="002D4772">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B3395" w:rsidRDefault="00CE0ECD" w:rsidP="004830F8">
      <w:pPr>
        <w:pStyle w:val="AODocTxt"/>
        <w:numPr>
          <w:ilvl w:val="0"/>
          <w:numId w:val="26"/>
        </w:numPr>
        <w:spacing w:before="0" w:line="240" w:lineRule="auto"/>
        <w:ind w:left="426"/>
        <w:rPr>
          <w:rFonts w:ascii="Avenir Next" w:hAnsi="Avenir Next"/>
          <w:highlight w:val="yellow"/>
        </w:rPr>
      </w:pPr>
      <w:r w:rsidRPr="002B3395">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Pr="00081540" w:rsidRDefault="00CE0ECD" w:rsidP="004830F8">
      <w:pPr>
        <w:pStyle w:val="AODocTxt"/>
        <w:numPr>
          <w:ilvl w:val="0"/>
          <w:numId w:val="28"/>
        </w:numPr>
        <w:spacing w:before="0" w:line="240" w:lineRule="auto"/>
        <w:ind w:left="426"/>
        <w:rPr>
          <w:rFonts w:ascii="Avenir Next" w:hAnsi="Avenir Next"/>
          <w:highlight w:val="yellow"/>
        </w:rPr>
      </w:pPr>
      <w:r w:rsidRPr="00081540">
        <w:rPr>
          <w:rFonts w:ascii="Avenir Next" w:hAnsi="Avenir Next"/>
          <w:highlight w:val="yellow"/>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E853BF" w:rsidRDefault="00CE0ECD" w:rsidP="00AA0280">
      <w:pPr>
        <w:pStyle w:val="AODocTxt"/>
        <w:numPr>
          <w:ilvl w:val="0"/>
          <w:numId w:val="30"/>
        </w:numPr>
        <w:spacing w:before="0" w:line="240" w:lineRule="auto"/>
        <w:ind w:left="426"/>
        <w:rPr>
          <w:rFonts w:ascii="Avenir Next" w:hAnsi="Avenir Next"/>
          <w:highlight w:val="yellow"/>
        </w:rPr>
      </w:pPr>
      <w:proofErr w:type="gramStart"/>
      <w:r w:rsidRPr="00E853BF">
        <w:rPr>
          <w:rFonts w:ascii="Avenir Next" w:hAnsi="Avenir Next"/>
          <w:highlight w:val="yellow"/>
        </w:rPr>
        <w:t>All of</w:t>
      </w:r>
      <w:proofErr w:type="gramEnd"/>
      <w:r w:rsidRPr="00E853BF">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761820C" w:rsidR="00E41578" w:rsidRPr="00E41578" w:rsidRDefault="00DF48C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w:t>
      </w:r>
      <w:r w:rsidR="00EC62FB">
        <w:rPr>
          <w:rFonts w:ascii="Avenir Next" w:hAnsi="Avenir Next" w:cs="Arial"/>
          <w:color w:val="7B7B7B" w:themeColor="accent3" w:themeShade="BF"/>
          <w:sz w:val="22"/>
          <w:szCs w:val="22"/>
          <w:lang w:val="en-GB"/>
        </w:rPr>
        <w:t xml:space="preserve">section 553(a) of the Bankruptcy Code, a setoff is a right possessed by a creditor </w:t>
      </w:r>
      <w:r w:rsidR="00FC77DD">
        <w:rPr>
          <w:rFonts w:ascii="Avenir Next" w:hAnsi="Avenir Next" w:cs="Arial"/>
          <w:color w:val="7B7B7B" w:themeColor="accent3" w:themeShade="BF"/>
          <w:sz w:val="22"/>
          <w:szCs w:val="22"/>
          <w:lang w:val="en-GB"/>
        </w:rPr>
        <w:t xml:space="preserve">to </w:t>
      </w:r>
      <w:r w:rsidR="00D23A15">
        <w:rPr>
          <w:rFonts w:ascii="Avenir Next" w:hAnsi="Avenir Next" w:cs="Arial"/>
          <w:color w:val="7B7B7B" w:themeColor="accent3" w:themeShade="BF"/>
          <w:sz w:val="22"/>
          <w:szCs w:val="22"/>
          <w:lang w:val="en-GB"/>
        </w:rPr>
        <w:t xml:space="preserve">off set their owed debt with the debt that they owe the debtor. </w:t>
      </w:r>
      <w:r w:rsidR="003176A4">
        <w:rPr>
          <w:rFonts w:ascii="Avenir Next" w:hAnsi="Avenir Next" w:cs="Arial"/>
          <w:color w:val="7B7B7B" w:themeColor="accent3" w:themeShade="BF"/>
          <w:sz w:val="22"/>
          <w:szCs w:val="22"/>
          <w:lang w:val="en-GB"/>
        </w:rPr>
        <w:t>In e</w:t>
      </w:r>
      <w:r w:rsidR="00787048">
        <w:rPr>
          <w:rFonts w:ascii="Avenir Next" w:hAnsi="Avenir Next" w:cs="Arial"/>
          <w:color w:val="7B7B7B" w:themeColor="accent3" w:themeShade="BF"/>
          <w:sz w:val="22"/>
          <w:szCs w:val="22"/>
          <w:lang w:val="en-GB"/>
        </w:rPr>
        <w:t>ssence</w:t>
      </w:r>
      <w:r w:rsidR="003176A4">
        <w:rPr>
          <w:rFonts w:ascii="Avenir Next" w:hAnsi="Avenir Next" w:cs="Arial"/>
          <w:color w:val="7B7B7B" w:themeColor="accent3" w:themeShade="BF"/>
          <w:sz w:val="22"/>
          <w:szCs w:val="22"/>
          <w:lang w:val="en-GB"/>
        </w:rPr>
        <w:t xml:space="preserve">, both creditor and debtor owe money to </w:t>
      </w:r>
      <w:r w:rsidR="00206657">
        <w:rPr>
          <w:rFonts w:ascii="Avenir Next" w:hAnsi="Avenir Next" w:cs="Arial"/>
          <w:color w:val="7B7B7B" w:themeColor="accent3" w:themeShade="BF"/>
          <w:sz w:val="22"/>
          <w:szCs w:val="22"/>
          <w:lang w:val="en-GB"/>
        </w:rPr>
        <w:t>each other,</w:t>
      </w:r>
      <w:r w:rsidR="003176A4">
        <w:rPr>
          <w:rFonts w:ascii="Avenir Next" w:hAnsi="Avenir Next" w:cs="Arial"/>
          <w:color w:val="7B7B7B" w:themeColor="accent3" w:themeShade="BF"/>
          <w:sz w:val="22"/>
          <w:szCs w:val="22"/>
          <w:lang w:val="en-GB"/>
        </w:rPr>
        <w:t xml:space="preserve"> and </w:t>
      </w:r>
      <w:r w:rsidR="00787048">
        <w:rPr>
          <w:rFonts w:ascii="Avenir Next" w:hAnsi="Avenir Next" w:cs="Arial"/>
          <w:color w:val="7B7B7B" w:themeColor="accent3" w:themeShade="BF"/>
          <w:sz w:val="22"/>
          <w:szCs w:val="22"/>
          <w:lang w:val="en-GB"/>
        </w:rPr>
        <w:t>they agree to settle both debts using what they owe each other.</w:t>
      </w:r>
      <w:r w:rsidR="00E44251">
        <w:rPr>
          <w:rStyle w:val="FootnoteReference"/>
          <w:rFonts w:ascii="Avenir Next" w:hAnsi="Avenir Next" w:cs="Arial"/>
          <w:color w:val="7B7B7B" w:themeColor="accent3" w:themeShade="BF"/>
          <w:sz w:val="22"/>
          <w:szCs w:val="22"/>
          <w:lang w:val="en-GB"/>
        </w:rPr>
        <w:footnoteReference w:id="1"/>
      </w:r>
      <w:r w:rsidR="009C6DFD">
        <w:rPr>
          <w:rFonts w:ascii="Avenir Next" w:hAnsi="Avenir Next" w:cs="Arial"/>
          <w:color w:val="7B7B7B" w:themeColor="accent3" w:themeShade="BF"/>
          <w:sz w:val="22"/>
          <w:szCs w:val="22"/>
          <w:lang w:val="en-GB"/>
        </w:rPr>
        <w:t xml:space="preserve"> An effect of a setoff may potentially </w:t>
      </w:r>
      <w:r w:rsidR="00A342BE">
        <w:rPr>
          <w:rFonts w:ascii="Avenir Next" w:hAnsi="Avenir Next" w:cs="Arial"/>
          <w:color w:val="7B7B7B" w:themeColor="accent3" w:themeShade="BF"/>
          <w:sz w:val="22"/>
          <w:szCs w:val="22"/>
          <w:lang w:val="en-GB"/>
        </w:rPr>
        <w:t>place a creditor in a better position than they would have been following the normal procedure</w:t>
      </w:r>
      <w:r w:rsidR="004571BB">
        <w:rPr>
          <w:rFonts w:ascii="Avenir Next" w:hAnsi="Avenir Next" w:cs="Arial"/>
          <w:color w:val="7B7B7B" w:themeColor="accent3" w:themeShade="BF"/>
          <w:sz w:val="22"/>
          <w:szCs w:val="22"/>
          <w:lang w:val="en-GB"/>
        </w:rPr>
        <w:t xml:space="preserve"> where there are unsecured creditors than do not </w:t>
      </w:r>
      <w:r w:rsidR="00263D03">
        <w:rPr>
          <w:rFonts w:ascii="Avenir Next" w:hAnsi="Avenir Next" w:cs="Arial"/>
          <w:color w:val="7B7B7B" w:themeColor="accent3" w:themeShade="BF"/>
          <w:sz w:val="22"/>
          <w:szCs w:val="22"/>
          <w:lang w:val="en-GB"/>
        </w:rPr>
        <w:t>owe a debt to the debtor in question.</w:t>
      </w:r>
      <w:r w:rsidR="00263D03">
        <w:rPr>
          <w:rStyle w:val="FootnoteReference"/>
          <w:rFonts w:ascii="Avenir Next" w:hAnsi="Avenir Next" w:cs="Arial"/>
          <w:color w:val="7B7B7B" w:themeColor="accent3" w:themeShade="BF"/>
          <w:sz w:val="22"/>
          <w:szCs w:val="22"/>
          <w:lang w:val="en-GB"/>
        </w:rPr>
        <w:footnoteReference w:id="2"/>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CA2C85" w:rsidRDefault="00622C36" w:rsidP="00622C36">
      <w:pPr>
        <w:pStyle w:val="AODocTxt"/>
        <w:spacing w:before="0" w:line="240" w:lineRule="auto"/>
        <w:rPr>
          <w:rFonts w:ascii="Avenir Next Demi Bold" w:hAnsi="Avenir Next Demi Bold"/>
          <w:b/>
          <w:bCs/>
        </w:rPr>
      </w:pPr>
      <w:r w:rsidRPr="006F371A">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028053BE" w14:textId="77777777" w:rsidR="006F371A" w:rsidRDefault="006F371A" w:rsidP="006F3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individual must review the following:</w:t>
      </w:r>
    </w:p>
    <w:p w14:paraId="1019468A" w14:textId="77777777" w:rsidR="006F371A" w:rsidRDefault="006F371A" w:rsidP="006F371A">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Rules</w:t>
      </w:r>
    </w:p>
    <w:p w14:paraId="34B3DD8C" w14:textId="77777777" w:rsidR="006F371A" w:rsidRDefault="006F371A" w:rsidP="006F371A">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Civil Procedure</w:t>
      </w:r>
    </w:p>
    <w:p w14:paraId="7347244A" w14:textId="77777777" w:rsidR="006F371A" w:rsidRDefault="006F371A" w:rsidP="006F371A">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local rules of the bankruptcy court and the judge’s personal practices.</w:t>
      </w:r>
    </w:p>
    <w:p w14:paraId="70390C3F" w14:textId="560D6F16" w:rsidR="003A5537" w:rsidRPr="006F371A" w:rsidRDefault="006F371A" w:rsidP="006F3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 consult local practitioners for other consideration such as unwritten local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2EB213D0" w:rsidR="003A5537" w:rsidRDefault="00033B27" w:rsidP="00622C36">
      <w:pPr>
        <w:pStyle w:val="AODocTxt"/>
        <w:spacing w:before="0" w:line="240" w:lineRule="auto"/>
        <w:rPr>
          <w:rFonts w:ascii="Avenir Next" w:hAnsi="Avenir Next"/>
        </w:rPr>
      </w:pPr>
      <w:r>
        <w:rPr>
          <w:rFonts w:ascii="Avenir Next" w:hAnsi="Avenir Next"/>
        </w:rPr>
        <w:lastRenderedPageBreak/>
        <w:t xml:space="preserve">The </w:t>
      </w:r>
      <w:r w:rsidR="002C57C2">
        <w:rPr>
          <w:rFonts w:ascii="Avenir Next" w:hAnsi="Avenir Next"/>
        </w:rPr>
        <w:t xml:space="preserve">effect of </w:t>
      </w:r>
      <w:r>
        <w:rPr>
          <w:rFonts w:ascii="Avenir Next" w:hAnsi="Avenir Next"/>
        </w:rPr>
        <w:t>ab</w:t>
      </w:r>
      <w:r w:rsidR="00850D09">
        <w:rPr>
          <w:rFonts w:ascii="Avenir Next" w:hAnsi="Avenir Next"/>
        </w:rPr>
        <w:t xml:space="preserve">solute priority rule </w:t>
      </w:r>
      <w:r w:rsidR="002C57C2">
        <w:rPr>
          <w:rFonts w:ascii="Avenir Next" w:hAnsi="Avenir Next"/>
        </w:rPr>
        <w:t xml:space="preserve">are </w:t>
      </w:r>
      <w:r w:rsidR="008E2290">
        <w:rPr>
          <w:rFonts w:ascii="Avenir Next" w:hAnsi="Avenir Next"/>
        </w:rPr>
        <w:t xml:space="preserve">claims of dissenting class of creditors to be paid before </w:t>
      </w:r>
      <w:r w:rsidR="00AC069D">
        <w:rPr>
          <w:rFonts w:ascii="Avenir Next" w:hAnsi="Avenir Next"/>
        </w:rPr>
        <w:t xml:space="preserve">other </w:t>
      </w:r>
      <w:r w:rsidR="002C57C2">
        <w:rPr>
          <w:rFonts w:ascii="Avenir Next" w:hAnsi="Avenir Next"/>
        </w:rPr>
        <w:t>creditors</w:t>
      </w:r>
      <w:r w:rsidR="00BB02A0">
        <w:rPr>
          <w:rFonts w:ascii="Avenir Next" w:hAnsi="Avenir Next"/>
        </w:rPr>
        <w:t>.</w:t>
      </w:r>
      <w:r w:rsidR="004F7924">
        <w:rPr>
          <w:rStyle w:val="FootnoteReference"/>
          <w:rFonts w:ascii="Avenir Next" w:hAnsi="Avenir Next"/>
        </w:rPr>
        <w:footnoteReference w:id="3"/>
      </w:r>
      <w:r w:rsidR="00BB02A0">
        <w:rPr>
          <w:rFonts w:ascii="Avenir Next" w:hAnsi="Avenir Next"/>
        </w:rPr>
        <w:t xml:space="preserve"> However, </w:t>
      </w:r>
      <w:r w:rsidR="00655160">
        <w:rPr>
          <w:rFonts w:ascii="Avenir Next" w:hAnsi="Avenir Next"/>
        </w:rPr>
        <w:t xml:space="preserve">no creditor or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72963485" w:rsidR="003A5537" w:rsidRDefault="003407CC" w:rsidP="00622C36">
      <w:pPr>
        <w:pStyle w:val="AODocTxt"/>
        <w:spacing w:before="0" w:line="240" w:lineRule="auto"/>
        <w:rPr>
          <w:rFonts w:ascii="Avenir Next" w:hAnsi="Avenir Next"/>
        </w:rPr>
      </w:pPr>
      <w:r>
        <w:rPr>
          <w:rFonts w:ascii="Avenir Next" w:hAnsi="Avenir Next"/>
        </w:rPr>
        <w:t xml:space="preserve">A priming lien is </w:t>
      </w:r>
      <w:r w:rsidR="00A55ADD">
        <w:rPr>
          <w:rFonts w:ascii="Avenir Next" w:hAnsi="Avenir Next"/>
        </w:rPr>
        <w:t xml:space="preserve">where </w:t>
      </w:r>
      <w:r>
        <w:rPr>
          <w:rFonts w:ascii="Avenir Next" w:hAnsi="Avenir Next"/>
        </w:rPr>
        <w:t xml:space="preserve">a </w:t>
      </w:r>
      <w:r w:rsidR="00B944AC">
        <w:rPr>
          <w:rFonts w:ascii="Avenir Next" w:hAnsi="Avenir Next"/>
        </w:rPr>
        <w:t xml:space="preserve">post-bankruptcy </w:t>
      </w:r>
      <w:r w:rsidR="00961BC7">
        <w:rPr>
          <w:rFonts w:ascii="Avenir Next" w:hAnsi="Avenir Next"/>
        </w:rPr>
        <w:t>creditor is places in a higher</w:t>
      </w:r>
      <w:r w:rsidR="004C3E95">
        <w:rPr>
          <w:rFonts w:ascii="Avenir Next" w:hAnsi="Avenir Next"/>
        </w:rPr>
        <w:t xml:space="preserve"> or equal</w:t>
      </w:r>
      <w:r w:rsidR="00961BC7">
        <w:rPr>
          <w:rFonts w:ascii="Avenir Next" w:hAnsi="Avenir Next"/>
        </w:rPr>
        <w:t xml:space="preserve"> priority than a pre-bankruptcy creditor by the court</w:t>
      </w:r>
      <w:r w:rsidR="004C3E95">
        <w:rPr>
          <w:rFonts w:ascii="Avenir Next" w:hAnsi="Avenir Next"/>
        </w:rPr>
        <w:t>.</w:t>
      </w:r>
      <w:r w:rsidR="003709E9">
        <w:rPr>
          <w:rStyle w:val="FootnoteReference"/>
          <w:rFonts w:ascii="Avenir Next" w:hAnsi="Avenir Next"/>
        </w:rPr>
        <w:footnoteReference w:id="4"/>
      </w:r>
      <w:r w:rsidR="00BA18B6">
        <w:rPr>
          <w:rFonts w:ascii="Avenir Next" w:hAnsi="Avenir Next"/>
        </w:rPr>
        <w:t xml:space="preserve"> The requirement </w:t>
      </w:r>
      <w:r w:rsidR="009A1CF9">
        <w:rPr>
          <w:rFonts w:ascii="Avenir Next" w:hAnsi="Avenir Next"/>
        </w:rPr>
        <w:t xml:space="preserve">is that the debtor must demonstrate that that the secured creditor </w:t>
      </w:r>
      <w:r w:rsidR="004B5BEB">
        <w:rPr>
          <w:rFonts w:ascii="Avenir Next" w:hAnsi="Avenir Next"/>
        </w:rPr>
        <w:t>being primed is adequately protected.</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22A97D6" w14:textId="2833471D" w:rsidR="00E41578" w:rsidRDefault="006D28B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667070">
        <w:rPr>
          <w:rFonts w:ascii="Avenir Next" w:hAnsi="Avenir Next" w:cs="Arial"/>
          <w:color w:val="7B7B7B" w:themeColor="accent3" w:themeShade="BF"/>
          <w:sz w:val="22"/>
          <w:szCs w:val="22"/>
          <w:lang w:val="en-GB"/>
        </w:rPr>
        <w:t>preference</w:t>
      </w:r>
      <w:r>
        <w:rPr>
          <w:rFonts w:ascii="Avenir Next" w:hAnsi="Avenir Next" w:cs="Arial"/>
          <w:color w:val="7B7B7B" w:themeColor="accent3" w:themeShade="BF"/>
          <w:sz w:val="22"/>
          <w:szCs w:val="22"/>
          <w:lang w:val="en-GB"/>
        </w:rPr>
        <w:t xml:space="preserve"> is the payment of the debtor</w:t>
      </w:r>
      <w:r w:rsidR="00667070">
        <w:rPr>
          <w:rFonts w:ascii="Avenir Next" w:hAnsi="Avenir Next" w:cs="Arial"/>
          <w:color w:val="7B7B7B" w:themeColor="accent3" w:themeShade="BF"/>
          <w:sz w:val="22"/>
          <w:szCs w:val="22"/>
          <w:lang w:val="en-GB"/>
        </w:rPr>
        <w:t xml:space="preserve">’s assets paid to a creditor </w:t>
      </w:r>
      <w:r w:rsidR="00DC3C9E">
        <w:rPr>
          <w:rFonts w:ascii="Avenir Next" w:hAnsi="Avenir Next" w:cs="Arial"/>
          <w:color w:val="7B7B7B" w:themeColor="accent3" w:themeShade="BF"/>
          <w:sz w:val="22"/>
          <w:szCs w:val="22"/>
          <w:lang w:val="en-GB"/>
        </w:rPr>
        <w:t>before the bankruptcy proceedings</w:t>
      </w:r>
      <w:r w:rsidR="002767F4">
        <w:rPr>
          <w:rFonts w:ascii="Avenir Next" w:hAnsi="Avenir Next" w:cs="Arial"/>
          <w:color w:val="7B7B7B" w:themeColor="accent3" w:themeShade="BF"/>
          <w:sz w:val="22"/>
          <w:szCs w:val="22"/>
          <w:lang w:val="en-GB"/>
        </w:rPr>
        <w:t>.</w:t>
      </w:r>
      <w:r w:rsidR="002767F4">
        <w:rPr>
          <w:rStyle w:val="FootnoteReference"/>
          <w:rFonts w:ascii="Avenir Next" w:hAnsi="Avenir Next" w:cs="Arial"/>
          <w:color w:val="7B7B7B" w:themeColor="accent3" w:themeShade="BF"/>
          <w:sz w:val="22"/>
          <w:szCs w:val="22"/>
          <w:lang w:val="en-GB"/>
        </w:rPr>
        <w:footnoteReference w:id="5"/>
      </w:r>
      <w:r w:rsidR="00F648AD">
        <w:rPr>
          <w:rFonts w:ascii="Avenir Next" w:hAnsi="Avenir Next" w:cs="Arial"/>
          <w:color w:val="7B7B7B" w:themeColor="accent3" w:themeShade="BF"/>
          <w:sz w:val="22"/>
          <w:szCs w:val="22"/>
          <w:lang w:val="en-GB"/>
        </w:rPr>
        <w:t xml:space="preserve"> </w:t>
      </w:r>
      <w:r w:rsidR="002F0174">
        <w:rPr>
          <w:rFonts w:ascii="Avenir Next" w:hAnsi="Avenir Next" w:cs="Arial"/>
          <w:color w:val="7B7B7B" w:themeColor="accent3" w:themeShade="BF"/>
          <w:sz w:val="22"/>
          <w:szCs w:val="22"/>
          <w:lang w:val="en-GB"/>
        </w:rPr>
        <w:t xml:space="preserve">Normally the payments are made within 90 days </w:t>
      </w:r>
      <w:r w:rsidR="001E6EC1">
        <w:rPr>
          <w:rFonts w:ascii="Avenir Next" w:hAnsi="Avenir Next" w:cs="Arial"/>
          <w:color w:val="7B7B7B" w:themeColor="accent3" w:themeShade="BF"/>
          <w:sz w:val="22"/>
          <w:szCs w:val="22"/>
          <w:lang w:val="en-GB"/>
        </w:rPr>
        <w:t>before filing for bankruptcy</w:t>
      </w:r>
      <w:r w:rsidR="00CA369B">
        <w:rPr>
          <w:rFonts w:ascii="Avenir Next" w:hAnsi="Avenir Next" w:cs="Arial"/>
          <w:color w:val="7B7B7B" w:themeColor="accent3" w:themeShade="BF"/>
          <w:sz w:val="22"/>
          <w:szCs w:val="22"/>
          <w:lang w:val="en-GB"/>
        </w:rPr>
        <w:t xml:space="preserve"> (or 1 year if the creditors </w:t>
      </w:r>
      <w:r w:rsidR="001268BE">
        <w:rPr>
          <w:rFonts w:ascii="Avenir Next" w:hAnsi="Avenir Next" w:cs="Arial"/>
          <w:color w:val="7B7B7B" w:themeColor="accent3" w:themeShade="BF"/>
          <w:sz w:val="22"/>
          <w:szCs w:val="22"/>
          <w:lang w:val="en-GB"/>
        </w:rPr>
        <w:t>is termed as an insider).</w:t>
      </w:r>
      <w:r w:rsidR="001268BE">
        <w:rPr>
          <w:rStyle w:val="FootnoteReference"/>
          <w:rFonts w:ascii="Avenir Next" w:hAnsi="Avenir Next" w:cs="Arial"/>
          <w:color w:val="7B7B7B" w:themeColor="accent3" w:themeShade="BF"/>
          <w:sz w:val="22"/>
          <w:szCs w:val="22"/>
          <w:lang w:val="en-GB"/>
        </w:rPr>
        <w:footnoteReference w:id="6"/>
      </w:r>
      <w:r w:rsidR="00C43633">
        <w:rPr>
          <w:rFonts w:ascii="Avenir Next" w:hAnsi="Avenir Next" w:cs="Arial"/>
          <w:color w:val="7B7B7B" w:themeColor="accent3" w:themeShade="BF"/>
          <w:sz w:val="22"/>
          <w:szCs w:val="22"/>
          <w:lang w:val="en-GB"/>
        </w:rPr>
        <w:t xml:space="preserve"> </w:t>
      </w:r>
      <w:r w:rsidR="0012352E">
        <w:rPr>
          <w:rFonts w:ascii="Avenir Next" w:hAnsi="Avenir Next" w:cs="Arial"/>
          <w:color w:val="7B7B7B" w:themeColor="accent3" w:themeShade="BF"/>
          <w:sz w:val="22"/>
          <w:szCs w:val="22"/>
          <w:lang w:val="en-GB"/>
        </w:rPr>
        <w:t xml:space="preserve">The requirements are: that the debtor received something of value that belongs to the </w:t>
      </w:r>
      <w:r w:rsidR="00742BC6">
        <w:rPr>
          <w:rFonts w:ascii="Avenir Next" w:hAnsi="Avenir Next" w:cs="Arial"/>
          <w:color w:val="7B7B7B" w:themeColor="accent3" w:themeShade="BF"/>
          <w:sz w:val="22"/>
          <w:szCs w:val="22"/>
          <w:lang w:val="en-GB"/>
        </w:rPr>
        <w:t xml:space="preserve">debtor; </w:t>
      </w:r>
      <w:r w:rsidR="007F2F91">
        <w:rPr>
          <w:rFonts w:ascii="Avenir Next" w:hAnsi="Avenir Next" w:cs="Arial"/>
          <w:color w:val="7B7B7B" w:themeColor="accent3" w:themeShade="BF"/>
          <w:sz w:val="22"/>
          <w:szCs w:val="22"/>
          <w:lang w:val="en-GB"/>
        </w:rPr>
        <w:t xml:space="preserve">the debtor was not obliged to give the </w:t>
      </w:r>
      <w:r w:rsidR="008E3FB3">
        <w:rPr>
          <w:rFonts w:ascii="Avenir Next" w:hAnsi="Avenir Next" w:cs="Arial"/>
          <w:color w:val="7B7B7B" w:themeColor="accent3" w:themeShade="BF"/>
          <w:sz w:val="22"/>
          <w:szCs w:val="22"/>
          <w:lang w:val="en-GB"/>
        </w:rPr>
        <w:t>asset to the creditor but w</w:t>
      </w:r>
      <w:r w:rsidR="00D033F5">
        <w:rPr>
          <w:rFonts w:ascii="Avenir Next" w:hAnsi="Avenir Next" w:cs="Arial"/>
          <w:color w:val="7B7B7B" w:themeColor="accent3" w:themeShade="BF"/>
          <w:sz w:val="22"/>
          <w:szCs w:val="22"/>
          <w:lang w:val="en-GB"/>
        </w:rPr>
        <w:t>a</w:t>
      </w:r>
      <w:r w:rsidR="008E3FB3">
        <w:rPr>
          <w:rFonts w:ascii="Avenir Next" w:hAnsi="Avenir Next" w:cs="Arial"/>
          <w:color w:val="7B7B7B" w:themeColor="accent3" w:themeShade="BF"/>
          <w:sz w:val="22"/>
          <w:szCs w:val="22"/>
          <w:lang w:val="en-GB"/>
        </w:rPr>
        <w:t xml:space="preserve">s intended to benefit that creditor; </w:t>
      </w:r>
      <w:r w:rsidR="004B600C">
        <w:rPr>
          <w:rFonts w:ascii="Avenir Next" w:hAnsi="Avenir Next" w:cs="Arial"/>
          <w:color w:val="7B7B7B" w:themeColor="accent3" w:themeShade="BF"/>
          <w:sz w:val="22"/>
          <w:szCs w:val="22"/>
          <w:lang w:val="en-GB"/>
        </w:rPr>
        <w:t xml:space="preserve">the payment is done to cover an outstanding amount; </w:t>
      </w:r>
      <w:r w:rsidR="00C33076">
        <w:rPr>
          <w:rFonts w:ascii="Avenir Next" w:hAnsi="Avenir Next" w:cs="Arial"/>
          <w:color w:val="7B7B7B" w:themeColor="accent3" w:themeShade="BF"/>
          <w:sz w:val="22"/>
          <w:szCs w:val="22"/>
          <w:lang w:val="en-GB"/>
        </w:rPr>
        <w:t xml:space="preserve">the payment was made when the debtor was insolvent; and the effect is that the creditor due to the payment will be in a better position than they would have been </w:t>
      </w:r>
      <w:r w:rsidR="00D033F5">
        <w:rPr>
          <w:rFonts w:ascii="Avenir Next" w:hAnsi="Avenir Next" w:cs="Arial"/>
          <w:color w:val="7B7B7B" w:themeColor="accent3" w:themeShade="BF"/>
          <w:sz w:val="22"/>
          <w:szCs w:val="22"/>
          <w:lang w:val="en-GB"/>
        </w:rPr>
        <w:t>through the bankruptcy process.</w:t>
      </w:r>
      <w:r w:rsidR="00D033F5">
        <w:rPr>
          <w:rStyle w:val="FootnoteReference"/>
          <w:rFonts w:ascii="Avenir Next" w:hAnsi="Avenir Next" w:cs="Arial"/>
          <w:color w:val="7B7B7B" w:themeColor="accent3" w:themeShade="BF"/>
          <w:sz w:val="22"/>
          <w:szCs w:val="22"/>
          <w:lang w:val="en-GB"/>
        </w:rPr>
        <w:footnoteReference w:id="7"/>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7B4DE3A" w14:textId="646E7E3B" w:rsidR="00E01803" w:rsidRDefault="00D83B30" w:rsidP="00791D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 orders i</w:t>
      </w:r>
      <w:r w:rsidR="00AF2760">
        <w:rPr>
          <w:rFonts w:ascii="Avenir Next" w:hAnsi="Avenir Next" w:cs="Arial"/>
          <w:color w:val="7B7B7B" w:themeColor="accent3" w:themeShade="BF"/>
          <w:sz w:val="22"/>
          <w:szCs w:val="22"/>
          <w:lang w:val="en-GB"/>
        </w:rPr>
        <w:t xml:space="preserve">n bankruptcy courts are orders where </w:t>
      </w:r>
      <w:r w:rsidR="00432B4E">
        <w:rPr>
          <w:rFonts w:ascii="Avenir Next" w:hAnsi="Avenir Next" w:cs="Arial"/>
          <w:color w:val="7B7B7B" w:themeColor="accent3" w:themeShade="BF"/>
          <w:sz w:val="22"/>
          <w:szCs w:val="22"/>
          <w:lang w:val="en-GB"/>
        </w:rPr>
        <w:t xml:space="preserve">all the issues brought to the courts regarding the </w:t>
      </w:r>
      <w:r w:rsidR="00BF4ACF">
        <w:rPr>
          <w:rFonts w:ascii="Avenir Next" w:hAnsi="Avenir Next" w:cs="Arial"/>
          <w:color w:val="7B7B7B" w:themeColor="accent3" w:themeShade="BF"/>
          <w:sz w:val="22"/>
          <w:szCs w:val="22"/>
          <w:lang w:val="en-GB"/>
        </w:rPr>
        <w:t>debtor are dealt with.</w:t>
      </w:r>
      <w:r w:rsidR="007B6FB7">
        <w:rPr>
          <w:rStyle w:val="FootnoteReference"/>
          <w:rFonts w:ascii="Avenir Next" w:hAnsi="Avenir Next" w:cs="Arial"/>
          <w:color w:val="7B7B7B" w:themeColor="accent3" w:themeShade="BF"/>
          <w:sz w:val="22"/>
          <w:szCs w:val="22"/>
          <w:lang w:val="en-GB"/>
        </w:rPr>
        <w:footnoteReference w:id="8"/>
      </w:r>
      <w:r w:rsidR="005F4B86">
        <w:rPr>
          <w:rFonts w:ascii="Avenir Next" w:hAnsi="Avenir Next" w:cs="Arial"/>
          <w:color w:val="7B7B7B" w:themeColor="accent3" w:themeShade="BF"/>
          <w:sz w:val="22"/>
          <w:szCs w:val="22"/>
          <w:lang w:val="en-GB"/>
        </w:rPr>
        <w:t xml:space="preserve"> The </w:t>
      </w:r>
      <w:r w:rsidR="00791D16">
        <w:rPr>
          <w:rFonts w:ascii="Avenir Next" w:hAnsi="Avenir Next" w:cs="Arial"/>
          <w:color w:val="7B7B7B" w:themeColor="accent3" w:themeShade="BF"/>
          <w:sz w:val="22"/>
          <w:szCs w:val="22"/>
          <w:lang w:val="en-GB"/>
        </w:rPr>
        <w:t xml:space="preserve">bankruptcy courts will hence have no more issues to </w:t>
      </w:r>
      <w:r w:rsidR="007C19B6">
        <w:rPr>
          <w:rFonts w:ascii="Avenir Next" w:hAnsi="Avenir Next" w:cs="Arial"/>
          <w:color w:val="7B7B7B" w:themeColor="accent3" w:themeShade="BF"/>
          <w:sz w:val="22"/>
          <w:szCs w:val="22"/>
          <w:lang w:val="en-GB"/>
        </w:rPr>
        <w:t>resolve on</w:t>
      </w:r>
      <w:r w:rsidR="00791D16">
        <w:rPr>
          <w:rFonts w:ascii="Avenir Next" w:hAnsi="Avenir Next" w:cs="Arial"/>
          <w:color w:val="7B7B7B" w:themeColor="accent3" w:themeShade="BF"/>
          <w:sz w:val="22"/>
          <w:szCs w:val="22"/>
          <w:lang w:val="en-GB"/>
        </w:rPr>
        <w:t xml:space="preserve"> the matter bro</w:t>
      </w:r>
      <w:r w:rsidR="007C19B6">
        <w:rPr>
          <w:rFonts w:ascii="Avenir Next" w:hAnsi="Avenir Next" w:cs="Arial"/>
          <w:color w:val="7B7B7B" w:themeColor="accent3" w:themeShade="BF"/>
          <w:sz w:val="22"/>
          <w:szCs w:val="22"/>
          <w:lang w:val="en-GB"/>
        </w:rPr>
        <w:t xml:space="preserve">ught forth before it. Once a </w:t>
      </w:r>
      <w:r w:rsidR="007D550E">
        <w:rPr>
          <w:rFonts w:ascii="Avenir Next" w:hAnsi="Avenir Next" w:cs="Arial"/>
          <w:color w:val="7B7B7B" w:themeColor="accent3" w:themeShade="BF"/>
          <w:sz w:val="22"/>
          <w:szCs w:val="22"/>
          <w:lang w:val="en-GB"/>
        </w:rPr>
        <w:t>final bankruptcy order is made by the court, the parties are free to appeal the decision</w:t>
      </w:r>
      <w:r w:rsidR="007921D7">
        <w:rPr>
          <w:rFonts w:ascii="Avenir Next" w:hAnsi="Avenir Next" w:cs="Arial"/>
          <w:color w:val="7B7B7B" w:themeColor="accent3" w:themeShade="BF"/>
          <w:sz w:val="22"/>
          <w:szCs w:val="22"/>
          <w:lang w:val="en-GB"/>
        </w:rPr>
        <w:t xml:space="preserve"> in district courts</w:t>
      </w:r>
      <w:r w:rsidR="00645593">
        <w:rPr>
          <w:rFonts w:ascii="Avenir Next" w:hAnsi="Avenir Next" w:cs="Arial"/>
          <w:color w:val="7B7B7B" w:themeColor="accent3" w:themeShade="BF"/>
          <w:sz w:val="22"/>
          <w:szCs w:val="22"/>
          <w:lang w:val="en-GB"/>
        </w:rPr>
        <w:t xml:space="preserve"> or </w:t>
      </w:r>
      <w:r w:rsidR="00D30632">
        <w:rPr>
          <w:rFonts w:ascii="Avenir Next" w:hAnsi="Avenir Next" w:cs="Arial"/>
          <w:color w:val="7B7B7B" w:themeColor="accent3" w:themeShade="BF"/>
          <w:sz w:val="22"/>
          <w:szCs w:val="22"/>
          <w:lang w:val="en-GB"/>
        </w:rPr>
        <w:t>Bankruptcy Appellant Panel</w:t>
      </w:r>
      <w:r w:rsidR="007D550E">
        <w:rPr>
          <w:rFonts w:ascii="Avenir Next" w:hAnsi="Avenir Next" w:cs="Arial"/>
          <w:color w:val="7B7B7B" w:themeColor="accent3" w:themeShade="BF"/>
          <w:sz w:val="22"/>
          <w:szCs w:val="22"/>
          <w:lang w:val="en-GB"/>
        </w:rPr>
        <w:t>.</w:t>
      </w:r>
      <w:r w:rsidR="00C916F1">
        <w:rPr>
          <w:rStyle w:val="FootnoteReference"/>
          <w:rFonts w:ascii="Avenir Next" w:hAnsi="Avenir Next" w:cs="Arial"/>
          <w:color w:val="7B7B7B" w:themeColor="accent3" w:themeShade="BF"/>
          <w:sz w:val="22"/>
          <w:szCs w:val="22"/>
          <w:lang w:val="en-GB"/>
        </w:rPr>
        <w:footnoteReference w:id="9"/>
      </w:r>
      <w:r w:rsidR="00EE7908">
        <w:rPr>
          <w:rFonts w:ascii="Avenir Next" w:hAnsi="Avenir Next" w:cs="Arial"/>
          <w:color w:val="7B7B7B" w:themeColor="accent3" w:themeShade="BF"/>
          <w:sz w:val="22"/>
          <w:szCs w:val="22"/>
          <w:lang w:val="en-GB"/>
        </w:rPr>
        <w:t xml:space="preserve"> </w:t>
      </w:r>
      <w:r w:rsidR="00F30FB7">
        <w:rPr>
          <w:rFonts w:ascii="Avenir Next" w:hAnsi="Avenir Next" w:cs="Arial"/>
          <w:color w:val="7B7B7B" w:themeColor="accent3" w:themeShade="BF"/>
          <w:sz w:val="22"/>
          <w:szCs w:val="22"/>
          <w:lang w:val="en-GB"/>
        </w:rPr>
        <w:t xml:space="preserve">If there are still pending matters, the </w:t>
      </w:r>
      <w:r w:rsidR="00B75C2A">
        <w:rPr>
          <w:rFonts w:ascii="Avenir Next" w:hAnsi="Avenir Next" w:cs="Arial"/>
          <w:color w:val="7B7B7B" w:themeColor="accent3" w:themeShade="BF"/>
          <w:sz w:val="22"/>
          <w:szCs w:val="22"/>
          <w:lang w:val="en-GB"/>
        </w:rPr>
        <w:t>order given cannot be appealed</w:t>
      </w:r>
      <w:r w:rsidR="00B74E1C">
        <w:rPr>
          <w:rFonts w:ascii="Avenir Next" w:hAnsi="Avenir Next" w:cs="Arial"/>
          <w:color w:val="7B7B7B" w:themeColor="accent3" w:themeShade="BF"/>
          <w:sz w:val="22"/>
          <w:szCs w:val="22"/>
          <w:lang w:val="en-GB"/>
        </w:rPr>
        <w:t xml:space="preserve">. </w:t>
      </w:r>
      <w:r w:rsidR="006C10A4">
        <w:rPr>
          <w:rFonts w:ascii="Avenir Next" w:hAnsi="Avenir Next" w:cs="Arial"/>
          <w:color w:val="7B7B7B" w:themeColor="accent3" w:themeShade="BF"/>
          <w:sz w:val="22"/>
          <w:szCs w:val="22"/>
          <w:lang w:val="en-GB"/>
        </w:rPr>
        <w:t xml:space="preserve">In a case where the creditors of the debtor still have unresolved matters in the bankruptcy court, all matters </w:t>
      </w:r>
      <w:r w:rsidR="000704D0">
        <w:rPr>
          <w:rFonts w:ascii="Avenir Next" w:hAnsi="Avenir Next" w:cs="Arial"/>
          <w:color w:val="7B7B7B" w:themeColor="accent3" w:themeShade="BF"/>
          <w:sz w:val="22"/>
          <w:szCs w:val="22"/>
          <w:lang w:val="en-GB"/>
        </w:rPr>
        <w:t>must</w:t>
      </w:r>
      <w:r w:rsidR="006C10A4">
        <w:rPr>
          <w:rFonts w:ascii="Avenir Next" w:hAnsi="Avenir Next" w:cs="Arial"/>
          <w:color w:val="7B7B7B" w:themeColor="accent3" w:themeShade="BF"/>
          <w:sz w:val="22"/>
          <w:szCs w:val="22"/>
          <w:lang w:val="en-GB"/>
        </w:rPr>
        <w:t xml:space="preserve"> be settled and that the court does not have anything </w:t>
      </w:r>
      <w:r w:rsidR="006C10A4">
        <w:rPr>
          <w:rFonts w:ascii="Avenir Next" w:hAnsi="Avenir Next" w:cs="Arial"/>
          <w:color w:val="7B7B7B" w:themeColor="accent3" w:themeShade="BF"/>
          <w:sz w:val="22"/>
          <w:szCs w:val="22"/>
          <w:lang w:val="en-GB"/>
        </w:rPr>
        <w:lastRenderedPageBreak/>
        <w:t>else to decide o</w:t>
      </w:r>
      <w:r w:rsidR="0018549C">
        <w:rPr>
          <w:rFonts w:ascii="Avenir Next" w:hAnsi="Avenir Next" w:cs="Arial"/>
          <w:color w:val="7B7B7B" w:themeColor="accent3" w:themeShade="BF"/>
          <w:sz w:val="22"/>
          <w:szCs w:val="22"/>
          <w:lang w:val="en-GB"/>
        </w:rPr>
        <w:t>n, hence a final order is made</w:t>
      </w:r>
      <w:r w:rsidR="00C35CF6">
        <w:rPr>
          <w:rFonts w:ascii="Avenir Next" w:hAnsi="Avenir Next" w:cs="Arial"/>
          <w:color w:val="7B7B7B" w:themeColor="accent3" w:themeShade="BF"/>
          <w:sz w:val="22"/>
          <w:szCs w:val="22"/>
          <w:lang w:val="en-GB"/>
        </w:rPr>
        <w:t xml:space="preserve">. </w:t>
      </w:r>
      <w:r w:rsidR="002A3416">
        <w:rPr>
          <w:rFonts w:ascii="Avenir Next" w:hAnsi="Avenir Next" w:cs="Arial"/>
          <w:color w:val="7B7B7B" w:themeColor="accent3" w:themeShade="BF"/>
          <w:sz w:val="22"/>
          <w:szCs w:val="22"/>
          <w:lang w:val="en-GB"/>
        </w:rPr>
        <w:t xml:space="preserve">Conversely, an interlocutory order </w:t>
      </w:r>
      <w:r w:rsidR="007C6E20">
        <w:rPr>
          <w:rFonts w:ascii="Avenir Next" w:hAnsi="Avenir Next" w:cs="Arial"/>
          <w:color w:val="7B7B7B" w:themeColor="accent3" w:themeShade="BF"/>
          <w:sz w:val="22"/>
          <w:szCs w:val="22"/>
          <w:lang w:val="en-GB"/>
        </w:rPr>
        <w:t>gives</w:t>
      </w:r>
      <w:r w:rsidR="002A3416">
        <w:rPr>
          <w:rFonts w:ascii="Avenir Next" w:hAnsi="Avenir Next" w:cs="Arial"/>
          <w:color w:val="7B7B7B" w:themeColor="accent3" w:themeShade="BF"/>
          <w:sz w:val="22"/>
          <w:szCs w:val="22"/>
          <w:lang w:val="en-GB"/>
        </w:rPr>
        <w:t xml:space="preserve"> judgements on some of the issues </w:t>
      </w:r>
      <w:r w:rsidR="001A23F3">
        <w:rPr>
          <w:rFonts w:ascii="Avenir Next" w:hAnsi="Avenir Next" w:cs="Arial"/>
          <w:color w:val="7B7B7B" w:themeColor="accent3" w:themeShade="BF"/>
          <w:sz w:val="22"/>
          <w:szCs w:val="22"/>
          <w:lang w:val="en-GB"/>
        </w:rPr>
        <w:t>presented to the court</w:t>
      </w:r>
      <w:r w:rsidR="00D632E0">
        <w:rPr>
          <w:rFonts w:ascii="Avenir Next" w:hAnsi="Avenir Next" w:cs="Arial"/>
          <w:color w:val="7B7B7B" w:themeColor="accent3" w:themeShade="BF"/>
          <w:sz w:val="22"/>
          <w:szCs w:val="22"/>
          <w:lang w:val="en-GB"/>
        </w:rPr>
        <w:t>.</w:t>
      </w:r>
      <w:r w:rsidR="007C6E20">
        <w:rPr>
          <w:rStyle w:val="FootnoteReference"/>
          <w:rFonts w:ascii="Avenir Next" w:hAnsi="Avenir Next" w:cs="Arial"/>
          <w:color w:val="7B7B7B" w:themeColor="accent3" w:themeShade="BF"/>
          <w:sz w:val="22"/>
          <w:szCs w:val="22"/>
          <w:lang w:val="en-GB"/>
        </w:rPr>
        <w:footnoteReference w:id="10"/>
      </w:r>
    </w:p>
    <w:p w14:paraId="7DED9CF5" w14:textId="1FAB690E" w:rsidR="00FF5238" w:rsidRDefault="00FF5238" w:rsidP="00791D16">
      <w:pPr>
        <w:jc w:val="both"/>
        <w:rPr>
          <w:rFonts w:ascii="Avenir Next" w:hAnsi="Avenir Next" w:cs="Arial"/>
          <w:color w:val="7B7B7B" w:themeColor="accent3" w:themeShade="BF"/>
          <w:sz w:val="22"/>
          <w:szCs w:val="22"/>
          <w:lang w:val="en-GB"/>
        </w:rPr>
      </w:pPr>
    </w:p>
    <w:p w14:paraId="0DE9EFEB" w14:textId="38A2A318" w:rsidR="00FF5238" w:rsidRDefault="00FF5238" w:rsidP="00791D16">
      <w:pPr>
        <w:jc w:val="both"/>
        <w:rPr>
          <w:rFonts w:ascii="Avenir Next" w:hAnsi="Avenir Next"/>
        </w:rPr>
      </w:pPr>
      <w:r>
        <w:rPr>
          <w:rFonts w:ascii="Avenir Next" w:hAnsi="Avenir Next" w:cs="Arial"/>
          <w:color w:val="7B7B7B" w:themeColor="accent3" w:themeShade="BF"/>
          <w:sz w:val="22"/>
          <w:szCs w:val="22"/>
          <w:lang w:val="en-GB"/>
        </w:rPr>
        <w:t xml:space="preserve">On appeal non-final orders are reviewed by the </w:t>
      </w:r>
      <w:r w:rsidR="003A156F">
        <w:rPr>
          <w:rFonts w:ascii="Avenir Next" w:hAnsi="Avenir Next" w:cs="Arial"/>
          <w:color w:val="7B7B7B" w:themeColor="accent3" w:themeShade="BF"/>
          <w:sz w:val="22"/>
          <w:szCs w:val="22"/>
          <w:lang w:val="en-GB"/>
        </w:rPr>
        <w:t>district court or BAP</w:t>
      </w:r>
      <w:r w:rsidR="00696024">
        <w:rPr>
          <w:rFonts w:ascii="Avenir Next" w:hAnsi="Avenir Next" w:cs="Arial"/>
          <w:color w:val="7B7B7B" w:themeColor="accent3" w:themeShade="BF"/>
          <w:sz w:val="22"/>
          <w:szCs w:val="22"/>
          <w:lang w:val="en-GB"/>
        </w:rPr>
        <w:t xml:space="preserve">. The aim of the review is to access the matter in </w:t>
      </w:r>
      <w:r w:rsidR="0024730D">
        <w:rPr>
          <w:rFonts w:ascii="Avenir Next" w:hAnsi="Avenir Next" w:cs="Arial"/>
          <w:color w:val="7B7B7B" w:themeColor="accent3" w:themeShade="BF"/>
          <w:sz w:val="22"/>
          <w:szCs w:val="22"/>
          <w:lang w:val="en-GB"/>
        </w:rPr>
        <w:t xml:space="preserve">a manner a new as if the bankruptcy court had not made the decision looking specifically at </w:t>
      </w:r>
      <w:r w:rsidR="00550E9C">
        <w:rPr>
          <w:rFonts w:ascii="Avenir Next" w:hAnsi="Avenir Next" w:cs="Arial"/>
          <w:color w:val="7B7B7B" w:themeColor="accent3" w:themeShade="BF"/>
          <w:sz w:val="22"/>
          <w:szCs w:val="22"/>
          <w:lang w:val="en-GB"/>
        </w:rPr>
        <w:t xml:space="preserve">all the findings of facts and </w:t>
      </w:r>
      <w:r w:rsidR="00E450CF">
        <w:rPr>
          <w:rFonts w:ascii="Avenir Next" w:hAnsi="Avenir Next" w:cs="Arial"/>
          <w:color w:val="7B7B7B" w:themeColor="accent3" w:themeShade="BF"/>
          <w:sz w:val="22"/>
          <w:szCs w:val="22"/>
          <w:lang w:val="en-GB"/>
        </w:rPr>
        <w:t>conclusions of law to which any of the parties has objected to.</w:t>
      </w:r>
      <w:r w:rsidR="000A14EB">
        <w:rPr>
          <w:rFonts w:ascii="Avenir Next" w:hAnsi="Avenir Next" w:cs="Arial"/>
          <w:color w:val="7B7B7B" w:themeColor="accent3" w:themeShade="BF"/>
          <w:sz w:val="22"/>
          <w:szCs w:val="22"/>
          <w:lang w:val="en-GB"/>
        </w:rPr>
        <w:t xml:space="preserve"> This is contrast of the reviews of appeals of final orders. In final orders the </w:t>
      </w:r>
      <w:r w:rsidR="006B5521">
        <w:rPr>
          <w:rFonts w:ascii="Avenir Next" w:hAnsi="Avenir Next" w:cs="Arial"/>
          <w:color w:val="7B7B7B" w:themeColor="accent3" w:themeShade="BF"/>
          <w:sz w:val="22"/>
          <w:szCs w:val="22"/>
          <w:lang w:val="en-GB"/>
        </w:rPr>
        <w:t>district court and BAP access the matter anew</w:t>
      </w:r>
      <w:r w:rsidR="00AF3EED">
        <w:rPr>
          <w:rFonts w:ascii="Avenir Next" w:hAnsi="Avenir Next" w:cs="Arial"/>
          <w:color w:val="7B7B7B" w:themeColor="accent3" w:themeShade="BF"/>
          <w:sz w:val="22"/>
          <w:szCs w:val="22"/>
          <w:lang w:val="en-GB"/>
        </w:rPr>
        <w:t xml:space="preserve"> looking at the conclusions of the law</w:t>
      </w:r>
      <w:r w:rsidR="00360C3B">
        <w:rPr>
          <w:rFonts w:ascii="Avenir Next" w:hAnsi="Avenir Next" w:cs="Arial"/>
          <w:color w:val="7B7B7B" w:themeColor="accent3" w:themeShade="BF"/>
          <w:sz w:val="22"/>
          <w:szCs w:val="22"/>
          <w:lang w:val="en-GB"/>
        </w:rPr>
        <w:t xml:space="preserve"> and whether on the facts there has been an abuse of discretion by the lower courts.</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D09EA" w:rsidRDefault="00E01803" w:rsidP="000778B1">
      <w:pPr>
        <w:pStyle w:val="AODocTxt"/>
        <w:spacing w:before="0" w:line="240" w:lineRule="auto"/>
        <w:rPr>
          <w:rFonts w:ascii="Avenir Next Demi Bold" w:hAnsi="Avenir Next Demi Bold"/>
          <w:b/>
          <w:bCs/>
        </w:rPr>
      </w:pPr>
      <w:r w:rsidRPr="00FC12CC">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6ABFBFDF" w:rsidR="00E01803" w:rsidRDefault="00E2494C" w:rsidP="000778B1">
      <w:pPr>
        <w:pStyle w:val="AODocTxt"/>
        <w:spacing w:before="0" w:line="240" w:lineRule="auto"/>
        <w:rPr>
          <w:rFonts w:ascii="Avenir Next" w:hAnsi="Avenir Next"/>
        </w:rPr>
      </w:pPr>
      <w:r>
        <w:rPr>
          <w:rFonts w:ascii="Avenir Next" w:hAnsi="Avenir Next"/>
        </w:rPr>
        <w:t>Chapter 15</w:t>
      </w:r>
      <w:r w:rsidR="00FC12CC">
        <w:rPr>
          <w:rFonts w:ascii="Avenir Next" w:hAnsi="Avenir Next"/>
        </w:rPr>
        <w:t xml:space="preserve">.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6E59ADC1" w14:textId="4334CDFE" w:rsidR="00C33BE8" w:rsidRDefault="00DA750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w:t>
      </w:r>
      <w:r w:rsidR="002C1C1D">
        <w:rPr>
          <w:rFonts w:ascii="Avenir Next" w:hAnsi="Avenir Next" w:cs="Arial"/>
          <w:color w:val="7B7B7B" w:themeColor="accent3" w:themeShade="BF"/>
          <w:sz w:val="22"/>
          <w:szCs w:val="22"/>
          <w:lang w:val="en-GB"/>
        </w:rPr>
        <w:t xml:space="preserve"> duties are </w:t>
      </w:r>
      <w:r w:rsidR="00A02649">
        <w:rPr>
          <w:rFonts w:ascii="Avenir Next" w:hAnsi="Avenir Next" w:cs="Arial"/>
          <w:color w:val="7B7B7B" w:themeColor="accent3" w:themeShade="BF"/>
          <w:sz w:val="22"/>
          <w:szCs w:val="22"/>
          <w:lang w:val="en-GB"/>
        </w:rPr>
        <w:t>owed to the Delaware corporation and not any of its stakeholders</w:t>
      </w:r>
      <w:r w:rsidR="003C4019">
        <w:rPr>
          <w:rFonts w:ascii="Avenir Next" w:hAnsi="Avenir Next" w:cs="Arial"/>
          <w:color w:val="7B7B7B" w:themeColor="accent3" w:themeShade="BF"/>
          <w:sz w:val="22"/>
          <w:szCs w:val="22"/>
          <w:lang w:val="en-GB"/>
        </w:rPr>
        <w:t xml:space="preserve"> when the company is solvent</w:t>
      </w:r>
      <w:r w:rsidR="00A02649">
        <w:rPr>
          <w:rFonts w:ascii="Avenir Next" w:hAnsi="Avenir Next" w:cs="Arial"/>
          <w:color w:val="7B7B7B" w:themeColor="accent3" w:themeShade="BF"/>
          <w:sz w:val="22"/>
          <w:szCs w:val="22"/>
          <w:lang w:val="en-GB"/>
        </w:rPr>
        <w:t>.</w:t>
      </w:r>
      <w:r w:rsidR="00A02649">
        <w:rPr>
          <w:rStyle w:val="FootnoteReference"/>
          <w:rFonts w:ascii="Avenir Next" w:hAnsi="Avenir Next" w:cs="Arial"/>
          <w:color w:val="7B7B7B" w:themeColor="accent3" w:themeShade="BF"/>
          <w:sz w:val="22"/>
          <w:szCs w:val="22"/>
          <w:lang w:val="en-GB"/>
        </w:rPr>
        <w:footnoteReference w:id="11"/>
      </w:r>
      <w:r w:rsidR="003C4019">
        <w:rPr>
          <w:rFonts w:ascii="Avenir Next" w:hAnsi="Avenir Next" w:cs="Arial"/>
          <w:color w:val="7B7B7B" w:themeColor="accent3" w:themeShade="BF"/>
          <w:sz w:val="22"/>
          <w:szCs w:val="22"/>
          <w:lang w:val="en-GB"/>
        </w:rPr>
        <w:t xml:space="preserve"> </w:t>
      </w:r>
      <w:r w:rsidR="00671DAA">
        <w:rPr>
          <w:rFonts w:ascii="Avenir Next" w:hAnsi="Avenir Next" w:cs="Arial"/>
          <w:color w:val="7B7B7B" w:themeColor="accent3" w:themeShade="BF"/>
          <w:sz w:val="22"/>
          <w:szCs w:val="22"/>
          <w:lang w:val="en-GB"/>
        </w:rPr>
        <w:t xml:space="preserve">The duties that are owed are </w:t>
      </w:r>
      <w:r w:rsidR="00AA4E08">
        <w:rPr>
          <w:rFonts w:ascii="Avenir Next" w:hAnsi="Avenir Next" w:cs="Arial"/>
          <w:color w:val="7B7B7B" w:themeColor="accent3" w:themeShade="BF"/>
          <w:sz w:val="22"/>
          <w:szCs w:val="22"/>
          <w:lang w:val="en-GB"/>
        </w:rPr>
        <w:t>fiduciary in a nature.</w:t>
      </w:r>
      <w:r w:rsidR="00820930">
        <w:rPr>
          <w:rStyle w:val="FootnoteReference"/>
          <w:rFonts w:ascii="Avenir Next" w:hAnsi="Avenir Next" w:cs="Arial"/>
          <w:color w:val="7B7B7B" w:themeColor="accent3" w:themeShade="BF"/>
          <w:sz w:val="22"/>
          <w:szCs w:val="22"/>
          <w:lang w:val="en-GB"/>
        </w:rPr>
        <w:footnoteReference w:id="12"/>
      </w:r>
      <w:r w:rsidR="00AA4E08">
        <w:rPr>
          <w:rFonts w:ascii="Avenir Next" w:hAnsi="Avenir Next" w:cs="Arial"/>
          <w:color w:val="7B7B7B" w:themeColor="accent3" w:themeShade="BF"/>
          <w:sz w:val="22"/>
          <w:szCs w:val="22"/>
          <w:lang w:val="en-GB"/>
        </w:rPr>
        <w:t xml:space="preserve"> This means that directors must act</w:t>
      </w:r>
      <w:r w:rsidR="001B38D5">
        <w:rPr>
          <w:rFonts w:ascii="Avenir Next" w:hAnsi="Avenir Next" w:cs="Arial"/>
          <w:color w:val="7B7B7B" w:themeColor="accent3" w:themeShade="BF"/>
          <w:sz w:val="22"/>
          <w:szCs w:val="22"/>
          <w:lang w:val="en-GB"/>
        </w:rPr>
        <w:t xml:space="preserve"> in </w:t>
      </w:r>
      <w:r w:rsidR="00580B5B">
        <w:rPr>
          <w:rFonts w:ascii="Avenir Next" w:hAnsi="Avenir Next" w:cs="Arial"/>
          <w:color w:val="7B7B7B" w:themeColor="accent3" w:themeShade="BF"/>
          <w:sz w:val="22"/>
          <w:szCs w:val="22"/>
          <w:lang w:val="en-GB"/>
        </w:rPr>
        <w:t>manner</w:t>
      </w:r>
      <w:r w:rsidR="001B38D5">
        <w:rPr>
          <w:rFonts w:ascii="Avenir Next" w:hAnsi="Avenir Next" w:cs="Arial"/>
          <w:color w:val="7B7B7B" w:themeColor="accent3" w:themeShade="BF"/>
          <w:sz w:val="22"/>
          <w:szCs w:val="22"/>
          <w:lang w:val="en-GB"/>
        </w:rPr>
        <w:t xml:space="preserve"> that they honestly belief to be in the best interest of the Delaware </w:t>
      </w:r>
      <w:r w:rsidR="00580B5B">
        <w:rPr>
          <w:rFonts w:ascii="Avenir Next" w:hAnsi="Avenir Next" w:cs="Arial"/>
          <w:color w:val="7B7B7B" w:themeColor="accent3" w:themeShade="BF"/>
          <w:sz w:val="22"/>
          <w:szCs w:val="22"/>
          <w:lang w:val="en-GB"/>
        </w:rPr>
        <w:t xml:space="preserve">corporation. </w:t>
      </w:r>
      <w:r w:rsidR="00572497">
        <w:rPr>
          <w:rFonts w:ascii="Avenir Next" w:hAnsi="Avenir Next" w:cs="Arial"/>
          <w:color w:val="7B7B7B" w:themeColor="accent3" w:themeShade="BF"/>
          <w:sz w:val="22"/>
          <w:szCs w:val="22"/>
          <w:lang w:val="en-GB"/>
        </w:rPr>
        <w:t xml:space="preserve">The </w:t>
      </w:r>
      <w:r w:rsidR="004B3A22">
        <w:rPr>
          <w:rFonts w:ascii="Avenir Next" w:hAnsi="Avenir Next" w:cs="Arial"/>
          <w:color w:val="7B7B7B" w:themeColor="accent3" w:themeShade="BF"/>
          <w:sz w:val="22"/>
          <w:szCs w:val="22"/>
          <w:lang w:val="en-GB"/>
        </w:rPr>
        <w:t>fiduciary</w:t>
      </w:r>
      <w:r w:rsidR="00572497">
        <w:rPr>
          <w:rFonts w:ascii="Avenir Next" w:hAnsi="Avenir Next" w:cs="Arial"/>
          <w:color w:val="7B7B7B" w:themeColor="accent3" w:themeShade="BF"/>
          <w:sz w:val="22"/>
          <w:szCs w:val="22"/>
          <w:lang w:val="en-GB"/>
        </w:rPr>
        <w:t xml:space="preserve"> duties are divided into two main categories: duty of care and </w:t>
      </w:r>
      <w:r w:rsidR="004B3A22">
        <w:rPr>
          <w:rFonts w:ascii="Avenir Next" w:hAnsi="Avenir Next" w:cs="Arial"/>
          <w:color w:val="7B7B7B" w:themeColor="accent3" w:themeShade="BF"/>
          <w:sz w:val="22"/>
          <w:szCs w:val="22"/>
          <w:lang w:val="en-GB"/>
        </w:rPr>
        <w:t>duty of loyalty.</w:t>
      </w:r>
      <w:r w:rsidR="004B3A22">
        <w:rPr>
          <w:rStyle w:val="FootnoteReference"/>
          <w:rFonts w:ascii="Avenir Next" w:hAnsi="Avenir Next" w:cs="Arial"/>
          <w:color w:val="7B7B7B" w:themeColor="accent3" w:themeShade="BF"/>
          <w:sz w:val="22"/>
          <w:szCs w:val="22"/>
          <w:lang w:val="en-GB"/>
        </w:rPr>
        <w:footnoteReference w:id="13"/>
      </w:r>
      <w:r w:rsidR="00572D3B">
        <w:rPr>
          <w:rFonts w:ascii="Avenir Next" w:hAnsi="Avenir Next" w:cs="Arial"/>
          <w:color w:val="7B7B7B" w:themeColor="accent3" w:themeShade="BF"/>
          <w:sz w:val="22"/>
          <w:szCs w:val="22"/>
          <w:lang w:val="en-GB"/>
        </w:rPr>
        <w:t xml:space="preserve"> Th</w:t>
      </w:r>
      <w:r w:rsidR="00CD2BBA">
        <w:rPr>
          <w:rFonts w:ascii="Avenir Next" w:hAnsi="Avenir Next" w:cs="Arial"/>
          <w:color w:val="7B7B7B" w:themeColor="accent3" w:themeShade="BF"/>
          <w:sz w:val="22"/>
          <w:szCs w:val="22"/>
          <w:lang w:val="en-GB"/>
        </w:rPr>
        <w:t xml:space="preserve">e Delaware corporation directors in </w:t>
      </w:r>
      <w:r w:rsidR="00932A4E">
        <w:rPr>
          <w:rFonts w:ascii="Avenir Next" w:hAnsi="Avenir Next" w:cs="Arial"/>
          <w:color w:val="7B7B7B" w:themeColor="accent3" w:themeShade="BF"/>
          <w:sz w:val="22"/>
          <w:szCs w:val="22"/>
          <w:lang w:val="en-GB"/>
        </w:rPr>
        <w:t>exercising</w:t>
      </w:r>
      <w:r w:rsidR="00CD2BBA">
        <w:rPr>
          <w:rFonts w:ascii="Avenir Next" w:hAnsi="Avenir Next" w:cs="Arial"/>
          <w:color w:val="7B7B7B" w:themeColor="accent3" w:themeShade="BF"/>
          <w:sz w:val="22"/>
          <w:szCs w:val="22"/>
          <w:lang w:val="en-GB"/>
        </w:rPr>
        <w:t xml:space="preserve"> their duty of care must </w:t>
      </w:r>
      <w:r w:rsidR="00A27AD3">
        <w:rPr>
          <w:rFonts w:ascii="Avenir Next" w:hAnsi="Avenir Next" w:cs="Arial"/>
          <w:color w:val="7B7B7B" w:themeColor="accent3" w:themeShade="BF"/>
          <w:sz w:val="22"/>
          <w:szCs w:val="22"/>
          <w:lang w:val="en-GB"/>
        </w:rPr>
        <w:t>be informed</w:t>
      </w:r>
      <w:r w:rsidR="005911D3">
        <w:rPr>
          <w:rFonts w:ascii="Avenir Next" w:hAnsi="Avenir Next" w:cs="Arial"/>
          <w:color w:val="7B7B7B" w:themeColor="accent3" w:themeShade="BF"/>
          <w:sz w:val="22"/>
          <w:szCs w:val="22"/>
          <w:lang w:val="en-GB"/>
        </w:rPr>
        <w:t xml:space="preserve"> and deliberative in their decision making</w:t>
      </w:r>
      <w:r w:rsidR="000F032E">
        <w:rPr>
          <w:rFonts w:ascii="Avenir Next" w:hAnsi="Avenir Next" w:cs="Arial"/>
          <w:color w:val="7B7B7B" w:themeColor="accent3" w:themeShade="BF"/>
          <w:sz w:val="22"/>
          <w:szCs w:val="22"/>
          <w:lang w:val="en-GB"/>
        </w:rPr>
        <w:t>.</w:t>
      </w:r>
      <w:r w:rsidR="006F654E">
        <w:rPr>
          <w:rFonts w:ascii="Avenir Next" w:hAnsi="Avenir Next" w:cs="Arial"/>
          <w:color w:val="7B7B7B" w:themeColor="accent3" w:themeShade="BF"/>
          <w:sz w:val="22"/>
          <w:szCs w:val="22"/>
          <w:lang w:val="en-GB"/>
        </w:rPr>
        <w:t xml:space="preserve"> On the other hand, duty </w:t>
      </w:r>
      <w:r w:rsidR="002377D9">
        <w:rPr>
          <w:rFonts w:ascii="Avenir Next" w:hAnsi="Avenir Next" w:cs="Arial"/>
          <w:color w:val="7B7B7B" w:themeColor="accent3" w:themeShade="BF"/>
          <w:sz w:val="22"/>
          <w:szCs w:val="22"/>
          <w:lang w:val="en-GB"/>
        </w:rPr>
        <w:t xml:space="preserve">of loyalty ensures that they act in what they </w:t>
      </w:r>
      <w:r w:rsidR="008C2D0D">
        <w:rPr>
          <w:rFonts w:ascii="Avenir Next" w:hAnsi="Avenir Next" w:cs="Arial"/>
          <w:color w:val="7B7B7B" w:themeColor="accent3" w:themeShade="BF"/>
          <w:sz w:val="22"/>
          <w:szCs w:val="22"/>
          <w:lang w:val="en-GB"/>
        </w:rPr>
        <w:t>believe to be in the best interest of the company</w:t>
      </w:r>
      <w:r w:rsidR="00341FA7">
        <w:rPr>
          <w:rFonts w:ascii="Avenir Next" w:hAnsi="Avenir Next" w:cs="Arial"/>
          <w:color w:val="7B7B7B" w:themeColor="accent3" w:themeShade="BF"/>
          <w:sz w:val="22"/>
          <w:szCs w:val="22"/>
          <w:lang w:val="en-GB"/>
        </w:rPr>
        <w:t xml:space="preserve"> and the shareholders</w:t>
      </w:r>
      <w:r w:rsidR="008C2D0D">
        <w:rPr>
          <w:rFonts w:ascii="Avenir Next" w:hAnsi="Avenir Next" w:cs="Arial"/>
          <w:color w:val="7B7B7B" w:themeColor="accent3" w:themeShade="BF"/>
          <w:sz w:val="22"/>
          <w:szCs w:val="22"/>
          <w:lang w:val="en-GB"/>
        </w:rPr>
        <w:t>.</w:t>
      </w:r>
      <w:r w:rsidR="008C2D0D">
        <w:rPr>
          <w:rStyle w:val="FootnoteReference"/>
          <w:rFonts w:ascii="Avenir Next" w:hAnsi="Avenir Next" w:cs="Arial"/>
          <w:color w:val="7B7B7B" w:themeColor="accent3" w:themeShade="BF"/>
          <w:sz w:val="22"/>
          <w:szCs w:val="22"/>
          <w:lang w:val="en-GB"/>
        </w:rPr>
        <w:footnoteReference w:id="14"/>
      </w:r>
      <w:r w:rsidR="00787475">
        <w:rPr>
          <w:rFonts w:ascii="Avenir Next" w:hAnsi="Avenir Next" w:cs="Arial"/>
          <w:color w:val="7B7B7B" w:themeColor="accent3" w:themeShade="BF"/>
          <w:sz w:val="22"/>
          <w:szCs w:val="22"/>
          <w:lang w:val="en-GB"/>
        </w:rPr>
        <w:t xml:space="preserve"> </w:t>
      </w:r>
    </w:p>
    <w:p w14:paraId="1B756918" w14:textId="77777777" w:rsidR="00C33BE8" w:rsidRDefault="00C33BE8" w:rsidP="00E41578">
      <w:pPr>
        <w:jc w:val="both"/>
        <w:rPr>
          <w:rFonts w:ascii="Avenir Next" w:hAnsi="Avenir Next" w:cs="Arial"/>
          <w:color w:val="7B7B7B" w:themeColor="accent3" w:themeShade="BF"/>
          <w:sz w:val="22"/>
          <w:szCs w:val="22"/>
          <w:lang w:val="en-GB"/>
        </w:rPr>
      </w:pPr>
    </w:p>
    <w:p w14:paraId="417344D2" w14:textId="7587D6E9" w:rsidR="00E41578" w:rsidRDefault="00C84F0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may make decisions thinking that they </w:t>
      </w:r>
      <w:r w:rsidR="00C33BE8">
        <w:rPr>
          <w:rFonts w:ascii="Avenir Next" w:hAnsi="Avenir Next" w:cs="Arial"/>
          <w:color w:val="7B7B7B" w:themeColor="accent3" w:themeShade="BF"/>
          <w:sz w:val="22"/>
          <w:szCs w:val="22"/>
          <w:lang w:val="en-GB"/>
        </w:rPr>
        <w:t>suppose to</w:t>
      </w:r>
      <w:r>
        <w:rPr>
          <w:rFonts w:ascii="Avenir Next" w:hAnsi="Avenir Next" w:cs="Arial"/>
          <w:color w:val="7B7B7B" w:themeColor="accent3" w:themeShade="BF"/>
          <w:sz w:val="22"/>
          <w:szCs w:val="22"/>
          <w:lang w:val="en-GB"/>
        </w:rPr>
        <w:t xml:space="preserve"> the best interest of the company but turnout </w:t>
      </w:r>
      <w:r w:rsidR="00EE45EF">
        <w:rPr>
          <w:rFonts w:ascii="Avenir Next" w:hAnsi="Avenir Next" w:cs="Arial"/>
          <w:color w:val="7B7B7B" w:themeColor="accent3" w:themeShade="BF"/>
          <w:sz w:val="22"/>
          <w:szCs w:val="22"/>
          <w:lang w:val="en-GB"/>
        </w:rPr>
        <w:t xml:space="preserve">the opposite. </w:t>
      </w:r>
      <w:r w:rsidR="002D2245">
        <w:rPr>
          <w:rFonts w:ascii="Avenir Next" w:hAnsi="Avenir Next" w:cs="Arial"/>
          <w:color w:val="7B7B7B" w:themeColor="accent3" w:themeShade="BF"/>
          <w:sz w:val="22"/>
          <w:szCs w:val="22"/>
          <w:lang w:val="en-GB"/>
        </w:rPr>
        <w:t>In this type of situations, t</w:t>
      </w:r>
      <w:r w:rsidR="00EE45EF">
        <w:rPr>
          <w:rFonts w:ascii="Avenir Next" w:hAnsi="Avenir Next" w:cs="Arial"/>
          <w:color w:val="7B7B7B" w:themeColor="accent3" w:themeShade="BF"/>
          <w:sz w:val="22"/>
          <w:szCs w:val="22"/>
          <w:lang w:val="en-GB"/>
        </w:rPr>
        <w:t xml:space="preserve">he directors may potentially be able to rely on the </w:t>
      </w:r>
      <w:r w:rsidR="007B3124">
        <w:rPr>
          <w:rFonts w:ascii="Avenir Next" w:hAnsi="Avenir Next" w:cs="Arial"/>
          <w:color w:val="7B7B7B" w:themeColor="accent3" w:themeShade="BF"/>
          <w:sz w:val="22"/>
          <w:szCs w:val="22"/>
          <w:lang w:val="en-GB"/>
        </w:rPr>
        <w:t>business judgement rules</w:t>
      </w:r>
      <w:r w:rsidR="00AD2AAC">
        <w:rPr>
          <w:rFonts w:ascii="Avenir Next" w:hAnsi="Avenir Next" w:cs="Arial"/>
          <w:color w:val="7B7B7B" w:themeColor="accent3" w:themeShade="BF"/>
          <w:sz w:val="22"/>
          <w:szCs w:val="22"/>
          <w:lang w:val="en-GB"/>
        </w:rPr>
        <w:t xml:space="preserve"> whose effect is to protect them </w:t>
      </w:r>
      <w:r w:rsidR="00C33BE8">
        <w:rPr>
          <w:rFonts w:ascii="Avenir Next" w:hAnsi="Avenir Next" w:cs="Arial"/>
          <w:color w:val="7B7B7B" w:themeColor="accent3" w:themeShade="BF"/>
          <w:sz w:val="22"/>
          <w:szCs w:val="22"/>
          <w:lang w:val="en-GB"/>
        </w:rPr>
        <w:t>from liability.</w:t>
      </w:r>
      <w:r w:rsidR="002D2245">
        <w:rPr>
          <w:rStyle w:val="FootnoteReference"/>
          <w:rFonts w:ascii="Avenir Next" w:hAnsi="Avenir Next" w:cs="Arial"/>
          <w:color w:val="7B7B7B" w:themeColor="accent3" w:themeShade="BF"/>
          <w:sz w:val="22"/>
          <w:szCs w:val="22"/>
          <w:lang w:val="en-GB"/>
        </w:rPr>
        <w:footnoteReference w:id="15"/>
      </w:r>
      <w:r w:rsidR="006422C1">
        <w:rPr>
          <w:rFonts w:ascii="Avenir Next" w:hAnsi="Avenir Next" w:cs="Arial"/>
          <w:color w:val="7B7B7B" w:themeColor="accent3" w:themeShade="BF"/>
          <w:sz w:val="22"/>
          <w:szCs w:val="22"/>
          <w:lang w:val="en-GB"/>
        </w:rPr>
        <w:t xml:space="preserve"> The </w:t>
      </w:r>
      <w:r w:rsidR="00C6249F">
        <w:rPr>
          <w:rFonts w:ascii="Avenir Next" w:hAnsi="Avenir Next" w:cs="Arial"/>
          <w:color w:val="7B7B7B" w:themeColor="accent3" w:themeShade="BF"/>
          <w:sz w:val="22"/>
          <w:szCs w:val="22"/>
          <w:lang w:val="en-GB"/>
        </w:rPr>
        <w:t xml:space="preserve">business judgment rule prevents the courts from </w:t>
      </w:r>
      <w:r w:rsidR="001E42C9">
        <w:rPr>
          <w:rFonts w:ascii="Avenir Next" w:hAnsi="Avenir Next" w:cs="Arial"/>
          <w:color w:val="7B7B7B" w:themeColor="accent3" w:themeShade="BF"/>
          <w:sz w:val="22"/>
          <w:szCs w:val="22"/>
          <w:lang w:val="en-GB"/>
        </w:rPr>
        <w:t xml:space="preserve">questioning </w:t>
      </w:r>
      <w:r w:rsidR="003A3FAF">
        <w:rPr>
          <w:rFonts w:ascii="Avenir Next" w:hAnsi="Avenir Next" w:cs="Arial"/>
          <w:color w:val="7B7B7B" w:themeColor="accent3" w:themeShade="BF"/>
          <w:sz w:val="22"/>
          <w:szCs w:val="22"/>
          <w:lang w:val="en-GB"/>
        </w:rPr>
        <w:t xml:space="preserve">the decisions of the directors who exercised their fiduciary </w:t>
      </w:r>
      <w:r w:rsidR="003A3FAF">
        <w:rPr>
          <w:rFonts w:ascii="Avenir Next" w:hAnsi="Avenir Next" w:cs="Arial"/>
          <w:color w:val="7B7B7B" w:themeColor="accent3" w:themeShade="BF"/>
          <w:sz w:val="22"/>
          <w:szCs w:val="22"/>
          <w:lang w:val="en-GB"/>
        </w:rPr>
        <w:lastRenderedPageBreak/>
        <w:t>duties</w:t>
      </w:r>
      <w:r w:rsidR="008E3087">
        <w:rPr>
          <w:rFonts w:ascii="Avenir Next" w:hAnsi="Avenir Next" w:cs="Arial"/>
          <w:color w:val="7B7B7B" w:themeColor="accent3" w:themeShade="BF"/>
          <w:sz w:val="22"/>
          <w:szCs w:val="22"/>
          <w:lang w:val="en-GB"/>
        </w:rPr>
        <w:t xml:space="preserve">. </w:t>
      </w:r>
      <w:r w:rsidR="00E814A1">
        <w:rPr>
          <w:rFonts w:ascii="Avenir Next" w:hAnsi="Avenir Next" w:cs="Arial"/>
          <w:color w:val="7B7B7B" w:themeColor="accent3" w:themeShade="BF"/>
          <w:sz w:val="22"/>
          <w:szCs w:val="22"/>
          <w:lang w:val="en-GB"/>
        </w:rPr>
        <w:t>The court</w:t>
      </w:r>
      <w:r w:rsidR="00382D37">
        <w:rPr>
          <w:rFonts w:ascii="Avenir Next" w:hAnsi="Avenir Next" w:cs="Arial"/>
          <w:color w:val="7B7B7B" w:themeColor="accent3" w:themeShade="BF"/>
          <w:sz w:val="22"/>
          <w:szCs w:val="22"/>
          <w:lang w:val="en-GB"/>
        </w:rPr>
        <w:t xml:space="preserve">s will instead </w:t>
      </w:r>
      <w:r w:rsidR="00AC0403">
        <w:rPr>
          <w:rFonts w:ascii="Avenir Next" w:hAnsi="Avenir Next" w:cs="Arial"/>
          <w:color w:val="7B7B7B" w:themeColor="accent3" w:themeShade="BF"/>
          <w:sz w:val="22"/>
          <w:szCs w:val="22"/>
          <w:lang w:val="en-GB"/>
        </w:rPr>
        <w:t xml:space="preserve">look at the procedure employed by the directors to make the decision whether </w:t>
      </w:r>
      <w:r w:rsidR="009C2083">
        <w:rPr>
          <w:rFonts w:ascii="Avenir Next" w:hAnsi="Avenir Next" w:cs="Arial"/>
          <w:color w:val="7B7B7B" w:themeColor="accent3" w:themeShade="BF"/>
          <w:sz w:val="22"/>
          <w:szCs w:val="22"/>
          <w:lang w:val="en-GB"/>
        </w:rPr>
        <w:t xml:space="preserve">the directors informed themselves before making the decision and </w:t>
      </w:r>
      <w:r w:rsidR="008724F1">
        <w:rPr>
          <w:rFonts w:ascii="Avenir Next" w:hAnsi="Avenir Next" w:cs="Arial"/>
          <w:color w:val="7B7B7B" w:themeColor="accent3" w:themeShade="BF"/>
          <w:sz w:val="22"/>
          <w:szCs w:val="22"/>
          <w:lang w:val="en-GB"/>
        </w:rPr>
        <w:t>acted rationally.</w:t>
      </w:r>
      <w:r w:rsidR="008724F1">
        <w:rPr>
          <w:rStyle w:val="FootnoteReference"/>
          <w:rFonts w:ascii="Avenir Next" w:hAnsi="Avenir Next" w:cs="Arial"/>
          <w:color w:val="7B7B7B" w:themeColor="accent3" w:themeShade="BF"/>
          <w:sz w:val="22"/>
          <w:szCs w:val="22"/>
          <w:lang w:val="en-GB"/>
        </w:rPr>
        <w:footnoteReference w:id="16"/>
      </w:r>
    </w:p>
    <w:p w14:paraId="06D367F6" w14:textId="7747F219" w:rsidR="00150F47" w:rsidRDefault="00150F47" w:rsidP="00E41578">
      <w:pPr>
        <w:jc w:val="both"/>
        <w:rPr>
          <w:rFonts w:ascii="Avenir Next" w:hAnsi="Avenir Next" w:cs="Arial"/>
          <w:color w:val="7B7B7B" w:themeColor="accent3" w:themeShade="BF"/>
          <w:sz w:val="22"/>
          <w:szCs w:val="22"/>
          <w:lang w:val="en-GB"/>
        </w:rPr>
      </w:pPr>
    </w:p>
    <w:p w14:paraId="1E1FAFF5" w14:textId="42E25569" w:rsidR="00150F47" w:rsidRPr="009726A6" w:rsidRDefault="0082670F" w:rsidP="00E4157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the event that</w:t>
      </w:r>
      <w:proofErr w:type="gramEnd"/>
      <w:r>
        <w:rPr>
          <w:rFonts w:ascii="Avenir Next" w:hAnsi="Avenir Next" w:cs="Arial"/>
          <w:color w:val="7B7B7B" w:themeColor="accent3" w:themeShade="BF"/>
          <w:sz w:val="22"/>
          <w:szCs w:val="22"/>
          <w:lang w:val="en-GB"/>
        </w:rPr>
        <w:t xml:space="preserve"> the </w:t>
      </w:r>
      <w:r w:rsidR="00F03C62">
        <w:rPr>
          <w:rFonts w:ascii="Avenir Next" w:hAnsi="Avenir Next" w:cs="Arial"/>
          <w:color w:val="7B7B7B" w:themeColor="accent3" w:themeShade="BF"/>
          <w:sz w:val="22"/>
          <w:szCs w:val="22"/>
          <w:lang w:val="en-GB"/>
        </w:rPr>
        <w:t xml:space="preserve">Delaware </w:t>
      </w:r>
      <w:r w:rsidR="001F754B">
        <w:rPr>
          <w:rFonts w:ascii="Avenir Next" w:hAnsi="Avenir Next" w:cs="Arial"/>
          <w:color w:val="7B7B7B" w:themeColor="accent3" w:themeShade="BF"/>
          <w:sz w:val="22"/>
          <w:szCs w:val="22"/>
          <w:lang w:val="en-GB"/>
        </w:rPr>
        <w:t>corporation being in the zone of insolvency</w:t>
      </w:r>
      <w:r w:rsidR="00EE4475">
        <w:rPr>
          <w:rFonts w:ascii="Avenir Next" w:hAnsi="Avenir Next" w:cs="Arial"/>
          <w:color w:val="7B7B7B" w:themeColor="accent3" w:themeShade="BF"/>
          <w:sz w:val="22"/>
          <w:szCs w:val="22"/>
          <w:lang w:val="en-GB"/>
        </w:rPr>
        <w:t xml:space="preserve"> or insolvency the duties of </w:t>
      </w:r>
      <w:r w:rsidR="00AA68E3">
        <w:rPr>
          <w:rFonts w:ascii="Avenir Next" w:hAnsi="Avenir Next" w:cs="Arial"/>
          <w:color w:val="7B7B7B" w:themeColor="accent3" w:themeShade="BF"/>
          <w:sz w:val="22"/>
          <w:szCs w:val="22"/>
          <w:lang w:val="en-GB"/>
        </w:rPr>
        <w:t xml:space="preserve">the directors </w:t>
      </w:r>
      <w:r w:rsidR="008E51CB">
        <w:rPr>
          <w:rFonts w:ascii="Avenir Next" w:hAnsi="Avenir Next" w:cs="Arial"/>
          <w:color w:val="7B7B7B" w:themeColor="accent3" w:themeShade="BF"/>
          <w:sz w:val="22"/>
          <w:szCs w:val="22"/>
          <w:lang w:val="en-GB"/>
        </w:rPr>
        <w:t>remain</w:t>
      </w:r>
      <w:r w:rsidR="00AA68E3">
        <w:rPr>
          <w:rFonts w:ascii="Avenir Next" w:hAnsi="Avenir Next" w:cs="Arial"/>
          <w:color w:val="7B7B7B" w:themeColor="accent3" w:themeShade="BF"/>
          <w:sz w:val="22"/>
          <w:szCs w:val="22"/>
          <w:lang w:val="en-GB"/>
        </w:rPr>
        <w:t xml:space="preserve"> owed to the company.</w:t>
      </w:r>
      <w:r w:rsidR="00AA68E3">
        <w:rPr>
          <w:rStyle w:val="FootnoteReference"/>
          <w:rFonts w:ascii="Avenir Next" w:hAnsi="Avenir Next" w:cs="Arial"/>
          <w:color w:val="7B7B7B" w:themeColor="accent3" w:themeShade="BF"/>
          <w:sz w:val="22"/>
          <w:szCs w:val="22"/>
          <w:lang w:val="en-GB"/>
        </w:rPr>
        <w:footnoteReference w:id="17"/>
      </w:r>
      <w:r w:rsidR="0070187F">
        <w:rPr>
          <w:rFonts w:ascii="Avenir Next" w:hAnsi="Avenir Next" w:cs="Arial"/>
          <w:color w:val="7B7B7B" w:themeColor="accent3" w:themeShade="BF"/>
          <w:sz w:val="22"/>
          <w:szCs w:val="22"/>
          <w:lang w:val="en-GB"/>
        </w:rPr>
        <w:t xml:space="preserve"> </w:t>
      </w:r>
      <w:r w:rsidR="008E202B">
        <w:rPr>
          <w:rFonts w:ascii="Avenir Next" w:hAnsi="Avenir Next" w:cs="Arial"/>
          <w:color w:val="7B7B7B" w:themeColor="accent3" w:themeShade="BF"/>
          <w:sz w:val="22"/>
          <w:szCs w:val="22"/>
          <w:lang w:val="en-GB"/>
        </w:rPr>
        <w:t>The reason hig</w:t>
      </w:r>
      <w:r w:rsidR="009726A6">
        <w:rPr>
          <w:rFonts w:ascii="Avenir Next" w:hAnsi="Avenir Next" w:cs="Arial"/>
          <w:color w:val="7B7B7B" w:themeColor="accent3" w:themeShade="BF"/>
          <w:sz w:val="22"/>
          <w:szCs w:val="22"/>
          <w:lang w:val="en-GB"/>
        </w:rPr>
        <w:t xml:space="preserve">hlighted in the case </w:t>
      </w:r>
      <w:r w:rsidR="009726A6" w:rsidRPr="009726A6">
        <w:rPr>
          <w:rFonts w:ascii="Avenir Next" w:hAnsi="Avenir Next" w:cs="Arial"/>
          <w:i/>
          <w:iCs/>
          <w:color w:val="7B7B7B" w:themeColor="accent3" w:themeShade="BF"/>
          <w:sz w:val="22"/>
          <w:szCs w:val="22"/>
          <w:lang w:val="en-GB"/>
        </w:rPr>
        <w:t xml:space="preserve">of North American Catholic Educational Programming Foundation, Inc. v. </w:t>
      </w:r>
      <w:proofErr w:type="spellStart"/>
      <w:r w:rsidR="009726A6" w:rsidRPr="009726A6">
        <w:rPr>
          <w:rFonts w:ascii="Avenir Next" w:hAnsi="Avenir Next" w:cs="Arial"/>
          <w:i/>
          <w:iCs/>
          <w:color w:val="7B7B7B" w:themeColor="accent3" w:themeShade="BF"/>
          <w:sz w:val="22"/>
          <w:szCs w:val="22"/>
          <w:lang w:val="en-GB"/>
        </w:rPr>
        <w:t>Gheewalla</w:t>
      </w:r>
      <w:proofErr w:type="spellEnd"/>
      <w:r w:rsidR="009726A6">
        <w:rPr>
          <w:rFonts w:ascii="Avenir Next" w:hAnsi="Avenir Next" w:cs="Arial"/>
          <w:i/>
          <w:iCs/>
          <w:color w:val="7B7B7B" w:themeColor="accent3" w:themeShade="BF"/>
          <w:sz w:val="22"/>
          <w:szCs w:val="22"/>
          <w:lang w:val="en-GB"/>
        </w:rPr>
        <w:t xml:space="preserve"> </w:t>
      </w:r>
      <w:r w:rsidR="00632DDF">
        <w:rPr>
          <w:rFonts w:ascii="Avenir Next" w:hAnsi="Avenir Next" w:cs="Arial"/>
          <w:color w:val="7B7B7B" w:themeColor="accent3" w:themeShade="BF"/>
          <w:sz w:val="22"/>
          <w:szCs w:val="22"/>
          <w:lang w:val="en-GB"/>
        </w:rPr>
        <w:t>was that creditors</w:t>
      </w:r>
      <w:r w:rsidR="00A969A3">
        <w:rPr>
          <w:rFonts w:ascii="Avenir Next" w:hAnsi="Avenir Next" w:cs="Arial"/>
          <w:color w:val="7B7B7B" w:themeColor="accent3" w:themeShade="BF"/>
          <w:sz w:val="22"/>
          <w:szCs w:val="22"/>
          <w:lang w:val="en-GB"/>
        </w:rPr>
        <w:t xml:space="preserve"> are able to </w:t>
      </w:r>
      <w:r w:rsidR="00D27BCB">
        <w:rPr>
          <w:rFonts w:ascii="Avenir Next" w:hAnsi="Avenir Next" w:cs="Arial"/>
          <w:color w:val="7B7B7B" w:themeColor="accent3" w:themeShade="BF"/>
          <w:sz w:val="22"/>
          <w:szCs w:val="22"/>
          <w:lang w:val="en-GB"/>
        </w:rPr>
        <w:t>enforce their rights via other means such as a derivative claim among others.</w:t>
      </w:r>
      <w:r w:rsidR="00D27BCB">
        <w:rPr>
          <w:rStyle w:val="FootnoteReference"/>
          <w:rFonts w:ascii="Avenir Next" w:hAnsi="Avenir Next" w:cs="Arial"/>
          <w:color w:val="7B7B7B" w:themeColor="accent3" w:themeShade="BF"/>
          <w:sz w:val="22"/>
          <w:szCs w:val="22"/>
          <w:lang w:val="en-GB"/>
        </w:rPr>
        <w:footnoteReference w:id="18"/>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9D7AB5">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695F82A" w14:textId="67279617" w:rsidR="00905D73" w:rsidRDefault="00772D8D" w:rsidP="000778B1">
      <w:pPr>
        <w:pStyle w:val="AODocTxt"/>
        <w:spacing w:before="0" w:line="240" w:lineRule="auto"/>
        <w:rPr>
          <w:rFonts w:ascii="Avenir Next" w:hAnsi="Avenir Next"/>
        </w:rPr>
      </w:pPr>
      <w:r>
        <w:rPr>
          <w:rFonts w:ascii="Avenir Next" w:hAnsi="Avenir Next"/>
        </w:rPr>
        <w:t xml:space="preserve">There are three requirements that must be fulfilled </w:t>
      </w:r>
      <w:r w:rsidR="00910014">
        <w:rPr>
          <w:rFonts w:ascii="Avenir Next" w:hAnsi="Avenir Next"/>
        </w:rPr>
        <w:t>to</w:t>
      </w:r>
      <w:r w:rsidR="00A95D0B">
        <w:rPr>
          <w:rFonts w:ascii="Avenir Next" w:hAnsi="Avenir Next"/>
        </w:rPr>
        <w:t xml:space="preserve"> qualify as a petitioning creditor</w:t>
      </w:r>
      <w:r w:rsidR="00EE53DF">
        <w:rPr>
          <w:rFonts w:ascii="Avenir Next" w:hAnsi="Avenir Next"/>
        </w:rPr>
        <w:t>:</w:t>
      </w:r>
      <w:r w:rsidR="004E39B3">
        <w:rPr>
          <w:rStyle w:val="FootnoteReference"/>
          <w:rFonts w:ascii="Avenir Next" w:hAnsi="Avenir Next"/>
        </w:rPr>
        <w:footnoteReference w:id="19"/>
      </w:r>
      <w:r w:rsidR="00A95D0B">
        <w:rPr>
          <w:rFonts w:ascii="Avenir Next" w:hAnsi="Avenir Next"/>
        </w:rPr>
        <w:t xml:space="preserve"> </w:t>
      </w:r>
    </w:p>
    <w:p w14:paraId="3A833F16" w14:textId="0C7C7AB5" w:rsidR="00E01803" w:rsidRDefault="002E5EF8" w:rsidP="00905D73">
      <w:pPr>
        <w:pStyle w:val="AODocTxt"/>
        <w:numPr>
          <w:ilvl w:val="0"/>
          <w:numId w:val="33"/>
        </w:numPr>
        <w:spacing w:before="0" w:line="240" w:lineRule="auto"/>
        <w:rPr>
          <w:rFonts w:ascii="Avenir Next" w:hAnsi="Avenir Next"/>
        </w:rPr>
      </w:pPr>
      <w:r>
        <w:rPr>
          <w:rFonts w:ascii="Avenir Next" w:hAnsi="Avenir Next"/>
        </w:rPr>
        <w:t>The claim must be considered as non-contin</w:t>
      </w:r>
      <w:r w:rsidR="00910014">
        <w:rPr>
          <w:rFonts w:ascii="Avenir Next" w:hAnsi="Avenir Next"/>
        </w:rPr>
        <w:t>gent</w:t>
      </w:r>
      <w:r w:rsidR="00210CAC">
        <w:rPr>
          <w:rFonts w:ascii="Avenir Next" w:hAnsi="Avenir Next"/>
        </w:rPr>
        <w:t>, meaning that the claim i</w:t>
      </w:r>
      <w:r w:rsidR="00113163">
        <w:rPr>
          <w:rFonts w:ascii="Avenir Next" w:hAnsi="Avenir Next"/>
        </w:rPr>
        <w:t>s not</w:t>
      </w:r>
      <w:r w:rsidR="00210CAC">
        <w:rPr>
          <w:rFonts w:ascii="Avenir Next" w:hAnsi="Avenir Next"/>
        </w:rPr>
        <w:t xml:space="preserve"> dependent on a future event occurring </w:t>
      </w:r>
      <w:r w:rsidR="00B04D8F">
        <w:rPr>
          <w:rFonts w:ascii="Avenir Next" w:hAnsi="Avenir Next"/>
        </w:rPr>
        <w:t>to</w:t>
      </w:r>
      <w:r w:rsidR="00210CAC">
        <w:rPr>
          <w:rFonts w:ascii="Avenir Next" w:hAnsi="Avenir Next"/>
        </w:rPr>
        <w:t xml:space="preserve"> comme</w:t>
      </w:r>
      <w:r w:rsidR="00113163">
        <w:rPr>
          <w:rFonts w:ascii="Avenir Next" w:hAnsi="Avenir Next"/>
        </w:rPr>
        <w:t>nce.</w:t>
      </w:r>
      <w:r w:rsidR="00BC5FEA">
        <w:rPr>
          <w:rFonts w:ascii="Avenir Next" w:hAnsi="Avenir Next"/>
        </w:rPr>
        <w:t xml:space="preserve"> </w:t>
      </w:r>
      <w:r w:rsidR="005F2621">
        <w:rPr>
          <w:rFonts w:ascii="Avenir Next" w:hAnsi="Avenir Next"/>
        </w:rPr>
        <w:t>Non</w:t>
      </w:r>
      <w:r w:rsidR="00BC5FEA">
        <w:rPr>
          <w:rFonts w:ascii="Avenir Next" w:hAnsi="Avenir Next"/>
        </w:rPr>
        <w:t xml:space="preserve">-contingent claim </w:t>
      </w:r>
      <w:r w:rsidR="009D7AB5">
        <w:rPr>
          <w:rFonts w:ascii="Avenir Next" w:hAnsi="Avenir Next"/>
        </w:rPr>
        <w:t>does</w:t>
      </w:r>
      <w:r w:rsidR="00BC5FEA">
        <w:rPr>
          <w:rFonts w:ascii="Avenir Next" w:hAnsi="Avenir Next"/>
        </w:rPr>
        <w:t xml:space="preserve"> not require a </w:t>
      </w:r>
      <w:proofErr w:type="gramStart"/>
      <w:r w:rsidR="00BC5FEA">
        <w:rPr>
          <w:rFonts w:ascii="Avenir Next" w:hAnsi="Avenir Next"/>
        </w:rPr>
        <w:t xml:space="preserve">future </w:t>
      </w:r>
      <w:r w:rsidR="00231E41">
        <w:rPr>
          <w:rFonts w:ascii="Avenir Next" w:hAnsi="Avenir Next"/>
        </w:rPr>
        <w:t>conditions</w:t>
      </w:r>
      <w:proofErr w:type="gramEnd"/>
      <w:r w:rsidR="00231E41">
        <w:rPr>
          <w:rFonts w:ascii="Avenir Next" w:hAnsi="Avenir Next"/>
        </w:rPr>
        <w:t xml:space="preserve"> to trigger their payments</w:t>
      </w:r>
      <w:r w:rsidR="004A06FA">
        <w:rPr>
          <w:rFonts w:ascii="Avenir Next" w:hAnsi="Avenir Next"/>
        </w:rPr>
        <w:t>.</w:t>
      </w:r>
      <w:r w:rsidR="004A06FA">
        <w:rPr>
          <w:rStyle w:val="FootnoteReference"/>
          <w:rFonts w:ascii="Avenir Next" w:hAnsi="Avenir Next"/>
        </w:rPr>
        <w:footnoteReference w:id="20"/>
      </w:r>
      <w:r w:rsidR="009466BA">
        <w:rPr>
          <w:rFonts w:ascii="Avenir Next" w:hAnsi="Avenir Next"/>
        </w:rPr>
        <w:t xml:space="preserve"> </w:t>
      </w:r>
    </w:p>
    <w:p w14:paraId="1F658E14" w14:textId="24FC00D8" w:rsidR="00905D73" w:rsidRDefault="00A2655B" w:rsidP="00905D73">
      <w:pPr>
        <w:pStyle w:val="AODocTxt"/>
        <w:numPr>
          <w:ilvl w:val="0"/>
          <w:numId w:val="33"/>
        </w:numPr>
        <w:spacing w:before="0" w:line="240" w:lineRule="auto"/>
        <w:rPr>
          <w:rFonts w:ascii="Avenir Next" w:hAnsi="Avenir Next"/>
        </w:rPr>
      </w:pPr>
      <w:r>
        <w:rPr>
          <w:rFonts w:ascii="Avenir Next" w:hAnsi="Avenir Next"/>
        </w:rPr>
        <w:t xml:space="preserve">The </w:t>
      </w:r>
      <w:r w:rsidR="002E2004">
        <w:rPr>
          <w:rFonts w:ascii="Avenir Next" w:hAnsi="Avenir Next"/>
        </w:rPr>
        <w:t>claim is not subject to</w:t>
      </w:r>
      <w:r w:rsidR="007F4596">
        <w:rPr>
          <w:rFonts w:ascii="Avenir Next" w:hAnsi="Avenir Next"/>
        </w:rPr>
        <w:t xml:space="preserve"> dispute </w:t>
      </w:r>
      <w:r w:rsidR="007F19CC">
        <w:rPr>
          <w:rFonts w:ascii="Avenir Next" w:hAnsi="Avenir Next"/>
        </w:rPr>
        <w:t>as to the liability owed to the creditor or the amount that is owed.</w:t>
      </w:r>
    </w:p>
    <w:p w14:paraId="72B92593" w14:textId="28EB12F2" w:rsidR="00CC3353" w:rsidRDefault="0064534C" w:rsidP="00905D73">
      <w:pPr>
        <w:pStyle w:val="AODocTxt"/>
        <w:numPr>
          <w:ilvl w:val="0"/>
          <w:numId w:val="33"/>
        </w:numPr>
        <w:spacing w:before="0" w:line="240" w:lineRule="auto"/>
        <w:rPr>
          <w:rFonts w:ascii="Avenir Next" w:hAnsi="Avenir Next"/>
        </w:rPr>
      </w:pPr>
      <w:r>
        <w:rPr>
          <w:rFonts w:ascii="Avenir Next" w:hAnsi="Avenir Next"/>
        </w:rPr>
        <w:t xml:space="preserve">The amount that is owed </w:t>
      </w:r>
      <w:r w:rsidR="003843C9">
        <w:rPr>
          <w:rFonts w:ascii="Avenir Next" w:hAnsi="Avenir Next"/>
        </w:rPr>
        <w:t xml:space="preserve">separately to the creditor or together with the other unsecured creditor or </w:t>
      </w:r>
      <w:r w:rsidR="008B3EA6">
        <w:rPr>
          <w:rFonts w:ascii="Avenir Next" w:hAnsi="Avenir Next"/>
        </w:rPr>
        <w:t>under</w:t>
      </w:r>
      <w:r w:rsidR="009D7AB5">
        <w:rPr>
          <w:rFonts w:ascii="Avenir Next" w:hAnsi="Avenir Next"/>
        </w:rPr>
        <w:t>-</w:t>
      </w:r>
      <w:r w:rsidR="008B3EA6">
        <w:rPr>
          <w:rFonts w:ascii="Avenir Next" w:hAnsi="Avenir Next"/>
        </w:rPr>
        <w:t>secured creditors amounts to USD 16,7</w:t>
      </w:r>
      <w:r w:rsidR="009D7AB5">
        <w:rPr>
          <w:rFonts w:ascii="Avenir Next" w:hAnsi="Avenir Next"/>
        </w:rPr>
        <w:t>50.</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099DB531" w:rsidR="00F03051" w:rsidRDefault="00FE31B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Speculation Inc will use the Chapter 11 </w:t>
      </w:r>
      <w:r w:rsidR="00B90137">
        <w:rPr>
          <w:rFonts w:ascii="Avenir Next" w:hAnsi="Avenir Next" w:cs="Arial"/>
          <w:color w:val="7B7B7B" w:themeColor="accent3" w:themeShade="BF"/>
          <w:sz w:val="22"/>
          <w:szCs w:val="22"/>
          <w:lang w:val="en-GB"/>
        </w:rPr>
        <w:t xml:space="preserve">application to restructure </w:t>
      </w:r>
      <w:r w:rsidR="005A4960">
        <w:rPr>
          <w:rFonts w:ascii="Avenir Next" w:hAnsi="Avenir Next" w:cs="Arial"/>
          <w:color w:val="7B7B7B" w:themeColor="accent3" w:themeShade="BF"/>
          <w:sz w:val="22"/>
          <w:szCs w:val="22"/>
          <w:lang w:val="en-GB"/>
        </w:rPr>
        <w:t xml:space="preserve">either its business or finance or both. </w:t>
      </w:r>
      <w:r w:rsidR="00B14922" w:rsidRPr="00EC3657">
        <w:rPr>
          <w:rFonts w:ascii="Avenir Next" w:hAnsi="Avenir Next" w:cs="Arial"/>
          <w:b/>
          <w:bCs/>
          <w:color w:val="7B7B7B" w:themeColor="accent3" w:themeShade="BF"/>
          <w:sz w:val="22"/>
          <w:szCs w:val="22"/>
          <w:lang w:val="en-GB"/>
        </w:rPr>
        <w:t>The DOJ investigation</w:t>
      </w:r>
      <w:r w:rsidR="00EC3657">
        <w:rPr>
          <w:rFonts w:ascii="Avenir Next" w:hAnsi="Avenir Next" w:cs="Arial"/>
          <w:color w:val="7B7B7B" w:themeColor="accent3" w:themeShade="BF"/>
          <w:sz w:val="22"/>
          <w:szCs w:val="22"/>
          <w:lang w:val="en-GB"/>
        </w:rPr>
        <w:t xml:space="preserve">: </w:t>
      </w:r>
      <w:r w:rsidR="00F2201F">
        <w:rPr>
          <w:rFonts w:ascii="Avenir Next" w:hAnsi="Avenir Next" w:cs="Arial"/>
          <w:color w:val="7B7B7B" w:themeColor="accent3" w:themeShade="BF"/>
          <w:sz w:val="22"/>
          <w:szCs w:val="22"/>
          <w:lang w:val="en-GB"/>
        </w:rPr>
        <w:t xml:space="preserve">there will be no effect on the investigation. </w:t>
      </w:r>
    </w:p>
    <w:p w14:paraId="616D415D" w14:textId="6B4BAAC9" w:rsidR="00B14922" w:rsidRDefault="00A94DE2" w:rsidP="00F03051">
      <w:pPr>
        <w:jc w:val="both"/>
        <w:rPr>
          <w:rFonts w:ascii="Avenir Next" w:hAnsi="Avenir Next" w:cs="Arial"/>
          <w:color w:val="7B7B7B" w:themeColor="accent3" w:themeShade="BF"/>
          <w:sz w:val="22"/>
          <w:szCs w:val="22"/>
          <w:lang w:val="en-GB"/>
        </w:rPr>
      </w:pPr>
      <w:r w:rsidRPr="00EC3657">
        <w:rPr>
          <w:rFonts w:ascii="Avenir Next" w:hAnsi="Avenir Next" w:cs="Arial"/>
          <w:b/>
          <w:bCs/>
          <w:color w:val="7B7B7B" w:themeColor="accent3" w:themeShade="BF"/>
          <w:sz w:val="22"/>
          <w:szCs w:val="22"/>
          <w:lang w:val="en-GB"/>
        </w:rPr>
        <w:lastRenderedPageBreak/>
        <w:t>Margin loan default</w:t>
      </w:r>
      <w:r w:rsidR="00EC3657">
        <w:rPr>
          <w:rFonts w:ascii="Avenir Next" w:hAnsi="Avenir Next" w:cs="Arial"/>
          <w:color w:val="7B7B7B" w:themeColor="accent3" w:themeShade="BF"/>
          <w:sz w:val="22"/>
          <w:szCs w:val="22"/>
          <w:lang w:val="en-GB"/>
        </w:rPr>
        <w:t>:</w:t>
      </w:r>
      <w:r w:rsidR="00006FE1">
        <w:rPr>
          <w:rFonts w:ascii="Avenir Next" w:hAnsi="Avenir Next" w:cs="Arial"/>
          <w:color w:val="7B7B7B" w:themeColor="accent3" w:themeShade="BF"/>
          <w:sz w:val="22"/>
          <w:szCs w:val="22"/>
          <w:lang w:val="en-GB"/>
        </w:rPr>
        <w:t xml:space="preserve"> the loan repayment will</w:t>
      </w:r>
      <w:r w:rsidR="003B5253">
        <w:rPr>
          <w:rFonts w:ascii="Avenir Next" w:hAnsi="Avenir Next" w:cs="Arial"/>
          <w:color w:val="7B7B7B" w:themeColor="accent3" w:themeShade="BF"/>
          <w:sz w:val="22"/>
          <w:szCs w:val="22"/>
          <w:lang w:val="en-GB"/>
        </w:rPr>
        <w:t xml:space="preserve"> be posed due to the stay of execution. </w:t>
      </w:r>
    </w:p>
    <w:p w14:paraId="47471895" w14:textId="77777777" w:rsidR="00EC3657" w:rsidRDefault="00EC3657" w:rsidP="00F03051">
      <w:pPr>
        <w:jc w:val="both"/>
        <w:rPr>
          <w:rFonts w:ascii="Avenir Next" w:hAnsi="Avenir Next" w:cs="Arial"/>
          <w:color w:val="7B7B7B" w:themeColor="accent3" w:themeShade="BF"/>
          <w:sz w:val="22"/>
          <w:szCs w:val="22"/>
          <w:lang w:val="en-GB"/>
        </w:rPr>
      </w:pPr>
    </w:p>
    <w:p w14:paraId="72F42DA0" w14:textId="6958B3F7" w:rsidR="00A94DE2" w:rsidRDefault="00A94DE2" w:rsidP="00F03051">
      <w:pPr>
        <w:jc w:val="both"/>
        <w:rPr>
          <w:rFonts w:ascii="Avenir Next" w:hAnsi="Avenir Next" w:cs="Arial"/>
          <w:color w:val="7B7B7B" w:themeColor="accent3" w:themeShade="BF"/>
          <w:sz w:val="22"/>
          <w:szCs w:val="22"/>
          <w:lang w:val="en-GB"/>
        </w:rPr>
      </w:pPr>
      <w:r w:rsidRPr="00EC3657">
        <w:rPr>
          <w:rFonts w:ascii="Avenir Next" w:hAnsi="Avenir Next" w:cs="Arial"/>
          <w:b/>
          <w:bCs/>
          <w:color w:val="7B7B7B" w:themeColor="accent3" w:themeShade="BF"/>
          <w:sz w:val="22"/>
          <w:szCs w:val="22"/>
          <w:lang w:val="en-GB"/>
        </w:rPr>
        <w:t>Delinquent lease</w:t>
      </w:r>
      <w:r w:rsidR="000C5F38">
        <w:rPr>
          <w:rFonts w:ascii="Avenir Next" w:hAnsi="Avenir Next" w:cs="Arial"/>
          <w:color w:val="7B7B7B" w:themeColor="accent3" w:themeShade="BF"/>
          <w:sz w:val="22"/>
          <w:szCs w:val="22"/>
          <w:lang w:val="en-GB"/>
        </w:rPr>
        <w:t xml:space="preserve">: This is an executory contract </w:t>
      </w:r>
      <w:r w:rsidR="00172FCB">
        <w:rPr>
          <w:rFonts w:ascii="Avenir Next" w:hAnsi="Avenir Next" w:cs="Arial"/>
          <w:color w:val="7B7B7B" w:themeColor="accent3" w:themeShade="BF"/>
          <w:sz w:val="22"/>
          <w:szCs w:val="22"/>
          <w:lang w:val="en-GB"/>
        </w:rPr>
        <w:t xml:space="preserve">because the obligation under the lease contract to pay has not been met by </w:t>
      </w:r>
      <w:r w:rsidR="00CB5E77">
        <w:rPr>
          <w:rFonts w:ascii="Avenir Next" w:hAnsi="Avenir Next" w:cs="Arial"/>
          <w:color w:val="7B7B7B" w:themeColor="accent3" w:themeShade="BF"/>
          <w:sz w:val="22"/>
          <w:szCs w:val="22"/>
          <w:lang w:val="en-GB"/>
        </w:rPr>
        <w:t>Speculation Inc</w:t>
      </w:r>
      <w:r w:rsidR="00CB5E77">
        <w:rPr>
          <w:rFonts w:ascii="Avenir Next" w:hAnsi="Avenir Next" w:cs="Arial"/>
          <w:color w:val="7B7B7B" w:themeColor="accent3" w:themeShade="BF"/>
          <w:sz w:val="22"/>
          <w:szCs w:val="22"/>
          <w:lang w:val="en-GB"/>
        </w:rPr>
        <w:t xml:space="preserve">. </w:t>
      </w:r>
      <w:r w:rsidR="006B7554">
        <w:rPr>
          <w:rFonts w:ascii="Avenir Next" w:hAnsi="Avenir Next" w:cs="Arial"/>
          <w:color w:val="7B7B7B" w:themeColor="accent3" w:themeShade="BF"/>
          <w:sz w:val="22"/>
          <w:szCs w:val="22"/>
          <w:lang w:val="en-GB"/>
        </w:rPr>
        <w:t xml:space="preserve">The rent will still be </w:t>
      </w:r>
      <w:proofErr w:type="gramStart"/>
      <w:r w:rsidR="006B7554">
        <w:rPr>
          <w:rFonts w:ascii="Avenir Next" w:hAnsi="Avenir Next" w:cs="Arial"/>
          <w:color w:val="7B7B7B" w:themeColor="accent3" w:themeShade="BF"/>
          <w:sz w:val="22"/>
          <w:szCs w:val="22"/>
          <w:lang w:val="en-GB"/>
        </w:rPr>
        <w:t>due</w:t>
      </w:r>
      <w:proofErr w:type="gramEnd"/>
      <w:r w:rsidR="006B7554">
        <w:rPr>
          <w:rFonts w:ascii="Avenir Next" w:hAnsi="Avenir Next" w:cs="Arial"/>
          <w:color w:val="7B7B7B" w:themeColor="accent3" w:themeShade="BF"/>
          <w:sz w:val="22"/>
          <w:szCs w:val="22"/>
          <w:lang w:val="en-GB"/>
        </w:rPr>
        <w:t xml:space="preserve"> and that</w:t>
      </w:r>
      <w:r w:rsidR="00D21B52">
        <w:rPr>
          <w:rFonts w:ascii="Avenir Next" w:hAnsi="Avenir Next" w:cs="Arial"/>
          <w:color w:val="7B7B7B" w:themeColor="accent3" w:themeShade="BF"/>
          <w:sz w:val="22"/>
          <w:szCs w:val="22"/>
          <w:lang w:val="en-GB"/>
        </w:rPr>
        <w:t xml:space="preserve"> </w:t>
      </w:r>
      <w:r w:rsidR="00D21B52">
        <w:rPr>
          <w:rFonts w:ascii="Avenir Next" w:hAnsi="Avenir Next" w:cs="Arial"/>
          <w:color w:val="7B7B7B" w:themeColor="accent3" w:themeShade="BF"/>
          <w:sz w:val="22"/>
          <w:szCs w:val="22"/>
          <w:lang w:val="en-GB"/>
        </w:rPr>
        <w:t>Speculation Inc</w:t>
      </w:r>
      <w:r w:rsidR="00D21B52">
        <w:rPr>
          <w:rFonts w:ascii="Avenir Next" w:hAnsi="Avenir Next" w:cs="Arial"/>
          <w:color w:val="7B7B7B" w:themeColor="accent3" w:themeShade="BF"/>
          <w:sz w:val="22"/>
          <w:szCs w:val="22"/>
          <w:lang w:val="en-GB"/>
        </w:rPr>
        <w:t xml:space="preserve"> will still need to pay for the rent.</w:t>
      </w:r>
      <w:r w:rsidR="006B7554">
        <w:rPr>
          <w:rFonts w:ascii="Avenir Next" w:hAnsi="Avenir Next" w:cs="Arial"/>
          <w:color w:val="7B7B7B" w:themeColor="accent3" w:themeShade="BF"/>
          <w:sz w:val="22"/>
          <w:szCs w:val="22"/>
          <w:lang w:val="en-GB"/>
        </w:rPr>
        <w:t xml:space="preserve"> </w:t>
      </w:r>
      <w:r w:rsidR="008133C4">
        <w:rPr>
          <w:rFonts w:ascii="Avenir Next" w:hAnsi="Avenir Next" w:cs="Arial"/>
          <w:color w:val="7B7B7B" w:themeColor="accent3" w:themeShade="BF"/>
          <w:sz w:val="22"/>
          <w:szCs w:val="22"/>
          <w:lang w:val="en-GB"/>
        </w:rPr>
        <w:t>Once the reorganisation plan is confirmed, t</w:t>
      </w:r>
      <w:r w:rsidR="00971CC0">
        <w:rPr>
          <w:rFonts w:ascii="Avenir Next" w:hAnsi="Avenir Next" w:cs="Arial"/>
          <w:color w:val="7B7B7B" w:themeColor="accent3" w:themeShade="BF"/>
          <w:sz w:val="22"/>
          <w:szCs w:val="22"/>
          <w:lang w:val="en-GB"/>
        </w:rPr>
        <w:t xml:space="preserve">he trustee </w:t>
      </w:r>
      <w:r w:rsidR="00FB0E6F">
        <w:rPr>
          <w:rFonts w:ascii="Avenir Next" w:hAnsi="Avenir Next" w:cs="Arial"/>
          <w:color w:val="7B7B7B" w:themeColor="accent3" w:themeShade="BF"/>
          <w:sz w:val="22"/>
          <w:szCs w:val="22"/>
          <w:lang w:val="en-GB"/>
        </w:rPr>
        <w:t xml:space="preserve">of </w:t>
      </w:r>
      <w:r w:rsidR="00FB0E6F">
        <w:rPr>
          <w:rFonts w:ascii="Avenir Next" w:hAnsi="Avenir Next" w:cs="Arial"/>
          <w:color w:val="7B7B7B" w:themeColor="accent3" w:themeShade="BF"/>
          <w:sz w:val="22"/>
          <w:szCs w:val="22"/>
          <w:lang w:val="en-GB"/>
        </w:rPr>
        <w:t>Speculation Inc</w:t>
      </w:r>
      <w:r w:rsidR="00FB0E6F">
        <w:rPr>
          <w:rFonts w:ascii="Avenir Next" w:hAnsi="Avenir Next" w:cs="Arial"/>
          <w:color w:val="7B7B7B" w:themeColor="accent3" w:themeShade="BF"/>
          <w:sz w:val="22"/>
          <w:szCs w:val="22"/>
          <w:lang w:val="en-GB"/>
        </w:rPr>
        <w:t xml:space="preserve"> w</w:t>
      </w:r>
      <w:r w:rsidR="008133C4">
        <w:rPr>
          <w:rFonts w:ascii="Avenir Next" w:hAnsi="Avenir Next" w:cs="Arial"/>
          <w:color w:val="7B7B7B" w:themeColor="accent3" w:themeShade="BF"/>
          <w:sz w:val="22"/>
          <w:szCs w:val="22"/>
          <w:lang w:val="en-GB"/>
        </w:rPr>
        <w:t xml:space="preserve">ill have 120 days </w:t>
      </w:r>
      <w:r w:rsidR="00AC3F6F">
        <w:rPr>
          <w:rFonts w:ascii="Avenir Next" w:hAnsi="Avenir Next" w:cs="Arial"/>
          <w:color w:val="7B7B7B" w:themeColor="accent3" w:themeShade="BF"/>
          <w:sz w:val="22"/>
          <w:szCs w:val="22"/>
          <w:lang w:val="en-GB"/>
        </w:rPr>
        <w:t xml:space="preserve">from the date of the relief to decide whether </w:t>
      </w:r>
      <w:r w:rsidR="00A10EC2">
        <w:rPr>
          <w:rFonts w:ascii="Avenir Next" w:hAnsi="Avenir Next" w:cs="Arial"/>
          <w:color w:val="7B7B7B" w:themeColor="accent3" w:themeShade="BF"/>
          <w:sz w:val="22"/>
          <w:szCs w:val="22"/>
          <w:lang w:val="en-GB"/>
        </w:rPr>
        <w:t>to assume</w:t>
      </w:r>
      <w:r w:rsidR="00713A48">
        <w:rPr>
          <w:rFonts w:ascii="Avenir Next" w:hAnsi="Avenir Next" w:cs="Arial"/>
          <w:color w:val="7B7B7B" w:themeColor="accent3" w:themeShade="BF"/>
          <w:sz w:val="22"/>
          <w:szCs w:val="22"/>
          <w:lang w:val="en-GB"/>
        </w:rPr>
        <w:t>,</w:t>
      </w:r>
      <w:r w:rsidR="00A10EC2">
        <w:rPr>
          <w:rFonts w:ascii="Avenir Next" w:hAnsi="Avenir Next" w:cs="Arial"/>
          <w:color w:val="7B7B7B" w:themeColor="accent3" w:themeShade="BF"/>
          <w:sz w:val="22"/>
          <w:szCs w:val="22"/>
          <w:lang w:val="en-GB"/>
        </w:rPr>
        <w:t xml:space="preserve"> assign </w:t>
      </w:r>
      <w:r w:rsidR="00EC3657">
        <w:rPr>
          <w:rFonts w:ascii="Avenir Next" w:hAnsi="Avenir Next" w:cs="Arial"/>
          <w:color w:val="7B7B7B" w:themeColor="accent3" w:themeShade="BF"/>
          <w:sz w:val="22"/>
          <w:szCs w:val="22"/>
          <w:lang w:val="en-GB"/>
        </w:rPr>
        <w:t xml:space="preserve">or reject the </w:t>
      </w:r>
      <w:r w:rsidR="005A24B7">
        <w:rPr>
          <w:rFonts w:ascii="Avenir Next" w:hAnsi="Avenir Next" w:cs="Arial"/>
          <w:color w:val="7B7B7B" w:themeColor="accent3" w:themeShade="BF"/>
          <w:sz w:val="22"/>
          <w:szCs w:val="22"/>
          <w:lang w:val="en-GB"/>
        </w:rPr>
        <w:t xml:space="preserve">commercial </w:t>
      </w:r>
      <w:r w:rsidR="00EC3657">
        <w:rPr>
          <w:rFonts w:ascii="Avenir Next" w:hAnsi="Avenir Next" w:cs="Arial"/>
          <w:color w:val="7B7B7B" w:themeColor="accent3" w:themeShade="BF"/>
          <w:sz w:val="22"/>
          <w:szCs w:val="22"/>
          <w:lang w:val="en-GB"/>
        </w:rPr>
        <w:t>lease.</w:t>
      </w:r>
      <w:r w:rsidR="00713A48">
        <w:rPr>
          <w:rStyle w:val="FootnoteReference"/>
          <w:rFonts w:ascii="Avenir Next" w:hAnsi="Avenir Next" w:cs="Arial"/>
          <w:color w:val="7B7B7B" w:themeColor="accent3" w:themeShade="BF"/>
          <w:sz w:val="22"/>
          <w:szCs w:val="22"/>
          <w:lang w:val="en-GB"/>
        </w:rPr>
        <w:footnoteReference w:id="21"/>
      </w:r>
      <w:r w:rsidR="00EC3657">
        <w:rPr>
          <w:rFonts w:ascii="Avenir Next" w:hAnsi="Avenir Next" w:cs="Arial"/>
          <w:color w:val="7B7B7B" w:themeColor="accent3" w:themeShade="BF"/>
          <w:sz w:val="22"/>
          <w:szCs w:val="22"/>
          <w:lang w:val="en-GB"/>
        </w:rPr>
        <w:t xml:space="preserve"> </w:t>
      </w:r>
    </w:p>
    <w:p w14:paraId="7A4024CC" w14:textId="77777777" w:rsidR="00EC3657" w:rsidRDefault="00EC3657" w:rsidP="00F03051">
      <w:pPr>
        <w:jc w:val="both"/>
        <w:rPr>
          <w:rFonts w:ascii="Avenir Next" w:hAnsi="Avenir Next" w:cs="Arial"/>
          <w:color w:val="7B7B7B" w:themeColor="accent3" w:themeShade="BF"/>
          <w:sz w:val="22"/>
          <w:szCs w:val="22"/>
          <w:lang w:val="en-GB"/>
        </w:rPr>
      </w:pPr>
    </w:p>
    <w:p w14:paraId="5A120890" w14:textId="0AFCE70C" w:rsidR="00A94DE2" w:rsidRPr="00670885" w:rsidRDefault="00A94DE2" w:rsidP="00F03051">
      <w:pPr>
        <w:jc w:val="both"/>
        <w:rPr>
          <w:rFonts w:ascii="Avenir Next" w:hAnsi="Avenir Next" w:cs="Arial"/>
          <w:color w:val="7B7B7B" w:themeColor="accent3" w:themeShade="BF"/>
          <w:sz w:val="22"/>
          <w:szCs w:val="22"/>
          <w:lang w:val="en-GB"/>
        </w:rPr>
      </w:pPr>
      <w:r w:rsidRPr="007F3EA1">
        <w:rPr>
          <w:rFonts w:ascii="Avenir Next" w:hAnsi="Avenir Next" w:cs="Arial"/>
          <w:b/>
          <w:bCs/>
          <w:color w:val="7B7B7B" w:themeColor="accent3" w:themeShade="BF"/>
          <w:sz w:val="22"/>
          <w:szCs w:val="22"/>
          <w:lang w:val="en-GB"/>
        </w:rPr>
        <w:t>Employment discrimination lawsuit</w:t>
      </w:r>
      <w:r w:rsidR="007F3EA1">
        <w:rPr>
          <w:rFonts w:ascii="Avenir Next" w:hAnsi="Avenir Next" w:cs="Arial"/>
          <w:b/>
          <w:bCs/>
          <w:color w:val="7B7B7B" w:themeColor="accent3" w:themeShade="BF"/>
          <w:sz w:val="22"/>
          <w:szCs w:val="22"/>
          <w:lang w:val="en-GB"/>
        </w:rPr>
        <w:t xml:space="preserve">: </w:t>
      </w:r>
      <w:r w:rsidR="00670885">
        <w:rPr>
          <w:rFonts w:ascii="Avenir Next" w:hAnsi="Avenir Next" w:cs="Arial"/>
          <w:color w:val="7B7B7B" w:themeColor="accent3" w:themeShade="BF"/>
          <w:sz w:val="22"/>
          <w:szCs w:val="22"/>
          <w:lang w:val="en-GB"/>
        </w:rPr>
        <w:t>Th</w:t>
      </w:r>
      <w:r w:rsidR="00033CE7">
        <w:rPr>
          <w:rFonts w:ascii="Avenir Next" w:hAnsi="Avenir Next" w:cs="Arial"/>
          <w:color w:val="7B7B7B" w:themeColor="accent3" w:themeShade="BF"/>
          <w:sz w:val="22"/>
          <w:szCs w:val="22"/>
          <w:lang w:val="en-GB"/>
        </w:rPr>
        <w:t xml:space="preserve">e lawsuit will be posed until the </w:t>
      </w:r>
      <w:r w:rsidR="00392C39">
        <w:rPr>
          <w:rFonts w:ascii="Avenir Next" w:hAnsi="Avenir Next" w:cs="Arial"/>
          <w:color w:val="7B7B7B" w:themeColor="accent3" w:themeShade="BF"/>
          <w:sz w:val="22"/>
          <w:szCs w:val="22"/>
          <w:lang w:val="en-GB"/>
        </w:rPr>
        <w:t xml:space="preserve">restructuring plan will be completed and once it is confirmed </w:t>
      </w:r>
      <w:r w:rsidR="006B7554">
        <w:rPr>
          <w:rFonts w:ascii="Avenir Next" w:hAnsi="Avenir Next" w:cs="Arial"/>
          <w:color w:val="7B7B7B" w:themeColor="accent3" w:themeShade="BF"/>
          <w:sz w:val="22"/>
          <w:szCs w:val="22"/>
          <w:lang w:val="en-GB"/>
        </w:rPr>
        <w:t>the company will not be liable for the discrimination lawsuit.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559AC498" w:rsidR="00F03051" w:rsidRPr="00E41578" w:rsidRDefault="0015483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English schemes of arrangement to be recognised it must fulfil the requirements in </w:t>
      </w:r>
      <w:r w:rsidR="00990FFE">
        <w:rPr>
          <w:rFonts w:ascii="Avenir Next" w:hAnsi="Avenir Next" w:cs="Arial"/>
          <w:color w:val="7B7B7B" w:themeColor="accent3" w:themeShade="BF"/>
          <w:sz w:val="22"/>
          <w:szCs w:val="22"/>
          <w:lang w:val="en-GB"/>
        </w:rPr>
        <w:t>ss. 101(23). The representative of the schemes of arrangement</w:t>
      </w:r>
      <w:r w:rsidR="00D20D66">
        <w:rPr>
          <w:rFonts w:ascii="Avenir Next" w:hAnsi="Avenir Next" w:cs="Arial"/>
          <w:color w:val="7B7B7B" w:themeColor="accent3" w:themeShade="BF"/>
          <w:sz w:val="22"/>
          <w:szCs w:val="22"/>
          <w:lang w:val="en-GB"/>
        </w:rPr>
        <w:t xml:space="preserve">, </w:t>
      </w:r>
      <w:r w:rsidR="0011140C">
        <w:rPr>
          <w:rFonts w:ascii="Avenir Next" w:hAnsi="Avenir Next" w:cs="Arial"/>
          <w:color w:val="7B7B7B" w:themeColor="accent3" w:themeShade="BF"/>
          <w:sz w:val="22"/>
          <w:szCs w:val="22"/>
          <w:lang w:val="en-GB"/>
        </w:rPr>
        <w:t>a foreign representative,</w:t>
      </w:r>
      <w:r w:rsidR="00990FFE">
        <w:rPr>
          <w:rFonts w:ascii="Avenir Next" w:hAnsi="Avenir Next" w:cs="Arial"/>
          <w:color w:val="7B7B7B" w:themeColor="accent3" w:themeShade="BF"/>
          <w:sz w:val="22"/>
          <w:szCs w:val="22"/>
          <w:lang w:val="en-GB"/>
        </w:rPr>
        <w:t xml:space="preserve"> will be a</w:t>
      </w:r>
      <w:r w:rsidR="00AA6A0F">
        <w:rPr>
          <w:rFonts w:ascii="Avenir Next" w:hAnsi="Avenir Next" w:cs="Arial"/>
          <w:color w:val="7B7B7B" w:themeColor="accent3" w:themeShade="BF"/>
          <w:sz w:val="22"/>
          <w:szCs w:val="22"/>
          <w:lang w:val="en-GB"/>
        </w:rPr>
        <w:t xml:space="preserve">ble to prove that </w:t>
      </w:r>
      <w:r w:rsidR="009114BF">
        <w:rPr>
          <w:rFonts w:ascii="Avenir Next" w:hAnsi="Avenir Next" w:cs="Arial"/>
          <w:color w:val="7B7B7B" w:themeColor="accent3" w:themeShade="BF"/>
          <w:sz w:val="22"/>
          <w:szCs w:val="22"/>
          <w:lang w:val="en-GB"/>
        </w:rPr>
        <w:t>the scheme is a foreign proceeding</w:t>
      </w:r>
      <w:r w:rsidR="0016760A">
        <w:rPr>
          <w:rFonts w:ascii="Avenir Next" w:hAnsi="Avenir Next" w:cs="Arial"/>
          <w:color w:val="7B7B7B" w:themeColor="accent3" w:themeShade="BF"/>
          <w:sz w:val="22"/>
          <w:szCs w:val="22"/>
          <w:lang w:val="en-GB"/>
        </w:rPr>
        <w:t xml:space="preserve">. This is because </w:t>
      </w:r>
      <w:r w:rsidR="00B56345">
        <w:rPr>
          <w:rFonts w:ascii="Avenir Next" w:hAnsi="Avenir Next" w:cs="Arial"/>
          <w:color w:val="7B7B7B" w:themeColor="accent3" w:themeShade="BF"/>
          <w:sz w:val="22"/>
          <w:szCs w:val="22"/>
          <w:lang w:val="en-GB"/>
        </w:rPr>
        <w:t>the</w:t>
      </w:r>
      <w:r w:rsidR="0016760A">
        <w:rPr>
          <w:rFonts w:ascii="Avenir Next" w:hAnsi="Avenir Next" w:cs="Arial"/>
          <w:color w:val="7B7B7B" w:themeColor="accent3" w:themeShade="BF"/>
          <w:sz w:val="22"/>
          <w:szCs w:val="22"/>
          <w:lang w:val="en-GB"/>
        </w:rPr>
        <w:t xml:space="preserve"> scheme </w:t>
      </w:r>
      <w:r w:rsidR="00B56345">
        <w:rPr>
          <w:rFonts w:ascii="Avenir Next" w:hAnsi="Avenir Next" w:cs="Arial"/>
          <w:color w:val="7B7B7B" w:themeColor="accent3" w:themeShade="BF"/>
          <w:sz w:val="22"/>
          <w:szCs w:val="22"/>
          <w:lang w:val="en-GB"/>
        </w:rPr>
        <w:t xml:space="preserve">will </w:t>
      </w:r>
      <w:r w:rsidR="00DB4D7D">
        <w:rPr>
          <w:rFonts w:ascii="Avenir Next" w:hAnsi="Avenir Next" w:cs="Arial"/>
          <w:color w:val="7B7B7B" w:themeColor="accent3" w:themeShade="BF"/>
          <w:sz w:val="22"/>
          <w:szCs w:val="22"/>
          <w:lang w:val="en-GB"/>
        </w:rPr>
        <w:t>deal</w:t>
      </w:r>
      <w:r w:rsidR="00B56345">
        <w:rPr>
          <w:rFonts w:ascii="Avenir Next" w:hAnsi="Avenir Next" w:cs="Arial"/>
          <w:color w:val="7B7B7B" w:themeColor="accent3" w:themeShade="BF"/>
          <w:sz w:val="22"/>
          <w:szCs w:val="22"/>
          <w:lang w:val="en-GB"/>
        </w:rPr>
        <w:t xml:space="preserve"> with the assets and affairs of Stella</w:t>
      </w:r>
      <w:r w:rsidR="005305C8">
        <w:rPr>
          <w:rFonts w:ascii="Avenir Next" w:hAnsi="Avenir Next" w:cs="Arial"/>
          <w:color w:val="7B7B7B" w:themeColor="accent3" w:themeShade="BF"/>
          <w:sz w:val="22"/>
          <w:szCs w:val="22"/>
          <w:lang w:val="en-GB"/>
        </w:rPr>
        <w:t>.</w:t>
      </w:r>
      <w:r w:rsidR="005305C8">
        <w:rPr>
          <w:rStyle w:val="FootnoteReference"/>
          <w:rFonts w:ascii="Avenir Next" w:hAnsi="Avenir Next" w:cs="Arial"/>
          <w:color w:val="7B7B7B" w:themeColor="accent3" w:themeShade="BF"/>
          <w:sz w:val="22"/>
          <w:szCs w:val="22"/>
          <w:lang w:val="en-GB"/>
        </w:rPr>
        <w:footnoteReference w:id="22"/>
      </w:r>
      <w:r w:rsidR="00A01C7A">
        <w:rPr>
          <w:rFonts w:ascii="Avenir Next" w:hAnsi="Avenir Next" w:cs="Arial"/>
          <w:color w:val="7B7B7B" w:themeColor="accent3" w:themeShade="BF"/>
          <w:sz w:val="22"/>
          <w:szCs w:val="22"/>
          <w:lang w:val="en-GB"/>
        </w:rPr>
        <w:t xml:space="preserve"> The US recognition will be foreign non-main </w:t>
      </w:r>
      <w:r w:rsidR="00684CDB">
        <w:rPr>
          <w:rFonts w:ascii="Avenir Next" w:hAnsi="Avenir Next" w:cs="Arial"/>
          <w:color w:val="7B7B7B" w:themeColor="accent3" w:themeShade="BF"/>
          <w:sz w:val="22"/>
          <w:szCs w:val="22"/>
          <w:lang w:val="en-GB"/>
        </w:rPr>
        <w:t>proceedings because Stella’s COMI is not in the US.</w:t>
      </w:r>
      <w:r w:rsidR="00684CDB">
        <w:rPr>
          <w:rStyle w:val="FootnoteReference"/>
          <w:rFonts w:ascii="Avenir Next" w:hAnsi="Avenir Next" w:cs="Arial"/>
          <w:color w:val="7B7B7B" w:themeColor="accent3" w:themeShade="BF"/>
          <w:sz w:val="22"/>
          <w:szCs w:val="22"/>
          <w:lang w:val="en-GB"/>
        </w:rPr>
        <w:footnoteReference w:id="23"/>
      </w:r>
      <w:r w:rsidR="00066B9E">
        <w:rPr>
          <w:rFonts w:ascii="Avenir Next" w:hAnsi="Avenir Next" w:cs="Arial"/>
          <w:color w:val="7B7B7B" w:themeColor="accent3" w:themeShade="BF"/>
          <w:sz w:val="22"/>
          <w:szCs w:val="22"/>
          <w:lang w:val="en-GB"/>
        </w:rPr>
        <w:t xml:space="preserve"> The headquarter and place of incorporation of Stella are in France. The only activities that are occurring in US is the goods are shipped there</w:t>
      </w:r>
      <w:r w:rsidR="00FC0EC2">
        <w:rPr>
          <w:rFonts w:ascii="Avenir Next" w:hAnsi="Avenir Next" w:cs="Arial"/>
          <w:color w:val="7B7B7B" w:themeColor="accent3" w:themeShade="BF"/>
          <w:sz w:val="22"/>
          <w:szCs w:val="22"/>
          <w:lang w:val="en-GB"/>
        </w:rPr>
        <w:t xml:space="preserve">, therefore there is not enough evidence to rebut the presumption that the </w:t>
      </w:r>
      <w:r w:rsidR="002A5D50">
        <w:rPr>
          <w:rFonts w:ascii="Avenir Next" w:hAnsi="Avenir Next" w:cs="Arial"/>
          <w:color w:val="7B7B7B" w:themeColor="accent3" w:themeShade="BF"/>
          <w:sz w:val="22"/>
          <w:szCs w:val="22"/>
          <w:lang w:val="en-GB"/>
        </w:rPr>
        <w:t>head office</w:t>
      </w:r>
      <w:r w:rsidR="00FC0EC2">
        <w:rPr>
          <w:rFonts w:ascii="Avenir Next" w:hAnsi="Avenir Next" w:cs="Arial"/>
          <w:color w:val="7B7B7B" w:themeColor="accent3" w:themeShade="BF"/>
          <w:sz w:val="22"/>
          <w:szCs w:val="22"/>
          <w:lang w:val="en-GB"/>
        </w:rPr>
        <w:t xml:space="preserve"> and place of incorporation are in the </w:t>
      </w:r>
      <w:r w:rsidR="002A5D50">
        <w:rPr>
          <w:rFonts w:ascii="Avenir Next" w:hAnsi="Avenir Next" w:cs="Arial"/>
          <w:color w:val="7B7B7B" w:themeColor="accent3" w:themeShade="BF"/>
          <w:sz w:val="22"/>
          <w:szCs w:val="22"/>
          <w:lang w:val="en-GB"/>
        </w:rPr>
        <w:t>US for there to be COMI.</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456CE931" w:rsidR="00F03051" w:rsidRPr="00E41578" w:rsidRDefault="005810C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an executory contract because </w:t>
      </w:r>
      <w:r w:rsidR="00281DDE">
        <w:rPr>
          <w:rFonts w:ascii="Avenir Next" w:hAnsi="Avenir Next" w:cs="Arial"/>
          <w:color w:val="7B7B7B" w:themeColor="accent3" w:themeShade="BF"/>
          <w:sz w:val="22"/>
          <w:szCs w:val="22"/>
          <w:lang w:val="en-GB"/>
        </w:rPr>
        <w:t>both parties have an ongoing obligation under the contract</w:t>
      </w:r>
      <w:r w:rsidR="00082C24">
        <w:rPr>
          <w:rFonts w:ascii="Avenir Next" w:hAnsi="Avenir Next" w:cs="Arial"/>
          <w:color w:val="7B7B7B" w:themeColor="accent3" w:themeShade="BF"/>
          <w:sz w:val="22"/>
          <w:szCs w:val="22"/>
          <w:lang w:val="en-GB"/>
        </w:rPr>
        <w:t xml:space="preserve">, for </w:t>
      </w:r>
      <w:proofErr w:type="spellStart"/>
      <w:r w:rsidR="00082C24">
        <w:rPr>
          <w:rFonts w:ascii="Avenir Next" w:hAnsi="Avenir Next" w:cs="Arial"/>
          <w:color w:val="7B7B7B" w:themeColor="accent3" w:themeShade="BF"/>
          <w:sz w:val="22"/>
          <w:szCs w:val="22"/>
          <w:lang w:val="en-GB"/>
        </w:rPr>
        <w:t>Toyco</w:t>
      </w:r>
      <w:proofErr w:type="spellEnd"/>
      <w:r w:rsidR="00082C24">
        <w:rPr>
          <w:rFonts w:ascii="Avenir Next" w:hAnsi="Avenir Next" w:cs="Arial"/>
          <w:color w:val="7B7B7B" w:themeColor="accent3" w:themeShade="BF"/>
          <w:sz w:val="22"/>
          <w:szCs w:val="22"/>
          <w:lang w:val="en-GB"/>
        </w:rPr>
        <w:t xml:space="preserve"> is to provide the licence and for </w:t>
      </w:r>
      <w:proofErr w:type="spellStart"/>
      <w:r w:rsidR="00082C24">
        <w:rPr>
          <w:rFonts w:ascii="Avenir Next" w:hAnsi="Avenir Next" w:cs="Arial"/>
          <w:color w:val="7B7B7B" w:themeColor="accent3" w:themeShade="BF"/>
          <w:sz w:val="22"/>
          <w:szCs w:val="22"/>
          <w:lang w:val="en-GB"/>
        </w:rPr>
        <w:t>Game</w:t>
      </w:r>
      <w:r w:rsidR="00143BA5">
        <w:rPr>
          <w:rFonts w:ascii="Avenir Next" w:hAnsi="Avenir Next" w:cs="Arial"/>
          <w:color w:val="7B7B7B" w:themeColor="accent3" w:themeShade="BF"/>
          <w:sz w:val="22"/>
          <w:szCs w:val="22"/>
          <w:lang w:val="en-GB"/>
        </w:rPr>
        <w:t>M</w:t>
      </w:r>
      <w:r w:rsidR="00082C24">
        <w:rPr>
          <w:rFonts w:ascii="Avenir Next" w:hAnsi="Avenir Next" w:cs="Arial"/>
          <w:color w:val="7B7B7B" w:themeColor="accent3" w:themeShade="BF"/>
          <w:sz w:val="22"/>
          <w:szCs w:val="22"/>
          <w:lang w:val="en-GB"/>
        </w:rPr>
        <w:t>art</w:t>
      </w:r>
      <w:proofErr w:type="spellEnd"/>
      <w:r w:rsidR="00082C24">
        <w:rPr>
          <w:rFonts w:ascii="Avenir Next" w:hAnsi="Avenir Next" w:cs="Arial"/>
          <w:color w:val="7B7B7B" w:themeColor="accent3" w:themeShade="BF"/>
          <w:sz w:val="22"/>
          <w:szCs w:val="22"/>
          <w:lang w:val="en-GB"/>
        </w:rPr>
        <w:t xml:space="preserve"> is to manufacture the toys and mon</w:t>
      </w:r>
      <w:r w:rsidR="00143BA5">
        <w:rPr>
          <w:rFonts w:ascii="Avenir Next" w:hAnsi="Avenir Next" w:cs="Arial"/>
          <w:color w:val="7B7B7B" w:themeColor="accent3" w:themeShade="BF"/>
          <w:sz w:val="22"/>
          <w:szCs w:val="22"/>
          <w:lang w:val="en-GB"/>
        </w:rPr>
        <w:t xml:space="preserve">thly </w:t>
      </w:r>
      <w:proofErr w:type="gramStart"/>
      <w:r w:rsidR="00143BA5">
        <w:rPr>
          <w:rFonts w:ascii="Avenir Next" w:hAnsi="Avenir Next" w:cs="Arial"/>
          <w:color w:val="7B7B7B" w:themeColor="accent3" w:themeShade="BF"/>
          <w:sz w:val="22"/>
          <w:szCs w:val="22"/>
          <w:lang w:val="en-GB"/>
        </w:rPr>
        <w:t>royalties</w:t>
      </w:r>
      <w:proofErr w:type="gramEnd"/>
      <w:r w:rsidR="00143BA5">
        <w:rPr>
          <w:rFonts w:ascii="Avenir Next" w:hAnsi="Avenir Next" w:cs="Arial"/>
          <w:color w:val="7B7B7B" w:themeColor="accent3" w:themeShade="BF"/>
          <w:sz w:val="22"/>
          <w:szCs w:val="22"/>
          <w:lang w:val="en-GB"/>
        </w:rPr>
        <w:t xml:space="preserve"> payment to </w:t>
      </w:r>
      <w:proofErr w:type="spellStart"/>
      <w:r w:rsidR="00143BA5">
        <w:rPr>
          <w:rFonts w:ascii="Avenir Next" w:hAnsi="Avenir Next" w:cs="Arial"/>
          <w:color w:val="7B7B7B" w:themeColor="accent3" w:themeShade="BF"/>
          <w:sz w:val="22"/>
          <w:szCs w:val="22"/>
          <w:lang w:val="en-GB"/>
        </w:rPr>
        <w:t>Toyco</w:t>
      </w:r>
      <w:proofErr w:type="spellEnd"/>
      <w:r w:rsidR="00143BA5">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419B355C" w:rsidR="00E01803" w:rsidRDefault="007477B3" w:rsidP="000778B1">
      <w:pPr>
        <w:pStyle w:val="AODocTxt"/>
        <w:spacing w:before="0" w:line="240" w:lineRule="auto"/>
        <w:rPr>
          <w:rFonts w:ascii="Avenir Next" w:hAnsi="Avenir Next"/>
        </w:rPr>
      </w:pPr>
      <w:r>
        <w:rPr>
          <w:rFonts w:ascii="Avenir Next" w:hAnsi="Avenir Next"/>
        </w:rPr>
        <w:t xml:space="preserve">No. a 363 sale of </w:t>
      </w:r>
      <w:proofErr w:type="spellStart"/>
      <w:r>
        <w:rPr>
          <w:rFonts w:ascii="Avenir Next" w:hAnsi="Avenir Next"/>
        </w:rPr>
        <w:t>Xblox</w:t>
      </w:r>
      <w:proofErr w:type="spellEnd"/>
      <w:r>
        <w:rPr>
          <w:rFonts w:ascii="Avenir Next" w:hAnsi="Avenir Next"/>
        </w:rPr>
        <w:t xml:space="preserve"> </w:t>
      </w:r>
      <w:proofErr w:type="spellStart"/>
      <w:r>
        <w:rPr>
          <w:rFonts w:ascii="Avenir Next" w:hAnsi="Avenir Next"/>
        </w:rPr>
        <w:t>licence</w:t>
      </w:r>
      <w:proofErr w:type="spellEnd"/>
      <w:r>
        <w:rPr>
          <w:rFonts w:ascii="Avenir Next" w:hAnsi="Avenir Next"/>
        </w:rPr>
        <w:t xml:space="preserve"> requires permission from </w:t>
      </w:r>
      <w:proofErr w:type="spellStart"/>
      <w:r w:rsidR="00190758">
        <w:rPr>
          <w:rFonts w:ascii="Avenir Next" w:hAnsi="Avenir Next"/>
        </w:rPr>
        <w:t>Toyco</w:t>
      </w:r>
      <w:proofErr w:type="spellEnd"/>
      <w:r w:rsidR="00190758">
        <w:rPr>
          <w:rFonts w:ascii="Avenir Next" w:hAnsi="Avenir Next"/>
        </w:rPr>
        <w:t xml:space="preserve"> to go ahead.</w:t>
      </w:r>
      <w:r w:rsidR="00190758">
        <w:rPr>
          <w:rStyle w:val="FootnoteReference"/>
          <w:rFonts w:ascii="Avenir Next" w:hAnsi="Avenir Next"/>
        </w:rPr>
        <w:footnoteReference w:id="24"/>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2BE5CD53" w:rsidR="00F03051" w:rsidRPr="00E41578" w:rsidRDefault="00833874"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Yes</w:t>
      </w:r>
      <w:proofErr w:type="gramEnd"/>
      <w:r w:rsidR="00841BC9">
        <w:rPr>
          <w:rFonts w:ascii="Avenir Next" w:hAnsi="Avenir Next" w:cs="Arial"/>
          <w:color w:val="7B7B7B" w:themeColor="accent3" w:themeShade="BF"/>
          <w:sz w:val="22"/>
          <w:szCs w:val="22"/>
          <w:lang w:val="en-GB"/>
        </w:rPr>
        <w:t xml:space="preserve"> because it will be in the ordinary course of business of </w:t>
      </w:r>
      <w:proofErr w:type="spellStart"/>
      <w:r w:rsidR="0013268F">
        <w:rPr>
          <w:rFonts w:ascii="Avenir Next" w:hAnsi="Avenir Next" w:cs="Arial"/>
          <w:color w:val="7B7B7B" w:themeColor="accent3" w:themeShade="BF"/>
          <w:sz w:val="22"/>
          <w:szCs w:val="22"/>
          <w:lang w:val="en-GB"/>
        </w:rPr>
        <w:t>GameMart</w:t>
      </w:r>
      <w:proofErr w:type="spellEnd"/>
      <w:r w:rsidR="0013268F">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9928" w14:textId="77777777" w:rsidR="00D16AC6" w:rsidRDefault="00D16AC6" w:rsidP="00241B44">
      <w:r>
        <w:separator/>
      </w:r>
    </w:p>
  </w:endnote>
  <w:endnote w:type="continuationSeparator" w:id="0">
    <w:p w14:paraId="287B1A32" w14:textId="77777777" w:rsidR="00D16AC6" w:rsidRDefault="00D16A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A6BF667" w:rsidR="00241FA3" w:rsidRPr="00494B81" w:rsidRDefault="00C149E6" w:rsidP="009B4976">
    <w:pPr>
      <w:pStyle w:val="Footer"/>
      <w:ind w:right="360"/>
      <w:rPr>
        <w:rFonts w:ascii="Avenir Next" w:hAnsi="Avenir Next" w:cs="Arial"/>
        <w:sz w:val="22"/>
        <w:szCs w:val="22"/>
        <w:lang w:val="en-GB"/>
      </w:rPr>
    </w:pPr>
    <w:r w:rsidRPr="00C149E6">
      <w:rPr>
        <w:rFonts w:ascii="Avenir Next" w:hAnsi="Avenir Next" w:cs="Arial"/>
        <w:sz w:val="22"/>
        <w:szCs w:val="22"/>
        <w:lang w:val="en-GB"/>
      </w:rPr>
      <w:t>202223-964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937C" w14:textId="77777777" w:rsidR="00D16AC6" w:rsidRDefault="00D16AC6" w:rsidP="00241B44">
      <w:r>
        <w:separator/>
      </w:r>
    </w:p>
  </w:footnote>
  <w:footnote w:type="continuationSeparator" w:id="0">
    <w:p w14:paraId="3B7199BA" w14:textId="77777777" w:rsidR="00D16AC6" w:rsidRDefault="00D16AC6" w:rsidP="00241B44">
      <w:r>
        <w:continuationSeparator/>
      </w:r>
    </w:p>
  </w:footnote>
  <w:footnote w:id="1">
    <w:p w14:paraId="25276B6E" w14:textId="7449B593" w:rsidR="00E44251" w:rsidRPr="00E44251" w:rsidRDefault="00E44251">
      <w:pPr>
        <w:pStyle w:val="FootnoteText"/>
        <w:rPr>
          <w:lang w:val="en-GB"/>
        </w:rPr>
      </w:pPr>
      <w:r>
        <w:rPr>
          <w:rStyle w:val="FootnoteReference"/>
        </w:rPr>
        <w:footnoteRef/>
      </w:r>
      <w:r>
        <w:t xml:space="preserve"> </w:t>
      </w:r>
      <w:r>
        <w:rPr>
          <w:lang w:val="en-GB"/>
        </w:rPr>
        <w:t xml:space="preserve">Matt Ochs, ‘Exercising Rights to Setoff and Recoupment in Bankruptcy’ </w:t>
      </w:r>
      <w:r w:rsidR="00033CEA">
        <w:rPr>
          <w:lang w:val="en-GB"/>
        </w:rPr>
        <w:t>(2015) Holland &amp; Hart &lt;</w:t>
      </w:r>
      <w:r w:rsidR="00D63DC7" w:rsidRPr="00D63DC7">
        <w:t xml:space="preserve"> </w:t>
      </w:r>
      <w:r w:rsidR="00D63DC7" w:rsidRPr="00D63DC7">
        <w:rPr>
          <w:lang w:val="en-GB"/>
        </w:rPr>
        <w:t xml:space="preserve">https://www.hollandhart.com/exercising-rights-to-setoff-and-recoupment-in-bankruptcy </w:t>
      </w:r>
      <w:r w:rsidR="00033CEA">
        <w:rPr>
          <w:lang w:val="en-GB"/>
        </w:rPr>
        <w:t xml:space="preserve">&gt; accessed </w:t>
      </w:r>
      <w:r w:rsidR="00D63DC7">
        <w:rPr>
          <w:lang w:val="en-GB"/>
        </w:rPr>
        <w:t>3 February 2023.</w:t>
      </w:r>
    </w:p>
  </w:footnote>
  <w:footnote w:id="2">
    <w:p w14:paraId="22C6EB24" w14:textId="682D73DE" w:rsidR="00263D03" w:rsidRPr="00263D03" w:rsidRDefault="00263D03" w:rsidP="00263D03">
      <w:pPr>
        <w:pStyle w:val="FootnoteText"/>
        <w:rPr>
          <w:lang w:val="en-GB"/>
        </w:rPr>
      </w:pPr>
      <w:r>
        <w:rPr>
          <w:rStyle w:val="FootnoteReference"/>
        </w:rPr>
        <w:footnoteRef/>
      </w:r>
      <w:r>
        <w:t xml:space="preserve"> </w:t>
      </w:r>
      <w:r>
        <w:rPr>
          <w:rStyle w:val="FootnoteReference"/>
        </w:rPr>
        <w:footnoteRef/>
      </w:r>
      <w:r>
        <w:t xml:space="preserve"> </w:t>
      </w:r>
      <w:r>
        <w:rPr>
          <w:lang w:val="en-GB"/>
        </w:rPr>
        <w:t>Matt Ochs, ‘Exercising Rights to Setoff and Recoupment in Bankruptcy’ (2015) Holland &amp; Hart &lt;</w:t>
      </w:r>
      <w:r w:rsidRPr="00D63DC7">
        <w:t xml:space="preserve"> </w:t>
      </w:r>
      <w:r w:rsidRPr="00D63DC7">
        <w:rPr>
          <w:lang w:val="en-GB"/>
        </w:rPr>
        <w:t xml:space="preserve">https://www.hollandhart.com/exercising-rights-to-setoff-and-recoupment-in-bankruptcy </w:t>
      </w:r>
      <w:r>
        <w:rPr>
          <w:lang w:val="en-GB"/>
        </w:rPr>
        <w:t>&gt; accessed 3 February 2023.</w:t>
      </w:r>
    </w:p>
  </w:footnote>
  <w:footnote w:id="3">
    <w:p w14:paraId="00AEDC85" w14:textId="25A7F38F" w:rsidR="004F7924" w:rsidRPr="004F7924" w:rsidRDefault="004F7924">
      <w:pPr>
        <w:pStyle w:val="FootnoteText"/>
      </w:pPr>
      <w:r>
        <w:rPr>
          <w:rStyle w:val="FootnoteReference"/>
        </w:rPr>
        <w:footnoteRef/>
      </w:r>
      <w:r>
        <w:t xml:space="preserve"> </w:t>
      </w:r>
      <w:r w:rsidRPr="004F7924">
        <w:t>Bankruptcy Code</w:t>
      </w:r>
      <w:r>
        <w:t xml:space="preserve">, </w:t>
      </w:r>
      <w:r w:rsidRPr="004F7924">
        <w:t>§ 1129(b)(2)</w:t>
      </w:r>
      <w:r>
        <w:t>.</w:t>
      </w:r>
    </w:p>
  </w:footnote>
  <w:footnote w:id="4">
    <w:p w14:paraId="0769C509" w14:textId="78743A89" w:rsidR="003709E9" w:rsidRPr="003709E9" w:rsidRDefault="003709E9">
      <w:pPr>
        <w:pStyle w:val="FootnoteText"/>
        <w:rPr>
          <w:lang w:val="en-GB"/>
        </w:rPr>
      </w:pPr>
      <w:r>
        <w:rPr>
          <w:rStyle w:val="FootnoteReference"/>
        </w:rPr>
        <w:footnoteRef/>
      </w:r>
      <w:r>
        <w:t xml:space="preserve"> </w:t>
      </w:r>
      <w:r w:rsidR="00026399">
        <w:rPr>
          <w:lang w:val="en-GB"/>
        </w:rPr>
        <w:t xml:space="preserve">Michael L. Cook and Adam C. Harris, ‘Priming DIPs: The New Normal’ (2014) </w:t>
      </w:r>
      <w:r w:rsidR="00F40352">
        <w:rPr>
          <w:lang w:val="en-GB"/>
        </w:rPr>
        <w:t>Schulte Roth &amp; Zabel &lt;</w:t>
      </w:r>
      <w:r w:rsidR="00BC7D4D" w:rsidRPr="00BC7D4D">
        <w:rPr>
          <w:lang w:val="en-GB"/>
        </w:rPr>
        <w:t>https://www.srz.com/resources/priming-dips-the-new-normal.html</w:t>
      </w:r>
      <w:r w:rsidR="00F40352">
        <w:rPr>
          <w:lang w:val="en-GB"/>
        </w:rPr>
        <w:t>&gt; accessed 4 February 2023.</w:t>
      </w:r>
    </w:p>
  </w:footnote>
  <w:footnote w:id="5">
    <w:p w14:paraId="544785AF" w14:textId="3EC5F753" w:rsidR="002767F4" w:rsidRPr="002767F4" w:rsidRDefault="002767F4">
      <w:pPr>
        <w:pStyle w:val="FootnoteText"/>
        <w:rPr>
          <w:lang w:val="en-GB"/>
        </w:rPr>
      </w:pPr>
      <w:r>
        <w:rPr>
          <w:rStyle w:val="FootnoteReference"/>
        </w:rPr>
        <w:footnoteRef/>
      </w:r>
      <w:r>
        <w:t xml:space="preserve"> </w:t>
      </w:r>
      <w:r w:rsidR="00F41201">
        <w:t>Bankruptcy Code</w:t>
      </w:r>
      <w:r w:rsidR="007C08F6">
        <w:t xml:space="preserve">, </w:t>
      </w:r>
      <w:r w:rsidR="00F648AD" w:rsidRPr="00F648AD">
        <w:t>§</w:t>
      </w:r>
      <w:r w:rsidR="00F648AD">
        <w:t xml:space="preserve"> 547.</w:t>
      </w:r>
    </w:p>
  </w:footnote>
  <w:footnote w:id="6">
    <w:p w14:paraId="41D2BEEB" w14:textId="001E4D4A" w:rsidR="001268BE" w:rsidRPr="001268BE" w:rsidRDefault="001268BE">
      <w:pPr>
        <w:pStyle w:val="FootnoteText"/>
        <w:rPr>
          <w:lang w:val="en-GB"/>
        </w:rPr>
      </w:pPr>
      <w:r>
        <w:rPr>
          <w:rStyle w:val="FootnoteReference"/>
        </w:rPr>
        <w:footnoteRef/>
      </w:r>
      <w:r>
        <w:t xml:space="preserve"> </w:t>
      </w:r>
      <w:r w:rsidR="006D3DCC">
        <w:rPr>
          <w:lang w:val="en-GB"/>
        </w:rPr>
        <w:t>Unknown, ‘Preference Clai</w:t>
      </w:r>
      <w:r w:rsidR="000645A1">
        <w:rPr>
          <w:lang w:val="en-GB"/>
        </w:rPr>
        <w:t>ms in Bankruptcy’ (unknown) Romano Law &lt;</w:t>
      </w:r>
      <w:r w:rsidR="00AB7774" w:rsidRPr="00AB7774">
        <w:rPr>
          <w:lang w:val="en-GB"/>
        </w:rPr>
        <w:t>https://www.romanolaw.com/business-disputes/preference-claims-in-bankruptcy/</w:t>
      </w:r>
      <w:r w:rsidR="000645A1">
        <w:rPr>
          <w:lang w:val="en-GB"/>
        </w:rPr>
        <w:t>&gt; accessed 28 February 2023.</w:t>
      </w:r>
    </w:p>
  </w:footnote>
  <w:footnote w:id="7">
    <w:p w14:paraId="523BDE5A" w14:textId="29AF9F29" w:rsidR="00D033F5" w:rsidRPr="00D033F5" w:rsidRDefault="00D033F5" w:rsidP="007B6FB7">
      <w:pPr>
        <w:pStyle w:val="FootnoteText"/>
        <w:rPr>
          <w:lang w:val="en-GB"/>
        </w:rPr>
      </w:pPr>
      <w:r>
        <w:rPr>
          <w:rStyle w:val="FootnoteReference"/>
        </w:rPr>
        <w:footnoteRef/>
      </w:r>
      <w:r>
        <w:t xml:space="preserve"> Bankruptcy Code, </w:t>
      </w:r>
      <w:r w:rsidRPr="00F648AD">
        <w:t>§</w:t>
      </w:r>
      <w:r>
        <w:t xml:space="preserve"> 547 and </w:t>
      </w:r>
      <w:r>
        <w:rPr>
          <w:lang w:val="en-GB"/>
        </w:rPr>
        <w:t>Unknown, ‘Preference Claims in Bankruptcy’ (unknown) Romano Law &lt;</w:t>
      </w:r>
      <w:r w:rsidRPr="00AB7774">
        <w:rPr>
          <w:lang w:val="en-GB"/>
        </w:rPr>
        <w:t>https://www.romanolaw.com/business-disputes/preference-claims-in-bankruptcy/</w:t>
      </w:r>
      <w:r>
        <w:rPr>
          <w:lang w:val="en-GB"/>
        </w:rPr>
        <w:t>&gt; accessed 28 February 2023.</w:t>
      </w:r>
    </w:p>
  </w:footnote>
  <w:footnote w:id="8">
    <w:p w14:paraId="1ACED305" w14:textId="44F24315" w:rsidR="007B6FB7" w:rsidRPr="007B6FB7" w:rsidRDefault="007B6FB7">
      <w:pPr>
        <w:pStyle w:val="FootnoteText"/>
        <w:rPr>
          <w:lang w:val="en-GB"/>
        </w:rPr>
      </w:pPr>
      <w:r>
        <w:rPr>
          <w:rStyle w:val="FootnoteReference"/>
        </w:rPr>
        <w:footnoteRef/>
      </w:r>
      <w:r>
        <w:t xml:space="preserve"> Jarrad Wright, ‘When Does</w:t>
      </w:r>
      <w:r w:rsidR="006561EC">
        <w:t xml:space="preserve"> and Order Qualify as a Final Order? How Does This Affect Bank</w:t>
      </w:r>
      <w:r w:rsidR="00A44C02">
        <w:t xml:space="preserve">ruptcies?’ </w:t>
      </w:r>
      <w:proofErr w:type="gramStart"/>
      <w:r w:rsidR="00A44C02">
        <w:t>( Unknown</w:t>
      </w:r>
      <w:proofErr w:type="gramEnd"/>
      <w:r w:rsidR="00A44C02">
        <w:t>)</w:t>
      </w:r>
      <w:r w:rsidR="00264A70">
        <w:t xml:space="preserve"> &lt;</w:t>
      </w:r>
      <w:r w:rsidR="00264A70" w:rsidRPr="00264A70">
        <w:t xml:space="preserve"> https://www.dimuro.com/when-does-an-order-qualify-as-a-final-order/</w:t>
      </w:r>
      <w:r w:rsidR="00264A70">
        <w:t>&gt;</w:t>
      </w:r>
      <w:r w:rsidR="00A44C02">
        <w:t xml:space="preserve"> access</w:t>
      </w:r>
      <w:r w:rsidR="00264A70">
        <w:t>ed 28 February 2023.</w:t>
      </w:r>
    </w:p>
  </w:footnote>
  <w:footnote w:id="9">
    <w:p w14:paraId="2AEF523B" w14:textId="73287453" w:rsidR="00C916F1" w:rsidRPr="00BD074F" w:rsidRDefault="00C916F1">
      <w:pPr>
        <w:pStyle w:val="FootnoteText"/>
        <w:rPr>
          <w:lang w:val="en-GB"/>
        </w:rPr>
      </w:pPr>
      <w:r>
        <w:rPr>
          <w:rStyle w:val="FootnoteReference"/>
        </w:rPr>
        <w:footnoteRef/>
      </w:r>
      <w:r>
        <w:t xml:space="preserve"> </w:t>
      </w:r>
      <w:r>
        <w:rPr>
          <w:lang w:val="en-GB"/>
        </w:rPr>
        <w:t>Richard B L</w:t>
      </w:r>
      <w:r w:rsidR="00D10CF6">
        <w:rPr>
          <w:lang w:val="en-GB"/>
        </w:rPr>
        <w:t>evin, ‘</w:t>
      </w:r>
      <w:r w:rsidR="00AF1B89">
        <w:rPr>
          <w:lang w:val="en-GB"/>
        </w:rPr>
        <w:t xml:space="preserve">Bankruptcy Appeals </w:t>
      </w:r>
      <w:r w:rsidR="00BD074F">
        <w:rPr>
          <w:lang w:val="en-GB"/>
        </w:rPr>
        <w:t xml:space="preserve">Symposium </w:t>
      </w:r>
      <w:proofErr w:type="gramStart"/>
      <w:r w:rsidR="00BD074F">
        <w:rPr>
          <w:lang w:val="en-GB"/>
        </w:rPr>
        <w:t>The</w:t>
      </w:r>
      <w:proofErr w:type="gramEnd"/>
      <w:r w:rsidR="00BD074F">
        <w:rPr>
          <w:lang w:val="en-GB"/>
        </w:rPr>
        <w:t xml:space="preserve"> Bankruptcy Reform Act of 1978</w:t>
      </w:r>
      <w:r w:rsidR="008607CF">
        <w:rPr>
          <w:lang w:val="en-GB"/>
        </w:rPr>
        <w:t xml:space="preserve"> Part II’ (1979-1980) 58 </w:t>
      </w:r>
      <w:r w:rsidR="00563D3B">
        <w:rPr>
          <w:lang w:val="en-GB"/>
        </w:rPr>
        <w:t>North Carolina Law Review 967.</w:t>
      </w:r>
    </w:p>
  </w:footnote>
  <w:footnote w:id="10">
    <w:p w14:paraId="3E7201C1" w14:textId="3129CC02" w:rsidR="007C6E20" w:rsidRPr="007C6E20" w:rsidRDefault="007C6E20">
      <w:pPr>
        <w:pStyle w:val="FootnoteText"/>
        <w:rPr>
          <w:lang w:val="en-GB"/>
        </w:rPr>
      </w:pPr>
      <w:r>
        <w:rPr>
          <w:rStyle w:val="FootnoteReference"/>
        </w:rPr>
        <w:footnoteRef/>
      </w:r>
      <w:r>
        <w:t xml:space="preserve"> </w:t>
      </w:r>
      <w:r>
        <w:rPr>
          <w:lang w:val="en-GB"/>
        </w:rPr>
        <w:t xml:space="preserve">Richard B Levin, ‘Bankruptcy Appeals Symposium </w:t>
      </w:r>
      <w:proofErr w:type="gramStart"/>
      <w:r>
        <w:rPr>
          <w:lang w:val="en-GB"/>
        </w:rPr>
        <w:t>The</w:t>
      </w:r>
      <w:proofErr w:type="gramEnd"/>
      <w:r>
        <w:rPr>
          <w:lang w:val="en-GB"/>
        </w:rPr>
        <w:t xml:space="preserve"> Bankruptcy Reform Act of 1978 Part II’ (1979-1980) 58 North Carolina Law Review 967.</w:t>
      </w:r>
    </w:p>
  </w:footnote>
  <w:footnote w:id="11">
    <w:p w14:paraId="3FE1A906" w14:textId="034B64E1" w:rsidR="00A02649" w:rsidRPr="00A02649" w:rsidRDefault="00A02649">
      <w:pPr>
        <w:pStyle w:val="FootnoteText"/>
        <w:rPr>
          <w:lang w:val="en-GB"/>
        </w:rPr>
      </w:pPr>
      <w:r>
        <w:rPr>
          <w:rStyle w:val="FootnoteReference"/>
        </w:rPr>
        <w:footnoteRef/>
      </w:r>
      <w:r w:rsidR="00235923">
        <w:t>Norman E</w:t>
      </w:r>
      <w:r>
        <w:t xml:space="preserve"> </w:t>
      </w:r>
      <w:r w:rsidR="00235923">
        <w:t>Veasey, ‘</w:t>
      </w:r>
      <w:r w:rsidR="00827362" w:rsidRPr="00827362">
        <w:t>Counseling the Board of Directors of a Delaware Corporation in Distress</w:t>
      </w:r>
      <w:r w:rsidR="00827362">
        <w:t xml:space="preserve">’ (June 2008) 27(5) </w:t>
      </w:r>
      <w:r w:rsidR="005958CE" w:rsidRPr="005958CE">
        <w:t>American Bankruptcy Institute Journal</w:t>
      </w:r>
      <w:r w:rsidR="005958CE">
        <w:t xml:space="preserve"> 61.</w:t>
      </w:r>
    </w:p>
  </w:footnote>
  <w:footnote w:id="12">
    <w:p w14:paraId="45918252" w14:textId="0FE27AB3" w:rsidR="00820930" w:rsidRPr="00820930" w:rsidRDefault="00820930" w:rsidP="00D72967">
      <w:pPr>
        <w:pStyle w:val="FootnoteText"/>
        <w:rPr>
          <w:lang w:val="en-GB"/>
        </w:rPr>
      </w:pPr>
      <w:r>
        <w:rPr>
          <w:rStyle w:val="FootnoteReference"/>
        </w:rPr>
        <w:footnoteRef/>
      </w:r>
      <w:r>
        <w:t xml:space="preserve"> </w:t>
      </w:r>
      <w:r w:rsidR="00D72967">
        <w:t>Norman E Veasey, ‘</w:t>
      </w:r>
      <w:r w:rsidR="00D72967" w:rsidRPr="00827362">
        <w:t>Counseling the Board of Directors of a Delaware Corporation in Distress</w:t>
      </w:r>
      <w:r w:rsidR="00D72967">
        <w:t xml:space="preserve">’ (June 2008) 27(5) </w:t>
      </w:r>
      <w:r w:rsidR="00D72967" w:rsidRPr="005958CE">
        <w:t>American Bankruptcy Institute Journal</w:t>
      </w:r>
      <w:r w:rsidR="00D72967">
        <w:t xml:space="preserve"> 61.</w:t>
      </w:r>
    </w:p>
  </w:footnote>
  <w:footnote w:id="13">
    <w:p w14:paraId="22E2EE9F" w14:textId="77777777" w:rsidR="0095717A" w:rsidRDefault="004B3A22" w:rsidP="0095717A">
      <w:pPr>
        <w:pStyle w:val="FootnoteText"/>
      </w:pPr>
      <w:r>
        <w:rPr>
          <w:rStyle w:val="FootnoteReference"/>
        </w:rPr>
        <w:footnoteRef/>
      </w:r>
      <w:r>
        <w:t xml:space="preserve"> </w:t>
      </w:r>
      <w:r w:rsidR="00055737">
        <w:t>Craig W Palm and Mark A Kearney, ‘</w:t>
      </w:r>
      <w:r w:rsidR="0095717A">
        <w:t>A Primer on the Basics of Directors' Duties in Delaware: The Rules</w:t>
      </w:r>
    </w:p>
    <w:p w14:paraId="43170382" w14:textId="3764CF99" w:rsidR="004B3A22" w:rsidRPr="004B3A22" w:rsidRDefault="0095717A" w:rsidP="0095717A">
      <w:pPr>
        <w:pStyle w:val="FootnoteText"/>
        <w:rPr>
          <w:lang w:val="en-GB"/>
        </w:rPr>
      </w:pPr>
      <w:r>
        <w:t xml:space="preserve">of the Game (Part I)’ (1995) 40(5) </w:t>
      </w:r>
      <w:r w:rsidR="004C36F3" w:rsidRPr="004C36F3">
        <w:t>VILLANOVA LAW REVIEW</w:t>
      </w:r>
      <w:r w:rsidR="004C36F3">
        <w:t xml:space="preserve"> </w:t>
      </w:r>
      <w:r w:rsidR="0074513D">
        <w:t>1298.</w:t>
      </w:r>
    </w:p>
  </w:footnote>
  <w:footnote w:id="14">
    <w:p w14:paraId="31CB90F4" w14:textId="77777777" w:rsidR="008C2D0D" w:rsidRDefault="008C2D0D" w:rsidP="008C2D0D">
      <w:pPr>
        <w:pStyle w:val="FootnoteText"/>
      </w:pPr>
      <w:r>
        <w:rPr>
          <w:rStyle w:val="FootnoteReference"/>
        </w:rPr>
        <w:footnoteRef/>
      </w:r>
      <w:r>
        <w:t xml:space="preserve"> Craig W Palm and Mark A Kearney, ‘A Primer on the Basics of Directors' Duties in Delaware: The Rules</w:t>
      </w:r>
    </w:p>
    <w:p w14:paraId="52764524" w14:textId="20525C21" w:rsidR="008C2D0D" w:rsidRPr="008C2D0D" w:rsidRDefault="008C2D0D" w:rsidP="008C2D0D">
      <w:pPr>
        <w:pStyle w:val="FootnoteText"/>
        <w:rPr>
          <w:lang w:val="en-GB"/>
        </w:rPr>
      </w:pPr>
      <w:r>
        <w:t xml:space="preserve">of the Game (Part I)’ (1995) 40(5) </w:t>
      </w:r>
      <w:r w:rsidRPr="004C36F3">
        <w:t>VILLANOVA LAW REVIEW</w:t>
      </w:r>
      <w:r>
        <w:t xml:space="preserve"> 1298.</w:t>
      </w:r>
    </w:p>
  </w:footnote>
  <w:footnote w:id="15">
    <w:p w14:paraId="5271AED4" w14:textId="7308071E" w:rsidR="002D2245" w:rsidRPr="00A81B4D" w:rsidRDefault="002D2245" w:rsidP="00A81B4D">
      <w:pPr>
        <w:pStyle w:val="FootnoteText"/>
      </w:pPr>
      <w:r>
        <w:rPr>
          <w:rStyle w:val="FootnoteReference"/>
        </w:rPr>
        <w:footnoteRef/>
      </w:r>
      <w:r>
        <w:t xml:space="preserve"> </w:t>
      </w:r>
      <w:r w:rsidR="00051242" w:rsidRPr="00051242">
        <w:t>Irwin H Warren</w:t>
      </w:r>
      <w:r w:rsidR="00051242">
        <w:t xml:space="preserve"> and </w:t>
      </w:r>
      <w:r w:rsidR="00A81B4D" w:rsidRPr="00A81B4D">
        <w:t xml:space="preserve">Bradley R </w:t>
      </w:r>
      <w:proofErr w:type="spellStart"/>
      <w:r w:rsidR="00A81B4D" w:rsidRPr="00A81B4D">
        <w:t>Aronstam</w:t>
      </w:r>
      <w:proofErr w:type="spellEnd"/>
      <w:r w:rsidR="00A81B4D">
        <w:t xml:space="preserve">, ‘Delaware’s Business Judgment Rule and Varying Standards of Judicial Review for Assessing Director Conduct in M&amp;A Transactions’ (2007) </w:t>
      </w:r>
      <w:r w:rsidR="00AC097E">
        <w:t xml:space="preserve">The Canadian Institute </w:t>
      </w:r>
      <w:r w:rsidR="00765988">
        <w:t>&lt;</w:t>
      </w:r>
      <w:r w:rsidR="008F04D4" w:rsidRPr="008F04D4">
        <w:t xml:space="preserve"> http://www.ramllp.com/media/article/12_Canadian%20Institute%20Article.pdf</w:t>
      </w:r>
      <w:r w:rsidR="00765988">
        <w:t xml:space="preserve">&gt; accessed </w:t>
      </w:r>
      <w:r w:rsidR="008F04D4">
        <w:t>28 February 2023</w:t>
      </w:r>
      <w:r w:rsidR="00AC097E">
        <w:t>.</w:t>
      </w:r>
    </w:p>
  </w:footnote>
  <w:footnote w:id="16">
    <w:p w14:paraId="774CA133" w14:textId="3482F5B5" w:rsidR="008724F1" w:rsidRPr="008724F1" w:rsidRDefault="008724F1">
      <w:pPr>
        <w:pStyle w:val="FootnoteText"/>
        <w:rPr>
          <w:lang w:val="en-GB"/>
        </w:rPr>
      </w:pPr>
      <w:r>
        <w:rPr>
          <w:rStyle w:val="FootnoteReference"/>
        </w:rPr>
        <w:footnoteRef/>
      </w:r>
      <w:r>
        <w:t xml:space="preserve"> </w:t>
      </w:r>
      <w:r w:rsidRPr="008724F1">
        <w:t xml:space="preserve">  Irwin H Warren and Bradley R </w:t>
      </w:r>
      <w:proofErr w:type="spellStart"/>
      <w:r w:rsidRPr="008724F1">
        <w:t>Aronstam</w:t>
      </w:r>
      <w:proofErr w:type="spellEnd"/>
      <w:r w:rsidRPr="008724F1">
        <w:t>, ‘Delaware’s Business Judgment Rule and Varying Standards of Judicial Review for Assessing Director Conduct in M&amp;A Transactions’ (2007) The Canadian Institute &lt; http://www.ramllp.com/media/article/12_Canadian%20Institute%20Article.pdf&gt; accessed 28 February 2023.</w:t>
      </w:r>
    </w:p>
  </w:footnote>
  <w:footnote w:id="17">
    <w:p w14:paraId="0AD3A204" w14:textId="1287CD52" w:rsidR="00AA68E3" w:rsidRPr="00AA68E3" w:rsidRDefault="00AA68E3">
      <w:pPr>
        <w:pStyle w:val="FootnoteText"/>
        <w:rPr>
          <w:lang w:val="en-GB"/>
        </w:rPr>
      </w:pPr>
      <w:r>
        <w:rPr>
          <w:rStyle w:val="FootnoteReference"/>
        </w:rPr>
        <w:footnoteRef/>
      </w:r>
      <w:r>
        <w:t xml:space="preserve"> </w:t>
      </w:r>
      <w:bookmarkStart w:id="1" w:name="_Hlk128480796"/>
      <w:r w:rsidRPr="00AA68E3">
        <w:rPr>
          <w:i/>
          <w:iCs/>
        </w:rPr>
        <w:t xml:space="preserve">North American Catholic Educational Programming Foundation, Inc. v. </w:t>
      </w:r>
      <w:proofErr w:type="spellStart"/>
      <w:r w:rsidRPr="00AA68E3">
        <w:rPr>
          <w:i/>
          <w:iCs/>
        </w:rPr>
        <w:t>Gheewalla</w:t>
      </w:r>
      <w:proofErr w:type="spellEnd"/>
      <w:r w:rsidRPr="00AA68E3">
        <w:t xml:space="preserve"> - 930 A.2d 92 (Del. 2007)</w:t>
      </w:r>
      <w:bookmarkEnd w:id="1"/>
      <w:r w:rsidR="00D27BCB">
        <w:t>.</w:t>
      </w:r>
    </w:p>
  </w:footnote>
  <w:footnote w:id="18">
    <w:p w14:paraId="7FF3745C" w14:textId="111FF85D" w:rsidR="00D27BCB" w:rsidRPr="00D27BCB" w:rsidRDefault="00D27BCB">
      <w:pPr>
        <w:pStyle w:val="FootnoteText"/>
        <w:rPr>
          <w:lang w:val="en-GB"/>
        </w:rPr>
      </w:pPr>
      <w:r>
        <w:rPr>
          <w:rStyle w:val="FootnoteReference"/>
        </w:rPr>
        <w:footnoteRef/>
      </w:r>
      <w:r>
        <w:t xml:space="preserve"> </w:t>
      </w:r>
      <w:r w:rsidRPr="00AA68E3">
        <w:rPr>
          <w:i/>
          <w:iCs/>
        </w:rPr>
        <w:t xml:space="preserve">North American Catholic Educational Programming Foundation, Inc. v. </w:t>
      </w:r>
      <w:proofErr w:type="spellStart"/>
      <w:r w:rsidRPr="00AA68E3">
        <w:rPr>
          <w:i/>
          <w:iCs/>
        </w:rPr>
        <w:t>Gheewalla</w:t>
      </w:r>
      <w:proofErr w:type="spellEnd"/>
      <w:r w:rsidRPr="00AA68E3">
        <w:t xml:space="preserve"> - 930 A.2d 92 (Del. 2007)</w:t>
      </w:r>
      <w:r>
        <w:t>.</w:t>
      </w:r>
    </w:p>
  </w:footnote>
  <w:footnote w:id="19">
    <w:p w14:paraId="25190700" w14:textId="57FD4E52" w:rsidR="004E39B3" w:rsidRPr="004E39B3" w:rsidRDefault="004E39B3">
      <w:pPr>
        <w:pStyle w:val="FootnoteText"/>
      </w:pPr>
      <w:r>
        <w:rPr>
          <w:rStyle w:val="FootnoteReference"/>
        </w:rPr>
        <w:footnoteRef/>
      </w:r>
      <w:r>
        <w:t xml:space="preserve"> </w:t>
      </w:r>
      <w:r w:rsidR="00C20E3D">
        <w:t>Eric J Snyder, ‘</w:t>
      </w:r>
      <w:r w:rsidR="00C53711">
        <w:t xml:space="preserve">Involuntary Bankruptcy Petition: A Power Tool </w:t>
      </w:r>
      <w:proofErr w:type="spellStart"/>
      <w:r w:rsidR="00C53711">
        <w:t>fro</w:t>
      </w:r>
      <w:proofErr w:type="spellEnd"/>
      <w:r w:rsidR="00C53711">
        <w:t xml:space="preserve"> Creditors</w:t>
      </w:r>
      <w:r w:rsidR="00C20E3D">
        <w:t>’</w:t>
      </w:r>
      <w:r w:rsidR="00C53711">
        <w:t xml:space="preserve"> (2016</w:t>
      </w:r>
      <w:r w:rsidR="00D73491">
        <w:t xml:space="preserve">) Wilk </w:t>
      </w:r>
      <w:proofErr w:type="spellStart"/>
      <w:r w:rsidR="00D73491">
        <w:t>Auslander</w:t>
      </w:r>
      <w:proofErr w:type="spellEnd"/>
      <w:r w:rsidR="00D73491">
        <w:t xml:space="preserve"> &lt;</w:t>
      </w:r>
      <w:r w:rsidR="00033E54" w:rsidRPr="00033E54">
        <w:t>https://www.wilkauslander.com/news-and-insights/insights/Involuntary-Bankruptcy-Petition-A-Powerful-Tool-for-Creditors</w:t>
      </w:r>
      <w:r w:rsidR="00D73491">
        <w:t xml:space="preserve">&gt; accessed </w:t>
      </w:r>
      <w:r w:rsidR="000247D8">
        <w:t>20 February 2023.</w:t>
      </w:r>
    </w:p>
  </w:footnote>
  <w:footnote w:id="20">
    <w:p w14:paraId="05937647" w14:textId="59E04A29" w:rsidR="004A06FA" w:rsidRPr="004A06FA" w:rsidRDefault="004A06FA">
      <w:pPr>
        <w:pStyle w:val="FootnoteText"/>
        <w:rPr>
          <w:lang w:val="en-GB"/>
        </w:rPr>
      </w:pPr>
      <w:r>
        <w:rPr>
          <w:rStyle w:val="FootnoteReference"/>
        </w:rPr>
        <w:footnoteRef/>
      </w:r>
      <w:r>
        <w:t xml:space="preserve"> </w:t>
      </w:r>
      <w:r w:rsidR="0058315D">
        <w:rPr>
          <w:lang w:val="en-GB"/>
        </w:rPr>
        <w:t xml:space="preserve">Rosenberg, </w:t>
      </w:r>
      <w:proofErr w:type="spellStart"/>
      <w:r w:rsidR="0058315D">
        <w:rPr>
          <w:lang w:val="en-GB"/>
        </w:rPr>
        <w:t>Musso</w:t>
      </w:r>
      <w:proofErr w:type="spellEnd"/>
      <w:r w:rsidR="0058315D">
        <w:rPr>
          <w:lang w:val="en-GB"/>
        </w:rPr>
        <w:t xml:space="preserve"> &amp; Weiner, ‘What is a Conti</w:t>
      </w:r>
      <w:r w:rsidR="00DC374E">
        <w:rPr>
          <w:lang w:val="en-GB"/>
        </w:rPr>
        <w:t>ngent Claim and What are They Worth’ (2016)</w:t>
      </w:r>
      <w:r w:rsidR="00B20A99">
        <w:rPr>
          <w:lang w:val="en-GB"/>
        </w:rPr>
        <w:t xml:space="preserve"> New York Bankruptcy Lawyer &lt;</w:t>
      </w:r>
      <w:r w:rsidR="00EF7DFD" w:rsidRPr="00EF7DFD">
        <w:rPr>
          <w:lang w:val="en-GB"/>
        </w:rPr>
        <w:t>https://nybankruptcy.net/main/contingent-claim-worth/</w:t>
      </w:r>
      <w:r w:rsidR="00B20A99">
        <w:rPr>
          <w:lang w:val="en-GB"/>
        </w:rPr>
        <w:t xml:space="preserve">&gt; accessed </w:t>
      </w:r>
      <w:r w:rsidR="00EF7DFD">
        <w:rPr>
          <w:lang w:val="en-GB"/>
        </w:rPr>
        <w:t>23 February 2023.</w:t>
      </w:r>
    </w:p>
  </w:footnote>
  <w:footnote w:id="21">
    <w:p w14:paraId="22E4F7BE" w14:textId="140FE133" w:rsidR="00713A48" w:rsidRPr="00713A48" w:rsidRDefault="00713A48">
      <w:pPr>
        <w:pStyle w:val="FootnoteText"/>
        <w:rPr>
          <w:lang w:val="en-GB"/>
        </w:rPr>
      </w:pPr>
      <w:r>
        <w:rPr>
          <w:rStyle w:val="FootnoteReference"/>
        </w:rPr>
        <w:footnoteRef/>
      </w:r>
      <w:r>
        <w:t xml:space="preserve"> </w:t>
      </w:r>
      <w:r w:rsidR="00025A87">
        <w:rPr>
          <w:lang w:val="en-GB"/>
        </w:rPr>
        <w:t xml:space="preserve">US Bankruptcy Code, </w:t>
      </w:r>
      <w:r w:rsidR="009E7BBE">
        <w:rPr>
          <w:lang w:val="en-GB"/>
        </w:rPr>
        <w:t>ss</w:t>
      </w:r>
      <w:r w:rsidR="003259C9">
        <w:rPr>
          <w:lang w:val="en-GB"/>
        </w:rPr>
        <w:t xml:space="preserve"> 356 (g)1, (b)(1) and </w:t>
      </w:r>
      <w:r w:rsidR="005A24B7">
        <w:rPr>
          <w:lang w:val="en-GB"/>
        </w:rPr>
        <w:t>(f).</w:t>
      </w:r>
    </w:p>
  </w:footnote>
  <w:footnote w:id="22">
    <w:p w14:paraId="3AB071FD" w14:textId="555A4220" w:rsidR="005305C8" w:rsidRPr="005305C8" w:rsidRDefault="005305C8">
      <w:pPr>
        <w:pStyle w:val="FootnoteText"/>
        <w:rPr>
          <w:lang w:val="en-GB"/>
        </w:rPr>
      </w:pPr>
      <w:r>
        <w:rPr>
          <w:rStyle w:val="FootnoteReference"/>
        </w:rPr>
        <w:footnoteRef/>
      </w:r>
      <w:r>
        <w:t xml:space="preserve"> </w:t>
      </w:r>
      <w:r w:rsidR="007440DC">
        <w:rPr>
          <w:lang w:val="en-GB"/>
        </w:rPr>
        <w:t xml:space="preserve">US Bankruptcy Code, ss </w:t>
      </w:r>
      <w:r w:rsidR="00DB4D7D">
        <w:rPr>
          <w:lang w:val="en-GB"/>
        </w:rPr>
        <w:t xml:space="preserve">101(23). </w:t>
      </w:r>
    </w:p>
  </w:footnote>
  <w:footnote w:id="23">
    <w:p w14:paraId="0CF8ADBA" w14:textId="63564BF9" w:rsidR="00684CDB" w:rsidRPr="00684CDB" w:rsidRDefault="00684CDB">
      <w:pPr>
        <w:pStyle w:val="FootnoteText"/>
        <w:rPr>
          <w:lang w:val="en-GB"/>
        </w:rPr>
      </w:pPr>
      <w:r>
        <w:rPr>
          <w:rStyle w:val="FootnoteReference"/>
        </w:rPr>
        <w:footnoteRef/>
      </w:r>
      <w:r>
        <w:t xml:space="preserve"> </w:t>
      </w:r>
      <w:r w:rsidR="004E29E5">
        <w:rPr>
          <w:lang w:val="en-GB"/>
        </w:rPr>
        <w:t xml:space="preserve">US Bankruptcy Code, ss </w:t>
      </w:r>
      <w:r w:rsidR="00A8316B">
        <w:rPr>
          <w:lang w:val="en-GB"/>
        </w:rPr>
        <w:t>1516(c).</w:t>
      </w:r>
    </w:p>
  </w:footnote>
  <w:footnote w:id="24">
    <w:p w14:paraId="7A5AE1C9" w14:textId="4138AA41" w:rsidR="00190758" w:rsidRPr="00190758" w:rsidRDefault="00190758" w:rsidP="00190758">
      <w:pPr>
        <w:pStyle w:val="FootnoteText"/>
        <w:rPr>
          <w:lang w:val="en-GB"/>
        </w:rPr>
      </w:pPr>
      <w:r>
        <w:rPr>
          <w:rStyle w:val="FootnoteReference"/>
        </w:rPr>
        <w:footnoteRef/>
      </w:r>
      <w:r>
        <w:t xml:space="preserve"> </w:t>
      </w:r>
      <w:r>
        <w:rPr>
          <w:lang w:val="en-GB"/>
        </w:rPr>
        <w:t xml:space="preserve">US Bankruptcy Code, ss </w:t>
      </w:r>
      <w:r w:rsidR="00A010BA">
        <w:rPr>
          <w:lang w:val="en-GB"/>
        </w:rPr>
        <w:t>365(n)</w:t>
      </w:r>
      <w:r w:rsidR="00C149E6">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343B9"/>
    <w:multiLevelType w:val="hybridMultilevel"/>
    <w:tmpl w:val="C26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A6EDC"/>
    <w:multiLevelType w:val="hybridMultilevel"/>
    <w:tmpl w:val="7BE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22146">
    <w:abstractNumId w:val="21"/>
  </w:num>
  <w:num w:numId="2" w16cid:durableId="798382604">
    <w:abstractNumId w:val="25"/>
  </w:num>
  <w:num w:numId="3" w16cid:durableId="1178735142">
    <w:abstractNumId w:val="4"/>
  </w:num>
  <w:num w:numId="4" w16cid:durableId="897130921">
    <w:abstractNumId w:val="8"/>
  </w:num>
  <w:num w:numId="5" w16cid:durableId="192766788">
    <w:abstractNumId w:val="10"/>
  </w:num>
  <w:num w:numId="6" w16cid:durableId="1196769409">
    <w:abstractNumId w:val="29"/>
  </w:num>
  <w:num w:numId="7" w16cid:durableId="2092307418">
    <w:abstractNumId w:val="5"/>
  </w:num>
  <w:num w:numId="8" w16cid:durableId="32967396">
    <w:abstractNumId w:val="31"/>
  </w:num>
  <w:num w:numId="9" w16cid:durableId="182745458">
    <w:abstractNumId w:val="11"/>
  </w:num>
  <w:num w:numId="10" w16cid:durableId="2021738998">
    <w:abstractNumId w:val="24"/>
  </w:num>
  <w:num w:numId="11" w16cid:durableId="1399284590">
    <w:abstractNumId w:val="13"/>
  </w:num>
  <w:num w:numId="12" w16cid:durableId="1337995831">
    <w:abstractNumId w:val="20"/>
  </w:num>
  <w:num w:numId="13" w16cid:durableId="1211922447">
    <w:abstractNumId w:val="0"/>
  </w:num>
  <w:num w:numId="14" w16cid:durableId="1292514167">
    <w:abstractNumId w:val="9"/>
  </w:num>
  <w:num w:numId="15" w16cid:durableId="2133548406">
    <w:abstractNumId w:val="16"/>
  </w:num>
  <w:num w:numId="16" w16cid:durableId="1230842218">
    <w:abstractNumId w:val="7"/>
  </w:num>
  <w:num w:numId="17" w16cid:durableId="1400444026">
    <w:abstractNumId w:val="3"/>
  </w:num>
  <w:num w:numId="18" w16cid:durableId="1337490161">
    <w:abstractNumId w:val="2"/>
  </w:num>
  <w:num w:numId="19" w16cid:durableId="2020738370">
    <w:abstractNumId w:val="26"/>
  </w:num>
  <w:num w:numId="20" w16cid:durableId="1211847206">
    <w:abstractNumId w:val="6"/>
  </w:num>
  <w:num w:numId="21" w16cid:durableId="2044210594">
    <w:abstractNumId w:val="23"/>
  </w:num>
  <w:num w:numId="22" w16cid:durableId="138308678">
    <w:abstractNumId w:val="32"/>
  </w:num>
  <w:num w:numId="23" w16cid:durableId="1128352009">
    <w:abstractNumId w:val="12"/>
  </w:num>
  <w:num w:numId="24" w16cid:durableId="428888265">
    <w:abstractNumId w:val="27"/>
  </w:num>
  <w:num w:numId="25" w16cid:durableId="1022173316">
    <w:abstractNumId w:val="17"/>
  </w:num>
  <w:num w:numId="26" w16cid:durableId="1225720677">
    <w:abstractNumId w:val="18"/>
  </w:num>
  <w:num w:numId="27" w16cid:durableId="199125429">
    <w:abstractNumId w:val="14"/>
  </w:num>
  <w:num w:numId="28" w16cid:durableId="1256281680">
    <w:abstractNumId w:val="30"/>
  </w:num>
  <w:num w:numId="29" w16cid:durableId="1843272204">
    <w:abstractNumId w:val="1"/>
  </w:num>
  <w:num w:numId="30" w16cid:durableId="1310867791">
    <w:abstractNumId w:val="15"/>
  </w:num>
  <w:num w:numId="31" w16cid:durableId="558321835">
    <w:abstractNumId w:val="19"/>
  </w:num>
  <w:num w:numId="32" w16cid:durableId="1317686038">
    <w:abstractNumId w:val="22"/>
  </w:num>
  <w:num w:numId="33" w16cid:durableId="89732165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FE1"/>
    <w:rsid w:val="00010BA0"/>
    <w:rsid w:val="00020557"/>
    <w:rsid w:val="00021FC2"/>
    <w:rsid w:val="00022E00"/>
    <w:rsid w:val="000247D8"/>
    <w:rsid w:val="000250C7"/>
    <w:rsid w:val="00025A87"/>
    <w:rsid w:val="00026399"/>
    <w:rsid w:val="00026F16"/>
    <w:rsid w:val="00033B27"/>
    <w:rsid w:val="00033CE7"/>
    <w:rsid w:val="00033CEA"/>
    <w:rsid w:val="00033E54"/>
    <w:rsid w:val="000346E7"/>
    <w:rsid w:val="00037621"/>
    <w:rsid w:val="00037671"/>
    <w:rsid w:val="00042C87"/>
    <w:rsid w:val="00044D46"/>
    <w:rsid w:val="00045088"/>
    <w:rsid w:val="00045904"/>
    <w:rsid w:val="000502FD"/>
    <w:rsid w:val="00051242"/>
    <w:rsid w:val="00055737"/>
    <w:rsid w:val="000645A1"/>
    <w:rsid w:val="00065166"/>
    <w:rsid w:val="00066B9E"/>
    <w:rsid w:val="000704D0"/>
    <w:rsid w:val="000778B1"/>
    <w:rsid w:val="00081540"/>
    <w:rsid w:val="00082609"/>
    <w:rsid w:val="00082C24"/>
    <w:rsid w:val="000851CC"/>
    <w:rsid w:val="00092C10"/>
    <w:rsid w:val="00093BE8"/>
    <w:rsid w:val="00097B45"/>
    <w:rsid w:val="00097D56"/>
    <w:rsid w:val="000A14EB"/>
    <w:rsid w:val="000A407B"/>
    <w:rsid w:val="000A636A"/>
    <w:rsid w:val="000A68ED"/>
    <w:rsid w:val="000A7A3D"/>
    <w:rsid w:val="000B5FF1"/>
    <w:rsid w:val="000B609F"/>
    <w:rsid w:val="000C4C5B"/>
    <w:rsid w:val="000C5F38"/>
    <w:rsid w:val="000D288F"/>
    <w:rsid w:val="000D55A8"/>
    <w:rsid w:val="000E4841"/>
    <w:rsid w:val="000F032E"/>
    <w:rsid w:val="000F1677"/>
    <w:rsid w:val="000F3D6C"/>
    <w:rsid w:val="000F7FC2"/>
    <w:rsid w:val="00101707"/>
    <w:rsid w:val="00102CC9"/>
    <w:rsid w:val="0011140C"/>
    <w:rsid w:val="00113163"/>
    <w:rsid w:val="0011473D"/>
    <w:rsid w:val="00115C85"/>
    <w:rsid w:val="0012224B"/>
    <w:rsid w:val="0012352E"/>
    <w:rsid w:val="00123855"/>
    <w:rsid w:val="001268BE"/>
    <w:rsid w:val="00126A4D"/>
    <w:rsid w:val="0013268F"/>
    <w:rsid w:val="0014171F"/>
    <w:rsid w:val="00143BA5"/>
    <w:rsid w:val="0014622C"/>
    <w:rsid w:val="00150F47"/>
    <w:rsid w:val="00152348"/>
    <w:rsid w:val="0015456D"/>
    <w:rsid w:val="0015483F"/>
    <w:rsid w:val="00155FA2"/>
    <w:rsid w:val="00160679"/>
    <w:rsid w:val="00160849"/>
    <w:rsid w:val="00161F1B"/>
    <w:rsid w:val="00162829"/>
    <w:rsid w:val="001656DF"/>
    <w:rsid w:val="0016760A"/>
    <w:rsid w:val="00172FCB"/>
    <w:rsid w:val="00180548"/>
    <w:rsid w:val="00180AC4"/>
    <w:rsid w:val="00180CCE"/>
    <w:rsid w:val="0018267A"/>
    <w:rsid w:val="00182779"/>
    <w:rsid w:val="001830DF"/>
    <w:rsid w:val="0018549C"/>
    <w:rsid w:val="00190758"/>
    <w:rsid w:val="001966D9"/>
    <w:rsid w:val="00197E4B"/>
    <w:rsid w:val="001A23F3"/>
    <w:rsid w:val="001A7E9A"/>
    <w:rsid w:val="001A7F29"/>
    <w:rsid w:val="001B0F70"/>
    <w:rsid w:val="001B38D5"/>
    <w:rsid w:val="001B5016"/>
    <w:rsid w:val="001C45FC"/>
    <w:rsid w:val="001D0469"/>
    <w:rsid w:val="001D1A5B"/>
    <w:rsid w:val="001D4862"/>
    <w:rsid w:val="001E25B9"/>
    <w:rsid w:val="001E42C9"/>
    <w:rsid w:val="001E49E0"/>
    <w:rsid w:val="001E6EC1"/>
    <w:rsid w:val="001E7B5A"/>
    <w:rsid w:val="001F7412"/>
    <w:rsid w:val="001F754B"/>
    <w:rsid w:val="00202DFE"/>
    <w:rsid w:val="00206657"/>
    <w:rsid w:val="0020725B"/>
    <w:rsid w:val="00210CAC"/>
    <w:rsid w:val="002110F1"/>
    <w:rsid w:val="00223917"/>
    <w:rsid w:val="00231E41"/>
    <w:rsid w:val="00235923"/>
    <w:rsid w:val="002377D9"/>
    <w:rsid w:val="00240538"/>
    <w:rsid w:val="0024116D"/>
    <w:rsid w:val="00241B44"/>
    <w:rsid w:val="00241FA3"/>
    <w:rsid w:val="00245EFB"/>
    <w:rsid w:val="0024730D"/>
    <w:rsid w:val="0025386E"/>
    <w:rsid w:val="00256B74"/>
    <w:rsid w:val="00261CEE"/>
    <w:rsid w:val="002638B0"/>
    <w:rsid w:val="00263D03"/>
    <w:rsid w:val="00264A70"/>
    <w:rsid w:val="0026647A"/>
    <w:rsid w:val="002668D3"/>
    <w:rsid w:val="0027299F"/>
    <w:rsid w:val="002767F4"/>
    <w:rsid w:val="00281DDE"/>
    <w:rsid w:val="00284EBE"/>
    <w:rsid w:val="002903A7"/>
    <w:rsid w:val="0029433F"/>
    <w:rsid w:val="00294829"/>
    <w:rsid w:val="0029690F"/>
    <w:rsid w:val="00297C8A"/>
    <w:rsid w:val="002A2A60"/>
    <w:rsid w:val="002A3416"/>
    <w:rsid w:val="002A37BB"/>
    <w:rsid w:val="002A5D50"/>
    <w:rsid w:val="002B1C45"/>
    <w:rsid w:val="002B3395"/>
    <w:rsid w:val="002B5D64"/>
    <w:rsid w:val="002C13C8"/>
    <w:rsid w:val="002C1C1D"/>
    <w:rsid w:val="002C3547"/>
    <w:rsid w:val="002C4932"/>
    <w:rsid w:val="002C57C2"/>
    <w:rsid w:val="002D0021"/>
    <w:rsid w:val="002D2245"/>
    <w:rsid w:val="002D299D"/>
    <w:rsid w:val="002D3473"/>
    <w:rsid w:val="002D4772"/>
    <w:rsid w:val="002D6789"/>
    <w:rsid w:val="002D78C5"/>
    <w:rsid w:val="002E2004"/>
    <w:rsid w:val="002E5EF8"/>
    <w:rsid w:val="002F0174"/>
    <w:rsid w:val="002F1956"/>
    <w:rsid w:val="002F3440"/>
    <w:rsid w:val="002F6BF4"/>
    <w:rsid w:val="002F75A3"/>
    <w:rsid w:val="00301D2B"/>
    <w:rsid w:val="00303C2F"/>
    <w:rsid w:val="00306DD3"/>
    <w:rsid w:val="0031001C"/>
    <w:rsid w:val="003144EF"/>
    <w:rsid w:val="003176A4"/>
    <w:rsid w:val="00323167"/>
    <w:rsid w:val="003259C9"/>
    <w:rsid w:val="00325A8F"/>
    <w:rsid w:val="00326292"/>
    <w:rsid w:val="00326415"/>
    <w:rsid w:val="00330937"/>
    <w:rsid w:val="00330F31"/>
    <w:rsid w:val="00334648"/>
    <w:rsid w:val="0033768C"/>
    <w:rsid w:val="00337938"/>
    <w:rsid w:val="00340769"/>
    <w:rsid w:val="003407CC"/>
    <w:rsid w:val="00341AA6"/>
    <w:rsid w:val="00341FA7"/>
    <w:rsid w:val="003502EB"/>
    <w:rsid w:val="00360C3B"/>
    <w:rsid w:val="00361A0A"/>
    <w:rsid w:val="00364836"/>
    <w:rsid w:val="0036565C"/>
    <w:rsid w:val="0036625E"/>
    <w:rsid w:val="003709E9"/>
    <w:rsid w:val="0037465A"/>
    <w:rsid w:val="00382C98"/>
    <w:rsid w:val="00382D37"/>
    <w:rsid w:val="0038411A"/>
    <w:rsid w:val="003843C9"/>
    <w:rsid w:val="0038533C"/>
    <w:rsid w:val="00386568"/>
    <w:rsid w:val="00390B57"/>
    <w:rsid w:val="00392C39"/>
    <w:rsid w:val="003948D5"/>
    <w:rsid w:val="00396821"/>
    <w:rsid w:val="00397D3A"/>
    <w:rsid w:val="003A051E"/>
    <w:rsid w:val="003A156F"/>
    <w:rsid w:val="003A3FAF"/>
    <w:rsid w:val="003A5537"/>
    <w:rsid w:val="003A75F4"/>
    <w:rsid w:val="003B170F"/>
    <w:rsid w:val="003B3C5F"/>
    <w:rsid w:val="003B5253"/>
    <w:rsid w:val="003B7184"/>
    <w:rsid w:val="003C3388"/>
    <w:rsid w:val="003C4019"/>
    <w:rsid w:val="003C4471"/>
    <w:rsid w:val="003C53FE"/>
    <w:rsid w:val="003D0A6D"/>
    <w:rsid w:val="003E0B16"/>
    <w:rsid w:val="003E67D1"/>
    <w:rsid w:val="00404329"/>
    <w:rsid w:val="00405DC1"/>
    <w:rsid w:val="00415F1F"/>
    <w:rsid w:val="0042108F"/>
    <w:rsid w:val="004248F6"/>
    <w:rsid w:val="004273B0"/>
    <w:rsid w:val="00430FED"/>
    <w:rsid w:val="00432B4E"/>
    <w:rsid w:val="00434A8C"/>
    <w:rsid w:val="00437297"/>
    <w:rsid w:val="00444284"/>
    <w:rsid w:val="00445CE6"/>
    <w:rsid w:val="004534C2"/>
    <w:rsid w:val="0045446F"/>
    <w:rsid w:val="00455018"/>
    <w:rsid w:val="0045683E"/>
    <w:rsid w:val="004571BB"/>
    <w:rsid w:val="00477C72"/>
    <w:rsid w:val="004830F8"/>
    <w:rsid w:val="00484B73"/>
    <w:rsid w:val="00491675"/>
    <w:rsid w:val="00493855"/>
    <w:rsid w:val="00494B81"/>
    <w:rsid w:val="00495E79"/>
    <w:rsid w:val="004A06FA"/>
    <w:rsid w:val="004A57DD"/>
    <w:rsid w:val="004A7B51"/>
    <w:rsid w:val="004A7D71"/>
    <w:rsid w:val="004A7EF3"/>
    <w:rsid w:val="004B11FD"/>
    <w:rsid w:val="004B23A2"/>
    <w:rsid w:val="004B3A22"/>
    <w:rsid w:val="004B5BEB"/>
    <w:rsid w:val="004B600C"/>
    <w:rsid w:val="004C36F3"/>
    <w:rsid w:val="004C3E95"/>
    <w:rsid w:val="004D1A5A"/>
    <w:rsid w:val="004D2FFF"/>
    <w:rsid w:val="004D3721"/>
    <w:rsid w:val="004D4255"/>
    <w:rsid w:val="004D64F9"/>
    <w:rsid w:val="004E29E5"/>
    <w:rsid w:val="004E39B3"/>
    <w:rsid w:val="004E3A6B"/>
    <w:rsid w:val="004E5AF5"/>
    <w:rsid w:val="004E622C"/>
    <w:rsid w:val="004F49B5"/>
    <w:rsid w:val="004F5FDF"/>
    <w:rsid w:val="004F7924"/>
    <w:rsid w:val="004F7B99"/>
    <w:rsid w:val="00515810"/>
    <w:rsid w:val="005177FE"/>
    <w:rsid w:val="0052263B"/>
    <w:rsid w:val="00524728"/>
    <w:rsid w:val="005305C8"/>
    <w:rsid w:val="005331CA"/>
    <w:rsid w:val="00533485"/>
    <w:rsid w:val="00537424"/>
    <w:rsid w:val="00537970"/>
    <w:rsid w:val="00540E3A"/>
    <w:rsid w:val="00544127"/>
    <w:rsid w:val="005463A9"/>
    <w:rsid w:val="00550E9C"/>
    <w:rsid w:val="00553EB2"/>
    <w:rsid w:val="00560534"/>
    <w:rsid w:val="0056391B"/>
    <w:rsid w:val="00563D3B"/>
    <w:rsid w:val="005650E2"/>
    <w:rsid w:val="00567AD7"/>
    <w:rsid w:val="00572497"/>
    <w:rsid w:val="00572D3B"/>
    <w:rsid w:val="00575B2D"/>
    <w:rsid w:val="00580B5B"/>
    <w:rsid w:val="005810CA"/>
    <w:rsid w:val="0058315D"/>
    <w:rsid w:val="005833D0"/>
    <w:rsid w:val="00583D8E"/>
    <w:rsid w:val="005846F3"/>
    <w:rsid w:val="0058622F"/>
    <w:rsid w:val="00587019"/>
    <w:rsid w:val="005911D3"/>
    <w:rsid w:val="00592F82"/>
    <w:rsid w:val="005958CE"/>
    <w:rsid w:val="005A0CCA"/>
    <w:rsid w:val="005A24B7"/>
    <w:rsid w:val="005A4960"/>
    <w:rsid w:val="005A6FF2"/>
    <w:rsid w:val="005A726D"/>
    <w:rsid w:val="005B67AC"/>
    <w:rsid w:val="005B79F4"/>
    <w:rsid w:val="005D1293"/>
    <w:rsid w:val="005D43E0"/>
    <w:rsid w:val="005D58A3"/>
    <w:rsid w:val="005D6642"/>
    <w:rsid w:val="005E1B79"/>
    <w:rsid w:val="005E6076"/>
    <w:rsid w:val="005E7008"/>
    <w:rsid w:val="005F026D"/>
    <w:rsid w:val="005F2621"/>
    <w:rsid w:val="005F2AEA"/>
    <w:rsid w:val="005F2D0B"/>
    <w:rsid w:val="005F4B31"/>
    <w:rsid w:val="005F4B86"/>
    <w:rsid w:val="00605E9F"/>
    <w:rsid w:val="00610388"/>
    <w:rsid w:val="00610AC7"/>
    <w:rsid w:val="0061188A"/>
    <w:rsid w:val="00612CA5"/>
    <w:rsid w:val="006153EC"/>
    <w:rsid w:val="00621A17"/>
    <w:rsid w:val="00622C36"/>
    <w:rsid w:val="006245E3"/>
    <w:rsid w:val="00627CC9"/>
    <w:rsid w:val="00627E7B"/>
    <w:rsid w:val="00630542"/>
    <w:rsid w:val="00632DDF"/>
    <w:rsid w:val="00632E44"/>
    <w:rsid w:val="00634622"/>
    <w:rsid w:val="00635439"/>
    <w:rsid w:val="00635ACC"/>
    <w:rsid w:val="00636808"/>
    <w:rsid w:val="00641515"/>
    <w:rsid w:val="006422C1"/>
    <w:rsid w:val="0064534C"/>
    <w:rsid w:val="00645593"/>
    <w:rsid w:val="00654C2F"/>
    <w:rsid w:val="00655160"/>
    <w:rsid w:val="006561EC"/>
    <w:rsid w:val="00657087"/>
    <w:rsid w:val="006639DB"/>
    <w:rsid w:val="006661EF"/>
    <w:rsid w:val="00667070"/>
    <w:rsid w:val="00670885"/>
    <w:rsid w:val="00671DAA"/>
    <w:rsid w:val="00677AEB"/>
    <w:rsid w:val="00680EF2"/>
    <w:rsid w:val="00684CDB"/>
    <w:rsid w:val="00687A1D"/>
    <w:rsid w:val="00696024"/>
    <w:rsid w:val="00697EA1"/>
    <w:rsid w:val="006A2646"/>
    <w:rsid w:val="006A6530"/>
    <w:rsid w:val="006B3571"/>
    <w:rsid w:val="006B435A"/>
    <w:rsid w:val="006B4C64"/>
    <w:rsid w:val="006B5521"/>
    <w:rsid w:val="006B7554"/>
    <w:rsid w:val="006C10A4"/>
    <w:rsid w:val="006C2272"/>
    <w:rsid w:val="006C65F4"/>
    <w:rsid w:val="006D28B4"/>
    <w:rsid w:val="006D3DCC"/>
    <w:rsid w:val="006D6BD5"/>
    <w:rsid w:val="006E481A"/>
    <w:rsid w:val="006E5298"/>
    <w:rsid w:val="006F371A"/>
    <w:rsid w:val="006F4A78"/>
    <w:rsid w:val="006F654E"/>
    <w:rsid w:val="006F734A"/>
    <w:rsid w:val="00700D83"/>
    <w:rsid w:val="0070187F"/>
    <w:rsid w:val="00704852"/>
    <w:rsid w:val="007074E9"/>
    <w:rsid w:val="00713A48"/>
    <w:rsid w:val="00713DA4"/>
    <w:rsid w:val="00713DD4"/>
    <w:rsid w:val="00714BF1"/>
    <w:rsid w:val="00717C2C"/>
    <w:rsid w:val="00721383"/>
    <w:rsid w:val="0073158B"/>
    <w:rsid w:val="007333CC"/>
    <w:rsid w:val="0073399A"/>
    <w:rsid w:val="00742BC6"/>
    <w:rsid w:val="007440DC"/>
    <w:rsid w:val="0074513D"/>
    <w:rsid w:val="007477B3"/>
    <w:rsid w:val="007603F5"/>
    <w:rsid w:val="00764DB0"/>
    <w:rsid w:val="00765988"/>
    <w:rsid w:val="0076764D"/>
    <w:rsid w:val="00772D8D"/>
    <w:rsid w:val="0077498C"/>
    <w:rsid w:val="00777C53"/>
    <w:rsid w:val="007809BC"/>
    <w:rsid w:val="00784128"/>
    <w:rsid w:val="00787048"/>
    <w:rsid w:val="00787475"/>
    <w:rsid w:val="00787BCC"/>
    <w:rsid w:val="00791D16"/>
    <w:rsid w:val="007921D7"/>
    <w:rsid w:val="00793173"/>
    <w:rsid w:val="007A2A33"/>
    <w:rsid w:val="007A3FE8"/>
    <w:rsid w:val="007B0809"/>
    <w:rsid w:val="007B3124"/>
    <w:rsid w:val="007B5C89"/>
    <w:rsid w:val="007B6FB7"/>
    <w:rsid w:val="007C08F6"/>
    <w:rsid w:val="007C19B6"/>
    <w:rsid w:val="007C1FCC"/>
    <w:rsid w:val="007C6201"/>
    <w:rsid w:val="007C6572"/>
    <w:rsid w:val="007C6E20"/>
    <w:rsid w:val="007D0192"/>
    <w:rsid w:val="007D550E"/>
    <w:rsid w:val="007D7C92"/>
    <w:rsid w:val="007E1154"/>
    <w:rsid w:val="007E6BA4"/>
    <w:rsid w:val="007F12AB"/>
    <w:rsid w:val="007F19CC"/>
    <w:rsid w:val="007F2F91"/>
    <w:rsid w:val="007F3EA1"/>
    <w:rsid w:val="007F41F8"/>
    <w:rsid w:val="007F4596"/>
    <w:rsid w:val="007F638A"/>
    <w:rsid w:val="007F659B"/>
    <w:rsid w:val="0080454E"/>
    <w:rsid w:val="00804C32"/>
    <w:rsid w:val="00805305"/>
    <w:rsid w:val="00806302"/>
    <w:rsid w:val="00807119"/>
    <w:rsid w:val="00812749"/>
    <w:rsid w:val="008133C4"/>
    <w:rsid w:val="00820930"/>
    <w:rsid w:val="0082483F"/>
    <w:rsid w:val="0082670F"/>
    <w:rsid w:val="00827362"/>
    <w:rsid w:val="008279C0"/>
    <w:rsid w:val="00830C89"/>
    <w:rsid w:val="00833874"/>
    <w:rsid w:val="00834F92"/>
    <w:rsid w:val="00841BC9"/>
    <w:rsid w:val="00850D09"/>
    <w:rsid w:val="00857040"/>
    <w:rsid w:val="008607CF"/>
    <w:rsid w:val="008723F3"/>
    <w:rsid w:val="008724F1"/>
    <w:rsid w:val="00881DE6"/>
    <w:rsid w:val="008837A6"/>
    <w:rsid w:val="0089145D"/>
    <w:rsid w:val="008918AD"/>
    <w:rsid w:val="00895EF1"/>
    <w:rsid w:val="008A4DF2"/>
    <w:rsid w:val="008A6CFE"/>
    <w:rsid w:val="008A771D"/>
    <w:rsid w:val="008B3EA6"/>
    <w:rsid w:val="008B4F15"/>
    <w:rsid w:val="008B5333"/>
    <w:rsid w:val="008B6223"/>
    <w:rsid w:val="008C2D0D"/>
    <w:rsid w:val="008C66E0"/>
    <w:rsid w:val="008E202B"/>
    <w:rsid w:val="008E2290"/>
    <w:rsid w:val="008E3087"/>
    <w:rsid w:val="008E3339"/>
    <w:rsid w:val="008E3FB3"/>
    <w:rsid w:val="008E51CB"/>
    <w:rsid w:val="008F04D4"/>
    <w:rsid w:val="008F20FC"/>
    <w:rsid w:val="008F5FFE"/>
    <w:rsid w:val="00902FA7"/>
    <w:rsid w:val="00905A43"/>
    <w:rsid w:val="00905D73"/>
    <w:rsid w:val="00910014"/>
    <w:rsid w:val="009114BF"/>
    <w:rsid w:val="00912C79"/>
    <w:rsid w:val="00921B8C"/>
    <w:rsid w:val="0092565E"/>
    <w:rsid w:val="00932A4E"/>
    <w:rsid w:val="0093467C"/>
    <w:rsid w:val="00937E86"/>
    <w:rsid w:val="00942123"/>
    <w:rsid w:val="009466BA"/>
    <w:rsid w:val="0095207B"/>
    <w:rsid w:val="0095717A"/>
    <w:rsid w:val="00961BC7"/>
    <w:rsid w:val="00962045"/>
    <w:rsid w:val="00971CC0"/>
    <w:rsid w:val="009726A6"/>
    <w:rsid w:val="00980E61"/>
    <w:rsid w:val="00990FFE"/>
    <w:rsid w:val="00991428"/>
    <w:rsid w:val="00992676"/>
    <w:rsid w:val="009954B2"/>
    <w:rsid w:val="00996691"/>
    <w:rsid w:val="009A1CF9"/>
    <w:rsid w:val="009B0723"/>
    <w:rsid w:val="009B07AD"/>
    <w:rsid w:val="009B0883"/>
    <w:rsid w:val="009B15E2"/>
    <w:rsid w:val="009B366C"/>
    <w:rsid w:val="009B4976"/>
    <w:rsid w:val="009C0B8E"/>
    <w:rsid w:val="009C1BC8"/>
    <w:rsid w:val="009C2083"/>
    <w:rsid w:val="009C2442"/>
    <w:rsid w:val="009C6DFD"/>
    <w:rsid w:val="009D0811"/>
    <w:rsid w:val="009D0EE1"/>
    <w:rsid w:val="009D5B73"/>
    <w:rsid w:val="009D7AB5"/>
    <w:rsid w:val="009E2AEB"/>
    <w:rsid w:val="009E2E27"/>
    <w:rsid w:val="009E45DF"/>
    <w:rsid w:val="009E4DE3"/>
    <w:rsid w:val="009E7BBE"/>
    <w:rsid w:val="009F275E"/>
    <w:rsid w:val="00A010BA"/>
    <w:rsid w:val="00A01C7A"/>
    <w:rsid w:val="00A024E7"/>
    <w:rsid w:val="00A02649"/>
    <w:rsid w:val="00A047EE"/>
    <w:rsid w:val="00A04D79"/>
    <w:rsid w:val="00A10EC2"/>
    <w:rsid w:val="00A2274A"/>
    <w:rsid w:val="00A235B7"/>
    <w:rsid w:val="00A2655B"/>
    <w:rsid w:val="00A27A7A"/>
    <w:rsid w:val="00A27AD3"/>
    <w:rsid w:val="00A3165E"/>
    <w:rsid w:val="00A330CC"/>
    <w:rsid w:val="00A342BE"/>
    <w:rsid w:val="00A34ABE"/>
    <w:rsid w:val="00A407EF"/>
    <w:rsid w:val="00A44C02"/>
    <w:rsid w:val="00A46B4C"/>
    <w:rsid w:val="00A5117B"/>
    <w:rsid w:val="00A51BBE"/>
    <w:rsid w:val="00A55ADD"/>
    <w:rsid w:val="00A56D34"/>
    <w:rsid w:val="00A60074"/>
    <w:rsid w:val="00A6627C"/>
    <w:rsid w:val="00A71019"/>
    <w:rsid w:val="00A81029"/>
    <w:rsid w:val="00A81B4D"/>
    <w:rsid w:val="00A82B32"/>
    <w:rsid w:val="00A8316B"/>
    <w:rsid w:val="00A94DE2"/>
    <w:rsid w:val="00A94F58"/>
    <w:rsid w:val="00A95463"/>
    <w:rsid w:val="00A95D0B"/>
    <w:rsid w:val="00A96489"/>
    <w:rsid w:val="00A969A3"/>
    <w:rsid w:val="00AA0280"/>
    <w:rsid w:val="00AA4E08"/>
    <w:rsid w:val="00AA68E3"/>
    <w:rsid w:val="00AA6A0F"/>
    <w:rsid w:val="00AA7BE3"/>
    <w:rsid w:val="00AB1B65"/>
    <w:rsid w:val="00AB2425"/>
    <w:rsid w:val="00AB685C"/>
    <w:rsid w:val="00AB6C2D"/>
    <w:rsid w:val="00AB7774"/>
    <w:rsid w:val="00AC0403"/>
    <w:rsid w:val="00AC069D"/>
    <w:rsid w:val="00AC08F7"/>
    <w:rsid w:val="00AC097E"/>
    <w:rsid w:val="00AC3839"/>
    <w:rsid w:val="00AC3F6F"/>
    <w:rsid w:val="00AC7082"/>
    <w:rsid w:val="00AD2AAC"/>
    <w:rsid w:val="00AD4BE8"/>
    <w:rsid w:val="00AF1B89"/>
    <w:rsid w:val="00AF228E"/>
    <w:rsid w:val="00AF2760"/>
    <w:rsid w:val="00AF3EED"/>
    <w:rsid w:val="00B016A8"/>
    <w:rsid w:val="00B01E81"/>
    <w:rsid w:val="00B04D8F"/>
    <w:rsid w:val="00B10961"/>
    <w:rsid w:val="00B14819"/>
    <w:rsid w:val="00B14922"/>
    <w:rsid w:val="00B15E2F"/>
    <w:rsid w:val="00B17AA9"/>
    <w:rsid w:val="00B20A99"/>
    <w:rsid w:val="00B27E6E"/>
    <w:rsid w:val="00B44713"/>
    <w:rsid w:val="00B56103"/>
    <w:rsid w:val="00B56345"/>
    <w:rsid w:val="00B64929"/>
    <w:rsid w:val="00B736DF"/>
    <w:rsid w:val="00B743D6"/>
    <w:rsid w:val="00B74E1C"/>
    <w:rsid w:val="00B74FBD"/>
    <w:rsid w:val="00B75C2A"/>
    <w:rsid w:val="00B77B19"/>
    <w:rsid w:val="00B77F46"/>
    <w:rsid w:val="00B82586"/>
    <w:rsid w:val="00B829A3"/>
    <w:rsid w:val="00B86DB1"/>
    <w:rsid w:val="00B87869"/>
    <w:rsid w:val="00B90137"/>
    <w:rsid w:val="00B944AC"/>
    <w:rsid w:val="00B9639B"/>
    <w:rsid w:val="00BA18B6"/>
    <w:rsid w:val="00BB02A0"/>
    <w:rsid w:val="00BB0F2B"/>
    <w:rsid w:val="00BC5FEA"/>
    <w:rsid w:val="00BC7D4D"/>
    <w:rsid w:val="00BD074F"/>
    <w:rsid w:val="00BD4A58"/>
    <w:rsid w:val="00BD7337"/>
    <w:rsid w:val="00BE4FF3"/>
    <w:rsid w:val="00BF0DC8"/>
    <w:rsid w:val="00BF4ACF"/>
    <w:rsid w:val="00BF50F7"/>
    <w:rsid w:val="00C02F29"/>
    <w:rsid w:val="00C05A9F"/>
    <w:rsid w:val="00C10F2A"/>
    <w:rsid w:val="00C149E6"/>
    <w:rsid w:val="00C15E84"/>
    <w:rsid w:val="00C20AFE"/>
    <w:rsid w:val="00C20E3D"/>
    <w:rsid w:val="00C22A25"/>
    <w:rsid w:val="00C33076"/>
    <w:rsid w:val="00C33BE8"/>
    <w:rsid w:val="00C35671"/>
    <w:rsid w:val="00C35B77"/>
    <w:rsid w:val="00C35CF6"/>
    <w:rsid w:val="00C362AA"/>
    <w:rsid w:val="00C376EB"/>
    <w:rsid w:val="00C43633"/>
    <w:rsid w:val="00C452BC"/>
    <w:rsid w:val="00C46A92"/>
    <w:rsid w:val="00C46EC1"/>
    <w:rsid w:val="00C51EA5"/>
    <w:rsid w:val="00C52796"/>
    <w:rsid w:val="00C53711"/>
    <w:rsid w:val="00C53E2C"/>
    <w:rsid w:val="00C550C8"/>
    <w:rsid w:val="00C56B61"/>
    <w:rsid w:val="00C606C3"/>
    <w:rsid w:val="00C620F4"/>
    <w:rsid w:val="00C6249F"/>
    <w:rsid w:val="00C651D6"/>
    <w:rsid w:val="00C72848"/>
    <w:rsid w:val="00C7736C"/>
    <w:rsid w:val="00C77D3C"/>
    <w:rsid w:val="00C82D87"/>
    <w:rsid w:val="00C84F07"/>
    <w:rsid w:val="00C8712A"/>
    <w:rsid w:val="00C87E0A"/>
    <w:rsid w:val="00C902C8"/>
    <w:rsid w:val="00C916F1"/>
    <w:rsid w:val="00C919D1"/>
    <w:rsid w:val="00C963D3"/>
    <w:rsid w:val="00CA2C85"/>
    <w:rsid w:val="00CA369B"/>
    <w:rsid w:val="00CB1983"/>
    <w:rsid w:val="00CB2CBB"/>
    <w:rsid w:val="00CB5E77"/>
    <w:rsid w:val="00CB6578"/>
    <w:rsid w:val="00CB7CAC"/>
    <w:rsid w:val="00CC3353"/>
    <w:rsid w:val="00CC4818"/>
    <w:rsid w:val="00CC5335"/>
    <w:rsid w:val="00CC5BA4"/>
    <w:rsid w:val="00CD2BBA"/>
    <w:rsid w:val="00CD4998"/>
    <w:rsid w:val="00CE0ECD"/>
    <w:rsid w:val="00CE1035"/>
    <w:rsid w:val="00CE6E50"/>
    <w:rsid w:val="00CF2819"/>
    <w:rsid w:val="00CF4F9D"/>
    <w:rsid w:val="00CF70DC"/>
    <w:rsid w:val="00D033F5"/>
    <w:rsid w:val="00D041E0"/>
    <w:rsid w:val="00D04AFE"/>
    <w:rsid w:val="00D06A30"/>
    <w:rsid w:val="00D10CF6"/>
    <w:rsid w:val="00D14336"/>
    <w:rsid w:val="00D148DC"/>
    <w:rsid w:val="00D16AC6"/>
    <w:rsid w:val="00D17FDC"/>
    <w:rsid w:val="00D20D66"/>
    <w:rsid w:val="00D21021"/>
    <w:rsid w:val="00D21B52"/>
    <w:rsid w:val="00D21D8C"/>
    <w:rsid w:val="00D23324"/>
    <w:rsid w:val="00D23A15"/>
    <w:rsid w:val="00D27BCB"/>
    <w:rsid w:val="00D30632"/>
    <w:rsid w:val="00D316F2"/>
    <w:rsid w:val="00D34584"/>
    <w:rsid w:val="00D4656B"/>
    <w:rsid w:val="00D53719"/>
    <w:rsid w:val="00D61CC1"/>
    <w:rsid w:val="00D632E0"/>
    <w:rsid w:val="00D63DC7"/>
    <w:rsid w:val="00D63EFD"/>
    <w:rsid w:val="00D72967"/>
    <w:rsid w:val="00D73491"/>
    <w:rsid w:val="00D83B30"/>
    <w:rsid w:val="00D84752"/>
    <w:rsid w:val="00D86B3B"/>
    <w:rsid w:val="00D8748A"/>
    <w:rsid w:val="00D93196"/>
    <w:rsid w:val="00D9565D"/>
    <w:rsid w:val="00DA0DC0"/>
    <w:rsid w:val="00DA1D45"/>
    <w:rsid w:val="00DA7506"/>
    <w:rsid w:val="00DB243C"/>
    <w:rsid w:val="00DB482A"/>
    <w:rsid w:val="00DB4D7D"/>
    <w:rsid w:val="00DB50FB"/>
    <w:rsid w:val="00DB56F2"/>
    <w:rsid w:val="00DB6EF5"/>
    <w:rsid w:val="00DC3089"/>
    <w:rsid w:val="00DC359F"/>
    <w:rsid w:val="00DC374E"/>
    <w:rsid w:val="00DC3C9E"/>
    <w:rsid w:val="00DC4420"/>
    <w:rsid w:val="00DD0802"/>
    <w:rsid w:val="00DD09EA"/>
    <w:rsid w:val="00DD2E11"/>
    <w:rsid w:val="00DE03AF"/>
    <w:rsid w:val="00DE121C"/>
    <w:rsid w:val="00DE5357"/>
    <w:rsid w:val="00DE6633"/>
    <w:rsid w:val="00DE7E9B"/>
    <w:rsid w:val="00DF158F"/>
    <w:rsid w:val="00DF48C2"/>
    <w:rsid w:val="00DF75F8"/>
    <w:rsid w:val="00DF7A3A"/>
    <w:rsid w:val="00E00C00"/>
    <w:rsid w:val="00E01803"/>
    <w:rsid w:val="00E07C5A"/>
    <w:rsid w:val="00E15BA9"/>
    <w:rsid w:val="00E2494C"/>
    <w:rsid w:val="00E26E10"/>
    <w:rsid w:val="00E26E19"/>
    <w:rsid w:val="00E30E60"/>
    <w:rsid w:val="00E31DF3"/>
    <w:rsid w:val="00E41578"/>
    <w:rsid w:val="00E421C6"/>
    <w:rsid w:val="00E44251"/>
    <w:rsid w:val="00E450A4"/>
    <w:rsid w:val="00E450CF"/>
    <w:rsid w:val="00E506BE"/>
    <w:rsid w:val="00E55547"/>
    <w:rsid w:val="00E6302B"/>
    <w:rsid w:val="00E6452F"/>
    <w:rsid w:val="00E64F45"/>
    <w:rsid w:val="00E6742D"/>
    <w:rsid w:val="00E71CB0"/>
    <w:rsid w:val="00E77C3D"/>
    <w:rsid w:val="00E814A1"/>
    <w:rsid w:val="00E853BF"/>
    <w:rsid w:val="00E90991"/>
    <w:rsid w:val="00E909F0"/>
    <w:rsid w:val="00E90D47"/>
    <w:rsid w:val="00E93993"/>
    <w:rsid w:val="00E9597C"/>
    <w:rsid w:val="00EA0913"/>
    <w:rsid w:val="00EA5B00"/>
    <w:rsid w:val="00EA78AC"/>
    <w:rsid w:val="00EB146B"/>
    <w:rsid w:val="00EB45AC"/>
    <w:rsid w:val="00EC3657"/>
    <w:rsid w:val="00EC441F"/>
    <w:rsid w:val="00EC4755"/>
    <w:rsid w:val="00EC60AE"/>
    <w:rsid w:val="00EC62FB"/>
    <w:rsid w:val="00ED0BC4"/>
    <w:rsid w:val="00ED447D"/>
    <w:rsid w:val="00ED738F"/>
    <w:rsid w:val="00ED74BC"/>
    <w:rsid w:val="00EE4475"/>
    <w:rsid w:val="00EE45EF"/>
    <w:rsid w:val="00EE4971"/>
    <w:rsid w:val="00EE53DF"/>
    <w:rsid w:val="00EE7908"/>
    <w:rsid w:val="00EF090E"/>
    <w:rsid w:val="00EF5572"/>
    <w:rsid w:val="00EF7DFD"/>
    <w:rsid w:val="00F03051"/>
    <w:rsid w:val="00F033DA"/>
    <w:rsid w:val="00F03C62"/>
    <w:rsid w:val="00F13691"/>
    <w:rsid w:val="00F13FB1"/>
    <w:rsid w:val="00F2201F"/>
    <w:rsid w:val="00F27CD8"/>
    <w:rsid w:val="00F30351"/>
    <w:rsid w:val="00F30FB7"/>
    <w:rsid w:val="00F3323E"/>
    <w:rsid w:val="00F341F4"/>
    <w:rsid w:val="00F34F9D"/>
    <w:rsid w:val="00F35CCE"/>
    <w:rsid w:val="00F40352"/>
    <w:rsid w:val="00F41201"/>
    <w:rsid w:val="00F5524B"/>
    <w:rsid w:val="00F60538"/>
    <w:rsid w:val="00F61DD2"/>
    <w:rsid w:val="00F648AD"/>
    <w:rsid w:val="00F66AFF"/>
    <w:rsid w:val="00F71433"/>
    <w:rsid w:val="00F84270"/>
    <w:rsid w:val="00F85167"/>
    <w:rsid w:val="00F92140"/>
    <w:rsid w:val="00F93B02"/>
    <w:rsid w:val="00F97C5B"/>
    <w:rsid w:val="00FA3D50"/>
    <w:rsid w:val="00FB0E6F"/>
    <w:rsid w:val="00FB2144"/>
    <w:rsid w:val="00FB7FBD"/>
    <w:rsid w:val="00FC0EC2"/>
    <w:rsid w:val="00FC12CC"/>
    <w:rsid w:val="00FC31F1"/>
    <w:rsid w:val="00FC374A"/>
    <w:rsid w:val="00FC43EC"/>
    <w:rsid w:val="00FC77DD"/>
    <w:rsid w:val="00FC7AC7"/>
    <w:rsid w:val="00FC7B47"/>
    <w:rsid w:val="00FD035C"/>
    <w:rsid w:val="00FD1A35"/>
    <w:rsid w:val="00FD2EA4"/>
    <w:rsid w:val="00FD36C5"/>
    <w:rsid w:val="00FD6310"/>
    <w:rsid w:val="00FD7C7B"/>
    <w:rsid w:val="00FE1D12"/>
    <w:rsid w:val="00FE2122"/>
    <w:rsid w:val="00FE2A86"/>
    <w:rsid w:val="00FE2DE2"/>
    <w:rsid w:val="00FE31BE"/>
    <w:rsid w:val="00FE45A4"/>
    <w:rsid w:val="00FE5DB8"/>
    <w:rsid w:val="00FF296F"/>
    <w:rsid w:val="00FF3217"/>
    <w:rsid w:val="00FF523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565650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Gatoto, Phoebe</cp:lastModifiedBy>
  <cp:revision>301</cp:revision>
  <cp:lastPrinted>2019-08-27T05:42:00Z</cp:lastPrinted>
  <dcterms:created xsi:type="dcterms:W3CDTF">2023-02-27T11:01:00Z</dcterms:created>
  <dcterms:modified xsi:type="dcterms:W3CDTF">2023-03-01T15:35:00Z</dcterms:modified>
</cp:coreProperties>
</file>