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8F22F6" w:rsidRDefault="00CE0ECD" w:rsidP="00B77B19">
      <w:pPr>
        <w:pStyle w:val="AODocTxt"/>
        <w:numPr>
          <w:ilvl w:val="0"/>
          <w:numId w:val="14"/>
        </w:numPr>
        <w:spacing w:before="0" w:line="240" w:lineRule="auto"/>
        <w:ind w:left="426"/>
        <w:rPr>
          <w:rFonts w:ascii="Avenir Next" w:hAnsi="Avenir Next"/>
          <w:highlight w:val="yellow"/>
        </w:rPr>
      </w:pPr>
      <w:r w:rsidRPr="008F22F6">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8F22F6">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1C1175" w:rsidRDefault="00CE0ECD" w:rsidP="00097D56">
      <w:pPr>
        <w:pStyle w:val="AODocTxt"/>
        <w:numPr>
          <w:ilvl w:val="0"/>
          <w:numId w:val="16"/>
        </w:numPr>
        <w:spacing w:before="0" w:line="240" w:lineRule="auto"/>
        <w:ind w:left="426"/>
        <w:rPr>
          <w:rFonts w:ascii="Avenir Next" w:hAnsi="Avenir Next"/>
          <w:highlight w:val="yellow"/>
        </w:rPr>
      </w:pPr>
      <w:r w:rsidRPr="001C1175">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3636B9" w:rsidRDefault="00CE0ECD" w:rsidP="00A82B32">
      <w:pPr>
        <w:pStyle w:val="AODocTxt"/>
        <w:numPr>
          <w:ilvl w:val="0"/>
          <w:numId w:val="18"/>
        </w:numPr>
        <w:spacing w:before="0" w:line="240" w:lineRule="auto"/>
        <w:ind w:left="426"/>
        <w:rPr>
          <w:rFonts w:ascii="Avenir Next" w:hAnsi="Avenir Next"/>
          <w:highlight w:val="yellow"/>
        </w:rPr>
      </w:pPr>
      <w:r w:rsidRPr="003636B9">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E5162C" w:rsidRDefault="00CE0ECD" w:rsidP="00E421C6">
      <w:pPr>
        <w:pStyle w:val="AODocTxt"/>
        <w:numPr>
          <w:ilvl w:val="0"/>
          <w:numId w:val="20"/>
        </w:numPr>
        <w:spacing w:before="0" w:line="240" w:lineRule="auto"/>
        <w:ind w:left="426"/>
        <w:rPr>
          <w:rFonts w:ascii="Avenir Next" w:hAnsi="Avenir Next"/>
          <w:highlight w:val="yellow"/>
        </w:rPr>
      </w:pPr>
      <w:r w:rsidRPr="00E5162C">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460BFA" w:rsidRDefault="00CE0ECD" w:rsidP="00E421C6">
      <w:pPr>
        <w:pStyle w:val="AODocTxt"/>
        <w:numPr>
          <w:ilvl w:val="0"/>
          <w:numId w:val="22"/>
        </w:numPr>
        <w:spacing w:before="0" w:line="240" w:lineRule="auto"/>
        <w:ind w:left="426"/>
        <w:rPr>
          <w:rFonts w:ascii="Avenir Next" w:hAnsi="Avenir Next"/>
          <w:highlight w:val="yellow"/>
        </w:rPr>
      </w:pPr>
      <w:r w:rsidRPr="00460BFA">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460BFA" w:rsidRDefault="00CE0ECD" w:rsidP="000346E7">
      <w:pPr>
        <w:pStyle w:val="AODocTxt"/>
        <w:numPr>
          <w:ilvl w:val="0"/>
          <w:numId w:val="24"/>
        </w:numPr>
        <w:spacing w:before="0" w:line="240" w:lineRule="auto"/>
        <w:ind w:left="426"/>
        <w:rPr>
          <w:rFonts w:ascii="Avenir Next" w:hAnsi="Avenir Next"/>
          <w:highlight w:val="yellow"/>
        </w:rPr>
      </w:pPr>
      <w:r w:rsidRPr="00460BFA">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580E35" w:rsidRDefault="00CE0ECD" w:rsidP="004830F8">
      <w:pPr>
        <w:pStyle w:val="AODocTxt"/>
        <w:numPr>
          <w:ilvl w:val="0"/>
          <w:numId w:val="26"/>
        </w:numPr>
        <w:spacing w:before="0" w:line="240" w:lineRule="auto"/>
        <w:ind w:left="426"/>
        <w:rPr>
          <w:rFonts w:ascii="Avenir Next" w:hAnsi="Avenir Next"/>
          <w:highlight w:val="yellow"/>
        </w:rPr>
      </w:pPr>
      <w:r w:rsidRPr="00580E35">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580E35" w:rsidRDefault="00CE0ECD" w:rsidP="004830F8">
      <w:pPr>
        <w:pStyle w:val="AODocTxt"/>
        <w:numPr>
          <w:ilvl w:val="0"/>
          <w:numId w:val="28"/>
        </w:numPr>
        <w:spacing w:before="0" w:line="240" w:lineRule="auto"/>
        <w:ind w:left="426"/>
        <w:rPr>
          <w:rFonts w:ascii="Avenir Next" w:hAnsi="Avenir Next"/>
          <w:highlight w:val="yellow"/>
        </w:rPr>
      </w:pPr>
      <w:r w:rsidRPr="00580E35">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166445" w:rsidRDefault="00CE0ECD" w:rsidP="00AA0280">
      <w:pPr>
        <w:pStyle w:val="AODocTxt"/>
        <w:numPr>
          <w:ilvl w:val="0"/>
          <w:numId w:val="30"/>
        </w:numPr>
        <w:spacing w:before="0" w:line="240" w:lineRule="auto"/>
        <w:ind w:left="426"/>
        <w:rPr>
          <w:rFonts w:ascii="Avenir Next" w:hAnsi="Avenir Next"/>
          <w:highlight w:val="yellow"/>
        </w:rPr>
      </w:pPr>
      <w:r w:rsidRPr="00166445">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2A4442B4" w:rsidR="00323167" w:rsidRPr="00AA0280" w:rsidRDefault="00166445" w:rsidP="00166445">
      <w:pPr>
        <w:pStyle w:val="AODocTxt"/>
        <w:tabs>
          <w:tab w:val="left" w:pos="1120"/>
        </w:tabs>
        <w:spacing w:before="0" w:line="240" w:lineRule="auto"/>
        <w:rPr>
          <w:rFonts w:ascii="Avenir Next" w:hAnsi="Avenir Next" w:cs="Arial"/>
        </w:rPr>
      </w:pPr>
      <w:r>
        <w:rPr>
          <w:rFonts w:ascii="Avenir Next" w:hAnsi="Avenir Next" w:cs="Arial"/>
        </w:rPr>
        <w:tab/>
      </w: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1B04C020" w14:textId="1D7496ED" w:rsidR="00E41578" w:rsidRPr="00171FCE" w:rsidRDefault="00166445" w:rsidP="00323167">
      <w:pPr>
        <w:pStyle w:val="AODocTxt"/>
        <w:spacing w:before="0" w:line="240" w:lineRule="auto"/>
        <w:rPr>
          <w:rFonts w:ascii="Arial" w:hAnsi="Arial" w:cs="Arial"/>
        </w:rPr>
      </w:pPr>
      <w:r w:rsidRPr="00171FCE">
        <w:rPr>
          <w:rFonts w:ascii="Arial" w:hAnsi="Arial" w:cs="Arial"/>
        </w:rPr>
        <w:t xml:space="preserve">Setoff </w:t>
      </w:r>
      <w:r w:rsidR="00097DB8" w:rsidRPr="00171FCE">
        <w:rPr>
          <w:rFonts w:ascii="Arial" w:hAnsi="Arial" w:cs="Arial"/>
        </w:rPr>
        <w:t>allows a</w:t>
      </w:r>
      <w:r w:rsidRPr="00171FCE">
        <w:rPr>
          <w:rFonts w:ascii="Arial" w:hAnsi="Arial" w:cs="Arial"/>
        </w:rPr>
        <w:t xml:space="preserve"> creditor </w:t>
      </w:r>
      <w:r w:rsidR="00097DB8" w:rsidRPr="00171FCE">
        <w:rPr>
          <w:rFonts w:ascii="Arial" w:hAnsi="Arial" w:cs="Arial"/>
        </w:rPr>
        <w:t>who has a claim</w:t>
      </w:r>
      <w:r w:rsidRPr="00171FCE">
        <w:rPr>
          <w:rFonts w:ascii="Arial" w:hAnsi="Arial" w:cs="Arial"/>
        </w:rPr>
        <w:t xml:space="preserve"> against the debtor </w:t>
      </w:r>
      <w:r w:rsidR="00097DB8" w:rsidRPr="00171FCE">
        <w:rPr>
          <w:rFonts w:ascii="Arial" w:hAnsi="Arial" w:cs="Arial"/>
        </w:rPr>
        <w:t>but who</w:t>
      </w:r>
      <w:r w:rsidRPr="00171FCE">
        <w:rPr>
          <w:rFonts w:ascii="Arial" w:hAnsi="Arial" w:cs="Arial"/>
        </w:rPr>
        <w:t xml:space="preserve"> </w:t>
      </w:r>
      <w:r w:rsidR="00097DB8" w:rsidRPr="00171FCE">
        <w:rPr>
          <w:rFonts w:ascii="Arial" w:hAnsi="Arial" w:cs="Arial"/>
        </w:rPr>
        <w:t>also owes</w:t>
      </w:r>
      <w:r w:rsidRPr="00171FCE">
        <w:rPr>
          <w:rFonts w:ascii="Arial" w:hAnsi="Arial" w:cs="Arial"/>
        </w:rPr>
        <w:t xml:space="preserve"> money to the debtor to net out the </w:t>
      </w:r>
      <w:r w:rsidR="00097DB8" w:rsidRPr="00171FCE">
        <w:rPr>
          <w:rFonts w:ascii="Arial" w:hAnsi="Arial" w:cs="Arial"/>
        </w:rPr>
        <w:t>competing</w:t>
      </w:r>
      <w:r w:rsidRPr="00171FCE">
        <w:rPr>
          <w:rFonts w:ascii="Arial" w:hAnsi="Arial" w:cs="Arial"/>
        </w:rPr>
        <w:t xml:space="preserve"> obligations. </w:t>
      </w:r>
      <w:r w:rsidR="00097DB8" w:rsidRPr="00171FCE">
        <w:rPr>
          <w:rFonts w:ascii="Arial" w:hAnsi="Arial" w:cs="Arial"/>
        </w:rPr>
        <w:t>It is generally not perm</w:t>
      </w:r>
      <w:r w:rsidR="00CC0047" w:rsidRPr="00171FCE">
        <w:rPr>
          <w:rFonts w:ascii="Arial" w:hAnsi="Arial" w:cs="Arial"/>
        </w:rPr>
        <w:t>i</w:t>
      </w:r>
      <w:r w:rsidR="00097DB8" w:rsidRPr="00171FCE">
        <w:rPr>
          <w:rFonts w:ascii="Arial" w:hAnsi="Arial" w:cs="Arial"/>
        </w:rPr>
        <w:t>tted</w:t>
      </w:r>
      <w:r w:rsidRPr="00171FCE">
        <w:rPr>
          <w:rFonts w:ascii="Arial" w:hAnsi="Arial" w:cs="Arial"/>
        </w:rPr>
        <w:t xml:space="preserve"> </w:t>
      </w:r>
      <w:r w:rsidR="00CC0047" w:rsidRPr="00171FCE">
        <w:rPr>
          <w:rFonts w:ascii="Arial" w:hAnsi="Arial" w:cs="Arial"/>
        </w:rPr>
        <w:t>as it would i</w:t>
      </w:r>
      <w:r w:rsidRPr="00171FCE">
        <w:rPr>
          <w:rFonts w:ascii="Arial" w:hAnsi="Arial" w:cs="Arial"/>
        </w:rPr>
        <w:t xml:space="preserve">mprove the position of the creditor </w:t>
      </w:r>
      <w:r w:rsidR="00CC0047" w:rsidRPr="00171FCE">
        <w:rPr>
          <w:rFonts w:ascii="Arial" w:hAnsi="Arial" w:cs="Arial"/>
        </w:rPr>
        <w:t>by comparison</w:t>
      </w:r>
      <w:r w:rsidRPr="00171FCE">
        <w:rPr>
          <w:rFonts w:ascii="Arial" w:hAnsi="Arial" w:cs="Arial"/>
        </w:rPr>
        <w:t xml:space="preserve"> to other unsecured creditors </w:t>
      </w:r>
      <w:r w:rsidR="00CC0047" w:rsidRPr="00171FCE">
        <w:rPr>
          <w:rFonts w:ascii="Arial" w:hAnsi="Arial" w:cs="Arial"/>
        </w:rPr>
        <w:t>and</w:t>
      </w:r>
      <w:r w:rsidRPr="00171FCE">
        <w:rPr>
          <w:rFonts w:ascii="Arial" w:hAnsi="Arial" w:cs="Arial"/>
        </w:rPr>
        <w:t xml:space="preserve"> decrease </w:t>
      </w:r>
      <w:r w:rsidR="00CC0047" w:rsidRPr="00171FCE">
        <w:rPr>
          <w:rFonts w:ascii="Arial" w:hAnsi="Arial" w:cs="Arial"/>
        </w:rPr>
        <w:t>their</w:t>
      </w:r>
      <w:r w:rsidRPr="00171FCE">
        <w:rPr>
          <w:rFonts w:ascii="Arial" w:hAnsi="Arial" w:cs="Arial"/>
        </w:rPr>
        <w:t xml:space="preserve"> obligation to the estate by the full amount owed rather than the lesser amount the debtor would </w:t>
      </w:r>
      <w:r w:rsidR="00CC0047" w:rsidRPr="00171FCE">
        <w:rPr>
          <w:rFonts w:ascii="Arial" w:hAnsi="Arial" w:cs="Arial"/>
        </w:rPr>
        <w:t xml:space="preserve">presumably have to </w:t>
      </w:r>
      <w:r w:rsidRPr="00171FCE">
        <w:rPr>
          <w:rFonts w:ascii="Arial" w:hAnsi="Arial" w:cs="Arial"/>
        </w:rPr>
        <w:t>pay on the unsecured claim</w:t>
      </w:r>
      <w:r w:rsidR="00CC0047" w:rsidRPr="00171FCE">
        <w:rPr>
          <w:rFonts w:ascii="Arial" w:hAnsi="Arial" w:cs="Arial"/>
        </w:rPr>
        <w:t>.</w:t>
      </w:r>
    </w:p>
    <w:p w14:paraId="380EC910" w14:textId="77777777" w:rsidR="00166445" w:rsidRPr="00323167" w:rsidRDefault="00166445"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4EC1CD7D" w14:textId="1CCEC563" w:rsidR="00622C36" w:rsidRPr="00171FCE" w:rsidRDefault="0010662B" w:rsidP="00171FCE">
      <w:pPr>
        <w:pStyle w:val="AODocTxt"/>
        <w:rPr>
          <w:rFonts w:ascii="Arial" w:hAnsi="Arial" w:cs="Arial"/>
        </w:rPr>
      </w:pPr>
      <w:r w:rsidRPr="00171FCE">
        <w:rPr>
          <w:rFonts w:ascii="Arial" w:hAnsi="Arial" w:cs="Arial"/>
        </w:rPr>
        <w:t xml:space="preserve">The Federal Rules of Bankruptcy Procedure.  In addition, each bankruptcy court </w:t>
      </w:r>
      <w:r w:rsidR="00F075BA">
        <w:rPr>
          <w:rFonts w:ascii="Arial" w:hAnsi="Arial" w:cs="Arial"/>
        </w:rPr>
        <w:t>has</w:t>
      </w:r>
      <w:r w:rsidRPr="00171FCE">
        <w:rPr>
          <w:rFonts w:ascii="Arial" w:hAnsi="Arial" w:cs="Arial"/>
        </w:rPr>
        <w:t xml:space="preserve"> their own local rules of procedure and each judge also issues personal practices which </w:t>
      </w:r>
      <w:r w:rsidR="00F075BA">
        <w:rPr>
          <w:rFonts w:ascii="Arial" w:hAnsi="Arial" w:cs="Arial"/>
        </w:rPr>
        <w:t>are</w:t>
      </w:r>
      <w:r w:rsidRPr="00171FCE">
        <w:rPr>
          <w:rFonts w:ascii="Arial" w:hAnsi="Arial" w:cs="Arial"/>
        </w:rPr>
        <w:t xml:space="preserve"> updated from time to time</w:t>
      </w:r>
      <w:r w:rsidR="00171FCE">
        <w:rPr>
          <w:rFonts w:ascii="Arial" w:hAnsi="Arial" w:cs="Arial"/>
        </w:rPr>
        <w:t xml:space="preserve"> so practitioners should make sure to check these</w:t>
      </w:r>
      <w:r w:rsidR="00F075BA">
        <w:rPr>
          <w:rFonts w:ascii="Arial" w:hAnsi="Arial" w:cs="Arial"/>
        </w:rPr>
        <w:t xml:space="preserve"> also</w:t>
      </w:r>
      <w:r w:rsidRPr="00171FCE">
        <w:rPr>
          <w:rFonts w:ascii="Arial" w:hAnsi="Arial" w:cs="Arial"/>
        </w:rPr>
        <w:t>.</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53E1720C" w14:textId="5F59831C" w:rsidR="003A5537" w:rsidRPr="00F075BA" w:rsidRDefault="009F3B4A" w:rsidP="00622C36">
      <w:pPr>
        <w:pStyle w:val="AODocTxt"/>
        <w:spacing w:before="0" w:line="240" w:lineRule="auto"/>
        <w:rPr>
          <w:rFonts w:ascii="Arial" w:hAnsi="Arial" w:cs="Arial"/>
        </w:rPr>
      </w:pPr>
      <w:r w:rsidRPr="00F075BA">
        <w:rPr>
          <w:rFonts w:ascii="Arial" w:hAnsi="Arial" w:cs="Arial"/>
        </w:rPr>
        <w:t xml:space="preserve">The absolute priority rule dictates that no party should </w:t>
      </w:r>
      <w:r w:rsidR="00F075BA">
        <w:rPr>
          <w:rFonts w:ascii="Arial" w:hAnsi="Arial" w:cs="Arial"/>
        </w:rPr>
        <w:t xml:space="preserve">be treated less </w:t>
      </w:r>
      <w:proofErr w:type="spellStart"/>
      <w:r w:rsidR="00F075BA">
        <w:rPr>
          <w:rFonts w:ascii="Arial" w:hAnsi="Arial" w:cs="Arial"/>
        </w:rPr>
        <w:t>favourably</w:t>
      </w:r>
      <w:proofErr w:type="spellEnd"/>
      <w:r w:rsidRPr="00F075BA">
        <w:rPr>
          <w:rFonts w:ascii="Arial" w:hAnsi="Arial" w:cs="Arial"/>
        </w:rPr>
        <w:t xml:space="preserve"> under a Chapter 11 </w:t>
      </w:r>
      <w:proofErr w:type="spellStart"/>
      <w:r w:rsidRPr="00F075BA">
        <w:rPr>
          <w:rFonts w:ascii="Arial" w:hAnsi="Arial" w:cs="Arial"/>
        </w:rPr>
        <w:t>reorganisation</w:t>
      </w:r>
      <w:proofErr w:type="spellEnd"/>
      <w:r w:rsidRPr="00F075BA">
        <w:rPr>
          <w:rFonts w:ascii="Arial" w:hAnsi="Arial" w:cs="Arial"/>
        </w:rPr>
        <w:t xml:space="preserve"> than they would </w:t>
      </w:r>
      <w:r w:rsidR="00D36F22">
        <w:rPr>
          <w:rFonts w:ascii="Arial" w:hAnsi="Arial" w:cs="Arial"/>
        </w:rPr>
        <w:t xml:space="preserve">otherwise be treated </w:t>
      </w:r>
      <w:r w:rsidRPr="00F075BA">
        <w:rPr>
          <w:rFonts w:ascii="Arial" w:hAnsi="Arial" w:cs="Arial"/>
        </w:rPr>
        <w:t>under a chapter 7 liquidation unless they specifically consent</w:t>
      </w:r>
      <w:r w:rsidR="00D36F22">
        <w:rPr>
          <w:rFonts w:ascii="Arial" w:hAnsi="Arial" w:cs="Arial"/>
        </w:rPr>
        <w:t xml:space="preserve"> to such less </w:t>
      </w:r>
      <w:proofErr w:type="spellStart"/>
      <w:r w:rsidR="00D36F22">
        <w:rPr>
          <w:rFonts w:ascii="Arial" w:hAnsi="Arial" w:cs="Arial"/>
        </w:rPr>
        <w:t>favourable</w:t>
      </w:r>
      <w:proofErr w:type="spellEnd"/>
      <w:r w:rsidR="00D36F22">
        <w:rPr>
          <w:rFonts w:ascii="Arial" w:hAnsi="Arial" w:cs="Arial"/>
        </w:rPr>
        <w:t xml:space="preserve"> treatment</w:t>
      </w:r>
      <w:r w:rsidRPr="00F075BA">
        <w:rPr>
          <w:rFonts w:ascii="Arial" w:hAnsi="Arial" w:cs="Arial"/>
        </w:rPr>
        <w:t xml:space="preserve">. </w:t>
      </w:r>
      <w:r w:rsidR="0076357B" w:rsidRPr="00F075BA">
        <w:rPr>
          <w:rFonts w:ascii="Arial" w:hAnsi="Arial" w:cs="Arial"/>
        </w:rPr>
        <w:t xml:space="preserve"> This might happen, for example, where a creditor agrees to receive less in order to ensure the plan is approved</w:t>
      </w:r>
      <w:r w:rsidR="00D36F22">
        <w:rPr>
          <w:rFonts w:ascii="Arial" w:hAnsi="Arial" w:cs="Arial"/>
        </w:rPr>
        <w:t xml:space="preserve"> by another class of creditors</w:t>
      </w:r>
      <w:r w:rsidR="0076357B" w:rsidRPr="00F075BA">
        <w:rPr>
          <w:rFonts w:ascii="Arial" w:hAnsi="Arial" w:cs="Arial"/>
        </w:rPr>
        <w:t xml:space="preserve">.  </w:t>
      </w:r>
      <w:r w:rsidRPr="00F075BA">
        <w:rPr>
          <w:rFonts w:ascii="Arial" w:hAnsi="Arial" w:cs="Arial"/>
        </w:rPr>
        <w:t xml:space="preserve">However, </w:t>
      </w:r>
      <w:r w:rsidR="00D36F22">
        <w:rPr>
          <w:rFonts w:ascii="Arial" w:hAnsi="Arial" w:cs="Arial"/>
        </w:rPr>
        <w:t xml:space="preserve">the </w:t>
      </w:r>
      <w:r w:rsidR="00D36F22" w:rsidRPr="00F075BA">
        <w:rPr>
          <w:rFonts w:ascii="Arial" w:hAnsi="Arial" w:cs="Arial"/>
        </w:rPr>
        <w:t xml:space="preserve">absolute priority rule </w:t>
      </w:r>
      <w:r w:rsidR="00EB082D" w:rsidRPr="00F075BA">
        <w:rPr>
          <w:rFonts w:ascii="Arial" w:hAnsi="Arial" w:cs="Arial"/>
        </w:rPr>
        <w:t>does</w:t>
      </w:r>
      <w:r w:rsidRPr="00F075BA">
        <w:rPr>
          <w:rFonts w:ascii="Arial" w:hAnsi="Arial" w:cs="Arial"/>
        </w:rPr>
        <w:t xml:space="preserve"> not apply to subchapter V of chapter 11, which added to the Bankruptcy Code by the Small Business Reorganization Act of 2019 in order to create a new regime for businesses with debts below a statutory threshold.</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2E83B343" w:rsidR="00E41578" w:rsidRPr="00D36F22" w:rsidRDefault="00124489" w:rsidP="00E41578">
      <w:pPr>
        <w:jc w:val="both"/>
        <w:rPr>
          <w:rFonts w:ascii="Arial" w:hAnsi="Arial" w:cs="Arial"/>
          <w:sz w:val="22"/>
          <w:szCs w:val="22"/>
          <w:lang w:val="en-GB"/>
        </w:rPr>
      </w:pPr>
      <w:r w:rsidRPr="00D36F22">
        <w:rPr>
          <w:rFonts w:ascii="Arial" w:hAnsi="Arial" w:cs="Arial"/>
          <w:sz w:val="22"/>
          <w:szCs w:val="22"/>
          <w:lang w:val="en-GB"/>
        </w:rPr>
        <w:t xml:space="preserve">A priming lien </w:t>
      </w:r>
      <w:r w:rsidR="00D36F22">
        <w:rPr>
          <w:rFonts w:ascii="Arial" w:hAnsi="Arial" w:cs="Arial"/>
          <w:sz w:val="22"/>
          <w:szCs w:val="22"/>
          <w:lang w:val="en-GB"/>
        </w:rPr>
        <w:t>allows</w:t>
      </w:r>
      <w:r w:rsidRPr="00D36F22">
        <w:rPr>
          <w:rFonts w:ascii="Arial" w:hAnsi="Arial" w:cs="Arial"/>
          <w:sz w:val="22"/>
          <w:szCs w:val="22"/>
          <w:lang w:val="en-GB"/>
        </w:rPr>
        <w:t xml:space="preserve"> the bankruptcy estate rais</w:t>
      </w:r>
      <w:r w:rsidR="00D36F22">
        <w:rPr>
          <w:rFonts w:ascii="Arial" w:hAnsi="Arial" w:cs="Arial"/>
          <w:sz w:val="22"/>
          <w:szCs w:val="22"/>
          <w:lang w:val="en-GB"/>
        </w:rPr>
        <w:t>e</w:t>
      </w:r>
      <w:r w:rsidRPr="00D36F22">
        <w:rPr>
          <w:rFonts w:ascii="Arial" w:hAnsi="Arial" w:cs="Arial"/>
          <w:sz w:val="22"/>
          <w:szCs w:val="22"/>
          <w:lang w:val="en-GB"/>
        </w:rPr>
        <w:t xml:space="preserve"> funds where </w:t>
      </w:r>
      <w:r w:rsidR="00CD3442" w:rsidRPr="00D36F22">
        <w:rPr>
          <w:rFonts w:ascii="Arial" w:hAnsi="Arial" w:cs="Arial"/>
          <w:sz w:val="22"/>
          <w:szCs w:val="22"/>
          <w:lang w:val="en-GB"/>
        </w:rPr>
        <w:t>funding</w:t>
      </w:r>
      <w:r w:rsidRPr="00D36F22">
        <w:rPr>
          <w:rFonts w:ascii="Arial" w:hAnsi="Arial" w:cs="Arial"/>
          <w:sz w:val="22"/>
          <w:szCs w:val="22"/>
          <w:lang w:val="en-GB"/>
        </w:rPr>
        <w:t xml:space="preserve"> may otherwise be unavailable</w:t>
      </w:r>
      <w:r w:rsidR="00D36F22">
        <w:rPr>
          <w:rFonts w:ascii="Arial" w:hAnsi="Arial" w:cs="Arial"/>
          <w:sz w:val="22"/>
          <w:szCs w:val="22"/>
          <w:lang w:val="en-GB"/>
        </w:rPr>
        <w:t xml:space="preserve"> by granting the lender / financer </w:t>
      </w:r>
      <w:r w:rsidR="00DB4DCD">
        <w:rPr>
          <w:rFonts w:ascii="Arial" w:hAnsi="Arial" w:cs="Arial"/>
          <w:sz w:val="22"/>
          <w:szCs w:val="22"/>
          <w:lang w:val="en-GB"/>
        </w:rPr>
        <w:t>a lien that will be senior (or at least equal to) to any pre-petition lien or security on the property of the of the estate</w:t>
      </w:r>
      <w:r w:rsidRPr="00D36F22">
        <w:rPr>
          <w:rFonts w:ascii="Arial" w:hAnsi="Arial" w:cs="Arial"/>
          <w:sz w:val="22"/>
          <w:szCs w:val="22"/>
          <w:lang w:val="en-GB"/>
        </w:rPr>
        <w:t>.  If the bankruptcy court grants a priming lien the debtor must be able to demonstrate that the interest of the secured creditor whose interest is being 'primed' is adequately protected</w:t>
      </w:r>
      <w:r w:rsidR="009F3B4A" w:rsidRPr="00D36F22">
        <w:rPr>
          <w:rFonts w:ascii="Arial" w:hAnsi="Arial" w:cs="Arial"/>
          <w:sz w:val="22"/>
          <w:szCs w:val="22"/>
          <w:lang w:val="en-GB"/>
        </w:rPr>
        <w:t>.</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2F95BE4" w14:textId="33A58673" w:rsidR="00E274C4" w:rsidRDefault="00CD3442" w:rsidP="00E41578">
      <w:pPr>
        <w:jc w:val="both"/>
        <w:rPr>
          <w:rFonts w:ascii="Arial" w:hAnsi="Arial" w:cs="Arial"/>
          <w:sz w:val="22"/>
          <w:szCs w:val="22"/>
        </w:rPr>
      </w:pPr>
      <w:r w:rsidRPr="00DB4DCD">
        <w:rPr>
          <w:rFonts w:ascii="Arial" w:hAnsi="Arial" w:cs="Arial"/>
          <w:sz w:val="22"/>
          <w:szCs w:val="22"/>
        </w:rPr>
        <w:t xml:space="preserve">A preference </w:t>
      </w:r>
      <w:r w:rsidR="00DB4DCD">
        <w:rPr>
          <w:rFonts w:ascii="Arial" w:hAnsi="Arial" w:cs="Arial"/>
          <w:sz w:val="22"/>
          <w:szCs w:val="22"/>
        </w:rPr>
        <w:t>occurs where</w:t>
      </w:r>
      <w:r w:rsidRPr="00DB4DCD">
        <w:rPr>
          <w:rFonts w:ascii="Arial" w:hAnsi="Arial" w:cs="Arial"/>
          <w:sz w:val="22"/>
          <w:szCs w:val="22"/>
        </w:rPr>
        <w:t xml:space="preserve"> there is a transfer of the debtor’s property in the period immediately preceding  the petition.  If that transfer</w:t>
      </w:r>
      <w:r w:rsidR="00E274C4" w:rsidRPr="00DB4DCD">
        <w:rPr>
          <w:rFonts w:ascii="Arial" w:hAnsi="Arial" w:cs="Arial"/>
          <w:sz w:val="22"/>
          <w:szCs w:val="22"/>
        </w:rPr>
        <w:t xml:space="preserve"> exceeds the amount </w:t>
      </w:r>
      <w:r w:rsidR="00DB4DCD">
        <w:rPr>
          <w:rFonts w:ascii="Arial" w:hAnsi="Arial" w:cs="Arial"/>
          <w:sz w:val="22"/>
          <w:szCs w:val="22"/>
        </w:rPr>
        <w:t xml:space="preserve">otherwise </w:t>
      </w:r>
      <w:r w:rsidR="00E274C4" w:rsidRPr="00DB4DCD">
        <w:rPr>
          <w:rFonts w:ascii="Arial" w:hAnsi="Arial" w:cs="Arial"/>
          <w:sz w:val="22"/>
          <w:szCs w:val="22"/>
        </w:rPr>
        <w:t>receiv</w:t>
      </w:r>
      <w:r w:rsidR="00DB4DCD">
        <w:rPr>
          <w:rFonts w:ascii="Arial" w:hAnsi="Arial" w:cs="Arial"/>
          <w:sz w:val="22"/>
          <w:szCs w:val="22"/>
        </w:rPr>
        <w:t xml:space="preserve">able by the creditor </w:t>
      </w:r>
      <w:r w:rsidR="00E274C4" w:rsidRPr="00DB4DCD">
        <w:rPr>
          <w:rFonts w:ascii="Arial" w:hAnsi="Arial" w:cs="Arial"/>
          <w:sz w:val="22"/>
          <w:szCs w:val="22"/>
        </w:rPr>
        <w:t xml:space="preserve">in a chapter 7 liquidation, then it must </w:t>
      </w:r>
      <w:r w:rsidRPr="00DB4DCD">
        <w:rPr>
          <w:rFonts w:ascii="Arial" w:hAnsi="Arial" w:cs="Arial"/>
          <w:sz w:val="22"/>
          <w:szCs w:val="22"/>
        </w:rPr>
        <w:t>be returned to the estate</w:t>
      </w:r>
      <w:r w:rsidR="00E274C4" w:rsidRPr="00DB4DCD">
        <w:rPr>
          <w:rFonts w:ascii="Arial" w:hAnsi="Arial" w:cs="Arial"/>
          <w:sz w:val="22"/>
          <w:szCs w:val="22"/>
        </w:rPr>
        <w:t>.  T</w:t>
      </w:r>
      <w:r w:rsidRPr="00DB4DCD">
        <w:rPr>
          <w:rFonts w:ascii="Arial" w:hAnsi="Arial" w:cs="Arial"/>
          <w:sz w:val="22"/>
          <w:szCs w:val="22"/>
        </w:rPr>
        <w:t xml:space="preserve">here </w:t>
      </w:r>
      <w:r w:rsidR="00E274C4" w:rsidRPr="00DB4DCD">
        <w:rPr>
          <w:rFonts w:ascii="Arial" w:hAnsi="Arial" w:cs="Arial"/>
          <w:sz w:val="22"/>
          <w:szCs w:val="22"/>
        </w:rPr>
        <w:t>does not need to be</w:t>
      </w:r>
      <w:r w:rsidRPr="00DB4DCD">
        <w:rPr>
          <w:rFonts w:ascii="Arial" w:hAnsi="Arial" w:cs="Arial"/>
          <w:sz w:val="22"/>
          <w:szCs w:val="22"/>
        </w:rPr>
        <w:t xml:space="preserve"> any fault </w:t>
      </w:r>
      <w:r w:rsidR="00E274C4" w:rsidRPr="00DB4DCD">
        <w:rPr>
          <w:rFonts w:ascii="Arial" w:hAnsi="Arial" w:cs="Arial"/>
          <w:sz w:val="22"/>
          <w:szCs w:val="22"/>
        </w:rPr>
        <w:t xml:space="preserve">on behalf </w:t>
      </w:r>
      <w:r w:rsidRPr="00DB4DCD">
        <w:rPr>
          <w:rFonts w:ascii="Arial" w:hAnsi="Arial" w:cs="Arial"/>
          <w:sz w:val="22"/>
          <w:szCs w:val="22"/>
        </w:rPr>
        <w:t xml:space="preserve">of either the debtor or the recipient and the recipient </w:t>
      </w:r>
      <w:r w:rsidR="00E274C4" w:rsidRPr="00DB4DCD">
        <w:rPr>
          <w:rFonts w:ascii="Arial" w:hAnsi="Arial" w:cs="Arial"/>
          <w:sz w:val="22"/>
          <w:szCs w:val="22"/>
        </w:rPr>
        <w:t xml:space="preserve">will not suffer any </w:t>
      </w:r>
      <w:r w:rsidRPr="00DB4DCD">
        <w:rPr>
          <w:rFonts w:ascii="Arial" w:hAnsi="Arial" w:cs="Arial"/>
          <w:sz w:val="22"/>
          <w:szCs w:val="22"/>
        </w:rPr>
        <w:t xml:space="preserve">penalty </w:t>
      </w:r>
      <w:r w:rsidR="00E274C4" w:rsidRPr="00DB4DCD">
        <w:rPr>
          <w:rFonts w:ascii="Arial" w:hAnsi="Arial" w:cs="Arial"/>
          <w:sz w:val="22"/>
          <w:szCs w:val="22"/>
        </w:rPr>
        <w:t>beyond having to</w:t>
      </w:r>
      <w:r w:rsidRPr="00DB4DCD">
        <w:rPr>
          <w:rFonts w:ascii="Arial" w:hAnsi="Arial" w:cs="Arial"/>
          <w:sz w:val="22"/>
          <w:szCs w:val="22"/>
        </w:rPr>
        <w:t xml:space="preserve"> return</w:t>
      </w:r>
      <w:r w:rsidR="00E274C4" w:rsidRPr="00DB4DCD">
        <w:rPr>
          <w:rFonts w:ascii="Arial" w:hAnsi="Arial" w:cs="Arial"/>
          <w:sz w:val="22"/>
          <w:szCs w:val="22"/>
        </w:rPr>
        <w:t xml:space="preserve"> </w:t>
      </w:r>
      <w:r w:rsidRPr="00DB4DCD">
        <w:rPr>
          <w:rFonts w:ascii="Arial" w:hAnsi="Arial" w:cs="Arial"/>
          <w:sz w:val="22"/>
          <w:szCs w:val="22"/>
        </w:rPr>
        <w:t>the transfer (and</w:t>
      </w:r>
      <w:r w:rsidR="00E274C4" w:rsidRPr="00DB4DCD">
        <w:rPr>
          <w:rFonts w:ascii="Arial" w:hAnsi="Arial" w:cs="Arial"/>
          <w:sz w:val="22"/>
          <w:szCs w:val="22"/>
        </w:rPr>
        <w:t xml:space="preserve"> interest if applicable</w:t>
      </w:r>
      <w:r w:rsidRPr="00DB4DCD">
        <w:rPr>
          <w:rFonts w:ascii="Arial" w:hAnsi="Arial" w:cs="Arial"/>
          <w:sz w:val="22"/>
          <w:szCs w:val="22"/>
        </w:rPr>
        <w:t xml:space="preserve">). </w:t>
      </w:r>
      <w:r w:rsidR="00E274C4" w:rsidRPr="00DB4DCD">
        <w:rPr>
          <w:rFonts w:ascii="Arial" w:hAnsi="Arial" w:cs="Arial"/>
          <w:sz w:val="22"/>
          <w:szCs w:val="22"/>
        </w:rPr>
        <w:t xml:space="preserve"> One must prove the below </w:t>
      </w:r>
      <w:r w:rsidR="00DB4DCD">
        <w:rPr>
          <w:rFonts w:ascii="Arial" w:hAnsi="Arial" w:cs="Arial"/>
          <w:sz w:val="22"/>
          <w:szCs w:val="22"/>
        </w:rPr>
        <w:t xml:space="preserve">elements </w:t>
      </w:r>
      <w:r w:rsidR="00E274C4" w:rsidRPr="00DB4DCD">
        <w:rPr>
          <w:rFonts w:ascii="Arial" w:hAnsi="Arial" w:cs="Arial"/>
          <w:sz w:val="22"/>
          <w:szCs w:val="22"/>
        </w:rPr>
        <w:t>in respect of a preference:</w:t>
      </w:r>
    </w:p>
    <w:p w14:paraId="245B25F0" w14:textId="77777777" w:rsidR="00DB4DCD" w:rsidRPr="00DB4DCD" w:rsidRDefault="00DB4DCD" w:rsidP="00E41578">
      <w:pPr>
        <w:jc w:val="both"/>
        <w:rPr>
          <w:rFonts w:ascii="Arial" w:hAnsi="Arial" w:cs="Arial"/>
          <w:sz w:val="22"/>
          <w:szCs w:val="22"/>
        </w:rPr>
      </w:pPr>
    </w:p>
    <w:p w14:paraId="7842B491" w14:textId="2DEA9EA6" w:rsidR="00E41578" w:rsidRPr="00DB4DCD" w:rsidRDefault="001D53BF" w:rsidP="00E274C4">
      <w:pPr>
        <w:pStyle w:val="ListParagraph"/>
        <w:numPr>
          <w:ilvl w:val="0"/>
          <w:numId w:val="32"/>
        </w:numPr>
        <w:jc w:val="both"/>
        <w:rPr>
          <w:rFonts w:ascii="Arial" w:hAnsi="Arial" w:cs="Arial"/>
          <w:sz w:val="22"/>
          <w:szCs w:val="22"/>
          <w:lang w:val="en-GB"/>
        </w:rPr>
      </w:pPr>
      <w:r w:rsidRPr="00DB4DCD">
        <w:rPr>
          <w:rFonts w:ascii="Arial" w:hAnsi="Arial" w:cs="Arial"/>
          <w:sz w:val="22"/>
          <w:szCs w:val="22"/>
          <w:lang w:val="en-GB"/>
        </w:rPr>
        <w:t>Transfer of property in which debtor has interest;</w:t>
      </w:r>
    </w:p>
    <w:p w14:paraId="1CD51608" w14:textId="24797413" w:rsidR="001D53BF" w:rsidRPr="00DB4DCD" w:rsidRDefault="001D53BF" w:rsidP="00E274C4">
      <w:pPr>
        <w:pStyle w:val="ListParagraph"/>
        <w:numPr>
          <w:ilvl w:val="0"/>
          <w:numId w:val="32"/>
        </w:numPr>
        <w:jc w:val="both"/>
        <w:rPr>
          <w:rFonts w:ascii="Arial" w:hAnsi="Arial" w:cs="Arial"/>
          <w:sz w:val="22"/>
          <w:szCs w:val="22"/>
          <w:lang w:val="en-GB"/>
        </w:rPr>
      </w:pPr>
      <w:r w:rsidRPr="00DB4DCD">
        <w:rPr>
          <w:rFonts w:ascii="Arial" w:hAnsi="Arial" w:cs="Arial"/>
          <w:sz w:val="22"/>
          <w:szCs w:val="22"/>
          <w:lang w:val="en-GB"/>
        </w:rPr>
        <w:t xml:space="preserve">To the benefit of </w:t>
      </w:r>
      <w:r w:rsidR="00DB4DCD">
        <w:rPr>
          <w:rFonts w:ascii="Arial" w:hAnsi="Arial" w:cs="Arial"/>
          <w:sz w:val="22"/>
          <w:szCs w:val="22"/>
          <w:lang w:val="en-GB"/>
        </w:rPr>
        <w:t xml:space="preserve">a </w:t>
      </w:r>
      <w:r w:rsidRPr="00DB4DCD">
        <w:rPr>
          <w:rFonts w:ascii="Arial" w:hAnsi="Arial" w:cs="Arial"/>
          <w:sz w:val="22"/>
          <w:szCs w:val="22"/>
          <w:lang w:val="en-GB"/>
        </w:rPr>
        <w:t>creditor;</w:t>
      </w:r>
    </w:p>
    <w:p w14:paraId="12AC9738" w14:textId="3FCD2D04" w:rsidR="001D53BF" w:rsidRPr="00DB4DCD" w:rsidRDefault="001D53BF" w:rsidP="00E274C4">
      <w:pPr>
        <w:pStyle w:val="ListParagraph"/>
        <w:numPr>
          <w:ilvl w:val="0"/>
          <w:numId w:val="32"/>
        </w:numPr>
        <w:jc w:val="both"/>
        <w:rPr>
          <w:rFonts w:ascii="Arial" w:hAnsi="Arial" w:cs="Arial"/>
          <w:sz w:val="22"/>
          <w:szCs w:val="22"/>
          <w:lang w:val="en-GB"/>
        </w:rPr>
      </w:pPr>
      <w:r w:rsidRPr="00DB4DCD">
        <w:rPr>
          <w:rFonts w:ascii="Arial" w:hAnsi="Arial" w:cs="Arial"/>
          <w:sz w:val="22"/>
          <w:szCs w:val="22"/>
          <w:lang w:val="en-GB"/>
        </w:rPr>
        <w:t>Payment must be for an existing debt;</w:t>
      </w:r>
    </w:p>
    <w:p w14:paraId="3D44CE77" w14:textId="16698CF9" w:rsidR="001D53BF" w:rsidRPr="00DB4DCD" w:rsidRDefault="001D53BF" w:rsidP="00E274C4">
      <w:pPr>
        <w:pStyle w:val="ListParagraph"/>
        <w:numPr>
          <w:ilvl w:val="0"/>
          <w:numId w:val="32"/>
        </w:numPr>
        <w:jc w:val="both"/>
        <w:rPr>
          <w:rFonts w:ascii="Arial" w:hAnsi="Arial" w:cs="Arial"/>
          <w:sz w:val="22"/>
          <w:szCs w:val="22"/>
          <w:lang w:val="en-GB"/>
        </w:rPr>
      </w:pPr>
      <w:r w:rsidRPr="00DB4DCD">
        <w:rPr>
          <w:rFonts w:ascii="Arial" w:hAnsi="Arial" w:cs="Arial"/>
          <w:sz w:val="22"/>
          <w:szCs w:val="22"/>
          <w:lang w:val="en-GB"/>
        </w:rPr>
        <w:t>Payment made when debtor was insolvent (rebuttable presumption of insolvency 90 days before filing of petition);</w:t>
      </w:r>
    </w:p>
    <w:p w14:paraId="6A51FA9B" w14:textId="13555FA7" w:rsidR="001D53BF" w:rsidRPr="00DB4DCD" w:rsidRDefault="001D53BF" w:rsidP="00E274C4">
      <w:pPr>
        <w:pStyle w:val="ListParagraph"/>
        <w:numPr>
          <w:ilvl w:val="0"/>
          <w:numId w:val="32"/>
        </w:numPr>
        <w:jc w:val="both"/>
        <w:rPr>
          <w:rFonts w:ascii="Arial" w:hAnsi="Arial" w:cs="Arial"/>
          <w:sz w:val="22"/>
          <w:szCs w:val="22"/>
          <w:lang w:val="en-GB"/>
        </w:rPr>
      </w:pPr>
      <w:r w:rsidRPr="00DB4DCD">
        <w:rPr>
          <w:rFonts w:ascii="Arial" w:hAnsi="Arial" w:cs="Arial"/>
          <w:sz w:val="22"/>
          <w:szCs w:val="22"/>
          <w:lang w:val="en-GB"/>
        </w:rPr>
        <w:t>Transfer made during 'suspect period' being 90 days in ordinary course and 1 year in respect of transactions with connected parties; and</w:t>
      </w:r>
    </w:p>
    <w:p w14:paraId="14543D3D" w14:textId="4E9EF19F" w:rsidR="001D53BF" w:rsidRPr="00E274C4" w:rsidRDefault="001D53BF" w:rsidP="00E274C4">
      <w:pPr>
        <w:pStyle w:val="ListParagraph"/>
        <w:numPr>
          <w:ilvl w:val="0"/>
          <w:numId w:val="32"/>
        </w:numPr>
        <w:jc w:val="both"/>
        <w:rPr>
          <w:rFonts w:ascii="Avenir Next" w:hAnsi="Avenir Next" w:cs="Arial"/>
          <w:color w:val="7B7B7B" w:themeColor="accent3" w:themeShade="BF"/>
          <w:sz w:val="22"/>
          <w:szCs w:val="22"/>
          <w:lang w:val="en-GB"/>
        </w:rPr>
      </w:pPr>
      <w:r w:rsidRPr="00DB4DCD">
        <w:rPr>
          <w:rFonts w:ascii="Arial" w:hAnsi="Arial" w:cs="Arial"/>
          <w:sz w:val="22"/>
          <w:szCs w:val="22"/>
          <w:lang w:val="en-GB"/>
        </w:rPr>
        <w:t>Results in recipient creditor being better off than would otherwise be in chapter 7 liquidation</w:t>
      </w:r>
      <w:r>
        <w:rPr>
          <w:rFonts w:ascii="Avenir Next" w:hAnsi="Avenir Next" w:cs="Arial"/>
          <w:color w:val="7B7B7B" w:themeColor="accent3" w:themeShade="BF"/>
          <w:sz w:val="22"/>
          <w:szCs w:val="22"/>
          <w:lang w:val="en-GB"/>
        </w:rPr>
        <w:t>.</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2D42908E" w14:textId="1087931C" w:rsidR="00877F7C" w:rsidRPr="00AF4A40" w:rsidRDefault="00BD67D5" w:rsidP="00BD67D5">
      <w:pPr>
        <w:jc w:val="both"/>
        <w:rPr>
          <w:rFonts w:ascii="Arial" w:hAnsi="Arial" w:cs="Arial"/>
          <w:sz w:val="22"/>
          <w:szCs w:val="22"/>
          <w:lang w:val="en-GB"/>
        </w:rPr>
      </w:pPr>
      <w:r w:rsidRPr="00AF4A40">
        <w:rPr>
          <w:rFonts w:ascii="Arial" w:hAnsi="Arial" w:cs="Arial"/>
          <w:sz w:val="22"/>
          <w:szCs w:val="22"/>
          <w:lang w:val="en-GB"/>
        </w:rPr>
        <w:t xml:space="preserve">As bankruptcy courts derive from a standalone federal statute (1978 Bankruptcy Code) and not Article III of the US Constitution, the US Supreme Court has found they cannot make final orders in many cases given they are unable to invoke the jurisdiction granted under Article III.  </w:t>
      </w:r>
      <w:r w:rsidR="00384A83" w:rsidRPr="00AF4A40">
        <w:rPr>
          <w:rFonts w:ascii="Arial" w:hAnsi="Arial" w:cs="Arial"/>
          <w:sz w:val="22"/>
          <w:szCs w:val="22"/>
          <w:lang w:val="en-GB"/>
        </w:rPr>
        <w:t xml:space="preserve">To overcome this, </w:t>
      </w:r>
      <w:r w:rsidRPr="00AF4A40">
        <w:rPr>
          <w:rFonts w:ascii="Arial" w:hAnsi="Arial" w:cs="Arial"/>
          <w:sz w:val="22"/>
          <w:szCs w:val="22"/>
          <w:lang w:val="en-GB"/>
        </w:rPr>
        <w:t>28 USC section 157</w:t>
      </w:r>
      <w:r w:rsidR="00384A83" w:rsidRPr="00AF4A40">
        <w:rPr>
          <w:rFonts w:ascii="Arial" w:hAnsi="Arial" w:cs="Arial"/>
          <w:sz w:val="22"/>
          <w:szCs w:val="22"/>
          <w:lang w:val="en-GB"/>
        </w:rPr>
        <w:t xml:space="preserve"> introduced the concept of 'core' and 'non-core' matters with bankruptcy judges only permitted to determine 'core' proceedings which are those that relate directly to the administration of the bankruptcy estate including claims by or against it or regarding estate property, the automatic stay, recognition proceedings etc. </w:t>
      </w:r>
      <w:r w:rsidR="00FF7844" w:rsidRPr="00AF4A40">
        <w:rPr>
          <w:rFonts w:ascii="Arial" w:hAnsi="Arial" w:cs="Arial"/>
          <w:sz w:val="22"/>
          <w:szCs w:val="22"/>
          <w:lang w:val="en-GB"/>
        </w:rPr>
        <w:t xml:space="preserve"> However, the Supreme Court decision in </w:t>
      </w:r>
      <w:r w:rsidR="00384A83" w:rsidRPr="00AF4A40">
        <w:rPr>
          <w:rFonts w:ascii="Arial" w:hAnsi="Arial" w:cs="Arial"/>
          <w:sz w:val="22"/>
          <w:szCs w:val="22"/>
          <w:lang w:val="en-GB"/>
        </w:rPr>
        <w:t xml:space="preserve"> </w:t>
      </w:r>
      <w:r w:rsidR="007C1D2D" w:rsidRPr="00AF4A40">
        <w:rPr>
          <w:rFonts w:ascii="Arial" w:hAnsi="Arial" w:cs="Arial"/>
          <w:sz w:val="22"/>
          <w:szCs w:val="22"/>
          <w:lang w:val="en-GB"/>
        </w:rPr>
        <w:t>Stern -v- Marshall called in</w:t>
      </w:r>
      <w:r w:rsidR="00877F7C" w:rsidRPr="00AF4A40">
        <w:rPr>
          <w:rFonts w:ascii="Arial" w:hAnsi="Arial" w:cs="Arial"/>
          <w:sz w:val="22"/>
          <w:szCs w:val="22"/>
          <w:lang w:val="en-GB"/>
        </w:rPr>
        <w:t xml:space="preserve">to </w:t>
      </w:r>
      <w:r w:rsidR="007C1D2D" w:rsidRPr="00AF4A40">
        <w:rPr>
          <w:rFonts w:ascii="Arial" w:hAnsi="Arial" w:cs="Arial"/>
          <w:sz w:val="22"/>
          <w:szCs w:val="22"/>
          <w:lang w:val="en-GB"/>
        </w:rPr>
        <w:t xml:space="preserve">question </w:t>
      </w:r>
      <w:r w:rsidR="00884D77" w:rsidRPr="00AF4A40">
        <w:rPr>
          <w:rFonts w:ascii="Arial" w:hAnsi="Arial" w:cs="Arial"/>
          <w:sz w:val="22"/>
          <w:szCs w:val="22"/>
          <w:lang w:val="en-GB"/>
        </w:rPr>
        <w:t>whether</w:t>
      </w:r>
      <w:r w:rsidR="007C1D2D" w:rsidRPr="00AF4A40">
        <w:rPr>
          <w:rFonts w:ascii="Arial" w:hAnsi="Arial" w:cs="Arial"/>
          <w:sz w:val="22"/>
          <w:szCs w:val="22"/>
          <w:lang w:val="en-GB"/>
        </w:rPr>
        <w:t xml:space="preserve"> bankruptcy judges can issue final orders even in 'core' </w:t>
      </w:r>
      <w:r w:rsidR="00884D77" w:rsidRPr="00AF4A40">
        <w:rPr>
          <w:rFonts w:ascii="Arial" w:hAnsi="Arial" w:cs="Arial"/>
          <w:sz w:val="22"/>
          <w:szCs w:val="22"/>
          <w:lang w:val="en-GB"/>
        </w:rPr>
        <w:t>proceedings</w:t>
      </w:r>
      <w:r w:rsidR="00746231" w:rsidRPr="00AF4A40">
        <w:rPr>
          <w:rFonts w:ascii="Arial" w:hAnsi="Arial" w:cs="Arial"/>
          <w:sz w:val="22"/>
          <w:szCs w:val="22"/>
          <w:lang w:val="en-GB"/>
        </w:rPr>
        <w:t xml:space="preserve"> and now the situation is similar to 'non-core' proceedings whereby the</w:t>
      </w:r>
      <w:r w:rsidR="00877F7C" w:rsidRPr="00AF4A40">
        <w:rPr>
          <w:rFonts w:ascii="Arial" w:hAnsi="Arial" w:cs="Arial"/>
          <w:sz w:val="22"/>
          <w:szCs w:val="22"/>
          <w:lang w:val="en-GB"/>
        </w:rPr>
        <w:t>y</w:t>
      </w:r>
      <w:r w:rsidR="00746231" w:rsidRPr="00AF4A40">
        <w:rPr>
          <w:rFonts w:ascii="Arial" w:hAnsi="Arial" w:cs="Arial"/>
          <w:sz w:val="22"/>
          <w:szCs w:val="22"/>
          <w:lang w:val="en-GB"/>
        </w:rPr>
        <w:t xml:space="preserve"> can issue a recommendation for review by the District Court judge to implement or, </w:t>
      </w:r>
      <w:r w:rsidR="00877F7C" w:rsidRPr="00AF4A40">
        <w:rPr>
          <w:rFonts w:ascii="Arial" w:hAnsi="Arial" w:cs="Arial"/>
          <w:sz w:val="22"/>
          <w:szCs w:val="22"/>
          <w:lang w:val="en-GB"/>
        </w:rPr>
        <w:t>pursuant to the Bankruptcy Rules, the parties can proactively consent to the entry of final orders by the bankruptcy judge.</w:t>
      </w:r>
    </w:p>
    <w:p w14:paraId="3C234D66" w14:textId="315D0CAF" w:rsidR="00877F7C" w:rsidRPr="00AF4A40" w:rsidRDefault="00877F7C" w:rsidP="00BD67D5">
      <w:pPr>
        <w:jc w:val="both"/>
        <w:rPr>
          <w:rFonts w:ascii="Arial" w:hAnsi="Arial" w:cs="Arial"/>
          <w:sz w:val="22"/>
          <w:szCs w:val="22"/>
          <w:lang w:val="en-GB"/>
        </w:rPr>
      </w:pPr>
    </w:p>
    <w:p w14:paraId="59BC6C1D" w14:textId="5BF0AE9E" w:rsidR="00877F7C" w:rsidRPr="00AF4A40" w:rsidRDefault="00877F7C" w:rsidP="00BD67D5">
      <w:pPr>
        <w:jc w:val="both"/>
        <w:rPr>
          <w:rFonts w:ascii="Arial" w:hAnsi="Arial" w:cs="Arial"/>
          <w:sz w:val="22"/>
          <w:szCs w:val="22"/>
          <w:lang w:val="en-GB"/>
        </w:rPr>
      </w:pPr>
      <w:r w:rsidRPr="00AF4A40">
        <w:rPr>
          <w:rFonts w:ascii="Arial" w:hAnsi="Arial" w:cs="Arial"/>
          <w:sz w:val="22"/>
          <w:szCs w:val="22"/>
          <w:lang w:val="en-GB"/>
        </w:rPr>
        <w:t xml:space="preserve">As regards appeals, final orders can be appealed as of right but leave from the appellate court is required for interlocutory orders.  However, the US </w:t>
      </w:r>
      <w:r w:rsidR="00AF4A40" w:rsidRPr="00AF4A40">
        <w:rPr>
          <w:rFonts w:ascii="Arial" w:hAnsi="Arial" w:cs="Arial"/>
          <w:sz w:val="22"/>
          <w:szCs w:val="22"/>
          <w:lang w:val="en-GB"/>
        </w:rPr>
        <w:t>Supreme</w:t>
      </w:r>
      <w:r w:rsidRPr="00AF4A40">
        <w:rPr>
          <w:rFonts w:ascii="Arial" w:hAnsi="Arial" w:cs="Arial"/>
          <w:sz w:val="22"/>
          <w:szCs w:val="22"/>
          <w:lang w:val="en-GB"/>
        </w:rPr>
        <w:t xml:space="preserve"> Court has </w:t>
      </w:r>
      <w:proofErr w:type="spellStart"/>
      <w:r w:rsidR="00AF4A40" w:rsidRPr="00AF4A40">
        <w:rPr>
          <w:rFonts w:ascii="Arial" w:hAnsi="Arial" w:cs="Arial"/>
          <w:sz w:val="22"/>
          <w:szCs w:val="22"/>
          <w:lang w:val="en-GB"/>
        </w:rPr>
        <w:t>recongnised</w:t>
      </w:r>
      <w:proofErr w:type="spellEnd"/>
      <w:r w:rsidR="00AF4A40" w:rsidRPr="00AF4A40">
        <w:rPr>
          <w:rFonts w:ascii="Arial" w:hAnsi="Arial" w:cs="Arial"/>
          <w:sz w:val="22"/>
          <w:szCs w:val="22"/>
          <w:lang w:val="en-GB"/>
        </w:rPr>
        <w:t xml:space="preserve"> that bankruptcy court orders which not are not necessarily final but resolve a discreet issue can be </w:t>
      </w:r>
      <w:r w:rsidR="00AF4A40" w:rsidRPr="00AF4A40">
        <w:rPr>
          <w:rFonts w:ascii="Arial" w:hAnsi="Arial" w:cs="Arial"/>
          <w:sz w:val="22"/>
          <w:szCs w:val="22"/>
          <w:lang w:val="en-GB"/>
        </w:rPr>
        <w:lastRenderedPageBreak/>
        <w:t>treated as final purpose of an appeal.  Appeals form bankruptcy court decisions are heard by district court in the relevant district unless there is Bankruptcy Appellate Panel established in that circuit (although parties have an option to request the district court hear the appeal instead of the Bankruptcy Appellate Panel.</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673EE0" w:rsidRDefault="00F84270" w:rsidP="000778B1">
      <w:pPr>
        <w:pStyle w:val="AODocTxt"/>
        <w:spacing w:before="0" w:line="240" w:lineRule="auto"/>
        <w:rPr>
          <w:rFonts w:ascii="Arial" w:hAnsi="Arial" w:cs="Arial"/>
        </w:rPr>
      </w:pPr>
    </w:p>
    <w:p w14:paraId="3176A3F4" w14:textId="062C2BAB" w:rsidR="00E01803" w:rsidRPr="00673EE0" w:rsidRDefault="00502405" w:rsidP="00D70F7E">
      <w:pPr>
        <w:jc w:val="both"/>
        <w:rPr>
          <w:rFonts w:ascii="Arial" w:hAnsi="Arial" w:cs="Arial"/>
        </w:rPr>
      </w:pPr>
      <w:bookmarkStart w:id="1" w:name="_Hlk128395328"/>
      <w:r w:rsidRPr="00673EE0">
        <w:rPr>
          <w:rFonts w:ascii="Arial" w:hAnsi="Arial" w:cs="Arial"/>
          <w:sz w:val="22"/>
          <w:szCs w:val="22"/>
          <w:lang w:val="en-GB"/>
        </w:rPr>
        <w:t xml:space="preserve">An </w:t>
      </w:r>
      <w:r w:rsidR="00D70F7E" w:rsidRPr="00673EE0">
        <w:rPr>
          <w:rFonts w:ascii="Arial" w:hAnsi="Arial" w:cs="Arial"/>
          <w:sz w:val="22"/>
          <w:szCs w:val="22"/>
          <w:lang w:val="en-GB"/>
        </w:rPr>
        <w:t>automatic</w:t>
      </w:r>
      <w:r w:rsidRPr="00673EE0">
        <w:rPr>
          <w:rFonts w:ascii="Arial" w:hAnsi="Arial" w:cs="Arial"/>
          <w:sz w:val="22"/>
          <w:szCs w:val="22"/>
          <w:lang w:val="en-GB"/>
        </w:rPr>
        <w:t xml:space="preserve"> stay will be granted only upon the </w:t>
      </w:r>
      <w:r w:rsidR="00D70F7E" w:rsidRPr="00673EE0">
        <w:rPr>
          <w:rFonts w:ascii="Arial" w:hAnsi="Arial" w:cs="Arial"/>
          <w:sz w:val="22"/>
          <w:szCs w:val="22"/>
          <w:lang w:val="en-GB"/>
        </w:rPr>
        <w:t>petition for recognition</w:t>
      </w:r>
      <w:r w:rsidR="00DA4914" w:rsidRPr="00673EE0">
        <w:rPr>
          <w:rFonts w:ascii="Arial" w:hAnsi="Arial" w:cs="Arial"/>
          <w:sz w:val="22"/>
          <w:szCs w:val="22"/>
          <w:lang w:val="en-GB"/>
        </w:rPr>
        <w:t xml:space="preserve"> of foreign main proceeding</w:t>
      </w:r>
      <w:r w:rsidR="00D70F7E" w:rsidRPr="00673EE0">
        <w:rPr>
          <w:rFonts w:ascii="Arial" w:hAnsi="Arial" w:cs="Arial"/>
          <w:sz w:val="22"/>
          <w:szCs w:val="22"/>
          <w:lang w:val="en-GB"/>
        </w:rPr>
        <w:t xml:space="preserve"> being granted</w:t>
      </w:r>
      <w:r w:rsidRPr="00673EE0">
        <w:rPr>
          <w:rFonts w:ascii="Arial" w:hAnsi="Arial" w:cs="Arial"/>
          <w:sz w:val="22"/>
          <w:szCs w:val="22"/>
          <w:lang w:val="en-GB"/>
        </w:rPr>
        <w:t xml:space="preserve"> </w:t>
      </w:r>
      <w:r w:rsidR="00D70F7E" w:rsidRPr="00673EE0">
        <w:rPr>
          <w:rFonts w:ascii="Arial" w:hAnsi="Arial" w:cs="Arial"/>
          <w:sz w:val="22"/>
          <w:szCs w:val="22"/>
          <w:lang w:val="en-GB"/>
        </w:rPr>
        <w:t xml:space="preserve">(not on the filing the petition) and will be limited to the property of the debtor within the USA.  Other provision of the Bankruptcy Code which will apply to debtor's property within the USA after recognition are that their US business </w:t>
      </w:r>
      <w:bookmarkEnd w:id="1"/>
      <w:r w:rsidR="00D70F7E" w:rsidRPr="00673EE0">
        <w:rPr>
          <w:rFonts w:ascii="Arial" w:hAnsi="Arial" w:cs="Arial"/>
          <w:sz w:val="22"/>
          <w:szCs w:val="22"/>
          <w:lang w:val="en-GB"/>
        </w:rPr>
        <w:t>can be operated by the foreign representative, the foreign representative can</w:t>
      </w:r>
      <w:r w:rsidR="00DA4914" w:rsidRPr="00673EE0">
        <w:rPr>
          <w:rFonts w:ascii="Arial" w:hAnsi="Arial" w:cs="Arial"/>
          <w:sz w:val="22"/>
          <w:szCs w:val="22"/>
          <w:lang w:val="en-GB"/>
        </w:rPr>
        <w:t xml:space="preserve"> oversee the sale or transfer of property which is outside of the ordinary course and can seek to avoid post-petition transfers or granting oof security.  These provisions will apply on a discretionary basis upon the recognition of a foreign non-main proceeding.  In addition, under 11 USC, section 1521 the following relief can be granted on a discretionary basis upon recognition of either a foreign main or non-main proceeding: </w:t>
      </w:r>
      <w:r w:rsidR="00673EE0" w:rsidRPr="00673EE0">
        <w:rPr>
          <w:rFonts w:ascii="Arial" w:hAnsi="Arial" w:cs="Arial"/>
          <w:sz w:val="22"/>
          <w:szCs w:val="22"/>
          <w:lang w:val="en-GB"/>
        </w:rPr>
        <w:t>discovery over the debtor's affairs, the appointing the foreign representative (or someone else) to administer the debtor's US assets, extending any provisional relief or any other relief necessary to protect the assets of the debtor and the interests of the creditor.</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4A45014C" w:rsidR="00E41578" w:rsidRPr="00B9285A" w:rsidRDefault="00BC6A64" w:rsidP="00BC6A64">
      <w:pPr>
        <w:jc w:val="both"/>
        <w:rPr>
          <w:rFonts w:ascii="Arial" w:hAnsi="Arial" w:cs="Arial"/>
          <w:sz w:val="22"/>
          <w:szCs w:val="22"/>
          <w:lang w:val="en-GB"/>
        </w:rPr>
      </w:pPr>
      <w:r w:rsidRPr="00B9285A">
        <w:rPr>
          <w:rFonts w:ascii="Arial" w:hAnsi="Arial" w:cs="Arial"/>
          <w:sz w:val="22"/>
          <w:szCs w:val="22"/>
          <w:lang w:val="en-GB"/>
        </w:rPr>
        <w:t xml:space="preserve">In the ordinary course of business, Delaware directors owe a fiduciary duty of loyalty to act in the corporation’s best interest as well as a duty of care to make educated, well-informed decisions.  However, they are protected from liability for errors of judgment by the business judgment rule which assumes that directors act in good faith and on the basis of reasonable information.  This presumption is rebuttable but only it can be </w:t>
      </w:r>
      <w:r w:rsidR="00C11350" w:rsidRPr="00B9285A">
        <w:rPr>
          <w:rFonts w:ascii="Arial" w:hAnsi="Arial" w:cs="Arial"/>
          <w:sz w:val="22"/>
          <w:szCs w:val="22"/>
          <w:lang w:val="en-GB"/>
        </w:rPr>
        <w:t>p</w:t>
      </w:r>
      <w:r w:rsidRPr="00B9285A">
        <w:rPr>
          <w:rFonts w:ascii="Arial" w:hAnsi="Arial" w:cs="Arial"/>
          <w:sz w:val="22"/>
          <w:szCs w:val="22"/>
          <w:lang w:val="en-GB"/>
        </w:rPr>
        <w:t>roven</w:t>
      </w:r>
      <w:r w:rsidR="00C11350" w:rsidRPr="00B9285A">
        <w:rPr>
          <w:rFonts w:ascii="Arial" w:hAnsi="Arial" w:cs="Arial"/>
          <w:sz w:val="22"/>
          <w:szCs w:val="22"/>
          <w:lang w:val="en-GB"/>
        </w:rPr>
        <w:t xml:space="preserve"> a majority of the board were not reasonably informed, did not believe the action was in the company's best interest, or were not acting in good faith.  If the presumption is not rebutted, the directors will only be held liable where it can be proven there was gross negligence. However, the business judgment rule does not apply in conflict situations where there is a lack of independence</w:t>
      </w:r>
      <w:r w:rsidR="009A7970" w:rsidRPr="00B9285A">
        <w:rPr>
          <w:rFonts w:ascii="Arial" w:hAnsi="Arial" w:cs="Arial"/>
          <w:sz w:val="22"/>
          <w:szCs w:val="22"/>
          <w:lang w:val="en-GB"/>
        </w:rPr>
        <w:t xml:space="preserve">.  Such conflict transactions must satisfy the entire fairness standard to be valid.  In addition, the directors in a Delaware corporation owe their duties to the shareholders and not the creditors, even where the corporation is in the 'zone of insolvency'.  This has been endorsed by the Delaware Supreme Court in North Am Catholic Educational Programming Foundation, Inc v </w:t>
      </w:r>
      <w:proofErr w:type="spellStart"/>
      <w:r w:rsidR="009A7970" w:rsidRPr="00B9285A">
        <w:rPr>
          <w:rFonts w:ascii="Arial" w:hAnsi="Arial" w:cs="Arial"/>
          <w:sz w:val="22"/>
          <w:szCs w:val="22"/>
          <w:lang w:val="en-GB"/>
        </w:rPr>
        <w:t>Gheewalla</w:t>
      </w:r>
      <w:proofErr w:type="spellEnd"/>
      <w:r w:rsidR="009A7970" w:rsidRPr="00B9285A">
        <w:rPr>
          <w:rFonts w:ascii="Arial" w:hAnsi="Arial" w:cs="Arial"/>
          <w:sz w:val="22"/>
          <w:szCs w:val="22"/>
          <w:lang w:val="en-GB"/>
        </w:rPr>
        <w:t xml:space="preserve">, </w:t>
      </w:r>
      <w:r w:rsidR="00061555">
        <w:rPr>
          <w:rFonts w:ascii="Arial" w:hAnsi="Arial" w:cs="Arial"/>
          <w:sz w:val="22"/>
          <w:szCs w:val="22"/>
          <w:lang w:val="en-GB"/>
        </w:rPr>
        <w:t>[</w:t>
      </w:r>
      <w:r w:rsidR="009A7970" w:rsidRPr="00B9285A">
        <w:rPr>
          <w:rFonts w:ascii="Arial" w:hAnsi="Arial" w:cs="Arial"/>
          <w:sz w:val="22"/>
          <w:szCs w:val="22"/>
          <w:lang w:val="en-GB"/>
        </w:rPr>
        <w:t>930 A.2d 92, 103 (Del 2007)</w:t>
      </w:r>
      <w:r w:rsidR="00061555">
        <w:rPr>
          <w:rFonts w:ascii="Arial" w:hAnsi="Arial" w:cs="Arial"/>
          <w:sz w:val="22"/>
          <w:szCs w:val="22"/>
          <w:lang w:val="en-GB"/>
        </w:rPr>
        <w:t>]</w:t>
      </w:r>
      <w:r w:rsidR="009A7970" w:rsidRPr="00B9285A">
        <w:rPr>
          <w:rFonts w:ascii="Arial" w:hAnsi="Arial" w:cs="Arial"/>
          <w:sz w:val="22"/>
          <w:szCs w:val="22"/>
          <w:lang w:val="en-GB"/>
        </w:rPr>
        <w:t>.</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EDCEF44" w14:textId="3D2F9B73" w:rsidR="00867CBF" w:rsidRPr="007D64E3" w:rsidRDefault="0085268A" w:rsidP="00F03051">
      <w:pPr>
        <w:jc w:val="both"/>
        <w:rPr>
          <w:rFonts w:ascii="Arial" w:hAnsi="Arial" w:cs="Arial"/>
          <w:sz w:val="22"/>
          <w:szCs w:val="22"/>
          <w:lang w:val="en-GB"/>
        </w:rPr>
      </w:pPr>
      <w:r w:rsidRPr="007D64E3">
        <w:rPr>
          <w:rFonts w:ascii="Arial" w:hAnsi="Arial" w:cs="Arial"/>
          <w:sz w:val="22"/>
          <w:szCs w:val="22"/>
          <w:lang w:val="en-GB"/>
        </w:rPr>
        <w:lastRenderedPageBreak/>
        <w:t xml:space="preserve">In order to qualify as a petitioning creditor </w:t>
      </w:r>
      <w:r w:rsidR="00867CBF" w:rsidRPr="007D64E3">
        <w:rPr>
          <w:rFonts w:ascii="Arial" w:hAnsi="Arial" w:cs="Arial"/>
          <w:sz w:val="22"/>
          <w:szCs w:val="22"/>
          <w:lang w:val="en-GB"/>
        </w:rPr>
        <w:t>and initiate an involuntary proceeding against a debtor under either chapter 7 or chapter 1</w:t>
      </w:r>
      <w:r w:rsidR="006664A6">
        <w:rPr>
          <w:rFonts w:ascii="Arial" w:hAnsi="Arial" w:cs="Arial"/>
          <w:sz w:val="22"/>
          <w:szCs w:val="22"/>
          <w:lang w:val="en-GB"/>
        </w:rPr>
        <w:t>1,</w:t>
      </w:r>
      <w:r w:rsidR="00867CBF" w:rsidRPr="007D64E3">
        <w:rPr>
          <w:rFonts w:ascii="Arial" w:hAnsi="Arial" w:cs="Arial"/>
          <w:sz w:val="22"/>
          <w:szCs w:val="22"/>
          <w:lang w:val="en-GB"/>
        </w:rPr>
        <w:t xml:space="preserve"> </w:t>
      </w:r>
      <w:r w:rsidR="006664A6">
        <w:rPr>
          <w:rFonts w:ascii="Arial" w:hAnsi="Arial" w:cs="Arial"/>
          <w:sz w:val="22"/>
          <w:szCs w:val="22"/>
          <w:lang w:val="en-GB"/>
        </w:rPr>
        <w:t xml:space="preserve">the minimum number of creditors required to bring the proceedings will depend on the </w:t>
      </w:r>
      <w:r w:rsidR="00867CBF" w:rsidRPr="007D64E3">
        <w:rPr>
          <w:rFonts w:ascii="Arial" w:hAnsi="Arial" w:cs="Arial"/>
          <w:sz w:val="22"/>
          <w:szCs w:val="22"/>
          <w:lang w:val="en-GB"/>
        </w:rPr>
        <w:t>amount of creditors</w:t>
      </w:r>
      <w:r w:rsidR="006664A6">
        <w:rPr>
          <w:rFonts w:ascii="Arial" w:hAnsi="Arial" w:cs="Arial"/>
          <w:sz w:val="22"/>
          <w:szCs w:val="22"/>
          <w:lang w:val="en-GB"/>
        </w:rPr>
        <w:t xml:space="preserve"> the Company has</w:t>
      </w:r>
      <w:r w:rsidR="00867CBF" w:rsidRPr="007D64E3">
        <w:rPr>
          <w:rFonts w:ascii="Arial" w:hAnsi="Arial" w:cs="Arial"/>
          <w:sz w:val="22"/>
          <w:szCs w:val="22"/>
          <w:lang w:val="en-GB"/>
        </w:rPr>
        <w:t xml:space="preserve">.  The amount of creditors required is </w:t>
      </w:r>
      <w:r w:rsidR="007D64E3" w:rsidRPr="007D64E3">
        <w:rPr>
          <w:rFonts w:ascii="Arial" w:hAnsi="Arial" w:cs="Arial"/>
          <w:sz w:val="22"/>
          <w:szCs w:val="22"/>
          <w:lang w:val="en-GB"/>
        </w:rPr>
        <w:t>dependent</w:t>
      </w:r>
      <w:r w:rsidR="00867CBF" w:rsidRPr="007D64E3">
        <w:rPr>
          <w:rFonts w:ascii="Arial" w:hAnsi="Arial" w:cs="Arial"/>
          <w:sz w:val="22"/>
          <w:szCs w:val="22"/>
          <w:lang w:val="en-GB"/>
        </w:rPr>
        <w:t xml:space="preserve"> on the amount non-</w:t>
      </w:r>
      <w:r w:rsidR="007D64E3" w:rsidRPr="007D64E3">
        <w:rPr>
          <w:rFonts w:ascii="Arial" w:hAnsi="Arial" w:cs="Arial"/>
          <w:sz w:val="22"/>
          <w:szCs w:val="22"/>
          <w:lang w:val="en-GB"/>
        </w:rPr>
        <w:t>contingent</w:t>
      </w:r>
      <w:r w:rsidR="00867CBF" w:rsidRPr="007D64E3">
        <w:rPr>
          <w:rFonts w:ascii="Arial" w:hAnsi="Arial" w:cs="Arial"/>
          <w:sz w:val="22"/>
          <w:szCs w:val="22"/>
          <w:lang w:val="en-GB"/>
        </w:rPr>
        <w:t xml:space="preserve">, non-insider creditors the debtor has.  If the debtor has fewer than 12 such creditors, only one is required.  If there are more than 12 of these creditors, at least 3 of them must join in filing the petition.  </w:t>
      </w:r>
    </w:p>
    <w:p w14:paraId="280C21FA" w14:textId="77777777" w:rsidR="00867CBF" w:rsidRPr="007D64E3" w:rsidRDefault="00867CBF" w:rsidP="00F03051">
      <w:pPr>
        <w:jc w:val="both"/>
        <w:rPr>
          <w:rFonts w:ascii="Arial" w:hAnsi="Arial" w:cs="Arial"/>
          <w:sz w:val="22"/>
          <w:szCs w:val="22"/>
          <w:lang w:val="en-GB"/>
        </w:rPr>
      </w:pPr>
    </w:p>
    <w:p w14:paraId="30894E24" w14:textId="513A955F" w:rsidR="00F03051" w:rsidRPr="007D64E3" w:rsidRDefault="00867CBF" w:rsidP="00F03051">
      <w:pPr>
        <w:jc w:val="both"/>
        <w:rPr>
          <w:rFonts w:ascii="Arial" w:hAnsi="Arial" w:cs="Arial"/>
          <w:sz w:val="22"/>
          <w:szCs w:val="22"/>
          <w:lang w:val="en-GB"/>
        </w:rPr>
      </w:pPr>
      <w:r w:rsidRPr="007D64E3">
        <w:rPr>
          <w:rFonts w:ascii="Arial" w:hAnsi="Arial" w:cs="Arial"/>
          <w:sz w:val="22"/>
          <w:szCs w:val="22"/>
          <w:lang w:val="en-GB"/>
        </w:rPr>
        <w:t xml:space="preserve">In order to be a qualifying creditor </w:t>
      </w:r>
      <w:r w:rsidR="0085268A" w:rsidRPr="007D64E3">
        <w:rPr>
          <w:rFonts w:ascii="Arial" w:hAnsi="Arial" w:cs="Arial"/>
          <w:sz w:val="22"/>
          <w:szCs w:val="22"/>
          <w:lang w:val="en-GB"/>
        </w:rPr>
        <w:t xml:space="preserve">the claim must be actually owing and non-contingent </w:t>
      </w:r>
      <w:r w:rsidR="008C4C5B" w:rsidRPr="007D64E3">
        <w:rPr>
          <w:rFonts w:ascii="Arial" w:hAnsi="Arial" w:cs="Arial"/>
          <w:sz w:val="22"/>
          <w:szCs w:val="22"/>
          <w:lang w:val="en-GB"/>
        </w:rPr>
        <w:t xml:space="preserve"> - that is an obligation is actually owed which is not</w:t>
      </w:r>
      <w:r w:rsidR="0085268A" w:rsidRPr="007D64E3">
        <w:rPr>
          <w:rFonts w:ascii="Arial" w:hAnsi="Arial" w:cs="Arial"/>
          <w:sz w:val="22"/>
          <w:szCs w:val="22"/>
          <w:lang w:val="en-GB"/>
        </w:rPr>
        <w:t xml:space="preserve"> dependant on some future event</w:t>
      </w:r>
      <w:r w:rsidR="008C4C5B" w:rsidRPr="007D64E3">
        <w:rPr>
          <w:rFonts w:ascii="Arial" w:hAnsi="Arial" w:cs="Arial"/>
          <w:sz w:val="22"/>
          <w:szCs w:val="22"/>
          <w:lang w:val="en-GB"/>
        </w:rPr>
        <w:t xml:space="preserve"> occurring (such as a guarantee which can only be called upon if the primary obligor doesn't repay).   In addition, the debt must not be the subject of a bona fide dispute in respect of either the </w:t>
      </w:r>
      <w:r w:rsidR="0085268A" w:rsidRPr="007D64E3">
        <w:rPr>
          <w:rFonts w:ascii="Arial" w:hAnsi="Arial" w:cs="Arial"/>
          <w:sz w:val="22"/>
          <w:szCs w:val="22"/>
          <w:lang w:val="en-GB"/>
        </w:rPr>
        <w:t xml:space="preserve">liability </w:t>
      </w:r>
      <w:r w:rsidR="008C4C5B" w:rsidRPr="007D64E3">
        <w:rPr>
          <w:rFonts w:ascii="Arial" w:hAnsi="Arial" w:cs="Arial"/>
          <w:sz w:val="22"/>
          <w:szCs w:val="22"/>
          <w:lang w:val="en-GB"/>
        </w:rPr>
        <w:t xml:space="preserve">or the amount of the debt.  The test here is an objective one and for a bona fide dispute there must be an objectively reasonable </w:t>
      </w:r>
      <w:r w:rsidR="0085268A" w:rsidRPr="007D64E3">
        <w:rPr>
          <w:rFonts w:ascii="Arial" w:hAnsi="Arial" w:cs="Arial"/>
          <w:sz w:val="22"/>
          <w:szCs w:val="22"/>
          <w:lang w:val="en-GB"/>
        </w:rPr>
        <w:t xml:space="preserve"> </w:t>
      </w:r>
      <w:r w:rsidR="008C4C5B" w:rsidRPr="007D64E3">
        <w:rPr>
          <w:rFonts w:ascii="Arial" w:hAnsi="Arial" w:cs="Arial"/>
          <w:sz w:val="22"/>
          <w:szCs w:val="22"/>
          <w:lang w:val="en-GB"/>
        </w:rPr>
        <w:t>basis to dispute the debt.</w:t>
      </w:r>
      <w:r w:rsidR="006664A6">
        <w:rPr>
          <w:rFonts w:ascii="Arial" w:hAnsi="Arial" w:cs="Arial"/>
          <w:sz w:val="22"/>
          <w:szCs w:val="22"/>
          <w:lang w:val="en-GB"/>
        </w:rPr>
        <w:t xml:space="preserve">  </w:t>
      </w:r>
      <w:r w:rsidR="008C4C5B" w:rsidRPr="007D64E3">
        <w:rPr>
          <w:rFonts w:ascii="Arial" w:hAnsi="Arial" w:cs="Arial"/>
          <w:sz w:val="22"/>
          <w:szCs w:val="22"/>
          <w:lang w:val="en-GB"/>
        </w:rPr>
        <w:t xml:space="preserve">Finally, the creditor or creditors must be </w:t>
      </w:r>
      <w:r w:rsidR="0085268A" w:rsidRPr="007D64E3">
        <w:rPr>
          <w:rFonts w:ascii="Arial" w:hAnsi="Arial" w:cs="Arial"/>
          <w:sz w:val="22"/>
          <w:szCs w:val="22"/>
          <w:lang w:val="en-GB"/>
        </w:rPr>
        <w:t xml:space="preserve">unsecured or inadequately secured </w:t>
      </w:r>
      <w:r w:rsidR="00B94BEB" w:rsidRPr="007D64E3">
        <w:rPr>
          <w:rFonts w:ascii="Arial" w:hAnsi="Arial" w:cs="Arial"/>
          <w:sz w:val="22"/>
          <w:szCs w:val="22"/>
          <w:lang w:val="en-GB"/>
        </w:rPr>
        <w:t xml:space="preserve">in an amount of at least US$16,750.  This threshold sum is reviewed and increased with inflation periodically.  </w:t>
      </w:r>
      <w:r w:rsidR="006664A6">
        <w:rPr>
          <w:rFonts w:ascii="Arial" w:hAnsi="Arial" w:cs="Arial"/>
          <w:sz w:val="22"/>
          <w:szCs w:val="22"/>
          <w:lang w:val="en-GB"/>
        </w:rPr>
        <w:t xml:space="preserve">If any part of a claim is disputed then it is not possible to use this claim (even if some of it is not disputed) to overcome this threshold amount. </w:t>
      </w:r>
      <w:r w:rsidR="006664A6" w:rsidRPr="007D64E3">
        <w:rPr>
          <w:rFonts w:ascii="Arial" w:hAnsi="Arial" w:cs="Arial"/>
          <w:sz w:val="22"/>
          <w:szCs w:val="22"/>
          <w:lang w:val="en-GB"/>
        </w:rPr>
        <w:t xml:space="preserve">  </w:t>
      </w:r>
      <w:r w:rsidR="00B94BEB" w:rsidRPr="007D64E3">
        <w:rPr>
          <w:rFonts w:ascii="Arial" w:hAnsi="Arial" w:cs="Arial"/>
          <w:sz w:val="22"/>
          <w:szCs w:val="22"/>
          <w:lang w:val="en-GB"/>
        </w:rPr>
        <w:t xml:space="preserve">In order to present an involuntary petition, the petitioning creditor(s) must also be of the belief that the debtor is unable to pay its debts as they become due (unless such debt is the subject of a bona fide dispute) or, </w:t>
      </w:r>
      <w:r w:rsidR="006664A6">
        <w:rPr>
          <w:rFonts w:ascii="Arial" w:hAnsi="Arial" w:cs="Arial"/>
          <w:sz w:val="22"/>
          <w:szCs w:val="22"/>
          <w:lang w:val="en-GB"/>
        </w:rPr>
        <w:t xml:space="preserve">alternatively, </w:t>
      </w:r>
      <w:r w:rsidR="00B94BEB" w:rsidRPr="007D64E3">
        <w:rPr>
          <w:rFonts w:ascii="Arial" w:hAnsi="Arial" w:cs="Arial"/>
          <w:sz w:val="22"/>
          <w:szCs w:val="22"/>
          <w:lang w:val="en-GB"/>
        </w:rPr>
        <w:t xml:space="preserve">within the 120 days prior to the filing of the petition, a trustee, receiver or other agent </w:t>
      </w:r>
      <w:r w:rsidR="007D64E3" w:rsidRPr="007D64E3">
        <w:rPr>
          <w:rFonts w:ascii="Arial" w:hAnsi="Arial" w:cs="Arial"/>
          <w:sz w:val="22"/>
          <w:szCs w:val="22"/>
          <w:lang w:val="en-GB"/>
        </w:rPr>
        <w:t>was appointed to take possession of the majority of the debtor's property.</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4FB8E224" w:rsidR="00F03051" w:rsidRPr="002C4C39" w:rsidRDefault="00161A46" w:rsidP="00FE5B68">
      <w:pPr>
        <w:pStyle w:val="ListParagraph"/>
        <w:numPr>
          <w:ilvl w:val="0"/>
          <w:numId w:val="33"/>
        </w:numPr>
        <w:jc w:val="both"/>
        <w:rPr>
          <w:rFonts w:ascii="Arial" w:hAnsi="Arial" w:cs="Arial"/>
          <w:sz w:val="22"/>
          <w:szCs w:val="22"/>
          <w:lang w:val="en-GB"/>
        </w:rPr>
      </w:pPr>
      <w:r w:rsidRPr="002C4C39">
        <w:rPr>
          <w:rFonts w:ascii="Arial" w:hAnsi="Arial" w:cs="Arial"/>
          <w:sz w:val="22"/>
          <w:szCs w:val="22"/>
          <w:lang w:val="en-GB"/>
        </w:rPr>
        <w:t xml:space="preserve">AS the DOJ investigation </w:t>
      </w:r>
      <w:r w:rsidR="00C837A9" w:rsidRPr="002C4C39">
        <w:rPr>
          <w:rFonts w:ascii="Arial" w:hAnsi="Arial" w:cs="Arial"/>
          <w:sz w:val="22"/>
          <w:szCs w:val="22"/>
          <w:lang w:val="en-GB"/>
        </w:rPr>
        <w:t>is criminal in nature,</w:t>
      </w:r>
      <w:r w:rsidRPr="002C4C39">
        <w:rPr>
          <w:rFonts w:ascii="Arial" w:hAnsi="Arial" w:cs="Arial"/>
          <w:sz w:val="22"/>
          <w:szCs w:val="22"/>
          <w:lang w:val="en-GB"/>
        </w:rPr>
        <w:t xml:space="preserve"> it will not be subject to the automatic stay on the </w:t>
      </w:r>
      <w:r w:rsidR="00C837A9" w:rsidRPr="002C4C39">
        <w:rPr>
          <w:rFonts w:ascii="Arial" w:hAnsi="Arial" w:cs="Arial"/>
          <w:sz w:val="22"/>
          <w:szCs w:val="22"/>
          <w:lang w:val="en-GB"/>
        </w:rPr>
        <w:t>filing of the company's petition</w:t>
      </w:r>
      <w:r w:rsidRPr="002C4C39">
        <w:rPr>
          <w:rFonts w:ascii="Arial" w:hAnsi="Arial" w:cs="Arial"/>
          <w:sz w:val="22"/>
          <w:szCs w:val="22"/>
          <w:lang w:val="en-GB"/>
        </w:rPr>
        <w:t xml:space="preserve">. </w:t>
      </w:r>
      <w:r w:rsidR="00C837A9" w:rsidRPr="002C4C39">
        <w:rPr>
          <w:rFonts w:ascii="Arial" w:hAnsi="Arial" w:cs="Arial"/>
          <w:sz w:val="22"/>
          <w:szCs w:val="22"/>
          <w:lang w:val="en-GB"/>
        </w:rPr>
        <w:t xml:space="preserve"> However, g</w:t>
      </w:r>
      <w:r w:rsidR="00FE5B68" w:rsidRPr="002C4C39">
        <w:rPr>
          <w:rFonts w:ascii="Arial" w:hAnsi="Arial" w:cs="Arial"/>
          <w:sz w:val="22"/>
          <w:szCs w:val="22"/>
          <w:lang w:val="en-GB"/>
        </w:rPr>
        <w:t xml:space="preserve">iven the ongoing and publicly announced investigation, the DOJ </w:t>
      </w:r>
      <w:r w:rsidR="00C837A9" w:rsidRPr="002C4C39">
        <w:rPr>
          <w:rFonts w:ascii="Arial" w:hAnsi="Arial" w:cs="Arial"/>
          <w:sz w:val="22"/>
          <w:szCs w:val="22"/>
          <w:lang w:val="en-GB"/>
        </w:rPr>
        <w:t>may</w:t>
      </w:r>
      <w:r w:rsidR="00FE5B68" w:rsidRPr="002C4C39">
        <w:rPr>
          <w:rFonts w:ascii="Arial" w:hAnsi="Arial" w:cs="Arial"/>
          <w:sz w:val="22"/>
          <w:szCs w:val="22"/>
          <w:lang w:val="en-GB"/>
        </w:rPr>
        <w:t xml:space="preserve"> be uncomfortable with </w:t>
      </w:r>
      <w:r w:rsidR="0000155D" w:rsidRPr="002C4C39">
        <w:rPr>
          <w:rFonts w:ascii="Arial" w:hAnsi="Arial" w:cs="Arial"/>
          <w:sz w:val="22"/>
          <w:szCs w:val="22"/>
          <w:lang w:val="en-GB"/>
        </w:rPr>
        <w:t xml:space="preserve">Speculation Inc undergoing a DIP chapter 11 process under the supervision of their existing management team.  It is </w:t>
      </w:r>
      <w:r w:rsidR="00473302" w:rsidRPr="002C4C39">
        <w:rPr>
          <w:rFonts w:ascii="Arial" w:hAnsi="Arial" w:cs="Arial"/>
          <w:sz w:val="22"/>
          <w:szCs w:val="22"/>
          <w:lang w:val="en-GB"/>
        </w:rPr>
        <w:t>possible</w:t>
      </w:r>
      <w:r w:rsidR="0000155D" w:rsidRPr="002C4C39">
        <w:rPr>
          <w:rFonts w:ascii="Arial" w:hAnsi="Arial" w:cs="Arial"/>
          <w:sz w:val="22"/>
          <w:szCs w:val="22"/>
          <w:lang w:val="en-GB"/>
        </w:rPr>
        <w:t xml:space="preserve"> that the</w:t>
      </w:r>
      <w:r w:rsidR="00473302" w:rsidRPr="002C4C39">
        <w:rPr>
          <w:rFonts w:ascii="Arial" w:hAnsi="Arial" w:cs="Arial"/>
          <w:sz w:val="22"/>
          <w:szCs w:val="22"/>
          <w:lang w:val="en-GB"/>
        </w:rPr>
        <w:t xml:space="preserve"> DOJ</w:t>
      </w:r>
      <w:r w:rsidR="0000155D" w:rsidRPr="002C4C39">
        <w:rPr>
          <w:rFonts w:ascii="Arial" w:hAnsi="Arial" w:cs="Arial"/>
          <w:sz w:val="22"/>
          <w:szCs w:val="22"/>
          <w:lang w:val="en-GB"/>
        </w:rPr>
        <w:t xml:space="preserve"> could liaise with the US Trustee </w:t>
      </w:r>
      <w:r w:rsidR="00473302" w:rsidRPr="002C4C39">
        <w:rPr>
          <w:rFonts w:ascii="Arial" w:hAnsi="Arial" w:cs="Arial"/>
          <w:sz w:val="22"/>
          <w:szCs w:val="22"/>
          <w:lang w:val="en-GB"/>
        </w:rPr>
        <w:t xml:space="preserve">(who are overseen by the DOJ) </w:t>
      </w:r>
      <w:r w:rsidR="0000155D" w:rsidRPr="002C4C39">
        <w:rPr>
          <w:rFonts w:ascii="Arial" w:hAnsi="Arial" w:cs="Arial"/>
          <w:sz w:val="22"/>
          <w:szCs w:val="22"/>
          <w:lang w:val="en-GB"/>
        </w:rPr>
        <w:t xml:space="preserve">in order to </w:t>
      </w:r>
      <w:r w:rsidR="00473302" w:rsidRPr="002C4C39">
        <w:rPr>
          <w:rFonts w:ascii="Arial" w:hAnsi="Arial" w:cs="Arial"/>
          <w:sz w:val="22"/>
          <w:szCs w:val="22"/>
          <w:lang w:val="en-GB"/>
        </w:rPr>
        <w:t xml:space="preserve">have a private trustee appointed to the </w:t>
      </w:r>
      <w:r w:rsidR="00C837A9" w:rsidRPr="002C4C39">
        <w:rPr>
          <w:rFonts w:ascii="Arial" w:hAnsi="Arial" w:cs="Arial"/>
          <w:sz w:val="22"/>
          <w:szCs w:val="22"/>
          <w:lang w:val="en-GB"/>
        </w:rPr>
        <w:t>c</w:t>
      </w:r>
      <w:r w:rsidR="00473302" w:rsidRPr="002C4C39">
        <w:rPr>
          <w:rFonts w:ascii="Arial" w:hAnsi="Arial" w:cs="Arial"/>
          <w:sz w:val="22"/>
          <w:szCs w:val="22"/>
          <w:lang w:val="en-GB"/>
        </w:rPr>
        <w:t>ompany to oversee the process and to ensure that the DOJ maintain oversight.</w:t>
      </w:r>
    </w:p>
    <w:p w14:paraId="15D42DC3" w14:textId="77777777" w:rsidR="00F14D31" w:rsidRPr="002C4C39" w:rsidRDefault="00F14D31" w:rsidP="00F14D31">
      <w:pPr>
        <w:pStyle w:val="ListParagraph"/>
        <w:ind w:left="1080"/>
        <w:jc w:val="both"/>
        <w:rPr>
          <w:rFonts w:ascii="Arial" w:hAnsi="Arial" w:cs="Arial"/>
          <w:sz w:val="22"/>
          <w:szCs w:val="22"/>
          <w:lang w:val="en-GB"/>
        </w:rPr>
      </w:pPr>
    </w:p>
    <w:p w14:paraId="5C4D0454" w14:textId="683D90D0" w:rsidR="00473302" w:rsidRPr="002C4C39" w:rsidRDefault="00F14D31" w:rsidP="00FE5B68">
      <w:pPr>
        <w:pStyle w:val="ListParagraph"/>
        <w:numPr>
          <w:ilvl w:val="0"/>
          <w:numId w:val="33"/>
        </w:numPr>
        <w:jc w:val="both"/>
        <w:rPr>
          <w:rFonts w:ascii="Arial" w:hAnsi="Arial" w:cs="Arial"/>
          <w:sz w:val="22"/>
          <w:szCs w:val="22"/>
          <w:lang w:val="en-GB"/>
        </w:rPr>
      </w:pPr>
      <w:r w:rsidRPr="002C4C39">
        <w:rPr>
          <w:rFonts w:ascii="Arial" w:hAnsi="Arial" w:cs="Arial"/>
          <w:sz w:val="22"/>
          <w:szCs w:val="22"/>
          <w:lang w:val="en-GB"/>
        </w:rPr>
        <w:t>The shares that Speculation Inc purchases are held as collateral by its broker</w:t>
      </w:r>
      <w:r w:rsidR="004113DC" w:rsidRPr="002C4C39">
        <w:rPr>
          <w:rFonts w:ascii="Arial" w:hAnsi="Arial" w:cs="Arial"/>
          <w:sz w:val="22"/>
          <w:szCs w:val="22"/>
          <w:lang w:val="en-GB"/>
        </w:rPr>
        <w:t xml:space="preserve"> who then declares a default and presumably seeks to enforce this collateral</w:t>
      </w:r>
      <w:r w:rsidRPr="002C4C39">
        <w:rPr>
          <w:rFonts w:ascii="Arial" w:hAnsi="Arial" w:cs="Arial"/>
          <w:sz w:val="22"/>
          <w:szCs w:val="22"/>
          <w:lang w:val="en-GB"/>
        </w:rPr>
        <w:t xml:space="preserve">.  </w:t>
      </w:r>
      <w:r w:rsidR="003D4780" w:rsidRPr="002C4C39">
        <w:rPr>
          <w:rFonts w:ascii="Arial" w:hAnsi="Arial" w:cs="Arial"/>
          <w:sz w:val="22"/>
          <w:szCs w:val="22"/>
          <w:lang w:val="en-GB"/>
        </w:rPr>
        <w:t>Were Speculation Inc to enter chapter 11</w:t>
      </w:r>
      <w:r w:rsidR="00F63D10" w:rsidRPr="002C4C39">
        <w:rPr>
          <w:rFonts w:ascii="Arial" w:hAnsi="Arial" w:cs="Arial"/>
          <w:sz w:val="22"/>
          <w:szCs w:val="22"/>
          <w:lang w:val="en-GB"/>
        </w:rPr>
        <w:t>,</w:t>
      </w:r>
      <w:r w:rsidR="003D4780" w:rsidRPr="002C4C39">
        <w:rPr>
          <w:rFonts w:ascii="Arial" w:hAnsi="Arial" w:cs="Arial"/>
          <w:sz w:val="22"/>
          <w:szCs w:val="22"/>
          <w:lang w:val="en-GB"/>
        </w:rPr>
        <w:t xml:space="preserve"> </w:t>
      </w:r>
      <w:r w:rsidR="009A578E" w:rsidRPr="002C4C39">
        <w:rPr>
          <w:rFonts w:ascii="Arial" w:hAnsi="Arial" w:cs="Arial"/>
          <w:sz w:val="22"/>
          <w:szCs w:val="22"/>
          <w:lang w:val="en-GB"/>
        </w:rPr>
        <w:t xml:space="preserve">It initially appears  that as </w:t>
      </w:r>
      <w:r w:rsidR="00F63D10" w:rsidRPr="002C4C39">
        <w:rPr>
          <w:rFonts w:ascii="Arial" w:hAnsi="Arial" w:cs="Arial"/>
          <w:sz w:val="22"/>
          <w:szCs w:val="22"/>
          <w:lang w:val="en-GB"/>
        </w:rPr>
        <w:t xml:space="preserve">an interest in the shares purchased by the debtor </w:t>
      </w:r>
      <w:r w:rsidR="004113DC" w:rsidRPr="002C4C39">
        <w:rPr>
          <w:rFonts w:ascii="Arial" w:hAnsi="Arial" w:cs="Arial"/>
          <w:sz w:val="22"/>
          <w:szCs w:val="22"/>
          <w:lang w:val="en-GB"/>
        </w:rPr>
        <w:t>would be</w:t>
      </w:r>
      <w:r w:rsidR="00F63D10" w:rsidRPr="002C4C39">
        <w:rPr>
          <w:rFonts w:ascii="Arial" w:hAnsi="Arial" w:cs="Arial"/>
          <w:sz w:val="22"/>
          <w:szCs w:val="22"/>
          <w:lang w:val="en-GB"/>
        </w:rPr>
        <w:t xml:space="preserve"> passed to the broker in respect of an antecedent debt (the margin loan presumably having already been made)</w:t>
      </w:r>
      <w:r w:rsidR="003D4780" w:rsidRPr="002C4C39">
        <w:rPr>
          <w:rFonts w:ascii="Arial" w:hAnsi="Arial" w:cs="Arial"/>
          <w:sz w:val="22"/>
          <w:szCs w:val="22"/>
          <w:lang w:val="en-GB"/>
        </w:rPr>
        <w:t>,</w:t>
      </w:r>
      <w:r w:rsidR="00F63D10" w:rsidRPr="002C4C39">
        <w:rPr>
          <w:rFonts w:ascii="Arial" w:hAnsi="Arial" w:cs="Arial"/>
          <w:sz w:val="22"/>
          <w:szCs w:val="22"/>
          <w:lang w:val="en-GB"/>
        </w:rPr>
        <w:t xml:space="preserve"> at a point when the debtor was insolvent </w:t>
      </w:r>
      <w:r w:rsidR="003D4780" w:rsidRPr="002C4C39">
        <w:rPr>
          <w:rFonts w:ascii="Arial" w:hAnsi="Arial" w:cs="Arial"/>
          <w:sz w:val="22"/>
          <w:szCs w:val="22"/>
          <w:lang w:val="en-GB"/>
        </w:rPr>
        <w:t xml:space="preserve">and during the suspect period (being 90 days before the petition), and that the broker </w:t>
      </w:r>
      <w:r w:rsidR="004113DC" w:rsidRPr="002C4C39">
        <w:rPr>
          <w:rFonts w:ascii="Arial" w:hAnsi="Arial" w:cs="Arial"/>
          <w:sz w:val="22"/>
          <w:szCs w:val="22"/>
          <w:lang w:val="en-GB"/>
        </w:rPr>
        <w:t xml:space="preserve">would end up being in a </w:t>
      </w:r>
      <w:r w:rsidR="003D4780" w:rsidRPr="002C4C39">
        <w:rPr>
          <w:rFonts w:ascii="Arial" w:hAnsi="Arial" w:cs="Arial"/>
          <w:sz w:val="22"/>
          <w:szCs w:val="22"/>
          <w:lang w:val="en-GB"/>
        </w:rPr>
        <w:t xml:space="preserve">better </w:t>
      </w:r>
      <w:r w:rsidR="004113DC" w:rsidRPr="002C4C39">
        <w:rPr>
          <w:rFonts w:ascii="Arial" w:hAnsi="Arial" w:cs="Arial"/>
          <w:sz w:val="22"/>
          <w:szCs w:val="22"/>
          <w:lang w:val="en-GB"/>
        </w:rPr>
        <w:t xml:space="preserve">position </w:t>
      </w:r>
      <w:r w:rsidR="003D4780" w:rsidRPr="002C4C39">
        <w:rPr>
          <w:rFonts w:ascii="Arial" w:hAnsi="Arial" w:cs="Arial"/>
          <w:sz w:val="22"/>
          <w:szCs w:val="22"/>
          <w:lang w:val="en-GB"/>
        </w:rPr>
        <w:lastRenderedPageBreak/>
        <w:t>than it would otherwise be in a chapter 7 liquidation</w:t>
      </w:r>
      <w:r w:rsidR="004113DC" w:rsidRPr="002C4C39">
        <w:rPr>
          <w:rFonts w:ascii="Arial" w:hAnsi="Arial" w:cs="Arial"/>
          <w:sz w:val="22"/>
          <w:szCs w:val="22"/>
          <w:lang w:val="en-GB"/>
        </w:rPr>
        <w:t xml:space="preserve">, </w:t>
      </w:r>
      <w:r w:rsidR="009A578E" w:rsidRPr="002C4C39">
        <w:rPr>
          <w:rFonts w:ascii="Arial" w:hAnsi="Arial" w:cs="Arial"/>
          <w:sz w:val="22"/>
          <w:szCs w:val="22"/>
          <w:lang w:val="en-GB"/>
        </w:rPr>
        <w:t>it could constitute a preference and be avoidable .  However, 11 USD sections 546(e)-(g) and (j) provide a safe harbour for securities and commodities contracts which margin payments and so it seems the margin loan default would be not be avoidable following the filing of the petition.</w:t>
      </w:r>
    </w:p>
    <w:p w14:paraId="2CF25D43" w14:textId="77777777" w:rsidR="00CF1E71" w:rsidRPr="002C4C39" w:rsidRDefault="00CF1E71" w:rsidP="00CF1E71">
      <w:pPr>
        <w:pStyle w:val="ListParagraph"/>
        <w:rPr>
          <w:rFonts w:ascii="Arial" w:hAnsi="Arial" w:cs="Arial"/>
          <w:sz w:val="22"/>
          <w:szCs w:val="22"/>
          <w:lang w:val="en-GB"/>
        </w:rPr>
      </w:pPr>
    </w:p>
    <w:p w14:paraId="340E8ADF" w14:textId="4E782AC2" w:rsidR="00CF1E71" w:rsidRPr="002C4C39" w:rsidRDefault="00D94197" w:rsidP="00FE5B68">
      <w:pPr>
        <w:pStyle w:val="ListParagraph"/>
        <w:numPr>
          <w:ilvl w:val="0"/>
          <w:numId w:val="33"/>
        </w:numPr>
        <w:jc w:val="both"/>
        <w:rPr>
          <w:rFonts w:ascii="Arial" w:hAnsi="Arial" w:cs="Arial"/>
          <w:sz w:val="22"/>
          <w:szCs w:val="22"/>
          <w:lang w:val="en-GB"/>
        </w:rPr>
      </w:pPr>
      <w:r w:rsidRPr="002C4C39">
        <w:rPr>
          <w:rFonts w:ascii="Arial" w:hAnsi="Arial" w:cs="Arial"/>
          <w:sz w:val="22"/>
          <w:szCs w:val="22"/>
          <w:lang w:val="en-GB"/>
        </w:rPr>
        <w:t xml:space="preserve">The lease of the company's office space is an executory contract so, in normal circumstances, the debtor must elect whether to </w:t>
      </w:r>
      <w:r w:rsidR="003D73DF" w:rsidRPr="002C4C39">
        <w:rPr>
          <w:rFonts w:ascii="Arial" w:hAnsi="Arial" w:cs="Arial"/>
          <w:sz w:val="22"/>
          <w:szCs w:val="22"/>
          <w:lang w:val="en-GB"/>
        </w:rPr>
        <w:t xml:space="preserve">assume, assign or reject the contract at any point before the a reorganisation in confirmed.  However, 11 USC section 365(d)(4) provides that </w:t>
      </w:r>
      <w:r w:rsidR="005D50DD" w:rsidRPr="002C4C39">
        <w:rPr>
          <w:rFonts w:ascii="Arial" w:hAnsi="Arial" w:cs="Arial"/>
          <w:sz w:val="22"/>
          <w:szCs w:val="22"/>
          <w:lang w:val="en-GB"/>
        </w:rPr>
        <w:t xml:space="preserve">decisions regarding unexpired leases relating to non-residential property must be made within 120 days of the petition being granted (although it can be extended by 120 days with the consent of the lessor).  This means that the trustee or DIP would have to make a decision of whether to reject, assume or to assign the lease within 120 days of the order granting the chapter 11 application. </w:t>
      </w:r>
    </w:p>
    <w:p w14:paraId="5C4C245F" w14:textId="77777777" w:rsidR="005D50DD" w:rsidRPr="002C4C39" w:rsidRDefault="005D50DD" w:rsidP="005D50DD">
      <w:pPr>
        <w:pStyle w:val="ListParagraph"/>
        <w:rPr>
          <w:rFonts w:ascii="Arial" w:hAnsi="Arial" w:cs="Arial"/>
          <w:sz w:val="22"/>
          <w:szCs w:val="22"/>
          <w:lang w:val="en-GB"/>
        </w:rPr>
      </w:pPr>
    </w:p>
    <w:p w14:paraId="730D3236" w14:textId="28D6E3CD" w:rsidR="005D50DD" w:rsidRPr="002C4C39" w:rsidRDefault="00161A46" w:rsidP="00FE5B68">
      <w:pPr>
        <w:pStyle w:val="ListParagraph"/>
        <w:numPr>
          <w:ilvl w:val="0"/>
          <w:numId w:val="33"/>
        </w:numPr>
        <w:jc w:val="both"/>
        <w:rPr>
          <w:rFonts w:ascii="Arial" w:hAnsi="Arial" w:cs="Arial"/>
          <w:sz w:val="22"/>
          <w:szCs w:val="22"/>
          <w:lang w:val="en-GB"/>
        </w:rPr>
      </w:pPr>
      <w:r w:rsidRPr="002C4C39">
        <w:rPr>
          <w:rFonts w:ascii="Arial" w:hAnsi="Arial" w:cs="Arial"/>
          <w:sz w:val="22"/>
          <w:szCs w:val="22"/>
          <w:lang w:val="en-GB"/>
        </w:rPr>
        <w:t xml:space="preserve">As soon as the petition is filed there will be an automatic stay on all proceedings involving the Speculation Inc.  This means that the employment discrimination </w:t>
      </w:r>
      <w:r w:rsidR="00C837A9" w:rsidRPr="002C4C39">
        <w:rPr>
          <w:rFonts w:ascii="Arial" w:hAnsi="Arial" w:cs="Arial"/>
          <w:sz w:val="22"/>
          <w:szCs w:val="22"/>
          <w:lang w:val="en-GB"/>
        </w:rPr>
        <w:t>lawsuit</w:t>
      </w:r>
      <w:r w:rsidRPr="002C4C39">
        <w:rPr>
          <w:rFonts w:ascii="Arial" w:hAnsi="Arial" w:cs="Arial"/>
          <w:sz w:val="22"/>
          <w:szCs w:val="22"/>
          <w:lang w:val="en-GB"/>
        </w:rPr>
        <w:t xml:space="preserve"> will be </w:t>
      </w:r>
      <w:r w:rsidR="00C837A9" w:rsidRPr="002C4C39">
        <w:rPr>
          <w:rFonts w:ascii="Arial" w:hAnsi="Arial" w:cs="Arial"/>
          <w:sz w:val="22"/>
          <w:szCs w:val="22"/>
          <w:lang w:val="en-GB"/>
        </w:rPr>
        <w:t>stayed and, should the employee want to pursue it regardless of the chapter 11 proceedings, it would have to bring a motion.</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392C4C6B" w:rsidR="00F03051" w:rsidRPr="00C80B9D" w:rsidRDefault="002B7C69" w:rsidP="00F03051">
      <w:pPr>
        <w:jc w:val="both"/>
        <w:rPr>
          <w:rFonts w:ascii="Arial" w:hAnsi="Arial" w:cs="Arial"/>
          <w:sz w:val="22"/>
          <w:szCs w:val="22"/>
          <w:lang w:val="en-GB"/>
        </w:rPr>
      </w:pPr>
      <w:r w:rsidRPr="00C80B9D">
        <w:rPr>
          <w:rFonts w:ascii="Arial" w:hAnsi="Arial" w:cs="Arial"/>
          <w:sz w:val="22"/>
          <w:szCs w:val="22"/>
          <w:lang w:val="en-GB"/>
        </w:rPr>
        <w:t xml:space="preserve">Were Stella to enter a scheme of arrangement in the UK, it is likely that said scheme would qualify as a foreign proceeding under chapter 15 as </w:t>
      </w:r>
      <w:r w:rsidR="0065150A" w:rsidRPr="00C80B9D">
        <w:rPr>
          <w:rFonts w:ascii="Arial" w:hAnsi="Arial" w:cs="Arial"/>
          <w:sz w:val="22"/>
          <w:szCs w:val="22"/>
          <w:lang w:val="en-GB"/>
        </w:rPr>
        <w:t xml:space="preserve">the purpose of the scheme is to reorganise the debts of the company and present a </w:t>
      </w:r>
      <w:r w:rsidR="00A6110F" w:rsidRPr="00C80B9D">
        <w:rPr>
          <w:rFonts w:ascii="Arial" w:hAnsi="Arial" w:cs="Arial"/>
          <w:sz w:val="22"/>
          <w:szCs w:val="22"/>
          <w:lang w:val="en-GB"/>
        </w:rPr>
        <w:t xml:space="preserve">restructuring which would </w:t>
      </w:r>
      <w:r w:rsidR="004C574C" w:rsidRPr="00C80B9D">
        <w:rPr>
          <w:rFonts w:ascii="Arial" w:hAnsi="Arial" w:cs="Arial"/>
          <w:sz w:val="22"/>
          <w:szCs w:val="22"/>
          <w:lang w:val="en-GB"/>
        </w:rPr>
        <w:t>enable</w:t>
      </w:r>
      <w:r w:rsidR="00A6110F" w:rsidRPr="00C80B9D">
        <w:rPr>
          <w:rFonts w:ascii="Arial" w:hAnsi="Arial" w:cs="Arial"/>
          <w:sz w:val="22"/>
          <w:szCs w:val="22"/>
          <w:lang w:val="en-GB"/>
        </w:rPr>
        <w:t xml:space="preserve"> the continued survival of the company</w:t>
      </w:r>
      <w:r w:rsidR="004C574C" w:rsidRPr="00C80B9D">
        <w:rPr>
          <w:rFonts w:ascii="Arial" w:hAnsi="Arial" w:cs="Arial"/>
          <w:sz w:val="22"/>
          <w:szCs w:val="22"/>
          <w:lang w:val="en-GB"/>
        </w:rPr>
        <w:t xml:space="preserve">.  As Stella ships products to England and has bank and Eurobond funding which is governed by English law, it also seems clear that the it would be deemed to have an 'establishment' in England under 11 USC section 1502 as it carries out </w:t>
      </w:r>
      <w:r w:rsidR="009F4B8B" w:rsidRPr="00C80B9D">
        <w:rPr>
          <w:rFonts w:ascii="Arial" w:hAnsi="Arial" w:cs="Arial"/>
          <w:sz w:val="22"/>
          <w:szCs w:val="22"/>
          <w:lang w:val="en-GB"/>
        </w:rPr>
        <w:t>'non-transitory economic activity' there.  It therefore appears that the</w:t>
      </w:r>
      <w:r w:rsidRPr="00C80B9D">
        <w:rPr>
          <w:rFonts w:ascii="Arial" w:hAnsi="Arial" w:cs="Arial"/>
          <w:sz w:val="22"/>
          <w:szCs w:val="22"/>
          <w:lang w:val="en-GB"/>
        </w:rPr>
        <w:t xml:space="preserve"> application for recognition would succeed.  However, the </w:t>
      </w:r>
      <w:r w:rsidR="009F4B8B" w:rsidRPr="00C80B9D">
        <w:rPr>
          <w:rFonts w:ascii="Arial" w:hAnsi="Arial" w:cs="Arial"/>
          <w:sz w:val="22"/>
          <w:szCs w:val="22"/>
          <w:lang w:val="en-GB"/>
        </w:rPr>
        <w:t xml:space="preserve">next question is whether the scheme would be recognised as a foreign main or foreign non-main proceeding.  </w:t>
      </w:r>
      <w:r w:rsidR="00DB2E8A" w:rsidRPr="00C80B9D">
        <w:rPr>
          <w:rFonts w:ascii="Arial" w:hAnsi="Arial" w:cs="Arial"/>
          <w:sz w:val="22"/>
          <w:szCs w:val="22"/>
          <w:lang w:val="en-GB"/>
        </w:rPr>
        <w:t xml:space="preserve">We must therefore determine where </w:t>
      </w:r>
      <w:proofErr w:type="spellStart"/>
      <w:r w:rsidR="00DB2E8A" w:rsidRPr="00C80B9D">
        <w:rPr>
          <w:rFonts w:ascii="Arial" w:hAnsi="Arial" w:cs="Arial"/>
          <w:sz w:val="22"/>
          <w:szCs w:val="22"/>
          <w:lang w:val="en-GB"/>
        </w:rPr>
        <w:t>Stalla's</w:t>
      </w:r>
      <w:proofErr w:type="spellEnd"/>
      <w:r w:rsidR="00DB2E8A" w:rsidRPr="00C80B9D">
        <w:rPr>
          <w:rFonts w:ascii="Arial" w:hAnsi="Arial" w:cs="Arial"/>
          <w:sz w:val="22"/>
          <w:szCs w:val="22"/>
          <w:lang w:val="en-GB"/>
        </w:rPr>
        <w:t xml:space="preserve"> COMI</w:t>
      </w:r>
      <w:r w:rsidR="00C80B9D">
        <w:rPr>
          <w:rFonts w:ascii="Arial" w:hAnsi="Arial" w:cs="Arial"/>
          <w:sz w:val="22"/>
          <w:szCs w:val="22"/>
          <w:lang w:val="en-GB"/>
        </w:rPr>
        <w:t xml:space="preserve"> is</w:t>
      </w:r>
      <w:r w:rsidR="00DB2E8A" w:rsidRPr="00C80B9D">
        <w:rPr>
          <w:rFonts w:ascii="Arial" w:hAnsi="Arial" w:cs="Arial"/>
          <w:sz w:val="22"/>
          <w:szCs w:val="22"/>
          <w:lang w:val="en-GB"/>
        </w:rPr>
        <w:t xml:space="preserve">.  Although there is no strict test </w:t>
      </w:r>
      <w:r w:rsidR="00FB0C8E" w:rsidRPr="00C80B9D">
        <w:rPr>
          <w:rFonts w:ascii="Arial" w:hAnsi="Arial" w:cs="Arial"/>
          <w:sz w:val="22"/>
          <w:szCs w:val="22"/>
          <w:lang w:val="en-GB"/>
        </w:rPr>
        <w:t xml:space="preserve">to </w:t>
      </w:r>
      <w:r w:rsidR="00DB2E8A" w:rsidRPr="00C80B9D">
        <w:rPr>
          <w:rFonts w:ascii="Arial" w:hAnsi="Arial" w:cs="Arial"/>
          <w:sz w:val="22"/>
          <w:szCs w:val="22"/>
          <w:lang w:val="en-GB"/>
        </w:rPr>
        <w:t xml:space="preserve">determine </w:t>
      </w:r>
      <w:r w:rsidR="00FB0C8E" w:rsidRPr="00C80B9D">
        <w:rPr>
          <w:rFonts w:ascii="Arial" w:hAnsi="Arial" w:cs="Arial"/>
          <w:sz w:val="22"/>
          <w:szCs w:val="22"/>
          <w:lang w:val="en-GB"/>
        </w:rPr>
        <w:t xml:space="preserve">a debtor's </w:t>
      </w:r>
      <w:r w:rsidR="00DB2E8A" w:rsidRPr="00C80B9D">
        <w:rPr>
          <w:rFonts w:ascii="Arial" w:hAnsi="Arial" w:cs="Arial"/>
          <w:sz w:val="22"/>
          <w:szCs w:val="22"/>
          <w:lang w:val="en-GB"/>
        </w:rPr>
        <w:t>COMI</w:t>
      </w:r>
      <w:r w:rsidR="00FB0C8E" w:rsidRPr="00C80B9D">
        <w:rPr>
          <w:rFonts w:ascii="Arial" w:hAnsi="Arial" w:cs="Arial"/>
          <w:sz w:val="22"/>
          <w:szCs w:val="22"/>
          <w:lang w:val="en-GB"/>
        </w:rPr>
        <w:t xml:space="preserve">, there is a rebuttable presumption under 11 USC section 1516(c) that its COMI will be its place of  incorporation. </w:t>
      </w:r>
      <w:r w:rsidR="00DB2E8A" w:rsidRPr="00C80B9D">
        <w:rPr>
          <w:rFonts w:ascii="Arial" w:hAnsi="Arial" w:cs="Arial"/>
          <w:sz w:val="22"/>
          <w:szCs w:val="22"/>
          <w:lang w:val="en-GB"/>
        </w:rPr>
        <w:t xml:space="preserve"> </w:t>
      </w:r>
      <w:r w:rsidR="00FB0C8E" w:rsidRPr="00C80B9D">
        <w:rPr>
          <w:rFonts w:ascii="Arial" w:hAnsi="Arial" w:cs="Arial"/>
          <w:sz w:val="22"/>
          <w:szCs w:val="22"/>
          <w:lang w:val="en-GB"/>
        </w:rPr>
        <w:t>Other factors which will be taken into account when determining COMI are the location of a debtor's assets and creditors, its headquarters and w</w:t>
      </w:r>
      <w:r w:rsidR="00C80B9D">
        <w:rPr>
          <w:rFonts w:ascii="Arial" w:hAnsi="Arial" w:cs="Arial"/>
          <w:sz w:val="22"/>
          <w:szCs w:val="22"/>
          <w:lang w:val="en-GB"/>
        </w:rPr>
        <w:t>h</w:t>
      </w:r>
      <w:r w:rsidR="00FB0C8E" w:rsidRPr="00C80B9D">
        <w:rPr>
          <w:rFonts w:ascii="Arial" w:hAnsi="Arial" w:cs="Arial"/>
          <w:sz w:val="22"/>
          <w:szCs w:val="22"/>
          <w:lang w:val="en-GB"/>
        </w:rPr>
        <w:t xml:space="preserve">ere its management is carried out.  As Stella is a French incorporated company with its headquarters also in France, there would be </w:t>
      </w:r>
      <w:r w:rsidR="00C80B9D" w:rsidRPr="00C80B9D">
        <w:rPr>
          <w:rFonts w:ascii="Arial" w:hAnsi="Arial" w:cs="Arial"/>
          <w:sz w:val="22"/>
          <w:szCs w:val="22"/>
          <w:lang w:val="en-GB"/>
        </w:rPr>
        <w:t xml:space="preserve">a </w:t>
      </w:r>
      <w:r w:rsidR="00FB0C8E" w:rsidRPr="00C80B9D">
        <w:rPr>
          <w:rFonts w:ascii="Arial" w:hAnsi="Arial" w:cs="Arial"/>
          <w:sz w:val="22"/>
          <w:szCs w:val="22"/>
          <w:lang w:val="en-GB"/>
        </w:rPr>
        <w:t>presumption that its COMI is also France which, in this instance, I do not think would be rebuttable</w:t>
      </w:r>
      <w:r w:rsidR="00C80B9D" w:rsidRPr="00C80B9D">
        <w:rPr>
          <w:rFonts w:ascii="Arial" w:hAnsi="Arial" w:cs="Arial"/>
          <w:sz w:val="22"/>
          <w:szCs w:val="22"/>
          <w:lang w:val="en-GB"/>
        </w:rPr>
        <w:t>.  Accordingly, the English governed scheme would be capable of recognition under chapter 15 but would likely be recognised as a foreign non-main proceeding.</w:t>
      </w:r>
    </w:p>
    <w:p w14:paraId="4700780A" w14:textId="737C7664" w:rsidR="00E01803" w:rsidRDefault="00E01803" w:rsidP="000778B1">
      <w:pPr>
        <w:pStyle w:val="AODocTxt"/>
        <w:spacing w:before="0" w:line="240" w:lineRule="auto"/>
        <w:rPr>
          <w:rFonts w:ascii="Avenir Next" w:hAnsi="Avenir Next"/>
        </w:rPr>
      </w:pPr>
    </w:p>
    <w:p w14:paraId="08D6CC26" w14:textId="33627DFC" w:rsidR="00C80B9D" w:rsidRDefault="00C80B9D" w:rsidP="000778B1">
      <w:pPr>
        <w:pStyle w:val="AODocTxt"/>
        <w:spacing w:before="0" w:line="240" w:lineRule="auto"/>
        <w:rPr>
          <w:rFonts w:ascii="Avenir Next" w:hAnsi="Avenir Next"/>
        </w:rPr>
      </w:pPr>
    </w:p>
    <w:p w14:paraId="6487FE84" w14:textId="77777777" w:rsidR="00C80B9D" w:rsidRDefault="00C80B9D"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lastRenderedPageBreak/>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5C112279" w14:textId="7BD4206F" w:rsidR="00F03051" w:rsidRDefault="00F03051" w:rsidP="00F03051">
      <w:pPr>
        <w:jc w:val="both"/>
        <w:rPr>
          <w:rFonts w:ascii="Avenir Next" w:hAnsi="Avenir Next" w:cs="Arial"/>
          <w:color w:val="7B7B7B" w:themeColor="accent3" w:themeShade="BF"/>
          <w:sz w:val="22"/>
          <w:szCs w:val="22"/>
          <w:lang w:val="en-GB"/>
        </w:rPr>
      </w:pPr>
    </w:p>
    <w:p w14:paraId="13ED4095" w14:textId="2B7785B2" w:rsidR="000D239B" w:rsidRPr="00C80B9D" w:rsidRDefault="000D239B" w:rsidP="00F03051">
      <w:pPr>
        <w:jc w:val="both"/>
        <w:rPr>
          <w:rFonts w:ascii="Arial" w:hAnsi="Arial" w:cs="Arial"/>
          <w:sz w:val="22"/>
          <w:szCs w:val="22"/>
          <w:lang w:val="en-GB"/>
        </w:rPr>
      </w:pPr>
      <w:r w:rsidRPr="00C80B9D">
        <w:rPr>
          <w:rFonts w:ascii="Arial" w:hAnsi="Arial" w:cs="Arial"/>
          <w:sz w:val="22"/>
          <w:szCs w:val="22"/>
          <w:lang w:val="en-GB"/>
        </w:rPr>
        <w:t xml:space="preserve">Although the contract to manufacture </w:t>
      </w:r>
      <w:proofErr w:type="spellStart"/>
      <w:r w:rsidRPr="00C80B9D">
        <w:rPr>
          <w:rFonts w:ascii="Arial" w:hAnsi="Arial" w:cs="Arial"/>
          <w:sz w:val="22"/>
          <w:szCs w:val="22"/>
          <w:lang w:val="en-GB"/>
        </w:rPr>
        <w:t>Xblox</w:t>
      </w:r>
      <w:proofErr w:type="spellEnd"/>
      <w:r w:rsidRPr="00C80B9D">
        <w:rPr>
          <w:rFonts w:ascii="Arial" w:hAnsi="Arial" w:cs="Arial"/>
          <w:sz w:val="22"/>
          <w:szCs w:val="22"/>
          <w:lang w:val="en-GB"/>
        </w:rPr>
        <w:t xml:space="preserve"> is executory as there are ongoing obligations owed by both parties to the contract, 11 USC section 365(c) </w:t>
      </w:r>
      <w:r w:rsidR="008B64A1" w:rsidRPr="00C80B9D">
        <w:rPr>
          <w:rFonts w:ascii="Arial" w:hAnsi="Arial" w:cs="Arial"/>
          <w:sz w:val="22"/>
          <w:szCs w:val="22"/>
          <w:lang w:val="en-GB"/>
        </w:rPr>
        <w:t xml:space="preserve">provides that the counterparty to certain types of contracts cannot be forced to accept performance by a transferee and therefore </w:t>
      </w:r>
      <w:r w:rsidRPr="00C80B9D">
        <w:rPr>
          <w:rFonts w:ascii="Arial" w:hAnsi="Arial" w:cs="Arial"/>
          <w:sz w:val="22"/>
          <w:szCs w:val="22"/>
          <w:lang w:val="en-GB"/>
        </w:rPr>
        <w:t xml:space="preserve">requires the counterparty to certain types of contracts </w:t>
      </w:r>
      <w:r w:rsidR="00AB5DE7" w:rsidRPr="00C80B9D">
        <w:rPr>
          <w:rFonts w:ascii="Arial" w:hAnsi="Arial" w:cs="Arial"/>
          <w:sz w:val="22"/>
          <w:szCs w:val="22"/>
          <w:lang w:val="en-GB"/>
        </w:rPr>
        <w:t xml:space="preserve">to consent to </w:t>
      </w:r>
      <w:r w:rsidR="008B64A1" w:rsidRPr="00C80B9D">
        <w:rPr>
          <w:rFonts w:ascii="Arial" w:hAnsi="Arial" w:cs="Arial"/>
          <w:sz w:val="22"/>
          <w:szCs w:val="22"/>
          <w:lang w:val="en-GB"/>
        </w:rPr>
        <w:t xml:space="preserve">any assignment. It appears that as the contract with </w:t>
      </w:r>
      <w:proofErr w:type="spellStart"/>
      <w:r w:rsidR="008B64A1" w:rsidRPr="00C80B9D">
        <w:rPr>
          <w:rFonts w:ascii="Arial" w:hAnsi="Arial" w:cs="Arial"/>
          <w:sz w:val="22"/>
          <w:szCs w:val="22"/>
          <w:lang w:val="en-GB"/>
        </w:rPr>
        <w:t>ToyCo</w:t>
      </w:r>
      <w:proofErr w:type="spellEnd"/>
      <w:r w:rsidR="008B64A1" w:rsidRPr="00C80B9D">
        <w:rPr>
          <w:rFonts w:ascii="Arial" w:hAnsi="Arial" w:cs="Arial"/>
          <w:sz w:val="22"/>
          <w:szCs w:val="22"/>
          <w:lang w:val="en-GB"/>
        </w:rPr>
        <w:t xml:space="preserve"> covers US patents and the licencing intellectual property, counterparty consent would be required were </w:t>
      </w:r>
      <w:proofErr w:type="spellStart"/>
      <w:r w:rsidR="008B64A1" w:rsidRPr="00C80B9D">
        <w:rPr>
          <w:rFonts w:ascii="Arial" w:hAnsi="Arial" w:cs="Arial"/>
          <w:sz w:val="22"/>
          <w:szCs w:val="22"/>
          <w:lang w:val="en-GB"/>
        </w:rPr>
        <w:t>Game</w:t>
      </w:r>
      <w:r w:rsidR="00684B35" w:rsidRPr="00C80B9D">
        <w:rPr>
          <w:rFonts w:ascii="Arial" w:hAnsi="Arial" w:cs="Arial"/>
          <w:sz w:val="22"/>
          <w:szCs w:val="22"/>
          <w:lang w:val="en-GB"/>
        </w:rPr>
        <w:t>M</w:t>
      </w:r>
      <w:r w:rsidR="008B64A1" w:rsidRPr="00C80B9D">
        <w:rPr>
          <w:rFonts w:ascii="Arial" w:hAnsi="Arial" w:cs="Arial"/>
          <w:sz w:val="22"/>
          <w:szCs w:val="22"/>
          <w:lang w:val="en-GB"/>
        </w:rPr>
        <w:t>art</w:t>
      </w:r>
      <w:proofErr w:type="spellEnd"/>
      <w:r w:rsidR="008B64A1" w:rsidRPr="00C80B9D">
        <w:rPr>
          <w:rFonts w:ascii="Arial" w:hAnsi="Arial" w:cs="Arial"/>
          <w:sz w:val="22"/>
          <w:szCs w:val="22"/>
          <w:lang w:val="en-GB"/>
        </w:rPr>
        <w:t xml:space="preserve"> to assign the contract</w:t>
      </w:r>
      <w:r w:rsidR="00986329" w:rsidRPr="00C80B9D">
        <w:rPr>
          <w:rFonts w:ascii="Arial" w:hAnsi="Arial" w:cs="Arial"/>
          <w:sz w:val="22"/>
          <w:szCs w:val="22"/>
          <w:lang w:val="en-GB"/>
        </w:rPr>
        <w:t>.  However, some circuits, including California (9</w:t>
      </w:r>
      <w:r w:rsidR="00986329" w:rsidRPr="00C80B9D">
        <w:rPr>
          <w:rFonts w:ascii="Arial" w:hAnsi="Arial" w:cs="Arial"/>
          <w:sz w:val="22"/>
          <w:szCs w:val="22"/>
          <w:vertAlign w:val="superscript"/>
          <w:lang w:val="en-GB"/>
        </w:rPr>
        <w:t>th</w:t>
      </w:r>
      <w:r w:rsidR="00986329" w:rsidRPr="00C80B9D">
        <w:rPr>
          <w:rFonts w:ascii="Arial" w:hAnsi="Arial" w:cs="Arial"/>
          <w:sz w:val="22"/>
          <w:szCs w:val="22"/>
          <w:lang w:val="en-GB"/>
        </w:rPr>
        <w:t xml:space="preserve"> Circuit) have also determined that a debtor is not permitted to assume an executory contract it would not otherwise be permitted to assign (applying the hypothetical test).  This would mean that </w:t>
      </w:r>
      <w:proofErr w:type="spellStart"/>
      <w:r w:rsidR="00986329" w:rsidRPr="00C80B9D">
        <w:rPr>
          <w:rFonts w:ascii="Arial" w:hAnsi="Arial" w:cs="Arial"/>
          <w:sz w:val="22"/>
          <w:szCs w:val="22"/>
          <w:lang w:val="en-GB"/>
        </w:rPr>
        <w:t>Game</w:t>
      </w:r>
      <w:r w:rsidR="00684B35" w:rsidRPr="00C80B9D">
        <w:rPr>
          <w:rFonts w:ascii="Arial" w:hAnsi="Arial" w:cs="Arial"/>
          <w:sz w:val="22"/>
          <w:szCs w:val="22"/>
          <w:lang w:val="en-GB"/>
        </w:rPr>
        <w:t>M</w:t>
      </w:r>
      <w:r w:rsidR="00986329" w:rsidRPr="00C80B9D">
        <w:rPr>
          <w:rFonts w:ascii="Arial" w:hAnsi="Arial" w:cs="Arial"/>
          <w:sz w:val="22"/>
          <w:szCs w:val="22"/>
          <w:lang w:val="en-GB"/>
        </w:rPr>
        <w:t>art</w:t>
      </w:r>
      <w:proofErr w:type="spellEnd"/>
      <w:r w:rsidR="00986329" w:rsidRPr="00C80B9D">
        <w:rPr>
          <w:rFonts w:ascii="Arial" w:hAnsi="Arial" w:cs="Arial"/>
          <w:sz w:val="22"/>
          <w:szCs w:val="22"/>
          <w:lang w:val="en-GB"/>
        </w:rPr>
        <w:t xml:space="preserve"> may not be able to assume and continue producing </w:t>
      </w:r>
      <w:proofErr w:type="spellStart"/>
      <w:r w:rsidR="00986329" w:rsidRPr="00C80B9D">
        <w:rPr>
          <w:rFonts w:ascii="Arial" w:hAnsi="Arial" w:cs="Arial"/>
          <w:sz w:val="22"/>
          <w:szCs w:val="22"/>
          <w:lang w:val="en-GB"/>
        </w:rPr>
        <w:t>Xblox</w:t>
      </w:r>
      <w:proofErr w:type="spellEnd"/>
      <w:r w:rsidR="00986329" w:rsidRPr="00C80B9D">
        <w:rPr>
          <w:rFonts w:ascii="Arial" w:hAnsi="Arial" w:cs="Arial"/>
          <w:sz w:val="22"/>
          <w:szCs w:val="22"/>
          <w:lang w:val="en-GB"/>
        </w:rPr>
        <w:t xml:space="preserve"> without Tyco's consent. </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73DC4FB3" w:rsidR="00F03051" w:rsidRPr="00C80B9D" w:rsidRDefault="00684B35" w:rsidP="00F03051">
      <w:pPr>
        <w:jc w:val="both"/>
        <w:rPr>
          <w:rFonts w:ascii="Arial" w:hAnsi="Arial" w:cs="Arial"/>
          <w:sz w:val="22"/>
          <w:szCs w:val="22"/>
          <w:lang w:val="en-GB"/>
        </w:rPr>
      </w:pPr>
      <w:r w:rsidRPr="00C80B9D">
        <w:rPr>
          <w:rFonts w:ascii="Arial" w:hAnsi="Arial" w:cs="Arial"/>
          <w:sz w:val="22"/>
          <w:szCs w:val="22"/>
          <w:lang w:val="en-GB"/>
        </w:rPr>
        <w:t xml:space="preserve">As indicated above, although the </w:t>
      </w:r>
      <w:proofErr w:type="spellStart"/>
      <w:r w:rsidRPr="00C80B9D">
        <w:rPr>
          <w:rFonts w:ascii="Arial" w:hAnsi="Arial" w:cs="Arial"/>
          <w:sz w:val="22"/>
          <w:szCs w:val="22"/>
          <w:lang w:val="en-GB"/>
        </w:rPr>
        <w:t>Xblox</w:t>
      </w:r>
      <w:proofErr w:type="spellEnd"/>
      <w:r w:rsidRPr="00C80B9D">
        <w:rPr>
          <w:rFonts w:ascii="Arial" w:hAnsi="Arial" w:cs="Arial"/>
          <w:sz w:val="22"/>
          <w:szCs w:val="22"/>
          <w:lang w:val="en-GB"/>
        </w:rPr>
        <w:t xml:space="preserve"> licence is an executory contract and would ordinarily be capable of being freely assigned </w:t>
      </w:r>
      <w:r w:rsidR="00D26CDA" w:rsidRPr="00C80B9D">
        <w:rPr>
          <w:rFonts w:ascii="Arial" w:hAnsi="Arial" w:cs="Arial"/>
          <w:sz w:val="22"/>
          <w:szCs w:val="22"/>
          <w:lang w:val="en-GB"/>
        </w:rPr>
        <w:t xml:space="preserve">so that the bankruptcy estate could realise value for the asset, because it concerns intellectual property rights, counterparty consent would be required under 11 USC section 365(c) were </w:t>
      </w:r>
      <w:proofErr w:type="spellStart"/>
      <w:r w:rsidR="00D26CDA" w:rsidRPr="00C80B9D">
        <w:rPr>
          <w:rFonts w:ascii="Arial" w:hAnsi="Arial" w:cs="Arial"/>
          <w:sz w:val="22"/>
          <w:szCs w:val="22"/>
          <w:lang w:val="en-GB"/>
        </w:rPr>
        <w:t>GameMart</w:t>
      </w:r>
      <w:proofErr w:type="spellEnd"/>
      <w:r w:rsidR="00D26CDA" w:rsidRPr="00C80B9D">
        <w:rPr>
          <w:rFonts w:ascii="Arial" w:hAnsi="Arial" w:cs="Arial"/>
          <w:sz w:val="22"/>
          <w:szCs w:val="22"/>
          <w:lang w:val="en-GB"/>
        </w:rPr>
        <w:t xml:space="preserve"> to seek to assign the contract to a transferee by way of a 363 sale. </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046A68B5" w:rsidR="00F03051" w:rsidRPr="00C80B9D" w:rsidRDefault="00D26CDA" w:rsidP="00F03051">
      <w:pPr>
        <w:jc w:val="both"/>
        <w:rPr>
          <w:rFonts w:ascii="Arial" w:hAnsi="Arial" w:cs="Arial"/>
          <w:sz w:val="22"/>
          <w:szCs w:val="22"/>
          <w:lang w:val="en-GB"/>
        </w:rPr>
      </w:pPr>
      <w:r w:rsidRPr="00C80B9D">
        <w:rPr>
          <w:rFonts w:ascii="Arial" w:hAnsi="Arial" w:cs="Arial"/>
          <w:sz w:val="22"/>
          <w:szCs w:val="22"/>
          <w:lang w:val="en-GB"/>
        </w:rPr>
        <w:t xml:space="preserve">Despite the lease with Land Corp prohibiting assignment, </w:t>
      </w:r>
      <w:r w:rsidR="008B1576" w:rsidRPr="00C80B9D">
        <w:rPr>
          <w:rFonts w:ascii="Arial" w:hAnsi="Arial" w:cs="Arial"/>
          <w:sz w:val="22"/>
          <w:szCs w:val="22"/>
          <w:lang w:val="en-GB"/>
        </w:rPr>
        <w:t xml:space="preserve">the lease would be deemed an executory contract allowing the debtor to ordinarily elect whether to assume, assign or reject the contract at any point before the a reorganisation in confirmed.  However, 11 USC section 365(d)(4) provides that decisions regarding unexpired leases relating to non-residential property (which would apply to </w:t>
      </w:r>
      <w:proofErr w:type="spellStart"/>
      <w:r w:rsidR="008B1576" w:rsidRPr="00C80B9D">
        <w:rPr>
          <w:rFonts w:ascii="Arial" w:hAnsi="Arial" w:cs="Arial"/>
          <w:sz w:val="22"/>
          <w:szCs w:val="22"/>
          <w:lang w:val="en-GB"/>
        </w:rPr>
        <w:t>CameMart's</w:t>
      </w:r>
      <w:proofErr w:type="spellEnd"/>
      <w:r w:rsidR="008B1576" w:rsidRPr="00C80B9D">
        <w:rPr>
          <w:rFonts w:ascii="Arial" w:hAnsi="Arial" w:cs="Arial"/>
          <w:sz w:val="22"/>
          <w:szCs w:val="22"/>
          <w:lang w:val="en-GB"/>
        </w:rPr>
        <w:t xml:space="preserve"> lease with Land Corp) must be made within 120 days of the petition being granted (although it can be extended by 120 days with the consent of the lessor).  This means that </w:t>
      </w:r>
      <w:proofErr w:type="spellStart"/>
      <w:r w:rsidR="008B1576" w:rsidRPr="00C80B9D">
        <w:rPr>
          <w:rFonts w:ascii="Arial" w:hAnsi="Arial" w:cs="Arial"/>
          <w:sz w:val="22"/>
          <w:szCs w:val="22"/>
          <w:lang w:val="en-GB"/>
        </w:rPr>
        <w:t>GameMart</w:t>
      </w:r>
      <w:proofErr w:type="spellEnd"/>
      <w:r w:rsidR="008B1576" w:rsidRPr="00C80B9D">
        <w:rPr>
          <w:rFonts w:ascii="Arial" w:hAnsi="Arial" w:cs="Arial"/>
          <w:sz w:val="22"/>
          <w:szCs w:val="22"/>
          <w:lang w:val="en-GB"/>
        </w:rPr>
        <w:t xml:space="preserve"> would have to make a decision on whether to reject, assume or to assign the lease within 120 days of the order granting the chapter 11 application and could choose to assign the lease without Land Corp's consent in spite of the prohibition on assignment in the lease.</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7986FAA2" w:rsidR="00241FA3" w:rsidRPr="00494B81" w:rsidRDefault="00C62539" w:rsidP="009B4976">
    <w:pPr>
      <w:pStyle w:val="Footer"/>
      <w:ind w:right="360"/>
      <w:rPr>
        <w:rFonts w:ascii="Avenir Next" w:hAnsi="Avenir Next" w:cs="Arial"/>
        <w:sz w:val="22"/>
        <w:szCs w:val="22"/>
        <w:lang w:val="en-GB"/>
      </w:rPr>
    </w:pPr>
    <w:r w:rsidRPr="00E23DEA">
      <w:rPr>
        <w:rFonts w:ascii="Avenir Next" w:hAnsi="Avenir Next"/>
        <w:sz w:val="22"/>
        <w:szCs w:val="22"/>
      </w:rPr>
      <w:t>202223-958</w:t>
    </w:r>
    <w:r w:rsidRPr="00B46CE2">
      <w:rPr>
        <w:rFonts w:ascii="Avenir Next" w:hAnsi="Avenir Next"/>
        <w:sz w:val="22"/>
        <w:szCs w:val="22"/>
      </w:rPr>
      <w:t>.</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71436"/>
    <w:multiLevelType w:val="hybridMultilevel"/>
    <w:tmpl w:val="3864DB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3F3EF6"/>
    <w:multiLevelType w:val="hybridMultilevel"/>
    <w:tmpl w:val="A556697E"/>
    <w:lvl w:ilvl="0" w:tplc="91CE18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2241933">
    <w:abstractNumId w:val="23"/>
  </w:num>
  <w:num w:numId="2" w16cid:durableId="753089782">
    <w:abstractNumId w:val="26"/>
  </w:num>
  <w:num w:numId="3" w16cid:durableId="1050232691">
    <w:abstractNumId w:val="4"/>
  </w:num>
  <w:num w:numId="4" w16cid:durableId="1210648179">
    <w:abstractNumId w:val="8"/>
  </w:num>
  <w:num w:numId="5" w16cid:durableId="1358194958">
    <w:abstractNumId w:val="10"/>
  </w:num>
  <w:num w:numId="6" w16cid:durableId="978001871">
    <w:abstractNumId w:val="29"/>
  </w:num>
  <w:num w:numId="7" w16cid:durableId="1056244962">
    <w:abstractNumId w:val="5"/>
  </w:num>
  <w:num w:numId="8" w16cid:durableId="390931591">
    <w:abstractNumId w:val="31"/>
  </w:num>
  <w:num w:numId="9" w16cid:durableId="727608614">
    <w:abstractNumId w:val="12"/>
  </w:num>
  <w:num w:numId="10" w16cid:durableId="143090834">
    <w:abstractNumId w:val="25"/>
  </w:num>
  <w:num w:numId="11" w16cid:durableId="514343492">
    <w:abstractNumId w:val="14"/>
  </w:num>
  <w:num w:numId="12" w16cid:durableId="277225682">
    <w:abstractNumId w:val="22"/>
  </w:num>
  <w:num w:numId="13" w16cid:durableId="2094281851">
    <w:abstractNumId w:val="0"/>
  </w:num>
  <w:num w:numId="14" w16cid:durableId="1148783374">
    <w:abstractNumId w:val="9"/>
  </w:num>
  <w:num w:numId="15" w16cid:durableId="1644190970">
    <w:abstractNumId w:val="17"/>
  </w:num>
  <w:num w:numId="16" w16cid:durableId="595334829">
    <w:abstractNumId w:val="7"/>
  </w:num>
  <w:num w:numId="17" w16cid:durableId="579097404">
    <w:abstractNumId w:val="3"/>
  </w:num>
  <w:num w:numId="18" w16cid:durableId="1227759164">
    <w:abstractNumId w:val="2"/>
  </w:num>
  <w:num w:numId="19" w16cid:durableId="1274441723">
    <w:abstractNumId w:val="27"/>
  </w:num>
  <w:num w:numId="20" w16cid:durableId="1921866786">
    <w:abstractNumId w:val="6"/>
  </w:num>
  <w:num w:numId="21" w16cid:durableId="400716415">
    <w:abstractNumId w:val="24"/>
  </w:num>
  <w:num w:numId="22" w16cid:durableId="1002319137">
    <w:abstractNumId w:val="32"/>
  </w:num>
  <w:num w:numId="23" w16cid:durableId="746264412">
    <w:abstractNumId w:val="13"/>
  </w:num>
  <w:num w:numId="24" w16cid:durableId="1896771648">
    <w:abstractNumId w:val="28"/>
  </w:num>
  <w:num w:numId="25" w16cid:durableId="546570483">
    <w:abstractNumId w:val="19"/>
  </w:num>
  <w:num w:numId="26" w16cid:durableId="1713531492">
    <w:abstractNumId w:val="20"/>
  </w:num>
  <w:num w:numId="27" w16cid:durableId="1127968520">
    <w:abstractNumId w:val="15"/>
  </w:num>
  <w:num w:numId="28" w16cid:durableId="1273243727">
    <w:abstractNumId w:val="30"/>
  </w:num>
  <w:num w:numId="29" w16cid:durableId="452215426">
    <w:abstractNumId w:val="1"/>
  </w:num>
  <w:num w:numId="30" w16cid:durableId="1419869101">
    <w:abstractNumId w:val="16"/>
  </w:num>
  <w:num w:numId="31" w16cid:durableId="935018445">
    <w:abstractNumId w:val="21"/>
  </w:num>
  <w:num w:numId="32" w16cid:durableId="1119883935">
    <w:abstractNumId w:val="11"/>
  </w:num>
  <w:num w:numId="33" w16cid:durableId="58091799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155D"/>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1555"/>
    <w:rsid w:val="00065166"/>
    <w:rsid w:val="000778B1"/>
    <w:rsid w:val="00082609"/>
    <w:rsid w:val="000851CC"/>
    <w:rsid w:val="00093BE8"/>
    <w:rsid w:val="00097B45"/>
    <w:rsid w:val="00097D56"/>
    <w:rsid w:val="00097DB8"/>
    <w:rsid w:val="000A407B"/>
    <w:rsid w:val="000A636A"/>
    <w:rsid w:val="000A68ED"/>
    <w:rsid w:val="000A7A3D"/>
    <w:rsid w:val="000B5FF1"/>
    <w:rsid w:val="000B609F"/>
    <w:rsid w:val="000C4C5B"/>
    <w:rsid w:val="000D239B"/>
    <w:rsid w:val="000D55A8"/>
    <w:rsid w:val="000E4841"/>
    <w:rsid w:val="000F1677"/>
    <w:rsid w:val="000F3D6C"/>
    <w:rsid w:val="000F7FC2"/>
    <w:rsid w:val="00101707"/>
    <w:rsid w:val="00102CC9"/>
    <w:rsid w:val="0010662B"/>
    <w:rsid w:val="0011473D"/>
    <w:rsid w:val="00115C85"/>
    <w:rsid w:val="0012224B"/>
    <w:rsid w:val="00123855"/>
    <w:rsid w:val="0012400F"/>
    <w:rsid w:val="00124489"/>
    <w:rsid w:val="00126A4D"/>
    <w:rsid w:val="0014171F"/>
    <w:rsid w:val="0014622C"/>
    <w:rsid w:val="00152348"/>
    <w:rsid w:val="0015456D"/>
    <w:rsid w:val="00155FA2"/>
    <w:rsid w:val="00160679"/>
    <w:rsid w:val="00161A46"/>
    <w:rsid w:val="00161F1B"/>
    <w:rsid w:val="00162829"/>
    <w:rsid w:val="00166445"/>
    <w:rsid w:val="00171FCE"/>
    <w:rsid w:val="00180548"/>
    <w:rsid w:val="00180AC4"/>
    <w:rsid w:val="00180CCE"/>
    <w:rsid w:val="0018267A"/>
    <w:rsid w:val="00182779"/>
    <w:rsid w:val="001830DF"/>
    <w:rsid w:val="001966D9"/>
    <w:rsid w:val="00197E4B"/>
    <w:rsid w:val="001A7E9A"/>
    <w:rsid w:val="001B0F70"/>
    <w:rsid w:val="001B5016"/>
    <w:rsid w:val="001C1175"/>
    <w:rsid w:val="001C45FC"/>
    <w:rsid w:val="001D0469"/>
    <w:rsid w:val="001D4862"/>
    <w:rsid w:val="001D53BF"/>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B7C69"/>
    <w:rsid w:val="002C13C8"/>
    <w:rsid w:val="002C3547"/>
    <w:rsid w:val="002C4932"/>
    <w:rsid w:val="002C4C39"/>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36B9"/>
    <w:rsid w:val="00364836"/>
    <w:rsid w:val="0036565C"/>
    <w:rsid w:val="0036625E"/>
    <w:rsid w:val="0037465A"/>
    <w:rsid w:val="00382C98"/>
    <w:rsid w:val="0038411A"/>
    <w:rsid w:val="00384A83"/>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D4780"/>
    <w:rsid w:val="003D73DF"/>
    <w:rsid w:val="003E0B16"/>
    <w:rsid w:val="003E67D1"/>
    <w:rsid w:val="00404329"/>
    <w:rsid w:val="00405DC1"/>
    <w:rsid w:val="004113DC"/>
    <w:rsid w:val="00415F1F"/>
    <w:rsid w:val="0042108F"/>
    <w:rsid w:val="004248F6"/>
    <w:rsid w:val="004273B0"/>
    <w:rsid w:val="00430FED"/>
    <w:rsid w:val="00434A8C"/>
    <w:rsid w:val="00437297"/>
    <w:rsid w:val="00444284"/>
    <w:rsid w:val="00445CE6"/>
    <w:rsid w:val="004534C2"/>
    <w:rsid w:val="0045446F"/>
    <w:rsid w:val="00455018"/>
    <w:rsid w:val="0045683E"/>
    <w:rsid w:val="00460BFA"/>
    <w:rsid w:val="00473302"/>
    <w:rsid w:val="00477C72"/>
    <w:rsid w:val="004830F8"/>
    <w:rsid w:val="00484B73"/>
    <w:rsid w:val="00491675"/>
    <w:rsid w:val="00493855"/>
    <w:rsid w:val="00494B81"/>
    <w:rsid w:val="00495E79"/>
    <w:rsid w:val="004A57DD"/>
    <w:rsid w:val="004A7B51"/>
    <w:rsid w:val="004A7D71"/>
    <w:rsid w:val="004A7EF3"/>
    <w:rsid w:val="004B11FD"/>
    <w:rsid w:val="004B23A2"/>
    <w:rsid w:val="004C574C"/>
    <w:rsid w:val="004D1A5A"/>
    <w:rsid w:val="004D2FFF"/>
    <w:rsid w:val="004D3721"/>
    <w:rsid w:val="004D4255"/>
    <w:rsid w:val="004D64F9"/>
    <w:rsid w:val="004E3A6B"/>
    <w:rsid w:val="004E5AF5"/>
    <w:rsid w:val="004E622C"/>
    <w:rsid w:val="004F49B5"/>
    <w:rsid w:val="004F5FDF"/>
    <w:rsid w:val="004F7B99"/>
    <w:rsid w:val="00502405"/>
    <w:rsid w:val="00515810"/>
    <w:rsid w:val="005177FE"/>
    <w:rsid w:val="0052263B"/>
    <w:rsid w:val="0052384D"/>
    <w:rsid w:val="00524728"/>
    <w:rsid w:val="005331CA"/>
    <w:rsid w:val="00537424"/>
    <w:rsid w:val="00537970"/>
    <w:rsid w:val="00540E3A"/>
    <w:rsid w:val="00544127"/>
    <w:rsid w:val="005463A9"/>
    <w:rsid w:val="00553EB2"/>
    <w:rsid w:val="00560534"/>
    <w:rsid w:val="0056391B"/>
    <w:rsid w:val="005650E2"/>
    <w:rsid w:val="00567AD7"/>
    <w:rsid w:val="00575B2D"/>
    <w:rsid w:val="00580E35"/>
    <w:rsid w:val="005833D0"/>
    <w:rsid w:val="00583D8E"/>
    <w:rsid w:val="005846F3"/>
    <w:rsid w:val="0058622F"/>
    <w:rsid w:val="00587019"/>
    <w:rsid w:val="00592F82"/>
    <w:rsid w:val="005A0CCA"/>
    <w:rsid w:val="005A6FF2"/>
    <w:rsid w:val="005A726D"/>
    <w:rsid w:val="005B67AC"/>
    <w:rsid w:val="005B79F4"/>
    <w:rsid w:val="005D1293"/>
    <w:rsid w:val="005D43E0"/>
    <w:rsid w:val="005D50DD"/>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150A"/>
    <w:rsid w:val="00654C2F"/>
    <w:rsid w:val="00657087"/>
    <w:rsid w:val="006639DB"/>
    <w:rsid w:val="006661EF"/>
    <w:rsid w:val="006664A6"/>
    <w:rsid w:val="00673EE0"/>
    <w:rsid w:val="00677AEB"/>
    <w:rsid w:val="00680EF2"/>
    <w:rsid w:val="00684B35"/>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46231"/>
    <w:rsid w:val="007603F5"/>
    <w:rsid w:val="0076357B"/>
    <w:rsid w:val="00764DB0"/>
    <w:rsid w:val="0076764D"/>
    <w:rsid w:val="0077498C"/>
    <w:rsid w:val="00777C53"/>
    <w:rsid w:val="007809BC"/>
    <w:rsid w:val="00784128"/>
    <w:rsid w:val="00787BCC"/>
    <w:rsid w:val="00793173"/>
    <w:rsid w:val="007A2A33"/>
    <w:rsid w:val="007B0809"/>
    <w:rsid w:val="007B5C89"/>
    <w:rsid w:val="007C1D2D"/>
    <w:rsid w:val="007C1FCC"/>
    <w:rsid w:val="007C6201"/>
    <w:rsid w:val="007D0192"/>
    <w:rsid w:val="007D64E3"/>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5268A"/>
    <w:rsid w:val="00867CBF"/>
    <w:rsid w:val="008723F3"/>
    <w:rsid w:val="00877F7C"/>
    <w:rsid w:val="00881DE6"/>
    <w:rsid w:val="008837A6"/>
    <w:rsid w:val="00884D77"/>
    <w:rsid w:val="0089145D"/>
    <w:rsid w:val="00895EF1"/>
    <w:rsid w:val="008A4DF2"/>
    <w:rsid w:val="008A6CFE"/>
    <w:rsid w:val="008A771D"/>
    <w:rsid w:val="008B1576"/>
    <w:rsid w:val="008B4F15"/>
    <w:rsid w:val="008B5333"/>
    <w:rsid w:val="008B6223"/>
    <w:rsid w:val="008B64A1"/>
    <w:rsid w:val="008C4C5B"/>
    <w:rsid w:val="008C66E0"/>
    <w:rsid w:val="008E3339"/>
    <w:rsid w:val="008F20FC"/>
    <w:rsid w:val="008F22F6"/>
    <w:rsid w:val="008F5FFE"/>
    <w:rsid w:val="00902FA7"/>
    <w:rsid w:val="00905A43"/>
    <w:rsid w:val="00912C79"/>
    <w:rsid w:val="00921B8C"/>
    <w:rsid w:val="0092565E"/>
    <w:rsid w:val="0093467C"/>
    <w:rsid w:val="00942123"/>
    <w:rsid w:val="0095207B"/>
    <w:rsid w:val="00962045"/>
    <w:rsid w:val="00980E61"/>
    <w:rsid w:val="00986329"/>
    <w:rsid w:val="00991428"/>
    <w:rsid w:val="00992676"/>
    <w:rsid w:val="009954B2"/>
    <w:rsid w:val="00996691"/>
    <w:rsid w:val="009A578E"/>
    <w:rsid w:val="009A7970"/>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9F3B4A"/>
    <w:rsid w:val="009F4B8B"/>
    <w:rsid w:val="00A024E7"/>
    <w:rsid w:val="00A047EE"/>
    <w:rsid w:val="00A04D79"/>
    <w:rsid w:val="00A2274A"/>
    <w:rsid w:val="00A235B7"/>
    <w:rsid w:val="00A27A7A"/>
    <w:rsid w:val="00A3165E"/>
    <w:rsid w:val="00A34ABE"/>
    <w:rsid w:val="00A407EF"/>
    <w:rsid w:val="00A46B4C"/>
    <w:rsid w:val="00A5117B"/>
    <w:rsid w:val="00A56D34"/>
    <w:rsid w:val="00A60074"/>
    <w:rsid w:val="00A6110F"/>
    <w:rsid w:val="00A6627C"/>
    <w:rsid w:val="00A71019"/>
    <w:rsid w:val="00A81029"/>
    <w:rsid w:val="00A82B32"/>
    <w:rsid w:val="00A94F58"/>
    <w:rsid w:val="00A95463"/>
    <w:rsid w:val="00A95C76"/>
    <w:rsid w:val="00A96489"/>
    <w:rsid w:val="00AA0280"/>
    <w:rsid w:val="00AA7BE3"/>
    <w:rsid w:val="00AB1B65"/>
    <w:rsid w:val="00AB2425"/>
    <w:rsid w:val="00AB5DE7"/>
    <w:rsid w:val="00AB685C"/>
    <w:rsid w:val="00AB6C2D"/>
    <w:rsid w:val="00AC08F7"/>
    <w:rsid w:val="00AC3839"/>
    <w:rsid w:val="00AC7082"/>
    <w:rsid w:val="00AD4BE8"/>
    <w:rsid w:val="00AF228E"/>
    <w:rsid w:val="00AF4A40"/>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285A"/>
    <w:rsid w:val="00B94BEB"/>
    <w:rsid w:val="00B9639B"/>
    <w:rsid w:val="00BB0F2B"/>
    <w:rsid w:val="00BC6A64"/>
    <w:rsid w:val="00BD4A58"/>
    <w:rsid w:val="00BD67D5"/>
    <w:rsid w:val="00BD7337"/>
    <w:rsid w:val="00BE4FF3"/>
    <w:rsid w:val="00BF50F7"/>
    <w:rsid w:val="00C02F29"/>
    <w:rsid w:val="00C05A9F"/>
    <w:rsid w:val="00C11350"/>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2539"/>
    <w:rsid w:val="00C651D6"/>
    <w:rsid w:val="00C72848"/>
    <w:rsid w:val="00C7736C"/>
    <w:rsid w:val="00C80B9D"/>
    <w:rsid w:val="00C82D87"/>
    <w:rsid w:val="00C837A9"/>
    <w:rsid w:val="00C8712A"/>
    <w:rsid w:val="00C87E0A"/>
    <w:rsid w:val="00C902C8"/>
    <w:rsid w:val="00C919D1"/>
    <w:rsid w:val="00C963D3"/>
    <w:rsid w:val="00CB1983"/>
    <w:rsid w:val="00CB2CBB"/>
    <w:rsid w:val="00CB6578"/>
    <w:rsid w:val="00CB7CAC"/>
    <w:rsid w:val="00CC0047"/>
    <w:rsid w:val="00CC4818"/>
    <w:rsid w:val="00CC5335"/>
    <w:rsid w:val="00CC5BA4"/>
    <w:rsid w:val="00CD3442"/>
    <w:rsid w:val="00CD4998"/>
    <w:rsid w:val="00CE0ECD"/>
    <w:rsid w:val="00CE1035"/>
    <w:rsid w:val="00CE6E50"/>
    <w:rsid w:val="00CF1E71"/>
    <w:rsid w:val="00CF2819"/>
    <w:rsid w:val="00CF4F9D"/>
    <w:rsid w:val="00CF70DC"/>
    <w:rsid w:val="00D041E0"/>
    <w:rsid w:val="00D04AFE"/>
    <w:rsid w:val="00D06A30"/>
    <w:rsid w:val="00D14336"/>
    <w:rsid w:val="00D148DC"/>
    <w:rsid w:val="00D17FDC"/>
    <w:rsid w:val="00D21021"/>
    <w:rsid w:val="00D21D8C"/>
    <w:rsid w:val="00D26CDA"/>
    <w:rsid w:val="00D316F2"/>
    <w:rsid w:val="00D34584"/>
    <w:rsid w:val="00D36F22"/>
    <w:rsid w:val="00D53719"/>
    <w:rsid w:val="00D61CC1"/>
    <w:rsid w:val="00D63EFD"/>
    <w:rsid w:val="00D70F7E"/>
    <w:rsid w:val="00D84752"/>
    <w:rsid w:val="00D86B3B"/>
    <w:rsid w:val="00D8748A"/>
    <w:rsid w:val="00D93196"/>
    <w:rsid w:val="00D94197"/>
    <w:rsid w:val="00D9565D"/>
    <w:rsid w:val="00DA0DC0"/>
    <w:rsid w:val="00DA1D45"/>
    <w:rsid w:val="00DA4914"/>
    <w:rsid w:val="00DB243C"/>
    <w:rsid w:val="00DB2E8A"/>
    <w:rsid w:val="00DB482A"/>
    <w:rsid w:val="00DB4DCD"/>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274C4"/>
    <w:rsid w:val="00E30E60"/>
    <w:rsid w:val="00E31DF3"/>
    <w:rsid w:val="00E41578"/>
    <w:rsid w:val="00E421C6"/>
    <w:rsid w:val="00E450A4"/>
    <w:rsid w:val="00E506BE"/>
    <w:rsid w:val="00E5162C"/>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082D"/>
    <w:rsid w:val="00EB146B"/>
    <w:rsid w:val="00EB45AC"/>
    <w:rsid w:val="00EC441F"/>
    <w:rsid w:val="00EC4755"/>
    <w:rsid w:val="00ED0BC4"/>
    <w:rsid w:val="00ED10C2"/>
    <w:rsid w:val="00ED447D"/>
    <w:rsid w:val="00ED738F"/>
    <w:rsid w:val="00ED74BC"/>
    <w:rsid w:val="00EE4971"/>
    <w:rsid w:val="00EF090E"/>
    <w:rsid w:val="00EF5572"/>
    <w:rsid w:val="00F03051"/>
    <w:rsid w:val="00F033DA"/>
    <w:rsid w:val="00F075BA"/>
    <w:rsid w:val="00F13691"/>
    <w:rsid w:val="00F13FB1"/>
    <w:rsid w:val="00F14D31"/>
    <w:rsid w:val="00F27CD8"/>
    <w:rsid w:val="00F30351"/>
    <w:rsid w:val="00F3323E"/>
    <w:rsid w:val="00F341F4"/>
    <w:rsid w:val="00F34F9D"/>
    <w:rsid w:val="00F35CCE"/>
    <w:rsid w:val="00F5524B"/>
    <w:rsid w:val="00F60538"/>
    <w:rsid w:val="00F61DD2"/>
    <w:rsid w:val="00F63D10"/>
    <w:rsid w:val="00F66AFF"/>
    <w:rsid w:val="00F71433"/>
    <w:rsid w:val="00F84270"/>
    <w:rsid w:val="00F92140"/>
    <w:rsid w:val="00F97C5B"/>
    <w:rsid w:val="00FA3D50"/>
    <w:rsid w:val="00FB0C8E"/>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B68"/>
    <w:rsid w:val="00FE5DB8"/>
    <w:rsid w:val="00FF296F"/>
    <w:rsid w:val="00FF5E23"/>
    <w:rsid w:val="00FF7578"/>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11</Pages>
  <Words>4306</Words>
  <Characters>24546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Ronan ODoherty</cp:lastModifiedBy>
  <cp:revision>20</cp:revision>
  <cp:lastPrinted>2019-08-27T05:42:00Z</cp:lastPrinted>
  <dcterms:created xsi:type="dcterms:W3CDTF">2023-02-27T01:34:00Z</dcterms:created>
  <dcterms:modified xsi:type="dcterms:W3CDTF">2023-03-01T15:29:00Z</dcterms:modified>
</cp:coreProperties>
</file>