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7906D6" w:rsidRDefault="00AE5B6F" w:rsidP="00B04033">
      <w:pPr>
        <w:pStyle w:val="ListParagraph"/>
        <w:numPr>
          <w:ilvl w:val="0"/>
          <w:numId w:val="1"/>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w</w:t>
      </w:r>
      <w:r w:rsidR="00C91062" w:rsidRPr="007906D6">
        <w:rPr>
          <w:rFonts w:ascii="Avenir Next" w:hAnsi="Avenir Next" w:cs="Arial"/>
          <w:sz w:val="22"/>
          <w:szCs w:val="22"/>
          <w:highlight w:val="yellow"/>
          <w:lang w:val="en-GB"/>
        </w:rPr>
        <w:t>ithin 8 weeks of the commencement of the administration</w:t>
      </w:r>
      <w:r w:rsidR="00763348" w:rsidRPr="007906D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7906D6" w:rsidRDefault="00E443D7" w:rsidP="00B04033">
      <w:pPr>
        <w:pStyle w:val="ListParagraph"/>
        <w:numPr>
          <w:ilvl w:val="0"/>
          <w:numId w:val="2"/>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One year</w:t>
      </w:r>
      <w:r w:rsidR="00763348" w:rsidRPr="007906D6">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7906D6" w:rsidRDefault="00AE5B6F" w:rsidP="00B04033">
      <w:pPr>
        <w:pStyle w:val="ListParagraph"/>
        <w:numPr>
          <w:ilvl w:val="0"/>
          <w:numId w:val="3"/>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T</w:t>
      </w:r>
      <w:r w:rsidR="008D1616" w:rsidRPr="007906D6">
        <w:rPr>
          <w:rFonts w:ascii="Avenir Next" w:hAnsi="Avenir Next" w:cs="Arial"/>
          <w:sz w:val="22"/>
          <w:szCs w:val="22"/>
          <w:highlight w:val="yellow"/>
          <w:lang w:val="en-GB"/>
        </w:rPr>
        <w:t>he company is, or is likely to become, unable to pay their debts, as defined under s</w:t>
      </w:r>
      <w:r w:rsidR="00E833F4" w:rsidRPr="007906D6">
        <w:rPr>
          <w:rFonts w:ascii="Avenir Next" w:hAnsi="Avenir Next" w:cs="Arial"/>
          <w:sz w:val="22"/>
          <w:szCs w:val="22"/>
          <w:highlight w:val="yellow"/>
          <w:lang w:val="en-GB"/>
        </w:rPr>
        <w:t>ection</w:t>
      </w:r>
      <w:r w:rsidR="008D1616" w:rsidRPr="007906D6">
        <w:rPr>
          <w:rFonts w:ascii="Avenir Next" w:hAnsi="Avenir Next" w:cs="Arial"/>
          <w:sz w:val="22"/>
          <w:szCs w:val="22"/>
          <w:highlight w:val="yellow"/>
          <w:lang w:val="en-GB"/>
        </w:rPr>
        <w:t xml:space="preserve"> 123 of the Insolvency Act 1986</w:t>
      </w:r>
      <w:r w:rsidR="00763348" w:rsidRPr="007906D6">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906D6" w:rsidRDefault="00C91062" w:rsidP="00B04033">
      <w:pPr>
        <w:pStyle w:val="ListParagraph"/>
        <w:numPr>
          <w:ilvl w:val="0"/>
          <w:numId w:val="4"/>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The purchaser</w:t>
      </w:r>
      <w:r w:rsidR="00763348" w:rsidRPr="007906D6">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906D6" w:rsidRDefault="00BA1CFD" w:rsidP="00B04033">
      <w:pPr>
        <w:pStyle w:val="ListParagraph"/>
        <w:numPr>
          <w:ilvl w:val="0"/>
          <w:numId w:val="5"/>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Administration</w:t>
      </w:r>
      <w:r w:rsidR="00763348" w:rsidRPr="007906D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906D6" w:rsidRDefault="001F3C98" w:rsidP="00B04033">
      <w:pPr>
        <w:pStyle w:val="ListParagraph"/>
        <w:numPr>
          <w:ilvl w:val="0"/>
          <w:numId w:val="6"/>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 xml:space="preserve">GBP </w:t>
      </w:r>
      <w:r w:rsidR="00BA1CFD" w:rsidRPr="007906D6">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7906D6" w:rsidRDefault="00BA1CFD" w:rsidP="00B04033">
      <w:pPr>
        <w:pStyle w:val="ListParagraph"/>
        <w:numPr>
          <w:ilvl w:val="0"/>
          <w:numId w:val="7"/>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Being found guilty of an indictable offence overseas</w:t>
      </w:r>
      <w:r w:rsidR="00763348" w:rsidRPr="007906D6">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906D6" w:rsidRDefault="00876F56" w:rsidP="00B04033">
      <w:pPr>
        <w:pStyle w:val="ListParagraph"/>
        <w:numPr>
          <w:ilvl w:val="0"/>
          <w:numId w:val="8"/>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906D6" w:rsidRDefault="00E833F4" w:rsidP="00B04033">
      <w:pPr>
        <w:pStyle w:val="ListParagraph"/>
        <w:numPr>
          <w:ilvl w:val="0"/>
          <w:numId w:val="9"/>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A</w:t>
      </w:r>
      <w:r w:rsidR="000D10C6" w:rsidRPr="007906D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7906D6" w:rsidRDefault="0020204E" w:rsidP="00B04033">
      <w:pPr>
        <w:pStyle w:val="ListParagraph"/>
        <w:numPr>
          <w:ilvl w:val="0"/>
          <w:numId w:val="10"/>
        </w:numPr>
        <w:ind w:left="426"/>
        <w:jc w:val="both"/>
        <w:rPr>
          <w:rFonts w:ascii="Avenir Next" w:hAnsi="Avenir Next" w:cs="Arial"/>
          <w:sz w:val="22"/>
          <w:szCs w:val="22"/>
          <w:highlight w:val="yellow"/>
          <w:lang w:val="en-GB"/>
        </w:rPr>
      </w:pPr>
      <w:r w:rsidRPr="007906D6">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70BCB103" w:rsidR="00AE5B6F" w:rsidRDefault="00B05438" w:rsidP="00B05438">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terms of section 423 of the Insolvency Act 1986, an official receiver or liquidator and / or the administrator can bring an action, however any victim of a fraudulent transaction may, upon application for leave of the court, once same is granted bring an action.  However, this leave will only be given where the partitioner is  creditor of the insolvent and is bound by a company voluntary arrangement, or was the supervisor of the company voluntary arrangement, or any victim not bound by such arrangement or any other victim of a fraudulent transaction.</w:t>
      </w:r>
    </w:p>
    <w:p w14:paraId="11DFC252" w14:textId="6978A702" w:rsidR="00B05438" w:rsidRDefault="005C754D" w:rsidP="00B05438">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terms of section 6 of the CDDA 1986, any aggrieved party who can prove to the satisfaction of the court, that they suffered a loss due to the fraudulent and/or reckless dealings of the director can bring an action, and can show that the requirements of section 6 have been met, i.e. that the respondent is or was a director of a company which has become insolvent.  Whether such responded was a director at the time or subsequent to his or her departure from office and more importantly that the respondents conduct whilst in the position of director of the insolvent company shows the respondents inability to manage a company.  Such applications are usually sued when there is evidence pointing to a company trading in insolvent circumstances and/or using Crown funds such as VAT or PAYE collected on behalf of the Crown and not paid over to the Crown but rather used as trading capital.</w:t>
      </w:r>
    </w:p>
    <w:p w14:paraId="54ABDEC1" w14:textId="0DCB8C1E" w:rsidR="005C754D" w:rsidRPr="00B05438" w:rsidRDefault="00E15DAD" w:rsidP="00B05438">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246ZB is traditionally only available to a liquidator of a company, and where such liquidator can prove wrongful or fraudulent trading by the directors.</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018C5FBF" w:rsidR="00EA3B38" w:rsidRDefault="00E15DAD"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following </w:t>
      </w:r>
      <w:r w:rsidR="009671EB">
        <w:rPr>
          <w:rFonts w:ascii="Arial" w:hAnsi="Arial" w:cs="Arial"/>
          <w:color w:val="808080" w:themeColor="background1" w:themeShade="80"/>
          <w:sz w:val="22"/>
          <w:szCs w:val="22"/>
        </w:rPr>
        <w:t xml:space="preserve">are examples of </w:t>
      </w:r>
      <w:r>
        <w:rPr>
          <w:rFonts w:ascii="Arial" w:hAnsi="Arial" w:cs="Arial"/>
          <w:color w:val="808080" w:themeColor="background1" w:themeShade="80"/>
          <w:sz w:val="22"/>
          <w:szCs w:val="22"/>
        </w:rPr>
        <w:t xml:space="preserve">debts </w:t>
      </w:r>
      <w:r w:rsidR="009671EB">
        <w:rPr>
          <w:rFonts w:ascii="Arial" w:hAnsi="Arial" w:cs="Arial"/>
          <w:color w:val="808080" w:themeColor="background1" w:themeShade="80"/>
          <w:sz w:val="22"/>
          <w:szCs w:val="22"/>
        </w:rPr>
        <w:t xml:space="preserve">that </w:t>
      </w:r>
      <w:r>
        <w:rPr>
          <w:rFonts w:ascii="Arial" w:hAnsi="Arial" w:cs="Arial"/>
          <w:color w:val="808080" w:themeColor="background1" w:themeShade="80"/>
          <w:sz w:val="22"/>
          <w:szCs w:val="22"/>
        </w:rPr>
        <w:t>do not form part of the payment holiday under part A1 of the Insolvency Act 1986:</w:t>
      </w:r>
    </w:p>
    <w:p w14:paraId="0141E36E" w14:textId="78447AE0" w:rsidR="009671EB" w:rsidRDefault="009671EB" w:rsidP="009671EB">
      <w:pPr>
        <w:pStyle w:val="ListParagraph"/>
        <w:numPr>
          <w:ilvl w:val="0"/>
          <w:numId w:val="19"/>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Employee’s wages and/or salaries;</w:t>
      </w:r>
    </w:p>
    <w:p w14:paraId="16A1A7EB" w14:textId="762AC8C0" w:rsidR="009671EB" w:rsidRDefault="009671EB" w:rsidP="009671EB">
      <w:pPr>
        <w:pStyle w:val="ListParagraph"/>
        <w:numPr>
          <w:ilvl w:val="0"/>
          <w:numId w:val="19"/>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Payment for goods or services supplied for use of the business during the moratorium period;</w:t>
      </w:r>
    </w:p>
    <w:p w14:paraId="1DA80841" w14:textId="7B5C6EA9" w:rsidR="009671EB" w:rsidRDefault="009671EB" w:rsidP="009671EB">
      <w:pPr>
        <w:pStyle w:val="ListParagraph"/>
        <w:numPr>
          <w:ilvl w:val="0"/>
          <w:numId w:val="19"/>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Expenses and remuneration of the monitor of the company;</w:t>
      </w:r>
    </w:p>
    <w:p w14:paraId="240E3285" w14:textId="67A593B3" w:rsidR="009671EB" w:rsidRDefault="009671EB" w:rsidP="009671EB">
      <w:pPr>
        <w:pStyle w:val="ListParagraph"/>
        <w:numPr>
          <w:ilvl w:val="0"/>
          <w:numId w:val="19"/>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Any redundancy/retrenchment payments;</w:t>
      </w:r>
    </w:p>
    <w:p w14:paraId="562032BC" w14:textId="6680195B" w:rsidR="009671EB" w:rsidRPr="009671EB" w:rsidRDefault="009671EB" w:rsidP="009671EB">
      <w:pPr>
        <w:pStyle w:val="ListParagraph"/>
        <w:numPr>
          <w:ilvl w:val="0"/>
          <w:numId w:val="19"/>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Any debt arising or as a result of any financial services which is defined, to some extent, as the finance of leased property, the provision of guarantees by financial institutions and lending from financial institutions.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09FBD41C" w:rsidR="00EA3B38" w:rsidRDefault="003A2DF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 administrator can indeed require a supplier of goods and services to continue supplying such goods and services during administration.   Section 233 of the Act empowers the administrator to keep essential services such as IT services, data storage, web hosting, utilities such as water, gas and electricity.  There is however a caveat to this, in that the service provider may require that the administrator gives a  personal guarantee for the payment of such services whilst in administration.</w:t>
      </w:r>
    </w:p>
    <w:p w14:paraId="1D04FDA8" w14:textId="261E35DE" w:rsidR="003A2DFE" w:rsidRPr="003A2DFE" w:rsidRDefault="003A2DF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act goes further in section 233B, in that it forbids a supplier from relying on a clause in any contract that would </w:t>
      </w:r>
      <w:r>
        <w:rPr>
          <w:rFonts w:ascii="Arial" w:hAnsi="Arial" w:cs="Arial"/>
          <w:i/>
          <w:iCs/>
          <w:color w:val="808080" w:themeColor="background1" w:themeShade="80"/>
          <w:sz w:val="22"/>
          <w:szCs w:val="22"/>
        </w:rPr>
        <w:t>ipso facto</w:t>
      </w:r>
      <w:r>
        <w:rPr>
          <w:rFonts w:ascii="Arial" w:hAnsi="Arial" w:cs="Arial"/>
          <w:color w:val="808080" w:themeColor="background1" w:themeShade="80"/>
          <w:sz w:val="22"/>
          <w:szCs w:val="22"/>
        </w:rPr>
        <w:t xml:space="preserve"> terminate the contract if an act of insolvency on the part of the company is committed.</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3543E049" w:rsidR="00EA3B38" w:rsidRDefault="00757E4C"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a liquidation, payments are made in the following order of priority.  In terms of section 115 of the Act certain expenses are given preference over preferential creditors, holders of floating charges and unsecured creditors.  Such expenses are the cost of administration or the costs of winding up, which includes the liquidators remuneration.  Normally, administration expenses, as aforementioned, are paid first, followed by preferential creditors then holders of floating charges and thereafter unsecured creditors.</w:t>
      </w:r>
    </w:p>
    <w:p w14:paraId="0800214C" w14:textId="34464FD2" w:rsidR="00757E4C" w:rsidRDefault="00757E4C"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preferential creditor normally comprises of the limited secured claims of employee and tax liabilities.  Preferential claims are normally split into 2 classes, that of ordinary and secondary claims; the ordinary being paid before any secondary could be paid.</w:t>
      </w:r>
    </w:p>
    <w:p w14:paraId="08710090" w14:textId="283E493B" w:rsidR="009D694E" w:rsidRDefault="009D694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Floating charge holders are then paid. they are paid in order of when the floating charge came into existence.</w:t>
      </w:r>
    </w:p>
    <w:p w14:paraId="788C1959" w14:textId="32A5D5A3" w:rsidR="009D694E" w:rsidRDefault="009D694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It is important to bear in mind that any administrator or liquidator is bound to make a part, known as the prescribed part, of the net available property available for payment of unsecured claims, hence a liquidator or administrator can only use any amount that is excess to that required to settle unsecured debts for the purposes of floating charges.</w:t>
      </w:r>
    </w:p>
    <w:p w14:paraId="1F0195C6" w14:textId="24DC2069" w:rsidR="009D694E" w:rsidRDefault="009D694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Thereafter unsecured creditors, which are normally trade creditors that hold no security, are paid.</w:t>
      </w:r>
    </w:p>
    <w:p w14:paraId="2BD426C6" w14:textId="62A44932" w:rsidR="009D694E" w:rsidRDefault="001B5B03"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After that</w:t>
      </w:r>
      <w:r w:rsidR="009D694E">
        <w:rPr>
          <w:rFonts w:ascii="Arial" w:hAnsi="Arial" w:cs="Arial"/>
          <w:color w:val="808080" w:themeColor="background1" w:themeShade="80"/>
          <w:sz w:val="22"/>
          <w:szCs w:val="22"/>
        </w:rPr>
        <w:t xml:space="preserve"> should any funds be left shareholders are paid a dividend pro rata to their shareholding.</w:t>
      </w:r>
    </w:p>
    <w:p w14:paraId="4A03DDD8" w14:textId="300E1195" w:rsidR="009D694E" w:rsidRPr="003A2DFE" w:rsidRDefault="00633A22"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above debts and their priority will change if the company entered liquidation within 12 weeks of the end of the Moratorium period.  In such instances certain pre moratorium debts </w:t>
      </w:r>
      <w:r>
        <w:rPr>
          <w:rFonts w:ascii="Arial" w:hAnsi="Arial" w:cs="Arial"/>
          <w:color w:val="808080" w:themeColor="background1" w:themeShade="80"/>
          <w:sz w:val="22"/>
          <w:szCs w:val="22"/>
        </w:rPr>
        <w:lastRenderedPageBreak/>
        <w:t>not subject to any moratorium become payable in the liquidation before even the costs of administration or liquidators fees, thus giving these unsecured debts a form of super priority or security.</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3F6708AB" w:rsidR="00EA3B38" w:rsidRPr="00633A22" w:rsidRDefault="0078440A"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floating charge in favour of Fretus Bank plc is on the face of it open to attack in terms of section 245 of the Act, if the liquidator can prove that the floating charge did not give rise to value in return for the creation of the charge, that no money was paid to the company or goods or services supplied</w:t>
      </w:r>
      <w:r w:rsidR="00A215F8">
        <w:rPr>
          <w:rFonts w:ascii="Arial" w:hAnsi="Arial" w:cs="Arial"/>
          <w:color w:val="808080" w:themeColor="background1" w:themeShade="80"/>
          <w:sz w:val="22"/>
          <w:szCs w:val="22"/>
        </w:rPr>
        <w:t xml:space="preserve">, nor reduction of any debt that the company may have had.  I submit that the floating charge was merely an attempt by the bank to create an artificial </w:t>
      </w:r>
      <w:r w:rsidR="00CD30EB">
        <w:rPr>
          <w:rFonts w:ascii="Arial" w:hAnsi="Arial" w:cs="Arial"/>
          <w:color w:val="808080" w:themeColor="background1" w:themeShade="80"/>
          <w:sz w:val="22"/>
          <w:szCs w:val="22"/>
        </w:rPr>
        <w:t>security as</w:t>
      </w:r>
      <w:r w:rsidR="00A215F8">
        <w:rPr>
          <w:rFonts w:ascii="Arial" w:hAnsi="Arial" w:cs="Arial"/>
          <w:color w:val="808080" w:themeColor="background1" w:themeShade="80"/>
          <w:sz w:val="22"/>
          <w:szCs w:val="22"/>
        </w:rPr>
        <w:t xml:space="preserve"> the bank should have foreseen the imminent failure of the company.</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770F45E3" w:rsidR="00EA3B38" w:rsidRPr="00040E2E" w:rsidRDefault="00040E2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It can be argued that the sale of the marble cutting tables was </w:t>
      </w:r>
      <w:r>
        <w:rPr>
          <w:rFonts w:ascii="Arial" w:hAnsi="Arial" w:cs="Arial"/>
          <w:i/>
          <w:iCs/>
          <w:color w:val="808080" w:themeColor="background1" w:themeShade="80"/>
          <w:sz w:val="22"/>
          <w:szCs w:val="22"/>
        </w:rPr>
        <w:t>bona fide</w:t>
      </w:r>
      <w:r>
        <w:rPr>
          <w:rFonts w:ascii="Arial" w:hAnsi="Arial" w:cs="Arial"/>
          <w:color w:val="808080" w:themeColor="background1" w:themeShade="80"/>
          <w:sz w:val="22"/>
          <w:szCs w:val="22"/>
        </w:rPr>
        <w:t xml:space="preserve"> in that it did not attempt to deprive the company of an asset, but rather attempted to save the company from the dire circumstances of the loss of trade.</w:t>
      </w:r>
      <w:r w:rsidR="00D375B8">
        <w:rPr>
          <w:rFonts w:ascii="Arial" w:hAnsi="Arial" w:cs="Arial"/>
          <w:color w:val="808080" w:themeColor="background1" w:themeShade="80"/>
          <w:sz w:val="22"/>
          <w:szCs w:val="22"/>
        </w:rPr>
        <w:t xml:space="preserve">  The fact that the director personally alienated the property, in the title was transferred to the director, however could lead to the transaction being </w:t>
      </w:r>
      <w:r w:rsidR="00D375B8">
        <w:rPr>
          <w:rFonts w:ascii="Arial" w:hAnsi="Arial" w:cs="Arial"/>
          <w:color w:val="808080" w:themeColor="background1" w:themeShade="80"/>
          <w:sz w:val="22"/>
          <w:szCs w:val="22"/>
        </w:rPr>
        <w:lastRenderedPageBreak/>
        <w:t xml:space="preserve">set aside as it preferred the director over </w:t>
      </w:r>
      <w:r w:rsidR="00A5540A">
        <w:rPr>
          <w:rFonts w:ascii="Arial" w:hAnsi="Arial" w:cs="Arial"/>
          <w:color w:val="808080" w:themeColor="background1" w:themeShade="80"/>
          <w:sz w:val="22"/>
          <w:szCs w:val="22"/>
        </w:rPr>
        <w:t>the company</w:t>
      </w:r>
      <w:r w:rsidR="00EB7AD6">
        <w:rPr>
          <w:rFonts w:ascii="Arial" w:hAnsi="Arial" w:cs="Arial"/>
          <w:color w:val="808080" w:themeColor="background1" w:themeShade="80"/>
          <w:sz w:val="22"/>
          <w:szCs w:val="22"/>
        </w:rPr>
        <w:t>, and therefore could be attacked under section 238.</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04F42DF4" w:rsidR="009452DF" w:rsidRPr="00EB7AD6" w:rsidRDefault="00CD30EB" w:rsidP="009452D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payments made to Hard and Fast Ltd fall under 2 categories: the payment of the arrears and the cash payments thereafter.  With regards to the cash payments these can be seen as payments necessary for the continual trading of the business and I submit are not subject to attack.  With regards to the payments of the arrears same may be seen as payments that deprived other creditors of dividends and may be set aside by the liquidator, but only if the liquidator can prove that such payments deprived the company and other creditors unnecessarily and had the effect of benefiting one creditor over the other.</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5F6D" w14:textId="77777777" w:rsidR="001C3BAC" w:rsidRDefault="001C3BAC" w:rsidP="00241B44">
      <w:r>
        <w:separator/>
      </w:r>
    </w:p>
  </w:endnote>
  <w:endnote w:type="continuationSeparator" w:id="0">
    <w:p w14:paraId="1D9CA5C9" w14:textId="77777777" w:rsidR="001C3BAC" w:rsidRDefault="001C3B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66EE758" w:rsidR="00241FA3" w:rsidRPr="00A84235" w:rsidRDefault="006063D3" w:rsidP="009B4976">
    <w:pPr>
      <w:pStyle w:val="Footer"/>
      <w:ind w:right="360"/>
      <w:rPr>
        <w:rFonts w:ascii="Avenir Next" w:hAnsi="Avenir Next" w:cs="Arial"/>
        <w:sz w:val="22"/>
        <w:szCs w:val="22"/>
        <w:lang w:val="en-GB"/>
      </w:rPr>
    </w:pPr>
    <w:r>
      <w:rPr>
        <w:rFonts w:ascii="Avenir Next" w:hAnsi="Avenir Next" w:cs="Arial"/>
        <w:sz w:val="22"/>
        <w:szCs w:val="22"/>
        <w:lang w:val="en-GB"/>
      </w:rPr>
      <w:t>202223-856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B208" w14:textId="77777777" w:rsidR="006063D3" w:rsidRDefault="00606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2E31" w14:textId="77777777" w:rsidR="001C3BAC" w:rsidRDefault="001C3BAC" w:rsidP="00241B44">
      <w:r>
        <w:separator/>
      </w:r>
    </w:p>
  </w:footnote>
  <w:footnote w:type="continuationSeparator" w:id="0">
    <w:p w14:paraId="412F1327" w14:textId="77777777" w:rsidR="001C3BAC" w:rsidRDefault="001C3BA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B091" w14:textId="77777777" w:rsidR="006063D3" w:rsidRDefault="00606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20E" w14:textId="77777777" w:rsidR="006063D3" w:rsidRDefault="00606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7237" w14:textId="77777777" w:rsidR="006063D3" w:rsidRDefault="00606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42B0C"/>
    <w:multiLevelType w:val="hybridMultilevel"/>
    <w:tmpl w:val="5E7C0E8A"/>
    <w:lvl w:ilvl="0" w:tplc="D75A3F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13B81"/>
    <w:multiLevelType w:val="hybridMultilevel"/>
    <w:tmpl w:val="E94EE5C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030029">
    <w:abstractNumId w:val="4"/>
  </w:num>
  <w:num w:numId="2" w16cid:durableId="2017346365">
    <w:abstractNumId w:val="1"/>
  </w:num>
  <w:num w:numId="3" w16cid:durableId="1031033635">
    <w:abstractNumId w:val="0"/>
  </w:num>
  <w:num w:numId="4" w16cid:durableId="284770670">
    <w:abstractNumId w:val="8"/>
  </w:num>
  <w:num w:numId="5" w16cid:durableId="2144960456">
    <w:abstractNumId w:val="12"/>
  </w:num>
  <w:num w:numId="6" w16cid:durableId="1070691406">
    <w:abstractNumId w:val="2"/>
  </w:num>
  <w:num w:numId="7" w16cid:durableId="1351180078">
    <w:abstractNumId w:val="13"/>
  </w:num>
  <w:num w:numId="8" w16cid:durableId="1986857188">
    <w:abstractNumId w:val="17"/>
  </w:num>
  <w:num w:numId="9" w16cid:durableId="1859731240">
    <w:abstractNumId w:val="9"/>
  </w:num>
  <w:num w:numId="10" w16cid:durableId="1479955847">
    <w:abstractNumId w:val="18"/>
  </w:num>
  <w:num w:numId="11" w16cid:durableId="60521799">
    <w:abstractNumId w:val="6"/>
  </w:num>
  <w:num w:numId="12" w16cid:durableId="334961663">
    <w:abstractNumId w:val="15"/>
  </w:num>
  <w:num w:numId="13" w16cid:durableId="449931199">
    <w:abstractNumId w:val="10"/>
  </w:num>
  <w:num w:numId="14" w16cid:durableId="2051297595">
    <w:abstractNumId w:val="5"/>
  </w:num>
  <w:num w:numId="15" w16cid:durableId="207692105">
    <w:abstractNumId w:val="14"/>
  </w:num>
  <w:num w:numId="16" w16cid:durableId="1583753661">
    <w:abstractNumId w:val="16"/>
  </w:num>
  <w:num w:numId="17" w16cid:durableId="364185213">
    <w:abstractNumId w:val="7"/>
  </w:num>
  <w:num w:numId="18" w16cid:durableId="1477260880">
    <w:abstractNumId w:val="3"/>
  </w:num>
  <w:num w:numId="19" w16cid:durableId="78750734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0E2E"/>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E5FAC"/>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B5B03"/>
    <w:rsid w:val="001C3BAC"/>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20B65"/>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2DF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5CD0"/>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1D69"/>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C754D"/>
    <w:rsid w:val="005D09BD"/>
    <w:rsid w:val="005D16DD"/>
    <w:rsid w:val="005D43E0"/>
    <w:rsid w:val="005D58A3"/>
    <w:rsid w:val="005E1B79"/>
    <w:rsid w:val="005E6076"/>
    <w:rsid w:val="005E7008"/>
    <w:rsid w:val="005F026D"/>
    <w:rsid w:val="005F2AEA"/>
    <w:rsid w:val="005F2D0B"/>
    <w:rsid w:val="005F4B31"/>
    <w:rsid w:val="006039EB"/>
    <w:rsid w:val="006063D3"/>
    <w:rsid w:val="00610388"/>
    <w:rsid w:val="00610AC7"/>
    <w:rsid w:val="00612CA5"/>
    <w:rsid w:val="006153EC"/>
    <w:rsid w:val="00621A17"/>
    <w:rsid w:val="00627CC9"/>
    <w:rsid w:val="00627E7B"/>
    <w:rsid w:val="00630542"/>
    <w:rsid w:val="00632E44"/>
    <w:rsid w:val="0063381C"/>
    <w:rsid w:val="00633A22"/>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7E4C"/>
    <w:rsid w:val="007603F5"/>
    <w:rsid w:val="00763348"/>
    <w:rsid w:val="00764DB0"/>
    <w:rsid w:val="00766D86"/>
    <w:rsid w:val="0076764D"/>
    <w:rsid w:val="0077498C"/>
    <w:rsid w:val="007809BC"/>
    <w:rsid w:val="00784128"/>
    <w:rsid w:val="0078440A"/>
    <w:rsid w:val="00787BCC"/>
    <w:rsid w:val="007906D6"/>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671EB"/>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D694E"/>
    <w:rsid w:val="009E2AEB"/>
    <w:rsid w:val="009E2E27"/>
    <w:rsid w:val="009E45DF"/>
    <w:rsid w:val="009E4DE3"/>
    <w:rsid w:val="009F275E"/>
    <w:rsid w:val="00A047EE"/>
    <w:rsid w:val="00A215F8"/>
    <w:rsid w:val="00A2274A"/>
    <w:rsid w:val="00A235B7"/>
    <w:rsid w:val="00A27A7A"/>
    <w:rsid w:val="00A34ABE"/>
    <w:rsid w:val="00A407EF"/>
    <w:rsid w:val="00A46B4C"/>
    <w:rsid w:val="00A5117B"/>
    <w:rsid w:val="00A5540A"/>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05438"/>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30EB"/>
    <w:rsid w:val="00CD4998"/>
    <w:rsid w:val="00CE1035"/>
    <w:rsid w:val="00CE6E50"/>
    <w:rsid w:val="00CF2819"/>
    <w:rsid w:val="00CF4F9D"/>
    <w:rsid w:val="00CF70DC"/>
    <w:rsid w:val="00D01697"/>
    <w:rsid w:val="00D148DC"/>
    <w:rsid w:val="00D17FDC"/>
    <w:rsid w:val="00D21D8C"/>
    <w:rsid w:val="00D375B8"/>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15DAD"/>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0CB"/>
    <w:rsid w:val="00EB146B"/>
    <w:rsid w:val="00EB45AC"/>
    <w:rsid w:val="00EB7AD6"/>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2711</Words>
  <Characters>15453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Morris</cp:lastModifiedBy>
  <cp:revision>2</cp:revision>
  <cp:lastPrinted>2023-03-01T15:00:00Z</cp:lastPrinted>
  <dcterms:created xsi:type="dcterms:W3CDTF">2023-03-01T15:00:00Z</dcterms:created>
  <dcterms:modified xsi:type="dcterms:W3CDTF">2023-03-01T15:00:00Z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