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BA6E3D" w:rsidRDefault="00436884">
      <w:pPr>
        <w:pStyle w:val="ListParagraph"/>
        <w:numPr>
          <w:ilvl w:val="0"/>
          <w:numId w:val="1"/>
        </w:numPr>
        <w:ind w:left="426"/>
        <w:jc w:val="both"/>
        <w:rPr>
          <w:rFonts w:ascii="Avenir Next" w:hAnsi="Avenir Next" w:cs="Arial"/>
          <w:sz w:val="22"/>
          <w:szCs w:val="22"/>
          <w:lang w:val="en-GB"/>
        </w:rPr>
      </w:pPr>
      <w:bookmarkStart w:id="0" w:name="_Hlk1391126"/>
      <w:r w:rsidRPr="00BA6E3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BA6E3D" w:rsidRDefault="00436884" w:rsidP="00436884">
      <w:pPr>
        <w:jc w:val="both"/>
        <w:rPr>
          <w:rFonts w:ascii="Avenir Next" w:hAnsi="Avenir Next" w:cs="Arial"/>
          <w:sz w:val="22"/>
          <w:szCs w:val="22"/>
          <w:lang w:val="en-GB"/>
        </w:rPr>
      </w:pPr>
    </w:p>
    <w:bookmarkEnd w:id="0"/>
    <w:p w14:paraId="6F25DC7F" w14:textId="77777777" w:rsidR="00436884" w:rsidRPr="00BA6E3D" w:rsidRDefault="00436884">
      <w:pPr>
        <w:pStyle w:val="ListParagraph"/>
        <w:numPr>
          <w:ilvl w:val="0"/>
          <w:numId w:val="1"/>
        </w:numPr>
        <w:ind w:left="426"/>
        <w:jc w:val="both"/>
        <w:rPr>
          <w:rFonts w:ascii="Avenir Next" w:hAnsi="Avenir Next" w:cs="Arial"/>
          <w:sz w:val="22"/>
          <w:szCs w:val="22"/>
          <w:lang w:val="en-GB"/>
        </w:rPr>
      </w:pPr>
      <w:r w:rsidRPr="00BA6E3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A6E3D" w:rsidRDefault="00436884">
      <w:pPr>
        <w:pStyle w:val="ListParagraph"/>
        <w:numPr>
          <w:ilvl w:val="0"/>
          <w:numId w:val="1"/>
        </w:numPr>
        <w:ind w:left="426"/>
        <w:jc w:val="both"/>
        <w:rPr>
          <w:rFonts w:ascii="Avenir Next" w:hAnsi="Avenir Next" w:cs="Arial"/>
          <w:sz w:val="22"/>
          <w:szCs w:val="22"/>
          <w:highlight w:val="yellow"/>
          <w:lang w:val="en-GB"/>
        </w:rPr>
      </w:pPr>
      <w:r w:rsidRPr="00BA6E3D">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BA6E3D" w:rsidRDefault="00436884">
      <w:pPr>
        <w:pStyle w:val="ListParagraph"/>
        <w:numPr>
          <w:ilvl w:val="0"/>
          <w:numId w:val="1"/>
        </w:numPr>
        <w:ind w:left="426"/>
        <w:jc w:val="both"/>
        <w:rPr>
          <w:rFonts w:ascii="Avenir Next" w:hAnsi="Avenir Next" w:cs="Arial"/>
          <w:sz w:val="22"/>
          <w:szCs w:val="22"/>
          <w:lang w:val="en-GB"/>
        </w:rPr>
      </w:pPr>
      <w:r w:rsidRPr="00BA6E3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FD72C8" w:rsidRDefault="00436884">
      <w:pPr>
        <w:pStyle w:val="ListParagraph"/>
        <w:numPr>
          <w:ilvl w:val="0"/>
          <w:numId w:val="2"/>
        </w:numPr>
        <w:ind w:left="426"/>
        <w:jc w:val="both"/>
        <w:rPr>
          <w:rFonts w:ascii="Avenir Next" w:hAnsi="Avenir Next" w:cs="Arial"/>
          <w:sz w:val="22"/>
          <w:szCs w:val="22"/>
          <w:lang w:val="en-GB"/>
        </w:rPr>
      </w:pPr>
      <w:r w:rsidRPr="00FD72C8">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FD72C8" w:rsidRDefault="00436884">
      <w:pPr>
        <w:pStyle w:val="ListParagraph"/>
        <w:numPr>
          <w:ilvl w:val="0"/>
          <w:numId w:val="2"/>
        </w:numPr>
        <w:ind w:left="426"/>
        <w:jc w:val="both"/>
        <w:rPr>
          <w:rFonts w:ascii="Avenir Next" w:hAnsi="Avenir Next" w:cs="Arial"/>
          <w:sz w:val="22"/>
          <w:szCs w:val="22"/>
          <w:highlight w:val="yellow"/>
          <w:lang w:val="en-GB"/>
        </w:rPr>
      </w:pPr>
      <w:proofErr w:type="gramStart"/>
      <w:r w:rsidRPr="00FD72C8">
        <w:rPr>
          <w:rFonts w:ascii="Avenir Next" w:hAnsi="Avenir Next" w:cs="Arial"/>
          <w:sz w:val="22"/>
          <w:szCs w:val="22"/>
          <w:highlight w:val="yellow"/>
          <w:lang w:val="en-GB"/>
        </w:rPr>
        <w:t>All of</w:t>
      </w:r>
      <w:proofErr w:type="gramEnd"/>
      <w:r w:rsidRPr="00FD72C8">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ED766F">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D766F" w:rsidRDefault="00853A74">
      <w:pPr>
        <w:pStyle w:val="ListParagraph"/>
        <w:numPr>
          <w:ilvl w:val="0"/>
          <w:numId w:val="3"/>
        </w:numPr>
        <w:ind w:left="426"/>
        <w:jc w:val="both"/>
        <w:rPr>
          <w:rFonts w:ascii="Avenir Next" w:hAnsi="Avenir Next" w:cs="Arial"/>
          <w:sz w:val="22"/>
          <w:szCs w:val="22"/>
          <w:lang w:val="en-GB"/>
        </w:rPr>
      </w:pPr>
      <w:r w:rsidRPr="00ED766F">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86F21" w:rsidRDefault="00436884">
      <w:pPr>
        <w:pStyle w:val="ListParagraph"/>
        <w:numPr>
          <w:ilvl w:val="0"/>
          <w:numId w:val="4"/>
        </w:numPr>
        <w:ind w:left="426"/>
        <w:jc w:val="both"/>
        <w:rPr>
          <w:rFonts w:ascii="Avenir Next" w:hAnsi="Avenir Next" w:cs="Arial"/>
          <w:sz w:val="22"/>
          <w:szCs w:val="22"/>
          <w:highlight w:val="yellow"/>
          <w:lang w:val="en-GB"/>
        </w:rPr>
      </w:pPr>
      <w:r w:rsidRPr="00386F21">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9B16FA" w:rsidRDefault="00C504E5">
      <w:pPr>
        <w:pStyle w:val="ListParagraph"/>
        <w:numPr>
          <w:ilvl w:val="0"/>
          <w:numId w:val="5"/>
        </w:numPr>
        <w:ind w:left="426"/>
        <w:jc w:val="both"/>
        <w:rPr>
          <w:rFonts w:ascii="Avenir Next" w:hAnsi="Avenir Next" w:cs="Arial"/>
          <w:sz w:val="22"/>
          <w:szCs w:val="22"/>
          <w:highlight w:val="yellow"/>
          <w:lang w:val="en-GB"/>
        </w:rPr>
      </w:pPr>
      <w:r w:rsidRPr="009B16FA">
        <w:rPr>
          <w:rFonts w:ascii="Avenir Next" w:hAnsi="Avenir Next" w:cs="Arial"/>
          <w:sz w:val="22"/>
          <w:szCs w:val="22"/>
          <w:highlight w:val="yellow"/>
          <w:lang w:val="en-GB"/>
        </w:rPr>
        <w:t xml:space="preserve">Both the foreign main proceedings in South Africa and the foreign non-main proceedings in </w:t>
      </w:r>
      <w:r w:rsidR="004137C3" w:rsidRPr="009B16FA">
        <w:rPr>
          <w:rFonts w:ascii="Avenir Next" w:hAnsi="Avenir Next" w:cs="Arial"/>
          <w:sz w:val="22"/>
          <w:szCs w:val="22"/>
          <w:highlight w:val="yellow"/>
          <w:lang w:val="en-GB"/>
        </w:rPr>
        <w:t xml:space="preserve">Argentina </w:t>
      </w:r>
      <w:r w:rsidRPr="009B16FA">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624E8F" w:rsidRDefault="00B72F5F">
      <w:pPr>
        <w:pStyle w:val="ListParagraph"/>
        <w:numPr>
          <w:ilvl w:val="0"/>
          <w:numId w:val="6"/>
        </w:numPr>
        <w:ind w:left="426"/>
        <w:jc w:val="both"/>
        <w:rPr>
          <w:rFonts w:ascii="Avenir Next" w:hAnsi="Avenir Next" w:cs="Arial"/>
          <w:sz w:val="22"/>
          <w:szCs w:val="22"/>
          <w:highlight w:val="yellow"/>
          <w:lang w:val="en-GB"/>
        </w:rPr>
      </w:pPr>
      <w:r w:rsidRPr="00624E8F">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24E8F">
        <w:rPr>
          <w:rFonts w:ascii="Avenir Next" w:hAnsi="Avenir Next" w:cs="Arial"/>
          <w:sz w:val="22"/>
          <w:szCs w:val="22"/>
          <w:highlight w:val="yellow"/>
          <w:lang w:val="en-GB"/>
        </w:rPr>
        <w:t>will</w:t>
      </w:r>
      <w:r w:rsidRPr="00624E8F">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A28F4" w:rsidRDefault="00436884">
      <w:pPr>
        <w:pStyle w:val="ListParagraph"/>
        <w:numPr>
          <w:ilvl w:val="0"/>
          <w:numId w:val="7"/>
        </w:numPr>
        <w:ind w:left="426"/>
        <w:jc w:val="both"/>
        <w:rPr>
          <w:rFonts w:ascii="Avenir Next" w:hAnsi="Avenir Next" w:cs="Arial"/>
          <w:sz w:val="22"/>
          <w:szCs w:val="22"/>
          <w:highlight w:val="yellow"/>
          <w:lang w:val="en-GB"/>
        </w:rPr>
      </w:pPr>
      <w:r w:rsidRPr="003A28F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CD7E63" w:rsidRDefault="00436884">
      <w:pPr>
        <w:pStyle w:val="ListParagraph"/>
        <w:numPr>
          <w:ilvl w:val="0"/>
          <w:numId w:val="8"/>
        </w:numPr>
        <w:ind w:left="426"/>
        <w:jc w:val="both"/>
        <w:rPr>
          <w:rFonts w:ascii="Avenir Next" w:hAnsi="Avenir Next" w:cs="Arial"/>
          <w:sz w:val="22"/>
          <w:szCs w:val="22"/>
          <w:highlight w:val="yellow"/>
          <w:lang w:val="en-GB"/>
        </w:rPr>
      </w:pPr>
      <w:r w:rsidRPr="00CD7E63">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782FF5" w:rsidRDefault="00436884">
      <w:pPr>
        <w:pStyle w:val="ListParagraph"/>
        <w:numPr>
          <w:ilvl w:val="0"/>
          <w:numId w:val="9"/>
        </w:numPr>
        <w:ind w:left="426"/>
        <w:jc w:val="both"/>
        <w:rPr>
          <w:rFonts w:ascii="Avenir Next" w:hAnsi="Avenir Next" w:cs="Arial"/>
          <w:sz w:val="22"/>
          <w:szCs w:val="22"/>
          <w:highlight w:val="yellow"/>
          <w:lang w:val="en-GB"/>
        </w:rPr>
      </w:pPr>
      <w:r w:rsidRPr="00782FF5">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786CB9" w:rsidRDefault="00436884">
      <w:pPr>
        <w:pStyle w:val="ListParagraph"/>
        <w:numPr>
          <w:ilvl w:val="0"/>
          <w:numId w:val="10"/>
        </w:numPr>
        <w:ind w:left="426"/>
        <w:jc w:val="both"/>
        <w:rPr>
          <w:rFonts w:ascii="Avenir Next" w:hAnsi="Avenir Next" w:cs="Arial"/>
          <w:sz w:val="22"/>
          <w:szCs w:val="22"/>
          <w:highlight w:val="yellow"/>
          <w:lang w:val="en-GB"/>
        </w:rPr>
      </w:pPr>
      <w:r w:rsidRPr="00786CB9">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786CB9">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27C8BF0D" w:rsidR="00CB56CE" w:rsidRPr="00C102B7" w:rsidRDefault="00A16797" w:rsidP="00262894">
      <w:pPr>
        <w:jc w:val="both"/>
        <w:rPr>
          <w:rFonts w:ascii="Arial" w:hAnsi="Arial" w:cs="Arial"/>
          <w:color w:val="808080" w:themeColor="background1" w:themeShade="80"/>
          <w:sz w:val="22"/>
          <w:szCs w:val="22"/>
          <w:lang w:val="en-GB"/>
        </w:rPr>
      </w:pPr>
      <w:r w:rsidRPr="00C102B7">
        <w:rPr>
          <w:rFonts w:ascii="Arial" w:hAnsi="Arial" w:cs="Arial"/>
          <w:color w:val="808080" w:themeColor="background1" w:themeShade="80"/>
          <w:sz w:val="22"/>
          <w:szCs w:val="22"/>
          <w:lang w:val="en-GB"/>
        </w:rPr>
        <w:t xml:space="preserve">The appropriate date is the date </w:t>
      </w:r>
      <w:r w:rsidR="00E96D6A" w:rsidRPr="00C102B7">
        <w:rPr>
          <w:rFonts w:ascii="Arial" w:hAnsi="Arial" w:cs="Arial"/>
          <w:color w:val="808080" w:themeColor="background1" w:themeShade="80"/>
          <w:sz w:val="22"/>
          <w:szCs w:val="22"/>
          <w:lang w:val="en-GB"/>
        </w:rPr>
        <w:t xml:space="preserve">of commencement of the foreign proceeding. </w:t>
      </w:r>
      <w:proofErr w:type="gramStart"/>
      <w:r w:rsidR="0052366F" w:rsidRPr="00C102B7">
        <w:rPr>
          <w:rFonts w:ascii="Arial" w:hAnsi="Arial" w:cs="Arial"/>
          <w:color w:val="808080" w:themeColor="background1" w:themeShade="80"/>
          <w:sz w:val="22"/>
          <w:szCs w:val="22"/>
          <w:lang w:val="en-GB"/>
        </w:rPr>
        <w:t>However</w:t>
      </w:r>
      <w:proofErr w:type="gramEnd"/>
      <w:r w:rsidR="0052366F" w:rsidRPr="00C102B7">
        <w:rPr>
          <w:rFonts w:ascii="Arial" w:hAnsi="Arial" w:cs="Arial"/>
          <w:color w:val="808080" w:themeColor="background1" w:themeShade="80"/>
          <w:sz w:val="22"/>
          <w:szCs w:val="22"/>
          <w:lang w:val="en-GB"/>
        </w:rPr>
        <w:t xml:space="preserve"> the courts w</w:t>
      </w:r>
      <w:r w:rsidR="004B531A" w:rsidRPr="00C102B7">
        <w:rPr>
          <w:rFonts w:ascii="Arial" w:hAnsi="Arial" w:cs="Arial"/>
          <w:color w:val="808080" w:themeColor="background1" w:themeShade="80"/>
          <w:sz w:val="22"/>
          <w:szCs w:val="22"/>
          <w:lang w:val="en-GB"/>
        </w:rPr>
        <w:t>ill be live to manipulation of the debtor’s COMI</w:t>
      </w:r>
      <w:r w:rsidR="00262894" w:rsidRPr="00C102B7">
        <w:rPr>
          <w:rFonts w:ascii="Arial" w:hAnsi="Arial" w:cs="Arial"/>
          <w:color w:val="808080" w:themeColor="background1" w:themeShade="80"/>
          <w:sz w:val="22"/>
          <w:szCs w:val="22"/>
          <w:lang w:val="en-GB"/>
        </w:rPr>
        <w:t xml:space="preserve"> which must be readily identifiable to third parties.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04AB6CEE" w:rsidR="00867A8F" w:rsidRPr="00C102B7" w:rsidRDefault="000C79E1">
      <w:pPr>
        <w:pStyle w:val="ListParagraph"/>
        <w:numPr>
          <w:ilvl w:val="0"/>
          <w:numId w:val="15"/>
        </w:numPr>
        <w:jc w:val="both"/>
        <w:rPr>
          <w:rFonts w:ascii="Arial" w:hAnsi="Arial" w:cs="Arial"/>
          <w:color w:val="808080" w:themeColor="background1" w:themeShade="80"/>
          <w:sz w:val="22"/>
          <w:szCs w:val="22"/>
          <w:lang w:val="en-GB"/>
        </w:rPr>
      </w:pPr>
      <w:r w:rsidRPr="00C102B7">
        <w:rPr>
          <w:rFonts w:ascii="Arial" w:hAnsi="Arial" w:cs="Arial"/>
          <w:color w:val="808080" w:themeColor="background1" w:themeShade="80"/>
          <w:sz w:val="22"/>
          <w:szCs w:val="22"/>
          <w:lang w:val="en-GB"/>
        </w:rPr>
        <w:t>Article 14</w:t>
      </w:r>
    </w:p>
    <w:p w14:paraId="3F7EA4CD" w14:textId="536A5BC4" w:rsidR="00E45744" w:rsidRPr="00C102B7" w:rsidRDefault="0020786F">
      <w:pPr>
        <w:pStyle w:val="ListParagraph"/>
        <w:numPr>
          <w:ilvl w:val="0"/>
          <w:numId w:val="15"/>
        </w:numPr>
        <w:jc w:val="both"/>
        <w:rPr>
          <w:rFonts w:ascii="Arial" w:hAnsi="Arial" w:cs="Arial"/>
          <w:color w:val="808080" w:themeColor="background1" w:themeShade="80"/>
          <w:sz w:val="22"/>
          <w:szCs w:val="22"/>
          <w:lang w:val="en-GB"/>
        </w:rPr>
      </w:pPr>
      <w:r w:rsidRPr="00C102B7">
        <w:rPr>
          <w:rFonts w:ascii="Arial" w:hAnsi="Arial" w:cs="Arial"/>
          <w:color w:val="808080" w:themeColor="background1" w:themeShade="80"/>
          <w:sz w:val="22"/>
          <w:szCs w:val="22"/>
          <w:lang w:val="en-GB"/>
        </w:rPr>
        <w:t>Article 10</w:t>
      </w:r>
    </w:p>
    <w:p w14:paraId="324F4ABE" w14:textId="12CEC532" w:rsidR="00F61DB5" w:rsidRPr="00C102B7" w:rsidRDefault="00A35BAE">
      <w:pPr>
        <w:pStyle w:val="ListParagraph"/>
        <w:numPr>
          <w:ilvl w:val="0"/>
          <w:numId w:val="15"/>
        </w:numPr>
        <w:jc w:val="both"/>
        <w:rPr>
          <w:rFonts w:ascii="Arial" w:hAnsi="Arial" w:cs="Arial"/>
          <w:color w:val="808080" w:themeColor="background1" w:themeShade="80"/>
          <w:sz w:val="22"/>
          <w:szCs w:val="22"/>
          <w:lang w:val="en-GB"/>
        </w:rPr>
      </w:pPr>
      <w:r w:rsidRPr="00C102B7">
        <w:rPr>
          <w:rFonts w:ascii="Arial" w:hAnsi="Arial" w:cs="Arial"/>
          <w:color w:val="808080" w:themeColor="background1" w:themeShade="80"/>
          <w:sz w:val="22"/>
          <w:szCs w:val="22"/>
          <w:lang w:val="en-GB"/>
        </w:rPr>
        <w:t>Rebuttable presumption that the</w:t>
      </w:r>
      <w:r w:rsidR="0058172B" w:rsidRPr="00C102B7">
        <w:rPr>
          <w:rFonts w:ascii="Arial" w:hAnsi="Arial" w:cs="Arial"/>
          <w:color w:val="808080" w:themeColor="background1" w:themeShade="80"/>
          <w:sz w:val="22"/>
          <w:szCs w:val="22"/>
          <w:lang w:val="en-GB"/>
        </w:rPr>
        <w:t xml:space="preserve"> place of the</w:t>
      </w:r>
      <w:r w:rsidRPr="00C102B7">
        <w:rPr>
          <w:rFonts w:ascii="Arial" w:hAnsi="Arial" w:cs="Arial"/>
          <w:color w:val="808080" w:themeColor="background1" w:themeShade="80"/>
          <w:sz w:val="22"/>
          <w:szCs w:val="22"/>
          <w:lang w:val="en-GB"/>
        </w:rPr>
        <w:t xml:space="preserve"> registered office of the debtor is its</w:t>
      </w:r>
      <w:r w:rsidR="0058172B" w:rsidRPr="00C102B7">
        <w:rPr>
          <w:rFonts w:ascii="Arial" w:hAnsi="Arial" w:cs="Arial"/>
          <w:color w:val="808080" w:themeColor="background1" w:themeShade="80"/>
          <w:sz w:val="22"/>
          <w:szCs w:val="22"/>
          <w:lang w:val="en-GB"/>
        </w:rPr>
        <w:t xml:space="preserve"> place </w:t>
      </w:r>
      <w:proofErr w:type="gramStart"/>
      <w:r w:rsidR="0058172B" w:rsidRPr="00C102B7">
        <w:rPr>
          <w:rFonts w:ascii="Arial" w:hAnsi="Arial" w:cs="Arial"/>
          <w:color w:val="808080" w:themeColor="background1" w:themeShade="80"/>
          <w:sz w:val="22"/>
          <w:szCs w:val="22"/>
          <w:lang w:val="en-GB"/>
        </w:rPr>
        <w:t xml:space="preserve">of </w:t>
      </w:r>
      <w:r w:rsidRPr="00C102B7">
        <w:rPr>
          <w:rFonts w:ascii="Arial" w:hAnsi="Arial" w:cs="Arial"/>
          <w:color w:val="808080" w:themeColor="background1" w:themeShade="80"/>
          <w:sz w:val="22"/>
          <w:szCs w:val="22"/>
          <w:lang w:val="en-GB"/>
        </w:rPr>
        <w:t xml:space="preserve"> COMI</w:t>
      </w:r>
      <w:proofErr w:type="gramEnd"/>
      <w:r w:rsidR="00B92656" w:rsidRPr="00C102B7">
        <w:rPr>
          <w:rFonts w:ascii="Arial" w:hAnsi="Arial" w:cs="Arial"/>
          <w:color w:val="808080" w:themeColor="background1" w:themeShade="80"/>
          <w:sz w:val="22"/>
          <w:szCs w:val="22"/>
          <w:lang w:val="en-GB"/>
        </w:rPr>
        <w:t>; Article 16(3)</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1465D179" w:rsidR="00867A8F" w:rsidRPr="00C102B7" w:rsidRDefault="00B719AD" w:rsidP="00B719AD">
      <w:pPr>
        <w:jc w:val="both"/>
        <w:rPr>
          <w:rFonts w:ascii="Arial" w:hAnsi="Arial" w:cs="Arial"/>
          <w:sz w:val="22"/>
          <w:szCs w:val="22"/>
        </w:rPr>
      </w:pPr>
      <w:r w:rsidRPr="00C102B7">
        <w:rPr>
          <w:rFonts w:ascii="Arial" w:hAnsi="Arial" w:cs="Arial"/>
          <w:sz w:val="22"/>
          <w:szCs w:val="22"/>
        </w:rPr>
        <w:t>The IBA case concerned the interaction of the Gibbs Rule under English law and article 21 of the Model Law and in turn the interaction of foreign insolvency laws and ordinary principles of English contract law. The indefinite moratorium continuation application was an attempt as a way around the Gibbs Rule. The judge in the IBA case determined that the moratorium application cannot be deployed as a way around the Gibbs Rule.</w:t>
      </w:r>
    </w:p>
    <w:p w14:paraId="74294201" w14:textId="77777777" w:rsidR="001F15DC" w:rsidRPr="00C102B7" w:rsidRDefault="001F15DC" w:rsidP="00B719AD">
      <w:pPr>
        <w:jc w:val="both"/>
        <w:rPr>
          <w:rFonts w:ascii="Arial" w:hAnsi="Arial" w:cs="Arial"/>
          <w:sz w:val="22"/>
          <w:szCs w:val="22"/>
        </w:rPr>
      </w:pPr>
    </w:p>
    <w:p w14:paraId="2121D2C5" w14:textId="4C2CE923" w:rsidR="006231FE" w:rsidRPr="00C102B7" w:rsidRDefault="001F15DC" w:rsidP="00B719AD">
      <w:pPr>
        <w:jc w:val="both"/>
        <w:rPr>
          <w:rFonts w:ascii="Arial" w:hAnsi="Arial" w:cs="Arial"/>
          <w:color w:val="808080" w:themeColor="background1" w:themeShade="80"/>
          <w:sz w:val="22"/>
          <w:szCs w:val="22"/>
          <w:lang w:val="en-GB"/>
        </w:rPr>
      </w:pPr>
      <w:r w:rsidRPr="00C102B7">
        <w:rPr>
          <w:rFonts w:ascii="Arial" w:hAnsi="Arial" w:cs="Arial"/>
          <w:sz w:val="22"/>
          <w:szCs w:val="22"/>
        </w:rPr>
        <w:t>The Court of Appeal was not</w:t>
      </w:r>
      <w:r w:rsidR="006231FE" w:rsidRPr="00C102B7">
        <w:rPr>
          <w:rFonts w:ascii="Arial" w:hAnsi="Arial" w:cs="Arial"/>
          <w:sz w:val="22"/>
          <w:szCs w:val="22"/>
        </w:rPr>
        <w:t xml:space="preserve"> convinced that (a) the indefinite stay </w:t>
      </w:r>
      <w:r w:rsidRPr="00C102B7">
        <w:rPr>
          <w:rFonts w:ascii="Arial" w:hAnsi="Arial" w:cs="Arial"/>
          <w:sz w:val="22"/>
          <w:szCs w:val="22"/>
        </w:rPr>
        <w:t>wa</w:t>
      </w:r>
      <w:r w:rsidR="006231FE" w:rsidRPr="00C102B7">
        <w:rPr>
          <w:rFonts w:ascii="Arial" w:hAnsi="Arial" w:cs="Arial"/>
          <w:sz w:val="22"/>
          <w:szCs w:val="22"/>
        </w:rPr>
        <w:t>s necessary to protect the interests of IBA’s creditors and (b)</w:t>
      </w:r>
      <w:r w:rsidR="00981142" w:rsidRPr="00C102B7">
        <w:rPr>
          <w:rFonts w:ascii="Arial" w:hAnsi="Arial" w:cs="Arial"/>
          <w:sz w:val="22"/>
          <w:szCs w:val="22"/>
        </w:rPr>
        <w:t xml:space="preserve"> that</w:t>
      </w:r>
      <w:r w:rsidR="006231FE" w:rsidRPr="00C102B7">
        <w:rPr>
          <w:rFonts w:ascii="Arial" w:hAnsi="Arial" w:cs="Arial"/>
          <w:sz w:val="22"/>
          <w:szCs w:val="22"/>
        </w:rPr>
        <w:t xml:space="preserve"> an indefinite stay </w:t>
      </w:r>
      <w:r w:rsidR="00981142" w:rsidRPr="00C102B7">
        <w:rPr>
          <w:rFonts w:ascii="Arial" w:hAnsi="Arial" w:cs="Arial"/>
          <w:sz w:val="22"/>
          <w:szCs w:val="22"/>
        </w:rPr>
        <w:t>wa</w:t>
      </w:r>
      <w:r w:rsidR="006231FE" w:rsidRPr="00C102B7">
        <w:rPr>
          <w:rFonts w:ascii="Arial" w:hAnsi="Arial" w:cs="Arial"/>
          <w:sz w:val="22"/>
          <w:szCs w:val="22"/>
        </w:rPr>
        <w:t xml:space="preserve">s the appropriate way of achieving such protection. </w:t>
      </w:r>
      <w:r w:rsidR="00981142" w:rsidRPr="00C102B7">
        <w:rPr>
          <w:rFonts w:ascii="Arial" w:hAnsi="Arial" w:cs="Arial"/>
          <w:sz w:val="22"/>
          <w:szCs w:val="22"/>
        </w:rPr>
        <w:t xml:space="preserve">In addition, based </w:t>
      </w:r>
      <w:r w:rsidR="006231FE" w:rsidRPr="00C102B7">
        <w:rPr>
          <w:rFonts w:ascii="Arial" w:hAnsi="Arial" w:cs="Arial"/>
          <w:sz w:val="22"/>
          <w:szCs w:val="22"/>
        </w:rPr>
        <w:t>on Article 18 of the</w:t>
      </w:r>
      <w:r w:rsidR="00981142" w:rsidRPr="00C102B7">
        <w:rPr>
          <w:rFonts w:ascii="Arial" w:hAnsi="Arial" w:cs="Arial"/>
          <w:sz w:val="22"/>
          <w:szCs w:val="22"/>
        </w:rPr>
        <w:t xml:space="preserve"> Model Law</w:t>
      </w:r>
      <w:r w:rsidR="00CA00DA" w:rsidRPr="00C102B7">
        <w:rPr>
          <w:rFonts w:ascii="Arial" w:hAnsi="Arial" w:cs="Arial"/>
          <w:sz w:val="22"/>
          <w:szCs w:val="22"/>
        </w:rPr>
        <w:t>, the</w:t>
      </w:r>
      <w:r w:rsidR="006231FE" w:rsidRPr="00C102B7">
        <w:rPr>
          <w:rFonts w:ascii="Arial" w:hAnsi="Arial" w:cs="Arial"/>
          <w:sz w:val="22"/>
          <w:szCs w:val="22"/>
        </w:rPr>
        <w:t xml:space="preserve"> Court of Appeal held that </w:t>
      </w:r>
      <w:r w:rsidR="00D338DC" w:rsidRPr="00C102B7">
        <w:rPr>
          <w:rFonts w:ascii="Arial" w:hAnsi="Arial" w:cs="Arial"/>
          <w:sz w:val="22"/>
          <w:szCs w:val="22"/>
        </w:rPr>
        <w:t xml:space="preserve">when the </w:t>
      </w:r>
      <w:r w:rsidR="004C1592" w:rsidRPr="00C102B7">
        <w:rPr>
          <w:rFonts w:ascii="Arial" w:hAnsi="Arial" w:cs="Arial"/>
          <w:sz w:val="22"/>
          <w:szCs w:val="22"/>
        </w:rPr>
        <w:t>foreign proceeding comes to an end, there is no scope</w:t>
      </w:r>
      <w:r w:rsidR="00C569DF" w:rsidRPr="00C102B7">
        <w:rPr>
          <w:rFonts w:ascii="Arial" w:hAnsi="Arial" w:cs="Arial"/>
          <w:sz w:val="22"/>
          <w:szCs w:val="22"/>
        </w:rPr>
        <w:t xml:space="preserve"> for further orders in support of the foreign proceeding</w:t>
      </w:r>
      <w:r w:rsidR="00D40CAF" w:rsidRPr="00C102B7">
        <w:rPr>
          <w:rFonts w:ascii="Arial" w:hAnsi="Arial" w:cs="Arial"/>
          <w:sz w:val="22"/>
          <w:szCs w:val="22"/>
        </w:rPr>
        <w:t xml:space="preserve"> and any relief previously granted comes to an end.</w:t>
      </w:r>
      <w:r w:rsidR="004C1592" w:rsidRPr="00C102B7">
        <w:rPr>
          <w:rFonts w:ascii="Arial" w:hAnsi="Arial" w:cs="Arial"/>
          <w:sz w:val="22"/>
          <w:szCs w:val="22"/>
        </w:rPr>
        <w:t xml:space="preserve"> </w:t>
      </w:r>
      <w:r w:rsidR="00DE67FE" w:rsidRPr="00C102B7">
        <w:rPr>
          <w:rFonts w:ascii="Arial" w:hAnsi="Arial" w:cs="Arial"/>
          <w:sz w:val="22"/>
          <w:szCs w:val="22"/>
        </w:rPr>
        <w:t xml:space="preserve">The court held that </w:t>
      </w:r>
      <w:r w:rsidR="006231FE" w:rsidRPr="00C102B7">
        <w:rPr>
          <w:rFonts w:ascii="Arial" w:hAnsi="Arial" w:cs="Arial"/>
          <w:sz w:val="22"/>
          <w:szCs w:val="22"/>
        </w:rPr>
        <w:t xml:space="preserve">had the </w:t>
      </w:r>
      <w:r w:rsidR="00CA00DA" w:rsidRPr="00C102B7">
        <w:rPr>
          <w:rFonts w:ascii="Arial" w:hAnsi="Arial" w:cs="Arial"/>
          <w:sz w:val="22"/>
          <w:szCs w:val="22"/>
        </w:rPr>
        <w:t>Model Law</w:t>
      </w:r>
      <w:r w:rsidR="006231FE" w:rsidRPr="00C102B7">
        <w:rPr>
          <w:rFonts w:ascii="Arial" w:hAnsi="Arial" w:cs="Arial"/>
          <w:sz w:val="22"/>
          <w:szCs w:val="22"/>
        </w:rPr>
        <w:t xml:space="preserve"> ever contemplated the continuance of relief after the end of the relevant foreign proceeding, it would have addressed the question explicitly and provided </w:t>
      </w:r>
      <w:r w:rsidR="00404BAE" w:rsidRPr="00C102B7">
        <w:rPr>
          <w:rFonts w:ascii="Arial" w:hAnsi="Arial" w:cs="Arial"/>
          <w:sz w:val="22"/>
          <w:szCs w:val="22"/>
        </w:rPr>
        <w:t xml:space="preserve">for that purpose.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96F3E81" w14:textId="0E5A5BD6" w:rsidR="00257437" w:rsidRPr="00247994" w:rsidRDefault="008A04C6" w:rsidP="00707FC8">
      <w:pPr>
        <w:jc w:val="both"/>
        <w:rPr>
          <w:rFonts w:ascii="Arial" w:hAnsi="Arial" w:cs="Arial"/>
          <w:sz w:val="22"/>
          <w:szCs w:val="28"/>
        </w:rPr>
      </w:pPr>
      <w:r w:rsidRPr="00247994">
        <w:rPr>
          <w:rFonts w:ascii="Arial" w:hAnsi="Arial" w:cs="Arial"/>
          <w:sz w:val="22"/>
          <w:szCs w:val="28"/>
        </w:rPr>
        <w:t>Primacy is given to the dome</w:t>
      </w:r>
      <w:r w:rsidR="00B01482" w:rsidRPr="00247994">
        <w:rPr>
          <w:rFonts w:ascii="Arial" w:hAnsi="Arial" w:cs="Arial"/>
          <w:sz w:val="22"/>
          <w:szCs w:val="28"/>
        </w:rPr>
        <w:t xml:space="preserve">stic proceed under Article 29 of the Model Law. </w:t>
      </w:r>
      <w:r w:rsidR="005872DE" w:rsidRPr="00247994">
        <w:rPr>
          <w:rFonts w:ascii="Arial" w:hAnsi="Arial" w:cs="Arial"/>
          <w:sz w:val="22"/>
          <w:szCs w:val="28"/>
        </w:rPr>
        <w:t>Check and review any relief granted under either article 19 or 21 and determine whether such relief requires amendment or modification if inconsistent with the domestic insolvency proceeding</w:t>
      </w:r>
      <w:r w:rsidR="00526131" w:rsidRPr="00247994">
        <w:rPr>
          <w:rFonts w:ascii="Arial" w:hAnsi="Arial" w:cs="Arial"/>
          <w:sz w:val="22"/>
          <w:szCs w:val="28"/>
        </w:rPr>
        <w:t xml:space="preserve"> (since relief must be consistent with the domestic insolvency proceedings). </w:t>
      </w:r>
      <w:r w:rsidR="005872DE" w:rsidRPr="00247994">
        <w:rPr>
          <w:rFonts w:ascii="Arial" w:hAnsi="Arial" w:cs="Arial"/>
          <w:sz w:val="22"/>
          <w:szCs w:val="28"/>
        </w:rPr>
        <w:t xml:space="preserve">Under Article 18 the foreign representative must promptly inform the court of the enacting State of any substantive change to the foreign main proceedings or the status of the representative </w:t>
      </w:r>
      <w:proofErr w:type="gramStart"/>
      <w:r w:rsidR="005872DE" w:rsidRPr="00247994">
        <w:rPr>
          <w:rFonts w:ascii="Arial" w:hAnsi="Arial" w:cs="Arial"/>
          <w:sz w:val="22"/>
          <w:szCs w:val="28"/>
        </w:rPr>
        <w:t>and also</w:t>
      </w:r>
      <w:proofErr w:type="gramEnd"/>
      <w:r w:rsidR="005872DE" w:rsidRPr="00247994">
        <w:rPr>
          <w:rFonts w:ascii="Arial" w:hAnsi="Arial" w:cs="Arial"/>
          <w:sz w:val="22"/>
          <w:szCs w:val="28"/>
        </w:rPr>
        <w:t xml:space="preserve"> if the representative becomes aware of any other foreign proceedings involving the same debtor. The foreign representative also has a general continuing duty of disclosure</w:t>
      </w:r>
      <w:r w:rsidR="007A46D9" w:rsidRPr="00247994">
        <w:rPr>
          <w:rFonts w:ascii="Arial" w:hAnsi="Arial" w:cs="Arial"/>
          <w:sz w:val="22"/>
          <w:szCs w:val="28"/>
        </w:rPr>
        <w:t xml:space="preserve">. </w:t>
      </w:r>
    </w:p>
    <w:p w14:paraId="17DA68A6" w14:textId="77777777" w:rsidR="005872DE" w:rsidRPr="00E2622D" w:rsidRDefault="005872DE"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DF7130" w:rsidRDefault="00E27E3C" w:rsidP="00E27E3C">
      <w:pPr>
        <w:jc w:val="both"/>
        <w:rPr>
          <w:rFonts w:ascii="Avenir Next LT Pro" w:hAnsi="Avenir Next LT Pro" w:cs="Arial"/>
          <w:szCs w:val="20"/>
          <w:lang w:val="en-GB"/>
        </w:rPr>
      </w:pPr>
      <w:r w:rsidRPr="00DF7130">
        <w:rPr>
          <w:rFonts w:ascii="Avenir Next LT Pro" w:hAnsi="Avenir Next LT Pro" w:cs="Arial"/>
          <w:szCs w:val="20"/>
          <w:lang w:val="en-GB"/>
        </w:rPr>
        <w:lastRenderedPageBreak/>
        <w:t>The foreign representative is considering his options to secure the value of the debtor’s assets located in State A. With reference to the Model Law</w:t>
      </w:r>
      <w:r w:rsidR="00E34181" w:rsidRPr="00DF7130">
        <w:rPr>
          <w:rFonts w:ascii="Avenir Next LT Pro" w:hAnsi="Avenir Next LT Pro" w:cs="Arial"/>
          <w:szCs w:val="20"/>
          <w:lang w:val="en-GB"/>
        </w:rPr>
        <w:t>’</w:t>
      </w:r>
      <w:r w:rsidRPr="00DF7130">
        <w:rPr>
          <w:rFonts w:ascii="Avenir Next LT Pro" w:hAnsi="Avenir Next LT Pro" w:cs="Arial"/>
          <w:szCs w:val="20"/>
          <w:lang w:val="en-GB"/>
        </w:rPr>
        <w:t>s provisions on access and co</w:t>
      </w:r>
      <w:r w:rsidR="00E34181" w:rsidRPr="00DF7130">
        <w:rPr>
          <w:rFonts w:ascii="Avenir Next LT Pro" w:hAnsi="Avenir Next LT Pro" w:cs="Arial"/>
          <w:szCs w:val="20"/>
          <w:lang w:val="en-GB"/>
        </w:rPr>
        <w:t>-</w:t>
      </w:r>
      <w:r w:rsidRPr="00DF7130">
        <w:rPr>
          <w:rFonts w:ascii="Avenir Next LT Pro" w:hAnsi="Avenir Next LT Pro" w:cs="Arial"/>
          <w:szCs w:val="20"/>
          <w:lang w:val="en-GB"/>
        </w:rPr>
        <w:t>operation, explain how these rights in State A can benefit the foreign representative</w:t>
      </w:r>
      <w:r w:rsidR="00E34181" w:rsidRPr="00DF7130">
        <w:rPr>
          <w:rFonts w:ascii="Avenir Next LT Pro" w:hAnsi="Avenir Next LT Pro" w:cs="Arial"/>
          <w:szCs w:val="20"/>
          <w:lang w:val="en-GB"/>
        </w:rPr>
        <w:t>.</w:t>
      </w:r>
    </w:p>
    <w:p w14:paraId="40933173" w14:textId="77777777" w:rsidR="00247994" w:rsidRDefault="00247994" w:rsidP="00247994">
      <w:pPr>
        <w:jc w:val="both"/>
        <w:rPr>
          <w:rFonts w:ascii="Arial" w:hAnsi="Arial" w:cs="Arial"/>
          <w:sz w:val="22"/>
          <w:szCs w:val="28"/>
        </w:rPr>
      </w:pPr>
    </w:p>
    <w:p w14:paraId="47403800" w14:textId="2157CE54" w:rsidR="00BF45F0" w:rsidRPr="00247994" w:rsidRDefault="00B75644" w:rsidP="00247994">
      <w:pPr>
        <w:jc w:val="both"/>
        <w:rPr>
          <w:rFonts w:ascii="Arial" w:hAnsi="Arial" w:cs="Arial"/>
          <w:sz w:val="22"/>
          <w:szCs w:val="28"/>
        </w:rPr>
      </w:pPr>
      <w:r w:rsidRPr="00247994">
        <w:rPr>
          <w:rFonts w:ascii="Arial" w:hAnsi="Arial" w:cs="Arial"/>
          <w:sz w:val="22"/>
          <w:szCs w:val="28"/>
        </w:rPr>
        <w:t>T</w:t>
      </w:r>
      <w:r w:rsidR="00F477F5" w:rsidRPr="00247994">
        <w:rPr>
          <w:rFonts w:ascii="Arial" w:hAnsi="Arial" w:cs="Arial"/>
          <w:sz w:val="22"/>
          <w:szCs w:val="28"/>
        </w:rPr>
        <w:t>he foreign representative</w:t>
      </w:r>
      <w:r w:rsidRPr="00247994">
        <w:rPr>
          <w:rFonts w:ascii="Arial" w:hAnsi="Arial" w:cs="Arial"/>
          <w:sz w:val="22"/>
          <w:szCs w:val="28"/>
        </w:rPr>
        <w:t xml:space="preserve"> has direct access </w:t>
      </w:r>
      <w:r w:rsidR="00790F8F" w:rsidRPr="00247994">
        <w:rPr>
          <w:rFonts w:ascii="Arial" w:hAnsi="Arial" w:cs="Arial"/>
          <w:sz w:val="22"/>
          <w:szCs w:val="28"/>
        </w:rPr>
        <w:t>to the courts in State A (Article 9 Model Law).</w:t>
      </w:r>
      <w:r w:rsidR="00062373" w:rsidRPr="00247994">
        <w:rPr>
          <w:rFonts w:ascii="Arial" w:hAnsi="Arial" w:cs="Arial"/>
          <w:sz w:val="22"/>
          <w:szCs w:val="28"/>
        </w:rPr>
        <w:t xml:space="preserve"> If the evidential requirements for recognition set out in Article 15 are </w:t>
      </w:r>
      <w:proofErr w:type="gramStart"/>
      <w:r w:rsidR="00062373" w:rsidRPr="00247994">
        <w:rPr>
          <w:rFonts w:ascii="Arial" w:hAnsi="Arial" w:cs="Arial"/>
          <w:sz w:val="22"/>
          <w:szCs w:val="28"/>
        </w:rPr>
        <w:t>met</w:t>
      </w:r>
      <w:proofErr w:type="gramEnd"/>
      <w:r w:rsidR="00062373" w:rsidRPr="00247994">
        <w:rPr>
          <w:rFonts w:ascii="Arial" w:hAnsi="Arial" w:cs="Arial"/>
          <w:sz w:val="22"/>
          <w:szCs w:val="28"/>
        </w:rPr>
        <w:t xml:space="preserve"> t</w:t>
      </w:r>
      <w:r w:rsidR="007E7A4B" w:rsidRPr="00247994">
        <w:rPr>
          <w:rFonts w:ascii="Arial" w:hAnsi="Arial" w:cs="Arial"/>
          <w:sz w:val="22"/>
          <w:szCs w:val="28"/>
        </w:rPr>
        <w:t xml:space="preserve">hen recognition will be granted pursuant to Article 17 of the Model Law. </w:t>
      </w:r>
      <w:r w:rsidR="0025055F" w:rsidRPr="00247994">
        <w:rPr>
          <w:rFonts w:ascii="Arial" w:hAnsi="Arial" w:cs="Arial"/>
          <w:sz w:val="22"/>
          <w:szCs w:val="28"/>
        </w:rPr>
        <w:t>The benefit of pursuing recognition is the saving of time and cost in that the foreign repre</w:t>
      </w:r>
      <w:r w:rsidR="00661E13" w:rsidRPr="00247994">
        <w:rPr>
          <w:rFonts w:ascii="Arial" w:hAnsi="Arial" w:cs="Arial"/>
          <w:sz w:val="22"/>
          <w:szCs w:val="28"/>
        </w:rPr>
        <w:t>sentative does not need to o</w:t>
      </w:r>
      <w:r w:rsidR="00857FDC" w:rsidRPr="00247994">
        <w:rPr>
          <w:rFonts w:ascii="Arial" w:hAnsi="Arial" w:cs="Arial"/>
          <w:sz w:val="22"/>
          <w:szCs w:val="28"/>
        </w:rPr>
        <w:t>pen separate insolvency proceedings in State A.</w:t>
      </w:r>
      <w:r w:rsidR="00012870" w:rsidRPr="00247994">
        <w:rPr>
          <w:rFonts w:ascii="Arial" w:hAnsi="Arial" w:cs="Arial"/>
          <w:sz w:val="22"/>
          <w:szCs w:val="28"/>
        </w:rPr>
        <w:t xml:space="preserve"> With recognition</w:t>
      </w:r>
      <w:r w:rsidR="009E7429" w:rsidRPr="00247994">
        <w:rPr>
          <w:rFonts w:ascii="Arial" w:hAnsi="Arial" w:cs="Arial"/>
          <w:sz w:val="22"/>
          <w:szCs w:val="28"/>
        </w:rPr>
        <w:t xml:space="preserve">, the foreign representative can </w:t>
      </w:r>
      <w:r w:rsidR="00F477F5" w:rsidRPr="00247994">
        <w:rPr>
          <w:rFonts w:ascii="Arial" w:hAnsi="Arial" w:cs="Arial"/>
          <w:sz w:val="22"/>
          <w:szCs w:val="28"/>
        </w:rPr>
        <w:t xml:space="preserve">safeguard and pursue assets of the debtor estate in State A before its courts. </w:t>
      </w:r>
    </w:p>
    <w:p w14:paraId="6174A40A" w14:textId="77777777" w:rsidR="00247994" w:rsidRDefault="00247994" w:rsidP="00247994">
      <w:pPr>
        <w:jc w:val="both"/>
        <w:rPr>
          <w:rFonts w:ascii="Arial" w:hAnsi="Arial" w:cs="Arial"/>
          <w:sz w:val="22"/>
          <w:szCs w:val="28"/>
        </w:rPr>
      </w:pPr>
    </w:p>
    <w:p w14:paraId="51824301" w14:textId="50DA4ACE" w:rsidR="00257437" w:rsidRPr="00247994" w:rsidRDefault="00F477F5" w:rsidP="00247994">
      <w:pPr>
        <w:jc w:val="both"/>
        <w:rPr>
          <w:rFonts w:ascii="Arial" w:hAnsi="Arial" w:cs="Arial"/>
          <w:sz w:val="24"/>
          <w:lang w:val="en-GB"/>
        </w:rPr>
      </w:pPr>
      <w:proofErr w:type="gramStart"/>
      <w:r w:rsidRPr="00247994">
        <w:rPr>
          <w:rFonts w:ascii="Arial" w:hAnsi="Arial" w:cs="Arial"/>
          <w:sz w:val="22"/>
          <w:szCs w:val="28"/>
        </w:rPr>
        <w:t>Similar to</w:t>
      </w:r>
      <w:proofErr w:type="gramEnd"/>
      <w:r w:rsidRPr="00247994">
        <w:rPr>
          <w:rFonts w:ascii="Arial" w:hAnsi="Arial" w:cs="Arial"/>
          <w:sz w:val="22"/>
          <w:szCs w:val="28"/>
        </w:rPr>
        <w:t xml:space="preserve"> access rights, the cooperation provisions in the</w:t>
      </w:r>
      <w:r w:rsidR="003A5639" w:rsidRPr="00247994">
        <w:rPr>
          <w:rFonts w:ascii="Arial" w:hAnsi="Arial" w:cs="Arial"/>
          <w:sz w:val="22"/>
          <w:szCs w:val="28"/>
        </w:rPr>
        <w:t xml:space="preserve"> Model Law</w:t>
      </w:r>
      <w:r w:rsidRPr="00247994">
        <w:rPr>
          <w:rFonts w:ascii="Arial" w:hAnsi="Arial" w:cs="Arial"/>
          <w:sz w:val="22"/>
          <w:szCs w:val="28"/>
        </w:rPr>
        <w:t xml:space="preserve"> (</w:t>
      </w:r>
      <w:r w:rsidR="003A5639" w:rsidRPr="00247994">
        <w:rPr>
          <w:rFonts w:ascii="Arial" w:hAnsi="Arial" w:cs="Arial"/>
          <w:sz w:val="22"/>
          <w:szCs w:val="28"/>
        </w:rPr>
        <w:t>A</w:t>
      </w:r>
      <w:r w:rsidRPr="00247994">
        <w:rPr>
          <w:rFonts w:ascii="Arial" w:hAnsi="Arial" w:cs="Arial"/>
          <w:sz w:val="22"/>
          <w:szCs w:val="28"/>
        </w:rPr>
        <w:t xml:space="preserve">rticles 25-27) also operate independently of recognition and it is not a prerequisite to the use of the cooperation provisions that recognition of the foreign proceedings is obtained in advance. </w:t>
      </w:r>
      <w:r w:rsidR="00CD3A7B" w:rsidRPr="00247994">
        <w:rPr>
          <w:rFonts w:ascii="Arial" w:hAnsi="Arial" w:cs="Arial"/>
          <w:sz w:val="22"/>
          <w:szCs w:val="28"/>
        </w:rPr>
        <w:t>The c</w:t>
      </w:r>
      <w:r w:rsidRPr="00247994">
        <w:rPr>
          <w:rFonts w:ascii="Arial" w:hAnsi="Arial" w:cs="Arial"/>
          <w:sz w:val="22"/>
          <w:szCs w:val="28"/>
        </w:rPr>
        <w:t xml:space="preserve">ourts in State A can freely cooperate with the foreign representative without having to </w:t>
      </w:r>
      <w:r w:rsidR="00AF7A63" w:rsidRPr="00247994">
        <w:rPr>
          <w:rFonts w:ascii="Arial" w:hAnsi="Arial" w:cs="Arial"/>
          <w:sz w:val="22"/>
          <w:szCs w:val="28"/>
        </w:rPr>
        <w:t>consider</w:t>
      </w:r>
      <w:r w:rsidRPr="00247994">
        <w:rPr>
          <w:rFonts w:ascii="Arial" w:hAnsi="Arial" w:cs="Arial"/>
          <w:sz w:val="22"/>
          <w:szCs w:val="28"/>
        </w:rPr>
        <w:t xml:space="preserve"> whether the status in State B of the foreign representative </w:t>
      </w:r>
      <w:r w:rsidR="00B40E3C" w:rsidRPr="00247994">
        <w:rPr>
          <w:rFonts w:ascii="Arial" w:hAnsi="Arial" w:cs="Arial"/>
          <w:sz w:val="22"/>
          <w:szCs w:val="28"/>
        </w:rPr>
        <w:t xml:space="preserve">may </w:t>
      </w:r>
      <w:r w:rsidRPr="00247994">
        <w:rPr>
          <w:rFonts w:ascii="Arial" w:hAnsi="Arial" w:cs="Arial"/>
          <w:sz w:val="22"/>
          <w:szCs w:val="28"/>
        </w:rPr>
        <w:t xml:space="preserve">be </w:t>
      </w:r>
      <w:proofErr w:type="spellStart"/>
      <w:r w:rsidRPr="00247994">
        <w:rPr>
          <w:rFonts w:ascii="Arial" w:hAnsi="Arial" w:cs="Arial"/>
          <w:sz w:val="22"/>
          <w:szCs w:val="28"/>
        </w:rPr>
        <w:t>recognised</w:t>
      </w:r>
      <w:proofErr w:type="spellEnd"/>
      <w:r w:rsidRPr="00247994">
        <w:rPr>
          <w:rFonts w:ascii="Arial" w:hAnsi="Arial" w:cs="Arial"/>
          <w:sz w:val="22"/>
          <w:szCs w:val="28"/>
        </w:rPr>
        <w:t xml:space="preserve"> in State A.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1E53477" w14:textId="37650418" w:rsidR="00C572CF" w:rsidRPr="000921B7" w:rsidRDefault="007C4E65" w:rsidP="00707FC8">
      <w:pPr>
        <w:jc w:val="both"/>
        <w:rPr>
          <w:rFonts w:ascii="Arial" w:hAnsi="Arial" w:cs="Arial"/>
          <w:sz w:val="22"/>
          <w:szCs w:val="28"/>
        </w:rPr>
      </w:pPr>
      <w:r w:rsidRPr="000921B7">
        <w:rPr>
          <w:rFonts w:ascii="Arial" w:hAnsi="Arial" w:cs="Arial"/>
          <w:sz w:val="22"/>
          <w:szCs w:val="28"/>
        </w:rPr>
        <w:t xml:space="preserve">Article 15 sets out the evidential requirements. An application for recognition must be accompanied by a certified copy of the decision commencing the foreign proceedings and appointing the foreign representative or a certificate from the foreign court confirming same. An application for recognition is also required to contain a statement identifying all foreign proceedings in respect of the debtor that are known. As regards judicial scrutiny certain presumptions apply per Article 16 </w:t>
      </w:r>
      <w:proofErr w:type="gramStart"/>
      <w:r w:rsidRPr="000921B7">
        <w:rPr>
          <w:rFonts w:ascii="Arial" w:hAnsi="Arial" w:cs="Arial"/>
          <w:sz w:val="22"/>
          <w:szCs w:val="28"/>
        </w:rPr>
        <w:t>in particular the</w:t>
      </w:r>
      <w:proofErr w:type="gramEnd"/>
      <w:r w:rsidRPr="000921B7">
        <w:rPr>
          <w:rFonts w:ascii="Arial" w:hAnsi="Arial" w:cs="Arial"/>
          <w:sz w:val="22"/>
          <w:szCs w:val="28"/>
        </w:rPr>
        <w:t xml:space="preserve"> court is entitled to presume the veracity of the documentation provided to it. Recognition must be granted as a matter of course where the requirements of Article 15(2) are met. If the debtor has its COMI in State </w:t>
      </w:r>
      <w:proofErr w:type="gramStart"/>
      <w:r w:rsidRPr="000921B7">
        <w:rPr>
          <w:rFonts w:ascii="Arial" w:hAnsi="Arial" w:cs="Arial"/>
          <w:sz w:val="22"/>
          <w:szCs w:val="28"/>
        </w:rPr>
        <w:t>B</w:t>
      </w:r>
      <w:proofErr w:type="gramEnd"/>
      <w:r w:rsidRPr="000921B7">
        <w:rPr>
          <w:rFonts w:ascii="Arial" w:hAnsi="Arial" w:cs="Arial"/>
          <w:sz w:val="22"/>
          <w:szCs w:val="28"/>
        </w:rPr>
        <w:t xml:space="preserve"> then the foreign proceedings qualify as foreign main proceedings otherwise if the debtor has an establishment in State B then the foreign proceedings will qualify as non-main proceedings. </w:t>
      </w:r>
    </w:p>
    <w:p w14:paraId="395AF027" w14:textId="70BBC887" w:rsidR="00C572CF" w:rsidRPr="000921B7" w:rsidRDefault="00C572CF" w:rsidP="00707FC8">
      <w:pPr>
        <w:jc w:val="both"/>
        <w:rPr>
          <w:rFonts w:ascii="Arial" w:hAnsi="Arial" w:cs="Arial"/>
          <w:sz w:val="22"/>
          <w:szCs w:val="28"/>
        </w:rPr>
      </w:pPr>
    </w:p>
    <w:p w14:paraId="6F08E45E" w14:textId="35E67128" w:rsidR="00C572CF" w:rsidRPr="000921B7" w:rsidRDefault="00C572CF" w:rsidP="00707FC8">
      <w:pPr>
        <w:jc w:val="both"/>
        <w:rPr>
          <w:rFonts w:ascii="Arial" w:hAnsi="Arial" w:cs="Arial"/>
          <w:sz w:val="22"/>
          <w:szCs w:val="28"/>
        </w:rPr>
      </w:pPr>
      <w:proofErr w:type="gramStart"/>
      <w:r w:rsidRPr="000921B7">
        <w:rPr>
          <w:rFonts w:ascii="Arial" w:hAnsi="Arial" w:cs="Arial"/>
          <w:sz w:val="22"/>
          <w:szCs w:val="28"/>
        </w:rPr>
        <w:t>With regard to</w:t>
      </w:r>
      <w:proofErr w:type="gramEnd"/>
      <w:r w:rsidRPr="000921B7">
        <w:rPr>
          <w:rFonts w:ascii="Arial" w:hAnsi="Arial" w:cs="Arial"/>
          <w:sz w:val="22"/>
          <w:szCs w:val="28"/>
        </w:rPr>
        <w:t xml:space="preserve"> exclusions, </w:t>
      </w:r>
      <w:r w:rsidR="00841A88" w:rsidRPr="000921B7">
        <w:rPr>
          <w:rFonts w:ascii="Arial" w:hAnsi="Arial" w:cs="Arial"/>
          <w:sz w:val="22"/>
          <w:szCs w:val="28"/>
        </w:rPr>
        <w:t>i</w:t>
      </w:r>
      <w:r w:rsidRPr="000921B7">
        <w:rPr>
          <w:rFonts w:ascii="Arial" w:hAnsi="Arial" w:cs="Arial"/>
          <w:sz w:val="22"/>
          <w:szCs w:val="28"/>
        </w:rPr>
        <w:t>f the debtor is an entity that is subject to a special insolvency regime in State B, the foreign representative should first of all check if the foreign proceedings regarding that type of a debtor are excluded in State A based on Article 1(2) of the implemented Model Law in State A.</w:t>
      </w:r>
      <w:r w:rsidR="00BF5A85" w:rsidRPr="000921B7">
        <w:rPr>
          <w:rFonts w:ascii="Arial" w:hAnsi="Arial" w:cs="Arial"/>
          <w:sz w:val="22"/>
          <w:szCs w:val="28"/>
        </w:rPr>
        <w:t xml:space="preserve"> </w:t>
      </w:r>
      <w:r w:rsidR="00F1087D" w:rsidRPr="000921B7">
        <w:rPr>
          <w:rFonts w:ascii="Arial" w:hAnsi="Arial" w:cs="Arial"/>
          <w:sz w:val="22"/>
          <w:szCs w:val="28"/>
        </w:rPr>
        <w:t xml:space="preserve">With reference to </w:t>
      </w:r>
      <w:r w:rsidR="00BF5A85" w:rsidRPr="000921B7">
        <w:rPr>
          <w:rFonts w:ascii="Arial" w:hAnsi="Arial" w:cs="Arial"/>
          <w:sz w:val="22"/>
          <w:szCs w:val="28"/>
        </w:rPr>
        <w:t xml:space="preserve">Article 17 of the Model Law the court </w:t>
      </w:r>
      <w:r w:rsidR="00787BF8" w:rsidRPr="000921B7">
        <w:rPr>
          <w:rFonts w:ascii="Arial" w:hAnsi="Arial" w:cs="Arial"/>
          <w:sz w:val="22"/>
          <w:szCs w:val="28"/>
        </w:rPr>
        <w:t xml:space="preserve">in State A </w:t>
      </w:r>
      <w:r w:rsidR="00BF5A85" w:rsidRPr="000921B7">
        <w:rPr>
          <w:rFonts w:ascii="Arial" w:hAnsi="Arial" w:cs="Arial"/>
          <w:sz w:val="22"/>
          <w:szCs w:val="28"/>
        </w:rPr>
        <w:t xml:space="preserve">will have to assess whether the COMI or at least an establishment of the debtor </w:t>
      </w:r>
      <w:proofErr w:type="gramStart"/>
      <w:r w:rsidR="00BF5A85" w:rsidRPr="000921B7">
        <w:rPr>
          <w:rFonts w:ascii="Arial" w:hAnsi="Arial" w:cs="Arial"/>
          <w:sz w:val="22"/>
          <w:szCs w:val="28"/>
        </w:rPr>
        <w:t>is located in</w:t>
      </w:r>
      <w:proofErr w:type="gramEnd"/>
      <w:r w:rsidR="00BF5A85" w:rsidRPr="000921B7">
        <w:rPr>
          <w:rFonts w:ascii="Arial" w:hAnsi="Arial" w:cs="Arial"/>
          <w:sz w:val="22"/>
          <w:szCs w:val="28"/>
        </w:rPr>
        <w:t xml:space="preserve"> State B where the foreign proceedings were opened. If the COMI of the debtor is in State B the foreign proceedings should be </w:t>
      </w:r>
      <w:proofErr w:type="spellStart"/>
      <w:r w:rsidR="00BF5A85" w:rsidRPr="000921B7">
        <w:rPr>
          <w:rFonts w:ascii="Arial" w:hAnsi="Arial" w:cs="Arial"/>
          <w:sz w:val="22"/>
          <w:szCs w:val="28"/>
        </w:rPr>
        <w:t>recognised</w:t>
      </w:r>
      <w:proofErr w:type="spellEnd"/>
      <w:r w:rsidR="00BF5A85" w:rsidRPr="000921B7">
        <w:rPr>
          <w:rFonts w:ascii="Arial" w:hAnsi="Arial" w:cs="Arial"/>
          <w:sz w:val="22"/>
          <w:szCs w:val="28"/>
        </w:rPr>
        <w:t xml:space="preserve"> as foreign main proceedings and if only an establishment of the debtor is in State B the foreign proceedings should be </w:t>
      </w:r>
      <w:proofErr w:type="spellStart"/>
      <w:r w:rsidR="00BF5A85" w:rsidRPr="000921B7">
        <w:rPr>
          <w:rFonts w:ascii="Arial" w:hAnsi="Arial" w:cs="Arial"/>
          <w:sz w:val="22"/>
          <w:szCs w:val="28"/>
        </w:rPr>
        <w:t>recognised</w:t>
      </w:r>
      <w:proofErr w:type="spellEnd"/>
      <w:r w:rsidR="00BF5A85" w:rsidRPr="000921B7">
        <w:rPr>
          <w:rFonts w:ascii="Arial" w:hAnsi="Arial" w:cs="Arial"/>
          <w:sz w:val="22"/>
          <w:szCs w:val="28"/>
        </w:rPr>
        <w:t xml:space="preserve"> as foreign non-main proceedings. Without a COMI or at least an establishment of the debtor in State B, recognition cannot be granted by the court in State A</w:t>
      </w:r>
      <w:r w:rsidR="008C1A11" w:rsidRPr="000921B7">
        <w:rPr>
          <w:rFonts w:ascii="Arial" w:hAnsi="Arial" w:cs="Arial"/>
          <w:sz w:val="22"/>
          <w:szCs w:val="28"/>
        </w:rPr>
        <w:t>.</w:t>
      </w:r>
    </w:p>
    <w:p w14:paraId="533090E5" w14:textId="77777777" w:rsidR="00C572CF" w:rsidRPr="000921B7" w:rsidRDefault="00C572CF" w:rsidP="00707FC8">
      <w:pPr>
        <w:jc w:val="both"/>
        <w:rPr>
          <w:rFonts w:ascii="Arial" w:hAnsi="Arial" w:cs="Arial"/>
          <w:sz w:val="24"/>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w:t>
      </w:r>
      <w:r w:rsidRPr="00E2622D">
        <w:rPr>
          <w:rFonts w:ascii="Avenir Next" w:hAnsi="Avenir Next" w:cs="Arial"/>
          <w:sz w:val="22"/>
          <w:szCs w:val="22"/>
          <w:lang w:val="en-GB"/>
        </w:rPr>
        <w:lastRenderedPageBreak/>
        <w:t xml:space="preserve">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0921B7" w:rsidRDefault="00817D57" w:rsidP="00707FC8">
      <w:pPr>
        <w:jc w:val="both"/>
        <w:rPr>
          <w:rFonts w:ascii="Arial" w:hAnsi="Arial" w:cs="Arial"/>
          <w:sz w:val="24"/>
          <w:lang w:val="en-GB"/>
        </w:rPr>
      </w:pPr>
    </w:p>
    <w:p w14:paraId="655CD70B" w14:textId="3A2F9B9C" w:rsidR="00D5244F" w:rsidRPr="000921B7" w:rsidRDefault="00C57C31" w:rsidP="000921B7">
      <w:pPr>
        <w:jc w:val="both"/>
        <w:rPr>
          <w:rFonts w:ascii="Arial" w:hAnsi="Arial" w:cs="Arial"/>
          <w:sz w:val="24"/>
          <w:lang w:val="en-GB"/>
        </w:rPr>
      </w:pPr>
      <w:r w:rsidRPr="000921B7">
        <w:rPr>
          <w:rFonts w:ascii="Arial" w:hAnsi="Arial" w:cs="Arial"/>
          <w:sz w:val="22"/>
          <w:szCs w:val="28"/>
        </w:rPr>
        <w:t xml:space="preserve">Article 19 provides for urgent interim relief upon application for recognition. The relief granted under Article 19 terminates upon recognition unless extended under Article 21. Article 20 provides for automatic mandatory relief where the proceedings have been </w:t>
      </w:r>
      <w:proofErr w:type="spellStart"/>
      <w:r w:rsidRPr="000921B7">
        <w:rPr>
          <w:rFonts w:ascii="Arial" w:hAnsi="Arial" w:cs="Arial"/>
          <w:sz w:val="22"/>
          <w:szCs w:val="28"/>
        </w:rPr>
        <w:t>recognised</w:t>
      </w:r>
      <w:proofErr w:type="spellEnd"/>
      <w:r w:rsidRPr="000921B7">
        <w:rPr>
          <w:rFonts w:ascii="Arial" w:hAnsi="Arial" w:cs="Arial"/>
          <w:sz w:val="22"/>
          <w:szCs w:val="28"/>
        </w:rPr>
        <w:t xml:space="preserve"> as foreign main proceedings. Article 21 provides for discretionary post recognition relief which </w:t>
      </w:r>
      <w:proofErr w:type="spellStart"/>
      <w:r w:rsidRPr="000921B7">
        <w:rPr>
          <w:rFonts w:ascii="Arial" w:hAnsi="Arial" w:cs="Arial"/>
          <w:sz w:val="22"/>
          <w:szCs w:val="28"/>
        </w:rPr>
        <w:t>centres</w:t>
      </w:r>
      <w:proofErr w:type="spellEnd"/>
      <w:r w:rsidRPr="000921B7">
        <w:rPr>
          <w:rFonts w:ascii="Arial" w:hAnsi="Arial" w:cs="Arial"/>
          <w:sz w:val="22"/>
          <w:szCs w:val="28"/>
        </w:rPr>
        <w:t xml:space="preserve"> on the need to protect the interests of creditors or the assets of the debtor. </w:t>
      </w:r>
      <w:r w:rsidR="00F2081A" w:rsidRPr="000921B7">
        <w:rPr>
          <w:rFonts w:ascii="Arial" w:hAnsi="Arial" w:cs="Arial"/>
          <w:sz w:val="22"/>
          <w:szCs w:val="28"/>
        </w:rPr>
        <w:t xml:space="preserve">In both instances, the court is to be satisfied that the interests of the creditors and the other interested persons, including the debtor, are adequately protected and any relief may be subject to conditions as the court considers appropriate. </w:t>
      </w:r>
      <w:r w:rsidRPr="000921B7">
        <w:rPr>
          <w:rFonts w:ascii="Arial" w:hAnsi="Arial" w:cs="Arial"/>
          <w:sz w:val="22"/>
          <w:szCs w:val="28"/>
        </w:rPr>
        <w:t>The foreign representative can apply to have the assets of the debtor in the State distributed provided that the court is satisfied that the interests of creditors in the State are protected.</w:t>
      </w:r>
      <w:r w:rsidR="009B43BA" w:rsidRPr="000921B7">
        <w:rPr>
          <w:rFonts w:ascii="Arial" w:hAnsi="Arial" w:cs="Arial"/>
          <w:sz w:val="22"/>
          <w:szCs w:val="28"/>
        </w:rPr>
        <w:t xml:space="preserve"> The court in State A should, based on Article 6 of the Model Law, </w:t>
      </w:r>
      <w:r w:rsidR="00E873A5" w:rsidRPr="000921B7">
        <w:rPr>
          <w:rFonts w:ascii="Arial" w:hAnsi="Arial" w:cs="Arial"/>
          <w:sz w:val="22"/>
          <w:szCs w:val="28"/>
        </w:rPr>
        <w:t xml:space="preserve">be mindful of the public policy exception </w:t>
      </w:r>
      <w:proofErr w:type="gramStart"/>
      <w:r w:rsidR="00E873A5" w:rsidRPr="000921B7">
        <w:rPr>
          <w:rFonts w:ascii="Arial" w:hAnsi="Arial" w:cs="Arial"/>
          <w:sz w:val="22"/>
          <w:szCs w:val="28"/>
        </w:rPr>
        <w:t xml:space="preserve">and </w:t>
      </w:r>
      <w:r w:rsidR="009B43BA" w:rsidRPr="000921B7">
        <w:rPr>
          <w:rFonts w:ascii="Arial" w:hAnsi="Arial" w:cs="Arial"/>
          <w:sz w:val="22"/>
          <w:szCs w:val="28"/>
        </w:rPr>
        <w:t>also</w:t>
      </w:r>
      <w:proofErr w:type="gramEnd"/>
      <w:r w:rsidR="009B43BA" w:rsidRPr="000921B7">
        <w:rPr>
          <w:rFonts w:ascii="Arial" w:hAnsi="Arial" w:cs="Arial"/>
          <w:sz w:val="22"/>
          <w:szCs w:val="28"/>
        </w:rPr>
        <w:t xml:space="preserve"> verify that the relief application is not manifestly contrary to public policy of State A.</w:t>
      </w:r>
    </w:p>
    <w:p w14:paraId="3AD64608" w14:textId="494971FA"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39D4F571" w14:textId="7700354B" w:rsidR="00867A8F" w:rsidRPr="000921B7" w:rsidRDefault="00815518" w:rsidP="00707FC8">
      <w:pPr>
        <w:jc w:val="both"/>
        <w:rPr>
          <w:rFonts w:ascii="Arial" w:hAnsi="Arial" w:cs="Arial"/>
          <w:sz w:val="22"/>
          <w:szCs w:val="28"/>
        </w:rPr>
      </w:pPr>
      <w:r w:rsidRPr="000921B7">
        <w:rPr>
          <w:rFonts w:ascii="Arial" w:hAnsi="Arial" w:cs="Arial"/>
          <w:sz w:val="22"/>
          <w:szCs w:val="28"/>
        </w:rPr>
        <w:t xml:space="preserve">Pre-recognition relief tends to fall away following recognition. Following </w:t>
      </w:r>
      <w:proofErr w:type="gramStart"/>
      <w:r w:rsidRPr="000921B7">
        <w:rPr>
          <w:rFonts w:ascii="Arial" w:hAnsi="Arial" w:cs="Arial"/>
          <w:sz w:val="22"/>
          <w:szCs w:val="28"/>
        </w:rPr>
        <w:t>recognition</w:t>
      </w:r>
      <w:proofErr w:type="gramEnd"/>
      <w:r w:rsidRPr="000921B7">
        <w:rPr>
          <w:rFonts w:ascii="Arial" w:hAnsi="Arial" w:cs="Arial"/>
          <w:sz w:val="22"/>
          <w:szCs w:val="28"/>
        </w:rPr>
        <w:t xml:space="preserve"> the foreign representative will have control of the debtor’s assets which should remove the need for the freezing order. Under Article 21(1) the representative can be entrusted with the debtor’s assets.</w:t>
      </w:r>
    </w:p>
    <w:p w14:paraId="5E09874A" w14:textId="77777777" w:rsidR="00815518" w:rsidRPr="00E2622D" w:rsidRDefault="00815518"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E2622D">
        <w:rPr>
          <w:rFonts w:ascii="Avenir Next" w:hAnsi="Avenir Next" w:cs="Arial"/>
          <w:color w:val="000000"/>
          <w:sz w:val="22"/>
          <w:szCs w:val="22"/>
          <w:lang w:val="en-GB" w:eastAsia="en-GB"/>
        </w:rPr>
        <w:lastRenderedPageBreak/>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37B1284B" w:rsidR="00A153F7" w:rsidRDefault="00A153F7" w:rsidP="00707FC8">
      <w:pPr>
        <w:jc w:val="both"/>
        <w:rPr>
          <w:rFonts w:ascii="Avenir Next" w:hAnsi="Avenir Next" w:cs="Arial"/>
          <w:sz w:val="22"/>
          <w:szCs w:val="22"/>
          <w:lang w:val="en-GB"/>
        </w:rPr>
      </w:pPr>
    </w:p>
    <w:p w14:paraId="22639785" w14:textId="306EE28D" w:rsidR="000D5C01" w:rsidRDefault="000D5C01" w:rsidP="00707FC8">
      <w:pPr>
        <w:jc w:val="both"/>
        <w:rPr>
          <w:rFonts w:ascii="Avenir Next" w:hAnsi="Avenir Next" w:cs="Arial"/>
          <w:sz w:val="22"/>
          <w:szCs w:val="22"/>
          <w:lang w:val="en-GB"/>
        </w:rPr>
      </w:pPr>
    </w:p>
    <w:p w14:paraId="28F61165" w14:textId="39F06A9E" w:rsidR="000D5C01" w:rsidRPr="000921B7" w:rsidRDefault="000D5C01" w:rsidP="00707FC8">
      <w:pPr>
        <w:jc w:val="both"/>
        <w:rPr>
          <w:rFonts w:ascii="Arial" w:hAnsi="Arial" w:cs="Arial"/>
          <w:b/>
          <w:bCs/>
          <w:sz w:val="24"/>
          <w:lang w:val="en-GB"/>
        </w:rPr>
      </w:pPr>
      <w:r w:rsidRPr="000921B7">
        <w:rPr>
          <w:rFonts w:ascii="Arial" w:hAnsi="Arial" w:cs="Arial"/>
          <w:b/>
          <w:bCs/>
          <w:sz w:val="24"/>
          <w:lang w:val="en-GB"/>
        </w:rPr>
        <w:t xml:space="preserve">4.1.1 </w:t>
      </w:r>
    </w:p>
    <w:p w14:paraId="5736FB86" w14:textId="2731BCD6" w:rsidR="000D5C01" w:rsidRPr="000921B7" w:rsidRDefault="000D5C01" w:rsidP="00707FC8">
      <w:pPr>
        <w:jc w:val="both"/>
        <w:rPr>
          <w:rFonts w:ascii="Arial" w:hAnsi="Arial" w:cs="Arial"/>
          <w:sz w:val="24"/>
          <w:lang w:val="en-GB"/>
        </w:rPr>
      </w:pPr>
    </w:p>
    <w:p w14:paraId="2A97C7B0" w14:textId="7C008D48" w:rsidR="00C24AEA" w:rsidRPr="000921B7" w:rsidRDefault="000D5C01" w:rsidP="00707FC8">
      <w:pPr>
        <w:jc w:val="both"/>
        <w:rPr>
          <w:rFonts w:ascii="Arial" w:hAnsi="Arial" w:cs="Arial"/>
          <w:sz w:val="24"/>
          <w:lang w:val="en-GB"/>
        </w:rPr>
      </w:pPr>
      <w:r w:rsidRPr="000921B7">
        <w:rPr>
          <w:rFonts w:ascii="Arial" w:hAnsi="Arial" w:cs="Arial"/>
          <w:sz w:val="24"/>
          <w:lang w:val="en-GB"/>
        </w:rPr>
        <w:t xml:space="preserve">For the purpose of answering the questions raised, it is worthwhile at the outset to consider the relevant definitions in Article </w:t>
      </w:r>
      <w:r w:rsidR="00C24AEA" w:rsidRPr="000921B7">
        <w:rPr>
          <w:rFonts w:ascii="Arial" w:hAnsi="Arial" w:cs="Arial"/>
          <w:sz w:val="24"/>
          <w:lang w:val="en-GB"/>
        </w:rPr>
        <w:t>2</w:t>
      </w:r>
      <w:r w:rsidR="00107D6B" w:rsidRPr="000921B7">
        <w:rPr>
          <w:rFonts w:ascii="Arial" w:hAnsi="Arial" w:cs="Arial"/>
          <w:sz w:val="24"/>
          <w:lang w:val="en-GB"/>
        </w:rPr>
        <w:t>(a) and 2(d)</w:t>
      </w:r>
      <w:r w:rsidR="00C24AEA" w:rsidRPr="000921B7">
        <w:rPr>
          <w:rFonts w:ascii="Arial" w:hAnsi="Arial" w:cs="Arial"/>
          <w:sz w:val="24"/>
          <w:lang w:val="en-GB"/>
        </w:rPr>
        <w:t xml:space="preserve"> of the Model Law</w:t>
      </w:r>
      <w:r w:rsidR="007D2E63" w:rsidRPr="000921B7">
        <w:rPr>
          <w:rFonts w:ascii="Arial" w:hAnsi="Arial" w:cs="Arial"/>
          <w:sz w:val="24"/>
          <w:lang w:val="en-GB"/>
        </w:rPr>
        <w:t>:</w:t>
      </w:r>
    </w:p>
    <w:p w14:paraId="3F9C7840" w14:textId="77777777" w:rsidR="00C24AEA" w:rsidRPr="000921B7" w:rsidRDefault="00C24AEA" w:rsidP="00707FC8">
      <w:pPr>
        <w:jc w:val="both"/>
        <w:rPr>
          <w:rFonts w:ascii="Arial" w:hAnsi="Arial" w:cs="Arial"/>
          <w:sz w:val="24"/>
          <w:lang w:val="en-GB"/>
        </w:rPr>
      </w:pPr>
    </w:p>
    <w:p w14:paraId="7E57D3EE" w14:textId="77777777" w:rsidR="00CF3C85" w:rsidRPr="000921B7" w:rsidRDefault="00C24AEA" w:rsidP="00707FC8">
      <w:pPr>
        <w:jc w:val="both"/>
        <w:rPr>
          <w:rFonts w:ascii="Arial" w:hAnsi="Arial" w:cs="Arial"/>
          <w:i/>
          <w:iCs/>
          <w:sz w:val="22"/>
          <w:szCs w:val="28"/>
        </w:rPr>
      </w:pPr>
      <w:r w:rsidRPr="000921B7">
        <w:rPr>
          <w:rFonts w:ascii="Arial" w:hAnsi="Arial" w:cs="Arial"/>
          <w:i/>
          <w:iCs/>
          <w:sz w:val="22"/>
          <w:szCs w:val="28"/>
        </w:rPr>
        <w:t xml:space="preserve">(a)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w:t>
      </w:r>
      <w:proofErr w:type="gramStart"/>
      <w:r w:rsidRPr="000921B7">
        <w:rPr>
          <w:rFonts w:ascii="Arial" w:hAnsi="Arial" w:cs="Arial"/>
          <w:i/>
          <w:iCs/>
          <w:sz w:val="22"/>
          <w:szCs w:val="28"/>
        </w:rPr>
        <w:t>liquidation;</w:t>
      </w:r>
      <w:proofErr w:type="gramEnd"/>
      <w:r w:rsidRPr="000921B7">
        <w:rPr>
          <w:rFonts w:ascii="Arial" w:hAnsi="Arial" w:cs="Arial"/>
          <w:i/>
          <w:iCs/>
          <w:sz w:val="22"/>
          <w:szCs w:val="28"/>
        </w:rPr>
        <w:t xml:space="preserve"> </w:t>
      </w:r>
    </w:p>
    <w:p w14:paraId="299B31A6" w14:textId="1EC92D83" w:rsidR="00CF3C85" w:rsidRPr="000921B7" w:rsidRDefault="00CF3C85" w:rsidP="00707FC8">
      <w:pPr>
        <w:jc w:val="both"/>
        <w:rPr>
          <w:rFonts w:ascii="Arial" w:hAnsi="Arial" w:cs="Arial"/>
          <w:i/>
          <w:iCs/>
          <w:sz w:val="22"/>
          <w:szCs w:val="28"/>
        </w:rPr>
      </w:pPr>
    </w:p>
    <w:p w14:paraId="26E3CBBD" w14:textId="30B615B2" w:rsidR="006E7F7C" w:rsidRPr="000921B7" w:rsidRDefault="006E7F7C" w:rsidP="00707FC8">
      <w:pPr>
        <w:jc w:val="both"/>
        <w:rPr>
          <w:rFonts w:ascii="Arial" w:hAnsi="Arial" w:cs="Arial"/>
          <w:i/>
          <w:iCs/>
          <w:sz w:val="22"/>
          <w:szCs w:val="28"/>
        </w:rPr>
      </w:pPr>
      <w:r w:rsidRPr="000921B7">
        <w:rPr>
          <w:rFonts w:ascii="Arial" w:hAnsi="Arial" w:cs="Arial"/>
          <w:i/>
          <w:iCs/>
          <w:sz w:val="22"/>
          <w:szCs w:val="28"/>
        </w:rPr>
        <w:t>…</w:t>
      </w:r>
    </w:p>
    <w:p w14:paraId="6929A034" w14:textId="06770DDA" w:rsidR="00EB31C2" w:rsidRPr="000921B7" w:rsidRDefault="00EB31C2" w:rsidP="00707FC8">
      <w:pPr>
        <w:jc w:val="both"/>
        <w:rPr>
          <w:rFonts w:ascii="Arial" w:hAnsi="Arial" w:cs="Arial"/>
          <w:i/>
          <w:iCs/>
          <w:sz w:val="22"/>
          <w:szCs w:val="28"/>
        </w:rPr>
      </w:pPr>
    </w:p>
    <w:p w14:paraId="1E4D6AE5" w14:textId="77777777" w:rsidR="007D2E63" w:rsidRPr="000921B7" w:rsidRDefault="00C24AEA" w:rsidP="00707FC8">
      <w:pPr>
        <w:jc w:val="both"/>
        <w:rPr>
          <w:rFonts w:ascii="Arial" w:hAnsi="Arial" w:cs="Arial"/>
          <w:i/>
          <w:iCs/>
          <w:sz w:val="22"/>
          <w:szCs w:val="28"/>
        </w:rPr>
      </w:pPr>
      <w:r w:rsidRPr="000921B7">
        <w:rPr>
          <w:rFonts w:ascii="Arial" w:hAnsi="Arial" w:cs="Arial"/>
          <w:i/>
          <w:iCs/>
          <w:sz w:val="22"/>
          <w:szCs w:val="28"/>
        </w:rPr>
        <w:t xml:space="preserve">(d) “Foreign representative” means a person or body, including one appointed on an interim basis, authorized in a foreign proceeding to administer the reorganization or the liquidation of the debtor’s assets or affairs or to act as a representative of the foreign </w:t>
      </w:r>
      <w:proofErr w:type="gramStart"/>
      <w:r w:rsidRPr="000921B7">
        <w:rPr>
          <w:rFonts w:ascii="Arial" w:hAnsi="Arial" w:cs="Arial"/>
          <w:i/>
          <w:iCs/>
          <w:sz w:val="22"/>
          <w:szCs w:val="28"/>
        </w:rPr>
        <w:t>proceeding;</w:t>
      </w:r>
      <w:proofErr w:type="gramEnd"/>
      <w:r w:rsidRPr="000921B7">
        <w:rPr>
          <w:rFonts w:ascii="Arial" w:hAnsi="Arial" w:cs="Arial"/>
          <w:i/>
          <w:iCs/>
          <w:sz w:val="22"/>
          <w:szCs w:val="28"/>
        </w:rPr>
        <w:t xml:space="preserve"> </w:t>
      </w:r>
    </w:p>
    <w:p w14:paraId="7D954306" w14:textId="77777777" w:rsidR="007D2E63" w:rsidRPr="000921B7" w:rsidRDefault="007D2E63" w:rsidP="00707FC8">
      <w:pPr>
        <w:jc w:val="both"/>
        <w:rPr>
          <w:rFonts w:ascii="Arial" w:hAnsi="Arial" w:cs="Arial"/>
          <w:i/>
          <w:iCs/>
          <w:sz w:val="22"/>
          <w:szCs w:val="28"/>
        </w:rPr>
      </w:pPr>
    </w:p>
    <w:p w14:paraId="7227F59C" w14:textId="49881BE8" w:rsidR="000D5C01" w:rsidRPr="000921B7" w:rsidRDefault="00492BEB" w:rsidP="00707FC8">
      <w:pPr>
        <w:jc w:val="both"/>
        <w:rPr>
          <w:rFonts w:ascii="Arial" w:hAnsi="Arial" w:cs="Arial"/>
          <w:sz w:val="24"/>
          <w:lang w:val="en-GB"/>
        </w:rPr>
      </w:pPr>
      <w:r w:rsidRPr="000921B7">
        <w:rPr>
          <w:rFonts w:ascii="Arial" w:hAnsi="Arial" w:cs="Arial"/>
          <w:sz w:val="24"/>
          <w:lang w:val="en-GB"/>
        </w:rPr>
        <w:t xml:space="preserve">The judge will have regard to existing English case law and </w:t>
      </w:r>
      <w:r w:rsidR="00E64023" w:rsidRPr="000921B7">
        <w:rPr>
          <w:rFonts w:ascii="Arial" w:hAnsi="Arial" w:cs="Arial"/>
          <w:sz w:val="24"/>
          <w:lang w:val="en-GB"/>
        </w:rPr>
        <w:t xml:space="preserve">the Guide to Enactment and Interpretation. </w:t>
      </w:r>
      <w:r w:rsidR="007D2E63" w:rsidRPr="000921B7">
        <w:rPr>
          <w:rFonts w:ascii="Arial" w:hAnsi="Arial" w:cs="Arial"/>
          <w:sz w:val="24"/>
          <w:lang w:val="en-GB"/>
        </w:rPr>
        <w:t xml:space="preserve">Taking Article 2(a) and breaking it down </w:t>
      </w:r>
      <w:r w:rsidR="00AD5288" w:rsidRPr="000921B7">
        <w:rPr>
          <w:rFonts w:ascii="Arial" w:hAnsi="Arial" w:cs="Arial"/>
          <w:sz w:val="24"/>
          <w:lang w:val="en-GB"/>
        </w:rPr>
        <w:t>into its constituent parts:</w:t>
      </w:r>
    </w:p>
    <w:p w14:paraId="18D361E1" w14:textId="0A1EBBA7" w:rsidR="00AD5288" w:rsidRPr="000921B7" w:rsidRDefault="00AD5288" w:rsidP="00707FC8">
      <w:pPr>
        <w:jc w:val="both"/>
        <w:rPr>
          <w:rFonts w:ascii="Arial" w:hAnsi="Arial" w:cs="Arial"/>
          <w:sz w:val="24"/>
          <w:lang w:val="en-GB"/>
        </w:rPr>
      </w:pPr>
    </w:p>
    <w:p w14:paraId="5B48C011" w14:textId="1B21809A" w:rsidR="005171B6" w:rsidRPr="000921B7" w:rsidRDefault="009B54FE">
      <w:pPr>
        <w:pStyle w:val="ListParagraph"/>
        <w:numPr>
          <w:ilvl w:val="0"/>
          <w:numId w:val="16"/>
        </w:numPr>
        <w:jc w:val="both"/>
        <w:rPr>
          <w:rFonts w:ascii="Arial" w:hAnsi="Arial" w:cs="Arial"/>
          <w:i/>
          <w:iCs/>
          <w:sz w:val="22"/>
          <w:szCs w:val="28"/>
        </w:rPr>
      </w:pPr>
      <w:r w:rsidRPr="000921B7">
        <w:rPr>
          <w:rFonts w:ascii="Arial" w:hAnsi="Arial" w:cs="Arial"/>
          <w:i/>
          <w:iCs/>
          <w:sz w:val="22"/>
          <w:szCs w:val="28"/>
        </w:rPr>
        <w:t>A collective judicial or administrative proceeding in a foreign State</w:t>
      </w:r>
      <w:r w:rsidRPr="000921B7">
        <w:rPr>
          <w:rFonts w:ascii="Arial" w:hAnsi="Arial" w:cs="Arial"/>
          <w:i/>
          <w:iCs/>
          <w:sz w:val="22"/>
          <w:szCs w:val="28"/>
        </w:rPr>
        <w:t xml:space="preserve"> </w:t>
      </w:r>
      <w:r w:rsidR="00AD5288" w:rsidRPr="000921B7">
        <w:rPr>
          <w:rFonts w:ascii="Arial" w:hAnsi="Arial" w:cs="Arial"/>
          <w:i/>
          <w:iCs/>
          <w:sz w:val="22"/>
          <w:szCs w:val="28"/>
        </w:rPr>
        <w:t>including an interim proceeding</w:t>
      </w:r>
    </w:p>
    <w:p w14:paraId="5E850CA3" w14:textId="77777777" w:rsidR="005171B6" w:rsidRPr="000921B7" w:rsidRDefault="00AD5288">
      <w:pPr>
        <w:pStyle w:val="ListParagraph"/>
        <w:numPr>
          <w:ilvl w:val="0"/>
          <w:numId w:val="16"/>
        </w:numPr>
        <w:jc w:val="both"/>
        <w:rPr>
          <w:rFonts w:ascii="Arial" w:hAnsi="Arial" w:cs="Arial"/>
          <w:i/>
          <w:iCs/>
          <w:sz w:val="22"/>
          <w:szCs w:val="28"/>
        </w:rPr>
      </w:pPr>
      <w:r w:rsidRPr="000921B7">
        <w:rPr>
          <w:rFonts w:ascii="Arial" w:hAnsi="Arial" w:cs="Arial"/>
          <w:i/>
          <w:iCs/>
          <w:sz w:val="22"/>
          <w:szCs w:val="28"/>
        </w:rPr>
        <w:t>pursuant to a law relating to insolvency</w:t>
      </w:r>
    </w:p>
    <w:p w14:paraId="14BA96ED" w14:textId="77777777" w:rsidR="00EA7971" w:rsidRPr="000921B7" w:rsidRDefault="00AD5288">
      <w:pPr>
        <w:pStyle w:val="ListParagraph"/>
        <w:numPr>
          <w:ilvl w:val="0"/>
          <w:numId w:val="16"/>
        </w:numPr>
        <w:jc w:val="both"/>
        <w:rPr>
          <w:rFonts w:ascii="Arial" w:hAnsi="Arial" w:cs="Arial"/>
          <w:i/>
          <w:iCs/>
          <w:sz w:val="22"/>
          <w:szCs w:val="28"/>
        </w:rPr>
      </w:pPr>
      <w:r w:rsidRPr="000921B7">
        <w:rPr>
          <w:rFonts w:ascii="Arial" w:hAnsi="Arial" w:cs="Arial"/>
          <w:i/>
          <w:iCs/>
          <w:sz w:val="22"/>
          <w:szCs w:val="28"/>
        </w:rPr>
        <w:t>in which proceeding the assets and affairs of the debtor are subject to control or supervision by a foreign court</w:t>
      </w:r>
    </w:p>
    <w:p w14:paraId="5D23890E" w14:textId="553CCA1A" w:rsidR="00AD5288" w:rsidRPr="000921B7" w:rsidRDefault="00AD5288">
      <w:pPr>
        <w:pStyle w:val="ListParagraph"/>
        <w:numPr>
          <w:ilvl w:val="0"/>
          <w:numId w:val="16"/>
        </w:numPr>
        <w:jc w:val="both"/>
        <w:rPr>
          <w:rFonts w:ascii="Arial" w:hAnsi="Arial" w:cs="Arial"/>
          <w:i/>
          <w:iCs/>
          <w:sz w:val="22"/>
          <w:szCs w:val="28"/>
        </w:rPr>
      </w:pPr>
      <w:r w:rsidRPr="000921B7">
        <w:rPr>
          <w:rFonts w:ascii="Arial" w:hAnsi="Arial" w:cs="Arial"/>
          <w:i/>
          <w:iCs/>
          <w:sz w:val="22"/>
          <w:szCs w:val="28"/>
        </w:rPr>
        <w:t>for the purpose of reorganization or liquidation</w:t>
      </w:r>
    </w:p>
    <w:p w14:paraId="5811BBBA" w14:textId="0EBB4D7B" w:rsidR="00AD5288" w:rsidRPr="000921B7" w:rsidRDefault="00AD5288" w:rsidP="00707FC8">
      <w:pPr>
        <w:jc w:val="both"/>
        <w:rPr>
          <w:rFonts w:ascii="Arial" w:hAnsi="Arial" w:cs="Arial"/>
          <w:sz w:val="24"/>
          <w:lang w:val="en-GB"/>
        </w:rPr>
      </w:pPr>
    </w:p>
    <w:bookmarkEnd w:id="3"/>
    <w:p w14:paraId="2F3784B0" w14:textId="060E3288" w:rsidR="003960AE" w:rsidRPr="000921B7" w:rsidRDefault="0005138F" w:rsidP="00707FC8">
      <w:pPr>
        <w:jc w:val="both"/>
        <w:rPr>
          <w:rFonts w:ascii="Arial" w:hAnsi="Arial" w:cs="Arial"/>
          <w:sz w:val="22"/>
          <w:szCs w:val="28"/>
        </w:rPr>
      </w:pPr>
      <w:r w:rsidRPr="000921B7">
        <w:rPr>
          <w:rFonts w:ascii="Arial" w:hAnsi="Arial" w:cs="Arial"/>
          <w:sz w:val="22"/>
          <w:szCs w:val="28"/>
        </w:rPr>
        <w:t>Taking each bullet point in turn:</w:t>
      </w:r>
    </w:p>
    <w:p w14:paraId="37004F4E" w14:textId="77777777" w:rsidR="009D2A11" w:rsidRPr="000921B7" w:rsidRDefault="009D2A11" w:rsidP="009D2A11">
      <w:pPr>
        <w:jc w:val="both"/>
        <w:rPr>
          <w:rFonts w:ascii="Arial" w:hAnsi="Arial" w:cs="Arial"/>
          <w:sz w:val="22"/>
          <w:szCs w:val="28"/>
        </w:rPr>
      </w:pPr>
    </w:p>
    <w:p w14:paraId="6327AD10" w14:textId="77777777" w:rsidR="009D2A11" w:rsidRPr="000921B7" w:rsidRDefault="009D2A11" w:rsidP="009D2A11">
      <w:pPr>
        <w:jc w:val="both"/>
        <w:rPr>
          <w:rFonts w:ascii="Arial" w:hAnsi="Arial" w:cs="Arial"/>
          <w:i/>
          <w:iCs/>
          <w:sz w:val="22"/>
          <w:szCs w:val="28"/>
        </w:rPr>
      </w:pPr>
      <w:r w:rsidRPr="000921B7">
        <w:rPr>
          <w:rFonts w:ascii="Arial" w:hAnsi="Arial" w:cs="Arial"/>
          <w:i/>
          <w:iCs/>
          <w:sz w:val="22"/>
          <w:szCs w:val="28"/>
        </w:rPr>
        <w:t>A collective judicial or administrative proceeding in a foreign State</w:t>
      </w:r>
    </w:p>
    <w:p w14:paraId="2D2E993E" w14:textId="77777777" w:rsidR="009D2A11" w:rsidRPr="000921B7" w:rsidRDefault="009D2A11" w:rsidP="009D2A11">
      <w:pPr>
        <w:jc w:val="both"/>
        <w:rPr>
          <w:rFonts w:ascii="Arial" w:hAnsi="Arial" w:cs="Arial"/>
          <w:sz w:val="22"/>
          <w:szCs w:val="28"/>
        </w:rPr>
      </w:pPr>
    </w:p>
    <w:p w14:paraId="2AD378EA" w14:textId="3DDDFC00" w:rsidR="009D2A11" w:rsidRPr="000921B7" w:rsidRDefault="003960AE" w:rsidP="009D2A11">
      <w:pPr>
        <w:jc w:val="both"/>
        <w:rPr>
          <w:rFonts w:ascii="Arial" w:hAnsi="Arial" w:cs="Arial"/>
          <w:sz w:val="22"/>
          <w:szCs w:val="28"/>
        </w:rPr>
      </w:pPr>
      <w:r w:rsidRPr="000921B7">
        <w:rPr>
          <w:rFonts w:ascii="Arial" w:hAnsi="Arial" w:cs="Arial"/>
          <w:sz w:val="22"/>
          <w:szCs w:val="28"/>
        </w:rPr>
        <w:t xml:space="preserve">The proceedings are collective in that the clear intention is to deal with </w:t>
      </w:r>
      <w:proofErr w:type="gramStart"/>
      <w:r w:rsidRPr="000921B7">
        <w:rPr>
          <w:rFonts w:ascii="Arial" w:hAnsi="Arial" w:cs="Arial"/>
          <w:sz w:val="22"/>
          <w:szCs w:val="28"/>
        </w:rPr>
        <w:t>all of</w:t>
      </w:r>
      <w:proofErr w:type="gramEnd"/>
      <w:r w:rsidRPr="000921B7">
        <w:rPr>
          <w:rFonts w:ascii="Arial" w:hAnsi="Arial" w:cs="Arial"/>
          <w:sz w:val="22"/>
          <w:szCs w:val="28"/>
        </w:rPr>
        <w:t xml:space="preserve"> the Bank’s assets and liabilities in an orderly manne</w:t>
      </w:r>
      <w:r w:rsidR="009D2A11" w:rsidRPr="000921B7">
        <w:rPr>
          <w:rFonts w:ascii="Arial" w:hAnsi="Arial" w:cs="Arial"/>
          <w:sz w:val="22"/>
          <w:szCs w:val="28"/>
        </w:rPr>
        <w:t>r.</w:t>
      </w:r>
    </w:p>
    <w:p w14:paraId="08195150" w14:textId="4E511E36" w:rsidR="009D2A11" w:rsidRPr="000921B7" w:rsidRDefault="009D2A11" w:rsidP="009D2A11">
      <w:pPr>
        <w:jc w:val="both"/>
        <w:rPr>
          <w:rFonts w:ascii="Arial" w:hAnsi="Arial" w:cs="Arial"/>
          <w:sz w:val="22"/>
          <w:szCs w:val="28"/>
        </w:rPr>
      </w:pPr>
    </w:p>
    <w:p w14:paraId="1900E7A5" w14:textId="016BBB57" w:rsidR="009D2A11" w:rsidRPr="000921B7" w:rsidRDefault="00C80DE9" w:rsidP="009D2A11">
      <w:pPr>
        <w:jc w:val="both"/>
        <w:rPr>
          <w:rFonts w:ascii="Arial" w:hAnsi="Arial" w:cs="Arial"/>
          <w:sz w:val="22"/>
          <w:szCs w:val="28"/>
        </w:rPr>
      </w:pPr>
      <w:r w:rsidRPr="000921B7">
        <w:rPr>
          <w:rFonts w:ascii="Arial" w:hAnsi="Arial" w:cs="Arial"/>
          <w:sz w:val="22"/>
          <w:szCs w:val="28"/>
        </w:rPr>
        <w:t xml:space="preserve">Paragraph 70 of the Guide to </w:t>
      </w:r>
      <w:r w:rsidR="00492BEB" w:rsidRPr="000921B7">
        <w:rPr>
          <w:rFonts w:ascii="Arial" w:hAnsi="Arial" w:cs="Arial"/>
          <w:sz w:val="22"/>
          <w:szCs w:val="28"/>
        </w:rPr>
        <w:t>Enactment and Interpretation states:</w:t>
      </w:r>
    </w:p>
    <w:p w14:paraId="551CE970" w14:textId="77777777" w:rsidR="00492BEB" w:rsidRPr="000921B7" w:rsidRDefault="00492BEB" w:rsidP="009D2A11">
      <w:pPr>
        <w:jc w:val="both"/>
        <w:rPr>
          <w:rFonts w:ascii="Arial" w:hAnsi="Arial" w:cs="Arial"/>
          <w:sz w:val="22"/>
          <w:szCs w:val="28"/>
        </w:rPr>
      </w:pPr>
    </w:p>
    <w:p w14:paraId="577A2C30" w14:textId="05A36EB3" w:rsidR="00492BEB" w:rsidRPr="000921B7" w:rsidRDefault="00492BEB" w:rsidP="009D2A11">
      <w:pPr>
        <w:jc w:val="both"/>
        <w:rPr>
          <w:rFonts w:ascii="Arial" w:hAnsi="Arial" w:cs="Arial"/>
          <w:i/>
          <w:iCs/>
          <w:szCs w:val="20"/>
        </w:rPr>
      </w:pPr>
      <w:r w:rsidRPr="000921B7">
        <w:rPr>
          <w:rFonts w:ascii="Arial" w:hAnsi="Arial" w:cs="Arial"/>
          <w:i/>
          <w:iCs/>
          <w:szCs w:val="20"/>
        </w:rPr>
        <w:t xml:space="preserve">In evaluating whether a given proceeding is collective for the purpose of the Model Law, a key consideration is whether substantially </w:t>
      </w:r>
      <w:proofErr w:type="gramStart"/>
      <w:r w:rsidRPr="000921B7">
        <w:rPr>
          <w:rFonts w:ascii="Arial" w:hAnsi="Arial" w:cs="Arial"/>
          <w:i/>
          <w:iCs/>
          <w:szCs w:val="20"/>
        </w:rPr>
        <w:t>all of</w:t>
      </w:r>
      <w:proofErr w:type="gramEnd"/>
      <w:r w:rsidRPr="000921B7">
        <w:rPr>
          <w:rFonts w:ascii="Arial" w:hAnsi="Arial" w:cs="Arial"/>
          <w:i/>
          <w:iCs/>
          <w:szCs w:val="20"/>
        </w:rPr>
        <w:t xml:space="preserve"> the assets and liabilities of the debtor are dealt with in the proceeding, subject to local priorities and statutory exceptions, and to local exclusions relating to the rights of secured creditors. A proceeding should not be considered to fail the test of collectivity purely because a class of creditors’ rights is unaffected by it. </w:t>
      </w:r>
    </w:p>
    <w:p w14:paraId="243E345E" w14:textId="77777777" w:rsidR="00492BEB" w:rsidRPr="000921B7" w:rsidRDefault="00492BEB" w:rsidP="009D2A11">
      <w:pPr>
        <w:jc w:val="both"/>
        <w:rPr>
          <w:rFonts w:ascii="Arial" w:hAnsi="Arial" w:cs="Arial"/>
          <w:i/>
          <w:iCs/>
          <w:sz w:val="22"/>
          <w:szCs w:val="28"/>
        </w:rPr>
      </w:pPr>
    </w:p>
    <w:p w14:paraId="050FC532" w14:textId="0C92F7A9" w:rsidR="00BE35B6" w:rsidRPr="000921B7" w:rsidRDefault="001106B1" w:rsidP="000B7D8A">
      <w:pPr>
        <w:jc w:val="both"/>
        <w:rPr>
          <w:rFonts w:ascii="Arial" w:hAnsi="Arial" w:cs="Arial"/>
          <w:i/>
          <w:iCs/>
          <w:sz w:val="22"/>
          <w:szCs w:val="28"/>
        </w:rPr>
      </w:pPr>
      <w:r w:rsidRPr="000921B7">
        <w:rPr>
          <w:rFonts w:ascii="Arial" w:hAnsi="Arial" w:cs="Arial"/>
          <w:sz w:val="22"/>
          <w:szCs w:val="28"/>
        </w:rPr>
        <w:t xml:space="preserve">Based on the facts provided the understanding is that all of the Bank’s creditors are entitled to claim in the liquidation and that their claims </w:t>
      </w:r>
      <w:r w:rsidR="00280DE9" w:rsidRPr="000921B7">
        <w:rPr>
          <w:rFonts w:ascii="Arial" w:hAnsi="Arial" w:cs="Arial"/>
          <w:sz w:val="22"/>
          <w:szCs w:val="28"/>
        </w:rPr>
        <w:t xml:space="preserve">will </w:t>
      </w:r>
      <w:proofErr w:type="gramStart"/>
      <w:r w:rsidRPr="000921B7">
        <w:rPr>
          <w:rFonts w:ascii="Arial" w:hAnsi="Arial" w:cs="Arial"/>
          <w:sz w:val="22"/>
          <w:szCs w:val="28"/>
        </w:rPr>
        <w:t>met</w:t>
      </w:r>
      <w:proofErr w:type="gramEnd"/>
      <w:r w:rsidRPr="000921B7">
        <w:rPr>
          <w:rFonts w:ascii="Arial" w:hAnsi="Arial" w:cs="Arial"/>
          <w:sz w:val="22"/>
          <w:szCs w:val="28"/>
        </w:rPr>
        <w:t xml:space="preserve"> from available assets. </w:t>
      </w:r>
      <w:r w:rsidR="005D111A" w:rsidRPr="000921B7">
        <w:rPr>
          <w:rFonts w:ascii="Arial" w:hAnsi="Arial" w:cs="Arial"/>
          <w:sz w:val="22"/>
          <w:szCs w:val="28"/>
        </w:rPr>
        <w:t>As such</w:t>
      </w:r>
      <w:r w:rsidRPr="000921B7">
        <w:rPr>
          <w:rFonts w:ascii="Arial" w:hAnsi="Arial" w:cs="Arial"/>
          <w:sz w:val="22"/>
          <w:szCs w:val="28"/>
        </w:rPr>
        <w:t xml:space="preserve">, the conclusion can be reached that the </w:t>
      </w:r>
      <w:r w:rsidR="00EA7F33" w:rsidRPr="000921B7">
        <w:rPr>
          <w:rFonts w:ascii="Arial" w:hAnsi="Arial" w:cs="Arial"/>
          <w:sz w:val="22"/>
          <w:szCs w:val="28"/>
        </w:rPr>
        <w:t>b</w:t>
      </w:r>
      <w:r w:rsidRPr="000921B7">
        <w:rPr>
          <w:rFonts w:ascii="Arial" w:hAnsi="Arial" w:cs="Arial"/>
          <w:sz w:val="22"/>
          <w:szCs w:val="28"/>
        </w:rPr>
        <w:t>ank’s liquidation</w:t>
      </w:r>
      <w:r w:rsidR="00EA7F33" w:rsidRPr="000921B7">
        <w:rPr>
          <w:rFonts w:ascii="Arial" w:hAnsi="Arial" w:cs="Arial"/>
          <w:sz w:val="22"/>
          <w:szCs w:val="28"/>
        </w:rPr>
        <w:t xml:space="preserve"> in country A</w:t>
      </w:r>
      <w:r w:rsidRPr="000921B7">
        <w:rPr>
          <w:rFonts w:ascii="Arial" w:hAnsi="Arial" w:cs="Arial"/>
          <w:sz w:val="22"/>
          <w:szCs w:val="28"/>
        </w:rPr>
        <w:t xml:space="preserve"> is a “collective proceeding</w:t>
      </w:r>
      <w:r w:rsidR="00EA7F33" w:rsidRPr="000921B7">
        <w:rPr>
          <w:rFonts w:ascii="Arial" w:hAnsi="Arial" w:cs="Arial"/>
          <w:sz w:val="22"/>
          <w:szCs w:val="28"/>
        </w:rPr>
        <w:t>”.</w:t>
      </w:r>
      <w:r w:rsidR="000B7D8A" w:rsidRPr="000921B7">
        <w:rPr>
          <w:rFonts w:ascii="Arial" w:hAnsi="Arial" w:cs="Arial"/>
          <w:i/>
          <w:iCs/>
          <w:sz w:val="22"/>
          <w:szCs w:val="28"/>
        </w:rPr>
        <w:t xml:space="preserve"> </w:t>
      </w:r>
    </w:p>
    <w:p w14:paraId="7D33CC5B" w14:textId="77777777" w:rsidR="00DA6F51" w:rsidRPr="000921B7" w:rsidRDefault="00DA6F51" w:rsidP="000B7D8A">
      <w:pPr>
        <w:jc w:val="both"/>
        <w:rPr>
          <w:rFonts w:ascii="Arial" w:hAnsi="Arial" w:cs="Arial"/>
          <w:sz w:val="22"/>
          <w:szCs w:val="28"/>
        </w:rPr>
      </w:pPr>
    </w:p>
    <w:p w14:paraId="18944E77" w14:textId="2641F56A" w:rsidR="00DA6F51" w:rsidRPr="000921B7" w:rsidRDefault="00DA6F51" w:rsidP="00DA6F51">
      <w:pPr>
        <w:jc w:val="both"/>
        <w:rPr>
          <w:rFonts w:ascii="Arial" w:hAnsi="Arial" w:cs="Arial"/>
          <w:i/>
          <w:iCs/>
          <w:sz w:val="22"/>
          <w:szCs w:val="28"/>
        </w:rPr>
      </w:pPr>
      <w:r w:rsidRPr="000921B7">
        <w:rPr>
          <w:rFonts w:ascii="Arial" w:hAnsi="Arial" w:cs="Arial"/>
          <w:i/>
          <w:iCs/>
          <w:sz w:val="22"/>
          <w:szCs w:val="28"/>
        </w:rPr>
        <w:t>…</w:t>
      </w:r>
      <w:r w:rsidRPr="000921B7">
        <w:rPr>
          <w:rFonts w:ascii="Arial" w:hAnsi="Arial" w:cs="Arial"/>
          <w:i/>
          <w:iCs/>
          <w:sz w:val="22"/>
          <w:szCs w:val="28"/>
        </w:rPr>
        <w:t>pursuant to a law relating to insolvency</w:t>
      </w:r>
    </w:p>
    <w:p w14:paraId="45476F16" w14:textId="57C0E243" w:rsidR="003A0344" w:rsidRPr="000921B7" w:rsidRDefault="003A0344" w:rsidP="000B7D8A">
      <w:pPr>
        <w:jc w:val="both"/>
        <w:rPr>
          <w:rFonts w:ascii="Arial" w:hAnsi="Arial" w:cs="Arial"/>
          <w:sz w:val="22"/>
          <w:szCs w:val="28"/>
        </w:rPr>
      </w:pPr>
    </w:p>
    <w:p w14:paraId="099652E9" w14:textId="77777777" w:rsidR="002006FC" w:rsidRPr="000921B7" w:rsidRDefault="002006FC" w:rsidP="002006FC">
      <w:pPr>
        <w:jc w:val="both"/>
        <w:rPr>
          <w:rFonts w:ascii="Arial" w:hAnsi="Arial" w:cs="Arial"/>
          <w:sz w:val="22"/>
          <w:szCs w:val="28"/>
        </w:rPr>
      </w:pPr>
      <w:r w:rsidRPr="000921B7">
        <w:rPr>
          <w:rFonts w:ascii="Arial" w:hAnsi="Arial" w:cs="Arial"/>
          <w:sz w:val="22"/>
          <w:szCs w:val="28"/>
        </w:rPr>
        <w:t>Paragraph 48 of the Guide to Enactment provides:</w:t>
      </w:r>
    </w:p>
    <w:p w14:paraId="66F76CD7" w14:textId="77777777" w:rsidR="002006FC" w:rsidRPr="000921B7" w:rsidRDefault="002006FC" w:rsidP="002006FC">
      <w:pPr>
        <w:jc w:val="both"/>
        <w:rPr>
          <w:rFonts w:ascii="Arial" w:hAnsi="Arial" w:cs="Arial"/>
          <w:i/>
          <w:iCs/>
          <w:szCs w:val="20"/>
        </w:rPr>
      </w:pPr>
    </w:p>
    <w:p w14:paraId="0E82EEB8" w14:textId="77777777" w:rsidR="002006FC" w:rsidRPr="000921B7" w:rsidRDefault="002006FC" w:rsidP="002006FC">
      <w:pPr>
        <w:jc w:val="both"/>
        <w:rPr>
          <w:rFonts w:ascii="Arial" w:hAnsi="Arial" w:cs="Arial"/>
          <w:i/>
          <w:iCs/>
          <w:szCs w:val="20"/>
        </w:rPr>
      </w:pPr>
      <w:r w:rsidRPr="000921B7">
        <w:rPr>
          <w:rFonts w:ascii="Arial" w:hAnsi="Arial" w:cs="Arial"/>
          <w:i/>
          <w:iCs/>
          <w:szCs w:val="20"/>
        </w:rPr>
        <w:t>Acknowledging that different jurisdictions might have different notions of what falls within the term “insolvency proceedings”, the Model Law does not define the term “insolvency”. However, as used in the Model Law, the word “insolvency” refers to various types of collective proceedings commenced with respect to debtors that are in severe financial distress or insolvent.</w:t>
      </w:r>
    </w:p>
    <w:p w14:paraId="1710FFE4" w14:textId="77777777" w:rsidR="002006FC" w:rsidRPr="000921B7" w:rsidRDefault="002006FC" w:rsidP="002006FC">
      <w:pPr>
        <w:jc w:val="both"/>
        <w:rPr>
          <w:rFonts w:ascii="Arial" w:hAnsi="Arial" w:cs="Arial"/>
          <w:sz w:val="22"/>
          <w:szCs w:val="28"/>
        </w:rPr>
      </w:pPr>
    </w:p>
    <w:p w14:paraId="34331E94" w14:textId="5E46F1DA" w:rsidR="002006FC" w:rsidRPr="000921B7" w:rsidRDefault="002006FC" w:rsidP="002006FC">
      <w:pPr>
        <w:jc w:val="both"/>
        <w:rPr>
          <w:rFonts w:ascii="Arial" w:hAnsi="Arial" w:cs="Arial"/>
          <w:sz w:val="22"/>
          <w:szCs w:val="28"/>
        </w:rPr>
      </w:pPr>
      <w:r w:rsidRPr="000921B7">
        <w:rPr>
          <w:rFonts w:ascii="Arial" w:hAnsi="Arial" w:cs="Arial"/>
          <w:sz w:val="22"/>
          <w:szCs w:val="28"/>
        </w:rPr>
        <w:t xml:space="preserve">Further </w:t>
      </w:r>
      <w:r w:rsidRPr="000921B7">
        <w:rPr>
          <w:rFonts w:ascii="Arial" w:hAnsi="Arial" w:cs="Arial"/>
          <w:sz w:val="22"/>
          <w:szCs w:val="28"/>
        </w:rPr>
        <w:t>guidance</w:t>
      </w:r>
      <w:r w:rsidRPr="000921B7">
        <w:rPr>
          <w:rFonts w:ascii="Arial" w:hAnsi="Arial" w:cs="Arial"/>
          <w:sz w:val="22"/>
          <w:szCs w:val="28"/>
        </w:rPr>
        <w:t xml:space="preserve"> is provided at paragraph 73: </w:t>
      </w:r>
    </w:p>
    <w:p w14:paraId="465B1788" w14:textId="77777777" w:rsidR="002006FC" w:rsidRPr="000921B7" w:rsidRDefault="002006FC" w:rsidP="002006FC">
      <w:pPr>
        <w:jc w:val="both"/>
        <w:rPr>
          <w:rFonts w:ascii="Arial" w:hAnsi="Arial" w:cs="Arial"/>
          <w:sz w:val="22"/>
          <w:szCs w:val="28"/>
        </w:rPr>
      </w:pPr>
    </w:p>
    <w:p w14:paraId="09F8C8D8" w14:textId="77777777" w:rsidR="00337F33" w:rsidRPr="000921B7" w:rsidRDefault="002006FC" w:rsidP="002006FC">
      <w:pPr>
        <w:jc w:val="both"/>
        <w:rPr>
          <w:rFonts w:ascii="Arial" w:hAnsi="Arial" w:cs="Arial"/>
          <w:i/>
          <w:iCs/>
          <w:szCs w:val="20"/>
        </w:rPr>
      </w:pPr>
      <w:r w:rsidRPr="000921B7">
        <w:rPr>
          <w:rFonts w:ascii="Arial" w:hAnsi="Arial" w:cs="Arial"/>
          <w:i/>
          <w:iCs/>
          <w:szCs w:val="20"/>
        </w:rPr>
        <w:t>T</w:t>
      </w:r>
      <w:r w:rsidRPr="000921B7">
        <w:rPr>
          <w:rFonts w:ascii="Arial" w:hAnsi="Arial" w:cs="Arial"/>
          <w:i/>
          <w:iCs/>
          <w:szCs w:val="20"/>
        </w:rPr>
        <w:t>his formulation is used in the Model Law to acknowledge the fact that liquidation and reorganization might be conducted under law that is not labelled as insolvency law (</w:t>
      </w:r>
      <w:proofErr w:type="gramStart"/>
      <w:r w:rsidRPr="000921B7">
        <w:rPr>
          <w:rFonts w:ascii="Arial" w:hAnsi="Arial" w:cs="Arial"/>
          <w:i/>
          <w:iCs/>
          <w:szCs w:val="20"/>
        </w:rPr>
        <w:t>e.g.</w:t>
      </w:r>
      <w:proofErr w:type="gramEnd"/>
      <w:r w:rsidRPr="000921B7">
        <w:rPr>
          <w:rFonts w:ascii="Arial" w:hAnsi="Arial" w:cs="Arial"/>
          <w:i/>
          <w:iCs/>
          <w:szCs w:val="20"/>
        </w:rPr>
        <w:t xml:space="preserve"> company law), but which nevertheless deals with or addresses insolvency or severe financial distress. The purpose was to find a description that was sufficiently broad to encompass a range of insolvency rules irrespective of the type of statute or law in which they might be contained and irrespective of whether the law that contained the rules related exclusively to insolvency.</w:t>
      </w:r>
    </w:p>
    <w:p w14:paraId="66496599" w14:textId="77777777" w:rsidR="00337F33" w:rsidRPr="000921B7" w:rsidRDefault="00337F33" w:rsidP="002006FC">
      <w:pPr>
        <w:jc w:val="both"/>
        <w:rPr>
          <w:rFonts w:ascii="Arial" w:hAnsi="Arial" w:cs="Arial"/>
          <w:sz w:val="22"/>
          <w:szCs w:val="28"/>
        </w:rPr>
      </w:pPr>
    </w:p>
    <w:p w14:paraId="3D176DC8" w14:textId="4F56E47F" w:rsidR="002006FC" w:rsidRPr="000921B7" w:rsidRDefault="00337F33" w:rsidP="002006FC">
      <w:pPr>
        <w:jc w:val="both"/>
        <w:rPr>
          <w:rFonts w:ascii="Arial" w:hAnsi="Arial" w:cs="Arial"/>
          <w:sz w:val="22"/>
          <w:szCs w:val="28"/>
        </w:rPr>
      </w:pPr>
      <w:r w:rsidRPr="000921B7">
        <w:rPr>
          <w:rFonts w:ascii="Arial" w:hAnsi="Arial" w:cs="Arial"/>
          <w:sz w:val="22"/>
          <w:szCs w:val="28"/>
        </w:rPr>
        <w:t xml:space="preserve">Clearly it may be seen in this case that </w:t>
      </w:r>
      <w:r w:rsidR="002006FC" w:rsidRPr="000921B7">
        <w:rPr>
          <w:rFonts w:ascii="Arial" w:hAnsi="Arial" w:cs="Arial"/>
          <w:sz w:val="22"/>
          <w:szCs w:val="28"/>
        </w:rPr>
        <w:t>Article 76 of the LBBA set</w:t>
      </w:r>
      <w:r w:rsidRPr="000921B7">
        <w:rPr>
          <w:rFonts w:ascii="Arial" w:hAnsi="Arial" w:cs="Arial"/>
          <w:sz w:val="22"/>
          <w:szCs w:val="28"/>
        </w:rPr>
        <w:t>s</w:t>
      </w:r>
      <w:r w:rsidR="002006FC" w:rsidRPr="000921B7">
        <w:rPr>
          <w:rFonts w:ascii="Arial" w:hAnsi="Arial" w:cs="Arial"/>
          <w:sz w:val="22"/>
          <w:szCs w:val="28"/>
        </w:rPr>
        <w:t xml:space="preserve"> out </w:t>
      </w:r>
      <w:r w:rsidRPr="000921B7">
        <w:rPr>
          <w:rFonts w:ascii="Arial" w:hAnsi="Arial" w:cs="Arial"/>
          <w:sz w:val="22"/>
          <w:szCs w:val="28"/>
        </w:rPr>
        <w:t>c</w:t>
      </w:r>
      <w:r w:rsidR="002006FC" w:rsidRPr="000921B7">
        <w:rPr>
          <w:rFonts w:ascii="Arial" w:hAnsi="Arial" w:cs="Arial"/>
          <w:sz w:val="22"/>
          <w:szCs w:val="28"/>
        </w:rPr>
        <w:t xml:space="preserve">ountry A’s specific insolvency procedures for insolvent banks. The </w:t>
      </w:r>
      <w:r w:rsidRPr="000921B7">
        <w:rPr>
          <w:rFonts w:ascii="Arial" w:hAnsi="Arial" w:cs="Arial"/>
          <w:sz w:val="22"/>
          <w:szCs w:val="28"/>
        </w:rPr>
        <w:t>b</w:t>
      </w:r>
      <w:r w:rsidR="002006FC" w:rsidRPr="000921B7">
        <w:rPr>
          <w:rFonts w:ascii="Arial" w:hAnsi="Arial" w:cs="Arial"/>
          <w:sz w:val="22"/>
          <w:szCs w:val="28"/>
        </w:rPr>
        <w:t xml:space="preserve">ank’s liquidation was commenced pursuant to those </w:t>
      </w:r>
      <w:proofErr w:type="gramStart"/>
      <w:r w:rsidR="002006FC" w:rsidRPr="000921B7">
        <w:rPr>
          <w:rFonts w:ascii="Arial" w:hAnsi="Arial" w:cs="Arial"/>
          <w:sz w:val="22"/>
          <w:szCs w:val="28"/>
        </w:rPr>
        <w:t>provisions</w:t>
      </w:r>
      <w:proofErr w:type="gramEnd"/>
      <w:r w:rsidR="002006FC" w:rsidRPr="000921B7">
        <w:rPr>
          <w:rFonts w:ascii="Arial" w:hAnsi="Arial" w:cs="Arial"/>
          <w:sz w:val="22"/>
          <w:szCs w:val="28"/>
        </w:rPr>
        <w:t xml:space="preserve"> and </w:t>
      </w:r>
      <w:r w:rsidRPr="000921B7">
        <w:rPr>
          <w:rFonts w:ascii="Arial" w:hAnsi="Arial" w:cs="Arial"/>
          <w:sz w:val="22"/>
          <w:szCs w:val="28"/>
        </w:rPr>
        <w:t xml:space="preserve">it is consequently </w:t>
      </w:r>
      <w:r w:rsidR="0084012C" w:rsidRPr="000921B7">
        <w:rPr>
          <w:rFonts w:ascii="Arial" w:hAnsi="Arial" w:cs="Arial"/>
          <w:sz w:val="22"/>
          <w:szCs w:val="28"/>
        </w:rPr>
        <w:t xml:space="preserve">the case that the court here should be satisfied that </w:t>
      </w:r>
      <w:r w:rsidR="00D76444" w:rsidRPr="000921B7">
        <w:rPr>
          <w:rFonts w:ascii="Arial" w:hAnsi="Arial" w:cs="Arial"/>
          <w:sz w:val="22"/>
          <w:szCs w:val="28"/>
        </w:rPr>
        <w:t xml:space="preserve">liquidation is pursuant to a law relating to insolvency. I don’t believe there can be any doubt on this limb of the Article 2(a) based on the facts as advanced. </w:t>
      </w:r>
    </w:p>
    <w:p w14:paraId="531FF300" w14:textId="77777777" w:rsidR="00F12969" w:rsidRPr="000921B7" w:rsidRDefault="00F12969" w:rsidP="00F12969">
      <w:pPr>
        <w:jc w:val="both"/>
        <w:rPr>
          <w:rFonts w:ascii="Arial" w:hAnsi="Arial" w:cs="Arial"/>
          <w:i/>
          <w:iCs/>
          <w:sz w:val="22"/>
          <w:szCs w:val="28"/>
        </w:rPr>
      </w:pPr>
    </w:p>
    <w:p w14:paraId="015389B5" w14:textId="77777777" w:rsidR="00F12969" w:rsidRPr="000921B7" w:rsidRDefault="00F12969" w:rsidP="00F12969">
      <w:pPr>
        <w:jc w:val="both"/>
        <w:rPr>
          <w:rFonts w:ascii="Arial" w:hAnsi="Arial" w:cs="Arial"/>
          <w:i/>
          <w:iCs/>
          <w:sz w:val="22"/>
          <w:szCs w:val="28"/>
        </w:rPr>
      </w:pPr>
    </w:p>
    <w:p w14:paraId="4D0C9E25" w14:textId="01D7C6B7" w:rsidR="00F12969" w:rsidRPr="000921B7" w:rsidRDefault="00F12969" w:rsidP="00F12969">
      <w:pPr>
        <w:jc w:val="both"/>
        <w:rPr>
          <w:rFonts w:ascii="Arial" w:hAnsi="Arial" w:cs="Arial"/>
          <w:i/>
          <w:iCs/>
          <w:sz w:val="22"/>
          <w:szCs w:val="28"/>
        </w:rPr>
      </w:pPr>
      <w:r w:rsidRPr="000921B7">
        <w:rPr>
          <w:rFonts w:ascii="Arial" w:hAnsi="Arial" w:cs="Arial"/>
          <w:i/>
          <w:iCs/>
          <w:sz w:val="22"/>
          <w:szCs w:val="28"/>
        </w:rPr>
        <w:lastRenderedPageBreak/>
        <w:t>…</w:t>
      </w:r>
      <w:r w:rsidRPr="000921B7">
        <w:rPr>
          <w:rFonts w:ascii="Arial" w:hAnsi="Arial" w:cs="Arial"/>
          <w:i/>
          <w:iCs/>
          <w:sz w:val="22"/>
          <w:szCs w:val="28"/>
        </w:rPr>
        <w:t>in which proceeding the assets and affairs of the debtor are subject to control or supervision by a foreign court</w:t>
      </w:r>
    </w:p>
    <w:p w14:paraId="1BB0146F" w14:textId="77777777" w:rsidR="00F12969" w:rsidRPr="000921B7" w:rsidRDefault="00F12969" w:rsidP="000B7D8A">
      <w:pPr>
        <w:jc w:val="both"/>
        <w:rPr>
          <w:rFonts w:ascii="Arial" w:hAnsi="Arial" w:cs="Arial"/>
          <w:sz w:val="22"/>
          <w:szCs w:val="28"/>
        </w:rPr>
      </w:pPr>
    </w:p>
    <w:p w14:paraId="3B24896A" w14:textId="5BD754F3" w:rsidR="003A0344" w:rsidRPr="000921B7" w:rsidRDefault="003A0344" w:rsidP="000B7D8A">
      <w:pPr>
        <w:jc w:val="both"/>
        <w:rPr>
          <w:rFonts w:ascii="Arial" w:hAnsi="Arial" w:cs="Arial"/>
          <w:sz w:val="22"/>
          <w:szCs w:val="28"/>
        </w:rPr>
      </w:pPr>
      <w:r w:rsidRPr="000921B7">
        <w:rPr>
          <w:rFonts w:ascii="Arial" w:hAnsi="Arial" w:cs="Arial"/>
          <w:sz w:val="22"/>
          <w:szCs w:val="28"/>
        </w:rPr>
        <w:t xml:space="preserve">With respect to </w:t>
      </w:r>
      <w:r w:rsidRPr="000921B7">
        <w:rPr>
          <w:rFonts w:ascii="Arial" w:hAnsi="Arial" w:cs="Arial"/>
          <w:i/>
          <w:iCs/>
          <w:sz w:val="22"/>
          <w:szCs w:val="28"/>
        </w:rPr>
        <w:t>“control”</w:t>
      </w:r>
      <w:r w:rsidR="00520989" w:rsidRPr="000921B7">
        <w:rPr>
          <w:rFonts w:ascii="Arial" w:hAnsi="Arial" w:cs="Arial"/>
          <w:i/>
          <w:iCs/>
          <w:sz w:val="22"/>
          <w:szCs w:val="28"/>
        </w:rPr>
        <w:t xml:space="preserve">, </w:t>
      </w:r>
      <w:r w:rsidR="00520989" w:rsidRPr="000921B7">
        <w:rPr>
          <w:rFonts w:ascii="Arial" w:hAnsi="Arial" w:cs="Arial"/>
          <w:sz w:val="22"/>
          <w:szCs w:val="28"/>
        </w:rPr>
        <w:t>paragraph 74 of the Guide to Enactment and Interpretation assists:</w:t>
      </w:r>
    </w:p>
    <w:p w14:paraId="42F51327" w14:textId="4EEC9303" w:rsidR="00520989" w:rsidRPr="000921B7" w:rsidRDefault="00520989" w:rsidP="000B7D8A">
      <w:pPr>
        <w:jc w:val="both"/>
        <w:rPr>
          <w:rFonts w:ascii="Arial" w:hAnsi="Arial" w:cs="Arial"/>
          <w:sz w:val="22"/>
          <w:szCs w:val="28"/>
        </w:rPr>
      </w:pPr>
    </w:p>
    <w:p w14:paraId="64D0BDBE" w14:textId="2026C770" w:rsidR="00520989" w:rsidRPr="000921B7" w:rsidRDefault="00520989" w:rsidP="000B7D8A">
      <w:pPr>
        <w:jc w:val="both"/>
        <w:rPr>
          <w:rFonts w:ascii="Arial" w:hAnsi="Arial" w:cs="Arial"/>
          <w:i/>
          <w:iCs/>
        </w:rPr>
      </w:pPr>
      <w:r w:rsidRPr="000921B7">
        <w:rPr>
          <w:rFonts w:ascii="Arial" w:hAnsi="Arial" w:cs="Arial"/>
          <w:i/>
          <w:iCs/>
        </w:rPr>
        <w:t>The Model Law specifies neither the level of control or supervision required to satisfy this aspect of the definition nor the time at which that control or supervision should arise. Although it is intended that the control or supervision required under subparagraph (a) should be formal in nature, it may be potential rather than actual. As noted in paragraph 71, a proceeding in which the debtor retains some measure of control over its assets, albeit under court supervision, such as a debtor-in-possession would satisfy this requirement. Control or supervision may be exercised not only directly by the court but also by an insolvency representative where, for example, the insolvency representative is subject to control or supervision by the court. Mere supervision of an insolvency representative by a licensing authority would not be sufficient.</w:t>
      </w:r>
    </w:p>
    <w:p w14:paraId="4A57809E" w14:textId="625D2C5B" w:rsidR="003A0344" w:rsidRPr="000921B7" w:rsidRDefault="003A0344" w:rsidP="000B7D8A">
      <w:pPr>
        <w:jc w:val="both"/>
        <w:rPr>
          <w:rFonts w:ascii="Arial" w:hAnsi="Arial" w:cs="Arial"/>
          <w:sz w:val="22"/>
          <w:szCs w:val="28"/>
        </w:rPr>
      </w:pPr>
    </w:p>
    <w:p w14:paraId="2B7B8CFB" w14:textId="70FC57C8" w:rsidR="00CD6B8E" w:rsidRPr="000921B7" w:rsidRDefault="00E73BF2" w:rsidP="000B7D8A">
      <w:pPr>
        <w:jc w:val="both"/>
        <w:rPr>
          <w:rFonts w:ascii="Arial" w:hAnsi="Arial" w:cs="Arial"/>
          <w:sz w:val="22"/>
          <w:szCs w:val="28"/>
        </w:rPr>
      </w:pPr>
      <w:r w:rsidRPr="000921B7">
        <w:rPr>
          <w:rFonts w:ascii="Arial" w:hAnsi="Arial" w:cs="Arial"/>
          <w:sz w:val="22"/>
          <w:szCs w:val="28"/>
        </w:rPr>
        <w:t>Paragraph 84 states:</w:t>
      </w:r>
    </w:p>
    <w:p w14:paraId="1086044F" w14:textId="77777777" w:rsidR="00E73BF2" w:rsidRPr="000921B7" w:rsidRDefault="00E73BF2" w:rsidP="000B7D8A">
      <w:pPr>
        <w:jc w:val="both"/>
        <w:rPr>
          <w:rFonts w:ascii="Arial" w:hAnsi="Arial" w:cs="Arial"/>
          <w:sz w:val="22"/>
          <w:szCs w:val="28"/>
        </w:rPr>
      </w:pPr>
    </w:p>
    <w:p w14:paraId="45592228" w14:textId="2BB0CAAD" w:rsidR="00CD6B8E" w:rsidRPr="000921B7" w:rsidRDefault="00E73BF2" w:rsidP="000B7D8A">
      <w:pPr>
        <w:jc w:val="both"/>
        <w:rPr>
          <w:rFonts w:ascii="Arial" w:hAnsi="Arial" w:cs="Arial"/>
          <w:i/>
          <w:iCs/>
          <w:szCs w:val="20"/>
        </w:rPr>
      </w:pPr>
      <w:r w:rsidRPr="000921B7">
        <w:rPr>
          <w:rFonts w:ascii="Arial" w:hAnsi="Arial" w:cs="Arial"/>
          <w:i/>
          <w:iCs/>
          <w:szCs w:val="20"/>
        </w:rPr>
        <w:t>A foreign proceeding that meets the requisites of article 2, subparagraph (a), should receive the same treatment irrespective of whether it has been commenced and supervised by a judicial body or an administrative body. Therefore, in order to obviate the need to refer to a foreign non-judicial authority whenever reference is made to a foreign court, the definition of “foreign court” in subparagraph (e) includes also non-judicial authorities.</w:t>
      </w:r>
      <w:r w:rsidR="00986718" w:rsidRPr="000921B7">
        <w:rPr>
          <w:rFonts w:ascii="Arial" w:hAnsi="Arial" w:cs="Arial"/>
          <w:i/>
          <w:iCs/>
          <w:szCs w:val="20"/>
        </w:rPr>
        <w:t xml:space="preserve"> </w:t>
      </w:r>
    </w:p>
    <w:p w14:paraId="385C1581" w14:textId="3FB1DAB8" w:rsidR="00986718" w:rsidRPr="000921B7" w:rsidRDefault="00986718" w:rsidP="000B7D8A">
      <w:pPr>
        <w:jc w:val="both"/>
        <w:rPr>
          <w:rFonts w:ascii="Arial" w:hAnsi="Arial" w:cs="Arial"/>
          <w:i/>
          <w:iCs/>
          <w:szCs w:val="20"/>
        </w:rPr>
      </w:pPr>
    </w:p>
    <w:p w14:paraId="032FCECE" w14:textId="64454957" w:rsidR="00FF293B" w:rsidRPr="000921B7" w:rsidRDefault="00505717" w:rsidP="00FF293B">
      <w:pPr>
        <w:rPr>
          <w:rFonts w:ascii="Arial" w:hAnsi="Arial" w:cs="Arial"/>
          <w:color w:val="000000"/>
          <w:sz w:val="22"/>
          <w:szCs w:val="22"/>
          <w:lang w:val="en-GB" w:eastAsia="en-GB"/>
        </w:rPr>
      </w:pPr>
      <w:r w:rsidRPr="000921B7">
        <w:rPr>
          <w:rFonts w:ascii="Arial" w:hAnsi="Arial" w:cs="Arial"/>
          <w:sz w:val="22"/>
          <w:szCs w:val="22"/>
        </w:rPr>
        <w:t xml:space="preserve">The proceedings in country A as initiated by the DGF are administrative in nature. </w:t>
      </w:r>
      <w:r w:rsidR="00FF293B" w:rsidRPr="000921B7">
        <w:rPr>
          <w:rFonts w:ascii="Arial" w:hAnsi="Arial" w:cs="Arial"/>
          <w:color w:val="000000"/>
          <w:sz w:val="22"/>
          <w:szCs w:val="22"/>
          <w:lang w:val="en-GB" w:eastAsia="en-GB"/>
        </w:rPr>
        <w:t>When the bank enter</w:t>
      </w:r>
      <w:r w:rsidR="00FF293B" w:rsidRPr="000921B7">
        <w:rPr>
          <w:rFonts w:ascii="Arial" w:hAnsi="Arial" w:cs="Arial"/>
          <w:color w:val="000000"/>
          <w:sz w:val="22"/>
          <w:szCs w:val="22"/>
          <w:lang w:val="en-GB" w:eastAsia="en-GB"/>
        </w:rPr>
        <w:t>ed</w:t>
      </w:r>
      <w:r w:rsidR="00FF293B" w:rsidRPr="000921B7">
        <w:rPr>
          <w:rFonts w:ascii="Arial" w:hAnsi="Arial" w:cs="Arial"/>
          <w:color w:val="000000"/>
          <w:sz w:val="22"/>
          <w:szCs w:val="22"/>
          <w:lang w:val="en-GB" w:eastAsia="en-GB"/>
        </w:rPr>
        <w:t xml:space="preserve"> liquidation, all powers of the bank’s management and control bodies </w:t>
      </w:r>
      <w:r w:rsidR="00FF293B" w:rsidRPr="000921B7">
        <w:rPr>
          <w:rFonts w:ascii="Arial" w:hAnsi="Arial" w:cs="Arial"/>
          <w:color w:val="000000"/>
          <w:sz w:val="22"/>
          <w:szCs w:val="22"/>
          <w:lang w:val="en-GB" w:eastAsia="en-GB"/>
        </w:rPr>
        <w:t>were</w:t>
      </w:r>
      <w:r w:rsidR="00FF293B" w:rsidRPr="000921B7">
        <w:rPr>
          <w:rFonts w:ascii="Arial" w:hAnsi="Arial" w:cs="Arial"/>
          <w:color w:val="000000"/>
          <w:sz w:val="22"/>
          <w:szCs w:val="22"/>
          <w:lang w:val="en-GB" w:eastAsia="en-GB"/>
        </w:rPr>
        <w:t xml:space="preserve"> terminated</w:t>
      </w:r>
      <w:r w:rsidR="006862A5" w:rsidRPr="000921B7">
        <w:rPr>
          <w:rFonts w:ascii="Arial" w:hAnsi="Arial" w:cs="Arial"/>
          <w:color w:val="000000"/>
          <w:sz w:val="22"/>
          <w:szCs w:val="22"/>
          <w:lang w:val="en-GB" w:eastAsia="en-GB"/>
        </w:rPr>
        <w:t xml:space="preserve"> and the </w:t>
      </w:r>
      <w:r w:rsidR="006862A5" w:rsidRPr="000921B7">
        <w:rPr>
          <w:rFonts w:ascii="Arial" w:hAnsi="Arial" w:cs="Arial"/>
          <w:sz w:val="22"/>
          <w:szCs w:val="28"/>
        </w:rPr>
        <w:t xml:space="preserve">DGF </w:t>
      </w:r>
      <w:r w:rsidR="006862A5" w:rsidRPr="000921B7">
        <w:rPr>
          <w:rFonts w:ascii="Arial" w:hAnsi="Arial" w:cs="Arial"/>
          <w:sz w:val="22"/>
          <w:szCs w:val="28"/>
        </w:rPr>
        <w:t xml:space="preserve">took control </w:t>
      </w:r>
      <w:r w:rsidR="006862A5" w:rsidRPr="000921B7">
        <w:rPr>
          <w:rFonts w:ascii="Arial" w:hAnsi="Arial" w:cs="Arial"/>
          <w:sz w:val="22"/>
          <w:szCs w:val="28"/>
        </w:rPr>
        <w:t xml:space="preserve">of </w:t>
      </w:r>
      <w:proofErr w:type="gramStart"/>
      <w:r w:rsidR="006862A5" w:rsidRPr="000921B7">
        <w:rPr>
          <w:rFonts w:ascii="Arial" w:hAnsi="Arial" w:cs="Arial"/>
          <w:sz w:val="22"/>
          <w:szCs w:val="28"/>
        </w:rPr>
        <w:t>all of</w:t>
      </w:r>
      <w:proofErr w:type="gramEnd"/>
      <w:r w:rsidR="006862A5" w:rsidRPr="000921B7">
        <w:rPr>
          <w:rFonts w:ascii="Arial" w:hAnsi="Arial" w:cs="Arial"/>
          <w:sz w:val="22"/>
          <w:szCs w:val="28"/>
        </w:rPr>
        <w:t xml:space="preserve"> the </w:t>
      </w:r>
      <w:r w:rsidR="006862A5" w:rsidRPr="000921B7">
        <w:rPr>
          <w:rFonts w:ascii="Arial" w:hAnsi="Arial" w:cs="Arial"/>
          <w:sz w:val="22"/>
          <w:szCs w:val="28"/>
        </w:rPr>
        <w:t>b</w:t>
      </w:r>
      <w:r w:rsidR="006862A5" w:rsidRPr="000921B7">
        <w:rPr>
          <w:rFonts w:ascii="Arial" w:hAnsi="Arial" w:cs="Arial"/>
          <w:sz w:val="22"/>
          <w:szCs w:val="28"/>
        </w:rPr>
        <w:t>ank’s assets and overall control of the liquidation.</w:t>
      </w:r>
      <w:r w:rsidR="00986718" w:rsidRPr="000921B7">
        <w:rPr>
          <w:rFonts w:ascii="Arial" w:hAnsi="Arial" w:cs="Arial"/>
          <w:sz w:val="22"/>
          <w:szCs w:val="28"/>
        </w:rPr>
        <w:t xml:space="preserve"> </w:t>
      </w:r>
      <w:r w:rsidR="004F7E6B" w:rsidRPr="000921B7">
        <w:rPr>
          <w:rFonts w:ascii="Arial" w:hAnsi="Arial" w:cs="Arial"/>
          <w:sz w:val="22"/>
          <w:szCs w:val="28"/>
        </w:rPr>
        <w:t xml:space="preserve">The DGF supervises </w:t>
      </w:r>
      <w:proofErr w:type="spellStart"/>
      <w:r w:rsidR="004F7E6B" w:rsidRPr="000921B7">
        <w:rPr>
          <w:rFonts w:ascii="Arial" w:hAnsi="Arial" w:cs="Arial"/>
          <w:sz w:val="22"/>
          <w:szCs w:val="28"/>
        </w:rPr>
        <w:t>Ms</w:t>
      </w:r>
      <w:proofErr w:type="spellEnd"/>
      <w:r w:rsidR="004F7E6B" w:rsidRPr="000921B7">
        <w:rPr>
          <w:rFonts w:ascii="Arial" w:hAnsi="Arial" w:cs="Arial"/>
          <w:sz w:val="22"/>
          <w:szCs w:val="28"/>
        </w:rPr>
        <w:t xml:space="preserve"> G </w:t>
      </w:r>
      <w:r w:rsidR="00BA32A6" w:rsidRPr="000921B7">
        <w:rPr>
          <w:rFonts w:ascii="Arial" w:hAnsi="Arial" w:cs="Arial"/>
          <w:sz w:val="22"/>
          <w:szCs w:val="28"/>
        </w:rPr>
        <w:t xml:space="preserve">and </w:t>
      </w:r>
      <w:r w:rsidR="004F7E6B" w:rsidRPr="000921B7">
        <w:rPr>
          <w:rFonts w:ascii="Arial" w:hAnsi="Arial" w:cs="Arial"/>
          <w:sz w:val="22"/>
          <w:szCs w:val="28"/>
        </w:rPr>
        <w:t>ultimately supervises the conduct of the liquidation by e</w:t>
      </w:r>
      <w:r w:rsidR="00BA2062" w:rsidRPr="000921B7">
        <w:rPr>
          <w:rFonts w:ascii="Arial" w:hAnsi="Arial" w:cs="Arial"/>
          <w:sz w:val="22"/>
          <w:szCs w:val="28"/>
        </w:rPr>
        <w:t xml:space="preserve">xercising its control over the liquidation. </w:t>
      </w:r>
      <w:r w:rsidR="00986718" w:rsidRPr="000921B7">
        <w:rPr>
          <w:rFonts w:ascii="Arial" w:hAnsi="Arial" w:cs="Arial"/>
          <w:sz w:val="22"/>
          <w:szCs w:val="28"/>
        </w:rPr>
        <w:t xml:space="preserve">As such in my opinion the DGF would come under the </w:t>
      </w:r>
      <w:r w:rsidR="00F02DE3" w:rsidRPr="000921B7">
        <w:rPr>
          <w:rFonts w:ascii="Arial" w:hAnsi="Arial" w:cs="Arial"/>
          <w:sz w:val="22"/>
          <w:szCs w:val="28"/>
        </w:rPr>
        <w:t xml:space="preserve">scope of and be considered </w:t>
      </w:r>
      <w:r w:rsidR="00BA32A6" w:rsidRPr="000921B7">
        <w:rPr>
          <w:rFonts w:ascii="Arial" w:hAnsi="Arial" w:cs="Arial"/>
          <w:i/>
          <w:iCs/>
          <w:sz w:val="22"/>
          <w:szCs w:val="28"/>
        </w:rPr>
        <w:t>subject to control or supervision by a</w:t>
      </w:r>
      <w:r w:rsidR="00F02DE3" w:rsidRPr="000921B7">
        <w:rPr>
          <w:rFonts w:ascii="Arial" w:hAnsi="Arial" w:cs="Arial"/>
          <w:sz w:val="22"/>
          <w:szCs w:val="28"/>
        </w:rPr>
        <w:t xml:space="preserve"> </w:t>
      </w:r>
      <w:r w:rsidR="00F02DE3" w:rsidRPr="000921B7">
        <w:rPr>
          <w:rFonts w:ascii="Arial" w:hAnsi="Arial" w:cs="Arial"/>
          <w:i/>
          <w:iCs/>
          <w:sz w:val="22"/>
          <w:szCs w:val="28"/>
        </w:rPr>
        <w:t xml:space="preserve">foreign court. </w:t>
      </w:r>
    </w:p>
    <w:p w14:paraId="6F231998" w14:textId="5C1D555A" w:rsidR="00505717" w:rsidRPr="000921B7" w:rsidRDefault="00505717" w:rsidP="00505717">
      <w:pPr>
        <w:jc w:val="both"/>
        <w:rPr>
          <w:rFonts w:ascii="Arial" w:hAnsi="Arial" w:cs="Arial"/>
          <w:sz w:val="22"/>
          <w:szCs w:val="28"/>
        </w:rPr>
      </w:pPr>
    </w:p>
    <w:p w14:paraId="61756150" w14:textId="7917E636" w:rsidR="00505717" w:rsidRPr="000921B7" w:rsidRDefault="00DA6F51" w:rsidP="000B7D8A">
      <w:pPr>
        <w:jc w:val="both"/>
        <w:rPr>
          <w:rFonts w:ascii="Arial" w:hAnsi="Arial" w:cs="Arial"/>
          <w:i/>
          <w:iCs/>
          <w:sz w:val="22"/>
          <w:szCs w:val="28"/>
        </w:rPr>
      </w:pPr>
      <w:r w:rsidRPr="000921B7">
        <w:rPr>
          <w:rFonts w:ascii="Arial" w:hAnsi="Arial" w:cs="Arial"/>
          <w:i/>
          <w:iCs/>
          <w:sz w:val="22"/>
          <w:szCs w:val="28"/>
        </w:rPr>
        <w:t>…</w:t>
      </w:r>
      <w:r w:rsidRPr="000921B7">
        <w:rPr>
          <w:rFonts w:ascii="Arial" w:hAnsi="Arial" w:cs="Arial"/>
          <w:i/>
          <w:iCs/>
          <w:sz w:val="22"/>
          <w:szCs w:val="28"/>
        </w:rPr>
        <w:t>for the purpose of reorganization or liquidation</w:t>
      </w:r>
      <w:r w:rsidR="00C642D0" w:rsidRPr="000921B7">
        <w:rPr>
          <w:rFonts w:ascii="Arial" w:hAnsi="Arial" w:cs="Arial"/>
          <w:i/>
          <w:iCs/>
          <w:sz w:val="22"/>
          <w:szCs w:val="28"/>
        </w:rPr>
        <w:t>.</w:t>
      </w:r>
    </w:p>
    <w:p w14:paraId="24E79DA8" w14:textId="6497E935" w:rsidR="00C642D0" w:rsidRPr="000921B7" w:rsidRDefault="00C642D0" w:rsidP="000B7D8A">
      <w:pPr>
        <w:jc w:val="both"/>
        <w:rPr>
          <w:rFonts w:ascii="Arial" w:hAnsi="Arial" w:cs="Arial"/>
          <w:i/>
          <w:iCs/>
          <w:sz w:val="22"/>
          <w:szCs w:val="28"/>
        </w:rPr>
      </w:pPr>
    </w:p>
    <w:p w14:paraId="243D9A59" w14:textId="6366D4D8" w:rsidR="00C642D0" w:rsidRPr="000921B7" w:rsidRDefault="00C642D0" w:rsidP="00C642D0">
      <w:pPr>
        <w:jc w:val="both"/>
        <w:rPr>
          <w:rFonts w:ascii="Arial" w:hAnsi="Arial" w:cs="Arial"/>
          <w:sz w:val="22"/>
          <w:szCs w:val="28"/>
        </w:rPr>
      </w:pPr>
      <w:r w:rsidRPr="000921B7">
        <w:rPr>
          <w:rFonts w:ascii="Arial" w:hAnsi="Arial" w:cs="Arial"/>
          <w:sz w:val="22"/>
          <w:szCs w:val="28"/>
        </w:rPr>
        <w:t xml:space="preserve">The judge will be assisted by the </w:t>
      </w:r>
      <w:proofErr w:type="spellStart"/>
      <w:r w:rsidRPr="000921B7">
        <w:rPr>
          <w:rFonts w:ascii="Arial" w:hAnsi="Arial" w:cs="Arial"/>
          <w:i/>
          <w:iCs/>
          <w:sz w:val="22"/>
          <w:szCs w:val="28"/>
        </w:rPr>
        <w:t>Agrokor</w:t>
      </w:r>
      <w:proofErr w:type="spellEnd"/>
      <w:r w:rsidRPr="000921B7">
        <w:rPr>
          <w:rFonts w:ascii="Arial" w:hAnsi="Arial" w:cs="Arial"/>
          <w:i/>
          <w:iCs/>
          <w:sz w:val="22"/>
          <w:szCs w:val="28"/>
        </w:rPr>
        <w:t xml:space="preserve"> </w:t>
      </w:r>
      <w:r w:rsidRPr="000921B7">
        <w:rPr>
          <w:rFonts w:ascii="Arial" w:hAnsi="Arial" w:cs="Arial"/>
          <w:sz w:val="22"/>
          <w:szCs w:val="28"/>
        </w:rPr>
        <w:t xml:space="preserve">decision in determining the question of </w:t>
      </w:r>
      <w:r w:rsidRPr="000921B7">
        <w:rPr>
          <w:rFonts w:ascii="Arial" w:hAnsi="Arial" w:cs="Arial"/>
          <w:i/>
          <w:iCs/>
          <w:sz w:val="22"/>
          <w:szCs w:val="28"/>
        </w:rPr>
        <w:t xml:space="preserve">for the purpose of reorganization or liquidation. </w:t>
      </w:r>
      <w:r w:rsidRPr="000921B7">
        <w:rPr>
          <w:rFonts w:ascii="Arial" w:hAnsi="Arial" w:cs="Arial"/>
          <w:sz w:val="22"/>
          <w:szCs w:val="28"/>
        </w:rPr>
        <w:t xml:space="preserve">Clearly here as in </w:t>
      </w:r>
      <w:proofErr w:type="spellStart"/>
      <w:r w:rsidRPr="000921B7">
        <w:rPr>
          <w:rFonts w:ascii="Arial" w:hAnsi="Arial" w:cs="Arial"/>
          <w:sz w:val="22"/>
          <w:szCs w:val="28"/>
        </w:rPr>
        <w:t>Agrokor</w:t>
      </w:r>
      <w:proofErr w:type="spellEnd"/>
      <w:r w:rsidRPr="000921B7">
        <w:rPr>
          <w:rFonts w:ascii="Arial" w:hAnsi="Arial" w:cs="Arial"/>
          <w:sz w:val="22"/>
          <w:szCs w:val="28"/>
        </w:rPr>
        <w:t xml:space="preserve"> the LBBA’s purpose is the stability of the financial system in country A</w:t>
      </w:r>
      <w:r w:rsidR="00107D6B" w:rsidRPr="000921B7">
        <w:rPr>
          <w:rFonts w:ascii="Arial" w:hAnsi="Arial" w:cs="Arial"/>
          <w:sz w:val="22"/>
          <w:szCs w:val="28"/>
        </w:rPr>
        <w:t xml:space="preserve"> and the procedure is within the scope of this limb of Article 2(a). </w:t>
      </w:r>
    </w:p>
    <w:p w14:paraId="33EB39C3" w14:textId="77777777" w:rsidR="002006FC" w:rsidRPr="000921B7" w:rsidRDefault="002006FC" w:rsidP="00C642D0">
      <w:pPr>
        <w:jc w:val="both"/>
        <w:rPr>
          <w:rFonts w:ascii="Arial" w:hAnsi="Arial" w:cs="Arial"/>
          <w:sz w:val="22"/>
          <w:szCs w:val="28"/>
        </w:rPr>
      </w:pPr>
    </w:p>
    <w:p w14:paraId="1F8E6839" w14:textId="77777777" w:rsidR="005A1521" w:rsidRPr="000921B7" w:rsidRDefault="005A1521" w:rsidP="00C642D0">
      <w:pPr>
        <w:jc w:val="both"/>
        <w:rPr>
          <w:rFonts w:ascii="Arial" w:hAnsi="Arial" w:cs="Arial"/>
          <w:b/>
          <w:bCs/>
          <w:i/>
          <w:iCs/>
          <w:sz w:val="22"/>
          <w:szCs w:val="28"/>
        </w:rPr>
      </w:pPr>
    </w:p>
    <w:p w14:paraId="32DA726B" w14:textId="459E46F3" w:rsidR="00C642D0" w:rsidRPr="000921B7" w:rsidRDefault="00BA32A6" w:rsidP="000B7D8A">
      <w:pPr>
        <w:jc w:val="both"/>
        <w:rPr>
          <w:rFonts w:ascii="Arial" w:hAnsi="Arial" w:cs="Arial"/>
          <w:b/>
          <w:bCs/>
          <w:sz w:val="22"/>
          <w:szCs w:val="28"/>
        </w:rPr>
      </w:pPr>
      <w:r w:rsidRPr="000921B7">
        <w:rPr>
          <w:rFonts w:ascii="Arial" w:hAnsi="Arial" w:cs="Arial"/>
          <w:b/>
          <w:bCs/>
          <w:sz w:val="22"/>
          <w:szCs w:val="28"/>
        </w:rPr>
        <w:t>4.1.2</w:t>
      </w:r>
    </w:p>
    <w:p w14:paraId="7C871A53" w14:textId="77777777" w:rsidR="00C642D0" w:rsidRPr="000921B7" w:rsidRDefault="00C642D0" w:rsidP="000B7D8A">
      <w:pPr>
        <w:jc w:val="both"/>
        <w:rPr>
          <w:rFonts w:ascii="Arial" w:hAnsi="Arial" w:cs="Arial"/>
          <w:sz w:val="22"/>
          <w:szCs w:val="28"/>
        </w:rPr>
      </w:pPr>
    </w:p>
    <w:p w14:paraId="68104EA0" w14:textId="77777777" w:rsidR="00505717" w:rsidRPr="000921B7" w:rsidRDefault="00505717" w:rsidP="000B7D8A">
      <w:pPr>
        <w:jc w:val="both"/>
        <w:rPr>
          <w:rFonts w:ascii="Arial" w:hAnsi="Arial" w:cs="Arial"/>
          <w:i/>
          <w:iCs/>
          <w:sz w:val="22"/>
          <w:szCs w:val="28"/>
        </w:rPr>
      </w:pPr>
    </w:p>
    <w:p w14:paraId="6DB9A5F9" w14:textId="2A5F1659" w:rsidR="000B3713" w:rsidRPr="000921B7" w:rsidRDefault="00D55155" w:rsidP="00707FC8">
      <w:pPr>
        <w:jc w:val="both"/>
        <w:rPr>
          <w:rFonts w:ascii="Arial" w:hAnsi="Arial" w:cs="Arial"/>
          <w:color w:val="000000"/>
          <w:sz w:val="22"/>
          <w:szCs w:val="22"/>
          <w:lang w:val="en-GB" w:eastAsia="en-GB"/>
        </w:rPr>
      </w:pPr>
      <w:r w:rsidRPr="000921B7">
        <w:rPr>
          <w:rFonts w:ascii="Arial" w:hAnsi="Arial" w:cs="Arial"/>
          <w:color w:val="000000"/>
          <w:sz w:val="22"/>
          <w:szCs w:val="22"/>
          <w:lang w:val="en-GB" w:eastAsia="en-GB"/>
        </w:rPr>
        <w:t xml:space="preserve">Article 2 (d) of the Model Law is set out above. </w:t>
      </w:r>
    </w:p>
    <w:p w14:paraId="4049171C" w14:textId="4F087206" w:rsidR="000B3713" w:rsidRPr="000921B7" w:rsidRDefault="000B3713" w:rsidP="00707FC8">
      <w:pPr>
        <w:jc w:val="both"/>
        <w:rPr>
          <w:rFonts w:ascii="Arial" w:hAnsi="Arial" w:cs="Arial"/>
          <w:color w:val="000000"/>
          <w:sz w:val="24"/>
          <w:lang w:val="en-GB" w:eastAsia="en-GB"/>
        </w:rPr>
      </w:pPr>
    </w:p>
    <w:p w14:paraId="3C26C59E" w14:textId="77777777" w:rsidR="00D30B91" w:rsidRPr="00D30B91" w:rsidRDefault="00D30B91" w:rsidP="00D30B91">
      <w:pPr>
        <w:jc w:val="both"/>
        <w:rPr>
          <w:rFonts w:ascii="Arial" w:hAnsi="Arial" w:cs="Arial"/>
          <w:color w:val="000000"/>
          <w:sz w:val="22"/>
          <w:szCs w:val="22"/>
          <w:lang w:val="en-GB" w:eastAsia="en-GB"/>
        </w:rPr>
      </w:pPr>
      <w:r w:rsidRPr="00D30B91">
        <w:rPr>
          <w:rFonts w:ascii="Arial" w:hAnsi="Arial" w:cs="Arial"/>
          <w:color w:val="000000"/>
          <w:sz w:val="22"/>
          <w:szCs w:val="22"/>
          <w:lang w:val="en-GB" w:eastAsia="en-GB"/>
        </w:rPr>
        <w:t xml:space="preserve">Article 48(3) of the DGF Law empowers the DGF to delegate its powers to an “authorised officer” or “authorised person”. The “Fund’s authorised person” is defined by article 2(1)(17) of the DGF Law as: </w:t>
      </w:r>
      <w:r w:rsidRPr="00D30B91">
        <w:rPr>
          <w:rFonts w:ascii="Arial" w:hAnsi="Arial" w:cs="Arial"/>
          <w:i/>
          <w:iCs/>
          <w:color w:val="000000"/>
          <w:sz w:val="22"/>
          <w:szCs w:val="22"/>
          <w:lang w:val="en-GB" w:eastAsia="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Pr="00D30B91">
        <w:rPr>
          <w:rFonts w:ascii="Arial" w:hAnsi="Arial" w:cs="Arial"/>
          <w:color w:val="000000"/>
          <w:sz w:val="22"/>
          <w:szCs w:val="22"/>
          <w:lang w:val="en-GB" w:eastAsia="en-GB"/>
        </w:rPr>
        <w:t>.</w:t>
      </w:r>
    </w:p>
    <w:p w14:paraId="367804E8" w14:textId="77777777" w:rsidR="00D30B91" w:rsidRPr="00D30B91" w:rsidRDefault="00D30B91" w:rsidP="00D30B91">
      <w:pPr>
        <w:jc w:val="both"/>
        <w:rPr>
          <w:rFonts w:ascii="Arial" w:hAnsi="Arial" w:cs="Arial"/>
          <w:color w:val="000000"/>
          <w:sz w:val="22"/>
          <w:szCs w:val="22"/>
          <w:lang w:val="en-GB" w:eastAsia="en-GB"/>
        </w:rPr>
      </w:pPr>
    </w:p>
    <w:p w14:paraId="35610F33" w14:textId="77777777" w:rsidR="00D30B91" w:rsidRPr="00D30B91" w:rsidRDefault="00D30B91" w:rsidP="00D30B91">
      <w:pPr>
        <w:jc w:val="both"/>
        <w:rPr>
          <w:rFonts w:ascii="Arial" w:hAnsi="Arial" w:cs="Arial"/>
          <w:color w:val="000000"/>
          <w:sz w:val="22"/>
          <w:szCs w:val="22"/>
          <w:lang w:val="en-GB" w:eastAsia="en-GB"/>
        </w:rPr>
      </w:pPr>
      <w:r w:rsidRPr="00D30B91">
        <w:rPr>
          <w:rFonts w:ascii="Arial" w:hAnsi="Arial" w:cs="Arial"/>
          <w:color w:val="000000"/>
          <w:sz w:val="22"/>
          <w:szCs w:val="22"/>
          <w:lang w:val="en-GB" w:eastAsia="en-GB"/>
        </w:rPr>
        <w:t>Article 35(1) of the DGF Law specifies that an authorised person, must have: “</w:t>
      </w:r>
      <w:r w:rsidRPr="00D30B91">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Pr="00D30B91">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w:t>
      </w:r>
      <w:r w:rsidRPr="00D30B91">
        <w:rPr>
          <w:rFonts w:ascii="Arial" w:hAnsi="Arial" w:cs="Arial"/>
          <w:color w:val="000000"/>
          <w:sz w:val="22"/>
          <w:szCs w:val="22"/>
          <w:lang w:val="en-GB" w:eastAsia="en-GB"/>
        </w:rPr>
        <w:lastRenderedPageBreak/>
        <w:t>appointed, the authorised officer is accountable to the DGF for their actions and may exercise the powers delegated to them by the DGF in pursuance of the bank’s liquidation.</w:t>
      </w:r>
    </w:p>
    <w:p w14:paraId="6790E5FA" w14:textId="77777777" w:rsidR="00D30B91" w:rsidRPr="00D30B91" w:rsidRDefault="00D30B91" w:rsidP="00D30B91">
      <w:pPr>
        <w:spacing w:after="160" w:line="259" w:lineRule="auto"/>
        <w:rPr>
          <w:rFonts w:ascii="Arial" w:eastAsia="Calibri" w:hAnsi="Arial" w:cs="Arial"/>
          <w:sz w:val="22"/>
          <w:szCs w:val="22"/>
          <w:lang w:val="en-IE"/>
        </w:rPr>
      </w:pPr>
    </w:p>
    <w:p w14:paraId="3CD3887A" w14:textId="77777777" w:rsidR="00D30B91" w:rsidRPr="00D30B91" w:rsidRDefault="00D30B91" w:rsidP="00D30B91">
      <w:pPr>
        <w:spacing w:after="160" w:line="259" w:lineRule="auto"/>
        <w:rPr>
          <w:rFonts w:ascii="Arial" w:eastAsia="Calibri" w:hAnsi="Arial" w:cs="Arial"/>
          <w:sz w:val="22"/>
          <w:szCs w:val="22"/>
          <w:lang w:val="en-IE"/>
        </w:rPr>
      </w:pPr>
      <w:r w:rsidRPr="00D30B91">
        <w:rPr>
          <w:rFonts w:ascii="Arial" w:eastAsia="Calibri" w:hAnsi="Arial" w:cs="Arial"/>
          <w:sz w:val="22"/>
          <w:szCs w:val="22"/>
          <w:lang w:val="en-IE"/>
        </w:rPr>
        <w:t xml:space="preserve">It is noted that Ms G’s appointment was pursuant to a Decision of the Executive Board of the Directors of the DGF, No. 1513 (“Resolution 1513”). Resolution 1513 notes that Ms G is a “leading bank liquidation professional”. It delegates to her </w:t>
      </w:r>
      <w:proofErr w:type="gramStart"/>
      <w:r w:rsidRPr="00D30B91">
        <w:rPr>
          <w:rFonts w:ascii="Arial" w:eastAsia="Calibri" w:hAnsi="Arial" w:cs="Arial"/>
          <w:sz w:val="22"/>
          <w:szCs w:val="22"/>
          <w:lang w:val="en-IE"/>
        </w:rPr>
        <w:t>all liquidation</w:t>
      </w:r>
      <w:proofErr w:type="gramEnd"/>
      <w:r w:rsidRPr="00D30B91">
        <w:rPr>
          <w:rFonts w:ascii="Arial" w:eastAsia="Calibri" w:hAnsi="Arial" w:cs="Arial"/>
          <w:sz w:val="22"/>
          <w:szCs w:val="22"/>
          <w:lang w:val="en-IE"/>
        </w:rPr>
        <w:t xml:space="preserve"> powers in respect of the Bank, set out in the DGF Law.</w:t>
      </w:r>
    </w:p>
    <w:p w14:paraId="1A27964D" w14:textId="6241800F" w:rsidR="00D30B91" w:rsidRPr="00D30B91" w:rsidRDefault="00D30B91" w:rsidP="00D30B91">
      <w:pPr>
        <w:spacing w:after="160" w:line="259" w:lineRule="auto"/>
        <w:rPr>
          <w:rFonts w:ascii="Arial" w:eastAsia="Calibri" w:hAnsi="Arial" w:cs="Arial"/>
          <w:sz w:val="22"/>
          <w:szCs w:val="22"/>
          <w:lang w:val="en-IE"/>
        </w:rPr>
      </w:pPr>
      <w:r w:rsidRPr="00D30B91">
        <w:rPr>
          <w:rFonts w:ascii="Arial" w:eastAsia="Calibri" w:hAnsi="Arial" w:cs="Arial"/>
          <w:sz w:val="22"/>
          <w:szCs w:val="22"/>
          <w:lang w:val="en-IE"/>
        </w:rPr>
        <w:t>The Affidavit evidence is such that the Applicants may be classified as foreign representatives. Article 77 of the LBBA provides that the DGF is to be liquidator while Article 48 provides the power to delegate to Ms G as an authorised person. The DGF appointed MS G pursuant to resolution 1513. The DGF has been appointed under the laws of Country A to administer the liquidation of the Bank’s assets and represent in foreign proceedings, which the application to the English court in this instance is.</w:t>
      </w:r>
      <w:r w:rsidR="00C83E7D" w:rsidRPr="000921B7">
        <w:rPr>
          <w:rFonts w:ascii="Arial" w:eastAsia="Calibri" w:hAnsi="Arial" w:cs="Arial"/>
          <w:sz w:val="22"/>
          <w:szCs w:val="22"/>
          <w:lang w:val="en-IE"/>
        </w:rPr>
        <w:t xml:space="preserve"> In my judgment both the DGF and M</w:t>
      </w:r>
      <w:r w:rsidR="00EE7862" w:rsidRPr="000921B7">
        <w:rPr>
          <w:rFonts w:ascii="Arial" w:eastAsia="Calibri" w:hAnsi="Arial" w:cs="Arial"/>
          <w:sz w:val="22"/>
          <w:szCs w:val="22"/>
          <w:lang w:val="en-IE"/>
        </w:rPr>
        <w:t xml:space="preserve">s G will be recognised as </w:t>
      </w:r>
      <w:r w:rsidR="00EE7862" w:rsidRPr="000921B7">
        <w:rPr>
          <w:rFonts w:ascii="Arial" w:eastAsia="Calibri" w:hAnsi="Arial" w:cs="Arial"/>
          <w:i/>
          <w:iCs/>
          <w:sz w:val="22"/>
          <w:szCs w:val="22"/>
          <w:lang w:val="en-IE"/>
        </w:rPr>
        <w:t>foreign representatives.</w:t>
      </w:r>
      <w:r w:rsidR="00EE7862" w:rsidRPr="000921B7">
        <w:rPr>
          <w:rFonts w:ascii="Arial" w:eastAsia="Calibri" w:hAnsi="Arial" w:cs="Arial"/>
          <w:sz w:val="22"/>
          <w:szCs w:val="22"/>
          <w:lang w:val="en-IE"/>
        </w:rPr>
        <w:t xml:space="preserve"> </w:t>
      </w:r>
    </w:p>
    <w:p w14:paraId="3BF6977D" w14:textId="77777777" w:rsidR="00D30B91" w:rsidRPr="000921B7" w:rsidRDefault="00D30B91" w:rsidP="00707FC8">
      <w:pPr>
        <w:jc w:val="both"/>
        <w:rPr>
          <w:rFonts w:ascii="Arial" w:hAnsi="Arial" w:cs="Arial"/>
          <w:sz w:val="22"/>
          <w:szCs w:val="28"/>
        </w:rPr>
      </w:pPr>
    </w:p>
    <w:p w14:paraId="6D6C7F75" w14:textId="77777777" w:rsidR="00D30B91" w:rsidRPr="000921B7" w:rsidRDefault="00D30B91" w:rsidP="00707FC8">
      <w:pPr>
        <w:jc w:val="both"/>
        <w:rPr>
          <w:rFonts w:ascii="Arial" w:hAnsi="Arial" w:cs="Arial"/>
          <w:sz w:val="22"/>
          <w:szCs w:val="28"/>
        </w:rPr>
      </w:pPr>
    </w:p>
    <w:p w14:paraId="42621080" w14:textId="77777777" w:rsidR="00D30B91" w:rsidRPr="000921B7" w:rsidRDefault="00D30B91" w:rsidP="00707FC8">
      <w:pPr>
        <w:jc w:val="both"/>
        <w:rPr>
          <w:rFonts w:ascii="Arial" w:hAnsi="Arial" w:cs="Arial"/>
          <w:sz w:val="22"/>
          <w:szCs w:val="28"/>
        </w:rPr>
      </w:pPr>
    </w:p>
    <w:p w14:paraId="722C1D98" w14:textId="7FDE4863" w:rsidR="009B0723" w:rsidRPr="000921B7" w:rsidRDefault="009B0723" w:rsidP="00C606C3">
      <w:pPr>
        <w:rPr>
          <w:rFonts w:ascii="Arial" w:hAnsi="Arial" w:cs="Arial"/>
          <w:sz w:val="24"/>
          <w:lang w:val="en-GB"/>
        </w:rPr>
      </w:pPr>
    </w:p>
    <w:p w14:paraId="2A3E344F" w14:textId="77777777" w:rsidR="009B5832" w:rsidRPr="000921B7" w:rsidRDefault="009B5832">
      <w:pPr>
        <w:rPr>
          <w:rFonts w:ascii="Arial" w:hAnsi="Arial" w:cs="Arial"/>
          <w:sz w:val="24"/>
          <w:lang w:val="en-GB"/>
        </w:rPr>
      </w:pPr>
    </w:p>
    <w:p w14:paraId="189F8A64" w14:textId="77777777" w:rsidR="00E2622D" w:rsidRPr="000921B7" w:rsidRDefault="00E2622D">
      <w:pPr>
        <w:rPr>
          <w:rFonts w:ascii="Arial" w:hAnsi="Arial" w:cs="Arial"/>
          <w:sz w:val="24"/>
          <w:lang w:val="en-GB"/>
        </w:rPr>
      </w:pPr>
    </w:p>
    <w:sectPr w:rsidR="00E2622D" w:rsidRPr="000921B7"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E75D" w14:textId="77777777" w:rsidR="00A00662" w:rsidRDefault="00A00662" w:rsidP="00241B44">
      <w:r>
        <w:separator/>
      </w:r>
    </w:p>
  </w:endnote>
  <w:endnote w:type="continuationSeparator" w:id="0">
    <w:p w14:paraId="013730C7" w14:textId="77777777" w:rsidR="00A00662" w:rsidRDefault="00A006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0A76B29"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3538">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63B960A" w:rsidR="000300E0" w:rsidRPr="00B46CE2" w:rsidRDefault="00570256" w:rsidP="000300E0">
    <w:pPr>
      <w:pStyle w:val="Footer"/>
      <w:ind w:right="360"/>
      <w:rPr>
        <w:rFonts w:ascii="Avenir Next" w:hAnsi="Avenir Next"/>
        <w:sz w:val="22"/>
        <w:szCs w:val="22"/>
      </w:rPr>
    </w:pPr>
    <w:r>
      <w:rPr>
        <w:rFonts w:ascii="Avenir Next" w:hAnsi="Avenir Next"/>
        <w:sz w:val="22"/>
        <w:szCs w:val="22"/>
      </w:rPr>
      <w:t>202223-</w:t>
    </w:r>
    <w:r w:rsidR="006F3538">
      <w:rPr>
        <w:rFonts w:ascii="Avenir Next" w:hAnsi="Avenir Next"/>
        <w:sz w:val="22"/>
        <w:szCs w:val="22"/>
      </w:rPr>
      <w:t>574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6D8F" w14:textId="77777777" w:rsidR="00A00662" w:rsidRDefault="00A00662" w:rsidP="00241B44">
      <w:r>
        <w:separator/>
      </w:r>
    </w:p>
  </w:footnote>
  <w:footnote w:type="continuationSeparator" w:id="0">
    <w:p w14:paraId="79C4CDF5" w14:textId="77777777" w:rsidR="00A00662" w:rsidRDefault="00A0066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424FD4"/>
    <w:multiLevelType w:val="hybridMultilevel"/>
    <w:tmpl w:val="2EB069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620EC0"/>
    <w:multiLevelType w:val="hybridMultilevel"/>
    <w:tmpl w:val="13DA0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5102246">
    <w:abstractNumId w:val="12"/>
  </w:num>
  <w:num w:numId="2" w16cid:durableId="1873492830">
    <w:abstractNumId w:val="11"/>
  </w:num>
  <w:num w:numId="3" w16cid:durableId="1673410114">
    <w:abstractNumId w:val="7"/>
  </w:num>
  <w:num w:numId="4" w16cid:durableId="1486388517">
    <w:abstractNumId w:val="4"/>
  </w:num>
  <w:num w:numId="5" w16cid:durableId="2137140111">
    <w:abstractNumId w:val="15"/>
  </w:num>
  <w:num w:numId="6" w16cid:durableId="1677613923">
    <w:abstractNumId w:val="14"/>
  </w:num>
  <w:num w:numId="7" w16cid:durableId="1396782232">
    <w:abstractNumId w:val="13"/>
  </w:num>
  <w:num w:numId="8" w16cid:durableId="1924099524">
    <w:abstractNumId w:val="5"/>
  </w:num>
  <w:num w:numId="9" w16cid:durableId="1298686869">
    <w:abstractNumId w:val="6"/>
  </w:num>
  <w:num w:numId="10" w16cid:durableId="1398431183">
    <w:abstractNumId w:val="10"/>
  </w:num>
  <w:num w:numId="11" w16cid:durableId="425614881">
    <w:abstractNumId w:val="0"/>
  </w:num>
  <w:num w:numId="12" w16cid:durableId="1039627921">
    <w:abstractNumId w:val="8"/>
  </w:num>
  <w:num w:numId="13" w16cid:durableId="1210650757">
    <w:abstractNumId w:val="9"/>
  </w:num>
  <w:num w:numId="14" w16cid:durableId="567962702">
    <w:abstractNumId w:val="3"/>
  </w:num>
  <w:num w:numId="15" w16cid:durableId="1809779262">
    <w:abstractNumId w:val="1"/>
  </w:num>
  <w:num w:numId="16" w16cid:durableId="210999945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870"/>
    <w:rsid w:val="00020557"/>
    <w:rsid w:val="000232A1"/>
    <w:rsid w:val="000250C7"/>
    <w:rsid w:val="00025CCF"/>
    <w:rsid w:val="000300E0"/>
    <w:rsid w:val="0003114A"/>
    <w:rsid w:val="000352C1"/>
    <w:rsid w:val="0003619C"/>
    <w:rsid w:val="00037621"/>
    <w:rsid w:val="00044D46"/>
    <w:rsid w:val="00045088"/>
    <w:rsid w:val="00045904"/>
    <w:rsid w:val="000464F7"/>
    <w:rsid w:val="0005138F"/>
    <w:rsid w:val="0005141D"/>
    <w:rsid w:val="00060E02"/>
    <w:rsid w:val="00062373"/>
    <w:rsid w:val="00065166"/>
    <w:rsid w:val="00067A88"/>
    <w:rsid w:val="00070B92"/>
    <w:rsid w:val="00073474"/>
    <w:rsid w:val="00077D49"/>
    <w:rsid w:val="00082609"/>
    <w:rsid w:val="000851CC"/>
    <w:rsid w:val="000921B7"/>
    <w:rsid w:val="00093BE8"/>
    <w:rsid w:val="000A68ED"/>
    <w:rsid w:val="000B3713"/>
    <w:rsid w:val="000B4FEB"/>
    <w:rsid w:val="000B5FF1"/>
    <w:rsid w:val="000B609F"/>
    <w:rsid w:val="000B7D8A"/>
    <w:rsid w:val="000C147F"/>
    <w:rsid w:val="000C6BB9"/>
    <w:rsid w:val="000C79E1"/>
    <w:rsid w:val="000D32A9"/>
    <w:rsid w:val="000D55A8"/>
    <w:rsid w:val="000D5C01"/>
    <w:rsid w:val="000E2A08"/>
    <w:rsid w:val="000E4841"/>
    <w:rsid w:val="000E6325"/>
    <w:rsid w:val="000F1677"/>
    <w:rsid w:val="000F3D6C"/>
    <w:rsid w:val="000F579C"/>
    <w:rsid w:val="00101707"/>
    <w:rsid w:val="00107D6B"/>
    <w:rsid w:val="001106B1"/>
    <w:rsid w:val="00114082"/>
    <w:rsid w:val="0011473D"/>
    <w:rsid w:val="00115C85"/>
    <w:rsid w:val="00123855"/>
    <w:rsid w:val="00126A4D"/>
    <w:rsid w:val="001308BF"/>
    <w:rsid w:val="001374D8"/>
    <w:rsid w:val="00140E0A"/>
    <w:rsid w:val="0014171F"/>
    <w:rsid w:val="0014622C"/>
    <w:rsid w:val="00150E50"/>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77027"/>
    <w:rsid w:val="00180548"/>
    <w:rsid w:val="00180AC4"/>
    <w:rsid w:val="00180CCE"/>
    <w:rsid w:val="00182648"/>
    <w:rsid w:val="0018267A"/>
    <w:rsid w:val="00182779"/>
    <w:rsid w:val="001830DF"/>
    <w:rsid w:val="00190FD2"/>
    <w:rsid w:val="00194AE9"/>
    <w:rsid w:val="001966D9"/>
    <w:rsid w:val="001A24E7"/>
    <w:rsid w:val="001A2B78"/>
    <w:rsid w:val="001A7E9A"/>
    <w:rsid w:val="001B0F70"/>
    <w:rsid w:val="001B5016"/>
    <w:rsid w:val="001C45FC"/>
    <w:rsid w:val="001C7A63"/>
    <w:rsid w:val="001D02C5"/>
    <w:rsid w:val="001D4862"/>
    <w:rsid w:val="001E25B9"/>
    <w:rsid w:val="001E49E0"/>
    <w:rsid w:val="001E60C3"/>
    <w:rsid w:val="001E7B5A"/>
    <w:rsid w:val="001F15DC"/>
    <w:rsid w:val="001F7412"/>
    <w:rsid w:val="002006FC"/>
    <w:rsid w:val="00200FDD"/>
    <w:rsid w:val="00201874"/>
    <w:rsid w:val="00202133"/>
    <w:rsid w:val="0020264E"/>
    <w:rsid w:val="00204D9F"/>
    <w:rsid w:val="0020725B"/>
    <w:rsid w:val="0020786F"/>
    <w:rsid w:val="002175BA"/>
    <w:rsid w:val="0022599E"/>
    <w:rsid w:val="002305E8"/>
    <w:rsid w:val="0023198D"/>
    <w:rsid w:val="0023317E"/>
    <w:rsid w:val="00234F2C"/>
    <w:rsid w:val="00240B0E"/>
    <w:rsid w:val="0024116D"/>
    <w:rsid w:val="00241B44"/>
    <w:rsid w:val="00245EFB"/>
    <w:rsid w:val="00247994"/>
    <w:rsid w:val="0025055F"/>
    <w:rsid w:val="00250E19"/>
    <w:rsid w:val="0025386E"/>
    <w:rsid w:val="00257437"/>
    <w:rsid w:val="00262894"/>
    <w:rsid w:val="002638B0"/>
    <w:rsid w:val="00264FFF"/>
    <w:rsid w:val="002650D7"/>
    <w:rsid w:val="002654E8"/>
    <w:rsid w:val="0026647A"/>
    <w:rsid w:val="002668D3"/>
    <w:rsid w:val="002675BE"/>
    <w:rsid w:val="0027299F"/>
    <w:rsid w:val="00276913"/>
    <w:rsid w:val="00280DE9"/>
    <w:rsid w:val="0028135B"/>
    <w:rsid w:val="00282480"/>
    <w:rsid w:val="00284EBE"/>
    <w:rsid w:val="0029433F"/>
    <w:rsid w:val="00294829"/>
    <w:rsid w:val="00294F3B"/>
    <w:rsid w:val="0029690F"/>
    <w:rsid w:val="002A1EEC"/>
    <w:rsid w:val="002A2A60"/>
    <w:rsid w:val="002B1BEE"/>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4D8"/>
    <w:rsid w:val="002F75A3"/>
    <w:rsid w:val="002F78CA"/>
    <w:rsid w:val="00300C88"/>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37F33"/>
    <w:rsid w:val="00340769"/>
    <w:rsid w:val="00341AA6"/>
    <w:rsid w:val="00342459"/>
    <w:rsid w:val="003427B9"/>
    <w:rsid w:val="00346B16"/>
    <w:rsid w:val="00361A0A"/>
    <w:rsid w:val="0036565C"/>
    <w:rsid w:val="0036625E"/>
    <w:rsid w:val="0036760B"/>
    <w:rsid w:val="0037465A"/>
    <w:rsid w:val="0037544E"/>
    <w:rsid w:val="00380BAB"/>
    <w:rsid w:val="00382C18"/>
    <w:rsid w:val="00382C98"/>
    <w:rsid w:val="00383FD8"/>
    <w:rsid w:val="0038533C"/>
    <w:rsid w:val="003864B4"/>
    <w:rsid w:val="00386568"/>
    <w:rsid w:val="00386F21"/>
    <w:rsid w:val="00387106"/>
    <w:rsid w:val="00391F3E"/>
    <w:rsid w:val="003948D5"/>
    <w:rsid w:val="003960AE"/>
    <w:rsid w:val="00396821"/>
    <w:rsid w:val="00397D3A"/>
    <w:rsid w:val="003A0344"/>
    <w:rsid w:val="003A051E"/>
    <w:rsid w:val="003A28F4"/>
    <w:rsid w:val="003A2FEE"/>
    <w:rsid w:val="003A5639"/>
    <w:rsid w:val="003B1310"/>
    <w:rsid w:val="003B170F"/>
    <w:rsid w:val="003B3C5F"/>
    <w:rsid w:val="003C089D"/>
    <w:rsid w:val="003C4471"/>
    <w:rsid w:val="003C66B1"/>
    <w:rsid w:val="003D0A6D"/>
    <w:rsid w:val="003E0B16"/>
    <w:rsid w:val="003E67D1"/>
    <w:rsid w:val="003F1C3B"/>
    <w:rsid w:val="00404BAE"/>
    <w:rsid w:val="00405DC1"/>
    <w:rsid w:val="0040710D"/>
    <w:rsid w:val="00411324"/>
    <w:rsid w:val="0041139B"/>
    <w:rsid w:val="004137C3"/>
    <w:rsid w:val="00413D3A"/>
    <w:rsid w:val="00414364"/>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41A3"/>
    <w:rsid w:val="00491675"/>
    <w:rsid w:val="00492BEB"/>
    <w:rsid w:val="00493855"/>
    <w:rsid w:val="0049508F"/>
    <w:rsid w:val="004A171E"/>
    <w:rsid w:val="004A57DD"/>
    <w:rsid w:val="004A7B51"/>
    <w:rsid w:val="004A7D71"/>
    <w:rsid w:val="004A7EF3"/>
    <w:rsid w:val="004B11FD"/>
    <w:rsid w:val="004B23A2"/>
    <w:rsid w:val="004B531A"/>
    <w:rsid w:val="004C1592"/>
    <w:rsid w:val="004C4E97"/>
    <w:rsid w:val="004D1A5A"/>
    <w:rsid w:val="004D2FFF"/>
    <w:rsid w:val="004D3721"/>
    <w:rsid w:val="004D64F9"/>
    <w:rsid w:val="004E0549"/>
    <w:rsid w:val="004E2E92"/>
    <w:rsid w:val="004E30B0"/>
    <w:rsid w:val="004E622C"/>
    <w:rsid w:val="004F5FDF"/>
    <w:rsid w:val="004F7E6B"/>
    <w:rsid w:val="0050157D"/>
    <w:rsid w:val="00505717"/>
    <w:rsid w:val="00506803"/>
    <w:rsid w:val="0050682B"/>
    <w:rsid w:val="00507AAC"/>
    <w:rsid w:val="005171B6"/>
    <w:rsid w:val="005177FE"/>
    <w:rsid w:val="00520989"/>
    <w:rsid w:val="0052263B"/>
    <w:rsid w:val="0052366F"/>
    <w:rsid w:val="00524728"/>
    <w:rsid w:val="00526131"/>
    <w:rsid w:val="00530003"/>
    <w:rsid w:val="00530E88"/>
    <w:rsid w:val="005331CA"/>
    <w:rsid w:val="0053353F"/>
    <w:rsid w:val="00533739"/>
    <w:rsid w:val="00537970"/>
    <w:rsid w:val="00540B44"/>
    <w:rsid w:val="00540E3A"/>
    <w:rsid w:val="00544127"/>
    <w:rsid w:val="00544273"/>
    <w:rsid w:val="005463A9"/>
    <w:rsid w:val="00547262"/>
    <w:rsid w:val="00553EB2"/>
    <w:rsid w:val="00556777"/>
    <w:rsid w:val="0055688E"/>
    <w:rsid w:val="00560534"/>
    <w:rsid w:val="0056391B"/>
    <w:rsid w:val="005650E2"/>
    <w:rsid w:val="00565292"/>
    <w:rsid w:val="0056535A"/>
    <w:rsid w:val="00565DEE"/>
    <w:rsid w:val="00567AD7"/>
    <w:rsid w:val="00567F31"/>
    <w:rsid w:val="00570256"/>
    <w:rsid w:val="00573E73"/>
    <w:rsid w:val="0057487D"/>
    <w:rsid w:val="00575B2D"/>
    <w:rsid w:val="0058172B"/>
    <w:rsid w:val="005833D0"/>
    <w:rsid w:val="005846F3"/>
    <w:rsid w:val="0058622F"/>
    <w:rsid w:val="005872DE"/>
    <w:rsid w:val="00587461"/>
    <w:rsid w:val="00590023"/>
    <w:rsid w:val="00592F82"/>
    <w:rsid w:val="005A0CCA"/>
    <w:rsid w:val="005A1521"/>
    <w:rsid w:val="005A726D"/>
    <w:rsid w:val="005B67AC"/>
    <w:rsid w:val="005C2C94"/>
    <w:rsid w:val="005C36BC"/>
    <w:rsid w:val="005C4865"/>
    <w:rsid w:val="005D111A"/>
    <w:rsid w:val="005D43E0"/>
    <w:rsid w:val="005D58A3"/>
    <w:rsid w:val="005E1B79"/>
    <w:rsid w:val="005E5C28"/>
    <w:rsid w:val="005F026D"/>
    <w:rsid w:val="005F21F4"/>
    <w:rsid w:val="005F2D0B"/>
    <w:rsid w:val="005F4B31"/>
    <w:rsid w:val="00610388"/>
    <w:rsid w:val="00611975"/>
    <w:rsid w:val="0061243A"/>
    <w:rsid w:val="00612CA5"/>
    <w:rsid w:val="006153EC"/>
    <w:rsid w:val="00621A17"/>
    <w:rsid w:val="00622586"/>
    <w:rsid w:val="00622C2B"/>
    <w:rsid w:val="00622DCB"/>
    <w:rsid w:val="006231FE"/>
    <w:rsid w:val="00624E8F"/>
    <w:rsid w:val="00627CC9"/>
    <w:rsid w:val="00627E7B"/>
    <w:rsid w:val="00630542"/>
    <w:rsid w:val="00632E44"/>
    <w:rsid w:val="00634622"/>
    <w:rsid w:val="00635958"/>
    <w:rsid w:val="00636808"/>
    <w:rsid w:val="00641002"/>
    <w:rsid w:val="00641515"/>
    <w:rsid w:val="00651AE3"/>
    <w:rsid w:val="00654C2F"/>
    <w:rsid w:val="00657087"/>
    <w:rsid w:val="00661E13"/>
    <w:rsid w:val="0066252C"/>
    <w:rsid w:val="006661EF"/>
    <w:rsid w:val="006702C7"/>
    <w:rsid w:val="0067294B"/>
    <w:rsid w:val="00677736"/>
    <w:rsid w:val="0067785F"/>
    <w:rsid w:val="00677AEB"/>
    <w:rsid w:val="00680EF2"/>
    <w:rsid w:val="006839C2"/>
    <w:rsid w:val="006862A5"/>
    <w:rsid w:val="00687A1D"/>
    <w:rsid w:val="006920CC"/>
    <w:rsid w:val="00692AB2"/>
    <w:rsid w:val="0069647C"/>
    <w:rsid w:val="00697EA1"/>
    <w:rsid w:val="006A1850"/>
    <w:rsid w:val="006A2646"/>
    <w:rsid w:val="006A3DF0"/>
    <w:rsid w:val="006A6530"/>
    <w:rsid w:val="006B435A"/>
    <w:rsid w:val="006B4C64"/>
    <w:rsid w:val="006B4FFC"/>
    <w:rsid w:val="006B70B0"/>
    <w:rsid w:val="006D0E6E"/>
    <w:rsid w:val="006D6BD5"/>
    <w:rsid w:val="006E481A"/>
    <w:rsid w:val="006E5298"/>
    <w:rsid w:val="006E7F7C"/>
    <w:rsid w:val="006F2CE3"/>
    <w:rsid w:val="006F3538"/>
    <w:rsid w:val="006F734A"/>
    <w:rsid w:val="00700D83"/>
    <w:rsid w:val="00703819"/>
    <w:rsid w:val="00704852"/>
    <w:rsid w:val="00706297"/>
    <w:rsid w:val="00706AD5"/>
    <w:rsid w:val="007074E9"/>
    <w:rsid w:val="00707FC8"/>
    <w:rsid w:val="00713DA4"/>
    <w:rsid w:val="00714BF1"/>
    <w:rsid w:val="007153AA"/>
    <w:rsid w:val="00721383"/>
    <w:rsid w:val="0072554C"/>
    <w:rsid w:val="00725911"/>
    <w:rsid w:val="00731DBD"/>
    <w:rsid w:val="007333CC"/>
    <w:rsid w:val="0073399A"/>
    <w:rsid w:val="00751F66"/>
    <w:rsid w:val="007603F5"/>
    <w:rsid w:val="00764DB0"/>
    <w:rsid w:val="00766F8A"/>
    <w:rsid w:val="0076764D"/>
    <w:rsid w:val="007711A4"/>
    <w:rsid w:val="0077498C"/>
    <w:rsid w:val="00777183"/>
    <w:rsid w:val="00782FF5"/>
    <w:rsid w:val="00784128"/>
    <w:rsid w:val="00784B4B"/>
    <w:rsid w:val="007854ED"/>
    <w:rsid w:val="00786CB9"/>
    <w:rsid w:val="00787BF8"/>
    <w:rsid w:val="00790F8F"/>
    <w:rsid w:val="00793173"/>
    <w:rsid w:val="007A46D9"/>
    <w:rsid w:val="007B3AC7"/>
    <w:rsid w:val="007B497A"/>
    <w:rsid w:val="007C1FCC"/>
    <w:rsid w:val="007C32A8"/>
    <w:rsid w:val="007C3FE5"/>
    <w:rsid w:val="007C4E65"/>
    <w:rsid w:val="007C5A28"/>
    <w:rsid w:val="007C6201"/>
    <w:rsid w:val="007C6988"/>
    <w:rsid w:val="007D28A1"/>
    <w:rsid w:val="007D2E63"/>
    <w:rsid w:val="007D7C92"/>
    <w:rsid w:val="007E1154"/>
    <w:rsid w:val="007E6BA4"/>
    <w:rsid w:val="007E7678"/>
    <w:rsid w:val="007E7A4B"/>
    <w:rsid w:val="007F41F8"/>
    <w:rsid w:val="007F60D0"/>
    <w:rsid w:val="0080454E"/>
    <w:rsid w:val="00804C32"/>
    <w:rsid w:val="00805ACF"/>
    <w:rsid w:val="00806302"/>
    <w:rsid w:val="00807119"/>
    <w:rsid w:val="00815518"/>
    <w:rsid w:val="00817D57"/>
    <w:rsid w:val="00822764"/>
    <w:rsid w:val="008241C4"/>
    <w:rsid w:val="0082483F"/>
    <w:rsid w:val="008264CB"/>
    <w:rsid w:val="008268DE"/>
    <w:rsid w:val="008279C0"/>
    <w:rsid w:val="00835FD1"/>
    <w:rsid w:val="00836755"/>
    <w:rsid w:val="0084012C"/>
    <w:rsid w:val="00841A88"/>
    <w:rsid w:val="0084683C"/>
    <w:rsid w:val="008512FA"/>
    <w:rsid w:val="00853A74"/>
    <w:rsid w:val="00857763"/>
    <w:rsid w:val="00857FDC"/>
    <w:rsid w:val="00860E61"/>
    <w:rsid w:val="00867A8F"/>
    <w:rsid w:val="008723F3"/>
    <w:rsid w:val="00881DE6"/>
    <w:rsid w:val="008837A6"/>
    <w:rsid w:val="00885F92"/>
    <w:rsid w:val="0089145D"/>
    <w:rsid w:val="008A04C6"/>
    <w:rsid w:val="008A0C6E"/>
    <w:rsid w:val="008A46CF"/>
    <w:rsid w:val="008A4DF2"/>
    <w:rsid w:val="008A6CFE"/>
    <w:rsid w:val="008A7470"/>
    <w:rsid w:val="008B1A08"/>
    <w:rsid w:val="008B2DE3"/>
    <w:rsid w:val="008B5333"/>
    <w:rsid w:val="008B6223"/>
    <w:rsid w:val="008C1A11"/>
    <w:rsid w:val="008C66E0"/>
    <w:rsid w:val="008D0DD4"/>
    <w:rsid w:val="008E2DFA"/>
    <w:rsid w:val="008E3339"/>
    <w:rsid w:val="008E549B"/>
    <w:rsid w:val="008F18EF"/>
    <w:rsid w:val="008F20FC"/>
    <w:rsid w:val="008F2B24"/>
    <w:rsid w:val="008F5FFE"/>
    <w:rsid w:val="00900A4D"/>
    <w:rsid w:val="0090421A"/>
    <w:rsid w:val="00905A43"/>
    <w:rsid w:val="00907DC2"/>
    <w:rsid w:val="00912C79"/>
    <w:rsid w:val="009260A2"/>
    <w:rsid w:val="00942123"/>
    <w:rsid w:val="00951031"/>
    <w:rsid w:val="0095207B"/>
    <w:rsid w:val="009537A9"/>
    <w:rsid w:val="00954461"/>
    <w:rsid w:val="00956085"/>
    <w:rsid w:val="00957951"/>
    <w:rsid w:val="00962045"/>
    <w:rsid w:val="00967EDA"/>
    <w:rsid w:val="00970897"/>
    <w:rsid w:val="00980314"/>
    <w:rsid w:val="00981142"/>
    <w:rsid w:val="009816D0"/>
    <w:rsid w:val="00986718"/>
    <w:rsid w:val="00991428"/>
    <w:rsid w:val="00992676"/>
    <w:rsid w:val="00996691"/>
    <w:rsid w:val="009A4880"/>
    <w:rsid w:val="009A7865"/>
    <w:rsid w:val="009B0723"/>
    <w:rsid w:val="009B07AD"/>
    <w:rsid w:val="009B0883"/>
    <w:rsid w:val="009B15E2"/>
    <w:rsid w:val="009B16FA"/>
    <w:rsid w:val="009B43BA"/>
    <w:rsid w:val="009B54FE"/>
    <w:rsid w:val="009B5832"/>
    <w:rsid w:val="009B6312"/>
    <w:rsid w:val="009B640D"/>
    <w:rsid w:val="009C0850"/>
    <w:rsid w:val="009C0B8E"/>
    <w:rsid w:val="009C1BC8"/>
    <w:rsid w:val="009C2442"/>
    <w:rsid w:val="009D0811"/>
    <w:rsid w:val="009D0EE1"/>
    <w:rsid w:val="009D2A11"/>
    <w:rsid w:val="009D30BB"/>
    <w:rsid w:val="009E2AEB"/>
    <w:rsid w:val="009E2E27"/>
    <w:rsid w:val="009E4DE3"/>
    <w:rsid w:val="009E7429"/>
    <w:rsid w:val="00A00662"/>
    <w:rsid w:val="00A047EE"/>
    <w:rsid w:val="00A114EA"/>
    <w:rsid w:val="00A153F7"/>
    <w:rsid w:val="00A16797"/>
    <w:rsid w:val="00A2274A"/>
    <w:rsid w:val="00A235B7"/>
    <w:rsid w:val="00A27A7A"/>
    <w:rsid w:val="00A35BAE"/>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039"/>
    <w:rsid w:val="00AC08F7"/>
    <w:rsid w:val="00AC1C99"/>
    <w:rsid w:val="00AC3839"/>
    <w:rsid w:val="00AC7082"/>
    <w:rsid w:val="00AD3FEA"/>
    <w:rsid w:val="00AD5288"/>
    <w:rsid w:val="00AD7BBD"/>
    <w:rsid w:val="00AF228E"/>
    <w:rsid w:val="00AF7A63"/>
    <w:rsid w:val="00B01482"/>
    <w:rsid w:val="00B04137"/>
    <w:rsid w:val="00B1112C"/>
    <w:rsid w:val="00B11D19"/>
    <w:rsid w:val="00B12936"/>
    <w:rsid w:val="00B14819"/>
    <w:rsid w:val="00B17AA9"/>
    <w:rsid w:val="00B32DE4"/>
    <w:rsid w:val="00B33578"/>
    <w:rsid w:val="00B370C3"/>
    <w:rsid w:val="00B40E3C"/>
    <w:rsid w:val="00B411AE"/>
    <w:rsid w:val="00B428C0"/>
    <w:rsid w:val="00B45BD5"/>
    <w:rsid w:val="00B46CE2"/>
    <w:rsid w:val="00B60190"/>
    <w:rsid w:val="00B61419"/>
    <w:rsid w:val="00B719AD"/>
    <w:rsid w:val="00B72F5F"/>
    <w:rsid w:val="00B736DF"/>
    <w:rsid w:val="00B74FBD"/>
    <w:rsid w:val="00B75644"/>
    <w:rsid w:val="00B77352"/>
    <w:rsid w:val="00B82586"/>
    <w:rsid w:val="00B829A3"/>
    <w:rsid w:val="00B86DB1"/>
    <w:rsid w:val="00B87869"/>
    <w:rsid w:val="00B92656"/>
    <w:rsid w:val="00BA0E44"/>
    <w:rsid w:val="00BA2062"/>
    <w:rsid w:val="00BA32A6"/>
    <w:rsid w:val="00BA47C5"/>
    <w:rsid w:val="00BA6E3D"/>
    <w:rsid w:val="00BB0F2B"/>
    <w:rsid w:val="00BD0D57"/>
    <w:rsid w:val="00BD62D6"/>
    <w:rsid w:val="00BE1A50"/>
    <w:rsid w:val="00BE35B6"/>
    <w:rsid w:val="00BF45F0"/>
    <w:rsid w:val="00BF50F7"/>
    <w:rsid w:val="00BF5A85"/>
    <w:rsid w:val="00C02F29"/>
    <w:rsid w:val="00C102B7"/>
    <w:rsid w:val="00C10C13"/>
    <w:rsid w:val="00C17111"/>
    <w:rsid w:val="00C17CAA"/>
    <w:rsid w:val="00C20747"/>
    <w:rsid w:val="00C20AFE"/>
    <w:rsid w:val="00C22A25"/>
    <w:rsid w:val="00C23B79"/>
    <w:rsid w:val="00C24AEA"/>
    <w:rsid w:val="00C30466"/>
    <w:rsid w:val="00C3215D"/>
    <w:rsid w:val="00C33D50"/>
    <w:rsid w:val="00C35671"/>
    <w:rsid w:val="00C35B77"/>
    <w:rsid w:val="00C370D3"/>
    <w:rsid w:val="00C376EB"/>
    <w:rsid w:val="00C4003A"/>
    <w:rsid w:val="00C46EC1"/>
    <w:rsid w:val="00C504E5"/>
    <w:rsid w:val="00C53E2C"/>
    <w:rsid w:val="00C550C8"/>
    <w:rsid w:val="00C569DF"/>
    <w:rsid w:val="00C56B61"/>
    <w:rsid w:val="00C572CF"/>
    <w:rsid w:val="00C57C31"/>
    <w:rsid w:val="00C606C3"/>
    <w:rsid w:val="00C620F4"/>
    <w:rsid w:val="00C642D0"/>
    <w:rsid w:val="00C668B6"/>
    <w:rsid w:val="00C67ECE"/>
    <w:rsid w:val="00C7161B"/>
    <w:rsid w:val="00C72848"/>
    <w:rsid w:val="00C7736C"/>
    <w:rsid w:val="00C80DE9"/>
    <w:rsid w:val="00C82D87"/>
    <w:rsid w:val="00C83E7D"/>
    <w:rsid w:val="00C841ED"/>
    <w:rsid w:val="00C85F17"/>
    <w:rsid w:val="00C8712A"/>
    <w:rsid w:val="00C91324"/>
    <w:rsid w:val="00C914F7"/>
    <w:rsid w:val="00C963D3"/>
    <w:rsid w:val="00CA00DA"/>
    <w:rsid w:val="00CA6E0D"/>
    <w:rsid w:val="00CB2CBB"/>
    <w:rsid w:val="00CB56CE"/>
    <w:rsid w:val="00CB7CAC"/>
    <w:rsid w:val="00CC0EA0"/>
    <w:rsid w:val="00CC5335"/>
    <w:rsid w:val="00CC5BA4"/>
    <w:rsid w:val="00CC70BB"/>
    <w:rsid w:val="00CD3420"/>
    <w:rsid w:val="00CD3A7B"/>
    <w:rsid w:val="00CD4998"/>
    <w:rsid w:val="00CD6B8E"/>
    <w:rsid w:val="00CD7E63"/>
    <w:rsid w:val="00CE1035"/>
    <w:rsid w:val="00CF2819"/>
    <w:rsid w:val="00CF3C85"/>
    <w:rsid w:val="00CF4F9D"/>
    <w:rsid w:val="00CF70DC"/>
    <w:rsid w:val="00D148DC"/>
    <w:rsid w:val="00D17FDC"/>
    <w:rsid w:val="00D30B91"/>
    <w:rsid w:val="00D338DC"/>
    <w:rsid w:val="00D40CAF"/>
    <w:rsid w:val="00D444C5"/>
    <w:rsid w:val="00D45AEA"/>
    <w:rsid w:val="00D5244F"/>
    <w:rsid w:val="00D52E4F"/>
    <w:rsid w:val="00D55155"/>
    <w:rsid w:val="00D56A37"/>
    <w:rsid w:val="00D57202"/>
    <w:rsid w:val="00D6386E"/>
    <w:rsid w:val="00D63EFD"/>
    <w:rsid w:val="00D64826"/>
    <w:rsid w:val="00D66C90"/>
    <w:rsid w:val="00D76444"/>
    <w:rsid w:val="00D80DF2"/>
    <w:rsid w:val="00D84752"/>
    <w:rsid w:val="00D85AB0"/>
    <w:rsid w:val="00D86B3B"/>
    <w:rsid w:val="00D8748A"/>
    <w:rsid w:val="00D93196"/>
    <w:rsid w:val="00D94A4D"/>
    <w:rsid w:val="00D97A93"/>
    <w:rsid w:val="00DA1083"/>
    <w:rsid w:val="00DA26C8"/>
    <w:rsid w:val="00DA6F51"/>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E67FE"/>
    <w:rsid w:val="00DF7130"/>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45744"/>
    <w:rsid w:val="00E47D51"/>
    <w:rsid w:val="00E506BE"/>
    <w:rsid w:val="00E55547"/>
    <w:rsid w:val="00E57410"/>
    <w:rsid w:val="00E6302B"/>
    <w:rsid w:val="00E64023"/>
    <w:rsid w:val="00E6452F"/>
    <w:rsid w:val="00E64619"/>
    <w:rsid w:val="00E64F45"/>
    <w:rsid w:val="00E65ECB"/>
    <w:rsid w:val="00E6742D"/>
    <w:rsid w:val="00E71CB0"/>
    <w:rsid w:val="00E73529"/>
    <w:rsid w:val="00E73BF2"/>
    <w:rsid w:val="00E77C3D"/>
    <w:rsid w:val="00E82E22"/>
    <w:rsid w:val="00E850FE"/>
    <w:rsid w:val="00E873A5"/>
    <w:rsid w:val="00E909F0"/>
    <w:rsid w:val="00E90D47"/>
    <w:rsid w:val="00E93993"/>
    <w:rsid w:val="00E9597C"/>
    <w:rsid w:val="00E96D6A"/>
    <w:rsid w:val="00EA0913"/>
    <w:rsid w:val="00EA0A2F"/>
    <w:rsid w:val="00EA4A79"/>
    <w:rsid w:val="00EA6D31"/>
    <w:rsid w:val="00EA7971"/>
    <w:rsid w:val="00EA7F33"/>
    <w:rsid w:val="00EB146B"/>
    <w:rsid w:val="00EB31C2"/>
    <w:rsid w:val="00EB45AC"/>
    <w:rsid w:val="00EC2AEA"/>
    <w:rsid w:val="00EC7B11"/>
    <w:rsid w:val="00EC7F95"/>
    <w:rsid w:val="00ED0BC4"/>
    <w:rsid w:val="00ED3771"/>
    <w:rsid w:val="00ED4AB7"/>
    <w:rsid w:val="00ED6A32"/>
    <w:rsid w:val="00ED766F"/>
    <w:rsid w:val="00EE4971"/>
    <w:rsid w:val="00EE7862"/>
    <w:rsid w:val="00EF090E"/>
    <w:rsid w:val="00F02DE3"/>
    <w:rsid w:val="00F033DA"/>
    <w:rsid w:val="00F1087D"/>
    <w:rsid w:val="00F11AAB"/>
    <w:rsid w:val="00F12969"/>
    <w:rsid w:val="00F13FB1"/>
    <w:rsid w:val="00F17BC1"/>
    <w:rsid w:val="00F17C87"/>
    <w:rsid w:val="00F20272"/>
    <w:rsid w:val="00F2081A"/>
    <w:rsid w:val="00F223E7"/>
    <w:rsid w:val="00F2288D"/>
    <w:rsid w:val="00F25779"/>
    <w:rsid w:val="00F2750A"/>
    <w:rsid w:val="00F27CD8"/>
    <w:rsid w:val="00F30351"/>
    <w:rsid w:val="00F30EDE"/>
    <w:rsid w:val="00F3323E"/>
    <w:rsid w:val="00F341F4"/>
    <w:rsid w:val="00F34F9D"/>
    <w:rsid w:val="00F35CCE"/>
    <w:rsid w:val="00F477F5"/>
    <w:rsid w:val="00F55241"/>
    <w:rsid w:val="00F5524B"/>
    <w:rsid w:val="00F60538"/>
    <w:rsid w:val="00F61625"/>
    <w:rsid w:val="00F61DB5"/>
    <w:rsid w:val="00F61DD2"/>
    <w:rsid w:val="00F62033"/>
    <w:rsid w:val="00F6523A"/>
    <w:rsid w:val="00F66AFF"/>
    <w:rsid w:val="00F71433"/>
    <w:rsid w:val="00F7241A"/>
    <w:rsid w:val="00F83E76"/>
    <w:rsid w:val="00F87BEA"/>
    <w:rsid w:val="00F90A57"/>
    <w:rsid w:val="00F97C5B"/>
    <w:rsid w:val="00FA05D2"/>
    <w:rsid w:val="00FA0E8C"/>
    <w:rsid w:val="00FA359A"/>
    <w:rsid w:val="00FA3D50"/>
    <w:rsid w:val="00FB009F"/>
    <w:rsid w:val="00FB25B0"/>
    <w:rsid w:val="00FB6136"/>
    <w:rsid w:val="00FC374A"/>
    <w:rsid w:val="00FC7B47"/>
    <w:rsid w:val="00FD035C"/>
    <w:rsid w:val="00FD1A35"/>
    <w:rsid w:val="00FD1FE6"/>
    <w:rsid w:val="00FD36C5"/>
    <w:rsid w:val="00FD428C"/>
    <w:rsid w:val="00FD6310"/>
    <w:rsid w:val="00FD72C8"/>
    <w:rsid w:val="00FD7C7B"/>
    <w:rsid w:val="00FD7FD0"/>
    <w:rsid w:val="00FE1D12"/>
    <w:rsid w:val="00FE2122"/>
    <w:rsid w:val="00FE2A86"/>
    <w:rsid w:val="00FF293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16</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Ohle</cp:lastModifiedBy>
  <cp:revision>169</cp:revision>
  <cp:lastPrinted>2019-08-27T05:42:00Z</cp:lastPrinted>
  <dcterms:created xsi:type="dcterms:W3CDTF">2023-02-25T15:34:00Z</dcterms:created>
  <dcterms:modified xsi:type="dcterms:W3CDTF">2023-03-01T15:02:00Z</dcterms:modified>
</cp:coreProperties>
</file>