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ListParagraph"/>
        <w:numPr>
          <w:ilvl w:val="0"/>
          <w:numId w:val="1"/>
        </w:numPr>
        <w:ind w:left="426"/>
        <w:jc w:val="both"/>
        <w:rPr>
          <w:rFonts w:ascii="Avenir Next" w:hAnsi="Avenir Next" w:cs="Arial"/>
          <w:sz w:val="22"/>
          <w:szCs w:val="22"/>
          <w:lang w:val="en-GB"/>
        </w:rPr>
      </w:pPr>
      <w:r w:rsidRPr="00D359FF">
        <w:rPr>
          <w:rFonts w:ascii="Avenir Next" w:hAnsi="Avenir Next" w:cs="Arial"/>
          <w:sz w:val="22"/>
          <w:szCs w:val="22"/>
          <w:highlight w:val="yellow"/>
          <w:lang w:val="en-GB"/>
        </w:rPr>
        <w:t>w</w:t>
      </w:r>
      <w:r w:rsidR="00C91062" w:rsidRPr="00D359FF">
        <w:rPr>
          <w:rFonts w:ascii="Avenir Next" w:hAnsi="Avenir Next" w:cs="Arial"/>
          <w:sz w:val="22"/>
          <w:szCs w:val="22"/>
          <w:highlight w:val="yellow"/>
          <w:lang w:val="en-GB"/>
        </w:rPr>
        <w:t>ithin 8 weeks of the commencement of the administration</w:t>
      </w:r>
      <w:r w:rsidR="00763348" w:rsidRPr="00212001">
        <w:rPr>
          <w:rFonts w:ascii="Avenir Next" w:hAnsi="Avenir Next" w:cs="Arial"/>
          <w:sz w:val="22"/>
          <w:szCs w:val="22"/>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D359FF" w:rsidRDefault="00E443D7" w:rsidP="00B04033">
      <w:pPr>
        <w:pStyle w:val="ListParagraph"/>
        <w:numPr>
          <w:ilvl w:val="0"/>
          <w:numId w:val="2"/>
        </w:numPr>
        <w:ind w:left="426"/>
        <w:jc w:val="both"/>
        <w:rPr>
          <w:rFonts w:ascii="Avenir Next" w:hAnsi="Avenir Next" w:cs="Arial"/>
          <w:sz w:val="22"/>
          <w:szCs w:val="22"/>
          <w:highlight w:val="yellow"/>
          <w:lang w:val="en-GB"/>
        </w:rPr>
      </w:pPr>
      <w:r w:rsidRPr="00D359FF">
        <w:rPr>
          <w:rFonts w:ascii="Avenir Next" w:hAnsi="Avenir Next" w:cs="Arial"/>
          <w:sz w:val="22"/>
          <w:szCs w:val="22"/>
          <w:highlight w:val="yellow"/>
          <w:lang w:val="en-GB"/>
        </w:rPr>
        <w:t>One year</w:t>
      </w:r>
      <w:r w:rsidR="00763348" w:rsidRPr="00D359FF">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D359FF" w:rsidRDefault="00AE5B6F" w:rsidP="00B04033">
      <w:pPr>
        <w:pStyle w:val="ListParagraph"/>
        <w:numPr>
          <w:ilvl w:val="0"/>
          <w:numId w:val="3"/>
        </w:numPr>
        <w:ind w:left="426"/>
        <w:jc w:val="both"/>
        <w:rPr>
          <w:rFonts w:ascii="Avenir Next" w:hAnsi="Avenir Next" w:cs="Arial"/>
          <w:sz w:val="22"/>
          <w:szCs w:val="22"/>
          <w:highlight w:val="yellow"/>
          <w:lang w:val="en-GB"/>
        </w:rPr>
      </w:pPr>
      <w:r w:rsidRPr="00D359FF">
        <w:rPr>
          <w:rFonts w:ascii="Avenir Next" w:hAnsi="Avenir Next" w:cs="Arial"/>
          <w:sz w:val="22"/>
          <w:szCs w:val="22"/>
          <w:highlight w:val="yellow"/>
          <w:lang w:val="en-GB"/>
        </w:rPr>
        <w:t>T</w:t>
      </w:r>
      <w:r w:rsidR="008D1616" w:rsidRPr="00D359FF">
        <w:rPr>
          <w:rFonts w:ascii="Avenir Next" w:hAnsi="Avenir Next" w:cs="Arial"/>
          <w:sz w:val="22"/>
          <w:szCs w:val="22"/>
          <w:highlight w:val="yellow"/>
          <w:lang w:val="en-GB"/>
        </w:rPr>
        <w:t>he company is, or is likely to become, unable to pay their debts, as defined under s</w:t>
      </w:r>
      <w:r w:rsidR="00E833F4" w:rsidRPr="00D359FF">
        <w:rPr>
          <w:rFonts w:ascii="Avenir Next" w:hAnsi="Avenir Next" w:cs="Arial"/>
          <w:sz w:val="22"/>
          <w:szCs w:val="22"/>
          <w:highlight w:val="yellow"/>
          <w:lang w:val="en-GB"/>
        </w:rPr>
        <w:t>ection</w:t>
      </w:r>
      <w:r w:rsidR="008D1616" w:rsidRPr="00D359FF">
        <w:rPr>
          <w:rFonts w:ascii="Avenir Next" w:hAnsi="Avenir Next" w:cs="Arial"/>
          <w:sz w:val="22"/>
          <w:szCs w:val="22"/>
          <w:highlight w:val="yellow"/>
          <w:lang w:val="en-GB"/>
        </w:rPr>
        <w:t xml:space="preserve"> 123 of the Insolvency Act 1986</w:t>
      </w:r>
      <w:r w:rsidR="00763348" w:rsidRPr="00D359FF">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D359FF" w:rsidRDefault="00C91062" w:rsidP="00B04033">
      <w:pPr>
        <w:pStyle w:val="ListParagraph"/>
        <w:numPr>
          <w:ilvl w:val="0"/>
          <w:numId w:val="4"/>
        </w:numPr>
        <w:ind w:left="426"/>
        <w:jc w:val="both"/>
        <w:rPr>
          <w:rFonts w:ascii="Avenir Next" w:hAnsi="Avenir Next" w:cs="Arial"/>
          <w:sz w:val="22"/>
          <w:szCs w:val="22"/>
          <w:highlight w:val="yellow"/>
          <w:lang w:val="en-GB"/>
        </w:rPr>
      </w:pPr>
      <w:r w:rsidRPr="00D359FF">
        <w:rPr>
          <w:rFonts w:ascii="Avenir Next" w:hAnsi="Avenir Next" w:cs="Arial"/>
          <w:sz w:val="22"/>
          <w:szCs w:val="22"/>
          <w:highlight w:val="yellow"/>
          <w:lang w:val="en-GB"/>
        </w:rPr>
        <w:t>The administrator</w:t>
      </w:r>
      <w:r w:rsidR="00763348" w:rsidRPr="00D359FF">
        <w:rPr>
          <w:rFonts w:ascii="Avenir Next" w:hAnsi="Avenir Next" w:cs="Arial"/>
          <w:sz w:val="22"/>
          <w:szCs w:val="22"/>
          <w:highlight w:val="yellow"/>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212001">
        <w:rPr>
          <w:rFonts w:ascii="Avenir Next" w:hAnsi="Avenir Next" w:cs="Arial"/>
          <w:sz w:val="22"/>
          <w:szCs w:val="22"/>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D359FF" w:rsidRDefault="00BA1CFD" w:rsidP="00B04033">
      <w:pPr>
        <w:pStyle w:val="ListParagraph"/>
        <w:numPr>
          <w:ilvl w:val="0"/>
          <w:numId w:val="5"/>
        </w:numPr>
        <w:ind w:left="426"/>
        <w:jc w:val="both"/>
        <w:rPr>
          <w:rFonts w:ascii="Avenir Next" w:hAnsi="Avenir Next" w:cs="Arial"/>
          <w:sz w:val="22"/>
          <w:szCs w:val="22"/>
          <w:highlight w:val="yellow"/>
          <w:lang w:val="en-GB"/>
        </w:rPr>
      </w:pPr>
      <w:r w:rsidRPr="00D359FF">
        <w:rPr>
          <w:rFonts w:ascii="Avenir Next" w:hAnsi="Avenir Next" w:cs="Arial"/>
          <w:sz w:val="22"/>
          <w:szCs w:val="22"/>
          <w:highlight w:val="yellow"/>
          <w:lang w:val="en-GB"/>
        </w:rPr>
        <w:t>Administration</w:t>
      </w:r>
      <w:r w:rsidR="00763348" w:rsidRPr="00D359FF">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D359FF" w:rsidRDefault="001F3C98" w:rsidP="00B04033">
      <w:pPr>
        <w:pStyle w:val="ListParagraph"/>
        <w:numPr>
          <w:ilvl w:val="0"/>
          <w:numId w:val="6"/>
        </w:numPr>
        <w:ind w:left="426"/>
        <w:jc w:val="both"/>
        <w:rPr>
          <w:rFonts w:ascii="Avenir Next" w:hAnsi="Avenir Next" w:cs="Arial"/>
          <w:sz w:val="22"/>
          <w:szCs w:val="22"/>
          <w:lang w:val="en-GB"/>
        </w:rPr>
      </w:pPr>
      <w:r w:rsidRPr="00D359FF">
        <w:rPr>
          <w:rFonts w:ascii="Avenir Next" w:hAnsi="Avenir Next" w:cs="Arial"/>
          <w:sz w:val="22"/>
          <w:szCs w:val="22"/>
          <w:lang w:val="en-GB"/>
        </w:rPr>
        <w:t xml:space="preserve">GBP </w:t>
      </w:r>
      <w:r w:rsidR="00BA1CFD" w:rsidRPr="00D359FF">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D359FF" w:rsidRDefault="001F3C98" w:rsidP="00B04033">
      <w:pPr>
        <w:pStyle w:val="ListParagraph"/>
        <w:numPr>
          <w:ilvl w:val="0"/>
          <w:numId w:val="6"/>
        </w:numPr>
        <w:ind w:left="426"/>
        <w:jc w:val="both"/>
        <w:rPr>
          <w:rFonts w:ascii="Avenir Next" w:hAnsi="Avenir Next" w:cs="Arial"/>
          <w:sz w:val="22"/>
          <w:szCs w:val="22"/>
          <w:highlight w:val="yellow"/>
          <w:lang w:val="en-GB"/>
        </w:rPr>
      </w:pPr>
      <w:r w:rsidRPr="00D359FF">
        <w:rPr>
          <w:rFonts w:ascii="Avenir Next" w:hAnsi="Avenir Next" w:cs="Arial"/>
          <w:sz w:val="22"/>
          <w:szCs w:val="22"/>
          <w:highlight w:val="yellow"/>
          <w:lang w:val="en-GB"/>
        </w:rPr>
        <w:t xml:space="preserve">GBP </w:t>
      </w:r>
      <w:r w:rsidR="00BA1CFD" w:rsidRPr="00D359FF">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8561B2" w:rsidRDefault="00BA1CFD" w:rsidP="00B04033">
      <w:pPr>
        <w:pStyle w:val="ListParagraph"/>
        <w:numPr>
          <w:ilvl w:val="0"/>
          <w:numId w:val="7"/>
        </w:numPr>
        <w:ind w:left="426"/>
        <w:jc w:val="both"/>
        <w:rPr>
          <w:rFonts w:ascii="Avenir Next" w:hAnsi="Avenir Next" w:cs="Arial"/>
          <w:sz w:val="22"/>
          <w:szCs w:val="22"/>
          <w:highlight w:val="yellow"/>
          <w:lang w:val="en-GB"/>
        </w:rPr>
      </w:pPr>
      <w:r w:rsidRPr="008561B2">
        <w:rPr>
          <w:rFonts w:ascii="Avenir Next" w:hAnsi="Avenir Next" w:cs="Arial"/>
          <w:sz w:val="22"/>
          <w:szCs w:val="22"/>
          <w:highlight w:val="yellow"/>
          <w:lang w:val="en-GB"/>
        </w:rPr>
        <w:t>Being found guilty of an indictable offence overseas</w:t>
      </w:r>
      <w:r w:rsidR="00763348" w:rsidRPr="008561B2">
        <w:rPr>
          <w:rFonts w:ascii="Avenir Next" w:hAnsi="Avenir Next" w:cs="Arial"/>
          <w:sz w:val="22"/>
          <w:szCs w:val="22"/>
          <w:highlight w:val="yellow"/>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8561B2" w:rsidRDefault="00876F56" w:rsidP="00B04033">
      <w:pPr>
        <w:pStyle w:val="ListParagraph"/>
        <w:numPr>
          <w:ilvl w:val="0"/>
          <w:numId w:val="8"/>
        </w:numPr>
        <w:ind w:left="426"/>
        <w:jc w:val="both"/>
        <w:rPr>
          <w:rFonts w:ascii="Avenir Next" w:hAnsi="Avenir Next" w:cs="Arial"/>
          <w:sz w:val="22"/>
          <w:szCs w:val="22"/>
          <w:highlight w:val="yellow"/>
          <w:lang w:val="en-GB"/>
        </w:rPr>
      </w:pPr>
      <w:r w:rsidRPr="008561B2">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596A07" w:rsidRDefault="00E833F4" w:rsidP="00B04033">
      <w:pPr>
        <w:pStyle w:val="ListParagraph"/>
        <w:numPr>
          <w:ilvl w:val="0"/>
          <w:numId w:val="9"/>
        </w:numPr>
        <w:ind w:left="426"/>
        <w:jc w:val="both"/>
        <w:rPr>
          <w:rFonts w:ascii="Avenir Next" w:hAnsi="Avenir Next" w:cs="Arial"/>
          <w:sz w:val="22"/>
          <w:szCs w:val="22"/>
          <w:highlight w:val="yellow"/>
          <w:lang w:val="en-GB"/>
        </w:rPr>
      </w:pPr>
      <w:r w:rsidRPr="00596A07">
        <w:rPr>
          <w:rFonts w:ascii="Avenir Next" w:hAnsi="Avenir Next" w:cs="Arial"/>
          <w:sz w:val="22"/>
          <w:szCs w:val="22"/>
          <w:highlight w:val="yellow"/>
          <w:lang w:val="en-GB"/>
        </w:rPr>
        <w:t>A</w:t>
      </w:r>
      <w:r w:rsidR="000D10C6" w:rsidRPr="00596A07">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8561B2" w:rsidRDefault="0020204E" w:rsidP="00B04033">
      <w:pPr>
        <w:pStyle w:val="ListParagraph"/>
        <w:numPr>
          <w:ilvl w:val="0"/>
          <w:numId w:val="10"/>
        </w:numPr>
        <w:ind w:left="426"/>
        <w:jc w:val="both"/>
        <w:rPr>
          <w:rFonts w:ascii="Avenir Next" w:hAnsi="Avenir Next" w:cs="Arial"/>
          <w:sz w:val="22"/>
          <w:szCs w:val="22"/>
          <w:highlight w:val="yellow"/>
          <w:lang w:val="en-GB"/>
        </w:rPr>
      </w:pPr>
      <w:r w:rsidRPr="008561B2">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69E375DB" w:rsidR="00AE5B6F" w:rsidRDefault="008561B2" w:rsidP="008561B2">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423</w:t>
      </w:r>
    </w:p>
    <w:p w14:paraId="562D3769" w14:textId="0FDEE0CB" w:rsidR="008561B2" w:rsidRDefault="008561B2" w:rsidP="008561B2">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Company is being wound up or is in administration the official receiver, the liquidator, the administrator and (with the leave of the court) any victim of the transactions such as a creditors</w:t>
      </w:r>
    </w:p>
    <w:p w14:paraId="746273D4" w14:textId="359351B0" w:rsidR="008561B2" w:rsidRDefault="008561B2" w:rsidP="008561B2">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a victim is bound by a CVA, the supervisor or the CVA or any victim of the </w:t>
      </w:r>
      <w:proofErr w:type="spellStart"/>
      <w:r>
        <w:rPr>
          <w:rFonts w:ascii="Avenir Next" w:hAnsi="Avenir Next" w:cs="Arial"/>
          <w:color w:val="808080" w:themeColor="background1" w:themeShade="80"/>
          <w:sz w:val="22"/>
          <w:szCs w:val="22"/>
          <w:lang w:val="en-GB"/>
        </w:rPr>
        <w:t>the</w:t>
      </w:r>
      <w:proofErr w:type="spellEnd"/>
      <w:r>
        <w:rPr>
          <w:rFonts w:ascii="Avenir Next" w:hAnsi="Avenir Next" w:cs="Arial"/>
          <w:color w:val="808080" w:themeColor="background1" w:themeShade="80"/>
          <w:sz w:val="22"/>
          <w:szCs w:val="22"/>
          <w:lang w:val="en-GB"/>
        </w:rPr>
        <w:t xml:space="preserve"> transaction (where bound by the CVA or not)</w:t>
      </w:r>
    </w:p>
    <w:p w14:paraId="6FB19F95" w14:textId="54E2F6E2" w:rsidR="008561B2" w:rsidRDefault="008561B2" w:rsidP="008561B2">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any other case by a victim of the transaction</w:t>
      </w:r>
    </w:p>
    <w:p w14:paraId="22261E1C" w14:textId="12BB72BD" w:rsidR="008561B2" w:rsidRDefault="008561B2" w:rsidP="008561B2">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6 of the Company Directors Disqualification Act 1986</w:t>
      </w:r>
    </w:p>
    <w:p w14:paraId="3C2D77B4" w14:textId="2267A74C" w:rsidR="008561B2" w:rsidRDefault="008561B2" w:rsidP="008561B2">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w:t>
      </w:r>
    </w:p>
    <w:p w14:paraId="7D89C142" w14:textId="5233D33F" w:rsidR="008561B2" w:rsidRPr="008561B2" w:rsidRDefault="008561B2" w:rsidP="008561B2">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246ZB of the Insolvency Act 1986</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6BD003DE" w14:textId="30810607" w:rsidR="002E6184" w:rsidRDefault="002E6184" w:rsidP="002E6184">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Rent in respect of a period during the moratorium</w:t>
      </w:r>
    </w:p>
    <w:p w14:paraId="374ACD15" w14:textId="17F426C1" w:rsidR="00223F01" w:rsidRDefault="00223F01" w:rsidP="00223F01">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Goods or services supplied during the moratorium</w:t>
      </w:r>
    </w:p>
    <w:p w14:paraId="0C7F7FE0" w14:textId="58A55B05" w:rsidR="00223F01" w:rsidRDefault="00223F01" w:rsidP="00223F01">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Rent in respect of a period </w:t>
      </w:r>
    </w:p>
    <w:p w14:paraId="5AA1B2D8" w14:textId="3565397C" w:rsidR="00223F01" w:rsidRDefault="00223F01" w:rsidP="00223F01">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Wages or salary arising under a contract of employment</w:t>
      </w:r>
    </w:p>
    <w:p w14:paraId="50A05E71" w14:textId="368EE94F" w:rsidR="00223F01" w:rsidRPr="00223F01" w:rsidRDefault="00223F01" w:rsidP="00223F01">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Debts or other liabilities arising under a contract or other instrument involving financial services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lastRenderedPageBreak/>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3F8EE373" w:rsidR="00EA3B38" w:rsidRDefault="00223F0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Firstly, the appointment of an administrator does not automatically terminate the company’s executory contracts.</w:t>
      </w:r>
      <w:r w:rsidR="00AA73CB">
        <w:rPr>
          <w:rFonts w:ascii="Avenir Next" w:hAnsi="Avenir Next" w:cs="Arial"/>
          <w:color w:val="808080" w:themeColor="background1" w:themeShade="80"/>
          <w:sz w:val="22"/>
          <w:szCs w:val="22"/>
        </w:rPr>
        <w:t xml:space="preserve"> </w:t>
      </w:r>
      <w:r w:rsidR="00566250">
        <w:rPr>
          <w:rFonts w:ascii="Avenir Next" w:hAnsi="Avenir Next" w:cs="Arial"/>
          <w:color w:val="808080" w:themeColor="background1" w:themeShade="80"/>
          <w:sz w:val="22"/>
          <w:szCs w:val="22"/>
        </w:rPr>
        <w:t>Under Section 233 of the Insolvency Act 1986 (“IA 1986”)</w:t>
      </w:r>
      <w:r w:rsidR="001A5889">
        <w:rPr>
          <w:rFonts w:ascii="Avenir Next" w:hAnsi="Avenir Next" w:cs="Arial"/>
          <w:color w:val="808080" w:themeColor="background1" w:themeShade="80"/>
          <w:sz w:val="22"/>
          <w:szCs w:val="22"/>
        </w:rPr>
        <w:t xml:space="preserve">, should the administrator wish to continue to operate the business of the company then there will be </w:t>
      </w:r>
      <w:proofErr w:type="gramStart"/>
      <w:r w:rsidR="001A5889">
        <w:rPr>
          <w:rFonts w:ascii="Avenir Next" w:hAnsi="Avenir Next" w:cs="Arial"/>
          <w:color w:val="808080" w:themeColor="background1" w:themeShade="80"/>
          <w:sz w:val="22"/>
          <w:szCs w:val="22"/>
        </w:rPr>
        <w:t>a number of</w:t>
      </w:r>
      <w:proofErr w:type="gramEnd"/>
      <w:r w:rsidR="001A5889">
        <w:rPr>
          <w:rFonts w:ascii="Avenir Next" w:hAnsi="Avenir Next" w:cs="Arial"/>
          <w:color w:val="808080" w:themeColor="background1" w:themeShade="80"/>
          <w:sz w:val="22"/>
          <w:szCs w:val="22"/>
        </w:rPr>
        <w:t xml:space="preserve"> </w:t>
      </w:r>
      <w:r w:rsidR="006A06EB">
        <w:rPr>
          <w:rFonts w:ascii="Avenir Next" w:hAnsi="Avenir Next" w:cs="Arial"/>
          <w:color w:val="808080" w:themeColor="background1" w:themeShade="80"/>
          <w:sz w:val="22"/>
          <w:szCs w:val="22"/>
        </w:rPr>
        <w:t>essential supplies which the administrator will need obtain or retain, such as gas, water, electricity</w:t>
      </w:r>
      <w:r w:rsidR="00881AFB">
        <w:rPr>
          <w:rFonts w:ascii="Avenir Next" w:hAnsi="Avenir Next" w:cs="Arial"/>
          <w:color w:val="808080" w:themeColor="background1" w:themeShade="80"/>
          <w:sz w:val="22"/>
          <w:szCs w:val="22"/>
        </w:rPr>
        <w:t xml:space="preserve"> and communication of services.</w:t>
      </w:r>
      <w:r w:rsidR="00616D02">
        <w:rPr>
          <w:rFonts w:ascii="Avenir Next" w:hAnsi="Avenir Next" w:cs="Arial"/>
          <w:color w:val="808080" w:themeColor="background1" w:themeShade="80"/>
          <w:sz w:val="22"/>
          <w:szCs w:val="22"/>
        </w:rPr>
        <w:t xml:space="preserve"> Communication services generally includes, but is not limited to, computer hardware</w:t>
      </w:r>
      <w:r w:rsidR="00CA1B80">
        <w:rPr>
          <w:rFonts w:ascii="Avenir Next" w:hAnsi="Avenir Next" w:cs="Arial"/>
          <w:color w:val="808080" w:themeColor="background1" w:themeShade="80"/>
          <w:sz w:val="22"/>
          <w:szCs w:val="22"/>
        </w:rPr>
        <w:t xml:space="preserve"> and </w:t>
      </w:r>
      <w:r w:rsidR="000059CE">
        <w:rPr>
          <w:rFonts w:ascii="Avenir Next" w:hAnsi="Avenir Next" w:cs="Arial"/>
          <w:color w:val="808080" w:themeColor="background1" w:themeShade="80"/>
          <w:sz w:val="22"/>
          <w:szCs w:val="22"/>
        </w:rPr>
        <w:t>software</w:t>
      </w:r>
      <w:r w:rsidR="00CA1B80">
        <w:rPr>
          <w:rFonts w:ascii="Avenir Next" w:hAnsi="Avenir Next" w:cs="Arial"/>
          <w:color w:val="808080" w:themeColor="background1" w:themeShade="80"/>
          <w:sz w:val="22"/>
          <w:szCs w:val="22"/>
        </w:rPr>
        <w:t>, data storage, advice</w:t>
      </w:r>
      <w:r w:rsidR="000059CE">
        <w:rPr>
          <w:rFonts w:ascii="Avenir Next" w:hAnsi="Avenir Next" w:cs="Arial"/>
          <w:color w:val="808080" w:themeColor="background1" w:themeShade="80"/>
          <w:sz w:val="22"/>
          <w:szCs w:val="22"/>
        </w:rPr>
        <w:t xml:space="preserve"> and technical assistance, web hosting </w:t>
      </w:r>
      <w:proofErr w:type="spellStart"/>
      <w:r w:rsidR="000059CE">
        <w:rPr>
          <w:rFonts w:ascii="Avenir Next" w:hAnsi="Avenir Next" w:cs="Arial"/>
          <w:color w:val="808080" w:themeColor="background1" w:themeShade="80"/>
          <w:sz w:val="22"/>
          <w:szCs w:val="22"/>
        </w:rPr>
        <w:t>etc</w:t>
      </w:r>
      <w:proofErr w:type="spellEnd"/>
    </w:p>
    <w:p w14:paraId="1C545B37" w14:textId="6B3C0879" w:rsidR="009D6DAF" w:rsidRDefault="009D6DAF" w:rsidP="00EA3B38">
      <w:pPr>
        <w:jc w:val="both"/>
        <w:rPr>
          <w:rFonts w:ascii="Avenir Next" w:hAnsi="Avenir Next" w:cs="Arial"/>
          <w:color w:val="808080" w:themeColor="background1" w:themeShade="80"/>
          <w:sz w:val="22"/>
          <w:szCs w:val="22"/>
        </w:rPr>
      </w:pPr>
    </w:p>
    <w:p w14:paraId="791DEC56" w14:textId="319A3FBE" w:rsidR="009D6DAF" w:rsidRDefault="00C54E2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would be important to mention that the IA 1986 does provide some protection for these suppliers. Whilst suppliers are not required to have existing debts settled to continue providing services during the administration</w:t>
      </w:r>
      <w:r w:rsidR="005E675C">
        <w:rPr>
          <w:rFonts w:ascii="Avenir Next" w:hAnsi="Avenir Next" w:cs="Arial"/>
          <w:color w:val="808080" w:themeColor="background1" w:themeShade="80"/>
          <w:sz w:val="22"/>
          <w:szCs w:val="22"/>
        </w:rPr>
        <w:t xml:space="preserve">, the supplier as per 233(A) (5) that the supplier can </w:t>
      </w:r>
      <w:r w:rsidR="0067069B">
        <w:rPr>
          <w:rFonts w:ascii="Avenir Next" w:hAnsi="Avenir Next" w:cs="Arial"/>
          <w:color w:val="808080" w:themeColor="background1" w:themeShade="80"/>
          <w:sz w:val="22"/>
          <w:szCs w:val="22"/>
        </w:rPr>
        <w:t>write</w:t>
      </w:r>
      <w:r w:rsidR="005E675C">
        <w:rPr>
          <w:rFonts w:ascii="Avenir Next" w:hAnsi="Avenir Next" w:cs="Arial"/>
          <w:color w:val="808080" w:themeColor="background1" w:themeShade="80"/>
          <w:sz w:val="22"/>
          <w:szCs w:val="22"/>
        </w:rPr>
        <w:t xml:space="preserve"> to the administrator saying that the service will be terminated </w:t>
      </w:r>
      <w:r w:rsidR="00E743C4">
        <w:rPr>
          <w:rFonts w:ascii="Avenir Next" w:hAnsi="Avenir Next" w:cs="Arial"/>
          <w:color w:val="808080" w:themeColor="background1" w:themeShade="80"/>
          <w:sz w:val="22"/>
          <w:szCs w:val="22"/>
        </w:rPr>
        <w:t>unless the administrator personally guarantees the payment of any charges in respect of continuation</w:t>
      </w:r>
      <w:r w:rsidR="00887AE6">
        <w:rPr>
          <w:rFonts w:ascii="Avenir Next" w:hAnsi="Avenir Next" w:cs="Arial"/>
          <w:color w:val="808080" w:themeColor="background1" w:themeShade="80"/>
          <w:sz w:val="22"/>
          <w:szCs w:val="22"/>
        </w:rPr>
        <w:t xml:space="preserve"> of the supply after the company has </w:t>
      </w:r>
      <w:proofErr w:type="gramStart"/>
      <w:r w:rsidR="00887AE6">
        <w:rPr>
          <w:rFonts w:ascii="Avenir Next" w:hAnsi="Avenir Next" w:cs="Arial"/>
          <w:color w:val="808080" w:themeColor="background1" w:themeShade="80"/>
          <w:sz w:val="22"/>
          <w:szCs w:val="22"/>
        </w:rPr>
        <w:t>entered into</w:t>
      </w:r>
      <w:proofErr w:type="gramEnd"/>
      <w:r w:rsidR="00887AE6">
        <w:rPr>
          <w:rFonts w:ascii="Avenir Next" w:hAnsi="Avenir Next" w:cs="Arial"/>
          <w:color w:val="808080" w:themeColor="background1" w:themeShade="80"/>
          <w:sz w:val="22"/>
          <w:szCs w:val="22"/>
        </w:rPr>
        <w:t xml:space="preserve"> administration. </w:t>
      </w:r>
    </w:p>
    <w:p w14:paraId="09E0193B" w14:textId="753499EA" w:rsidR="00223F01" w:rsidRDefault="00223F01" w:rsidP="00EA3B38">
      <w:pPr>
        <w:jc w:val="both"/>
        <w:rPr>
          <w:rFonts w:ascii="Avenir Next" w:hAnsi="Avenir Next" w:cs="Arial"/>
          <w:color w:val="808080" w:themeColor="background1" w:themeShade="80"/>
          <w:sz w:val="22"/>
          <w:szCs w:val="22"/>
        </w:rPr>
      </w:pPr>
    </w:p>
    <w:p w14:paraId="7E0189A9" w14:textId="77777777" w:rsidR="00223F01" w:rsidRPr="00B84055" w:rsidRDefault="00223F01" w:rsidP="00EA3B38">
      <w:pPr>
        <w:jc w:val="both"/>
        <w:rPr>
          <w:rFonts w:ascii="Avenir Next" w:hAnsi="Avenir Next" w:cs="Arial"/>
          <w:color w:val="808080" w:themeColor="background1" w:themeShade="80"/>
          <w:sz w:val="22"/>
          <w:szCs w:val="22"/>
        </w:rPr>
      </w:pP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4D705962" w:rsidR="00EA3B38" w:rsidRDefault="00C73CD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assets of the Company can only be used to distribute to the creditors of the Company and the remuneration and /or expenses of the joint liquidators. Where assets are subject to a hire charge</w:t>
      </w:r>
      <w:r w:rsidR="00A41420">
        <w:rPr>
          <w:rFonts w:ascii="Avenir Next" w:hAnsi="Avenir Next" w:cs="Arial"/>
          <w:color w:val="808080" w:themeColor="background1" w:themeShade="80"/>
          <w:sz w:val="22"/>
          <w:szCs w:val="22"/>
        </w:rPr>
        <w:t xml:space="preserve">, retention of title clauses or assigned </w:t>
      </w:r>
      <w:r w:rsidR="002D0F41">
        <w:rPr>
          <w:rFonts w:ascii="Avenir Next" w:hAnsi="Avenir Next" w:cs="Arial"/>
          <w:color w:val="808080" w:themeColor="background1" w:themeShade="80"/>
          <w:sz w:val="22"/>
          <w:szCs w:val="22"/>
        </w:rPr>
        <w:t>to a</w:t>
      </w:r>
      <w:r w:rsidR="00A41420">
        <w:rPr>
          <w:rFonts w:ascii="Avenir Next" w:hAnsi="Avenir Next" w:cs="Arial"/>
          <w:color w:val="808080" w:themeColor="background1" w:themeShade="80"/>
          <w:sz w:val="22"/>
          <w:szCs w:val="22"/>
        </w:rPr>
        <w:t xml:space="preserve"> receivables financer then the liquidator will have </w:t>
      </w:r>
      <w:r w:rsidR="00582172">
        <w:rPr>
          <w:rFonts w:ascii="Avenir Next" w:hAnsi="Avenir Next" w:cs="Arial"/>
          <w:color w:val="808080" w:themeColor="background1" w:themeShade="80"/>
          <w:sz w:val="22"/>
          <w:szCs w:val="22"/>
        </w:rPr>
        <w:t>no right to these assets.</w:t>
      </w:r>
    </w:p>
    <w:p w14:paraId="1AC5CA70" w14:textId="30F3DB04" w:rsidR="00582172" w:rsidRDefault="00582172" w:rsidP="00EA3B38">
      <w:pPr>
        <w:jc w:val="both"/>
        <w:rPr>
          <w:rFonts w:ascii="Avenir Next" w:hAnsi="Avenir Next" w:cs="Arial"/>
          <w:color w:val="808080" w:themeColor="background1" w:themeShade="80"/>
          <w:sz w:val="22"/>
          <w:szCs w:val="22"/>
        </w:rPr>
      </w:pPr>
    </w:p>
    <w:p w14:paraId="1626085D" w14:textId="0ABDF5FC" w:rsidR="00582172" w:rsidRDefault="0058217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order of priority of payments in a liquidation is as follows. The list below will go from highest priority to lowest priority</w:t>
      </w:r>
      <w:r w:rsidR="00850A1E">
        <w:rPr>
          <w:rFonts w:ascii="Avenir Next" w:hAnsi="Avenir Next" w:cs="Arial"/>
          <w:color w:val="808080" w:themeColor="background1" w:themeShade="80"/>
          <w:sz w:val="22"/>
          <w:szCs w:val="22"/>
        </w:rPr>
        <w:t>, in that order. Following any fixed charge payments, the first payment from the estate will be the expens</w:t>
      </w:r>
      <w:r w:rsidR="0084271B">
        <w:rPr>
          <w:rFonts w:ascii="Avenir Next" w:hAnsi="Avenir Next" w:cs="Arial"/>
          <w:color w:val="808080" w:themeColor="background1" w:themeShade="80"/>
          <w:sz w:val="22"/>
          <w:szCs w:val="22"/>
        </w:rPr>
        <w:t xml:space="preserve">es of the liquidation, including the </w:t>
      </w:r>
      <w:r w:rsidR="002D0F41">
        <w:rPr>
          <w:rFonts w:ascii="Avenir Next" w:hAnsi="Avenir Next" w:cs="Arial"/>
          <w:color w:val="808080" w:themeColor="background1" w:themeShade="80"/>
          <w:sz w:val="22"/>
          <w:szCs w:val="22"/>
        </w:rPr>
        <w:t>liquidator’s</w:t>
      </w:r>
      <w:r w:rsidR="0084271B">
        <w:rPr>
          <w:rFonts w:ascii="Avenir Next" w:hAnsi="Avenir Next" w:cs="Arial"/>
          <w:color w:val="808080" w:themeColor="background1" w:themeShade="80"/>
          <w:sz w:val="22"/>
          <w:szCs w:val="22"/>
        </w:rPr>
        <w:t xml:space="preserve"> remuneration. Under 115 of the Act a number if expenses are given priority. These are </w:t>
      </w:r>
      <w:r w:rsidR="004D4167">
        <w:rPr>
          <w:rFonts w:ascii="Avenir Next" w:hAnsi="Avenir Next" w:cs="Arial"/>
          <w:color w:val="808080" w:themeColor="background1" w:themeShade="80"/>
          <w:sz w:val="22"/>
          <w:szCs w:val="22"/>
        </w:rPr>
        <w:t xml:space="preserve">expenses incurred by the liquidator in preserving, realizing of obtaining assets; cost of security provided by the liquidator; </w:t>
      </w:r>
      <w:r w:rsidR="0028152B">
        <w:rPr>
          <w:rFonts w:ascii="Avenir Next" w:hAnsi="Avenir Next" w:cs="Arial"/>
          <w:color w:val="808080" w:themeColor="background1" w:themeShade="80"/>
          <w:sz w:val="22"/>
          <w:szCs w:val="22"/>
        </w:rPr>
        <w:t xml:space="preserve">necessary disbursements by the liquidator </w:t>
      </w:r>
      <w:proofErr w:type="gramStart"/>
      <w:r w:rsidR="0028152B">
        <w:rPr>
          <w:rFonts w:ascii="Avenir Next" w:hAnsi="Avenir Next" w:cs="Arial"/>
          <w:color w:val="808080" w:themeColor="background1" w:themeShade="80"/>
          <w:sz w:val="22"/>
          <w:szCs w:val="22"/>
        </w:rPr>
        <w:t>in the course of</w:t>
      </w:r>
      <w:proofErr w:type="gramEnd"/>
      <w:r w:rsidR="0028152B">
        <w:rPr>
          <w:rFonts w:ascii="Avenir Next" w:hAnsi="Avenir Next" w:cs="Arial"/>
          <w:color w:val="808080" w:themeColor="background1" w:themeShade="80"/>
          <w:sz w:val="22"/>
          <w:szCs w:val="22"/>
        </w:rPr>
        <w:t xml:space="preserve"> winding</w:t>
      </w:r>
      <w:r w:rsidR="002D42D7">
        <w:rPr>
          <w:rFonts w:ascii="Avenir Next" w:hAnsi="Avenir Next" w:cs="Arial"/>
          <w:color w:val="808080" w:themeColor="background1" w:themeShade="80"/>
          <w:sz w:val="22"/>
          <w:szCs w:val="22"/>
        </w:rPr>
        <w:t xml:space="preserve"> up; remuneration of the liquidator; remuneration of anyone employed by the liquidator; corporation tax accruing</w:t>
      </w:r>
      <w:r w:rsidR="00894D97">
        <w:rPr>
          <w:rFonts w:ascii="Avenir Next" w:hAnsi="Avenir Next" w:cs="Arial"/>
          <w:color w:val="808080" w:themeColor="background1" w:themeShade="80"/>
          <w:sz w:val="22"/>
          <w:szCs w:val="22"/>
        </w:rPr>
        <w:t xml:space="preserve"> on chargeable gains</w:t>
      </w:r>
      <w:r w:rsidR="007B01CE">
        <w:rPr>
          <w:rFonts w:ascii="Avenir Next" w:hAnsi="Avenir Next" w:cs="Arial"/>
          <w:color w:val="808080" w:themeColor="background1" w:themeShade="80"/>
          <w:sz w:val="22"/>
          <w:szCs w:val="22"/>
        </w:rPr>
        <w:t xml:space="preserve">. Interestingly the </w:t>
      </w:r>
      <w:r w:rsidR="002D0F41">
        <w:rPr>
          <w:rFonts w:ascii="Avenir Next" w:hAnsi="Avenir Next" w:cs="Arial"/>
          <w:color w:val="808080" w:themeColor="background1" w:themeShade="80"/>
          <w:sz w:val="22"/>
          <w:szCs w:val="22"/>
        </w:rPr>
        <w:t>liquidator’s</w:t>
      </w:r>
      <w:r w:rsidR="007B01CE">
        <w:rPr>
          <w:rFonts w:ascii="Avenir Next" w:hAnsi="Avenir Next" w:cs="Arial"/>
          <w:color w:val="808080" w:themeColor="background1" w:themeShade="80"/>
          <w:sz w:val="22"/>
          <w:szCs w:val="22"/>
        </w:rPr>
        <w:t xml:space="preserve"> remuneration lies behind </w:t>
      </w:r>
      <w:proofErr w:type="gramStart"/>
      <w:r w:rsidR="007B01CE">
        <w:rPr>
          <w:rFonts w:ascii="Avenir Next" w:hAnsi="Avenir Next" w:cs="Arial"/>
          <w:color w:val="808080" w:themeColor="background1" w:themeShade="80"/>
          <w:sz w:val="22"/>
          <w:szCs w:val="22"/>
        </w:rPr>
        <w:t>a number of</w:t>
      </w:r>
      <w:proofErr w:type="gramEnd"/>
      <w:r w:rsidR="007B01CE">
        <w:rPr>
          <w:rFonts w:ascii="Avenir Next" w:hAnsi="Avenir Next" w:cs="Arial"/>
          <w:color w:val="808080" w:themeColor="background1" w:themeShade="80"/>
          <w:sz w:val="22"/>
          <w:szCs w:val="22"/>
        </w:rPr>
        <w:t xml:space="preserve"> expenses in the liquidation,</w:t>
      </w:r>
    </w:p>
    <w:p w14:paraId="0CF83E79" w14:textId="2A8169BF" w:rsidR="007B01CE" w:rsidRDefault="007B01CE" w:rsidP="00EA3B38">
      <w:pPr>
        <w:jc w:val="both"/>
        <w:rPr>
          <w:rFonts w:ascii="Avenir Next" w:hAnsi="Avenir Next" w:cs="Arial"/>
          <w:color w:val="808080" w:themeColor="background1" w:themeShade="80"/>
          <w:sz w:val="22"/>
          <w:szCs w:val="22"/>
        </w:rPr>
      </w:pPr>
    </w:p>
    <w:p w14:paraId="41C28A4C" w14:textId="0AFB0B51" w:rsidR="007B01CE" w:rsidRDefault="007B01C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Once the</w:t>
      </w:r>
      <w:r w:rsidR="005B7142">
        <w:rPr>
          <w:rFonts w:ascii="Avenir Next" w:hAnsi="Avenir Next" w:cs="Arial"/>
          <w:color w:val="808080" w:themeColor="background1" w:themeShade="80"/>
          <w:sz w:val="22"/>
          <w:szCs w:val="22"/>
        </w:rPr>
        <w:t xml:space="preserve"> expenses of the liquidators </w:t>
      </w:r>
      <w:r w:rsidR="002D0F41">
        <w:rPr>
          <w:rFonts w:ascii="Avenir Next" w:hAnsi="Avenir Next" w:cs="Arial"/>
          <w:color w:val="808080" w:themeColor="background1" w:themeShade="80"/>
          <w:sz w:val="22"/>
          <w:szCs w:val="22"/>
        </w:rPr>
        <w:t>have</w:t>
      </w:r>
      <w:r w:rsidR="005B7142">
        <w:rPr>
          <w:rFonts w:ascii="Avenir Next" w:hAnsi="Avenir Next" w:cs="Arial"/>
          <w:color w:val="808080" w:themeColor="background1" w:themeShade="80"/>
          <w:sz w:val="22"/>
          <w:szCs w:val="22"/>
        </w:rPr>
        <w:t xml:space="preserve"> been fully paid out, then the assets are then used to pay preferential creditors</w:t>
      </w:r>
      <w:r w:rsidR="00C1729B">
        <w:rPr>
          <w:rFonts w:ascii="Avenir Next" w:hAnsi="Avenir Next" w:cs="Arial"/>
          <w:color w:val="808080" w:themeColor="background1" w:themeShade="80"/>
          <w:sz w:val="22"/>
          <w:szCs w:val="22"/>
        </w:rPr>
        <w:t>. Preferential creditors payments are made to</w:t>
      </w:r>
      <w:r w:rsidR="00AA2DAA">
        <w:rPr>
          <w:rFonts w:ascii="Avenir Next" w:hAnsi="Avenir Next" w:cs="Arial"/>
          <w:color w:val="808080" w:themeColor="background1" w:themeShade="80"/>
          <w:sz w:val="22"/>
          <w:szCs w:val="22"/>
        </w:rPr>
        <w:t xml:space="preserve"> certain employee claims and some taxation liabilities</w:t>
      </w:r>
      <w:r w:rsidR="004A3189">
        <w:rPr>
          <w:rFonts w:ascii="Avenir Next" w:hAnsi="Avenir Next" w:cs="Arial"/>
          <w:color w:val="808080" w:themeColor="background1" w:themeShade="80"/>
          <w:sz w:val="22"/>
          <w:szCs w:val="22"/>
        </w:rPr>
        <w:t xml:space="preserve">. There are two types of preferential payments, </w:t>
      </w:r>
      <w:r w:rsidR="008E7EA5">
        <w:rPr>
          <w:rFonts w:ascii="Avenir Next" w:hAnsi="Avenir Next" w:cs="Arial"/>
          <w:color w:val="808080" w:themeColor="background1" w:themeShade="80"/>
          <w:sz w:val="22"/>
          <w:szCs w:val="22"/>
        </w:rPr>
        <w:t>ordinary and secondary. Ordinary payments are paid out before secondary payments</w:t>
      </w:r>
      <w:r w:rsidR="00EE2315">
        <w:rPr>
          <w:rFonts w:ascii="Avenir Next" w:hAnsi="Avenir Next" w:cs="Arial"/>
          <w:color w:val="808080" w:themeColor="background1" w:themeShade="80"/>
          <w:sz w:val="22"/>
          <w:szCs w:val="22"/>
        </w:rPr>
        <w:t xml:space="preserve">. </w:t>
      </w:r>
      <w:r w:rsidR="007E5422">
        <w:rPr>
          <w:rFonts w:ascii="Avenir Next" w:hAnsi="Avenir Next" w:cs="Arial"/>
          <w:color w:val="808080" w:themeColor="background1" w:themeShade="80"/>
          <w:sz w:val="22"/>
          <w:szCs w:val="22"/>
        </w:rPr>
        <w:t>Preferential</w:t>
      </w:r>
      <w:r w:rsidR="00EE2315">
        <w:rPr>
          <w:rFonts w:ascii="Avenir Next" w:hAnsi="Avenir Next" w:cs="Arial"/>
          <w:color w:val="808080" w:themeColor="background1" w:themeShade="80"/>
          <w:sz w:val="22"/>
          <w:szCs w:val="22"/>
        </w:rPr>
        <w:t xml:space="preserve"> debts in each class rank equally amongst themselves</w:t>
      </w:r>
      <w:r w:rsidR="007E5422">
        <w:rPr>
          <w:rFonts w:ascii="Avenir Next" w:hAnsi="Avenir Next" w:cs="Arial"/>
          <w:color w:val="808080" w:themeColor="background1" w:themeShade="80"/>
          <w:sz w:val="22"/>
          <w:szCs w:val="22"/>
        </w:rPr>
        <w:t>.</w:t>
      </w:r>
    </w:p>
    <w:p w14:paraId="369D0D5D" w14:textId="42167896" w:rsidR="008D4D13" w:rsidRDefault="008D4D13" w:rsidP="00EA3B38">
      <w:pPr>
        <w:jc w:val="both"/>
        <w:rPr>
          <w:rFonts w:ascii="Avenir Next" w:hAnsi="Avenir Next" w:cs="Arial"/>
          <w:color w:val="808080" w:themeColor="background1" w:themeShade="80"/>
          <w:sz w:val="22"/>
          <w:szCs w:val="22"/>
        </w:rPr>
      </w:pPr>
    </w:p>
    <w:p w14:paraId="731CD720" w14:textId="7436AC31" w:rsidR="008D4D13" w:rsidRDefault="008D4D1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next creditor to be paid out, after the preferential creditors is the floating charge holders</w:t>
      </w:r>
      <w:r w:rsidR="00060049">
        <w:rPr>
          <w:rFonts w:ascii="Avenir Next" w:hAnsi="Avenir Next" w:cs="Arial"/>
          <w:color w:val="808080" w:themeColor="background1" w:themeShade="80"/>
          <w:sz w:val="22"/>
          <w:szCs w:val="22"/>
        </w:rPr>
        <w:t xml:space="preserve">. If there are more </w:t>
      </w:r>
      <w:proofErr w:type="spellStart"/>
      <w:r w:rsidR="00060049">
        <w:rPr>
          <w:rFonts w:ascii="Avenir Next" w:hAnsi="Avenir Next" w:cs="Arial"/>
          <w:color w:val="808080" w:themeColor="background1" w:themeShade="80"/>
          <w:sz w:val="22"/>
          <w:szCs w:val="22"/>
        </w:rPr>
        <w:t>then</w:t>
      </w:r>
      <w:proofErr w:type="spellEnd"/>
      <w:r w:rsidR="00060049">
        <w:rPr>
          <w:rFonts w:ascii="Avenir Next" w:hAnsi="Avenir Next" w:cs="Arial"/>
          <w:color w:val="808080" w:themeColor="background1" w:themeShade="80"/>
          <w:sz w:val="22"/>
          <w:szCs w:val="22"/>
        </w:rPr>
        <w:t xml:space="preserve"> one floating charge </w:t>
      </w:r>
      <w:proofErr w:type="gramStart"/>
      <w:r w:rsidR="00060049">
        <w:rPr>
          <w:rFonts w:ascii="Avenir Next" w:hAnsi="Avenir Next" w:cs="Arial"/>
          <w:color w:val="808080" w:themeColor="background1" w:themeShade="80"/>
          <w:sz w:val="22"/>
          <w:szCs w:val="22"/>
        </w:rPr>
        <w:t>holder</w:t>
      </w:r>
      <w:proofErr w:type="gramEnd"/>
      <w:r w:rsidR="00060049">
        <w:rPr>
          <w:rFonts w:ascii="Avenir Next" w:hAnsi="Avenir Next" w:cs="Arial"/>
          <w:color w:val="808080" w:themeColor="background1" w:themeShade="80"/>
          <w:sz w:val="22"/>
          <w:szCs w:val="22"/>
        </w:rPr>
        <w:t xml:space="preserve"> then priority is usually given to the charge created first. </w:t>
      </w:r>
      <w:r w:rsidR="00680D9F">
        <w:rPr>
          <w:rFonts w:ascii="Avenir Next" w:hAnsi="Avenir Next" w:cs="Arial"/>
          <w:color w:val="808080" w:themeColor="background1" w:themeShade="80"/>
          <w:sz w:val="22"/>
          <w:szCs w:val="22"/>
        </w:rPr>
        <w:t xml:space="preserve">Before a payment is to a floating charge holder, the liquidator must consider whether the charge was created </w:t>
      </w:r>
      <w:r w:rsidR="00DC19F6">
        <w:rPr>
          <w:rFonts w:ascii="Avenir Next" w:hAnsi="Avenir Next" w:cs="Arial"/>
          <w:color w:val="808080" w:themeColor="background1" w:themeShade="80"/>
          <w:sz w:val="22"/>
          <w:szCs w:val="22"/>
        </w:rPr>
        <w:t>on or after</w:t>
      </w:r>
      <w:r w:rsidR="00680D9F">
        <w:rPr>
          <w:rFonts w:ascii="Avenir Next" w:hAnsi="Avenir Next" w:cs="Arial"/>
          <w:color w:val="808080" w:themeColor="background1" w:themeShade="80"/>
          <w:sz w:val="22"/>
          <w:szCs w:val="22"/>
        </w:rPr>
        <w:t xml:space="preserve"> 15 September 2003. If </w:t>
      </w:r>
      <w:proofErr w:type="gramStart"/>
      <w:r w:rsidR="00680D9F">
        <w:rPr>
          <w:rFonts w:ascii="Avenir Next" w:hAnsi="Avenir Next" w:cs="Arial"/>
          <w:color w:val="808080" w:themeColor="background1" w:themeShade="80"/>
          <w:sz w:val="22"/>
          <w:szCs w:val="22"/>
        </w:rPr>
        <w:t>so</w:t>
      </w:r>
      <w:proofErr w:type="gramEnd"/>
      <w:r w:rsidR="00680D9F">
        <w:rPr>
          <w:rFonts w:ascii="Avenir Next" w:hAnsi="Avenir Next" w:cs="Arial"/>
          <w:color w:val="808080" w:themeColor="background1" w:themeShade="80"/>
          <w:sz w:val="22"/>
          <w:szCs w:val="22"/>
        </w:rPr>
        <w:t xml:space="preserve"> </w:t>
      </w:r>
      <w:r w:rsidR="00DC19F6">
        <w:rPr>
          <w:rFonts w:ascii="Avenir Next" w:hAnsi="Avenir Next" w:cs="Arial"/>
          <w:color w:val="808080" w:themeColor="background1" w:themeShade="80"/>
          <w:sz w:val="22"/>
          <w:szCs w:val="22"/>
        </w:rPr>
        <w:t xml:space="preserve">then section 176A of the Act will apply. </w:t>
      </w:r>
      <w:r w:rsidR="007A795C">
        <w:rPr>
          <w:rFonts w:ascii="Avenir Next" w:hAnsi="Avenir Next" w:cs="Arial"/>
          <w:color w:val="808080" w:themeColor="background1" w:themeShade="80"/>
          <w:sz w:val="22"/>
          <w:szCs w:val="22"/>
        </w:rPr>
        <w:t xml:space="preserve">The liquidator </w:t>
      </w:r>
      <w:r w:rsidR="007A795C">
        <w:rPr>
          <w:rFonts w:ascii="Avenir Next" w:hAnsi="Avenir Next" w:cs="Arial"/>
          <w:color w:val="808080" w:themeColor="background1" w:themeShade="80"/>
          <w:sz w:val="22"/>
          <w:szCs w:val="22"/>
        </w:rPr>
        <w:lastRenderedPageBreak/>
        <w:t xml:space="preserve">will create a prescribed part for the remaining unsecured creditors using the net property available to the floating charge holder. This prescribed part must not be used to satisfy </w:t>
      </w:r>
      <w:r w:rsidR="00933CBD">
        <w:rPr>
          <w:rFonts w:ascii="Avenir Next" w:hAnsi="Avenir Next" w:cs="Arial"/>
          <w:color w:val="808080" w:themeColor="background1" w:themeShade="80"/>
          <w:sz w:val="22"/>
          <w:szCs w:val="22"/>
        </w:rPr>
        <w:t xml:space="preserve">floating charge holders. </w:t>
      </w:r>
      <w:r w:rsidR="002D0F41">
        <w:rPr>
          <w:rFonts w:ascii="Avenir Next" w:hAnsi="Avenir Next" w:cs="Arial"/>
          <w:color w:val="808080" w:themeColor="background1" w:themeShade="80"/>
          <w:sz w:val="22"/>
          <w:szCs w:val="22"/>
        </w:rPr>
        <w:t>Additionally,</w:t>
      </w:r>
      <w:r w:rsidR="00543B70">
        <w:rPr>
          <w:rFonts w:ascii="Avenir Next" w:hAnsi="Avenir Next" w:cs="Arial"/>
          <w:color w:val="808080" w:themeColor="background1" w:themeShade="80"/>
          <w:sz w:val="22"/>
          <w:szCs w:val="22"/>
        </w:rPr>
        <w:t xml:space="preserve"> a floating charge holder who </w:t>
      </w:r>
      <w:r w:rsidR="006863B1">
        <w:rPr>
          <w:rFonts w:ascii="Avenir Next" w:hAnsi="Avenir Next" w:cs="Arial"/>
          <w:color w:val="808080" w:themeColor="background1" w:themeShade="80"/>
          <w:sz w:val="22"/>
          <w:szCs w:val="22"/>
        </w:rPr>
        <w:t>may have an outstanding unsecured debt owing to them is not permitted to participate in the distribution of the prescribed part</w:t>
      </w:r>
    </w:p>
    <w:p w14:paraId="31339A20" w14:textId="45B00B94" w:rsidR="006863B1" w:rsidRDefault="006863B1" w:rsidP="00EA3B38">
      <w:pPr>
        <w:jc w:val="both"/>
        <w:rPr>
          <w:rFonts w:ascii="Avenir Next" w:hAnsi="Avenir Next" w:cs="Arial"/>
          <w:color w:val="808080" w:themeColor="background1" w:themeShade="80"/>
          <w:sz w:val="22"/>
          <w:szCs w:val="22"/>
        </w:rPr>
      </w:pPr>
    </w:p>
    <w:p w14:paraId="0DB917C4" w14:textId="22AF0292" w:rsidR="00FE1B9B" w:rsidRDefault="00FE1B9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last remaining stakeholders to be paid will be unsecured creditors and finally shareholders. </w:t>
      </w:r>
      <w:r w:rsidR="00F83E52">
        <w:rPr>
          <w:rFonts w:ascii="Avenir Next" w:hAnsi="Avenir Next" w:cs="Arial"/>
          <w:color w:val="808080" w:themeColor="background1" w:themeShade="80"/>
          <w:sz w:val="22"/>
          <w:szCs w:val="22"/>
        </w:rPr>
        <w:t>However frequently, once all payments have been made to the expenses, secured and preferential creditors then there is likely to be little left to pay by a way of a dividend unsecured</w:t>
      </w:r>
      <w:r w:rsidR="002D0F41">
        <w:rPr>
          <w:rFonts w:ascii="Avenir Next" w:hAnsi="Avenir Next" w:cs="Arial"/>
          <w:color w:val="808080" w:themeColor="background1" w:themeShade="80"/>
          <w:sz w:val="22"/>
          <w:szCs w:val="22"/>
        </w:rPr>
        <w:t xml:space="preserve"> creditors. It is very rare in an insolvent liquidation that there will be a surplus to pay the shareholders.</w:t>
      </w:r>
    </w:p>
    <w:p w14:paraId="7B169012" w14:textId="2BA204C4" w:rsidR="002D0F41" w:rsidRDefault="002D0F41" w:rsidP="00EA3B38">
      <w:pPr>
        <w:jc w:val="both"/>
        <w:rPr>
          <w:rFonts w:ascii="Avenir Next" w:hAnsi="Avenir Next" w:cs="Arial"/>
          <w:color w:val="808080" w:themeColor="background1" w:themeShade="80"/>
          <w:sz w:val="22"/>
          <w:szCs w:val="22"/>
        </w:rPr>
      </w:pPr>
    </w:p>
    <w:p w14:paraId="019DA15C" w14:textId="60F31734" w:rsidR="002D0F41" w:rsidRPr="00B84055" w:rsidRDefault="00A9093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Should the Company have been subject to a moratorium under Part A1 of the Insolvency Act 1986 </w:t>
      </w:r>
      <w:r w:rsidR="006D4B27">
        <w:rPr>
          <w:rFonts w:ascii="Avenir Next" w:hAnsi="Avenir Next" w:cs="Arial"/>
          <w:color w:val="808080" w:themeColor="background1" w:themeShade="80"/>
          <w:sz w:val="22"/>
          <w:szCs w:val="22"/>
        </w:rPr>
        <w:t xml:space="preserve">during the </w:t>
      </w:r>
      <w:proofErr w:type="gramStart"/>
      <w:r w:rsidR="006D4B27">
        <w:rPr>
          <w:rFonts w:ascii="Avenir Next" w:hAnsi="Avenir Next" w:cs="Arial"/>
          <w:color w:val="808080" w:themeColor="background1" w:themeShade="80"/>
          <w:sz w:val="22"/>
          <w:szCs w:val="22"/>
        </w:rPr>
        <w:t>12 week</w:t>
      </w:r>
      <w:proofErr w:type="gramEnd"/>
      <w:r w:rsidR="006D4B27">
        <w:rPr>
          <w:rFonts w:ascii="Avenir Next" w:hAnsi="Avenir Next" w:cs="Arial"/>
          <w:color w:val="808080" w:themeColor="background1" w:themeShade="80"/>
          <w:sz w:val="22"/>
          <w:szCs w:val="22"/>
        </w:rPr>
        <w:t xml:space="preserve"> period prior to the commencement of the liquidation, </w:t>
      </w:r>
      <w:r w:rsidR="00677EDC">
        <w:rPr>
          <w:rFonts w:ascii="Avenir Next" w:hAnsi="Avenir Next" w:cs="Arial"/>
          <w:color w:val="808080" w:themeColor="background1" w:themeShade="80"/>
          <w:sz w:val="22"/>
          <w:szCs w:val="22"/>
        </w:rPr>
        <w:t>then the priority of payments might be different</w:t>
      </w:r>
      <w:r w:rsidR="003A6F36">
        <w:rPr>
          <w:rFonts w:ascii="Avenir Next" w:hAnsi="Avenir Next" w:cs="Arial"/>
          <w:color w:val="808080" w:themeColor="background1" w:themeShade="80"/>
          <w:sz w:val="22"/>
          <w:szCs w:val="22"/>
        </w:rPr>
        <w:t xml:space="preserve"> to the period prior to the Moratorium. Section 174A</w:t>
      </w:r>
      <w:r w:rsidR="0040380F">
        <w:rPr>
          <w:rFonts w:ascii="Avenir Next" w:hAnsi="Avenir Next" w:cs="Arial"/>
          <w:color w:val="808080" w:themeColor="background1" w:themeShade="80"/>
          <w:sz w:val="22"/>
          <w:szCs w:val="22"/>
        </w:rPr>
        <w:t xml:space="preserve"> </w:t>
      </w:r>
      <w:r w:rsidR="00A7632E">
        <w:rPr>
          <w:rFonts w:ascii="Avenir Next" w:hAnsi="Avenir Next" w:cs="Arial"/>
          <w:color w:val="808080" w:themeColor="background1" w:themeShade="80"/>
          <w:sz w:val="22"/>
          <w:szCs w:val="22"/>
        </w:rPr>
        <w:t>identifies</w:t>
      </w:r>
      <w:r w:rsidR="0040380F">
        <w:rPr>
          <w:rFonts w:ascii="Avenir Next" w:hAnsi="Avenir Next" w:cs="Arial"/>
          <w:color w:val="808080" w:themeColor="background1" w:themeShade="80"/>
          <w:sz w:val="22"/>
          <w:szCs w:val="22"/>
        </w:rPr>
        <w:t xml:space="preserve"> that a number of debts which existed </w:t>
      </w:r>
      <w:r w:rsidR="00F256C9">
        <w:rPr>
          <w:rFonts w:ascii="Avenir Next" w:hAnsi="Avenir Next" w:cs="Arial"/>
          <w:color w:val="808080" w:themeColor="background1" w:themeShade="80"/>
          <w:sz w:val="22"/>
          <w:szCs w:val="22"/>
        </w:rPr>
        <w:t xml:space="preserve">pre the moratorium such as some </w:t>
      </w:r>
      <w:proofErr w:type="gramStart"/>
      <w:r w:rsidR="00F256C9">
        <w:rPr>
          <w:rFonts w:ascii="Avenir Next" w:hAnsi="Avenir Next" w:cs="Arial"/>
          <w:color w:val="808080" w:themeColor="background1" w:themeShade="80"/>
          <w:sz w:val="22"/>
          <w:szCs w:val="22"/>
        </w:rPr>
        <w:t>employees</w:t>
      </w:r>
      <w:proofErr w:type="gramEnd"/>
      <w:r w:rsidR="00F256C9">
        <w:rPr>
          <w:rFonts w:ascii="Avenir Next" w:hAnsi="Avenir Next" w:cs="Arial"/>
          <w:color w:val="808080" w:themeColor="background1" w:themeShade="80"/>
          <w:sz w:val="22"/>
          <w:szCs w:val="22"/>
        </w:rPr>
        <w:t xml:space="preserve"> costs that were before the moratorium, rent due before the moratorium</w:t>
      </w:r>
      <w:r w:rsidR="004D4D89">
        <w:rPr>
          <w:rFonts w:ascii="Avenir Next" w:hAnsi="Avenir Next" w:cs="Arial"/>
          <w:color w:val="808080" w:themeColor="background1" w:themeShade="80"/>
          <w:sz w:val="22"/>
          <w:szCs w:val="22"/>
        </w:rPr>
        <w:t xml:space="preserve">, the monitor remuneration and expenses and goods supplied before the moratorium are paid out </w:t>
      </w:r>
      <w:r w:rsidR="00811A53">
        <w:rPr>
          <w:rFonts w:ascii="Avenir Next" w:hAnsi="Avenir Next" w:cs="Arial"/>
          <w:color w:val="808080" w:themeColor="background1" w:themeShade="80"/>
          <w:sz w:val="22"/>
          <w:szCs w:val="22"/>
        </w:rPr>
        <w:t>in priority to even the liquidators remuneration and expenses</w:t>
      </w:r>
      <w:r w:rsidR="00A7632E">
        <w:rPr>
          <w:rFonts w:ascii="Avenir Next" w:hAnsi="Avenir Next" w:cs="Arial"/>
          <w:color w:val="808080" w:themeColor="background1" w:themeShade="80"/>
          <w:sz w:val="22"/>
          <w:szCs w:val="22"/>
        </w:rPr>
        <w:t xml:space="preserve">, during a subsequent liquidation.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5237771F" w14:textId="579C7690" w:rsidR="00EA3B38" w:rsidRDefault="00B84C1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The Company </w:t>
      </w:r>
      <w:r w:rsidR="00E44990">
        <w:rPr>
          <w:rFonts w:ascii="Avenir Next" w:hAnsi="Avenir Next" w:cs="Arial"/>
          <w:color w:val="808080" w:themeColor="background1" w:themeShade="80"/>
          <w:sz w:val="22"/>
          <w:szCs w:val="22"/>
        </w:rPr>
        <w:t xml:space="preserve">went into liquidation on </w:t>
      </w:r>
      <w:r w:rsidR="00533AD3">
        <w:rPr>
          <w:rFonts w:ascii="Avenir Next" w:hAnsi="Avenir Next" w:cs="Arial"/>
          <w:color w:val="808080" w:themeColor="background1" w:themeShade="80"/>
          <w:sz w:val="22"/>
          <w:szCs w:val="22"/>
        </w:rPr>
        <w:t>23</w:t>
      </w:r>
      <w:r w:rsidR="00533AD3" w:rsidRPr="00E44990">
        <w:rPr>
          <w:rFonts w:ascii="Avenir Next" w:hAnsi="Avenir Next" w:cs="Arial"/>
          <w:color w:val="808080" w:themeColor="background1" w:themeShade="80"/>
          <w:sz w:val="22"/>
          <w:szCs w:val="22"/>
          <w:vertAlign w:val="superscript"/>
        </w:rPr>
        <w:t>rd</w:t>
      </w:r>
      <w:r w:rsidR="00533AD3">
        <w:rPr>
          <w:rFonts w:ascii="Avenir Next" w:hAnsi="Avenir Next" w:cs="Arial"/>
          <w:color w:val="808080" w:themeColor="background1" w:themeShade="80"/>
          <w:sz w:val="22"/>
          <w:szCs w:val="22"/>
        </w:rPr>
        <w:t xml:space="preserve"> December 2022 and</w:t>
      </w:r>
      <w:r w:rsidR="00E44990">
        <w:rPr>
          <w:rFonts w:ascii="Avenir Next" w:hAnsi="Avenir Next" w:cs="Arial"/>
          <w:color w:val="808080" w:themeColor="background1" w:themeShade="80"/>
          <w:sz w:val="22"/>
          <w:szCs w:val="22"/>
        </w:rPr>
        <w:t xml:space="preserve"> gr</w:t>
      </w:r>
      <w:r w:rsidR="003F5BBD">
        <w:rPr>
          <w:rFonts w:ascii="Avenir Next" w:hAnsi="Avenir Next" w:cs="Arial"/>
          <w:color w:val="808080" w:themeColor="background1" w:themeShade="80"/>
          <w:sz w:val="22"/>
          <w:szCs w:val="22"/>
        </w:rPr>
        <w:t xml:space="preserve">anted a debenture containing a floating charge over the whole company’s undertaking </w:t>
      </w:r>
      <w:r w:rsidR="008D1439">
        <w:rPr>
          <w:rFonts w:ascii="Avenir Next" w:hAnsi="Avenir Next" w:cs="Arial"/>
          <w:color w:val="808080" w:themeColor="background1" w:themeShade="80"/>
          <w:sz w:val="22"/>
          <w:szCs w:val="22"/>
        </w:rPr>
        <w:t xml:space="preserve">in </w:t>
      </w:r>
      <w:proofErr w:type="spellStart"/>
      <w:r w:rsidR="008D1439">
        <w:rPr>
          <w:rFonts w:ascii="Avenir Next" w:hAnsi="Avenir Next" w:cs="Arial"/>
          <w:color w:val="808080" w:themeColor="background1" w:themeShade="80"/>
          <w:sz w:val="22"/>
          <w:szCs w:val="22"/>
        </w:rPr>
        <w:t>favour</w:t>
      </w:r>
      <w:proofErr w:type="spellEnd"/>
      <w:r w:rsidR="008D1439">
        <w:rPr>
          <w:rFonts w:ascii="Avenir Next" w:hAnsi="Avenir Next" w:cs="Arial"/>
          <w:color w:val="808080" w:themeColor="background1" w:themeShade="80"/>
          <w:sz w:val="22"/>
          <w:szCs w:val="22"/>
        </w:rPr>
        <w:t xml:space="preserve"> of </w:t>
      </w:r>
      <w:proofErr w:type="spellStart"/>
      <w:r w:rsidR="008D1439">
        <w:rPr>
          <w:rFonts w:ascii="Avenir Next" w:hAnsi="Avenir Next" w:cs="Arial"/>
          <w:color w:val="808080" w:themeColor="background1" w:themeShade="80"/>
          <w:sz w:val="22"/>
          <w:szCs w:val="22"/>
        </w:rPr>
        <w:t>Fretus</w:t>
      </w:r>
      <w:proofErr w:type="spellEnd"/>
      <w:r w:rsidR="008D1439">
        <w:rPr>
          <w:rFonts w:ascii="Avenir Next" w:hAnsi="Avenir Next" w:cs="Arial"/>
          <w:color w:val="808080" w:themeColor="background1" w:themeShade="80"/>
          <w:sz w:val="22"/>
          <w:szCs w:val="22"/>
        </w:rPr>
        <w:t xml:space="preserve"> Bank Plc in February 2022. </w:t>
      </w:r>
      <w:r w:rsidR="00533AD3">
        <w:rPr>
          <w:rFonts w:ascii="Avenir Next" w:hAnsi="Avenir Next" w:cs="Arial"/>
          <w:color w:val="808080" w:themeColor="background1" w:themeShade="80"/>
          <w:sz w:val="22"/>
          <w:szCs w:val="22"/>
        </w:rPr>
        <w:t>Firstly,</w:t>
      </w:r>
      <w:r w:rsidR="00554401">
        <w:rPr>
          <w:rFonts w:ascii="Avenir Next" w:hAnsi="Avenir Next" w:cs="Arial"/>
          <w:color w:val="808080" w:themeColor="background1" w:themeShade="80"/>
          <w:sz w:val="22"/>
          <w:szCs w:val="22"/>
        </w:rPr>
        <w:t xml:space="preserve"> we must assess what is the relevant period. Under section 245 of the Act the relevant </w:t>
      </w:r>
      <w:r w:rsidR="0052687F">
        <w:rPr>
          <w:rFonts w:ascii="Avenir Next" w:hAnsi="Avenir Next" w:cs="Arial"/>
          <w:color w:val="808080" w:themeColor="background1" w:themeShade="80"/>
          <w:sz w:val="22"/>
          <w:szCs w:val="22"/>
        </w:rPr>
        <w:t>time within the period for an entity who is connected is two years. For an unconnected entity the relevant time is 12 months.</w:t>
      </w:r>
      <w:r w:rsidR="00320136">
        <w:rPr>
          <w:rFonts w:ascii="Avenir Next" w:hAnsi="Avenir Next" w:cs="Arial"/>
          <w:color w:val="808080" w:themeColor="background1" w:themeShade="80"/>
          <w:sz w:val="22"/>
          <w:szCs w:val="22"/>
        </w:rPr>
        <w:t xml:space="preserve"> This is applicable if the company was unable to pay its debts under section 123 of the act. We understand from the passage that the Company was under pressure from </w:t>
      </w:r>
      <w:proofErr w:type="spellStart"/>
      <w:r w:rsidR="00320136">
        <w:rPr>
          <w:rFonts w:ascii="Avenir Next" w:hAnsi="Avenir Next" w:cs="Arial"/>
          <w:color w:val="808080" w:themeColor="background1" w:themeShade="80"/>
          <w:sz w:val="22"/>
          <w:szCs w:val="22"/>
        </w:rPr>
        <w:t>Fretus</w:t>
      </w:r>
      <w:proofErr w:type="spellEnd"/>
      <w:r w:rsidR="00320136">
        <w:rPr>
          <w:rFonts w:ascii="Avenir Next" w:hAnsi="Avenir Next" w:cs="Arial"/>
          <w:color w:val="808080" w:themeColor="background1" w:themeShade="80"/>
          <w:sz w:val="22"/>
          <w:szCs w:val="22"/>
        </w:rPr>
        <w:t xml:space="preserve">, potentially going to issue a demand for </w:t>
      </w:r>
      <w:r w:rsidR="00533AD3">
        <w:rPr>
          <w:rFonts w:ascii="Avenir Next" w:hAnsi="Avenir Next" w:cs="Arial"/>
          <w:color w:val="808080" w:themeColor="background1" w:themeShade="80"/>
          <w:sz w:val="22"/>
          <w:szCs w:val="22"/>
        </w:rPr>
        <w:t>payment.</w:t>
      </w:r>
      <w:r w:rsidR="00C20450">
        <w:rPr>
          <w:rFonts w:ascii="Avenir Next" w:hAnsi="Avenir Next" w:cs="Arial"/>
          <w:color w:val="808080" w:themeColor="background1" w:themeShade="80"/>
          <w:sz w:val="22"/>
          <w:szCs w:val="22"/>
        </w:rPr>
        <w:t xml:space="preserve"> </w:t>
      </w:r>
      <w:r w:rsidR="004B0FBE">
        <w:rPr>
          <w:rFonts w:ascii="Avenir Next" w:hAnsi="Avenir Next" w:cs="Arial"/>
          <w:color w:val="808080" w:themeColor="background1" w:themeShade="80"/>
          <w:sz w:val="22"/>
          <w:szCs w:val="22"/>
        </w:rPr>
        <w:t>However,</w:t>
      </w:r>
      <w:r w:rsidR="00C20450">
        <w:rPr>
          <w:rFonts w:ascii="Avenir Next" w:hAnsi="Avenir Next" w:cs="Arial"/>
          <w:color w:val="808080" w:themeColor="background1" w:themeShade="80"/>
          <w:sz w:val="22"/>
          <w:szCs w:val="22"/>
        </w:rPr>
        <w:t xml:space="preserve"> to </w:t>
      </w:r>
      <w:r w:rsidR="00533AD3">
        <w:rPr>
          <w:rFonts w:ascii="Avenir Next" w:hAnsi="Avenir Next" w:cs="Arial"/>
          <w:color w:val="808080" w:themeColor="background1" w:themeShade="80"/>
          <w:sz w:val="22"/>
          <w:szCs w:val="22"/>
        </w:rPr>
        <w:t>understand</w:t>
      </w:r>
      <w:r w:rsidR="00C20450">
        <w:rPr>
          <w:rFonts w:ascii="Avenir Next" w:hAnsi="Avenir Next" w:cs="Arial"/>
          <w:color w:val="808080" w:themeColor="background1" w:themeShade="80"/>
          <w:sz w:val="22"/>
          <w:szCs w:val="22"/>
        </w:rPr>
        <w:t xml:space="preserve"> whether it was unable to pay its debts as </w:t>
      </w:r>
      <w:r w:rsidR="00533AD3">
        <w:rPr>
          <w:rFonts w:ascii="Avenir Next" w:hAnsi="Avenir Next" w:cs="Arial"/>
          <w:color w:val="808080" w:themeColor="background1" w:themeShade="80"/>
          <w:sz w:val="22"/>
          <w:szCs w:val="22"/>
        </w:rPr>
        <w:t>per section 123, then the liquidator would need to investigate this further.</w:t>
      </w:r>
      <w:r w:rsidR="0052687F">
        <w:rPr>
          <w:rFonts w:ascii="Avenir Next" w:hAnsi="Avenir Next" w:cs="Arial"/>
          <w:color w:val="808080" w:themeColor="background1" w:themeShade="80"/>
          <w:sz w:val="22"/>
          <w:szCs w:val="22"/>
        </w:rPr>
        <w:t xml:space="preserve"> The debenture was granted to </w:t>
      </w:r>
      <w:proofErr w:type="spellStart"/>
      <w:r w:rsidR="0052687F">
        <w:rPr>
          <w:rFonts w:ascii="Avenir Next" w:hAnsi="Avenir Next" w:cs="Arial"/>
          <w:color w:val="808080" w:themeColor="background1" w:themeShade="80"/>
          <w:sz w:val="22"/>
          <w:szCs w:val="22"/>
        </w:rPr>
        <w:t>Fretus</w:t>
      </w:r>
      <w:proofErr w:type="spellEnd"/>
      <w:r w:rsidR="0052687F">
        <w:rPr>
          <w:rFonts w:ascii="Avenir Next" w:hAnsi="Avenir Next" w:cs="Arial"/>
          <w:color w:val="808080" w:themeColor="background1" w:themeShade="80"/>
          <w:sz w:val="22"/>
          <w:szCs w:val="22"/>
        </w:rPr>
        <w:t xml:space="preserve"> in February 2022, which is within the 12 months up to the Company </w:t>
      </w:r>
      <w:r w:rsidR="00F22503">
        <w:rPr>
          <w:rFonts w:ascii="Avenir Next" w:hAnsi="Avenir Next" w:cs="Arial"/>
          <w:color w:val="808080" w:themeColor="background1" w:themeShade="80"/>
          <w:sz w:val="22"/>
          <w:szCs w:val="22"/>
        </w:rPr>
        <w:t>going into liquidation on 23 December 2022.</w:t>
      </w:r>
    </w:p>
    <w:p w14:paraId="40C94988" w14:textId="0516CA24" w:rsidR="00F22503" w:rsidRDefault="00F22503" w:rsidP="00EA3B38">
      <w:pPr>
        <w:jc w:val="both"/>
        <w:rPr>
          <w:rFonts w:ascii="Avenir Next" w:hAnsi="Avenir Next" w:cs="Arial"/>
          <w:color w:val="808080" w:themeColor="background1" w:themeShade="80"/>
          <w:sz w:val="22"/>
          <w:szCs w:val="22"/>
        </w:rPr>
      </w:pPr>
    </w:p>
    <w:p w14:paraId="5655717D" w14:textId="53712561" w:rsidR="00F22503" w:rsidRDefault="00E3497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245 also only applied to floating charges and not any other types of security. </w:t>
      </w:r>
      <w:r w:rsidR="00D4218B">
        <w:rPr>
          <w:rFonts w:ascii="Avenir Next" w:hAnsi="Avenir Next" w:cs="Arial"/>
          <w:color w:val="808080" w:themeColor="background1" w:themeShade="80"/>
          <w:sz w:val="22"/>
          <w:szCs w:val="22"/>
        </w:rPr>
        <w:t xml:space="preserve">However, Section 245 does not apply to lenders who are </w:t>
      </w:r>
      <w:r w:rsidR="00C55022">
        <w:rPr>
          <w:rFonts w:ascii="Avenir Next" w:hAnsi="Avenir Next" w:cs="Arial"/>
          <w:color w:val="808080" w:themeColor="background1" w:themeShade="80"/>
          <w:sz w:val="22"/>
          <w:szCs w:val="22"/>
        </w:rPr>
        <w:t xml:space="preserve">providing fresh funding to the company from taking a floating charge. Here we can see that the lender </w:t>
      </w:r>
      <w:proofErr w:type="spellStart"/>
      <w:r w:rsidR="00C55022">
        <w:rPr>
          <w:rFonts w:ascii="Avenir Next" w:hAnsi="Avenir Next" w:cs="Arial"/>
          <w:color w:val="808080" w:themeColor="background1" w:themeShade="80"/>
          <w:sz w:val="22"/>
          <w:szCs w:val="22"/>
        </w:rPr>
        <w:t>Fretus</w:t>
      </w:r>
      <w:proofErr w:type="spellEnd"/>
      <w:r w:rsidR="00C55022">
        <w:rPr>
          <w:rFonts w:ascii="Avenir Next" w:hAnsi="Avenir Next" w:cs="Arial"/>
          <w:color w:val="808080" w:themeColor="background1" w:themeShade="80"/>
          <w:sz w:val="22"/>
          <w:szCs w:val="22"/>
        </w:rPr>
        <w:t xml:space="preserve"> Bank has not provided fresh funding and </w:t>
      </w:r>
      <w:proofErr w:type="gramStart"/>
      <w:r w:rsidR="00C55022">
        <w:rPr>
          <w:rFonts w:ascii="Avenir Next" w:hAnsi="Avenir Next" w:cs="Arial"/>
          <w:color w:val="808080" w:themeColor="background1" w:themeShade="80"/>
          <w:sz w:val="22"/>
          <w:szCs w:val="22"/>
        </w:rPr>
        <w:t>its</w:t>
      </w:r>
      <w:proofErr w:type="gramEnd"/>
      <w:r w:rsidR="00C55022">
        <w:rPr>
          <w:rFonts w:ascii="Avenir Next" w:hAnsi="Avenir Next" w:cs="Arial"/>
          <w:color w:val="808080" w:themeColor="background1" w:themeShade="80"/>
          <w:sz w:val="22"/>
          <w:szCs w:val="22"/>
        </w:rPr>
        <w:t xml:space="preserve"> </w:t>
      </w:r>
      <w:r w:rsidR="00633258">
        <w:rPr>
          <w:rFonts w:ascii="Avenir Next" w:hAnsi="Avenir Next" w:cs="Arial"/>
          <w:color w:val="808080" w:themeColor="background1" w:themeShade="80"/>
          <w:sz w:val="22"/>
          <w:szCs w:val="22"/>
        </w:rPr>
        <w:t xml:space="preserve">obtaining the security of the floating charge over pre-existing loans. </w:t>
      </w:r>
    </w:p>
    <w:p w14:paraId="36B3D6C7" w14:textId="2C435049" w:rsidR="001F3F25" w:rsidRDefault="001F3F25" w:rsidP="00EA3B38">
      <w:pPr>
        <w:jc w:val="both"/>
        <w:rPr>
          <w:rFonts w:ascii="Avenir Next" w:hAnsi="Avenir Next" w:cs="Arial"/>
          <w:color w:val="808080" w:themeColor="background1" w:themeShade="80"/>
          <w:sz w:val="22"/>
          <w:szCs w:val="22"/>
        </w:rPr>
      </w:pPr>
    </w:p>
    <w:p w14:paraId="2D6BB8A4" w14:textId="0EE27675" w:rsidR="001F3F25" w:rsidRPr="00B84055" w:rsidRDefault="001F3F2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Given that there has not been an injection of new funds to warrant the floating charge, the liquidator can </w:t>
      </w:r>
      <w:proofErr w:type="gramStart"/>
      <w:r>
        <w:rPr>
          <w:rFonts w:ascii="Avenir Next" w:hAnsi="Avenir Next" w:cs="Arial"/>
          <w:color w:val="808080" w:themeColor="background1" w:themeShade="80"/>
          <w:sz w:val="22"/>
          <w:szCs w:val="22"/>
        </w:rPr>
        <w:t>take action</w:t>
      </w:r>
      <w:proofErr w:type="gramEnd"/>
      <w:r>
        <w:rPr>
          <w:rFonts w:ascii="Avenir Next" w:hAnsi="Avenir Next" w:cs="Arial"/>
          <w:color w:val="808080" w:themeColor="background1" w:themeShade="80"/>
          <w:sz w:val="22"/>
          <w:szCs w:val="22"/>
        </w:rPr>
        <w:t xml:space="preserve"> under 245 of the Act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129B836A" w:rsidR="00EA3B38" w:rsidRDefault="00554CC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sale of the marble cutting machines to a </w:t>
      </w:r>
      <w:r w:rsidR="00E56B41">
        <w:rPr>
          <w:rFonts w:ascii="Avenir Next" w:hAnsi="Avenir Next" w:cs="Arial"/>
          <w:color w:val="808080" w:themeColor="background1" w:themeShade="80"/>
          <w:sz w:val="22"/>
          <w:szCs w:val="22"/>
        </w:rPr>
        <w:t>director</w:t>
      </w:r>
      <w:r>
        <w:rPr>
          <w:rFonts w:ascii="Avenir Next" w:hAnsi="Avenir Next" w:cs="Arial"/>
          <w:color w:val="808080" w:themeColor="background1" w:themeShade="80"/>
          <w:sz w:val="22"/>
          <w:szCs w:val="22"/>
        </w:rPr>
        <w:t xml:space="preserve"> </w:t>
      </w:r>
      <w:r w:rsidR="00F93A51">
        <w:rPr>
          <w:rFonts w:ascii="Avenir Next" w:hAnsi="Avenir Next" w:cs="Arial"/>
          <w:color w:val="808080" w:themeColor="background1" w:themeShade="80"/>
          <w:sz w:val="22"/>
          <w:szCs w:val="22"/>
        </w:rPr>
        <w:t>for GBP 10,000 in cash, when they were bought for GBP 25,000 a year bef</w:t>
      </w:r>
      <w:r w:rsidR="00CA4104">
        <w:rPr>
          <w:rFonts w:ascii="Avenir Next" w:hAnsi="Avenir Next" w:cs="Arial"/>
          <w:color w:val="808080" w:themeColor="background1" w:themeShade="80"/>
          <w:sz w:val="22"/>
          <w:szCs w:val="22"/>
        </w:rPr>
        <w:t>ore.</w:t>
      </w:r>
    </w:p>
    <w:p w14:paraId="03D9A0C6" w14:textId="0BD9FF4C" w:rsidR="00CA4104" w:rsidRDefault="00CA4104" w:rsidP="00EA3B38">
      <w:pPr>
        <w:jc w:val="both"/>
        <w:rPr>
          <w:rFonts w:ascii="Avenir Next" w:hAnsi="Avenir Next" w:cs="Arial"/>
          <w:color w:val="808080" w:themeColor="background1" w:themeShade="80"/>
          <w:sz w:val="22"/>
          <w:szCs w:val="22"/>
        </w:rPr>
      </w:pPr>
    </w:p>
    <w:p w14:paraId="4523BA3C" w14:textId="3D67DF7D" w:rsidR="00CA4104" w:rsidRDefault="00CA410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per section 238, a liquidator can attack </w:t>
      </w:r>
      <w:r w:rsidR="00072A5E">
        <w:rPr>
          <w:rFonts w:ascii="Avenir Next" w:hAnsi="Avenir Next" w:cs="Arial"/>
          <w:color w:val="808080" w:themeColor="background1" w:themeShade="80"/>
          <w:sz w:val="22"/>
          <w:szCs w:val="22"/>
        </w:rPr>
        <w:t xml:space="preserve">a transaction which was entered into by the Company prior to the commencement of the insolvency proceeding which was at an undervalue. </w:t>
      </w:r>
      <w:proofErr w:type="gramStart"/>
      <w:r w:rsidR="00671A0B">
        <w:rPr>
          <w:rFonts w:ascii="Avenir Next" w:hAnsi="Avenir Next" w:cs="Arial"/>
          <w:color w:val="808080" w:themeColor="background1" w:themeShade="80"/>
          <w:sz w:val="22"/>
          <w:szCs w:val="22"/>
        </w:rPr>
        <w:t>In order for</w:t>
      </w:r>
      <w:proofErr w:type="gramEnd"/>
      <w:r w:rsidR="00671A0B">
        <w:rPr>
          <w:rFonts w:ascii="Avenir Next" w:hAnsi="Avenir Next" w:cs="Arial"/>
          <w:color w:val="808080" w:themeColor="background1" w:themeShade="80"/>
          <w:sz w:val="22"/>
          <w:szCs w:val="22"/>
        </w:rPr>
        <w:t xml:space="preserve"> the liquidator to take action then the transaction must have taken place at a relevant time </w:t>
      </w:r>
      <w:r w:rsidR="00530F94">
        <w:rPr>
          <w:rFonts w:ascii="Avenir Next" w:hAnsi="Avenir Next" w:cs="Arial"/>
          <w:color w:val="808080" w:themeColor="background1" w:themeShade="80"/>
          <w:sz w:val="22"/>
          <w:szCs w:val="22"/>
        </w:rPr>
        <w:t>which is two years prior to the commencement of insolvency proceeding.</w:t>
      </w:r>
      <w:r w:rsidR="00F16E3F">
        <w:rPr>
          <w:rFonts w:ascii="Avenir Next" w:hAnsi="Avenir Next" w:cs="Arial"/>
          <w:color w:val="808080" w:themeColor="background1" w:themeShade="80"/>
          <w:sz w:val="22"/>
          <w:szCs w:val="22"/>
        </w:rPr>
        <w:t xml:space="preserve"> Under 238 the liquidator must be able to show a) that the company made a gift; b) </w:t>
      </w:r>
      <w:r w:rsidR="0007350B">
        <w:rPr>
          <w:rFonts w:ascii="Avenir Next" w:hAnsi="Avenir Next" w:cs="Arial"/>
          <w:color w:val="808080" w:themeColor="background1" w:themeShade="80"/>
          <w:sz w:val="22"/>
          <w:szCs w:val="22"/>
        </w:rPr>
        <w:t xml:space="preserve">entered </w:t>
      </w:r>
      <w:proofErr w:type="gramStart"/>
      <w:r w:rsidR="0007350B">
        <w:rPr>
          <w:rFonts w:ascii="Avenir Next" w:hAnsi="Avenir Next" w:cs="Arial"/>
          <w:color w:val="808080" w:themeColor="background1" w:themeShade="80"/>
          <w:sz w:val="22"/>
          <w:szCs w:val="22"/>
        </w:rPr>
        <w:t>into  a</w:t>
      </w:r>
      <w:proofErr w:type="gramEnd"/>
      <w:r w:rsidR="0007350B">
        <w:rPr>
          <w:rFonts w:ascii="Avenir Next" w:hAnsi="Avenir Next" w:cs="Arial"/>
          <w:color w:val="808080" w:themeColor="background1" w:themeShade="80"/>
          <w:sz w:val="22"/>
          <w:szCs w:val="22"/>
        </w:rPr>
        <w:t xml:space="preserve"> transaction with another person on terms that provided for the Company to receive no consideration; c) entered into  a transaction</w:t>
      </w:r>
      <w:r w:rsidR="00A878B1">
        <w:rPr>
          <w:rFonts w:ascii="Avenir Next" w:hAnsi="Avenir Next" w:cs="Arial"/>
          <w:color w:val="808080" w:themeColor="background1" w:themeShade="80"/>
          <w:sz w:val="22"/>
          <w:szCs w:val="22"/>
        </w:rPr>
        <w:t xml:space="preserve"> with </w:t>
      </w:r>
      <w:r w:rsidR="00E56B41">
        <w:rPr>
          <w:rFonts w:ascii="Avenir Next" w:hAnsi="Avenir Next" w:cs="Arial"/>
          <w:color w:val="808080" w:themeColor="background1" w:themeShade="80"/>
          <w:sz w:val="22"/>
          <w:szCs w:val="22"/>
        </w:rPr>
        <w:t>another person’s</w:t>
      </w:r>
      <w:r w:rsidR="00A878B1">
        <w:rPr>
          <w:rFonts w:ascii="Avenir Next" w:hAnsi="Avenir Next" w:cs="Arial"/>
          <w:color w:val="808080" w:themeColor="background1" w:themeShade="80"/>
          <w:sz w:val="22"/>
          <w:szCs w:val="22"/>
        </w:rPr>
        <w:t xml:space="preserve">, for consideration which, in money or </w:t>
      </w:r>
      <w:proofErr w:type="spellStart"/>
      <w:r w:rsidR="00A878B1">
        <w:rPr>
          <w:rFonts w:ascii="Avenir Next" w:hAnsi="Avenir Next" w:cs="Arial"/>
          <w:color w:val="808080" w:themeColor="background1" w:themeShade="80"/>
          <w:sz w:val="22"/>
          <w:szCs w:val="22"/>
        </w:rPr>
        <w:t>moneys</w:t>
      </w:r>
      <w:proofErr w:type="spellEnd"/>
      <w:r w:rsidR="00A878B1">
        <w:rPr>
          <w:rFonts w:ascii="Avenir Next" w:hAnsi="Avenir Next" w:cs="Arial"/>
          <w:color w:val="808080" w:themeColor="background1" w:themeShade="80"/>
          <w:sz w:val="22"/>
          <w:szCs w:val="22"/>
        </w:rPr>
        <w:t xml:space="preserve"> worth was at the date of the transaction significantly less than the consideration provided by the </w:t>
      </w:r>
      <w:r w:rsidR="00E56B41">
        <w:rPr>
          <w:rFonts w:ascii="Avenir Next" w:hAnsi="Avenir Next" w:cs="Arial"/>
          <w:color w:val="808080" w:themeColor="background1" w:themeShade="80"/>
          <w:sz w:val="22"/>
          <w:szCs w:val="22"/>
        </w:rPr>
        <w:t>Company</w:t>
      </w:r>
      <w:r w:rsidR="00A878B1">
        <w:rPr>
          <w:rFonts w:ascii="Avenir Next" w:hAnsi="Avenir Next" w:cs="Arial"/>
          <w:color w:val="808080" w:themeColor="background1" w:themeShade="80"/>
          <w:sz w:val="22"/>
          <w:szCs w:val="22"/>
        </w:rPr>
        <w:t>.</w:t>
      </w:r>
    </w:p>
    <w:p w14:paraId="3159686D" w14:textId="4E07DB43" w:rsidR="00A878B1" w:rsidRDefault="00A878B1" w:rsidP="00EA3B38">
      <w:pPr>
        <w:jc w:val="both"/>
        <w:rPr>
          <w:rFonts w:ascii="Avenir Next" w:hAnsi="Avenir Next" w:cs="Arial"/>
          <w:color w:val="808080" w:themeColor="background1" w:themeShade="80"/>
          <w:sz w:val="22"/>
          <w:szCs w:val="22"/>
        </w:rPr>
      </w:pPr>
    </w:p>
    <w:p w14:paraId="1E7385FD" w14:textId="3B2817AC" w:rsidR="00A878B1" w:rsidRDefault="00A878B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Where this applies is the third option, where the consideration </w:t>
      </w:r>
      <w:r w:rsidR="000E6B85">
        <w:rPr>
          <w:rFonts w:ascii="Avenir Next" w:hAnsi="Avenir Next" w:cs="Arial"/>
          <w:color w:val="808080" w:themeColor="background1" w:themeShade="80"/>
          <w:sz w:val="22"/>
          <w:szCs w:val="22"/>
        </w:rPr>
        <w:t xml:space="preserve">received is far less then what the Company paid for, even </w:t>
      </w:r>
      <w:r w:rsidR="00E56B41">
        <w:rPr>
          <w:rFonts w:ascii="Avenir Next" w:hAnsi="Avenir Next" w:cs="Arial"/>
          <w:color w:val="808080" w:themeColor="background1" w:themeShade="80"/>
          <w:sz w:val="22"/>
          <w:szCs w:val="22"/>
        </w:rPr>
        <w:t>though</w:t>
      </w:r>
      <w:r w:rsidR="000E6B85">
        <w:rPr>
          <w:rFonts w:ascii="Avenir Next" w:hAnsi="Avenir Next" w:cs="Arial"/>
          <w:color w:val="808080" w:themeColor="background1" w:themeShade="80"/>
          <w:sz w:val="22"/>
          <w:szCs w:val="22"/>
        </w:rPr>
        <w:t xml:space="preserve"> the Company had bought them a year earlier.</w:t>
      </w:r>
    </w:p>
    <w:p w14:paraId="0C20EF6A" w14:textId="668D6563" w:rsidR="009A4776" w:rsidRDefault="009A4776" w:rsidP="00EA3B38">
      <w:pPr>
        <w:jc w:val="both"/>
        <w:rPr>
          <w:rFonts w:ascii="Avenir Next" w:hAnsi="Avenir Next" w:cs="Arial"/>
          <w:color w:val="808080" w:themeColor="background1" w:themeShade="80"/>
          <w:sz w:val="22"/>
          <w:szCs w:val="22"/>
        </w:rPr>
      </w:pPr>
    </w:p>
    <w:p w14:paraId="5977636D" w14:textId="09827DE1" w:rsidR="009A4776" w:rsidRDefault="009A477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also needs to consider section 123 of the Act</w:t>
      </w:r>
      <w:r w:rsidR="007E5EFC">
        <w:rPr>
          <w:rFonts w:ascii="Avenir Next" w:hAnsi="Avenir Next" w:cs="Arial"/>
          <w:color w:val="808080" w:themeColor="background1" w:themeShade="80"/>
          <w:sz w:val="22"/>
          <w:szCs w:val="22"/>
        </w:rPr>
        <w:t>. The Company was having cash flow problems so would not be able to pay its debts as they fell due</w:t>
      </w:r>
      <w:r w:rsidR="00B321B8">
        <w:rPr>
          <w:rFonts w:ascii="Avenir Next" w:hAnsi="Avenir Next" w:cs="Arial"/>
          <w:color w:val="808080" w:themeColor="background1" w:themeShade="80"/>
          <w:sz w:val="22"/>
          <w:szCs w:val="22"/>
        </w:rPr>
        <w:t xml:space="preserve">. Given the company made the transaction </w:t>
      </w:r>
      <w:proofErr w:type="gramStart"/>
      <w:r w:rsidR="00B321B8">
        <w:rPr>
          <w:rFonts w:ascii="Avenir Next" w:hAnsi="Avenir Next" w:cs="Arial"/>
          <w:color w:val="808080" w:themeColor="background1" w:themeShade="80"/>
          <w:sz w:val="22"/>
          <w:szCs w:val="22"/>
        </w:rPr>
        <w:t>to  a</w:t>
      </w:r>
      <w:proofErr w:type="gramEnd"/>
      <w:r w:rsidR="00B321B8">
        <w:rPr>
          <w:rFonts w:ascii="Avenir Next" w:hAnsi="Avenir Next" w:cs="Arial"/>
          <w:color w:val="808080" w:themeColor="background1" w:themeShade="80"/>
          <w:sz w:val="22"/>
          <w:szCs w:val="22"/>
        </w:rPr>
        <w:t xml:space="preserve"> connect persons, the Company is deemed to be insolvent as a result of the transaction</w:t>
      </w:r>
      <w:r w:rsidR="00ED49D5">
        <w:rPr>
          <w:rFonts w:ascii="Avenir Next" w:hAnsi="Avenir Next" w:cs="Arial"/>
          <w:color w:val="808080" w:themeColor="background1" w:themeShade="80"/>
          <w:sz w:val="22"/>
          <w:szCs w:val="22"/>
        </w:rPr>
        <w:t xml:space="preserve"> unless there was evidence to suggest </w:t>
      </w:r>
      <w:proofErr w:type="spellStart"/>
      <w:r w:rsidR="00ED49D5">
        <w:rPr>
          <w:rFonts w:ascii="Avenir Next" w:hAnsi="Avenir Next" w:cs="Arial"/>
          <w:color w:val="808080" w:themeColor="background1" w:themeShade="80"/>
          <w:sz w:val="22"/>
          <w:szCs w:val="22"/>
        </w:rPr>
        <w:t>other wise</w:t>
      </w:r>
      <w:proofErr w:type="spellEnd"/>
      <w:r w:rsidR="009E4EA8">
        <w:rPr>
          <w:rFonts w:ascii="Avenir Next" w:hAnsi="Avenir Next" w:cs="Arial"/>
          <w:color w:val="808080" w:themeColor="background1" w:themeShade="80"/>
          <w:sz w:val="22"/>
          <w:szCs w:val="22"/>
        </w:rPr>
        <w:t>.</w:t>
      </w:r>
    </w:p>
    <w:p w14:paraId="6E23D2DD" w14:textId="6F5D55FA" w:rsidR="009E4EA8" w:rsidRDefault="009E4EA8" w:rsidP="00EA3B38">
      <w:pPr>
        <w:jc w:val="both"/>
        <w:rPr>
          <w:rFonts w:ascii="Avenir Next" w:hAnsi="Avenir Next" w:cs="Arial"/>
          <w:color w:val="808080" w:themeColor="background1" w:themeShade="80"/>
          <w:sz w:val="22"/>
          <w:szCs w:val="22"/>
        </w:rPr>
      </w:pPr>
    </w:p>
    <w:p w14:paraId="6AB85506" w14:textId="7D265E87" w:rsidR="009E4EA8" w:rsidRPr="00B84055" w:rsidRDefault="002D522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would be able to </w:t>
      </w:r>
      <w:proofErr w:type="gramStart"/>
      <w:r>
        <w:rPr>
          <w:rFonts w:ascii="Avenir Next" w:hAnsi="Avenir Next" w:cs="Arial"/>
          <w:color w:val="808080" w:themeColor="background1" w:themeShade="80"/>
          <w:sz w:val="22"/>
          <w:szCs w:val="22"/>
        </w:rPr>
        <w:t>take action</w:t>
      </w:r>
      <w:proofErr w:type="gramEnd"/>
      <w:r>
        <w:rPr>
          <w:rFonts w:ascii="Avenir Next" w:hAnsi="Avenir Next" w:cs="Arial"/>
          <w:color w:val="808080" w:themeColor="background1" w:themeShade="80"/>
          <w:sz w:val="22"/>
          <w:szCs w:val="22"/>
        </w:rPr>
        <w:t xml:space="preserve"> and make an application to court under section 238 given the information we know about the transaction. Protection can only be awarded should the </w:t>
      </w:r>
      <w:r w:rsidR="00BC2FB2">
        <w:rPr>
          <w:rFonts w:ascii="Avenir Next" w:hAnsi="Avenir Next" w:cs="Arial"/>
          <w:color w:val="808080" w:themeColor="background1" w:themeShade="80"/>
          <w:sz w:val="22"/>
          <w:szCs w:val="22"/>
        </w:rPr>
        <w:t xml:space="preserve">acquisition be in good faith and value. The liquidator would need to understand the value of the marble cutting machines </w:t>
      </w:r>
      <w:r w:rsidR="001B1B9B">
        <w:rPr>
          <w:rFonts w:ascii="Avenir Next" w:hAnsi="Avenir Next" w:cs="Arial"/>
          <w:color w:val="808080" w:themeColor="background1" w:themeShade="80"/>
          <w:sz w:val="22"/>
          <w:szCs w:val="22"/>
        </w:rPr>
        <w:t>and whether this was an appropriate value at the time.</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4DC68865" w14:textId="77777777" w:rsidR="003F7659" w:rsidRDefault="007E2919" w:rsidP="003F7659">
      <w:pPr>
        <w:rPr>
          <w:rFonts w:ascii="Avenir Next" w:hAnsi="Avenir Next" w:cs="Arial"/>
          <w:b/>
          <w:sz w:val="22"/>
          <w:szCs w:val="22"/>
        </w:rPr>
      </w:pPr>
      <w:r w:rsidRPr="006925C1">
        <w:rPr>
          <w:rFonts w:ascii="Avenir Next" w:hAnsi="Avenir Next" w:cs="Arial"/>
          <w:b/>
          <w:sz w:val="22"/>
          <w:szCs w:val="22"/>
        </w:rPr>
        <w:lastRenderedPageBreak/>
        <w:t xml:space="preserve"> </w:t>
      </w:r>
    </w:p>
    <w:p w14:paraId="25FEFE6B" w14:textId="199394F7" w:rsidR="001B1B9B" w:rsidRDefault="00F55614" w:rsidP="003F7659">
      <w:pPr>
        <w:rPr>
          <w:rFonts w:ascii="Avenir Next" w:hAnsi="Avenir Next" w:cs="Arial"/>
          <w:sz w:val="22"/>
          <w:szCs w:val="22"/>
          <w:lang w:val="en-GB"/>
        </w:rPr>
      </w:pPr>
      <w:r>
        <w:rPr>
          <w:rFonts w:ascii="Avenir Next" w:hAnsi="Avenir Next" w:cs="Arial"/>
          <w:sz w:val="22"/>
          <w:szCs w:val="22"/>
          <w:lang w:val="en-GB"/>
        </w:rPr>
        <w:t xml:space="preserve">Section 239 of the insolvency act </w:t>
      </w:r>
      <w:r w:rsidR="00406DE1">
        <w:rPr>
          <w:rFonts w:ascii="Avenir Next" w:hAnsi="Avenir Next" w:cs="Arial"/>
          <w:sz w:val="22"/>
          <w:szCs w:val="22"/>
          <w:lang w:val="en-GB"/>
        </w:rPr>
        <w:t xml:space="preserve">relates to </w:t>
      </w:r>
      <w:r w:rsidR="00B04DC6">
        <w:rPr>
          <w:rFonts w:ascii="Avenir Next" w:hAnsi="Avenir Next" w:cs="Arial"/>
          <w:sz w:val="22"/>
          <w:szCs w:val="22"/>
          <w:lang w:val="en-GB"/>
        </w:rPr>
        <w:t xml:space="preserve">preference and provides advice as to where the Company has given preference to any persons </w:t>
      </w:r>
      <w:r w:rsidR="00AF65C5">
        <w:rPr>
          <w:rFonts w:ascii="Avenir Next" w:hAnsi="Avenir Next" w:cs="Arial"/>
          <w:sz w:val="22"/>
          <w:szCs w:val="22"/>
          <w:lang w:val="en-GB"/>
        </w:rPr>
        <w:t xml:space="preserve">then the officeholder may apply to court for an order under this section. </w:t>
      </w:r>
    </w:p>
    <w:p w14:paraId="4427E450" w14:textId="496E9D0A" w:rsidR="00AF65C5" w:rsidRDefault="00AF65C5" w:rsidP="00087F21">
      <w:pPr>
        <w:autoSpaceDE w:val="0"/>
        <w:autoSpaceDN w:val="0"/>
        <w:adjustRightInd w:val="0"/>
        <w:jc w:val="both"/>
        <w:rPr>
          <w:rFonts w:ascii="Avenir Next" w:hAnsi="Avenir Next" w:cs="Arial"/>
          <w:sz w:val="22"/>
          <w:szCs w:val="22"/>
          <w:lang w:val="en-GB"/>
        </w:rPr>
      </w:pPr>
    </w:p>
    <w:p w14:paraId="338B6984" w14:textId="1BE94215" w:rsidR="00AF65C5" w:rsidRDefault="00E05CE6" w:rsidP="00087F21">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The Company can give preference to a person if</w:t>
      </w:r>
    </w:p>
    <w:p w14:paraId="5E98E90F" w14:textId="2B31BE97" w:rsidR="00E05CE6" w:rsidRDefault="00E05CE6" w:rsidP="00087F21">
      <w:pPr>
        <w:autoSpaceDE w:val="0"/>
        <w:autoSpaceDN w:val="0"/>
        <w:adjustRightInd w:val="0"/>
        <w:jc w:val="both"/>
        <w:rPr>
          <w:rFonts w:ascii="Avenir Next" w:hAnsi="Avenir Next" w:cs="Arial"/>
          <w:sz w:val="22"/>
          <w:szCs w:val="22"/>
          <w:lang w:val="en-GB"/>
        </w:rPr>
      </w:pPr>
    </w:p>
    <w:p w14:paraId="2E696E0A" w14:textId="69EC65F1" w:rsidR="00E05CE6" w:rsidRDefault="00E05CE6" w:rsidP="00E05CE6">
      <w:pPr>
        <w:pStyle w:val="ListParagraph"/>
        <w:numPr>
          <w:ilvl w:val="0"/>
          <w:numId w:val="20"/>
        </w:num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That the persons </w:t>
      </w:r>
      <w:proofErr w:type="gramStart"/>
      <w:r>
        <w:rPr>
          <w:rFonts w:ascii="Avenir Next" w:hAnsi="Avenir Next" w:cs="Arial"/>
          <w:sz w:val="22"/>
          <w:szCs w:val="22"/>
          <w:lang w:val="en-GB"/>
        </w:rPr>
        <w:t>is</w:t>
      </w:r>
      <w:proofErr w:type="gramEnd"/>
      <w:r>
        <w:rPr>
          <w:rFonts w:ascii="Avenir Next" w:hAnsi="Avenir Next" w:cs="Arial"/>
          <w:sz w:val="22"/>
          <w:szCs w:val="22"/>
          <w:lang w:val="en-GB"/>
        </w:rPr>
        <w:t xml:space="preserve"> one of the company creditors </w:t>
      </w:r>
      <w:r w:rsidR="009931DE">
        <w:rPr>
          <w:rFonts w:ascii="Avenir Next" w:hAnsi="Avenir Next" w:cs="Arial"/>
          <w:sz w:val="22"/>
          <w:szCs w:val="22"/>
          <w:lang w:val="en-GB"/>
        </w:rPr>
        <w:t xml:space="preserve">or a surety or guarantor for any of the </w:t>
      </w:r>
      <w:proofErr w:type="spellStart"/>
      <w:r w:rsidR="009931DE">
        <w:rPr>
          <w:rFonts w:ascii="Avenir Next" w:hAnsi="Avenir Next" w:cs="Arial"/>
          <w:sz w:val="22"/>
          <w:szCs w:val="22"/>
          <w:lang w:val="en-GB"/>
        </w:rPr>
        <w:t>companys</w:t>
      </w:r>
      <w:proofErr w:type="spellEnd"/>
      <w:r w:rsidR="009931DE">
        <w:rPr>
          <w:rFonts w:ascii="Avenir Next" w:hAnsi="Avenir Next" w:cs="Arial"/>
          <w:sz w:val="22"/>
          <w:szCs w:val="22"/>
          <w:lang w:val="en-GB"/>
        </w:rPr>
        <w:t xml:space="preserve"> debts or other liabilities;</w:t>
      </w:r>
    </w:p>
    <w:p w14:paraId="1C22839F" w14:textId="077DC0B8" w:rsidR="001A692B" w:rsidRPr="001A692B" w:rsidRDefault="001A692B" w:rsidP="001A692B">
      <w:pPr>
        <w:pStyle w:val="ListParagraph"/>
        <w:numPr>
          <w:ilvl w:val="0"/>
          <w:numId w:val="20"/>
        </w:numPr>
        <w:autoSpaceDE w:val="0"/>
        <w:autoSpaceDN w:val="0"/>
        <w:adjustRightInd w:val="0"/>
        <w:jc w:val="both"/>
        <w:rPr>
          <w:rFonts w:ascii="Avenir Next Demi Bold" w:hAnsi="Avenir Next Demi Bold" w:cs="Arial"/>
          <w:b/>
          <w:bCs/>
          <w:sz w:val="22"/>
          <w:szCs w:val="22"/>
          <w:lang w:val="en-GB"/>
        </w:rPr>
      </w:pPr>
      <w:r>
        <w:rPr>
          <w:rFonts w:ascii="Avenir Next" w:hAnsi="Avenir Next" w:cs="Arial"/>
          <w:sz w:val="22"/>
          <w:szCs w:val="22"/>
          <w:lang w:val="en-GB"/>
        </w:rPr>
        <w:t>The company does anything or suffers anything to be done which (in either case) has the effect of putting that person into a position which, in the event of the company going into insolvent liquidation, will be better than the position he would have been if that thing had not been done</w:t>
      </w:r>
      <w:bookmarkEnd w:id="0"/>
    </w:p>
    <w:p w14:paraId="76A4534D" w14:textId="5DB1913A" w:rsidR="002905A1" w:rsidRDefault="002905A1" w:rsidP="002905A1">
      <w:pPr>
        <w:autoSpaceDE w:val="0"/>
        <w:autoSpaceDN w:val="0"/>
        <w:adjustRightInd w:val="0"/>
        <w:jc w:val="both"/>
        <w:rPr>
          <w:rFonts w:ascii="Avenir Next Demi Bold" w:hAnsi="Avenir Next Demi Bold" w:cs="Arial"/>
          <w:b/>
          <w:bCs/>
          <w:sz w:val="22"/>
          <w:szCs w:val="22"/>
          <w:lang w:val="en-GB"/>
        </w:rPr>
      </w:pPr>
    </w:p>
    <w:p w14:paraId="7F9B9146" w14:textId="77777777" w:rsidR="00742815" w:rsidRDefault="002905A1" w:rsidP="002905A1">
      <w:pPr>
        <w:autoSpaceDE w:val="0"/>
        <w:autoSpaceDN w:val="0"/>
        <w:adjustRightInd w:val="0"/>
        <w:jc w:val="both"/>
        <w:rPr>
          <w:rFonts w:ascii="Avenir Next Demi Bold" w:hAnsi="Avenir Next Demi Bold" w:cs="Arial"/>
          <w:sz w:val="22"/>
          <w:szCs w:val="22"/>
          <w:lang w:val="en-GB"/>
        </w:rPr>
      </w:pPr>
      <w:r>
        <w:rPr>
          <w:rFonts w:ascii="Avenir Next Demi Bold" w:hAnsi="Avenir Next Demi Bold" w:cs="Arial"/>
          <w:sz w:val="22"/>
          <w:szCs w:val="22"/>
          <w:lang w:val="en-GB"/>
        </w:rPr>
        <w:t xml:space="preserve">In the case of hard </w:t>
      </w:r>
      <w:proofErr w:type="spellStart"/>
      <w:r>
        <w:rPr>
          <w:rFonts w:ascii="Avenir Next Demi Bold" w:hAnsi="Avenir Next Demi Bold" w:cs="Arial"/>
          <w:sz w:val="22"/>
          <w:szCs w:val="22"/>
          <w:lang w:val="en-GB"/>
        </w:rPr>
        <w:t>Hard</w:t>
      </w:r>
      <w:proofErr w:type="spellEnd"/>
      <w:r>
        <w:rPr>
          <w:rFonts w:ascii="Avenir Next Demi Bold" w:hAnsi="Avenir Next Demi Bold" w:cs="Arial"/>
          <w:sz w:val="22"/>
          <w:szCs w:val="22"/>
          <w:lang w:val="en-GB"/>
        </w:rPr>
        <w:t xml:space="preserve"> and Fast Ltd. and based on the provisions highlighted above, the Comp</w:t>
      </w:r>
      <w:r w:rsidR="003D18B3">
        <w:rPr>
          <w:rFonts w:ascii="Avenir Next Demi Bold" w:hAnsi="Avenir Next Demi Bold" w:cs="Arial"/>
          <w:sz w:val="22"/>
          <w:szCs w:val="22"/>
          <w:lang w:val="en-GB"/>
        </w:rPr>
        <w:t xml:space="preserve">any has made a payment to a creditor and has made a payment to settle all liabilities in full, prior to the winding up order been made, which might not have been the case should the </w:t>
      </w:r>
      <w:r w:rsidR="0000396E">
        <w:rPr>
          <w:rFonts w:ascii="Avenir Next Demi Bold" w:hAnsi="Avenir Next Demi Bold" w:cs="Arial"/>
          <w:sz w:val="22"/>
          <w:szCs w:val="22"/>
          <w:lang w:val="en-GB"/>
        </w:rPr>
        <w:t xml:space="preserve">company have been in liquidation at the time, and therefore benefiting the creditors position in this case. </w:t>
      </w:r>
      <w:r w:rsidR="00560818">
        <w:rPr>
          <w:rFonts w:ascii="Avenir Next Demi Bold" w:hAnsi="Avenir Next Demi Bold" w:cs="Arial"/>
          <w:sz w:val="22"/>
          <w:szCs w:val="22"/>
          <w:lang w:val="en-GB"/>
        </w:rPr>
        <w:t xml:space="preserve">Section 239 prevents payments </w:t>
      </w:r>
      <w:r w:rsidR="0070677C">
        <w:rPr>
          <w:rFonts w:ascii="Avenir Next Demi Bold" w:hAnsi="Avenir Next Demi Bold" w:cs="Arial"/>
          <w:sz w:val="22"/>
          <w:szCs w:val="22"/>
          <w:lang w:val="en-GB"/>
        </w:rPr>
        <w:t>in full when the creditor would have expected a payment a dividend as an unsecured creditor.</w:t>
      </w:r>
    </w:p>
    <w:p w14:paraId="2767F1E1" w14:textId="77777777" w:rsidR="00742815" w:rsidRDefault="00742815" w:rsidP="002905A1">
      <w:pPr>
        <w:autoSpaceDE w:val="0"/>
        <w:autoSpaceDN w:val="0"/>
        <w:adjustRightInd w:val="0"/>
        <w:jc w:val="both"/>
        <w:rPr>
          <w:rFonts w:ascii="Avenir Next Demi Bold" w:hAnsi="Avenir Next Demi Bold" w:cs="Arial"/>
          <w:sz w:val="22"/>
          <w:szCs w:val="22"/>
          <w:lang w:val="en-GB"/>
        </w:rPr>
      </w:pPr>
    </w:p>
    <w:p w14:paraId="02663EE5" w14:textId="31DD7080" w:rsidR="00AE66D1" w:rsidRDefault="00742815" w:rsidP="002905A1">
      <w:pPr>
        <w:autoSpaceDE w:val="0"/>
        <w:autoSpaceDN w:val="0"/>
        <w:adjustRightInd w:val="0"/>
        <w:jc w:val="both"/>
        <w:rPr>
          <w:rFonts w:ascii="Avenir Next Demi Bold" w:hAnsi="Avenir Next Demi Bold" w:cs="Arial"/>
          <w:sz w:val="22"/>
          <w:szCs w:val="22"/>
          <w:lang w:val="en-GB"/>
        </w:rPr>
      </w:pPr>
      <w:r>
        <w:rPr>
          <w:rFonts w:ascii="Avenir Next Demi Bold" w:hAnsi="Avenir Next Demi Bold" w:cs="Arial"/>
          <w:sz w:val="22"/>
          <w:szCs w:val="22"/>
          <w:lang w:val="en-GB"/>
        </w:rPr>
        <w:t xml:space="preserve">However, pressure to make payment by the creditor is not relevant and </w:t>
      </w:r>
      <w:r w:rsidR="00B304B5">
        <w:rPr>
          <w:rFonts w:ascii="Avenir Next Demi Bold" w:hAnsi="Avenir Next Demi Bold" w:cs="Arial"/>
          <w:sz w:val="22"/>
          <w:szCs w:val="22"/>
          <w:lang w:val="en-GB"/>
        </w:rPr>
        <w:t xml:space="preserve">pressure can only be considered if there is a </w:t>
      </w:r>
      <w:r w:rsidR="00D743E9">
        <w:rPr>
          <w:rFonts w:ascii="Avenir Next Demi Bold" w:hAnsi="Avenir Next Demi Bold" w:cs="Arial"/>
          <w:sz w:val="22"/>
          <w:szCs w:val="22"/>
          <w:lang w:val="en-GB"/>
        </w:rPr>
        <w:t>requisite</w:t>
      </w:r>
      <w:r w:rsidR="00B304B5">
        <w:rPr>
          <w:rFonts w:ascii="Avenir Next Demi Bold" w:hAnsi="Avenir Next Demi Bold" w:cs="Arial"/>
          <w:sz w:val="22"/>
          <w:szCs w:val="22"/>
          <w:lang w:val="en-GB"/>
        </w:rPr>
        <w:t xml:space="preserve"> desire to make that payment</w:t>
      </w:r>
      <w:r w:rsidR="00873AF0">
        <w:rPr>
          <w:rFonts w:ascii="Avenir Next Demi Bold" w:hAnsi="Avenir Next Demi Bold" w:cs="Arial"/>
          <w:sz w:val="22"/>
          <w:szCs w:val="22"/>
          <w:lang w:val="en-GB"/>
        </w:rPr>
        <w:t xml:space="preserve">. The time frame is also </w:t>
      </w:r>
      <w:r w:rsidR="00D743E9">
        <w:rPr>
          <w:rFonts w:ascii="Avenir Next Demi Bold" w:hAnsi="Avenir Next Demi Bold" w:cs="Arial"/>
          <w:sz w:val="22"/>
          <w:szCs w:val="22"/>
          <w:lang w:val="en-GB"/>
        </w:rPr>
        <w:t>important and</w:t>
      </w:r>
      <w:r w:rsidR="00873AF0">
        <w:rPr>
          <w:rFonts w:ascii="Avenir Next Demi Bold" w:hAnsi="Avenir Next Demi Bold" w:cs="Arial"/>
          <w:sz w:val="22"/>
          <w:szCs w:val="22"/>
          <w:lang w:val="en-GB"/>
        </w:rPr>
        <w:t xml:space="preserve"> given that Hard and Fast Ltd. is unconnected then the time frame to consider this transaction</w:t>
      </w:r>
      <w:r w:rsidR="00F666A5">
        <w:rPr>
          <w:rFonts w:ascii="Avenir Next Demi Bold" w:hAnsi="Avenir Next Demi Bold" w:cs="Arial"/>
          <w:sz w:val="22"/>
          <w:szCs w:val="22"/>
          <w:lang w:val="en-GB"/>
        </w:rPr>
        <w:t xml:space="preserve"> is within six months prior to the onset of insolvency, in this case the transaction was made in the last month before the winding up order was made.</w:t>
      </w:r>
    </w:p>
    <w:p w14:paraId="144A4609" w14:textId="77777777" w:rsidR="00AE66D1" w:rsidRDefault="00AE66D1" w:rsidP="002905A1">
      <w:pPr>
        <w:autoSpaceDE w:val="0"/>
        <w:autoSpaceDN w:val="0"/>
        <w:adjustRightInd w:val="0"/>
        <w:jc w:val="both"/>
        <w:rPr>
          <w:rFonts w:ascii="Avenir Next Demi Bold" w:hAnsi="Avenir Next Demi Bold" w:cs="Arial"/>
          <w:sz w:val="22"/>
          <w:szCs w:val="22"/>
          <w:lang w:val="en-GB"/>
        </w:rPr>
      </w:pPr>
    </w:p>
    <w:p w14:paraId="001D4EB1" w14:textId="7C100C77" w:rsidR="002905A1" w:rsidRDefault="00AE66D1" w:rsidP="002905A1">
      <w:pPr>
        <w:autoSpaceDE w:val="0"/>
        <w:autoSpaceDN w:val="0"/>
        <w:adjustRightInd w:val="0"/>
        <w:jc w:val="both"/>
        <w:rPr>
          <w:rFonts w:ascii="Avenir Next Demi Bold" w:hAnsi="Avenir Next Demi Bold" w:cs="Arial"/>
          <w:sz w:val="22"/>
          <w:szCs w:val="22"/>
          <w:lang w:val="en-GB"/>
        </w:rPr>
      </w:pPr>
      <w:r>
        <w:rPr>
          <w:rFonts w:ascii="Avenir Next Demi Bold" w:hAnsi="Avenir Next Demi Bold" w:cs="Arial"/>
          <w:sz w:val="22"/>
          <w:szCs w:val="22"/>
          <w:lang w:val="en-GB"/>
        </w:rPr>
        <w:t xml:space="preserve">However, only when the liquidator can establish whether the creditor, Hard and Fast Ltd. was put in a favourable </w:t>
      </w:r>
      <w:r w:rsidR="00C44B83">
        <w:rPr>
          <w:rFonts w:ascii="Avenir Next Demi Bold" w:hAnsi="Avenir Next Demi Bold" w:cs="Arial"/>
          <w:sz w:val="22"/>
          <w:szCs w:val="22"/>
          <w:lang w:val="en-GB"/>
        </w:rPr>
        <w:t>position and that it didn’t determinant the continuation of trading the company, the liquidator</w:t>
      </w:r>
      <w:r w:rsidR="00DF1F03">
        <w:rPr>
          <w:rFonts w:ascii="Avenir Next Demi Bold" w:hAnsi="Avenir Next Demi Bold" w:cs="Arial"/>
          <w:sz w:val="22"/>
          <w:szCs w:val="22"/>
          <w:lang w:val="en-GB"/>
        </w:rPr>
        <w:t xml:space="preserve"> must establish whether </w:t>
      </w:r>
      <w:r w:rsidR="00AA2A6A">
        <w:rPr>
          <w:rFonts w:ascii="Avenir Next Demi Bold" w:hAnsi="Avenir Next Demi Bold" w:cs="Arial"/>
          <w:sz w:val="22"/>
          <w:szCs w:val="22"/>
          <w:lang w:val="en-GB"/>
        </w:rPr>
        <w:t xml:space="preserve">the transaction was </w:t>
      </w:r>
      <w:r w:rsidR="00D743E9">
        <w:rPr>
          <w:rFonts w:ascii="Avenir Next Demi Bold" w:hAnsi="Avenir Next Demi Bold" w:cs="Arial"/>
          <w:sz w:val="22"/>
          <w:szCs w:val="22"/>
          <w:lang w:val="en-GB"/>
        </w:rPr>
        <w:t>in fact</w:t>
      </w:r>
      <w:r w:rsidR="00AA2A6A">
        <w:rPr>
          <w:rFonts w:ascii="Avenir Next Demi Bold" w:hAnsi="Avenir Next Demi Bold" w:cs="Arial"/>
          <w:sz w:val="22"/>
          <w:szCs w:val="22"/>
          <w:lang w:val="en-GB"/>
        </w:rPr>
        <w:t xml:space="preserve"> a desire to prefer or whether there is a desire to continue trading. Given the </w:t>
      </w:r>
      <w:r w:rsidR="0058409F">
        <w:rPr>
          <w:rFonts w:ascii="Avenir Next Demi Bold" w:hAnsi="Avenir Next Demi Bold" w:cs="Arial"/>
          <w:sz w:val="22"/>
          <w:szCs w:val="22"/>
          <w:lang w:val="en-GB"/>
        </w:rPr>
        <w:t>supply of marble is needed to continue trading then this would suggest that there is no desire to prefer but only a desire to continue</w:t>
      </w:r>
      <w:r w:rsidR="00794166">
        <w:rPr>
          <w:rFonts w:ascii="Avenir Next Demi Bold" w:hAnsi="Avenir Next Demi Bold" w:cs="Arial"/>
          <w:sz w:val="22"/>
          <w:szCs w:val="22"/>
          <w:lang w:val="en-GB"/>
        </w:rPr>
        <w:t xml:space="preserve"> trading. Given that Hard and Fast Ltd. is not a connect person then</w:t>
      </w:r>
      <w:r w:rsidR="003F7659">
        <w:rPr>
          <w:rFonts w:ascii="Avenir Next Demi Bold" w:hAnsi="Avenir Next Demi Bold" w:cs="Arial"/>
          <w:sz w:val="22"/>
          <w:szCs w:val="22"/>
          <w:lang w:val="en-GB"/>
        </w:rPr>
        <w:t xml:space="preserve"> it is rare of any action to be brought under section 239. </w:t>
      </w:r>
    </w:p>
    <w:p w14:paraId="342CF132" w14:textId="3B2DD139" w:rsidR="002905A1" w:rsidRDefault="002905A1" w:rsidP="002905A1">
      <w:pPr>
        <w:autoSpaceDE w:val="0"/>
        <w:autoSpaceDN w:val="0"/>
        <w:adjustRightInd w:val="0"/>
        <w:jc w:val="both"/>
        <w:rPr>
          <w:rFonts w:ascii="Avenir Next Demi Bold" w:hAnsi="Avenir Next Demi Bold" w:cs="Arial"/>
          <w:sz w:val="22"/>
          <w:szCs w:val="22"/>
          <w:lang w:val="en-GB"/>
        </w:rPr>
      </w:pPr>
    </w:p>
    <w:p w14:paraId="67C04B2D" w14:textId="5710E486" w:rsidR="002905A1" w:rsidRDefault="002905A1" w:rsidP="002905A1">
      <w:pPr>
        <w:autoSpaceDE w:val="0"/>
        <w:autoSpaceDN w:val="0"/>
        <w:adjustRightInd w:val="0"/>
        <w:jc w:val="both"/>
        <w:rPr>
          <w:rFonts w:ascii="Avenir Next Demi Bold" w:hAnsi="Avenir Next Demi Bold" w:cs="Arial"/>
          <w:sz w:val="22"/>
          <w:szCs w:val="22"/>
          <w:lang w:val="en-GB"/>
        </w:rPr>
      </w:pPr>
    </w:p>
    <w:p w14:paraId="3E1BC717" w14:textId="4AB19219" w:rsidR="002905A1" w:rsidRDefault="002905A1" w:rsidP="002905A1">
      <w:pPr>
        <w:autoSpaceDE w:val="0"/>
        <w:autoSpaceDN w:val="0"/>
        <w:adjustRightInd w:val="0"/>
        <w:jc w:val="both"/>
        <w:rPr>
          <w:rFonts w:ascii="Avenir Next Demi Bold" w:hAnsi="Avenir Next Demi Bold" w:cs="Arial"/>
          <w:sz w:val="22"/>
          <w:szCs w:val="22"/>
          <w:lang w:val="en-GB"/>
        </w:rPr>
      </w:pPr>
    </w:p>
    <w:p w14:paraId="193EB3A2" w14:textId="77777777" w:rsidR="002905A1" w:rsidRPr="002905A1" w:rsidRDefault="002905A1" w:rsidP="002905A1">
      <w:pPr>
        <w:autoSpaceDE w:val="0"/>
        <w:autoSpaceDN w:val="0"/>
        <w:adjustRightInd w:val="0"/>
        <w:jc w:val="both"/>
        <w:rPr>
          <w:rFonts w:ascii="Avenir Next Demi Bold" w:hAnsi="Avenir Next Demi Bold" w:cs="Arial"/>
          <w:sz w:val="22"/>
          <w:szCs w:val="22"/>
          <w:lang w:val="en-GB"/>
        </w:rPr>
      </w:pPr>
    </w:p>
    <w:p w14:paraId="7B275592" w14:textId="38208CC7" w:rsidR="00B77F46" w:rsidRPr="009452DF" w:rsidRDefault="00C606C3" w:rsidP="001A692B">
      <w:pPr>
        <w:pStyle w:val="ListParagraph"/>
        <w:autoSpaceDE w:val="0"/>
        <w:autoSpaceDN w:val="0"/>
        <w:adjustRightInd w:val="0"/>
        <w:ind w:left="2160" w:firstLine="720"/>
        <w:jc w:val="both"/>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A93CA33" w:rsidR="00241FA3" w:rsidRPr="00A84235" w:rsidRDefault="0073158B" w:rsidP="009B4976">
    <w:pPr>
      <w:pStyle w:val="Footer"/>
      <w:ind w:right="360"/>
      <w:rPr>
        <w:rFonts w:ascii="Avenir Next" w:hAnsi="Avenir Next" w:cs="Arial"/>
        <w:sz w:val="22"/>
        <w:szCs w:val="22"/>
        <w:lang w:val="en-GB"/>
      </w:rPr>
    </w:pPr>
    <w:r w:rsidRPr="00A84235">
      <w:rPr>
        <w:rFonts w:ascii="Avenir Next" w:hAnsi="Avenir Next" w:cs="Arial"/>
        <w:sz w:val="22"/>
        <w:szCs w:val="22"/>
        <w:lang w:val="en-GB"/>
      </w:rPr>
      <w:t>student</w:t>
    </w:r>
    <w:r w:rsidR="00AE5B6F" w:rsidRPr="00A84235">
      <w:rPr>
        <w:rFonts w:ascii="Avenir Next" w:hAnsi="Avenir Next" w:cs="Arial"/>
        <w:sz w:val="22"/>
        <w:szCs w:val="22"/>
        <w:lang w:val="en-GB"/>
      </w:rPr>
      <w:t>ID</w:t>
    </w:r>
    <w:r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A204" w14:textId="77777777" w:rsidR="00D359FF" w:rsidRDefault="00D35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7A4B" w14:textId="77777777" w:rsidR="00D359FF" w:rsidRDefault="00D35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5557" w14:textId="77777777" w:rsidR="00D359FF" w:rsidRDefault="00D35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9DC8" w14:textId="77777777" w:rsidR="00D359FF" w:rsidRDefault="00D35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F69FB"/>
    <w:multiLevelType w:val="hybridMultilevel"/>
    <w:tmpl w:val="94CE2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11870"/>
    <w:multiLevelType w:val="hybridMultilevel"/>
    <w:tmpl w:val="F0AC7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C54EC1"/>
    <w:multiLevelType w:val="hybridMultilevel"/>
    <w:tmpl w:val="A0E87FDE"/>
    <w:lvl w:ilvl="0" w:tplc="3D4A9BC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12"/>
  </w:num>
  <w:num w:numId="6">
    <w:abstractNumId w:val="2"/>
  </w:num>
  <w:num w:numId="7">
    <w:abstractNumId w:val="14"/>
  </w:num>
  <w:num w:numId="8">
    <w:abstractNumId w:val="18"/>
  </w:num>
  <w:num w:numId="9">
    <w:abstractNumId w:val="10"/>
  </w:num>
  <w:num w:numId="10">
    <w:abstractNumId w:val="19"/>
  </w:num>
  <w:num w:numId="11">
    <w:abstractNumId w:val="7"/>
  </w:num>
  <w:num w:numId="12">
    <w:abstractNumId w:val="16"/>
  </w:num>
  <w:num w:numId="13">
    <w:abstractNumId w:val="11"/>
  </w:num>
  <w:num w:numId="14">
    <w:abstractNumId w:val="6"/>
  </w:num>
  <w:num w:numId="15">
    <w:abstractNumId w:val="15"/>
  </w:num>
  <w:num w:numId="16">
    <w:abstractNumId w:val="17"/>
  </w:num>
  <w:num w:numId="17">
    <w:abstractNumId w:val="8"/>
  </w:num>
  <w:num w:numId="18">
    <w:abstractNumId w:val="13"/>
  </w:num>
  <w:num w:numId="19">
    <w:abstractNumId w:val="4"/>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96E"/>
    <w:rsid w:val="000059CE"/>
    <w:rsid w:val="00010BA0"/>
    <w:rsid w:val="00020557"/>
    <w:rsid w:val="00021FC2"/>
    <w:rsid w:val="000250C7"/>
    <w:rsid w:val="00026F16"/>
    <w:rsid w:val="00037621"/>
    <w:rsid w:val="00044D46"/>
    <w:rsid w:val="00045088"/>
    <w:rsid w:val="00045904"/>
    <w:rsid w:val="000502FD"/>
    <w:rsid w:val="00060049"/>
    <w:rsid w:val="00065166"/>
    <w:rsid w:val="00072A5E"/>
    <w:rsid w:val="0007350B"/>
    <w:rsid w:val="00082609"/>
    <w:rsid w:val="000851CC"/>
    <w:rsid w:val="00087F21"/>
    <w:rsid w:val="00093BE8"/>
    <w:rsid w:val="000A407B"/>
    <w:rsid w:val="000A68ED"/>
    <w:rsid w:val="000B5FF1"/>
    <w:rsid w:val="000B609F"/>
    <w:rsid w:val="000D10C6"/>
    <w:rsid w:val="000D55A8"/>
    <w:rsid w:val="000E4841"/>
    <w:rsid w:val="000E6B85"/>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5889"/>
    <w:rsid w:val="001A692B"/>
    <w:rsid w:val="001A7E9A"/>
    <w:rsid w:val="001B0F70"/>
    <w:rsid w:val="001B1B9B"/>
    <w:rsid w:val="001B5016"/>
    <w:rsid w:val="001C45FC"/>
    <w:rsid w:val="001D0469"/>
    <w:rsid w:val="001D29C0"/>
    <w:rsid w:val="001D4862"/>
    <w:rsid w:val="001E25B9"/>
    <w:rsid w:val="001E49E0"/>
    <w:rsid w:val="001E7B5A"/>
    <w:rsid w:val="001F3C98"/>
    <w:rsid w:val="001F3F25"/>
    <w:rsid w:val="001F7412"/>
    <w:rsid w:val="0020090A"/>
    <w:rsid w:val="0020204E"/>
    <w:rsid w:val="00202DFE"/>
    <w:rsid w:val="0020725B"/>
    <w:rsid w:val="002110F1"/>
    <w:rsid w:val="00212001"/>
    <w:rsid w:val="00223F01"/>
    <w:rsid w:val="002356EA"/>
    <w:rsid w:val="0024116D"/>
    <w:rsid w:val="00241B44"/>
    <w:rsid w:val="00241FA3"/>
    <w:rsid w:val="00245EFB"/>
    <w:rsid w:val="0025386E"/>
    <w:rsid w:val="002638B0"/>
    <w:rsid w:val="0026647A"/>
    <w:rsid w:val="002668D3"/>
    <w:rsid w:val="0027299F"/>
    <w:rsid w:val="0028152B"/>
    <w:rsid w:val="00284EBE"/>
    <w:rsid w:val="002903A7"/>
    <w:rsid w:val="002905A1"/>
    <w:rsid w:val="0029433F"/>
    <w:rsid w:val="00294829"/>
    <w:rsid w:val="0029690F"/>
    <w:rsid w:val="00297C8A"/>
    <w:rsid w:val="002A2A60"/>
    <w:rsid w:val="002A37BB"/>
    <w:rsid w:val="002B1C45"/>
    <w:rsid w:val="002C13C8"/>
    <w:rsid w:val="002C3547"/>
    <w:rsid w:val="002C46CB"/>
    <w:rsid w:val="002D0021"/>
    <w:rsid w:val="002D0F41"/>
    <w:rsid w:val="002D299D"/>
    <w:rsid w:val="002D3473"/>
    <w:rsid w:val="002D42D7"/>
    <w:rsid w:val="002D522F"/>
    <w:rsid w:val="002E6184"/>
    <w:rsid w:val="002F1956"/>
    <w:rsid w:val="002F3440"/>
    <w:rsid w:val="002F75A3"/>
    <w:rsid w:val="002F77D6"/>
    <w:rsid w:val="00303C2F"/>
    <w:rsid w:val="00311816"/>
    <w:rsid w:val="003144EF"/>
    <w:rsid w:val="00314F32"/>
    <w:rsid w:val="00320136"/>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A6F36"/>
    <w:rsid w:val="003B170F"/>
    <w:rsid w:val="003B3C5F"/>
    <w:rsid w:val="003C4471"/>
    <w:rsid w:val="003D0A6D"/>
    <w:rsid w:val="003D18B3"/>
    <w:rsid w:val="003E0B16"/>
    <w:rsid w:val="003E1BBF"/>
    <w:rsid w:val="003E67D1"/>
    <w:rsid w:val="003F5BBD"/>
    <w:rsid w:val="003F7659"/>
    <w:rsid w:val="0040380F"/>
    <w:rsid w:val="00404329"/>
    <w:rsid w:val="00405DC1"/>
    <w:rsid w:val="00406DE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3189"/>
    <w:rsid w:val="004A57DD"/>
    <w:rsid w:val="004A7B51"/>
    <w:rsid w:val="004A7D71"/>
    <w:rsid w:val="004A7EF3"/>
    <w:rsid w:val="004B0FBE"/>
    <w:rsid w:val="004B11FD"/>
    <w:rsid w:val="004B23A2"/>
    <w:rsid w:val="004D1A5A"/>
    <w:rsid w:val="004D2FFF"/>
    <w:rsid w:val="004D3721"/>
    <w:rsid w:val="004D4167"/>
    <w:rsid w:val="004D4D89"/>
    <w:rsid w:val="004D64F9"/>
    <w:rsid w:val="004E3A6B"/>
    <w:rsid w:val="004E622C"/>
    <w:rsid w:val="004F5FDF"/>
    <w:rsid w:val="005177FE"/>
    <w:rsid w:val="00520242"/>
    <w:rsid w:val="0052263B"/>
    <w:rsid w:val="00524728"/>
    <w:rsid w:val="0052687F"/>
    <w:rsid w:val="00530F94"/>
    <w:rsid w:val="005331CA"/>
    <w:rsid w:val="00533AD3"/>
    <w:rsid w:val="00537970"/>
    <w:rsid w:val="00540E3A"/>
    <w:rsid w:val="00543B70"/>
    <w:rsid w:val="00544127"/>
    <w:rsid w:val="005463A9"/>
    <w:rsid w:val="00553EB2"/>
    <w:rsid w:val="00554401"/>
    <w:rsid w:val="00554CC4"/>
    <w:rsid w:val="00560534"/>
    <w:rsid w:val="00560818"/>
    <w:rsid w:val="0056391B"/>
    <w:rsid w:val="005650E2"/>
    <w:rsid w:val="00566250"/>
    <w:rsid w:val="00567AD7"/>
    <w:rsid w:val="00575B2D"/>
    <w:rsid w:val="00582172"/>
    <w:rsid w:val="005833D0"/>
    <w:rsid w:val="0058409F"/>
    <w:rsid w:val="005846F3"/>
    <w:rsid w:val="0058622F"/>
    <w:rsid w:val="00592F82"/>
    <w:rsid w:val="00596A07"/>
    <w:rsid w:val="005A0CCA"/>
    <w:rsid w:val="005A1083"/>
    <w:rsid w:val="005A6FF2"/>
    <w:rsid w:val="005A726D"/>
    <w:rsid w:val="005B67AC"/>
    <w:rsid w:val="005B7142"/>
    <w:rsid w:val="005B79F4"/>
    <w:rsid w:val="005D09BD"/>
    <w:rsid w:val="005D16DD"/>
    <w:rsid w:val="005D43E0"/>
    <w:rsid w:val="005D58A3"/>
    <w:rsid w:val="005E1B79"/>
    <w:rsid w:val="005E6076"/>
    <w:rsid w:val="005E675C"/>
    <w:rsid w:val="005E7008"/>
    <w:rsid w:val="005F026D"/>
    <w:rsid w:val="005F2AEA"/>
    <w:rsid w:val="005F2D0B"/>
    <w:rsid w:val="005F4B31"/>
    <w:rsid w:val="006039EB"/>
    <w:rsid w:val="00610388"/>
    <w:rsid w:val="00610AC7"/>
    <w:rsid w:val="00612CA5"/>
    <w:rsid w:val="006153EC"/>
    <w:rsid w:val="00616D02"/>
    <w:rsid w:val="00621A17"/>
    <w:rsid w:val="00627CC9"/>
    <w:rsid w:val="00627E7B"/>
    <w:rsid w:val="00630542"/>
    <w:rsid w:val="00632E44"/>
    <w:rsid w:val="00633258"/>
    <w:rsid w:val="0063381C"/>
    <w:rsid w:val="006344F0"/>
    <w:rsid w:val="00634622"/>
    <w:rsid w:val="00636808"/>
    <w:rsid w:val="00641515"/>
    <w:rsid w:val="00654C2F"/>
    <w:rsid w:val="00657087"/>
    <w:rsid w:val="006624AB"/>
    <w:rsid w:val="006639DB"/>
    <w:rsid w:val="006661EF"/>
    <w:rsid w:val="0067069B"/>
    <w:rsid w:val="00671A0B"/>
    <w:rsid w:val="00677AEB"/>
    <w:rsid w:val="00677EDC"/>
    <w:rsid w:val="00680D9F"/>
    <w:rsid w:val="00680EF2"/>
    <w:rsid w:val="006863B1"/>
    <w:rsid w:val="00687A1D"/>
    <w:rsid w:val="006925C1"/>
    <w:rsid w:val="00697EA1"/>
    <w:rsid w:val="006A06EB"/>
    <w:rsid w:val="006A2646"/>
    <w:rsid w:val="006A6530"/>
    <w:rsid w:val="006B435A"/>
    <w:rsid w:val="006B4C64"/>
    <w:rsid w:val="006D282B"/>
    <w:rsid w:val="006D4B27"/>
    <w:rsid w:val="006D6BD5"/>
    <w:rsid w:val="006E0D3B"/>
    <w:rsid w:val="006E481A"/>
    <w:rsid w:val="006E5298"/>
    <w:rsid w:val="006F4A78"/>
    <w:rsid w:val="006F734A"/>
    <w:rsid w:val="00700D83"/>
    <w:rsid w:val="00704852"/>
    <w:rsid w:val="0070524B"/>
    <w:rsid w:val="0070677C"/>
    <w:rsid w:val="007074E9"/>
    <w:rsid w:val="00713DA4"/>
    <w:rsid w:val="00714BF1"/>
    <w:rsid w:val="0071658F"/>
    <w:rsid w:val="00721383"/>
    <w:rsid w:val="0073158B"/>
    <w:rsid w:val="007333CC"/>
    <w:rsid w:val="0073399A"/>
    <w:rsid w:val="00740DAD"/>
    <w:rsid w:val="00742815"/>
    <w:rsid w:val="00742AF3"/>
    <w:rsid w:val="007603F5"/>
    <w:rsid w:val="00763348"/>
    <w:rsid w:val="00764DB0"/>
    <w:rsid w:val="00766D86"/>
    <w:rsid w:val="0076764D"/>
    <w:rsid w:val="0077498C"/>
    <w:rsid w:val="007809BC"/>
    <w:rsid w:val="00784128"/>
    <w:rsid w:val="00787BCC"/>
    <w:rsid w:val="00793173"/>
    <w:rsid w:val="00794166"/>
    <w:rsid w:val="007A2A33"/>
    <w:rsid w:val="007A5171"/>
    <w:rsid w:val="007A795C"/>
    <w:rsid w:val="007B01CE"/>
    <w:rsid w:val="007B5C89"/>
    <w:rsid w:val="007C1FCC"/>
    <w:rsid w:val="007C6201"/>
    <w:rsid w:val="007D7C92"/>
    <w:rsid w:val="007E1154"/>
    <w:rsid w:val="007E2919"/>
    <w:rsid w:val="007E46A8"/>
    <w:rsid w:val="007E5422"/>
    <w:rsid w:val="007E5EFC"/>
    <w:rsid w:val="007E6BA4"/>
    <w:rsid w:val="007F41F8"/>
    <w:rsid w:val="007F659B"/>
    <w:rsid w:val="0080441E"/>
    <w:rsid w:val="0080454E"/>
    <w:rsid w:val="00804C32"/>
    <w:rsid w:val="00806302"/>
    <w:rsid w:val="00807119"/>
    <w:rsid w:val="00811A53"/>
    <w:rsid w:val="0082483F"/>
    <w:rsid w:val="008279C0"/>
    <w:rsid w:val="0084271B"/>
    <w:rsid w:val="00850A1E"/>
    <w:rsid w:val="008561B2"/>
    <w:rsid w:val="00867701"/>
    <w:rsid w:val="00871C74"/>
    <w:rsid w:val="008723F3"/>
    <w:rsid w:val="00873AF0"/>
    <w:rsid w:val="00876F56"/>
    <w:rsid w:val="00881AFB"/>
    <w:rsid w:val="00881DE6"/>
    <w:rsid w:val="008837A6"/>
    <w:rsid w:val="00887AE6"/>
    <w:rsid w:val="0089145D"/>
    <w:rsid w:val="00891690"/>
    <w:rsid w:val="00894D97"/>
    <w:rsid w:val="008A4DF2"/>
    <w:rsid w:val="008A6CFE"/>
    <w:rsid w:val="008B5333"/>
    <w:rsid w:val="008B58D5"/>
    <w:rsid w:val="008B6223"/>
    <w:rsid w:val="008B72B8"/>
    <w:rsid w:val="008C66E0"/>
    <w:rsid w:val="008D1439"/>
    <w:rsid w:val="008D1616"/>
    <w:rsid w:val="008D4D13"/>
    <w:rsid w:val="008E3339"/>
    <w:rsid w:val="008E7EA5"/>
    <w:rsid w:val="008F20FC"/>
    <w:rsid w:val="008F5FFE"/>
    <w:rsid w:val="00905A43"/>
    <w:rsid w:val="00912C79"/>
    <w:rsid w:val="00921B8C"/>
    <w:rsid w:val="00924DAF"/>
    <w:rsid w:val="00931D14"/>
    <w:rsid w:val="00933CBD"/>
    <w:rsid w:val="00942123"/>
    <w:rsid w:val="009452DF"/>
    <w:rsid w:val="00951AA8"/>
    <w:rsid w:val="0095207B"/>
    <w:rsid w:val="00962045"/>
    <w:rsid w:val="00980E61"/>
    <w:rsid w:val="009841D0"/>
    <w:rsid w:val="00991428"/>
    <w:rsid w:val="00992676"/>
    <w:rsid w:val="009931DE"/>
    <w:rsid w:val="009954B2"/>
    <w:rsid w:val="00996691"/>
    <w:rsid w:val="009A3AB7"/>
    <w:rsid w:val="009A4776"/>
    <w:rsid w:val="009B0723"/>
    <w:rsid w:val="009B07AD"/>
    <w:rsid w:val="009B0883"/>
    <w:rsid w:val="009B15E2"/>
    <w:rsid w:val="009B4976"/>
    <w:rsid w:val="009C0B8E"/>
    <w:rsid w:val="009C1BC8"/>
    <w:rsid w:val="009C2442"/>
    <w:rsid w:val="009D0811"/>
    <w:rsid w:val="009D0EE1"/>
    <w:rsid w:val="009D3AF0"/>
    <w:rsid w:val="009D6DAF"/>
    <w:rsid w:val="009E2AEB"/>
    <w:rsid w:val="009E2E27"/>
    <w:rsid w:val="009E45DF"/>
    <w:rsid w:val="009E4DE3"/>
    <w:rsid w:val="009E4EA8"/>
    <w:rsid w:val="009F275E"/>
    <w:rsid w:val="00A047EE"/>
    <w:rsid w:val="00A2274A"/>
    <w:rsid w:val="00A235B7"/>
    <w:rsid w:val="00A27A7A"/>
    <w:rsid w:val="00A34ABE"/>
    <w:rsid w:val="00A407EF"/>
    <w:rsid w:val="00A41420"/>
    <w:rsid w:val="00A46B4C"/>
    <w:rsid w:val="00A5117B"/>
    <w:rsid w:val="00A56D34"/>
    <w:rsid w:val="00A60074"/>
    <w:rsid w:val="00A6627C"/>
    <w:rsid w:val="00A71019"/>
    <w:rsid w:val="00A7632E"/>
    <w:rsid w:val="00A81029"/>
    <w:rsid w:val="00A84235"/>
    <w:rsid w:val="00A845F5"/>
    <w:rsid w:val="00A878B1"/>
    <w:rsid w:val="00A90932"/>
    <w:rsid w:val="00A96489"/>
    <w:rsid w:val="00AA2435"/>
    <w:rsid w:val="00AA2A6A"/>
    <w:rsid w:val="00AA2DAA"/>
    <w:rsid w:val="00AA73CB"/>
    <w:rsid w:val="00AB2425"/>
    <w:rsid w:val="00AB685C"/>
    <w:rsid w:val="00AB6C2D"/>
    <w:rsid w:val="00AC08F7"/>
    <w:rsid w:val="00AC317D"/>
    <w:rsid w:val="00AC3839"/>
    <w:rsid w:val="00AC7082"/>
    <w:rsid w:val="00AD4BE8"/>
    <w:rsid w:val="00AE5B6F"/>
    <w:rsid w:val="00AE66D1"/>
    <w:rsid w:val="00AF228E"/>
    <w:rsid w:val="00AF65C5"/>
    <w:rsid w:val="00B016A8"/>
    <w:rsid w:val="00B04033"/>
    <w:rsid w:val="00B04DC6"/>
    <w:rsid w:val="00B14819"/>
    <w:rsid w:val="00B15E2F"/>
    <w:rsid w:val="00B17AA9"/>
    <w:rsid w:val="00B25721"/>
    <w:rsid w:val="00B304B5"/>
    <w:rsid w:val="00B321B8"/>
    <w:rsid w:val="00B44713"/>
    <w:rsid w:val="00B455E5"/>
    <w:rsid w:val="00B51B95"/>
    <w:rsid w:val="00B56103"/>
    <w:rsid w:val="00B604A1"/>
    <w:rsid w:val="00B64929"/>
    <w:rsid w:val="00B736DF"/>
    <w:rsid w:val="00B743D6"/>
    <w:rsid w:val="00B74FBD"/>
    <w:rsid w:val="00B77F46"/>
    <w:rsid w:val="00B82586"/>
    <w:rsid w:val="00B829A3"/>
    <w:rsid w:val="00B84C10"/>
    <w:rsid w:val="00B86DB1"/>
    <w:rsid w:val="00B87869"/>
    <w:rsid w:val="00B9639B"/>
    <w:rsid w:val="00BA1CFD"/>
    <w:rsid w:val="00BB0F2B"/>
    <w:rsid w:val="00BC2FB2"/>
    <w:rsid w:val="00BE4FF3"/>
    <w:rsid w:val="00BF2C93"/>
    <w:rsid w:val="00BF50F7"/>
    <w:rsid w:val="00C02F29"/>
    <w:rsid w:val="00C1729B"/>
    <w:rsid w:val="00C17718"/>
    <w:rsid w:val="00C20450"/>
    <w:rsid w:val="00C20AFE"/>
    <w:rsid w:val="00C22A25"/>
    <w:rsid w:val="00C305F5"/>
    <w:rsid w:val="00C35671"/>
    <w:rsid w:val="00C35B77"/>
    <w:rsid w:val="00C376EB"/>
    <w:rsid w:val="00C44B83"/>
    <w:rsid w:val="00C46A92"/>
    <w:rsid w:val="00C46EC1"/>
    <w:rsid w:val="00C52796"/>
    <w:rsid w:val="00C53E2C"/>
    <w:rsid w:val="00C54E28"/>
    <w:rsid w:val="00C55022"/>
    <w:rsid w:val="00C550C8"/>
    <w:rsid w:val="00C55824"/>
    <w:rsid w:val="00C56B61"/>
    <w:rsid w:val="00C606C3"/>
    <w:rsid w:val="00C620F4"/>
    <w:rsid w:val="00C72848"/>
    <w:rsid w:val="00C73CDE"/>
    <w:rsid w:val="00C7736C"/>
    <w:rsid w:val="00C82D87"/>
    <w:rsid w:val="00C8712A"/>
    <w:rsid w:val="00C902C8"/>
    <w:rsid w:val="00C91062"/>
    <w:rsid w:val="00C919D1"/>
    <w:rsid w:val="00C963D3"/>
    <w:rsid w:val="00CA1B80"/>
    <w:rsid w:val="00CA4104"/>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359FF"/>
    <w:rsid w:val="00D4218B"/>
    <w:rsid w:val="00D53719"/>
    <w:rsid w:val="00D63EFD"/>
    <w:rsid w:val="00D743E9"/>
    <w:rsid w:val="00D84752"/>
    <w:rsid w:val="00D86B3B"/>
    <w:rsid w:val="00D8748A"/>
    <w:rsid w:val="00D93196"/>
    <w:rsid w:val="00DA0DC0"/>
    <w:rsid w:val="00DB243C"/>
    <w:rsid w:val="00DB482A"/>
    <w:rsid w:val="00DB50FB"/>
    <w:rsid w:val="00DB56F2"/>
    <w:rsid w:val="00DB6EF5"/>
    <w:rsid w:val="00DC19F6"/>
    <w:rsid w:val="00DC3089"/>
    <w:rsid w:val="00DC4420"/>
    <w:rsid w:val="00DD0802"/>
    <w:rsid w:val="00DD2E11"/>
    <w:rsid w:val="00DE03AF"/>
    <w:rsid w:val="00DE121C"/>
    <w:rsid w:val="00DE6633"/>
    <w:rsid w:val="00DF1F03"/>
    <w:rsid w:val="00DF75F8"/>
    <w:rsid w:val="00DF7A3A"/>
    <w:rsid w:val="00E00C00"/>
    <w:rsid w:val="00E05CE6"/>
    <w:rsid w:val="00E07C5A"/>
    <w:rsid w:val="00E15BA9"/>
    <w:rsid w:val="00E26E19"/>
    <w:rsid w:val="00E31DF3"/>
    <w:rsid w:val="00E34971"/>
    <w:rsid w:val="00E443D7"/>
    <w:rsid w:val="00E44990"/>
    <w:rsid w:val="00E450A4"/>
    <w:rsid w:val="00E506BE"/>
    <w:rsid w:val="00E55547"/>
    <w:rsid w:val="00E56B41"/>
    <w:rsid w:val="00E6302B"/>
    <w:rsid w:val="00E6452F"/>
    <w:rsid w:val="00E64F45"/>
    <w:rsid w:val="00E6742D"/>
    <w:rsid w:val="00E71CB0"/>
    <w:rsid w:val="00E743C4"/>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D49D5"/>
    <w:rsid w:val="00EE2315"/>
    <w:rsid w:val="00EE4971"/>
    <w:rsid w:val="00EE6CB0"/>
    <w:rsid w:val="00EF090E"/>
    <w:rsid w:val="00EF5572"/>
    <w:rsid w:val="00F01D7D"/>
    <w:rsid w:val="00F033DA"/>
    <w:rsid w:val="00F13691"/>
    <w:rsid w:val="00F13FB1"/>
    <w:rsid w:val="00F16E3F"/>
    <w:rsid w:val="00F22503"/>
    <w:rsid w:val="00F253AE"/>
    <w:rsid w:val="00F256C9"/>
    <w:rsid w:val="00F27CD8"/>
    <w:rsid w:val="00F30351"/>
    <w:rsid w:val="00F3323E"/>
    <w:rsid w:val="00F341F4"/>
    <w:rsid w:val="00F34F9D"/>
    <w:rsid w:val="00F35CCE"/>
    <w:rsid w:val="00F41146"/>
    <w:rsid w:val="00F5524B"/>
    <w:rsid w:val="00F55614"/>
    <w:rsid w:val="00F60538"/>
    <w:rsid w:val="00F61DD2"/>
    <w:rsid w:val="00F62E7A"/>
    <w:rsid w:val="00F666A5"/>
    <w:rsid w:val="00F66AFF"/>
    <w:rsid w:val="00F70126"/>
    <w:rsid w:val="00F71433"/>
    <w:rsid w:val="00F83E52"/>
    <w:rsid w:val="00F87B04"/>
    <w:rsid w:val="00F93A51"/>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B9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Stott</cp:lastModifiedBy>
  <cp:revision>3</cp:revision>
  <cp:lastPrinted>2019-08-27T05:42:00Z</cp:lastPrinted>
  <dcterms:created xsi:type="dcterms:W3CDTF">2023-03-01T12:29:00Z</dcterms:created>
  <dcterms:modified xsi:type="dcterms:W3CDTF">2023-03-01T13:10:00Z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