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proofErr w:type="gramStart"/>
      <w:r w:rsidRPr="00605603">
        <w:rPr>
          <w:rFonts w:ascii="Avenir Next" w:hAnsi="Avenir Next"/>
          <w:highlight w:val="yellow"/>
        </w:rPr>
        <w:t>All of</w:t>
      </w:r>
      <w:proofErr w:type="gramEnd"/>
      <w:r w:rsidRPr="00605603">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3C5A00">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7D3819" w:rsidRDefault="00CE0ECD" w:rsidP="00097D56">
      <w:pPr>
        <w:pStyle w:val="AODocTxt"/>
        <w:numPr>
          <w:ilvl w:val="0"/>
          <w:numId w:val="16"/>
        </w:numPr>
        <w:spacing w:before="0" w:line="240" w:lineRule="auto"/>
        <w:ind w:left="426"/>
        <w:rPr>
          <w:rFonts w:ascii="Avenir Next" w:hAnsi="Avenir Next"/>
          <w:highlight w:val="yellow"/>
        </w:rPr>
      </w:pPr>
      <w:r w:rsidRPr="007D3819">
        <w:rPr>
          <w:rFonts w:ascii="Avenir Next" w:hAnsi="Avenir Next"/>
          <w:highlight w:val="yellow"/>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A228A0" w:rsidRDefault="00CE0ECD" w:rsidP="00A82B32">
      <w:pPr>
        <w:pStyle w:val="AODocTxt"/>
        <w:numPr>
          <w:ilvl w:val="0"/>
          <w:numId w:val="18"/>
        </w:numPr>
        <w:spacing w:before="0" w:line="240" w:lineRule="auto"/>
        <w:ind w:left="426"/>
        <w:rPr>
          <w:rFonts w:ascii="Avenir Next" w:hAnsi="Avenir Next"/>
          <w:highlight w:val="yellow"/>
        </w:rPr>
      </w:pPr>
      <w:r w:rsidRPr="00A228A0">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A228A0" w:rsidRDefault="00CE0ECD" w:rsidP="00E421C6">
      <w:pPr>
        <w:pStyle w:val="AODocTxt"/>
        <w:numPr>
          <w:ilvl w:val="0"/>
          <w:numId w:val="20"/>
        </w:numPr>
        <w:spacing w:before="0" w:line="240" w:lineRule="auto"/>
        <w:ind w:left="426"/>
        <w:rPr>
          <w:rFonts w:ascii="Avenir Next" w:hAnsi="Avenir Next"/>
          <w:highlight w:val="yellow"/>
        </w:rPr>
      </w:pPr>
      <w:r w:rsidRPr="00A228A0">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6055B5">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6055B5" w:rsidRDefault="00CE0ECD" w:rsidP="000346E7">
      <w:pPr>
        <w:pStyle w:val="AODocTxt"/>
        <w:numPr>
          <w:ilvl w:val="0"/>
          <w:numId w:val="24"/>
        </w:numPr>
        <w:spacing w:before="0" w:line="240" w:lineRule="auto"/>
        <w:ind w:left="426"/>
        <w:rPr>
          <w:rFonts w:ascii="Avenir Next" w:hAnsi="Avenir Next"/>
          <w:highlight w:val="yellow"/>
        </w:rPr>
      </w:pPr>
      <w:r w:rsidRPr="006055B5">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B44907" w:rsidRDefault="00CE0ECD" w:rsidP="004830F8">
      <w:pPr>
        <w:pStyle w:val="AODocTxt"/>
        <w:numPr>
          <w:ilvl w:val="0"/>
          <w:numId w:val="26"/>
        </w:numPr>
        <w:spacing w:before="0" w:line="240" w:lineRule="auto"/>
        <w:ind w:left="426"/>
        <w:rPr>
          <w:rFonts w:ascii="Avenir Next" w:hAnsi="Avenir Next"/>
          <w:highlight w:val="yellow"/>
        </w:rPr>
      </w:pPr>
      <w:r w:rsidRPr="00B44907">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524A3" w:rsidRDefault="00CE0ECD" w:rsidP="004830F8">
      <w:pPr>
        <w:pStyle w:val="AODocTxt"/>
        <w:numPr>
          <w:ilvl w:val="0"/>
          <w:numId w:val="28"/>
        </w:numPr>
        <w:spacing w:before="0" w:line="240" w:lineRule="auto"/>
        <w:ind w:left="426"/>
        <w:rPr>
          <w:rFonts w:ascii="Avenir Next" w:hAnsi="Avenir Next"/>
          <w:highlight w:val="yellow"/>
        </w:rPr>
      </w:pPr>
      <w:r w:rsidRPr="008524A3">
        <w:rPr>
          <w:rFonts w:ascii="Avenir Next" w:hAnsi="Avenir Next"/>
          <w:highlight w:val="yellow"/>
        </w:rPr>
        <w:t xml:space="preserve">If a creditor can show it extended credit </w:t>
      </w:r>
      <w:proofErr w:type="gramStart"/>
      <w:r w:rsidRPr="008524A3">
        <w:rPr>
          <w:rFonts w:ascii="Avenir Next" w:hAnsi="Avenir Next"/>
          <w:highlight w:val="yellow"/>
        </w:rPr>
        <w:t>on the basis of</w:t>
      </w:r>
      <w:proofErr w:type="gramEnd"/>
      <w:r w:rsidRPr="008524A3">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8524A3" w:rsidRDefault="00CE0ECD" w:rsidP="00AA0280">
      <w:pPr>
        <w:pStyle w:val="AODocTxt"/>
        <w:numPr>
          <w:ilvl w:val="0"/>
          <w:numId w:val="30"/>
        </w:numPr>
        <w:spacing w:before="0" w:line="240" w:lineRule="auto"/>
        <w:ind w:left="426"/>
        <w:rPr>
          <w:rFonts w:ascii="Avenir Next" w:hAnsi="Avenir Next"/>
          <w:highlight w:val="yellow"/>
        </w:rPr>
      </w:pPr>
      <w:proofErr w:type="gramStart"/>
      <w:r w:rsidRPr="008524A3">
        <w:rPr>
          <w:rFonts w:ascii="Avenir Next" w:hAnsi="Avenir Next"/>
          <w:highlight w:val="yellow"/>
        </w:rPr>
        <w:t>All of</w:t>
      </w:r>
      <w:proofErr w:type="gramEnd"/>
      <w:r w:rsidRPr="008524A3">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437042CC" w:rsidR="00E41578" w:rsidRPr="00E41578" w:rsidRDefault="008524A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occurs where a creditor with a claim against a debtor and who simultaneously owes money to </w:t>
      </w:r>
      <w:r w:rsidR="00C1625A">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debtor nets out these two obligations. Setoff is not permitted in many circumstances because it is essentially an exception to the </w:t>
      </w:r>
      <w:proofErr w:type="spellStart"/>
      <w:r>
        <w:rPr>
          <w:rFonts w:ascii="Avenir Next" w:hAnsi="Avenir Next" w:cs="Arial"/>
          <w:i/>
          <w:iCs/>
          <w:color w:val="7B7B7B" w:themeColor="accent3" w:themeShade="BF"/>
          <w:sz w:val="22"/>
          <w:szCs w:val="22"/>
          <w:lang w:val="en-GB"/>
        </w:rPr>
        <w:t>pari</w:t>
      </w:r>
      <w:proofErr w:type="spellEnd"/>
      <w:r>
        <w:rPr>
          <w:rFonts w:ascii="Avenir Next" w:hAnsi="Avenir Next" w:cs="Arial"/>
          <w:i/>
          <w:iCs/>
          <w:color w:val="7B7B7B" w:themeColor="accent3" w:themeShade="BF"/>
          <w:sz w:val="22"/>
          <w:szCs w:val="22"/>
          <w:lang w:val="en-GB"/>
        </w:rPr>
        <w:t xml:space="preserve"> passu </w:t>
      </w:r>
      <w:r>
        <w:rPr>
          <w:rFonts w:ascii="Avenir Next" w:hAnsi="Avenir Next" w:cs="Arial"/>
          <w:color w:val="7B7B7B" w:themeColor="accent3" w:themeShade="BF"/>
          <w:sz w:val="22"/>
          <w:szCs w:val="22"/>
          <w:lang w:val="en-GB"/>
        </w:rPr>
        <w:t>principle. Setoff can improve the position of the creditor relative to other unsecured creditors who are not owed money by the debtor by decreasing its obligation to the estate by the full amount owed by the debtor rather than the smaller amount the debtor would pay on the unsecured claim.</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6ACDBF97" w:rsidR="00E41578" w:rsidRPr="00482A49" w:rsidRDefault="00BB12EB" w:rsidP="00482A4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rules should be reviewed when preparing a filing for a bankruptcy court. First, t</w:t>
      </w:r>
      <w:r w:rsidR="00482A49" w:rsidRPr="00482A49">
        <w:rPr>
          <w:rFonts w:ascii="Avenir Next" w:hAnsi="Avenir Next" w:cs="Arial"/>
          <w:color w:val="7B7B7B" w:themeColor="accent3" w:themeShade="BF"/>
          <w:sz w:val="22"/>
          <w:szCs w:val="22"/>
          <w:lang w:val="en-GB"/>
        </w:rPr>
        <w:t>he</w:t>
      </w:r>
      <w:r w:rsidR="00482A49">
        <w:rPr>
          <w:rFonts w:ascii="Avenir Next" w:hAnsi="Avenir Next" w:cs="Arial"/>
          <w:color w:val="7B7B7B" w:themeColor="accent3" w:themeShade="BF"/>
          <w:sz w:val="22"/>
          <w:szCs w:val="22"/>
          <w:lang w:val="en-GB"/>
        </w:rPr>
        <w:t xml:space="preserve"> </w:t>
      </w:r>
      <w:r w:rsidR="008524A3" w:rsidRPr="00482A49">
        <w:rPr>
          <w:rFonts w:ascii="Avenir Next" w:hAnsi="Avenir Next" w:cs="Arial"/>
          <w:color w:val="7B7B7B" w:themeColor="accent3" w:themeShade="BF"/>
          <w:sz w:val="22"/>
          <w:szCs w:val="22"/>
          <w:lang w:val="en-GB"/>
        </w:rPr>
        <w:t>Federal Rules of Bankruptcy Procedure</w:t>
      </w:r>
      <w:r w:rsidR="002141DF">
        <w:rPr>
          <w:rFonts w:ascii="Avenir Next" w:hAnsi="Avenir Next" w:cs="Arial"/>
          <w:color w:val="7B7B7B" w:themeColor="accent3" w:themeShade="BF"/>
          <w:sz w:val="22"/>
          <w:szCs w:val="22"/>
          <w:lang w:val="en-GB"/>
        </w:rPr>
        <w:t xml:space="preserve"> (the “Bankruptcy Rules”)</w:t>
      </w:r>
      <w:r w:rsidR="00482A49">
        <w:rPr>
          <w:rFonts w:ascii="Avenir Next" w:hAnsi="Avenir Next" w:cs="Arial"/>
          <w:color w:val="7B7B7B" w:themeColor="accent3" w:themeShade="BF"/>
          <w:sz w:val="22"/>
          <w:szCs w:val="22"/>
          <w:lang w:val="en-GB"/>
        </w:rPr>
        <w:t>,</w:t>
      </w:r>
      <w:r w:rsidR="008524A3" w:rsidRPr="00482A49">
        <w:rPr>
          <w:rFonts w:ascii="Avenir Next" w:hAnsi="Avenir Next" w:cs="Arial"/>
          <w:color w:val="7B7B7B" w:themeColor="accent3" w:themeShade="BF"/>
          <w:sz w:val="22"/>
          <w:szCs w:val="22"/>
          <w:lang w:val="en-GB"/>
        </w:rPr>
        <w:t xml:space="preserve"> which specify </w:t>
      </w:r>
      <w:proofErr w:type="gramStart"/>
      <w:r w:rsidR="008524A3" w:rsidRPr="00482A49">
        <w:rPr>
          <w:rFonts w:ascii="Avenir Next" w:hAnsi="Avenir Next" w:cs="Arial"/>
          <w:color w:val="7B7B7B" w:themeColor="accent3" w:themeShade="BF"/>
          <w:sz w:val="22"/>
          <w:szCs w:val="22"/>
          <w:lang w:val="en-GB"/>
        </w:rPr>
        <w:t>a number of</w:t>
      </w:r>
      <w:proofErr w:type="gramEnd"/>
      <w:r w:rsidR="008524A3" w:rsidRPr="00482A49">
        <w:rPr>
          <w:rFonts w:ascii="Avenir Next" w:hAnsi="Avenir Next" w:cs="Arial"/>
          <w:color w:val="7B7B7B" w:themeColor="accent3" w:themeShade="BF"/>
          <w:sz w:val="22"/>
          <w:szCs w:val="22"/>
          <w:lang w:val="en-GB"/>
        </w:rPr>
        <w:t xml:space="preserve"> schedules that must be filed with a voluntary petition, such as lists of assets and creditors.</w:t>
      </w:r>
      <w:r w:rsidR="002141D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Second, </w:t>
      </w:r>
      <w:r w:rsidR="002141DF">
        <w:rPr>
          <w:rFonts w:ascii="Avenir Next" w:hAnsi="Avenir Next" w:cs="Arial"/>
          <w:color w:val="7B7B7B" w:themeColor="accent3" w:themeShade="BF"/>
          <w:sz w:val="22"/>
          <w:szCs w:val="22"/>
          <w:lang w:val="en-GB"/>
        </w:rPr>
        <w:t xml:space="preserve">the Federal Rules of Civil Procedure, which </w:t>
      </w:r>
      <w:r>
        <w:rPr>
          <w:rFonts w:ascii="Avenir Next" w:hAnsi="Avenir Next" w:cs="Arial"/>
          <w:color w:val="7B7B7B" w:themeColor="accent3" w:themeShade="BF"/>
          <w:sz w:val="22"/>
          <w:szCs w:val="22"/>
          <w:lang w:val="en-GB"/>
        </w:rPr>
        <w:t>are</w:t>
      </w:r>
      <w:r w:rsidR="002141DF">
        <w:rPr>
          <w:rFonts w:ascii="Avenir Next" w:hAnsi="Avenir Next" w:cs="Arial"/>
          <w:color w:val="7B7B7B" w:themeColor="accent3" w:themeShade="BF"/>
          <w:sz w:val="22"/>
          <w:szCs w:val="22"/>
          <w:lang w:val="en-GB"/>
        </w:rPr>
        <w:t xml:space="preserve"> frequently incorporated by reference into the Bankruptcy Rules, particularly with respect to the litigation of disputed issues in contested matters or adversary proceedings. </w:t>
      </w:r>
      <w:r>
        <w:rPr>
          <w:rFonts w:ascii="Avenir Next" w:hAnsi="Avenir Next" w:cs="Arial"/>
          <w:color w:val="7B7B7B" w:themeColor="accent3" w:themeShade="BF"/>
          <w:sz w:val="22"/>
          <w:szCs w:val="22"/>
          <w:lang w:val="en-GB"/>
        </w:rPr>
        <w:t xml:space="preserve">Third, the forms for common bankruptcy filings, which are available at </w:t>
      </w:r>
      <w:hyperlink r:id="rId9" w:history="1">
        <w:r w:rsidRPr="00E83BC2">
          <w:rPr>
            <w:rStyle w:val="Hyperlink"/>
            <w:rFonts w:ascii="Avenir Next" w:hAnsi="Avenir Next" w:cs="Arial"/>
            <w:sz w:val="22"/>
            <w:szCs w:val="22"/>
            <w:lang w:val="en-GB"/>
          </w:rPr>
          <w:t>http://www.uscourts.gov/forms/bankruptcy-forms</w:t>
        </w:r>
      </w:hyperlink>
      <w:r>
        <w:rPr>
          <w:rFonts w:ascii="Avenir Next" w:hAnsi="Avenir Next" w:cs="Arial"/>
          <w:color w:val="7B7B7B" w:themeColor="accent3" w:themeShade="BF"/>
          <w:sz w:val="22"/>
          <w:szCs w:val="22"/>
          <w:lang w:val="en-GB"/>
        </w:rPr>
        <w:t xml:space="preserve">. Fourth, the local rules of procedure applicable in each bankruptcy court, which contain preferred procedures of the judges and can modify deadlines for filing and responding to pleadings. </w:t>
      </w:r>
      <w:r w:rsidR="002141DF">
        <w:rPr>
          <w:rFonts w:ascii="Avenir Next" w:hAnsi="Avenir Next" w:cs="Arial"/>
          <w:color w:val="7B7B7B" w:themeColor="accent3" w:themeShade="BF"/>
          <w:sz w:val="22"/>
          <w:szCs w:val="22"/>
          <w:lang w:val="en-GB"/>
        </w:rPr>
        <w:t>It is, of course, also necessary to review the US Bankruptcy Code (title 11 of United States Code) and US state law.</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77912317" w14:textId="5080B8E6" w:rsidR="00FC3C05" w:rsidRDefault="00BB12E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absolute priority rule, no creditor or class of creditors may receive less under a plan of reorganization than it would under a hypothetical chapter 7 liquidation unless they consent. The </w:t>
      </w:r>
      <w:r>
        <w:rPr>
          <w:rFonts w:ascii="Avenir Next" w:hAnsi="Avenir Next" w:cs="Arial"/>
          <w:color w:val="7B7B7B" w:themeColor="accent3" w:themeShade="BF"/>
          <w:sz w:val="22"/>
          <w:szCs w:val="22"/>
          <w:lang w:val="en-GB"/>
        </w:rPr>
        <w:lastRenderedPageBreak/>
        <w:t>absolute priority rule requires that payment in full must be made to each category of claims before the next category in order of priority (as laid out in 11 USC</w:t>
      </w:r>
      <w:r w:rsidR="00FC3C05">
        <w:rPr>
          <w:rFonts w:ascii="Avenir Next" w:hAnsi="Avenir Next" w:cs="Arial"/>
          <w:color w:val="7B7B7B" w:themeColor="accent3" w:themeShade="BF"/>
          <w:sz w:val="22"/>
          <w:szCs w:val="22"/>
          <w:lang w:val="en-GB"/>
        </w:rPr>
        <w:t xml:space="preserve"> </w:t>
      </w:r>
      <w:r w:rsidR="00FC3C05" w:rsidRPr="00FC3C05">
        <w:rPr>
          <w:rFonts w:ascii="Avenir Next" w:hAnsi="Avenir Next" w:cs="Arial"/>
          <w:color w:val="7B7B7B" w:themeColor="accent3" w:themeShade="BF"/>
          <w:sz w:val="22"/>
          <w:szCs w:val="22"/>
          <w:lang w:val="en-GB"/>
        </w:rPr>
        <w:t>§ 726(a)(2)-(6))</w:t>
      </w:r>
      <w:r>
        <w:rPr>
          <w:rFonts w:ascii="Avenir Next" w:hAnsi="Avenir Next" w:cs="Arial"/>
          <w:color w:val="7B7B7B" w:themeColor="accent3" w:themeShade="BF"/>
          <w:sz w:val="22"/>
          <w:szCs w:val="22"/>
          <w:lang w:val="en-GB"/>
        </w:rPr>
        <w:t xml:space="preserve"> receives anything. </w:t>
      </w:r>
    </w:p>
    <w:p w14:paraId="04BC5152" w14:textId="77777777" w:rsidR="00FC3C05" w:rsidRDefault="00FC3C05" w:rsidP="00E41578">
      <w:pPr>
        <w:jc w:val="both"/>
        <w:rPr>
          <w:rFonts w:ascii="Avenir Next" w:hAnsi="Avenir Next" w:cs="Arial"/>
          <w:color w:val="7B7B7B" w:themeColor="accent3" w:themeShade="BF"/>
          <w:sz w:val="22"/>
          <w:szCs w:val="22"/>
          <w:lang w:val="en-GB"/>
        </w:rPr>
      </w:pPr>
    </w:p>
    <w:p w14:paraId="1F6078B6" w14:textId="15FC224B" w:rsidR="00E41578" w:rsidRPr="00E41578" w:rsidRDefault="00BB12E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Apart from when the creditor consents, the absolute priority rule can also be deviated from when proceedings under Subchapter V of chapter 11 are underway. In such proceedings, the debtor will propose a plan of reorganization, which may cram down on dissenting creditors without an accepting impaired class – an exception to the absolute priority rule since the business owner is permitted to retain its equity in the reorganized business without paying all creditors in full.</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43C3CEE0" w14:textId="5CCC08CE" w:rsidR="00EB4D6D" w:rsidRDefault="00EB4D6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context of a debtor in possession </w:t>
      </w:r>
      <w:r w:rsidR="00615A86">
        <w:rPr>
          <w:rFonts w:ascii="Avenir Next" w:hAnsi="Avenir Next" w:cs="Arial"/>
          <w:color w:val="7B7B7B" w:themeColor="accent3" w:themeShade="BF"/>
          <w:sz w:val="22"/>
          <w:szCs w:val="22"/>
          <w:lang w:val="en-GB"/>
        </w:rPr>
        <w:t xml:space="preserve">(DIP) </w:t>
      </w:r>
      <w:r>
        <w:rPr>
          <w:rFonts w:ascii="Avenir Next" w:hAnsi="Avenir Next" w:cs="Arial"/>
          <w:color w:val="7B7B7B" w:themeColor="accent3" w:themeShade="BF"/>
          <w:sz w:val="22"/>
          <w:szCs w:val="22"/>
          <w:lang w:val="en-GB"/>
        </w:rPr>
        <w:t>financing, a “priming lien” is a court-granted lien that is senior to or with the same priority as existing/pre-petition liens on the same property.</w:t>
      </w:r>
    </w:p>
    <w:p w14:paraId="5336BD35" w14:textId="77777777" w:rsidR="00EB4D6D" w:rsidRDefault="00EB4D6D" w:rsidP="00E41578">
      <w:pPr>
        <w:jc w:val="both"/>
        <w:rPr>
          <w:rFonts w:ascii="Avenir Next" w:hAnsi="Avenir Next" w:cs="Arial"/>
          <w:color w:val="7B7B7B" w:themeColor="accent3" w:themeShade="BF"/>
          <w:sz w:val="22"/>
          <w:szCs w:val="22"/>
          <w:lang w:val="en-GB"/>
        </w:rPr>
      </w:pPr>
    </w:p>
    <w:p w14:paraId="009F8FB2" w14:textId="2C4D5451" w:rsidR="00E41578" w:rsidRPr="00FC3C05" w:rsidRDefault="00EB4D6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 priming lien to be granted to secure DIP financing, t</w:t>
      </w:r>
      <w:r w:rsidR="00FC3C05">
        <w:rPr>
          <w:rFonts w:ascii="Avenir Next" w:hAnsi="Avenir Next" w:cs="Arial"/>
          <w:color w:val="7B7B7B" w:themeColor="accent3" w:themeShade="BF"/>
          <w:sz w:val="22"/>
          <w:szCs w:val="22"/>
          <w:lang w:val="en-GB"/>
        </w:rPr>
        <w:t xml:space="preserve">he debtor must be shown to have been unable to secure sufficient funding by incurring unsecured debt or obtaining unsecured credit having administrative expense priority, such debt being incurred either in or outside the ordinary course of business. The debtor must </w:t>
      </w:r>
      <w:r w:rsidR="00FC3C05">
        <w:rPr>
          <w:rFonts w:ascii="Avenir Next" w:hAnsi="Avenir Next" w:cs="Arial"/>
          <w:i/>
          <w:iCs/>
          <w:color w:val="7B7B7B" w:themeColor="accent3" w:themeShade="BF"/>
          <w:sz w:val="22"/>
          <w:szCs w:val="22"/>
          <w:lang w:val="en-GB"/>
        </w:rPr>
        <w:t xml:space="preserve">also </w:t>
      </w:r>
      <w:r w:rsidR="00FC3C05">
        <w:rPr>
          <w:rFonts w:ascii="Avenir Next" w:hAnsi="Avenir Next" w:cs="Arial"/>
          <w:color w:val="7B7B7B" w:themeColor="accent3" w:themeShade="BF"/>
          <w:sz w:val="22"/>
          <w:szCs w:val="22"/>
          <w:lang w:val="en-GB"/>
        </w:rPr>
        <w:t>be shown to have been unable to secure (a) unsecured debt having priority ahead of all other administrative expenses; (b) secured debt with a lien on unencumbered estate priority; and (c) secured debt with a junior lien on encumbered estate property. It is only after financing cannot be obtained on any other terms that the court may grant a priming lien that is senior or equal to a pre-petition lien on estate property to secure post-petition financing. For a priming lien to be granted, the debtor must also demonstrate that the interest of the secured creditor being primed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1F8EB0E0" w:rsidR="00E41578" w:rsidRDefault="00EB4D6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the debtor’s property that was made in a suspect period before the petition date. This transfer must be returned to the estate if it exceeds the amount the recipient would have received in a chapter 7 liquidation had the transfer not occurred.</w:t>
      </w:r>
    </w:p>
    <w:p w14:paraId="40244962" w14:textId="4B1FFD6E" w:rsidR="00EB4D6D" w:rsidRDefault="00EB4D6D" w:rsidP="00E41578">
      <w:pPr>
        <w:jc w:val="both"/>
        <w:rPr>
          <w:rFonts w:ascii="Avenir Next" w:hAnsi="Avenir Next" w:cs="Arial"/>
          <w:color w:val="7B7B7B" w:themeColor="accent3" w:themeShade="BF"/>
          <w:sz w:val="22"/>
          <w:szCs w:val="22"/>
          <w:lang w:val="en-GB"/>
        </w:rPr>
      </w:pPr>
    </w:p>
    <w:p w14:paraId="254A5415" w14:textId="2695BFC8" w:rsidR="00EB4D6D" w:rsidRDefault="00EB4D6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fault by either the debtor or creditor. The six elements of a preference claim that need to be proved are as follows:</w:t>
      </w:r>
    </w:p>
    <w:p w14:paraId="4F8A6827" w14:textId="5F0D42B2" w:rsid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transfer of an interest of the debtor in property, which may be of funds, property or an interest in property (</w:t>
      </w:r>
      <w:proofErr w:type="spellStart"/>
      <w:r>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a lien</w:t>
      </w:r>
      <w:proofErr w:type="gramStart"/>
      <w:r>
        <w:rPr>
          <w:rFonts w:ascii="Avenir Next" w:hAnsi="Avenir Next" w:cs="Arial"/>
          <w:color w:val="7B7B7B" w:themeColor="accent3" w:themeShade="BF"/>
          <w:sz w:val="22"/>
          <w:szCs w:val="22"/>
          <w:lang w:val="en-GB"/>
        </w:rPr>
        <w:t>);</w:t>
      </w:r>
      <w:proofErr w:type="gramEnd"/>
    </w:p>
    <w:p w14:paraId="1AC489DF" w14:textId="681799D3" w:rsid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or for the benefit of a </w:t>
      </w:r>
      <w:proofErr w:type="gramStart"/>
      <w:r>
        <w:rPr>
          <w:rFonts w:ascii="Avenir Next" w:hAnsi="Avenir Next" w:cs="Arial"/>
          <w:color w:val="7B7B7B" w:themeColor="accent3" w:themeShade="BF"/>
          <w:sz w:val="22"/>
          <w:szCs w:val="22"/>
          <w:lang w:val="en-GB"/>
        </w:rPr>
        <w:t>creditor;</w:t>
      </w:r>
      <w:proofErr w:type="gramEnd"/>
      <w:r>
        <w:rPr>
          <w:rFonts w:ascii="Avenir Next" w:hAnsi="Avenir Next" w:cs="Arial"/>
          <w:color w:val="7B7B7B" w:themeColor="accent3" w:themeShade="BF"/>
          <w:sz w:val="22"/>
          <w:szCs w:val="22"/>
          <w:lang w:val="en-GB"/>
        </w:rPr>
        <w:t xml:space="preserve"> </w:t>
      </w:r>
    </w:p>
    <w:p w14:paraId="6C751B47" w14:textId="58273A16" w:rsid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or on account of an antecedent debt owed by the debtor before the transfer was </w:t>
      </w:r>
      <w:proofErr w:type="gramStart"/>
      <w:r>
        <w:rPr>
          <w:rFonts w:ascii="Avenir Next" w:hAnsi="Avenir Next" w:cs="Arial"/>
          <w:color w:val="7B7B7B" w:themeColor="accent3" w:themeShade="BF"/>
          <w:sz w:val="22"/>
          <w:szCs w:val="22"/>
          <w:lang w:val="en-GB"/>
        </w:rPr>
        <w:t>made;</w:t>
      </w:r>
      <w:proofErr w:type="gramEnd"/>
    </w:p>
    <w:p w14:paraId="440719D1" w14:textId="73EC3701" w:rsid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while the debtor was </w:t>
      </w:r>
      <w:proofErr w:type="gramStart"/>
      <w:r>
        <w:rPr>
          <w:rFonts w:ascii="Avenir Next" w:hAnsi="Avenir Next" w:cs="Arial"/>
          <w:color w:val="7B7B7B" w:themeColor="accent3" w:themeShade="BF"/>
          <w:sz w:val="22"/>
          <w:szCs w:val="22"/>
          <w:lang w:val="en-GB"/>
        </w:rPr>
        <w:t>insolvent;</w:t>
      </w:r>
      <w:proofErr w:type="gramEnd"/>
    </w:p>
    <w:p w14:paraId="3C8A5C40" w14:textId="53691764" w:rsid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the suspect period (90 days prior to the petition date for transfers to third parties and one year prior to the petition date for insiders); and</w:t>
      </w:r>
    </w:p>
    <w:p w14:paraId="5C30D310" w14:textId="64B7FBA9" w:rsidR="00EB4D6D" w:rsidRPr="00EB4D6D" w:rsidRDefault="00EB4D6D" w:rsidP="00EB4D6D">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enables the creditor to receive more than it would have in a chapter 7 liquidation.</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lastRenderedPageBreak/>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42298208" w:rsidR="00E41578" w:rsidRDefault="004967A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bankruptcy court may hear and enter a final order in respect of core and non-core proceedings (as set forth in the referral statute) by using a report and recommendation for review by the district court or with the consent of the parties. In the latter scenario, under the Federal Rules of Bankruptcy Procedure, litigants must state in their pleadings that they consent to the entry of final orders by the bankruptcy court.</w:t>
      </w:r>
    </w:p>
    <w:p w14:paraId="4D6E3BF5" w14:textId="18FEF1AF" w:rsidR="004967A1" w:rsidRDefault="004967A1" w:rsidP="00E41578">
      <w:pPr>
        <w:jc w:val="both"/>
        <w:rPr>
          <w:rFonts w:ascii="Avenir Next" w:hAnsi="Avenir Next" w:cs="Arial"/>
          <w:color w:val="7B7B7B" w:themeColor="accent3" w:themeShade="BF"/>
          <w:sz w:val="22"/>
          <w:szCs w:val="22"/>
          <w:lang w:val="en-GB"/>
        </w:rPr>
      </w:pPr>
    </w:p>
    <w:p w14:paraId="078A8B96" w14:textId="2780A1BF" w:rsidR="004967A1" w:rsidRDefault="004967A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from bankruptcy court orders are generally heard by the district court for the district in which they sit. However, in certain circuits, bankruptcy appea</w:t>
      </w:r>
      <w:r w:rsidR="001D4096">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s are heard by a Bankruptcy Appellate Panel (“BAP”) convened from the judges of the bankruptcy courts within the circuit. In these circuits, a party may request that the appeal be heard by the district court instead. From the district court or BAP, there is a further right of appeal to the circuit court of appeals. In exceptional circumstances, an appeal from a bankruptcy court may go directly to the court of appeals if the bankruptcy or district court certifies that (a) the appeal raises a question of law as to which there is no controlling decision of the circuit or the US Supreme </w:t>
      </w:r>
      <w:proofErr w:type="gramStart"/>
      <w:r>
        <w:rPr>
          <w:rFonts w:ascii="Avenir Next" w:hAnsi="Avenir Next" w:cs="Arial"/>
          <w:color w:val="7B7B7B" w:themeColor="accent3" w:themeShade="BF"/>
          <w:sz w:val="22"/>
          <w:szCs w:val="22"/>
          <w:lang w:val="en-GB"/>
        </w:rPr>
        <w:t>Court, or</w:t>
      </w:r>
      <w:proofErr w:type="gramEnd"/>
      <w:r>
        <w:rPr>
          <w:rFonts w:ascii="Avenir Next" w:hAnsi="Avenir Next" w:cs="Arial"/>
          <w:color w:val="7B7B7B" w:themeColor="accent3" w:themeShade="BF"/>
          <w:sz w:val="22"/>
          <w:szCs w:val="22"/>
          <w:lang w:val="en-GB"/>
        </w:rPr>
        <w:t xml:space="preserve"> requires resolving conflicting controlling decisions; or (b)</w:t>
      </w:r>
      <w:r w:rsidR="00CC16C7">
        <w:rPr>
          <w:rFonts w:ascii="Avenir Next" w:hAnsi="Avenir Next" w:cs="Arial"/>
          <w:color w:val="7B7B7B" w:themeColor="accent3" w:themeShade="BF"/>
          <w:sz w:val="22"/>
          <w:szCs w:val="22"/>
          <w:lang w:val="en-GB"/>
        </w:rPr>
        <w:t> </w:t>
      </w:r>
      <w:r>
        <w:rPr>
          <w:rFonts w:ascii="Avenir Next" w:hAnsi="Avenir Next" w:cs="Arial"/>
          <w:color w:val="7B7B7B" w:themeColor="accent3" w:themeShade="BF"/>
          <w:sz w:val="22"/>
          <w:szCs w:val="22"/>
          <w:lang w:val="en-GB"/>
        </w:rPr>
        <w:t>immediate appeal may materially advance the progress of the case. The court of appeals then has the discretion whether to hear the case.</w:t>
      </w:r>
    </w:p>
    <w:p w14:paraId="6F187068" w14:textId="179D3940" w:rsidR="004967A1" w:rsidRDefault="004967A1" w:rsidP="00E41578">
      <w:pPr>
        <w:jc w:val="both"/>
        <w:rPr>
          <w:rFonts w:ascii="Avenir Next" w:hAnsi="Avenir Next" w:cs="Arial"/>
          <w:color w:val="7B7B7B" w:themeColor="accent3" w:themeShade="BF"/>
          <w:sz w:val="22"/>
          <w:szCs w:val="22"/>
          <w:lang w:val="en-GB"/>
        </w:rPr>
      </w:pPr>
    </w:p>
    <w:p w14:paraId="05A9FC48" w14:textId="6AE9A2EF" w:rsidR="004967A1" w:rsidRPr="002F2A78" w:rsidRDefault="004967A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Non-final orders, </w:t>
      </w:r>
      <w:proofErr w:type="spellStart"/>
      <w:r>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interlocutory orders, may be appealed only with leave of the appellate court.</w:t>
      </w:r>
      <w:r w:rsidR="002F2A78">
        <w:rPr>
          <w:rFonts w:ascii="Avenir Next" w:hAnsi="Avenir Next" w:cs="Arial"/>
          <w:color w:val="7B7B7B" w:themeColor="accent3" w:themeShade="BF"/>
          <w:sz w:val="22"/>
          <w:szCs w:val="22"/>
          <w:lang w:val="en-GB"/>
        </w:rPr>
        <w:t xml:space="preserve"> </w:t>
      </w:r>
      <w:r w:rsidR="00A87EDC">
        <w:rPr>
          <w:rFonts w:ascii="Avenir Next" w:hAnsi="Avenir Next" w:cs="Arial"/>
          <w:color w:val="7B7B7B" w:themeColor="accent3" w:themeShade="BF"/>
          <w:sz w:val="22"/>
          <w:szCs w:val="22"/>
          <w:lang w:val="en-GB"/>
        </w:rPr>
        <w:t xml:space="preserve">The distinction between interlocutory and final orders can be an elusive one; the US Supreme Court has held that a bankruptcy order resolving a discrete dispute is a final order </w:t>
      </w:r>
      <w:r w:rsidR="00A87EDC" w:rsidRPr="00A87EDC">
        <w:rPr>
          <w:rFonts w:ascii="Avenir Next" w:hAnsi="Avenir Next" w:cs="Arial"/>
          <w:i/>
          <w:iCs/>
          <w:color w:val="7B7B7B" w:themeColor="accent3" w:themeShade="BF"/>
          <w:sz w:val="22"/>
          <w:szCs w:val="22"/>
          <w:lang w:val="en-GB"/>
        </w:rPr>
        <w:t>for appeals purposes</w:t>
      </w:r>
      <w:r w:rsidR="00A87EDC">
        <w:rPr>
          <w:rFonts w:ascii="Avenir Next" w:hAnsi="Avenir Next" w:cs="Arial"/>
          <w:color w:val="7B7B7B" w:themeColor="accent3" w:themeShade="BF"/>
          <w:sz w:val="22"/>
          <w:szCs w:val="22"/>
          <w:lang w:val="en-GB"/>
        </w:rPr>
        <w:t xml:space="preserve">. This must be distinguished from the </w:t>
      </w:r>
      <w:r w:rsidR="00A87EDC">
        <w:rPr>
          <w:rFonts w:ascii="Avenir Next" w:hAnsi="Avenir Next" w:cs="Arial"/>
          <w:i/>
          <w:iCs/>
          <w:color w:val="7B7B7B" w:themeColor="accent3" w:themeShade="BF"/>
          <w:sz w:val="22"/>
          <w:szCs w:val="22"/>
          <w:lang w:val="en-GB"/>
        </w:rPr>
        <w:t xml:space="preserve">constitutional finality </w:t>
      </w:r>
      <w:r w:rsidR="00A87EDC">
        <w:rPr>
          <w:rFonts w:ascii="Avenir Next" w:hAnsi="Avenir Next" w:cs="Arial"/>
          <w:color w:val="7B7B7B" w:themeColor="accent3" w:themeShade="BF"/>
          <w:sz w:val="22"/>
          <w:szCs w:val="22"/>
          <w:lang w:val="en-GB"/>
        </w:rPr>
        <w:t xml:space="preserve">of an order. If the ruling / order below is constitutionally final in that the bankruptcy court had authority to enter it (whether by law or by party consent), the district court or BAP reviews conclusions of law </w:t>
      </w:r>
      <w:r w:rsidR="00A87EDC">
        <w:rPr>
          <w:rFonts w:ascii="Avenir Next" w:hAnsi="Avenir Next" w:cs="Arial"/>
          <w:i/>
          <w:iCs/>
          <w:color w:val="7B7B7B" w:themeColor="accent3" w:themeShade="BF"/>
          <w:sz w:val="22"/>
          <w:szCs w:val="22"/>
          <w:lang w:val="en-GB"/>
        </w:rPr>
        <w:t xml:space="preserve">de novo </w:t>
      </w:r>
      <w:r w:rsidR="00A87EDC">
        <w:rPr>
          <w:rFonts w:ascii="Avenir Next" w:hAnsi="Avenir Next" w:cs="Arial"/>
          <w:color w:val="7B7B7B" w:themeColor="accent3" w:themeShade="BF"/>
          <w:sz w:val="22"/>
          <w:szCs w:val="22"/>
          <w:lang w:val="en-GB"/>
        </w:rPr>
        <w:t>and reviews findings of fact for abuse of discretion</w:t>
      </w:r>
      <w:r w:rsidR="00D0234B">
        <w:rPr>
          <w:rFonts w:ascii="Avenir Next" w:hAnsi="Avenir Next" w:cs="Arial"/>
          <w:color w:val="7B7B7B" w:themeColor="accent3" w:themeShade="BF"/>
          <w:sz w:val="22"/>
          <w:szCs w:val="22"/>
          <w:lang w:val="en-GB"/>
        </w:rPr>
        <w:t>, recognizing that the bankruptcy court had greater opportunity to weigh the evidence</w:t>
      </w:r>
      <w:r w:rsidR="00A87EDC">
        <w:rPr>
          <w:rFonts w:ascii="Avenir Next" w:hAnsi="Avenir Next" w:cs="Arial"/>
          <w:color w:val="7B7B7B" w:themeColor="accent3" w:themeShade="BF"/>
          <w:sz w:val="22"/>
          <w:szCs w:val="22"/>
          <w:lang w:val="en-GB"/>
        </w:rPr>
        <w:t>. If the order below was not constitutionally final in that the ruling was in a noncore proceeding or the bankruptcy court did not otherwise have authority to enter a final order, t</w:t>
      </w:r>
      <w:r w:rsidR="002F2A78" w:rsidRPr="00A87EDC">
        <w:rPr>
          <w:rFonts w:ascii="Avenir Next" w:hAnsi="Avenir Next" w:cs="Arial"/>
          <w:color w:val="7B7B7B" w:themeColor="accent3" w:themeShade="BF"/>
          <w:sz w:val="22"/>
          <w:szCs w:val="22"/>
          <w:lang w:val="en-GB"/>
        </w:rPr>
        <w:t>he</w:t>
      </w:r>
      <w:r w:rsidR="002F2A78">
        <w:rPr>
          <w:rFonts w:ascii="Avenir Next" w:hAnsi="Avenir Next" w:cs="Arial"/>
          <w:color w:val="7B7B7B" w:themeColor="accent3" w:themeShade="BF"/>
          <w:sz w:val="22"/>
          <w:szCs w:val="22"/>
          <w:lang w:val="en-GB"/>
        </w:rPr>
        <w:t xml:space="preserve"> district court or BAP reviews </w:t>
      </w:r>
      <w:r w:rsidR="002F2A78">
        <w:rPr>
          <w:rFonts w:ascii="Avenir Next" w:hAnsi="Avenir Next" w:cs="Arial"/>
          <w:i/>
          <w:iCs/>
          <w:color w:val="7B7B7B" w:themeColor="accent3" w:themeShade="BF"/>
          <w:sz w:val="22"/>
          <w:szCs w:val="22"/>
          <w:lang w:val="en-GB"/>
        </w:rPr>
        <w:t xml:space="preserve">de novo </w:t>
      </w:r>
      <w:r w:rsidR="002F2A78">
        <w:rPr>
          <w:rFonts w:ascii="Avenir Next" w:hAnsi="Avenir Next" w:cs="Arial"/>
          <w:color w:val="7B7B7B" w:themeColor="accent3" w:themeShade="BF"/>
          <w:sz w:val="22"/>
          <w:szCs w:val="22"/>
          <w:lang w:val="en-GB"/>
        </w:rPr>
        <w:t>all findings of fact and conclusions of law to which a party has objected.</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44F1E8E3" w:rsidR="00E41578" w:rsidRDefault="002F2A7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provisions of the Bankruptcy Code that automatically apply to the debtor’s property within the territorial jurisdiction of the United States upon the recognition of a foreign main proceeding are laid out in 11 U.S. Code </w:t>
      </w:r>
      <w:r w:rsidRPr="00FC3C0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1520(a) and are as follows:</w:t>
      </w:r>
    </w:p>
    <w:p w14:paraId="0F803824" w14:textId="75B55932" w:rsidR="002F2A78" w:rsidRDefault="006F6A02" w:rsidP="002F2A78">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2F2A78">
        <w:rPr>
          <w:rFonts w:ascii="Avenir Next" w:hAnsi="Avenir Next" w:cs="Arial"/>
          <w:color w:val="7B7B7B" w:themeColor="accent3" w:themeShade="BF"/>
          <w:sz w:val="22"/>
          <w:szCs w:val="22"/>
          <w:lang w:val="en-GB"/>
        </w:rPr>
        <w:t>ections 361 and 362 apply with respect to the debtor and the property of the debtor that is within the territorial jurisdiction of the United States</w:t>
      </w:r>
      <w:r>
        <w:rPr>
          <w:rFonts w:ascii="Avenir Next" w:hAnsi="Avenir Next" w:cs="Arial"/>
          <w:color w:val="7B7B7B" w:themeColor="accent3" w:themeShade="BF"/>
          <w:sz w:val="22"/>
          <w:szCs w:val="22"/>
          <w:lang w:val="en-GB"/>
        </w:rPr>
        <w:t>. Accordingly, an automatic stay arises upon the petition for recognition of a foreign main proceeding being granted and is limited to the property of the debtor within the territorial jurisdiction of the United States.</w:t>
      </w:r>
    </w:p>
    <w:p w14:paraId="7AEA2D20" w14:textId="60C6CB66" w:rsidR="002F2A78" w:rsidRDefault="00973B6F" w:rsidP="002F2A78">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002F2A78">
        <w:rPr>
          <w:rFonts w:ascii="Avenir Next" w:hAnsi="Avenir Next" w:cs="Arial"/>
          <w:color w:val="7B7B7B" w:themeColor="accent3" w:themeShade="BF"/>
          <w:sz w:val="22"/>
          <w:szCs w:val="22"/>
          <w:lang w:val="en-GB"/>
        </w:rPr>
        <w:t>ections 363</w:t>
      </w:r>
      <w:r>
        <w:rPr>
          <w:rFonts w:ascii="Avenir Next" w:hAnsi="Avenir Next" w:cs="Arial"/>
          <w:color w:val="7B7B7B" w:themeColor="accent3" w:themeShade="BF"/>
          <w:sz w:val="22"/>
          <w:szCs w:val="22"/>
          <w:lang w:val="en-GB"/>
        </w:rPr>
        <w:t xml:space="preserve"> (sale, </w:t>
      </w:r>
      <w:proofErr w:type="gramStart"/>
      <w:r>
        <w:rPr>
          <w:rFonts w:ascii="Avenir Next" w:hAnsi="Avenir Next" w:cs="Arial"/>
          <w:color w:val="7B7B7B" w:themeColor="accent3" w:themeShade="BF"/>
          <w:sz w:val="22"/>
          <w:szCs w:val="22"/>
          <w:lang w:val="en-GB"/>
        </w:rPr>
        <w:t>transfer</w:t>
      </w:r>
      <w:proofErr w:type="gramEnd"/>
      <w:r>
        <w:rPr>
          <w:rFonts w:ascii="Avenir Next" w:hAnsi="Avenir Next" w:cs="Arial"/>
          <w:color w:val="7B7B7B" w:themeColor="accent3" w:themeShade="BF"/>
          <w:sz w:val="22"/>
          <w:szCs w:val="22"/>
          <w:lang w:val="en-GB"/>
        </w:rPr>
        <w:t xml:space="preserve"> or use of property outside the ordinary course), along with sections</w:t>
      </w:r>
      <w:r w:rsidR="002F2A78">
        <w:rPr>
          <w:rFonts w:ascii="Avenir Next" w:hAnsi="Avenir Next" w:cs="Arial"/>
          <w:color w:val="7B7B7B" w:themeColor="accent3" w:themeShade="BF"/>
          <w:sz w:val="22"/>
          <w:szCs w:val="22"/>
          <w:lang w:val="en-GB"/>
        </w:rPr>
        <w:t xml:space="preserve"> 549 and 552</w:t>
      </w:r>
      <w:r>
        <w:rPr>
          <w:rFonts w:ascii="Avenir Next" w:hAnsi="Avenir Next" w:cs="Arial"/>
          <w:color w:val="7B7B7B" w:themeColor="accent3" w:themeShade="BF"/>
          <w:sz w:val="22"/>
          <w:szCs w:val="22"/>
          <w:lang w:val="en-GB"/>
        </w:rPr>
        <w:t xml:space="preserve"> (avoidance of post-petition transactions and perfection of security interests)</w:t>
      </w:r>
      <w:r w:rsidR="002F2A78">
        <w:rPr>
          <w:rFonts w:ascii="Avenir Next" w:hAnsi="Avenir Next" w:cs="Arial"/>
          <w:color w:val="7B7B7B" w:themeColor="accent3" w:themeShade="BF"/>
          <w:sz w:val="22"/>
          <w:szCs w:val="22"/>
          <w:lang w:val="en-GB"/>
        </w:rPr>
        <w:t xml:space="preserve"> apply to a transfer of an interest of the debtor </w:t>
      </w:r>
      <w:r w:rsidR="002F2A78" w:rsidRPr="002F2A78">
        <w:rPr>
          <w:rFonts w:ascii="Avenir Next" w:hAnsi="Avenir Next" w:cs="Arial"/>
          <w:color w:val="7B7B7B" w:themeColor="accent3" w:themeShade="BF"/>
          <w:sz w:val="22"/>
          <w:szCs w:val="22"/>
          <w:lang w:val="en-GB"/>
        </w:rPr>
        <w:t xml:space="preserve">in property that is within the </w:t>
      </w:r>
      <w:r w:rsidR="002F2A78" w:rsidRPr="002F2A78">
        <w:rPr>
          <w:rFonts w:ascii="Avenir Next" w:hAnsi="Avenir Next" w:cs="Arial"/>
          <w:color w:val="7B7B7B" w:themeColor="accent3" w:themeShade="BF"/>
          <w:sz w:val="22"/>
          <w:szCs w:val="22"/>
          <w:lang w:val="en-GB"/>
        </w:rPr>
        <w:lastRenderedPageBreak/>
        <w:t>territorial jurisdiction of the United States to the same extent that the sections would apply to property of an estate</w:t>
      </w:r>
      <w:r>
        <w:rPr>
          <w:rFonts w:ascii="Avenir Next" w:hAnsi="Avenir Next" w:cs="Arial"/>
          <w:color w:val="7B7B7B" w:themeColor="accent3" w:themeShade="BF"/>
          <w:sz w:val="22"/>
          <w:szCs w:val="22"/>
          <w:lang w:val="en-GB"/>
        </w:rPr>
        <w:t>.</w:t>
      </w:r>
    </w:p>
    <w:p w14:paraId="77912311" w14:textId="2A7E1301" w:rsidR="002F2A78" w:rsidRDefault="00973B6F" w:rsidP="002F2A78">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w:t>
      </w:r>
      <w:r w:rsidR="002F2A78">
        <w:rPr>
          <w:rFonts w:ascii="Avenir Next" w:hAnsi="Avenir Next" w:cs="Arial"/>
          <w:color w:val="7B7B7B" w:themeColor="accent3" w:themeShade="BF"/>
          <w:sz w:val="22"/>
          <w:szCs w:val="22"/>
          <w:lang w:val="en-GB"/>
        </w:rPr>
        <w:t xml:space="preserve">nless the court orders otherwise, the foreign representative may operate the debtor’s business and may exercise the rights and powers of a trustee </w:t>
      </w:r>
      <w:r w:rsidR="002F2A78" w:rsidRPr="002F2A78">
        <w:rPr>
          <w:rFonts w:ascii="Avenir Next" w:hAnsi="Avenir Next" w:cs="Arial"/>
          <w:color w:val="7B7B7B" w:themeColor="accent3" w:themeShade="BF"/>
          <w:sz w:val="22"/>
          <w:szCs w:val="22"/>
          <w:lang w:val="en-GB"/>
        </w:rPr>
        <w:t>under and to the extent provided by sections 363 and 552</w:t>
      </w:r>
      <w:r>
        <w:rPr>
          <w:rFonts w:ascii="Avenir Next" w:hAnsi="Avenir Next" w:cs="Arial"/>
          <w:color w:val="7B7B7B" w:themeColor="accent3" w:themeShade="BF"/>
          <w:sz w:val="22"/>
          <w:szCs w:val="22"/>
          <w:lang w:val="en-GB"/>
        </w:rPr>
        <w:t>.</w:t>
      </w:r>
    </w:p>
    <w:p w14:paraId="6A74A26A" w14:textId="35070C1B" w:rsidR="002F2A78" w:rsidRPr="002F2A78" w:rsidRDefault="00973B6F" w:rsidP="002F2A78">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w:t>
      </w:r>
      <w:r w:rsidR="002F2A78">
        <w:rPr>
          <w:rFonts w:ascii="Avenir Next" w:hAnsi="Avenir Next" w:cs="Arial"/>
          <w:color w:val="7B7B7B" w:themeColor="accent3" w:themeShade="BF"/>
          <w:sz w:val="22"/>
          <w:szCs w:val="22"/>
          <w:lang w:val="en-GB"/>
        </w:rPr>
        <w:t>ction 552</w:t>
      </w:r>
      <w:r>
        <w:rPr>
          <w:rFonts w:ascii="Avenir Next" w:hAnsi="Avenir Next" w:cs="Arial"/>
          <w:color w:val="7B7B7B" w:themeColor="accent3" w:themeShade="BF"/>
          <w:sz w:val="22"/>
          <w:szCs w:val="22"/>
          <w:lang w:val="en-GB"/>
        </w:rPr>
        <w:t xml:space="preserve"> relating to the post-petition perfection of security interests</w:t>
      </w:r>
      <w:r w:rsidR="002F2A78">
        <w:rPr>
          <w:rFonts w:ascii="Avenir Next" w:hAnsi="Avenir Next" w:cs="Arial"/>
          <w:color w:val="7B7B7B" w:themeColor="accent3" w:themeShade="BF"/>
          <w:sz w:val="22"/>
          <w:szCs w:val="22"/>
          <w:lang w:val="en-GB"/>
        </w:rPr>
        <w:t xml:space="preserve"> applies to property of the debtor that is within the territorial jurisdiction of the United States.</w:t>
      </w:r>
    </w:p>
    <w:p w14:paraId="3176A3F4" w14:textId="6C9623B4" w:rsidR="00E01803" w:rsidRDefault="00E01803" w:rsidP="000778B1">
      <w:pPr>
        <w:pStyle w:val="AODocTxt"/>
        <w:spacing w:before="0" w:line="240" w:lineRule="auto"/>
        <w:rPr>
          <w:rFonts w:ascii="Avenir Next" w:hAnsi="Avenir Next"/>
        </w:rPr>
      </w:pPr>
    </w:p>
    <w:p w14:paraId="5AF3A153" w14:textId="125BD09C" w:rsidR="00E41578" w:rsidRDefault="00C75B57" w:rsidP="00973B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of the above relief may also be granted on a discretionary basis upon recognition of a foreign non-main proceeding. Additionally, under 11 U.S. Code </w:t>
      </w:r>
      <w:r w:rsidRPr="00FC3C0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 t</w:t>
      </w:r>
      <w:r w:rsidR="00973B6F" w:rsidRPr="00973B6F">
        <w:rPr>
          <w:rFonts w:ascii="Avenir Next" w:hAnsi="Avenir Next" w:cs="Arial"/>
          <w:color w:val="7B7B7B" w:themeColor="accent3" w:themeShade="BF"/>
          <w:sz w:val="22"/>
          <w:szCs w:val="22"/>
          <w:lang w:val="en-GB"/>
        </w:rPr>
        <w:t>he</w:t>
      </w:r>
      <w:r>
        <w:rPr>
          <w:rFonts w:ascii="Avenir Next" w:hAnsi="Avenir Next" w:cs="Arial"/>
          <w:color w:val="7B7B7B" w:themeColor="accent3" w:themeShade="BF"/>
          <w:sz w:val="22"/>
          <w:szCs w:val="22"/>
          <w:lang w:val="en-GB"/>
        </w:rPr>
        <w:t xml:space="preserve"> following</w:t>
      </w:r>
      <w:r w:rsidR="00973B6F" w:rsidRPr="00973B6F">
        <w:rPr>
          <w:rFonts w:ascii="Avenir Next" w:hAnsi="Avenir Next" w:cs="Arial"/>
          <w:color w:val="7B7B7B" w:themeColor="accent3" w:themeShade="BF"/>
          <w:sz w:val="22"/>
          <w:szCs w:val="22"/>
          <w:lang w:val="en-GB"/>
        </w:rPr>
        <w:t xml:space="preserve"> relief may </w:t>
      </w:r>
      <w:r>
        <w:rPr>
          <w:rFonts w:ascii="Avenir Next" w:hAnsi="Avenir Next" w:cs="Arial"/>
          <w:color w:val="7B7B7B" w:themeColor="accent3" w:themeShade="BF"/>
          <w:sz w:val="22"/>
          <w:szCs w:val="22"/>
          <w:lang w:val="en-GB"/>
        </w:rPr>
        <w:t xml:space="preserve">also </w:t>
      </w:r>
      <w:r w:rsidR="00973B6F" w:rsidRPr="00973B6F">
        <w:rPr>
          <w:rFonts w:ascii="Avenir Next" w:hAnsi="Avenir Next" w:cs="Arial"/>
          <w:color w:val="7B7B7B" w:themeColor="accent3" w:themeShade="BF"/>
          <w:sz w:val="22"/>
          <w:szCs w:val="22"/>
          <w:lang w:val="en-GB"/>
        </w:rPr>
        <w:t>be granted</w:t>
      </w:r>
      <w:r w:rsidR="00973B6F">
        <w:rPr>
          <w:rFonts w:ascii="Avenir Next" w:hAnsi="Avenir Next" w:cs="Arial"/>
          <w:color w:val="7B7B7B" w:themeColor="accent3" w:themeShade="BF"/>
          <w:sz w:val="22"/>
          <w:szCs w:val="22"/>
          <w:lang w:val="en-GB"/>
        </w:rPr>
        <w:t xml:space="preserve"> on a discretionary basis for either foreign main or non-main proceedings:</w:t>
      </w:r>
    </w:p>
    <w:p w14:paraId="1E5F1012" w14:textId="1DAD22BC" w:rsidR="00973B6F" w:rsidRDefault="00C75B57" w:rsidP="00C75B5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authorization of discovery regarding the debtor’s assets and </w:t>
      </w:r>
      <w:proofErr w:type="gramStart"/>
      <w:r>
        <w:rPr>
          <w:rFonts w:ascii="Avenir Next" w:hAnsi="Avenir Next" w:cs="Arial"/>
          <w:color w:val="7B7B7B" w:themeColor="accent3" w:themeShade="BF"/>
          <w:sz w:val="22"/>
          <w:szCs w:val="22"/>
          <w:lang w:val="en-GB"/>
        </w:rPr>
        <w:t>affairs;</w:t>
      </w:r>
      <w:proofErr w:type="gramEnd"/>
    </w:p>
    <w:p w14:paraId="161A3A86" w14:textId="476FC740" w:rsidR="00C75B57" w:rsidRDefault="00C75B57" w:rsidP="00C75B5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administration of the debtor’s US assets to the foreign representative or other </w:t>
      </w:r>
      <w:proofErr w:type="gramStart"/>
      <w:r>
        <w:rPr>
          <w:rFonts w:ascii="Avenir Next" w:hAnsi="Avenir Next" w:cs="Arial"/>
          <w:color w:val="7B7B7B" w:themeColor="accent3" w:themeShade="BF"/>
          <w:sz w:val="22"/>
          <w:szCs w:val="22"/>
          <w:lang w:val="en-GB"/>
        </w:rPr>
        <w:t>person;</w:t>
      </w:r>
      <w:proofErr w:type="gramEnd"/>
    </w:p>
    <w:p w14:paraId="263BCC6D" w14:textId="6C2EC2F6" w:rsidR="00C75B57" w:rsidRDefault="00C75B57" w:rsidP="00C75B5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provisional </w:t>
      </w:r>
      <w:proofErr w:type="gramStart"/>
      <w:r>
        <w:rPr>
          <w:rFonts w:ascii="Avenir Next" w:hAnsi="Avenir Next" w:cs="Arial"/>
          <w:color w:val="7B7B7B" w:themeColor="accent3" w:themeShade="BF"/>
          <w:sz w:val="22"/>
          <w:szCs w:val="22"/>
          <w:lang w:val="en-GB"/>
        </w:rPr>
        <w:t>relief;</w:t>
      </w:r>
      <w:proofErr w:type="gramEnd"/>
    </w:p>
    <w:p w14:paraId="58FA3B78" w14:textId="675E9D41" w:rsidR="00C75B57" w:rsidRDefault="00C75B57" w:rsidP="00C75B57">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[chapter 15] and to protect the assets of the debtor or the interests of creditors.”</w:t>
      </w:r>
    </w:p>
    <w:p w14:paraId="33C3A360" w14:textId="38B93999" w:rsidR="00C75B57" w:rsidRDefault="00C75B57" w:rsidP="00C75B57">
      <w:pPr>
        <w:jc w:val="both"/>
        <w:rPr>
          <w:rFonts w:ascii="Avenir Next" w:hAnsi="Avenir Next" w:cs="Arial"/>
          <w:color w:val="7B7B7B" w:themeColor="accent3" w:themeShade="BF"/>
          <w:sz w:val="22"/>
          <w:szCs w:val="22"/>
          <w:lang w:val="en-GB"/>
        </w:rPr>
      </w:pPr>
    </w:p>
    <w:p w14:paraId="34E37AEC" w14:textId="040B0B2A" w:rsidR="00C75B57" w:rsidRPr="00C75B57" w:rsidRDefault="00C75B57" w:rsidP="00C75B5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above relief is not exhaustive. A court may provide additional assistance under the Bankruptcy Code or other US law consistent with the principle of comity and the values underlying the Bankruptcy Code (as laid out in 11 U.S. Code </w:t>
      </w:r>
      <w:r w:rsidRPr="00FC3C0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1507(b)). However, such assistance is subject to the limitations in </w:t>
      </w:r>
      <w:r w:rsidRPr="00FC3C0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1521(a)(7), which excludes from the rights granted to foreign representatives the use of avoidance powers provided by the Bankruptcy Code.</w:t>
      </w:r>
    </w:p>
    <w:p w14:paraId="34B515A7" w14:textId="77777777" w:rsidR="00973B6F" w:rsidRPr="00973B6F" w:rsidRDefault="00973B6F" w:rsidP="00973B6F">
      <w:pPr>
        <w:jc w:val="both"/>
        <w:rPr>
          <w:rFonts w:ascii="Avenir Next" w:hAnsi="Avenir Next" w:cs="Arial"/>
          <w:color w:val="7B7B7B" w:themeColor="accent3" w:themeShade="BF"/>
          <w:sz w:val="22"/>
          <w:szCs w:val="22"/>
          <w:lang w:val="en-GB"/>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3A65637" w:rsidR="00E41578" w:rsidRDefault="001C417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a fiduciary duty of loyalty to act in the best interests of the Delaware corporation and (b) a duty of care in educated decision-making. The business judgment rule protects directors from liability for errors of judgment. Under the business judgment rule, the board of directors is presumed to have acted in good faith </w:t>
      </w:r>
      <w:proofErr w:type="gramStart"/>
      <w:r>
        <w:rPr>
          <w:rFonts w:ascii="Avenir Next" w:hAnsi="Avenir Next" w:cs="Arial"/>
          <w:color w:val="7B7B7B" w:themeColor="accent3" w:themeShade="BF"/>
          <w:sz w:val="22"/>
          <w:szCs w:val="22"/>
          <w:lang w:val="en-GB"/>
        </w:rPr>
        <w:t>on the basis of</w:t>
      </w:r>
      <w:proofErr w:type="gramEnd"/>
      <w:r>
        <w:rPr>
          <w:rFonts w:ascii="Avenir Next" w:hAnsi="Avenir Next" w:cs="Arial"/>
          <w:color w:val="7B7B7B" w:themeColor="accent3" w:themeShade="BF"/>
          <w:sz w:val="22"/>
          <w:szCs w:val="22"/>
          <w:lang w:val="en-GB"/>
        </w:rPr>
        <w:t xml:space="preserve"> reasonable information. The presumption can be rebutted by showing that </w:t>
      </w:r>
      <w:proofErr w:type="gramStart"/>
      <w:r>
        <w:rPr>
          <w:rFonts w:ascii="Avenir Next" w:hAnsi="Avenir Next" w:cs="Arial"/>
          <w:color w:val="7B7B7B" w:themeColor="accent3" w:themeShade="BF"/>
          <w:sz w:val="22"/>
          <w:szCs w:val="22"/>
          <w:lang w:val="en-GB"/>
        </w:rPr>
        <w:t>a majority of</w:t>
      </w:r>
      <w:proofErr w:type="gramEnd"/>
      <w:r>
        <w:rPr>
          <w:rFonts w:ascii="Avenir Next" w:hAnsi="Avenir Next" w:cs="Arial"/>
          <w:color w:val="7B7B7B" w:themeColor="accent3" w:themeShade="BF"/>
          <w:sz w:val="22"/>
          <w:szCs w:val="22"/>
          <w:lang w:val="en-GB"/>
        </w:rPr>
        <w:t xml:space="preserve"> the board were in fact not reasonably informed, did not honestly believe that their decision was in the corporation’s best interests, or were not acting in good faith.</w:t>
      </w:r>
    </w:p>
    <w:p w14:paraId="7F4660E8" w14:textId="4A0097D2" w:rsidR="001C4170" w:rsidRDefault="001C4170" w:rsidP="00E41578">
      <w:pPr>
        <w:jc w:val="both"/>
        <w:rPr>
          <w:rFonts w:ascii="Avenir Next" w:hAnsi="Avenir Next" w:cs="Arial"/>
          <w:color w:val="7B7B7B" w:themeColor="accent3" w:themeShade="BF"/>
          <w:sz w:val="22"/>
          <w:szCs w:val="22"/>
          <w:lang w:val="en-GB"/>
        </w:rPr>
      </w:pPr>
    </w:p>
    <w:p w14:paraId="13CD30BA" w14:textId="6F3513A0" w:rsidR="001C4170" w:rsidRPr="00E41578" w:rsidRDefault="001C417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owe these duties to the corporation and its shareholders, and not to creditors, even when the corporation is potentially insolvent</w:t>
      </w:r>
      <w:r w:rsidR="005B75BB">
        <w:rPr>
          <w:rFonts w:ascii="Avenir Next" w:hAnsi="Avenir Next" w:cs="Arial"/>
          <w:color w:val="7B7B7B" w:themeColor="accent3" w:themeShade="BF"/>
          <w:sz w:val="22"/>
          <w:szCs w:val="22"/>
          <w:lang w:val="en-GB"/>
        </w:rPr>
        <w:t xml:space="preserve"> such that the shareholders would likely receive nothing in bankruptcy</w:t>
      </w:r>
      <w:r>
        <w:rPr>
          <w:rFonts w:ascii="Avenir Next" w:hAnsi="Avenir Next" w:cs="Arial"/>
          <w:color w:val="7B7B7B" w:themeColor="accent3" w:themeShade="BF"/>
          <w:sz w:val="22"/>
          <w:szCs w:val="22"/>
          <w:lang w:val="en-GB"/>
        </w:rPr>
        <w:t xml:space="preserve">. The Delaware Supreme Court has rejected the suggestion that directors owe duties to creditors when a company is </w:t>
      </w:r>
      <w:proofErr w:type="gramStart"/>
      <w:r>
        <w:rPr>
          <w:rFonts w:ascii="Avenir Next" w:hAnsi="Avenir Next" w:cs="Arial"/>
          <w:color w:val="7B7B7B" w:themeColor="accent3" w:themeShade="BF"/>
          <w:sz w:val="22"/>
          <w:szCs w:val="22"/>
          <w:lang w:val="en-GB"/>
        </w:rPr>
        <w:t>actually insolvent</w:t>
      </w:r>
      <w:proofErr w:type="gramEnd"/>
      <w:r>
        <w:rPr>
          <w:rFonts w:ascii="Avenir Next" w:hAnsi="Avenir Next" w:cs="Arial"/>
          <w:color w:val="7B7B7B" w:themeColor="accent3" w:themeShade="BF"/>
          <w:sz w:val="22"/>
          <w:szCs w:val="22"/>
          <w:lang w:val="en-GB"/>
        </w:rPr>
        <w:t xml:space="preserve"> or operating “in the zone of insolvency”.</w:t>
      </w:r>
      <w:r w:rsidR="0049121E">
        <w:rPr>
          <w:rFonts w:ascii="Avenir Next" w:hAnsi="Avenir Next" w:cs="Arial"/>
          <w:color w:val="7B7B7B" w:themeColor="accent3" w:themeShade="BF"/>
          <w:sz w:val="22"/>
          <w:szCs w:val="22"/>
          <w:lang w:val="en-GB"/>
        </w:rPr>
        <w:t xml:space="preserve"> Therefore, there is no US law equivalent of the “wrongful trading” or “deepening insolvency” concepts.</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43C55EF" w:rsidR="00F03051" w:rsidRDefault="0024558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Creditors may commence an involuntary proceeding against an eligible debtor under either chapter 7 or chapter 11. Involuntary proceedings cannot be commenced under the other chapters</w:t>
      </w:r>
      <w:r w:rsidR="00C61281">
        <w:rPr>
          <w:rFonts w:ascii="Avenir Next" w:hAnsi="Avenir Next" w:cs="Arial"/>
          <w:color w:val="7B7B7B" w:themeColor="accent3" w:themeShade="BF"/>
          <w:sz w:val="22"/>
          <w:szCs w:val="22"/>
          <w:lang w:val="en-GB"/>
        </w:rPr>
        <w:t xml:space="preserve"> or </w:t>
      </w:r>
      <w:r w:rsidR="00C61281">
        <w:rPr>
          <w:rFonts w:ascii="Avenir Next" w:hAnsi="Avenir Next" w:cs="Arial"/>
          <w:color w:val="7B7B7B" w:themeColor="accent3" w:themeShade="BF"/>
          <w:sz w:val="22"/>
          <w:szCs w:val="22"/>
          <w:lang w:val="en-GB"/>
        </w:rPr>
        <w:t>against a farmer, family farmer or not-for-profit corporation</w:t>
      </w:r>
      <w:r>
        <w:rPr>
          <w:rFonts w:ascii="Avenir Next" w:hAnsi="Avenir Next" w:cs="Arial"/>
          <w:color w:val="7B7B7B" w:themeColor="accent3" w:themeShade="BF"/>
          <w:sz w:val="22"/>
          <w:szCs w:val="22"/>
          <w:lang w:val="en-GB"/>
        </w:rPr>
        <w:t>. The number of petitioning creditors required depends on how many non-contingent, non-insider creditors the debtor has: if the debtor has fewer than 12 such creditors, only one petitioning creditor is required to file an involuntary petition; if the debtor has 12 or more such creditors, at least three qualifying creditors must join in the petition.</w:t>
      </w:r>
    </w:p>
    <w:p w14:paraId="51953F73" w14:textId="65B00FEB" w:rsidR="00245584" w:rsidRDefault="00245584" w:rsidP="00F03051">
      <w:pPr>
        <w:jc w:val="both"/>
        <w:rPr>
          <w:rFonts w:ascii="Avenir Next" w:hAnsi="Avenir Next" w:cs="Arial"/>
          <w:color w:val="7B7B7B" w:themeColor="accent3" w:themeShade="BF"/>
          <w:sz w:val="22"/>
          <w:szCs w:val="22"/>
          <w:lang w:val="en-GB"/>
        </w:rPr>
      </w:pPr>
    </w:p>
    <w:p w14:paraId="2E5FA5DB" w14:textId="73503649" w:rsidR="00245584" w:rsidRDefault="0024558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the creditor must have a claim against the debtor that is:</w:t>
      </w:r>
    </w:p>
    <w:p w14:paraId="673F7E3C" w14:textId="39D2A134" w:rsidR="00245584" w:rsidRDefault="00245584" w:rsidP="00245584">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w:t>
      </w:r>
      <w:proofErr w:type="spellStart"/>
      <w:r>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not dependent on the occurrence of a future event. An unmatured debt is not contingent if all requirements for liability (other than the passage of time) have occurred.</w:t>
      </w:r>
    </w:p>
    <w:p w14:paraId="607F1FDB" w14:textId="1F0B992C" w:rsidR="00245584" w:rsidRDefault="00245584" w:rsidP="00245584">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w:t>
      </w:r>
      <w:r w:rsidR="002678D7">
        <w:rPr>
          <w:rFonts w:ascii="Avenir Next" w:hAnsi="Avenir Next" w:cs="Arial"/>
          <w:color w:val="7B7B7B" w:themeColor="accent3" w:themeShade="BF"/>
          <w:sz w:val="22"/>
          <w:szCs w:val="22"/>
          <w:lang w:val="en-GB"/>
        </w:rPr>
        <w:t xml:space="preserve">t </w:t>
      </w:r>
      <w:r>
        <w:rPr>
          <w:rFonts w:ascii="Avenir Next" w:hAnsi="Avenir Next" w:cs="Arial"/>
          <w:color w:val="7B7B7B" w:themeColor="accent3" w:themeShade="BF"/>
          <w:sz w:val="22"/>
          <w:szCs w:val="22"/>
          <w:lang w:val="en-GB"/>
        </w:rPr>
        <w:t xml:space="preserve">the subject of </w:t>
      </w:r>
      <w:r>
        <w:rPr>
          <w:rFonts w:ascii="Avenir Next" w:hAnsi="Avenir Next" w:cs="Arial"/>
          <w:i/>
          <w:iCs/>
          <w:color w:val="7B7B7B" w:themeColor="accent3" w:themeShade="BF"/>
          <w:sz w:val="22"/>
          <w:szCs w:val="22"/>
          <w:lang w:val="en-GB"/>
        </w:rPr>
        <w:t xml:space="preserve">bona fide </w:t>
      </w:r>
      <w:r>
        <w:rPr>
          <w:rFonts w:ascii="Avenir Next" w:hAnsi="Avenir Next" w:cs="Arial"/>
          <w:color w:val="7B7B7B" w:themeColor="accent3" w:themeShade="BF"/>
          <w:sz w:val="22"/>
          <w:szCs w:val="22"/>
          <w:lang w:val="en-GB"/>
        </w:rPr>
        <w:t xml:space="preserve">dispute as to liability or amount. In other words, there is no objectively reasonable basis for a dispute as a matter of fact or law, and a debtor’s subjective belief that the debt is not </w:t>
      </w:r>
      <w:proofErr w:type="gramStart"/>
      <w:r>
        <w:rPr>
          <w:rFonts w:ascii="Avenir Next" w:hAnsi="Avenir Next" w:cs="Arial"/>
          <w:color w:val="7B7B7B" w:themeColor="accent3" w:themeShade="BF"/>
          <w:sz w:val="22"/>
          <w:szCs w:val="22"/>
          <w:lang w:val="en-GB"/>
        </w:rPr>
        <w:t>owed</w:t>
      </w:r>
      <w:proofErr w:type="gramEnd"/>
      <w:r>
        <w:rPr>
          <w:rFonts w:ascii="Avenir Next" w:hAnsi="Avenir Next" w:cs="Arial"/>
          <w:color w:val="7B7B7B" w:themeColor="accent3" w:themeShade="BF"/>
          <w:sz w:val="22"/>
          <w:szCs w:val="22"/>
          <w:lang w:val="en-GB"/>
        </w:rPr>
        <w:t xml:space="preserve"> or the amount claimed is incorrect is insufficient. A dispute as to one claim does not disqualify the application of other undisputed claims held by the same creditor to meet petitioning creditor requirements.</w:t>
      </w:r>
    </w:p>
    <w:p w14:paraId="179D255E" w14:textId="7B256D79" w:rsidR="00245584" w:rsidRDefault="00245584" w:rsidP="00245584">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separately or in the aggregate with all other petitioning creditors’ claims, in the amount of at least USD 16,750</w:t>
      </w:r>
      <w:r w:rsidR="00AC01BE">
        <w:rPr>
          <w:rFonts w:ascii="Avenir Next" w:hAnsi="Avenir Next" w:cs="Arial"/>
          <w:color w:val="7B7B7B" w:themeColor="accent3" w:themeShade="BF"/>
          <w:sz w:val="22"/>
          <w:szCs w:val="22"/>
          <w:lang w:val="en-GB"/>
        </w:rPr>
        <w:t>, which amount is periodically increased because of inflation</w:t>
      </w:r>
      <w:r>
        <w:rPr>
          <w:rFonts w:ascii="Avenir Next" w:hAnsi="Avenir Next" w:cs="Arial"/>
          <w:color w:val="7B7B7B" w:themeColor="accent3" w:themeShade="BF"/>
          <w:sz w:val="22"/>
          <w:szCs w:val="22"/>
          <w:lang w:val="en-GB"/>
        </w:rPr>
        <w:t>.</w:t>
      </w:r>
    </w:p>
    <w:p w14:paraId="3876735B" w14:textId="10E28D0D" w:rsidR="00245584" w:rsidRDefault="00245584" w:rsidP="00245584">
      <w:pPr>
        <w:jc w:val="both"/>
        <w:rPr>
          <w:rFonts w:ascii="Avenir Next" w:hAnsi="Avenir Next" w:cs="Arial"/>
          <w:color w:val="7B7B7B" w:themeColor="accent3" w:themeShade="BF"/>
          <w:sz w:val="22"/>
          <w:szCs w:val="22"/>
          <w:lang w:val="en-GB"/>
        </w:rPr>
      </w:pPr>
    </w:p>
    <w:p w14:paraId="7FA1E710" w14:textId="77777777" w:rsidR="00245584" w:rsidRDefault="00245584" w:rsidP="0024558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petitioning creditor must allege either:</w:t>
      </w:r>
    </w:p>
    <w:p w14:paraId="010B979D" w14:textId="7FDDFBEF" w:rsidR="00245584" w:rsidRDefault="00245584" w:rsidP="00245584">
      <w:pPr>
        <w:pStyle w:val="ListParagraph"/>
        <w:numPr>
          <w:ilvl w:val="0"/>
          <w:numId w:val="37"/>
        </w:numPr>
        <w:jc w:val="both"/>
        <w:rPr>
          <w:rFonts w:ascii="Avenir Next" w:hAnsi="Avenir Next" w:cs="Arial"/>
          <w:color w:val="7B7B7B" w:themeColor="accent3" w:themeShade="BF"/>
          <w:sz w:val="22"/>
          <w:szCs w:val="22"/>
          <w:lang w:val="en-GB"/>
        </w:rPr>
      </w:pPr>
      <w:r w:rsidRPr="00245584">
        <w:rPr>
          <w:rFonts w:ascii="Avenir Next" w:hAnsi="Avenir Next" w:cs="Arial"/>
          <w:color w:val="7B7B7B" w:themeColor="accent3" w:themeShade="BF"/>
          <w:sz w:val="22"/>
          <w:szCs w:val="22"/>
          <w:lang w:val="en-GB"/>
        </w:rPr>
        <w:t xml:space="preserve">that the debtor is generally not paying its debts as they become due unless </w:t>
      </w:r>
      <w:r>
        <w:rPr>
          <w:rFonts w:ascii="Avenir Next" w:hAnsi="Avenir Next" w:cs="Arial"/>
          <w:color w:val="7B7B7B" w:themeColor="accent3" w:themeShade="BF"/>
          <w:sz w:val="22"/>
          <w:szCs w:val="22"/>
          <w:lang w:val="en-GB"/>
        </w:rPr>
        <w:t>they</w:t>
      </w:r>
      <w:r w:rsidRPr="00245584">
        <w:rPr>
          <w:rFonts w:ascii="Avenir Next" w:hAnsi="Avenir Next" w:cs="Arial"/>
          <w:color w:val="7B7B7B" w:themeColor="accent3" w:themeShade="BF"/>
          <w:sz w:val="22"/>
          <w:szCs w:val="22"/>
          <w:lang w:val="en-GB"/>
        </w:rPr>
        <w:t xml:space="preserve"> are the subject of a </w:t>
      </w:r>
      <w:r w:rsidRPr="00245584">
        <w:rPr>
          <w:rFonts w:ascii="Avenir Next" w:hAnsi="Avenir Next" w:cs="Arial"/>
          <w:i/>
          <w:iCs/>
          <w:color w:val="7B7B7B" w:themeColor="accent3" w:themeShade="BF"/>
          <w:sz w:val="22"/>
          <w:szCs w:val="22"/>
          <w:lang w:val="en-GB"/>
        </w:rPr>
        <w:t xml:space="preserve">bona fide </w:t>
      </w:r>
      <w:r w:rsidRPr="00245584">
        <w:rPr>
          <w:rFonts w:ascii="Avenir Next" w:hAnsi="Avenir Next" w:cs="Arial"/>
          <w:color w:val="7B7B7B" w:themeColor="accent3" w:themeShade="BF"/>
          <w:sz w:val="22"/>
          <w:szCs w:val="22"/>
          <w:lang w:val="en-GB"/>
        </w:rPr>
        <w:t xml:space="preserve">dispute as to liability or amount, or </w:t>
      </w:r>
    </w:p>
    <w:p w14:paraId="5E49D861" w14:textId="365F6F6E" w:rsidR="00245584" w:rsidRDefault="00245584" w:rsidP="00245584">
      <w:pPr>
        <w:pStyle w:val="ListParagraph"/>
        <w:numPr>
          <w:ilvl w:val="0"/>
          <w:numId w:val="37"/>
        </w:numPr>
        <w:jc w:val="both"/>
        <w:rPr>
          <w:rFonts w:ascii="Avenir Next" w:hAnsi="Avenir Next" w:cs="Arial"/>
          <w:color w:val="7B7B7B" w:themeColor="accent3" w:themeShade="BF"/>
          <w:sz w:val="22"/>
          <w:szCs w:val="22"/>
          <w:lang w:val="en-GB"/>
        </w:rPr>
      </w:pPr>
      <w:r w:rsidRPr="00245584">
        <w:rPr>
          <w:rFonts w:ascii="Avenir Next" w:hAnsi="Avenir Next" w:cs="Arial"/>
          <w:color w:val="7B7B7B" w:themeColor="accent3" w:themeShade="BF"/>
          <w:sz w:val="22"/>
          <w:szCs w:val="22"/>
          <w:lang w:val="en-GB"/>
        </w:rPr>
        <w:t xml:space="preserve">that </w:t>
      </w:r>
      <w:r>
        <w:rPr>
          <w:rFonts w:ascii="Avenir Next" w:hAnsi="Avenir Next" w:cs="Arial"/>
          <w:color w:val="7B7B7B" w:themeColor="accent3" w:themeShade="BF"/>
          <w:sz w:val="22"/>
          <w:szCs w:val="22"/>
          <w:lang w:val="en-GB"/>
        </w:rPr>
        <w:t xml:space="preserve">within 120 days before the filing of the petition, a custodian, other than a trustee, receiver or an agent appointed or authorized to take charge of less than substantially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property of the debtor for the purpose of enforcing a lien against such property, was appointed or took possession.</w:t>
      </w:r>
    </w:p>
    <w:p w14:paraId="06428CA1" w14:textId="3985BA10" w:rsidR="00336CD0" w:rsidRDefault="00336CD0" w:rsidP="00336CD0">
      <w:pPr>
        <w:jc w:val="both"/>
        <w:rPr>
          <w:rFonts w:ascii="Avenir Next" w:hAnsi="Avenir Next" w:cs="Arial"/>
          <w:color w:val="7B7B7B" w:themeColor="accent3" w:themeShade="BF"/>
          <w:sz w:val="22"/>
          <w:szCs w:val="22"/>
          <w:lang w:val="en-GB"/>
        </w:rPr>
      </w:pPr>
    </w:p>
    <w:p w14:paraId="5A3FB806" w14:textId="38682151" w:rsidR="00336CD0" w:rsidRDefault="00336CD0" w:rsidP="00336C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foreign representative of an estate in a foreign proceeding may commence an involuntary chapter 7 or chapter 11 petition against the debtor even if the foreign proceeding has not been the subject of a petition for recognition under chapter 15.</w:t>
      </w:r>
    </w:p>
    <w:p w14:paraId="0DD2F0C1" w14:textId="706AC4CC" w:rsidR="00336CD0" w:rsidRDefault="00336CD0" w:rsidP="00336CD0">
      <w:pPr>
        <w:jc w:val="both"/>
        <w:rPr>
          <w:rFonts w:ascii="Avenir Next" w:hAnsi="Avenir Next" w:cs="Arial"/>
          <w:color w:val="7B7B7B" w:themeColor="accent3" w:themeShade="BF"/>
          <w:sz w:val="22"/>
          <w:szCs w:val="22"/>
          <w:lang w:val="en-GB"/>
        </w:rPr>
      </w:pPr>
    </w:p>
    <w:p w14:paraId="4B0CB826" w14:textId="2CD1AA1B" w:rsidR="00336CD0" w:rsidRPr="00336CD0" w:rsidRDefault="00336CD0" w:rsidP="00336C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filing of the involuntary proceeding is intended at divesting management of control over the business, the petition should be accompanied by a motion for the appointment of an interim trustee on an expedited basis.</w:t>
      </w:r>
    </w:p>
    <w:p w14:paraId="386F133A" w14:textId="3781D4F2" w:rsidR="0086006D" w:rsidRDefault="0086006D" w:rsidP="0086006D">
      <w:pPr>
        <w:jc w:val="both"/>
        <w:rPr>
          <w:rFonts w:ascii="Avenir Next" w:hAnsi="Avenir Next" w:cs="Arial"/>
          <w:color w:val="7B7B7B" w:themeColor="accent3" w:themeShade="BF"/>
          <w:sz w:val="22"/>
          <w:szCs w:val="22"/>
          <w:lang w:val="en-GB"/>
        </w:rPr>
      </w:pPr>
    </w:p>
    <w:p w14:paraId="0AD31000" w14:textId="4E64BBDA" w:rsidR="0086006D" w:rsidRPr="0086006D" w:rsidRDefault="0086006D" w:rsidP="0086006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filing, the involuntary debtor may seek dismissal of the bankruptcy proceedings by showing that the claims held by the petitioning creditors do not meet the above requirements. Even if the requirements are not met, the court can refuse to dismiss the </w:t>
      </w:r>
      <w:r w:rsidR="00593315">
        <w:rPr>
          <w:rFonts w:ascii="Avenir Next" w:hAnsi="Avenir Next" w:cs="Arial"/>
          <w:color w:val="7B7B7B" w:themeColor="accent3" w:themeShade="BF"/>
          <w:sz w:val="22"/>
          <w:szCs w:val="22"/>
          <w:lang w:val="en-GB"/>
        </w:rPr>
        <w:t xml:space="preserve">proceedings if the debtor is not generally paying undisputed debts as they become due or has, within the preceding 120 days, had a trustee, agent or receiver be appointed or take possession of substantially </w:t>
      </w:r>
      <w:proofErr w:type="gramStart"/>
      <w:r w:rsidR="00593315">
        <w:rPr>
          <w:rFonts w:ascii="Avenir Next" w:hAnsi="Avenir Next" w:cs="Arial"/>
          <w:color w:val="7B7B7B" w:themeColor="accent3" w:themeShade="BF"/>
          <w:sz w:val="22"/>
          <w:szCs w:val="22"/>
          <w:lang w:val="en-GB"/>
        </w:rPr>
        <w:t>all of</w:t>
      </w:r>
      <w:proofErr w:type="gramEnd"/>
      <w:r w:rsidR="00593315">
        <w:rPr>
          <w:rFonts w:ascii="Avenir Next" w:hAnsi="Avenir Next" w:cs="Arial"/>
          <w:color w:val="7B7B7B" w:themeColor="accent3" w:themeShade="BF"/>
          <w:sz w:val="22"/>
          <w:szCs w:val="22"/>
          <w:lang w:val="en-GB"/>
        </w:rPr>
        <w:t xml:space="preserve"> the debtor’s property. If the proceeding is not dismissed, the debtor must then file the required schedules disclosing its assets, including all property, executory contracts, unexpired leases of real and personal property and liabilities, including identifying its secured and 20 largest unsecured claims.</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sidRPr="002466C3">
        <w:rPr>
          <w:rFonts w:ascii="Avenir Next" w:hAnsi="Avenir Next"/>
        </w:rPr>
        <w:t xml:space="preserve">the </w:t>
      </w:r>
      <w:r w:rsidRPr="002466C3">
        <w:rPr>
          <w:rFonts w:ascii="Avenir Next" w:hAnsi="Avenir Next"/>
        </w:rPr>
        <w:t>(</w:t>
      </w:r>
      <w:proofErr w:type="spellStart"/>
      <w:r w:rsidRPr="002466C3">
        <w:rPr>
          <w:rFonts w:ascii="Avenir Next" w:hAnsi="Avenir Next"/>
        </w:rPr>
        <w:t>i</w:t>
      </w:r>
      <w:proofErr w:type="spellEnd"/>
      <w:r w:rsidRPr="002466C3">
        <w:rPr>
          <w:rFonts w:ascii="Avenir Next" w:hAnsi="Avenir Next"/>
        </w:rPr>
        <w:t>) DOJ investigation, (ii) margin loan default; (iii) delinquent lease and (iv) employment discrimi</w:t>
      </w:r>
      <w:r w:rsidRPr="00E01803">
        <w:rPr>
          <w:rFonts w:ascii="Avenir Next" w:hAnsi="Avenir Next"/>
        </w:rPr>
        <w:t>nation lawsuit?</w:t>
      </w:r>
    </w:p>
    <w:p w14:paraId="580E45AA" w14:textId="1D616C00" w:rsidR="00484B73" w:rsidRDefault="00484B73" w:rsidP="000778B1">
      <w:pPr>
        <w:pStyle w:val="AODocTxt"/>
        <w:spacing w:before="0" w:line="240" w:lineRule="auto"/>
        <w:rPr>
          <w:rFonts w:ascii="Avenir Next" w:hAnsi="Avenir Next"/>
        </w:rPr>
      </w:pPr>
    </w:p>
    <w:p w14:paraId="34F5C3C5" w14:textId="58F536B9" w:rsidR="001F6918" w:rsidRDefault="002466C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the filing of a Chapter 11 petition, an estate is created consisting of all of Speculation Inc’s property interests as of the petition date. An automatic stay also becomes effective on the filing of the Chapter 11 petition. The scope of the automatic stay is very broad and applies to any interference with the property of Speculation Inc’s estate anywhere in the world. In particular, the automatic stay will affect the delinquent lease and employment discrimination lawsuit in the following ways:</w:t>
      </w:r>
    </w:p>
    <w:p w14:paraId="7B96D6BD" w14:textId="0D2BC51E" w:rsidR="001F6918" w:rsidRDefault="001F6918" w:rsidP="001F6918">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Speculation Inc’s landlord will not be able to exercise its right to evict </w:t>
      </w:r>
      <w:r w:rsidR="002466C3">
        <w:rPr>
          <w:rFonts w:ascii="Avenir Next" w:hAnsi="Avenir Next" w:cs="Arial"/>
          <w:color w:val="7B7B7B" w:themeColor="accent3" w:themeShade="BF"/>
          <w:sz w:val="22"/>
          <w:szCs w:val="22"/>
          <w:lang w:val="en-GB"/>
        </w:rPr>
        <w:t xml:space="preserve">Speculation Inc </w:t>
      </w:r>
      <w:proofErr w:type="gramStart"/>
      <w:r w:rsidR="002466C3">
        <w:rPr>
          <w:rFonts w:ascii="Avenir Next" w:hAnsi="Avenir Next" w:cs="Arial"/>
          <w:color w:val="7B7B7B" w:themeColor="accent3" w:themeShade="BF"/>
          <w:sz w:val="22"/>
          <w:szCs w:val="22"/>
          <w:lang w:val="en-GB"/>
        </w:rPr>
        <w:t>as a result of</w:t>
      </w:r>
      <w:proofErr w:type="gramEnd"/>
      <w:r w:rsidR="002466C3">
        <w:rPr>
          <w:rFonts w:ascii="Avenir Next" w:hAnsi="Avenir Next" w:cs="Arial"/>
          <w:color w:val="7B7B7B" w:themeColor="accent3" w:themeShade="BF"/>
          <w:sz w:val="22"/>
          <w:szCs w:val="22"/>
          <w:lang w:val="en-GB"/>
        </w:rPr>
        <w:t xml:space="preserve"> the delinquent lease. The landlord will also not be able to attempt any collection of the </w:t>
      </w:r>
      <w:r w:rsidR="007F0D64">
        <w:rPr>
          <w:rFonts w:ascii="Avenir Next" w:hAnsi="Avenir Next" w:cs="Arial"/>
          <w:color w:val="7B7B7B" w:themeColor="accent3" w:themeShade="BF"/>
          <w:sz w:val="22"/>
          <w:szCs w:val="22"/>
          <w:lang w:val="en-GB"/>
        </w:rPr>
        <w:t xml:space="preserve">rental </w:t>
      </w:r>
      <w:r w:rsidR="002466C3">
        <w:rPr>
          <w:rFonts w:ascii="Avenir Next" w:hAnsi="Avenir Next" w:cs="Arial"/>
          <w:color w:val="7B7B7B" w:themeColor="accent3" w:themeShade="BF"/>
          <w:sz w:val="22"/>
          <w:szCs w:val="22"/>
          <w:lang w:val="en-GB"/>
        </w:rPr>
        <w:t>arrears because the Bankruptcy Code prohibits any attempt to collect on pre-petition claims, including through demand letters or calls.</w:t>
      </w:r>
    </w:p>
    <w:p w14:paraId="5C793B3F" w14:textId="23FB5BA3" w:rsidR="00E01803" w:rsidRDefault="00F84956" w:rsidP="000778B1">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employment discrimination lawsuit will be stayed pending the Chapter 11 proceedings.</w:t>
      </w:r>
      <w:r w:rsidR="002466C3">
        <w:rPr>
          <w:rFonts w:ascii="Avenir Next" w:hAnsi="Avenir Next" w:cs="Arial"/>
          <w:color w:val="7B7B7B" w:themeColor="accent3" w:themeShade="BF"/>
          <w:sz w:val="22"/>
          <w:szCs w:val="22"/>
          <w:lang w:val="en-GB"/>
        </w:rPr>
        <w:t xml:space="preserve"> This is because the Bankruptcy Code prohibits litigation on pre-petition claims.</w:t>
      </w:r>
    </w:p>
    <w:p w14:paraId="7CF737DB" w14:textId="54AEFC84" w:rsidR="002466C3" w:rsidRDefault="002466C3" w:rsidP="002466C3">
      <w:pPr>
        <w:jc w:val="both"/>
        <w:rPr>
          <w:rFonts w:ascii="Avenir Next" w:hAnsi="Avenir Next" w:cs="Arial"/>
          <w:color w:val="7B7B7B" w:themeColor="accent3" w:themeShade="BF"/>
          <w:sz w:val="22"/>
          <w:szCs w:val="22"/>
          <w:lang w:val="en-GB"/>
        </w:rPr>
      </w:pPr>
    </w:p>
    <w:p w14:paraId="581A39DB" w14:textId="76460F55" w:rsidR="002466C3" w:rsidRPr="002466C3" w:rsidRDefault="002466C3" w:rsidP="002466C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DOJ investigation will not be affected by the stay because criminal proceedings and regulatory investigations are excluded from the scope of the stay under 11 USC </w:t>
      </w:r>
      <w:r w:rsidRPr="00A1099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362(b)</w:t>
      </w:r>
      <w:r w:rsidR="00164231">
        <w:rPr>
          <w:rFonts w:ascii="Avenir Next" w:hAnsi="Avenir Next" w:cs="Arial"/>
          <w:color w:val="7B7B7B" w:themeColor="accent3" w:themeShade="BF"/>
          <w:sz w:val="22"/>
          <w:szCs w:val="22"/>
          <w:lang w:val="en-GB"/>
        </w:rPr>
        <w:t>(1)</w:t>
      </w:r>
      <w:r>
        <w:rPr>
          <w:rFonts w:ascii="Avenir Next" w:hAnsi="Avenir Next" w:cs="Arial"/>
          <w:color w:val="7B7B7B" w:themeColor="accent3" w:themeShade="BF"/>
          <w:sz w:val="22"/>
          <w:szCs w:val="22"/>
          <w:lang w:val="en-GB"/>
        </w:rPr>
        <w:t>.</w:t>
      </w:r>
      <w:r w:rsidR="00164231">
        <w:rPr>
          <w:rFonts w:ascii="Avenir Next" w:hAnsi="Avenir Next" w:cs="Arial"/>
          <w:color w:val="7B7B7B" w:themeColor="accent3" w:themeShade="BF"/>
          <w:sz w:val="22"/>
          <w:szCs w:val="22"/>
          <w:lang w:val="en-GB"/>
        </w:rPr>
        <w:t xml:space="preserve"> The exercise of rights under a commodity, forward or security contract is also excluded from the scope of the stay under 11 USC </w:t>
      </w:r>
      <w:r w:rsidR="00164231" w:rsidRPr="00A1099C">
        <w:rPr>
          <w:rFonts w:ascii="Avenir Next" w:hAnsi="Avenir Next" w:cs="Arial"/>
          <w:color w:val="7B7B7B" w:themeColor="accent3" w:themeShade="BF"/>
          <w:sz w:val="22"/>
          <w:szCs w:val="22"/>
          <w:lang w:val="en-GB"/>
        </w:rPr>
        <w:t>§</w:t>
      </w:r>
      <w:r w:rsidR="00164231">
        <w:rPr>
          <w:rFonts w:ascii="Avenir Next" w:hAnsi="Avenir Next" w:cs="Arial"/>
          <w:color w:val="7B7B7B" w:themeColor="accent3" w:themeShade="BF"/>
          <w:sz w:val="22"/>
          <w:szCs w:val="22"/>
          <w:lang w:val="en-GB"/>
        </w:rPr>
        <w:t> 362(b)(6).</w:t>
      </w:r>
      <w:r w:rsidR="008508D4">
        <w:rPr>
          <w:rFonts w:ascii="Avenir Next" w:hAnsi="Avenir Next" w:cs="Arial"/>
          <w:color w:val="7B7B7B" w:themeColor="accent3" w:themeShade="BF"/>
          <w:sz w:val="22"/>
          <w:szCs w:val="22"/>
          <w:lang w:val="en-GB"/>
        </w:rPr>
        <w:t xml:space="preserve"> Accordingly, assuming there is a security contract between Speculation Inc and its broker</w:t>
      </w:r>
      <w:r w:rsidR="007E43E4">
        <w:rPr>
          <w:rFonts w:ascii="Avenir Next" w:hAnsi="Avenir Next" w:cs="Arial"/>
          <w:color w:val="7B7B7B" w:themeColor="accent3" w:themeShade="BF"/>
          <w:sz w:val="22"/>
          <w:szCs w:val="22"/>
          <w:lang w:val="en-GB"/>
        </w:rPr>
        <w:t xml:space="preserve"> </w:t>
      </w:r>
      <w:proofErr w:type="gramStart"/>
      <w:r w:rsidR="007E43E4">
        <w:rPr>
          <w:rFonts w:ascii="Avenir Next" w:hAnsi="Avenir Next" w:cs="Arial"/>
          <w:color w:val="7B7B7B" w:themeColor="accent3" w:themeShade="BF"/>
          <w:sz w:val="22"/>
          <w:szCs w:val="22"/>
          <w:lang w:val="en-GB"/>
        </w:rPr>
        <w:t>with regard to</w:t>
      </w:r>
      <w:proofErr w:type="gramEnd"/>
      <w:r w:rsidR="007E43E4">
        <w:rPr>
          <w:rFonts w:ascii="Avenir Next" w:hAnsi="Avenir Next" w:cs="Arial"/>
          <w:color w:val="7B7B7B" w:themeColor="accent3" w:themeShade="BF"/>
          <w:sz w:val="22"/>
          <w:szCs w:val="22"/>
          <w:lang w:val="en-GB"/>
        </w:rPr>
        <w:t xml:space="preserve"> the margin loan default</w:t>
      </w:r>
      <w:r w:rsidR="008508D4">
        <w:rPr>
          <w:rFonts w:ascii="Avenir Next" w:hAnsi="Avenir Next" w:cs="Arial"/>
          <w:color w:val="7B7B7B" w:themeColor="accent3" w:themeShade="BF"/>
          <w:sz w:val="22"/>
          <w:szCs w:val="22"/>
          <w:lang w:val="en-GB"/>
        </w:rPr>
        <w:t>, Speculation Inc’s</w:t>
      </w:r>
      <w:r w:rsidR="008508D4" w:rsidRPr="001F6918">
        <w:rPr>
          <w:rFonts w:ascii="Avenir Next" w:hAnsi="Avenir Next" w:cs="Arial"/>
          <w:color w:val="7B7B7B" w:themeColor="accent3" w:themeShade="BF"/>
          <w:sz w:val="22"/>
          <w:szCs w:val="22"/>
          <w:lang w:val="en-GB"/>
        </w:rPr>
        <w:t xml:space="preserve"> broker will be able to enforce its right to loan repayments </w:t>
      </w:r>
      <w:r w:rsidR="008508D4">
        <w:rPr>
          <w:rFonts w:ascii="Avenir Next" w:hAnsi="Avenir Next" w:cs="Arial"/>
          <w:color w:val="7B7B7B" w:themeColor="accent3" w:themeShade="BF"/>
          <w:sz w:val="22"/>
          <w:szCs w:val="22"/>
          <w:lang w:val="en-GB"/>
        </w:rPr>
        <w:t xml:space="preserve">under the security contract </w:t>
      </w:r>
      <w:r w:rsidR="008508D4" w:rsidRPr="001F6918">
        <w:rPr>
          <w:rFonts w:ascii="Avenir Next" w:hAnsi="Avenir Next" w:cs="Arial"/>
          <w:color w:val="7B7B7B" w:themeColor="accent3" w:themeShade="BF"/>
          <w:sz w:val="22"/>
          <w:szCs w:val="22"/>
          <w:lang w:val="en-GB"/>
        </w:rPr>
        <w:t>by selling the shares held as collateral.</w:t>
      </w: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4580EFD2" w:rsidR="00F03051" w:rsidRDefault="00946A4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the English scheme of arrangement could be recognised by a US bankruptcy court under Chapter 15. This is owing to the minimal requirements of recognition</w:t>
      </w:r>
      <w:r w:rsidR="00F764E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foreign representative must establish that a foreign court or administrative proceeding with respect to the debtor is pending and the foreign representative is empowered to act by the proceeding. A foreign proceeding need not resemble a US bankruptcy to be recognised. A “foreign proceeding” is defined in the Bankruptcy Code as “a collective judicial or administrative proceeding in a foreign country … under a law relating to insolvency or adjustment of debt </w:t>
      </w:r>
      <w:r w:rsidR="00B97767">
        <w:rPr>
          <w:rFonts w:ascii="Avenir Next" w:hAnsi="Avenir Next" w:cs="Arial"/>
          <w:color w:val="7B7B7B" w:themeColor="accent3" w:themeShade="BF"/>
          <w:sz w:val="22"/>
          <w:szCs w:val="22"/>
          <w:lang w:val="en-GB"/>
        </w:rPr>
        <w:t>in which proceeding the assets and affairs of the debtor are subject to control or supervision by a foreign court, for the purpose of reorganization or liquidation”. Under this definition, English schemes of arrangement have been granted recognition.</w:t>
      </w:r>
    </w:p>
    <w:p w14:paraId="3710890B" w14:textId="10663D0C" w:rsidR="00B97767" w:rsidRDefault="00B97767" w:rsidP="00F03051">
      <w:pPr>
        <w:jc w:val="both"/>
        <w:rPr>
          <w:rFonts w:ascii="Avenir Next" w:hAnsi="Avenir Next" w:cs="Arial"/>
          <w:color w:val="7B7B7B" w:themeColor="accent3" w:themeShade="BF"/>
          <w:sz w:val="22"/>
          <w:szCs w:val="22"/>
          <w:lang w:val="en-GB"/>
        </w:rPr>
      </w:pPr>
    </w:p>
    <w:p w14:paraId="3D40A4DD" w14:textId="4B22B208" w:rsidR="00B97767" w:rsidRPr="00E41578" w:rsidRDefault="00B9776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English scheme of arrangement would be recogni</w:t>
      </w:r>
      <w:r w:rsidR="001D344F">
        <w:rPr>
          <w:rFonts w:ascii="Avenir Next" w:hAnsi="Avenir Next" w:cs="Arial"/>
          <w:color w:val="7B7B7B" w:themeColor="accent3" w:themeShade="BF"/>
          <w:sz w:val="22"/>
          <w:szCs w:val="22"/>
          <w:lang w:val="en-GB"/>
        </w:rPr>
        <w:t>z</w:t>
      </w:r>
      <w:r>
        <w:rPr>
          <w:rFonts w:ascii="Avenir Next" w:hAnsi="Avenir Next" w:cs="Arial"/>
          <w:color w:val="7B7B7B" w:themeColor="accent3" w:themeShade="BF"/>
          <w:sz w:val="22"/>
          <w:szCs w:val="22"/>
          <w:lang w:val="en-GB"/>
        </w:rPr>
        <w:t xml:space="preserve">ed as a foreign non-main proceeding because </w:t>
      </w:r>
      <w:r w:rsidR="007C29CD">
        <w:rPr>
          <w:rFonts w:ascii="Avenir Next" w:hAnsi="Avenir Next" w:cs="Arial"/>
          <w:color w:val="7B7B7B" w:themeColor="accent3" w:themeShade="BF"/>
          <w:sz w:val="22"/>
          <w:szCs w:val="22"/>
          <w:lang w:val="en-GB"/>
        </w:rPr>
        <w:t>England is not Stella’s centre of main interests (COMI).</w:t>
      </w:r>
      <w:r w:rsidR="006A463D">
        <w:rPr>
          <w:rFonts w:ascii="Avenir Next" w:hAnsi="Avenir Next" w:cs="Arial"/>
          <w:color w:val="7B7B7B" w:themeColor="accent3" w:themeShade="BF"/>
          <w:sz w:val="22"/>
          <w:szCs w:val="22"/>
          <w:lang w:val="en-GB"/>
        </w:rPr>
        <w:t xml:space="preserve"> There is a rebuttable presumption </w:t>
      </w:r>
      <w:r w:rsidR="00483B05">
        <w:rPr>
          <w:rFonts w:ascii="Avenir Next" w:hAnsi="Avenir Next" w:cs="Arial"/>
          <w:color w:val="7B7B7B" w:themeColor="accent3" w:themeShade="BF"/>
          <w:sz w:val="22"/>
          <w:szCs w:val="22"/>
          <w:lang w:val="en-GB"/>
        </w:rPr>
        <w:t xml:space="preserve">in 11 USC </w:t>
      </w:r>
      <w:r w:rsidR="00483B05" w:rsidRPr="00A1099C">
        <w:rPr>
          <w:rFonts w:ascii="Avenir Next" w:hAnsi="Avenir Next" w:cs="Arial"/>
          <w:color w:val="7B7B7B" w:themeColor="accent3" w:themeShade="BF"/>
          <w:sz w:val="22"/>
          <w:szCs w:val="22"/>
          <w:lang w:val="en-GB"/>
        </w:rPr>
        <w:t>§</w:t>
      </w:r>
      <w:r w:rsidR="00483B05">
        <w:rPr>
          <w:rFonts w:ascii="Avenir Next" w:hAnsi="Avenir Next" w:cs="Arial"/>
          <w:color w:val="7B7B7B" w:themeColor="accent3" w:themeShade="BF"/>
          <w:sz w:val="22"/>
          <w:szCs w:val="22"/>
          <w:lang w:val="en-GB"/>
        </w:rPr>
        <w:t xml:space="preserve"> 1516(c) </w:t>
      </w:r>
      <w:r w:rsidR="006A463D">
        <w:rPr>
          <w:rFonts w:ascii="Avenir Next" w:hAnsi="Avenir Next" w:cs="Arial"/>
          <w:color w:val="7B7B7B" w:themeColor="accent3" w:themeShade="BF"/>
          <w:sz w:val="22"/>
          <w:szCs w:val="22"/>
          <w:lang w:val="en-GB"/>
        </w:rPr>
        <w:t xml:space="preserve">that a debtor’s COMI is its place of incorporation. To determine the COMI, the following factors are relevant: (a) location of headquarters, (b) location of management, (c) location of primary assets, (d) location of </w:t>
      </w:r>
      <w:proofErr w:type="gramStart"/>
      <w:r w:rsidR="006A463D">
        <w:rPr>
          <w:rFonts w:ascii="Avenir Next" w:hAnsi="Avenir Next" w:cs="Arial"/>
          <w:color w:val="7B7B7B" w:themeColor="accent3" w:themeShade="BF"/>
          <w:sz w:val="22"/>
          <w:szCs w:val="22"/>
          <w:lang w:val="en-GB"/>
        </w:rPr>
        <w:t>a majority of</w:t>
      </w:r>
      <w:proofErr w:type="gramEnd"/>
      <w:r w:rsidR="006A463D">
        <w:rPr>
          <w:rFonts w:ascii="Avenir Next" w:hAnsi="Avenir Next" w:cs="Arial"/>
          <w:color w:val="7B7B7B" w:themeColor="accent3" w:themeShade="BF"/>
          <w:sz w:val="22"/>
          <w:szCs w:val="22"/>
          <w:lang w:val="en-GB"/>
        </w:rPr>
        <w:t xml:space="preserve"> debtor’s creditors or a majority of the creditors that will be affected by the relief requested by the foreign representative, and (e) jurisdiction whose law will apply to most disputes. </w:t>
      </w:r>
      <w:r w:rsidR="00F11944">
        <w:rPr>
          <w:rFonts w:ascii="Avenir Next" w:hAnsi="Avenir Next" w:cs="Arial"/>
          <w:color w:val="7B7B7B" w:themeColor="accent3" w:themeShade="BF"/>
          <w:sz w:val="22"/>
          <w:szCs w:val="22"/>
          <w:lang w:val="en-GB"/>
        </w:rPr>
        <w:t xml:space="preserve">Stella’s place of incorporation is </w:t>
      </w:r>
      <w:proofErr w:type="gramStart"/>
      <w:r w:rsidR="00F11944">
        <w:rPr>
          <w:rFonts w:ascii="Avenir Next" w:hAnsi="Avenir Next" w:cs="Arial"/>
          <w:color w:val="7B7B7B" w:themeColor="accent3" w:themeShade="BF"/>
          <w:sz w:val="22"/>
          <w:szCs w:val="22"/>
          <w:lang w:val="en-GB"/>
        </w:rPr>
        <w:t>France,</w:t>
      </w:r>
      <w:proofErr w:type="gramEnd"/>
      <w:r w:rsidR="00F11944">
        <w:rPr>
          <w:rFonts w:ascii="Avenir Next" w:hAnsi="Avenir Next" w:cs="Arial"/>
          <w:color w:val="7B7B7B" w:themeColor="accent3" w:themeShade="BF"/>
          <w:sz w:val="22"/>
          <w:szCs w:val="22"/>
          <w:lang w:val="en-GB"/>
        </w:rPr>
        <w:t xml:space="preserve"> therefore the COMI is presumed to be France. This presumption is not rebutted on the facts. It is true that English law applies to disputes regarding Stella’s funding, namely the bank loan and the Eurobonds. However, Stella’s headquarters is in France – another factor in favour of finding that France is Stella’s COMI. Moreover, Stella has operations throughout Europe, </w:t>
      </w:r>
      <w:proofErr w:type="gramStart"/>
      <w:r w:rsidR="00F11944">
        <w:rPr>
          <w:rFonts w:ascii="Avenir Next" w:hAnsi="Avenir Next" w:cs="Arial"/>
          <w:color w:val="7B7B7B" w:themeColor="accent3" w:themeShade="BF"/>
          <w:sz w:val="22"/>
          <w:szCs w:val="22"/>
          <w:lang w:val="en-GB"/>
        </w:rPr>
        <w:t>Asia</w:t>
      </w:r>
      <w:proofErr w:type="gramEnd"/>
      <w:r w:rsidR="00F11944">
        <w:rPr>
          <w:rFonts w:ascii="Avenir Next" w:hAnsi="Avenir Next" w:cs="Arial"/>
          <w:color w:val="7B7B7B" w:themeColor="accent3" w:themeShade="BF"/>
          <w:sz w:val="22"/>
          <w:szCs w:val="22"/>
          <w:lang w:val="en-GB"/>
        </w:rPr>
        <w:t xml:space="preserve"> and North America, with its manufacturing </w:t>
      </w:r>
      <w:r w:rsidR="00000826">
        <w:rPr>
          <w:rFonts w:ascii="Avenir Next" w:hAnsi="Avenir Next" w:cs="Arial"/>
          <w:color w:val="7B7B7B" w:themeColor="accent3" w:themeShade="BF"/>
          <w:sz w:val="22"/>
          <w:szCs w:val="22"/>
          <w:lang w:val="en-GB"/>
        </w:rPr>
        <w:t xml:space="preserve">operations taking place </w:t>
      </w:r>
      <w:r w:rsidR="00F11944">
        <w:rPr>
          <w:rFonts w:ascii="Avenir Next" w:hAnsi="Avenir Next" w:cs="Arial"/>
          <w:color w:val="7B7B7B" w:themeColor="accent3" w:themeShade="BF"/>
          <w:sz w:val="22"/>
          <w:szCs w:val="22"/>
          <w:lang w:val="en-GB"/>
        </w:rPr>
        <w:t xml:space="preserve">in Italy. </w:t>
      </w:r>
      <w:r w:rsidR="009552CC">
        <w:rPr>
          <w:rFonts w:ascii="Avenir Next" w:hAnsi="Avenir Next" w:cs="Arial"/>
          <w:color w:val="7B7B7B" w:themeColor="accent3" w:themeShade="BF"/>
          <w:sz w:val="22"/>
          <w:szCs w:val="22"/>
          <w:lang w:val="en-GB"/>
        </w:rPr>
        <w:t xml:space="preserve">From this, it can be inferred that Stella’s primary assets, such as its manufacturing equipment, </w:t>
      </w:r>
      <w:proofErr w:type="gramStart"/>
      <w:r w:rsidR="00A9019A">
        <w:rPr>
          <w:rFonts w:ascii="Avenir Next" w:hAnsi="Avenir Next" w:cs="Arial"/>
          <w:color w:val="7B7B7B" w:themeColor="accent3" w:themeShade="BF"/>
          <w:sz w:val="22"/>
          <w:szCs w:val="22"/>
          <w:lang w:val="en-GB"/>
        </w:rPr>
        <w:t>are</w:t>
      </w:r>
      <w:r w:rsidR="009552CC">
        <w:rPr>
          <w:rFonts w:ascii="Avenir Next" w:hAnsi="Avenir Next" w:cs="Arial"/>
          <w:color w:val="7B7B7B" w:themeColor="accent3" w:themeShade="BF"/>
          <w:sz w:val="22"/>
          <w:szCs w:val="22"/>
          <w:lang w:val="en-GB"/>
        </w:rPr>
        <w:t xml:space="preserve"> located in</w:t>
      </w:r>
      <w:proofErr w:type="gramEnd"/>
      <w:r w:rsidR="009552CC">
        <w:rPr>
          <w:rFonts w:ascii="Avenir Next" w:hAnsi="Avenir Next" w:cs="Arial"/>
          <w:color w:val="7B7B7B" w:themeColor="accent3" w:themeShade="BF"/>
          <w:sz w:val="22"/>
          <w:szCs w:val="22"/>
          <w:lang w:val="en-GB"/>
        </w:rPr>
        <w:t xml:space="preserve"> Italy. </w:t>
      </w:r>
      <w:r w:rsidR="00F11944">
        <w:rPr>
          <w:rFonts w:ascii="Avenir Next" w:hAnsi="Avenir Next" w:cs="Arial"/>
          <w:color w:val="7B7B7B" w:themeColor="accent3" w:themeShade="BF"/>
          <w:sz w:val="22"/>
          <w:szCs w:val="22"/>
          <w:lang w:val="en-GB"/>
        </w:rPr>
        <w:t xml:space="preserve">Based on </w:t>
      </w:r>
      <w:r w:rsidR="009552CC">
        <w:rPr>
          <w:rFonts w:ascii="Avenir Next" w:hAnsi="Avenir Next" w:cs="Arial"/>
          <w:color w:val="7B7B7B" w:themeColor="accent3" w:themeShade="BF"/>
          <w:sz w:val="22"/>
          <w:szCs w:val="22"/>
          <w:lang w:val="en-GB"/>
        </w:rPr>
        <w:t>the totality of the facts, the presumption that Stella’s COMI is France is not rebutted.</w:t>
      </w:r>
      <w:r w:rsidR="004A1DD8">
        <w:rPr>
          <w:rFonts w:ascii="Avenir Next" w:hAnsi="Avenir Next" w:cs="Arial"/>
          <w:color w:val="7B7B7B" w:themeColor="accent3" w:themeShade="BF"/>
          <w:sz w:val="22"/>
          <w:szCs w:val="22"/>
          <w:lang w:val="en-GB"/>
        </w:rPr>
        <w:t xml:space="preserve"> The fact that Stella’s products are sold in England, however, shows that Stella has an establishment – a place where Stella carrie</w:t>
      </w:r>
      <w:r w:rsidR="00942315">
        <w:rPr>
          <w:rFonts w:ascii="Avenir Next" w:hAnsi="Avenir Next" w:cs="Arial"/>
          <w:color w:val="7B7B7B" w:themeColor="accent3" w:themeShade="BF"/>
          <w:sz w:val="22"/>
          <w:szCs w:val="22"/>
          <w:lang w:val="en-GB"/>
        </w:rPr>
        <w:t>s</w:t>
      </w:r>
      <w:r w:rsidR="004A1DD8">
        <w:rPr>
          <w:rFonts w:ascii="Avenir Next" w:hAnsi="Avenir Next" w:cs="Arial"/>
          <w:color w:val="7B7B7B" w:themeColor="accent3" w:themeShade="BF"/>
          <w:sz w:val="22"/>
          <w:szCs w:val="22"/>
          <w:lang w:val="en-GB"/>
        </w:rPr>
        <w:t xml:space="preserve"> out non-transitory economic activity – in England under 11 USC </w:t>
      </w:r>
      <w:r w:rsidR="004A1DD8" w:rsidRPr="00A1099C">
        <w:rPr>
          <w:rFonts w:ascii="Avenir Next" w:hAnsi="Avenir Next" w:cs="Arial"/>
          <w:color w:val="7B7B7B" w:themeColor="accent3" w:themeShade="BF"/>
          <w:sz w:val="22"/>
          <w:szCs w:val="22"/>
          <w:lang w:val="en-GB"/>
        </w:rPr>
        <w:t>§</w:t>
      </w:r>
      <w:r w:rsidR="004A1DD8">
        <w:rPr>
          <w:rFonts w:ascii="Avenir Next" w:hAnsi="Avenir Next" w:cs="Arial"/>
          <w:color w:val="7B7B7B" w:themeColor="accent3" w:themeShade="BF"/>
          <w:sz w:val="22"/>
          <w:szCs w:val="22"/>
          <w:lang w:val="en-GB"/>
        </w:rPr>
        <w:t xml:space="preserve"> 1502(2). Accordingly, the English scheme of arrangement would be recognized by a US bankruptcy court as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C8093E3" w:rsidR="00F03051" w:rsidRPr="00E41578" w:rsidRDefault="00A1099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an executory contract. This is because, assuming that there are still years left on the 10-year exclusive license, there would be material unperformed obligations on both sides. These obligations are (a)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obligation to grant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exclusivity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and (b) </w:t>
      </w:r>
      <w:proofErr w:type="spellStart"/>
      <w:r>
        <w:rPr>
          <w:rFonts w:ascii="Avenir Next" w:hAnsi="Avenir Next" w:cs="Arial"/>
          <w:color w:val="7B7B7B" w:themeColor="accent3" w:themeShade="BF"/>
          <w:sz w:val="22"/>
          <w:szCs w:val="22"/>
          <w:lang w:val="en-GB"/>
        </w:rPr>
        <w:t>GameMart’s</w:t>
      </w:r>
      <w:proofErr w:type="spellEnd"/>
      <w:r>
        <w:rPr>
          <w:rFonts w:ascii="Avenir Next" w:hAnsi="Avenir Next" w:cs="Arial"/>
          <w:color w:val="7B7B7B" w:themeColor="accent3" w:themeShade="BF"/>
          <w:sz w:val="22"/>
          <w:szCs w:val="22"/>
          <w:lang w:val="en-GB"/>
        </w:rPr>
        <w:t xml:space="preserve"> obligation to pay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monthly royalties.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5FA363B2" w:rsidR="00F03051" w:rsidRPr="00A1099C" w:rsidRDefault="00A1099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as part of 363 sale without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 This is due to </w:t>
      </w:r>
      <w:r w:rsidR="004A1DD8">
        <w:rPr>
          <w:rFonts w:ascii="Avenir Next" w:hAnsi="Avenir Next" w:cs="Arial"/>
          <w:color w:val="7B7B7B" w:themeColor="accent3" w:themeShade="BF"/>
          <w:sz w:val="22"/>
          <w:szCs w:val="22"/>
          <w:lang w:val="en-GB"/>
        </w:rPr>
        <w:t xml:space="preserve">11 USC </w:t>
      </w:r>
      <w:r w:rsidRPr="00A1099C">
        <w:rPr>
          <w:rFonts w:ascii="Avenir Next" w:hAnsi="Avenir Next" w:cs="Arial"/>
          <w:color w:val="7B7B7B" w:themeColor="accent3" w:themeShade="BF"/>
          <w:sz w:val="22"/>
          <w:szCs w:val="22"/>
          <w:lang w:val="en-GB"/>
        </w:rPr>
        <w:t>§ 365(c)</w:t>
      </w:r>
      <w:r>
        <w:rPr>
          <w:rFonts w:ascii="Avenir Next" w:hAnsi="Avenir Next" w:cs="Arial"/>
          <w:color w:val="7B7B7B" w:themeColor="accent3" w:themeShade="BF"/>
          <w:sz w:val="22"/>
          <w:szCs w:val="22"/>
          <w:lang w:val="en-GB"/>
        </w:rPr>
        <w:t xml:space="preserve">, which provides that counterparty consent is required where substantive non-bankruptcy law, such as intellectual property licensing law, provides that the counterparty cannot be compelled to accept performance from a transferee. Thus, a licensee of a third-party’s intellectual property, in this case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assign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without the licensor’s consent, </w:t>
      </w:r>
      <w:proofErr w:type="spellStart"/>
      <w:r>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542F3C68" w:rsidR="00E01803" w:rsidRDefault="00A1099C" w:rsidP="000778B1">
      <w:pPr>
        <w:pStyle w:val="AODocTxt"/>
        <w:spacing w:before="0" w:line="240" w:lineRule="auto"/>
        <w:rPr>
          <w:rFonts w:ascii="Avenir Next" w:hAnsi="Avenir Next"/>
        </w:rPr>
      </w:pPr>
      <w:r>
        <w:rPr>
          <w:rFonts w:ascii="Avenir Next" w:hAnsi="Avenir Next" w:cs="Arial"/>
          <w:color w:val="7B7B7B" w:themeColor="accent3" w:themeShade="BF"/>
          <w:lang w:val="en-GB"/>
        </w:rPr>
        <w:t xml:space="preserve">No, </w:t>
      </w:r>
      <w:proofErr w:type="spellStart"/>
      <w:r>
        <w:rPr>
          <w:rFonts w:ascii="Avenir Next" w:hAnsi="Avenir Next" w:cs="Arial"/>
          <w:color w:val="7B7B7B" w:themeColor="accent3" w:themeShade="BF"/>
          <w:lang w:val="en-GB"/>
        </w:rPr>
        <w:t>GameMart</w:t>
      </w:r>
      <w:proofErr w:type="spellEnd"/>
      <w:r>
        <w:rPr>
          <w:rFonts w:ascii="Avenir Next" w:hAnsi="Avenir Next" w:cs="Arial"/>
          <w:color w:val="7B7B7B" w:themeColor="accent3" w:themeShade="BF"/>
          <w:lang w:val="en-GB"/>
        </w:rPr>
        <w:t xml:space="preserve"> cannot transfer the factory lease as part of 363 sale without Land Corp’s consent. </w:t>
      </w:r>
      <w:r w:rsidR="00BA0D42">
        <w:rPr>
          <w:rFonts w:ascii="Avenir Next" w:hAnsi="Avenir Next" w:cs="Arial"/>
          <w:color w:val="7B7B7B" w:themeColor="accent3" w:themeShade="BF"/>
          <w:lang w:val="en-GB"/>
        </w:rPr>
        <w:t>This is because the lease with Land Corp prohibits assignment without Land Corp’s consent.</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4476" w14:textId="77777777" w:rsidR="00FA66F5" w:rsidRDefault="00FA66F5" w:rsidP="00241B44">
      <w:r>
        <w:separator/>
      </w:r>
    </w:p>
  </w:endnote>
  <w:endnote w:type="continuationSeparator" w:id="0">
    <w:p w14:paraId="77A3B322" w14:textId="77777777" w:rsidR="00FA66F5" w:rsidRDefault="00FA66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080B57A" w:rsidR="00241FA3" w:rsidRPr="00494B81" w:rsidRDefault="003C5A00" w:rsidP="009B4976">
    <w:pPr>
      <w:pStyle w:val="Footer"/>
      <w:ind w:right="360"/>
      <w:rPr>
        <w:rFonts w:ascii="Avenir Next" w:hAnsi="Avenir Next" w:cs="Arial"/>
        <w:sz w:val="22"/>
        <w:szCs w:val="22"/>
        <w:lang w:val="en-GB"/>
      </w:rPr>
    </w:pPr>
    <w:r>
      <w:rPr>
        <w:rFonts w:ascii="Avenir Next" w:hAnsi="Avenir Next" w:cs="Arial"/>
        <w:sz w:val="22"/>
        <w:szCs w:val="22"/>
        <w:lang w:val="en-GB"/>
      </w:rPr>
      <w:t>202223-994</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CCC0" w14:textId="77777777" w:rsidR="00FA66F5" w:rsidRDefault="00FA66F5" w:rsidP="00241B44">
      <w:r>
        <w:separator/>
      </w:r>
    </w:p>
  </w:footnote>
  <w:footnote w:type="continuationSeparator" w:id="0">
    <w:p w14:paraId="7D2F84A5" w14:textId="77777777" w:rsidR="00FA66F5" w:rsidRDefault="00FA66F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D5C"/>
    <w:multiLevelType w:val="hybridMultilevel"/>
    <w:tmpl w:val="6BCC12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0A9C"/>
    <w:multiLevelType w:val="hybridMultilevel"/>
    <w:tmpl w:val="402C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44CDB"/>
    <w:multiLevelType w:val="hybridMultilevel"/>
    <w:tmpl w:val="0E8098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521D6"/>
    <w:multiLevelType w:val="hybridMultilevel"/>
    <w:tmpl w:val="5D8053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C5F1F"/>
    <w:multiLevelType w:val="hybridMultilevel"/>
    <w:tmpl w:val="481A94E0"/>
    <w:lvl w:ilvl="0" w:tplc="F38000A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90EDB"/>
    <w:multiLevelType w:val="hybridMultilevel"/>
    <w:tmpl w:val="705AA2F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3EF0DA0"/>
    <w:multiLevelType w:val="hybridMultilevel"/>
    <w:tmpl w:val="F93AEC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008359">
    <w:abstractNumId w:val="26"/>
  </w:num>
  <w:num w:numId="2" w16cid:durableId="1290278143">
    <w:abstractNumId w:val="29"/>
  </w:num>
  <w:num w:numId="3" w16cid:durableId="1998147895">
    <w:abstractNumId w:val="8"/>
  </w:num>
  <w:num w:numId="4" w16cid:durableId="56051827">
    <w:abstractNumId w:val="12"/>
  </w:num>
  <w:num w:numId="5" w16cid:durableId="65611486">
    <w:abstractNumId w:val="14"/>
  </w:num>
  <w:num w:numId="6" w16cid:durableId="761293256">
    <w:abstractNumId w:val="34"/>
  </w:num>
  <w:num w:numId="7" w16cid:durableId="1005204474">
    <w:abstractNumId w:val="9"/>
  </w:num>
  <w:num w:numId="8" w16cid:durableId="993606198">
    <w:abstractNumId w:val="36"/>
  </w:num>
  <w:num w:numId="9" w16cid:durableId="23486652">
    <w:abstractNumId w:val="15"/>
  </w:num>
  <w:num w:numId="10" w16cid:durableId="395664449">
    <w:abstractNumId w:val="28"/>
  </w:num>
  <w:num w:numId="11" w16cid:durableId="2060549273">
    <w:abstractNumId w:val="17"/>
  </w:num>
  <w:num w:numId="12" w16cid:durableId="67851784">
    <w:abstractNumId w:val="25"/>
  </w:num>
  <w:num w:numId="13" w16cid:durableId="357857272">
    <w:abstractNumId w:val="0"/>
  </w:num>
  <w:num w:numId="14" w16cid:durableId="1908566945">
    <w:abstractNumId w:val="13"/>
  </w:num>
  <w:num w:numId="15" w16cid:durableId="1417939332">
    <w:abstractNumId w:val="21"/>
  </w:num>
  <w:num w:numId="16" w16cid:durableId="679502619">
    <w:abstractNumId w:val="11"/>
  </w:num>
  <w:num w:numId="17" w16cid:durableId="617873934">
    <w:abstractNumId w:val="6"/>
  </w:num>
  <w:num w:numId="18" w16cid:durableId="1484616269">
    <w:abstractNumId w:val="4"/>
  </w:num>
  <w:num w:numId="19" w16cid:durableId="1539079573">
    <w:abstractNumId w:val="30"/>
  </w:num>
  <w:num w:numId="20" w16cid:durableId="1347976606">
    <w:abstractNumId w:val="10"/>
  </w:num>
  <w:num w:numId="21" w16cid:durableId="1548177702">
    <w:abstractNumId w:val="27"/>
  </w:num>
  <w:num w:numId="22" w16cid:durableId="1212229600">
    <w:abstractNumId w:val="37"/>
  </w:num>
  <w:num w:numId="23" w16cid:durableId="1246233434">
    <w:abstractNumId w:val="16"/>
  </w:num>
  <w:num w:numId="24" w16cid:durableId="1897202597">
    <w:abstractNumId w:val="31"/>
  </w:num>
  <w:num w:numId="25" w16cid:durableId="1656832765">
    <w:abstractNumId w:val="22"/>
  </w:num>
  <w:num w:numId="26" w16cid:durableId="814251441">
    <w:abstractNumId w:val="23"/>
  </w:num>
  <w:num w:numId="27" w16cid:durableId="940262140">
    <w:abstractNumId w:val="18"/>
  </w:num>
  <w:num w:numId="28" w16cid:durableId="554780134">
    <w:abstractNumId w:val="35"/>
  </w:num>
  <w:num w:numId="29" w16cid:durableId="1568757792">
    <w:abstractNumId w:val="2"/>
  </w:num>
  <w:num w:numId="30" w16cid:durableId="987057396">
    <w:abstractNumId w:val="19"/>
  </w:num>
  <w:num w:numId="31" w16cid:durableId="729427050">
    <w:abstractNumId w:val="24"/>
  </w:num>
  <w:num w:numId="32" w16cid:durableId="888227740">
    <w:abstractNumId w:val="20"/>
  </w:num>
  <w:num w:numId="33" w16cid:durableId="1115909775">
    <w:abstractNumId w:val="1"/>
  </w:num>
  <w:num w:numId="34" w16cid:durableId="1351571131">
    <w:abstractNumId w:val="33"/>
  </w:num>
  <w:num w:numId="35" w16cid:durableId="1813986784">
    <w:abstractNumId w:val="5"/>
  </w:num>
  <w:num w:numId="36" w16cid:durableId="1300381507">
    <w:abstractNumId w:val="32"/>
  </w:num>
  <w:num w:numId="37" w16cid:durableId="1022511937">
    <w:abstractNumId w:val="7"/>
  </w:num>
  <w:num w:numId="38" w16cid:durableId="3745515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26"/>
    <w:rsid w:val="00010BA0"/>
    <w:rsid w:val="00020557"/>
    <w:rsid w:val="00021FC2"/>
    <w:rsid w:val="00022E00"/>
    <w:rsid w:val="000250C7"/>
    <w:rsid w:val="00026F16"/>
    <w:rsid w:val="000346E7"/>
    <w:rsid w:val="00037621"/>
    <w:rsid w:val="00037671"/>
    <w:rsid w:val="000418D8"/>
    <w:rsid w:val="00042C87"/>
    <w:rsid w:val="00044D46"/>
    <w:rsid w:val="00045088"/>
    <w:rsid w:val="00045904"/>
    <w:rsid w:val="000502FD"/>
    <w:rsid w:val="00065166"/>
    <w:rsid w:val="000668B9"/>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64231"/>
    <w:rsid w:val="00180548"/>
    <w:rsid w:val="00180AC4"/>
    <w:rsid w:val="00180CCE"/>
    <w:rsid w:val="0018267A"/>
    <w:rsid w:val="00182779"/>
    <w:rsid w:val="001830DF"/>
    <w:rsid w:val="001966D9"/>
    <w:rsid w:val="00197E4B"/>
    <w:rsid w:val="001A7E9A"/>
    <w:rsid w:val="001B0F70"/>
    <w:rsid w:val="001B5016"/>
    <w:rsid w:val="001C4170"/>
    <w:rsid w:val="001C45FC"/>
    <w:rsid w:val="001D0469"/>
    <w:rsid w:val="001D344F"/>
    <w:rsid w:val="001D4096"/>
    <w:rsid w:val="001D4862"/>
    <w:rsid w:val="001E25B9"/>
    <w:rsid w:val="001E49E0"/>
    <w:rsid w:val="001E7B5A"/>
    <w:rsid w:val="001F6918"/>
    <w:rsid w:val="001F7412"/>
    <w:rsid w:val="00202DFE"/>
    <w:rsid w:val="0020725B"/>
    <w:rsid w:val="002110F1"/>
    <w:rsid w:val="002141DF"/>
    <w:rsid w:val="00223917"/>
    <w:rsid w:val="0024116D"/>
    <w:rsid w:val="00241B44"/>
    <w:rsid w:val="00241FA3"/>
    <w:rsid w:val="00245584"/>
    <w:rsid w:val="00245EFB"/>
    <w:rsid w:val="002466C3"/>
    <w:rsid w:val="0025386E"/>
    <w:rsid w:val="00256B74"/>
    <w:rsid w:val="002638B0"/>
    <w:rsid w:val="0026647A"/>
    <w:rsid w:val="002668D3"/>
    <w:rsid w:val="002678D7"/>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365"/>
    <w:rsid w:val="002D6789"/>
    <w:rsid w:val="002D78C5"/>
    <w:rsid w:val="002F1956"/>
    <w:rsid w:val="002F2A78"/>
    <w:rsid w:val="002F3440"/>
    <w:rsid w:val="002F75A3"/>
    <w:rsid w:val="00301D2B"/>
    <w:rsid w:val="00303C2F"/>
    <w:rsid w:val="003144EF"/>
    <w:rsid w:val="00323167"/>
    <w:rsid w:val="00325A8F"/>
    <w:rsid w:val="00326292"/>
    <w:rsid w:val="00326415"/>
    <w:rsid w:val="00330937"/>
    <w:rsid w:val="00330F31"/>
    <w:rsid w:val="00334648"/>
    <w:rsid w:val="00336CD0"/>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A79D1"/>
    <w:rsid w:val="003B170F"/>
    <w:rsid w:val="003B3C5F"/>
    <w:rsid w:val="003B7184"/>
    <w:rsid w:val="003C3388"/>
    <w:rsid w:val="003C4471"/>
    <w:rsid w:val="003C53FE"/>
    <w:rsid w:val="003C5A00"/>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2A49"/>
    <w:rsid w:val="004830F8"/>
    <w:rsid w:val="00483B05"/>
    <w:rsid w:val="00484B73"/>
    <w:rsid w:val="0049121E"/>
    <w:rsid w:val="00491675"/>
    <w:rsid w:val="00493855"/>
    <w:rsid w:val="00494B81"/>
    <w:rsid w:val="00495E79"/>
    <w:rsid w:val="004967A1"/>
    <w:rsid w:val="004A1DD8"/>
    <w:rsid w:val="004A316D"/>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3315"/>
    <w:rsid w:val="005A0CCA"/>
    <w:rsid w:val="005A6FF2"/>
    <w:rsid w:val="005A726D"/>
    <w:rsid w:val="005B67AC"/>
    <w:rsid w:val="005B75BB"/>
    <w:rsid w:val="005B79F4"/>
    <w:rsid w:val="005D1293"/>
    <w:rsid w:val="005D43E0"/>
    <w:rsid w:val="005D58A3"/>
    <w:rsid w:val="005D6642"/>
    <w:rsid w:val="005E1B79"/>
    <w:rsid w:val="005E6076"/>
    <w:rsid w:val="005E7008"/>
    <w:rsid w:val="005F026D"/>
    <w:rsid w:val="005F2AEA"/>
    <w:rsid w:val="005F2D0B"/>
    <w:rsid w:val="005F4B31"/>
    <w:rsid w:val="006055B5"/>
    <w:rsid w:val="00605603"/>
    <w:rsid w:val="00610388"/>
    <w:rsid w:val="00610AC7"/>
    <w:rsid w:val="0061188A"/>
    <w:rsid w:val="00612CA5"/>
    <w:rsid w:val="006153EC"/>
    <w:rsid w:val="00615A86"/>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66B6F"/>
    <w:rsid w:val="00677AEB"/>
    <w:rsid w:val="00680EF2"/>
    <w:rsid w:val="00687A1D"/>
    <w:rsid w:val="00697EA1"/>
    <w:rsid w:val="006A2646"/>
    <w:rsid w:val="006A463D"/>
    <w:rsid w:val="006A6530"/>
    <w:rsid w:val="006B3571"/>
    <w:rsid w:val="006B435A"/>
    <w:rsid w:val="006B4C64"/>
    <w:rsid w:val="006C65F4"/>
    <w:rsid w:val="006D6BD5"/>
    <w:rsid w:val="006E319A"/>
    <w:rsid w:val="006E481A"/>
    <w:rsid w:val="006E5298"/>
    <w:rsid w:val="006F4A78"/>
    <w:rsid w:val="006F6A02"/>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29CD"/>
    <w:rsid w:val="007C6201"/>
    <w:rsid w:val="007D0192"/>
    <w:rsid w:val="007D3819"/>
    <w:rsid w:val="007D7C92"/>
    <w:rsid w:val="007E1154"/>
    <w:rsid w:val="007E43E4"/>
    <w:rsid w:val="007E6BA4"/>
    <w:rsid w:val="007F0D64"/>
    <w:rsid w:val="007F12AB"/>
    <w:rsid w:val="007F41F8"/>
    <w:rsid w:val="007F659B"/>
    <w:rsid w:val="0080454E"/>
    <w:rsid w:val="00804C32"/>
    <w:rsid w:val="00805305"/>
    <w:rsid w:val="00806302"/>
    <w:rsid w:val="00807119"/>
    <w:rsid w:val="0082483F"/>
    <w:rsid w:val="008279C0"/>
    <w:rsid w:val="00834F92"/>
    <w:rsid w:val="008508D4"/>
    <w:rsid w:val="008524A3"/>
    <w:rsid w:val="0086006D"/>
    <w:rsid w:val="008723F3"/>
    <w:rsid w:val="00881DE6"/>
    <w:rsid w:val="008837A6"/>
    <w:rsid w:val="0089145D"/>
    <w:rsid w:val="00895EF1"/>
    <w:rsid w:val="008A4DF2"/>
    <w:rsid w:val="008A6CFE"/>
    <w:rsid w:val="008A771D"/>
    <w:rsid w:val="008B4F15"/>
    <w:rsid w:val="008B5333"/>
    <w:rsid w:val="008B6223"/>
    <w:rsid w:val="008C3449"/>
    <w:rsid w:val="008C5733"/>
    <w:rsid w:val="008C66E0"/>
    <w:rsid w:val="008E3339"/>
    <w:rsid w:val="008F20FC"/>
    <w:rsid w:val="008F5FFE"/>
    <w:rsid w:val="00902FA7"/>
    <w:rsid w:val="00905A43"/>
    <w:rsid w:val="00912C79"/>
    <w:rsid w:val="00921B8C"/>
    <w:rsid w:val="0092565E"/>
    <w:rsid w:val="0093467C"/>
    <w:rsid w:val="00942123"/>
    <w:rsid w:val="00942315"/>
    <w:rsid w:val="00946A4D"/>
    <w:rsid w:val="0095207B"/>
    <w:rsid w:val="009552CC"/>
    <w:rsid w:val="00962045"/>
    <w:rsid w:val="00973B6F"/>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099C"/>
    <w:rsid w:val="00A2274A"/>
    <w:rsid w:val="00A228A0"/>
    <w:rsid w:val="00A235B7"/>
    <w:rsid w:val="00A27A7A"/>
    <w:rsid w:val="00A3165E"/>
    <w:rsid w:val="00A34ABE"/>
    <w:rsid w:val="00A37BDE"/>
    <w:rsid w:val="00A407EF"/>
    <w:rsid w:val="00A46B4C"/>
    <w:rsid w:val="00A5117B"/>
    <w:rsid w:val="00A56D34"/>
    <w:rsid w:val="00A60074"/>
    <w:rsid w:val="00A62080"/>
    <w:rsid w:val="00A6627C"/>
    <w:rsid w:val="00A71019"/>
    <w:rsid w:val="00A81029"/>
    <w:rsid w:val="00A82B32"/>
    <w:rsid w:val="00A87EDC"/>
    <w:rsid w:val="00A9019A"/>
    <w:rsid w:val="00A94F58"/>
    <w:rsid w:val="00A95463"/>
    <w:rsid w:val="00A96489"/>
    <w:rsid w:val="00AA0280"/>
    <w:rsid w:val="00AA7BE3"/>
    <w:rsid w:val="00AB1B65"/>
    <w:rsid w:val="00AB2425"/>
    <w:rsid w:val="00AB685C"/>
    <w:rsid w:val="00AB6C2D"/>
    <w:rsid w:val="00AC01BE"/>
    <w:rsid w:val="00AC08F7"/>
    <w:rsid w:val="00AC3839"/>
    <w:rsid w:val="00AC7082"/>
    <w:rsid w:val="00AD4BE8"/>
    <w:rsid w:val="00AF228E"/>
    <w:rsid w:val="00B016A8"/>
    <w:rsid w:val="00B01E81"/>
    <w:rsid w:val="00B10961"/>
    <w:rsid w:val="00B14819"/>
    <w:rsid w:val="00B15E2F"/>
    <w:rsid w:val="00B17AA9"/>
    <w:rsid w:val="00B27E6E"/>
    <w:rsid w:val="00B44713"/>
    <w:rsid w:val="00B44907"/>
    <w:rsid w:val="00B56103"/>
    <w:rsid w:val="00B64929"/>
    <w:rsid w:val="00B736DF"/>
    <w:rsid w:val="00B743D6"/>
    <w:rsid w:val="00B74FBD"/>
    <w:rsid w:val="00B77B19"/>
    <w:rsid w:val="00B77F46"/>
    <w:rsid w:val="00B82586"/>
    <w:rsid w:val="00B829A3"/>
    <w:rsid w:val="00B86DB1"/>
    <w:rsid w:val="00B87869"/>
    <w:rsid w:val="00B9639B"/>
    <w:rsid w:val="00B97767"/>
    <w:rsid w:val="00BA0D42"/>
    <w:rsid w:val="00BA0DB3"/>
    <w:rsid w:val="00BB0F2B"/>
    <w:rsid w:val="00BB12EB"/>
    <w:rsid w:val="00BC28B7"/>
    <w:rsid w:val="00BD4A58"/>
    <w:rsid w:val="00BD7337"/>
    <w:rsid w:val="00BE4FF3"/>
    <w:rsid w:val="00BF50F7"/>
    <w:rsid w:val="00C01335"/>
    <w:rsid w:val="00C02F29"/>
    <w:rsid w:val="00C05A9F"/>
    <w:rsid w:val="00C1625A"/>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1281"/>
    <w:rsid w:val="00C620F4"/>
    <w:rsid w:val="00C651D6"/>
    <w:rsid w:val="00C72848"/>
    <w:rsid w:val="00C7552D"/>
    <w:rsid w:val="00C75B57"/>
    <w:rsid w:val="00C7736C"/>
    <w:rsid w:val="00C82D87"/>
    <w:rsid w:val="00C8712A"/>
    <w:rsid w:val="00C87E0A"/>
    <w:rsid w:val="00C902C8"/>
    <w:rsid w:val="00C919D1"/>
    <w:rsid w:val="00C963D3"/>
    <w:rsid w:val="00CA53E0"/>
    <w:rsid w:val="00CB1983"/>
    <w:rsid w:val="00CB2CBB"/>
    <w:rsid w:val="00CB34D8"/>
    <w:rsid w:val="00CB6578"/>
    <w:rsid w:val="00CB7CAC"/>
    <w:rsid w:val="00CC16C7"/>
    <w:rsid w:val="00CC4818"/>
    <w:rsid w:val="00CC5335"/>
    <w:rsid w:val="00CC5BA4"/>
    <w:rsid w:val="00CD4998"/>
    <w:rsid w:val="00CE0ECD"/>
    <w:rsid w:val="00CE1035"/>
    <w:rsid w:val="00CE6E50"/>
    <w:rsid w:val="00CF2819"/>
    <w:rsid w:val="00CF4F9D"/>
    <w:rsid w:val="00CF70DC"/>
    <w:rsid w:val="00D0234B"/>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36A9"/>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48D0"/>
    <w:rsid w:val="00E15BA9"/>
    <w:rsid w:val="00E26E10"/>
    <w:rsid w:val="00E26E19"/>
    <w:rsid w:val="00E30E60"/>
    <w:rsid w:val="00E31DF3"/>
    <w:rsid w:val="00E41578"/>
    <w:rsid w:val="00E421C6"/>
    <w:rsid w:val="00E450A4"/>
    <w:rsid w:val="00E50478"/>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B4D6D"/>
    <w:rsid w:val="00EB69AD"/>
    <w:rsid w:val="00EC441F"/>
    <w:rsid w:val="00EC4755"/>
    <w:rsid w:val="00ED0BC4"/>
    <w:rsid w:val="00ED447D"/>
    <w:rsid w:val="00ED738F"/>
    <w:rsid w:val="00ED74BC"/>
    <w:rsid w:val="00EE4971"/>
    <w:rsid w:val="00EF090E"/>
    <w:rsid w:val="00EF5572"/>
    <w:rsid w:val="00EF6D01"/>
    <w:rsid w:val="00F03051"/>
    <w:rsid w:val="00F033DA"/>
    <w:rsid w:val="00F11944"/>
    <w:rsid w:val="00F13691"/>
    <w:rsid w:val="00F13FB1"/>
    <w:rsid w:val="00F27CD8"/>
    <w:rsid w:val="00F30351"/>
    <w:rsid w:val="00F3323E"/>
    <w:rsid w:val="00F341F4"/>
    <w:rsid w:val="00F34F9D"/>
    <w:rsid w:val="00F35CCE"/>
    <w:rsid w:val="00F5524B"/>
    <w:rsid w:val="00F60538"/>
    <w:rsid w:val="00F61DD2"/>
    <w:rsid w:val="00F66AFF"/>
    <w:rsid w:val="00F71433"/>
    <w:rsid w:val="00F764E1"/>
    <w:rsid w:val="00F84270"/>
    <w:rsid w:val="00F84956"/>
    <w:rsid w:val="00F92140"/>
    <w:rsid w:val="00F97C5B"/>
    <w:rsid w:val="00FA3D50"/>
    <w:rsid w:val="00FA66F5"/>
    <w:rsid w:val="00FB7FBD"/>
    <w:rsid w:val="00FC374A"/>
    <w:rsid w:val="00FC3C05"/>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BB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85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ourts.gov/forms/bankruptcy-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Gwendolyn OH (SUPCOURT)</cp:lastModifiedBy>
  <cp:revision>52</cp:revision>
  <cp:lastPrinted>2019-08-27T05:42:00Z</cp:lastPrinted>
  <dcterms:created xsi:type="dcterms:W3CDTF">2023-02-07T10:18:00Z</dcterms:created>
  <dcterms:modified xsi:type="dcterms:W3CDTF">2023-03-01T09:06:00Z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2023-02-07T10:18:00Z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367bcc66-5c86-404a-8fe9-85d3cf910905</vt:lpwstr>
  </property>
  <property fmtid="{D5CDD505-2E9C-101B-9397-08002B2CF9AE}" pid="8" name="MSIP_Label_5434c4c7-833e-41e4-b0ab-cdb227a2f6f7_ContentBits">
    <vt:lpwstr>0</vt:lpwstr>
  </property>
</Properties>
</file>