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B2B6D" w:rsidRDefault="00436884">
      <w:pPr>
        <w:pStyle w:val="ListParagraph"/>
        <w:numPr>
          <w:ilvl w:val="0"/>
          <w:numId w:val="1"/>
        </w:numPr>
        <w:ind w:left="426"/>
        <w:jc w:val="both"/>
        <w:rPr>
          <w:rFonts w:ascii="Avenir Next" w:hAnsi="Avenir Next" w:cs="Arial"/>
          <w:sz w:val="22"/>
          <w:szCs w:val="22"/>
          <w:highlight w:val="yellow"/>
          <w:lang w:val="en-GB"/>
        </w:rPr>
      </w:pPr>
      <w:r w:rsidRPr="00BB2B6D">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B2B6D" w:rsidRDefault="00436884">
      <w:pPr>
        <w:pStyle w:val="ListParagraph"/>
        <w:numPr>
          <w:ilvl w:val="0"/>
          <w:numId w:val="2"/>
        </w:numPr>
        <w:ind w:left="426"/>
        <w:jc w:val="both"/>
        <w:rPr>
          <w:rFonts w:ascii="Avenir Next" w:hAnsi="Avenir Next" w:cs="Arial"/>
          <w:sz w:val="22"/>
          <w:szCs w:val="22"/>
          <w:highlight w:val="yellow"/>
          <w:lang w:val="en-GB"/>
        </w:rPr>
      </w:pPr>
      <w:proofErr w:type="gramStart"/>
      <w:r w:rsidRPr="00BB2B6D">
        <w:rPr>
          <w:rFonts w:ascii="Avenir Next" w:hAnsi="Avenir Next" w:cs="Arial"/>
          <w:sz w:val="22"/>
          <w:szCs w:val="22"/>
          <w:highlight w:val="yellow"/>
          <w:lang w:val="en-GB"/>
        </w:rPr>
        <w:t>All of</w:t>
      </w:r>
      <w:proofErr w:type="gramEnd"/>
      <w:r w:rsidRPr="00BB2B6D">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68598E" w:rsidRDefault="00853A74">
      <w:pPr>
        <w:pStyle w:val="ListParagraph"/>
        <w:numPr>
          <w:ilvl w:val="0"/>
          <w:numId w:val="3"/>
        </w:numPr>
        <w:ind w:left="426"/>
        <w:jc w:val="both"/>
        <w:rPr>
          <w:rFonts w:ascii="Avenir Next" w:hAnsi="Avenir Next" w:cs="Arial"/>
          <w:sz w:val="22"/>
          <w:szCs w:val="22"/>
          <w:highlight w:val="yellow"/>
          <w:lang w:val="en-GB"/>
        </w:rPr>
      </w:pPr>
      <w:r w:rsidRPr="0068598E">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68598E" w:rsidRDefault="00853A74">
      <w:pPr>
        <w:pStyle w:val="ListParagraph"/>
        <w:numPr>
          <w:ilvl w:val="0"/>
          <w:numId w:val="3"/>
        </w:numPr>
        <w:ind w:left="426"/>
        <w:jc w:val="both"/>
        <w:rPr>
          <w:rFonts w:ascii="Avenir Next" w:hAnsi="Avenir Next" w:cs="Arial"/>
          <w:sz w:val="22"/>
          <w:szCs w:val="22"/>
          <w:lang w:val="en-GB"/>
        </w:rPr>
      </w:pPr>
      <w:r w:rsidRPr="0068598E">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9E20B2" w:rsidRDefault="00436884">
      <w:pPr>
        <w:pStyle w:val="ListParagraph"/>
        <w:numPr>
          <w:ilvl w:val="0"/>
          <w:numId w:val="4"/>
        </w:numPr>
        <w:ind w:left="426"/>
        <w:jc w:val="both"/>
        <w:rPr>
          <w:rFonts w:ascii="Avenir Next" w:hAnsi="Avenir Next" w:cs="Arial"/>
          <w:sz w:val="22"/>
          <w:szCs w:val="22"/>
          <w:highlight w:val="yellow"/>
          <w:lang w:val="en-GB"/>
        </w:rPr>
      </w:pPr>
      <w:r w:rsidRPr="009E20B2">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E94A8C" w:rsidRDefault="00C504E5">
      <w:pPr>
        <w:pStyle w:val="ListParagraph"/>
        <w:numPr>
          <w:ilvl w:val="0"/>
          <w:numId w:val="5"/>
        </w:numPr>
        <w:ind w:left="426"/>
        <w:jc w:val="both"/>
        <w:rPr>
          <w:rFonts w:ascii="Avenir Next" w:hAnsi="Avenir Next" w:cs="Arial"/>
          <w:sz w:val="22"/>
          <w:szCs w:val="22"/>
          <w:highlight w:val="yellow"/>
          <w:lang w:val="en-GB"/>
        </w:rPr>
      </w:pPr>
      <w:r w:rsidRPr="00E94A8C">
        <w:rPr>
          <w:rFonts w:ascii="Avenir Next" w:hAnsi="Avenir Next" w:cs="Arial"/>
          <w:sz w:val="22"/>
          <w:szCs w:val="22"/>
          <w:highlight w:val="yellow"/>
          <w:lang w:val="en-GB"/>
        </w:rPr>
        <w:t xml:space="preserve">Both the foreign main proceedings in South Africa and the foreign non-main proceedings in </w:t>
      </w:r>
      <w:r w:rsidR="004137C3" w:rsidRPr="00E94A8C">
        <w:rPr>
          <w:rFonts w:ascii="Avenir Next" w:hAnsi="Avenir Next" w:cs="Arial"/>
          <w:sz w:val="22"/>
          <w:szCs w:val="22"/>
          <w:highlight w:val="yellow"/>
          <w:lang w:val="en-GB"/>
        </w:rPr>
        <w:t xml:space="preserve">Argentina </w:t>
      </w:r>
      <w:r w:rsidRPr="00E94A8C">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A72A73" w:rsidRDefault="00B72F5F">
      <w:pPr>
        <w:pStyle w:val="ListParagraph"/>
        <w:numPr>
          <w:ilvl w:val="0"/>
          <w:numId w:val="6"/>
        </w:numPr>
        <w:ind w:left="426"/>
        <w:jc w:val="both"/>
        <w:rPr>
          <w:rFonts w:ascii="Avenir Next" w:hAnsi="Avenir Next" w:cs="Arial"/>
          <w:sz w:val="22"/>
          <w:szCs w:val="22"/>
          <w:highlight w:val="yellow"/>
          <w:lang w:val="en-GB"/>
        </w:rPr>
      </w:pPr>
      <w:r w:rsidRPr="00A72A73">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A72A73">
        <w:rPr>
          <w:rFonts w:ascii="Avenir Next" w:hAnsi="Avenir Next" w:cs="Arial"/>
          <w:sz w:val="22"/>
          <w:szCs w:val="22"/>
          <w:highlight w:val="yellow"/>
          <w:lang w:val="en-GB"/>
        </w:rPr>
        <w:t>will</w:t>
      </w:r>
      <w:r w:rsidRPr="00A72A73">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82A93" w:rsidRDefault="00436884">
      <w:pPr>
        <w:pStyle w:val="ListParagraph"/>
        <w:numPr>
          <w:ilvl w:val="0"/>
          <w:numId w:val="7"/>
        </w:numPr>
        <w:ind w:left="426"/>
        <w:jc w:val="both"/>
        <w:rPr>
          <w:rFonts w:ascii="Avenir Next" w:hAnsi="Avenir Next" w:cs="Arial"/>
          <w:sz w:val="22"/>
          <w:szCs w:val="22"/>
          <w:highlight w:val="yellow"/>
          <w:lang w:val="en-GB"/>
        </w:rPr>
      </w:pPr>
      <w:r w:rsidRPr="00E82A93">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E82A93" w:rsidRDefault="00436884">
      <w:pPr>
        <w:pStyle w:val="ListParagraph"/>
        <w:numPr>
          <w:ilvl w:val="0"/>
          <w:numId w:val="8"/>
        </w:numPr>
        <w:ind w:left="426"/>
        <w:jc w:val="both"/>
        <w:rPr>
          <w:rFonts w:ascii="Avenir Next" w:hAnsi="Avenir Next" w:cs="Arial"/>
          <w:sz w:val="22"/>
          <w:szCs w:val="22"/>
          <w:highlight w:val="yellow"/>
          <w:lang w:val="en-GB"/>
        </w:rPr>
      </w:pPr>
      <w:proofErr w:type="gramStart"/>
      <w:r w:rsidRPr="00E82A93">
        <w:rPr>
          <w:rFonts w:ascii="Avenir Next" w:hAnsi="Avenir Next" w:cs="Arial"/>
          <w:sz w:val="22"/>
          <w:szCs w:val="22"/>
          <w:highlight w:val="yellow"/>
          <w:lang w:val="en-GB"/>
        </w:rPr>
        <w:t>All of</w:t>
      </w:r>
      <w:proofErr w:type="gramEnd"/>
      <w:r w:rsidRPr="00E82A93">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E82A93" w:rsidRDefault="00436884">
      <w:pPr>
        <w:pStyle w:val="ListParagraph"/>
        <w:numPr>
          <w:ilvl w:val="0"/>
          <w:numId w:val="9"/>
        </w:numPr>
        <w:ind w:left="426"/>
        <w:jc w:val="both"/>
        <w:rPr>
          <w:rFonts w:ascii="Avenir Next" w:hAnsi="Avenir Next" w:cs="Arial"/>
          <w:sz w:val="22"/>
          <w:szCs w:val="22"/>
          <w:highlight w:val="yellow"/>
          <w:lang w:val="en-GB"/>
        </w:rPr>
      </w:pPr>
      <w:r w:rsidRPr="00E82A93">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E82A93" w:rsidRDefault="00436884">
      <w:pPr>
        <w:pStyle w:val="ListParagraph"/>
        <w:numPr>
          <w:ilvl w:val="0"/>
          <w:numId w:val="10"/>
        </w:numPr>
        <w:ind w:left="426"/>
        <w:jc w:val="both"/>
        <w:rPr>
          <w:rFonts w:ascii="Avenir Next" w:hAnsi="Avenir Next" w:cs="Arial"/>
          <w:sz w:val="22"/>
          <w:szCs w:val="22"/>
          <w:highlight w:val="yellow"/>
          <w:lang w:val="en-GB"/>
        </w:rPr>
      </w:pPr>
      <w:r w:rsidRPr="00E82A93">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E82A93">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77B7B317" w14:textId="77777777" w:rsidR="00D777E2" w:rsidRDefault="00E82A9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MLCBI, the appropriate date for determining the COMI of a debtor is the date of commencement of the foreign proceeding. </w:t>
      </w:r>
    </w:p>
    <w:p w14:paraId="0BF739DF" w14:textId="77777777" w:rsidR="00D777E2" w:rsidRDefault="00D777E2" w:rsidP="00707FC8">
      <w:pPr>
        <w:ind w:left="720" w:hanging="720"/>
        <w:jc w:val="both"/>
        <w:rPr>
          <w:rFonts w:ascii="Avenir Next" w:hAnsi="Avenir Next" w:cs="Arial"/>
          <w:color w:val="808080" w:themeColor="background1" w:themeShade="80"/>
          <w:sz w:val="22"/>
          <w:szCs w:val="22"/>
          <w:lang w:val="en-GB"/>
        </w:rPr>
      </w:pPr>
    </w:p>
    <w:p w14:paraId="4734352C" w14:textId="77777777" w:rsidR="00D777E2" w:rsidRDefault="00D777E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s</w:t>
      </w:r>
      <w:r w:rsidR="00E82A93">
        <w:rPr>
          <w:rFonts w:ascii="Avenir Next" w:hAnsi="Avenir Next" w:cs="Arial"/>
          <w:color w:val="808080" w:themeColor="background1" w:themeShade="80"/>
          <w:sz w:val="22"/>
          <w:szCs w:val="22"/>
          <w:lang w:val="en-GB"/>
        </w:rPr>
        <w:t xml:space="preserve">ince the COMI can move, if the move is close in time to the commencement of the foreign proceeding, it would be harder to establish the COMI, especially since the COMI must be readily ascertainable by third parties, such as creditors of the debtor. </w:t>
      </w:r>
    </w:p>
    <w:p w14:paraId="53EFE580" w14:textId="77777777" w:rsidR="00D777E2" w:rsidRDefault="00D777E2" w:rsidP="00707FC8">
      <w:pPr>
        <w:ind w:left="720" w:hanging="720"/>
        <w:jc w:val="both"/>
        <w:rPr>
          <w:rFonts w:ascii="Avenir Next" w:hAnsi="Avenir Next" w:cs="Arial"/>
          <w:color w:val="808080" w:themeColor="background1" w:themeShade="80"/>
          <w:sz w:val="22"/>
          <w:szCs w:val="22"/>
          <w:lang w:val="en-GB"/>
        </w:rPr>
      </w:pPr>
    </w:p>
    <w:p w14:paraId="654B0E66" w14:textId="31B7EEAF" w:rsidR="00CB56CE" w:rsidRPr="00436A89" w:rsidRDefault="00E82A9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also be noted that the US and the UK appear to have taken slightly different approaches. In the US, the Second Circuit of Appeals has held in </w:t>
      </w:r>
      <w:r>
        <w:rPr>
          <w:rFonts w:ascii="Avenir Next" w:hAnsi="Avenir Next" w:cs="Arial"/>
          <w:i/>
          <w:iCs/>
          <w:color w:val="808080" w:themeColor="background1" w:themeShade="80"/>
          <w:sz w:val="22"/>
          <w:szCs w:val="22"/>
          <w:lang w:val="en-GB"/>
        </w:rPr>
        <w:t xml:space="preserve">Morning Mist Holdings Ltd v Krys (Matter of Fairfield Sentry Ltd) </w:t>
      </w:r>
      <w:r>
        <w:rPr>
          <w:rFonts w:ascii="Avenir Next" w:hAnsi="Avenir Next" w:cs="Arial"/>
          <w:color w:val="808080" w:themeColor="background1" w:themeShade="80"/>
          <w:sz w:val="22"/>
          <w:szCs w:val="22"/>
          <w:lang w:val="en-GB"/>
        </w:rPr>
        <w:t>(2</w:t>
      </w:r>
      <w:r w:rsidRPr="00E82A93">
        <w:rPr>
          <w:rFonts w:ascii="Avenir Next" w:hAnsi="Avenir Next" w:cs="Arial"/>
          <w:color w:val="808080" w:themeColor="background1" w:themeShade="80"/>
          <w:sz w:val="22"/>
          <w:szCs w:val="22"/>
          <w:vertAlign w:val="superscript"/>
          <w:lang w:val="en-GB"/>
        </w:rPr>
        <w:t>nd</w:t>
      </w:r>
      <w:r>
        <w:rPr>
          <w:rFonts w:ascii="Avenir Next" w:hAnsi="Avenir Next" w:cs="Arial"/>
          <w:color w:val="808080" w:themeColor="background1" w:themeShade="80"/>
          <w:sz w:val="22"/>
          <w:szCs w:val="22"/>
          <w:lang w:val="en-GB"/>
        </w:rPr>
        <w:t xml:space="preserve"> Cir Appeal Apr. 16, 2013) that a debtor’s COMI should be determined based on </w:t>
      </w:r>
      <w:r w:rsidR="00D777E2">
        <w:rPr>
          <w:rFonts w:ascii="Avenir Next" w:hAnsi="Avenir Next" w:cs="Arial"/>
          <w:color w:val="808080" w:themeColor="background1" w:themeShade="80"/>
          <w:sz w:val="22"/>
          <w:szCs w:val="22"/>
          <w:lang w:val="en-GB"/>
        </w:rPr>
        <w:t>it</w:t>
      </w:r>
      <w:r>
        <w:rPr>
          <w:rFonts w:ascii="Avenir Next" w:hAnsi="Avenir Next" w:cs="Arial"/>
          <w:color w:val="808080" w:themeColor="background1" w:themeShade="80"/>
          <w:sz w:val="22"/>
          <w:szCs w:val="22"/>
          <w:lang w:val="en-GB"/>
        </w:rPr>
        <w:t>s activities at or around the time the Chapter 15 petition is filed.</w:t>
      </w:r>
      <w:r w:rsidR="00D777E2">
        <w:rPr>
          <w:rFonts w:ascii="Avenir Next" w:hAnsi="Avenir Next" w:cs="Arial"/>
          <w:color w:val="808080" w:themeColor="background1" w:themeShade="80"/>
          <w:sz w:val="22"/>
          <w:szCs w:val="22"/>
          <w:lang w:val="en-GB"/>
        </w:rPr>
        <w:t xml:space="preserve"> </w:t>
      </w:r>
      <w:r w:rsidR="00436A89">
        <w:rPr>
          <w:rFonts w:ascii="Avenir Next" w:hAnsi="Avenir Next" w:cs="Arial"/>
          <w:color w:val="808080" w:themeColor="background1" w:themeShade="80"/>
          <w:sz w:val="22"/>
          <w:szCs w:val="22"/>
          <w:lang w:val="en-GB"/>
        </w:rPr>
        <w:t>Therefore</w:t>
      </w:r>
      <w:r w:rsidR="00D968C8">
        <w:rPr>
          <w:rFonts w:ascii="Avenir Next" w:hAnsi="Avenir Next" w:cs="Arial"/>
          <w:color w:val="808080" w:themeColor="background1" w:themeShade="80"/>
          <w:sz w:val="22"/>
          <w:szCs w:val="22"/>
          <w:lang w:val="en-GB"/>
        </w:rPr>
        <w:t xml:space="preserve">, </w:t>
      </w:r>
      <w:r w:rsidR="00436A89">
        <w:rPr>
          <w:rFonts w:ascii="Avenir Next" w:hAnsi="Avenir Next" w:cs="Arial"/>
          <w:color w:val="808080" w:themeColor="background1" w:themeShade="80"/>
          <w:sz w:val="22"/>
          <w:szCs w:val="22"/>
          <w:lang w:val="en-GB"/>
        </w:rPr>
        <w:t>a</w:t>
      </w:r>
      <w:r w:rsidR="00D968C8" w:rsidRPr="00D968C8">
        <w:rPr>
          <w:rFonts w:ascii="Avenir Next" w:hAnsi="Avenir Next" w:cs="Arial"/>
          <w:color w:val="808080" w:themeColor="background1" w:themeShade="80"/>
          <w:sz w:val="22"/>
          <w:szCs w:val="22"/>
          <w:lang w:val="en-GB"/>
        </w:rPr>
        <w:t>s the activities of a foreign representative may be considered in determining the location of a foreign debtor’s COMI, even where, prior to insolvency, the debtor performed no business in that jurisdiction.</w:t>
      </w:r>
      <w:r w:rsidR="00D968C8">
        <w:rPr>
          <w:rFonts w:ascii="Avenir Next" w:hAnsi="Avenir Next" w:cs="Arial"/>
          <w:color w:val="808080" w:themeColor="background1" w:themeShade="80"/>
          <w:sz w:val="22"/>
          <w:szCs w:val="22"/>
          <w:lang w:val="en-GB"/>
        </w:rPr>
        <w:t xml:space="preserve"> </w:t>
      </w:r>
      <w:r w:rsidR="00436A89">
        <w:rPr>
          <w:rFonts w:ascii="Avenir Next" w:hAnsi="Avenir Next" w:cs="Arial"/>
          <w:color w:val="808080" w:themeColor="background1" w:themeShade="80"/>
          <w:sz w:val="22"/>
          <w:szCs w:val="22"/>
          <w:lang w:val="en-GB"/>
        </w:rPr>
        <w:t>However</w:t>
      </w:r>
      <w:r w:rsidR="00436A89">
        <w:rPr>
          <w:rFonts w:ascii="Avenir Next" w:hAnsi="Avenir Next" w:cs="Arial"/>
          <w:color w:val="808080" w:themeColor="background1" w:themeShade="80"/>
          <w:sz w:val="22"/>
          <w:szCs w:val="22"/>
          <w:lang w:val="en-GB"/>
        </w:rPr>
        <w:t>, given the other international interpretations emphasising the regularity and ascertainability of the debtor’s COMI, a court may consider the period between the commencement of the foreign insolvency proceeding and the filing of the Chapter 15 petition when determining whether the debtor has manipulated its COMI in bad faith.</w:t>
      </w:r>
      <w:r w:rsidR="00436A89">
        <w:rPr>
          <w:rFonts w:ascii="Avenir Next" w:hAnsi="Avenir Next" w:cs="Arial"/>
          <w:color w:val="808080" w:themeColor="background1" w:themeShade="80"/>
          <w:sz w:val="22"/>
          <w:szCs w:val="22"/>
          <w:lang w:val="en-GB"/>
        </w:rPr>
        <w:t xml:space="preserve"> </w:t>
      </w:r>
      <w:r w:rsidR="00D777E2">
        <w:rPr>
          <w:rFonts w:ascii="Avenir Next" w:hAnsi="Avenir Next" w:cs="Arial"/>
          <w:color w:val="808080" w:themeColor="background1" w:themeShade="80"/>
          <w:sz w:val="22"/>
          <w:szCs w:val="22"/>
          <w:lang w:val="en-GB"/>
        </w:rPr>
        <w:t xml:space="preserve">This </w:t>
      </w:r>
      <w:r w:rsidR="00D968C8">
        <w:rPr>
          <w:rFonts w:ascii="Avenir Next" w:hAnsi="Avenir Next" w:cs="Arial"/>
          <w:color w:val="808080" w:themeColor="background1" w:themeShade="80"/>
          <w:sz w:val="22"/>
          <w:szCs w:val="22"/>
          <w:lang w:val="en-GB"/>
        </w:rPr>
        <w:t xml:space="preserve">position </w:t>
      </w:r>
      <w:r w:rsidR="00D777E2">
        <w:rPr>
          <w:rFonts w:ascii="Avenir Next" w:hAnsi="Avenir Next" w:cs="Arial"/>
          <w:color w:val="808080" w:themeColor="background1" w:themeShade="80"/>
          <w:sz w:val="22"/>
          <w:szCs w:val="22"/>
          <w:lang w:val="en-GB"/>
        </w:rPr>
        <w:t>was followed in the UK in 2019</w:t>
      </w:r>
      <w:r w:rsidR="00436A89">
        <w:rPr>
          <w:rFonts w:ascii="Avenir Next" w:hAnsi="Avenir Next" w:cs="Arial"/>
          <w:color w:val="808080" w:themeColor="background1" w:themeShade="80"/>
          <w:sz w:val="22"/>
          <w:szCs w:val="22"/>
          <w:lang w:val="en-GB"/>
        </w:rPr>
        <w:t xml:space="preserve"> in the </w:t>
      </w:r>
      <w:r w:rsidR="00436A89">
        <w:rPr>
          <w:rFonts w:ascii="Avenir Next" w:hAnsi="Avenir Next" w:cs="Arial"/>
          <w:i/>
          <w:iCs/>
          <w:color w:val="808080" w:themeColor="background1" w:themeShade="80"/>
          <w:sz w:val="22"/>
          <w:szCs w:val="22"/>
          <w:lang w:val="en-GB"/>
        </w:rPr>
        <w:t xml:space="preserve">Re Toisa Limited </w:t>
      </w:r>
      <w:r w:rsidR="00436A89">
        <w:rPr>
          <w:rFonts w:ascii="Avenir Next" w:hAnsi="Avenir Next" w:cs="Arial"/>
          <w:color w:val="808080" w:themeColor="background1" w:themeShade="80"/>
          <w:sz w:val="22"/>
          <w:szCs w:val="22"/>
          <w:lang w:val="en-GB"/>
        </w:rPr>
        <w:t>judgment.</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50A07201" w:rsidR="00867A8F" w:rsidRDefault="00D777E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addresses Article 14 of the MLCBI “Notification to foreign creditors of a proceeding under [the relevant law of the enacting State relating to insolvency]”. Article 14 expresses the equal treatment principle requiring that foreign creditors should be notified whenever notification is required for local creditors in the enacting </w:t>
      </w:r>
      <w:proofErr w:type="gramStart"/>
      <w:r>
        <w:rPr>
          <w:rFonts w:ascii="Avenir Next" w:hAnsi="Avenir Next" w:cs="Arial"/>
          <w:color w:val="808080" w:themeColor="background1" w:themeShade="80"/>
          <w:sz w:val="22"/>
          <w:szCs w:val="22"/>
          <w:lang w:val="en-GB"/>
        </w:rPr>
        <w:t>State, and</w:t>
      </w:r>
      <w:proofErr w:type="gramEnd"/>
      <w:r>
        <w:rPr>
          <w:rFonts w:ascii="Avenir Next" w:hAnsi="Avenir Next" w:cs="Arial"/>
          <w:color w:val="808080" w:themeColor="background1" w:themeShade="80"/>
          <w:sz w:val="22"/>
          <w:szCs w:val="22"/>
          <w:lang w:val="en-GB"/>
        </w:rPr>
        <w:t xml:space="preserve"> lays down requirements to ensure timely notice by expeditious means, such as providing that “no letters rogatory or other, similar formality [is] required”. Article 14 also specifies what a notification to a foreign creditor of commencement of a proceeding in the enacting State should include.</w:t>
      </w:r>
    </w:p>
    <w:p w14:paraId="0AB93F1F" w14:textId="7FB73FC8" w:rsidR="00D777E2" w:rsidRDefault="00D777E2" w:rsidP="00867A8F">
      <w:pPr>
        <w:ind w:left="720" w:hanging="720"/>
        <w:jc w:val="both"/>
        <w:rPr>
          <w:rFonts w:ascii="Avenir Next" w:hAnsi="Avenir Next" w:cs="Arial"/>
          <w:color w:val="808080" w:themeColor="background1" w:themeShade="80"/>
          <w:sz w:val="22"/>
          <w:szCs w:val="22"/>
          <w:lang w:val="en-GB"/>
        </w:rPr>
      </w:pPr>
    </w:p>
    <w:p w14:paraId="3416CC59" w14:textId="13CFBFDE" w:rsidR="00D777E2" w:rsidRDefault="00D777E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addresses Article 10 of the MLCBI “Limited jurisdiction”. Article 10 provides for the “Safe Conduct Rule”, which ensures that the court in the enacting State does not assume jurisdiction over all the assets of the debtor on the sole basis that the foreign representative has made an application for the recognition of the foreign proceeding. Article 10 therefore responds to concerns by foreign representatives and creditors of exposure to an all-embracing jurisdiction triggered by an application under the Model Law.</w:t>
      </w:r>
    </w:p>
    <w:p w14:paraId="24005A01" w14:textId="3C898E3D" w:rsidR="00D777E2" w:rsidRDefault="00D777E2" w:rsidP="00867A8F">
      <w:pPr>
        <w:ind w:left="720" w:hanging="720"/>
        <w:jc w:val="both"/>
        <w:rPr>
          <w:rFonts w:ascii="Avenir Next" w:hAnsi="Avenir Next" w:cs="Arial"/>
          <w:color w:val="808080" w:themeColor="background1" w:themeShade="80"/>
          <w:sz w:val="22"/>
          <w:szCs w:val="22"/>
          <w:lang w:val="en-GB"/>
        </w:rPr>
      </w:pPr>
    </w:p>
    <w:p w14:paraId="042284A5" w14:textId="2995CFB6" w:rsidR="00D777E2" w:rsidRDefault="00D777E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 addresses Article 16 of the MLCBI “Presumptions concerning recognition”</w:t>
      </w:r>
      <w:r w:rsidR="002A58BF">
        <w:rPr>
          <w:rFonts w:ascii="Avenir Next" w:hAnsi="Avenir Next" w:cs="Arial"/>
          <w:color w:val="808080" w:themeColor="background1" w:themeShade="80"/>
          <w:sz w:val="22"/>
          <w:szCs w:val="22"/>
          <w:lang w:val="en-GB"/>
        </w:rPr>
        <w:t xml:space="preserve">, </w:t>
      </w:r>
      <w:proofErr w:type="gramStart"/>
      <w:r w:rsidR="002A58BF">
        <w:rPr>
          <w:rFonts w:ascii="Avenir Next" w:hAnsi="Avenir Next" w:cs="Arial"/>
          <w:color w:val="808080" w:themeColor="background1" w:themeShade="80"/>
          <w:sz w:val="22"/>
          <w:szCs w:val="22"/>
          <w:lang w:val="en-GB"/>
        </w:rPr>
        <w:t>in particular Article</w:t>
      </w:r>
      <w:proofErr w:type="gramEnd"/>
      <w:r w:rsidR="002A58BF">
        <w:rPr>
          <w:rFonts w:ascii="Avenir Next" w:hAnsi="Avenir Next" w:cs="Arial"/>
          <w:color w:val="808080" w:themeColor="background1" w:themeShade="80"/>
          <w:sz w:val="22"/>
          <w:szCs w:val="22"/>
          <w:lang w:val="en-GB"/>
        </w:rPr>
        <w:t xml:space="preserve"> 16(3) of the MLCBI. The centre of main interests (“COMI”) is an undefined key concept in the MLCBI. Article 16(3) of the MLCBI provides for a rebuttable presumption that a corporate debtor’s registered office or an individual debtor’s habitual residence is presumed to be the debtor’s COMI. Apart from the Article 16(3) presumption, the following presumptions are also provided for in Article 16 of the MLCBI:</w:t>
      </w:r>
    </w:p>
    <w:p w14:paraId="734E5414" w14:textId="77777777" w:rsidR="002A58BF" w:rsidRDefault="002A58BF" w:rsidP="00867A8F">
      <w:pPr>
        <w:ind w:left="720" w:hanging="720"/>
        <w:jc w:val="both"/>
        <w:rPr>
          <w:rFonts w:ascii="Avenir Next" w:hAnsi="Avenir Next" w:cs="Arial"/>
          <w:color w:val="808080" w:themeColor="background1" w:themeShade="80"/>
          <w:sz w:val="22"/>
          <w:szCs w:val="22"/>
          <w:lang w:val="en-GB"/>
        </w:rPr>
      </w:pPr>
    </w:p>
    <w:p w14:paraId="2B0506D6" w14:textId="1F31CBC1" w:rsidR="002A58BF" w:rsidRDefault="002A58BF">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16(1) of the MLCBI: If the decision or certificate referred to in Article 15(2) indicates that a foreign proceeding is a proceeding within Article 2(a) of the MLCBI and that a foreign representative is a person or body within the meaning of Article 2(d) of the MLCBI, the court is entitled to presume so.</w:t>
      </w:r>
    </w:p>
    <w:p w14:paraId="54627032" w14:textId="115F52FA" w:rsidR="002A58BF" w:rsidRPr="002A58BF" w:rsidRDefault="002A58BF">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16(2) of the MLCBI: The court is entitled to presume that documents submitted in the application for recognition are authentic,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they have been legalised.</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1DF67BA1" w:rsidR="00867A8F" w:rsidRDefault="00D24E7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primary question for determination in the </w:t>
      </w:r>
      <w:r>
        <w:rPr>
          <w:rFonts w:ascii="Avenir Next" w:hAnsi="Avenir Next" w:cs="Arial"/>
          <w:i/>
          <w:iCs/>
          <w:color w:val="808080" w:themeColor="background1" w:themeShade="80"/>
          <w:sz w:val="22"/>
          <w:szCs w:val="22"/>
          <w:lang w:val="en-GB"/>
        </w:rPr>
        <w:t xml:space="preserve">IBA </w:t>
      </w:r>
      <w:r>
        <w:rPr>
          <w:rFonts w:ascii="Avenir Next" w:hAnsi="Avenir Next" w:cs="Arial"/>
          <w:color w:val="808080" w:themeColor="background1" w:themeShade="80"/>
          <w:sz w:val="22"/>
          <w:szCs w:val="22"/>
          <w:lang w:val="en-GB"/>
        </w:rPr>
        <w:t>case was the applicability of the Gibbs Rule in English insolvency law and its compatibility with the principles of modified universalism, which are</w:t>
      </w:r>
      <w:r w:rsidR="00676D22">
        <w:rPr>
          <w:rFonts w:ascii="Avenir Next" w:hAnsi="Avenir Next" w:cs="Arial"/>
          <w:color w:val="808080" w:themeColor="background1" w:themeShade="80"/>
          <w:sz w:val="22"/>
          <w:szCs w:val="22"/>
          <w:lang w:val="en-GB"/>
        </w:rPr>
        <w:t xml:space="preserve"> also</w:t>
      </w:r>
      <w:r>
        <w:rPr>
          <w:rFonts w:ascii="Avenir Next" w:hAnsi="Avenir Next" w:cs="Arial"/>
          <w:color w:val="808080" w:themeColor="background1" w:themeShade="80"/>
          <w:sz w:val="22"/>
          <w:szCs w:val="22"/>
          <w:lang w:val="en-GB"/>
        </w:rPr>
        <w:t xml:space="preserve"> part of the English common law. The Gibbs Rule stands for the proposition that a debt governed by English law cannot be discharged or compromised by a foreign insolvency </w:t>
      </w:r>
      <w:r>
        <w:rPr>
          <w:rFonts w:ascii="Avenir Next" w:hAnsi="Avenir Next" w:cs="Arial"/>
          <w:color w:val="808080" w:themeColor="background1" w:themeShade="80"/>
          <w:sz w:val="22"/>
          <w:szCs w:val="22"/>
          <w:lang w:val="en-GB"/>
        </w:rPr>
        <w:lastRenderedPageBreak/>
        <w:t>proceeding. Discharge of a debt under the insolvency law of a foreign country is only treated as a discharge therefrom in England if it is a discharge under the law applicable to the contract.</w:t>
      </w:r>
    </w:p>
    <w:p w14:paraId="65BEE408" w14:textId="673EFEB7" w:rsidR="00D24E77" w:rsidRDefault="00D24E77" w:rsidP="00867A8F">
      <w:pPr>
        <w:ind w:left="720" w:hanging="720"/>
        <w:jc w:val="both"/>
        <w:rPr>
          <w:rFonts w:ascii="Avenir Next" w:hAnsi="Avenir Next" w:cs="Arial"/>
          <w:color w:val="808080" w:themeColor="background1" w:themeShade="80"/>
          <w:sz w:val="22"/>
          <w:szCs w:val="22"/>
          <w:lang w:val="en-GB"/>
        </w:rPr>
      </w:pPr>
    </w:p>
    <w:p w14:paraId="75C5DB65" w14:textId="1B1FB21F" w:rsidR="00D24E77" w:rsidRDefault="00D24E77" w:rsidP="00863A3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Pr>
          <w:rFonts w:ascii="Avenir Next" w:hAnsi="Avenir Next" w:cs="Arial"/>
          <w:i/>
          <w:iCs/>
          <w:color w:val="808080" w:themeColor="background1" w:themeShade="80"/>
          <w:sz w:val="22"/>
          <w:szCs w:val="22"/>
          <w:lang w:val="en-GB"/>
        </w:rPr>
        <w:t xml:space="preserve">IBA </w:t>
      </w:r>
      <w:r>
        <w:rPr>
          <w:rFonts w:ascii="Avenir Next" w:hAnsi="Avenir Next" w:cs="Arial"/>
          <w:color w:val="808080" w:themeColor="background1" w:themeShade="80"/>
          <w:sz w:val="22"/>
          <w:szCs w:val="22"/>
          <w:lang w:val="en-GB"/>
        </w:rPr>
        <w:t xml:space="preserve">case, a foreign representative requested appropriate relief under Article 21 of the MLCBI in the form of an indefinite continuation of the automatic moratorium that resulted from an earlier recognition order, </w:t>
      </w:r>
      <w:r>
        <w:rPr>
          <w:rFonts w:ascii="Avenir Next" w:hAnsi="Avenir Next" w:cs="Arial"/>
          <w:i/>
          <w:iCs/>
          <w:color w:val="808080" w:themeColor="background1" w:themeShade="80"/>
          <w:sz w:val="22"/>
          <w:szCs w:val="22"/>
          <w:lang w:val="en-GB"/>
        </w:rPr>
        <w:t>ie</w:t>
      </w:r>
      <w:r>
        <w:rPr>
          <w:rFonts w:ascii="Avenir Next" w:hAnsi="Avenir Next" w:cs="Arial"/>
          <w:color w:val="808080" w:themeColor="background1" w:themeShade="80"/>
          <w:sz w:val="22"/>
          <w:szCs w:val="22"/>
          <w:lang w:val="en-GB"/>
        </w:rPr>
        <w:t xml:space="preserve">, the indefinite Moratorium Continuation. </w:t>
      </w:r>
      <w:r w:rsidR="0013201E">
        <w:rPr>
          <w:rFonts w:ascii="Avenir Next" w:hAnsi="Avenir Next" w:cs="Arial"/>
          <w:color w:val="808080" w:themeColor="background1" w:themeShade="80"/>
          <w:sz w:val="22"/>
          <w:szCs w:val="22"/>
          <w:lang w:val="en-GB"/>
        </w:rPr>
        <w:t xml:space="preserve">The indefinite Moratorium Continuation was disputed by two creditors with unpaid claims against IBA under debt instruments governed by English law and who had not submitted to the foreign insolvency proceedings in Azerbaijan to which IBA was subject. </w:t>
      </w:r>
      <w:r>
        <w:rPr>
          <w:rFonts w:ascii="Avenir Next" w:hAnsi="Avenir Next" w:cs="Arial"/>
          <w:color w:val="808080" w:themeColor="background1" w:themeShade="80"/>
          <w:sz w:val="22"/>
          <w:szCs w:val="22"/>
          <w:lang w:val="en-GB"/>
        </w:rPr>
        <w:t>Mr Justice Hildyard denied the indefinite Moratorium Continuation on the basis that a permanent stay could not be deployed as a workaround the Gibbs Rule.</w:t>
      </w:r>
      <w:r w:rsidR="00F60884">
        <w:rPr>
          <w:rFonts w:ascii="Avenir Next" w:hAnsi="Avenir Next" w:cs="Arial"/>
          <w:color w:val="808080" w:themeColor="background1" w:themeShade="80"/>
          <w:sz w:val="22"/>
          <w:szCs w:val="22"/>
          <w:lang w:val="en-GB"/>
        </w:rPr>
        <w:t xml:space="preserve"> </w:t>
      </w:r>
      <w:r w:rsidR="00B37FCE">
        <w:rPr>
          <w:rFonts w:ascii="Avenir Next" w:hAnsi="Avenir Next" w:cs="Arial"/>
          <w:color w:val="808080" w:themeColor="background1" w:themeShade="80"/>
          <w:sz w:val="22"/>
          <w:szCs w:val="22"/>
          <w:lang w:val="en-GB"/>
        </w:rPr>
        <w:t>T</w:t>
      </w:r>
      <w:r w:rsidR="00F60884">
        <w:rPr>
          <w:rFonts w:ascii="Avenir Next" w:hAnsi="Avenir Next" w:cs="Arial"/>
          <w:color w:val="808080" w:themeColor="background1" w:themeShade="80"/>
          <w:sz w:val="22"/>
          <w:szCs w:val="22"/>
          <w:lang w:val="en-GB"/>
        </w:rPr>
        <w:t xml:space="preserve">he MLCBI and the CBIR do not empower the English court to vary or discharge substantive </w:t>
      </w:r>
      <w:r w:rsidR="00AA5856">
        <w:rPr>
          <w:rFonts w:ascii="Avenir Next" w:hAnsi="Avenir Next" w:cs="Arial"/>
          <w:color w:val="808080" w:themeColor="background1" w:themeShade="80"/>
          <w:sz w:val="22"/>
          <w:szCs w:val="22"/>
          <w:lang w:val="en-GB"/>
        </w:rPr>
        <w:t xml:space="preserve">contractual </w:t>
      </w:r>
      <w:r w:rsidR="00F60884">
        <w:rPr>
          <w:rFonts w:ascii="Avenir Next" w:hAnsi="Avenir Next" w:cs="Arial"/>
          <w:color w:val="808080" w:themeColor="background1" w:themeShade="80"/>
          <w:sz w:val="22"/>
          <w:szCs w:val="22"/>
          <w:lang w:val="en-GB"/>
        </w:rPr>
        <w:t>rights conferred under English law through procedural law</w:t>
      </w:r>
      <w:r w:rsidR="00B37FCE">
        <w:rPr>
          <w:rFonts w:ascii="Avenir Next" w:hAnsi="Avenir Next" w:cs="Arial"/>
          <w:color w:val="808080" w:themeColor="background1" w:themeShade="80"/>
          <w:sz w:val="22"/>
          <w:szCs w:val="22"/>
          <w:lang w:val="en-GB"/>
        </w:rPr>
        <w:t xml:space="preserve"> </w:t>
      </w:r>
      <w:r w:rsidR="00F60884">
        <w:rPr>
          <w:rFonts w:ascii="Avenir Next" w:hAnsi="Avenir Next" w:cs="Arial"/>
          <w:color w:val="808080" w:themeColor="background1" w:themeShade="80"/>
          <w:sz w:val="22"/>
          <w:szCs w:val="22"/>
          <w:lang w:val="en-GB"/>
        </w:rPr>
        <w:t xml:space="preserve">– </w:t>
      </w:r>
      <w:r w:rsidR="00863A32">
        <w:rPr>
          <w:rFonts w:ascii="Avenir Next" w:hAnsi="Avenir Next" w:cs="Arial"/>
          <w:color w:val="808080" w:themeColor="background1" w:themeShade="80"/>
          <w:sz w:val="22"/>
          <w:szCs w:val="22"/>
          <w:lang w:val="en-GB"/>
        </w:rPr>
        <w:t xml:space="preserve">the procedural law </w:t>
      </w:r>
      <w:r w:rsidR="00F60884">
        <w:rPr>
          <w:rFonts w:ascii="Avenir Next" w:hAnsi="Avenir Next" w:cs="Arial"/>
          <w:color w:val="808080" w:themeColor="background1" w:themeShade="80"/>
          <w:sz w:val="22"/>
          <w:szCs w:val="22"/>
          <w:lang w:val="en-GB"/>
        </w:rPr>
        <w:t>in this case</w:t>
      </w:r>
      <w:r w:rsidR="00863A32">
        <w:rPr>
          <w:rFonts w:ascii="Avenir Next" w:hAnsi="Avenir Next" w:cs="Arial"/>
          <w:color w:val="808080" w:themeColor="background1" w:themeShade="80"/>
          <w:sz w:val="22"/>
          <w:szCs w:val="22"/>
          <w:lang w:val="en-GB"/>
        </w:rPr>
        <w:t xml:space="preserve"> being</w:t>
      </w:r>
      <w:r w:rsidR="00F60884">
        <w:rPr>
          <w:rFonts w:ascii="Avenir Next" w:hAnsi="Avenir Next" w:cs="Arial"/>
          <w:color w:val="808080" w:themeColor="background1" w:themeShade="80"/>
          <w:sz w:val="22"/>
          <w:szCs w:val="22"/>
          <w:lang w:val="en-GB"/>
        </w:rPr>
        <w:t xml:space="preserve"> the indefinite Moratorium Continuation. Even if the English court had jurisdiction to grant the indefinite Moratorium Continuation, the court would not have exercised this discretion due to the balancing of </w:t>
      </w:r>
      <w:proofErr w:type="gramStart"/>
      <w:r w:rsidR="00F60884">
        <w:rPr>
          <w:rFonts w:ascii="Avenir Next" w:hAnsi="Avenir Next" w:cs="Arial"/>
          <w:color w:val="808080" w:themeColor="background1" w:themeShade="80"/>
          <w:sz w:val="22"/>
          <w:szCs w:val="22"/>
          <w:lang w:val="en-GB"/>
        </w:rPr>
        <w:t>interests</w:t>
      </w:r>
      <w:proofErr w:type="gramEnd"/>
      <w:r w:rsidR="00F60884">
        <w:rPr>
          <w:rFonts w:ascii="Avenir Next" w:hAnsi="Avenir Next" w:cs="Arial"/>
          <w:color w:val="808080" w:themeColor="background1" w:themeShade="80"/>
          <w:sz w:val="22"/>
          <w:szCs w:val="22"/>
          <w:lang w:val="en-GB"/>
        </w:rPr>
        <w:t xml:space="preserve"> exercise under Article 22 of the MLCBI. </w:t>
      </w:r>
    </w:p>
    <w:p w14:paraId="253ECDA2" w14:textId="75638B9A" w:rsidR="00F60884" w:rsidRDefault="00F60884" w:rsidP="00867A8F">
      <w:pPr>
        <w:ind w:left="720" w:hanging="720"/>
        <w:jc w:val="both"/>
        <w:rPr>
          <w:rFonts w:ascii="Avenir Next" w:hAnsi="Avenir Next" w:cs="Arial"/>
          <w:color w:val="808080" w:themeColor="background1" w:themeShade="80"/>
          <w:sz w:val="22"/>
          <w:szCs w:val="22"/>
          <w:lang w:val="en-GB"/>
        </w:rPr>
      </w:pPr>
    </w:p>
    <w:p w14:paraId="404765CF" w14:textId="0377E321" w:rsidR="00F60884" w:rsidRDefault="00F6088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appeal, the English Court of Appeal upheld Mr Justice Hildyard’s decision. The English Court of Appeal considered the real issue to be whether the court should not exercise its power to grant the indefinite Moratorium Continuation </w:t>
      </w:r>
      <w:proofErr w:type="gramStart"/>
      <w:r>
        <w:rPr>
          <w:rFonts w:ascii="Avenir Next" w:hAnsi="Avenir Next" w:cs="Arial"/>
          <w:color w:val="808080" w:themeColor="background1" w:themeShade="80"/>
          <w:sz w:val="22"/>
          <w:szCs w:val="22"/>
          <w:lang w:val="en-GB"/>
        </w:rPr>
        <w:t>where</w:t>
      </w:r>
      <w:proofErr w:type="gramEnd"/>
      <w:r>
        <w:rPr>
          <w:rFonts w:ascii="Avenir Next" w:hAnsi="Avenir Next" w:cs="Arial"/>
          <w:color w:val="808080" w:themeColor="background1" w:themeShade="80"/>
          <w:sz w:val="22"/>
          <w:szCs w:val="22"/>
          <w:lang w:val="en-GB"/>
        </w:rPr>
        <w:t xml:space="preserve"> doing so would (a) in substance prevent the </w:t>
      </w:r>
      <w:r w:rsidR="00AA5856">
        <w:rPr>
          <w:rFonts w:ascii="Avenir Next" w:hAnsi="Avenir Next" w:cs="Arial"/>
          <w:color w:val="808080" w:themeColor="background1" w:themeShade="80"/>
          <w:sz w:val="22"/>
          <w:szCs w:val="22"/>
          <w:lang w:val="en-GB"/>
        </w:rPr>
        <w:t xml:space="preserve">challenging </w:t>
      </w:r>
      <w:r>
        <w:rPr>
          <w:rFonts w:ascii="Avenir Next" w:hAnsi="Avenir Next" w:cs="Arial"/>
          <w:color w:val="808080" w:themeColor="background1" w:themeShade="80"/>
          <w:sz w:val="22"/>
          <w:szCs w:val="22"/>
          <w:lang w:val="en-GB"/>
        </w:rPr>
        <w:t xml:space="preserve">creditors from enforcing their English law rights </w:t>
      </w:r>
      <w:r w:rsidR="0013201E">
        <w:rPr>
          <w:rFonts w:ascii="Avenir Next" w:hAnsi="Avenir Next" w:cs="Arial"/>
          <w:color w:val="808080" w:themeColor="background1" w:themeShade="80"/>
          <w:sz w:val="22"/>
          <w:szCs w:val="22"/>
          <w:lang w:val="en-GB"/>
        </w:rPr>
        <w:t xml:space="preserve">under debt instruments </w:t>
      </w:r>
      <w:r>
        <w:rPr>
          <w:rFonts w:ascii="Avenir Next" w:hAnsi="Avenir Next" w:cs="Arial"/>
          <w:color w:val="808080" w:themeColor="background1" w:themeShade="80"/>
          <w:sz w:val="22"/>
          <w:szCs w:val="22"/>
          <w:lang w:val="en-GB"/>
        </w:rPr>
        <w:t xml:space="preserve">in accordance with the Gibbs Rule; and (b) prolong the stay after the Azeri reconstruction </w:t>
      </w:r>
      <w:r w:rsidRPr="0013201E">
        <w:rPr>
          <w:rFonts w:ascii="Avenir Next" w:hAnsi="Avenir Next" w:cs="Arial"/>
          <w:color w:val="808080" w:themeColor="background1" w:themeShade="80"/>
          <w:sz w:val="22"/>
          <w:szCs w:val="22"/>
          <w:lang w:val="en-GB"/>
        </w:rPr>
        <w:t>had</w:t>
      </w:r>
      <w:r>
        <w:rPr>
          <w:rFonts w:ascii="Avenir Next" w:hAnsi="Avenir Next" w:cs="Arial"/>
          <w:color w:val="808080" w:themeColor="background1" w:themeShade="80"/>
          <w:sz w:val="22"/>
          <w:szCs w:val="22"/>
          <w:lang w:val="en-GB"/>
        </w:rPr>
        <w:t xml:space="preserve"> come to an end. The Court of Appeal answered both (a) and (b) in favour of the </w:t>
      </w:r>
      <w:r w:rsidR="0013201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hallenging </w:t>
      </w:r>
      <w:r w:rsidR="0013201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reditors. The Court of Appeal held that an English court may only properly grant the indefinite Moratorium Continuation if it were satisfied that the stay was necessary and appropriate to protect the interests of IBA’s creditors. </w:t>
      </w:r>
      <w:r w:rsidR="00DF7491">
        <w:rPr>
          <w:rFonts w:ascii="Avenir Next" w:hAnsi="Avenir Next" w:cs="Arial"/>
          <w:color w:val="808080" w:themeColor="background1" w:themeShade="80"/>
          <w:sz w:val="22"/>
          <w:szCs w:val="22"/>
          <w:lang w:val="en-GB"/>
        </w:rPr>
        <w:t>In the court’s view, n</w:t>
      </w:r>
      <w:r>
        <w:rPr>
          <w:rFonts w:ascii="Avenir Next" w:hAnsi="Avenir Next" w:cs="Arial"/>
          <w:color w:val="808080" w:themeColor="background1" w:themeShade="80"/>
          <w:sz w:val="22"/>
          <w:szCs w:val="22"/>
          <w:lang w:val="en-GB"/>
        </w:rPr>
        <w:t xml:space="preserve">either of these conditions had been satisfied. </w:t>
      </w:r>
    </w:p>
    <w:p w14:paraId="07D6E8DE" w14:textId="77777777" w:rsidR="00F60884" w:rsidRDefault="00F60884" w:rsidP="00867A8F">
      <w:pPr>
        <w:ind w:left="720" w:hanging="720"/>
        <w:jc w:val="both"/>
        <w:rPr>
          <w:rFonts w:ascii="Avenir Next" w:hAnsi="Avenir Next" w:cs="Arial"/>
          <w:color w:val="808080" w:themeColor="background1" w:themeShade="80"/>
          <w:sz w:val="22"/>
          <w:szCs w:val="22"/>
          <w:lang w:val="en-GB"/>
        </w:rPr>
      </w:pPr>
    </w:p>
    <w:p w14:paraId="06EF854A" w14:textId="5AB0340F" w:rsidR="00F60884" w:rsidRDefault="00F6088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(a), the Court of Appeal concluded that the IBA creditors needed no further protection </w:t>
      </w: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foreign proceeding to achieve its purpose. Furthermore, it was material that IBA could in principle have promoted a parallel scheme of arrangement in the UK but chose not to do so. </w:t>
      </w:r>
    </w:p>
    <w:p w14:paraId="34CA121F" w14:textId="4725ED9A" w:rsidR="00F60884" w:rsidRDefault="00F60884" w:rsidP="00867A8F">
      <w:pPr>
        <w:ind w:left="720" w:hanging="720"/>
        <w:jc w:val="both"/>
        <w:rPr>
          <w:rFonts w:ascii="Avenir Next" w:hAnsi="Avenir Next" w:cs="Arial"/>
          <w:color w:val="808080" w:themeColor="background1" w:themeShade="80"/>
          <w:sz w:val="22"/>
          <w:szCs w:val="22"/>
          <w:lang w:val="en-GB"/>
        </w:rPr>
      </w:pPr>
    </w:p>
    <w:p w14:paraId="0F8F497E" w14:textId="77777777" w:rsidR="00676D22" w:rsidRDefault="00F6088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 (b), the Court of Appeal considered that the information obligation of the foreign representative contained in Article 18 of the MLCBI required the foreign proceeding to still be in existence an</w:t>
      </w:r>
      <w:r w:rsidR="00676D22">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the foreign representative to still be in office. The strong implication from this was that once the foreign proceeding has come to an end, there was no scope </w:t>
      </w:r>
      <w:r w:rsidR="00676D22">
        <w:rPr>
          <w:rFonts w:ascii="Avenir Next" w:hAnsi="Avenir Next" w:cs="Arial"/>
          <w:color w:val="808080" w:themeColor="background1" w:themeShade="80"/>
          <w:sz w:val="22"/>
          <w:szCs w:val="22"/>
          <w:lang w:val="en-GB"/>
        </w:rPr>
        <w:t xml:space="preserve">for further orders in respect of the foreign proceeding made. </w:t>
      </w:r>
    </w:p>
    <w:p w14:paraId="1DC512E8" w14:textId="77777777" w:rsidR="00676D22" w:rsidRDefault="00676D22" w:rsidP="00867A8F">
      <w:pPr>
        <w:ind w:left="720" w:hanging="720"/>
        <w:jc w:val="both"/>
        <w:rPr>
          <w:rFonts w:ascii="Avenir Next" w:hAnsi="Avenir Next" w:cs="Arial"/>
          <w:color w:val="808080" w:themeColor="background1" w:themeShade="80"/>
          <w:sz w:val="22"/>
          <w:szCs w:val="22"/>
          <w:lang w:val="en-GB"/>
        </w:rPr>
      </w:pPr>
    </w:p>
    <w:p w14:paraId="15190B95" w14:textId="07031EE6" w:rsidR="00F60884" w:rsidRPr="00F60884" w:rsidRDefault="00676D2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the Court of Appeal upheld the decision that the court should not grant the indefinite Moratorium Continuation.</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19BF77B8" w:rsidR="00867A8F" w:rsidRDefault="00CE0E4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Under Article 20 of the MLCBI, upon recognition of a foreign main proceeding, the court in the enacting State should automatically grant: (a) a stay of the commencement or continuation of individual actions or individual proceedings concerning the debtor’s assets, rights, </w:t>
      </w:r>
      <w:proofErr w:type="gramStart"/>
      <w:r>
        <w:rPr>
          <w:rFonts w:ascii="Avenir Next" w:hAnsi="Avenir Next" w:cs="Arial"/>
          <w:color w:val="808080" w:themeColor="background1" w:themeShade="80"/>
          <w:sz w:val="22"/>
          <w:szCs w:val="22"/>
          <w:lang w:val="en-GB"/>
        </w:rPr>
        <w:t>obligations</w:t>
      </w:r>
      <w:proofErr w:type="gramEnd"/>
      <w:r>
        <w:rPr>
          <w:rFonts w:ascii="Avenir Next" w:hAnsi="Avenir Next" w:cs="Arial"/>
          <w:color w:val="808080" w:themeColor="background1" w:themeShade="80"/>
          <w:sz w:val="22"/>
          <w:szCs w:val="22"/>
          <w:lang w:val="en-GB"/>
        </w:rPr>
        <w:t xml:space="preserve"> or liabilities; (b) a stay of execution against the debtor’s assets; and (c) a suspension of the right to transfer, encumber or otherwise dispose of any assets of the debtor. </w:t>
      </w:r>
    </w:p>
    <w:p w14:paraId="616085BD" w14:textId="4EF790D5" w:rsidR="00CE0E49" w:rsidRDefault="00CE0E49" w:rsidP="00867A8F">
      <w:pPr>
        <w:ind w:left="720" w:hanging="720"/>
        <w:jc w:val="both"/>
        <w:rPr>
          <w:rFonts w:ascii="Avenir Next" w:hAnsi="Avenir Next" w:cs="Arial"/>
          <w:color w:val="808080" w:themeColor="background1" w:themeShade="80"/>
          <w:sz w:val="22"/>
          <w:szCs w:val="22"/>
          <w:lang w:val="en-GB"/>
        </w:rPr>
      </w:pPr>
    </w:p>
    <w:p w14:paraId="0A7C07CF" w14:textId="2389C39B" w:rsidR="00CE0E49" w:rsidRPr="00B77352" w:rsidRDefault="00AF34A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18 requires the foreign representative, from the time of filing the recognition application for the foreign proceeding, to promptly inform the court of the enacting State of (a) any substantial change in the status of the recognised foreign proceeding or the foreign representative’s appointment; and (b) any other foreign proceeding regarding the same debtor that becomes known to the foreign representative.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2FB1A0B9" w14:textId="3C55E22F" w:rsidR="006F1964" w:rsidRPr="00E74E87" w:rsidRDefault="006F1964" w:rsidP="00E74E8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representative’s access to the courts in State A is addressed by Articles 9, 11 and 12, which provide for the foreign representative’s standing in the courts of State A without the need to meet formal requirements such as licenses or consular action</w:t>
      </w:r>
      <w:r w:rsidR="00E74E87">
        <w:rPr>
          <w:rFonts w:ascii="Avenir Next" w:hAnsi="Avenir Next" w:cs="Arial"/>
          <w:color w:val="808080" w:themeColor="background1" w:themeShade="80"/>
          <w:sz w:val="22"/>
          <w:szCs w:val="22"/>
          <w:lang w:val="en-GB"/>
        </w:rPr>
        <w:t xml:space="preserve">. First, </w:t>
      </w:r>
      <w:r w:rsidRPr="00E74E87">
        <w:rPr>
          <w:rFonts w:ascii="Avenir Next" w:hAnsi="Avenir Next" w:cs="Arial"/>
          <w:color w:val="808080" w:themeColor="background1" w:themeShade="80"/>
          <w:sz w:val="22"/>
          <w:szCs w:val="22"/>
          <w:lang w:val="en-GB"/>
        </w:rPr>
        <w:t xml:space="preserve">Article 9 expresses the principle of direct access by a foreign representative in the courts of the enacting State. </w:t>
      </w:r>
      <w:r w:rsidR="00E74E87">
        <w:rPr>
          <w:rFonts w:ascii="Avenir Next" w:hAnsi="Avenir Next" w:cs="Arial"/>
          <w:color w:val="808080" w:themeColor="background1" w:themeShade="80"/>
          <w:sz w:val="22"/>
          <w:szCs w:val="22"/>
          <w:lang w:val="en-GB"/>
        </w:rPr>
        <w:t>Accordingly, r</w:t>
      </w:r>
      <w:r w:rsidRPr="00E74E87">
        <w:rPr>
          <w:rFonts w:ascii="Avenir Next" w:hAnsi="Avenir Next" w:cs="Arial"/>
          <w:color w:val="808080" w:themeColor="background1" w:themeShade="80"/>
          <w:sz w:val="22"/>
          <w:szCs w:val="22"/>
          <w:lang w:val="en-GB"/>
        </w:rPr>
        <w:t>ecognition of the foreign proceeding opened in State B by the court in State A is not required to provide the foreign representative with standing in the courts of State A.</w:t>
      </w:r>
      <w:r w:rsidR="00E74E87">
        <w:rPr>
          <w:rFonts w:ascii="Avenir Next" w:hAnsi="Avenir Next" w:cs="Arial"/>
          <w:color w:val="808080" w:themeColor="background1" w:themeShade="80"/>
          <w:sz w:val="22"/>
          <w:szCs w:val="22"/>
          <w:lang w:val="en-GB"/>
        </w:rPr>
        <w:t xml:space="preserve"> Second, </w:t>
      </w:r>
      <w:r w:rsidRPr="00E74E87">
        <w:rPr>
          <w:rFonts w:ascii="Avenir Next" w:hAnsi="Avenir Next" w:cs="Arial"/>
          <w:color w:val="808080" w:themeColor="background1" w:themeShade="80"/>
          <w:sz w:val="22"/>
          <w:szCs w:val="22"/>
          <w:lang w:val="en-GB"/>
        </w:rPr>
        <w:t xml:space="preserve">Article 11 provides standing to the foreign representative in the courts of </w:t>
      </w:r>
      <w:r w:rsidR="00E74E87">
        <w:rPr>
          <w:rFonts w:ascii="Avenir Next" w:hAnsi="Avenir Next" w:cs="Arial"/>
          <w:color w:val="808080" w:themeColor="background1" w:themeShade="80"/>
          <w:sz w:val="22"/>
          <w:szCs w:val="22"/>
          <w:lang w:val="en-GB"/>
        </w:rPr>
        <w:t>State A</w:t>
      </w:r>
      <w:r w:rsidRPr="00E74E87">
        <w:rPr>
          <w:rFonts w:ascii="Avenir Next" w:hAnsi="Avenir Next" w:cs="Arial"/>
          <w:color w:val="808080" w:themeColor="background1" w:themeShade="80"/>
          <w:sz w:val="22"/>
          <w:szCs w:val="22"/>
          <w:lang w:val="en-GB"/>
        </w:rPr>
        <w:t xml:space="preserve"> to request the commencement of a domestic insolvency proceeding in </w:t>
      </w:r>
      <w:r w:rsidR="00E74E87">
        <w:rPr>
          <w:rFonts w:ascii="Avenir Next" w:hAnsi="Avenir Next" w:cs="Arial"/>
          <w:color w:val="808080" w:themeColor="background1" w:themeShade="80"/>
          <w:sz w:val="22"/>
          <w:szCs w:val="22"/>
          <w:lang w:val="en-GB"/>
        </w:rPr>
        <w:t>State A</w:t>
      </w:r>
      <w:r w:rsidRPr="00E74E87">
        <w:rPr>
          <w:rFonts w:ascii="Avenir Next" w:hAnsi="Avenir Next" w:cs="Arial"/>
          <w:color w:val="808080" w:themeColor="background1" w:themeShade="80"/>
          <w:sz w:val="22"/>
          <w:szCs w:val="22"/>
          <w:lang w:val="en-GB"/>
        </w:rPr>
        <w:t xml:space="preserve"> without otherwise modifying any of the conditions for the opening of such a proceeding.</w:t>
      </w:r>
      <w:r w:rsidR="00E74E87">
        <w:rPr>
          <w:rFonts w:ascii="Avenir Next" w:hAnsi="Avenir Next" w:cs="Arial"/>
          <w:color w:val="808080" w:themeColor="background1" w:themeShade="80"/>
          <w:sz w:val="22"/>
          <w:szCs w:val="22"/>
          <w:lang w:val="en-GB"/>
        </w:rPr>
        <w:t xml:space="preserve"> Third, </w:t>
      </w:r>
      <w:r w:rsidRPr="00E74E87">
        <w:rPr>
          <w:rFonts w:ascii="Avenir Next" w:hAnsi="Avenir Next" w:cs="Arial"/>
          <w:color w:val="808080" w:themeColor="background1" w:themeShade="80"/>
          <w:sz w:val="22"/>
          <w:szCs w:val="22"/>
          <w:lang w:val="en-GB"/>
        </w:rPr>
        <w:t xml:space="preserve">Article 12 provides that when a domestic insolvency proceeding in the enacting State </w:t>
      </w:r>
      <w:r w:rsidR="00E74E87">
        <w:rPr>
          <w:rFonts w:ascii="Avenir Next" w:hAnsi="Avenir Next" w:cs="Arial"/>
          <w:color w:val="808080" w:themeColor="background1" w:themeShade="80"/>
          <w:sz w:val="22"/>
          <w:szCs w:val="22"/>
          <w:lang w:val="en-GB"/>
        </w:rPr>
        <w:t xml:space="preserve">(State A) </w:t>
      </w:r>
      <w:r w:rsidRPr="00E74E87">
        <w:rPr>
          <w:rFonts w:ascii="Avenir Next" w:hAnsi="Avenir Next" w:cs="Arial"/>
          <w:color w:val="808080" w:themeColor="background1" w:themeShade="80"/>
          <w:sz w:val="22"/>
          <w:szCs w:val="22"/>
          <w:lang w:val="en-GB"/>
        </w:rPr>
        <w:t xml:space="preserve">is opened in respect of the </w:t>
      </w:r>
      <w:proofErr w:type="gramStart"/>
      <w:r w:rsidRPr="00E74E87">
        <w:rPr>
          <w:rFonts w:ascii="Avenir Next" w:hAnsi="Avenir Next" w:cs="Arial"/>
          <w:color w:val="808080" w:themeColor="background1" w:themeShade="80"/>
          <w:sz w:val="22"/>
          <w:szCs w:val="22"/>
          <w:lang w:val="en-GB"/>
        </w:rPr>
        <w:t>debtor, and</w:t>
      </w:r>
      <w:proofErr w:type="gramEnd"/>
      <w:r w:rsidRPr="00E74E87">
        <w:rPr>
          <w:rFonts w:ascii="Avenir Next" w:hAnsi="Avenir Next" w:cs="Arial"/>
          <w:color w:val="808080" w:themeColor="background1" w:themeShade="80"/>
          <w:sz w:val="22"/>
          <w:szCs w:val="22"/>
          <w:lang w:val="en-GB"/>
        </w:rPr>
        <w:t xml:space="preserve"> following recognition of the foreign proceeding in the enacting State, the foreign representative will have standing to make petitions, requests or submissions concerning issues such as co-operation.</w:t>
      </w:r>
    </w:p>
    <w:p w14:paraId="6ACD8296" w14:textId="78F9A814" w:rsidR="006F1964" w:rsidRDefault="006F1964" w:rsidP="006F1964">
      <w:pPr>
        <w:jc w:val="both"/>
        <w:rPr>
          <w:rFonts w:ascii="Avenir Next" w:hAnsi="Avenir Next" w:cs="Arial"/>
          <w:color w:val="808080" w:themeColor="background1" w:themeShade="80"/>
          <w:sz w:val="22"/>
          <w:szCs w:val="22"/>
          <w:lang w:val="en-GB"/>
        </w:rPr>
      </w:pPr>
    </w:p>
    <w:p w14:paraId="1CB1EE38" w14:textId="32F70358" w:rsidR="006F1964" w:rsidRPr="006F1964" w:rsidRDefault="006F1964" w:rsidP="00E74E8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articles benefit the foreign representative in that the foreign representative has standing to appear before the courts of State </w:t>
      </w:r>
      <w:proofErr w:type="gramStart"/>
      <w:r>
        <w:rPr>
          <w:rFonts w:ascii="Avenir Next" w:hAnsi="Avenir Next" w:cs="Arial"/>
          <w:color w:val="808080" w:themeColor="background1" w:themeShade="80"/>
          <w:sz w:val="22"/>
          <w:szCs w:val="22"/>
          <w:lang w:val="en-GB"/>
        </w:rPr>
        <w:t>A in order to</w:t>
      </w:r>
      <w:proofErr w:type="gramEnd"/>
      <w:r>
        <w:rPr>
          <w:rFonts w:ascii="Avenir Next" w:hAnsi="Avenir Next" w:cs="Arial"/>
          <w:color w:val="808080" w:themeColor="background1" w:themeShade="80"/>
          <w:sz w:val="22"/>
          <w:szCs w:val="22"/>
          <w:lang w:val="en-GB"/>
        </w:rPr>
        <w:t xml:space="preserve"> apply for the recognition of the foreign proceedings opened in State B and to request co-operation.</w:t>
      </w:r>
    </w:p>
    <w:p w14:paraId="69AAFC41" w14:textId="00220918" w:rsidR="006F1964" w:rsidRDefault="006F1964" w:rsidP="00867A8F">
      <w:pPr>
        <w:ind w:left="720" w:hanging="720"/>
        <w:jc w:val="both"/>
        <w:rPr>
          <w:rFonts w:ascii="Avenir Next" w:hAnsi="Avenir Next" w:cs="Arial"/>
          <w:color w:val="808080" w:themeColor="background1" w:themeShade="80"/>
          <w:sz w:val="22"/>
          <w:szCs w:val="22"/>
          <w:lang w:val="en-GB"/>
        </w:rPr>
      </w:pPr>
    </w:p>
    <w:p w14:paraId="08475351" w14:textId="7576E853" w:rsidR="00867A8F" w:rsidRDefault="009A3A1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6F1964">
        <w:rPr>
          <w:rFonts w:ascii="Avenir Next" w:hAnsi="Avenir Next" w:cs="Arial"/>
          <w:color w:val="808080" w:themeColor="background1" w:themeShade="80"/>
          <w:sz w:val="22"/>
          <w:szCs w:val="22"/>
          <w:lang w:val="en-GB"/>
        </w:rPr>
        <w:t>s for co-operation, A</w:t>
      </w:r>
      <w:r>
        <w:rPr>
          <w:rFonts w:ascii="Avenir Next" w:hAnsi="Avenir Next" w:cs="Arial"/>
          <w:color w:val="808080" w:themeColor="background1" w:themeShade="80"/>
          <w:sz w:val="22"/>
          <w:szCs w:val="22"/>
          <w:lang w:val="en-GB"/>
        </w:rPr>
        <w:t>rticle 27 of the MLCBI provides for a non-exhaustive list of the types of co-operation the court in State A can order:</w:t>
      </w:r>
    </w:p>
    <w:p w14:paraId="431B39BE" w14:textId="4D9D6AC3" w:rsidR="009A3A17" w:rsidRDefault="009A3A17">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appointment of a person or body to act at the direction of the </w:t>
      </w:r>
      <w:proofErr w:type="gramStart"/>
      <w:r>
        <w:rPr>
          <w:rFonts w:ascii="Avenir Next" w:hAnsi="Avenir Next" w:cs="Arial"/>
          <w:color w:val="808080" w:themeColor="background1" w:themeShade="80"/>
          <w:sz w:val="22"/>
          <w:szCs w:val="22"/>
          <w:lang w:val="en-GB"/>
        </w:rPr>
        <w:t>court;</w:t>
      </w:r>
      <w:proofErr w:type="gramEnd"/>
    </w:p>
    <w:p w14:paraId="63995CF0" w14:textId="4586E33F" w:rsidR="009A3A17" w:rsidRDefault="009A3A17">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Communication of information by any means considered appropriate by the </w:t>
      </w:r>
      <w:proofErr w:type="gramStart"/>
      <w:r>
        <w:rPr>
          <w:rFonts w:ascii="Avenir Next" w:hAnsi="Avenir Next" w:cs="Arial"/>
          <w:color w:val="808080" w:themeColor="background1" w:themeShade="80"/>
          <w:sz w:val="22"/>
          <w:szCs w:val="22"/>
          <w:lang w:val="en-GB"/>
        </w:rPr>
        <w:t>court;</w:t>
      </w:r>
      <w:proofErr w:type="gramEnd"/>
    </w:p>
    <w:p w14:paraId="62C8BF67" w14:textId="2CD0BC66" w:rsidR="009A3A17" w:rsidRDefault="009A3A17">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Co-ordination of the administration and supervision of the debtor’s assets and </w:t>
      </w:r>
      <w:proofErr w:type="gramStart"/>
      <w:r>
        <w:rPr>
          <w:rFonts w:ascii="Avenir Next" w:hAnsi="Avenir Next" w:cs="Arial"/>
          <w:color w:val="808080" w:themeColor="background1" w:themeShade="80"/>
          <w:sz w:val="22"/>
          <w:szCs w:val="22"/>
          <w:lang w:val="en-GB"/>
        </w:rPr>
        <w:t>affairs;</w:t>
      </w:r>
      <w:proofErr w:type="gramEnd"/>
    </w:p>
    <w:p w14:paraId="5ED87244" w14:textId="11B312E0" w:rsidR="009A3A17" w:rsidRDefault="009A3A17">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Approval or implementation by courts of agreements concerning the co-ordination of </w:t>
      </w:r>
      <w:proofErr w:type="gramStart"/>
      <w:r>
        <w:rPr>
          <w:rFonts w:ascii="Avenir Next" w:hAnsi="Avenir Next" w:cs="Arial"/>
          <w:color w:val="808080" w:themeColor="background1" w:themeShade="80"/>
          <w:sz w:val="22"/>
          <w:szCs w:val="22"/>
          <w:lang w:val="en-GB"/>
        </w:rPr>
        <w:t>proceedings;</w:t>
      </w:r>
      <w:proofErr w:type="gramEnd"/>
    </w:p>
    <w:p w14:paraId="1DE7E1BC" w14:textId="4EA5B2D1" w:rsidR="009A3A17" w:rsidRDefault="009A3A17">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Co-ordination of concurrent proceedings regarding the same debtor; and</w:t>
      </w:r>
    </w:p>
    <w:p w14:paraId="45C9D53E" w14:textId="440D8B92" w:rsidR="009A3A17" w:rsidRDefault="009A3A17">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additional forms of examples the enacting State may wish to list.</w:t>
      </w:r>
    </w:p>
    <w:p w14:paraId="56B041AB" w14:textId="30628F48" w:rsidR="009A3A17" w:rsidRDefault="009A3A17" w:rsidP="009A3A17">
      <w:pPr>
        <w:jc w:val="both"/>
        <w:rPr>
          <w:rFonts w:ascii="Avenir Next" w:hAnsi="Avenir Next" w:cs="Arial"/>
          <w:color w:val="808080" w:themeColor="background1" w:themeShade="80"/>
          <w:sz w:val="22"/>
          <w:szCs w:val="22"/>
          <w:lang w:val="en-GB"/>
        </w:rPr>
      </w:pPr>
    </w:p>
    <w:p w14:paraId="501F9BDD" w14:textId="77B6CCF4" w:rsidR="009A3A17" w:rsidRPr="009A3A17" w:rsidRDefault="009A3A17" w:rsidP="00E74E8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can rely on Article 27 of the MLCBI to ask for, for example</w:t>
      </w:r>
      <w:r w:rsidR="006F196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 order</w:t>
      </w:r>
      <w:r w:rsidR="006F196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requiring the </w:t>
      </w:r>
      <w:r w:rsidR="00E74E87">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ebtor to communicate to the foreign representative the value and location of its assets located in State </w:t>
      </w:r>
      <w:proofErr w:type="gramStart"/>
      <w:r>
        <w:rPr>
          <w:rFonts w:ascii="Avenir Next" w:hAnsi="Avenir Next" w:cs="Arial"/>
          <w:color w:val="808080" w:themeColor="background1" w:themeShade="80"/>
          <w:sz w:val="22"/>
          <w:szCs w:val="22"/>
          <w:lang w:val="en-GB"/>
        </w:rPr>
        <w:t>A</w:t>
      </w:r>
      <w:r w:rsidR="006F1964">
        <w:rPr>
          <w:rFonts w:ascii="Avenir Next" w:hAnsi="Avenir Next" w:cs="Arial"/>
          <w:color w:val="808080" w:themeColor="background1" w:themeShade="80"/>
          <w:sz w:val="22"/>
          <w:szCs w:val="22"/>
          <w:lang w:val="en-GB"/>
        </w:rPr>
        <w:t xml:space="preserve"> </w:t>
      </w:r>
      <w:r w:rsidR="00E74E87">
        <w:rPr>
          <w:rFonts w:ascii="Avenir Next" w:hAnsi="Avenir Next" w:cs="Arial"/>
          <w:color w:val="808080" w:themeColor="background1" w:themeShade="80"/>
          <w:sz w:val="22"/>
          <w:szCs w:val="22"/>
          <w:lang w:val="en-GB"/>
        </w:rPr>
        <w:t xml:space="preserve">so as </w:t>
      </w:r>
      <w:r w:rsidR="006F1964">
        <w:rPr>
          <w:rFonts w:ascii="Avenir Next" w:hAnsi="Avenir Next" w:cs="Arial"/>
          <w:color w:val="808080" w:themeColor="background1" w:themeShade="80"/>
          <w:sz w:val="22"/>
          <w:szCs w:val="22"/>
          <w:lang w:val="en-GB"/>
        </w:rPr>
        <w:t>to</w:t>
      </w:r>
      <w:proofErr w:type="gramEnd"/>
      <w:r w:rsidR="006F1964">
        <w:rPr>
          <w:rFonts w:ascii="Avenir Next" w:hAnsi="Avenir Next" w:cs="Arial"/>
          <w:color w:val="808080" w:themeColor="background1" w:themeShade="80"/>
          <w:sz w:val="22"/>
          <w:szCs w:val="22"/>
          <w:lang w:val="en-GB"/>
        </w:rPr>
        <w:t xml:space="preserve"> facilitate the foreign representative’s securing of those assets.  </w:t>
      </w:r>
      <w:r>
        <w:rPr>
          <w:rFonts w:ascii="Avenir Next" w:hAnsi="Avenir Next" w:cs="Arial"/>
          <w:color w:val="808080" w:themeColor="background1" w:themeShade="80"/>
          <w:sz w:val="22"/>
          <w:szCs w:val="22"/>
          <w:lang w:val="en-GB"/>
        </w:rPr>
        <w:t xml:space="preserve">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7FBF70D4" w:rsidR="00867A8F" w:rsidRDefault="005E376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evidential requirements for recognition of </w:t>
      </w:r>
      <w:r w:rsidR="000D1225">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foreign proceeding </w:t>
      </w:r>
      <w:r w:rsidR="000D1225">
        <w:rPr>
          <w:rFonts w:ascii="Avenir Next" w:hAnsi="Avenir Next" w:cs="Arial"/>
          <w:color w:val="808080" w:themeColor="background1" w:themeShade="80"/>
          <w:sz w:val="22"/>
          <w:szCs w:val="22"/>
          <w:lang w:val="en-GB"/>
        </w:rPr>
        <w:t xml:space="preserve">opened in State B </w:t>
      </w:r>
      <w:r>
        <w:rPr>
          <w:rFonts w:ascii="Avenir Next" w:hAnsi="Avenir Next" w:cs="Arial"/>
          <w:color w:val="808080" w:themeColor="background1" w:themeShade="80"/>
          <w:sz w:val="22"/>
          <w:szCs w:val="22"/>
          <w:lang w:val="en-GB"/>
        </w:rPr>
        <w:t xml:space="preserve">are set out in Article 15 of the MLCBI, which requires that the application for recognition be accompanied by: (a) a certified copy of the decision commencing the foreign proceeding </w:t>
      </w:r>
      <w:r w:rsidR="00F04DD6">
        <w:rPr>
          <w:rFonts w:ascii="Avenir Next" w:hAnsi="Avenir Next" w:cs="Arial"/>
          <w:color w:val="808080" w:themeColor="background1" w:themeShade="80"/>
          <w:sz w:val="22"/>
          <w:szCs w:val="22"/>
          <w:lang w:val="en-GB"/>
        </w:rPr>
        <w:t xml:space="preserve">and appointing the foreign representative; and (b) a certificate from the court </w:t>
      </w:r>
      <w:r w:rsidR="000D1225">
        <w:rPr>
          <w:rFonts w:ascii="Avenir Next" w:hAnsi="Avenir Next" w:cs="Arial"/>
          <w:color w:val="808080" w:themeColor="background1" w:themeShade="80"/>
          <w:sz w:val="22"/>
          <w:szCs w:val="22"/>
          <w:lang w:val="en-GB"/>
        </w:rPr>
        <w:t xml:space="preserve">of State B </w:t>
      </w:r>
      <w:r w:rsidR="00F04DD6">
        <w:rPr>
          <w:rFonts w:ascii="Avenir Next" w:hAnsi="Avenir Next" w:cs="Arial"/>
          <w:color w:val="808080" w:themeColor="background1" w:themeShade="80"/>
          <w:sz w:val="22"/>
          <w:szCs w:val="22"/>
          <w:lang w:val="en-GB"/>
        </w:rPr>
        <w:t xml:space="preserve">affirming the existence of the foreign proceeding and of the appointment of the foreign representative; or (c) in the absence of either, any other evidence acceptable to the court of the existence of the foreign proceeding and of the appointment of the foreign representative. Any application for recognition shall also be accompanied by a statement identifying all foreign proceedings in respect of the </w:t>
      </w:r>
      <w:r w:rsidR="000D1225">
        <w:rPr>
          <w:rFonts w:ascii="Avenir Next" w:hAnsi="Avenir Next" w:cs="Arial"/>
          <w:color w:val="808080" w:themeColor="background1" w:themeShade="80"/>
          <w:sz w:val="22"/>
          <w:szCs w:val="22"/>
          <w:lang w:val="en-GB"/>
        </w:rPr>
        <w:t>D</w:t>
      </w:r>
      <w:r w:rsidR="00F04DD6">
        <w:rPr>
          <w:rFonts w:ascii="Avenir Next" w:hAnsi="Avenir Next" w:cs="Arial"/>
          <w:color w:val="808080" w:themeColor="background1" w:themeShade="80"/>
          <w:sz w:val="22"/>
          <w:szCs w:val="22"/>
          <w:lang w:val="en-GB"/>
        </w:rPr>
        <w:t>ebtor that are known to the foreign representative. If these requirements are met, recognition will be granted pursuant to Article 17 of the MLCBI.</w:t>
      </w:r>
      <w:r w:rsidR="000D1225">
        <w:rPr>
          <w:rFonts w:ascii="Avenir Next" w:hAnsi="Avenir Next" w:cs="Arial"/>
          <w:color w:val="808080" w:themeColor="background1" w:themeShade="80"/>
          <w:sz w:val="22"/>
          <w:szCs w:val="22"/>
          <w:lang w:val="en-GB"/>
        </w:rPr>
        <w:t xml:space="preserve"> In determining whether the foreign proceeding opened in State B should be recognised, the court of State A is further limited to the jurisdictional pre-conditions set out in the definition of “foreign proceeding” in Article 2(a) of the Model Law, and is not to consider or determine whether the foreign proceeding in State B was correctly commenced under the applicable law of State B. </w:t>
      </w:r>
    </w:p>
    <w:p w14:paraId="0BA54432" w14:textId="5E35DBAC" w:rsidR="00F04DD6" w:rsidRDefault="00F04DD6" w:rsidP="00867A8F">
      <w:pPr>
        <w:ind w:left="720" w:hanging="720"/>
        <w:jc w:val="both"/>
        <w:rPr>
          <w:rFonts w:ascii="Avenir Next" w:hAnsi="Avenir Next" w:cs="Arial"/>
          <w:color w:val="808080" w:themeColor="background1" w:themeShade="80"/>
          <w:sz w:val="22"/>
          <w:szCs w:val="22"/>
          <w:lang w:val="en-GB"/>
        </w:rPr>
      </w:pPr>
    </w:p>
    <w:p w14:paraId="53394773" w14:textId="6E6B9C01" w:rsidR="00F04DD6" w:rsidRPr="00B77352" w:rsidRDefault="00F04DD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restrictions and limitations to take note of are as follows. First, the foreign representative must make full and frank disclosure to the court in State A for the recognition application to be successful. Otherwise, the court may consider the non-disclosure to be an abuse of process based on State A’s domestic laws and procedural rules which could affect the recognition application. Second, though the public policy exception in Article 6 of the MLCBI would rarely be the basis for refusing an application for recognition, it may be a basis for limiting the nature of relief accorded. </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1A67231" w14:textId="6E05B94B" w:rsidR="00867A8F" w:rsidRDefault="00E94A3E" w:rsidP="00E94A3E">
      <w:pPr>
        <w:ind w:left="720" w:hanging="720"/>
        <w:jc w:val="both"/>
        <w:rPr>
          <w:rFonts w:ascii="Avenir Next" w:hAnsi="Avenir Next" w:cs="Arial"/>
          <w:color w:val="808080" w:themeColor="background1" w:themeShade="80"/>
          <w:sz w:val="22"/>
          <w:szCs w:val="22"/>
          <w:lang w:val="en-GB"/>
        </w:rPr>
      </w:pPr>
      <w:r w:rsidRPr="00E94A3E">
        <w:rPr>
          <w:rFonts w:ascii="Avenir Next" w:hAnsi="Avenir Next" w:cs="Arial"/>
          <w:color w:val="808080" w:themeColor="background1" w:themeShade="80"/>
          <w:sz w:val="22"/>
          <w:szCs w:val="22"/>
          <w:lang w:val="en-GB"/>
        </w:rPr>
        <w:lastRenderedPageBreak/>
        <w:t>The foreign representative can conside</w:t>
      </w:r>
      <w:r>
        <w:rPr>
          <w:rFonts w:ascii="Avenir Next" w:hAnsi="Avenir Next" w:cs="Arial"/>
          <w:color w:val="808080" w:themeColor="background1" w:themeShade="80"/>
          <w:sz w:val="22"/>
          <w:szCs w:val="22"/>
          <w:lang w:val="en-GB"/>
        </w:rPr>
        <w:t xml:space="preserve">r pre-recognition interim relief under Article 19 of the MLCBI. Such interim relief is granted where it is urgently needed to protect the assets of the </w:t>
      </w:r>
      <w:r w:rsidR="00257BDA">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ebtor or the interests of the creditors, and can include: (a) a stay of execution against the </w:t>
      </w:r>
      <w:r w:rsidR="00257BDA">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ebtor’s assets; (b) entrusting the administration or realisation of all or part of the </w:t>
      </w:r>
      <w:r w:rsidR="00257BDA">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ebtor’s assets located in State A to the foreign representative or another person designated by the court; and (c) any of the post-recognition relief provided for in Article 21 of the MLCBI, such as suspending the right to transfer, encumber or otherwise dispose of the </w:t>
      </w:r>
      <w:r w:rsidR="00257BDA">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ebtor’s assets and providing for the examination of witnesses, taking of evidence or delivery of information concerning the </w:t>
      </w:r>
      <w:r w:rsidR="00257BDA">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ebtor’s assets. </w:t>
      </w:r>
    </w:p>
    <w:p w14:paraId="07DE9E57" w14:textId="026D1958" w:rsidR="00E94A3E" w:rsidRDefault="00E94A3E" w:rsidP="00E94A3E">
      <w:pPr>
        <w:ind w:left="720" w:hanging="720"/>
        <w:jc w:val="both"/>
        <w:rPr>
          <w:rFonts w:ascii="Avenir Next" w:hAnsi="Avenir Next" w:cs="Arial"/>
          <w:color w:val="808080" w:themeColor="background1" w:themeShade="80"/>
          <w:sz w:val="22"/>
          <w:szCs w:val="22"/>
          <w:lang w:val="en-GB"/>
        </w:rPr>
      </w:pPr>
    </w:p>
    <w:p w14:paraId="2E71FF1D" w14:textId="64FD0857" w:rsidR="00E94A3E" w:rsidRPr="00E94A3E" w:rsidRDefault="00E94A3E" w:rsidP="00E94A3E">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Post-recognition relief depends on whether the foreign proceeding opened in State B is recognised as a foreign main or non-main proceeding. The former would be the case if State B is the Debtor’s centre of main interests (“COMI”), while the latter would be the case if the Debtor only has an establishment in State B</w:t>
      </w:r>
      <w:r w:rsidR="00257BDA">
        <w:rPr>
          <w:rFonts w:ascii="Avenir Next" w:hAnsi="Avenir Next" w:cs="Arial"/>
          <w:color w:val="808080" w:themeColor="background1" w:themeShade="80"/>
          <w:sz w:val="22"/>
          <w:szCs w:val="22"/>
          <w:lang w:val="en-GB"/>
        </w:rPr>
        <w:t xml:space="preserve"> within the meaning of Article 2(f) of the MLCBI</w:t>
      </w:r>
      <w:r>
        <w:rPr>
          <w:rFonts w:ascii="Avenir Next" w:hAnsi="Avenir Next" w:cs="Arial"/>
          <w:color w:val="808080" w:themeColor="background1" w:themeShade="80"/>
          <w:sz w:val="22"/>
          <w:szCs w:val="22"/>
          <w:lang w:val="en-GB"/>
        </w:rPr>
        <w:t>. If the foreign proceeding in State B is recognised as a foreign main proceeding, the court in State A may grant automatic relief under Article 20 of the MLCBI in the form of: (a) a stay of the commencement or continuation of individual actions or proceedings concerning the Debtor’s assets, rights, obligations or liabilities; (b) a stay of execution against the Debtor’s assets; and (c) a suspension of the right to transfer, encumber or otherwise dispose of the Debtor’s assets. If the foreign proceeding in State B is recognised as a foreign non-main proceeding, then the court in State A may grant discretionary relief under Article 21 of the MLCBI. The appropriate relief granted under Article 21 is not unlimited. For example, if State A is the UK, then the English court has determined certain limits to the appropriate relief it is able to grant under Article 21</w:t>
      </w:r>
      <w:r w:rsidR="00DF52AE">
        <w:rPr>
          <w:rFonts w:ascii="Avenir Next" w:hAnsi="Avenir Next" w:cs="Arial"/>
          <w:color w:val="808080" w:themeColor="background1" w:themeShade="80"/>
          <w:sz w:val="22"/>
          <w:szCs w:val="22"/>
          <w:lang w:val="en-GB"/>
        </w:rPr>
        <w:t xml:space="preserve">, such as </w:t>
      </w:r>
      <w:r>
        <w:rPr>
          <w:rFonts w:ascii="Avenir Next" w:hAnsi="Avenir Next" w:cs="Arial"/>
          <w:color w:val="808080" w:themeColor="background1" w:themeShade="80"/>
          <w:sz w:val="22"/>
          <w:szCs w:val="22"/>
          <w:lang w:val="en-GB"/>
        </w:rPr>
        <w:t xml:space="preserve">that the enforcement of an insolvency-related </w:t>
      </w:r>
      <w:r>
        <w:rPr>
          <w:rFonts w:ascii="Avenir Next" w:hAnsi="Avenir Next" w:cs="Arial"/>
          <w:i/>
          <w:iCs/>
          <w:color w:val="808080" w:themeColor="background1" w:themeShade="80"/>
          <w:sz w:val="22"/>
          <w:szCs w:val="22"/>
          <w:lang w:val="en-GB"/>
        </w:rPr>
        <w:t xml:space="preserve">in personam </w:t>
      </w:r>
      <w:r>
        <w:rPr>
          <w:rFonts w:ascii="Avenir Next" w:hAnsi="Avenir Next" w:cs="Arial"/>
          <w:color w:val="808080" w:themeColor="background1" w:themeShade="80"/>
          <w:sz w:val="22"/>
          <w:szCs w:val="22"/>
          <w:lang w:val="en-GB"/>
        </w:rPr>
        <w:t>default judgment is not covered by the MLCBI.</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3DF28CCE" w:rsidR="00867A8F" w:rsidRPr="00FE3560" w:rsidRDefault="00A012FC" w:rsidP="00867A8F">
      <w:pPr>
        <w:ind w:left="720" w:hanging="720"/>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question was considered in the recent English case of </w:t>
      </w:r>
      <w:r>
        <w:rPr>
          <w:rFonts w:ascii="Avenir Next" w:hAnsi="Avenir Next" w:cs="Arial"/>
          <w:i/>
          <w:iCs/>
          <w:color w:val="808080" w:themeColor="background1" w:themeShade="80"/>
          <w:sz w:val="22"/>
          <w:szCs w:val="22"/>
          <w:lang w:val="en-GB"/>
        </w:rPr>
        <w:t xml:space="preserve">Igor Vitalievich Protasov v Khadzhi-Murat Derev </w:t>
      </w:r>
      <w:r>
        <w:rPr>
          <w:rFonts w:ascii="Avenir Next" w:hAnsi="Avenir Next" w:cs="Arial"/>
          <w:color w:val="808080" w:themeColor="background1" w:themeShade="80"/>
          <w:sz w:val="22"/>
          <w:szCs w:val="22"/>
          <w:lang w:val="en-GB"/>
        </w:rPr>
        <w:t xml:space="preserve">[2021] EWHC 392 (CH). The English court held that while it had strictly </w:t>
      </w:r>
      <w:proofErr w:type="gramStart"/>
      <w:r>
        <w:rPr>
          <w:rFonts w:ascii="Avenir Next" w:hAnsi="Avenir Next" w:cs="Arial"/>
          <w:color w:val="808080" w:themeColor="background1" w:themeShade="80"/>
          <w:sz w:val="22"/>
          <w:szCs w:val="22"/>
          <w:lang w:val="en-GB"/>
        </w:rPr>
        <w:t>speaking</w:t>
      </w:r>
      <w:proofErr w:type="gramEnd"/>
      <w:r>
        <w:rPr>
          <w:rFonts w:ascii="Avenir Next" w:hAnsi="Avenir Next" w:cs="Arial"/>
          <w:color w:val="808080" w:themeColor="background1" w:themeShade="80"/>
          <w:sz w:val="22"/>
          <w:szCs w:val="22"/>
          <w:lang w:val="en-GB"/>
        </w:rPr>
        <w:t xml:space="preserve"> jurisdiction to grant such post-recognition discretionary relief under Article 21 MLCBI, there were restrictions and limitations which served to inhibit the proper exercise of that jurisdiction. The English court found that the English bankruptcy regime offers other forms of protection which meant that relief in the form of a freezing order or similar injunction was not warranted absent any special or exceptional reasons.</w:t>
      </w:r>
      <w:r w:rsidR="00FE3560">
        <w:rPr>
          <w:rFonts w:ascii="Avenir Next" w:hAnsi="Avenir Next" w:cs="Arial"/>
          <w:color w:val="808080" w:themeColor="background1" w:themeShade="80"/>
          <w:sz w:val="22"/>
          <w:szCs w:val="22"/>
          <w:lang w:val="en-GB"/>
        </w:rPr>
        <w:t xml:space="preserve"> Accordingly, a worldwide freezing order is unlikely to continue post-recognition </w:t>
      </w:r>
      <w:r w:rsidR="00FE3560">
        <w:rPr>
          <w:rFonts w:ascii="Avenir Next" w:hAnsi="Avenir Next" w:cs="Arial"/>
          <w:i/>
          <w:iCs/>
          <w:color w:val="808080" w:themeColor="background1" w:themeShade="80"/>
          <w:sz w:val="22"/>
          <w:szCs w:val="22"/>
          <w:lang w:val="en-GB"/>
        </w:rPr>
        <w:t xml:space="preserve">ex </w:t>
      </w:r>
      <w:r w:rsidR="00FE3560">
        <w:rPr>
          <w:rFonts w:ascii="Avenir Next" w:hAnsi="Avenir Next" w:cs="Arial"/>
          <w:color w:val="808080" w:themeColor="background1" w:themeShade="80"/>
          <w:sz w:val="22"/>
          <w:szCs w:val="22"/>
          <w:lang w:val="en-GB"/>
        </w:rPr>
        <w:t>Article 21 MLCBI.</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 xml:space="preserve">As of 13 August 2015, the </w:t>
      </w:r>
      <w:r w:rsidRPr="00E2622D">
        <w:rPr>
          <w:rFonts w:ascii="Avenir Next" w:hAnsi="Avenir Next" w:cs="Arial"/>
          <w:color w:val="000000"/>
          <w:sz w:val="22"/>
          <w:szCs w:val="22"/>
          <w:lang w:val="en-GB" w:eastAsia="en-GB"/>
        </w:rPr>
        <w:lastRenderedPageBreak/>
        <w:t>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w:t>
      </w:r>
      <w:r w:rsidRPr="00E2622D">
        <w:rPr>
          <w:rFonts w:ascii="Avenir Next" w:hAnsi="Avenir Next" w:cs="Arial"/>
          <w:color w:val="000000"/>
          <w:sz w:val="22"/>
          <w:szCs w:val="22"/>
          <w:lang w:val="en-GB" w:eastAsia="en-GB"/>
        </w:rPr>
        <w:lastRenderedPageBreak/>
        <w:t>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lastRenderedPageBreak/>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4828E4F5" w:rsidR="008E549B" w:rsidRDefault="008A7470" w:rsidP="008A7470">
      <w:pPr>
        <w:jc w:val="both"/>
        <w:rPr>
          <w:rFonts w:ascii="Avenir Next" w:hAnsi="Avenir Next" w:cs="Arial"/>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63E46D4F" w14:textId="4D425587" w:rsidR="00405F2B" w:rsidRDefault="00405F2B" w:rsidP="008A7470">
      <w:pPr>
        <w:jc w:val="both"/>
        <w:rPr>
          <w:rFonts w:ascii="Avenir Next" w:hAnsi="Avenir Next" w:cs="Arial"/>
          <w:sz w:val="22"/>
          <w:szCs w:val="22"/>
          <w:lang w:val="en-GB"/>
        </w:rPr>
      </w:pPr>
    </w:p>
    <w:p w14:paraId="71C74813" w14:textId="216CEC3F" w:rsidR="00BA5A2E" w:rsidRDefault="009820EA" w:rsidP="00BA5A2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Preliminarily, </w:t>
      </w:r>
      <w:r w:rsidR="00BA5A2E">
        <w:rPr>
          <w:rFonts w:ascii="Avenir Next" w:hAnsi="Avenir Next" w:cs="Arial"/>
          <w:bCs/>
          <w:color w:val="808080" w:themeColor="background1" w:themeShade="80"/>
          <w:sz w:val="22"/>
          <w:szCs w:val="22"/>
          <w:lang w:val="en-GB"/>
        </w:rPr>
        <w:t xml:space="preserve">Article 16(1) of </w:t>
      </w:r>
      <w:r>
        <w:rPr>
          <w:rFonts w:ascii="Avenir Next" w:hAnsi="Avenir Next" w:cs="Arial"/>
          <w:bCs/>
          <w:color w:val="808080" w:themeColor="background1" w:themeShade="80"/>
          <w:sz w:val="22"/>
          <w:szCs w:val="22"/>
          <w:lang w:val="en-GB"/>
        </w:rPr>
        <w:t>the MLCBI</w:t>
      </w:r>
      <w:r w:rsidR="00BA5A2E">
        <w:rPr>
          <w:rFonts w:ascii="Avenir Next" w:hAnsi="Avenir Next" w:cs="Arial"/>
          <w:bCs/>
          <w:color w:val="808080" w:themeColor="background1" w:themeShade="80"/>
          <w:sz w:val="22"/>
          <w:szCs w:val="22"/>
          <w:lang w:val="en-GB"/>
        </w:rPr>
        <w:t xml:space="preserve"> provides that if the decision or certificate referred to in paragraph 2 of article 15 indicates </w:t>
      </w:r>
      <w:r w:rsidR="00BA5A2E" w:rsidRPr="00BA5A2E">
        <w:rPr>
          <w:rFonts w:ascii="Avenir Next" w:hAnsi="Avenir Next" w:cs="Arial"/>
          <w:bCs/>
          <w:color w:val="808080" w:themeColor="background1" w:themeShade="80"/>
          <w:sz w:val="22"/>
          <w:szCs w:val="22"/>
          <w:lang w:val="en-GB"/>
        </w:rPr>
        <w:t xml:space="preserve">that the foreign proceeding is a proceeding within the meaning of subparagraph (i) of article 2 and that the foreign representative is a body or person within the meaning of sub-paragraph (j) of article 2, the court is entitled to so presume. In any case, </w:t>
      </w:r>
      <w:proofErr w:type="gramStart"/>
      <w:r w:rsidR="00BA5A2E" w:rsidRPr="00BA5A2E">
        <w:rPr>
          <w:rFonts w:ascii="Avenir Next" w:hAnsi="Avenir Next" w:cs="Arial"/>
          <w:bCs/>
          <w:color w:val="808080" w:themeColor="background1" w:themeShade="80"/>
          <w:sz w:val="22"/>
          <w:szCs w:val="22"/>
          <w:lang w:val="en-GB"/>
        </w:rPr>
        <w:t>it is clear tha</w:t>
      </w:r>
      <w:r w:rsidR="00BA5A2E">
        <w:rPr>
          <w:rFonts w:ascii="Avenir Next" w:hAnsi="Avenir Next" w:cs="Arial"/>
          <w:bCs/>
          <w:color w:val="808080" w:themeColor="background1" w:themeShade="80"/>
          <w:sz w:val="22"/>
          <w:szCs w:val="22"/>
          <w:lang w:val="en-GB"/>
        </w:rPr>
        <w:t>t both</w:t>
      </w:r>
      <w:proofErr w:type="gramEnd"/>
      <w:r w:rsidR="00BA5A2E">
        <w:rPr>
          <w:rFonts w:ascii="Avenir Next" w:hAnsi="Avenir Next" w:cs="Arial"/>
          <w:bCs/>
          <w:color w:val="808080" w:themeColor="background1" w:themeShade="80"/>
          <w:sz w:val="22"/>
          <w:szCs w:val="22"/>
          <w:lang w:val="en-GB"/>
        </w:rPr>
        <w:t xml:space="preserve"> definitions are satisfied.</w:t>
      </w:r>
    </w:p>
    <w:p w14:paraId="639C3203" w14:textId="77777777" w:rsidR="00BA5A2E" w:rsidRPr="00BA5A2E" w:rsidRDefault="00BA5A2E" w:rsidP="00BA5A2E">
      <w:pPr>
        <w:jc w:val="both"/>
        <w:rPr>
          <w:rFonts w:ascii="Avenir Next" w:hAnsi="Avenir Next" w:cs="Arial"/>
          <w:b/>
          <w:color w:val="808080" w:themeColor="background1" w:themeShade="80"/>
          <w:sz w:val="22"/>
          <w:szCs w:val="22"/>
          <w:u w:val="single"/>
          <w:lang w:val="en-GB"/>
        </w:rPr>
      </w:pPr>
    </w:p>
    <w:p w14:paraId="04D7F01E" w14:textId="294BFFAC" w:rsidR="00405F2B" w:rsidRPr="00405F2B" w:rsidRDefault="00405F2B">
      <w:pPr>
        <w:pStyle w:val="ListParagraph"/>
        <w:numPr>
          <w:ilvl w:val="0"/>
          <w:numId w:val="18"/>
        </w:numPr>
        <w:jc w:val="both"/>
        <w:rPr>
          <w:rFonts w:ascii="Avenir Next" w:hAnsi="Avenir Next" w:cs="Arial"/>
          <w:b/>
          <w:color w:val="808080" w:themeColor="background1" w:themeShade="80"/>
          <w:sz w:val="22"/>
          <w:szCs w:val="22"/>
          <w:u w:val="single"/>
          <w:lang w:val="en-GB"/>
        </w:rPr>
      </w:pPr>
      <w:r w:rsidRPr="00405F2B">
        <w:rPr>
          <w:rFonts w:ascii="Avenir Next" w:hAnsi="Avenir Next" w:cs="Arial"/>
          <w:b/>
          <w:color w:val="808080" w:themeColor="background1" w:themeShade="80"/>
          <w:sz w:val="22"/>
          <w:szCs w:val="22"/>
          <w:u w:val="single"/>
          <w:lang w:val="en-GB"/>
        </w:rPr>
        <w:t xml:space="preserve">Whether the Bank’s liquidation </w:t>
      </w:r>
      <w:r w:rsidRPr="00405F2B">
        <w:rPr>
          <w:rFonts w:ascii="Avenir Next" w:hAnsi="Avenir Next" w:cs="Arial"/>
          <w:b/>
          <w:color w:val="808080" w:themeColor="background1" w:themeShade="80"/>
          <w:sz w:val="22"/>
          <w:szCs w:val="22"/>
          <w:u w:val="single"/>
          <w:lang w:val="en-GB" w:eastAsia="en-GB"/>
        </w:rPr>
        <w:t>comprises a “foreign proceeding” within the meaning of article 2(a) of the MLCBI</w:t>
      </w:r>
    </w:p>
    <w:p w14:paraId="2273CCD1" w14:textId="4F852359" w:rsidR="00405F2B" w:rsidRDefault="00405F2B" w:rsidP="00405F2B">
      <w:pPr>
        <w:jc w:val="both"/>
        <w:rPr>
          <w:rFonts w:ascii="Avenir Next" w:hAnsi="Avenir Next" w:cs="Arial"/>
          <w:bCs/>
          <w:color w:val="808080" w:themeColor="background1" w:themeShade="80"/>
          <w:sz w:val="22"/>
          <w:szCs w:val="22"/>
          <w:lang w:val="en-GB"/>
        </w:rPr>
      </w:pPr>
    </w:p>
    <w:p w14:paraId="41A9FABA" w14:textId="445ADBAB" w:rsidR="00405F2B" w:rsidRDefault="00405F2B" w:rsidP="00405F2B">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A foreign proceeding is defined in article 2(a) of the MLCBI </w:t>
      </w:r>
      <w:r w:rsidR="009820EA">
        <w:rPr>
          <w:rFonts w:ascii="Avenir Next" w:hAnsi="Avenir Next" w:cs="Arial"/>
          <w:bCs/>
          <w:color w:val="808080" w:themeColor="background1" w:themeShade="80"/>
          <w:sz w:val="22"/>
          <w:szCs w:val="22"/>
          <w:lang w:val="en-GB"/>
        </w:rPr>
        <w:t xml:space="preserve">/ article 2(i) of Schedule 1 of the CBIR </w:t>
      </w:r>
      <w:r>
        <w:rPr>
          <w:rFonts w:ascii="Avenir Next" w:hAnsi="Avenir Next" w:cs="Arial"/>
          <w:bCs/>
          <w:color w:val="808080" w:themeColor="background1" w:themeShade="80"/>
          <w:sz w:val="22"/>
          <w:szCs w:val="22"/>
          <w:lang w:val="en-GB"/>
        </w:rPr>
        <w:t>as:</w:t>
      </w:r>
    </w:p>
    <w:p w14:paraId="7F4B2B78" w14:textId="0F1F867F" w:rsidR="00405F2B" w:rsidRDefault="00405F2B" w:rsidP="005A2A04">
      <w:pPr>
        <w:pStyle w:val="ListParagraph"/>
        <w:numPr>
          <w:ilvl w:val="0"/>
          <w:numId w:val="19"/>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A proceeding (including an interim proceeding</w:t>
      </w:r>
      <w:proofErr w:type="gramStart"/>
      <w:r>
        <w:rPr>
          <w:rFonts w:ascii="Avenir Next" w:hAnsi="Avenir Next" w:cs="Arial"/>
          <w:bCs/>
          <w:color w:val="808080" w:themeColor="background1" w:themeShade="80"/>
          <w:sz w:val="22"/>
          <w:szCs w:val="22"/>
          <w:lang w:val="en-GB"/>
        </w:rPr>
        <w:t>);</w:t>
      </w:r>
      <w:proofErr w:type="gramEnd"/>
    </w:p>
    <w:p w14:paraId="4777669D" w14:textId="6F96385E" w:rsidR="00405F2B" w:rsidRDefault="00405F2B" w:rsidP="005A2A04">
      <w:pPr>
        <w:pStyle w:val="ListParagraph"/>
        <w:numPr>
          <w:ilvl w:val="0"/>
          <w:numId w:val="19"/>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That is either judicial or </w:t>
      </w:r>
      <w:proofErr w:type="gramStart"/>
      <w:r>
        <w:rPr>
          <w:rFonts w:ascii="Avenir Next" w:hAnsi="Avenir Next" w:cs="Arial"/>
          <w:bCs/>
          <w:color w:val="808080" w:themeColor="background1" w:themeShade="80"/>
          <w:sz w:val="22"/>
          <w:szCs w:val="22"/>
          <w:lang w:val="en-GB"/>
        </w:rPr>
        <w:t>administrative;</w:t>
      </w:r>
      <w:proofErr w:type="gramEnd"/>
    </w:p>
    <w:p w14:paraId="70FD6548" w14:textId="1D01B561" w:rsidR="00405F2B" w:rsidRDefault="00405F2B" w:rsidP="005A2A04">
      <w:pPr>
        <w:pStyle w:val="ListParagraph"/>
        <w:numPr>
          <w:ilvl w:val="0"/>
          <w:numId w:val="19"/>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That is collective in </w:t>
      </w:r>
      <w:proofErr w:type="gramStart"/>
      <w:r>
        <w:rPr>
          <w:rFonts w:ascii="Avenir Next" w:hAnsi="Avenir Next" w:cs="Arial"/>
          <w:bCs/>
          <w:color w:val="808080" w:themeColor="background1" w:themeShade="80"/>
          <w:sz w:val="22"/>
          <w:szCs w:val="22"/>
          <w:lang w:val="en-GB"/>
        </w:rPr>
        <w:t>nature;</w:t>
      </w:r>
      <w:proofErr w:type="gramEnd"/>
    </w:p>
    <w:p w14:paraId="77137A9F" w14:textId="6332369C" w:rsidR="00405F2B" w:rsidRDefault="00405F2B" w:rsidP="005A2A04">
      <w:pPr>
        <w:pStyle w:val="ListParagraph"/>
        <w:numPr>
          <w:ilvl w:val="0"/>
          <w:numId w:val="19"/>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That is in a foreign </w:t>
      </w:r>
      <w:proofErr w:type="gramStart"/>
      <w:r>
        <w:rPr>
          <w:rFonts w:ascii="Avenir Next" w:hAnsi="Avenir Next" w:cs="Arial"/>
          <w:bCs/>
          <w:color w:val="808080" w:themeColor="background1" w:themeShade="80"/>
          <w:sz w:val="22"/>
          <w:szCs w:val="22"/>
          <w:lang w:val="en-GB"/>
        </w:rPr>
        <w:t>State;</w:t>
      </w:r>
      <w:proofErr w:type="gramEnd"/>
      <w:r>
        <w:rPr>
          <w:rFonts w:ascii="Avenir Next" w:hAnsi="Avenir Next" w:cs="Arial"/>
          <w:bCs/>
          <w:color w:val="808080" w:themeColor="background1" w:themeShade="80"/>
          <w:sz w:val="22"/>
          <w:szCs w:val="22"/>
          <w:lang w:val="en-GB"/>
        </w:rPr>
        <w:t xml:space="preserve"> </w:t>
      </w:r>
    </w:p>
    <w:p w14:paraId="1865DB70" w14:textId="5EBB502A" w:rsidR="00405F2B" w:rsidRDefault="00405F2B" w:rsidP="005A2A04">
      <w:pPr>
        <w:pStyle w:val="ListParagraph"/>
        <w:numPr>
          <w:ilvl w:val="0"/>
          <w:numId w:val="19"/>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That is authorised or conducted under a law relating to </w:t>
      </w:r>
      <w:proofErr w:type="gramStart"/>
      <w:r>
        <w:rPr>
          <w:rFonts w:ascii="Avenir Next" w:hAnsi="Avenir Next" w:cs="Arial"/>
          <w:bCs/>
          <w:color w:val="808080" w:themeColor="background1" w:themeShade="80"/>
          <w:sz w:val="22"/>
          <w:szCs w:val="22"/>
          <w:lang w:val="en-GB"/>
        </w:rPr>
        <w:t>insolvency;</w:t>
      </w:r>
      <w:proofErr w:type="gramEnd"/>
    </w:p>
    <w:p w14:paraId="52FF47D4" w14:textId="556D1EA7" w:rsidR="00405F2B" w:rsidRDefault="00405F2B" w:rsidP="005A2A04">
      <w:pPr>
        <w:pStyle w:val="ListParagraph"/>
        <w:numPr>
          <w:ilvl w:val="0"/>
          <w:numId w:val="19"/>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In which the assets and affairs of the debtor are subject to control or supervision by a foreign court; and</w:t>
      </w:r>
    </w:p>
    <w:p w14:paraId="3966496D" w14:textId="7189633D" w:rsidR="00405F2B" w:rsidRPr="004C7869" w:rsidRDefault="00405F2B" w:rsidP="005A2A04">
      <w:pPr>
        <w:pStyle w:val="ListParagraph"/>
        <w:numPr>
          <w:ilvl w:val="0"/>
          <w:numId w:val="19"/>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Which proceeding is for the purpose of reorganisation or liquidation.</w:t>
      </w:r>
      <w:r w:rsidRPr="004C7869">
        <w:rPr>
          <w:rFonts w:ascii="Avenir Next" w:hAnsi="Avenir Next" w:cs="Arial"/>
          <w:bCs/>
          <w:color w:val="808080" w:themeColor="background1" w:themeShade="80"/>
          <w:sz w:val="22"/>
          <w:szCs w:val="22"/>
          <w:lang w:val="en-GB"/>
        </w:rPr>
        <w:t xml:space="preserve"> </w:t>
      </w:r>
    </w:p>
    <w:p w14:paraId="7158A6FC" w14:textId="43D340D8" w:rsidR="00405F2B" w:rsidRDefault="00405F2B" w:rsidP="00405F2B">
      <w:pPr>
        <w:jc w:val="both"/>
        <w:rPr>
          <w:rFonts w:ascii="Avenir Next" w:hAnsi="Avenir Next" w:cs="Arial"/>
          <w:bCs/>
          <w:color w:val="808080" w:themeColor="background1" w:themeShade="80"/>
          <w:sz w:val="22"/>
          <w:szCs w:val="22"/>
          <w:lang w:val="en-GB"/>
        </w:rPr>
      </w:pPr>
    </w:p>
    <w:p w14:paraId="0433A278" w14:textId="1C563EFB" w:rsidR="00405F2B" w:rsidRDefault="00405F2B" w:rsidP="00405F2B">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Preliminarily, I should point out that there is no reciprocity provision in the CBIR. Therefore, the fact that Country A has not updated the MLCBI does not pose a barrier to the recognition application. </w:t>
      </w:r>
    </w:p>
    <w:p w14:paraId="73E2939B" w14:textId="77777777" w:rsidR="00BA5A2E" w:rsidRDefault="00BA5A2E" w:rsidP="00405F2B">
      <w:pPr>
        <w:jc w:val="both"/>
        <w:rPr>
          <w:rFonts w:ascii="Avenir Next" w:hAnsi="Avenir Next" w:cs="Arial"/>
          <w:bCs/>
          <w:color w:val="808080" w:themeColor="background1" w:themeShade="80"/>
          <w:sz w:val="22"/>
          <w:szCs w:val="22"/>
          <w:lang w:val="en-GB"/>
        </w:rPr>
      </w:pPr>
    </w:p>
    <w:p w14:paraId="45BEB1A9" w14:textId="5C1A65DD" w:rsidR="00042DFF" w:rsidRPr="00042DFF" w:rsidRDefault="00042DFF" w:rsidP="00042DFF">
      <w:pPr>
        <w:pStyle w:val="ListParagraph"/>
        <w:numPr>
          <w:ilvl w:val="0"/>
          <w:numId w:val="21"/>
        </w:numPr>
        <w:jc w:val="both"/>
        <w:rPr>
          <w:rFonts w:ascii="Avenir Next" w:hAnsi="Avenir Next" w:cs="Arial"/>
          <w:bCs/>
          <w:color w:val="808080" w:themeColor="background1" w:themeShade="80"/>
          <w:sz w:val="22"/>
          <w:szCs w:val="22"/>
          <w:lang w:val="en-GB"/>
        </w:rPr>
      </w:pPr>
      <w:r>
        <w:rPr>
          <w:rFonts w:ascii="Avenir Next" w:hAnsi="Avenir Next" w:cs="Arial"/>
          <w:b/>
          <w:color w:val="808080" w:themeColor="background1" w:themeShade="80"/>
          <w:sz w:val="22"/>
          <w:szCs w:val="22"/>
          <w:lang w:val="en-GB"/>
        </w:rPr>
        <w:t>An administrative proceeding in a foreign State</w:t>
      </w:r>
    </w:p>
    <w:p w14:paraId="5C353E4B" w14:textId="01A3B870" w:rsidR="00405F2B" w:rsidRDefault="00405F2B" w:rsidP="00405F2B">
      <w:pPr>
        <w:jc w:val="both"/>
        <w:rPr>
          <w:rFonts w:ascii="Avenir Next" w:hAnsi="Avenir Next" w:cs="Arial"/>
          <w:bCs/>
          <w:color w:val="808080" w:themeColor="background1" w:themeShade="80"/>
          <w:sz w:val="22"/>
          <w:szCs w:val="22"/>
          <w:lang w:val="en-GB"/>
        </w:rPr>
      </w:pPr>
    </w:p>
    <w:p w14:paraId="6BC4BF5E" w14:textId="28C7D2F1" w:rsidR="004C7869" w:rsidRDefault="004655F7" w:rsidP="00405F2B">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First, </w:t>
      </w:r>
      <w:r w:rsidR="00405F2B">
        <w:rPr>
          <w:rFonts w:ascii="Avenir Next" w:hAnsi="Avenir Next" w:cs="Arial"/>
          <w:bCs/>
          <w:color w:val="808080" w:themeColor="background1" w:themeShade="80"/>
          <w:sz w:val="22"/>
          <w:szCs w:val="22"/>
          <w:lang w:val="en-GB"/>
        </w:rPr>
        <w:t xml:space="preserve">the Bank’s liquidation is </w:t>
      </w:r>
      <w:r w:rsidR="00042DFF">
        <w:rPr>
          <w:rFonts w:ascii="Avenir Next" w:hAnsi="Avenir Next" w:cs="Arial"/>
          <w:bCs/>
          <w:color w:val="808080" w:themeColor="background1" w:themeShade="80"/>
          <w:sz w:val="22"/>
          <w:szCs w:val="22"/>
          <w:lang w:val="en-GB"/>
        </w:rPr>
        <w:t xml:space="preserve">an administrative proceeding </w:t>
      </w:r>
      <w:r w:rsidR="00F450B7">
        <w:rPr>
          <w:rFonts w:ascii="Avenir Next" w:hAnsi="Avenir Next" w:cs="Arial"/>
          <w:bCs/>
          <w:color w:val="808080" w:themeColor="background1" w:themeShade="80"/>
          <w:sz w:val="22"/>
          <w:szCs w:val="22"/>
          <w:lang w:val="en-GB"/>
        </w:rPr>
        <w:t>in a foreign State</w:t>
      </w:r>
      <w:r w:rsidR="00405F2B">
        <w:rPr>
          <w:rFonts w:ascii="Avenir Next" w:hAnsi="Avenir Next" w:cs="Arial"/>
          <w:bCs/>
          <w:color w:val="808080" w:themeColor="background1" w:themeShade="80"/>
          <w:sz w:val="22"/>
          <w:szCs w:val="22"/>
          <w:lang w:val="en-GB"/>
        </w:rPr>
        <w:t xml:space="preserve">. </w:t>
      </w:r>
      <w:r w:rsidR="00097BEA">
        <w:rPr>
          <w:rFonts w:ascii="Avenir Next" w:hAnsi="Avenir Next" w:cs="Arial"/>
          <w:bCs/>
          <w:color w:val="808080" w:themeColor="background1" w:themeShade="80"/>
          <w:sz w:val="22"/>
          <w:szCs w:val="22"/>
          <w:lang w:val="en-GB"/>
        </w:rPr>
        <w:t xml:space="preserve">The assets and affairs of the Bank are subject to the control of the DGF, an official body which exercises its powers in the liquidation free from intervention by the government or the NB. </w:t>
      </w:r>
      <w:r w:rsidR="00097BEA" w:rsidRPr="00097BEA">
        <w:rPr>
          <w:rFonts w:ascii="Avenir Next" w:hAnsi="Avenir Next" w:cs="Arial"/>
          <w:bCs/>
          <w:color w:val="808080" w:themeColor="background1" w:themeShade="80"/>
          <w:sz w:val="22"/>
          <w:szCs w:val="22"/>
          <w:lang w:val="en-GB"/>
        </w:rPr>
        <w:t xml:space="preserve">The DGF’s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r w:rsidR="00405F2B">
        <w:rPr>
          <w:rFonts w:ascii="Avenir Next" w:hAnsi="Avenir Next" w:cs="Arial"/>
          <w:bCs/>
          <w:color w:val="808080" w:themeColor="background1" w:themeShade="80"/>
          <w:sz w:val="22"/>
          <w:szCs w:val="22"/>
          <w:lang w:val="en-GB"/>
        </w:rPr>
        <w:t xml:space="preserve">The DGF, which is a government body of Country A, is obliged under law to commence liquidation against the Bank following the decision by the NB to revoke the Bank’s banking licence on 17 December 2015. </w:t>
      </w:r>
      <w:r w:rsidR="00F450B7">
        <w:rPr>
          <w:rFonts w:ascii="Avenir Next" w:hAnsi="Avenir Next" w:cs="Arial"/>
          <w:bCs/>
          <w:color w:val="808080" w:themeColor="background1" w:themeShade="80"/>
          <w:sz w:val="22"/>
          <w:szCs w:val="22"/>
          <w:lang w:val="en-GB"/>
        </w:rPr>
        <w:t xml:space="preserve">The DGF has acquired the full powers of a liquidator under the laws of Country A, and has extensive powers as liquidator, including investigative powers. </w:t>
      </w:r>
      <w:r w:rsidR="00097BEA">
        <w:rPr>
          <w:rFonts w:ascii="Avenir Next" w:hAnsi="Avenir Next" w:cs="Arial"/>
          <w:bCs/>
          <w:color w:val="808080" w:themeColor="background1" w:themeShade="80"/>
          <w:sz w:val="22"/>
          <w:szCs w:val="22"/>
          <w:lang w:val="en-GB"/>
        </w:rPr>
        <w:t xml:space="preserve">Taking all these factors into account, the Bank’s liquidation is an administrative proceeding. </w:t>
      </w:r>
    </w:p>
    <w:p w14:paraId="452E9E06" w14:textId="28712306" w:rsidR="005C5B8F" w:rsidRDefault="005C5B8F" w:rsidP="00405F2B">
      <w:pPr>
        <w:jc w:val="both"/>
        <w:rPr>
          <w:rFonts w:ascii="Avenir Next" w:hAnsi="Avenir Next" w:cs="Arial"/>
          <w:bCs/>
          <w:color w:val="808080" w:themeColor="background1" w:themeShade="80"/>
          <w:sz w:val="22"/>
          <w:szCs w:val="22"/>
          <w:lang w:val="en-GB"/>
        </w:rPr>
      </w:pPr>
    </w:p>
    <w:p w14:paraId="5B778C2C" w14:textId="77777777" w:rsidR="005C5B8F" w:rsidRPr="00BA5A2E" w:rsidRDefault="005C5B8F" w:rsidP="005C5B8F">
      <w:pPr>
        <w:pStyle w:val="ListParagraph"/>
        <w:numPr>
          <w:ilvl w:val="0"/>
          <w:numId w:val="21"/>
        </w:numPr>
        <w:jc w:val="both"/>
        <w:rPr>
          <w:rFonts w:ascii="Avenir Next" w:hAnsi="Avenir Next" w:cs="Arial"/>
          <w:b/>
          <w:bCs/>
          <w:color w:val="808080" w:themeColor="background1" w:themeShade="80"/>
          <w:sz w:val="22"/>
          <w:szCs w:val="22"/>
          <w:lang w:val="en-GB" w:eastAsia="en-GB"/>
        </w:rPr>
      </w:pPr>
      <w:r w:rsidRPr="00BA5A2E">
        <w:rPr>
          <w:rFonts w:ascii="Avenir Next" w:hAnsi="Avenir Next" w:cs="Arial"/>
          <w:b/>
          <w:bCs/>
          <w:color w:val="808080" w:themeColor="background1" w:themeShade="80"/>
          <w:sz w:val="22"/>
          <w:szCs w:val="22"/>
          <w:lang w:val="en-GB" w:eastAsia="en-GB"/>
        </w:rPr>
        <w:t>Control o</w:t>
      </w:r>
      <w:r>
        <w:rPr>
          <w:rFonts w:ascii="Avenir Next" w:hAnsi="Avenir Next" w:cs="Arial"/>
          <w:b/>
          <w:bCs/>
          <w:color w:val="808080" w:themeColor="background1" w:themeShade="80"/>
          <w:sz w:val="22"/>
          <w:szCs w:val="22"/>
          <w:lang w:val="en-GB" w:eastAsia="en-GB"/>
        </w:rPr>
        <w:t>r</w:t>
      </w:r>
      <w:r w:rsidRPr="00BA5A2E">
        <w:rPr>
          <w:rFonts w:ascii="Avenir Next" w:hAnsi="Avenir Next" w:cs="Arial"/>
          <w:b/>
          <w:bCs/>
          <w:color w:val="808080" w:themeColor="background1" w:themeShade="80"/>
          <w:sz w:val="22"/>
          <w:szCs w:val="22"/>
          <w:lang w:val="en-GB" w:eastAsia="en-GB"/>
        </w:rPr>
        <w:t xml:space="preserve"> </w:t>
      </w:r>
      <w:r w:rsidRPr="005C5B8F">
        <w:rPr>
          <w:rFonts w:ascii="Avenir Next" w:hAnsi="Avenir Next" w:cs="Arial"/>
          <w:b/>
          <w:color w:val="808080" w:themeColor="background1" w:themeShade="80"/>
          <w:sz w:val="22"/>
          <w:szCs w:val="22"/>
          <w:lang w:val="en-GB"/>
        </w:rPr>
        <w:t>supervision</w:t>
      </w:r>
      <w:r w:rsidRPr="00BA5A2E">
        <w:rPr>
          <w:rFonts w:ascii="Avenir Next" w:hAnsi="Avenir Next" w:cs="Arial"/>
          <w:b/>
          <w:bCs/>
          <w:color w:val="808080" w:themeColor="background1" w:themeShade="80"/>
          <w:sz w:val="22"/>
          <w:szCs w:val="22"/>
          <w:lang w:val="en-GB" w:eastAsia="en-GB"/>
        </w:rPr>
        <w:t xml:space="preserve"> by a foreign court</w:t>
      </w:r>
    </w:p>
    <w:p w14:paraId="14495997" w14:textId="77777777" w:rsidR="005C5B8F" w:rsidRDefault="005C5B8F" w:rsidP="005C5B8F">
      <w:pPr>
        <w:jc w:val="both"/>
        <w:rPr>
          <w:rFonts w:ascii="Avenir Next" w:hAnsi="Avenir Next" w:cs="Arial"/>
          <w:color w:val="808080" w:themeColor="background1" w:themeShade="80"/>
          <w:sz w:val="22"/>
          <w:szCs w:val="22"/>
          <w:lang w:val="en-GB" w:eastAsia="en-GB"/>
        </w:rPr>
      </w:pPr>
    </w:p>
    <w:p w14:paraId="671F2BF0" w14:textId="74A64982" w:rsidR="00130B19" w:rsidRPr="00130B19" w:rsidRDefault="005C5B8F" w:rsidP="005C5B8F">
      <w:pPr>
        <w:jc w:val="both"/>
        <w:rPr>
          <w:rFonts w:ascii="Avenir Next" w:hAnsi="Avenir Next" w:cs="Arial"/>
          <w:bCs/>
          <w:color w:val="808080" w:themeColor="background1" w:themeShade="80"/>
          <w:sz w:val="22"/>
          <w:szCs w:val="22"/>
          <w:lang w:val="en-GB"/>
        </w:rPr>
      </w:pPr>
      <w:r>
        <w:rPr>
          <w:rFonts w:ascii="Avenir Next" w:hAnsi="Avenir Next" w:cs="Arial"/>
          <w:color w:val="808080" w:themeColor="background1" w:themeShade="80"/>
          <w:sz w:val="22"/>
          <w:szCs w:val="22"/>
          <w:lang w:val="en-GB" w:eastAsia="en-GB"/>
        </w:rPr>
        <w:t>Second</w:t>
      </w:r>
      <w:r>
        <w:rPr>
          <w:rFonts w:ascii="Avenir Next" w:hAnsi="Avenir Next" w:cs="Arial"/>
          <w:color w:val="808080" w:themeColor="background1" w:themeShade="80"/>
          <w:sz w:val="22"/>
          <w:szCs w:val="22"/>
          <w:lang w:val="en-GB" w:eastAsia="en-GB"/>
        </w:rPr>
        <w:t>, the assets and affairs of the Bank are subject to control or supervision by a foreign court.</w:t>
      </w:r>
      <w:r w:rsidR="00130B19">
        <w:rPr>
          <w:rFonts w:ascii="Avenir Next" w:hAnsi="Avenir Next" w:cs="Arial"/>
          <w:color w:val="808080" w:themeColor="background1" w:themeShade="80"/>
          <w:sz w:val="22"/>
          <w:szCs w:val="22"/>
          <w:lang w:val="en-GB" w:eastAsia="en-GB"/>
        </w:rPr>
        <w:t xml:space="preserve"> The term “foreign court” is defined in </w:t>
      </w:r>
      <w:r w:rsidR="00130B19">
        <w:rPr>
          <w:rFonts w:ascii="Avenir Next" w:hAnsi="Avenir Next" w:cs="Arial"/>
          <w:bCs/>
          <w:color w:val="808080" w:themeColor="background1" w:themeShade="80"/>
          <w:sz w:val="22"/>
          <w:szCs w:val="22"/>
          <w:lang w:val="en-GB"/>
        </w:rPr>
        <w:t>Article 2(e) of the MLCBI / Article 2(f) of Schedule 1 of the CBIR</w:t>
      </w:r>
      <w:r w:rsidR="00130B19">
        <w:rPr>
          <w:rFonts w:ascii="Avenir Next" w:hAnsi="Avenir Next" w:cs="Arial"/>
          <w:bCs/>
          <w:color w:val="808080" w:themeColor="background1" w:themeShade="80"/>
          <w:sz w:val="22"/>
          <w:szCs w:val="22"/>
          <w:lang w:val="en-GB"/>
        </w:rPr>
        <w:t xml:space="preserve"> to mean</w:t>
      </w:r>
      <w:r w:rsidR="00130B19">
        <w:rPr>
          <w:rFonts w:ascii="Avenir Next" w:hAnsi="Avenir Next" w:cs="Arial"/>
          <w:bCs/>
          <w:color w:val="808080" w:themeColor="background1" w:themeShade="80"/>
          <w:sz w:val="22"/>
          <w:szCs w:val="22"/>
          <w:lang w:val="en-GB"/>
        </w:rPr>
        <w:t xml:space="preserve"> “a judicial or </w:t>
      </w:r>
      <w:r w:rsidR="00130B19" w:rsidRPr="008E2CDE">
        <w:rPr>
          <w:rFonts w:ascii="Avenir Next" w:hAnsi="Avenir Next" w:cs="Arial"/>
          <w:bCs/>
          <w:i/>
          <w:iCs/>
          <w:color w:val="808080" w:themeColor="background1" w:themeShade="80"/>
          <w:sz w:val="22"/>
          <w:szCs w:val="22"/>
          <w:lang w:val="en-GB"/>
        </w:rPr>
        <w:t>other authority</w:t>
      </w:r>
      <w:r w:rsidR="00130B19">
        <w:rPr>
          <w:rFonts w:ascii="Avenir Next" w:hAnsi="Avenir Next" w:cs="Arial"/>
          <w:bCs/>
          <w:color w:val="808080" w:themeColor="background1" w:themeShade="80"/>
          <w:sz w:val="22"/>
          <w:szCs w:val="22"/>
          <w:lang w:val="en-GB"/>
        </w:rPr>
        <w:t xml:space="preserve"> competent to control or supervise a foreign proceeding”.</w:t>
      </w:r>
      <w:r w:rsidR="00130B19">
        <w:rPr>
          <w:rFonts w:ascii="Avenir Next" w:hAnsi="Avenir Next" w:cs="Arial"/>
          <w:bCs/>
          <w:color w:val="808080" w:themeColor="background1" w:themeShade="80"/>
          <w:sz w:val="22"/>
          <w:szCs w:val="22"/>
          <w:lang w:val="en-GB"/>
        </w:rPr>
        <w:t xml:space="preserve"> </w:t>
      </w:r>
      <w:r w:rsidR="00130B19">
        <w:rPr>
          <w:rFonts w:ascii="Avenir Next" w:hAnsi="Avenir Next" w:cs="Arial"/>
          <w:color w:val="808080" w:themeColor="background1" w:themeShade="80"/>
          <w:sz w:val="22"/>
          <w:szCs w:val="22"/>
          <w:lang w:val="en-GB" w:eastAsia="en-GB"/>
        </w:rPr>
        <w:t>T</w:t>
      </w:r>
      <w:r w:rsidR="00130B19">
        <w:rPr>
          <w:rFonts w:ascii="Avenir Next" w:hAnsi="Avenir Next" w:cs="Arial"/>
          <w:color w:val="808080" w:themeColor="background1" w:themeShade="80"/>
          <w:sz w:val="22"/>
          <w:szCs w:val="22"/>
          <w:lang w:val="en-GB" w:eastAsia="en-GB"/>
        </w:rPr>
        <w:t>he Guide to Enactment and Interpretation of the UNCITRAL Model Law (2014)</w:t>
      </w:r>
      <w:r w:rsidR="00130B19">
        <w:rPr>
          <w:rFonts w:ascii="Avenir Next" w:hAnsi="Avenir Next" w:cs="Arial"/>
          <w:color w:val="808080" w:themeColor="background1" w:themeShade="80"/>
          <w:sz w:val="22"/>
          <w:szCs w:val="22"/>
          <w:lang w:val="en-GB" w:eastAsia="en-GB"/>
        </w:rPr>
        <w:t xml:space="preserve"> notes that the definition of a “foreign court” includes non-judicial authorities. Further, in </w:t>
      </w:r>
      <w:r w:rsidR="00130B19">
        <w:rPr>
          <w:rFonts w:ascii="Avenir Next" w:hAnsi="Avenir Next" w:cs="Arial"/>
          <w:i/>
          <w:iCs/>
          <w:color w:val="808080" w:themeColor="background1" w:themeShade="80"/>
          <w:sz w:val="22"/>
          <w:szCs w:val="22"/>
          <w:lang w:val="en-GB" w:eastAsia="en-GB"/>
        </w:rPr>
        <w:t xml:space="preserve">Re Sanko Steamship Co Ltd </w:t>
      </w:r>
      <w:r w:rsidR="00130B19">
        <w:rPr>
          <w:rFonts w:ascii="Avenir Next" w:hAnsi="Avenir Next" w:cs="Arial"/>
          <w:color w:val="808080" w:themeColor="background1" w:themeShade="80"/>
          <w:sz w:val="22"/>
          <w:szCs w:val="22"/>
          <w:lang w:val="en-GB" w:eastAsia="en-GB"/>
        </w:rPr>
        <w:t>[2015] EWHC 1031 (Ch), Simon Barker QC noted that a foreign proceeding may be recognised where the control or supervision of the proceeding is undertaken by a non-judicial administrative body.</w:t>
      </w:r>
    </w:p>
    <w:p w14:paraId="4F23735F" w14:textId="77777777" w:rsidR="00130B19" w:rsidRDefault="00130B19" w:rsidP="005C5B8F">
      <w:pPr>
        <w:jc w:val="both"/>
        <w:rPr>
          <w:rFonts w:ascii="Avenir Next" w:hAnsi="Avenir Next" w:cs="Arial"/>
          <w:bCs/>
          <w:color w:val="808080" w:themeColor="background1" w:themeShade="80"/>
          <w:sz w:val="22"/>
          <w:szCs w:val="22"/>
          <w:lang w:val="en-GB"/>
        </w:rPr>
      </w:pPr>
    </w:p>
    <w:p w14:paraId="5CFEB505" w14:textId="48BD35A0" w:rsidR="005C5B8F" w:rsidRDefault="005C5B8F" w:rsidP="005C5B8F">
      <w:p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In </w:t>
      </w:r>
      <w:r w:rsidR="00440DFE">
        <w:rPr>
          <w:rFonts w:ascii="Avenir Next" w:hAnsi="Avenir Next" w:cs="Arial"/>
          <w:i/>
          <w:iCs/>
          <w:color w:val="808080" w:themeColor="background1" w:themeShade="80"/>
          <w:sz w:val="22"/>
          <w:szCs w:val="22"/>
          <w:lang w:val="en-GB" w:eastAsia="en-GB"/>
        </w:rPr>
        <w:t xml:space="preserve">In the matter of Agrokor DD </w:t>
      </w:r>
      <w:r w:rsidR="00440DFE">
        <w:rPr>
          <w:rFonts w:ascii="Avenir Next" w:hAnsi="Avenir Next" w:cs="Arial"/>
          <w:color w:val="808080" w:themeColor="background1" w:themeShade="80"/>
          <w:sz w:val="22"/>
          <w:szCs w:val="22"/>
          <w:lang w:val="en-GB" w:eastAsia="en-GB"/>
        </w:rPr>
        <w:t>[2017] EWHC 2791 (Ch) (“</w:t>
      </w:r>
      <w:r w:rsidR="00440DFE">
        <w:rPr>
          <w:rFonts w:ascii="Avenir Next" w:hAnsi="Avenir Next" w:cs="Arial"/>
          <w:i/>
          <w:iCs/>
          <w:color w:val="808080" w:themeColor="background1" w:themeShade="80"/>
          <w:sz w:val="22"/>
          <w:szCs w:val="22"/>
          <w:lang w:val="en-GB" w:eastAsia="en-GB"/>
        </w:rPr>
        <w:t>Agrokor</w:t>
      </w:r>
      <w:r w:rsidR="00440DFE">
        <w:rPr>
          <w:rFonts w:ascii="Avenir Next" w:hAnsi="Avenir Next" w:cs="Arial"/>
          <w:color w:val="808080" w:themeColor="background1" w:themeShade="80"/>
          <w:sz w:val="22"/>
          <w:szCs w:val="22"/>
          <w:lang w:val="en-GB" w:eastAsia="en-GB"/>
        </w:rPr>
        <w:t>”)</w:t>
      </w:r>
      <w:r>
        <w:rPr>
          <w:rFonts w:ascii="Avenir Next" w:hAnsi="Avenir Next" w:cs="Arial"/>
          <w:color w:val="808080" w:themeColor="background1" w:themeShade="80"/>
          <w:sz w:val="22"/>
          <w:szCs w:val="22"/>
          <w:lang w:val="en-GB" w:eastAsia="en-GB"/>
        </w:rPr>
        <w:t xml:space="preserve">, the English court held that the level of court supervision required by the MLCBI is relatively low. Thus, under the CBIR, “court supervision” can be </w:t>
      </w:r>
      <w:r w:rsidRPr="001449A6">
        <w:rPr>
          <w:rFonts w:ascii="Avenir Next" w:hAnsi="Avenir Next" w:cs="Arial"/>
          <w:color w:val="808080" w:themeColor="background1" w:themeShade="80"/>
          <w:sz w:val="22"/>
          <w:szCs w:val="22"/>
          <w:lang w:val="en-GB" w:eastAsia="en-GB"/>
        </w:rPr>
        <w:t>potential</w:t>
      </w:r>
      <w:r>
        <w:rPr>
          <w:rFonts w:ascii="Avenir Next" w:hAnsi="Avenir Next" w:cs="Arial"/>
          <w:i/>
          <w:iCs/>
          <w:color w:val="808080" w:themeColor="background1" w:themeShade="80"/>
          <w:sz w:val="22"/>
          <w:szCs w:val="22"/>
          <w:lang w:val="en-GB" w:eastAsia="en-GB"/>
        </w:rPr>
        <w:t xml:space="preserve"> </w:t>
      </w:r>
      <w:r>
        <w:rPr>
          <w:rFonts w:ascii="Avenir Next" w:hAnsi="Avenir Next" w:cs="Arial"/>
          <w:color w:val="808080" w:themeColor="background1" w:themeShade="80"/>
          <w:sz w:val="22"/>
          <w:szCs w:val="22"/>
          <w:lang w:val="en-GB" w:eastAsia="en-GB"/>
        </w:rPr>
        <w:t xml:space="preserve">rather than actual and indirect rather than direct court supervision. The </w:t>
      </w:r>
      <w:r>
        <w:rPr>
          <w:rFonts w:ascii="Avenir Next" w:hAnsi="Avenir Next" w:cs="Arial"/>
          <w:color w:val="808080" w:themeColor="background1" w:themeShade="80"/>
          <w:sz w:val="22"/>
          <w:szCs w:val="22"/>
          <w:lang w:val="en-GB" w:eastAsia="en-GB"/>
        </w:rPr>
        <w:lastRenderedPageBreak/>
        <w:t xml:space="preserve">fact that the relevant Croatian legislation also gave some control to the Croatian government did not negate the supervision of the court. </w:t>
      </w:r>
    </w:p>
    <w:p w14:paraId="32735F61" w14:textId="77777777" w:rsidR="005C5B8F" w:rsidRDefault="005C5B8F" w:rsidP="005C5B8F">
      <w:pPr>
        <w:jc w:val="both"/>
        <w:rPr>
          <w:rFonts w:ascii="Avenir Next" w:hAnsi="Avenir Next" w:cs="Arial"/>
          <w:color w:val="808080" w:themeColor="background1" w:themeShade="80"/>
          <w:sz w:val="22"/>
          <w:szCs w:val="22"/>
          <w:lang w:val="en-GB" w:eastAsia="en-GB"/>
        </w:rPr>
      </w:pPr>
    </w:p>
    <w:p w14:paraId="1C1A1D85" w14:textId="54931794" w:rsidR="005C5B8F" w:rsidRDefault="005C5B8F" w:rsidP="005C5B8F">
      <w:pPr>
        <w:jc w:val="both"/>
        <w:rPr>
          <w:rFonts w:ascii="Avenir Next" w:hAnsi="Avenir Next" w:cs="Arial"/>
          <w:bCs/>
          <w:color w:val="808080" w:themeColor="background1" w:themeShade="80"/>
          <w:sz w:val="22"/>
          <w:szCs w:val="22"/>
          <w:lang w:val="en-GB"/>
        </w:rPr>
      </w:pPr>
      <w:r>
        <w:rPr>
          <w:rFonts w:ascii="Avenir Next" w:hAnsi="Avenir Next" w:cs="Arial"/>
          <w:color w:val="808080" w:themeColor="background1" w:themeShade="80"/>
          <w:sz w:val="22"/>
          <w:szCs w:val="22"/>
          <w:lang w:val="en-GB" w:eastAsia="en-GB"/>
        </w:rPr>
        <w:t xml:space="preserve">Applying </w:t>
      </w:r>
      <w:r w:rsidR="00130B19">
        <w:rPr>
          <w:rFonts w:ascii="Avenir Next" w:hAnsi="Avenir Next" w:cs="Arial"/>
          <w:color w:val="808080" w:themeColor="background1" w:themeShade="80"/>
          <w:sz w:val="22"/>
          <w:szCs w:val="22"/>
          <w:lang w:val="en-GB" w:eastAsia="en-GB"/>
        </w:rPr>
        <w:t>the above authorities</w:t>
      </w:r>
      <w:r>
        <w:rPr>
          <w:rFonts w:ascii="Avenir Next" w:hAnsi="Avenir Next" w:cs="Arial"/>
          <w:i/>
          <w:iCs/>
          <w:color w:val="808080" w:themeColor="background1" w:themeShade="80"/>
          <w:sz w:val="22"/>
          <w:szCs w:val="22"/>
          <w:lang w:val="en-GB" w:eastAsia="en-GB"/>
        </w:rPr>
        <w:t xml:space="preserve"> </w:t>
      </w:r>
      <w:r>
        <w:rPr>
          <w:rFonts w:ascii="Avenir Next" w:hAnsi="Avenir Next" w:cs="Arial"/>
          <w:color w:val="808080" w:themeColor="background1" w:themeShade="80"/>
          <w:sz w:val="22"/>
          <w:szCs w:val="22"/>
          <w:lang w:val="en-GB" w:eastAsia="en-GB"/>
        </w:rPr>
        <w:t xml:space="preserve">to the present case, the Bank’s liquidation satisfies the requirement that there be </w:t>
      </w:r>
      <w:r w:rsidR="00130B19">
        <w:rPr>
          <w:rFonts w:ascii="Avenir Next" w:hAnsi="Avenir Next" w:cs="Arial"/>
          <w:color w:val="808080" w:themeColor="background1" w:themeShade="80"/>
          <w:sz w:val="22"/>
          <w:szCs w:val="22"/>
          <w:lang w:val="en-GB" w:eastAsia="en-GB"/>
        </w:rPr>
        <w:t>control or supervision by a foreign court</w:t>
      </w:r>
      <w:r>
        <w:rPr>
          <w:rFonts w:ascii="Avenir Next" w:hAnsi="Avenir Next" w:cs="Arial"/>
          <w:color w:val="808080" w:themeColor="background1" w:themeShade="80"/>
          <w:sz w:val="22"/>
          <w:szCs w:val="22"/>
          <w:lang w:val="en-GB" w:eastAsia="en-GB"/>
        </w:rPr>
        <w:t xml:space="preserve">. </w:t>
      </w:r>
      <w:r w:rsidR="008E2CDE">
        <w:rPr>
          <w:rFonts w:ascii="Avenir Next" w:hAnsi="Avenir Next" w:cs="Arial"/>
          <w:color w:val="808080" w:themeColor="background1" w:themeShade="80"/>
          <w:sz w:val="22"/>
          <w:szCs w:val="22"/>
          <w:lang w:val="en-GB" w:eastAsia="en-GB"/>
        </w:rPr>
        <w:t xml:space="preserve">I have already canvassed the extensive powers exercised by </w:t>
      </w:r>
      <w:r w:rsidR="00130B19">
        <w:rPr>
          <w:rFonts w:ascii="Avenir Next" w:hAnsi="Avenir Next" w:cs="Arial"/>
          <w:color w:val="808080" w:themeColor="background1" w:themeShade="80"/>
          <w:sz w:val="22"/>
          <w:szCs w:val="22"/>
          <w:lang w:val="en-GB" w:eastAsia="en-GB"/>
        </w:rPr>
        <w:t xml:space="preserve">the </w:t>
      </w:r>
      <w:r w:rsidR="008E2CDE">
        <w:rPr>
          <w:rFonts w:ascii="Avenir Next" w:hAnsi="Avenir Next" w:cs="Arial"/>
          <w:color w:val="808080" w:themeColor="background1" w:themeShade="80"/>
          <w:sz w:val="22"/>
          <w:szCs w:val="22"/>
          <w:lang w:val="en-GB" w:eastAsia="en-GB"/>
        </w:rPr>
        <w:t xml:space="preserve">DGF </w:t>
      </w:r>
      <w:r w:rsidR="00130B19">
        <w:rPr>
          <w:rFonts w:ascii="Avenir Next" w:hAnsi="Avenir Next" w:cs="Arial"/>
          <w:color w:val="808080" w:themeColor="background1" w:themeShade="80"/>
          <w:sz w:val="22"/>
          <w:szCs w:val="22"/>
          <w:lang w:val="en-GB" w:eastAsia="en-GB"/>
        </w:rPr>
        <w:t xml:space="preserve">above </w:t>
      </w:r>
      <w:r w:rsidR="008E2CDE">
        <w:rPr>
          <w:rFonts w:ascii="Avenir Next" w:hAnsi="Avenir Next" w:cs="Arial"/>
          <w:color w:val="808080" w:themeColor="background1" w:themeShade="80"/>
          <w:sz w:val="22"/>
          <w:szCs w:val="22"/>
          <w:lang w:val="en-GB" w:eastAsia="en-GB"/>
        </w:rPr>
        <w:t>when explaining how the Bank’s liquidation is an administrative proceeding.</w:t>
      </w:r>
      <w:r w:rsidR="00130B19">
        <w:rPr>
          <w:rFonts w:ascii="Avenir Next" w:hAnsi="Avenir Next" w:cs="Arial"/>
          <w:color w:val="808080" w:themeColor="background1" w:themeShade="80"/>
          <w:sz w:val="22"/>
          <w:szCs w:val="22"/>
          <w:lang w:val="en-GB" w:eastAsia="en-GB"/>
        </w:rPr>
        <w:t xml:space="preserve"> These include the DGF’s powers of management, investigation, disposal, </w:t>
      </w:r>
      <w:proofErr w:type="gramStart"/>
      <w:r w:rsidR="00130B19">
        <w:rPr>
          <w:rFonts w:ascii="Avenir Next" w:hAnsi="Avenir Next" w:cs="Arial"/>
          <w:color w:val="808080" w:themeColor="background1" w:themeShade="80"/>
          <w:sz w:val="22"/>
          <w:szCs w:val="22"/>
          <w:lang w:val="en-GB" w:eastAsia="en-GB"/>
        </w:rPr>
        <w:t>sale</w:t>
      </w:r>
      <w:proofErr w:type="gramEnd"/>
      <w:r w:rsidR="00130B19">
        <w:rPr>
          <w:rFonts w:ascii="Avenir Next" w:hAnsi="Avenir Next" w:cs="Arial"/>
          <w:color w:val="808080" w:themeColor="background1" w:themeShade="80"/>
          <w:sz w:val="22"/>
          <w:szCs w:val="22"/>
          <w:lang w:val="en-GB" w:eastAsia="en-GB"/>
        </w:rPr>
        <w:t xml:space="preserve"> and distribution, along with a catch-all provision granting the DGF </w:t>
      </w:r>
      <w:r w:rsidR="00130B19" w:rsidRPr="00130B19">
        <w:rPr>
          <w:rFonts w:ascii="Avenir Next" w:hAnsi="Avenir Next" w:cs="Arial"/>
          <w:color w:val="808080" w:themeColor="background1" w:themeShade="80"/>
          <w:sz w:val="22"/>
          <w:szCs w:val="22"/>
          <w:lang w:val="en-GB" w:eastAsia="en-GB"/>
        </w:rPr>
        <w:t>the power to exercise “such other powers as are necessary to complete the liquidation of a bank”</w:t>
      </w:r>
      <w:r w:rsidR="00130B19">
        <w:rPr>
          <w:rFonts w:ascii="Avenir Next" w:hAnsi="Avenir Next" w:cs="Arial"/>
          <w:color w:val="808080" w:themeColor="background1" w:themeShade="80"/>
          <w:sz w:val="22"/>
          <w:szCs w:val="22"/>
          <w:lang w:val="en-GB" w:eastAsia="en-GB"/>
        </w:rPr>
        <w:t>. Therefore</w:t>
      </w:r>
      <w:r w:rsidR="008E2CDE">
        <w:rPr>
          <w:rFonts w:ascii="Avenir Next" w:hAnsi="Avenir Next" w:cs="Arial"/>
          <w:color w:val="808080" w:themeColor="background1" w:themeShade="80"/>
          <w:sz w:val="22"/>
          <w:szCs w:val="22"/>
          <w:lang w:val="en-GB" w:eastAsia="en-GB"/>
        </w:rPr>
        <w:t xml:space="preserve">, </w:t>
      </w:r>
      <w:r w:rsidR="008E2CDE" w:rsidRPr="00130B19">
        <w:rPr>
          <w:rFonts w:ascii="Avenir Next" w:hAnsi="Avenir Next" w:cs="Arial"/>
          <w:color w:val="808080" w:themeColor="background1" w:themeShade="80"/>
          <w:sz w:val="22"/>
          <w:szCs w:val="22"/>
          <w:lang w:val="en-GB" w:eastAsia="en-GB"/>
        </w:rPr>
        <w:t>t</w:t>
      </w:r>
      <w:r w:rsidR="008E2CDE" w:rsidRPr="00130B19">
        <w:rPr>
          <w:rFonts w:ascii="Avenir Next" w:hAnsi="Avenir Next" w:cs="Arial"/>
          <w:color w:val="808080" w:themeColor="background1" w:themeShade="80"/>
          <w:sz w:val="22"/>
          <w:szCs w:val="22"/>
          <w:lang w:val="en-GB" w:eastAsia="en-GB"/>
        </w:rPr>
        <w:t xml:space="preserve">he DGF </w:t>
      </w:r>
      <w:r w:rsidR="00130B19">
        <w:rPr>
          <w:rFonts w:ascii="Avenir Next" w:hAnsi="Avenir Next" w:cs="Arial"/>
          <w:color w:val="808080" w:themeColor="background1" w:themeShade="80"/>
          <w:sz w:val="22"/>
          <w:szCs w:val="22"/>
          <w:lang w:val="en-GB" w:eastAsia="en-GB"/>
        </w:rPr>
        <w:t>is</w:t>
      </w:r>
      <w:r w:rsidR="008E2CDE" w:rsidRPr="00130B19">
        <w:rPr>
          <w:rFonts w:ascii="Avenir Next" w:hAnsi="Avenir Next" w:cs="Arial"/>
          <w:color w:val="808080" w:themeColor="background1" w:themeShade="80"/>
          <w:sz w:val="22"/>
          <w:szCs w:val="22"/>
          <w:lang w:val="en-GB" w:eastAsia="en-GB"/>
        </w:rPr>
        <w:t xml:space="preserve"> considered as a “foreign court” under Article 2(e) of</w:t>
      </w:r>
      <w:r w:rsidR="008E2CDE">
        <w:rPr>
          <w:rFonts w:ascii="Avenir Next" w:hAnsi="Avenir Next" w:cs="Arial"/>
          <w:bCs/>
          <w:color w:val="808080" w:themeColor="background1" w:themeShade="80"/>
          <w:sz w:val="22"/>
          <w:szCs w:val="22"/>
          <w:lang w:val="en-GB"/>
        </w:rPr>
        <w:t xml:space="preserve"> the MLCBI / Article 2(f) of Schedule 1 of the CBIR. </w:t>
      </w:r>
      <w:r w:rsidR="00130B19">
        <w:rPr>
          <w:rFonts w:ascii="Avenir Next" w:hAnsi="Avenir Next" w:cs="Arial"/>
          <w:bCs/>
          <w:color w:val="808080" w:themeColor="background1" w:themeShade="80"/>
          <w:sz w:val="22"/>
          <w:szCs w:val="22"/>
          <w:lang w:val="en-GB"/>
        </w:rPr>
        <w:t xml:space="preserve"> </w:t>
      </w:r>
      <w:r w:rsidR="00130B19">
        <w:rPr>
          <w:rFonts w:ascii="Avenir Next" w:hAnsi="Avenir Next" w:cs="Arial"/>
          <w:bCs/>
          <w:color w:val="808080" w:themeColor="background1" w:themeShade="80"/>
          <w:sz w:val="22"/>
          <w:szCs w:val="22"/>
          <w:lang w:val="en-GB"/>
        </w:rPr>
        <w:t xml:space="preserve">The assets and affairs of the Bank are </w:t>
      </w:r>
      <w:r w:rsidR="00130B19">
        <w:rPr>
          <w:rFonts w:ascii="Avenir Next" w:hAnsi="Avenir Next" w:cs="Arial"/>
          <w:bCs/>
          <w:color w:val="808080" w:themeColor="background1" w:themeShade="80"/>
          <w:sz w:val="22"/>
          <w:szCs w:val="22"/>
          <w:lang w:val="en-GB"/>
        </w:rPr>
        <w:t xml:space="preserve">therefore </w:t>
      </w:r>
      <w:r w:rsidR="00130B19">
        <w:rPr>
          <w:rFonts w:ascii="Avenir Next" w:hAnsi="Avenir Next" w:cs="Arial"/>
          <w:bCs/>
          <w:color w:val="808080" w:themeColor="background1" w:themeShade="80"/>
          <w:sz w:val="22"/>
          <w:szCs w:val="22"/>
          <w:lang w:val="en-GB"/>
        </w:rPr>
        <w:t>subject to the control of the DGF</w:t>
      </w:r>
      <w:r w:rsidR="00130B19">
        <w:rPr>
          <w:rFonts w:ascii="Avenir Next" w:hAnsi="Avenir Next" w:cs="Arial"/>
          <w:bCs/>
          <w:color w:val="808080" w:themeColor="background1" w:themeShade="80"/>
          <w:sz w:val="22"/>
          <w:szCs w:val="22"/>
          <w:lang w:val="en-GB"/>
        </w:rPr>
        <w:t xml:space="preserve"> as a “foreign court”.</w:t>
      </w:r>
    </w:p>
    <w:p w14:paraId="62C0BCF3" w14:textId="171D9105" w:rsidR="00042DFF" w:rsidRDefault="00042DFF" w:rsidP="00405F2B">
      <w:pPr>
        <w:jc w:val="both"/>
        <w:rPr>
          <w:rFonts w:ascii="Avenir Next" w:hAnsi="Avenir Next" w:cs="Arial"/>
          <w:bCs/>
          <w:color w:val="808080" w:themeColor="background1" w:themeShade="80"/>
          <w:sz w:val="22"/>
          <w:szCs w:val="22"/>
          <w:lang w:val="en-GB"/>
        </w:rPr>
      </w:pPr>
    </w:p>
    <w:p w14:paraId="64511F04" w14:textId="1174E816" w:rsidR="00042DFF" w:rsidRPr="00042DFF" w:rsidRDefault="00042DFF" w:rsidP="005C5B8F">
      <w:pPr>
        <w:pStyle w:val="ListParagraph"/>
        <w:numPr>
          <w:ilvl w:val="0"/>
          <w:numId w:val="21"/>
        </w:numPr>
        <w:jc w:val="both"/>
        <w:rPr>
          <w:rFonts w:ascii="Avenir Next" w:hAnsi="Avenir Next" w:cs="Arial"/>
          <w:bCs/>
          <w:color w:val="808080" w:themeColor="background1" w:themeShade="80"/>
          <w:sz w:val="22"/>
          <w:szCs w:val="22"/>
          <w:lang w:val="en-GB"/>
        </w:rPr>
      </w:pPr>
      <w:r>
        <w:rPr>
          <w:rFonts w:ascii="Avenir Next" w:hAnsi="Avenir Next" w:cs="Arial"/>
          <w:b/>
          <w:color w:val="808080" w:themeColor="background1" w:themeShade="80"/>
          <w:sz w:val="22"/>
          <w:szCs w:val="22"/>
          <w:lang w:val="en-GB"/>
        </w:rPr>
        <w:t>Laws relating to insolvency</w:t>
      </w:r>
    </w:p>
    <w:p w14:paraId="54907308" w14:textId="77777777" w:rsidR="004C7869" w:rsidRDefault="004C7869" w:rsidP="00405F2B">
      <w:pPr>
        <w:jc w:val="both"/>
        <w:rPr>
          <w:rFonts w:ascii="Avenir Next" w:hAnsi="Avenir Next" w:cs="Arial"/>
          <w:bCs/>
          <w:color w:val="808080" w:themeColor="background1" w:themeShade="80"/>
          <w:sz w:val="22"/>
          <w:szCs w:val="22"/>
          <w:lang w:val="en-GB"/>
        </w:rPr>
      </w:pPr>
    </w:p>
    <w:p w14:paraId="2FDF61FD" w14:textId="5657DCAA" w:rsidR="005C5B8F" w:rsidRDefault="005C5B8F" w:rsidP="00405F2B">
      <w:pPr>
        <w:jc w:val="both"/>
        <w:rPr>
          <w:rFonts w:ascii="Avenir Next" w:hAnsi="Avenir Next" w:cs="Arial"/>
          <w:color w:val="808080" w:themeColor="background1" w:themeShade="80"/>
          <w:sz w:val="22"/>
          <w:szCs w:val="22"/>
          <w:lang w:val="en-GB" w:eastAsia="en-GB"/>
        </w:rPr>
      </w:pPr>
      <w:r>
        <w:rPr>
          <w:rFonts w:ascii="Avenir Next" w:hAnsi="Avenir Next" w:cs="Arial"/>
          <w:bCs/>
          <w:color w:val="808080" w:themeColor="background1" w:themeShade="80"/>
          <w:sz w:val="22"/>
          <w:szCs w:val="22"/>
          <w:lang w:val="en-GB"/>
        </w:rPr>
        <w:t>Third</w:t>
      </w:r>
      <w:r w:rsidR="004655F7">
        <w:rPr>
          <w:rFonts w:ascii="Avenir Next" w:hAnsi="Avenir Next" w:cs="Arial"/>
          <w:bCs/>
          <w:color w:val="808080" w:themeColor="background1" w:themeShade="80"/>
          <w:sz w:val="22"/>
          <w:szCs w:val="22"/>
          <w:lang w:val="en-GB"/>
        </w:rPr>
        <w:t>, t</w:t>
      </w:r>
      <w:r w:rsidR="004C7869">
        <w:rPr>
          <w:rFonts w:ascii="Avenir Next" w:hAnsi="Avenir Next" w:cs="Arial"/>
          <w:bCs/>
          <w:color w:val="808080" w:themeColor="background1" w:themeShade="80"/>
          <w:sz w:val="22"/>
          <w:szCs w:val="22"/>
          <w:lang w:val="en-GB"/>
        </w:rPr>
        <w:t xml:space="preserve">he Bank’s liquidation is being conducted under laws relating to insolvency. The MLCBI does not require “insolvency law” as a label, and it is sufficient for the law to deal with or address insolvency or severe financial distress. </w:t>
      </w:r>
      <w:r w:rsidR="004C7869">
        <w:rPr>
          <w:rFonts w:ascii="Avenir Next" w:hAnsi="Avenir Next" w:cs="Arial"/>
          <w:color w:val="808080" w:themeColor="background1" w:themeShade="80"/>
          <w:sz w:val="22"/>
          <w:szCs w:val="22"/>
          <w:lang w:val="en-GB" w:eastAsia="en-GB"/>
        </w:rPr>
        <w:t xml:space="preserve">In </w:t>
      </w:r>
      <w:r w:rsidR="004C7869">
        <w:rPr>
          <w:rFonts w:ascii="Avenir Next" w:hAnsi="Avenir Next" w:cs="Arial"/>
          <w:i/>
          <w:iCs/>
          <w:color w:val="808080" w:themeColor="background1" w:themeShade="80"/>
          <w:sz w:val="22"/>
          <w:szCs w:val="22"/>
          <w:lang w:val="en-GB" w:eastAsia="en-GB"/>
        </w:rPr>
        <w:t>Agrokor</w:t>
      </w:r>
      <w:r w:rsidR="004C7869">
        <w:rPr>
          <w:rFonts w:ascii="Avenir Next" w:hAnsi="Avenir Next" w:cs="Arial"/>
          <w:color w:val="808080" w:themeColor="background1" w:themeShade="80"/>
          <w:sz w:val="22"/>
          <w:szCs w:val="22"/>
          <w:lang w:val="en-GB" w:eastAsia="en-GB"/>
        </w:rPr>
        <w:t xml:space="preserve">, the English court held that the “law relating to insolvency” requirement is satisfied if insolvency is one of the grounds on which the proceeding could be commenced, even if insolvency could not actually be demonstrated and there was another basis for commencing the proceedings. </w:t>
      </w:r>
    </w:p>
    <w:p w14:paraId="634231CD" w14:textId="77777777" w:rsidR="005C5B8F" w:rsidRDefault="005C5B8F" w:rsidP="00405F2B">
      <w:pPr>
        <w:jc w:val="both"/>
        <w:rPr>
          <w:rFonts w:ascii="Avenir Next" w:hAnsi="Avenir Next" w:cs="Arial"/>
          <w:color w:val="808080" w:themeColor="background1" w:themeShade="80"/>
          <w:sz w:val="22"/>
          <w:szCs w:val="22"/>
          <w:lang w:val="en-GB" w:eastAsia="en-GB"/>
        </w:rPr>
      </w:pPr>
    </w:p>
    <w:p w14:paraId="00E75777" w14:textId="27BEF177" w:rsidR="00405F2B" w:rsidRDefault="004C7869" w:rsidP="00405F2B">
      <w:pPr>
        <w:jc w:val="both"/>
        <w:rPr>
          <w:rFonts w:ascii="Avenir Next" w:hAnsi="Avenir Next" w:cs="Arial"/>
          <w:color w:val="808080" w:themeColor="background1" w:themeShade="80"/>
          <w:sz w:val="22"/>
          <w:szCs w:val="22"/>
          <w:lang w:val="en-GB" w:eastAsia="en-GB"/>
        </w:rPr>
      </w:pPr>
      <w:r>
        <w:rPr>
          <w:rFonts w:ascii="Avenir Next" w:hAnsi="Avenir Next" w:cs="Arial"/>
          <w:bCs/>
          <w:color w:val="808080" w:themeColor="background1" w:themeShade="80"/>
          <w:sz w:val="22"/>
          <w:szCs w:val="22"/>
          <w:lang w:val="en-GB"/>
        </w:rPr>
        <w:t>Thus, w</w:t>
      </w:r>
      <w:r w:rsidR="00F450B7">
        <w:rPr>
          <w:rFonts w:ascii="Avenir Next" w:hAnsi="Avenir Next" w:cs="Arial"/>
          <w:bCs/>
          <w:color w:val="808080" w:themeColor="background1" w:themeShade="80"/>
          <w:sz w:val="22"/>
          <w:szCs w:val="22"/>
          <w:lang w:val="en-GB"/>
        </w:rPr>
        <w:t>hile the LBBA and the DGF Law do not appear to be insolvency-</w:t>
      </w:r>
      <w:r w:rsidR="00F450B7">
        <w:rPr>
          <w:rFonts w:ascii="Avenir Next" w:hAnsi="Avenir Next" w:cs="Arial"/>
          <w:bCs/>
          <w:i/>
          <w:iCs/>
          <w:color w:val="808080" w:themeColor="background1" w:themeShade="80"/>
          <w:sz w:val="22"/>
          <w:szCs w:val="22"/>
          <w:lang w:val="en-GB"/>
        </w:rPr>
        <w:t xml:space="preserve">specific </w:t>
      </w:r>
      <w:r w:rsidR="00F450B7">
        <w:rPr>
          <w:rFonts w:ascii="Avenir Next" w:hAnsi="Avenir Next" w:cs="Arial"/>
          <w:bCs/>
          <w:color w:val="808080" w:themeColor="background1" w:themeShade="80"/>
          <w:sz w:val="22"/>
          <w:szCs w:val="22"/>
          <w:lang w:val="en-GB"/>
        </w:rPr>
        <w:t xml:space="preserve">legislation, they clearly </w:t>
      </w:r>
      <w:r w:rsidR="00F450B7">
        <w:rPr>
          <w:rFonts w:ascii="Avenir Next" w:hAnsi="Avenir Next" w:cs="Arial"/>
          <w:bCs/>
          <w:i/>
          <w:iCs/>
          <w:color w:val="808080" w:themeColor="background1" w:themeShade="80"/>
          <w:sz w:val="22"/>
          <w:szCs w:val="22"/>
          <w:lang w:val="en-GB"/>
        </w:rPr>
        <w:t xml:space="preserve">relate </w:t>
      </w:r>
      <w:r w:rsidR="00F450B7">
        <w:rPr>
          <w:rFonts w:ascii="Avenir Next" w:hAnsi="Avenir Next" w:cs="Arial"/>
          <w:bCs/>
          <w:color w:val="808080" w:themeColor="background1" w:themeShade="80"/>
          <w:sz w:val="22"/>
          <w:szCs w:val="22"/>
          <w:lang w:val="en-GB"/>
        </w:rPr>
        <w:t>to insolvency given the extensive provisions therein relating to insolvency.</w:t>
      </w:r>
      <w:r w:rsidR="00E27DE6">
        <w:rPr>
          <w:rFonts w:ascii="Avenir Next" w:hAnsi="Avenir Next" w:cs="Arial"/>
          <w:bCs/>
          <w:color w:val="808080" w:themeColor="background1" w:themeShade="80"/>
          <w:sz w:val="22"/>
          <w:szCs w:val="22"/>
          <w:lang w:val="en-GB"/>
        </w:rPr>
        <w:t xml:space="preserve"> Both pieces of legislation also provide that the Bank’s insolvency is the basis for commencing proceedings against the Bank.</w:t>
      </w:r>
      <w:r w:rsidR="00F450B7">
        <w:rPr>
          <w:rFonts w:ascii="Avenir Next" w:hAnsi="Avenir Next" w:cs="Arial"/>
          <w:bCs/>
          <w:color w:val="808080" w:themeColor="background1" w:themeShade="80"/>
          <w:sz w:val="22"/>
          <w:szCs w:val="22"/>
          <w:lang w:val="en-GB"/>
        </w:rPr>
        <w:t xml:space="preserve"> For example, article 75 of the LBBA lays down the criteria for the NB’s classification of a </w:t>
      </w:r>
      <w:r w:rsidR="00F450B7" w:rsidRPr="00F450B7">
        <w:rPr>
          <w:rFonts w:ascii="Avenir Next" w:hAnsi="Avenir Next" w:cs="Arial"/>
          <w:bCs/>
          <w:color w:val="808080" w:themeColor="background1" w:themeShade="80"/>
          <w:sz w:val="22"/>
          <w:szCs w:val="22"/>
          <w:lang w:val="en-GB"/>
        </w:rPr>
        <w:t>bank as “troubled”, article 76 of the LBBA lays out when a bank is classified as insolvent</w:t>
      </w:r>
      <w:r w:rsidR="00F450B7" w:rsidRPr="00514DD0">
        <w:rPr>
          <w:rFonts w:ascii="Avenir Next" w:hAnsi="Avenir Next" w:cs="Arial"/>
          <w:bCs/>
          <w:color w:val="808080" w:themeColor="background1" w:themeShade="80"/>
          <w:sz w:val="22"/>
          <w:szCs w:val="22"/>
          <w:lang w:val="en-GB"/>
        </w:rPr>
        <w:t xml:space="preserve">, while article 77 of the LBBA </w:t>
      </w:r>
      <w:r w:rsidR="00F450B7" w:rsidRPr="00514DD0">
        <w:rPr>
          <w:rFonts w:ascii="Avenir Next" w:hAnsi="Avenir Next" w:cs="Arial"/>
          <w:color w:val="808080" w:themeColor="background1" w:themeShade="80"/>
          <w:sz w:val="22"/>
          <w:szCs w:val="22"/>
          <w:lang w:val="en-GB" w:eastAsia="en-GB"/>
        </w:rPr>
        <w:t xml:space="preserve">provides that </w:t>
      </w:r>
      <w:r w:rsidR="00E27DE6" w:rsidRPr="00514DD0">
        <w:rPr>
          <w:rFonts w:ascii="Avenir Next" w:hAnsi="Avenir Next" w:cs="Arial"/>
          <w:color w:val="808080" w:themeColor="background1" w:themeShade="80"/>
          <w:sz w:val="22"/>
          <w:szCs w:val="22"/>
          <w:lang w:val="en-GB" w:eastAsia="en-GB"/>
        </w:rPr>
        <w:t>upon a bank’s insolvency, the</w:t>
      </w:r>
      <w:r w:rsidR="00F450B7" w:rsidRPr="00514DD0">
        <w:rPr>
          <w:rFonts w:ascii="Avenir Next" w:hAnsi="Avenir Next" w:cs="Arial"/>
          <w:color w:val="808080" w:themeColor="background1" w:themeShade="80"/>
          <w:sz w:val="22"/>
          <w:szCs w:val="22"/>
          <w:lang w:val="en-GB" w:eastAsia="en-GB"/>
        </w:rPr>
        <w:t xml:space="preserve"> bank can be liquidated by the NB directly</w:t>
      </w:r>
      <w:r w:rsidR="00E27DE6" w:rsidRPr="00514DD0">
        <w:rPr>
          <w:rFonts w:ascii="Avenir Next" w:hAnsi="Avenir Next" w:cs="Arial"/>
          <w:color w:val="808080" w:themeColor="background1" w:themeShade="80"/>
          <w:sz w:val="22"/>
          <w:szCs w:val="22"/>
          <w:lang w:val="en-GB" w:eastAsia="en-GB"/>
        </w:rPr>
        <w:t xml:space="preserve"> and have</w:t>
      </w:r>
      <w:r w:rsidR="00F450B7" w:rsidRPr="00514DD0">
        <w:rPr>
          <w:rFonts w:ascii="Avenir Next" w:hAnsi="Avenir Next" w:cs="Arial"/>
          <w:color w:val="808080" w:themeColor="background1" w:themeShade="80"/>
          <w:sz w:val="22"/>
          <w:szCs w:val="22"/>
          <w:lang w:val="en-GB" w:eastAsia="en-GB"/>
        </w:rPr>
        <w:t xml:space="preserve"> its licence</w:t>
      </w:r>
      <w:r w:rsidR="00E27DE6">
        <w:rPr>
          <w:rFonts w:ascii="Avenir Next" w:hAnsi="Avenir Next" w:cs="Arial"/>
          <w:color w:val="808080" w:themeColor="background1" w:themeShade="80"/>
          <w:sz w:val="22"/>
          <w:szCs w:val="22"/>
          <w:lang w:val="en-GB" w:eastAsia="en-GB"/>
        </w:rPr>
        <w:t xml:space="preserve"> revoked</w:t>
      </w:r>
      <w:r w:rsidR="00F450B7" w:rsidRPr="00F450B7">
        <w:rPr>
          <w:rFonts w:ascii="Avenir Next" w:hAnsi="Avenir Next" w:cs="Arial"/>
          <w:color w:val="808080" w:themeColor="background1" w:themeShade="80"/>
          <w:sz w:val="22"/>
          <w:szCs w:val="22"/>
          <w:lang w:val="en-GB" w:eastAsia="en-GB"/>
        </w:rPr>
        <w:t>.</w:t>
      </w:r>
      <w:r>
        <w:rPr>
          <w:rFonts w:ascii="Avenir Next" w:hAnsi="Avenir Next" w:cs="Arial"/>
          <w:color w:val="808080" w:themeColor="background1" w:themeShade="80"/>
          <w:sz w:val="22"/>
          <w:szCs w:val="22"/>
          <w:lang w:val="en-GB" w:eastAsia="en-GB"/>
        </w:rPr>
        <w:t xml:space="preserve"> Similarly, the DGF Law provides for the procedure by which an insolvent bank is removed from the market (Article 34 DGF Law), providing for measures commonly seen in insolvency </w:t>
      </w:r>
      <w:r w:rsidRPr="004C7869">
        <w:rPr>
          <w:rFonts w:ascii="Avenir Next" w:hAnsi="Avenir Next" w:cs="Arial"/>
          <w:color w:val="808080" w:themeColor="background1" w:themeShade="80"/>
          <w:sz w:val="22"/>
          <w:szCs w:val="22"/>
          <w:lang w:val="en-GB" w:eastAsia="en-GB"/>
        </w:rPr>
        <w:t>legislation such as a moratorium (Article 36(5) DGF Law) and vesting of the bank’s management powers in DGF (Articles 35(5) and 36(1) DGF Law).</w:t>
      </w:r>
    </w:p>
    <w:p w14:paraId="6BC6792B" w14:textId="38235CDC" w:rsidR="00042DFF" w:rsidRDefault="00042DFF" w:rsidP="00405F2B">
      <w:pPr>
        <w:jc w:val="both"/>
        <w:rPr>
          <w:rFonts w:ascii="Avenir Next" w:hAnsi="Avenir Next" w:cs="Arial"/>
          <w:color w:val="808080" w:themeColor="background1" w:themeShade="80"/>
          <w:sz w:val="22"/>
          <w:szCs w:val="22"/>
          <w:lang w:val="en-GB" w:eastAsia="en-GB"/>
        </w:rPr>
      </w:pPr>
    </w:p>
    <w:p w14:paraId="3FAE2FAD" w14:textId="29ED187B" w:rsidR="00042DFF" w:rsidRPr="00042DFF" w:rsidRDefault="00042DFF" w:rsidP="005C5B8F">
      <w:pPr>
        <w:pStyle w:val="ListParagraph"/>
        <w:numPr>
          <w:ilvl w:val="0"/>
          <w:numId w:val="21"/>
        </w:numPr>
        <w:jc w:val="both"/>
        <w:rPr>
          <w:rFonts w:ascii="Avenir Next" w:hAnsi="Avenir Next" w:cs="Arial"/>
          <w:color w:val="808080" w:themeColor="background1" w:themeShade="80"/>
          <w:sz w:val="22"/>
          <w:szCs w:val="22"/>
          <w:lang w:val="en-GB" w:eastAsia="en-GB"/>
        </w:rPr>
      </w:pPr>
      <w:r w:rsidRPr="005C5B8F">
        <w:rPr>
          <w:rFonts w:ascii="Avenir Next" w:hAnsi="Avenir Next" w:cs="Arial"/>
          <w:b/>
          <w:color w:val="808080" w:themeColor="background1" w:themeShade="80"/>
          <w:sz w:val="22"/>
          <w:szCs w:val="22"/>
          <w:lang w:val="en-GB"/>
        </w:rPr>
        <w:t>Collective</w:t>
      </w:r>
      <w:r>
        <w:rPr>
          <w:rFonts w:ascii="Avenir Next" w:hAnsi="Avenir Next" w:cs="Arial"/>
          <w:b/>
          <w:bCs/>
          <w:color w:val="808080" w:themeColor="background1" w:themeShade="80"/>
          <w:sz w:val="22"/>
          <w:szCs w:val="22"/>
          <w:lang w:val="en-GB" w:eastAsia="en-GB"/>
        </w:rPr>
        <w:t xml:space="preserve"> proceeding</w:t>
      </w:r>
    </w:p>
    <w:p w14:paraId="23300D2E" w14:textId="0576717C" w:rsidR="004C7869" w:rsidRDefault="004C7869" w:rsidP="00405F2B">
      <w:pPr>
        <w:jc w:val="both"/>
        <w:rPr>
          <w:rFonts w:ascii="Avenir Next" w:hAnsi="Avenir Next" w:cs="Arial"/>
          <w:color w:val="808080" w:themeColor="background1" w:themeShade="80"/>
          <w:sz w:val="22"/>
          <w:szCs w:val="22"/>
          <w:lang w:val="en-GB" w:eastAsia="en-GB"/>
        </w:rPr>
      </w:pPr>
    </w:p>
    <w:p w14:paraId="4ABB8E80" w14:textId="769664A6" w:rsidR="00042DFF" w:rsidRDefault="005C5B8F" w:rsidP="00405F2B">
      <w:p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Fourth</w:t>
      </w:r>
      <w:r w:rsidR="004655F7">
        <w:rPr>
          <w:rFonts w:ascii="Avenir Next" w:hAnsi="Avenir Next" w:cs="Arial"/>
          <w:color w:val="808080" w:themeColor="background1" w:themeShade="80"/>
          <w:sz w:val="22"/>
          <w:szCs w:val="22"/>
          <w:lang w:val="en-GB" w:eastAsia="en-GB"/>
        </w:rPr>
        <w:t xml:space="preserve">, </w:t>
      </w:r>
      <w:r w:rsidR="004C7869">
        <w:rPr>
          <w:rFonts w:ascii="Avenir Next" w:hAnsi="Avenir Next" w:cs="Arial"/>
          <w:color w:val="808080" w:themeColor="background1" w:themeShade="80"/>
          <w:sz w:val="22"/>
          <w:szCs w:val="22"/>
          <w:lang w:val="en-GB" w:eastAsia="en-GB"/>
        </w:rPr>
        <w:t xml:space="preserve">the Bank’s liquidation is collective in nature. </w:t>
      </w:r>
      <w:r w:rsidR="00042DFF">
        <w:rPr>
          <w:rFonts w:ascii="Avenir Next" w:hAnsi="Avenir Next" w:cs="Arial"/>
          <w:color w:val="808080" w:themeColor="background1" w:themeShade="80"/>
          <w:sz w:val="22"/>
          <w:szCs w:val="22"/>
          <w:lang w:val="en-GB" w:eastAsia="en-GB"/>
        </w:rPr>
        <w:t>According to the UNCITRAL Digest o</w:t>
      </w:r>
      <w:r w:rsidR="00965CD9">
        <w:rPr>
          <w:rFonts w:ascii="Avenir Next" w:hAnsi="Avenir Next" w:cs="Arial"/>
          <w:color w:val="808080" w:themeColor="background1" w:themeShade="80"/>
          <w:sz w:val="22"/>
          <w:szCs w:val="22"/>
          <w:lang w:val="en-GB" w:eastAsia="en-GB"/>
        </w:rPr>
        <w:t>f</w:t>
      </w:r>
      <w:r w:rsidR="00042DFF">
        <w:rPr>
          <w:rFonts w:ascii="Avenir Next" w:hAnsi="Avenir Next" w:cs="Arial"/>
          <w:color w:val="808080" w:themeColor="background1" w:themeShade="80"/>
          <w:sz w:val="22"/>
          <w:szCs w:val="22"/>
          <w:lang w:val="en-GB" w:eastAsia="en-GB"/>
        </w:rPr>
        <w:t xml:space="preserve"> Case Law </w:t>
      </w:r>
      <w:r w:rsidR="00965CD9">
        <w:rPr>
          <w:rFonts w:ascii="Avenir Next" w:hAnsi="Avenir Next" w:cs="Arial"/>
          <w:color w:val="808080" w:themeColor="background1" w:themeShade="80"/>
          <w:sz w:val="22"/>
          <w:szCs w:val="22"/>
          <w:lang w:val="en-GB" w:eastAsia="en-GB"/>
        </w:rPr>
        <w:t>on the UNCITRAL Model Law on Cross-Border Insolvency (2021)</w:t>
      </w:r>
      <w:r w:rsidR="00042DFF">
        <w:rPr>
          <w:rFonts w:ascii="Avenir Next" w:hAnsi="Avenir Next" w:cs="Arial"/>
          <w:color w:val="808080" w:themeColor="background1" w:themeShade="80"/>
          <w:sz w:val="22"/>
          <w:szCs w:val="22"/>
          <w:lang w:val="en-GB" w:eastAsia="en-GB"/>
        </w:rPr>
        <w:t xml:space="preserve">, courts have identified “collective” proceedings as having various characteristics, including, among others: (a) imposition of an orderly regime that affects the rights and obligations of all creditors and </w:t>
      </w:r>
      <w:proofErr w:type="gramStart"/>
      <w:r w:rsidR="00042DFF">
        <w:rPr>
          <w:rFonts w:ascii="Avenir Next" w:hAnsi="Avenir Next" w:cs="Arial"/>
          <w:color w:val="808080" w:themeColor="background1" w:themeShade="80"/>
          <w:sz w:val="22"/>
          <w:szCs w:val="22"/>
          <w:lang w:val="en-GB" w:eastAsia="en-GB"/>
        </w:rPr>
        <w:t>all of</w:t>
      </w:r>
      <w:proofErr w:type="gramEnd"/>
      <w:r w:rsidR="00042DFF">
        <w:rPr>
          <w:rFonts w:ascii="Avenir Next" w:hAnsi="Avenir Next" w:cs="Arial"/>
          <w:color w:val="808080" w:themeColor="background1" w:themeShade="80"/>
          <w:sz w:val="22"/>
          <w:szCs w:val="22"/>
          <w:lang w:val="en-GB" w:eastAsia="en-GB"/>
        </w:rPr>
        <w:t xml:space="preserve"> the debtor’s assets; and (b)</w:t>
      </w:r>
      <w:r w:rsidR="00171FC3">
        <w:rPr>
          <w:rFonts w:ascii="Avenir Next" w:hAnsi="Avenir Next" w:cs="Arial"/>
          <w:color w:val="808080" w:themeColor="background1" w:themeShade="80"/>
          <w:sz w:val="22"/>
          <w:szCs w:val="22"/>
          <w:lang w:val="en-GB" w:eastAsia="en-GB"/>
        </w:rPr>
        <w:t> </w:t>
      </w:r>
      <w:r w:rsidR="00042DFF">
        <w:rPr>
          <w:rFonts w:ascii="Avenir Next" w:hAnsi="Avenir Next" w:cs="Arial"/>
          <w:color w:val="808080" w:themeColor="background1" w:themeShade="80"/>
          <w:sz w:val="22"/>
          <w:szCs w:val="22"/>
          <w:lang w:val="en-GB" w:eastAsia="en-GB"/>
        </w:rPr>
        <w:t xml:space="preserve">creditor participation, including </w:t>
      </w:r>
      <w:r w:rsidR="00A132C5">
        <w:rPr>
          <w:rFonts w:ascii="Avenir Next" w:hAnsi="Avenir Next" w:cs="Arial"/>
          <w:color w:val="808080" w:themeColor="background1" w:themeShade="80"/>
          <w:sz w:val="22"/>
          <w:szCs w:val="22"/>
          <w:lang w:val="en-GB" w:eastAsia="en-GB"/>
        </w:rPr>
        <w:t>the</w:t>
      </w:r>
      <w:r w:rsidR="00042DFF">
        <w:rPr>
          <w:rFonts w:ascii="Avenir Next" w:hAnsi="Avenir Next" w:cs="Arial"/>
          <w:color w:val="808080" w:themeColor="background1" w:themeShade="80"/>
          <w:sz w:val="22"/>
          <w:szCs w:val="22"/>
          <w:lang w:val="en-GB" w:eastAsia="en-GB"/>
        </w:rPr>
        <w:t xml:space="preserve"> right to receive adequate notice. </w:t>
      </w:r>
      <w:r>
        <w:rPr>
          <w:rFonts w:ascii="Avenir Next" w:hAnsi="Avenir Next" w:cs="Arial"/>
          <w:color w:val="808080" w:themeColor="background1" w:themeShade="80"/>
          <w:sz w:val="22"/>
          <w:szCs w:val="22"/>
          <w:lang w:val="en-GB" w:eastAsia="en-GB"/>
        </w:rPr>
        <w:t xml:space="preserve">The </w:t>
      </w:r>
      <w:r w:rsidR="00042DFF">
        <w:rPr>
          <w:rFonts w:ascii="Avenir Next" w:hAnsi="Avenir Next" w:cs="Arial"/>
          <w:color w:val="808080" w:themeColor="background1" w:themeShade="80"/>
          <w:sz w:val="22"/>
          <w:szCs w:val="22"/>
          <w:lang w:val="en-GB" w:eastAsia="en-GB"/>
        </w:rPr>
        <w:t xml:space="preserve">UNCITRAL’s Guide for Judiciary, “The Model Law on Insolvency: The Judicial Perspective” (2013) and the Guide to Enactment and Interpretation of the UNCITRAL Model Law (2014) further indicate that the notion of a “collective” insolvency proceeding is based on the desirability of achieving a coordinated, global solution for all stakeholders of an insolvency proceeding. </w:t>
      </w:r>
      <w:r>
        <w:rPr>
          <w:rFonts w:ascii="Avenir Next" w:hAnsi="Avenir Next" w:cs="Arial"/>
          <w:color w:val="808080" w:themeColor="background1" w:themeShade="80"/>
          <w:sz w:val="22"/>
          <w:szCs w:val="22"/>
          <w:lang w:val="en-GB" w:eastAsia="en-GB"/>
        </w:rPr>
        <w:t xml:space="preserve">When evaluating whether a given proceeding is collective for the purpose of the MLCBI, a key consideration is whether substantially </w:t>
      </w:r>
      <w:proofErr w:type="gramStart"/>
      <w:r>
        <w:rPr>
          <w:rFonts w:ascii="Avenir Next" w:hAnsi="Avenir Next" w:cs="Arial"/>
          <w:color w:val="808080" w:themeColor="background1" w:themeShade="80"/>
          <w:sz w:val="22"/>
          <w:szCs w:val="22"/>
          <w:lang w:val="en-GB" w:eastAsia="en-GB"/>
        </w:rPr>
        <w:t>all of</w:t>
      </w:r>
      <w:proofErr w:type="gramEnd"/>
      <w:r>
        <w:rPr>
          <w:rFonts w:ascii="Avenir Next" w:hAnsi="Avenir Next" w:cs="Arial"/>
          <w:color w:val="808080" w:themeColor="background1" w:themeShade="80"/>
          <w:sz w:val="22"/>
          <w:szCs w:val="22"/>
          <w:lang w:val="en-GB" w:eastAsia="en-GB"/>
        </w:rPr>
        <w:t xml:space="preserve"> the assets and liabilities of the debtor are dealt with in the proceeding, subject to local priorities and exclusions relating to the rights of secured creditors. A proceeding should not be considered to fail the test of collectivity purely because a class of creditors’ rights is unaffected by it.</w:t>
      </w:r>
    </w:p>
    <w:p w14:paraId="503E67AC" w14:textId="77777777" w:rsidR="00042DFF" w:rsidRDefault="00042DFF" w:rsidP="00405F2B">
      <w:pPr>
        <w:jc w:val="both"/>
        <w:rPr>
          <w:rFonts w:ascii="Avenir Next" w:hAnsi="Avenir Next" w:cs="Arial"/>
          <w:color w:val="808080" w:themeColor="background1" w:themeShade="80"/>
          <w:sz w:val="22"/>
          <w:szCs w:val="22"/>
          <w:lang w:val="en-GB" w:eastAsia="en-GB"/>
        </w:rPr>
      </w:pPr>
    </w:p>
    <w:p w14:paraId="08B771DF" w14:textId="730B1776" w:rsidR="00042DFF" w:rsidRDefault="00042DFF" w:rsidP="00405F2B">
      <w:p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Thus, i</w:t>
      </w:r>
      <w:r w:rsidR="004C7869">
        <w:rPr>
          <w:rFonts w:ascii="Avenir Next" w:hAnsi="Avenir Next" w:cs="Arial"/>
          <w:color w:val="808080" w:themeColor="background1" w:themeShade="80"/>
          <w:sz w:val="22"/>
          <w:szCs w:val="22"/>
          <w:lang w:val="en-GB" w:eastAsia="en-GB"/>
        </w:rPr>
        <w:t xml:space="preserve">n </w:t>
      </w:r>
      <w:r w:rsidR="004C7869">
        <w:rPr>
          <w:rFonts w:ascii="Avenir Next" w:hAnsi="Avenir Next" w:cs="Arial"/>
          <w:i/>
          <w:iCs/>
          <w:color w:val="808080" w:themeColor="background1" w:themeShade="80"/>
          <w:sz w:val="22"/>
          <w:szCs w:val="22"/>
          <w:lang w:val="en-GB" w:eastAsia="en-GB"/>
        </w:rPr>
        <w:t>Agrokor</w:t>
      </w:r>
      <w:r w:rsidR="004C7869">
        <w:rPr>
          <w:rFonts w:ascii="Avenir Next" w:hAnsi="Avenir Next" w:cs="Arial"/>
          <w:color w:val="808080" w:themeColor="background1" w:themeShade="80"/>
          <w:sz w:val="22"/>
          <w:szCs w:val="22"/>
          <w:lang w:val="en-GB" w:eastAsia="en-GB"/>
        </w:rPr>
        <w:t>, the English court found</w:t>
      </w:r>
      <w:r w:rsidR="007B30C4">
        <w:rPr>
          <w:rFonts w:ascii="Avenir Next" w:hAnsi="Avenir Next" w:cs="Arial"/>
          <w:color w:val="808080" w:themeColor="background1" w:themeShade="80"/>
          <w:sz w:val="22"/>
          <w:szCs w:val="22"/>
          <w:lang w:val="en-GB" w:eastAsia="en-GB"/>
        </w:rPr>
        <w:t xml:space="preserve"> that</w:t>
      </w:r>
      <w:r w:rsidR="004C7869">
        <w:rPr>
          <w:rFonts w:ascii="Avenir Next" w:hAnsi="Avenir Next" w:cs="Arial"/>
          <w:color w:val="808080" w:themeColor="background1" w:themeShade="80"/>
          <w:sz w:val="22"/>
          <w:szCs w:val="22"/>
          <w:lang w:val="en-GB" w:eastAsia="en-GB"/>
        </w:rPr>
        <w:t xml:space="preserve"> the consolidated nature of </w:t>
      </w:r>
      <w:r w:rsidR="007B30C4">
        <w:rPr>
          <w:rFonts w:ascii="Avenir Next" w:hAnsi="Avenir Next" w:cs="Arial"/>
          <w:color w:val="808080" w:themeColor="background1" w:themeShade="80"/>
          <w:sz w:val="22"/>
          <w:szCs w:val="22"/>
          <w:lang w:val="en-GB" w:eastAsia="en-GB"/>
        </w:rPr>
        <w:t xml:space="preserve">the Extraordinary Administration Proceeding in Croatia, which Agrokor and 50 of its affiliates were subjected to, made the proceedings more collective than not collective enough. </w:t>
      </w:r>
      <w:r w:rsidR="0020407E">
        <w:rPr>
          <w:rFonts w:ascii="Avenir Next" w:hAnsi="Avenir Next" w:cs="Arial"/>
          <w:color w:val="808080" w:themeColor="background1" w:themeShade="80"/>
          <w:sz w:val="22"/>
          <w:szCs w:val="22"/>
          <w:lang w:val="en-GB" w:eastAsia="en-GB"/>
        </w:rPr>
        <w:t xml:space="preserve">The court further held that none of the </w:t>
      </w:r>
      <w:r w:rsidR="0020407E">
        <w:rPr>
          <w:rFonts w:ascii="Avenir Next" w:hAnsi="Avenir Next" w:cs="Arial"/>
          <w:color w:val="808080" w:themeColor="background1" w:themeShade="80"/>
          <w:sz w:val="22"/>
          <w:szCs w:val="22"/>
          <w:lang w:val="en-GB" w:eastAsia="en-GB"/>
        </w:rPr>
        <w:lastRenderedPageBreak/>
        <w:t xml:space="preserve">MLCBI materials state that it is impossible to recognise a single group proceeding, such as the Agrokor </w:t>
      </w:r>
      <w:r w:rsidR="00870AA1">
        <w:rPr>
          <w:rFonts w:ascii="Avenir Next" w:hAnsi="Avenir Next" w:cs="Arial"/>
          <w:color w:val="808080" w:themeColor="background1" w:themeShade="80"/>
          <w:sz w:val="22"/>
          <w:szCs w:val="22"/>
          <w:lang w:val="en-GB" w:eastAsia="en-GB"/>
        </w:rPr>
        <w:t>Extraordinary Administration Proceeding (</w:t>
      </w:r>
      <w:r w:rsidR="0020407E">
        <w:rPr>
          <w:rFonts w:ascii="Avenir Next" w:hAnsi="Avenir Next" w:cs="Arial"/>
          <w:color w:val="808080" w:themeColor="background1" w:themeShade="80"/>
          <w:sz w:val="22"/>
          <w:szCs w:val="22"/>
          <w:lang w:val="en-GB" w:eastAsia="en-GB"/>
        </w:rPr>
        <w:t>EAP</w:t>
      </w:r>
      <w:r w:rsidR="00870AA1">
        <w:rPr>
          <w:rFonts w:ascii="Avenir Next" w:hAnsi="Avenir Next" w:cs="Arial"/>
          <w:color w:val="808080" w:themeColor="background1" w:themeShade="80"/>
          <w:sz w:val="22"/>
          <w:szCs w:val="22"/>
          <w:lang w:val="en-GB" w:eastAsia="en-GB"/>
        </w:rPr>
        <w:t>)</w:t>
      </w:r>
      <w:r w:rsidR="0020407E">
        <w:rPr>
          <w:rFonts w:ascii="Avenir Next" w:hAnsi="Avenir Next" w:cs="Arial"/>
          <w:color w:val="808080" w:themeColor="background1" w:themeShade="80"/>
          <w:sz w:val="22"/>
          <w:szCs w:val="22"/>
          <w:lang w:val="en-GB" w:eastAsia="en-GB"/>
        </w:rPr>
        <w:t xml:space="preserve"> as a foreign proceeding in respect of a single debtor. </w:t>
      </w:r>
    </w:p>
    <w:p w14:paraId="6916C897" w14:textId="77777777" w:rsidR="00042DFF" w:rsidRDefault="00042DFF" w:rsidP="00405F2B">
      <w:pPr>
        <w:jc w:val="both"/>
        <w:rPr>
          <w:rFonts w:ascii="Avenir Next" w:hAnsi="Avenir Next" w:cs="Arial"/>
          <w:color w:val="808080" w:themeColor="background1" w:themeShade="80"/>
          <w:sz w:val="22"/>
          <w:szCs w:val="22"/>
          <w:lang w:val="en-GB" w:eastAsia="en-GB"/>
        </w:rPr>
      </w:pPr>
    </w:p>
    <w:p w14:paraId="2BEC585F" w14:textId="07AE63A0" w:rsidR="004C7869" w:rsidRDefault="0020407E" w:rsidP="00405F2B">
      <w:p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The Bank’s liquidation in this case can be likened to the EAP in </w:t>
      </w:r>
      <w:r w:rsidRPr="0020407E">
        <w:rPr>
          <w:rFonts w:ascii="Avenir Next" w:hAnsi="Avenir Next" w:cs="Arial"/>
          <w:i/>
          <w:iCs/>
          <w:color w:val="808080" w:themeColor="background1" w:themeShade="80"/>
          <w:sz w:val="22"/>
          <w:szCs w:val="22"/>
          <w:lang w:val="en-GB" w:eastAsia="en-GB"/>
        </w:rPr>
        <w:t>Agrokor</w:t>
      </w:r>
      <w:r>
        <w:rPr>
          <w:rFonts w:ascii="Avenir Next" w:hAnsi="Avenir Next" w:cs="Arial"/>
          <w:color w:val="808080" w:themeColor="background1" w:themeShade="80"/>
          <w:sz w:val="22"/>
          <w:szCs w:val="22"/>
          <w:lang w:val="en-GB" w:eastAsia="en-GB"/>
        </w:rPr>
        <w:t xml:space="preserve">. </w:t>
      </w:r>
      <w:r w:rsidR="00CA1DEE" w:rsidRPr="0020407E">
        <w:rPr>
          <w:rFonts w:ascii="Avenir Next" w:hAnsi="Avenir Next" w:cs="Arial"/>
          <w:color w:val="808080" w:themeColor="background1" w:themeShade="80"/>
          <w:sz w:val="22"/>
          <w:szCs w:val="22"/>
          <w:lang w:val="en-GB" w:eastAsia="en-GB"/>
        </w:rPr>
        <w:t>In</w:t>
      </w:r>
      <w:r w:rsidR="00CA1DEE">
        <w:rPr>
          <w:rFonts w:ascii="Avenir Next" w:hAnsi="Avenir Next" w:cs="Arial"/>
          <w:color w:val="808080" w:themeColor="background1" w:themeShade="80"/>
          <w:sz w:val="22"/>
          <w:szCs w:val="22"/>
          <w:lang w:val="en-GB" w:eastAsia="en-GB"/>
        </w:rPr>
        <w:t xml:space="preserve"> a similar vein, the Bank’s liquidation is also of a consolidated nature which would </w:t>
      </w:r>
      <w:r>
        <w:rPr>
          <w:rFonts w:ascii="Avenir Next" w:hAnsi="Avenir Next" w:cs="Arial"/>
          <w:color w:val="808080" w:themeColor="background1" w:themeShade="80"/>
          <w:sz w:val="22"/>
          <w:szCs w:val="22"/>
          <w:lang w:val="en-GB" w:eastAsia="en-GB"/>
        </w:rPr>
        <w:t>render</w:t>
      </w:r>
      <w:r w:rsidR="00CA1DEE">
        <w:rPr>
          <w:rFonts w:ascii="Avenir Next" w:hAnsi="Avenir Next" w:cs="Arial"/>
          <w:color w:val="808080" w:themeColor="background1" w:themeShade="80"/>
          <w:sz w:val="22"/>
          <w:szCs w:val="22"/>
          <w:lang w:val="en-GB" w:eastAsia="en-GB"/>
        </w:rPr>
        <w:t xml:space="preserve"> it a collective proceeding. </w:t>
      </w:r>
      <w:r w:rsidR="00042DFF">
        <w:rPr>
          <w:rFonts w:ascii="Avenir Next" w:hAnsi="Avenir Next" w:cs="Arial"/>
          <w:color w:val="808080" w:themeColor="background1" w:themeShade="80"/>
          <w:sz w:val="22"/>
          <w:szCs w:val="22"/>
          <w:lang w:val="en-GB" w:eastAsia="en-GB"/>
        </w:rPr>
        <w:t xml:space="preserve">I would also highlight that the Bank’s liquidation is clearly intended to achieve a coordinated, global solution for all stakeholders. </w:t>
      </w:r>
      <w:r w:rsidR="00F02D8F">
        <w:rPr>
          <w:rFonts w:ascii="Avenir Next" w:hAnsi="Avenir Next" w:cs="Arial"/>
          <w:color w:val="808080" w:themeColor="background1" w:themeShade="80"/>
          <w:sz w:val="22"/>
          <w:szCs w:val="22"/>
          <w:lang w:val="en-GB" w:eastAsia="en-GB"/>
        </w:rPr>
        <w:t xml:space="preserve">Under the LBBA, the DGF as liquidator has extensive powers, including the power </w:t>
      </w:r>
      <w:r w:rsidR="00F02D8F" w:rsidRPr="00F02D8F">
        <w:rPr>
          <w:rFonts w:ascii="Avenir Next" w:hAnsi="Avenir Next" w:cs="Arial"/>
          <w:color w:val="808080" w:themeColor="background1" w:themeShade="80"/>
          <w:sz w:val="22"/>
          <w:szCs w:val="22"/>
          <w:lang w:val="en-GB" w:eastAsia="en-GB"/>
        </w:rPr>
        <w:t>to compile a register of creditor claims and to seek to satisfy those claims</w:t>
      </w:r>
      <w:r w:rsidR="00F02D8F">
        <w:rPr>
          <w:rFonts w:ascii="Avenir Next" w:hAnsi="Avenir Next" w:cs="Arial"/>
          <w:color w:val="808080" w:themeColor="background1" w:themeShade="80"/>
          <w:sz w:val="22"/>
          <w:szCs w:val="22"/>
          <w:lang w:val="en-GB" w:eastAsia="en-GB"/>
        </w:rPr>
        <w:t xml:space="preserve">. </w:t>
      </w:r>
      <w:r w:rsidR="004247A0">
        <w:rPr>
          <w:rFonts w:ascii="Avenir Next" w:hAnsi="Avenir Next" w:cs="Arial"/>
          <w:color w:val="808080" w:themeColor="background1" w:themeShade="80"/>
          <w:sz w:val="22"/>
          <w:szCs w:val="22"/>
          <w:lang w:val="en-GB" w:eastAsia="en-GB"/>
        </w:rPr>
        <w:t xml:space="preserve">It is evident that </w:t>
      </w:r>
      <w:proofErr w:type="gramStart"/>
      <w:r w:rsidR="004247A0">
        <w:rPr>
          <w:rFonts w:ascii="Avenir Next" w:hAnsi="Avenir Next" w:cs="Arial"/>
          <w:i/>
          <w:iCs/>
          <w:color w:val="808080" w:themeColor="background1" w:themeShade="80"/>
          <w:sz w:val="22"/>
          <w:szCs w:val="22"/>
          <w:lang w:val="en-GB" w:eastAsia="en-GB"/>
        </w:rPr>
        <w:t xml:space="preserve">all </w:t>
      </w:r>
      <w:r w:rsidR="004247A0">
        <w:rPr>
          <w:rFonts w:ascii="Avenir Next" w:hAnsi="Avenir Next" w:cs="Arial"/>
          <w:color w:val="808080" w:themeColor="background1" w:themeShade="80"/>
          <w:sz w:val="22"/>
          <w:szCs w:val="22"/>
          <w:lang w:val="en-GB" w:eastAsia="en-GB"/>
        </w:rPr>
        <w:t>of</w:t>
      </w:r>
      <w:proofErr w:type="gramEnd"/>
      <w:r w:rsidR="004247A0">
        <w:rPr>
          <w:rFonts w:ascii="Avenir Next" w:hAnsi="Avenir Next" w:cs="Arial"/>
          <w:color w:val="808080" w:themeColor="background1" w:themeShade="80"/>
          <w:sz w:val="22"/>
          <w:szCs w:val="22"/>
          <w:lang w:val="en-GB" w:eastAsia="en-GB"/>
        </w:rPr>
        <w:t xml:space="preserve"> the Bank’s creditors are entitled to claim in the liquidation. </w:t>
      </w:r>
      <w:r w:rsidR="00F02D8F">
        <w:rPr>
          <w:rFonts w:ascii="Avenir Next" w:hAnsi="Avenir Next" w:cs="Arial"/>
          <w:color w:val="808080" w:themeColor="background1" w:themeShade="80"/>
          <w:sz w:val="22"/>
          <w:szCs w:val="22"/>
          <w:lang w:val="en-GB" w:eastAsia="en-GB"/>
        </w:rPr>
        <w:t>Indeed, t</w:t>
      </w:r>
      <w:r w:rsidR="00CA1DEE">
        <w:rPr>
          <w:rFonts w:ascii="Avenir Next" w:hAnsi="Avenir Next" w:cs="Arial"/>
          <w:color w:val="808080" w:themeColor="background1" w:themeShade="80"/>
          <w:sz w:val="22"/>
          <w:szCs w:val="22"/>
          <w:lang w:val="en-GB" w:eastAsia="en-GB"/>
        </w:rPr>
        <w:t xml:space="preserve">he consolidated nature of the proceedings is clear from how the DGF has </w:t>
      </w:r>
      <w:r w:rsidR="00CA1DEE" w:rsidRPr="00CA1DEE">
        <w:rPr>
          <w:rFonts w:ascii="Avenir Next" w:hAnsi="Avenir Next" w:cs="Arial"/>
          <w:color w:val="808080" w:themeColor="background1" w:themeShade="80"/>
          <w:sz w:val="22"/>
          <w:szCs w:val="22"/>
          <w:lang w:val="en-GB" w:eastAsia="en-GB"/>
        </w:rPr>
        <w:t>resolved to approve an amended list of creditors’ claims totalling approximately USD 1.113 billion</w:t>
      </w:r>
      <w:r w:rsidR="00CA1DEE">
        <w:rPr>
          <w:rFonts w:ascii="Avenir Next" w:hAnsi="Avenir Next" w:cs="Arial"/>
          <w:color w:val="808080" w:themeColor="background1" w:themeShade="80"/>
          <w:sz w:val="22"/>
          <w:szCs w:val="22"/>
          <w:lang w:val="en-GB" w:eastAsia="en-GB"/>
        </w:rPr>
        <w:t>.</w:t>
      </w:r>
    </w:p>
    <w:p w14:paraId="4CFF22C3" w14:textId="679401A3" w:rsidR="00BA5A2E" w:rsidRDefault="00BA5A2E" w:rsidP="00405F2B">
      <w:pPr>
        <w:jc w:val="both"/>
        <w:rPr>
          <w:rFonts w:ascii="Avenir Next" w:hAnsi="Avenir Next" w:cs="Arial"/>
          <w:b/>
          <w:bCs/>
          <w:color w:val="808080" w:themeColor="background1" w:themeShade="80"/>
          <w:sz w:val="22"/>
          <w:szCs w:val="22"/>
          <w:lang w:val="en-GB" w:eastAsia="en-GB"/>
        </w:rPr>
      </w:pPr>
    </w:p>
    <w:p w14:paraId="340FBBCF" w14:textId="58A92E45" w:rsidR="005C5B8F" w:rsidRPr="00BA5A2E" w:rsidRDefault="005C5B8F" w:rsidP="005C5B8F">
      <w:pPr>
        <w:pStyle w:val="ListParagraph"/>
        <w:numPr>
          <w:ilvl w:val="0"/>
          <w:numId w:val="21"/>
        </w:numPr>
        <w:jc w:val="both"/>
        <w:rPr>
          <w:rFonts w:ascii="Avenir Next" w:hAnsi="Avenir Next" w:cs="Arial"/>
          <w:b/>
          <w:bCs/>
          <w:color w:val="808080" w:themeColor="background1" w:themeShade="80"/>
          <w:sz w:val="22"/>
          <w:szCs w:val="22"/>
          <w:lang w:val="en-GB" w:eastAsia="en-GB"/>
        </w:rPr>
      </w:pPr>
      <w:proofErr w:type="gramStart"/>
      <w:r>
        <w:rPr>
          <w:rFonts w:ascii="Avenir Next" w:hAnsi="Avenir Next" w:cs="Arial"/>
          <w:b/>
          <w:bCs/>
          <w:color w:val="808080" w:themeColor="background1" w:themeShade="80"/>
          <w:sz w:val="22"/>
          <w:szCs w:val="22"/>
          <w:lang w:val="en-GB" w:eastAsia="en-GB"/>
        </w:rPr>
        <w:t>For the purpose of</w:t>
      </w:r>
      <w:proofErr w:type="gramEnd"/>
      <w:r>
        <w:rPr>
          <w:rFonts w:ascii="Avenir Next" w:hAnsi="Avenir Next" w:cs="Arial"/>
          <w:b/>
          <w:bCs/>
          <w:color w:val="808080" w:themeColor="background1" w:themeShade="80"/>
          <w:sz w:val="22"/>
          <w:szCs w:val="22"/>
          <w:lang w:val="en-GB" w:eastAsia="en-GB"/>
        </w:rPr>
        <w:t xml:space="preserve"> liquidation</w:t>
      </w:r>
    </w:p>
    <w:p w14:paraId="31A19245" w14:textId="1E7526E7" w:rsidR="00105FE8" w:rsidRDefault="00105FE8" w:rsidP="00405F2B">
      <w:pPr>
        <w:jc w:val="both"/>
        <w:rPr>
          <w:rFonts w:ascii="Avenir Next" w:hAnsi="Avenir Next" w:cs="Arial"/>
          <w:color w:val="808080" w:themeColor="background1" w:themeShade="80"/>
          <w:sz w:val="22"/>
          <w:szCs w:val="22"/>
          <w:lang w:val="en-GB" w:eastAsia="en-GB"/>
        </w:rPr>
      </w:pPr>
    </w:p>
    <w:p w14:paraId="0F622A7D" w14:textId="6738CC4C" w:rsidR="00105FE8" w:rsidRDefault="00105FE8" w:rsidP="00405F2B">
      <w:p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Fifth, </w:t>
      </w:r>
      <w:r w:rsidR="005A2A04">
        <w:rPr>
          <w:rFonts w:ascii="Avenir Next" w:hAnsi="Avenir Next" w:cs="Arial"/>
          <w:color w:val="808080" w:themeColor="background1" w:themeShade="80"/>
          <w:sz w:val="22"/>
          <w:szCs w:val="22"/>
          <w:lang w:val="en-GB" w:eastAsia="en-GB"/>
        </w:rPr>
        <w:t xml:space="preserve">the Bank’s liquidation is clearly for the purpose of liquidation. The liquidation procedure under Article 77 of the LBBA was initiated by DGF on 18 December 2015. Following that, </w:t>
      </w:r>
      <w:r w:rsidR="005A2A04" w:rsidRPr="005A2A04">
        <w:rPr>
          <w:rFonts w:ascii="Avenir Next" w:hAnsi="Avenir Next" w:cs="Arial"/>
          <w:color w:val="808080" w:themeColor="background1" w:themeShade="80"/>
          <w:sz w:val="22"/>
          <w:szCs w:val="22"/>
          <w:lang w:val="en-GB" w:eastAsia="en-GB"/>
        </w:rPr>
        <w:t xml:space="preserve">all powers of the Bank’s management and control bodies and the Bank’s banking activities have been terminated, all money liabilities due to the bank are deemed to become due, and, among other things, the DGF has alienated the bank’s property and funds. Public encumbrances and restrictions on disposal of bank property are terminated and offsetting of </w:t>
      </w:r>
      <w:proofErr w:type="gramStart"/>
      <w:r w:rsidR="005A2A04" w:rsidRPr="005A2A04">
        <w:rPr>
          <w:rFonts w:ascii="Avenir Next" w:hAnsi="Avenir Next" w:cs="Arial"/>
          <w:color w:val="808080" w:themeColor="background1" w:themeShade="80"/>
          <w:sz w:val="22"/>
          <w:szCs w:val="22"/>
          <w:lang w:val="en-GB" w:eastAsia="en-GB"/>
        </w:rPr>
        <w:t>counter-claims</w:t>
      </w:r>
      <w:proofErr w:type="gramEnd"/>
      <w:r w:rsidR="005A2A04" w:rsidRPr="005A2A04">
        <w:rPr>
          <w:rFonts w:ascii="Avenir Next" w:hAnsi="Avenir Next" w:cs="Arial"/>
          <w:color w:val="808080" w:themeColor="background1" w:themeShade="80"/>
          <w:sz w:val="22"/>
          <w:szCs w:val="22"/>
          <w:lang w:val="en-GB" w:eastAsia="en-GB"/>
        </w:rPr>
        <w:t xml:space="preserve"> are also prohibited. The DGF as liquidator and Ms G as the DGF’s authorised person under Article 48(3) of the DGF Law also have extensive powers, including the power to investigate the bank’s history and bring claims against parties believed to have caused its downfall.</w:t>
      </w:r>
      <w:r w:rsidR="005A2A04">
        <w:rPr>
          <w:rFonts w:ascii="Avenir Next" w:hAnsi="Avenir Next" w:cs="Arial"/>
          <w:color w:val="808080" w:themeColor="background1" w:themeShade="80"/>
          <w:sz w:val="22"/>
          <w:szCs w:val="22"/>
          <w:lang w:val="en-GB" w:eastAsia="en-GB"/>
        </w:rPr>
        <w:t xml:space="preserve"> Based on </w:t>
      </w:r>
      <w:r w:rsidR="00F17243">
        <w:rPr>
          <w:rFonts w:ascii="Avenir Next" w:hAnsi="Avenir Next" w:cs="Arial"/>
          <w:color w:val="808080" w:themeColor="background1" w:themeShade="80"/>
          <w:sz w:val="22"/>
          <w:szCs w:val="22"/>
          <w:lang w:val="en-GB" w:eastAsia="en-GB"/>
        </w:rPr>
        <w:t>all</w:t>
      </w:r>
      <w:r w:rsidR="005A2A04">
        <w:rPr>
          <w:rFonts w:ascii="Avenir Next" w:hAnsi="Avenir Next" w:cs="Arial"/>
          <w:color w:val="808080" w:themeColor="background1" w:themeShade="80"/>
          <w:sz w:val="22"/>
          <w:szCs w:val="22"/>
          <w:lang w:val="en-GB" w:eastAsia="en-GB"/>
        </w:rPr>
        <w:t xml:space="preserve"> the </w:t>
      </w:r>
      <w:r w:rsidR="005A2A04" w:rsidRPr="005C5B8F">
        <w:rPr>
          <w:rFonts w:ascii="Avenir Next" w:hAnsi="Avenir Next" w:cs="Arial"/>
          <w:i/>
          <w:iCs/>
          <w:color w:val="808080" w:themeColor="background1" w:themeShade="80"/>
          <w:sz w:val="22"/>
          <w:szCs w:val="22"/>
          <w:lang w:val="en-GB" w:eastAsia="en-GB"/>
        </w:rPr>
        <w:t>effects</w:t>
      </w:r>
      <w:r w:rsidR="005A2A04">
        <w:rPr>
          <w:rFonts w:ascii="Avenir Next" w:hAnsi="Avenir Next" w:cs="Arial"/>
          <w:color w:val="808080" w:themeColor="background1" w:themeShade="80"/>
          <w:sz w:val="22"/>
          <w:szCs w:val="22"/>
          <w:lang w:val="en-GB" w:eastAsia="en-GB"/>
        </w:rPr>
        <w:t xml:space="preserve"> of the liquidation procedure, </w:t>
      </w:r>
      <w:proofErr w:type="gramStart"/>
      <w:r w:rsidR="005A2A04">
        <w:rPr>
          <w:rFonts w:ascii="Avenir Next" w:hAnsi="Avenir Next" w:cs="Arial"/>
          <w:color w:val="808080" w:themeColor="background1" w:themeShade="80"/>
          <w:sz w:val="22"/>
          <w:szCs w:val="22"/>
          <w:lang w:val="en-GB" w:eastAsia="en-GB"/>
        </w:rPr>
        <w:t>it is clear that the</w:t>
      </w:r>
      <w:proofErr w:type="gramEnd"/>
      <w:r w:rsidR="005A2A04">
        <w:rPr>
          <w:rFonts w:ascii="Avenir Next" w:hAnsi="Avenir Next" w:cs="Arial"/>
          <w:color w:val="808080" w:themeColor="background1" w:themeShade="80"/>
          <w:sz w:val="22"/>
          <w:szCs w:val="22"/>
          <w:lang w:val="en-GB" w:eastAsia="en-GB"/>
        </w:rPr>
        <w:t xml:space="preserve"> Bank’s liquidation is for the purpose of liquidating the Bank.</w:t>
      </w:r>
    </w:p>
    <w:p w14:paraId="194440EB" w14:textId="6A7B26B9" w:rsidR="005A2A04" w:rsidRDefault="005A2A04" w:rsidP="00405F2B">
      <w:pPr>
        <w:jc w:val="both"/>
        <w:rPr>
          <w:rFonts w:ascii="Avenir Next" w:hAnsi="Avenir Next" w:cs="Arial"/>
          <w:color w:val="808080" w:themeColor="background1" w:themeShade="80"/>
          <w:sz w:val="22"/>
          <w:szCs w:val="22"/>
          <w:lang w:val="en-GB" w:eastAsia="en-GB"/>
        </w:rPr>
      </w:pPr>
    </w:p>
    <w:p w14:paraId="5EAF3FE8" w14:textId="4C3A682C" w:rsidR="00405F2B" w:rsidRPr="00405F2B" w:rsidRDefault="005A2A04" w:rsidP="005A2A04">
      <w:pPr>
        <w:jc w:val="both"/>
        <w:rPr>
          <w:rFonts w:ascii="Avenir Next" w:hAnsi="Avenir Next" w:cs="Arial"/>
          <w:bCs/>
          <w:color w:val="808080" w:themeColor="background1" w:themeShade="80"/>
          <w:sz w:val="22"/>
          <w:szCs w:val="22"/>
          <w:lang w:val="en-GB"/>
        </w:rPr>
      </w:pPr>
      <w:r>
        <w:rPr>
          <w:rFonts w:ascii="Avenir Next" w:hAnsi="Avenir Next" w:cs="Arial"/>
          <w:color w:val="808080" w:themeColor="background1" w:themeShade="80"/>
          <w:sz w:val="22"/>
          <w:szCs w:val="22"/>
          <w:lang w:val="en-GB" w:eastAsia="en-GB"/>
        </w:rPr>
        <w:t>Therefore, the Bank’s liquidation comprises a “foreign proceeding” within the meaning of Article 1(2) of the MLCBI.</w:t>
      </w:r>
    </w:p>
    <w:p w14:paraId="283B3D14" w14:textId="77777777" w:rsidR="00405F2B" w:rsidRPr="00405F2B" w:rsidRDefault="00405F2B" w:rsidP="00405F2B">
      <w:pPr>
        <w:jc w:val="both"/>
        <w:rPr>
          <w:rFonts w:ascii="Avenir Next" w:hAnsi="Avenir Next" w:cs="Arial"/>
          <w:b/>
          <w:color w:val="808080" w:themeColor="background1" w:themeShade="80"/>
          <w:sz w:val="22"/>
          <w:szCs w:val="22"/>
          <w:u w:val="single"/>
          <w:lang w:val="en-GB"/>
        </w:rPr>
      </w:pPr>
    </w:p>
    <w:p w14:paraId="6EA7C88F" w14:textId="77BB42A9" w:rsidR="00405F2B" w:rsidRDefault="00405F2B">
      <w:pPr>
        <w:pStyle w:val="ListParagraph"/>
        <w:numPr>
          <w:ilvl w:val="0"/>
          <w:numId w:val="18"/>
        </w:numPr>
        <w:jc w:val="both"/>
        <w:rPr>
          <w:rFonts w:ascii="Avenir Next" w:hAnsi="Avenir Next" w:cs="Arial"/>
          <w:b/>
          <w:color w:val="808080" w:themeColor="background1" w:themeShade="80"/>
          <w:sz w:val="22"/>
          <w:szCs w:val="22"/>
          <w:u w:val="single"/>
          <w:lang w:val="en-GB"/>
        </w:rPr>
      </w:pPr>
      <w:r w:rsidRPr="00405F2B">
        <w:rPr>
          <w:rFonts w:ascii="Avenir Next" w:hAnsi="Avenir Next" w:cs="Arial"/>
          <w:b/>
          <w:color w:val="808080" w:themeColor="background1" w:themeShade="80"/>
          <w:sz w:val="22"/>
          <w:szCs w:val="22"/>
          <w:u w:val="single"/>
          <w:lang w:val="en-GB" w:eastAsia="en-GB"/>
        </w:rPr>
        <w:t>Whether the Applicants fall within the description of “foreign representatives” as defined by article 2(d) of the MLCBI</w:t>
      </w:r>
    </w:p>
    <w:p w14:paraId="65F95610" w14:textId="40DDBDB7" w:rsidR="005A2A04" w:rsidRDefault="005A2A04" w:rsidP="005A2A04">
      <w:pPr>
        <w:jc w:val="both"/>
        <w:rPr>
          <w:rFonts w:ascii="Avenir Next" w:hAnsi="Avenir Next" w:cs="Arial"/>
          <w:b/>
          <w:color w:val="808080" w:themeColor="background1" w:themeShade="80"/>
          <w:sz w:val="22"/>
          <w:szCs w:val="22"/>
          <w:u w:val="single"/>
          <w:lang w:val="en-GB"/>
        </w:rPr>
      </w:pPr>
    </w:p>
    <w:p w14:paraId="15C3F624" w14:textId="750E1708" w:rsidR="005A2A04" w:rsidRDefault="005A2A04" w:rsidP="005A2A0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The definition of a “foreign representative” comprises the following elements:</w:t>
      </w:r>
    </w:p>
    <w:p w14:paraId="38967D07" w14:textId="07763535" w:rsidR="005A2A04" w:rsidRDefault="005A2A04" w:rsidP="005A2A04">
      <w:pPr>
        <w:pStyle w:val="ListParagraph"/>
        <w:numPr>
          <w:ilvl w:val="0"/>
          <w:numId w:val="16"/>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A person or body, including one appointed on an interim </w:t>
      </w:r>
      <w:proofErr w:type="gramStart"/>
      <w:r>
        <w:rPr>
          <w:rFonts w:ascii="Avenir Next" w:hAnsi="Avenir Next" w:cs="Arial"/>
          <w:bCs/>
          <w:color w:val="808080" w:themeColor="background1" w:themeShade="80"/>
          <w:sz w:val="22"/>
          <w:szCs w:val="22"/>
          <w:lang w:val="en-GB"/>
        </w:rPr>
        <w:t>basis;</w:t>
      </w:r>
      <w:proofErr w:type="gramEnd"/>
    </w:p>
    <w:p w14:paraId="5CE3EE1F" w14:textId="1EE67F0C" w:rsidR="005A2A04" w:rsidRDefault="005A2A04" w:rsidP="005A2A04">
      <w:pPr>
        <w:pStyle w:val="ListParagraph"/>
        <w:numPr>
          <w:ilvl w:val="0"/>
          <w:numId w:val="16"/>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Authorised in a foreign </w:t>
      </w:r>
      <w:proofErr w:type="gramStart"/>
      <w:r>
        <w:rPr>
          <w:rFonts w:ascii="Avenir Next" w:hAnsi="Avenir Next" w:cs="Arial"/>
          <w:bCs/>
          <w:color w:val="808080" w:themeColor="background1" w:themeShade="80"/>
          <w:sz w:val="22"/>
          <w:szCs w:val="22"/>
          <w:lang w:val="en-GB"/>
        </w:rPr>
        <w:t>proceeding;</w:t>
      </w:r>
      <w:proofErr w:type="gramEnd"/>
    </w:p>
    <w:p w14:paraId="0BA4C010" w14:textId="22B77531" w:rsidR="005A2A04" w:rsidRDefault="005A2A04" w:rsidP="005A2A04">
      <w:pPr>
        <w:pStyle w:val="ListParagraph"/>
        <w:numPr>
          <w:ilvl w:val="0"/>
          <w:numId w:val="16"/>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To administer the reorganisation or liquidation of the debtor’s assets or affairs or to act as representative of the foreign proceeding.</w:t>
      </w:r>
    </w:p>
    <w:p w14:paraId="0F4E12E0" w14:textId="77777777" w:rsidR="009820EA" w:rsidRDefault="009820EA" w:rsidP="009D4A45">
      <w:pPr>
        <w:jc w:val="both"/>
        <w:rPr>
          <w:rFonts w:ascii="Avenir Next" w:hAnsi="Avenir Next" w:cs="Arial"/>
          <w:bCs/>
          <w:color w:val="808080" w:themeColor="background1" w:themeShade="80"/>
          <w:sz w:val="22"/>
          <w:szCs w:val="22"/>
          <w:lang w:val="en-GB"/>
        </w:rPr>
      </w:pPr>
    </w:p>
    <w:p w14:paraId="7317B02A" w14:textId="0909DF37" w:rsidR="009D4A45" w:rsidRDefault="009D4A45" w:rsidP="009D4A45">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The Applicants, namely DGF and Ms G as DGF’s authorised representative, fall within the description of “foreign representatives” as defined by Article 2(d) of the MLCBI</w:t>
      </w:r>
      <w:r w:rsidR="00F51556">
        <w:rPr>
          <w:rFonts w:ascii="Avenir Next" w:hAnsi="Avenir Next" w:cs="Arial"/>
          <w:bCs/>
          <w:color w:val="808080" w:themeColor="background1" w:themeShade="80"/>
          <w:sz w:val="22"/>
          <w:szCs w:val="22"/>
          <w:lang w:val="en-GB"/>
        </w:rPr>
        <w:t xml:space="preserve"> / Article 2(j) of Schedule 1 of the CBIR</w:t>
      </w:r>
      <w:r>
        <w:rPr>
          <w:rFonts w:ascii="Avenir Next" w:hAnsi="Avenir Next" w:cs="Arial"/>
          <w:bCs/>
          <w:color w:val="808080" w:themeColor="background1" w:themeShade="80"/>
          <w:sz w:val="22"/>
          <w:szCs w:val="22"/>
          <w:lang w:val="en-GB"/>
        </w:rPr>
        <w:t xml:space="preserve">. </w:t>
      </w:r>
    </w:p>
    <w:p w14:paraId="03C06D59" w14:textId="082F9CAB" w:rsidR="009D4A45" w:rsidRDefault="009D4A45" w:rsidP="009D4A45">
      <w:pPr>
        <w:jc w:val="both"/>
        <w:rPr>
          <w:rFonts w:ascii="Avenir Next" w:hAnsi="Avenir Next" w:cs="Arial"/>
          <w:bCs/>
          <w:color w:val="808080" w:themeColor="background1" w:themeShade="80"/>
          <w:sz w:val="22"/>
          <w:szCs w:val="22"/>
          <w:lang w:val="en-GB"/>
        </w:rPr>
      </w:pPr>
    </w:p>
    <w:p w14:paraId="2599FB7A" w14:textId="2F413BC7" w:rsidR="009D4A45" w:rsidRDefault="009D4A45" w:rsidP="009D4A45">
      <w:pPr>
        <w:jc w:val="both"/>
        <w:rPr>
          <w:rFonts w:ascii="Avenir Next" w:hAnsi="Avenir Next" w:cs="Arial"/>
          <w:color w:val="808080" w:themeColor="background1" w:themeShade="80"/>
          <w:sz w:val="22"/>
          <w:szCs w:val="22"/>
          <w:lang w:val="en-GB" w:eastAsia="en-GB"/>
        </w:rPr>
      </w:pPr>
      <w:r>
        <w:rPr>
          <w:rFonts w:ascii="Avenir Next" w:hAnsi="Avenir Next" w:cs="Arial"/>
          <w:bCs/>
          <w:color w:val="808080" w:themeColor="background1" w:themeShade="80"/>
          <w:sz w:val="22"/>
          <w:szCs w:val="22"/>
          <w:lang w:val="en-GB"/>
        </w:rPr>
        <w:t xml:space="preserve">First, DGF automatically became the Bank’s liquidator under Article 77 of the LBBA upon NB’s decision to revoke the Bank’s licence on 17 December 2015. In this way, DGF is clearly authorised to act as the Bank’s liquidator under the law of Country A, thereby satisfying the first two elements. It is also evident that DGF’s appointment as liquidator is to administer the liquidation of the Bank’s assets and affairs. </w:t>
      </w:r>
      <w:r w:rsidRPr="009D4A45">
        <w:rPr>
          <w:rFonts w:ascii="Avenir Next" w:hAnsi="Avenir Next" w:cs="Arial"/>
          <w:bCs/>
          <w:color w:val="808080" w:themeColor="background1" w:themeShade="80"/>
          <w:sz w:val="22"/>
          <w:szCs w:val="22"/>
          <w:lang w:val="en-GB"/>
        </w:rPr>
        <w:t xml:space="preserve">As liquidator, the DGF has extensive powers, including </w:t>
      </w:r>
      <w:r>
        <w:rPr>
          <w:rFonts w:ascii="Avenir Next" w:hAnsi="Avenir Next" w:cs="Arial"/>
          <w:bCs/>
          <w:color w:val="808080" w:themeColor="background1" w:themeShade="80"/>
          <w:sz w:val="22"/>
          <w:szCs w:val="22"/>
          <w:lang w:val="en-GB"/>
        </w:rPr>
        <w:t xml:space="preserve">broad managerial and investigative powers, alongside the power to </w:t>
      </w:r>
      <w:r w:rsidRPr="009D4A45">
        <w:rPr>
          <w:rFonts w:ascii="Avenir Next" w:hAnsi="Avenir Next" w:cs="Arial"/>
          <w:bCs/>
          <w:color w:val="808080" w:themeColor="background1" w:themeShade="80"/>
          <w:sz w:val="22"/>
          <w:szCs w:val="22"/>
          <w:lang w:val="en-GB"/>
        </w:rPr>
        <w:t xml:space="preserve">bring claims against parties believed to have caused </w:t>
      </w:r>
      <w:r>
        <w:rPr>
          <w:rFonts w:ascii="Avenir Next" w:hAnsi="Avenir Next" w:cs="Arial"/>
          <w:bCs/>
          <w:color w:val="808080" w:themeColor="background1" w:themeShade="80"/>
          <w:sz w:val="22"/>
          <w:szCs w:val="22"/>
          <w:lang w:val="en-GB"/>
        </w:rPr>
        <w:t>the Bank’s</w:t>
      </w:r>
      <w:r w:rsidRPr="009D4A45">
        <w:rPr>
          <w:rFonts w:ascii="Avenir Next" w:hAnsi="Avenir Next" w:cs="Arial"/>
          <w:bCs/>
          <w:color w:val="808080" w:themeColor="background1" w:themeShade="80"/>
          <w:sz w:val="22"/>
          <w:szCs w:val="22"/>
          <w:lang w:val="en-GB"/>
        </w:rPr>
        <w:t xml:space="preserve"> downfall</w:t>
      </w:r>
      <w:r>
        <w:rPr>
          <w:rFonts w:ascii="Avenir Next" w:hAnsi="Avenir Next" w:cs="Arial"/>
          <w:bCs/>
          <w:color w:val="808080" w:themeColor="background1" w:themeShade="80"/>
          <w:sz w:val="22"/>
          <w:szCs w:val="22"/>
          <w:lang w:val="en-GB"/>
        </w:rPr>
        <w:t xml:space="preserve">. Article 37 of the DGF Law also establishes that DGF and its authorised person, </w:t>
      </w:r>
      <w:proofErr w:type="gramStart"/>
      <w:r w:rsidRPr="009D4A45">
        <w:rPr>
          <w:rFonts w:ascii="Avenir Next" w:hAnsi="Avenir Next" w:cs="Arial"/>
          <w:bCs/>
          <w:i/>
          <w:iCs/>
          <w:color w:val="808080" w:themeColor="background1" w:themeShade="80"/>
          <w:sz w:val="22"/>
          <w:szCs w:val="22"/>
          <w:lang w:val="en-GB"/>
        </w:rPr>
        <w:t>ie</w:t>
      </w:r>
      <w:proofErr w:type="gramEnd"/>
      <w:r>
        <w:rPr>
          <w:rFonts w:ascii="Avenir Next" w:hAnsi="Avenir Next" w:cs="Arial"/>
          <w:bCs/>
          <w:color w:val="808080" w:themeColor="background1" w:themeShade="80"/>
          <w:sz w:val="22"/>
          <w:szCs w:val="22"/>
          <w:lang w:val="en-GB"/>
        </w:rPr>
        <w:t xml:space="preserve"> Ms G, have the </w:t>
      </w:r>
      <w:r w:rsidRPr="009D4A45">
        <w:rPr>
          <w:rFonts w:ascii="Avenir Next" w:hAnsi="Avenir Next" w:cs="Arial"/>
          <w:bCs/>
          <w:color w:val="808080" w:themeColor="background1" w:themeShade="80"/>
          <w:sz w:val="22"/>
          <w:szCs w:val="22"/>
          <w:lang w:val="en-GB"/>
        </w:rPr>
        <w:t xml:space="preserve">power </w:t>
      </w:r>
      <w:r w:rsidRPr="009D4A45">
        <w:rPr>
          <w:rFonts w:ascii="Avenir Next" w:hAnsi="Avenir Next" w:cs="Arial"/>
          <w:color w:val="808080" w:themeColor="background1" w:themeShade="80"/>
          <w:sz w:val="22"/>
          <w:szCs w:val="22"/>
          <w:lang w:val="en-GB" w:eastAsia="en-GB"/>
        </w:rPr>
        <w:t>to enter into contracts, to restrict or terminate the bank’s transactions, and to file property and non-property claims with a court.</w:t>
      </w:r>
      <w:r>
        <w:rPr>
          <w:rFonts w:ascii="Avenir Next" w:hAnsi="Avenir Next" w:cs="Arial"/>
          <w:color w:val="808080" w:themeColor="background1" w:themeShade="80"/>
          <w:sz w:val="22"/>
          <w:szCs w:val="22"/>
          <w:lang w:val="en-GB" w:eastAsia="en-GB"/>
        </w:rPr>
        <w:t xml:space="preserve"> That DGF was appointed to administer the liquidation of the Bank’s assets and affairs is also patent from the actions it took following NB’s revocation of the Bank’s </w:t>
      </w:r>
      <w:r>
        <w:rPr>
          <w:rFonts w:ascii="Avenir Next" w:hAnsi="Avenir Next" w:cs="Arial"/>
          <w:color w:val="808080" w:themeColor="background1" w:themeShade="80"/>
          <w:sz w:val="22"/>
          <w:szCs w:val="22"/>
          <w:lang w:val="en-GB" w:eastAsia="en-GB"/>
        </w:rPr>
        <w:lastRenderedPageBreak/>
        <w:t xml:space="preserve">licence on 17 December 2015. While DGF did appoint Ms G as its authorised person and delegate </w:t>
      </w:r>
      <w:r w:rsidR="00661AF2">
        <w:rPr>
          <w:rFonts w:ascii="Avenir Next" w:hAnsi="Avenir Next" w:cs="Arial"/>
          <w:color w:val="808080" w:themeColor="background1" w:themeShade="80"/>
          <w:sz w:val="22"/>
          <w:szCs w:val="22"/>
          <w:lang w:val="en-GB" w:eastAsia="en-GB"/>
        </w:rPr>
        <w:t xml:space="preserve">some of </w:t>
      </w:r>
      <w:r>
        <w:rPr>
          <w:rFonts w:ascii="Avenir Next" w:hAnsi="Avenir Next" w:cs="Arial"/>
          <w:color w:val="808080" w:themeColor="background1" w:themeShade="80"/>
          <w:sz w:val="22"/>
          <w:szCs w:val="22"/>
          <w:lang w:val="en-GB" w:eastAsia="en-GB"/>
        </w:rPr>
        <w:t xml:space="preserve">its powers of liquidation to Ms G, DGF still reserved for itself various powers vested in DGF as the Bank’s formally appointed liquidator by way of Resolution 1513. These powers include </w:t>
      </w:r>
      <w:r w:rsidRPr="009D4A45">
        <w:rPr>
          <w:rFonts w:ascii="Avenir Next" w:hAnsi="Avenir Next" w:cs="Arial"/>
          <w:color w:val="808080" w:themeColor="background1" w:themeShade="80"/>
          <w:sz w:val="22"/>
          <w:szCs w:val="22"/>
          <w:lang w:val="en-GB" w:eastAsia="en-GB"/>
        </w:rPr>
        <w:t xml:space="preserve">the power to claim damages from a related party of the Bank, the power to make a claim against a non-banking financial institution that raised money as loans or deposits from individuals, and the power to arrange for the sale </w:t>
      </w:r>
      <w:r w:rsidRPr="00F57EEC">
        <w:rPr>
          <w:rFonts w:ascii="Avenir Next" w:hAnsi="Avenir Next" w:cs="Arial"/>
          <w:color w:val="808080" w:themeColor="background1" w:themeShade="80"/>
          <w:sz w:val="22"/>
          <w:szCs w:val="22"/>
          <w:lang w:val="en-GB" w:eastAsia="en-GB"/>
        </w:rPr>
        <w:t xml:space="preserve">of the Bank’s assets. </w:t>
      </w:r>
      <w:r w:rsidR="00F57EEC" w:rsidRPr="00F57EEC">
        <w:rPr>
          <w:rFonts w:ascii="Avenir Next" w:hAnsi="Avenir Next" w:cs="Arial"/>
          <w:color w:val="808080" w:themeColor="background1" w:themeShade="80"/>
          <w:sz w:val="22"/>
          <w:szCs w:val="22"/>
          <w:lang w:val="en-GB" w:eastAsia="en-GB"/>
        </w:rPr>
        <w:t xml:space="preserve">Indeed, that DGF is administering the Bank’s liquidation is clear from how it has resolved to approve an amended list of creditors’ claims totalling approximately USD 1.113 billion on 7 September 2020. </w:t>
      </w:r>
      <w:r>
        <w:rPr>
          <w:rFonts w:ascii="Avenir Next" w:hAnsi="Avenir Next" w:cs="Arial"/>
          <w:color w:val="808080" w:themeColor="background1" w:themeShade="80"/>
          <w:sz w:val="22"/>
          <w:szCs w:val="22"/>
          <w:lang w:val="en-GB" w:eastAsia="en-GB"/>
        </w:rPr>
        <w:t>Therefore, DGF still continues to act as the Bank’s liquidator with powers of liquidation and reorganisation vested in it, thereby falling within the definition of a “foreign representative” in Article 2(d) of the MLCBI</w:t>
      </w:r>
      <w:r w:rsidR="00BE0089">
        <w:rPr>
          <w:rFonts w:ascii="Avenir Next" w:hAnsi="Avenir Next" w:cs="Arial"/>
          <w:color w:val="808080" w:themeColor="background1" w:themeShade="80"/>
          <w:sz w:val="22"/>
          <w:szCs w:val="22"/>
          <w:lang w:val="en-GB" w:eastAsia="en-GB"/>
        </w:rPr>
        <w:t xml:space="preserve"> / Article 2(j) of Schedule 1 of the CBIR</w:t>
      </w:r>
      <w:r>
        <w:rPr>
          <w:rFonts w:ascii="Avenir Next" w:hAnsi="Avenir Next" w:cs="Arial"/>
          <w:color w:val="808080" w:themeColor="background1" w:themeShade="80"/>
          <w:sz w:val="22"/>
          <w:szCs w:val="22"/>
          <w:lang w:val="en-GB" w:eastAsia="en-GB"/>
        </w:rPr>
        <w:t>.</w:t>
      </w:r>
    </w:p>
    <w:p w14:paraId="782E960B" w14:textId="2E3F2EC4" w:rsidR="009D4A45" w:rsidRDefault="009D4A45" w:rsidP="009D4A45">
      <w:pPr>
        <w:jc w:val="both"/>
        <w:rPr>
          <w:rFonts w:ascii="Avenir Next" w:hAnsi="Avenir Next" w:cs="Arial"/>
          <w:color w:val="808080" w:themeColor="background1" w:themeShade="80"/>
          <w:sz w:val="22"/>
          <w:szCs w:val="22"/>
          <w:lang w:val="en-GB" w:eastAsia="en-GB"/>
        </w:rPr>
      </w:pPr>
    </w:p>
    <w:p w14:paraId="48F1D7F7" w14:textId="1486FBE0" w:rsidR="009D4A45" w:rsidRPr="001C2E28" w:rsidRDefault="009D4A45" w:rsidP="009D4A45">
      <w:pPr>
        <w:jc w:val="both"/>
        <w:rPr>
          <w:rFonts w:ascii="Avenir Next" w:hAnsi="Avenir Next" w:cs="Arial"/>
          <w:b/>
          <w:bCs/>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Second, Ms G is also a “foreign representative” as defined by Article 2(d) of the MLCBI</w:t>
      </w:r>
      <w:r w:rsidR="00BE0089">
        <w:rPr>
          <w:rFonts w:ascii="Avenir Next" w:hAnsi="Avenir Next" w:cs="Arial"/>
          <w:color w:val="808080" w:themeColor="background1" w:themeShade="80"/>
          <w:sz w:val="22"/>
          <w:szCs w:val="22"/>
          <w:lang w:val="en-GB" w:eastAsia="en-GB"/>
        </w:rPr>
        <w:t xml:space="preserve"> </w:t>
      </w:r>
      <w:r w:rsidR="00BE0089">
        <w:rPr>
          <w:rFonts w:ascii="Avenir Next" w:hAnsi="Avenir Next" w:cs="Arial"/>
          <w:color w:val="808080" w:themeColor="background1" w:themeShade="80"/>
          <w:sz w:val="22"/>
          <w:szCs w:val="22"/>
          <w:lang w:val="en-GB" w:eastAsia="en-GB"/>
        </w:rPr>
        <w:t>/ Article 2(j) of Schedule 1 of the CBIR</w:t>
      </w:r>
      <w:r>
        <w:rPr>
          <w:rFonts w:ascii="Avenir Next" w:hAnsi="Avenir Next" w:cs="Arial"/>
          <w:color w:val="808080" w:themeColor="background1" w:themeShade="80"/>
          <w:sz w:val="22"/>
          <w:szCs w:val="22"/>
          <w:lang w:val="en-GB" w:eastAsia="en-GB"/>
        </w:rPr>
        <w:t>.</w:t>
      </w:r>
      <w:r w:rsidR="00330EB6">
        <w:rPr>
          <w:rFonts w:ascii="Avenir Next" w:hAnsi="Avenir Next" w:cs="Arial"/>
          <w:color w:val="808080" w:themeColor="background1" w:themeShade="80"/>
          <w:sz w:val="22"/>
          <w:szCs w:val="22"/>
          <w:lang w:val="en-GB" w:eastAsia="en-GB"/>
        </w:rPr>
        <w:t xml:space="preserve"> As previously mentioned, Ms G’s authority stems from that of DGF as the Bank’s formally appointed liquidator under Article 77 of the LBBA. Her appointment is also in full accordance with the laws of Country A</w:t>
      </w:r>
      <w:r w:rsidR="00540BA9">
        <w:rPr>
          <w:rFonts w:ascii="Avenir Next" w:hAnsi="Avenir Next" w:cs="Arial"/>
          <w:color w:val="808080" w:themeColor="background1" w:themeShade="80"/>
          <w:sz w:val="22"/>
          <w:szCs w:val="22"/>
          <w:lang w:val="en-GB" w:eastAsia="en-GB"/>
        </w:rPr>
        <w:t>, thus satisfying the requirement that she be “authorised in a foreign proceeding”</w:t>
      </w:r>
      <w:r w:rsidR="00330EB6">
        <w:rPr>
          <w:rFonts w:ascii="Avenir Next" w:hAnsi="Avenir Next" w:cs="Arial"/>
          <w:color w:val="808080" w:themeColor="background1" w:themeShade="80"/>
          <w:sz w:val="22"/>
          <w:szCs w:val="22"/>
          <w:lang w:val="en-GB" w:eastAsia="en-GB"/>
        </w:rPr>
        <w:t xml:space="preserve">. </w:t>
      </w:r>
      <w:r w:rsidR="00330EB6" w:rsidRPr="00330EB6">
        <w:rPr>
          <w:rFonts w:ascii="Avenir Next" w:hAnsi="Avenir Next" w:cs="Arial"/>
          <w:color w:val="808080" w:themeColor="background1" w:themeShade="80"/>
          <w:sz w:val="22"/>
          <w:szCs w:val="22"/>
          <w:lang w:val="en-GB" w:eastAsia="en-GB"/>
        </w:rPr>
        <w:t>Article 48(3) of the DGF Law empowers the DGF to delegate its powers to Ms G as its “authorised officer”, which is defined by article 2(1)(17) of the DGF Law as an employee of DGF, who on behalf of DGF and within the powers provided for by the DGF Law and / or delegated by DGF, performs actions to ensure the Bank’s withdrawal from the market during provisional administration of the insolvent bank and/or bank liquidation.</w:t>
      </w:r>
      <w:r w:rsidR="00330EB6">
        <w:rPr>
          <w:rFonts w:ascii="Avenir Next" w:hAnsi="Avenir Next" w:cs="Arial"/>
          <w:color w:val="808080" w:themeColor="background1" w:themeShade="80"/>
          <w:sz w:val="22"/>
          <w:szCs w:val="22"/>
          <w:lang w:val="en-GB" w:eastAsia="en-GB"/>
        </w:rPr>
        <w:t xml:space="preserve"> </w:t>
      </w:r>
      <w:r w:rsidR="00B51F20">
        <w:rPr>
          <w:rFonts w:ascii="Avenir Next" w:hAnsi="Avenir Next" w:cs="Arial"/>
          <w:color w:val="808080" w:themeColor="background1" w:themeShade="80"/>
          <w:sz w:val="22"/>
          <w:szCs w:val="22"/>
          <w:lang w:val="en-GB" w:eastAsia="en-GB"/>
        </w:rPr>
        <w:t xml:space="preserve">From this definition, </w:t>
      </w:r>
      <w:r w:rsidR="00B51F20">
        <w:rPr>
          <w:rFonts w:ascii="Avenir Next" w:hAnsi="Avenir Next" w:cs="Arial"/>
          <w:color w:val="808080" w:themeColor="background1" w:themeShade="80"/>
          <w:sz w:val="22"/>
          <w:szCs w:val="22"/>
          <w:lang w:val="en-GB" w:eastAsia="en-GB"/>
        </w:rPr>
        <w:t>it is also clear that Ms G’s appointment is intended for the liquidation of the Bank’s assets and affairs.</w:t>
      </w:r>
      <w:r w:rsidR="00B51F20">
        <w:rPr>
          <w:rFonts w:ascii="Avenir Next" w:hAnsi="Avenir Next" w:cs="Arial"/>
          <w:color w:val="808080" w:themeColor="background1" w:themeShade="80"/>
          <w:sz w:val="22"/>
          <w:szCs w:val="22"/>
          <w:lang w:val="en-GB" w:eastAsia="en-GB"/>
        </w:rPr>
        <w:t xml:space="preserve"> </w:t>
      </w:r>
      <w:r w:rsidR="001C2E28" w:rsidRPr="00330EB6">
        <w:rPr>
          <w:rFonts w:ascii="Avenir Next" w:hAnsi="Avenir Next" w:cs="Arial"/>
          <w:color w:val="808080" w:themeColor="background1" w:themeShade="80"/>
          <w:sz w:val="22"/>
          <w:szCs w:val="22"/>
          <w:lang w:val="en-GB" w:eastAsia="en-GB"/>
        </w:rPr>
        <w:t xml:space="preserve">Resolution 1513 </w:t>
      </w:r>
      <w:r w:rsidR="00B51F20">
        <w:rPr>
          <w:rFonts w:ascii="Avenir Next" w:hAnsi="Avenir Next" w:cs="Arial"/>
          <w:color w:val="808080" w:themeColor="background1" w:themeShade="80"/>
          <w:sz w:val="22"/>
          <w:szCs w:val="22"/>
          <w:lang w:val="en-GB" w:eastAsia="en-GB"/>
        </w:rPr>
        <w:t>further</w:t>
      </w:r>
      <w:r w:rsidR="001C2E28" w:rsidRPr="00330EB6">
        <w:rPr>
          <w:rFonts w:ascii="Avenir Next" w:hAnsi="Avenir Next" w:cs="Arial"/>
          <w:color w:val="808080" w:themeColor="background1" w:themeShade="80"/>
          <w:sz w:val="22"/>
          <w:szCs w:val="22"/>
          <w:lang w:val="en-GB" w:eastAsia="en-GB"/>
        </w:rPr>
        <w:t xml:space="preserve"> noted Ms G to be a “leading bank liquidation professional”, which appears to satisfy the requirement in Article 35(1) of the DGF Law that an authorised person must have high professional and moral qualities, impeccable business reputation, complete higher education in the field of economics, finance or law and the necessary professional experience necessary.</w:t>
      </w:r>
      <w:r w:rsidR="00330EB6">
        <w:rPr>
          <w:rFonts w:ascii="Avenir Next" w:hAnsi="Avenir Next" w:cs="Arial"/>
          <w:color w:val="808080" w:themeColor="background1" w:themeShade="80"/>
          <w:sz w:val="22"/>
          <w:szCs w:val="22"/>
          <w:lang w:val="en-GB" w:eastAsia="en-GB"/>
        </w:rPr>
        <w:t xml:space="preserve"> The fact that Ms </w:t>
      </w:r>
      <w:r w:rsidR="009820EA">
        <w:rPr>
          <w:rFonts w:ascii="Avenir Next" w:hAnsi="Avenir Next" w:cs="Arial"/>
          <w:color w:val="808080" w:themeColor="background1" w:themeShade="80"/>
          <w:sz w:val="22"/>
          <w:szCs w:val="22"/>
          <w:lang w:val="en-GB" w:eastAsia="en-GB"/>
        </w:rPr>
        <w:t>G</w:t>
      </w:r>
      <w:r w:rsidR="00330EB6">
        <w:rPr>
          <w:rFonts w:ascii="Avenir Next" w:hAnsi="Avenir Next" w:cs="Arial"/>
          <w:color w:val="808080" w:themeColor="background1" w:themeShade="80"/>
          <w:sz w:val="22"/>
          <w:szCs w:val="22"/>
          <w:lang w:val="en-GB" w:eastAsia="en-GB"/>
        </w:rPr>
        <w:t xml:space="preserve"> was </w:t>
      </w:r>
      <w:r w:rsidR="009820EA">
        <w:rPr>
          <w:rFonts w:ascii="Avenir Next" w:hAnsi="Avenir Next" w:cs="Arial"/>
          <w:color w:val="808080" w:themeColor="background1" w:themeShade="80"/>
          <w:sz w:val="22"/>
          <w:szCs w:val="22"/>
          <w:lang w:val="en-GB" w:eastAsia="en-GB"/>
        </w:rPr>
        <w:t xml:space="preserve">not </w:t>
      </w:r>
      <w:r w:rsidR="00330EB6">
        <w:rPr>
          <w:rFonts w:ascii="Avenir Next" w:hAnsi="Avenir Next" w:cs="Arial"/>
          <w:color w:val="808080" w:themeColor="background1" w:themeShade="80"/>
          <w:sz w:val="22"/>
          <w:szCs w:val="22"/>
          <w:lang w:val="en-GB" w:eastAsia="en-GB"/>
        </w:rPr>
        <w:t xml:space="preserve">the </w:t>
      </w:r>
      <w:r w:rsidR="00330EB6">
        <w:rPr>
          <w:rFonts w:ascii="Avenir Next" w:hAnsi="Avenir Next" w:cs="Arial"/>
          <w:i/>
          <w:iCs/>
          <w:color w:val="808080" w:themeColor="background1" w:themeShade="80"/>
          <w:sz w:val="22"/>
          <w:szCs w:val="22"/>
          <w:lang w:val="en-GB" w:eastAsia="en-GB"/>
        </w:rPr>
        <w:t xml:space="preserve">first </w:t>
      </w:r>
      <w:r w:rsidR="00330EB6">
        <w:rPr>
          <w:rFonts w:ascii="Avenir Next" w:hAnsi="Avenir Next" w:cs="Arial"/>
          <w:color w:val="808080" w:themeColor="background1" w:themeShade="80"/>
          <w:sz w:val="22"/>
          <w:szCs w:val="22"/>
          <w:lang w:val="en-GB" w:eastAsia="en-GB"/>
        </w:rPr>
        <w:t>appointed authorised officer is immaterial under the definition in Article 2(</w:t>
      </w:r>
      <w:r w:rsidR="009820EA">
        <w:rPr>
          <w:rFonts w:ascii="Avenir Next" w:hAnsi="Avenir Next" w:cs="Arial"/>
          <w:color w:val="808080" w:themeColor="background1" w:themeShade="80"/>
          <w:sz w:val="22"/>
          <w:szCs w:val="22"/>
          <w:lang w:val="en-GB" w:eastAsia="en-GB"/>
        </w:rPr>
        <w:t>j</w:t>
      </w:r>
      <w:r w:rsidR="00330EB6">
        <w:rPr>
          <w:rFonts w:ascii="Avenir Next" w:hAnsi="Avenir Next" w:cs="Arial"/>
          <w:color w:val="808080" w:themeColor="background1" w:themeShade="80"/>
          <w:sz w:val="22"/>
          <w:szCs w:val="22"/>
          <w:lang w:val="en-GB" w:eastAsia="en-GB"/>
        </w:rPr>
        <w:t xml:space="preserve">) of </w:t>
      </w:r>
      <w:r w:rsidR="009820EA">
        <w:rPr>
          <w:rFonts w:ascii="Avenir Next" w:hAnsi="Avenir Next" w:cs="Arial"/>
          <w:color w:val="808080" w:themeColor="background1" w:themeShade="80"/>
          <w:sz w:val="22"/>
          <w:szCs w:val="22"/>
          <w:lang w:val="en-GB" w:eastAsia="en-GB"/>
        </w:rPr>
        <w:t xml:space="preserve">Schedule 1 of </w:t>
      </w:r>
      <w:r w:rsidR="00330EB6">
        <w:rPr>
          <w:rFonts w:ascii="Avenir Next" w:hAnsi="Avenir Next" w:cs="Arial"/>
          <w:color w:val="808080" w:themeColor="background1" w:themeShade="80"/>
          <w:sz w:val="22"/>
          <w:szCs w:val="22"/>
          <w:lang w:val="en-GB" w:eastAsia="en-GB"/>
        </w:rPr>
        <w:t xml:space="preserve">the </w:t>
      </w:r>
      <w:r w:rsidR="009820EA">
        <w:rPr>
          <w:rFonts w:ascii="Avenir Next" w:hAnsi="Avenir Next" w:cs="Arial"/>
          <w:color w:val="808080" w:themeColor="background1" w:themeShade="80"/>
          <w:sz w:val="22"/>
          <w:szCs w:val="22"/>
          <w:lang w:val="en-GB" w:eastAsia="en-GB"/>
        </w:rPr>
        <w:t xml:space="preserve">CBIR, which does not impose any requirement that the foreign representative must be the </w:t>
      </w:r>
      <w:r w:rsidR="009820EA" w:rsidRPr="009820EA">
        <w:rPr>
          <w:rFonts w:ascii="Avenir Next" w:hAnsi="Avenir Next" w:cs="Arial"/>
          <w:color w:val="808080" w:themeColor="background1" w:themeShade="80"/>
          <w:sz w:val="22"/>
          <w:szCs w:val="22"/>
          <w:lang w:val="en-GB" w:eastAsia="en-GB"/>
        </w:rPr>
        <w:t>first</w:t>
      </w:r>
      <w:r w:rsidR="009820EA">
        <w:rPr>
          <w:rFonts w:ascii="Avenir Next" w:hAnsi="Avenir Next" w:cs="Arial"/>
          <w:color w:val="808080" w:themeColor="background1" w:themeShade="80"/>
          <w:sz w:val="22"/>
          <w:szCs w:val="22"/>
          <w:lang w:val="en-GB" w:eastAsia="en-GB"/>
        </w:rPr>
        <w:t xml:space="preserve"> appointed representative</w:t>
      </w:r>
      <w:r w:rsidR="002542A0">
        <w:rPr>
          <w:rFonts w:ascii="Avenir Next" w:hAnsi="Avenir Next" w:cs="Arial"/>
          <w:color w:val="808080" w:themeColor="background1" w:themeShade="80"/>
          <w:sz w:val="22"/>
          <w:szCs w:val="22"/>
          <w:lang w:val="en-GB" w:eastAsia="en-GB"/>
        </w:rPr>
        <w:t xml:space="preserve"> in the liquidation</w:t>
      </w:r>
      <w:r w:rsidR="00330EB6">
        <w:rPr>
          <w:rFonts w:ascii="Avenir Next" w:hAnsi="Avenir Next" w:cs="Arial"/>
          <w:color w:val="808080" w:themeColor="background1" w:themeShade="80"/>
          <w:sz w:val="22"/>
          <w:szCs w:val="22"/>
          <w:lang w:val="en-GB" w:eastAsia="en-GB"/>
        </w:rPr>
        <w:t xml:space="preserve">. Similarly, the fact that the DGF has reserved some of its powers as the Bank’s liquidator does not </w:t>
      </w:r>
      <w:r w:rsidR="00594413">
        <w:rPr>
          <w:rFonts w:ascii="Avenir Next" w:hAnsi="Avenir Next" w:cs="Arial"/>
          <w:i/>
          <w:iCs/>
          <w:color w:val="808080" w:themeColor="background1" w:themeShade="80"/>
          <w:sz w:val="22"/>
          <w:szCs w:val="22"/>
          <w:lang w:val="en-GB" w:eastAsia="en-GB"/>
        </w:rPr>
        <w:t xml:space="preserve">ipso facto </w:t>
      </w:r>
      <w:r w:rsidR="00330EB6">
        <w:rPr>
          <w:rFonts w:ascii="Avenir Next" w:hAnsi="Avenir Next" w:cs="Arial"/>
          <w:color w:val="808080" w:themeColor="background1" w:themeShade="80"/>
          <w:sz w:val="22"/>
          <w:szCs w:val="22"/>
          <w:lang w:val="en-GB" w:eastAsia="en-GB"/>
        </w:rPr>
        <w:t xml:space="preserve">take away from Ms G’s appointment and authority to administer the Bank’s liquidation. Resolution 1513 has </w:t>
      </w:r>
      <w:r w:rsidR="00330EB6" w:rsidRPr="00330EB6">
        <w:rPr>
          <w:rFonts w:ascii="Avenir Next" w:hAnsi="Avenir Next" w:cs="Arial"/>
          <w:color w:val="808080" w:themeColor="background1" w:themeShade="80"/>
          <w:sz w:val="22"/>
          <w:szCs w:val="22"/>
          <w:lang w:val="en-GB" w:eastAsia="en-GB"/>
        </w:rPr>
        <w:t xml:space="preserve">delegated to Ms G all liquidation powers in respect of the Bank set out in the DGF Law and </w:t>
      </w:r>
      <w:proofErr w:type="gramStart"/>
      <w:r w:rsidR="00330EB6" w:rsidRPr="00330EB6">
        <w:rPr>
          <w:rFonts w:ascii="Avenir Next" w:hAnsi="Avenir Next" w:cs="Arial"/>
          <w:color w:val="808080" w:themeColor="background1" w:themeShade="80"/>
          <w:sz w:val="22"/>
          <w:szCs w:val="22"/>
          <w:lang w:val="en-GB" w:eastAsia="en-GB"/>
        </w:rPr>
        <w:t>in particular articles</w:t>
      </w:r>
      <w:proofErr w:type="gramEnd"/>
      <w:r w:rsidR="00330EB6" w:rsidRPr="00330EB6">
        <w:rPr>
          <w:rFonts w:ascii="Avenir Next" w:hAnsi="Avenir Next" w:cs="Arial"/>
          <w:color w:val="808080" w:themeColor="background1" w:themeShade="80"/>
          <w:sz w:val="22"/>
          <w:szCs w:val="22"/>
          <w:lang w:val="en-GB" w:eastAsia="en-GB"/>
        </w:rPr>
        <w:t xml:space="preserve"> 37, 38, 47-52, 521 and 53 of the DGF Law, including the authority to sign all agreements related to the sale of the bank’s assets in the manner prescribed by the DGF Law.</w:t>
      </w:r>
      <w:r w:rsidR="00330EB6">
        <w:rPr>
          <w:rFonts w:ascii="Avenir Next" w:hAnsi="Avenir Next" w:cs="Arial"/>
          <w:color w:val="808080" w:themeColor="background1" w:themeShade="80"/>
          <w:sz w:val="22"/>
          <w:szCs w:val="22"/>
          <w:lang w:val="en-GB" w:eastAsia="en-GB"/>
        </w:rPr>
        <w:t xml:space="preserve"> These </w:t>
      </w:r>
      <w:r w:rsidR="003340EF">
        <w:rPr>
          <w:rFonts w:ascii="Avenir Next" w:hAnsi="Avenir Next" w:cs="Arial"/>
          <w:color w:val="808080" w:themeColor="background1" w:themeShade="80"/>
          <w:sz w:val="22"/>
          <w:szCs w:val="22"/>
          <w:lang w:val="en-GB" w:eastAsia="en-GB"/>
        </w:rPr>
        <w:t>are</w:t>
      </w:r>
      <w:r w:rsidR="00330EB6">
        <w:rPr>
          <w:rFonts w:ascii="Avenir Next" w:hAnsi="Avenir Next" w:cs="Arial"/>
          <w:color w:val="808080" w:themeColor="background1" w:themeShade="80"/>
          <w:sz w:val="22"/>
          <w:szCs w:val="22"/>
          <w:lang w:val="en-GB" w:eastAsia="en-GB"/>
        </w:rPr>
        <w:t xml:space="preserve"> extensive liquidation powers, and further go to show</w:t>
      </w:r>
      <w:r w:rsidR="009259F8">
        <w:rPr>
          <w:rFonts w:ascii="Avenir Next" w:hAnsi="Avenir Next" w:cs="Arial"/>
          <w:color w:val="808080" w:themeColor="background1" w:themeShade="80"/>
          <w:sz w:val="22"/>
          <w:szCs w:val="22"/>
          <w:lang w:val="en-GB" w:eastAsia="en-GB"/>
        </w:rPr>
        <w:t xml:space="preserve"> that Ms G has authority to administer the Bank’s liquidation.</w:t>
      </w:r>
      <w:r w:rsidR="001C2E28">
        <w:rPr>
          <w:rFonts w:ascii="Avenir Next" w:hAnsi="Avenir Next" w:cs="Arial"/>
          <w:color w:val="808080" w:themeColor="background1" w:themeShade="80"/>
          <w:sz w:val="22"/>
          <w:szCs w:val="22"/>
          <w:lang w:val="en-GB" w:eastAsia="en-GB"/>
        </w:rPr>
        <w:t xml:space="preserve"> </w:t>
      </w:r>
    </w:p>
    <w:p w14:paraId="37D24712" w14:textId="18FD4D44" w:rsidR="009259F8" w:rsidRDefault="009259F8" w:rsidP="009D4A45">
      <w:pPr>
        <w:jc w:val="both"/>
        <w:rPr>
          <w:rFonts w:ascii="Avenir Next" w:hAnsi="Avenir Next" w:cs="Arial"/>
          <w:color w:val="808080" w:themeColor="background1" w:themeShade="80"/>
          <w:sz w:val="22"/>
          <w:szCs w:val="22"/>
          <w:lang w:val="en-GB" w:eastAsia="en-GB"/>
        </w:rPr>
      </w:pPr>
    </w:p>
    <w:p w14:paraId="4889E75E" w14:textId="75AF42A0" w:rsidR="009259F8" w:rsidRPr="00330EB6" w:rsidRDefault="009259F8" w:rsidP="009D4A45">
      <w:pPr>
        <w:jc w:val="both"/>
        <w:rPr>
          <w:rFonts w:ascii="Avenir Next" w:hAnsi="Avenir Next" w:cs="Arial"/>
          <w:bCs/>
          <w:color w:val="808080" w:themeColor="background1" w:themeShade="80"/>
          <w:sz w:val="22"/>
          <w:szCs w:val="22"/>
          <w:lang w:val="en-GB"/>
        </w:rPr>
      </w:pPr>
      <w:r>
        <w:rPr>
          <w:rFonts w:ascii="Avenir Next" w:hAnsi="Avenir Next" w:cs="Arial"/>
          <w:color w:val="808080" w:themeColor="background1" w:themeShade="80"/>
          <w:sz w:val="22"/>
          <w:szCs w:val="22"/>
          <w:lang w:val="en-GB" w:eastAsia="en-GB"/>
        </w:rPr>
        <w:t>Therefore, both the Applicants – DGF and Ms G – are foreign representatives under Article 2(d) of the MLCBI</w:t>
      </w:r>
      <w:r w:rsidR="006C1F58">
        <w:rPr>
          <w:rFonts w:ascii="Avenir Next" w:hAnsi="Avenir Next" w:cs="Arial"/>
          <w:color w:val="808080" w:themeColor="background1" w:themeShade="80"/>
          <w:sz w:val="22"/>
          <w:szCs w:val="22"/>
          <w:lang w:val="en-GB" w:eastAsia="en-GB"/>
        </w:rPr>
        <w:t xml:space="preserve"> </w:t>
      </w:r>
      <w:r w:rsidR="006C1F58">
        <w:rPr>
          <w:rFonts w:ascii="Avenir Next" w:hAnsi="Avenir Next" w:cs="Arial"/>
          <w:color w:val="808080" w:themeColor="background1" w:themeShade="80"/>
          <w:sz w:val="22"/>
          <w:szCs w:val="22"/>
          <w:lang w:val="en-GB" w:eastAsia="en-GB"/>
        </w:rPr>
        <w:t>/ Article 2(j) of Schedule 1 of the CBIR</w:t>
      </w:r>
      <w:r>
        <w:rPr>
          <w:rFonts w:ascii="Avenir Next" w:hAnsi="Avenir Next" w:cs="Arial"/>
          <w:color w:val="808080" w:themeColor="background1" w:themeShade="80"/>
          <w:sz w:val="22"/>
          <w:szCs w:val="22"/>
          <w:lang w:val="en-GB" w:eastAsia="en-GB"/>
        </w:rPr>
        <w:t>.</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189F8A64" w14:textId="44A39249" w:rsidR="00E2622D" w:rsidRPr="00E2622D" w:rsidRDefault="009B0723">
      <w:pPr>
        <w:rPr>
          <w:rFonts w:ascii="Avenir Next" w:hAnsi="Avenir Next" w:cs="Arial"/>
          <w:sz w:val="22"/>
          <w:szCs w:val="22"/>
          <w:lang w:val="en-GB"/>
        </w:rPr>
      </w:pPr>
      <w:r w:rsidRPr="00E2622D">
        <w:rPr>
          <w:rFonts w:ascii="Avenir Next" w:hAnsi="Avenir Next" w:cs="Arial"/>
          <w:sz w:val="22"/>
          <w:szCs w:val="22"/>
          <w:lang w:val="en-GB"/>
        </w:rPr>
        <w:t xml:space="preserve"> </w:t>
      </w: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8D34" w14:textId="77777777" w:rsidR="00292600" w:rsidRDefault="00292600" w:rsidP="00241B44">
      <w:r>
        <w:separator/>
      </w:r>
    </w:p>
  </w:endnote>
  <w:endnote w:type="continuationSeparator" w:id="0">
    <w:p w14:paraId="473125B9" w14:textId="77777777" w:rsidR="00292600" w:rsidRDefault="0029260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331810FF"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2B6D">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A370EFE" w:rsidR="000300E0" w:rsidRPr="00B46CE2" w:rsidRDefault="00BB2B6D" w:rsidP="000300E0">
    <w:pPr>
      <w:pStyle w:val="Footer"/>
      <w:ind w:right="360"/>
      <w:rPr>
        <w:rFonts w:ascii="Avenir Next" w:hAnsi="Avenir Next"/>
        <w:sz w:val="22"/>
        <w:szCs w:val="22"/>
      </w:rPr>
    </w:pPr>
    <w:r>
      <w:rPr>
        <w:rFonts w:ascii="Avenir Next" w:hAnsi="Avenir Next"/>
        <w:sz w:val="22"/>
        <w:szCs w:val="22"/>
      </w:rPr>
      <w:t>202223-994</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2D94" w14:textId="77777777" w:rsidR="00292600" w:rsidRDefault="00292600" w:rsidP="00241B44">
      <w:r>
        <w:separator/>
      </w:r>
    </w:p>
  </w:footnote>
  <w:footnote w:type="continuationSeparator" w:id="0">
    <w:p w14:paraId="598EA6BC" w14:textId="77777777" w:rsidR="00292600" w:rsidRDefault="0029260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378E" w14:textId="77777777" w:rsidR="00E27DE6" w:rsidRDefault="00E2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E7A1" w14:textId="77777777" w:rsidR="00E27DE6" w:rsidRDefault="00E27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4027" w14:textId="77777777" w:rsidR="00E27DE6" w:rsidRDefault="00E27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4A0F55"/>
    <w:multiLevelType w:val="hybridMultilevel"/>
    <w:tmpl w:val="4694EB82"/>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6249C5"/>
    <w:multiLevelType w:val="hybridMultilevel"/>
    <w:tmpl w:val="42B0B7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522223D"/>
    <w:multiLevelType w:val="hybridMultilevel"/>
    <w:tmpl w:val="4BF6B1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07B5FEF"/>
    <w:multiLevelType w:val="hybridMultilevel"/>
    <w:tmpl w:val="42B0B738"/>
    <w:lvl w:ilvl="0" w:tplc="5DD658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1953835"/>
    <w:multiLevelType w:val="hybridMultilevel"/>
    <w:tmpl w:val="5E962506"/>
    <w:lvl w:ilvl="0" w:tplc="4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D0057F"/>
    <w:multiLevelType w:val="hybridMultilevel"/>
    <w:tmpl w:val="558EB2B4"/>
    <w:lvl w:ilvl="0" w:tplc="4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27A4F06"/>
    <w:multiLevelType w:val="hybridMultilevel"/>
    <w:tmpl w:val="BA9213A6"/>
    <w:lvl w:ilvl="0" w:tplc="4809000F">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CD3A90"/>
    <w:multiLevelType w:val="hybridMultilevel"/>
    <w:tmpl w:val="6652DDE2"/>
    <w:lvl w:ilvl="0" w:tplc="A67A1D10">
      <w:start w:val="27"/>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59872047">
    <w:abstractNumId w:val="17"/>
  </w:num>
  <w:num w:numId="2" w16cid:durableId="489709983">
    <w:abstractNumId w:val="16"/>
  </w:num>
  <w:num w:numId="3" w16cid:durableId="479080485">
    <w:abstractNumId w:val="7"/>
  </w:num>
  <w:num w:numId="4" w16cid:durableId="1626350429">
    <w:abstractNumId w:val="3"/>
  </w:num>
  <w:num w:numId="5" w16cid:durableId="1872642519">
    <w:abstractNumId w:val="21"/>
  </w:num>
  <w:num w:numId="6" w16cid:durableId="2085570863">
    <w:abstractNumId w:val="20"/>
  </w:num>
  <w:num w:numId="7" w16cid:durableId="1679766898">
    <w:abstractNumId w:val="18"/>
  </w:num>
  <w:num w:numId="8" w16cid:durableId="1971671176">
    <w:abstractNumId w:val="4"/>
  </w:num>
  <w:num w:numId="9" w16cid:durableId="1685355518">
    <w:abstractNumId w:val="5"/>
  </w:num>
  <w:num w:numId="10" w16cid:durableId="1786657099">
    <w:abstractNumId w:val="13"/>
  </w:num>
  <w:num w:numId="11" w16cid:durableId="1733191732">
    <w:abstractNumId w:val="0"/>
  </w:num>
  <w:num w:numId="12" w16cid:durableId="126777293">
    <w:abstractNumId w:val="8"/>
  </w:num>
  <w:num w:numId="13" w16cid:durableId="1732925414">
    <w:abstractNumId w:val="9"/>
  </w:num>
  <w:num w:numId="14" w16cid:durableId="536281574">
    <w:abstractNumId w:val="2"/>
  </w:num>
  <w:num w:numId="15" w16cid:durableId="2095741180">
    <w:abstractNumId w:val="1"/>
  </w:num>
  <w:num w:numId="16" w16cid:durableId="800078519">
    <w:abstractNumId w:val="10"/>
  </w:num>
  <w:num w:numId="17" w16cid:durableId="2098745230">
    <w:abstractNumId w:val="19"/>
  </w:num>
  <w:num w:numId="18" w16cid:durableId="1116169678">
    <w:abstractNumId w:val="15"/>
  </w:num>
  <w:num w:numId="19" w16cid:durableId="418676318">
    <w:abstractNumId w:val="14"/>
  </w:num>
  <w:num w:numId="20" w16cid:durableId="221447482">
    <w:abstractNumId w:val="12"/>
  </w:num>
  <w:num w:numId="21" w16cid:durableId="1600137566">
    <w:abstractNumId w:val="11"/>
  </w:num>
  <w:num w:numId="22" w16cid:durableId="152157779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2DFF"/>
    <w:rsid w:val="00044D46"/>
    <w:rsid w:val="00045088"/>
    <w:rsid w:val="00045904"/>
    <w:rsid w:val="000464F7"/>
    <w:rsid w:val="0005141D"/>
    <w:rsid w:val="000604FF"/>
    <w:rsid w:val="00060E02"/>
    <w:rsid w:val="00065166"/>
    <w:rsid w:val="00067A88"/>
    <w:rsid w:val="00070B92"/>
    <w:rsid w:val="00073474"/>
    <w:rsid w:val="00077D49"/>
    <w:rsid w:val="00082609"/>
    <w:rsid w:val="000851CC"/>
    <w:rsid w:val="00093BE8"/>
    <w:rsid w:val="00097BEA"/>
    <w:rsid w:val="000A68ED"/>
    <w:rsid w:val="000B4FEB"/>
    <w:rsid w:val="000B5FF1"/>
    <w:rsid w:val="000B609F"/>
    <w:rsid w:val="000C147F"/>
    <w:rsid w:val="000C6BB9"/>
    <w:rsid w:val="000D1225"/>
    <w:rsid w:val="000D32A9"/>
    <w:rsid w:val="000D55A8"/>
    <w:rsid w:val="000E4841"/>
    <w:rsid w:val="000E6325"/>
    <w:rsid w:val="000F1677"/>
    <w:rsid w:val="000F3D6C"/>
    <w:rsid w:val="000F579C"/>
    <w:rsid w:val="00101707"/>
    <w:rsid w:val="00105FE8"/>
    <w:rsid w:val="00114082"/>
    <w:rsid w:val="0011473D"/>
    <w:rsid w:val="00115C85"/>
    <w:rsid w:val="00123855"/>
    <w:rsid w:val="00126A4D"/>
    <w:rsid w:val="00130B19"/>
    <w:rsid w:val="0013201E"/>
    <w:rsid w:val="001374D8"/>
    <w:rsid w:val="00140E0A"/>
    <w:rsid w:val="0014171F"/>
    <w:rsid w:val="001449A6"/>
    <w:rsid w:val="0014622C"/>
    <w:rsid w:val="00151F58"/>
    <w:rsid w:val="00152348"/>
    <w:rsid w:val="00152845"/>
    <w:rsid w:val="0015456D"/>
    <w:rsid w:val="0015549B"/>
    <w:rsid w:val="00155FA2"/>
    <w:rsid w:val="001578CB"/>
    <w:rsid w:val="00161F1B"/>
    <w:rsid w:val="00162829"/>
    <w:rsid w:val="001672E0"/>
    <w:rsid w:val="00167C32"/>
    <w:rsid w:val="00171FC3"/>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2E28"/>
    <w:rsid w:val="001C45FC"/>
    <w:rsid w:val="001D02C5"/>
    <w:rsid w:val="001D4862"/>
    <w:rsid w:val="001E25B9"/>
    <w:rsid w:val="001E49E0"/>
    <w:rsid w:val="001E60C3"/>
    <w:rsid w:val="001E7B5A"/>
    <w:rsid w:val="001F7412"/>
    <w:rsid w:val="00200FDD"/>
    <w:rsid w:val="00201874"/>
    <w:rsid w:val="00202133"/>
    <w:rsid w:val="0020264E"/>
    <w:rsid w:val="0020407E"/>
    <w:rsid w:val="0020725B"/>
    <w:rsid w:val="002175BA"/>
    <w:rsid w:val="0022599E"/>
    <w:rsid w:val="002305E8"/>
    <w:rsid w:val="0023198D"/>
    <w:rsid w:val="0023317E"/>
    <w:rsid w:val="00234F2C"/>
    <w:rsid w:val="00240B0E"/>
    <w:rsid w:val="0024116D"/>
    <w:rsid w:val="00241B44"/>
    <w:rsid w:val="00245EFB"/>
    <w:rsid w:val="00250E19"/>
    <w:rsid w:val="0025386E"/>
    <w:rsid w:val="002542A0"/>
    <w:rsid w:val="00257437"/>
    <w:rsid w:val="00257BDA"/>
    <w:rsid w:val="002638B0"/>
    <w:rsid w:val="00264FFF"/>
    <w:rsid w:val="002650D7"/>
    <w:rsid w:val="002654E8"/>
    <w:rsid w:val="0026647A"/>
    <w:rsid w:val="002668D3"/>
    <w:rsid w:val="002675BE"/>
    <w:rsid w:val="0027299F"/>
    <w:rsid w:val="00276913"/>
    <w:rsid w:val="0028135B"/>
    <w:rsid w:val="00281A61"/>
    <w:rsid w:val="00282480"/>
    <w:rsid w:val="00284EBE"/>
    <w:rsid w:val="00292600"/>
    <w:rsid w:val="0029433F"/>
    <w:rsid w:val="00294829"/>
    <w:rsid w:val="00294F3B"/>
    <w:rsid w:val="0029690F"/>
    <w:rsid w:val="002A1EEC"/>
    <w:rsid w:val="002A2A60"/>
    <w:rsid w:val="002A58BF"/>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EB6"/>
    <w:rsid w:val="00330F31"/>
    <w:rsid w:val="003340EF"/>
    <w:rsid w:val="0033442A"/>
    <w:rsid w:val="00334648"/>
    <w:rsid w:val="00335AEC"/>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5F2B"/>
    <w:rsid w:val="0040710D"/>
    <w:rsid w:val="0041139B"/>
    <w:rsid w:val="004137C3"/>
    <w:rsid w:val="00413D3A"/>
    <w:rsid w:val="00415F1F"/>
    <w:rsid w:val="0042108F"/>
    <w:rsid w:val="00422242"/>
    <w:rsid w:val="004247A0"/>
    <w:rsid w:val="00424D07"/>
    <w:rsid w:val="00430FED"/>
    <w:rsid w:val="00432179"/>
    <w:rsid w:val="00434292"/>
    <w:rsid w:val="00434A8C"/>
    <w:rsid w:val="00435583"/>
    <w:rsid w:val="00436884"/>
    <w:rsid w:val="00436A89"/>
    <w:rsid w:val="00437297"/>
    <w:rsid w:val="00440DFE"/>
    <w:rsid w:val="00443403"/>
    <w:rsid w:val="00444284"/>
    <w:rsid w:val="00445CE6"/>
    <w:rsid w:val="00447FE6"/>
    <w:rsid w:val="004534C2"/>
    <w:rsid w:val="0045446F"/>
    <w:rsid w:val="0045683E"/>
    <w:rsid w:val="004655F7"/>
    <w:rsid w:val="0047025B"/>
    <w:rsid w:val="00491675"/>
    <w:rsid w:val="00493855"/>
    <w:rsid w:val="0049508F"/>
    <w:rsid w:val="004A171E"/>
    <w:rsid w:val="004A57DD"/>
    <w:rsid w:val="004A7B51"/>
    <w:rsid w:val="004A7D71"/>
    <w:rsid w:val="004A7EF3"/>
    <w:rsid w:val="004B11FD"/>
    <w:rsid w:val="004B23A2"/>
    <w:rsid w:val="004C4E97"/>
    <w:rsid w:val="004C7869"/>
    <w:rsid w:val="004D1A5A"/>
    <w:rsid w:val="004D2FFF"/>
    <w:rsid w:val="004D3721"/>
    <w:rsid w:val="004D64F9"/>
    <w:rsid w:val="004E0549"/>
    <w:rsid w:val="004E2E92"/>
    <w:rsid w:val="004E30B0"/>
    <w:rsid w:val="004E622C"/>
    <w:rsid w:val="004F2CB9"/>
    <w:rsid w:val="004F5FDF"/>
    <w:rsid w:val="0050157D"/>
    <w:rsid w:val="00506803"/>
    <w:rsid w:val="0050682B"/>
    <w:rsid w:val="00507AAC"/>
    <w:rsid w:val="00514DD0"/>
    <w:rsid w:val="005177FE"/>
    <w:rsid w:val="0052263B"/>
    <w:rsid w:val="00524728"/>
    <w:rsid w:val="00530003"/>
    <w:rsid w:val="00530E88"/>
    <w:rsid w:val="005331CA"/>
    <w:rsid w:val="0053353F"/>
    <w:rsid w:val="00533739"/>
    <w:rsid w:val="00537970"/>
    <w:rsid w:val="00540B44"/>
    <w:rsid w:val="00540BA9"/>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94413"/>
    <w:rsid w:val="005A0CCA"/>
    <w:rsid w:val="005A2A04"/>
    <w:rsid w:val="005A726D"/>
    <w:rsid w:val="005B67AC"/>
    <w:rsid w:val="005C2C94"/>
    <w:rsid w:val="005C36BC"/>
    <w:rsid w:val="005C4865"/>
    <w:rsid w:val="005C5B8F"/>
    <w:rsid w:val="005D43E0"/>
    <w:rsid w:val="005D58A3"/>
    <w:rsid w:val="005E1B79"/>
    <w:rsid w:val="005E376C"/>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1AF2"/>
    <w:rsid w:val="0066252C"/>
    <w:rsid w:val="006661EF"/>
    <w:rsid w:val="0067294B"/>
    <w:rsid w:val="00676D22"/>
    <w:rsid w:val="00677736"/>
    <w:rsid w:val="0067785F"/>
    <w:rsid w:val="00677AEB"/>
    <w:rsid w:val="00680EF2"/>
    <w:rsid w:val="006839C2"/>
    <w:rsid w:val="0068598E"/>
    <w:rsid w:val="00687A1D"/>
    <w:rsid w:val="006920CC"/>
    <w:rsid w:val="00692AB2"/>
    <w:rsid w:val="0069647C"/>
    <w:rsid w:val="00697EA1"/>
    <w:rsid w:val="006A1850"/>
    <w:rsid w:val="006A2646"/>
    <w:rsid w:val="006A3DF0"/>
    <w:rsid w:val="006A6530"/>
    <w:rsid w:val="006B435A"/>
    <w:rsid w:val="006B4C64"/>
    <w:rsid w:val="006B4FFC"/>
    <w:rsid w:val="006C1F58"/>
    <w:rsid w:val="006D0E6E"/>
    <w:rsid w:val="006D6BD5"/>
    <w:rsid w:val="006E481A"/>
    <w:rsid w:val="006E5298"/>
    <w:rsid w:val="006F1964"/>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0C4"/>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3A32"/>
    <w:rsid w:val="00867A8F"/>
    <w:rsid w:val="00870AA1"/>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CDE"/>
    <w:rsid w:val="008E2DFA"/>
    <w:rsid w:val="008E3339"/>
    <w:rsid w:val="008E549B"/>
    <w:rsid w:val="008F18EF"/>
    <w:rsid w:val="008F20FC"/>
    <w:rsid w:val="008F2B24"/>
    <w:rsid w:val="008F5FFE"/>
    <w:rsid w:val="0090421A"/>
    <w:rsid w:val="00905A43"/>
    <w:rsid w:val="00907DC2"/>
    <w:rsid w:val="00912C79"/>
    <w:rsid w:val="009259F8"/>
    <w:rsid w:val="009260A2"/>
    <w:rsid w:val="00942123"/>
    <w:rsid w:val="00951031"/>
    <w:rsid w:val="0095207B"/>
    <w:rsid w:val="00954461"/>
    <w:rsid w:val="00954D3C"/>
    <w:rsid w:val="00956085"/>
    <w:rsid w:val="00957951"/>
    <w:rsid w:val="00962045"/>
    <w:rsid w:val="00965CD9"/>
    <w:rsid w:val="00967EDA"/>
    <w:rsid w:val="00970897"/>
    <w:rsid w:val="00980314"/>
    <w:rsid w:val="009816D0"/>
    <w:rsid w:val="009820EA"/>
    <w:rsid w:val="00991428"/>
    <w:rsid w:val="00992676"/>
    <w:rsid w:val="00996691"/>
    <w:rsid w:val="009A3A17"/>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4A45"/>
    <w:rsid w:val="009E20B2"/>
    <w:rsid w:val="009E2AEB"/>
    <w:rsid w:val="009E2E27"/>
    <w:rsid w:val="009E4DE3"/>
    <w:rsid w:val="00A012FC"/>
    <w:rsid w:val="00A047EE"/>
    <w:rsid w:val="00A114EA"/>
    <w:rsid w:val="00A132C5"/>
    <w:rsid w:val="00A153F7"/>
    <w:rsid w:val="00A2274A"/>
    <w:rsid w:val="00A235B7"/>
    <w:rsid w:val="00A27A7A"/>
    <w:rsid w:val="00A407EF"/>
    <w:rsid w:val="00A46B4C"/>
    <w:rsid w:val="00A5117B"/>
    <w:rsid w:val="00A54000"/>
    <w:rsid w:val="00A54689"/>
    <w:rsid w:val="00A60074"/>
    <w:rsid w:val="00A6627C"/>
    <w:rsid w:val="00A70BBC"/>
    <w:rsid w:val="00A71019"/>
    <w:rsid w:val="00A72A73"/>
    <w:rsid w:val="00A81029"/>
    <w:rsid w:val="00A83CB5"/>
    <w:rsid w:val="00A865A7"/>
    <w:rsid w:val="00A96489"/>
    <w:rsid w:val="00AA3A42"/>
    <w:rsid w:val="00AA5311"/>
    <w:rsid w:val="00AA5856"/>
    <w:rsid w:val="00AA7BAA"/>
    <w:rsid w:val="00AB685C"/>
    <w:rsid w:val="00AB6C2D"/>
    <w:rsid w:val="00AC08F7"/>
    <w:rsid w:val="00AC3839"/>
    <w:rsid w:val="00AC7082"/>
    <w:rsid w:val="00AD3FEA"/>
    <w:rsid w:val="00AD7BBD"/>
    <w:rsid w:val="00AE4F3D"/>
    <w:rsid w:val="00AF228E"/>
    <w:rsid w:val="00AF2D4D"/>
    <w:rsid w:val="00AF34A8"/>
    <w:rsid w:val="00B04137"/>
    <w:rsid w:val="00B1112C"/>
    <w:rsid w:val="00B11D19"/>
    <w:rsid w:val="00B12936"/>
    <w:rsid w:val="00B14819"/>
    <w:rsid w:val="00B17AA9"/>
    <w:rsid w:val="00B32DE4"/>
    <w:rsid w:val="00B33578"/>
    <w:rsid w:val="00B370C3"/>
    <w:rsid w:val="00B37FCE"/>
    <w:rsid w:val="00B411AE"/>
    <w:rsid w:val="00B46CE2"/>
    <w:rsid w:val="00B51F20"/>
    <w:rsid w:val="00B60190"/>
    <w:rsid w:val="00B61419"/>
    <w:rsid w:val="00B65487"/>
    <w:rsid w:val="00B72F5F"/>
    <w:rsid w:val="00B736DF"/>
    <w:rsid w:val="00B74FBD"/>
    <w:rsid w:val="00B77352"/>
    <w:rsid w:val="00B82586"/>
    <w:rsid w:val="00B829A3"/>
    <w:rsid w:val="00B86DB1"/>
    <w:rsid w:val="00B87869"/>
    <w:rsid w:val="00BA0E44"/>
    <w:rsid w:val="00BA47C5"/>
    <w:rsid w:val="00BA5A2E"/>
    <w:rsid w:val="00BB0F2B"/>
    <w:rsid w:val="00BB2B6D"/>
    <w:rsid w:val="00BD0D57"/>
    <w:rsid w:val="00BE0089"/>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36E"/>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1DEE"/>
    <w:rsid w:val="00CA6E0D"/>
    <w:rsid w:val="00CB2CBB"/>
    <w:rsid w:val="00CB56CE"/>
    <w:rsid w:val="00CB7CAC"/>
    <w:rsid w:val="00CC0EA0"/>
    <w:rsid w:val="00CC5335"/>
    <w:rsid w:val="00CC5A8C"/>
    <w:rsid w:val="00CC5BA4"/>
    <w:rsid w:val="00CC70BB"/>
    <w:rsid w:val="00CD3420"/>
    <w:rsid w:val="00CD4998"/>
    <w:rsid w:val="00CE0E49"/>
    <w:rsid w:val="00CE1035"/>
    <w:rsid w:val="00CE18A5"/>
    <w:rsid w:val="00CF2819"/>
    <w:rsid w:val="00CF4F9D"/>
    <w:rsid w:val="00CF70DC"/>
    <w:rsid w:val="00D148DC"/>
    <w:rsid w:val="00D17FDC"/>
    <w:rsid w:val="00D24E77"/>
    <w:rsid w:val="00D444C5"/>
    <w:rsid w:val="00D45AEA"/>
    <w:rsid w:val="00D5244F"/>
    <w:rsid w:val="00D52E4F"/>
    <w:rsid w:val="00D56A37"/>
    <w:rsid w:val="00D57202"/>
    <w:rsid w:val="00D6386E"/>
    <w:rsid w:val="00D63EFD"/>
    <w:rsid w:val="00D64826"/>
    <w:rsid w:val="00D777E2"/>
    <w:rsid w:val="00D80DF2"/>
    <w:rsid w:val="00D84752"/>
    <w:rsid w:val="00D85AB0"/>
    <w:rsid w:val="00D86B3B"/>
    <w:rsid w:val="00D8748A"/>
    <w:rsid w:val="00D93196"/>
    <w:rsid w:val="00D94A4D"/>
    <w:rsid w:val="00D968C8"/>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52AE"/>
    <w:rsid w:val="00DF7491"/>
    <w:rsid w:val="00DF75F8"/>
    <w:rsid w:val="00DF7A3A"/>
    <w:rsid w:val="00E00C00"/>
    <w:rsid w:val="00E04A7C"/>
    <w:rsid w:val="00E059FB"/>
    <w:rsid w:val="00E069C4"/>
    <w:rsid w:val="00E07275"/>
    <w:rsid w:val="00E07866"/>
    <w:rsid w:val="00E07C5A"/>
    <w:rsid w:val="00E15BA9"/>
    <w:rsid w:val="00E25B22"/>
    <w:rsid w:val="00E2622D"/>
    <w:rsid w:val="00E26E19"/>
    <w:rsid w:val="00E27DE6"/>
    <w:rsid w:val="00E27E3C"/>
    <w:rsid w:val="00E31DF3"/>
    <w:rsid w:val="00E32814"/>
    <w:rsid w:val="00E33448"/>
    <w:rsid w:val="00E33486"/>
    <w:rsid w:val="00E34181"/>
    <w:rsid w:val="00E3452B"/>
    <w:rsid w:val="00E44EAF"/>
    <w:rsid w:val="00E450A4"/>
    <w:rsid w:val="00E506BE"/>
    <w:rsid w:val="00E5111B"/>
    <w:rsid w:val="00E55547"/>
    <w:rsid w:val="00E57410"/>
    <w:rsid w:val="00E6302B"/>
    <w:rsid w:val="00E6452F"/>
    <w:rsid w:val="00E64619"/>
    <w:rsid w:val="00E64F45"/>
    <w:rsid w:val="00E6742D"/>
    <w:rsid w:val="00E71CB0"/>
    <w:rsid w:val="00E73529"/>
    <w:rsid w:val="00E74E87"/>
    <w:rsid w:val="00E77C3D"/>
    <w:rsid w:val="00E82A93"/>
    <w:rsid w:val="00E82E22"/>
    <w:rsid w:val="00E850FE"/>
    <w:rsid w:val="00E909F0"/>
    <w:rsid w:val="00E90D47"/>
    <w:rsid w:val="00E93993"/>
    <w:rsid w:val="00E94A3E"/>
    <w:rsid w:val="00E94A8C"/>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2D8F"/>
    <w:rsid w:val="00F033DA"/>
    <w:rsid w:val="00F04DD6"/>
    <w:rsid w:val="00F11AAB"/>
    <w:rsid w:val="00F13FB1"/>
    <w:rsid w:val="00F17243"/>
    <w:rsid w:val="00F17BC1"/>
    <w:rsid w:val="00F17C87"/>
    <w:rsid w:val="00F20272"/>
    <w:rsid w:val="00F223E7"/>
    <w:rsid w:val="00F2288D"/>
    <w:rsid w:val="00F25779"/>
    <w:rsid w:val="00F2750A"/>
    <w:rsid w:val="00F27CD8"/>
    <w:rsid w:val="00F30351"/>
    <w:rsid w:val="00F3323E"/>
    <w:rsid w:val="00F341F4"/>
    <w:rsid w:val="00F34F9D"/>
    <w:rsid w:val="00F35CCE"/>
    <w:rsid w:val="00F450B7"/>
    <w:rsid w:val="00F51556"/>
    <w:rsid w:val="00F55241"/>
    <w:rsid w:val="00F5524B"/>
    <w:rsid w:val="00F57EEC"/>
    <w:rsid w:val="00F60538"/>
    <w:rsid w:val="00F60884"/>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356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19</Pages>
  <Words>8351</Words>
  <Characters>47602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Gwendolyn OH (SUPCOURT)</cp:lastModifiedBy>
  <cp:revision>71</cp:revision>
  <cp:lastPrinted>2019-08-27T05:42:00Z</cp:lastPrinted>
  <dcterms:created xsi:type="dcterms:W3CDTF">2023-02-22T03:41:00Z</dcterms:created>
  <dcterms:modified xsi:type="dcterms:W3CDTF">2023-03-01T04:30:00Z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2023-02-22T03:41:37Z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5c4cadc4-8249-4b7c-a661-5af5b11ecd49</vt:lpwstr>
  </property>
  <property fmtid="{D5CDD505-2E9C-101B-9397-08002B2CF9AE}" pid="8" name="MSIP_Label_5434c4c7-833e-41e4-b0ab-cdb227a2f6f7_ContentBits">
    <vt:lpwstr>0</vt:lpwstr>
  </property>
</Properties>
</file>