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BF123E" w:rsidRDefault="00AE5B6F" w:rsidP="00B04033">
      <w:pPr>
        <w:pStyle w:val="ListParagraph"/>
        <w:numPr>
          <w:ilvl w:val="0"/>
          <w:numId w:val="1"/>
        </w:numPr>
        <w:ind w:left="426"/>
        <w:jc w:val="both"/>
        <w:rPr>
          <w:rFonts w:ascii="Avenir Next" w:hAnsi="Avenir Next" w:cs="Arial"/>
          <w:sz w:val="22"/>
          <w:szCs w:val="22"/>
          <w:highlight w:val="yellow"/>
          <w:lang w:val="en-GB"/>
        </w:rPr>
      </w:pPr>
      <w:r w:rsidRPr="00BF123E">
        <w:rPr>
          <w:rFonts w:ascii="Avenir Next" w:hAnsi="Avenir Next" w:cs="Arial"/>
          <w:sz w:val="22"/>
          <w:szCs w:val="22"/>
          <w:highlight w:val="yellow"/>
          <w:lang w:val="en-GB"/>
        </w:rPr>
        <w:t>w</w:t>
      </w:r>
      <w:r w:rsidR="00C91062" w:rsidRPr="00BF123E">
        <w:rPr>
          <w:rFonts w:ascii="Avenir Next" w:hAnsi="Avenir Next" w:cs="Arial"/>
          <w:sz w:val="22"/>
          <w:szCs w:val="22"/>
          <w:highlight w:val="yellow"/>
          <w:lang w:val="en-GB"/>
        </w:rPr>
        <w:t>ithin 8 weeks of the commencement of the administration</w:t>
      </w:r>
      <w:r w:rsidR="00763348" w:rsidRPr="00BF123E">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BF123E" w:rsidRDefault="00E443D7" w:rsidP="00B04033">
      <w:pPr>
        <w:pStyle w:val="ListParagraph"/>
        <w:numPr>
          <w:ilvl w:val="0"/>
          <w:numId w:val="2"/>
        </w:numPr>
        <w:ind w:left="426"/>
        <w:jc w:val="both"/>
        <w:rPr>
          <w:rFonts w:ascii="Avenir Next" w:hAnsi="Avenir Next" w:cs="Arial"/>
          <w:sz w:val="22"/>
          <w:szCs w:val="22"/>
          <w:highlight w:val="yellow"/>
          <w:lang w:val="en-GB"/>
        </w:rPr>
      </w:pPr>
      <w:r w:rsidRPr="00BF123E">
        <w:rPr>
          <w:rFonts w:ascii="Avenir Next" w:hAnsi="Avenir Next" w:cs="Arial"/>
          <w:sz w:val="22"/>
          <w:szCs w:val="22"/>
          <w:highlight w:val="yellow"/>
          <w:lang w:val="en-GB"/>
        </w:rPr>
        <w:t>One year</w:t>
      </w:r>
      <w:r w:rsidR="00763348" w:rsidRPr="00BF123E">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C7D85" w:rsidRDefault="00AE5B6F" w:rsidP="00B04033">
      <w:pPr>
        <w:pStyle w:val="ListParagraph"/>
        <w:numPr>
          <w:ilvl w:val="0"/>
          <w:numId w:val="3"/>
        </w:numPr>
        <w:ind w:left="426"/>
        <w:jc w:val="both"/>
        <w:rPr>
          <w:rFonts w:ascii="Avenir Next" w:hAnsi="Avenir Next" w:cs="Arial"/>
          <w:sz w:val="22"/>
          <w:szCs w:val="22"/>
          <w:highlight w:val="yellow"/>
          <w:lang w:val="en-GB"/>
        </w:rPr>
      </w:pPr>
      <w:r w:rsidRPr="009C7D85">
        <w:rPr>
          <w:rFonts w:ascii="Avenir Next" w:hAnsi="Avenir Next" w:cs="Arial"/>
          <w:sz w:val="22"/>
          <w:szCs w:val="22"/>
          <w:highlight w:val="yellow"/>
          <w:lang w:val="en-GB"/>
        </w:rPr>
        <w:t>T</w:t>
      </w:r>
      <w:r w:rsidR="008D1616" w:rsidRPr="009C7D85">
        <w:rPr>
          <w:rFonts w:ascii="Avenir Next" w:hAnsi="Avenir Next" w:cs="Arial"/>
          <w:sz w:val="22"/>
          <w:szCs w:val="22"/>
          <w:highlight w:val="yellow"/>
          <w:lang w:val="en-GB"/>
        </w:rPr>
        <w:t>he company is, or is likely to become, unable to pay their debts, as defined under s</w:t>
      </w:r>
      <w:r w:rsidR="00E833F4" w:rsidRPr="009C7D85">
        <w:rPr>
          <w:rFonts w:ascii="Avenir Next" w:hAnsi="Avenir Next" w:cs="Arial"/>
          <w:sz w:val="22"/>
          <w:szCs w:val="22"/>
          <w:highlight w:val="yellow"/>
          <w:lang w:val="en-GB"/>
        </w:rPr>
        <w:t>ection</w:t>
      </w:r>
      <w:r w:rsidR="008D1616" w:rsidRPr="009C7D85">
        <w:rPr>
          <w:rFonts w:ascii="Avenir Next" w:hAnsi="Avenir Next" w:cs="Arial"/>
          <w:sz w:val="22"/>
          <w:szCs w:val="22"/>
          <w:highlight w:val="yellow"/>
          <w:lang w:val="en-GB"/>
        </w:rPr>
        <w:t xml:space="preserve"> 123 of the Insolvency Act 1986</w:t>
      </w:r>
      <w:r w:rsidR="00763348" w:rsidRPr="009C7D8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9C7D85" w:rsidRDefault="00C91062" w:rsidP="00B04033">
      <w:pPr>
        <w:pStyle w:val="ListParagraph"/>
        <w:numPr>
          <w:ilvl w:val="0"/>
          <w:numId w:val="4"/>
        </w:numPr>
        <w:ind w:left="426"/>
        <w:jc w:val="both"/>
        <w:rPr>
          <w:rFonts w:ascii="Avenir Next" w:hAnsi="Avenir Next" w:cs="Arial"/>
          <w:sz w:val="22"/>
          <w:szCs w:val="22"/>
          <w:highlight w:val="yellow"/>
          <w:lang w:val="en-GB"/>
        </w:rPr>
      </w:pPr>
      <w:r w:rsidRPr="009C7D85">
        <w:rPr>
          <w:rFonts w:ascii="Avenir Next" w:hAnsi="Avenir Next" w:cs="Arial"/>
          <w:sz w:val="22"/>
          <w:szCs w:val="22"/>
          <w:highlight w:val="yellow"/>
          <w:lang w:val="en-GB"/>
        </w:rPr>
        <w:t>The purchaser</w:t>
      </w:r>
      <w:r w:rsidR="00763348" w:rsidRPr="009C7D8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9C7D85" w:rsidRDefault="00BA1CFD" w:rsidP="00B04033">
      <w:pPr>
        <w:pStyle w:val="ListParagraph"/>
        <w:numPr>
          <w:ilvl w:val="0"/>
          <w:numId w:val="5"/>
        </w:numPr>
        <w:ind w:left="426"/>
        <w:jc w:val="both"/>
        <w:rPr>
          <w:rFonts w:ascii="Avenir Next" w:hAnsi="Avenir Next" w:cs="Arial"/>
          <w:sz w:val="22"/>
          <w:szCs w:val="22"/>
          <w:highlight w:val="yellow"/>
          <w:lang w:val="en-GB"/>
        </w:rPr>
      </w:pPr>
      <w:r w:rsidRPr="009C7D85">
        <w:rPr>
          <w:rFonts w:ascii="Avenir Next" w:hAnsi="Avenir Next" w:cs="Arial"/>
          <w:sz w:val="22"/>
          <w:szCs w:val="22"/>
          <w:highlight w:val="yellow"/>
          <w:lang w:val="en-GB"/>
        </w:rPr>
        <w:t>Administration</w:t>
      </w:r>
      <w:r w:rsidR="00763348" w:rsidRPr="009C7D8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9C7D85" w:rsidRDefault="001F3C98" w:rsidP="00B04033">
      <w:pPr>
        <w:pStyle w:val="ListParagraph"/>
        <w:numPr>
          <w:ilvl w:val="0"/>
          <w:numId w:val="6"/>
        </w:numPr>
        <w:ind w:left="426"/>
        <w:jc w:val="both"/>
        <w:rPr>
          <w:rFonts w:ascii="Avenir Next" w:hAnsi="Avenir Next" w:cs="Arial"/>
          <w:sz w:val="22"/>
          <w:szCs w:val="22"/>
          <w:highlight w:val="yellow"/>
          <w:lang w:val="en-GB"/>
        </w:rPr>
      </w:pPr>
      <w:r w:rsidRPr="009C7D85">
        <w:rPr>
          <w:rFonts w:ascii="Avenir Next" w:hAnsi="Avenir Next" w:cs="Arial"/>
          <w:sz w:val="22"/>
          <w:szCs w:val="22"/>
          <w:highlight w:val="yellow"/>
          <w:lang w:val="en-GB"/>
        </w:rPr>
        <w:t xml:space="preserve">GBP </w:t>
      </w:r>
      <w:r w:rsidR="00BA1CFD" w:rsidRPr="009C7D85">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9C7D85" w:rsidRDefault="00BA1CFD" w:rsidP="00B04033">
      <w:pPr>
        <w:pStyle w:val="ListParagraph"/>
        <w:numPr>
          <w:ilvl w:val="0"/>
          <w:numId w:val="7"/>
        </w:numPr>
        <w:ind w:left="426"/>
        <w:jc w:val="both"/>
        <w:rPr>
          <w:rFonts w:ascii="Avenir Next" w:hAnsi="Avenir Next" w:cs="Arial"/>
          <w:sz w:val="22"/>
          <w:szCs w:val="22"/>
          <w:highlight w:val="yellow"/>
          <w:lang w:val="en-GB"/>
        </w:rPr>
      </w:pPr>
      <w:r w:rsidRPr="009C7D85">
        <w:rPr>
          <w:rFonts w:ascii="Avenir Next" w:hAnsi="Avenir Next" w:cs="Arial"/>
          <w:sz w:val="22"/>
          <w:szCs w:val="22"/>
          <w:highlight w:val="yellow"/>
          <w:lang w:val="en-GB"/>
        </w:rPr>
        <w:t>Wrongful trading</w:t>
      </w:r>
      <w:r w:rsidR="00763348" w:rsidRPr="009C7D85">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1E682D" w:rsidRDefault="00876F56" w:rsidP="00B04033">
      <w:pPr>
        <w:pStyle w:val="ListParagraph"/>
        <w:numPr>
          <w:ilvl w:val="0"/>
          <w:numId w:val="8"/>
        </w:numPr>
        <w:ind w:left="426"/>
        <w:jc w:val="both"/>
        <w:rPr>
          <w:rFonts w:ascii="Avenir Next" w:hAnsi="Avenir Next" w:cs="Arial"/>
          <w:sz w:val="22"/>
          <w:szCs w:val="22"/>
          <w:highlight w:val="yellow"/>
          <w:lang w:val="en-GB"/>
        </w:rPr>
      </w:pPr>
      <w:r w:rsidRPr="001E682D">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1E682D" w:rsidRDefault="00E833F4" w:rsidP="00B04033">
      <w:pPr>
        <w:pStyle w:val="ListParagraph"/>
        <w:numPr>
          <w:ilvl w:val="0"/>
          <w:numId w:val="9"/>
        </w:numPr>
        <w:ind w:left="426"/>
        <w:jc w:val="both"/>
        <w:rPr>
          <w:rFonts w:ascii="Avenir Next" w:hAnsi="Avenir Next" w:cs="Arial"/>
          <w:sz w:val="22"/>
          <w:szCs w:val="22"/>
          <w:highlight w:val="yellow"/>
          <w:lang w:val="en-GB"/>
        </w:rPr>
      </w:pPr>
      <w:r w:rsidRPr="001E682D">
        <w:rPr>
          <w:rFonts w:ascii="Avenir Next" w:hAnsi="Avenir Next" w:cs="Arial"/>
          <w:sz w:val="22"/>
          <w:szCs w:val="22"/>
          <w:highlight w:val="yellow"/>
          <w:lang w:val="en-GB"/>
        </w:rPr>
        <w:t>A</w:t>
      </w:r>
      <w:r w:rsidR="000D10C6" w:rsidRPr="001E682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A63544" w:rsidRDefault="0020204E" w:rsidP="00B04033">
      <w:pPr>
        <w:pStyle w:val="ListParagraph"/>
        <w:numPr>
          <w:ilvl w:val="0"/>
          <w:numId w:val="10"/>
        </w:numPr>
        <w:ind w:left="426"/>
        <w:jc w:val="both"/>
        <w:rPr>
          <w:rFonts w:ascii="Avenir Next" w:hAnsi="Avenir Next" w:cs="Arial"/>
          <w:sz w:val="22"/>
          <w:szCs w:val="22"/>
          <w:highlight w:val="yellow"/>
          <w:lang w:val="en-GB"/>
        </w:rPr>
      </w:pPr>
      <w:r w:rsidRPr="00A63544">
        <w:rPr>
          <w:rFonts w:ascii="Avenir Next" w:hAnsi="Avenir Next" w:cs="Arial"/>
          <w:sz w:val="22"/>
          <w:szCs w:val="22"/>
          <w:highlight w:val="yellow"/>
          <w:lang w:val="en-GB"/>
        </w:rPr>
        <w:t>12 months</w:t>
      </w:r>
      <w:r w:rsidR="00763348" w:rsidRPr="00A63544">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5F952A04" w:rsidR="00AE5B6F" w:rsidRDefault="00A63544"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prescribed under section 423 of the 1986 Act a victim of the relevant transaction may bring an action. Where under an administration, receivership or within a liquidation the office holder of any of these processes the office holder may bring an action, furthermore with the leave of the court a </w:t>
      </w:r>
      <w:r w:rsidR="00A17AC3">
        <w:rPr>
          <w:rFonts w:ascii="Avenir Next" w:hAnsi="Avenir Next" w:cs="Arial"/>
          <w:color w:val="808080" w:themeColor="background1" w:themeShade="80"/>
          <w:sz w:val="22"/>
          <w:szCs w:val="22"/>
          <w:lang w:val="en-GB"/>
        </w:rPr>
        <w:t>victim</w:t>
      </w:r>
      <w:r>
        <w:rPr>
          <w:rFonts w:ascii="Avenir Next" w:hAnsi="Avenir Next" w:cs="Arial"/>
          <w:color w:val="808080" w:themeColor="background1" w:themeShade="80"/>
          <w:sz w:val="22"/>
          <w:szCs w:val="22"/>
          <w:lang w:val="en-GB"/>
        </w:rPr>
        <w:t xml:space="preserve"> may bring an action. Within a CVA the supervisor of the CVA may bring an action in </w:t>
      </w:r>
      <w:r w:rsidR="00A17AC3">
        <w:rPr>
          <w:rFonts w:ascii="Avenir Next" w:hAnsi="Avenir Next" w:cs="Arial"/>
          <w:color w:val="808080" w:themeColor="background1" w:themeShade="80"/>
          <w:sz w:val="22"/>
          <w:szCs w:val="22"/>
          <w:lang w:val="en-GB"/>
        </w:rPr>
        <w:t>addition to</w:t>
      </w:r>
      <w:r>
        <w:rPr>
          <w:rFonts w:ascii="Avenir Next" w:hAnsi="Avenir Next" w:cs="Arial"/>
          <w:color w:val="808080" w:themeColor="background1" w:themeShade="80"/>
          <w:sz w:val="22"/>
          <w:szCs w:val="22"/>
          <w:lang w:val="en-GB"/>
        </w:rPr>
        <w:t xml:space="preserve"> the victim of the transactions</w:t>
      </w:r>
      <w:r w:rsidR="00A17AC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victim must have the leave of the court</w:t>
      </w:r>
    </w:p>
    <w:p w14:paraId="79E62011" w14:textId="0C69202B" w:rsidR="00A63544" w:rsidRDefault="00A63544" w:rsidP="006624AB">
      <w:pPr>
        <w:jc w:val="both"/>
        <w:rPr>
          <w:rFonts w:ascii="Avenir Next" w:hAnsi="Avenir Next" w:cs="Arial"/>
          <w:color w:val="808080" w:themeColor="background1" w:themeShade="80"/>
          <w:sz w:val="22"/>
          <w:szCs w:val="22"/>
          <w:lang w:val="en-GB"/>
        </w:rPr>
      </w:pPr>
    </w:p>
    <w:p w14:paraId="0344D43F" w14:textId="7B2649AC" w:rsidR="00C22E2E" w:rsidRPr="00212001" w:rsidRDefault="00C22E2E"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Actions can be brought by both liquidators or administrators under section 6 of the Company Directors Disqualification Act 1986 and section 246ZB of the Insolvency Act 1986.</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3C6FB612" w:rsidR="00EA3B38" w:rsidRPr="00B84055" w:rsidRDefault="00C22E2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Redundancy payments, rent due from period during </w:t>
      </w:r>
      <w:r w:rsidR="00A17AC3">
        <w:rPr>
          <w:rFonts w:ascii="Avenir Next" w:hAnsi="Avenir Next" w:cs="Arial"/>
          <w:color w:val="808080" w:themeColor="background1" w:themeShade="80"/>
          <w:sz w:val="22"/>
          <w:szCs w:val="22"/>
        </w:rPr>
        <w:t>M</w:t>
      </w:r>
      <w:r>
        <w:rPr>
          <w:rFonts w:ascii="Avenir Next" w:hAnsi="Avenir Next" w:cs="Arial"/>
          <w:color w:val="808080" w:themeColor="background1" w:themeShade="80"/>
          <w:sz w:val="22"/>
          <w:szCs w:val="22"/>
        </w:rPr>
        <w:t>oratorium, wages or salary from a contract of employment, goods or services supplied during the Moratorium, the remuneration or expenses of the Monitor</w:t>
      </w:r>
      <w:r w:rsidR="00A17AC3">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4D22A446" w:rsidR="00EA3B38" w:rsidRDefault="00A17AC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past clauses within contracts specifying automatic termination of </w:t>
      </w:r>
      <w:r w:rsidR="008060CA">
        <w:rPr>
          <w:rFonts w:ascii="Avenir Next" w:hAnsi="Avenir Next" w:cs="Arial"/>
          <w:color w:val="808080" w:themeColor="background1" w:themeShade="80"/>
          <w:sz w:val="22"/>
          <w:szCs w:val="22"/>
        </w:rPr>
        <w:t xml:space="preserve">supplier contracts upon commencement of administration proceedings had been largely effective, though there are now a significant </w:t>
      </w:r>
      <w:r w:rsidR="00A94D9A">
        <w:rPr>
          <w:rFonts w:ascii="Avenir Next" w:hAnsi="Avenir Next" w:cs="Arial"/>
          <w:color w:val="808080" w:themeColor="background1" w:themeShade="80"/>
          <w:sz w:val="22"/>
          <w:szCs w:val="22"/>
        </w:rPr>
        <w:t>number</w:t>
      </w:r>
      <w:r w:rsidR="008060CA">
        <w:rPr>
          <w:rFonts w:ascii="Avenir Next" w:hAnsi="Avenir Next" w:cs="Arial"/>
          <w:color w:val="808080" w:themeColor="background1" w:themeShade="80"/>
          <w:sz w:val="22"/>
          <w:szCs w:val="22"/>
        </w:rPr>
        <w:t xml:space="preserve"> of exceptions to these cases.</w:t>
      </w:r>
    </w:p>
    <w:p w14:paraId="43643C5C" w14:textId="07B96F0B" w:rsidR="008060CA" w:rsidRDefault="008060C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Under Section 233 of the </w:t>
      </w:r>
      <w:r w:rsidR="00A94D9A">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 xml:space="preserve"> Act of 1986 certain suppliers such as those of gas, electricity, </w:t>
      </w:r>
      <w:r w:rsidR="00A94D9A">
        <w:rPr>
          <w:rFonts w:ascii="Avenir Next" w:hAnsi="Avenir Next" w:cs="Arial"/>
          <w:color w:val="808080" w:themeColor="background1" w:themeShade="80"/>
          <w:sz w:val="22"/>
          <w:szCs w:val="22"/>
        </w:rPr>
        <w:t>water,</w:t>
      </w:r>
      <w:r>
        <w:rPr>
          <w:rFonts w:ascii="Avenir Next" w:hAnsi="Avenir Next" w:cs="Arial"/>
          <w:color w:val="808080" w:themeColor="background1" w:themeShade="80"/>
          <w:sz w:val="22"/>
          <w:szCs w:val="22"/>
        </w:rPr>
        <w:t xml:space="preserve"> and communication services may not rely on “</w:t>
      </w:r>
      <w:r w:rsidR="00A94D9A">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-related term” within contracts that would allow the supplier to terminate the supply or alternatively, offer adverse terms of supply upon initiation of an insolvency proceeding.</w:t>
      </w:r>
    </w:p>
    <w:p w14:paraId="76D5E1A3" w14:textId="063E24F4" w:rsidR="008060CA" w:rsidRDefault="008060CA" w:rsidP="00EA3B38">
      <w:pPr>
        <w:jc w:val="both"/>
        <w:rPr>
          <w:rFonts w:ascii="Avenir Next" w:hAnsi="Avenir Next" w:cs="Arial"/>
          <w:color w:val="808080" w:themeColor="background1" w:themeShade="80"/>
          <w:sz w:val="22"/>
          <w:szCs w:val="22"/>
        </w:rPr>
      </w:pPr>
    </w:p>
    <w:p w14:paraId="191C4623" w14:textId="7007D244" w:rsidR="008060CA" w:rsidRDefault="008060C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suppliers cannot require the payment of previously incurred debts </w:t>
      </w:r>
      <w:r w:rsidR="00030184">
        <w:rPr>
          <w:rFonts w:ascii="Avenir Next" w:hAnsi="Avenir Next" w:cs="Arial"/>
          <w:color w:val="808080" w:themeColor="background1" w:themeShade="80"/>
          <w:sz w:val="22"/>
          <w:szCs w:val="22"/>
        </w:rPr>
        <w:t>to</w:t>
      </w:r>
      <w:r>
        <w:rPr>
          <w:rFonts w:ascii="Avenir Next" w:hAnsi="Avenir Next" w:cs="Arial"/>
          <w:color w:val="808080" w:themeColor="background1" w:themeShade="80"/>
          <w:sz w:val="22"/>
          <w:szCs w:val="22"/>
        </w:rPr>
        <w:t xml:space="preserve"> </w:t>
      </w:r>
      <w:r w:rsidR="009D001F">
        <w:rPr>
          <w:rFonts w:ascii="Avenir Next" w:hAnsi="Avenir Next" w:cs="Arial"/>
          <w:color w:val="808080" w:themeColor="background1" w:themeShade="80"/>
          <w:sz w:val="22"/>
          <w:szCs w:val="22"/>
        </w:rPr>
        <w:t xml:space="preserve">continue service to the company in </w:t>
      </w:r>
      <w:r w:rsidR="00A94D9A">
        <w:rPr>
          <w:rFonts w:ascii="Avenir Next" w:hAnsi="Avenir Next" w:cs="Arial"/>
          <w:color w:val="808080" w:themeColor="background1" w:themeShade="80"/>
          <w:sz w:val="22"/>
          <w:szCs w:val="22"/>
        </w:rPr>
        <w:t>administration,</w:t>
      </w:r>
      <w:r w:rsidR="009D001F">
        <w:rPr>
          <w:rFonts w:ascii="Avenir Next" w:hAnsi="Avenir Next" w:cs="Arial"/>
          <w:color w:val="808080" w:themeColor="background1" w:themeShade="80"/>
          <w:sz w:val="22"/>
          <w:szCs w:val="22"/>
        </w:rPr>
        <w:t xml:space="preserve"> they are allowed to require that the administrator guarantee payment of the charges incurred during the administration.</w:t>
      </w:r>
    </w:p>
    <w:p w14:paraId="4B36FAF9" w14:textId="17470571" w:rsidR="009D001F" w:rsidRDefault="009D001F" w:rsidP="00EA3B38">
      <w:pPr>
        <w:jc w:val="both"/>
        <w:rPr>
          <w:rFonts w:ascii="Avenir Next" w:hAnsi="Avenir Next" w:cs="Arial"/>
          <w:color w:val="808080" w:themeColor="background1" w:themeShade="80"/>
          <w:sz w:val="22"/>
          <w:szCs w:val="22"/>
        </w:rPr>
      </w:pPr>
    </w:p>
    <w:p w14:paraId="72D9B17D" w14:textId="05945DE4" w:rsidR="0077697F" w:rsidRDefault="009D001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Within the updated 2020 Act</w:t>
      </w:r>
      <w:r w:rsidR="0077697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section 233B expanded these </w:t>
      </w:r>
      <w:r w:rsidR="0077697F">
        <w:rPr>
          <w:rFonts w:ascii="Avenir Next" w:hAnsi="Avenir Next" w:cs="Arial"/>
          <w:color w:val="808080" w:themeColor="background1" w:themeShade="80"/>
          <w:sz w:val="22"/>
          <w:szCs w:val="22"/>
        </w:rPr>
        <w:t>protections</w:t>
      </w:r>
      <w:r>
        <w:rPr>
          <w:rFonts w:ascii="Avenir Next" w:hAnsi="Avenir Next" w:cs="Arial"/>
          <w:color w:val="808080" w:themeColor="background1" w:themeShade="80"/>
          <w:sz w:val="22"/>
          <w:szCs w:val="22"/>
        </w:rPr>
        <w:t xml:space="preserve"> for </w:t>
      </w:r>
      <w:r w:rsidR="00030184">
        <w:rPr>
          <w:rFonts w:ascii="Avenir Next" w:hAnsi="Avenir Next" w:cs="Arial"/>
          <w:color w:val="808080" w:themeColor="background1" w:themeShade="80"/>
          <w:sz w:val="22"/>
          <w:szCs w:val="22"/>
        </w:rPr>
        <w:t>companies</w:t>
      </w:r>
      <w:r>
        <w:rPr>
          <w:rFonts w:ascii="Avenir Next" w:hAnsi="Avenir Next" w:cs="Arial"/>
          <w:color w:val="808080" w:themeColor="background1" w:themeShade="80"/>
          <w:sz w:val="22"/>
          <w:szCs w:val="22"/>
        </w:rPr>
        <w:t xml:space="preserve"> </w:t>
      </w:r>
      <w:r w:rsidR="0077697F">
        <w:rPr>
          <w:rFonts w:ascii="Avenir Next" w:hAnsi="Avenir Next" w:cs="Arial"/>
          <w:color w:val="808080" w:themeColor="background1" w:themeShade="80"/>
          <w:sz w:val="22"/>
          <w:szCs w:val="22"/>
        </w:rPr>
        <w:t xml:space="preserve">in a similar manner to section 233 of the Act </w:t>
      </w:r>
      <w:r>
        <w:rPr>
          <w:rFonts w:ascii="Avenir Next" w:hAnsi="Avenir Next" w:cs="Arial"/>
          <w:color w:val="808080" w:themeColor="background1" w:themeShade="80"/>
          <w:sz w:val="22"/>
          <w:szCs w:val="22"/>
        </w:rPr>
        <w:t xml:space="preserve">by </w:t>
      </w:r>
      <w:r w:rsidR="0077697F">
        <w:rPr>
          <w:rFonts w:ascii="Avenir Next" w:hAnsi="Avenir Next" w:cs="Arial"/>
          <w:color w:val="808080" w:themeColor="background1" w:themeShade="80"/>
          <w:sz w:val="22"/>
          <w:szCs w:val="22"/>
        </w:rPr>
        <w:t>prohibiting</w:t>
      </w:r>
      <w:r>
        <w:rPr>
          <w:rFonts w:ascii="Avenir Next" w:hAnsi="Avenir Next" w:cs="Arial"/>
          <w:color w:val="808080" w:themeColor="background1" w:themeShade="80"/>
          <w:sz w:val="22"/>
          <w:szCs w:val="22"/>
        </w:rPr>
        <w:t xml:space="preserve"> </w:t>
      </w:r>
      <w:r w:rsidR="0077697F">
        <w:rPr>
          <w:rFonts w:ascii="Avenir Next" w:hAnsi="Avenir Next" w:cs="Arial"/>
          <w:color w:val="808080" w:themeColor="background1" w:themeShade="80"/>
          <w:sz w:val="22"/>
          <w:szCs w:val="22"/>
        </w:rPr>
        <w:t>clauses</w:t>
      </w:r>
      <w:r>
        <w:rPr>
          <w:rFonts w:ascii="Avenir Next" w:hAnsi="Avenir Next" w:cs="Arial"/>
          <w:color w:val="808080" w:themeColor="background1" w:themeShade="80"/>
          <w:sz w:val="22"/>
          <w:szCs w:val="22"/>
        </w:rPr>
        <w:t xml:space="preserve"> within executory contracts that let a supplier terminate a contract to supply goods or services </w:t>
      </w:r>
      <w:r w:rsidR="00030184">
        <w:rPr>
          <w:rFonts w:ascii="Avenir Next" w:hAnsi="Avenir Next" w:cs="Arial"/>
          <w:color w:val="808080" w:themeColor="background1" w:themeShade="80"/>
          <w:sz w:val="22"/>
          <w:szCs w:val="22"/>
        </w:rPr>
        <w:t>if</w:t>
      </w:r>
      <w:r>
        <w:rPr>
          <w:rFonts w:ascii="Avenir Next" w:hAnsi="Avenir Next" w:cs="Arial"/>
          <w:color w:val="808080" w:themeColor="background1" w:themeShade="80"/>
          <w:sz w:val="22"/>
          <w:szCs w:val="22"/>
        </w:rPr>
        <w:t xml:space="preserve"> a company enters a formal insolvency procedure. </w:t>
      </w:r>
    </w:p>
    <w:p w14:paraId="1DB3100B" w14:textId="77777777" w:rsidR="0077697F" w:rsidRDefault="0077697F" w:rsidP="00EA3B38">
      <w:pPr>
        <w:jc w:val="both"/>
        <w:rPr>
          <w:rFonts w:ascii="Avenir Next" w:hAnsi="Avenir Next" w:cs="Arial"/>
          <w:color w:val="808080" w:themeColor="background1" w:themeShade="80"/>
          <w:sz w:val="22"/>
          <w:szCs w:val="22"/>
        </w:rPr>
      </w:pPr>
    </w:p>
    <w:p w14:paraId="3793EC75" w14:textId="77777777" w:rsidR="00A94D9A" w:rsidRDefault="009D001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key difference being that under 233 only </w:t>
      </w:r>
      <w:r w:rsidR="0077697F">
        <w:rPr>
          <w:rFonts w:ascii="Avenir Next" w:hAnsi="Avenir Next" w:cs="Arial"/>
          <w:color w:val="808080" w:themeColor="background1" w:themeShade="80"/>
          <w:sz w:val="22"/>
          <w:szCs w:val="22"/>
        </w:rPr>
        <w:t>utility</w:t>
      </w:r>
      <w:r>
        <w:rPr>
          <w:rFonts w:ascii="Avenir Next" w:hAnsi="Avenir Next" w:cs="Arial"/>
          <w:color w:val="808080" w:themeColor="background1" w:themeShade="80"/>
          <w:sz w:val="22"/>
          <w:szCs w:val="22"/>
        </w:rPr>
        <w:t xml:space="preserve">, communication and IT supplier were covered whereas under section 233B all suppliers bar several key </w:t>
      </w:r>
      <w:r w:rsidR="0077697F">
        <w:rPr>
          <w:rFonts w:ascii="Avenir Next" w:hAnsi="Avenir Next" w:cs="Arial"/>
          <w:color w:val="808080" w:themeColor="background1" w:themeShade="80"/>
          <w:sz w:val="22"/>
          <w:szCs w:val="22"/>
        </w:rPr>
        <w:t>exceptions</w:t>
      </w:r>
      <w:r>
        <w:rPr>
          <w:rFonts w:ascii="Avenir Next" w:hAnsi="Avenir Next" w:cs="Arial"/>
          <w:color w:val="808080" w:themeColor="background1" w:themeShade="80"/>
          <w:sz w:val="22"/>
          <w:szCs w:val="22"/>
        </w:rPr>
        <w:t xml:space="preserve"> are included. These exceptions include securitization companies, insurers, banks, clearing </w:t>
      </w:r>
      <w:r w:rsidR="00A94D9A">
        <w:rPr>
          <w:rFonts w:ascii="Avenir Next" w:hAnsi="Avenir Next" w:cs="Arial"/>
          <w:color w:val="808080" w:themeColor="background1" w:themeShade="80"/>
          <w:sz w:val="22"/>
          <w:szCs w:val="22"/>
        </w:rPr>
        <w:t>houses</w:t>
      </w:r>
      <w:r>
        <w:rPr>
          <w:rFonts w:ascii="Avenir Next" w:hAnsi="Avenir Next" w:cs="Arial"/>
          <w:color w:val="808080" w:themeColor="background1" w:themeShade="80"/>
          <w:sz w:val="22"/>
          <w:szCs w:val="22"/>
        </w:rPr>
        <w:t xml:space="preserve"> etc. </w:t>
      </w:r>
    </w:p>
    <w:p w14:paraId="634C706F" w14:textId="77777777" w:rsidR="00A94D9A" w:rsidRDefault="00A94D9A" w:rsidP="00EA3B38">
      <w:pPr>
        <w:jc w:val="both"/>
        <w:rPr>
          <w:rFonts w:ascii="Avenir Next" w:hAnsi="Avenir Next" w:cs="Arial"/>
          <w:color w:val="808080" w:themeColor="background1" w:themeShade="80"/>
          <w:sz w:val="22"/>
          <w:szCs w:val="22"/>
        </w:rPr>
      </w:pPr>
    </w:p>
    <w:p w14:paraId="1AA87182" w14:textId="5DE149C7" w:rsidR="009D001F" w:rsidRDefault="009D001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A94D9A">
        <w:rPr>
          <w:rFonts w:ascii="Avenir Next" w:hAnsi="Avenir Next" w:cs="Arial"/>
          <w:color w:val="808080" w:themeColor="background1" w:themeShade="80"/>
          <w:sz w:val="22"/>
          <w:szCs w:val="22"/>
        </w:rPr>
        <w:t>lthough key to note, a</w:t>
      </w:r>
      <w:r>
        <w:rPr>
          <w:rFonts w:ascii="Avenir Next" w:hAnsi="Avenir Next" w:cs="Arial"/>
          <w:color w:val="808080" w:themeColor="background1" w:themeShade="80"/>
          <w:sz w:val="22"/>
          <w:szCs w:val="22"/>
        </w:rPr>
        <w:t xml:space="preserve"> contract may still be terminated under section 233B either by the consent of the insolvency office holder or </w:t>
      </w:r>
      <w:r w:rsidR="0077697F">
        <w:rPr>
          <w:rFonts w:ascii="Avenir Next" w:hAnsi="Avenir Next" w:cs="Arial"/>
          <w:color w:val="808080" w:themeColor="background1" w:themeShade="80"/>
          <w:sz w:val="22"/>
          <w:szCs w:val="22"/>
        </w:rPr>
        <w:t xml:space="preserve">by the court upon </w:t>
      </w:r>
      <w:r w:rsidR="00A94D9A">
        <w:rPr>
          <w:rFonts w:ascii="Avenir Next" w:hAnsi="Avenir Next" w:cs="Arial"/>
          <w:color w:val="808080" w:themeColor="background1" w:themeShade="80"/>
          <w:sz w:val="22"/>
          <w:szCs w:val="22"/>
        </w:rPr>
        <w:t>application if</w:t>
      </w:r>
      <w:r w:rsidR="0077697F">
        <w:rPr>
          <w:rFonts w:ascii="Avenir Next" w:hAnsi="Avenir Next" w:cs="Arial"/>
          <w:color w:val="808080" w:themeColor="background1" w:themeShade="80"/>
          <w:sz w:val="22"/>
          <w:szCs w:val="22"/>
        </w:rPr>
        <w:t xml:space="preserve"> </w:t>
      </w:r>
      <w:r w:rsidR="00030184">
        <w:rPr>
          <w:rFonts w:ascii="Avenir Next" w:hAnsi="Avenir Next" w:cs="Arial"/>
          <w:color w:val="808080" w:themeColor="background1" w:themeShade="80"/>
          <w:sz w:val="22"/>
          <w:szCs w:val="22"/>
        </w:rPr>
        <w:t>it</w:t>
      </w:r>
      <w:r w:rsidR="0077697F">
        <w:rPr>
          <w:rFonts w:ascii="Avenir Next" w:hAnsi="Avenir Next" w:cs="Arial"/>
          <w:color w:val="808080" w:themeColor="background1" w:themeShade="80"/>
          <w:sz w:val="22"/>
          <w:szCs w:val="22"/>
        </w:rPr>
        <w:t xml:space="preserve"> is satisfied that the continued </w:t>
      </w:r>
      <w:r w:rsidR="00A94D9A">
        <w:rPr>
          <w:rFonts w:ascii="Avenir Next" w:hAnsi="Avenir Next" w:cs="Arial"/>
          <w:color w:val="808080" w:themeColor="background1" w:themeShade="80"/>
          <w:sz w:val="22"/>
          <w:szCs w:val="22"/>
        </w:rPr>
        <w:t>provision</w:t>
      </w:r>
      <w:r w:rsidR="0077697F">
        <w:rPr>
          <w:rFonts w:ascii="Avenir Next" w:hAnsi="Avenir Next" w:cs="Arial"/>
          <w:color w:val="808080" w:themeColor="background1" w:themeShade="80"/>
          <w:sz w:val="22"/>
          <w:szCs w:val="22"/>
        </w:rPr>
        <w:t xml:space="preserve"> of goods and/or services would cause the supplier hardship.</w:t>
      </w:r>
      <w:r>
        <w:rPr>
          <w:rFonts w:ascii="Avenir Next" w:hAnsi="Avenir Next" w:cs="Arial"/>
          <w:color w:val="808080" w:themeColor="background1" w:themeShade="80"/>
          <w:sz w:val="22"/>
          <w:szCs w:val="22"/>
        </w:rPr>
        <w:t xml:space="preserve"> </w:t>
      </w:r>
    </w:p>
    <w:p w14:paraId="26D83A33" w14:textId="503D8760" w:rsidR="00030184" w:rsidRDefault="00030184" w:rsidP="00EA3B38">
      <w:pPr>
        <w:jc w:val="both"/>
        <w:rPr>
          <w:rFonts w:ascii="Avenir Next" w:hAnsi="Avenir Next" w:cs="Arial"/>
          <w:color w:val="808080" w:themeColor="background1" w:themeShade="80"/>
          <w:sz w:val="22"/>
          <w:szCs w:val="22"/>
        </w:rPr>
      </w:pPr>
    </w:p>
    <w:p w14:paraId="637F4756" w14:textId="78D14A03" w:rsidR="00030184" w:rsidRPr="00B84055" w:rsidRDefault="000301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conclusion the Act is able to provide solution to the Administrator in order to continue the provision of key suppliers of the company, however given the scope of these suppliers is limited and the terms for the ongoing provision of services is unique, the Administrator should take ample time to evaluate the </w:t>
      </w:r>
      <w:proofErr w:type="gramStart"/>
      <w:r>
        <w:rPr>
          <w:rFonts w:ascii="Avenir Next" w:hAnsi="Avenir Next" w:cs="Arial"/>
          <w:color w:val="808080" w:themeColor="background1" w:themeShade="80"/>
          <w:sz w:val="22"/>
          <w:szCs w:val="22"/>
        </w:rPr>
        <w:t>companies</w:t>
      </w:r>
      <w:proofErr w:type="gramEnd"/>
      <w:r>
        <w:rPr>
          <w:rFonts w:ascii="Avenir Next" w:hAnsi="Avenir Next" w:cs="Arial"/>
          <w:color w:val="808080" w:themeColor="background1" w:themeShade="80"/>
          <w:sz w:val="22"/>
          <w:szCs w:val="22"/>
        </w:rPr>
        <w:t xml:space="preserve"> business as well as the Act before making any action.</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E3FAFB3" w14:textId="05FC5790" w:rsidR="00030184" w:rsidRDefault="0004363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priority of payments in a liquidation is explicitly set out with the Insolvency 1986 Act (the “Act”)</w:t>
      </w:r>
      <w:r w:rsidR="00030184">
        <w:rPr>
          <w:rFonts w:ascii="Avenir Next" w:hAnsi="Avenir Next" w:cs="Arial"/>
          <w:color w:val="808080" w:themeColor="background1" w:themeShade="80"/>
          <w:sz w:val="22"/>
          <w:szCs w:val="22"/>
        </w:rPr>
        <w:t xml:space="preserve"> and can be broken down into different classes based on priority, these are expense incurred in the liquidation, preferential creditors, priority creditors, floating charge holders, unsecured </w:t>
      </w:r>
      <w:proofErr w:type="gramStart"/>
      <w:r w:rsidR="00030184">
        <w:rPr>
          <w:rFonts w:ascii="Avenir Next" w:hAnsi="Avenir Next" w:cs="Arial"/>
          <w:color w:val="808080" w:themeColor="background1" w:themeShade="80"/>
          <w:sz w:val="22"/>
          <w:szCs w:val="22"/>
        </w:rPr>
        <w:t>creditors</w:t>
      </w:r>
      <w:proofErr w:type="gramEnd"/>
      <w:r w:rsidR="00030184">
        <w:rPr>
          <w:rFonts w:ascii="Avenir Next" w:hAnsi="Avenir Next" w:cs="Arial"/>
          <w:color w:val="808080" w:themeColor="background1" w:themeShade="80"/>
          <w:sz w:val="22"/>
          <w:szCs w:val="22"/>
        </w:rPr>
        <w:t xml:space="preserve"> and shareholders. Within each class is a further hierarchy that is further expanded on within this answer.</w:t>
      </w:r>
    </w:p>
    <w:p w14:paraId="5FBDAB8E" w14:textId="77777777" w:rsidR="00030184" w:rsidRDefault="00030184" w:rsidP="00EA3B38">
      <w:pPr>
        <w:jc w:val="both"/>
        <w:rPr>
          <w:rFonts w:ascii="Avenir Next" w:hAnsi="Avenir Next" w:cs="Arial"/>
          <w:color w:val="808080" w:themeColor="background1" w:themeShade="80"/>
          <w:sz w:val="22"/>
          <w:szCs w:val="22"/>
        </w:rPr>
      </w:pPr>
    </w:p>
    <w:p w14:paraId="1F067633" w14:textId="7C44354C" w:rsidR="00EA3B38" w:rsidRDefault="0004363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Under Section 115 of the Act a series of expenses incurred </w:t>
      </w:r>
      <w:r w:rsidR="005F5D1E">
        <w:rPr>
          <w:rFonts w:ascii="Avenir Next" w:hAnsi="Avenir Next" w:cs="Arial"/>
          <w:color w:val="808080" w:themeColor="background1" w:themeShade="80"/>
          <w:sz w:val="22"/>
          <w:szCs w:val="22"/>
        </w:rPr>
        <w:t>during</w:t>
      </w:r>
      <w:r>
        <w:rPr>
          <w:rFonts w:ascii="Avenir Next" w:hAnsi="Avenir Next" w:cs="Arial"/>
          <w:color w:val="808080" w:themeColor="background1" w:themeShade="80"/>
          <w:sz w:val="22"/>
          <w:szCs w:val="22"/>
        </w:rPr>
        <w:t xml:space="preserve"> the liquidation hold priority over the company’s preferential creditors. The following are the primary expenses which have a priority status to creditors and are ranked in the in the descending priority. Expenses properly incurred </w:t>
      </w:r>
      <w:r w:rsidR="005F5D1E">
        <w:rPr>
          <w:rFonts w:ascii="Avenir Next" w:hAnsi="Avenir Next" w:cs="Arial"/>
          <w:color w:val="808080" w:themeColor="background1" w:themeShade="80"/>
          <w:sz w:val="22"/>
          <w:szCs w:val="22"/>
        </w:rPr>
        <w:t>during</w:t>
      </w:r>
      <w:r>
        <w:rPr>
          <w:rFonts w:ascii="Avenir Next" w:hAnsi="Avenir Next" w:cs="Arial"/>
          <w:color w:val="808080" w:themeColor="background1" w:themeShade="80"/>
          <w:sz w:val="22"/>
          <w:szCs w:val="22"/>
        </w:rPr>
        <w:t xml:space="preserve"> the winding up by the liquidator</w:t>
      </w:r>
      <w:r w:rsidR="005F5D1E">
        <w:rPr>
          <w:rFonts w:ascii="Avenir Next" w:hAnsi="Avenir Next" w:cs="Arial"/>
          <w:color w:val="808080" w:themeColor="background1" w:themeShade="80"/>
          <w:sz w:val="22"/>
          <w:szCs w:val="22"/>
        </w:rPr>
        <w:t xml:space="preserve"> in order to realizing, preserve of obtain the assets of the company;</w:t>
      </w:r>
      <w:r>
        <w:rPr>
          <w:rFonts w:ascii="Avenir Next" w:hAnsi="Avenir Next" w:cs="Arial"/>
          <w:color w:val="808080" w:themeColor="background1" w:themeShade="80"/>
          <w:sz w:val="22"/>
          <w:szCs w:val="22"/>
        </w:rPr>
        <w:t xml:space="preserve"> any costs of security provided by the liquidator, </w:t>
      </w:r>
      <w:r w:rsidR="005F5D1E">
        <w:rPr>
          <w:rFonts w:ascii="Avenir Next" w:hAnsi="Avenir Next" w:cs="Arial"/>
          <w:color w:val="808080" w:themeColor="background1" w:themeShade="80"/>
          <w:sz w:val="22"/>
          <w:szCs w:val="22"/>
        </w:rPr>
        <w:t>monies payable to people who have helped in the production of a statement of affairs or accounts; required disbursements by the liquidator during the course of the liquidation; remuneration of any people that have been under the employment of the liquidator to perform services for the company;  the liquidators remuneration; accrued corporation tax on gains attributed to realisations of company assets, any other miscellaneous expenses properly incurred by the liquidators in carrying out the winding up.</w:t>
      </w:r>
    </w:p>
    <w:p w14:paraId="7CFBCEAB" w14:textId="63348130" w:rsidR="005F5D1E" w:rsidRDefault="005F5D1E" w:rsidP="00EA3B38">
      <w:pPr>
        <w:jc w:val="both"/>
        <w:rPr>
          <w:rFonts w:ascii="Avenir Next" w:hAnsi="Avenir Next" w:cs="Arial"/>
          <w:color w:val="808080" w:themeColor="background1" w:themeShade="80"/>
          <w:sz w:val="22"/>
          <w:szCs w:val="22"/>
        </w:rPr>
      </w:pPr>
    </w:p>
    <w:p w14:paraId="704CED12" w14:textId="78333225" w:rsidR="005F5D1E" w:rsidRPr="00BB041B" w:rsidRDefault="005F5D1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above noted priority expenses of the liquidation are followed by </w:t>
      </w:r>
      <w:r w:rsidR="00030184">
        <w:rPr>
          <w:rFonts w:ascii="Avenir Next" w:hAnsi="Avenir Next" w:cs="Arial"/>
          <w:color w:val="808080" w:themeColor="background1" w:themeShade="80"/>
          <w:sz w:val="22"/>
          <w:szCs w:val="22"/>
        </w:rPr>
        <w:t>preferential</w:t>
      </w:r>
      <w:r>
        <w:rPr>
          <w:rFonts w:ascii="Avenir Next" w:hAnsi="Avenir Next" w:cs="Arial"/>
          <w:color w:val="808080" w:themeColor="background1" w:themeShade="80"/>
          <w:sz w:val="22"/>
          <w:szCs w:val="22"/>
        </w:rPr>
        <w:t xml:space="preserve"> creditors which are defined within sections 386, 387 and schedule 6: section 175 of the Act</w:t>
      </w:r>
      <w:r w:rsidR="0021234C">
        <w:rPr>
          <w:rFonts w:ascii="Avenir Next" w:hAnsi="Avenir Next" w:cs="Arial"/>
          <w:color w:val="808080" w:themeColor="background1" w:themeShade="80"/>
          <w:sz w:val="22"/>
          <w:szCs w:val="22"/>
        </w:rPr>
        <w:t xml:space="preserve">. These can be split into two </w:t>
      </w:r>
      <w:r w:rsidR="0021234C">
        <w:rPr>
          <w:rFonts w:ascii="Avenir Next" w:hAnsi="Avenir Next" w:cs="Arial"/>
          <w:color w:val="808080" w:themeColor="background1" w:themeShade="80"/>
          <w:sz w:val="22"/>
          <w:szCs w:val="22"/>
        </w:rPr>
        <w:lastRenderedPageBreak/>
        <w:t>categories, ordinary and secondary preferential creditors, ordinary preferential creditors are paid before their secondary counterparts, within each individual category all creditors are given equal rank against each other, thereby meaning assets will be paid pari passu in the event there are insufficient funds to meet all debt obligations within a category.</w:t>
      </w:r>
    </w:p>
    <w:p w14:paraId="640BA690" w14:textId="168F2FFA" w:rsidR="0021234C" w:rsidRDefault="0021234C" w:rsidP="00EA3B38">
      <w:pPr>
        <w:jc w:val="both"/>
        <w:rPr>
          <w:rFonts w:ascii="Avenir Next" w:hAnsi="Avenir Next" w:cs="Arial"/>
          <w:color w:val="808080" w:themeColor="background1" w:themeShade="80"/>
          <w:sz w:val="22"/>
          <w:szCs w:val="22"/>
        </w:rPr>
      </w:pPr>
    </w:p>
    <w:p w14:paraId="0E3049F6" w14:textId="4CF1E6EE" w:rsidR="00BB041B" w:rsidRDefault="00BB041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Notwithstanding</w:t>
      </w:r>
      <w:r w:rsidR="00030184">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following are some of the debts that have been classes as ordinary preferential debts according to the Act: funds owed to employees as contributions to pensions </w:t>
      </w:r>
      <w:r w:rsidR="00030184">
        <w:rPr>
          <w:rFonts w:ascii="Avenir Next" w:hAnsi="Avenir Next" w:cs="Arial"/>
          <w:color w:val="808080" w:themeColor="background1" w:themeShade="80"/>
          <w:sz w:val="22"/>
          <w:szCs w:val="22"/>
        </w:rPr>
        <w:t>schemes</w:t>
      </w:r>
      <w:r>
        <w:rPr>
          <w:rFonts w:ascii="Avenir Next" w:hAnsi="Avenir Next" w:cs="Arial"/>
          <w:color w:val="808080" w:themeColor="background1" w:themeShade="80"/>
          <w:sz w:val="22"/>
          <w:szCs w:val="22"/>
        </w:rPr>
        <w:t xml:space="preserve"> from their </w:t>
      </w:r>
      <w:r w:rsidR="00030184">
        <w:rPr>
          <w:rFonts w:ascii="Avenir Next" w:hAnsi="Avenir Next" w:cs="Arial"/>
          <w:color w:val="808080" w:themeColor="background1" w:themeShade="80"/>
          <w:sz w:val="22"/>
          <w:szCs w:val="22"/>
        </w:rPr>
        <w:t>earnings, funds</w:t>
      </w:r>
      <w:r>
        <w:rPr>
          <w:rFonts w:ascii="Avenir Next" w:hAnsi="Avenir Next" w:cs="Arial"/>
          <w:color w:val="808080" w:themeColor="background1" w:themeShade="80"/>
          <w:sz w:val="22"/>
          <w:szCs w:val="22"/>
        </w:rPr>
        <w:t xml:space="preserve"> owed to employees from </w:t>
      </w:r>
      <w:proofErr w:type="gramStart"/>
      <w:r>
        <w:rPr>
          <w:rFonts w:ascii="Avenir Next" w:hAnsi="Avenir Next" w:cs="Arial"/>
          <w:color w:val="808080" w:themeColor="background1" w:themeShade="80"/>
          <w:sz w:val="22"/>
          <w:szCs w:val="22"/>
        </w:rPr>
        <w:t>employers</w:t>
      </w:r>
      <w:proofErr w:type="gramEnd"/>
      <w:r>
        <w:rPr>
          <w:rFonts w:ascii="Avenir Next" w:hAnsi="Avenir Next" w:cs="Arial"/>
          <w:color w:val="808080" w:themeColor="background1" w:themeShade="80"/>
          <w:sz w:val="22"/>
          <w:szCs w:val="22"/>
        </w:rPr>
        <w:t xml:space="preserve"> pension contributions, unpaid </w:t>
      </w:r>
      <w:r w:rsidR="00030184">
        <w:rPr>
          <w:rFonts w:ascii="Avenir Next" w:hAnsi="Avenir Next" w:cs="Arial"/>
          <w:color w:val="808080" w:themeColor="background1" w:themeShade="80"/>
          <w:sz w:val="22"/>
          <w:szCs w:val="22"/>
        </w:rPr>
        <w:t>remuneration</w:t>
      </w:r>
      <w:r>
        <w:rPr>
          <w:rFonts w:ascii="Avenir Next" w:hAnsi="Avenir Next" w:cs="Arial"/>
          <w:color w:val="808080" w:themeColor="background1" w:themeShade="80"/>
          <w:sz w:val="22"/>
          <w:szCs w:val="22"/>
        </w:rPr>
        <w:t xml:space="preserve"> to employees for the four months prior to commencement of winding up (up to GBP 800), accrued vacation pay for period of employee employment.</w:t>
      </w:r>
    </w:p>
    <w:p w14:paraId="5C208793" w14:textId="66FDE80B" w:rsidR="00BB041B" w:rsidRDefault="00BB041B" w:rsidP="00EA3B38">
      <w:pPr>
        <w:jc w:val="both"/>
        <w:rPr>
          <w:rFonts w:ascii="Avenir Next" w:hAnsi="Avenir Next" w:cs="Arial"/>
          <w:color w:val="808080" w:themeColor="background1" w:themeShade="80"/>
          <w:sz w:val="22"/>
          <w:szCs w:val="22"/>
        </w:rPr>
      </w:pPr>
    </w:p>
    <w:p w14:paraId="35BBDF70" w14:textId="118F6102" w:rsidR="00BB041B" w:rsidRDefault="00BB041B" w:rsidP="00EA3B38">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Furt</w:t>
      </w:r>
      <w:r w:rsidR="00030184">
        <w:rPr>
          <w:rFonts w:ascii="Avenir Next" w:hAnsi="Avenir Next" w:cs="Arial"/>
          <w:color w:val="808080" w:themeColor="background1" w:themeShade="80"/>
          <w:sz w:val="22"/>
          <w:szCs w:val="22"/>
        </w:rPr>
        <w:t>her</w:t>
      </w:r>
      <w:r>
        <w:rPr>
          <w:rFonts w:ascii="Avenir Next" w:hAnsi="Avenir Next" w:cs="Arial"/>
          <w:color w:val="808080" w:themeColor="background1" w:themeShade="80"/>
          <w:sz w:val="22"/>
          <w:szCs w:val="22"/>
        </w:rPr>
        <w:t>more</w:t>
      </w:r>
      <w:proofErr w:type="gramEnd"/>
      <w:r>
        <w:rPr>
          <w:rFonts w:ascii="Avenir Next" w:hAnsi="Avenir Next" w:cs="Arial"/>
          <w:color w:val="808080" w:themeColor="background1" w:themeShade="80"/>
          <w:sz w:val="22"/>
          <w:szCs w:val="22"/>
        </w:rPr>
        <w:t xml:space="preserve"> the following are listed within the </w:t>
      </w:r>
      <w:r w:rsidR="00030184">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ct as secondary preferential debts: income tax </w:t>
      </w:r>
      <w:r w:rsidR="00030184">
        <w:rPr>
          <w:rFonts w:ascii="Avenir Next" w:hAnsi="Avenir Next" w:cs="Arial"/>
          <w:color w:val="808080" w:themeColor="background1" w:themeShade="80"/>
          <w:sz w:val="22"/>
          <w:szCs w:val="22"/>
        </w:rPr>
        <w:t>deductions</w:t>
      </w:r>
      <w:r>
        <w:rPr>
          <w:rFonts w:ascii="Avenir Next" w:hAnsi="Avenir Next" w:cs="Arial"/>
          <w:color w:val="808080" w:themeColor="background1" w:themeShade="80"/>
          <w:sz w:val="22"/>
          <w:szCs w:val="22"/>
        </w:rPr>
        <w:t xml:space="preserve"> under PAYE, national insurance deductions, </w:t>
      </w:r>
      <w:r w:rsidR="00030184">
        <w:rPr>
          <w:rFonts w:ascii="Avenir Next" w:hAnsi="Avenir Next" w:cs="Arial"/>
          <w:color w:val="808080" w:themeColor="background1" w:themeShade="80"/>
          <w:sz w:val="22"/>
          <w:szCs w:val="22"/>
        </w:rPr>
        <w:t>V</w:t>
      </w:r>
      <w:r>
        <w:rPr>
          <w:rFonts w:ascii="Avenir Next" w:hAnsi="Avenir Next" w:cs="Arial"/>
          <w:color w:val="808080" w:themeColor="background1" w:themeShade="80"/>
          <w:sz w:val="22"/>
          <w:szCs w:val="22"/>
        </w:rPr>
        <w:t xml:space="preserve">AT payments, student loan payments, amounts owed by the company to eligible people in respect of certain deposits, amounts owed by the company to eligible persons due from </w:t>
      </w:r>
      <w:r w:rsidR="00030184">
        <w:rPr>
          <w:rFonts w:ascii="Avenir Next" w:hAnsi="Avenir Next" w:cs="Arial"/>
          <w:color w:val="808080" w:themeColor="background1" w:themeShade="80"/>
          <w:sz w:val="22"/>
          <w:szCs w:val="22"/>
        </w:rPr>
        <w:t>deposits</w:t>
      </w:r>
      <w:r>
        <w:rPr>
          <w:rFonts w:ascii="Avenir Next" w:hAnsi="Avenir Next" w:cs="Arial"/>
          <w:color w:val="808080" w:themeColor="background1" w:themeShade="80"/>
          <w:sz w:val="22"/>
          <w:szCs w:val="22"/>
        </w:rPr>
        <w:t xml:space="preserve"> </w:t>
      </w:r>
      <w:r w:rsidR="00386E41">
        <w:rPr>
          <w:rFonts w:ascii="Avenir Next" w:hAnsi="Avenir Next" w:cs="Arial"/>
          <w:color w:val="808080" w:themeColor="background1" w:themeShade="80"/>
          <w:sz w:val="22"/>
          <w:szCs w:val="22"/>
        </w:rPr>
        <w:t>that exceed the compensation that would have been payable for the deposit under the Financial Services Compensation Scheme.</w:t>
      </w:r>
    </w:p>
    <w:p w14:paraId="286500BC" w14:textId="45D9FD12" w:rsidR="00386E41" w:rsidRDefault="00386E41" w:rsidP="00EA3B38">
      <w:pPr>
        <w:jc w:val="both"/>
        <w:rPr>
          <w:rFonts w:ascii="Avenir Next" w:hAnsi="Avenir Next" w:cs="Arial"/>
          <w:color w:val="808080" w:themeColor="background1" w:themeShade="80"/>
          <w:sz w:val="22"/>
          <w:szCs w:val="22"/>
        </w:rPr>
      </w:pPr>
    </w:p>
    <w:p w14:paraId="56CE6E09" w14:textId="7F4A6489" w:rsidR="00386E41" w:rsidRDefault="00386E4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Following the </w:t>
      </w:r>
      <w:proofErr w:type="gramStart"/>
      <w:r>
        <w:rPr>
          <w:rFonts w:ascii="Avenir Next" w:hAnsi="Avenir Next" w:cs="Arial"/>
          <w:color w:val="808080" w:themeColor="background1" w:themeShade="80"/>
          <w:sz w:val="22"/>
          <w:szCs w:val="22"/>
        </w:rPr>
        <w:t>aforementioned expenses</w:t>
      </w:r>
      <w:proofErr w:type="gramEnd"/>
      <w:r>
        <w:rPr>
          <w:rFonts w:ascii="Avenir Next" w:hAnsi="Avenir Next" w:cs="Arial"/>
          <w:color w:val="808080" w:themeColor="background1" w:themeShade="80"/>
          <w:sz w:val="22"/>
          <w:szCs w:val="22"/>
        </w:rPr>
        <w:t xml:space="preserve"> and priority debts of the liquidation the next creditor in line to be paid by the liquidator(s) are floating charge holders</w:t>
      </w:r>
      <w:r w:rsidR="00030184">
        <w:rPr>
          <w:rFonts w:ascii="Avenir Next" w:hAnsi="Avenir Next" w:cs="Arial"/>
          <w:color w:val="808080" w:themeColor="background1" w:themeShade="80"/>
          <w:sz w:val="22"/>
          <w:szCs w:val="22"/>
        </w:rPr>
        <w:t>.</w:t>
      </w:r>
      <w:r w:rsidR="00B17D41">
        <w:rPr>
          <w:rFonts w:ascii="Avenir Next" w:hAnsi="Avenir Next" w:cs="Arial"/>
          <w:color w:val="808080" w:themeColor="background1" w:themeShade="80"/>
          <w:sz w:val="22"/>
          <w:szCs w:val="22"/>
        </w:rPr>
        <w:t xml:space="preserve"> </w:t>
      </w:r>
      <w:r w:rsidR="00030184">
        <w:rPr>
          <w:rFonts w:ascii="Avenir Next" w:hAnsi="Avenir Next" w:cs="Arial"/>
          <w:color w:val="808080" w:themeColor="background1" w:themeShade="80"/>
          <w:sz w:val="22"/>
          <w:szCs w:val="22"/>
        </w:rPr>
        <w:t>If</w:t>
      </w:r>
      <w:r w:rsidR="00B17D41">
        <w:rPr>
          <w:rFonts w:ascii="Avenir Next" w:hAnsi="Avenir Next" w:cs="Arial"/>
          <w:color w:val="808080" w:themeColor="background1" w:themeShade="80"/>
          <w:sz w:val="22"/>
          <w:szCs w:val="22"/>
        </w:rPr>
        <w:t xml:space="preserve"> there is more than one floating charge holder, priority is </w:t>
      </w:r>
      <w:r w:rsidR="00030184">
        <w:rPr>
          <w:rFonts w:ascii="Avenir Next" w:hAnsi="Avenir Next" w:cs="Arial"/>
          <w:color w:val="808080" w:themeColor="background1" w:themeShade="80"/>
          <w:sz w:val="22"/>
          <w:szCs w:val="22"/>
        </w:rPr>
        <w:t>typically</w:t>
      </w:r>
      <w:r w:rsidR="00B17D41">
        <w:rPr>
          <w:rFonts w:ascii="Avenir Next" w:hAnsi="Avenir Next" w:cs="Arial"/>
          <w:color w:val="808080" w:themeColor="background1" w:themeShade="80"/>
          <w:sz w:val="22"/>
          <w:szCs w:val="22"/>
        </w:rPr>
        <w:t xml:space="preserve"> given to the floating charge that was </w:t>
      </w:r>
      <w:r w:rsidR="00030184">
        <w:rPr>
          <w:rFonts w:ascii="Avenir Next" w:hAnsi="Avenir Next" w:cs="Arial"/>
          <w:color w:val="808080" w:themeColor="background1" w:themeShade="80"/>
          <w:sz w:val="22"/>
          <w:szCs w:val="22"/>
        </w:rPr>
        <w:t>made</w:t>
      </w:r>
      <w:r w:rsidR="00B17D41">
        <w:rPr>
          <w:rFonts w:ascii="Avenir Next" w:hAnsi="Avenir Next" w:cs="Arial"/>
          <w:color w:val="808080" w:themeColor="background1" w:themeShade="80"/>
          <w:sz w:val="22"/>
          <w:szCs w:val="22"/>
        </w:rPr>
        <w:t xml:space="preserve"> first. Nonetheless prior to payment to any floating charge the office holder must set aside a “prescribed part” of the company’s net assets that will be available to satisfy unsecured debts a</w:t>
      </w:r>
      <w:r w:rsidR="00234592">
        <w:rPr>
          <w:rFonts w:ascii="Avenir Next" w:hAnsi="Avenir Next" w:cs="Arial"/>
          <w:color w:val="808080" w:themeColor="background1" w:themeShade="80"/>
          <w:sz w:val="22"/>
          <w:szCs w:val="22"/>
        </w:rPr>
        <w:t xml:space="preserve">nd cannot distribute this amount to a floating charge holder unless they company is able to satisfy all unsecured dets. </w:t>
      </w:r>
    </w:p>
    <w:p w14:paraId="31572F6B" w14:textId="78C2F136" w:rsidR="00234592" w:rsidRDefault="00234592" w:rsidP="00EA3B38">
      <w:pPr>
        <w:jc w:val="both"/>
        <w:rPr>
          <w:rFonts w:ascii="Avenir Next" w:hAnsi="Avenir Next" w:cs="Arial"/>
          <w:color w:val="808080" w:themeColor="background1" w:themeShade="80"/>
          <w:sz w:val="22"/>
          <w:szCs w:val="22"/>
        </w:rPr>
      </w:pPr>
    </w:p>
    <w:p w14:paraId="69ACA08C" w14:textId="279F11F2" w:rsidR="00234592" w:rsidRDefault="0023459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event that the </w:t>
      </w:r>
      <w:r w:rsidR="00030184">
        <w:rPr>
          <w:rFonts w:ascii="Avenir Next" w:hAnsi="Avenir Next" w:cs="Arial"/>
          <w:color w:val="808080" w:themeColor="background1" w:themeShade="80"/>
          <w:sz w:val="22"/>
          <w:szCs w:val="22"/>
        </w:rPr>
        <w:t>company’s</w:t>
      </w:r>
      <w:r>
        <w:rPr>
          <w:rFonts w:ascii="Avenir Next" w:hAnsi="Avenir Next" w:cs="Arial"/>
          <w:color w:val="808080" w:themeColor="background1" w:themeShade="80"/>
          <w:sz w:val="22"/>
          <w:szCs w:val="22"/>
        </w:rPr>
        <w:t xml:space="preserve"> net property is </w:t>
      </w:r>
      <w:proofErr w:type="gramStart"/>
      <w:r>
        <w:rPr>
          <w:rFonts w:ascii="Avenir Next" w:hAnsi="Avenir Next" w:cs="Arial"/>
          <w:color w:val="808080" w:themeColor="background1" w:themeShade="80"/>
          <w:sz w:val="22"/>
          <w:szCs w:val="22"/>
        </w:rPr>
        <w:t>GBP  10,000</w:t>
      </w:r>
      <w:proofErr w:type="gramEnd"/>
      <w:r>
        <w:rPr>
          <w:rFonts w:ascii="Avenir Next" w:hAnsi="Avenir Next" w:cs="Arial"/>
          <w:color w:val="808080" w:themeColor="background1" w:themeShade="80"/>
          <w:sz w:val="22"/>
          <w:szCs w:val="22"/>
        </w:rPr>
        <w:t xml:space="preserve"> or less, the “prescribed part” required to be held back is 50% of this net </w:t>
      </w:r>
      <w:r w:rsidR="00030184">
        <w:rPr>
          <w:rFonts w:ascii="Avenir Next" w:hAnsi="Avenir Next" w:cs="Arial"/>
          <w:color w:val="808080" w:themeColor="background1" w:themeShade="80"/>
          <w:sz w:val="22"/>
          <w:szCs w:val="22"/>
        </w:rPr>
        <w:t>property</w:t>
      </w:r>
      <w:r>
        <w:rPr>
          <w:rFonts w:ascii="Avenir Next" w:hAnsi="Avenir Next" w:cs="Arial"/>
          <w:color w:val="808080" w:themeColor="background1" w:themeShade="80"/>
          <w:sz w:val="22"/>
          <w:szCs w:val="22"/>
        </w:rPr>
        <w:t xml:space="preserve">. Although where the net distributable assets are less than GBP 10,000 and the office holder believes that cons of the instruction of a distribution to </w:t>
      </w:r>
      <w:r w:rsidR="00030184">
        <w:rPr>
          <w:rFonts w:ascii="Avenir Next" w:hAnsi="Avenir Next" w:cs="Arial"/>
          <w:color w:val="808080" w:themeColor="background1" w:themeShade="80"/>
          <w:sz w:val="22"/>
          <w:szCs w:val="22"/>
        </w:rPr>
        <w:t>unsecured</w:t>
      </w:r>
      <w:r>
        <w:rPr>
          <w:rFonts w:ascii="Avenir Next" w:hAnsi="Avenir Next" w:cs="Arial"/>
          <w:color w:val="808080" w:themeColor="background1" w:themeShade="80"/>
          <w:sz w:val="22"/>
          <w:szCs w:val="22"/>
        </w:rPr>
        <w:t xml:space="preserve"> </w:t>
      </w:r>
      <w:r w:rsidR="00030184">
        <w:rPr>
          <w:rFonts w:ascii="Avenir Next" w:hAnsi="Avenir Next" w:cs="Arial"/>
          <w:color w:val="808080" w:themeColor="background1" w:themeShade="80"/>
          <w:sz w:val="22"/>
          <w:szCs w:val="22"/>
        </w:rPr>
        <w:t>creditors</w:t>
      </w:r>
      <w:r>
        <w:rPr>
          <w:rFonts w:ascii="Avenir Next" w:hAnsi="Avenir Next" w:cs="Arial"/>
          <w:color w:val="808080" w:themeColor="background1" w:themeShade="80"/>
          <w:sz w:val="22"/>
          <w:szCs w:val="22"/>
        </w:rPr>
        <w:t xml:space="preserve"> would be </w:t>
      </w:r>
      <w:r w:rsidR="00030184">
        <w:rPr>
          <w:rFonts w:ascii="Avenir Next" w:hAnsi="Avenir Next" w:cs="Arial"/>
          <w:color w:val="808080" w:themeColor="background1" w:themeShade="80"/>
          <w:sz w:val="22"/>
          <w:szCs w:val="22"/>
        </w:rPr>
        <w:t>outweigh</w:t>
      </w:r>
      <w:r>
        <w:rPr>
          <w:rFonts w:ascii="Avenir Next" w:hAnsi="Avenir Next" w:cs="Arial"/>
          <w:color w:val="808080" w:themeColor="background1" w:themeShade="80"/>
          <w:sz w:val="22"/>
          <w:szCs w:val="22"/>
        </w:rPr>
        <w:t xml:space="preserve"> the positives the office holder can be relieved of their </w:t>
      </w:r>
      <w:r w:rsidR="00030184">
        <w:rPr>
          <w:rFonts w:ascii="Avenir Next" w:hAnsi="Avenir Next" w:cs="Arial"/>
          <w:color w:val="808080" w:themeColor="background1" w:themeShade="80"/>
          <w:sz w:val="22"/>
          <w:szCs w:val="22"/>
        </w:rPr>
        <w:t>responsibility</w:t>
      </w:r>
      <w:r>
        <w:rPr>
          <w:rFonts w:ascii="Avenir Next" w:hAnsi="Avenir Next" w:cs="Arial"/>
          <w:color w:val="808080" w:themeColor="background1" w:themeShade="80"/>
          <w:sz w:val="22"/>
          <w:szCs w:val="22"/>
        </w:rPr>
        <w:t xml:space="preserve"> to make a distribution of a “prescribed part”. </w:t>
      </w:r>
      <w:r w:rsidR="00030184">
        <w:rPr>
          <w:rFonts w:ascii="Avenir Next" w:hAnsi="Avenir Next" w:cs="Arial"/>
          <w:color w:val="808080" w:themeColor="background1" w:themeShade="80"/>
          <w:sz w:val="22"/>
          <w:szCs w:val="22"/>
        </w:rPr>
        <w:t>Alternatively,</w:t>
      </w:r>
      <w:r>
        <w:rPr>
          <w:rFonts w:ascii="Avenir Next" w:hAnsi="Avenir Next" w:cs="Arial"/>
          <w:color w:val="808080" w:themeColor="background1" w:themeShade="80"/>
          <w:sz w:val="22"/>
          <w:szCs w:val="22"/>
        </w:rPr>
        <w:t xml:space="preserve"> where the net distributable assets of the company </w:t>
      </w:r>
      <w:proofErr w:type="gramStart"/>
      <w:r>
        <w:rPr>
          <w:rFonts w:ascii="Avenir Next" w:hAnsi="Avenir Next" w:cs="Arial"/>
          <w:color w:val="808080" w:themeColor="background1" w:themeShade="80"/>
          <w:sz w:val="22"/>
          <w:szCs w:val="22"/>
        </w:rPr>
        <w:t>is</w:t>
      </w:r>
      <w:proofErr w:type="gramEnd"/>
      <w:r>
        <w:rPr>
          <w:rFonts w:ascii="Avenir Next" w:hAnsi="Avenir Next" w:cs="Arial"/>
          <w:color w:val="808080" w:themeColor="background1" w:themeShade="80"/>
          <w:sz w:val="22"/>
          <w:szCs w:val="22"/>
        </w:rPr>
        <w:t xml:space="preserve"> in </w:t>
      </w:r>
      <w:r w:rsidR="00030184">
        <w:rPr>
          <w:rFonts w:ascii="Avenir Next" w:hAnsi="Avenir Next" w:cs="Arial"/>
          <w:color w:val="808080" w:themeColor="background1" w:themeShade="80"/>
          <w:sz w:val="22"/>
          <w:szCs w:val="22"/>
        </w:rPr>
        <w:t>excess</w:t>
      </w:r>
      <w:r>
        <w:rPr>
          <w:rFonts w:ascii="Avenir Next" w:hAnsi="Avenir Next" w:cs="Arial"/>
          <w:color w:val="808080" w:themeColor="background1" w:themeShade="80"/>
          <w:sz w:val="22"/>
          <w:szCs w:val="22"/>
        </w:rPr>
        <w:t xml:space="preserve"> of GBP 10,000 the prescribed part is 50% for the first 10,000 and 20% of amounts over 10,000, up to a maximum prescribed part of GBP 800,000. </w:t>
      </w:r>
      <w:r w:rsidR="00030184">
        <w:rPr>
          <w:rFonts w:ascii="Avenir Next" w:hAnsi="Avenir Next" w:cs="Arial"/>
          <w:color w:val="808080" w:themeColor="background1" w:themeShade="80"/>
          <w:sz w:val="22"/>
          <w:szCs w:val="22"/>
        </w:rPr>
        <w:t>Also,</w:t>
      </w:r>
      <w:r>
        <w:rPr>
          <w:rFonts w:ascii="Avenir Next" w:hAnsi="Avenir Next" w:cs="Arial"/>
          <w:color w:val="808080" w:themeColor="background1" w:themeShade="80"/>
          <w:sz w:val="22"/>
          <w:szCs w:val="22"/>
        </w:rPr>
        <w:t xml:space="preserve"> a floating charge holder or secured creditor which also has an unsecured debt is not allowed to receive a prescribed part distribution.</w:t>
      </w:r>
    </w:p>
    <w:p w14:paraId="1B6FAF7C" w14:textId="26ABF97F" w:rsidR="00234592" w:rsidRDefault="00234592" w:rsidP="00EA3B38">
      <w:pPr>
        <w:jc w:val="both"/>
        <w:rPr>
          <w:rFonts w:ascii="Avenir Next" w:hAnsi="Avenir Next" w:cs="Arial"/>
          <w:color w:val="808080" w:themeColor="background1" w:themeShade="80"/>
          <w:sz w:val="22"/>
          <w:szCs w:val="22"/>
        </w:rPr>
      </w:pPr>
    </w:p>
    <w:p w14:paraId="2E8F419F" w14:textId="44652690" w:rsidR="00234592" w:rsidRDefault="0003018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w:t>
      </w:r>
      <w:r w:rsidR="00234592">
        <w:rPr>
          <w:rFonts w:ascii="Avenir Next" w:hAnsi="Avenir Next" w:cs="Arial"/>
          <w:color w:val="808080" w:themeColor="background1" w:themeShade="80"/>
          <w:sz w:val="22"/>
          <w:szCs w:val="22"/>
        </w:rPr>
        <w:t xml:space="preserve"> the last payments to be made in a distribution are to unsecured creditors and </w:t>
      </w:r>
      <w:r w:rsidR="00BE449A">
        <w:rPr>
          <w:rFonts w:ascii="Avenir Next" w:hAnsi="Avenir Next" w:cs="Arial"/>
          <w:color w:val="808080" w:themeColor="background1" w:themeShade="80"/>
          <w:sz w:val="22"/>
          <w:szCs w:val="22"/>
        </w:rPr>
        <w:t xml:space="preserve">shareholders. Unsecured creditors are often </w:t>
      </w:r>
      <w:r w:rsidR="008223B7">
        <w:rPr>
          <w:rFonts w:ascii="Avenir Next" w:hAnsi="Avenir Next" w:cs="Arial"/>
          <w:color w:val="808080" w:themeColor="background1" w:themeShade="80"/>
          <w:sz w:val="22"/>
          <w:szCs w:val="22"/>
        </w:rPr>
        <w:t xml:space="preserve">left with little to nothing left after all other payments are </w:t>
      </w:r>
      <w:proofErr w:type="gramStart"/>
      <w:r w:rsidR="008223B7">
        <w:rPr>
          <w:rFonts w:ascii="Avenir Next" w:hAnsi="Avenir Next" w:cs="Arial"/>
          <w:color w:val="808080" w:themeColor="background1" w:themeShade="80"/>
          <w:sz w:val="22"/>
          <w:szCs w:val="22"/>
        </w:rPr>
        <w:t>made out of</w:t>
      </w:r>
      <w:proofErr w:type="gramEnd"/>
      <w:r w:rsidR="008223B7">
        <w:rPr>
          <w:rFonts w:ascii="Avenir Next" w:hAnsi="Avenir Next" w:cs="Arial"/>
          <w:color w:val="808080" w:themeColor="background1" w:themeShade="80"/>
          <w:sz w:val="22"/>
          <w:szCs w:val="22"/>
        </w:rPr>
        <w:t xml:space="preserve"> the liquidation estate to parties above them in the payment waterfall, furthermore they are typically at made at the final stages of the liquidation sometimes after several years. To their benefit unsecured debts accrue interest at a statutory rate for creditors, although given this is paid out after all debts are satisfied it is very rare for interest to be paid out. </w:t>
      </w:r>
      <w:proofErr w:type="gramStart"/>
      <w:r w:rsidR="008223B7">
        <w:rPr>
          <w:rFonts w:ascii="Avenir Next" w:hAnsi="Avenir Next" w:cs="Arial"/>
          <w:color w:val="808080" w:themeColor="background1" w:themeShade="80"/>
          <w:sz w:val="22"/>
          <w:szCs w:val="22"/>
        </w:rPr>
        <w:t xml:space="preserve">That being said </w:t>
      </w:r>
      <w:r w:rsidR="00887D11">
        <w:rPr>
          <w:rFonts w:ascii="Avenir Next" w:hAnsi="Avenir Next" w:cs="Arial"/>
          <w:color w:val="808080" w:themeColor="background1" w:themeShade="80"/>
          <w:sz w:val="22"/>
          <w:szCs w:val="22"/>
        </w:rPr>
        <w:t>if</w:t>
      </w:r>
      <w:proofErr w:type="gramEnd"/>
      <w:r w:rsidR="008223B7">
        <w:rPr>
          <w:rFonts w:ascii="Avenir Next" w:hAnsi="Avenir Next" w:cs="Arial"/>
          <w:color w:val="808080" w:themeColor="background1" w:themeShade="80"/>
          <w:sz w:val="22"/>
          <w:szCs w:val="22"/>
        </w:rPr>
        <w:t xml:space="preserve"> interest is able to be paid out, the surplus of any additional funds is paid out to shareholders of the company.</w:t>
      </w:r>
    </w:p>
    <w:p w14:paraId="13AA4379" w14:textId="05EB4084" w:rsidR="008223B7" w:rsidRDefault="008223B7" w:rsidP="00EA3B38">
      <w:pPr>
        <w:jc w:val="both"/>
        <w:rPr>
          <w:rFonts w:ascii="Avenir Next" w:hAnsi="Avenir Next" w:cs="Arial"/>
          <w:color w:val="808080" w:themeColor="background1" w:themeShade="80"/>
          <w:sz w:val="22"/>
          <w:szCs w:val="22"/>
        </w:rPr>
      </w:pPr>
    </w:p>
    <w:p w14:paraId="403F2914" w14:textId="019A92DA" w:rsidR="008223B7" w:rsidRDefault="00E8250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this is the standard ‘waterfall’ of payments in a </w:t>
      </w:r>
      <w:r w:rsidR="00887D11">
        <w:rPr>
          <w:rFonts w:ascii="Avenir Next" w:hAnsi="Avenir Next" w:cs="Arial"/>
          <w:color w:val="808080" w:themeColor="background1" w:themeShade="80"/>
          <w:sz w:val="22"/>
          <w:szCs w:val="22"/>
        </w:rPr>
        <w:t>liquidation</w:t>
      </w:r>
      <w:r>
        <w:rPr>
          <w:rFonts w:ascii="Avenir Next" w:hAnsi="Avenir Next" w:cs="Arial"/>
          <w:color w:val="808080" w:themeColor="background1" w:themeShade="80"/>
          <w:sz w:val="22"/>
          <w:szCs w:val="22"/>
        </w:rPr>
        <w:t xml:space="preserve"> there are several ways this traditional order may be altered, the </w:t>
      </w:r>
      <w:r w:rsidR="00887D11">
        <w:rPr>
          <w:rFonts w:ascii="Avenir Next" w:hAnsi="Avenir Next" w:cs="Arial"/>
          <w:color w:val="808080" w:themeColor="background1" w:themeShade="80"/>
          <w:sz w:val="22"/>
          <w:szCs w:val="22"/>
        </w:rPr>
        <w:t>first</w:t>
      </w:r>
      <w:r>
        <w:rPr>
          <w:rFonts w:ascii="Avenir Next" w:hAnsi="Avenir Next" w:cs="Arial"/>
          <w:color w:val="808080" w:themeColor="background1" w:themeShade="80"/>
          <w:sz w:val="22"/>
          <w:szCs w:val="22"/>
        </w:rPr>
        <w:t xml:space="preserve"> of which is through the subordination of </w:t>
      </w:r>
      <w:r w:rsidR="00887D11">
        <w:rPr>
          <w:rFonts w:ascii="Avenir Next" w:hAnsi="Avenir Next" w:cs="Arial"/>
          <w:color w:val="808080" w:themeColor="background1" w:themeShade="80"/>
          <w:sz w:val="22"/>
          <w:szCs w:val="22"/>
        </w:rPr>
        <w:t>claims</w:t>
      </w:r>
      <w:r>
        <w:rPr>
          <w:rFonts w:ascii="Avenir Next" w:hAnsi="Avenir Next" w:cs="Arial"/>
          <w:color w:val="808080" w:themeColor="background1" w:themeShade="80"/>
          <w:sz w:val="22"/>
          <w:szCs w:val="22"/>
        </w:rPr>
        <w:t xml:space="preserve">. </w:t>
      </w:r>
      <w:r w:rsidR="008223B7">
        <w:rPr>
          <w:rFonts w:ascii="Avenir Next" w:hAnsi="Avenir Next" w:cs="Arial"/>
          <w:color w:val="808080" w:themeColor="background1" w:themeShade="80"/>
          <w:sz w:val="22"/>
          <w:szCs w:val="22"/>
        </w:rPr>
        <w:t>Regardless of their place in the waterfall, creditors over any priority all have the right subordinate their claims, this meaning that they may choose to place themselves lower down the payment ‘waterfall’ giving other parties a higher priority claim relative to theirs.</w:t>
      </w:r>
    </w:p>
    <w:p w14:paraId="74745B1E" w14:textId="2ED87108" w:rsidR="00E8250B" w:rsidRDefault="00E8250B" w:rsidP="00EA3B38">
      <w:pPr>
        <w:jc w:val="both"/>
        <w:rPr>
          <w:rFonts w:ascii="Avenir Next" w:hAnsi="Avenir Next" w:cs="Arial"/>
          <w:color w:val="808080" w:themeColor="background1" w:themeShade="80"/>
          <w:sz w:val="22"/>
          <w:szCs w:val="22"/>
        </w:rPr>
      </w:pPr>
    </w:p>
    <w:p w14:paraId="4074FF5F" w14:textId="45A89A10" w:rsidR="00E8250B" w:rsidRDefault="00E8250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Another way that the liquidation payment ‘waterfall’ may be altered is if the company </w:t>
      </w:r>
      <w:proofErr w:type="gramStart"/>
      <w:r w:rsidR="00887D11">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is</w:t>
      </w:r>
      <w:proofErr w:type="gramEnd"/>
      <w:r>
        <w:rPr>
          <w:rFonts w:ascii="Avenir Next" w:hAnsi="Avenir Next" w:cs="Arial"/>
          <w:color w:val="808080" w:themeColor="background1" w:themeShade="80"/>
          <w:sz w:val="22"/>
          <w:szCs w:val="22"/>
        </w:rPr>
        <w:t xml:space="preserve"> a </w:t>
      </w:r>
      <w:r w:rsidR="00887D11">
        <w:rPr>
          <w:rFonts w:ascii="Avenir Next" w:hAnsi="Avenir Next" w:cs="Arial"/>
          <w:color w:val="808080" w:themeColor="background1" w:themeShade="80"/>
          <w:sz w:val="22"/>
          <w:szCs w:val="22"/>
        </w:rPr>
        <w:t>Moratorium</w:t>
      </w:r>
      <w:r>
        <w:rPr>
          <w:rFonts w:ascii="Avenir Next" w:hAnsi="Avenir Next" w:cs="Arial"/>
          <w:color w:val="808080" w:themeColor="background1" w:themeShade="80"/>
          <w:sz w:val="22"/>
          <w:szCs w:val="22"/>
        </w:rPr>
        <w:t xml:space="preserve"> within 12 weeks of the </w:t>
      </w:r>
      <w:r w:rsidR="00887D11">
        <w:rPr>
          <w:rFonts w:ascii="Avenir Next" w:hAnsi="Avenir Next" w:cs="Arial"/>
          <w:color w:val="808080" w:themeColor="background1" w:themeShade="80"/>
          <w:sz w:val="22"/>
          <w:szCs w:val="22"/>
        </w:rPr>
        <w:t>commencement</w:t>
      </w:r>
      <w:r>
        <w:rPr>
          <w:rFonts w:ascii="Avenir Next" w:hAnsi="Avenir Next" w:cs="Arial"/>
          <w:color w:val="808080" w:themeColor="background1" w:themeShade="80"/>
          <w:sz w:val="22"/>
          <w:szCs w:val="22"/>
        </w:rPr>
        <w:t xml:space="preserve"> of the liquidation several debts of the company received a higher “super priority status” placing </w:t>
      </w:r>
      <w:r w:rsidR="00887D11">
        <w:rPr>
          <w:rFonts w:ascii="Avenir Next" w:hAnsi="Avenir Next" w:cs="Arial"/>
          <w:color w:val="808080" w:themeColor="background1" w:themeShade="80"/>
          <w:sz w:val="22"/>
          <w:szCs w:val="22"/>
        </w:rPr>
        <w:t>their</w:t>
      </w:r>
      <w:r>
        <w:rPr>
          <w:rFonts w:ascii="Avenir Next" w:hAnsi="Avenir Next" w:cs="Arial"/>
          <w:color w:val="808080" w:themeColor="background1" w:themeShade="80"/>
          <w:sz w:val="22"/>
          <w:szCs w:val="22"/>
        </w:rPr>
        <w:t xml:space="preserve"> debts in priority to </w:t>
      </w:r>
      <w:r w:rsidR="00887D11">
        <w:rPr>
          <w:rFonts w:ascii="Avenir Next" w:hAnsi="Avenir Next" w:cs="Arial"/>
          <w:color w:val="808080" w:themeColor="background1" w:themeShade="80"/>
          <w:sz w:val="22"/>
          <w:szCs w:val="22"/>
        </w:rPr>
        <w:t>even</w:t>
      </w:r>
      <w:r>
        <w:rPr>
          <w:rFonts w:ascii="Avenir Next" w:hAnsi="Avenir Next" w:cs="Arial"/>
          <w:color w:val="808080" w:themeColor="background1" w:themeShade="80"/>
          <w:sz w:val="22"/>
          <w:szCs w:val="22"/>
        </w:rPr>
        <w:t xml:space="preserve"> the expenses of the </w:t>
      </w:r>
      <w:r>
        <w:rPr>
          <w:rFonts w:ascii="Avenir Next" w:hAnsi="Avenir Next" w:cs="Arial"/>
          <w:color w:val="808080" w:themeColor="background1" w:themeShade="80"/>
          <w:sz w:val="22"/>
          <w:szCs w:val="22"/>
        </w:rPr>
        <w:lastRenderedPageBreak/>
        <w:t>liquidation and the liquidators fees. Under section 174A</w:t>
      </w:r>
      <w:r w:rsidR="00D5779D">
        <w:rPr>
          <w:rFonts w:ascii="Avenir Next" w:hAnsi="Avenir Next" w:cs="Arial"/>
          <w:color w:val="808080" w:themeColor="background1" w:themeShade="80"/>
          <w:sz w:val="22"/>
          <w:szCs w:val="22"/>
        </w:rPr>
        <w:t xml:space="preserve"> pre-moratorium debts </w:t>
      </w:r>
      <w:r w:rsidR="00887D11">
        <w:rPr>
          <w:rFonts w:ascii="Avenir Next" w:hAnsi="Avenir Next" w:cs="Arial"/>
          <w:color w:val="808080" w:themeColor="background1" w:themeShade="80"/>
          <w:sz w:val="22"/>
          <w:szCs w:val="22"/>
        </w:rPr>
        <w:t>that are</w:t>
      </w:r>
      <w:r w:rsidR="00D5779D">
        <w:rPr>
          <w:rFonts w:ascii="Avenir Next" w:hAnsi="Avenir Next" w:cs="Arial"/>
          <w:color w:val="808080" w:themeColor="background1" w:themeShade="80"/>
          <w:sz w:val="22"/>
          <w:szCs w:val="22"/>
        </w:rPr>
        <w:t xml:space="preserve"> not stayed under a Moratorium process are included in this “super priority” category.</w:t>
      </w:r>
    </w:p>
    <w:p w14:paraId="16DD9057" w14:textId="77777777" w:rsidR="0021234C" w:rsidRDefault="0021234C"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1E059C45" w:rsidR="00EA3B38" w:rsidRDefault="00D5779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main question that the liquidator will need to answer with respect </w:t>
      </w:r>
      <w:r w:rsidR="00887D11">
        <w:rPr>
          <w:rFonts w:ascii="Avenir Next" w:hAnsi="Avenir Next" w:cs="Arial"/>
          <w:color w:val="808080" w:themeColor="background1" w:themeShade="80"/>
          <w:sz w:val="22"/>
          <w:szCs w:val="22"/>
        </w:rPr>
        <w:t>to</w:t>
      </w:r>
      <w:r>
        <w:rPr>
          <w:rFonts w:ascii="Avenir Next" w:hAnsi="Avenir Next" w:cs="Arial"/>
          <w:color w:val="808080" w:themeColor="background1" w:themeShade="80"/>
          <w:sz w:val="22"/>
          <w:szCs w:val="22"/>
        </w:rPr>
        <w:t xml:space="preserve"> the floating charge placed in </w:t>
      </w:r>
      <w:r w:rsidR="00887D11">
        <w:rPr>
          <w:rFonts w:ascii="Avenir Next" w:hAnsi="Avenir Next" w:cs="Arial"/>
          <w:color w:val="808080" w:themeColor="background1" w:themeShade="80"/>
          <w:sz w:val="22"/>
          <w:szCs w:val="22"/>
        </w:rPr>
        <w:t>favour</w:t>
      </w:r>
      <w:r>
        <w:rPr>
          <w:rFonts w:ascii="Avenir Next" w:hAnsi="Avenir Next" w:cs="Arial"/>
          <w:color w:val="808080" w:themeColor="background1" w:themeShade="80"/>
          <w:sz w:val="22"/>
          <w:szCs w:val="22"/>
        </w:rPr>
        <w:t xml:space="preserve"> of Fretus Bank plc was whether the issuance of charge would be considered a preference. </w:t>
      </w:r>
    </w:p>
    <w:p w14:paraId="49EC51D5" w14:textId="0A0C3BBD" w:rsidR="00D5779D" w:rsidRDefault="00D5779D" w:rsidP="00EA3B38">
      <w:pPr>
        <w:jc w:val="both"/>
        <w:rPr>
          <w:rFonts w:ascii="Avenir Next" w:hAnsi="Avenir Next" w:cs="Arial"/>
          <w:color w:val="808080" w:themeColor="background1" w:themeShade="80"/>
          <w:sz w:val="22"/>
          <w:szCs w:val="22"/>
        </w:rPr>
      </w:pPr>
    </w:p>
    <w:p w14:paraId="47CE13E3" w14:textId="5A5FB6DE" w:rsidR="001E55B8" w:rsidRDefault="001E55B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Ordinarily an</w:t>
      </w:r>
      <w:r w:rsidR="00D5779D">
        <w:rPr>
          <w:rFonts w:ascii="Avenir Next" w:hAnsi="Avenir Next" w:cs="Arial"/>
          <w:color w:val="808080" w:themeColor="background1" w:themeShade="80"/>
          <w:sz w:val="22"/>
          <w:szCs w:val="22"/>
        </w:rPr>
        <w:t xml:space="preserve"> application to have a transaction </w:t>
      </w:r>
      <w:r w:rsidR="00887D11">
        <w:rPr>
          <w:rFonts w:ascii="Avenir Next" w:hAnsi="Avenir Next" w:cs="Arial"/>
          <w:color w:val="808080" w:themeColor="background1" w:themeShade="80"/>
          <w:sz w:val="22"/>
          <w:szCs w:val="22"/>
        </w:rPr>
        <w:t>classed</w:t>
      </w:r>
      <w:r w:rsidR="00D5779D">
        <w:rPr>
          <w:rFonts w:ascii="Avenir Next" w:hAnsi="Avenir Next" w:cs="Arial"/>
          <w:color w:val="808080" w:themeColor="background1" w:themeShade="80"/>
          <w:sz w:val="22"/>
          <w:szCs w:val="22"/>
        </w:rPr>
        <w:t xml:space="preserve"> as a preference must satisfy several criteria under section 239</w:t>
      </w:r>
      <w:r w:rsidR="00AA17CF">
        <w:rPr>
          <w:rFonts w:ascii="Avenir Next" w:hAnsi="Avenir Next" w:cs="Arial"/>
          <w:color w:val="808080" w:themeColor="background1" w:themeShade="80"/>
          <w:sz w:val="22"/>
          <w:szCs w:val="22"/>
        </w:rPr>
        <w:t>,</w:t>
      </w:r>
      <w:r w:rsidR="00D5779D">
        <w:rPr>
          <w:rFonts w:ascii="Avenir Next" w:hAnsi="Avenir Next" w:cs="Arial"/>
          <w:color w:val="808080" w:themeColor="background1" w:themeShade="80"/>
          <w:sz w:val="22"/>
          <w:szCs w:val="22"/>
        </w:rPr>
        <w:t xml:space="preserve"> with the </w:t>
      </w:r>
      <w:r w:rsidR="00887D11">
        <w:rPr>
          <w:rFonts w:ascii="Avenir Next" w:hAnsi="Avenir Next" w:cs="Arial"/>
          <w:color w:val="808080" w:themeColor="background1" w:themeShade="80"/>
          <w:sz w:val="22"/>
          <w:szCs w:val="22"/>
        </w:rPr>
        <w:t>burden</w:t>
      </w:r>
      <w:r w:rsidR="00D5779D">
        <w:rPr>
          <w:rFonts w:ascii="Avenir Next" w:hAnsi="Avenir Next" w:cs="Arial"/>
          <w:color w:val="808080" w:themeColor="background1" w:themeShade="80"/>
          <w:sz w:val="22"/>
          <w:szCs w:val="22"/>
        </w:rPr>
        <w:t xml:space="preserve"> of proof for the application resting with the officeholder. </w:t>
      </w:r>
      <w:r w:rsidR="00887D11">
        <w:rPr>
          <w:rFonts w:ascii="Avenir Next" w:hAnsi="Avenir Next" w:cs="Arial"/>
          <w:color w:val="808080" w:themeColor="background1" w:themeShade="80"/>
          <w:sz w:val="22"/>
          <w:szCs w:val="22"/>
        </w:rPr>
        <w:t>To</w:t>
      </w:r>
      <w:r w:rsidR="00D5779D">
        <w:rPr>
          <w:rFonts w:ascii="Avenir Next" w:hAnsi="Avenir Next" w:cs="Arial"/>
          <w:color w:val="808080" w:themeColor="background1" w:themeShade="80"/>
          <w:sz w:val="22"/>
          <w:szCs w:val="22"/>
        </w:rPr>
        <w:t xml:space="preserve"> succeed they must show that </w:t>
      </w:r>
      <w:r w:rsidR="00CB0ADD">
        <w:rPr>
          <w:rFonts w:ascii="Avenir Next" w:hAnsi="Avenir Next" w:cs="Arial"/>
          <w:color w:val="808080" w:themeColor="background1" w:themeShade="80"/>
          <w:sz w:val="22"/>
          <w:szCs w:val="22"/>
        </w:rPr>
        <w:t xml:space="preserve">the preference was given at a relevant time, for these purposes a relevant time is in the 6 months prior to the start of insolvency, or in the case </w:t>
      </w:r>
      <w:r w:rsidR="00AA17CF">
        <w:rPr>
          <w:rFonts w:ascii="Avenir Next" w:hAnsi="Avenir Next" w:cs="Arial"/>
          <w:color w:val="808080" w:themeColor="background1" w:themeShade="80"/>
          <w:sz w:val="22"/>
          <w:szCs w:val="22"/>
        </w:rPr>
        <w:t xml:space="preserve">where the </w:t>
      </w:r>
      <w:r w:rsidR="00CB0ADD">
        <w:rPr>
          <w:rFonts w:ascii="Avenir Next" w:hAnsi="Avenir Next" w:cs="Arial"/>
          <w:color w:val="808080" w:themeColor="background1" w:themeShade="80"/>
          <w:sz w:val="22"/>
          <w:szCs w:val="22"/>
        </w:rPr>
        <w:t xml:space="preserve">beneficiary of the preference </w:t>
      </w:r>
      <w:r w:rsidR="00AA17CF">
        <w:rPr>
          <w:rFonts w:ascii="Avenir Next" w:hAnsi="Avenir Next" w:cs="Arial"/>
          <w:color w:val="808080" w:themeColor="background1" w:themeShade="80"/>
          <w:sz w:val="22"/>
          <w:szCs w:val="22"/>
        </w:rPr>
        <w:t>is</w:t>
      </w:r>
      <w:r w:rsidR="00CB0ADD">
        <w:rPr>
          <w:rFonts w:ascii="Avenir Next" w:hAnsi="Avenir Next" w:cs="Arial"/>
          <w:color w:val="808080" w:themeColor="background1" w:themeShade="80"/>
          <w:sz w:val="22"/>
          <w:szCs w:val="22"/>
        </w:rPr>
        <w:t xml:space="preserve"> an employee, 2 years. In </w:t>
      </w:r>
      <w:r>
        <w:rPr>
          <w:rFonts w:ascii="Avenir Next" w:hAnsi="Avenir Next" w:cs="Arial"/>
          <w:color w:val="808080" w:themeColor="background1" w:themeShade="80"/>
          <w:sz w:val="22"/>
          <w:szCs w:val="22"/>
        </w:rPr>
        <w:t>an ordinary case as this preference was given over 6 months prior to onset of insolvency proceedings it would fall outside the scope of a preference, however since a floating charge was provided this is dealt with entirely separately in section 245.</w:t>
      </w:r>
    </w:p>
    <w:p w14:paraId="35D33D34" w14:textId="77777777" w:rsidR="001E55B8" w:rsidRDefault="001E55B8" w:rsidP="00EA3B38">
      <w:pPr>
        <w:jc w:val="both"/>
        <w:rPr>
          <w:rFonts w:ascii="Avenir Next" w:hAnsi="Avenir Next" w:cs="Arial"/>
          <w:color w:val="808080" w:themeColor="background1" w:themeShade="80"/>
          <w:sz w:val="22"/>
          <w:szCs w:val="22"/>
        </w:rPr>
      </w:pPr>
    </w:p>
    <w:p w14:paraId="50B1D65C" w14:textId="4277740D" w:rsidR="001E55B8" w:rsidRDefault="00A7145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key point of </w:t>
      </w:r>
      <w:r w:rsidR="001E55B8">
        <w:rPr>
          <w:rFonts w:ascii="Avenir Next" w:hAnsi="Avenir Next" w:cs="Arial"/>
          <w:color w:val="808080" w:themeColor="background1" w:themeShade="80"/>
          <w:sz w:val="22"/>
          <w:szCs w:val="22"/>
        </w:rPr>
        <w:t xml:space="preserve">Section 245 </w:t>
      </w:r>
      <w:r>
        <w:rPr>
          <w:rFonts w:ascii="Avenir Next" w:hAnsi="Avenir Next" w:cs="Arial"/>
          <w:color w:val="808080" w:themeColor="background1" w:themeShade="80"/>
          <w:sz w:val="22"/>
          <w:szCs w:val="22"/>
        </w:rPr>
        <w:t xml:space="preserve">is that it </w:t>
      </w:r>
      <w:r w:rsidR="001E55B8">
        <w:rPr>
          <w:rFonts w:ascii="Avenir Next" w:hAnsi="Avenir Next" w:cs="Arial"/>
          <w:color w:val="808080" w:themeColor="background1" w:themeShade="80"/>
          <w:sz w:val="22"/>
          <w:szCs w:val="22"/>
        </w:rPr>
        <w:t xml:space="preserve">does not prevent lenders from taking floating charges where they are providing additional </w:t>
      </w:r>
      <w:r>
        <w:rPr>
          <w:rFonts w:ascii="Avenir Next" w:hAnsi="Avenir Next" w:cs="Arial"/>
          <w:color w:val="808080" w:themeColor="background1" w:themeShade="80"/>
          <w:sz w:val="22"/>
          <w:szCs w:val="22"/>
        </w:rPr>
        <w:t>consideration</w:t>
      </w:r>
      <w:r w:rsidR="001E55B8">
        <w:rPr>
          <w:rFonts w:ascii="Avenir Next" w:hAnsi="Avenir Next" w:cs="Arial"/>
          <w:color w:val="808080" w:themeColor="background1" w:themeShade="80"/>
          <w:sz w:val="22"/>
          <w:szCs w:val="22"/>
        </w:rPr>
        <w:t xml:space="preserve">, however </w:t>
      </w:r>
      <w:r>
        <w:rPr>
          <w:rFonts w:ascii="Avenir Next" w:hAnsi="Avenir Next" w:cs="Arial"/>
          <w:color w:val="808080" w:themeColor="background1" w:themeShade="80"/>
          <w:sz w:val="22"/>
          <w:szCs w:val="22"/>
        </w:rPr>
        <w:t>this</w:t>
      </w:r>
      <w:r w:rsidR="001E55B8">
        <w:rPr>
          <w:rFonts w:ascii="Avenir Next" w:hAnsi="Avenir Next" w:cs="Arial"/>
          <w:color w:val="808080" w:themeColor="background1" w:themeShade="80"/>
          <w:sz w:val="22"/>
          <w:szCs w:val="22"/>
        </w:rPr>
        <w:t xml:space="preserve"> is not the </w:t>
      </w:r>
      <w:r w:rsidR="00887D11">
        <w:rPr>
          <w:rFonts w:ascii="Avenir Next" w:hAnsi="Avenir Next" w:cs="Arial"/>
          <w:color w:val="808080" w:themeColor="background1" w:themeShade="80"/>
          <w:sz w:val="22"/>
          <w:szCs w:val="22"/>
        </w:rPr>
        <w:t>case</w:t>
      </w:r>
      <w:r w:rsidR="001E55B8">
        <w:rPr>
          <w:rFonts w:ascii="Avenir Next" w:hAnsi="Avenir Next" w:cs="Arial"/>
          <w:color w:val="808080" w:themeColor="background1" w:themeShade="80"/>
          <w:sz w:val="22"/>
          <w:szCs w:val="22"/>
        </w:rPr>
        <w:t xml:space="preserve"> in this situation as the charge was provided as consideration for Fretus Bank not calling on their existing loans. </w:t>
      </w:r>
      <w:r w:rsidR="00887D11">
        <w:rPr>
          <w:rFonts w:ascii="Avenir Next" w:hAnsi="Avenir Next" w:cs="Arial"/>
          <w:color w:val="808080" w:themeColor="background1" w:themeShade="80"/>
          <w:sz w:val="22"/>
          <w:szCs w:val="22"/>
        </w:rPr>
        <w:t>Also,</w:t>
      </w:r>
      <w:r w:rsidR="001E55B8">
        <w:rPr>
          <w:rFonts w:ascii="Avenir Next" w:hAnsi="Avenir Next" w:cs="Arial"/>
          <w:color w:val="808080" w:themeColor="background1" w:themeShade="80"/>
          <w:sz w:val="22"/>
          <w:szCs w:val="22"/>
        </w:rPr>
        <w:t xml:space="preserve"> to note, unlike the case of regular </w:t>
      </w:r>
      <w:r w:rsidR="00887D11">
        <w:rPr>
          <w:rFonts w:ascii="Avenir Next" w:hAnsi="Avenir Next" w:cs="Arial"/>
          <w:color w:val="808080" w:themeColor="background1" w:themeShade="80"/>
          <w:sz w:val="22"/>
          <w:szCs w:val="22"/>
        </w:rPr>
        <w:t>preferences</w:t>
      </w:r>
      <w:r w:rsidR="001E55B8">
        <w:rPr>
          <w:rFonts w:ascii="Avenir Next" w:hAnsi="Avenir Next" w:cs="Arial"/>
          <w:color w:val="808080" w:themeColor="background1" w:themeShade="80"/>
          <w:sz w:val="22"/>
          <w:szCs w:val="22"/>
        </w:rPr>
        <w:t xml:space="preserve"> the </w:t>
      </w:r>
      <w:r>
        <w:rPr>
          <w:rFonts w:ascii="Avenir Next" w:hAnsi="Avenir Next" w:cs="Arial"/>
          <w:color w:val="808080" w:themeColor="background1" w:themeShade="80"/>
          <w:sz w:val="22"/>
          <w:szCs w:val="22"/>
        </w:rPr>
        <w:t xml:space="preserve">relevant period for floating charge preferences is 12 </w:t>
      </w:r>
      <w:r w:rsidR="00887D11">
        <w:rPr>
          <w:rFonts w:ascii="Avenir Next" w:hAnsi="Avenir Next" w:cs="Arial"/>
          <w:color w:val="808080" w:themeColor="background1" w:themeShade="80"/>
          <w:sz w:val="22"/>
          <w:szCs w:val="22"/>
        </w:rPr>
        <w:t>months</w:t>
      </w:r>
      <w:r>
        <w:rPr>
          <w:rFonts w:ascii="Avenir Next" w:hAnsi="Avenir Next" w:cs="Arial"/>
          <w:color w:val="808080" w:themeColor="background1" w:themeShade="80"/>
          <w:sz w:val="22"/>
          <w:szCs w:val="22"/>
        </w:rPr>
        <w:t xml:space="preserve"> prior to </w:t>
      </w:r>
      <w:r>
        <w:rPr>
          <w:rFonts w:ascii="Avenir Next" w:hAnsi="Avenir Next" w:cs="Arial"/>
          <w:color w:val="808080" w:themeColor="background1" w:themeShade="80"/>
          <w:sz w:val="22"/>
          <w:szCs w:val="22"/>
        </w:rPr>
        <w:lastRenderedPageBreak/>
        <w:t>the onset of proceedings which Fretus Bank plc does fall within. As a result of this the liquidator may invalidate the floating charge, however the debt arising from the loans to Fretus Bank plc will remain valid.</w:t>
      </w:r>
    </w:p>
    <w:p w14:paraId="37C34274" w14:textId="77777777" w:rsidR="001E55B8" w:rsidRDefault="001E55B8" w:rsidP="00EA3B38">
      <w:pPr>
        <w:jc w:val="both"/>
        <w:rPr>
          <w:rFonts w:ascii="Avenir Next" w:hAnsi="Avenir Next" w:cs="Arial"/>
          <w:color w:val="808080" w:themeColor="background1" w:themeShade="80"/>
          <w:sz w:val="22"/>
          <w:szCs w:val="22"/>
        </w:rPr>
      </w:pPr>
    </w:p>
    <w:p w14:paraId="18E5015A" w14:textId="06275669" w:rsidR="00CB0ADD" w:rsidRPr="00B84055" w:rsidRDefault="00735D3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Moving on, another </w:t>
      </w:r>
      <w:r w:rsidR="001E55B8">
        <w:rPr>
          <w:rFonts w:ascii="Avenir Next" w:hAnsi="Avenir Next" w:cs="Arial"/>
          <w:color w:val="808080" w:themeColor="background1" w:themeShade="80"/>
          <w:sz w:val="22"/>
          <w:szCs w:val="22"/>
        </w:rPr>
        <w:t xml:space="preserve">typical action which can be taken by a liquidator is to target voidable dispositions, unfortunately in this case an action could not be taken against Fretus Bank. This is </w:t>
      </w:r>
      <w:proofErr w:type="gramStart"/>
      <w:r w:rsidR="001E55B8">
        <w:rPr>
          <w:rFonts w:ascii="Avenir Next" w:hAnsi="Avenir Next" w:cs="Arial"/>
          <w:color w:val="808080" w:themeColor="background1" w:themeShade="80"/>
          <w:sz w:val="22"/>
          <w:szCs w:val="22"/>
        </w:rPr>
        <w:t>due to the fact that</w:t>
      </w:r>
      <w:proofErr w:type="gramEnd"/>
      <w:r w:rsidR="001E55B8">
        <w:rPr>
          <w:rFonts w:ascii="Avenir Next" w:hAnsi="Avenir Next" w:cs="Arial"/>
          <w:color w:val="808080" w:themeColor="background1" w:themeShade="80"/>
          <w:sz w:val="22"/>
          <w:szCs w:val="22"/>
        </w:rPr>
        <w:t xml:space="preserve"> voidable dispositions only relate to transactions made after the petition date, whereas the provision of the floating charge to Fretus was made over 6 months before the </w:t>
      </w:r>
      <w:r w:rsidR="00887D11">
        <w:rPr>
          <w:rFonts w:ascii="Avenir Next" w:hAnsi="Avenir Next" w:cs="Arial"/>
          <w:color w:val="808080" w:themeColor="background1" w:themeShade="80"/>
          <w:sz w:val="22"/>
          <w:szCs w:val="22"/>
        </w:rPr>
        <w:t>petition</w:t>
      </w:r>
      <w:r w:rsidR="001E55B8">
        <w:rPr>
          <w:rFonts w:ascii="Avenir Next" w:hAnsi="Avenir Next" w:cs="Arial"/>
          <w:color w:val="808080" w:themeColor="background1" w:themeShade="80"/>
          <w:sz w:val="22"/>
          <w:szCs w:val="22"/>
        </w:rPr>
        <w:t xml:space="preserve"> date.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27B7D498" w:rsidR="00EA3B38" w:rsidRDefault="00A7145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sale of the marble cutting machines would be a very likely target of a claim for transactions at undervalue by the liquidator</w:t>
      </w:r>
      <w:r w:rsidR="004E47E8">
        <w:rPr>
          <w:rFonts w:ascii="Avenir Next" w:hAnsi="Avenir Next" w:cs="Arial"/>
          <w:color w:val="808080" w:themeColor="background1" w:themeShade="80"/>
          <w:sz w:val="22"/>
          <w:szCs w:val="22"/>
        </w:rPr>
        <w:t xml:space="preserve"> under section 238 of the Act</w:t>
      </w:r>
      <w:r w:rsidR="00452023">
        <w:rPr>
          <w:rFonts w:ascii="Avenir Next" w:hAnsi="Avenir Next" w:cs="Arial"/>
          <w:color w:val="808080" w:themeColor="background1" w:themeShade="80"/>
          <w:sz w:val="22"/>
          <w:szCs w:val="22"/>
        </w:rPr>
        <w:t xml:space="preserve">. </w:t>
      </w:r>
      <w:r w:rsidR="00887D11">
        <w:rPr>
          <w:rFonts w:ascii="Avenir Next" w:hAnsi="Avenir Next" w:cs="Arial"/>
          <w:color w:val="808080" w:themeColor="background1" w:themeShade="80"/>
          <w:sz w:val="22"/>
          <w:szCs w:val="22"/>
        </w:rPr>
        <w:t>To</w:t>
      </w:r>
      <w:r w:rsidR="00452023">
        <w:rPr>
          <w:rFonts w:ascii="Avenir Next" w:hAnsi="Avenir Next" w:cs="Arial"/>
          <w:color w:val="808080" w:themeColor="background1" w:themeShade="80"/>
          <w:sz w:val="22"/>
          <w:szCs w:val="22"/>
        </w:rPr>
        <w:t xml:space="preserve"> be proved under this section the liquidator will need to show that the transaction for the cutting machines was entered in for an amount of consideration that was significantly less that the consideration provided by the company. In this case the cutting machines were sold for GBP 10,000, significantly less than the GBP 25,000 the company paid for them a year prior. Furthermore, the transaction is well within the relevant </w:t>
      </w:r>
      <w:r w:rsidR="00887D11">
        <w:rPr>
          <w:rFonts w:ascii="Avenir Next" w:hAnsi="Avenir Next" w:cs="Arial"/>
          <w:color w:val="808080" w:themeColor="background1" w:themeShade="80"/>
          <w:sz w:val="22"/>
          <w:szCs w:val="22"/>
        </w:rPr>
        <w:t>time</w:t>
      </w:r>
      <w:r w:rsidR="00452023">
        <w:rPr>
          <w:rFonts w:ascii="Avenir Next" w:hAnsi="Avenir Next" w:cs="Arial"/>
          <w:color w:val="808080" w:themeColor="background1" w:themeShade="80"/>
          <w:sz w:val="22"/>
          <w:szCs w:val="22"/>
        </w:rPr>
        <w:t xml:space="preserve"> as prescribed by the act</w:t>
      </w:r>
      <w:r w:rsidR="00887D11">
        <w:rPr>
          <w:rFonts w:ascii="Avenir Next" w:hAnsi="Avenir Next" w:cs="Arial"/>
          <w:color w:val="808080" w:themeColor="background1" w:themeShade="80"/>
          <w:sz w:val="22"/>
          <w:szCs w:val="22"/>
        </w:rPr>
        <w:t>,</w:t>
      </w:r>
      <w:r w:rsidR="00452023">
        <w:rPr>
          <w:rFonts w:ascii="Avenir Next" w:hAnsi="Avenir Next" w:cs="Arial"/>
          <w:color w:val="808080" w:themeColor="background1" w:themeShade="80"/>
          <w:sz w:val="22"/>
          <w:szCs w:val="22"/>
        </w:rPr>
        <w:t xml:space="preserve"> of 2 years prior to the commencement of insolvency proceedings.</w:t>
      </w:r>
    </w:p>
    <w:p w14:paraId="3BE023EB" w14:textId="20CEBC73" w:rsidR="00452023" w:rsidRDefault="00452023" w:rsidP="00EA3B38">
      <w:pPr>
        <w:jc w:val="both"/>
        <w:rPr>
          <w:rFonts w:ascii="Avenir Next" w:hAnsi="Avenir Next" w:cs="Arial"/>
          <w:color w:val="808080" w:themeColor="background1" w:themeShade="80"/>
          <w:sz w:val="22"/>
          <w:szCs w:val="22"/>
        </w:rPr>
      </w:pPr>
    </w:p>
    <w:p w14:paraId="36204598" w14:textId="4ADB7E77" w:rsidR="00452023" w:rsidRDefault="0045202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difficulty with bringing a claim under section 238 arises at the requirement for the company to have been insolvent at the time of the transaction. This could be difficult to argue against the </w:t>
      </w:r>
      <w:r w:rsidR="00887D11">
        <w:rPr>
          <w:rFonts w:ascii="Avenir Next" w:hAnsi="Avenir Next" w:cs="Arial"/>
          <w:color w:val="808080" w:themeColor="background1" w:themeShade="80"/>
          <w:sz w:val="22"/>
          <w:szCs w:val="22"/>
        </w:rPr>
        <w:t>defendant</w:t>
      </w:r>
      <w:r>
        <w:rPr>
          <w:rFonts w:ascii="Avenir Next" w:hAnsi="Avenir Next" w:cs="Arial"/>
          <w:color w:val="808080" w:themeColor="background1" w:themeShade="80"/>
          <w:sz w:val="22"/>
          <w:szCs w:val="22"/>
        </w:rPr>
        <w:t xml:space="preserve"> as although we know the company had ‘cash flow problems’ we can’t ascertain from this information whether it would be considered </w:t>
      </w:r>
      <w:r w:rsidR="00887D11">
        <w:rPr>
          <w:rFonts w:ascii="Avenir Next" w:hAnsi="Avenir Next" w:cs="Arial"/>
          <w:color w:val="808080" w:themeColor="background1" w:themeShade="80"/>
          <w:sz w:val="22"/>
          <w:szCs w:val="22"/>
        </w:rPr>
        <w:t>insolvent</w:t>
      </w:r>
      <w:r>
        <w:rPr>
          <w:rFonts w:ascii="Avenir Next" w:hAnsi="Avenir Next" w:cs="Arial"/>
          <w:color w:val="808080" w:themeColor="background1" w:themeShade="80"/>
          <w:sz w:val="22"/>
          <w:szCs w:val="22"/>
        </w:rPr>
        <w:t xml:space="preserve"> under section 123. </w:t>
      </w:r>
      <w:r w:rsidR="00887D11">
        <w:rPr>
          <w:rFonts w:ascii="Avenir Next" w:hAnsi="Avenir Next" w:cs="Arial"/>
          <w:color w:val="808080" w:themeColor="background1" w:themeShade="80"/>
          <w:sz w:val="22"/>
          <w:szCs w:val="22"/>
        </w:rPr>
        <w:t>However,</w:t>
      </w:r>
      <w:r>
        <w:rPr>
          <w:rFonts w:ascii="Avenir Next" w:hAnsi="Avenir Next" w:cs="Arial"/>
          <w:color w:val="808080" w:themeColor="background1" w:themeShade="80"/>
          <w:sz w:val="22"/>
          <w:szCs w:val="22"/>
        </w:rPr>
        <w:t xml:space="preserve"> in this case as the buyer of the machines was a </w:t>
      </w:r>
      <w:proofErr w:type="gramStart"/>
      <w:r>
        <w:rPr>
          <w:rFonts w:ascii="Avenir Next" w:hAnsi="Avenir Next" w:cs="Arial"/>
          <w:color w:val="808080" w:themeColor="background1" w:themeShade="80"/>
          <w:sz w:val="22"/>
          <w:szCs w:val="22"/>
        </w:rPr>
        <w:t>director</w:t>
      </w:r>
      <w:proofErr w:type="gramEnd"/>
      <w:r>
        <w:rPr>
          <w:rFonts w:ascii="Avenir Next" w:hAnsi="Avenir Next" w:cs="Arial"/>
          <w:color w:val="808080" w:themeColor="background1" w:themeShade="80"/>
          <w:sz w:val="22"/>
          <w:szCs w:val="22"/>
        </w:rPr>
        <w:t xml:space="preserve"> they are a connected person and </w:t>
      </w:r>
      <w:r w:rsidR="00887D11">
        <w:rPr>
          <w:rFonts w:ascii="Avenir Next" w:hAnsi="Avenir Next" w:cs="Arial"/>
          <w:color w:val="808080" w:themeColor="background1" w:themeShade="80"/>
          <w:sz w:val="22"/>
          <w:szCs w:val="22"/>
        </w:rPr>
        <w:t>therefore</w:t>
      </w:r>
      <w:r>
        <w:rPr>
          <w:rFonts w:ascii="Avenir Next" w:hAnsi="Avenir Next" w:cs="Arial"/>
          <w:color w:val="808080" w:themeColor="background1" w:themeShade="80"/>
          <w:sz w:val="22"/>
          <w:szCs w:val="22"/>
        </w:rPr>
        <w:t xml:space="preserve"> the company is automatically presumed insolvent for these purposes.</w:t>
      </w:r>
    </w:p>
    <w:p w14:paraId="2B1E0881" w14:textId="3A390B04" w:rsidR="00452023" w:rsidRDefault="00452023" w:rsidP="00EA3B38">
      <w:pPr>
        <w:jc w:val="both"/>
        <w:rPr>
          <w:rFonts w:ascii="Avenir Next" w:hAnsi="Avenir Next" w:cs="Arial"/>
          <w:color w:val="808080" w:themeColor="background1" w:themeShade="80"/>
          <w:sz w:val="22"/>
          <w:szCs w:val="22"/>
        </w:rPr>
      </w:pPr>
    </w:p>
    <w:p w14:paraId="12611879" w14:textId="25546FEC" w:rsidR="00F90338" w:rsidRDefault="0045202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Notwithstanding if the director </w:t>
      </w:r>
      <w:r w:rsidR="00887D11">
        <w:rPr>
          <w:rFonts w:ascii="Avenir Next" w:hAnsi="Avenir Next" w:cs="Arial"/>
          <w:color w:val="808080" w:themeColor="background1" w:themeShade="80"/>
          <w:sz w:val="22"/>
          <w:szCs w:val="22"/>
        </w:rPr>
        <w:t>can</w:t>
      </w:r>
      <w:r>
        <w:rPr>
          <w:rFonts w:ascii="Avenir Next" w:hAnsi="Avenir Next" w:cs="Arial"/>
          <w:color w:val="808080" w:themeColor="background1" w:themeShade="80"/>
          <w:sz w:val="22"/>
          <w:szCs w:val="22"/>
        </w:rPr>
        <w:t xml:space="preserve"> prove to the court that the transaction for the cutting machines was entered into in good </w:t>
      </w:r>
      <w:r w:rsidR="00887D11">
        <w:rPr>
          <w:rFonts w:ascii="Avenir Next" w:hAnsi="Avenir Next" w:cs="Arial"/>
          <w:color w:val="808080" w:themeColor="background1" w:themeShade="80"/>
          <w:sz w:val="22"/>
          <w:szCs w:val="22"/>
        </w:rPr>
        <w:t>faith</w:t>
      </w:r>
      <w:r w:rsidR="00F9033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F90338">
        <w:rPr>
          <w:rFonts w:ascii="Avenir Next" w:hAnsi="Avenir Next" w:cs="Arial"/>
          <w:color w:val="808080" w:themeColor="background1" w:themeShade="80"/>
          <w:sz w:val="22"/>
          <w:szCs w:val="22"/>
        </w:rPr>
        <w:t>it</w:t>
      </w:r>
      <w:r>
        <w:rPr>
          <w:rFonts w:ascii="Avenir Next" w:hAnsi="Avenir Next" w:cs="Arial"/>
          <w:color w:val="808080" w:themeColor="background1" w:themeShade="80"/>
          <w:sz w:val="22"/>
          <w:szCs w:val="22"/>
        </w:rPr>
        <w:t xml:space="preserve"> </w:t>
      </w:r>
      <w:r w:rsidR="00F90338">
        <w:rPr>
          <w:rFonts w:ascii="Avenir Next" w:hAnsi="Avenir Next" w:cs="Arial"/>
          <w:color w:val="808080" w:themeColor="background1" w:themeShade="80"/>
          <w:sz w:val="22"/>
          <w:szCs w:val="22"/>
        </w:rPr>
        <w:t xml:space="preserve">was done for the purpose of </w:t>
      </w:r>
      <w:r w:rsidR="00473B87">
        <w:rPr>
          <w:rFonts w:ascii="Avenir Next" w:hAnsi="Avenir Next" w:cs="Arial"/>
          <w:color w:val="808080" w:themeColor="background1" w:themeShade="80"/>
          <w:sz w:val="22"/>
          <w:szCs w:val="22"/>
        </w:rPr>
        <w:t>continuing</w:t>
      </w:r>
      <w:r w:rsidR="00F90338">
        <w:rPr>
          <w:rFonts w:ascii="Avenir Next" w:hAnsi="Avenir Next" w:cs="Arial"/>
          <w:color w:val="808080" w:themeColor="background1" w:themeShade="80"/>
          <w:sz w:val="22"/>
          <w:szCs w:val="22"/>
        </w:rPr>
        <w:t xml:space="preserve"> the business and there were reasonable grounds to believe the transaction would be to the benefit of the company a claim cannot be brought. In the event the court concluding the transaction was at undervalue then it would be able to make an order restoring the position prior to the transaction, </w:t>
      </w:r>
      <w:r w:rsidR="00887D11">
        <w:rPr>
          <w:rFonts w:ascii="Avenir Next" w:hAnsi="Avenir Next" w:cs="Arial"/>
          <w:color w:val="808080" w:themeColor="background1" w:themeShade="80"/>
          <w:sz w:val="22"/>
          <w:szCs w:val="22"/>
        </w:rPr>
        <w:t>i.e.,</w:t>
      </w:r>
      <w:r w:rsidR="00F90338">
        <w:rPr>
          <w:rFonts w:ascii="Avenir Next" w:hAnsi="Avenir Next" w:cs="Arial"/>
          <w:color w:val="808080" w:themeColor="background1" w:themeShade="80"/>
          <w:sz w:val="22"/>
          <w:szCs w:val="22"/>
        </w:rPr>
        <w:t xml:space="preserve"> had the </w:t>
      </w:r>
      <w:r w:rsidR="00887D11">
        <w:rPr>
          <w:rFonts w:ascii="Avenir Next" w:hAnsi="Avenir Next" w:cs="Arial"/>
          <w:color w:val="808080" w:themeColor="background1" w:themeShade="80"/>
          <w:sz w:val="22"/>
          <w:szCs w:val="22"/>
        </w:rPr>
        <w:t>transaction</w:t>
      </w:r>
      <w:r w:rsidR="00F90338">
        <w:rPr>
          <w:rFonts w:ascii="Avenir Next" w:hAnsi="Avenir Next" w:cs="Arial"/>
          <w:color w:val="808080" w:themeColor="background1" w:themeShade="80"/>
          <w:sz w:val="22"/>
          <w:szCs w:val="22"/>
        </w:rPr>
        <w:t xml:space="preserve"> not happened.</w:t>
      </w:r>
    </w:p>
    <w:p w14:paraId="3AB930C6" w14:textId="6D90DE3D" w:rsidR="00F90338" w:rsidRDefault="00F90338" w:rsidP="00EA3B38">
      <w:pPr>
        <w:jc w:val="both"/>
        <w:rPr>
          <w:rFonts w:ascii="Avenir Next" w:hAnsi="Avenir Next" w:cs="Arial"/>
          <w:color w:val="808080" w:themeColor="background1" w:themeShade="80"/>
          <w:sz w:val="22"/>
          <w:szCs w:val="22"/>
        </w:rPr>
      </w:pPr>
    </w:p>
    <w:p w14:paraId="69AAC0D8" w14:textId="158B6F11" w:rsidR="00F90338" w:rsidRDefault="00F9033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the </w:t>
      </w:r>
      <w:r w:rsidR="00887D11">
        <w:rPr>
          <w:rFonts w:ascii="Avenir Next" w:hAnsi="Avenir Next" w:cs="Arial"/>
          <w:color w:val="808080" w:themeColor="background1" w:themeShade="80"/>
          <w:sz w:val="22"/>
          <w:szCs w:val="22"/>
        </w:rPr>
        <w:t>decision</w:t>
      </w:r>
      <w:r>
        <w:rPr>
          <w:rFonts w:ascii="Avenir Next" w:hAnsi="Avenir Next" w:cs="Arial"/>
          <w:color w:val="808080" w:themeColor="background1" w:themeShade="80"/>
          <w:sz w:val="22"/>
          <w:szCs w:val="22"/>
        </w:rPr>
        <w:t xml:space="preserve"> to grant the order in this case would be at the discretion of the court it is within reason to conclude that the director did purchase the cutting machines in good faith for the continuance of the business likely </w:t>
      </w:r>
      <w:r w:rsidR="00473B87">
        <w:rPr>
          <w:rFonts w:ascii="Avenir Next" w:hAnsi="Avenir Next" w:cs="Arial"/>
          <w:color w:val="808080" w:themeColor="background1" w:themeShade="80"/>
          <w:sz w:val="22"/>
          <w:szCs w:val="22"/>
        </w:rPr>
        <w:t>to</w:t>
      </w:r>
      <w:r>
        <w:rPr>
          <w:rFonts w:ascii="Avenir Next" w:hAnsi="Avenir Next" w:cs="Arial"/>
          <w:color w:val="808080" w:themeColor="background1" w:themeShade="80"/>
          <w:sz w:val="22"/>
          <w:szCs w:val="22"/>
        </w:rPr>
        <w:t xml:space="preserve"> inject cash into the struggling business.</w:t>
      </w:r>
    </w:p>
    <w:p w14:paraId="5677C283" w14:textId="4B6DED56" w:rsidR="0060646A" w:rsidRDefault="0060646A" w:rsidP="00EA3B38">
      <w:pPr>
        <w:jc w:val="both"/>
        <w:rPr>
          <w:rFonts w:ascii="Avenir Next" w:hAnsi="Avenir Next" w:cs="Arial"/>
          <w:color w:val="808080" w:themeColor="background1" w:themeShade="80"/>
          <w:sz w:val="22"/>
          <w:szCs w:val="22"/>
        </w:rPr>
      </w:pPr>
    </w:p>
    <w:p w14:paraId="5336DC99" w14:textId="4B28C99A" w:rsidR="0060646A" w:rsidRDefault="0060646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Another similar avenue the liquidator may take is an action under section 423 for transactions </w:t>
      </w:r>
      <w:r w:rsidR="00473B87">
        <w:rPr>
          <w:rFonts w:ascii="Avenir Next" w:hAnsi="Avenir Next" w:cs="Arial"/>
          <w:color w:val="808080" w:themeColor="background1" w:themeShade="80"/>
          <w:sz w:val="22"/>
          <w:szCs w:val="22"/>
        </w:rPr>
        <w:t>defrauding</w:t>
      </w:r>
      <w:r>
        <w:rPr>
          <w:rFonts w:ascii="Avenir Next" w:hAnsi="Avenir Next" w:cs="Arial"/>
          <w:color w:val="808080" w:themeColor="background1" w:themeShade="80"/>
          <w:sz w:val="22"/>
          <w:szCs w:val="22"/>
        </w:rPr>
        <w:t xml:space="preserve"> creditors. </w:t>
      </w:r>
      <w:r w:rsidR="00473B87">
        <w:rPr>
          <w:rFonts w:ascii="Avenir Next" w:hAnsi="Avenir Next" w:cs="Arial"/>
          <w:color w:val="808080" w:themeColor="background1" w:themeShade="80"/>
          <w:sz w:val="22"/>
          <w:szCs w:val="22"/>
        </w:rPr>
        <w:t>Like</w:t>
      </w:r>
      <w:r>
        <w:rPr>
          <w:rFonts w:ascii="Avenir Next" w:hAnsi="Avenir Next" w:cs="Arial"/>
          <w:color w:val="808080" w:themeColor="background1" w:themeShade="80"/>
          <w:sz w:val="22"/>
          <w:szCs w:val="22"/>
        </w:rPr>
        <w:t xml:space="preserve"> that under section 238 it must be proved that a transaction was entered into where the company received significantly less consideration </w:t>
      </w:r>
      <w:r w:rsidR="00473B87">
        <w:rPr>
          <w:rFonts w:ascii="Avenir Next" w:hAnsi="Avenir Next" w:cs="Arial"/>
          <w:color w:val="808080" w:themeColor="background1" w:themeShade="80"/>
          <w:sz w:val="22"/>
          <w:szCs w:val="22"/>
        </w:rPr>
        <w:t>than</w:t>
      </w:r>
      <w:r>
        <w:rPr>
          <w:rFonts w:ascii="Avenir Next" w:hAnsi="Avenir Next" w:cs="Arial"/>
          <w:color w:val="808080" w:themeColor="background1" w:themeShade="80"/>
          <w:sz w:val="22"/>
          <w:szCs w:val="22"/>
        </w:rPr>
        <w:t xml:space="preserve"> was offered as was the case with the cutting machines. </w:t>
      </w:r>
      <w:r w:rsidR="00473B87">
        <w:rPr>
          <w:rFonts w:ascii="Avenir Next" w:hAnsi="Avenir Next" w:cs="Arial"/>
          <w:color w:val="808080" w:themeColor="background1" w:themeShade="80"/>
          <w:sz w:val="22"/>
          <w:szCs w:val="22"/>
        </w:rPr>
        <w:t>Additionally,</w:t>
      </w:r>
      <w:r>
        <w:rPr>
          <w:rFonts w:ascii="Avenir Next" w:hAnsi="Avenir Next" w:cs="Arial"/>
          <w:color w:val="808080" w:themeColor="background1" w:themeShade="80"/>
          <w:sz w:val="22"/>
          <w:szCs w:val="22"/>
        </w:rPr>
        <w:t xml:space="preserve"> it must be shown that the company </w:t>
      </w:r>
      <w:proofErr w:type="gramStart"/>
      <w:r>
        <w:rPr>
          <w:rFonts w:ascii="Avenir Next" w:hAnsi="Avenir Next" w:cs="Arial"/>
          <w:color w:val="808080" w:themeColor="background1" w:themeShade="80"/>
          <w:sz w:val="22"/>
          <w:szCs w:val="22"/>
        </w:rPr>
        <w:t>entered into</w:t>
      </w:r>
      <w:proofErr w:type="gramEnd"/>
      <w:r>
        <w:rPr>
          <w:rFonts w:ascii="Avenir Next" w:hAnsi="Avenir Next" w:cs="Arial"/>
          <w:color w:val="808080" w:themeColor="background1" w:themeShade="80"/>
          <w:sz w:val="22"/>
          <w:szCs w:val="22"/>
        </w:rPr>
        <w:t xml:space="preserve"> the transaction for the purpose of putting assets of the company beyond reach of someone who may make a claim </w:t>
      </w:r>
      <w:r w:rsidR="00473B87">
        <w:rPr>
          <w:rFonts w:ascii="Avenir Next" w:hAnsi="Avenir Next" w:cs="Arial"/>
          <w:color w:val="808080" w:themeColor="background1" w:themeShade="80"/>
          <w:sz w:val="22"/>
          <w:szCs w:val="22"/>
        </w:rPr>
        <w:t>against</w:t>
      </w:r>
      <w:r>
        <w:rPr>
          <w:rFonts w:ascii="Avenir Next" w:hAnsi="Avenir Next" w:cs="Arial"/>
          <w:color w:val="808080" w:themeColor="background1" w:themeShade="80"/>
          <w:sz w:val="22"/>
          <w:szCs w:val="22"/>
        </w:rPr>
        <w:t xml:space="preserve"> the company. As is the case under the section 238 action, the primary defense here is that the transaction was made in good faith and not with the intent to defraud creditors.</w:t>
      </w:r>
    </w:p>
    <w:p w14:paraId="54B90F9A" w14:textId="5A987B3C" w:rsidR="00F90338" w:rsidRDefault="00F90338" w:rsidP="00EA3B38">
      <w:pPr>
        <w:jc w:val="both"/>
        <w:rPr>
          <w:rFonts w:ascii="Avenir Next" w:hAnsi="Avenir Next" w:cs="Arial"/>
          <w:color w:val="808080" w:themeColor="background1" w:themeShade="80"/>
          <w:sz w:val="22"/>
          <w:szCs w:val="22"/>
        </w:rPr>
      </w:pPr>
    </w:p>
    <w:p w14:paraId="26BC830B" w14:textId="77777777" w:rsidR="00F90338" w:rsidRDefault="00F90338" w:rsidP="00EA3B38">
      <w:pPr>
        <w:jc w:val="both"/>
        <w:rPr>
          <w:rFonts w:ascii="Avenir Next" w:hAnsi="Avenir Next" w:cs="Arial"/>
          <w:color w:val="808080" w:themeColor="background1" w:themeShade="80"/>
          <w:sz w:val="22"/>
          <w:szCs w:val="22"/>
        </w:rPr>
      </w:pPr>
    </w:p>
    <w:p w14:paraId="122A7B13" w14:textId="02C03CF5" w:rsidR="00F90338" w:rsidRDefault="00F90338" w:rsidP="00EA3B38">
      <w:pPr>
        <w:jc w:val="both"/>
        <w:rPr>
          <w:rFonts w:ascii="Avenir Next" w:hAnsi="Avenir Next" w:cs="Arial"/>
          <w:color w:val="808080" w:themeColor="background1" w:themeShade="80"/>
          <w:sz w:val="22"/>
          <w:szCs w:val="22"/>
        </w:rPr>
      </w:pPr>
    </w:p>
    <w:p w14:paraId="23EF2732" w14:textId="77777777" w:rsidR="00F90338" w:rsidRDefault="00F90338" w:rsidP="00EA3B38">
      <w:pPr>
        <w:jc w:val="both"/>
        <w:rPr>
          <w:rFonts w:ascii="Avenir Next" w:hAnsi="Avenir Next" w:cs="Arial"/>
          <w:color w:val="808080" w:themeColor="background1" w:themeShade="80"/>
          <w:sz w:val="22"/>
          <w:szCs w:val="22"/>
        </w:rPr>
      </w:pPr>
    </w:p>
    <w:p w14:paraId="1E0F6D47" w14:textId="77777777" w:rsidR="00452023" w:rsidRPr="00B84055" w:rsidRDefault="00452023" w:rsidP="00EA3B38">
      <w:pPr>
        <w:jc w:val="both"/>
        <w:rPr>
          <w:rFonts w:ascii="Avenir Next" w:hAnsi="Avenir Next" w:cs="Arial"/>
          <w:color w:val="808080" w:themeColor="background1" w:themeShade="80"/>
          <w:sz w:val="22"/>
          <w:szCs w:val="22"/>
        </w:rPr>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39FDD86B" w:rsidR="009452DF" w:rsidRDefault="00964A43"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would likely look to pursue a claim of wrongful trading against the directors of the company under section 214 and 246ZB of the act for the payments made to Hard and Fast Ltd. The purpose of the wrongful trading action is to encourage directors to make every effort to minimize losses to company creditors once they are made aware that the company is likely to be put into an insolvent liquidation.</w:t>
      </w:r>
    </w:p>
    <w:p w14:paraId="5A645E61" w14:textId="5785A373" w:rsidR="00964A43" w:rsidRDefault="00964A43" w:rsidP="009452DF">
      <w:pPr>
        <w:jc w:val="both"/>
        <w:rPr>
          <w:rFonts w:ascii="Avenir Next" w:hAnsi="Avenir Next" w:cs="Arial"/>
          <w:color w:val="808080" w:themeColor="background1" w:themeShade="80"/>
          <w:sz w:val="22"/>
          <w:szCs w:val="22"/>
        </w:rPr>
      </w:pPr>
    </w:p>
    <w:p w14:paraId="3CDC686A" w14:textId="699F9955" w:rsidR="00964A43" w:rsidRDefault="002930C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proved under section 214 the court can stipulate for a director to provide a contribution to the company’s assets, </w:t>
      </w:r>
      <w:r w:rsidR="00473B87">
        <w:rPr>
          <w:rFonts w:ascii="Avenir Next" w:hAnsi="Avenir Next" w:cs="Arial"/>
          <w:color w:val="808080" w:themeColor="background1" w:themeShade="80"/>
          <w:sz w:val="22"/>
          <w:szCs w:val="22"/>
        </w:rPr>
        <w:t>for</w:t>
      </w:r>
      <w:r>
        <w:rPr>
          <w:rFonts w:ascii="Avenir Next" w:hAnsi="Avenir Next" w:cs="Arial"/>
          <w:color w:val="808080" w:themeColor="background1" w:themeShade="80"/>
          <w:sz w:val="22"/>
          <w:szCs w:val="22"/>
        </w:rPr>
        <w:t xml:space="preserve"> this to happen several criteria must first be made though. </w:t>
      </w:r>
      <w:r w:rsidR="00473B87">
        <w:rPr>
          <w:rFonts w:ascii="Avenir Next" w:hAnsi="Avenir Next" w:cs="Arial"/>
          <w:color w:val="808080" w:themeColor="background1" w:themeShade="80"/>
          <w:sz w:val="22"/>
          <w:szCs w:val="22"/>
        </w:rPr>
        <w:t>Firstly,</w:t>
      </w:r>
      <w:r>
        <w:rPr>
          <w:rFonts w:ascii="Avenir Next" w:hAnsi="Avenir Next" w:cs="Arial"/>
          <w:color w:val="808080" w:themeColor="background1" w:themeShade="80"/>
          <w:sz w:val="22"/>
          <w:szCs w:val="22"/>
        </w:rPr>
        <w:t xml:space="preserve"> the company must be in liquidation, secondly the person must have known/concluded prior to commencement of insolvency proceedings that there was no reasonable prospect that the company would not enter liquidation, finally the person that person was a director at this time.</w:t>
      </w:r>
    </w:p>
    <w:p w14:paraId="5489C2EF" w14:textId="440832F0" w:rsidR="002930C4" w:rsidRDefault="002930C4" w:rsidP="009452DF">
      <w:pPr>
        <w:jc w:val="both"/>
        <w:rPr>
          <w:rFonts w:ascii="Avenir Next" w:hAnsi="Avenir Next" w:cs="Arial"/>
          <w:color w:val="808080" w:themeColor="background1" w:themeShade="80"/>
          <w:sz w:val="22"/>
          <w:szCs w:val="22"/>
        </w:rPr>
      </w:pPr>
    </w:p>
    <w:p w14:paraId="0996F6C2" w14:textId="2CC4B7EF" w:rsidR="002930C4" w:rsidRDefault="002930C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main defense of course for an action brought under section 214 is that the direcotrs made every </w:t>
      </w:r>
      <w:r w:rsidR="00473B87">
        <w:rPr>
          <w:rFonts w:ascii="Avenir Next" w:hAnsi="Avenir Next" w:cs="Arial"/>
          <w:color w:val="808080" w:themeColor="background1" w:themeShade="80"/>
          <w:sz w:val="22"/>
          <w:szCs w:val="22"/>
        </w:rPr>
        <w:t>effort</w:t>
      </w:r>
      <w:r>
        <w:rPr>
          <w:rFonts w:ascii="Avenir Next" w:hAnsi="Avenir Next" w:cs="Arial"/>
          <w:color w:val="808080" w:themeColor="background1" w:themeShade="80"/>
          <w:sz w:val="22"/>
          <w:szCs w:val="22"/>
        </w:rPr>
        <w:t xml:space="preserve"> to minimizing the potential loss to the company’s creditors once they knew the company was heading for insolvency. </w:t>
      </w:r>
    </w:p>
    <w:p w14:paraId="1BB92D4E" w14:textId="2A0BCE92" w:rsidR="002930C4" w:rsidRDefault="002930C4" w:rsidP="009452DF">
      <w:pPr>
        <w:jc w:val="both"/>
        <w:rPr>
          <w:rFonts w:ascii="Avenir Next" w:hAnsi="Avenir Next" w:cs="Arial"/>
          <w:color w:val="808080" w:themeColor="background1" w:themeShade="80"/>
          <w:sz w:val="22"/>
          <w:szCs w:val="22"/>
        </w:rPr>
      </w:pPr>
    </w:p>
    <w:p w14:paraId="1774BB8B" w14:textId="5C85D7A3" w:rsidR="00CA302D" w:rsidRDefault="002930C4"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case the first and last criteria</w:t>
      </w:r>
      <w:r w:rsidR="00CA302D">
        <w:rPr>
          <w:rFonts w:ascii="Avenir Next" w:hAnsi="Avenir Next" w:cs="Arial"/>
          <w:color w:val="808080" w:themeColor="background1" w:themeShade="80"/>
          <w:sz w:val="22"/>
          <w:szCs w:val="22"/>
        </w:rPr>
        <w:t xml:space="preserve"> are met, being that </w:t>
      </w:r>
      <w:r>
        <w:rPr>
          <w:rFonts w:ascii="Avenir Next" w:hAnsi="Avenir Next" w:cs="Arial"/>
          <w:color w:val="808080" w:themeColor="background1" w:themeShade="80"/>
          <w:sz w:val="22"/>
          <w:szCs w:val="22"/>
        </w:rPr>
        <w:t xml:space="preserve">company </w:t>
      </w:r>
      <w:r w:rsidR="00CA302D">
        <w:rPr>
          <w:rFonts w:ascii="Avenir Next" w:hAnsi="Avenir Next" w:cs="Arial"/>
          <w:color w:val="808080" w:themeColor="background1" w:themeShade="80"/>
          <w:sz w:val="22"/>
          <w:szCs w:val="22"/>
        </w:rPr>
        <w:t xml:space="preserve">is </w:t>
      </w:r>
      <w:r>
        <w:rPr>
          <w:rFonts w:ascii="Avenir Next" w:hAnsi="Avenir Next" w:cs="Arial"/>
          <w:color w:val="808080" w:themeColor="background1" w:themeShade="80"/>
          <w:sz w:val="22"/>
          <w:szCs w:val="22"/>
        </w:rPr>
        <w:t xml:space="preserve">insolvent and the person in question, Rita, </w:t>
      </w:r>
      <w:r w:rsidR="00CA302D">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a director, this leads us to the second point, whether she should have known the company was heading for an insolvent liquidation. Given the circumstances it is reasonable to believe that the liquidator could be able to prove that Rita ought to have known of the company’s insolvency at the time payment terms to Hard and Fast were altered. This is because at the time of the payments</w:t>
      </w:r>
      <w:r w:rsidR="00473B87">
        <w:rPr>
          <w:rFonts w:ascii="Avenir Next" w:hAnsi="Avenir Next" w:cs="Arial"/>
          <w:color w:val="808080" w:themeColor="background1" w:themeShade="80"/>
          <w:sz w:val="22"/>
          <w:szCs w:val="22"/>
        </w:rPr>
        <w:t xml:space="preserve">, </w:t>
      </w:r>
      <w:r w:rsidR="00CA302D">
        <w:rPr>
          <w:rFonts w:ascii="Avenir Next" w:hAnsi="Avenir Next" w:cs="Arial"/>
          <w:color w:val="808080" w:themeColor="background1" w:themeShade="80"/>
          <w:sz w:val="22"/>
          <w:szCs w:val="22"/>
        </w:rPr>
        <w:t xml:space="preserve">the had already provided Fretus bank with a floating charge to remain insolvent 9 months prior. </w:t>
      </w:r>
      <w:r w:rsidR="00473B87">
        <w:rPr>
          <w:rFonts w:ascii="Avenir Next" w:hAnsi="Avenir Next" w:cs="Arial"/>
          <w:color w:val="808080" w:themeColor="background1" w:themeShade="80"/>
          <w:sz w:val="22"/>
          <w:szCs w:val="22"/>
        </w:rPr>
        <w:t>Furthermore,</w:t>
      </w:r>
      <w:r w:rsidR="00CA302D">
        <w:rPr>
          <w:rFonts w:ascii="Avenir Next" w:hAnsi="Avenir Next" w:cs="Arial"/>
          <w:color w:val="808080" w:themeColor="background1" w:themeShade="80"/>
          <w:sz w:val="22"/>
          <w:szCs w:val="22"/>
        </w:rPr>
        <w:t xml:space="preserve"> the company had been required to sell company assets to Rita </w:t>
      </w:r>
      <w:proofErr w:type="gramStart"/>
      <w:r w:rsidR="00CA302D">
        <w:rPr>
          <w:rFonts w:ascii="Avenir Next" w:hAnsi="Avenir Next" w:cs="Arial"/>
          <w:color w:val="808080" w:themeColor="background1" w:themeShade="80"/>
          <w:sz w:val="22"/>
          <w:szCs w:val="22"/>
        </w:rPr>
        <w:t>in order to</w:t>
      </w:r>
      <w:proofErr w:type="gramEnd"/>
      <w:r w:rsidR="00CA302D">
        <w:rPr>
          <w:rFonts w:ascii="Avenir Next" w:hAnsi="Avenir Next" w:cs="Arial"/>
          <w:color w:val="808080" w:themeColor="background1" w:themeShade="80"/>
          <w:sz w:val="22"/>
          <w:szCs w:val="22"/>
        </w:rPr>
        <w:t xml:space="preserve"> receive a </w:t>
      </w:r>
      <w:r w:rsidR="00473B87">
        <w:rPr>
          <w:rFonts w:ascii="Avenir Next" w:hAnsi="Avenir Next" w:cs="Arial"/>
          <w:color w:val="808080" w:themeColor="background1" w:themeShade="80"/>
          <w:sz w:val="22"/>
          <w:szCs w:val="22"/>
        </w:rPr>
        <w:t>short-term</w:t>
      </w:r>
      <w:r w:rsidR="00CA302D">
        <w:rPr>
          <w:rFonts w:ascii="Avenir Next" w:hAnsi="Avenir Next" w:cs="Arial"/>
          <w:color w:val="808080" w:themeColor="background1" w:themeShade="80"/>
          <w:sz w:val="22"/>
          <w:szCs w:val="22"/>
        </w:rPr>
        <w:t xml:space="preserve"> injection of cash to keep trading. Finally, the payments and changing of terms with Hard and Fast were made 1 month before the winding up order, which was also 1 month after the petition for appointment of insolvency </w:t>
      </w:r>
      <w:r w:rsidR="00473B87">
        <w:rPr>
          <w:rFonts w:ascii="Avenir Next" w:hAnsi="Avenir Next" w:cs="Arial"/>
          <w:color w:val="808080" w:themeColor="background1" w:themeShade="80"/>
          <w:sz w:val="22"/>
          <w:szCs w:val="22"/>
        </w:rPr>
        <w:t>practitioners</w:t>
      </w:r>
      <w:r w:rsidR="00CA302D">
        <w:rPr>
          <w:rFonts w:ascii="Avenir Next" w:hAnsi="Avenir Next" w:cs="Arial"/>
          <w:color w:val="808080" w:themeColor="background1" w:themeShade="80"/>
          <w:sz w:val="22"/>
          <w:szCs w:val="22"/>
        </w:rPr>
        <w:t xml:space="preserve"> was placed in court.</w:t>
      </w:r>
    </w:p>
    <w:p w14:paraId="0F92CF73" w14:textId="77777777" w:rsidR="00CA302D" w:rsidRDefault="00CA302D" w:rsidP="009452DF">
      <w:pPr>
        <w:jc w:val="both"/>
        <w:rPr>
          <w:rFonts w:ascii="Avenir Next" w:hAnsi="Avenir Next" w:cs="Arial"/>
          <w:color w:val="808080" w:themeColor="background1" w:themeShade="80"/>
          <w:sz w:val="22"/>
          <w:szCs w:val="22"/>
        </w:rPr>
      </w:pPr>
    </w:p>
    <w:p w14:paraId="22008A96" w14:textId="50861B88" w:rsidR="002930C4" w:rsidRDefault="00473B87"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w:t>
      </w:r>
      <w:r w:rsidR="00CA302D">
        <w:rPr>
          <w:rFonts w:ascii="Avenir Next" w:hAnsi="Avenir Next" w:cs="Arial"/>
          <w:color w:val="808080" w:themeColor="background1" w:themeShade="80"/>
          <w:sz w:val="22"/>
          <w:szCs w:val="22"/>
        </w:rPr>
        <w:t xml:space="preserve"> is reasonable to assume there is a strong case to be brought against Rita for this claim. The defense of minimizing creditor loss would likely be used, albeit to little effect </w:t>
      </w:r>
      <w:r>
        <w:rPr>
          <w:rFonts w:ascii="Avenir Next" w:hAnsi="Avenir Next" w:cs="Arial"/>
          <w:color w:val="808080" w:themeColor="background1" w:themeShade="80"/>
          <w:sz w:val="22"/>
          <w:szCs w:val="22"/>
        </w:rPr>
        <w:t>as these</w:t>
      </w:r>
      <w:r w:rsidR="00CA302D">
        <w:rPr>
          <w:rFonts w:ascii="Avenir Next" w:hAnsi="Avenir Next" w:cs="Arial"/>
          <w:color w:val="808080" w:themeColor="background1" w:themeShade="80"/>
          <w:sz w:val="22"/>
          <w:szCs w:val="22"/>
        </w:rPr>
        <w:t xml:space="preserve"> payments clearly disadvantaged other creditors.</w:t>
      </w:r>
    </w:p>
    <w:p w14:paraId="0C299E9D" w14:textId="33B69366" w:rsidR="00CA302D" w:rsidRDefault="00CA302D" w:rsidP="009452DF">
      <w:pPr>
        <w:jc w:val="both"/>
        <w:rPr>
          <w:rFonts w:ascii="Avenir Next" w:hAnsi="Avenir Next" w:cs="Arial"/>
          <w:color w:val="808080" w:themeColor="background1" w:themeShade="80"/>
          <w:sz w:val="22"/>
          <w:szCs w:val="22"/>
        </w:rPr>
      </w:pPr>
    </w:p>
    <w:p w14:paraId="7E4189E4" w14:textId="0EA32B33" w:rsidR="00CA302D" w:rsidRDefault="00CA302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unlikely that the liquidator will be able to bring a claim under section 127 for a voidable disposition against Hard &amp; Fast. </w:t>
      </w:r>
      <w:r w:rsidR="000D46DE">
        <w:rPr>
          <w:rFonts w:ascii="Avenir Next" w:hAnsi="Avenir Next" w:cs="Arial"/>
          <w:color w:val="808080" w:themeColor="background1" w:themeShade="80"/>
          <w:sz w:val="22"/>
          <w:szCs w:val="22"/>
        </w:rPr>
        <w:t xml:space="preserve">As the repayment of debt would likely be sanctioned by the court as a payment necessary to ensure the continued trading of the business. Meanwhile the change of terms to cash on delivery of goods </w:t>
      </w:r>
      <w:r w:rsidR="00473B87">
        <w:rPr>
          <w:rFonts w:ascii="Avenir Next" w:hAnsi="Avenir Next" w:cs="Arial"/>
          <w:color w:val="808080" w:themeColor="background1" w:themeShade="80"/>
          <w:sz w:val="22"/>
          <w:szCs w:val="22"/>
        </w:rPr>
        <w:t>would</w:t>
      </w:r>
      <w:r w:rsidR="000D46DE">
        <w:rPr>
          <w:rFonts w:ascii="Avenir Next" w:hAnsi="Avenir Next" w:cs="Arial"/>
          <w:color w:val="808080" w:themeColor="background1" w:themeShade="80"/>
          <w:sz w:val="22"/>
          <w:szCs w:val="22"/>
        </w:rPr>
        <w:t xml:space="preserve"> be considered by the court</w:t>
      </w:r>
      <w:r w:rsidR="00473B87">
        <w:rPr>
          <w:rFonts w:ascii="Avenir Next" w:hAnsi="Avenir Next" w:cs="Arial"/>
          <w:color w:val="808080" w:themeColor="background1" w:themeShade="80"/>
          <w:sz w:val="22"/>
          <w:szCs w:val="22"/>
        </w:rPr>
        <w:t>,</w:t>
      </w:r>
      <w:r w:rsidR="000D46DE">
        <w:rPr>
          <w:rFonts w:ascii="Avenir Next" w:hAnsi="Avenir Next" w:cs="Arial"/>
          <w:color w:val="808080" w:themeColor="background1" w:themeShade="80"/>
          <w:sz w:val="22"/>
          <w:szCs w:val="22"/>
        </w:rPr>
        <w:t xml:space="preserve"> but likely approved </w:t>
      </w:r>
      <w:r w:rsidR="00473B87">
        <w:rPr>
          <w:rFonts w:ascii="Avenir Next" w:hAnsi="Avenir Next" w:cs="Arial"/>
          <w:color w:val="808080" w:themeColor="background1" w:themeShade="80"/>
          <w:sz w:val="22"/>
          <w:szCs w:val="22"/>
        </w:rPr>
        <w:t xml:space="preserve">in the end </w:t>
      </w:r>
      <w:r w:rsidR="000D46DE">
        <w:rPr>
          <w:rFonts w:ascii="Avenir Next" w:hAnsi="Avenir Next" w:cs="Arial"/>
          <w:color w:val="808080" w:themeColor="background1" w:themeShade="80"/>
          <w:sz w:val="22"/>
          <w:szCs w:val="22"/>
        </w:rPr>
        <w:t>as it allowed the business to continue.</w:t>
      </w:r>
    </w:p>
    <w:p w14:paraId="71893350" w14:textId="37827C19" w:rsidR="00CA302D" w:rsidRDefault="00CA302D" w:rsidP="009452DF">
      <w:pPr>
        <w:jc w:val="both"/>
        <w:rPr>
          <w:rFonts w:ascii="Avenir Next" w:hAnsi="Avenir Next" w:cs="Arial"/>
          <w:color w:val="808080" w:themeColor="background1" w:themeShade="80"/>
          <w:sz w:val="22"/>
          <w:szCs w:val="22"/>
        </w:rPr>
      </w:pPr>
    </w:p>
    <w:p w14:paraId="23DFA4A0" w14:textId="77777777" w:rsidR="00CA302D" w:rsidRDefault="00CA302D" w:rsidP="009452DF">
      <w:pPr>
        <w:jc w:val="both"/>
        <w:rPr>
          <w:rFonts w:ascii="Avenir Next" w:hAnsi="Avenir Next" w:cs="Arial"/>
          <w:color w:val="808080" w:themeColor="background1" w:themeShade="80"/>
          <w:sz w:val="22"/>
          <w:szCs w:val="22"/>
        </w:rPr>
      </w:pPr>
    </w:p>
    <w:p w14:paraId="121E1738" w14:textId="276D6E07" w:rsidR="002930C4" w:rsidRDefault="002930C4" w:rsidP="009452DF">
      <w:pPr>
        <w:jc w:val="both"/>
        <w:rPr>
          <w:rFonts w:ascii="Avenir Next" w:hAnsi="Avenir Next" w:cs="Arial"/>
          <w:color w:val="808080" w:themeColor="background1" w:themeShade="80"/>
          <w:sz w:val="22"/>
          <w:szCs w:val="22"/>
        </w:rPr>
      </w:pPr>
    </w:p>
    <w:p w14:paraId="45067CBA" w14:textId="77777777" w:rsidR="002930C4" w:rsidRPr="00B84055" w:rsidRDefault="002930C4"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A547" w14:textId="77777777" w:rsidR="009C44C1" w:rsidRDefault="009C44C1" w:rsidP="00241B44">
      <w:r>
        <w:separator/>
      </w:r>
    </w:p>
  </w:endnote>
  <w:endnote w:type="continuationSeparator" w:id="0">
    <w:p w14:paraId="05191EF8" w14:textId="77777777" w:rsidR="009C44C1" w:rsidRDefault="009C44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736377DC" w14:textId="68C22440" w:rsidR="00BE16F2" w:rsidRPr="000936EF" w:rsidRDefault="00BE16F2" w:rsidP="00BE16F2">
    <w:pPr>
      <w:pStyle w:val="Footer"/>
      <w:ind w:right="360"/>
      <w:rPr>
        <w:rFonts w:ascii="Avenir Next" w:hAnsi="Avenir Next" w:cs="Arial"/>
        <w:sz w:val="22"/>
        <w:szCs w:val="22"/>
      </w:rPr>
    </w:pPr>
    <w:r w:rsidRPr="0002036B">
      <w:rPr>
        <w:rFonts w:ascii="Calibri" w:hAnsi="Calibri" w:cs="Calibri"/>
        <w:shd w:val="clear" w:color="auto" w:fill="FFFFFF"/>
      </w:rPr>
      <w:t>202223-892</w:t>
    </w:r>
    <w:r w:rsidRPr="0002036B">
      <w:rPr>
        <w:rFonts w:ascii="Avenir Next" w:hAnsi="Avenir Next" w:cs="Arial"/>
        <w:sz w:val="22"/>
        <w:szCs w:val="22"/>
      </w:rPr>
      <w:t>.assessment</w:t>
    </w:r>
    <w:r>
      <w:rPr>
        <w:rFonts w:ascii="Avenir Next" w:hAnsi="Avenir Next" w:cs="Arial"/>
        <w:sz w:val="22"/>
        <w:szCs w:val="22"/>
      </w:rPr>
      <w:t>3B</w:t>
    </w:r>
  </w:p>
  <w:p w14:paraId="30F05E79" w14:textId="37953D75" w:rsidR="00241FA3" w:rsidRPr="00A84235" w:rsidRDefault="00241FA3" w:rsidP="00BE16F2">
    <w:pPr>
      <w:pStyle w:val="Footer"/>
      <w:ind w:right="360"/>
      <w:rPr>
        <w:rFonts w:ascii="Avenir Next" w:hAnsi="Avenir Next"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467" w14:textId="77777777" w:rsidR="00BE16F2" w:rsidRDefault="00BE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8FDF" w14:textId="77777777" w:rsidR="009C44C1" w:rsidRDefault="009C44C1" w:rsidP="00241B44">
      <w:r>
        <w:separator/>
      </w:r>
    </w:p>
  </w:footnote>
  <w:footnote w:type="continuationSeparator" w:id="0">
    <w:p w14:paraId="32A4E088" w14:textId="77777777" w:rsidR="009C44C1" w:rsidRDefault="009C44C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1264" w14:textId="77777777" w:rsidR="00BE16F2" w:rsidRDefault="00BE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5D67" w14:textId="77777777" w:rsidR="00BE16F2" w:rsidRDefault="00BE1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7FD9" w14:textId="77777777" w:rsidR="00BE16F2" w:rsidRDefault="00BE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0184"/>
    <w:rsid w:val="00037621"/>
    <w:rsid w:val="00043632"/>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46DE"/>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55B8"/>
    <w:rsid w:val="001E682D"/>
    <w:rsid w:val="001E7B5A"/>
    <w:rsid w:val="001F3C98"/>
    <w:rsid w:val="001F7412"/>
    <w:rsid w:val="0020090A"/>
    <w:rsid w:val="0020204E"/>
    <w:rsid w:val="00202DFE"/>
    <w:rsid w:val="0020725B"/>
    <w:rsid w:val="002110F1"/>
    <w:rsid w:val="00212001"/>
    <w:rsid w:val="0021234C"/>
    <w:rsid w:val="00234592"/>
    <w:rsid w:val="002356EA"/>
    <w:rsid w:val="0024116D"/>
    <w:rsid w:val="00241B44"/>
    <w:rsid w:val="00241FA3"/>
    <w:rsid w:val="00245EFB"/>
    <w:rsid w:val="0025386E"/>
    <w:rsid w:val="002638B0"/>
    <w:rsid w:val="0026647A"/>
    <w:rsid w:val="002668D3"/>
    <w:rsid w:val="0027299F"/>
    <w:rsid w:val="00284EBE"/>
    <w:rsid w:val="002903A7"/>
    <w:rsid w:val="002930C4"/>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86E41"/>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2023"/>
    <w:rsid w:val="004534C2"/>
    <w:rsid w:val="0045446F"/>
    <w:rsid w:val="0045683E"/>
    <w:rsid w:val="00461F95"/>
    <w:rsid w:val="00473B87"/>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7E8"/>
    <w:rsid w:val="004E622C"/>
    <w:rsid w:val="004F5FDF"/>
    <w:rsid w:val="0050051D"/>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5F5D1E"/>
    <w:rsid w:val="006039EB"/>
    <w:rsid w:val="0060646A"/>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08B"/>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5D3B"/>
    <w:rsid w:val="00740DAD"/>
    <w:rsid w:val="00742AF3"/>
    <w:rsid w:val="007603F5"/>
    <w:rsid w:val="00763348"/>
    <w:rsid w:val="00764DB0"/>
    <w:rsid w:val="00766D86"/>
    <w:rsid w:val="0076764D"/>
    <w:rsid w:val="0077498C"/>
    <w:rsid w:val="0077697F"/>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0CA"/>
    <w:rsid w:val="00806302"/>
    <w:rsid w:val="00807119"/>
    <w:rsid w:val="008223B7"/>
    <w:rsid w:val="0082483F"/>
    <w:rsid w:val="008279C0"/>
    <w:rsid w:val="00861C6D"/>
    <w:rsid w:val="00867701"/>
    <w:rsid w:val="00871C74"/>
    <w:rsid w:val="008723F3"/>
    <w:rsid w:val="00876F56"/>
    <w:rsid w:val="00881DE6"/>
    <w:rsid w:val="008837A6"/>
    <w:rsid w:val="00887D11"/>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64A43"/>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44C1"/>
    <w:rsid w:val="009C7D85"/>
    <w:rsid w:val="009D001F"/>
    <w:rsid w:val="009D0811"/>
    <w:rsid w:val="009D0EE1"/>
    <w:rsid w:val="009D3AF0"/>
    <w:rsid w:val="009E2AEB"/>
    <w:rsid w:val="009E2E27"/>
    <w:rsid w:val="009E45DF"/>
    <w:rsid w:val="009E4DE3"/>
    <w:rsid w:val="009F275E"/>
    <w:rsid w:val="00A047EE"/>
    <w:rsid w:val="00A17AC3"/>
    <w:rsid w:val="00A2274A"/>
    <w:rsid w:val="00A235B7"/>
    <w:rsid w:val="00A27A7A"/>
    <w:rsid w:val="00A34ABE"/>
    <w:rsid w:val="00A407EF"/>
    <w:rsid w:val="00A46B4C"/>
    <w:rsid w:val="00A5117B"/>
    <w:rsid w:val="00A56D34"/>
    <w:rsid w:val="00A60074"/>
    <w:rsid w:val="00A63544"/>
    <w:rsid w:val="00A6627C"/>
    <w:rsid w:val="00A71019"/>
    <w:rsid w:val="00A71455"/>
    <w:rsid w:val="00A81029"/>
    <w:rsid w:val="00A84235"/>
    <w:rsid w:val="00A845F5"/>
    <w:rsid w:val="00A94D9A"/>
    <w:rsid w:val="00A96489"/>
    <w:rsid w:val="00AA17CF"/>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17D41"/>
    <w:rsid w:val="00B40CA1"/>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41B"/>
    <w:rsid w:val="00BB0F2B"/>
    <w:rsid w:val="00BE16F2"/>
    <w:rsid w:val="00BE449A"/>
    <w:rsid w:val="00BE4FF3"/>
    <w:rsid w:val="00BF123E"/>
    <w:rsid w:val="00BF2C93"/>
    <w:rsid w:val="00BF50F7"/>
    <w:rsid w:val="00C02F29"/>
    <w:rsid w:val="00C17718"/>
    <w:rsid w:val="00C20AFE"/>
    <w:rsid w:val="00C22A25"/>
    <w:rsid w:val="00C22E2E"/>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302D"/>
    <w:rsid w:val="00CB0ADD"/>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5779D"/>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250B"/>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0338"/>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5550</TotalTime>
  <Pages>11</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McCallum (KY)</cp:lastModifiedBy>
  <cp:revision>16</cp:revision>
  <cp:lastPrinted>2019-08-27T05:42:00Z</cp:lastPrinted>
  <dcterms:created xsi:type="dcterms:W3CDTF">2022-07-04T17:01:00Z</dcterms:created>
  <dcterms:modified xsi:type="dcterms:W3CDTF">2023-03-01T07:55:00Z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