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pPr>
        <w:pStyle w:val="ListParagraph"/>
        <w:numPr>
          <w:ilvl w:val="0"/>
          <w:numId w:val="1"/>
        </w:numPr>
        <w:ind w:left="426"/>
        <w:jc w:val="both"/>
        <w:rPr>
          <w:rFonts w:ascii="Avenir Next" w:hAnsi="Avenir Next" w:cs="Arial"/>
          <w:sz w:val="22"/>
          <w:szCs w:val="22"/>
          <w:lang w:val="en-GB"/>
        </w:rPr>
      </w:pPr>
      <w:r w:rsidRPr="009F4EDB">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r w:rsidRPr="00B77352">
        <w:rPr>
          <w:rFonts w:ascii="Avenir Next" w:hAnsi="Avenir Next" w:cs="Arial"/>
          <w:sz w:val="22"/>
          <w:szCs w:val="22"/>
          <w:lang w:val="en-GB"/>
        </w:rPr>
        <w:t>.</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9F4EDB" w:rsidRDefault="00436884">
      <w:pPr>
        <w:pStyle w:val="ListParagraph"/>
        <w:numPr>
          <w:ilvl w:val="0"/>
          <w:numId w:val="2"/>
        </w:numPr>
        <w:ind w:left="426"/>
        <w:jc w:val="both"/>
        <w:rPr>
          <w:rFonts w:ascii="Avenir Next" w:hAnsi="Avenir Next" w:cs="Arial"/>
          <w:sz w:val="22"/>
          <w:szCs w:val="22"/>
          <w:highlight w:val="yellow"/>
          <w:lang w:val="en-GB"/>
        </w:rPr>
      </w:pPr>
      <w:r w:rsidRPr="009F4EDB">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9F4EDB" w:rsidRDefault="00853A74">
      <w:pPr>
        <w:pStyle w:val="ListParagraph"/>
        <w:numPr>
          <w:ilvl w:val="0"/>
          <w:numId w:val="3"/>
        </w:numPr>
        <w:ind w:left="426"/>
        <w:jc w:val="both"/>
        <w:rPr>
          <w:rFonts w:ascii="Avenir Next" w:hAnsi="Avenir Next" w:cs="Arial"/>
          <w:sz w:val="22"/>
          <w:szCs w:val="22"/>
          <w:highlight w:val="yellow"/>
          <w:lang w:val="en-GB"/>
        </w:rPr>
      </w:pPr>
      <w:r w:rsidRPr="009F4EDB">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w:t>
      </w:r>
      <w:r w:rsidRPr="009F4EDB">
        <w:rPr>
          <w:rFonts w:ascii="Avenir Next" w:hAnsi="Avenir Next" w:cs="Arial"/>
          <w:sz w:val="22"/>
          <w:szCs w:val="22"/>
          <w:highlight w:val="yellow"/>
          <w:lang w:val="en-GB"/>
        </w:rPr>
        <w:t>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w:t>
      </w:r>
      <w:r w:rsidRPr="00E2622D">
        <w:rPr>
          <w:rFonts w:ascii="Avenir Next" w:hAnsi="Avenir Next" w:cs="Arial"/>
          <w:sz w:val="22"/>
          <w:szCs w:val="22"/>
          <w:lang w:val="en-GB"/>
        </w:rPr>
        <w:lastRenderedPageBreak/>
        <w:t xml:space="preserve">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FF37FF" w:rsidRDefault="00C504E5">
      <w:pPr>
        <w:pStyle w:val="ListParagraph"/>
        <w:numPr>
          <w:ilvl w:val="0"/>
          <w:numId w:val="5"/>
        </w:numPr>
        <w:ind w:left="426"/>
        <w:jc w:val="both"/>
        <w:rPr>
          <w:rFonts w:ascii="Avenir Next" w:hAnsi="Avenir Next" w:cs="Arial"/>
          <w:sz w:val="22"/>
          <w:szCs w:val="22"/>
          <w:highlight w:val="yellow"/>
          <w:lang w:val="en-GB"/>
        </w:rPr>
      </w:pPr>
      <w:r w:rsidRPr="00FF37FF">
        <w:rPr>
          <w:rFonts w:ascii="Avenir Next" w:hAnsi="Avenir Next" w:cs="Arial"/>
          <w:sz w:val="22"/>
          <w:szCs w:val="22"/>
          <w:highlight w:val="yellow"/>
          <w:lang w:val="en-GB"/>
        </w:rPr>
        <w:t xml:space="preserve">Both the foreign main proceedings in South Africa and the foreign non-main proceedings in </w:t>
      </w:r>
      <w:r w:rsidR="004137C3" w:rsidRPr="00FF37FF">
        <w:rPr>
          <w:rFonts w:ascii="Avenir Next" w:hAnsi="Avenir Next" w:cs="Arial"/>
          <w:sz w:val="22"/>
          <w:szCs w:val="22"/>
          <w:highlight w:val="yellow"/>
          <w:lang w:val="en-GB"/>
        </w:rPr>
        <w:t xml:space="preserve">Argentina </w:t>
      </w:r>
      <w:r w:rsidRPr="00FF37FF">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pPr>
        <w:pStyle w:val="ListParagraph"/>
        <w:numPr>
          <w:ilvl w:val="0"/>
          <w:numId w:val="6"/>
        </w:numPr>
        <w:ind w:left="426"/>
        <w:jc w:val="both"/>
        <w:rPr>
          <w:rFonts w:ascii="Avenir Next" w:hAnsi="Avenir Next" w:cs="Arial"/>
          <w:sz w:val="22"/>
          <w:szCs w:val="22"/>
          <w:lang w:val="en-GB"/>
        </w:rPr>
      </w:pPr>
      <w:r w:rsidRPr="00B859B7">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859B7">
        <w:rPr>
          <w:rFonts w:ascii="Avenir Next" w:hAnsi="Avenir Next" w:cs="Arial"/>
          <w:sz w:val="22"/>
          <w:szCs w:val="22"/>
          <w:highlight w:val="yellow"/>
          <w:lang w:val="en-GB"/>
        </w:rPr>
        <w:t>will</w:t>
      </w:r>
      <w:r w:rsidRPr="00B859B7">
        <w:rPr>
          <w:rFonts w:ascii="Avenir Next" w:hAnsi="Avenir Next" w:cs="Arial"/>
          <w:sz w:val="22"/>
          <w:szCs w:val="22"/>
          <w:highlight w:val="yellow"/>
          <w:lang w:val="en-GB"/>
        </w:rPr>
        <w:t xml:space="preserve"> not be either adjusted or terminated if consistent with the domestic insolvency proceedings.</w:t>
      </w:r>
      <w:r w:rsidRPr="00B77352">
        <w:rPr>
          <w:rFonts w:ascii="Avenir Next" w:hAnsi="Avenir Next" w:cs="Arial"/>
          <w:sz w:val="22"/>
          <w:szCs w:val="22"/>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859B7" w:rsidRDefault="00436884">
      <w:pPr>
        <w:pStyle w:val="ListParagraph"/>
        <w:numPr>
          <w:ilvl w:val="0"/>
          <w:numId w:val="7"/>
        </w:numPr>
        <w:ind w:left="426"/>
        <w:jc w:val="both"/>
        <w:rPr>
          <w:rFonts w:ascii="Avenir Next" w:hAnsi="Avenir Next" w:cs="Arial"/>
          <w:sz w:val="22"/>
          <w:szCs w:val="22"/>
          <w:highlight w:val="yellow"/>
          <w:lang w:val="en-GB"/>
        </w:rPr>
      </w:pPr>
      <w:r w:rsidRPr="00B859B7">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46249B" w:rsidRDefault="00436884">
      <w:pPr>
        <w:pStyle w:val="ListParagraph"/>
        <w:numPr>
          <w:ilvl w:val="0"/>
          <w:numId w:val="8"/>
        </w:numPr>
        <w:ind w:left="426"/>
        <w:jc w:val="both"/>
        <w:rPr>
          <w:rFonts w:ascii="Avenir Next" w:hAnsi="Avenir Next" w:cs="Arial"/>
          <w:sz w:val="22"/>
          <w:szCs w:val="22"/>
          <w:highlight w:val="yellow"/>
          <w:lang w:val="en-GB"/>
        </w:rPr>
      </w:pPr>
      <w:r w:rsidRPr="0046249B">
        <w:rPr>
          <w:rFonts w:ascii="Avenir Next" w:hAnsi="Avenir Next" w:cs="Arial"/>
          <w:sz w:val="22"/>
          <w:szCs w:val="22"/>
          <w:highlight w:val="yellow"/>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pPr>
        <w:pStyle w:val="ListParagraph"/>
        <w:numPr>
          <w:ilvl w:val="0"/>
          <w:numId w:val="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859B7" w:rsidRDefault="00436884">
      <w:pPr>
        <w:pStyle w:val="ListParagraph"/>
        <w:numPr>
          <w:ilvl w:val="0"/>
          <w:numId w:val="9"/>
        </w:numPr>
        <w:ind w:left="426"/>
        <w:jc w:val="both"/>
        <w:rPr>
          <w:rFonts w:ascii="Avenir Next" w:hAnsi="Avenir Next" w:cs="Arial"/>
          <w:sz w:val="22"/>
          <w:szCs w:val="22"/>
          <w:highlight w:val="yellow"/>
          <w:lang w:val="en-GB"/>
        </w:rPr>
      </w:pPr>
      <w:r w:rsidRPr="00B859B7">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pPr>
        <w:pStyle w:val="ListParagraph"/>
        <w:numPr>
          <w:ilvl w:val="0"/>
          <w:numId w:val="10"/>
        </w:numPr>
        <w:ind w:left="426"/>
        <w:jc w:val="both"/>
        <w:rPr>
          <w:rFonts w:ascii="Avenir Next" w:hAnsi="Avenir Next" w:cs="Arial"/>
          <w:sz w:val="22"/>
          <w:szCs w:val="22"/>
          <w:lang w:val="en-GB"/>
        </w:rPr>
      </w:pPr>
      <w:r w:rsidRPr="00B77352">
        <w:rPr>
          <w:rFonts w:ascii="Avenir Next" w:hAnsi="Avenir Next" w:cs="Arial"/>
          <w:sz w:val="22"/>
          <w:szCs w:val="22"/>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8E4C1A">
        <w:rPr>
          <w:rFonts w:ascii="Avenir Next" w:hAnsi="Avenir Next" w:cs="Arial"/>
          <w:bCs/>
          <w:sz w:val="22"/>
          <w:szCs w:val="22"/>
          <w:highlight w:val="yellow"/>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712B303C" w14:textId="0079ABC2" w:rsidR="00EA2858" w:rsidRPr="009E5F37" w:rsidRDefault="00EA2858" w:rsidP="00B55455">
      <w:pPr>
        <w:ind w:left="720" w:hanging="720"/>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GB"/>
        </w:rPr>
        <w:t xml:space="preserve">Generally, the appropriate date for determining the COMI </w:t>
      </w:r>
      <w:r w:rsidR="00B55455">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the date of commencement of the foreign proceeding (see Guide to Enactment and Interpretation (“GEI”) at para</w:t>
      </w:r>
      <w:r w:rsidR="00B5545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31</w:t>
      </w:r>
      <w:r w:rsidR="00B55455">
        <w:rPr>
          <w:rFonts w:ascii="Avenir Next" w:hAnsi="Avenir Next" w:cs="Arial"/>
          <w:color w:val="808080" w:themeColor="background1" w:themeShade="80"/>
          <w:sz w:val="22"/>
          <w:szCs w:val="22"/>
          <w:lang w:val="en-GB"/>
        </w:rPr>
        <w:t xml:space="preserve"> and 159</w:t>
      </w:r>
      <w:r>
        <w:rPr>
          <w:rFonts w:ascii="Avenir Next" w:hAnsi="Avenir Next" w:cs="Arial"/>
          <w:color w:val="808080" w:themeColor="background1" w:themeShade="80"/>
          <w:sz w:val="22"/>
          <w:szCs w:val="22"/>
          <w:lang w:val="en-GB"/>
        </w:rPr>
        <w:t>); though it is further noted that the MLCBI does not expressly indicate the relevant date for determining the COMI (see also GEI at para 157).</w:t>
      </w:r>
      <w:r w:rsidR="00B55455">
        <w:rPr>
          <w:rFonts w:ascii="Avenir Next" w:hAnsi="Avenir Next" w:cs="Arial"/>
          <w:color w:val="808080" w:themeColor="background1" w:themeShade="80"/>
          <w:sz w:val="22"/>
          <w:szCs w:val="22"/>
          <w:lang w:val="en-GB"/>
        </w:rPr>
        <w:t xml:space="preserve"> The GEI arrives at this view with “</w:t>
      </w:r>
      <w:r w:rsidR="00B55455" w:rsidRPr="00B55455">
        <w:rPr>
          <w:rFonts w:ascii="Avenir Next" w:hAnsi="Avenir Next" w:cs="Arial"/>
          <w:color w:val="808080" w:themeColor="background1" w:themeShade="80"/>
          <w:sz w:val="22"/>
          <w:szCs w:val="22"/>
          <w:lang w:val="en-SG"/>
        </w:rPr>
        <w:t>regard to the evidence required to accompany an application for recognition under article 15 and the relevance accorded the decision commencing the foreign proceeding and appointing the foreign representative</w:t>
      </w:r>
      <w:r w:rsidR="00B55455">
        <w:rPr>
          <w:rFonts w:ascii="Avenir Next" w:hAnsi="Avenir Next" w:cs="Arial"/>
          <w:color w:val="808080" w:themeColor="background1" w:themeShade="80"/>
          <w:sz w:val="22"/>
          <w:szCs w:val="22"/>
          <w:lang w:val="en-GB"/>
        </w:rPr>
        <w:t>” (at para 159).</w:t>
      </w:r>
      <w:r w:rsidR="009E5F37">
        <w:rPr>
          <w:rFonts w:ascii="Avenir Next" w:hAnsi="Avenir Next" w:cs="Arial"/>
          <w:color w:val="808080" w:themeColor="background1" w:themeShade="80"/>
          <w:sz w:val="22"/>
          <w:szCs w:val="22"/>
          <w:lang w:val="en-GB"/>
        </w:rPr>
        <w:t xml:space="preserve"> This is known as the “Commencement approach”, </w:t>
      </w:r>
      <w:proofErr w:type="spellStart"/>
      <w:r w:rsidR="009E5F37">
        <w:rPr>
          <w:rFonts w:ascii="Avenir Next" w:hAnsi="Avenir Next" w:cs="Arial"/>
          <w:i/>
          <w:iCs/>
          <w:color w:val="808080" w:themeColor="background1" w:themeShade="80"/>
          <w:sz w:val="22"/>
          <w:szCs w:val="22"/>
          <w:lang w:val="en-GB"/>
        </w:rPr>
        <w:t>ie</w:t>
      </w:r>
      <w:proofErr w:type="spellEnd"/>
      <w:r w:rsidR="009E5F37">
        <w:rPr>
          <w:rFonts w:ascii="Avenir Next" w:hAnsi="Avenir Next" w:cs="Arial"/>
          <w:color w:val="808080" w:themeColor="background1" w:themeShade="80"/>
          <w:sz w:val="22"/>
          <w:szCs w:val="22"/>
          <w:lang w:val="en-GB"/>
        </w:rPr>
        <w:t>, assessment of the COMI at the time of the commencement of foreign proceedings.</w:t>
      </w:r>
    </w:p>
    <w:p w14:paraId="7C4F6EB1" w14:textId="77777777" w:rsidR="00B55455" w:rsidRDefault="00B55455" w:rsidP="00B55455">
      <w:pPr>
        <w:jc w:val="both"/>
        <w:rPr>
          <w:rFonts w:ascii="Avenir Next" w:hAnsi="Avenir Next" w:cs="Arial"/>
          <w:color w:val="808080" w:themeColor="background1" w:themeShade="80"/>
          <w:sz w:val="22"/>
          <w:szCs w:val="22"/>
          <w:lang w:val="en-GB"/>
        </w:rPr>
      </w:pPr>
    </w:p>
    <w:p w14:paraId="654B0E66" w14:textId="3F1908F7" w:rsidR="00CB56CE" w:rsidRPr="009E5F37" w:rsidRDefault="00EA2858" w:rsidP="00B55455">
      <w:pPr>
        <w:ind w:left="720" w:hanging="720"/>
        <w:jc w:val="both"/>
        <w:rPr>
          <w:rFonts w:ascii="Avenir Next" w:hAnsi="Avenir Next" w:cs="Arial"/>
          <w:color w:val="808080" w:themeColor="background1" w:themeShade="80"/>
          <w:sz w:val="22"/>
          <w:szCs w:val="22"/>
          <w:lang w:eastAsia="zh-CN"/>
        </w:rPr>
      </w:pPr>
      <w:r>
        <w:rPr>
          <w:rFonts w:ascii="Avenir Next" w:hAnsi="Avenir Next" w:cs="Arial"/>
          <w:color w:val="808080" w:themeColor="background1" w:themeShade="80"/>
          <w:sz w:val="22"/>
          <w:szCs w:val="22"/>
          <w:lang w:val="en-GB"/>
        </w:rPr>
        <w:t xml:space="preserve"> </w:t>
      </w:r>
      <w:r w:rsidR="00B55455">
        <w:rPr>
          <w:rFonts w:ascii="Avenir Next" w:hAnsi="Avenir Next" w:cs="Arial"/>
          <w:color w:val="808080" w:themeColor="background1" w:themeShade="80"/>
          <w:sz w:val="22"/>
          <w:szCs w:val="22"/>
          <w:lang w:val="en-GB"/>
        </w:rPr>
        <w:t>That said, t</w:t>
      </w:r>
      <w:r>
        <w:rPr>
          <w:rFonts w:ascii="Avenir Next" w:hAnsi="Avenir Next" w:cs="Arial"/>
          <w:color w:val="808080" w:themeColor="background1" w:themeShade="80"/>
          <w:sz w:val="22"/>
          <w:szCs w:val="22"/>
          <w:lang w:val="en-GB"/>
        </w:rPr>
        <w:t>he correctness of this position appears to be in flux and dependent on the jurisdiction</w:t>
      </w:r>
      <w:r>
        <w:rPr>
          <w:rFonts w:ascii="Avenir Next" w:hAnsi="Avenir Next" w:cs="Arial"/>
          <w:color w:val="808080" w:themeColor="background1" w:themeShade="80"/>
          <w:sz w:val="22"/>
          <w:szCs w:val="22"/>
          <w:lang w:eastAsia="zh-CN"/>
        </w:rPr>
        <w:t xml:space="preserve"> in which the COMI is being assessed. For instance, in the US, the Court of Appeal (Second Circuit) has </w:t>
      </w:r>
      <w:r w:rsidR="00B55455">
        <w:rPr>
          <w:rFonts w:ascii="Avenir Next" w:hAnsi="Avenir Next" w:cs="Arial"/>
          <w:color w:val="808080" w:themeColor="background1" w:themeShade="80"/>
          <w:sz w:val="22"/>
          <w:szCs w:val="22"/>
          <w:lang w:eastAsia="zh-CN"/>
        </w:rPr>
        <w:t>held</w:t>
      </w:r>
      <w:r>
        <w:rPr>
          <w:rFonts w:ascii="Avenir Next" w:hAnsi="Avenir Next" w:cs="Arial"/>
          <w:color w:val="808080" w:themeColor="background1" w:themeShade="80"/>
          <w:sz w:val="22"/>
          <w:szCs w:val="22"/>
          <w:lang w:eastAsia="zh-CN"/>
        </w:rPr>
        <w:t xml:space="preserve"> that a debtor’s COMI is determined based on “its activities at or around </w:t>
      </w:r>
      <w:r w:rsidRPr="00B55455">
        <w:rPr>
          <w:rFonts w:ascii="Avenir Next" w:hAnsi="Avenir Next" w:cs="Arial"/>
          <w:i/>
          <w:iCs/>
          <w:color w:val="808080" w:themeColor="background1" w:themeShade="80"/>
          <w:sz w:val="22"/>
          <w:szCs w:val="22"/>
          <w:lang w:eastAsia="zh-CN"/>
        </w:rPr>
        <w:t>the time the Chapter 15 petition is filed</w:t>
      </w:r>
      <w:r>
        <w:rPr>
          <w:rFonts w:ascii="Avenir Next" w:hAnsi="Avenir Next" w:cs="Arial"/>
          <w:color w:val="808080" w:themeColor="background1" w:themeShade="80"/>
          <w:sz w:val="22"/>
          <w:szCs w:val="22"/>
          <w:lang w:eastAsia="zh-CN"/>
        </w:rPr>
        <w:t>”</w:t>
      </w:r>
      <w:r w:rsidR="00B55455">
        <w:rPr>
          <w:rFonts w:ascii="Avenir Next" w:hAnsi="Avenir Next" w:cs="Arial"/>
          <w:color w:val="808080" w:themeColor="background1" w:themeShade="80"/>
          <w:sz w:val="22"/>
          <w:szCs w:val="22"/>
          <w:lang w:eastAsia="zh-CN"/>
        </w:rPr>
        <w:t xml:space="preserve"> [emphasis added]</w:t>
      </w:r>
      <w:r w:rsidR="009E5F37">
        <w:rPr>
          <w:rFonts w:ascii="Avenir Next" w:hAnsi="Avenir Next" w:cs="Arial"/>
          <w:color w:val="808080" w:themeColor="background1" w:themeShade="80"/>
          <w:sz w:val="22"/>
          <w:szCs w:val="22"/>
          <w:lang w:eastAsia="zh-CN"/>
        </w:rPr>
        <w:t xml:space="preserve"> (</w:t>
      </w:r>
      <w:r w:rsidR="009E5F37">
        <w:rPr>
          <w:rFonts w:ascii="Avenir Next" w:hAnsi="Avenir Next" w:cs="Arial"/>
          <w:i/>
          <w:iCs/>
          <w:color w:val="808080" w:themeColor="background1" w:themeShade="80"/>
          <w:sz w:val="22"/>
          <w:szCs w:val="22"/>
          <w:lang w:eastAsia="zh-CN"/>
        </w:rPr>
        <w:t xml:space="preserve">Morning Mist Holdings Ltd v </w:t>
      </w:r>
      <w:proofErr w:type="spellStart"/>
      <w:r w:rsidR="009E5F37">
        <w:rPr>
          <w:rFonts w:ascii="Avenir Next" w:hAnsi="Avenir Next" w:cs="Arial"/>
          <w:i/>
          <w:iCs/>
          <w:color w:val="808080" w:themeColor="background1" w:themeShade="80"/>
          <w:sz w:val="22"/>
          <w:szCs w:val="22"/>
          <w:lang w:eastAsia="zh-CN"/>
        </w:rPr>
        <w:t>Krys</w:t>
      </w:r>
      <w:proofErr w:type="spellEnd"/>
      <w:r w:rsidR="009E5F37">
        <w:rPr>
          <w:rFonts w:ascii="Avenir Next" w:hAnsi="Avenir Next" w:cs="Arial"/>
          <w:i/>
          <w:iCs/>
          <w:color w:val="808080" w:themeColor="background1" w:themeShade="80"/>
          <w:sz w:val="22"/>
          <w:szCs w:val="22"/>
          <w:lang w:eastAsia="zh-CN"/>
        </w:rPr>
        <w:t xml:space="preserve"> (Matter of Fairfield Sentry Ltd</w:t>
      </w:r>
      <w:r w:rsidR="009E5F37">
        <w:rPr>
          <w:rFonts w:ascii="Avenir Next" w:hAnsi="Avenir Next" w:cs="Arial"/>
          <w:color w:val="808080" w:themeColor="background1" w:themeShade="80"/>
          <w:sz w:val="22"/>
          <w:szCs w:val="22"/>
          <w:lang w:eastAsia="zh-CN"/>
        </w:rPr>
        <w:t>). This</w:t>
      </w:r>
      <w:r w:rsidR="00B55455">
        <w:rPr>
          <w:rFonts w:ascii="Avenir Next" w:hAnsi="Avenir Next" w:cs="Arial"/>
          <w:color w:val="808080" w:themeColor="background1" w:themeShade="80"/>
          <w:sz w:val="22"/>
          <w:szCs w:val="22"/>
          <w:lang w:eastAsia="zh-CN"/>
        </w:rPr>
        <w:t xml:space="preserve">, in other words, </w:t>
      </w:r>
      <w:r w:rsidR="009E5F37">
        <w:rPr>
          <w:rFonts w:ascii="Avenir Next" w:hAnsi="Avenir Next" w:cs="Arial"/>
          <w:color w:val="808080" w:themeColor="background1" w:themeShade="80"/>
          <w:sz w:val="22"/>
          <w:szCs w:val="22"/>
          <w:lang w:eastAsia="zh-CN"/>
        </w:rPr>
        <w:t>involves the assessment of</w:t>
      </w:r>
      <w:r w:rsidR="00B55455">
        <w:rPr>
          <w:rFonts w:ascii="Avenir Next" w:hAnsi="Avenir Next" w:cs="Arial"/>
          <w:color w:val="808080" w:themeColor="background1" w:themeShade="80"/>
          <w:sz w:val="22"/>
          <w:szCs w:val="22"/>
          <w:lang w:eastAsia="zh-CN"/>
        </w:rPr>
        <w:t xml:space="preserve"> the debtor’s COMI during the application for recognition of the foreign proceeding rather than at the time of the foreign proceeding.</w:t>
      </w:r>
      <w:r w:rsidR="009E5F37">
        <w:rPr>
          <w:rFonts w:ascii="Avenir Next" w:hAnsi="Avenir Next" w:cs="Arial"/>
          <w:color w:val="808080" w:themeColor="background1" w:themeShade="80"/>
          <w:sz w:val="22"/>
          <w:szCs w:val="22"/>
          <w:lang w:eastAsia="zh-CN"/>
        </w:rPr>
        <w:t xml:space="preserve"> The Court in </w:t>
      </w:r>
      <w:r w:rsidR="009E5F37">
        <w:rPr>
          <w:rFonts w:ascii="Avenir Next" w:hAnsi="Avenir Next" w:cs="Arial"/>
          <w:i/>
          <w:iCs/>
          <w:color w:val="808080" w:themeColor="background1" w:themeShade="80"/>
          <w:sz w:val="22"/>
          <w:szCs w:val="22"/>
          <w:lang w:eastAsia="zh-CN"/>
        </w:rPr>
        <w:t>Morning Mist</w:t>
      </w:r>
      <w:r w:rsidR="009E5F37">
        <w:rPr>
          <w:rFonts w:ascii="Avenir Next" w:hAnsi="Avenir Next" w:cs="Arial"/>
          <w:color w:val="808080" w:themeColor="background1" w:themeShade="80"/>
          <w:sz w:val="22"/>
          <w:szCs w:val="22"/>
          <w:lang w:eastAsia="zh-CN"/>
        </w:rPr>
        <w:t xml:space="preserve">, however, </w:t>
      </w:r>
      <w:r>
        <w:rPr>
          <w:rFonts w:ascii="Avenir Next" w:hAnsi="Avenir Next" w:cs="Arial"/>
          <w:color w:val="808080" w:themeColor="background1" w:themeShade="80"/>
          <w:sz w:val="22"/>
          <w:szCs w:val="22"/>
          <w:lang w:eastAsia="zh-CN"/>
        </w:rPr>
        <w:t xml:space="preserve">also observed that “a court may consider the period between the commencement of the foreign insolvency proceeding and the filing of the [petition] to ensure the debtor has not manipulated its COMI in bad faith”. </w:t>
      </w:r>
      <w:r w:rsidR="009E5F37">
        <w:rPr>
          <w:rFonts w:ascii="Avenir Next" w:hAnsi="Avenir Next" w:cs="Arial"/>
          <w:color w:val="808080" w:themeColor="background1" w:themeShade="80"/>
          <w:sz w:val="22"/>
          <w:szCs w:val="22"/>
          <w:lang w:eastAsia="zh-CN"/>
        </w:rPr>
        <w:t xml:space="preserve">This has been deemed the “Filing Approach”, </w:t>
      </w:r>
      <w:proofErr w:type="spellStart"/>
      <w:r w:rsidR="009E5F37">
        <w:rPr>
          <w:rFonts w:ascii="Avenir Next" w:hAnsi="Avenir Next" w:cs="Arial"/>
          <w:i/>
          <w:iCs/>
          <w:color w:val="808080" w:themeColor="background1" w:themeShade="80"/>
          <w:sz w:val="22"/>
          <w:szCs w:val="22"/>
          <w:lang w:eastAsia="zh-CN"/>
        </w:rPr>
        <w:t>ie</w:t>
      </w:r>
      <w:proofErr w:type="spellEnd"/>
      <w:r w:rsidR="009E5F37">
        <w:rPr>
          <w:rFonts w:ascii="Avenir Next" w:hAnsi="Avenir Next" w:cs="Arial"/>
          <w:color w:val="808080" w:themeColor="background1" w:themeShade="80"/>
          <w:sz w:val="22"/>
          <w:szCs w:val="22"/>
          <w:lang w:eastAsia="zh-CN"/>
        </w:rPr>
        <w:t>, assessment at the time of filing the recognition application.</w:t>
      </w:r>
    </w:p>
    <w:p w14:paraId="511E118C" w14:textId="0993F87C" w:rsidR="00EA2858" w:rsidRDefault="00EA2858" w:rsidP="00707FC8">
      <w:pPr>
        <w:ind w:left="720" w:hanging="720"/>
        <w:jc w:val="both"/>
        <w:rPr>
          <w:rFonts w:ascii="Avenir Next" w:hAnsi="Avenir Next" w:cs="Arial"/>
          <w:color w:val="808080" w:themeColor="background1" w:themeShade="80"/>
          <w:sz w:val="22"/>
          <w:szCs w:val="22"/>
          <w:lang w:eastAsia="zh-CN"/>
        </w:rPr>
      </w:pPr>
    </w:p>
    <w:p w14:paraId="0CB0719C" w14:textId="0603C2EB" w:rsidR="00EA2858" w:rsidRDefault="00EA2858" w:rsidP="00707FC8">
      <w:pPr>
        <w:ind w:left="720" w:hanging="720"/>
        <w:jc w:val="both"/>
        <w:rPr>
          <w:rFonts w:ascii="Avenir Next" w:hAnsi="Avenir Next" w:cs="Arial"/>
          <w:color w:val="808080" w:themeColor="background1" w:themeShade="80"/>
          <w:sz w:val="22"/>
          <w:szCs w:val="22"/>
          <w:lang w:eastAsia="zh-CN"/>
        </w:rPr>
      </w:pPr>
      <w:r>
        <w:rPr>
          <w:rFonts w:ascii="Avenir Next" w:hAnsi="Avenir Next" w:cs="Arial"/>
          <w:color w:val="808080" w:themeColor="background1" w:themeShade="80"/>
          <w:sz w:val="22"/>
          <w:szCs w:val="22"/>
          <w:lang w:eastAsia="zh-CN"/>
        </w:rPr>
        <w:t xml:space="preserve">In the UK, </w:t>
      </w:r>
      <w:r w:rsidR="00E76117">
        <w:rPr>
          <w:rFonts w:ascii="Avenir Next" w:hAnsi="Avenir Next" w:cs="Arial"/>
          <w:color w:val="808080" w:themeColor="background1" w:themeShade="80"/>
          <w:sz w:val="22"/>
          <w:szCs w:val="22"/>
          <w:lang w:eastAsia="zh-CN"/>
        </w:rPr>
        <w:t>Leech J</w:t>
      </w:r>
      <w:r>
        <w:rPr>
          <w:rFonts w:ascii="Avenir Next" w:hAnsi="Avenir Next" w:cs="Arial"/>
          <w:color w:val="808080" w:themeColor="background1" w:themeShade="80"/>
          <w:sz w:val="22"/>
          <w:szCs w:val="22"/>
          <w:lang w:eastAsia="zh-CN"/>
        </w:rPr>
        <w:t xml:space="preserve"> in the case of </w:t>
      </w:r>
      <w:r>
        <w:rPr>
          <w:rFonts w:ascii="Avenir Next" w:hAnsi="Avenir Next" w:cs="Arial"/>
          <w:i/>
          <w:iCs/>
          <w:color w:val="808080" w:themeColor="background1" w:themeShade="80"/>
          <w:sz w:val="22"/>
          <w:szCs w:val="22"/>
          <w:lang w:eastAsia="zh-CN"/>
        </w:rPr>
        <w:t xml:space="preserve">Trustees in bankruptcy of Li Shu Chung v Li Shu Chung </w:t>
      </w:r>
      <w:r>
        <w:rPr>
          <w:rFonts w:ascii="Avenir Next" w:hAnsi="Avenir Next" w:cs="Arial"/>
          <w:color w:val="808080" w:themeColor="background1" w:themeShade="80"/>
          <w:sz w:val="22"/>
          <w:szCs w:val="22"/>
          <w:lang w:eastAsia="zh-CN"/>
        </w:rPr>
        <w:t xml:space="preserve">[2021] EWHC 3346 (Ch) </w:t>
      </w:r>
      <w:r w:rsidR="00E76117">
        <w:rPr>
          <w:rFonts w:ascii="Avenir Next" w:hAnsi="Avenir Next" w:cs="Arial"/>
          <w:color w:val="808080" w:themeColor="background1" w:themeShade="80"/>
          <w:sz w:val="22"/>
          <w:szCs w:val="22"/>
          <w:lang w:eastAsia="zh-CN"/>
        </w:rPr>
        <w:t>expressed preference for the</w:t>
      </w:r>
      <w:r>
        <w:rPr>
          <w:rFonts w:ascii="Avenir Next" w:hAnsi="Avenir Next" w:cs="Arial"/>
          <w:color w:val="808080" w:themeColor="background1" w:themeShade="80"/>
          <w:sz w:val="22"/>
          <w:szCs w:val="22"/>
          <w:lang w:eastAsia="zh-CN"/>
        </w:rPr>
        <w:t xml:space="preserve"> “</w:t>
      </w:r>
      <w:r w:rsidR="00E76117">
        <w:rPr>
          <w:rFonts w:ascii="Avenir Next" w:hAnsi="Avenir Next" w:cs="Arial"/>
          <w:color w:val="808080" w:themeColor="background1" w:themeShade="80"/>
          <w:sz w:val="22"/>
          <w:szCs w:val="22"/>
          <w:lang w:eastAsia="zh-CN"/>
        </w:rPr>
        <w:t>C</w:t>
      </w:r>
      <w:r>
        <w:rPr>
          <w:rFonts w:ascii="Avenir Next" w:hAnsi="Avenir Next" w:cs="Arial"/>
          <w:color w:val="808080" w:themeColor="background1" w:themeShade="80"/>
          <w:sz w:val="22"/>
          <w:szCs w:val="22"/>
          <w:lang w:eastAsia="zh-CN"/>
        </w:rPr>
        <w:t xml:space="preserve">ommencement </w:t>
      </w:r>
      <w:r w:rsidR="00E76117">
        <w:rPr>
          <w:rFonts w:ascii="Avenir Next" w:hAnsi="Avenir Next" w:cs="Arial"/>
          <w:color w:val="808080" w:themeColor="background1" w:themeShade="80"/>
          <w:sz w:val="22"/>
          <w:szCs w:val="22"/>
          <w:lang w:eastAsia="zh-CN"/>
        </w:rPr>
        <w:t>A</w:t>
      </w:r>
      <w:r>
        <w:rPr>
          <w:rFonts w:ascii="Avenir Next" w:hAnsi="Avenir Next" w:cs="Arial"/>
          <w:color w:val="808080" w:themeColor="background1" w:themeShade="80"/>
          <w:sz w:val="22"/>
          <w:szCs w:val="22"/>
          <w:lang w:eastAsia="zh-CN"/>
        </w:rPr>
        <w:t>pproach”</w:t>
      </w:r>
      <w:r w:rsidR="00E76117">
        <w:rPr>
          <w:rFonts w:ascii="Avenir Next" w:hAnsi="Avenir Next" w:cs="Arial"/>
          <w:color w:val="808080" w:themeColor="background1" w:themeShade="80"/>
          <w:sz w:val="22"/>
          <w:szCs w:val="22"/>
          <w:lang w:eastAsia="zh-CN"/>
        </w:rPr>
        <w:t xml:space="preserve"> at [38]. While the judgment of ICC Judge Burton in </w:t>
      </w:r>
      <w:r w:rsidR="00E76117">
        <w:rPr>
          <w:rFonts w:ascii="Avenir Next" w:hAnsi="Avenir Next" w:cs="Arial"/>
          <w:i/>
          <w:iCs/>
          <w:color w:val="808080" w:themeColor="background1" w:themeShade="80"/>
          <w:sz w:val="22"/>
          <w:szCs w:val="22"/>
          <w:lang w:eastAsia="zh-CN"/>
        </w:rPr>
        <w:t xml:space="preserve">Re </w:t>
      </w:r>
      <w:proofErr w:type="spellStart"/>
      <w:r w:rsidR="00E76117">
        <w:rPr>
          <w:rFonts w:ascii="Avenir Next" w:hAnsi="Avenir Next" w:cs="Arial"/>
          <w:i/>
          <w:iCs/>
          <w:color w:val="808080" w:themeColor="background1" w:themeShade="80"/>
          <w:sz w:val="22"/>
          <w:szCs w:val="22"/>
          <w:lang w:eastAsia="zh-CN"/>
        </w:rPr>
        <w:t>Toisa</w:t>
      </w:r>
      <w:proofErr w:type="spellEnd"/>
      <w:r w:rsidR="00E76117">
        <w:rPr>
          <w:rFonts w:ascii="Avenir Next" w:hAnsi="Avenir Next" w:cs="Arial"/>
          <w:i/>
          <w:iCs/>
          <w:color w:val="808080" w:themeColor="background1" w:themeShade="80"/>
          <w:sz w:val="22"/>
          <w:szCs w:val="22"/>
          <w:lang w:eastAsia="zh-CN"/>
        </w:rPr>
        <w:t xml:space="preserve"> Ltd</w:t>
      </w:r>
      <w:r w:rsidR="00E76117">
        <w:rPr>
          <w:rFonts w:ascii="Avenir Next" w:hAnsi="Avenir Next" w:cs="Arial"/>
          <w:color w:val="808080" w:themeColor="background1" w:themeShade="80"/>
          <w:sz w:val="22"/>
          <w:szCs w:val="22"/>
          <w:lang w:eastAsia="zh-CN"/>
        </w:rPr>
        <w:t xml:space="preserve"> was brought to the court’s attention (in </w:t>
      </w:r>
      <w:r w:rsidR="00E76117">
        <w:rPr>
          <w:rFonts w:ascii="Avenir Next" w:hAnsi="Avenir Next" w:cs="Arial"/>
          <w:i/>
          <w:iCs/>
          <w:color w:val="808080" w:themeColor="background1" w:themeShade="80"/>
          <w:sz w:val="22"/>
          <w:szCs w:val="22"/>
          <w:lang w:eastAsia="zh-CN"/>
        </w:rPr>
        <w:t xml:space="preserve">Re </w:t>
      </w:r>
      <w:proofErr w:type="spellStart"/>
      <w:r w:rsidR="00E76117" w:rsidRPr="00E76117">
        <w:rPr>
          <w:rFonts w:ascii="Avenir Next" w:hAnsi="Avenir Next" w:cs="Arial"/>
          <w:i/>
          <w:iCs/>
          <w:color w:val="808080" w:themeColor="background1" w:themeShade="80"/>
          <w:sz w:val="22"/>
          <w:szCs w:val="22"/>
          <w:lang w:eastAsia="zh-CN"/>
        </w:rPr>
        <w:t>Toisa</w:t>
      </w:r>
      <w:proofErr w:type="spellEnd"/>
      <w:r w:rsidR="00E76117">
        <w:rPr>
          <w:rFonts w:ascii="Avenir Next" w:hAnsi="Avenir Next" w:cs="Arial"/>
          <w:color w:val="808080" w:themeColor="background1" w:themeShade="80"/>
          <w:sz w:val="22"/>
          <w:szCs w:val="22"/>
          <w:lang w:eastAsia="zh-CN"/>
        </w:rPr>
        <w:t xml:space="preserve">, the ICC was reportedly in </w:t>
      </w:r>
      <w:proofErr w:type="spellStart"/>
      <w:r w:rsidR="00E76117">
        <w:rPr>
          <w:rFonts w:ascii="Avenir Next" w:hAnsi="Avenir Next" w:cs="Arial"/>
          <w:color w:val="808080" w:themeColor="background1" w:themeShade="80"/>
          <w:sz w:val="22"/>
          <w:szCs w:val="22"/>
          <w:lang w:eastAsia="zh-CN"/>
        </w:rPr>
        <w:t>favour</w:t>
      </w:r>
      <w:proofErr w:type="spellEnd"/>
      <w:r w:rsidR="00E76117">
        <w:rPr>
          <w:rFonts w:ascii="Avenir Next" w:hAnsi="Avenir Next" w:cs="Arial"/>
          <w:color w:val="808080" w:themeColor="background1" w:themeShade="80"/>
          <w:sz w:val="22"/>
          <w:szCs w:val="22"/>
          <w:lang w:eastAsia="zh-CN"/>
        </w:rPr>
        <w:t xml:space="preserve"> of the Filing Approach), Leech J observed that the decision was unreported at the time, and that he, in any event, was bound by </w:t>
      </w:r>
      <w:r w:rsidR="00E76117" w:rsidRPr="00E76117">
        <w:rPr>
          <w:rFonts w:ascii="Avenir Next" w:hAnsi="Avenir Next" w:cs="Arial"/>
          <w:i/>
          <w:iCs/>
          <w:color w:val="808080" w:themeColor="background1" w:themeShade="80"/>
          <w:sz w:val="22"/>
          <w:szCs w:val="22"/>
          <w:lang w:eastAsia="zh-CN"/>
        </w:rPr>
        <w:t>Re Stanford International Bank Ltd </w:t>
      </w:r>
      <w:r w:rsidR="00E76117" w:rsidRPr="00E76117">
        <w:rPr>
          <w:rFonts w:ascii="Avenir Next" w:hAnsi="Avenir Next" w:cs="Arial"/>
          <w:color w:val="808080" w:themeColor="background1" w:themeShade="80"/>
          <w:sz w:val="22"/>
          <w:szCs w:val="22"/>
          <w:lang w:eastAsia="zh-CN"/>
        </w:rPr>
        <w:t>[2011] Ch 33</w:t>
      </w:r>
      <w:r w:rsidR="00E76117">
        <w:rPr>
          <w:rFonts w:ascii="Avenir Next" w:hAnsi="Avenir Next" w:cs="Arial"/>
          <w:color w:val="808080" w:themeColor="background1" w:themeShade="80"/>
          <w:sz w:val="22"/>
          <w:szCs w:val="22"/>
          <w:lang w:eastAsia="zh-CN"/>
        </w:rPr>
        <w:t>.</w:t>
      </w:r>
    </w:p>
    <w:p w14:paraId="59595F00" w14:textId="549E7497" w:rsidR="00E76117" w:rsidRDefault="00E76117" w:rsidP="00707FC8">
      <w:pPr>
        <w:ind w:left="720" w:hanging="720"/>
        <w:jc w:val="both"/>
        <w:rPr>
          <w:rFonts w:ascii="Avenir Next" w:hAnsi="Avenir Next" w:cs="Arial"/>
          <w:color w:val="808080" w:themeColor="background1" w:themeShade="80"/>
          <w:sz w:val="22"/>
          <w:szCs w:val="22"/>
          <w:lang w:eastAsia="zh-CN"/>
        </w:rPr>
      </w:pPr>
    </w:p>
    <w:p w14:paraId="5DEBACC8" w14:textId="79D982B2" w:rsidR="00E76117" w:rsidRPr="002467AC" w:rsidRDefault="00E76117" w:rsidP="00707FC8">
      <w:pPr>
        <w:ind w:left="720" w:hanging="720"/>
        <w:jc w:val="both"/>
        <w:rPr>
          <w:rFonts w:ascii="Avenir Next" w:hAnsi="Avenir Next" w:cs="Arial"/>
          <w:color w:val="808080" w:themeColor="background1" w:themeShade="80"/>
          <w:sz w:val="22"/>
          <w:szCs w:val="22"/>
          <w:lang w:eastAsia="zh-CN"/>
        </w:rPr>
      </w:pPr>
      <w:r>
        <w:rPr>
          <w:rFonts w:ascii="Avenir Next" w:hAnsi="Avenir Next" w:cs="Arial"/>
          <w:color w:val="808080" w:themeColor="background1" w:themeShade="80"/>
          <w:sz w:val="22"/>
          <w:szCs w:val="22"/>
          <w:lang w:eastAsia="zh-CN"/>
        </w:rPr>
        <w:t>In my view, the reasoning of Leech J in [38] is persuasive: “</w:t>
      </w:r>
      <w:r w:rsidRPr="00E76117">
        <w:rPr>
          <w:rFonts w:ascii="Avenir Next" w:hAnsi="Avenir Next" w:cs="Arial"/>
          <w:color w:val="808080" w:themeColor="background1" w:themeShade="80"/>
          <w:sz w:val="22"/>
          <w:szCs w:val="22"/>
          <w:lang w:eastAsia="zh-CN"/>
        </w:rPr>
        <w:t>A recognition application may be made at any time after the commencement of the foreign proceedings and the critical question is what information would have been available to creditors at that date. It would make no sense for the question whether the court had jurisdiction to depend on the timing of the recognition application or what the creditors knew at that date.</w:t>
      </w:r>
      <w:r>
        <w:rPr>
          <w:rFonts w:ascii="Avenir Next" w:hAnsi="Avenir Next" w:cs="Arial"/>
          <w:color w:val="808080" w:themeColor="background1" w:themeShade="80"/>
          <w:sz w:val="22"/>
          <w:szCs w:val="22"/>
          <w:lang w:eastAsia="zh-CN"/>
        </w:rPr>
        <w:t>”</w:t>
      </w:r>
      <w:r w:rsidR="002467AC">
        <w:rPr>
          <w:rFonts w:ascii="Avenir Next" w:hAnsi="Avenir Next" w:cs="Arial"/>
          <w:color w:val="808080" w:themeColor="background1" w:themeShade="80"/>
          <w:sz w:val="22"/>
          <w:szCs w:val="22"/>
          <w:lang w:eastAsia="zh-CN"/>
        </w:rPr>
        <w:t xml:space="preserve"> This also speaks to the similar concern highlighted in </w:t>
      </w:r>
      <w:r w:rsidR="002467AC">
        <w:rPr>
          <w:rFonts w:ascii="Avenir Next" w:hAnsi="Avenir Next" w:cs="Arial"/>
          <w:i/>
          <w:iCs/>
          <w:color w:val="808080" w:themeColor="background1" w:themeShade="80"/>
          <w:sz w:val="22"/>
          <w:szCs w:val="22"/>
          <w:lang w:eastAsia="zh-CN"/>
        </w:rPr>
        <w:t xml:space="preserve">Morning Mist </w:t>
      </w:r>
      <w:r w:rsidR="002467AC">
        <w:rPr>
          <w:rFonts w:ascii="Avenir Next" w:hAnsi="Avenir Next" w:cs="Arial"/>
          <w:color w:val="808080" w:themeColor="background1" w:themeShade="80"/>
          <w:sz w:val="22"/>
          <w:szCs w:val="22"/>
          <w:lang w:eastAsia="zh-CN"/>
        </w:rPr>
        <w:t>regarding the arbitrariness of the date of the recognition application and the potential for the debtor to take certain steps in bad faith to defeat the recognition application.</w:t>
      </w:r>
    </w:p>
    <w:p w14:paraId="0E8C2C3F" w14:textId="328A1A12" w:rsidR="00B77352" w:rsidRDefault="00B77352" w:rsidP="00EA2858">
      <w:pPr>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6B053998" w:rsidR="00867A8F" w:rsidRDefault="00B859B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Art 14.</w:t>
      </w:r>
    </w:p>
    <w:p w14:paraId="74FCB343" w14:textId="77777777" w:rsidR="00B859B7" w:rsidRDefault="00B859B7" w:rsidP="00867A8F">
      <w:pPr>
        <w:ind w:left="720" w:hanging="720"/>
        <w:jc w:val="both"/>
        <w:rPr>
          <w:rFonts w:ascii="Avenir Next" w:hAnsi="Avenir Next" w:cs="Arial"/>
          <w:color w:val="808080" w:themeColor="background1" w:themeShade="80"/>
          <w:sz w:val="22"/>
          <w:szCs w:val="22"/>
          <w:lang w:val="en-GB"/>
        </w:rPr>
      </w:pPr>
    </w:p>
    <w:p w14:paraId="778BC651" w14:textId="4B95FE05" w:rsidR="00B859B7" w:rsidRDefault="00B859B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Art 10. The ‘Safe Conduct Rule’ ensures that the court in the enacting state does not assume jurisdiction over all the assets of the debtor solely because the foreign representative has made an application for the recognition of a foreign proceeding.</w:t>
      </w:r>
    </w:p>
    <w:p w14:paraId="543EE161" w14:textId="77777777" w:rsidR="00B859B7" w:rsidRDefault="00B859B7" w:rsidP="00867A8F">
      <w:pPr>
        <w:ind w:left="720" w:hanging="720"/>
        <w:jc w:val="both"/>
        <w:rPr>
          <w:rFonts w:ascii="Avenir Next" w:hAnsi="Avenir Next" w:cs="Arial"/>
          <w:color w:val="808080" w:themeColor="background1" w:themeShade="80"/>
          <w:sz w:val="22"/>
          <w:szCs w:val="22"/>
          <w:lang w:val="en-GB"/>
        </w:rPr>
      </w:pPr>
    </w:p>
    <w:p w14:paraId="29F8281A" w14:textId="4A8F0024" w:rsidR="00B859B7" w:rsidRPr="00B77352" w:rsidRDefault="00B859B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 Art 16(3). This article provides that the debtor’s registered office or habitual residence is presumed to be the debtor’s “centre of main interest” or COMI, a concept undefined though mentioned in Art 2(b) in relation to foreign main proceedings.</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70FFCD34" w:rsidR="00867A8F" w:rsidRDefault="00011D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Pr>
          <w:rFonts w:ascii="Avenir Next" w:hAnsi="Avenir Next" w:cs="Arial"/>
          <w:i/>
          <w:iCs/>
          <w:color w:val="808080" w:themeColor="background1" w:themeShade="80"/>
          <w:sz w:val="22"/>
          <w:szCs w:val="22"/>
          <w:lang w:val="en-GB"/>
        </w:rPr>
        <w:t>IBA</w:t>
      </w:r>
      <w:r>
        <w:rPr>
          <w:rFonts w:ascii="Avenir Next" w:hAnsi="Avenir Next" w:cs="Arial"/>
          <w:color w:val="808080" w:themeColor="background1" w:themeShade="80"/>
          <w:sz w:val="22"/>
          <w:szCs w:val="22"/>
          <w:lang w:val="en-GB"/>
        </w:rPr>
        <w:t xml:space="preserve"> case involved an application by an Azeri foreign representative (following an earlier recognition order under the CBIR in respect of restructuring proceedings in Azerbaijan) for ‘appropriate relief’ under Art 21 of the MLCBI in the form of said indefinite Moratorium Continuation. To understand why this indefinite moratorium was sought, it is necessary to understand the </w:t>
      </w:r>
      <w:r>
        <w:rPr>
          <w:rFonts w:ascii="Avenir Next" w:hAnsi="Avenir Next" w:cs="Arial"/>
          <w:i/>
          <w:iCs/>
          <w:color w:val="808080" w:themeColor="background1" w:themeShade="80"/>
          <w:sz w:val="22"/>
          <w:szCs w:val="22"/>
          <w:lang w:val="en-GB"/>
        </w:rPr>
        <w:t>Gibbs</w:t>
      </w:r>
      <w:r>
        <w:rPr>
          <w:rFonts w:ascii="Avenir Next" w:hAnsi="Avenir Next" w:cs="Arial"/>
          <w:color w:val="808080" w:themeColor="background1" w:themeShade="80"/>
          <w:sz w:val="22"/>
          <w:szCs w:val="22"/>
          <w:lang w:val="en-GB"/>
        </w:rPr>
        <w:t xml:space="preserve"> rule in the UK: that a debt governed by English law cannot be discharged by a foreign insolvency proceeding; discharge of a debt under the insolvency law of a foreign country is only treated as a discharge in England if it is a discharge under the law applicable to the contract. The indefinite Moratorium was sought due to concerns that certain creditors (defined at p 37 of the guidance text as the “Challenging Creditors”) would seek to enforce their English law claims against the International Bank of Azerbaijan (IBA) notwithstanding the Azeri restructuring plan. This is premised on the argument that </w:t>
      </w:r>
      <w:r>
        <w:rPr>
          <w:rFonts w:ascii="Avenir Next" w:hAnsi="Avenir Next" w:cs="Arial"/>
          <w:color w:val="808080" w:themeColor="background1" w:themeShade="80"/>
          <w:sz w:val="22"/>
          <w:szCs w:val="22"/>
          <w:lang w:val="en-GB"/>
        </w:rPr>
        <w:lastRenderedPageBreak/>
        <w:t xml:space="preserve">the </w:t>
      </w:r>
      <w:r>
        <w:rPr>
          <w:rFonts w:ascii="Avenir Next" w:hAnsi="Avenir Next" w:cs="Arial"/>
          <w:i/>
          <w:iCs/>
          <w:color w:val="808080" w:themeColor="background1" w:themeShade="80"/>
          <w:sz w:val="22"/>
          <w:szCs w:val="22"/>
          <w:lang w:val="en-GB"/>
        </w:rPr>
        <w:t>Gibbs</w:t>
      </w:r>
      <w:r>
        <w:rPr>
          <w:rFonts w:ascii="Avenir Next" w:hAnsi="Avenir Next" w:cs="Arial"/>
          <w:color w:val="808080" w:themeColor="background1" w:themeShade="80"/>
          <w:sz w:val="22"/>
          <w:szCs w:val="22"/>
          <w:lang w:val="en-GB"/>
        </w:rPr>
        <w:t xml:space="preserve"> rule prevents discharge of IBA’s obligations under English law by virtue of the Azeri restructuring. The indefinite moratorium was therefore a procedural means to a substantive end: preventing such a claim by the Challenging Creditors.</w:t>
      </w:r>
    </w:p>
    <w:p w14:paraId="207047C4" w14:textId="0E7DF80F" w:rsidR="00011D86" w:rsidRDefault="00011D86" w:rsidP="00867A8F">
      <w:pPr>
        <w:ind w:left="720" w:hanging="720"/>
        <w:jc w:val="both"/>
        <w:rPr>
          <w:rFonts w:ascii="Avenir Next" w:hAnsi="Avenir Next" w:cs="Arial"/>
          <w:color w:val="808080" w:themeColor="background1" w:themeShade="80"/>
          <w:sz w:val="22"/>
          <w:szCs w:val="22"/>
          <w:lang w:val="en-GB"/>
        </w:rPr>
      </w:pPr>
    </w:p>
    <w:p w14:paraId="11A2005D" w14:textId="0831DCF0" w:rsidR="00011D86" w:rsidRDefault="00011D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appellate court did not grant the moratorium. This turned on two issues; namely whether the court should not exercise its power where (1) it would in substance prevent the Challenging Creditors from enforcing their rights under English law; and (2) prolong the stay </w:t>
      </w:r>
      <w:r>
        <w:rPr>
          <w:rFonts w:ascii="Avenir Next" w:hAnsi="Avenir Next" w:cs="Arial"/>
          <w:i/>
          <w:iCs/>
          <w:color w:val="808080" w:themeColor="background1" w:themeShade="80"/>
          <w:sz w:val="22"/>
          <w:szCs w:val="22"/>
          <w:lang w:val="en-GB"/>
        </w:rPr>
        <w:t>after</w:t>
      </w:r>
      <w:r>
        <w:rPr>
          <w:rFonts w:ascii="Avenir Next" w:hAnsi="Avenir Next" w:cs="Arial"/>
          <w:color w:val="808080" w:themeColor="background1" w:themeShade="80"/>
          <w:sz w:val="22"/>
          <w:szCs w:val="22"/>
          <w:lang w:val="en-GB"/>
        </w:rPr>
        <w:t xml:space="preserve"> the Azeri reconstruction had come to an end. </w:t>
      </w:r>
    </w:p>
    <w:p w14:paraId="7BF5873A" w14:textId="1551A413" w:rsidR="00011D86" w:rsidRDefault="00011D86" w:rsidP="00867A8F">
      <w:pPr>
        <w:ind w:left="720" w:hanging="720"/>
        <w:jc w:val="both"/>
        <w:rPr>
          <w:rFonts w:ascii="Avenir Next" w:hAnsi="Avenir Next" w:cs="Arial"/>
          <w:color w:val="808080" w:themeColor="background1" w:themeShade="80"/>
          <w:sz w:val="22"/>
          <w:szCs w:val="22"/>
          <w:lang w:val="en-GB"/>
        </w:rPr>
      </w:pPr>
    </w:p>
    <w:p w14:paraId="781024DF" w14:textId="12D849CB" w:rsidR="00011D86" w:rsidRDefault="00011D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On issue (1), it was held that such moratorium could only be granted where the court was satisfied that the stay was necessary to protect the interest of IBA’s creditors, and that the stay was an appropriate means of doing so. The Court held in the negative for both </w:t>
      </w:r>
      <w:proofErr w:type="gramStart"/>
      <w:r>
        <w:rPr>
          <w:rFonts w:ascii="Avenir Next" w:hAnsi="Avenir Next" w:cs="Arial"/>
          <w:color w:val="808080" w:themeColor="background1" w:themeShade="80"/>
          <w:sz w:val="22"/>
          <w:szCs w:val="22"/>
          <w:lang w:val="en-GB"/>
        </w:rPr>
        <w:t>these criterion</w:t>
      </w:r>
      <w:proofErr w:type="gramEnd"/>
      <w:r w:rsidR="00460395">
        <w:rPr>
          <w:rFonts w:ascii="Avenir Next" w:hAnsi="Avenir Next" w:cs="Arial"/>
          <w:color w:val="808080" w:themeColor="background1" w:themeShade="80"/>
          <w:sz w:val="22"/>
          <w:szCs w:val="22"/>
          <w:lang w:val="en-GB"/>
        </w:rPr>
        <w:t>, and that it was not necessary for IBA creditors to receive further protection for the foreign proceeding to achieve its interest. The Court also considered that it was open for IBA to engage in a parallel scheme of arrangement in the UK. It could in that context, engage in a ‘cross-class cram-down’ and plausibly pursue its restructuring plan notwithstanding the objections of the Challenging Creditors.</w:t>
      </w:r>
    </w:p>
    <w:p w14:paraId="1210DEE9" w14:textId="2C444D0A" w:rsidR="00011D86" w:rsidRDefault="00011D86" w:rsidP="00867A8F">
      <w:pPr>
        <w:ind w:left="720" w:hanging="720"/>
        <w:jc w:val="both"/>
        <w:rPr>
          <w:rFonts w:ascii="Avenir Next" w:hAnsi="Avenir Next" w:cs="Arial"/>
          <w:color w:val="808080" w:themeColor="background1" w:themeShade="80"/>
          <w:sz w:val="22"/>
          <w:szCs w:val="22"/>
          <w:lang w:val="en-GB"/>
        </w:rPr>
      </w:pPr>
    </w:p>
    <w:p w14:paraId="534C3B8B" w14:textId="0BA964C1" w:rsidR="00011D86" w:rsidRPr="00011D86" w:rsidRDefault="00011D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On issue (2), </w:t>
      </w:r>
      <w:r w:rsidR="00460395">
        <w:rPr>
          <w:rFonts w:ascii="Avenir Next" w:hAnsi="Avenir Next" w:cs="Arial"/>
          <w:color w:val="808080" w:themeColor="background1" w:themeShade="80"/>
          <w:sz w:val="22"/>
          <w:szCs w:val="22"/>
          <w:lang w:val="en-GB"/>
        </w:rPr>
        <w:t xml:space="preserve">the court found that the information obligation on the foreign representative contained in Art 18 requires the foreign proceeding to still be in existence, and the foreign representative to still be in the office. </w:t>
      </w:r>
    </w:p>
    <w:p w14:paraId="4AFBA43B" w14:textId="32D8402E" w:rsidR="00011D86" w:rsidRDefault="00011D86" w:rsidP="00867A8F">
      <w:pPr>
        <w:ind w:left="720" w:hanging="720"/>
        <w:jc w:val="both"/>
        <w:rPr>
          <w:rFonts w:ascii="Avenir Next" w:hAnsi="Avenir Next" w:cs="Arial"/>
          <w:color w:val="808080" w:themeColor="background1" w:themeShade="80"/>
          <w:sz w:val="22"/>
          <w:szCs w:val="22"/>
          <w:lang w:val="en-GB"/>
        </w:rPr>
      </w:pPr>
    </w:p>
    <w:p w14:paraId="2D22E8E6" w14:textId="77777777" w:rsidR="00011D86" w:rsidRDefault="00011D86" w:rsidP="00867A8F">
      <w:pPr>
        <w:ind w:left="720" w:hanging="720"/>
        <w:jc w:val="both"/>
        <w:rPr>
          <w:rFonts w:ascii="Avenir Next" w:hAnsi="Avenir Next" w:cs="Arial"/>
          <w:color w:val="808080" w:themeColor="background1" w:themeShade="80"/>
          <w:sz w:val="22"/>
          <w:szCs w:val="22"/>
          <w:lang w:val="en-GB"/>
        </w:rPr>
      </w:pPr>
    </w:p>
    <w:p w14:paraId="3417DB7A" w14:textId="793CBEB2" w:rsidR="00CB56CE" w:rsidRPr="00460395" w:rsidRDefault="00CB56CE" w:rsidP="00460395">
      <w:pPr>
        <w:ind w:left="720" w:hanging="720"/>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33D4349F" w:rsidR="00867A8F" w:rsidRDefault="0046039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two parts to the question. </w:t>
      </w:r>
    </w:p>
    <w:p w14:paraId="6EF3930F" w14:textId="115DA019" w:rsidR="00460395" w:rsidRDefault="00460395" w:rsidP="00867A8F">
      <w:pPr>
        <w:ind w:left="720" w:hanging="720"/>
        <w:jc w:val="both"/>
        <w:rPr>
          <w:rFonts w:ascii="Avenir Next" w:hAnsi="Avenir Next" w:cs="Arial"/>
          <w:color w:val="808080" w:themeColor="background1" w:themeShade="80"/>
          <w:sz w:val="22"/>
          <w:szCs w:val="22"/>
          <w:lang w:val="en-GB"/>
        </w:rPr>
      </w:pPr>
    </w:p>
    <w:p w14:paraId="4FD3A1B1" w14:textId="4D09D46E" w:rsidR="00460395" w:rsidRDefault="0046039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part one: the most relevant article is Art 29(a). The court must consider both sub-limbs under Art 29(a), namely that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any relief granted under Art 19 or 21 must be consistent with the domestic proceeding; and (ii) that Art 20 does not apply (since the proceeding is a foreign main proceeding).</w:t>
      </w:r>
    </w:p>
    <w:p w14:paraId="0D275083" w14:textId="38486F2F" w:rsidR="00460395" w:rsidRDefault="00460395" w:rsidP="00867A8F">
      <w:pPr>
        <w:ind w:left="720" w:hanging="720"/>
        <w:jc w:val="both"/>
        <w:rPr>
          <w:rFonts w:ascii="Avenir Next" w:hAnsi="Avenir Next" w:cs="Arial"/>
          <w:color w:val="808080" w:themeColor="background1" w:themeShade="80"/>
          <w:sz w:val="22"/>
          <w:szCs w:val="22"/>
          <w:lang w:val="en-GB"/>
        </w:rPr>
      </w:pPr>
    </w:p>
    <w:p w14:paraId="4DDE1D63" w14:textId="53250765" w:rsidR="00460395" w:rsidRPr="00B77352" w:rsidRDefault="0046039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part two: Under Art 18, the foreign representative must inform the court of any substantial change in the status of the recognized foreign proceeding or the status of the foreign representative’s appointment and any other foreign proceedings regarding the same debtor that becomes known to the foreign representative.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768FB8CE" w14:textId="28E5444C" w:rsidR="007C2E2F" w:rsidRPr="00E2622D" w:rsidRDefault="007C2E2F" w:rsidP="00707FC8">
      <w:pPr>
        <w:jc w:val="both"/>
        <w:rPr>
          <w:rFonts w:ascii="Avenir Next" w:hAnsi="Avenir Next" w:cs="Arial"/>
          <w:sz w:val="22"/>
          <w:szCs w:val="22"/>
          <w:lang w:val="en-GB"/>
        </w:rPr>
      </w:pPr>
    </w:p>
    <w:p w14:paraId="260887C6" w14:textId="77777777" w:rsidR="007C2E2F" w:rsidRDefault="007C2E2F" w:rsidP="00867A8F">
      <w:pPr>
        <w:ind w:left="720" w:hanging="720"/>
        <w:jc w:val="both"/>
        <w:rPr>
          <w:rFonts w:ascii="Avenir Next" w:hAnsi="Avenir Next" w:cs="Arial"/>
          <w:color w:val="808080" w:themeColor="background1" w:themeShade="80"/>
          <w:sz w:val="22"/>
          <w:szCs w:val="22"/>
          <w:lang w:val="en-GB"/>
        </w:rPr>
      </w:pPr>
    </w:p>
    <w:p w14:paraId="5FD3972A" w14:textId="77777777" w:rsidR="007C2E2F" w:rsidRDefault="007C2E2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refer to the Model Law enacted in State A as the “ML”, and assume it mirrors the MLCBI entirely.</w:t>
      </w:r>
    </w:p>
    <w:p w14:paraId="254865D5" w14:textId="7464F338" w:rsidR="007C2E2F" w:rsidRDefault="007C2E2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F3F7B2E" w14:textId="77777777" w:rsidR="007C2E2F" w:rsidRDefault="007C2E2F" w:rsidP="00867A8F">
      <w:pPr>
        <w:ind w:left="720" w:hanging="720"/>
        <w:jc w:val="both"/>
        <w:rPr>
          <w:rFonts w:ascii="Avenir Next" w:hAnsi="Avenir Next" w:cs="Arial"/>
          <w:color w:val="808080" w:themeColor="background1" w:themeShade="80"/>
          <w:sz w:val="22"/>
          <w:szCs w:val="22"/>
          <w:lang w:val="en-GB"/>
        </w:rPr>
      </w:pPr>
      <w:r w:rsidRPr="007C2E2F">
        <w:rPr>
          <w:rFonts w:ascii="Avenir Next" w:hAnsi="Avenir Next" w:cs="Arial"/>
          <w:color w:val="808080" w:themeColor="background1" w:themeShade="80"/>
          <w:sz w:val="22"/>
          <w:szCs w:val="22"/>
          <w:u w:val="single"/>
          <w:lang w:val="en-GB"/>
        </w:rPr>
        <w:t>Chapter II of the MLCBI provides rights of access</w:t>
      </w:r>
      <w:r>
        <w:rPr>
          <w:rFonts w:ascii="Avenir Next" w:hAnsi="Avenir Next" w:cs="Arial"/>
          <w:color w:val="808080" w:themeColor="background1" w:themeShade="80"/>
          <w:sz w:val="22"/>
          <w:szCs w:val="22"/>
          <w:lang w:val="en-GB"/>
        </w:rPr>
        <w:t xml:space="preserve"> to foreign representatives to the courts in State A. Beginning with Art 9, the foreign representative may apply “directly” to a court in State A and, in other words, may have standing in the courts of State A without any prior recognition of foreign proceedings. Closely related is Article 11, which provides that the foreign representative may apply to commence a proceeding where the conditions for commencing such a proceeding is met. No prior recognition of the foreign proceeding is required for such access.</w:t>
      </w:r>
    </w:p>
    <w:p w14:paraId="440E724E" w14:textId="77777777" w:rsidR="007C2E2F" w:rsidRDefault="007C2E2F" w:rsidP="007C2E2F">
      <w:pPr>
        <w:ind w:left="720"/>
        <w:jc w:val="both"/>
        <w:rPr>
          <w:rFonts w:ascii="Avenir Next" w:hAnsi="Avenir Next" w:cs="Arial"/>
          <w:color w:val="808080" w:themeColor="background1" w:themeShade="80"/>
          <w:sz w:val="22"/>
          <w:szCs w:val="22"/>
          <w:lang w:val="en-GB"/>
        </w:rPr>
      </w:pPr>
    </w:p>
    <w:p w14:paraId="08475351" w14:textId="7943E7BC" w:rsidR="00867A8F" w:rsidRDefault="007C2E2F" w:rsidP="007C2E2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foreign representative also benefits from Article 10, also known as the ‘safe conduct rule’, ensuring that the courts in State A do not assume jurisdiction over all assets of the debtor on the sole ground that the foreign representative has made an application for recognition.</w:t>
      </w:r>
    </w:p>
    <w:p w14:paraId="3D1E097D" w14:textId="77777777" w:rsidR="007C2E2F" w:rsidRDefault="007C2E2F" w:rsidP="007C2E2F">
      <w:pPr>
        <w:ind w:left="720"/>
        <w:jc w:val="both"/>
        <w:rPr>
          <w:rFonts w:ascii="Avenir Next" w:hAnsi="Avenir Next" w:cs="Arial"/>
          <w:color w:val="808080" w:themeColor="background1" w:themeShade="80"/>
          <w:sz w:val="22"/>
          <w:szCs w:val="22"/>
          <w:lang w:val="en-GB"/>
        </w:rPr>
      </w:pPr>
    </w:p>
    <w:p w14:paraId="429729D9" w14:textId="4CD775ED" w:rsidR="007C2E2F" w:rsidRPr="007C2E2F" w:rsidRDefault="007C2E2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Article 12 provides that </w:t>
      </w:r>
      <w:r>
        <w:rPr>
          <w:rFonts w:ascii="Avenir Next" w:hAnsi="Avenir Next" w:cs="Arial"/>
          <w:i/>
          <w:iCs/>
          <w:color w:val="808080" w:themeColor="background1" w:themeShade="80"/>
          <w:sz w:val="22"/>
          <w:szCs w:val="22"/>
          <w:lang w:val="en-GB"/>
        </w:rPr>
        <w:t>upon recognition of the foreign proceeding</w:t>
      </w:r>
      <w:r>
        <w:rPr>
          <w:rFonts w:ascii="Avenir Next" w:hAnsi="Avenir Next" w:cs="Arial"/>
          <w:color w:val="808080" w:themeColor="background1" w:themeShade="80"/>
          <w:sz w:val="22"/>
          <w:szCs w:val="22"/>
          <w:lang w:val="en-GB"/>
        </w:rPr>
        <w:t xml:space="preserve">, the foreign representative may participate in a proceeding regarding the debtor under the laws of State A – this is necessary for the foreign representative to apply or make petitions regarding the protection, realisation or distribution of assets amongst other things. </w:t>
      </w:r>
    </w:p>
    <w:p w14:paraId="3183D865" w14:textId="77777777" w:rsidR="007C2E2F" w:rsidRDefault="007C2E2F" w:rsidP="00867A8F">
      <w:pPr>
        <w:ind w:left="720" w:hanging="720"/>
        <w:jc w:val="both"/>
        <w:rPr>
          <w:rFonts w:ascii="Avenir Next" w:hAnsi="Avenir Next" w:cs="Arial"/>
          <w:color w:val="808080" w:themeColor="background1" w:themeShade="80"/>
          <w:sz w:val="22"/>
          <w:szCs w:val="22"/>
          <w:lang w:val="en-GB"/>
        </w:rPr>
      </w:pPr>
    </w:p>
    <w:p w14:paraId="5CC1BDFF" w14:textId="6F3FB070" w:rsidR="007C2E2F" w:rsidRDefault="007C2E2F" w:rsidP="007C2E2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Finally, Article 13 embodies the anti-discrimination principle; </w:t>
      </w:r>
      <w:r w:rsidR="00F7443B">
        <w:rPr>
          <w:rFonts w:ascii="Avenir Next" w:hAnsi="Avenir Next" w:cs="Arial"/>
          <w:color w:val="808080" w:themeColor="background1" w:themeShade="80"/>
          <w:sz w:val="22"/>
          <w:szCs w:val="22"/>
          <w:lang w:val="en-GB"/>
        </w:rPr>
        <w:t>under this provision foreign creditors have the same rights as creditors domiciled in the enacting State regarding the commencement of and participation in local proceedings regarding the debtor under the insolvency laws of State A. The ranking of claims is not affected by Art 13 (see Art 13(2)), except that claims of foreign creditors shall not be ranked lower than general unsecured claims solely on the basis of their foreign status.</w:t>
      </w:r>
    </w:p>
    <w:p w14:paraId="6DC3C677" w14:textId="0AA1A23E" w:rsidR="00E0593B" w:rsidRDefault="00E0593B" w:rsidP="00E0593B">
      <w:pPr>
        <w:jc w:val="both"/>
        <w:rPr>
          <w:rFonts w:ascii="Avenir Next" w:hAnsi="Avenir Next" w:cs="Arial"/>
          <w:color w:val="808080" w:themeColor="background1" w:themeShade="80"/>
          <w:sz w:val="22"/>
          <w:szCs w:val="22"/>
          <w:lang w:val="en-GB"/>
        </w:rPr>
      </w:pPr>
    </w:p>
    <w:p w14:paraId="2B966DA7" w14:textId="1918F8D2" w:rsidR="00E0593B" w:rsidRDefault="00E0593B" w:rsidP="00E059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lastRenderedPageBreak/>
        <w:t>Chapter IV of the ML</w:t>
      </w:r>
      <w:r>
        <w:rPr>
          <w:rFonts w:ascii="Avenir Next" w:hAnsi="Avenir Next" w:cs="Arial"/>
          <w:color w:val="808080" w:themeColor="background1" w:themeShade="80"/>
          <w:sz w:val="22"/>
          <w:szCs w:val="22"/>
          <w:lang w:val="en-GB"/>
        </w:rPr>
        <w:t xml:space="preserve"> facilitates direct and efficient communication between State A and/or its courts with that of State B or the foreign representative him/herself. In brief:</w:t>
      </w:r>
    </w:p>
    <w:p w14:paraId="07BFD1F8" w14:textId="1F9312D0" w:rsidR="00E0593B" w:rsidRDefault="00E0593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courts of State A are to cooperate to the “maximum extent possible” with the foreign representative and to that end may “communicate directly” with them (Art 25). </w:t>
      </w:r>
      <w:r w:rsidRPr="00E0593B">
        <w:rPr>
          <w:rFonts w:ascii="Avenir Next" w:hAnsi="Avenir Next" w:cs="Arial"/>
          <w:color w:val="808080" w:themeColor="background1" w:themeShade="80"/>
          <w:sz w:val="22"/>
          <w:szCs w:val="22"/>
          <w:lang w:val="en-GB"/>
        </w:rPr>
        <w:t xml:space="preserve">The “person or body administering the </w:t>
      </w:r>
      <w:proofErr w:type="spellStart"/>
      <w:r w:rsidRPr="00E0593B">
        <w:rPr>
          <w:rFonts w:ascii="Avenir Next" w:hAnsi="Avenir Next" w:cs="Arial"/>
          <w:color w:val="808080" w:themeColor="background1" w:themeShade="80"/>
          <w:sz w:val="22"/>
          <w:szCs w:val="22"/>
          <w:lang w:val="en-GB"/>
        </w:rPr>
        <w:t>reorgnisation</w:t>
      </w:r>
      <w:proofErr w:type="spellEnd"/>
      <w:r w:rsidRPr="00E0593B">
        <w:rPr>
          <w:rFonts w:ascii="Avenir Next" w:hAnsi="Avenir Next" w:cs="Arial"/>
          <w:color w:val="808080" w:themeColor="background1" w:themeShade="80"/>
          <w:sz w:val="22"/>
          <w:szCs w:val="22"/>
          <w:lang w:val="en-GB"/>
        </w:rPr>
        <w:t xml:space="preserve"> or liquidation under the laws of State A” is entitled to the same (Art 26);</w:t>
      </w:r>
    </w:p>
    <w:p w14:paraId="68456657" w14:textId="323A3ACD" w:rsidR="00E0593B" w:rsidRPr="00E0593B" w:rsidRDefault="00E0593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 27 provides that broad contours to which such expedient communication may be implemented, including factors set out from Art 27(a) – (e) and any additional </w:t>
      </w:r>
      <w:proofErr w:type="spellStart"/>
      <w:r>
        <w:rPr>
          <w:rFonts w:ascii="Avenir Next" w:hAnsi="Avenir Next" w:cs="Arial"/>
          <w:color w:val="808080" w:themeColor="background1" w:themeShade="80"/>
          <w:sz w:val="22"/>
          <w:szCs w:val="22"/>
          <w:lang w:val="en-GB"/>
        </w:rPr>
        <w:t>menas</w:t>
      </w:r>
      <w:proofErr w:type="spellEnd"/>
      <w:r>
        <w:rPr>
          <w:rFonts w:ascii="Avenir Next" w:hAnsi="Avenir Next" w:cs="Arial"/>
          <w:color w:val="808080" w:themeColor="background1" w:themeShade="80"/>
          <w:sz w:val="22"/>
          <w:szCs w:val="22"/>
          <w:lang w:val="en-GB"/>
        </w:rPr>
        <w:t xml:space="preserve"> under Art 27 (f) (and onward).</w:t>
      </w:r>
      <w:r w:rsidRPr="00E0593B">
        <w:rPr>
          <w:rFonts w:ascii="Avenir Next" w:hAnsi="Avenir Next" w:cs="Arial"/>
          <w:color w:val="808080" w:themeColor="background1" w:themeShade="80"/>
          <w:sz w:val="22"/>
          <w:szCs w:val="22"/>
          <w:lang w:val="en-GB"/>
        </w:rPr>
        <w:t xml:space="preserve"> </w:t>
      </w:r>
    </w:p>
    <w:p w14:paraId="25439991" w14:textId="2D671A75" w:rsidR="007C2E2F" w:rsidRDefault="007C2E2F" w:rsidP="00867A8F">
      <w:pPr>
        <w:ind w:left="720" w:hanging="720"/>
        <w:jc w:val="both"/>
        <w:rPr>
          <w:rFonts w:ascii="Avenir Next" w:hAnsi="Avenir Next" w:cs="Arial"/>
          <w:color w:val="808080" w:themeColor="background1" w:themeShade="80"/>
          <w:sz w:val="22"/>
          <w:szCs w:val="22"/>
          <w:lang w:val="en-GB"/>
        </w:rPr>
      </w:pPr>
    </w:p>
    <w:p w14:paraId="676EB89E" w14:textId="77777777" w:rsidR="007C2E2F" w:rsidRPr="00B77352" w:rsidRDefault="007C2E2F" w:rsidP="00867A8F">
      <w:pPr>
        <w:ind w:left="720" w:hanging="720"/>
        <w:jc w:val="both"/>
        <w:rPr>
          <w:rFonts w:ascii="Avenir Next" w:hAnsi="Avenir Next" w:cs="Arial"/>
          <w:color w:val="808080" w:themeColor="background1" w:themeShade="80"/>
          <w:sz w:val="22"/>
          <w:szCs w:val="22"/>
          <w:lang w:val="en-GB"/>
        </w:rPr>
      </w:pP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62A4757B" w:rsidR="00867A8F" w:rsidRDefault="00E0593B" w:rsidP="00E059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relevant considerations are:</w:t>
      </w:r>
    </w:p>
    <w:p w14:paraId="5A3BED69" w14:textId="480FCD67" w:rsidR="00E0593B" w:rsidRDefault="00E0593B" w:rsidP="00E0593B">
      <w:pPr>
        <w:jc w:val="both"/>
        <w:rPr>
          <w:rFonts w:ascii="Avenir Next" w:hAnsi="Avenir Next" w:cs="Arial"/>
          <w:color w:val="808080" w:themeColor="background1" w:themeShade="80"/>
          <w:sz w:val="22"/>
          <w:szCs w:val="22"/>
          <w:lang w:val="en-GB"/>
        </w:rPr>
      </w:pPr>
    </w:p>
    <w:p w14:paraId="2147D6B7" w14:textId="78C8ADD2" w:rsidR="00E0593B" w:rsidRDefault="00E0593B">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 xml:space="preserve">Evidence of existence of proceedings and appointment of representative </w:t>
      </w:r>
      <w:r>
        <w:rPr>
          <w:rFonts w:ascii="Avenir Next" w:hAnsi="Avenir Next" w:cs="Arial"/>
          <w:color w:val="808080" w:themeColor="background1" w:themeShade="80"/>
          <w:sz w:val="22"/>
          <w:szCs w:val="22"/>
          <w:lang w:val="en-GB"/>
        </w:rPr>
        <w:t xml:space="preserve">(Art 17(c) read with Art 15 &amp; 16): </w:t>
      </w:r>
      <w:r w:rsidR="00AA0350">
        <w:rPr>
          <w:rFonts w:ascii="Avenir Next" w:hAnsi="Avenir Next" w:cs="Arial"/>
          <w:color w:val="808080" w:themeColor="background1" w:themeShade="80"/>
          <w:sz w:val="22"/>
          <w:szCs w:val="22"/>
          <w:lang w:val="en-GB"/>
        </w:rPr>
        <w:t xml:space="preserve">Art 17(c) sets out that the requirements of Art 15(2) </w:t>
      </w:r>
      <w:r w:rsidR="00AA0350" w:rsidRPr="00AA0350">
        <w:rPr>
          <w:rFonts w:ascii="Avenir Next" w:hAnsi="Avenir Next" w:cs="Arial"/>
          <w:i/>
          <w:iCs/>
          <w:color w:val="808080" w:themeColor="background1" w:themeShade="80"/>
          <w:sz w:val="22"/>
          <w:szCs w:val="22"/>
          <w:lang w:val="en-GB"/>
        </w:rPr>
        <w:t>must</w:t>
      </w:r>
      <w:r w:rsidR="00AA0350">
        <w:rPr>
          <w:rFonts w:ascii="Avenir Next" w:hAnsi="Avenir Next" w:cs="Arial"/>
          <w:color w:val="808080" w:themeColor="background1" w:themeShade="80"/>
          <w:sz w:val="22"/>
          <w:szCs w:val="22"/>
          <w:lang w:val="en-GB"/>
        </w:rPr>
        <w:t xml:space="preserve"> be satisfied before a foreign proceeding may be recognised. Art 15(2)(a)-(c), in turn, sets out the requirement that the application for recognition </w:t>
      </w:r>
      <w:r w:rsidR="00AA0350" w:rsidRPr="00AA0350">
        <w:rPr>
          <w:rFonts w:ascii="Avenir Next" w:hAnsi="Avenir Next" w:cs="Arial"/>
          <w:color w:val="808080" w:themeColor="background1" w:themeShade="80"/>
          <w:sz w:val="22"/>
          <w:szCs w:val="22"/>
          <w:lang w:val="en-GB"/>
        </w:rPr>
        <w:t>shall</w:t>
      </w:r>
      <w:r w:rsidR="00AA0350">
        <w:rPr>
          <w:rFonts w:ascii="Avenir Next" w:hAnsi="Avenir Next" w:cs="Arial"/>
          <w:color w:val="808080" w:themeColor="background1" w:themeShade="80"/>
          <w:sz w:val="22"/>
          <w:szCs w:val="22"/>
          <w:lang w:val="en-GB"/>
        </w:rPr>
        <w:t xml:space="preserve"> be accompanied by evidence of the existence of the foreign proceedings and the appointment of the foreign representative. Reference may be made to the presumptions in Art 16(1) and Art 16(2) in this endeavour as regards the accuracy and authenticity of documents adduced to satisfy Art 15(2).</w:t>
      </w:r>
    </w:p>
    <w:p w14:paraId="3B72793D" w14:textId="77777777" w:rsidR="00AA0350" w:rsidRDefault="00AA0350" w:rsidP="00AA0350">
      <w:pPr>
        <w:pStyle w:val="ListParagraph"/>
        <w:jc w:val="both"/>
        <w:rPr>
          <w:rFonts w:ascii="Avenir Next" w:hAnsi="Avenir Next" w:cs="Arial"/>
          <w:color w:val="808080" w:themeColor="background1" w:themeShade="80"/>
          <w:sz w:val="22"/>
          <w:szCs w:val="22"/>
          <w:lang w:val="en-GB"/>
        </w:rPr>
      </w:pPr>
    </w:p>
    <w:p w14:paraId="22848440" w14:textId="742C4E6E" w:rsidR="00E0593B" w:rsidRDefault="00E0593B">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Whether foreign main or foreign non-main</w:t>
      </w:r>
      <w:r>
        <w:rPr>
          <w:rFonts w:ascii="Avenir Next" w:hAnsi="Avenir Next" w:cs="Arial"/>
          <w:color w:val="808080" w:themeColor="background1" w:themeShade="80"/>
          <w:sz w:val="22"/>
          <w:szCs w:val="22"/>
          <w:lang w:val="en-GB"/>
        </w:rPr>
        <w:t xml:space="preserve"> (Art 17(2))</w:t>
      </w:r>
      <w:r w:rsidR="00AA0350">
        <w:rPr>
          <w:rFonts w:ascii="Avenir Next" w:hAnsi="Avenir Next" w:cs="Arial"/>
          <w:color w:val="808080" w:themeColor="background1" w:themeShade="80"/>
          <w:sz w:val="22"/>
          <w:szCs w:val="22"/>
          <w:lang w:val="en-GB"/>
        </w:rPr>
        <w:t xml:space="preserve">: It is also necessary to consider evidence regarding the nature of the debtors’ business/affairs in terms of where its “centre of main interests” is (to qualify as a foreign main proceeding), or whether it minimally has an “establishment” (see definition in Art 2(f)” to qualify as a foreign non-main proceeding. The former is not defined in the ML, though a myriad of factors may be taken into account in the determination such as where the main decision/management body or headquarters of the debtor is located, where its principal assets or operations are, and where its books and records are located, etc (the list is non-exhaustive). Under the UNCITRAL Guide to Enactment (p44 para 82), the two central factors are the location where the central administration of the debtor is and that which is readily ascertainable as such by the creditors of the debtor. </w:t>
      </w:r>
      <w:r w:rsidR="00C914FC">
        <w:rPr>
          <w:rFonts w:ascii="Avenir Next" w:hAnsi="Avenir Next" w:cs="Arial"/>
          <w:color w:val="808080" w:themeColor="background1" w:themeShade="80"/>
          <w:sz w:val="22"/>
          <w:szCs w:val="22"/>
          <w:lang w:val="en-GB"/>
        </w:rPr>
        <w:t xml:space="preserve">Regard can also be had to Art 16(3), which provides that the COMI is </w:t>
      </w:r>
      <w:r w:rsidR="00C914FC">
        <w:rPr>
          <w:rFonts w:ascii="Avenir Next" w:hAnsi="Avenir Next" w:cs="Arial"/>
          <w:color w:val="808080" w:themeColor="background1" w:themeShade="80"/>
          <w:sz w:val="22"/>
          <w:szCs w:val="22"/>
          <w:lang w:val="en-GB"/>
        </w:rPr>
        <w:lastRenderedPageBreak/>
        <w:t>presumed in absence of proof to the contrary to be the debtor’s registered office or habitual residence in the case of an individual.</w:t>
      </w:r>
    </w:p>
    <w:p w14:paraId="0D27FD61" w14:textId="77777777" w:rsidR="00AA0350" w:rsidRPr="00AA0350" w:rsidRDefault="00AA0350" w:rsidP="00AA0350">
      <w:pPr>
        <w:jc w:val="both"/>
        <w:rPr>
          <w:rFonts w:ascii="Avenir Next" w:hAnsi="Avenir Next" w:cs="Arial"/>
          <w:color w:val="808080" w:themeColor="background1" w:themeShade="80"/>
          <w:sz w:val="22"/>
          <w:szCs w:val="22"/>
          <w:lang w:val="en-GB"/>
        </w:rPr>
      </w:pPr>
    </w:p>
    <w:p w14:paraId="4E901BD3" w14:textId="596BEBEE" w:rsidR="00C914FC" w:rsidRDefault="00AA0350">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Public policy (Art 6)</w:t>
      </w:r>
      <w:r>
        <w:rPr>
          <w:rFonts w:ascii="Avenir Next" w:hAnsi="Avenir Next" w:cs="Arial"/>
          <w:color w:val="808080" w:themeColor="background1" w:themeShade="80"/>
          <w:sz w:val="22"/>
          <w:szCs w:val="22"/>
          <w:lang w:val="en-GB"/>
        </w:rPr>
        <w:t>:</w:t>
      </w:r>
      <w:r w:rsidR="00C914FC">
        <w:rPr>
          <w:rFonts w:ascii="Avenir Next" w:hAnsi="Avenir Next" w:cs="Arial"/>
          <w:color w:val="808080" w:themeColor="background1" w:themeShade="80"/>
          <w:sz w:val="22"/>
          <w:szCs w:val="22"/>
          <w:lang w:val="en-GB"/>
        </w:rPr>
        <w:t xml:space="preserve"> Art 6 provides that recognition (or any action) should not be granted/taken where to do so would be contrary to the public policy of State A.</w:t>
      </w:r>
      <w:r w:rsidR="005F223D">
        <w:rPr>
          <w:rFonts w:ascii="Avenir Next" w:hAnsi="Avenir Next" w:cs="Arial"/>
          <w:color w:val="808080" w:themeColor="background1" w:themeShade="80"/>
          <w:sz w:val="22"/>
          <w:szCs w:val="22"/>
          <w:lang w:val="en-GB"/>
        </w:rPr>
        <w:t xml:space="preserve"> This could be </w:t>
      </w:r>
      <w:proofErr w:type="gramStart"/>
      <w:r w:rsidR="005F223D">
        <w:rPr>
          <w:rFonts w:ascii="Avenir Next" w:hAnsi="Avenir Next" w:cs="Arial"/>
          <w:color w:val="808080" w:themeColor="background1" w:themeShade="80"/>
          <w:sz w:val="22"/>
          <w:szCs w:val="22"/>
          <w:lang w:val="en-GB"/>
        </w:rPr>
        <w:t>However,</w:t>
      </w:r>
      <w:proofErr w:type="gramEnd"/>
      <w:r w:rsidR="005F223D">
        <w:rPr>
          <w:rFonts w:ascii="Avenir Next" w:hAnsi="Avenir Next" w:cs="Arial"/>
          <w:color w:val="808080" w:themeColor="background1" w:themeShade="80"/>
          <w:sz w:val="22"/>
          <w:szCs w:val="22"/>
          <w:lang w:val="en-GB"/>
        </w:rPr>
        <w:t xml:space="preserve"> it has been observed that the expression “manifestly” indicates that the public policy exception is to be interpreted restrictively and only applied in exceptional circumstances (see UNCITRAL Guide to Enactment at p 52 and </w:t>
      </w:r>
      <w:proofErr w:type="spellStart"/>
      <w:r w:rsidR="005F223D">
        <w:rPr>
          <w:rFonts w:ascii="Avenir Next" w:hAnsi="Avenir Next" w:cs="Arial"/>
          <w:i/>
          <w:iCs/>
          <w:color w:val="808080" w:themeColor="background1" w:themeShade="80"/>
          <w:sz w:val="22"/>
          <w:szCs w:val="22"/>
          <w:lang w:val="en-GB"/>
        </w:rPr>
        <w:t>Agrokor</w:t>
      </w:r>
      <w:proofErr w:type="spellEnd"/>
      <w:r w:rsidR="005F223D">
        <w:rPr>
          <w:rFonts w:ascii="Avenir Next" w:hAnsi="Avenir Next" w:cs="Arial"/>
          <w:color w:val="808080" w:themeColor="background1" w:themeShade="80"/>
          <w:sz w:val="22"/>
          <w:szCs w:val="22"/>
          <w:lang w:val="en-GB"/>
        </w:rPr>
        <w:t>).</w:t>
      </w:r>
    </w:p>
    <w:p w14:paraId="3B831282" w14:textId="77777777" w:rsidR="00C914FC" w:rsidRPr="00C914FC" w:rsidRDefault="00C914FC" w:rsidP="00C914FC">
      <w:pPr>
        <w:pStyle w:val="ListParagraph"/>
        <w:rPr>
          <w:rFonts w:ascii="Avenir Next" w:hAnsi="Avenir Next" w:cs="Arial"/>
          <w:color w:val="808080" w:themeColor="background1" w:themeShade="80"/>
          <w:sz w:val="22"/>
          <w:szCs w:val="22"/>
          <w:lang w:val="en-GB"/>
        </w:rPr>
      </w:pPr>
    </w:p>
    <w:p w14:paraId="7EA282DB" w14:textId="02FD31B5" w:rsidR="00C914FC" w:rsidRDefault="00C914FC">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Whether abuse of process</w:t>
      </w:r>
      <w:r>
        <w:rPr>
          <w:rFonts w:ascii="Avenir Next" w:hAnsi="Avenir Next" w:cs="Arial"/>
          <w:color w:val="808080" w:themeColor="background1" w:themeShade="80"/>
          <w:sz w:val="22"/>
          <w:szCs w:val="22"/>
          <w:lang w:val="en-GB"/>
        </w:rPr>
        <w:t xml:space="preserve">: There is nothing in the ML that prevents the Courts of State A from responding to an abuse of process. This could arise, for instance, where the continuing obligation to keep the court informed of the matters set out in Art 18 is breached, or where false representations regarding the debtors’ COMI is made. </w:t>
      </w:r>
      <w:r w:rsidR="005F223D">
        <w:rPr>
          <w:rFonts w:ascii="Avenir Next" w:hAnsi="Avenir Next" w:cs="Arial"/>
          <w:color w:val="808080" w:themeColor="background1" w:themeShade="80"/>
          <w:sz w:val="22"/>
          <w:szCs w:val="22"/>
          <w:lang w:val="en-GB"/>
        </w:rPr>
        <w:t>(</w:t>
      </w:r>
      <w:proofErr w:type="gramStart"/>
      <w:r w:rsidR="005F223D">
        <w:rPr>
          <w:rFonts w:ascii="Avenir Next" w:hAnsi="Avenir Next" w:cs="Arial"/>
          <w:color w:val="808080" w:themeColor="background1" w:themeShade="80"/>
          <w:sz w:val="22"/>
          <w:szCs w:val="22"/>
          <w:lang w:val="en-GB"/>
        </w:rPr>
        <w:t>see</w:t>
      </w:r>
      <w:proofErr w:type="gramEnd"/>
      <w:r w:rsidR="005F223D">
        <w:rPr>
          <w:rFonts w:ascii="Avenir Next" w:hAnsi="Avenir Next" w:cs="Arial"/>
          <w:color w:val="808080" w:themeColor="background1" w:themeShade="80"/>
          <w:sz w:val="22"/>
          <w:szCs w:val="22"/>
          <w:lang w:val="en-GB"/>
        </w:rPr>
        <w:t xml:space="preserve"> </w:t>
      </w:r>
      <w:r w:rsidR="005F223D">
        <w:rPr>
          <w:rFonts w:ascii="Avenir Next" w:hAnsi="Avenir Next" w:cs="Arial"/>
          <w:i/>
          <w:iCs/>
          <w:color w:val="808080" w:themeColor="background1" w:themeShade="80"/>
          <w:sz w:val="22"/>
          <w:szCs w:val="22"/>
          <w:lang w:val="en-GB"/>
        </w:rPr>
        <w:t xml:space="preserve">Nordic Trustee A.S.A &amp; </w:t>
      </w:r>
      <w:proofErr w:type="spellStart"/>
      <w:r w:rsidR="005F223D">
        <w:rPr>
          <w:rFonts w:ascii="Avenir Next" w:hAnsi="Avenir Next" w:cs="Arial"/>
          <w:i/>
          <w:iCs/>
          <w:color w:val="808080" w:themeColor="background1" w:themeShade="80"/>
          <w:sz w:val="22"/>
          <w:szCs w:val="22"/>
          <w:lang w:val="en-GB"/>
        </w:rPr>
        <w:t>anor</w:t>
      </w:r>
      <w:proofErr w:type="spellEnd"/>
      <w:r w:rsidR="005F223D">
        <w:rPr>
          <w:rFonts w:ascii="Avenir Next" w:hAnsi="Avenir Next" w:cs="Arial"/>
          <w:i/>
          <w:iCs/>
          <w:color w:val="808080" w:themeColor="background1" w:themeShade="80"/>
          <w:sz w:val="22"/>
          <w:szCs w:val="22"/>
          <w:lang w:val="en-GB"/>
        </w:rPr>
        <w:t xml:space="preserve"> v OGX </w:t>
      </w:r>
      <w:proofErr w:type="spellStart"/>
      <w:r w:rsidR="005F223D">
        <w:rPr>
          <w:rFonts w:ascii="Avenir Next" w:hAnsi="Avenir Next" w:cs="Arial"/>
          <w:i/>
          <w:iCs/>
          <w:color w:val="808080" w:themeColor="background1" w:themeShade="80"/>
          <w:sz w:val="22"/>
          <w:szCs w:val="22"/>
          <w:lang w:val="en-GB"/>
        </w:rPr>
        <w:t>Petroleo</w:t>
      </w:r>
      <w:proofErr w:type="spellEnd"/>
      <w:r w:rsidR="005F223D">
        <w:rPr>
          <w:rFonts w:ascii="Avenir Next" w:hAnsi="Avenir Next" w:cs="Arial"/>
          <w:i/>
          <w:iCs/>
          <w:color w:val="808080" w:themeColor="background1" w:themeShade="80"/>
          <w:sz w:val="22"/>
          <w:szCs w:val="22"/>
          <w:lang w:val="en-GB"/>
        </w:rPr>
        <w:t xml:space="preserve"> e Gas SA</w:t>
      </w:r>
      <w:r w:rsidR="005F223D">
        <w:rPr>
          <w:rFonts w:ascii="Avenir Next" w:hAnsi="Avenir Next" w:cs="Arial"/>
          <w:color w:val="808080" w:themeColor="background1" w:themeShade="80"/>
          <w:sz w:val="22"/>
          <w:szCs w:val="22"/>
          <w:lang w:val="en-GB"/>
        </w:rPr>
        <w:t xml:space="preserve"> [2016] EWHC 25 (Ch))</w:t>
      </w:r>
    </w:p>
    <w:p w14:paraId="713C0C0F" w14:textId="7D829AA6" w:rsidR="0017257C" w:rsidRPr="00C914FC" w:rsidRDefault="00C914FC" w:rsidP="00C914FC">
      <w:pPr>
        <w:jc w:val="both"/>
        <w:rPr>
          <w:rFonts w:ascii="Avenir Next" w:hAnsi="Avenir Next" w:cs="Arial"/>
          <w:color w:val="808080" w:themeColor="background1" w:themeShade="80"/>
          <w:sz w:val="22"/>
          <w:szCs w:val="22"/>
          <w:lang w:val="en-GB"/>
        </w:rPr>
      </w:pPr>
      <w:r w:rsidRPr="00C914FC">
        <w:rPr>
          <w:rFonts w:ascii="Avenir Next" w:hAnsi="Avenir Next" w:cs="Arial"/>
          <w:color w:val="808080" w:themeColor="background1" w:themeShade="80"/>
          <w:sz w:val="22"/>
          <w:szCs w:val="22"/>
          <w:lang w:val="en-GB"/>
        </w:rPr>
        <w:t xml:space="preserv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5B07FA51" w:rsidR="00867A8F" w:rsidRDefault="005F223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Pre-recognition relief</w:t>
      </w:r>
      <w:r>
        <w:rPr>
          <w:rFonts w:ascii="Avenir Next" w:hAnsi="Avenir Next" w:cs="Arial"/>
          <w:color w:val="808080" w:themeColor="background1" w:themeShade="80"/>
          <w:sz w:val="22"/>
          <w:szCs w:val="22"/>
          <w:lang w:val="en-GB"/>
        </w:rPr>
        <w:t xml:space="preserve">: Art 19 provides for relief that may be granted upon the </w:t>
      </w:r>
      <w:r>
        <w:rPr>
          <w:rFonts w:ascii="Avenir Next" w:hAnsi="Avenir Next" w:cs="Arial"/>
          <w:i/>
          <w:iCs/>
          <w:color w:val="808080" w:themeColor="background1" w:themeShade="80"/>
          <w:sz w:val="22"/>
          <w:szCs w:val="22"/>
          <w:lang w:val="en-GB"/>
        </w:rPr>
        <w:t xml:space="preserve">application </w:t>
      </w:r>
      <w:r>
        <w:rPr>
          <w:rFonts w:ascii="Avenir Next" w:hAnsi="Avenir Next" w:cs="Arial"/>
          <w:color w:val="808080" w:themeColor="background1" w:themeShade="80"/>
          <w:sz w:val="22"/>
          <w:szCs w:val="22"/>
          <w:lang w:val="en-GB"/>
        </w:rPr>
        <w:t xml:space="preserve">for recognition of a foreign proceeding (and thus constitutes pre-recognition relief). Such interim relief may include: </w:t>
      </w:r>
    </w:p>
    <w:p w14:paraId="5C1ADA47" w14:textId="2DD28C95" w:rsidR="005F223D" w:rsidRDefault="005F223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execution against the debtor’s assets (Art19(a))</w:t>
      </w:r>
    </w:p>
    <w:p w14:paraId="0167F25F" w14:textId="3C668303" w:rsidR="005F223D" w:rsidRDefault="005F223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Entrusting the administration or realisation of all or part of the debtor’s assets located in State A to the foreign representative or </w:t>
      </w:r>
      <w:proofErr w:type="spellStart"/>
      <w:r>
        <w:rPr>
          <w:rFonts w:ascii="Avenir Next" w:hAnsi="Avenir Next" w:cs="Arial"/>
          <w:color w:val="808080" w:themeColor="background1" w:themeShade="80"/>
          <w:sz w:val="22"/>
          <w:szCs w:val="22"/>
          <w:lang w:val="en-GB"/>
        </w:rPr>
        <w:t>antoher</w:t>
      </w:r>
      <w:proofErr w:type="spellEnd"/>
      <w:r>
        <w:rPr>
          <w:rFonts w:ascii="Avenir Next" w:hAnsi="Avenir Next" w:cs="Arial"/>
          <w:color w:val="808080" w:themeColor="background1" w:themeShade="80"/>
          <w:sz w:val="22"/>
          <w:szCs w:val="22"/>
          <w:lang w:val="en-GB"/>
        </w:rPr>
        <w:t xml:space="preserve"> person designated by the court so as to protect the value of assets that are perishable, susceptible to devaluation or otherwise in jeopardy; and</w:t>
      </w:r>
    </w:p>
    <w:p w14:paraId="3CA35CF9" w14:textId="10414ADA" w:rsidR="005F223D" w:rsidRDefault="005F223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Relief under Art 21(c), (d) and (g) (such as the suspension of the right to transfer, encumber or dispose of any assets of the debtor, or for the examination of witnesses).</w:t>
      </w:r>
    </w:p>
    <w:p w14:paraId="23ECA3FA" w14:textId="133B2F9A" w:rsidR="005F223D" w:rsidRDefault="005F223D" w:rsidP="005F223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be noted that such relief can only be granted where it is shown that it is “urgently needed to protect the assets of the debtor”. Further, such relief is of a “provisional nature” such that, pursuant to Art 19(3), </w:t>
      </w:r>
      <w:r w:rsidR="00793590">
        <w:rPr>
          <w:rFonts w:ascii="Avenir Next" w:hAnsi="Avenir Next" w:cs="Arial"/>
          <w:color w:val="808080" w:themeColor="background1" w:themeShade="80"/>
          <w:sz w:val="22"/>
          <w:szCs w:val="22"/>
          <w:lang w:val="en-GB"/>
        </w:rPr>
        <w:t>the relief terminates upon recognition unless extended under Art 21(f).</w:t>
      </w:r>
    </w:p>
    <w:p w14:paraId="609DF518" w14:textId="44281AAA" w:rsidR="00793590" w:rsidRDefault="00793590" w:rsidP="005F223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the court may refuse to grant relief if it interferes with a foreign main proceeding (Art 19(4)).</w:t>
      </w:r>
    </w:p>
    <w:p w14:paraId="4D6CEC10" w14:textId="25513433" w:rsidR="00793590" w:rsidRDefault="00793590" w:rsidP="00793590">
      <w:pPr>
        <w:jc w:val="both"/>
        <w:rPr>
          <w:rFonts w:ascii="Avenir Next" w:hAnsi="Avenir Next" w:cs="Arial"/>
          <w:color w:val="808080" w:themeColor="background1" w:themeShade="80"/>
          <w:sz w:val="22"/>
          <w:szCs w:val="22"/>
          <w:lang w:val="en-GB"/>
        </w:rPr>
      </w:pPr>
    </w:p>
    <w:p w14:paraId="374C3F73" w14:textId="4C39D24E" w:rsidR="00793590" w:rsidRDefault="00793590" w:rsidP="0079359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Post-recognition</w:t>
      </w:r>
      <w:r>
        <w:rPr>
          <w:rFonts w:ascii="Avenir Next" w:hAnsi="Avenir Next" w:cs="Arial"/>
          <w:color w:val="808080" w:themeColor="background1" w:themeShade="80"/>
          <w:sz w:val="22"/>
          <w:szCs w:val="22"/>
          <w:lang w:val="en-GB"/>
        </w:rPr>
        <w:t xml:space="preserve"> </w:t>
      </w:r>
      <w:r w:rsidRPr="00793590">
        <w:rPr>
          <w:rFonts w:ascii="Avenir Next" w:hAnsi="Avenir Next" w:cs="Arial"/>
          <w:color w:val="808080" w:themeColor="background1" w:themeShade="80"/>
          <w:sz w:val="22"/>
          <w:szCs w:val="22"/>
          <w:u w:val="single"/>
          <w:lang w:val="en-GB"/>
        </w:rPr>
        <w:t>relief</w:t>
      </w:r>
      <w:r>
        <w:rPr>
          <w:rFonts w:ascii="Avenir Next" w:hAnsi="Avenir Next" w:cs="Arial"/>
          <w:color w:val="808080" w:themeColor="background1" w:themeShade="80"/>
          <w:sz w:val="22"/>
          <w:szCs w:val="22"/>
          <w:lang w:val="en-GB"/>
        </w:rPr>
        <w:t xml:space="preserve"> may be discussed in relation to foreign main proceedings ("FMP”), and </w:t>
      </w:r>
      <w:r>
        <w:rPr>
          <w:rFonts w:ascii="Avenir Next" w:hAnsi="Avenir Next" w:cs="Arial"/>
          <w:i/>
          <w:iCs/>
          <w:color w:val="808080" w:themeColor="background1" w:themeShade="80"/>
          <w:sz w:val="22"/>
          <w:szCs w:val="22"/>
          <w:lang w:val="en-GB"/>
        </w:rPr>
        <w:t>both</w:t>
      </w:r>
      <w:r>
        <w:rPr>
          <w:rFonts w:ascii="Avenir Next" w:hAnsi="Avenir Next" w:cs="Arial"/>
          <w:color w:val="808080" w:themeColor="background1" w:themeShade="80"/>
          <w:sz w:val="22"/>
          <w:szCs w:val="22"/>
          <w:lang w:val="en-GB"/>
        </w:rPr>
        <w:t xml:space="preserve"> foreign main and non-main proceedings (the latter referred to as “FNMP”).</w:t>
      </w:r>
    </w:p>
    <w:p w14:paraId="396B7674" w14:textId="10FBD49C" w:rsidR="005F223D" w:rsidRDefault="00793590">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Under Art 20(1), the recognition of an FMP </w:t>
      </w:r>
      <w:r>
        <w:rPr>
          <w:rFonts w:ascii="Avenir Next" w:hAnsi="Avenir Next" w:cs="Arial"/>
          <w:i/>
          <w:iCs/>
          <w:color w:val="808080" w:themeColor="background1" w:themeShade="80"/>
          <w:sz w:val="22"/>
          <w:szCs w:val="22"/>
          <w:lang w:val="en-GB"/>
        </w:rPr>
        <w:t>automatically</w:t>
      </w:r>
      <w:r>
        <w:rPr>
          <w:rFonts w:ascii="Avenir Next" w:hAnsi="Avenir Next" w:cs="Arial"/>
          <w:color w:val="808080" w:themeColor="background1" w:themeShade="80"/>
          <w:sz w:val="22"/>
          <w:szCs w:val="22"/>
          <w:lang w:val="en-GB"/>
        </w:rPr>
        <w:t xml:space="preserve"> confers a stay against the commencement or continuation of individual actions or proceedings concerning the debtor’s assets, rights, obligations and liabilities (Art 20(1)(a); execution against the debtor’s assets (Art 20(1)(b)), and also suspends the right to transfer, encumber or dispose of any assets of the debtor (Art 20(1)(c)). This may be subject to any provisions in domestic law relating to insolvency law (Art 20(2)). Further, it should be noted that nothing in Art 20(1)(a) affects the right to commence individual actions to the extent necessary to preserve a debtor’s claim (Art 20(3)), nor the right to request the commencement of a proceeding or file claims under domestic insolvency law (Art 20(4)).</w:t>
      </w:r>
    </w:p>
    <w:p w14:paraId="08A16ED0" w14:textId="4F0A67C2" w:rsidR="00793590" w:rsidRDefault="00793590">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 21, the recognition of an FNMP avails the foreign representative the opportunity to seek a broad range of relief (non-exhaustively listed under Art 21(10(a)-(g)), though whether such relief is granted is entirely discretionary (“the court </w:t>
      </w:r>
      <w:proofErr w:type="gramStart"/>
      <w:r>
        <w:rPr>
          <w:rFonts w:ascii="Avenir Next" w:hAnsi="Avenir Next" w:cs="Arial"/>
          <w:i/>
          <w:iCs/>
          <w:color w:val="808080" w:themeColor="background1" w:themeShade="80"/>
          <w:sz w:val="22"/>
          <w:szCs w:val="22"/>
          <w:lang w:val="en-GB"/>
        </w:rPr>
        <w:t>may</w:t>
      </w:r>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The Court may also entrust the distribution of all or part of the debtor’s assets located in the state to the foreign representative or another appointed person provided the interest of the creditors in the state are adequately protected (Art 21(2)).</w:t>
      </w:r>
    </w:p>
    <w:p w14:paraId="63F40CD1" w14:textId="24A0578D" w:rsidR="00793590" w:rsidRDefault="00793590" w:rsidP="00793590">
      <w:pPr>
        <w:jc w:val="both"/>
        <w:rPr>
          <w:rFonts w:ascii="Avenir Next" w:hAnsi="Avenir Next" w:cs="Arial"/>
          <w:color w:val="808080" w:themeColor="background1" w:themeShade="80"/>
          <w:sz w:val="22"/>
          <w:szCs w:val="22"/>
          <w:lang w:val="en-GB"/>
        </w:rPr>
      </w:pPr>
    </w:p>
    <w:p w14:paraId="2C96B3E6" w14:textId="71A357F1" w:rsidR="00793590" w:rsidRPr="00793590" w:rsidRDefault="00793590" w:rsidP="0079359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applications for relief under Art 19 and Art 21, the court must also be satisfied that the interests of the creditor and other interest persons (which </w:t>
      </w:r>
      <w:proofErr w:type="spellStart"/>
      <w:r>
        <w:rPr>
          <w:rFonts w:ascii="Avenir Next" w:hAnsi="Avenir Next" w:cs="Arial"/>
          <w:color w:val="808080" w:themeColor="background1" w:themeShade="80"/>
          <w:sz w:val="22"/>
          <w:szCs w:val="22"/>
          <w:lang w:val="en-GB"/>
        </w:rPr>
        <w:t>inlucdes</w:t>
      </w:r>
      <w:proofErr w:type="spellEnd"/>
      <w:r>
        <w:rPr>
          <w:rFonts w:ascii="Avenir Next" w:hAnsi="Avenir Next" w:cs="Arial"/>
          <w:color w:val="808080" w:themeColor="background1" w:themeShade="80"/>
          <w:sz w:val="22"/>
          <w:szCs w:val="22"/>
          <w:lang w:val="en-GB"/>
        </w:rPr>
        <w:t xml:space="preserve"> the debtor) are adequately protected (Art 22(1)), and may subject relief granted under said Articles to conditions it considers appropriate (Art 22(2)) and/or modify and terminate it (Art 22(3)).</w:t>
      </w:r>
    </w:p>
    <w:p w14:paraId="21A67231" w14:textId="40C00B37" w:rsidR="00867A8F" w:rsidRDefault="00867A8F" w:rsidP="00793590">
      <w:pPr>
        <w:jc w:val="both"/>
        <w:rPr>
          <w:rFonts w:ascii="Avenir Next" w:hAnsi="Avenir Next" w:cs="Arial"/>
          <w:sz w:val="22"/>
          <w:szCs w:val="22"/>
          <w:lang w:val="en-GB"/>
        </w:rPr>
      </w:pPr>
    </w:p>
    <w:p w14:paraId="029C47C8" w14:textId="407A62D4" w:rsidR="00867A8F" w:rsidRDefault="00867A8F" w:rsidP="00460395">
      <w:pPr>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34F7CB9E" w:rsidR="00867A8F" w:rsidRPr="003442DD" w:rsidRDefault="003442D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case of </w:t>
      </w:r>
      <w:r>
        <w:rPr>
          <w:rFonts w:ascii="Avenir Next" w:hAnsi="Avenir Next" w:cs="Arial"/>
          <w:i/>
          <w:iCs/>
          <w:color w:val="808080" w:themeColor="background1" w:themeShade="80"/>
          <w:sz w:val="22"/>
          <w:szCs w:val="22"/>
          <w:lang w:val="en-GB"/>
        </w:rPr>
        <w:t xml:space="preserve">Igor </w:t>
      </w:r>
      <w:proofErr w:type="spellStart"/>
      <w:r>
        <w:rPr>
          <w:rFonts w:ascii="Avenir Next" w:hAnsi="Avenir Next" w:cs="Arial"/>
          <w:i/>
          <w:iCs/>
          <w:color w:val="808080" w:themeColor="background1" w:themeShade="80"/>
          <w:sz w:val="22"/>
          <w:szCs w:val="22"/>
          <w:lang w:val="en-GB"/>
        </w:rPr>
        <w:t>Vitalievich</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Protasov</w:t>
      </w:r>
      <w:proofErr w:type="spellEnd"/>
      <w:r>
        <w:rPr>
          <w:rFonts w:ascii="Avenir Next" w:hAnsi="Avenir Next" w:cs="Arial"/>
          <w:i/>
          <w:iCs/>
          <w:color w:val="808080" w:themeColor="background1" w:themeShade="80"/>
          <w:sz w:val="22"/>
          <w:szCs w:val="22"/>
          <w:lang w:val="en-GB"/>
        </w:rPr>
        <w:t xml:space="preserve"> v </w:t>
      </w:r>
      <w:proofErr w:type="spellStart"/>
      <w:r>
        <w:rPr>
          <w:rFonts w:ascii="Avenir Next" w:hAnsi="Avenir Next" w:cs="Arial"/>
          <w:i/>
          <w:iCs/>
          <w:color w:val="808080" w:themeColor="background1" w:themeShade="80"/>
          <w:sz w:val="22"/>
          <w:szCs w:val="22"/>
          <w:lang w:val="en-GB"/>
        </w:rPr>
        <w:t>Khadzhi</w:t>
      </w:r>
      <w:proofErr w:type="spellEnd"/>
      <w:r>
        <w:rPr>
          <w:rFonts w:ascii="Avenir Next" w:hAnsi="Avenir Next" w:cs="Arial"/>
          <w:i/>
          <w:iCs/>
          <w:color w:val="808080" w:themeColor="background1" w:themeShade="80"/>
          <w:sz w:val="22"/>
          <w:szCs w:val="22"/>
          <w:lang w:val="en-GB"/>
        </w:rPr>
        <w:t xml:space="preserve">-Murat </w:t>
      </w:r>
      <w:proofErr w:type="spellStart"/>
      <w:r>
        <w:rPr>
          <w:rFonts w:ascii="Avenir Next" w:hAnsi="Avenir Next" w:cs="Arial"/>
          <w:i/>
          <w:iCs/>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[2021] EWHC 392 (Ch) involved the consideration of this question. The court declined to extend the worldwide freezing order as it noted that </w:t>
      </w:r>
      <w:r w:rsidRPr="003442DD">
        <w:rPr>
          <w:rFonts w:ascii="Avenir Next" w:hAnsi="Avenir Next" w:cs="Arial"/>
          <w:color w:val="808080" w:themeColor="background1" w:themeShade="80"/>
          <w:sz w:val="22"/>
          <w:szCs w:val="22"/>
        </w:rPr>
        <w:t xml:space="preserve">when the recognition order was made, the provisional suspension under the freezing order was superseded by </w:t>
      </w:r>
      <w:r>
        <w:rPr>
          <w:rFonts w:ascii="Avenir Next" w:hAnsi="Avenir Next" w:cs="Arial"/>
          <w:color w:val="808080" w:themeColor="background1" w:themeShade="80"/>
          <w:sz w:val="22"/>
          <w:szCs w:val="22"/>
        </w:rPr>
        <w:t>the</w:t>
      </w:r>
      <w:r w:rsidRPr="003442DD">
        <w:rPr>
          <w:rFonts w:ascii="Avenir Next" w:hAnsi="Avenir Next" w:cs="Arial"/>
          <w:color w:val="808080" w:themeColor="background1" w:themeShade="80"/>
          <w:sz w:val="22"/>
          <w:szCs w:val="22"/>
        </w:rPr>
        <w:t xml:space="preserve"> permanent suspension of the bankrupt’s rights </w:t>
      </w:r>
      <w:r>
        <w:rPr>
          <w:rFonts w:ascii="Avenir Next" w:hAnsi="Avenir Next" w:cs="Arial"/>
          <w:color w:val="808080" w:themeColor="background1" w:themeShade="80"/>
          <w:sz w:val="22"/>
          <w:szCs w:val="22"/>
        </w:rPr>
        <w:t>pursuant to</w:t>
      </w:r>
      <w:r w:rsidRPr="003442DD">
        <w:rPr>
          <w:rFonts w:ascii="Avenir Next" w:hAnsi="Avenir Next" w:cs="Arial"/>
          <w:color w:val="808080" w:themeColor="background1" w:themeShade="80"/>
          <w:sz w:val="22"/>
          <w:szCs w:val="22"/>
        </w:rPr>
        <w:t xml:space="preserve"> Art</w:t>
      </w:r>
      <w:r>
        <w:rPr>
          <w:rFonts w:ascii="Avenir Next" w:hAnsi="Avenir Next" w:cs="Arial"/>
          <w:color w:val="808080" w:themeColor="background1" w:themeShade="80"/>
          <w:sz w:val="22"/>
          <w:szCs w:val="22"/>
        </w:rPr>
        <w:t>s</w:t>
      </w:r>
      <w:r w:rsidRPr="003442DD">
        <w:rPr>
          <w:rFonts w:ascii="Avenir Next" w:hAnsi="Avenir Next" w:cs="Arial"/>
          <w:color w:val="808080" w:themeColor="background1" w:themeShade="80"/>
          <w:sz w:val="22"/>
          <w:szCs w:val="22"/>
        </w:rPr>
        <w:t xml:space="preserve"> 20(1) </w:t>
      </w:r>
      <w:r>
        <w:rPr>
          <w:rFonts w:ascii="Avenir Next" w:hAnsi="Avenir Next" w:cs="Arial"/>
          <w:color w:val="808080" w:themeColor="background1" w:themeShade="80"/>
          <w:sz w:val="22"/>
          <w:szCs w:val="22"/>
        </w:rPr>
        <w:t xml:space="preserve">&amp; </w:t>
      </w:r>
      <w:r w:rsidRPr="003442DD">
        <w:rPr>
          <w:rFonts w:ascii="Avenir Next" w:hAnsi="Avenir Next" w:cs="Arial"/>
          <w:color w:val="808080" w:themeColor="background1" w:themeShade="80"/>
          <w:sz w:val="22"/>
          <w:szCs w:val="22"/>
        </w:rPr>
        <w:t xml:space="preserve">20(2) of the </w:t>
      </w:r>
      <w:r>
        <w:rPr>
          <w:rFonts w:ascii="Avenir Next" w:hAnsi="Avenir Next" w:cs="Arial"/>
          <w:color w:val="808080" w:themeColor="background1" w:themeShade="80"/>
          <w:sz w:val="22"/>
          <w:szCs w:val="22"/>
        </w:rPr>
        <w:t xml:space="preserve">MLCBI. These provisions effectively protect and preserve the </w:t>
      </w:r>
      <w:r>
        <w:rPr>
          <w:rFonts w:ascii="Avenir Next" w:hAnsi="Avenir Next" w:cs="Arial"/>
          <w:i/>
          <w:iCs/>
          <w:color w:val="808080" w:themeColor="background1" w:themeShade="80"/>
          <w:sz w:val="22"/>
          <w:szCs w:val="22"/>
        </w:rPr>
        <w:t>status quo</w:t>
      </w:r>
      <w:r>
        <w:rPr>
          <w:rFonts w:ascii="Avenir Next" w:hAnsi="Avenir Next" w:cs="Arial"/>
          <w:color w:val="808080" w:themeColor="background1" w:themeShade="80"/>
          <w:sz w:val="22"/>
          <w:szCs w:val="22"/>
        </w:rPr>
        <w:t xml:space="preserve"> in relation to the debtor’s assets, which therefore led the court to conclude that there was no reason to order the worldwide freezing order.</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w:t>
      </w:r>
      <w:r w:rsidRPr="00FF37FF">
        <w:rPr>
          <w:rFonts w:ascii="Avenir Next" w:hAnsi="Avenir Next" w:cs="Arial"/>
          <w:color w:val="000000"/>
          <w:sz w:val="22"/>
          <w:szCs w:val="22"/>
          <w:highlight w:val="yellow"/>
          <w:lang w:val="en-GB" w:eastAsia="en-GB"/>
        </w:rPr>
        <w:t>registered office</w:t>
      </w:r>
      <w:r w:rsidRPr="00E2622D">
        <w:rPr>
          <w:rFonts w:ascii="Avenir Next" w:hAnsi="Avenir Next" w:cs="Arial"/>
          <w:color w:val="000000"/>
          <w:sz w:val="22"/>
          <w:szCs w:val="22"/>
          <w:lang w:val="en-GB" w:eastAsia="en-GB"/>
        </w:rPr>
        <w:t xml:space="preserve"> is situated in </w:t>
      </w:r>
      <w:r w:rsidRPr="00FF37FF">
        <w:rPr>
          <w:rFonts w:ascii="Avenir Next" w:hAnsi="Avenir Next" w:cs="Arial"/>
          <w:color w:val="000000"/>
          <w:sz w:val="22"/>
          <w:szCs w:val="22"/>
          <w:highlight w:val="yellow"/>
          <w:lang w:val="en-GB" w:eastAsia="en-GB"/>
        </w:rPr>
        <w:t>Country A</w:t>
      </w:r>
      <w:r w:rsidRPr="00E2622D">
        <w:rPr>
          <w:rFonts w:ascii="Avenir Next" w:hAnsi="Avenir Next" w:cs="Arial"/>
          <w:color w:val="000000"/>
          <w:sz w:val="22"/>
          <w:szCs w:val="22"/>
          <w:lang w:val="en-GB" w:eastAsia="en-GB"/>
        </w:rPr>
        <w:t xml:space="preserve">,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w:t>
      </w:r>
      <w:r w:rsidRPr="00BC3B59">
        <w:rPr>
          <w:rFonts w:ascii="Avenir Next" w:hAnsi="Avenir Next" w:cs="Arial"/>
          <w:color w:val="000000"/>
          <w:sz w:val="22"/>
          <w:szCs w:val="22"/>
          <w:highlight w:val="yellow"/>
          <w:lang w:val="en-GB" w:eastAsia="en-GB"/>
        </w:rPr>
        <w:t>fraud</w:t>
      </w:r>
      <w:r w:rsidRPr="00E2622D">
        <w:rPr>
          <w:rFonts w:ascii="Avenir Next" w:hAnsi="Avenir Next" w:cs="Arial"/>
          <w:color w:val="000000"/>
          <w:sz w:val="22"/>
          <w:szCs w:val="22"/>
          <w:lang w:val="en-GB" w:eastAsia="en-GB"/>
        </w:rPr>
        <w:t xml:space="preserve">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w:t>
      </w:r>
      <w:r w:rsidRPr="00E2622D">
        <w:rPr>
          <w:rFonts w:ascii="Avenir Next" w:hAnsi="Avenir Next" w:cs="Arial"/>
          <w:color w:val="000000"/>
          <w:sz w:val="22"/>
          <w:szCs w:val="22"/>
          <w:lang w:val="en-GB" w:eastAsia="en-GB"/>
        </w:rPr>
        <w:lastRenderedPageBreak/>
        <w:t>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w:t>
      </w:r>
      <w:r w:rsidRPr="00E2622D">
        <w:rPr>
          <w:rFonts w:ascii="Avenir Next" w:hAnsi="Avenir Next" w:cs="Arial"/>
          <w:color w:val="000000"/>
          <w:sz w:val="22"/>
          <w:szCs w:val="22"/>
          <w:lang w:val="en-GB" w:eastAsia="en-GB"/>
        </w:rPr>
        <w:lastRenderedPageBreak/>
        <w:t>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1A6E6D92"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74B7846A" w14:textId="17DB1519" w:rsidR="00F359D5" w:rsidRDefault="00F359D5" w:rsidP="008A7470">
      <w:pPr>
        <w:jc w:val="both"/>
        <w:rPr>
          <w:rFonts w:ascii="Avenir Next" w:hAnsi="Avenir Next" w:cs="Arial"/>
          <w:sz w:val="22"/>
          <w:szCs w:val="22"/>
          <w:lang w:val="en-GB"/>
        </w:rPr>
      </w:pPr>
    </w:p>
    <w:p w14:paraId="4AC52564" w14:textId="2929285D" w:rsidR="00F844BD" w:rsidRPr="00701CFF" w:rsidRDefault="00F844BD" w:rsidP="008A7470">
      <w:pPr>
        <w:jc w:val="both"/>
        <w:rPr>
          <w:rFonts w:ascii="Avenir Next" w:hAnsi="Avenir Next" w:cs="Arial"/>
          <w:b/>
          <w:bCs/>
          <w:color w:val="A5A5A5" w:themeColor="accent3"/>
          <w:sz w:val="22"/>
          <w:szCs w:val="22"/>
          <w:lang w:val="en-GB"/>
        </w:rPr>
      </w:pPr>
      <w:r w:rsidRPr="00701CFF">
        <w:rPr>
          <w:rFonts w:ascii="Avenir Next" w:hAnsi="Avenir Next" w:cs="Arial"/>
          <w:b/>
          <w:bCs/>
          <w:color w:val="A5A5A5" w:themeColor="accent3"/>
          <w:sz w:val="22"/>
          <w:szCs w:val="22"/>
          <w:u w:val="single"/>
          <w:lang w:val="en-GB"/>
        </w:rPr>
        <w:t>Question 4.1.1</w:t>
      </w:r>
      <w:r w:rsidRPr="00701CFF">
        <w:rPr>
          <w:rFonts w:ascii="Avenir Next" w:hAnsi="Avenir Next" w:cs="Arial"/>
          <w:b/>
          <w:bCs/>
          <w:color w:val="A5A5A5" w:themeColor="accent3"/>
          <w:sz w:val="22"/>
          <w:szCs w:val="22"/>
          <w:lang w:val="en-GB"/>
        </w:rPr>
        <w:t>:</w:t>
      </w:r>
    </w:p>
    <w:p w14:paraId="2AFE46D6" w14:textId="77F04B6B" w:rsidR="00F844BD" w:rsidRDefault="00F844BD" w:rsidP="008A7470">
      <w:pPr>
        <w:jc w:val="both"/>
        <w:rPr>
          <w:rFonts w:ascii="Avenir Next" w:hAnsi="Avenir Next" w:cs="Arial"/>
          <w:color w:val="A5A5A5" w:themeColor="accent3"/>
          <w:sz w:val="22"/>
          <w:szCs w:val="22"/>
          <w:lang w:val="en-GB"/>
        </w:rPr>
      </w:pPr>
    </w:p>
    <w:p w14:paraId="588A333E" w14:textId="1CE8E496" w:rsidR="00F844BD" w:rsidRDefault="00F844BD"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It is submitted that the bank’s liquidation comprises a “foreign proceeding” within the meaning of Art 2(a) of the MLCBI.</w:t>
      </w:r>
    </w:p>
    <w:p w14:paraId="56560D0F" w14:textId="77777777" w:rsidR="00F844BD" w:rsidRDefault="00F844BD" w:rsidP="008A7470">
      <w:pPr>
        <w:jc w:val="both"/>
        <w:rPr>
          <w:rFonts w:ascii="Avenir Next" w:hAnsi="Avenir Next" w:cs="Arial"/>
          <w:color w:val="A5A5A5" w:themeColor="accent3"/>
          <w:sz w:val="22"/>
          <w:szCs w:val="22"/>
          <w:lang w:val="en-GB"/>
        </w:rPr>
      </w:pPr>
    </w:p>
    <w:p w14:paraId="658C3A63" w14:textId="4254937B" w:rsidR="00680A8F" w:rsidRDefault="00F844BD"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starting point is to consider </w:t>
      </w:r>
      <w:r w:rsidR="00680A8F">
        <w:rPr>
          <w:rFonts w:ascii="Avenir Next" w:hAnsi="Avenir Next" w:cs="Arial"/>
          <w:color w:val="A5A5A5" w:themeColor="accent3"/>
          <w:sz w:val="22"/>
          <w:szCs w:val="22"/>
          <w:lang w:val="en-GB"/>
        </w:rPr>
        <w:t xml:space="preserve">the wording employed in Art 2(a). Art 2(a) of the MLCBI provides that a “foreign proceeding” means “a collective judicial or administrative proceeding in a foreign state, including an interim proceeding, pursuant to a law relating to insolvency in which proceeding the assets and affairs of the debtor are subject to control </w:t>
      </w:r>
      <w:r w:rsidR="00680A8F">
        <w:rPr>
          <w:rFonts w:ascii="Avenir Next" w:hAnsi="Avenir Next" w:cs="Arial"/>
          <w:color w:val="A5A5A5" w:themeColor="accent3"/>
          <w:sz w:val="22"/>
          <w:szCs w:val="22"/>
          <w:lang w:val="en-GB"/>
        </w:rPr>
        <w:lastRenderedPageBreak/>
        <w:t>or supervision by a foreign court, for the purpose of reorganisation of liquidation”. The following issues arise in determining whether the bank’s liquidation comprises a “foreign proceeding”:</w:t>
      </w:r>
    </w:p>
    <w:p w14:paraId="3D5563FC" w14:textId="5DCEA7DC" w:rsidR="00680A8F" w:rsidRPr="00701CFF" w:rsidRDefault="00680A8F">
      <w:pPr>
        <w:pStyle w:val="ListParagraph"/>
        <w:numPr>
          <w:ilvl w:val="0"/>
          <w:numId w:val="19"/>
        </w:numPr>
        <w:jc w:val="both"/>
        <w:rPr>
          <w:rFonts w:ascii="Avenir Next" w:hAnsi="Avenir Next" w:cs="Arial"/>
          <w:color w:val="A5A5A5" w:themeColor="accent3"/>
          <w:sz w:val="22"/>
          <w:szCs w:val="22"/>
          <w:lang w:val="en-GB"/>
        </w:rPr>
      </w:pPr>
      <w:r w:rsidRPr="00701CFF">
        <w:rPr>
          <w:rFonts w:ascii="Avenir Next" w:hAnsi="Avenir Next" w:cs="Arial"/>
          <w:color w:val="A5A5A5" w:themeColor="accent3"/>
          <w:sz w:val="22"/>
          <w:szCs w:val="22"/>
          <w:lang w:val="en-GB"/>
        </w:rPr>
        <w:t>Whether the bank’s liquidation is a “proceeding”;</w:t>
      </w:r>
    </w:p>
    <w:p w14:paraId="3D2AA017" w14:textId="77777777" w:rsidR="00680A8F" w:rsidRDefault="00680A8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the proceeding is judicial or administrative;</w:t>
      </w:r>
    </w:p>
    <w:p w14:paraId="1165F97F" w14:textId="77777777" w:rsidR="00680A8F" w:rsidRDefault="00680A8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it is collective in nature;</w:t>
      </w:r>
    </w:p>
    <w:p w14:paraId="5921EA4F" w14:textId="77777777" w:rsidR="00680A8F" w:rsidRDefault="00680A8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it is in a foreign state;</w:t>
      </w:r>
    </w:p>
    <w:p w14:paraId="77A77250" w14:textId="77777777" w:rsidR="00680A8F" w:rsidRDefault="00680A8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the proceeding is one authorised or conducted under a law relating to insolvency;</w:t>
      </w:r>
    </w:p>
    <w:p w14:paraId="019CF01D" w14:textId="301142CE" w:rsidR="00680A8F" w:rsidRDefault="00680A8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Whether the proceeding is one where the assets of the debtor </w:t>
      </w:r>
      <w:r w:rsidR="00701CFF">
        <w:rPr>
          <w:rFonts w:ascii="Avenir Next" w:hAnsi="Avenir Next" w:cs="Arial"/>
          <w:color w:val="A5A5A5" w:themeColor="accent3"/>
          <w:sz w:val="22"/>
          <w:szCs w:val="22"/>
          <w:lang w:val="en-GB"/>
        </w:rPr>
        <w:t>are subject to the control or supervision by a foreign court; and</w:t>
      </w:r>
    </w:p>
    <w:p w14:paraId="213C9322" w14:textId="1EEDFFD9" w:rsidR="00701CFF" w:rsidRPr="00680A8F" w:rsidRDefault="00701CF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the proceeding is for the purpose of reorganisation or liquidation.</w:t>
      </w:r>
    </w:p>
    <w:p w14:paraId="1ADA4E16" w14:textId="37B2B09C" w:rsidR="00680A8F" w:rsidRDefault="00680A8F" w:rsidP="008A7470">
      <w:pPr>
        <w:jc w:val="both"/>
        <w:rPr>
          <w:rFonts w:ascii="Avenir Next" w:hAnsi="Avenir Next" w:cs="Arial"/>
          <w:color w:val="A5A5A5" w:themeColor="accent3"/>
          <w:sz w:val="22"/>
          <w:szCs w:val="22"/>
          <w:lang w:val="en-GB"/>
        </w:rPr>
      </w:pPr>
    </w:p>
    <w:p w14:paraId="5D2E1767" w14:textId="6E5FDCA3" w:rsidR="00701CFF" w:rsidRDefault="00854F4B"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w:t>
      </w:r>
      <w:r w:rsidR="00701CFF">
        <w:rPr>
          <w:rFonts w:ascii="Avenir Next" w:hAnsi="Avenir Next" w:cs="Arial"/>
          <w:color w:val="A5A5A5" w:themeColor="accent3"/>
          <w:sz w:val="22"/>
          <w:szCs w:val="22"/>
          <w:lang w:val="en-GB"/>
        </w:rPr>
        <w:t xml:space="preserve">hese issues </w:t>
      </w:r>
      <w:r>
        <w:rPr>
          <w:rFonts w:ascii="Avenir Next" w:hAnsi="Avenir Next" w:cs="Arial"/>
          <w:color w:val="A5A5A5" w:themeColor="accent3"/>
          <w:sz w:val="22"/>
          <w:szCs w:val="22"/>
          <w:lang w:val="en-GB"/>
        </w:rPr>
        <w:t>will be discussed in</w:t>
      </w:r>
      <w:r w:rsidR="00701CFF">
        <w:rPr>
          <w:rFonts w:ascii="Avenir Next" w:hAnsi="Avenir Next" w:cs="Arial"/>
          <w:color w:val="A5A5A5" w:themeColor="accent3"/>
          <w:sz w:val="22"/>
          <w:szCs w:val="22"/>
          <w:lang w:val="en-GB"/>
        </w:rPr>
        <w:t xml:space="preserve"> tur</w:t>
      </w:r>
      <w:r w:rsidR="000860FD">
        <w:rPr>
          <w:rFonts w:ascii="Avenir Next" w:hAnsi="Avenir Next" w:cs="Arial"/>
          <w:color w:val="A5A5A5" w:themeColor="accent3"/>
          <w:sz w:val="22"/>
          <w:szCs w:val="22"/>
          <w:lang w:val="en-GB"/>
        </w:rPr>
        <w:t>n, though it is noted that the inquiry is ultimately not a box ticking exercise but to be considered as a whole (</w:t>
      </w:r>
      <w:r w:rsidR="000860FD">
        <w:rPr>
          <w:rFonts w:ascii="Avenir Next" w:hAnsi="Avenir Next" w:cs="Arial"/>
          <w:i/>
          <w:iCs/>
          <w:color w:val="A5A5A5" w:themeColor="accent3"/>
          <w:sz w:val="22"/>
          <w:szCs w:val="22"/>
          <w:lang w:val="en-GB"/>
        </w:rPr>
        <w:t xml:space="preserve">Stanford International Bank Limited </w:t>
      </w:r>
      <w:r w:rsidR="000860FD">
        <w:rPr>
          <w:rFonts w:ascii="Avenir Next" w:hAnsi="Avenir Next" w:cs="Arial"/>
          <w:color w:val="A5A5A5" w:themeColor="accent3"/>
          <w:sz w:val="22"/>
          <w:szCs w:val="22"/>
          <w:lang w:val="en-GB"/>
        </w:rPr>
        <w:t xml:space="preserve">[2010] EWCA </w:t>
      </w:r>
      <w:proofErr w:type="spellStart"/>
      <w:r w:rsidR="000860FD">
        <w:rPr>
          <w:rFonts w:ascii="Avenir Next" w:hAnsi="Avenir Next" w:cs="Arial"/>
          <w:color w:val="A5A5A5" w:themeColor="accent3"/>
          <w:sz w:val="22"/>
          <w:szCs w:val="22"/>
          <w:lang w:val="en-GB"/>
        </w:rPr>
        <w:t>Civ</w:t>
      </w:r>
      <w:proofErr w:type="spellEnd"/>
      <w:r w:rsidR="000860FD">
        <w:rPr>
          <w:rFonts w:ascii="Avenir Next" w:hAnsi="Avenir Next" w:cs="Arial"/>
          <w:color w:val="A5A5A5" w:themeColor="accent3"/>
          <w:sz w:val="22"/>
          <w:szCs w:val="22"/>
          <w:lang w:val="en-GB"/>
        </w:rPr>
        <w:t xml:space="preserve"> 137 at [23)).</w:t>
      </w:r>
    </w:p>
    <w:p w14:paraId="6104FD02" w14:textId="176B279F" w:rsidR="00701CFF" w:rsidRDefault="00701CFF" w:rsidP="008A7470">
      <w:pPr>
        <w:jc w:val="both"/>
        <w:rPr>
          <w:rFonts w:ascii="Avenir Next" w:hAnsi="Avenir Next" w:cs="Arial"/>
          <w:color w:val="A5A5A5" w:themeColor="accent3"/>
          <w:sz w:val="22"/>
          <w:szCs w:val="22"/>
          <w:lang w:val="en-GB"/>
        </w:rPr>
      </w:pPr>
    </w:p>
    <w:p w14:paraId="04DBB5D7" w14:textId="3A5E8A76" w:rsidR="00701CFF" w:rsidRPr="00701CFF" w:rsidRDefault="00701CFF"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(1)</w:t>
      </w:r>
      <w:r>
        <w:rPr>
          <w:rFonts w:ascii="Avenir Next" w:hAnsi="Avenir Next" w:cs="Arial"/>
          <w:color w:val="A5A5A5" w:themeColor="accent3"/>
          <w:sz w:val="22"/>
          <w:szCs w:val="22"/>
          <w:lang w:val="en-GB"/>
        </w:rPr>
        <w:t>:</w:t>
      </w:r>
    </w:p>
    <w:p w14:paraId="657524F9" w14:textId="75651558" w:rsidR="00F844BD" w:rsidRDefault="00854F4B"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It is likely that the bank’s liquidation is a “proceeding” under the MLCBI. First, it is noted that the language employed in Art 2(a) “</w:t>
      </w:r>
      <w:r w:rsidRPr="00854F4B">
        <w:rPr>
          <w:rFonts w:ascii="Avenir Next" w:hAnsi="Avenir Next" w:cs="Arial"/>
          <w:color w:val="A5A5A5" w:themeColor="accent3"/>
          <w:sz w:val="22"/>
          <w:szCs w:val="22"/>
          <w:lang w:val="en-SG"/>
        </w:rPr>
        <w:t>avoid</w:t>
      </w:r>
      <w:r>
        <w:rPr>
          <w:rFonts w:ascii="Avenir Next" w:hAnsi="Avenir Next" w:cs="Arial"/>
          <w:color w:val="A5A5A5" w:themeColor="accent3"/>
          <w:sz w:val="22"/>
          <w:szCs w:val="22"/>
          <w:lang w:val="en-SG"/>
        </w:rPr>
        <w:t>[s]</w:t>
      </w:r>
      <w:r w:rsidRPr="00854F4B">
        <w:rPr>
          <w:rFonts w:ascii="Avenir Next" w:hAnsi="Avenir Next" w:cs="Arial"/>
          <w:color w:val="A5A5A5" w:themeColor="accent3"/>
          <w:sz w:val="22"/>
          <w:szCs w:val="22"/>
          <w:lang w:val="en-SG"/>
        </w:rPr>
        <w:t xml:space="preserve"> the use of expressions that may have different technical meaning in different legal systems and instead describe their purpose or function.</w:t>
      </w:r>
      <w:r>
        <w:rPr>
          <w:rFonts w:ascii="Avenir Next" w:hAnsi="Avenir Next" w:cs="Arial"/>
          <w:color w:val="A5A5A5" w:themeColor="accent3"/>
          <w:sz w:val="22"/>
          <w:szCs w:val="22"/>
          <w:lang w:val="en-GB"/>
        </w:rPr>
        <w:t xml:space="preserve">” (Guide to Enactment and Interpretation (“GEI”) at para 65). This is to facilitate a </w:t>
      </w:r>
      <w:r w:rsidRPr="00854F4B">
        <w:rPr>
          <w:rFonts w:ascii="Avenir Next" w:hAnsi="Avenir Next" w:cs="Arial"/>
          <w:i/>
          <w:iCs/>
          <w:color w:val="A5A5A5" w:themeColor="accent3"/>
          <w:sz w:val="22"/>
          <w:szCs w:val="22"/>
          <w:lang w:val="en-GB"/>
        </w:rPr>
        <w:t>broader</w:t>
      </w:r>
      <w:r>
        <w:rPr>
          <w:rFonts w:ascii="Avenir Next" w:hAnsi="Avenir Next" w:cs="Arial"/>
          <w:color w:val="A5A5A5" w:themeColor="accent3"/>
          <w:sz w:val="22"/>
          <w:szCs w:val="22"/>
          <w:lang w:val="en-GB"/>
        </w:rPr>
        <w:t xml:space="preserve"> range of possible foreign proceedings that might obtain recognition, and to this end, the phrase “insolvency proceeding” generally refers to “proceedings involving debtors that are in severe financial distress or insolvent” (GEI at para 65). </w:t>
      </w:r>
    </w:p>
    <w:p w14:paraId="41F0B97E" w14:textId="77777777" w:rsidR="00854F4B" w:rsidRDefault="00854F4B" w:rsidP="008A7470">
      <w:pPr>
        <w:jc w:val="both"/>
        <w:rPr>
          <w:rFonts w:ascii="Avenir Next" w:hAnsi="Avenir Next" w:cs="Arial"/>
          <w:color w:val="A5A5A5" w:themeColor="accent3"/>
          <w:sz w:val="22"/>
          <w:szCs w:val="22"/>
          <w:lang w:val="en-GB"/>
        </w:rPr>
      </w:pPr>
    </w:p>
    <w:p w14:paraId="5FCA8388" w14:textId="7B204709" w:rsidR="00854F4B" w:rsidRDefault="00854F4B"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Turning to the facts, this definition is likely met – the </w:t>
      </w:r>
      <w:r w:rsidR="00BB716B">
        <w:rPr>
          <w:rFonts w:ascii="Avenir Next" w:hAnsi="Avenir Next" w:cs="Arial"/>
          <w:color w:val="A5A5A5" w:themeColor="accent3"/>
          <w:sz w:val="22"/>
          <w:szCs w:val="22"/>
          <w:lang w:val="en-GB"/>
        </w:rPr>
        <w:t>commencement of provisional administration against the Bank under Art 34 of the DGF Law, which, in turn, is initiated upon the classification of the Bank as “insolvent” under Art 76 of the LBBA, falls within the definition of “insolvency proceeding” set out in the preceding paragraph.</w:t>
      </w:r>
      <w:r>
        <w:rPr>
          <w:rFonts w:ascii="Avenir Next" w:hAnsi="Avenir Next" w:cs="Arial"/>
          <w:color w:val="A5A5A5" w:themeColor="accent3"/>
          <w:sz w:val="22"/>
          <w:szCs w:val="22"/>
          <w:lang w:val="en-GB"/>
        </w:rPr>
        <w:t xml:space="preserve"> </w:t>
      </w:r>
    </w:p>
    <w:p w14:paraId="739D16C0" w14:textId="665F0512" w:rsidR="00854F4B" w:rsidRDefault="00854F4B" w:rsidP="008A7470">
      <w:pPr>
        <w:jc w:val="both"/>
        <w:rPr>
          <w:rFonts w:ascii="Avenir Next" w:hAnsi="Avenir Next" w:cs="Arial"/>
          <w:color w:val="A5A5A5" w:themeColor="accent3"/>
          <w:sz w:val="22"/>
          <w:szCs w:val="22"/>
          <w:lang w:val="en-GB"/>
        </w:rPr>
      </w:pPr>
    </w:p>
    <w:p w14:paraId="66527AAC" w14:textId="00AF3BD1" w:rsidR="00854F4B" w:rsidRPr="00854F4B" w:rsidRDefault="00854F4B" w:rsidP="008A7470">
      <w:pPr>
        <w:jc w:val="both"/>
        <w:rPr>
          <w:rFonts w:ascii="Avenir Next" w:hAnsi="Avenir Next" w:cs="Arial"/>
          <w:color w:val="A5A5A5" w:themeColor="accent3"/>
          <w:sz w:val="22"/>
          <w:szCs w:val="22"/>
          <w:lang w:val="en-SG"/>
        </w:rPr>
      </w:pPr>
      <w:r w:rsidRPr="00854F4B">
        <w:rPr>
          <w:rFonts w:ascii="Avenir Next" w:hAnsi="Avenir Next" w:cs="Arial"/>
          <w:color w:val="A5A5A5" w:themeColor="accent3"/>
          <w:sz w:val="22"/>
          <w:szCs w:val="22"/>
          <w:u w:val="single"/>
          <w:lang w:val="en-GB"/>
        </w:rPr>
        <w:t>Issue (2)</w:t>
      </w:r>
      <w:r>
        <w:rPr>
          <w:rFonts w:ascii="Avenir Next" w:hAnsi="Avenir Next" w:cs="Arial"/>
          <w:color w:val="A5A5A5" w:themeColor="accent3"/>
          <w:sz w:val="22"/>
          <w:szCs w:val="22"/>
          <w:lang w:val="en-GB"/>
        </w:rPr>
        <w:t>:</w:t>
      </w:r>
    </w:p>
    <w:p w14:paraId="3D9C3C3A" w14:textId="5D967C31" w:rsidR="00854F4B" w:rsidRDefault="00BB716B"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There will be little doubt that the bank’s liquidation is a “judicial or administrative” one. The DGF, as a governmental body of Country A charged with the task of withdrawing insolvency banks from the market and winding down their operations via liquidation can be said to be a process of an “administrative” nature.</w:t>
      </w:r>
    </w:p>
    <w:p w14:paraId="712757A3" w14:textId="0D5A0CD7" w:rsidR="00BB716B" w:rsidRDefault="00BB716B" w:rsidP="008A7470">
      <w:pPr>
        <w:jc w:val="both"/>
        <w:rPr>
          <w:rFonts w:ascii="Avenir Next" w:hAnsi="Avenir Next" w:cs="Arial"/>
          <w:color w:val="A5A5A5" w:themeColor="accent3"/>
          <w:sz w:val="22"/>
          <w:szCs w:val="22"/>
          <w:lang w:val="en-GB"/>
        </w:rPr>
      </w:pPr>
    </w:p>
    <w:p w14:paraId="52AB5B10" w14:textId="4B02F371" w:rsidR="00BB716B" w:rsidRDefault="00BB716B"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(3)</w:t>
      </w:r>
      <w:r>
        <w:rPr>
          <w:rFonts w:ascii="Avenir Next" w:hAnsi="Avenir Next" w:cs="Arial"/>
          <w:color w:val="A5A5A5" w:themeColor="accent3"/>
          <w:sz w:val="22"/>
          <w:szCs w:val="22"/>
          <w:lang w:val="en-GB"/>
        </w:rPr>
        <w:t>:</w:t>
      </w:r>
    </w:p>
    <w:p w14:paraId="24383D33" w14:textId="70732782" w:rsidR="00473BC3" w:rsidRDefault="00473BC3"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The requirement for “</w:t>
      </w:r>
      <w:proofErr w:type="spellStart"/>
      <w:r>
        <w:rPr>
          <w:rFonts w:ascii="Avenir Next" w:hAnsi="Avenir Next" w:cs="Arial"/>
          <w:color w:val="A5A5A5" w:themeColor="accent3"/>
          <w:sz w:val="22"/>
          <w:szCs w:val="22"/>
          <w:lang w:val="en-GB"/>
        </w:rPr>
        <w:t>collectivity</w:t>
      </w:r>
      <w:proofErr w:type="spellEnd"/>
      <w:r>
        <w:rPr>
          <w:rFonts w:ascii="Avenir Next" w:hAnsi="Avenir Next" w:cs="Arial"/>
          <w:color w:val="A5A5A5" w:themeColor="accent3"/>
          <w:sz w:val="22"/>
          <w:szCs w:val="22"/>
          <w:lang w:val="en-GB"/>
        </w:rPr>
        <w:t xml:space="preserve">” arises from one of the chief aims of the MLCBI in the achievement of a coordinated and global solution for all stakeholders of an insolvency proceeding. In this regard, a key consideration to satisfy the element of </w:t>
      </w:r>
      <w:proofErr w:type="spellStart"/>
      <w:r>
        <w:rPr>
          <w:rFonts w:ascii="Avenir Next" w:hAnsi="Avenir Next" w:cs="Arial"/>
          <w:color w:val="A5A5A5" w:themeColor="accent3"/>
          <w:sz w:val="22"/>
          <w:szCs w:val="22"/>
          <w:lang w:val="en-GB"/>
        </w:rPr>
        <w:t>collectivity</w:t>
      </w:r>
      <w:proofErr w:type="spellEnd"/>
      <w:r>
        <w:rPr>
          <w:rFonts w:ascii="Avenir Next" w:hAnsi="Avenir Next" w:cs="Arial"/>
          <w:color w:val="A5A5A5" w:themeColor="accent3"/>
          <w:sz w:val="22"/>
          <w:szCs w:val="22"/>
          <w:lang w:val="en-GB"/>
        </w:rPr>
        <w:t xml:space="preserve"> is whether substantially all the assets and liabilities of the debtor are dealt with in the proceeding, subject to local priorities and statutory exceptions, and to local exclusions relating to the rights of secured creditors (GEI at para 70). A proceeding should not fail the test of </w:t>
      </w:r>
      <w:proofErr w:type="spellStart"/>
      <w:r>
        <w:rPr>
          <w:rFonts w:ascii="Avenir Next" w:hAnsi="Avenir Next" w:cs="Arial"/>
          <w:color w:val="A5A5A5" w:themeColor="accent3"/>
          <w:sz w:val="22"/>
          <w:szCs w:val="22"/>
          <w:lang w:val="en-GB"/>
        </w:rPr>
        <w:t>collectivity</w:t>
      </w:r>
      <w:proofErr w:type="spellEnd"/>
      <w:r>
        <w:rPr>
          <w:rFonts w:ascii="Avenir Next" w:hAnsi="Avenir Next" w:cs="Arial"/>
          <w:color w:val="A5A5A5" w:themeColor="accent3"/>
          <w:sz w:val="22"/>
          <w:szCs w:val="22"/>
          <w:lang w:val="en-GB"/>
        </w:rPr>
        <w:t xml:space="preserve"> simply because a particular class of creditors’ rights are unaffected by it.</w:t>
      </w:r>
    </w:p>
    <w:p w14:paraId="0CBF9413" w14:textId="2CA05B78" w:rsidR="00473BC3" w:rsidRDefault="00473BC3" w:rsidP="008A7470">
      <w:pPr>
        <w:jc w:val="both"/>
        <w:rPr>
          <w:rFonts w:ascii="Avenir Next" w:hAnsi="Avenir Next" w:cs="Arial"/>
          <w:color w:val="A5A5A5" w:themeColor="accent3"/>
          <w:sz w:val="22"/>
          <w:szCs w:val="22"/>
          <w:lang w:val="en-GB"/>
        </w:rPr>
      </w:pPr>
    </w:p>
    <w:p w14:paraId="12199335" w14:textId="3FDB6D91" w:rsidR="00CF6EE7" w:rsidRPr="000860FD" w:rsidRDefault="00CF6EE7" w:rsidP="00CF6EE7">
      <w:pPr>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GB"/>
        </w:rPr>
        <w:lastRenderedPageBreak/>
        <w:t xml:space="preserve">The case of </w:t>
      </w:r>
      <w:r>
        <w:rPr>
          <w:rFonts w:ascii="Avenir Next" w:hAnsi="Avenir Next" w:cs="Arial"/>
          <w:i/>
          <w:iCs/>
          <w:color w:val="A5A5A5" w:themeColor="accent3"/>
          <w:sz w:val="22"/>
          <w:szCs w:val="22"/>
          <w:lang w:val="en-GB"/>
        </w:rPr>
        <w:t>R</w:t>
      </w:r>
      <w:r w:rsidRPr="00CF6EE7">
        <w:rPr>
          <w:rFonts w:ascii="Avenir Next" w:hAnsi="Avenir Next" w:cs="Arial"/>
          <w:i/>
          <w:iCs/>
          <w:color w:val="A5A5A5" w:themeColor="accent3"/>
          <w:sz w:val="22"/>
          <w:szCs w:val="22"/>
          <w:lang w:val="en-SG"/>
        </w:rPr>
        <w:t>e</w:t>
      </w:r>
      <w:r>
        <w:rPr>
          <w:rFonts w:ascii="Avenir Next" w:hAnsi="Avenir Next" w:cs="Arial"/>
          <w:i/>
          <w:iCs/>
          <w:color w:val="A5A5A5" w:themeColor="accent3"/>
          <w:sz w:val="22"/>
          <w:szCs w:val="22"/>
          <w:lang w:val="en-SG"/>
        </w:rPr>
        <w:t xml:space="preserve"> </w:t>
      </w:r>
      <w:proofErr w:type="spellStart"/>
      <w:r w:rsidRPr="00CF6EE7">
        <w:rPr>
          <w:rFonts w:ascii="Avenir Next" w:hAnsi="Avenir Next" w:cs="Arial"/>
          <w:i/>
          <w:iCs/>
          <w:color w:val="A5A5A5" w:themeColor="accent3"/>
          <w:sz w:val="22"/>
          <w:szCs w:val="22"/>
          <w:lang w:val="en-SG"/>
        </w:rPr>
        <w:t>Agrokor</w:t>
      </w:r>
      <w:proofErr w:type="spellEnd"/>
      <w:r>
        <w:rPr>
          <w:rFonts w:ascii="Avenir Next" w:hAnsi="Avenir Next" w:cs="Arial"/>
          <w:i/>
          <w:iCs/>
          <w:color w:val="A5A5A5" w:themeColor="accent3"/>
          <w:sz w:val="22"/>
          <w:szCs w:val="22"/>
          <w:lang w:val="en-SG"/>
        </w:rPr>
        <w:t xml:space="preserve"> </w:t>
      </w:r>
      <w:r w:rsidRPr="00CF6EE7">
        <w:rPr>
          <w:rFonts w:ascii="Avenir Next" w:hAnsi="Avenir Next" w:cs="Arial"/>
          <w:i/>
          <w:iCs/>
          <w:color w:val="A5A5A5" w:themeColor="accent3"/>
          <w:sz w:val="22"/>
          <w:szCs w:val="22"/>
          <w:lang w:val="en-SG"/>
        </w:rPr>
        <w:t>DD and in the matter of the Cross-Border Insolvency Regulations 2006 [2017] EWHC 2791 (Ch)</w:t>
      </w:r>
      <w:r>
        <w:rPr>
          <w:rFonts w:ascii="Avenir Next" w:hAnsi="Avenir Next" w:cs="Arial"/>
          <w:i/>
          <w:iCs/>
          <w:color w:val="A5A5A5" w:themeColor="accent3"/>
          <w:sz w:val="22"/>
          <w:szCs w:val="22"/>
          <w:lang w:val="en-SG"/>
        </w:rPr>
        <w:t xml:space="preserve"> </w:t>
      </w:r>
      <w:r>
        <w:rPr>
          <w:rFonts w:ascii="Avenir Next" w:hAnsi="Avenir Next" w:cs="Arial"/>
          <w:color w:val="A5A5A5" w:themeColor="accent3"/>
          <w:sz w:val="22"/>
          <w:szCs w:val="22"/>
          <w:lang w:val="en-SG"/>
        </w:rPr>
        <w:t xml:space="preserve">(“the </w:t>
      </w:r>
      <w:proofErr w:type="spellStart"/>
      <w:r>
        <w:rPr>
          <w:rFonts w:ascii="Avenir Next" w:hAnsi="Avenir Next" w:cs="Arial"/>
          <w:i/>
          <w:iCs/>
          <w:color w:val="A5A5A5" w:themeColor="accent3"/>
          <w:sz w:val="22"/>
          <w:szCs w:val="22"/>
          <w:lang w:val="en-SG"/>
        </w:rPr>
        <w:t>Agrokor</w:t>
      </w:r>
      <w:proofErr w:type="spellEnd"/>
      <w:r>
        <w:rPr>
          <w:rFonts w:ascii="Avenir Next" w:hAnsi="Avenir Next" w:cs="Arial"/>
          <w:i/>
          <w:iCs/>
          <w:color w:val="A5A5A5" w:themeColor="accent3"/>
          <w:sz w:val="22"/>
          <w:szCs w:val="22"/>
          <w:lang w:val="en-SG"/>
        </w:rPr>
        <w:t xml:space="preserve"> </w:t>
      </w:r>
      <w:r>
        <w:rPr>
          <w:rFonts w:ascii="Avenir Next" w:hAnsi="Avenir Next" w:cs="Arial"/>
          <w:color w:val="A5A5A5" w:themeColor="accent3"/>
          <w:sz w:val="22"/>
          <w:szCs w:val="22"/>
          <w:lang w:val="en-SG"/>
        </w:rPr>
        <w:t xml:space="preserve">case”) involved a consideration of the </w:t>
      </w:r>
      <w:proofErr w:type="spellStart"/>
      <w:r>
        <w:rPr>
          <w:rFonts w:ascii="Avenir Next" w:hAnsi="Avenir Next" w:cs="Arial"/>
          <w:color w:val="A5A5A5" w:themeColor="accent3"/>
          <w:sz w:val="22"/>
          <w:szCs w:val="22"/>
          <w:lang w:val="en-SG"/>
        </w:rPr>
        <w:t>collectivity</w:t>
      </w:r>
      <w:proofErr w:type="spellEnd"/>
      <w:r>
        <w:rPr>
          <w:rFonts w:ascii="Avenir Next" w:hAnsi="Avenir Next" w:cs="Arial"/>
          <w:color w:val="A5A5A5" w:themeColor="accent3"/>
          <w:sz w:val="22"/>
          <w:szCs w:val="22"/>
          <w:lang w:val="en-SG"/>
        </w:rPr>
        <w:t xml:space="preserve"> element.</w:t>
      </w:r>
      <w:r w:rsidR="0082026E">
        <w:rPr>
          <w:rFonts w:ascii="Avenir Next" w:hAnsi="Avenir Next" w:cs="Arial"/>
          <w:color w:val="A5A5A5" w:themeColor="accent3"/>
          <w:sz w:val="22"/>
          <w:szCs w:val="22"/>
          <w:lang w:val="en-SG"/>
        </w:rPr>
        <w:t xml:space="preserve"> Beyond the paragraphs of the GEI relied on above, the court also cited the views of </w:t>
      </w:r>
      <w:proofErr w:type="spellStart"/>
      <w:r w:rsidR="0082026E">
        <w:rPr>
          <w:rFonts w:ascii="Avenir Next" w:hAnsi="Avenir Next" w:cs="Arial"/>
          <w:color w:val="A5A5A5" w:themeColor="accent3"/>
          <w:sz w:val="22"/>
          <w:szCs w:val="22"/>
          <w:lang w:val="en-SG"/>
        </w:rPr>
        <w:t>Lewinson</w:t>
      </w:r>
      <w:proofErr w:type="spellEnd"/>
      <w:r w:rsidR="0082026E">
        <w:rPr>
          <w:rFonts w:ascii="Avenir Next" w:hAnsi="Avenir Next" w:cs="Arial"/>
          <w:color w:val="A5A5A5" w:themeColor="accent3"/>
          <w:sz w:val="22"/>
          <w:szCs w:val="22"/>
          <w:lang w:val="en-SG"/>
        </w:rPr>
        <w:t xml:space="preserve"> J in </w:t>
      </w:r>
      <w:proofErr w:type="spellStart"/>
      <w:r w:rsidR="0082026E">
        <w:rPr>
          <w:rFonts w:ascii="Avenir Next" w:hAnsi="Avenir Next" w:cs="Arial"/>
          <w:i/>
          <w:iCs/>
          <w:color w:val="A5A5A5" w:themeColor="accent3"/>
          <w:sz w:val="22"/>
          <w:szCs w:val="22"/>
          <w:lang w:val="en-SG"/>
        </w:rPr>
        <w:t>Standford</w:t>
      </w:r>
      <w:proofErr w:type="spellEnd"/>
      <w:r w:rsidR="0082026E">
        <w:rPr>
          <w:rFonts w:ascii="Avenir Next" w:hAnsi="Avenir Next" w:cs="Arial"/>
          <w:i/>
          <w:iCs/>
          <w:color w:val="A5A5A5" w:themeColor="accent3"/>
          <w:sz w:val="22"/>
          <w:szCs w:val="22"/>
          <w:lang w:val="en-SG"/>
        </w:rPr>
        <w:t xml:space="preserve"> International Bank </w:t>
      </w:r>
      <w:r w:rsidR="0082026E">
        <w:rPr>
          <w:rFonts w:ascii="Avenir Next" w:hAnsi="Avenir Next" w:cs="Arial"/>
          <w:color w:val="A5A5A5" w:themeColor="accent3"/>
          <w:sz w:val="22"/>
          <w:szCs w:val="22"/>
          <w:lang w:val="en-SG"/>
        </w:rPr>
        <w:t xml:space="preserve">[2009] EWHC 1441 (Ch), where he in turn relied on the US </w:t>
      </w:r>
      <w:proofErr w:type="spellStart"/>
      <w:r w:rsidR="0082026E">
        <w:rPr>
          <w:rFonts w:ascii="Avenir Next" w:hAnsi="Avenir Next" w:cs="Arial"/>
          <w:color w:val="A5A5A5" w:themeColor="accent3"/>
          <w:sz w:val="22"/>
          <w:szCs w:val="22"/>
          <w:lang w:val="en-SG"/>
        </w:rPr>
        <w:t>Bankrupcty</w:t>
      </w:r>
      <w:proofErr w:type="spellEnd"/>
      <w:r w:rsidR="0082026E">
        <w:rPr>
          <w:rFonts w:ascii="Avenir Next" w:hAnsi="Avenir Next" w:cs="Arial"/>
          <w:color w:val="A5A5A5" w:themeColor="accent3"/>
          <w:sz w:val="22"/>
          <w:szCs w:val="22"/>
          <w:lang w:val="en-SG"/>
        </w:rPr>
        <w:t xml:space="preserve"> Court’s (Nevada) view that “</w:t>
      </w:r>
      <w:r w:rsidR="0082026E" w:rsidRPr="0082026E">
        <w:rPr>
          <w:rFonts w:ascii="Avenir Next" w:hAnsi="Avenir Next" w:cs="Arial"/>
          <w:color w:val="A5A5A5" w:themeColor="accent3"/>
          <w:sz w:val="22"/>
          <w:szCs w:val="22"/>
        </w:rPr>
        <w:t xml:space="preserve">A collective proceeding is one that considers the </w:t>
      </w:r>
      <w:r w:rsidR="0082026E" w:rsidRPr="0082026E">
        <w:rPr>
          <w:rFonts w:ascii="Avenir Next" w:hAnsi="Avenir Next" w:cs="Arial"/>
          <w:i/>
          <w:iCs/>
          <w:color w:val="A5A5A5" w:themeColor="accent3"/>
          <w:sz w:val="22"/>
          <w:szCs w:val="22"/>
        </w:rPr>
        <w:t>rights and obligations of all creditors</w:t>
      </w:r>
      <w:r w:rsidR="0082026E" w:rsidRPr="0082026E">
        <w:rPr>
          <w:rFonts w:ascii="Avenir Next" w:hAnsi="Avenir Next" w:cs="Arial"/>
          <w:color w:val="A5A5A5" w:themeColor="accent3"/>
          <w:sz w:val="22"/>
          <w:szCs w:val="22"/>
        </w:rPr>
        <w:t xml:space="preserve">. This is in contrast to a receivership remedy instigated at the request and for the benefit of a </w:t>
      </w:r>
      <w:r w:rsidR="0082026E" w:rsidRPr="0082026E">
        <w:rPr>
          <w:rFonts w:ascii="Avenir Next" w:hAnsi="Avenir Next" w:cs="Arial"/>
          <w:i/>
          <w:iCs/>
          <w:color w:val="A5A5A5" w:themeColor="accent3"/>
          <w:sz w:val="22"/>
          <w:szCs w:val="22"/>
        </w:rPr>
        <w:t>single secured creditor</w:t>
      </w:r>
      <w:r w:rsidR="0082026E">
        <w:rPr>
          <w:rFonts w:ascii="Avenir Next" w:hAnsi="Avenir Next" w:cs="Arial"/>
          <w:color w:val="A5A5A5" w:themeColor="accent3"/>
          <w:sz w:val="22"/>
          <w:szCs w:val="22"/>
          <w:lang w:val="en-SG"/>
        </w:rPr>
        <w:t>”.</w:t>
      </w:r>
      <w:r w:rsidR="000860FD">
        <w:rPr>
          <w:rFonts w:ascii="Avenir Next" w:hAnsi="Avenir Next" w:cs="Arial"/>
          <w:color w:val="A5A5A5" w:themeColor="accent3"/>
          <w:sz w:val="22"/>
          <w:szCs w:val="22"/>
          <w:lang w:val="en-SG"/>
        </w:rPr>
        <w:t xml:space="preserve"> It was held in the </w:t>
      </w:r>
      <w:proofErr w:type="spellStart"/>
      <w:r w:rsidR="000860FD">
        <w:rPr>
          <w:rFonts w:ascii="Avenir Next" w:hAnsi="Avenir Next" w:cs="Arial"/>
          <w:i/>
          <w:iCs/>
          <w:color w:val="A5A5A5" w:themeColor="accent3"/>
          <w:sz w:val="22"/>
          <w:szCs w:val="22"/>
          <w:lang w:val="en-SG"/>
        </w:rPr>
        <w:t>Agrokor</w:t>
      </w:r>
      <w:proofErr w:type="spellEnd"/>
      <w:r w:rsidR="000860FD">
        <w:rPr>
          <w:rFonts w:ascii="Avenir Next" w:hAnsi="Avenir Next" w:cs="Arial"/>
          <w:color w:val="A5A5A5" w:themeColor="accent3"/>
          <w:sz w:val="22"/>
          <w:szCs w:val="22"/>
          <w:lang w:val="en-SG"/>
        </w:rPr>
        <w:t xml:space="preserve"> case, interestingly, that the proceeding in question was </w:t>
      </w:r>
      <w:r w:rsidR="000860FD">
        <w:rPr>
          <w:rFonts w:ascii="Avenir Next" w:hAnsi="Avenir Next" w:cs="Arial"/>
          <w:i/>
          <w:iCs/>
          <w:color w:val="A5A5A5" w:themeColor="accent3"/>
          <w:sz w:val="22"/>
          <w:szCs w:val="22"/>
          <w:lang w:val="en-SG"/>
        </w:rPr>
        <w:t xml:space="preserve">too </w:t>
      </w:r>
      <w:r w:rsidR="000860FD">
        <w:rPr>
          <w:rFonts w:ascii="Avenir Next" w:hAnsi="Avenir Next" w:cs="Arial"/>
          <w:color w:val="A5A5A5" w:themeColor="accent3"/>
          <w:sz w:val="22"/>
          <w:szCs w:val="22"/>
          <w:lang w:val="en-SG"/>
        </w:rPr>
        <w:t xml:space="preserve">collective (as it allowed creditors to also object to claims against </w:t>
      </w:r>
      <w:r w:rsidR="000860FD">
        <w:rPr>
          <w:rFonts w:ascii="Avenir Next" w:hAnsi="Avenir Next" w:cs="Arial"/>
          <w:i/>
          <w:iCs/>
          <w:color w:val="A5A5A5" w:themeColor="accent3"/>
          <w:sz w:val="22"/>
          <w:szCs w:val="22"/>
          <w:lang w:val="en-SG"/>
        </w:rPr>
        <w:t>another affiliated company</w:t>
      </w:r>
      <w:r w:rsidR="000860FD">
        <w:rPr>
          <w:rFonts w:ascii="Avenir Next" w:hAnsi="Avenir Next" w:cs="Arial"/>
          <w:color w:val="A5A5A5" w:themeColor="accent3"/>
          <w:sz w:val="22"/>
          <w:szCs w:val="22"/>
          <w:lang w:val="en-SG"/>
        </w:rPr>
        <w:t xml:space="preserve"> in the same proceedings).</w:t>
      </w:r>
    </w:p>
    <w:p w14:paraId="6E12BC3B" w14:textId="6F1C73A8" w:rsidR="00CF6EE7" w:rsidRDefault="00CF6EE7" w:rsidP="0082026E">
      <w:pPr>
        <w:jc w:val="both"/>
        <w:rPr>
          <w:rFonts w:ascii="Avenir Next" w:hAnsi="Avenir Next" w:cs="Arial"/>
          <w:b/>
          <w:bCs/>
          <w:color w:val="A5A5A5" w:themeColor="accent3"/>
          <w:sz w:val="22"/>
          <w:szCs w:val="22"/>
          <w:lang w:val="en-SG"/>
        </w:rPr>
      </w:pPr>
    </w:p>
    <w:p w14:paraId="318DF369" w14:textId="1A16B84A" w:rsidR="0082026E" w:rsidRDefault="0082026E" w:rsidP="0082026E">
      <w:pPr>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SG"/>
        </w:rPr>
        <w:t>On the present facts, it is likely that the Bank will meet this requirement. The proceedings appear to be fairly all-encompassing and wide-ranging in relation to the assets and also in terms of the creditors involved. DGF has a list of creditors’ claims amounting to about USD 1.113 billion.</w:t>
      </w:r>
      <w:r w:rsidR="000860FD">
        <w:rPr>
          <w:rFonts w:ascii="Avenir Next" w:hAnsi="Avenir Next" w:cs="Arial"/>
          <w:color w:val="A5A5A5" w:themeColor="accent3"/>
          <w:sz w:val="22"/>
          <w:szCs w:val="22"/>
          <w:lang w:val="en-SG"/>
        </w:rPr>
        <w:t xml:space="preserve"> Regard may also be had to the powers accorded to DGF as the liquidator, such as to “compile a register of creditor claims and to seek to satisfy those claims”, as well as the alienation of the bank’s property and funds and the prohibition against offsetting of counter-claims. These may be viewed as provision that protect and ‘freeze’ the ‘estate’ of the bank at the time the liquidation proceedings commence, which in turn serve the end of an orderly distribution of assets amongst the creditors. It thus appears that the </w:t>
      </w:r>
      <w:proofErr w:type="spellStart"/>
      <w:r w:rsidR="000860FD">
        <w:rPr>
          <w:rFonts w:ascii="Avenir Next" w:hAnsi="Avenir Next" w:cs="Arial"/>
          <w:color w:val="A5A5A5" w:themeColor="accent3"/>
          <w:sz w:val="22"/>
          <w:szCs w:val="22"/>
          <w:lang w:val="en-SG"/>
        </w:rPr>
        <w:t>collectivity</w:t>
      </w:r>
      <w:proofErr w:type="spellEnd"/>
      <w:r w:rsidR="000860FD">
        <w:rPr>
          <w:rFonts w:ascii="Avenir Next" w:hAnsi="Avenir Next" w:cs="Arial"/>
          <w:color w:val="A5A5A5" w:themeColor="accent3"/>
          <w:sz w:val="22"/>
          <w:szCs w:val="22"/>
          <w:lang w:val="en-SG"/>
        </w:rPr>
        <w:t xml:space="preserve"> requirement is met.</w:t>
      </w:r>
    </w:p>
    <w:p w14:paraId="71A01347" w14:textId="37CEAB81" w:rsidR="00473BC3" w:rsidRDefault="00473BC3" w:rsidP="008A7470">
      <w:pPr>
        <w:jc w:val="both"/>
        <w:rPr>
          <w:rFonts w:ascii="Avenir Next" w:hAnsi="Avenir Next" w:cs="Arial"/>
          <w:color w:val="A5A5A5" w:themeColor="accent3"/>
          <w:sz w:val="22"/>
          <w:szCs w:val="22"/>
          <w:lang w:val="en-GB"/>
        </w:rPr>
      </w:pPr>
    </w:p>
    <w:p w14:paraId="21A3CCBD" w14:textId="72C7FB88" w:rsidR="00854F4B" w:rsidRDefault="00473BC3"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(4)</w:t>
      </w:r>
      <w:r>
        <w:rPr>
          <w:rFonts w:ascii="Avenir Next" w:hAnsi="Avenir Next" w:cs="Arial"/>
          <w:color w:val="A5A5A5" w:themeColor="accent3"/>
          <w:sz w:val="22"/>
          <w:szCs w:val="22"/>
          <w:lang w:val="en-GB"/>
        </w:rPr>
        <w:t>: This criterion is met. The proceeding commenced in Country A.</w:t>
      </w:r>
    </w:p>
    <w:p w14:paraId="7D097884" w14:textId="6F615BF5" w:rsidR="00473BC3" w:rsidRDefault="00473BC3" w:rsidP="008A7470">
      <w:pPr>
        <w:jc w:val="both"/>
        <w:rPr>
          <w:rFonts w:ascii="Avenir Next" w:hAnsi="Avenir Next" w:cs="Arial"/>
          <w:color w:val="A5A5A5" w:themeColor="accent3"/>
          <w:sz w:val="22"/>
          <w:szCs w:val="22"/>
          <w:lang w:val="en-GB"/>
        </w:rPr>
      </w:pPr>
    </w:p>
    <w:p w14:paraId="0511B786" w14:textId="78572A2D" w:rsidR="00473BC3" w:rsidRDefault="00473BC3"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(5)</w:t>
      </w:r>
      <w:r>
        <w:rPr>
          <w:rFonts w:ascii="Avenir Next" w:hAnsi="Avenir Next" w:cs="Arial"/>
          <w:color w:val="A5A5A5" w:themeColor="accent3"/>
          <w:sz w:val="22"/>
          <w:szCs w:val="22"/>
          <w:lang w:val="en-GB"/>
        </w:rPr>
        <w:t>:</w:t>
      </w:r>
    </w:p>
    <w:p w14:paraId="42F9F3BD" w14:textId="6706E3BD" w:rsidR="00B2186E" w:rsidRPr="003E6A8A" w:rsidRDefault="003E6A8A" w:rsidP="008A7470">
      <w:pPr>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GB"/>
        </w:rPr>
        <w:t xml:space="preserve">It is likely that </w:t>
      </w:r>
      <w:r w:rsidR="000A35C3">
        <w:rPr>
          <w:rFonts w:ascii="Avenir Next" w:hAnsi="Avenir Next" w:cs="Arial"/>
          <w:color w:val="A5A5A5" w:themeColor="accent3"/>
          <w:sz w:val="22"/>
          <w:szCs w:val="22"/>
          <w:lang w:val="en-GB"/>
        </w:rPr>
        <w:t xml:space="preserve">the proceedings are conducted pursuant to a law relating to insolvency, </w:t>
      </w:r>
      <w:proofErr w:type="spellStart"/>
      <w:proofErr w:type="gramStart"/>
      <w:r w:rsidR="000A35C3">
        <w:rPr>
          <w:rFonts w:ascii="Avenir Next" w:hAnsi="Avenir Next" w:cs="Arial"/>
          <w:i/>
          <w:iCs/>
          <w:color w:val="A5A5A5" w:themeColor="accent3"/>
          <w:sz w:val="22"/>
          <w:szCs w:val="22"/>
          <w:lang w:val="en-GB"/>
        </w:rPr>
        <w:t>ie</w:t>
      </w:r>
      <w:proofErr w:type="spellEnd"/>
      <w:proofErr w:type="gramEnd"/>
      <w:r w:rsidR="000A35C3">
        <w:rPr>
          <w:rFonts w:ascii="Avenir Next" w:hAnsi="Avenir Next" w:cs="Arial"/>
          <w:i/>
          <w:iCs/>
          <w:color w:val="A5A5A5" w:themeColor="accent3"/>
          <w:sz w:val="22"/>
          <w:szCs w:val="22"/>
          <w:lang w:val="en-GB"/>
        </w:rPr>
        <w:t xml:space="preserve"> </w:t>
      </w:r>
      <w:r w:rsidR="000A35C3">
        <w:rPr>
          <w:rFonts w:ascii="Avenir Next" w:hAnsi="Avenir Next" w:cs="Arial"/>
          <w:color w:val="A5A5A5" w:themeColor="accent3"/>
          <w:sz w:val="22"/>
          <w:szCs w:val="22"/>
          <w:lang w:val="en-GB"/>
        </w:rPr>
        <w:t>the</w:t>
      </w:r>
      <w:r>
        <w:rPr>
          <w:rFonts w:ascii="Avenir Next" w:hAnsi="Avenir Next" w:cs="Arial"/>
          <w:color w:val="A5A5A5" w:themeColor="accent3"/>
          <w:sz w:val="22"/>
          <w:szCs w:val="22"/>
          <w:lang w:val="en-GB"/>
        </w:rPr>
        <w:t xml:space="preserve"> </w:t>
      </w:r>
      <w:r w:rsidR="000A35C3">
        <w:rPr>
          <w:rFonts w:ascii="Avenir Next" w:hAnsi="Avenir Next" w:cs="Arial"/>
          <w:color w:val="A5A5A5" w:themeColor="accent3"/>
          <w:sz w:val="22"/>
          <w:szCs w:val="22"/>
          <w:lang w:val="en-GB"/>
        </w:rPr>
        <w:t xml:space="preserve">LBBA Law and </w:t>
      </w:r>
      <w:r>
        <w:rPr>
          <w:rFonts w:ascii="Avenir Next" w:hAnsi="Avenir Next" w:cs="Arial"/>
          <w:color w:val="A5A5A5" w:themeColor="accent3"/>
          <w:sz w:val="22"/>
          <w:szCs w:val="22"/>
          <w:lang w:val="en-GB"/>
        </w:rPr>
        <w:t>DGF Law. This inquiry is less concerned about labels (GEI at para 73) as it is about whether the law “deals with or addresses insolvency or severe financial distress”. Notably, “[t]</w:t>
      </w:r>
      <w:r w:rsidRPr="003E6A8A">
        <w:rPr>
          <w:rFonts w:ascii="Avenir Next" w:hAnsi="Avenir Next" w:cs="Arial"/>
          <w:color w:val="A5A5A5" w:themeColor="accent3"/>
          <w:sz w:val="22"/>
          <w:szCs w:val="22"/>
          <w:lang w:val="en-SG"/>
        </w:rPr>
        <w:t xml:space="preserve">he purpose was to find a description that was sufficiently broad to encompass a range of insolvency rules irrespective of the type of statute or law in which they might be contained and </w:t>
      </w:r>
      <w:r w:rsidRPr="003E6A8A">
        <w:rPr>
          <w:rFonts w:ascii="Avenir Next" w:hAnsi="Avenir Next" w:cs="Arial"/>
          <w:i/>
          <w:iCs/>
          <w:color w:val="A5A5A5" w:themeColor="accent3"/>
          <w:sz w:val="22"/>
          <w:szCs w:val="22"/>
          <w:lang w:val="en-SG"/>
        </w:rPr>
        <w:t>irrespective of whether the law that contained the rules related exclusively to insolvenc</w:t>
      </w:r>
      <w:r w:rsidRPr="003E6A8A">
        <w:rPr>
          <w:rFonts w:ascii="Avenir Next" w:hAnsi="Avenir Next" w:cs="Arial"/>
          <w:color w:val="A5A5A5" w:themeColor="accent3"/>
          <w:sz w:val="22"/>
          <w:szCs w:val="22"/>
          <w:lang w:val="en-SG"/>
        </w:rPr>
        <w:t>y.</w:t>
      </w:r>
      <w:r>
        <w:rPr>
          <w:rFonts w:ascii="Avenir Next" w:hAnsi="Avenir Next" w:cs="Arial"/>
          <w:color w:val="A5A5A5" w:themeColor="accent3"/>
          <w:sz w:val="22"/>
          <w:szCs w:val="22"/>
          <w:lang w:val="en-GB"/>
        </w:rPr>
        <w:t>” (GEI at para 73).</w:t>
      </w:r>
    </w:p>
    <w:p w14:paraId="57F0798B" w14:textId="4501B711" w:rsidR="00B2186E" w:rsidRDefault="00B2186E" w:rsidP="008A7470">
      <w:pPr>
        <w:jc w:val="both"/>
        <w:rPr>
          <w:rFonts w:ascii="Avenir Next" w:hAnsi="Avenir Next" w:cs="Arial"/>
          <w:color w:val="A5A5A5" w:themeColor="accent3"/>
          <w:sz w:val="22"/>
          <w:szCs w:val="22"/>
          <w:lang w:val="en-GB"/>
        </w:rPr>
      </w:pPr>
    </w:p>
    <w:p w14:paraId="6DD8DC24" w14:textId="6FC5A8F1" w:rsidR="000C5381" w:rsidRDefault="000C5381"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LBBA Law appears to deal with “insolvency or severe financial distress” to the extent that it deals with the classification of insolvency under Article 76. </w:t>
      </w:r>
      <w:r w:rsidR="000A35C3">
        <w:rPr>
          <w:rFonts w:ascii="Avenir Next" w:hAnsi="Avenir Next" w:cs="Arial"/>
          <w:color w:val="A5A5A5" w:themeColor="accent3"/>
          <w:sz w:val="22"/>
          <w:szCs w:val="22"/>
          <w:lang w:val="en-GB"/>
        </w:rPr>
        <w:t xml:space="preserve">It is not clear whether the LBBA Law relates exclusively to insolvency, but that has already been expressed to be an irrelevant consideration. </w:t>
      </w:r>
    </w:p>
    <w:p w14:paraId="0CEF1533" w14:textId="4B0CEB84" w:rsidR="000A35C3" w:rsidRDefault="000A35C3" w:rsidP="008A7470">
      <w:pPr>
        <w:jc w:val="both"/>
        <w:rPr>
          <w:rFonts w:ascii="Avenir Next" w:hAnsi="Avenir Next" w:cs="Arial"/>
          <w:color w:val="A5A5A5" w:themeColor="accent3"/>
          <w:sz w:val="22"/>
          <w:szCs w:val="22"/>
          <w:lang w:val="en-GB"/>
        </w:rPr>
      </w:pPr>
    </w:p>
    <w:p w14:paraId="49B40450" w14:textId="0E971203" w:rsidR="000A35C3" w:rsidRDefault="000A35C3"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provisions of Art 34, 35, 36 and 77 of the DGF Law, to which the proceedings are commenced under, are also likely to relate to insolvency. For instance, </w:t>
      </w:r>
      <w:r w:rsidRPr="000A35C3">
        <w:rPr>
          <w:rFonts w:ascii="Avenir Next" w:hAnsi="Avenir Next" w:cs="Arial"/>
          <w:color w:val="A5A5A5" w:themeColor="accent3"/>
          <w:sz w:val="22"/>
          <w:szCs w:val="22"/>
          <w:lang w:val="en-GB"/>
        </w:rPr>
        <w:t>Article 36(5) establishes a moratorium which prevents the claims of depositors or creditors being satisfied; execution or enforcement against the bank’s assets; encumbrances and restrictions being created over the bank’s property; and interest being charged</w:t>
      </w:r>
      <w:r>
        <w:rPr>
          <w:rFonts w:ascii="Avenir Next" w:hAnsi="Avenir Next" w:cs="Arial"/>
          <w:color w:val="A5A5A5" w:themeColor="accent3"/>
          <w:sz w:val="22"/>
          <w:szCs w:val="22"/>
          <w:lang w:val="en-GB"/>
        </w:rPr>
        <w:t xml:space="preserve">, and Arts </w:t>
      </w:r>
      <w:r w:rsidRPr="000A35C3">
        <w:rPr>
          <w:rFonts w:ascii="Avenir Next" w:hAnsi="Avenir Next" w:cs="Arial"/>
          <w:color w:val="A5A5A5" w:themeColor="accent3"/>
          <w:sz w:val="22"/>
          <w:szCs w:val="22"/>
          <w:lang w:val="en-GB"/>
        </w:rPr>
        <w:t>35(5) and 36(1) provide that during provisional administration, the DGF shall have full and exclusive rights to manage the bank and all powers of the bank’s management</w:t>
      </w:r>
      <w:r>
        <w:rPr>
          <w:rFonts w:ascii="Avenir Next" w:hAnsi="Avenir Next" w:cs="Arial"/>
          <w:color w:val="A5A5A5" w:themeColor="accent3"/>
          <w:sz w:val="22"/>
          <w:szCs w:val="22"/>
          <w:lang w:val="en-GB"/>
        </w:rPr>
        <w:t xml:space="preserve">. These are </w:t>
      </w:r>
      <w:r>
        <w:rPr>
          <w:rFonts w:ascii="Avenir Next" w:hAnsi="Avenir Next" w:cs="Arial"/>
          <w:color w:val="A5A5A5" w:themeColor="accent3"/>
          <w:sz w:val="22"/>
          <w:szCs w:val="22"/>
          <w:lang w:val="en-GB"/>
        </w:rPr>
        <w:lastRenderedPageBreak/>
        <w:t>‘hallmarks’ of insolvency proceedings insofar as they envision a freezing of the status quo for the efficient, fair and orderly distribution of the bank’s assets.</w:t>
      </w:r>
    </w:p>
    <w:p w14:paraId="29584A33" w14:textId="77777777" w:rsidR="000C5381" w:rsidRDefault="000C5381" w:rsidP="008A7470">
      <w:pPr>
        <w:jc w:val="both"/>
        <w:rPr>
          <w:rFonts w:ascii="Avenir Next" w:hAnsi="Avenir Next" w:cs="Arial"/>
          <w:color w:val="A5A5A5" w:themeColor="accent3"/>
          <w:sz w:val="22"/>
          <w:szCs w:val="22"/>
          <w:lang w:val="en-GB"/>
        </w:rPr>
      </w:pPr>
    </w:p>
    <w:p w14:paraId="7FB15946" w14:textId="1D7F1C47" w:rsidR="00B2186E" w:rsidRDefault="00B2186E"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(6)</w:t>
      </w:r>
      <w:r>
        <w:rPr>
          <w:rFonts w:ascii="Avenir Next" w:hAnsi="Avenir Next" w:cs="Arial"/>
          <w:color w:val="A5A5A5" w:themeColor="accent3"/>
          <w:sz w:val="22"/>
          <w:szCs w:val="22"/>
          <w:lang w:val="en-GB"/>
        </w:rPr>
        <w:t>:</w:t>
      </w:r>
    </w:p>
    <w:p w14:paraId="1545CC9E" w14:textId="4EA16511" w:rsidR="00B2186E" w:rsidRDefault="000A35C3"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following guidance under the GEI is noted: </w:t>
      </w:r>
    </w:p>
    <w:p w14:paraId="39918606" w14:textId="3CB7EBE9" w:rsidR="000A35C3" w:rsidRDefault="000A35C3">
      <w:pPr>
        <w:pStyle w:val="ListParagraph"/>
        <w:numPr>
          <w:ilvl w:val="0"/>
          <w:numId w:val="20"/>
        </w:numPr>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GB"/>
        </w:rPr>
        <w:t>“</w:t>
      </w:r>
      <w:r w:rsidRPr="000A35C3">
        <w:rPr>
          <w:rFonts w:ascii="Avenir Next" w:hAnsi="Avenir Next" w:cs="Arial"/>
          <w:color w:val="A5A5A5" w:themeColor="accent3"/>
          <w:sz w:val="22"/>
          <w:szCs w:val="22"/>
          <w:lang w:val="en-SG"/>
        </w:rPr>
        <w:t xml:space="preserve">The Model Law specifies neither the level of control or supervision required to satisfy this aspect of the definition nor the time at which that control or supervision should arise. Although it is intended that the control or supervision required under subparagraph </w:t>
      </w:r>
      <w:r w:rsidRPr="000A35C3">
        <w:rPr>
          <w:rFonts w:ascii="Avenir Next" w:hAnsi="Avenir Next" w:cs="Arial"/>
          <w:i/>
          <w:iCs/>
          <w:color w:val="A5A5A5" w:themeColor="accent3"/>
          <w:sz w:val="22"/>
          <w:szCs w:val="22"/>
          <w:lang w:val="en-SG"/>
        </w:rPr>
        <w:t xml:space="preserve">(a) </w:t>
      </w:r>
      <w:r w:rsidRPr="000A35C3">
        <w:rPr>
          <w:rFonts w:ascii="Avenir Next" w:hAnsi="Avenir Next" w:cs="Arial"/>
          <w:color w:val="A5A5A5" w:themeColor="accent3"/>
          <w:sz w:val="22"/>
          <w:szCs w:val="22"/>
          <w:lang w:val="en-SG"/>
        </w:rPr>
        <w:t xml:space="preserve">should be formal in nature, it may be </w:t>
      </w:r>
      <w:r w:rsidRPr="000A35C3">
        <w:rPr>
          <w:rFonts w:ascii="Avenir Next" w:hAnsi="Avenir Next" w:cs="Arial"/>
          <w:b/>
          <w:bCs/>
          <w:i/>
          <w:iCs/>
          <w:color w:val="A5A5A5" w:themeColor="accent3"/>
          <w:sz w:val="22"/>
          <w:szCs w:val="22"/>
          <w:lang w:val="en-SG"/>
        </w:rPr>
        <w:t>potential rather than actual</w:t>
      </w:r>
      <w:r w:rsidRPr="000A35C3">
        <w:rPr>
          <w:rFonts w:ascii="Avenir Next" w:hAnsi="Avenir Next" w:cs="Arial"/>
          <w:color w:val="A5A5A5" w:themeColor="accent3"/>
          <w:sz w:val="22"/>
          <w:szCs w:val="22"/>
          <w:lang w:val="en-SG"/>
        </w:rPr>
        <w:t xml:space="preserve">. As noted in paragraph 71, a proceed- </w:t>
      </w:r>
      <w:proofErr w:type="spellStart"/>
      <w:r w:rsidRPr="000A35C3">
        <w:rPr>
          <w:rFonts w:ascii="Avenir Next" w:hAnsi="Avenir Next" w:cs="Arial"/>
          <w:color w:val="A5A5A5" w:themeColor="accent3"/>
          <w:sz w:val="22"/>
          <w:szCs w:val="22"/>
          <w:lang w:val="en-SG"/>
        </w:rPr>
        <w:t>ing</w:t>
      </w:r>
      <w:proofErr w:type="spellEnd"/>
      <w:r w:rsidRPr="000A35C3">
        <w:rPr>
          <w:rFonts w:ascii="Avenir Next" w:hAnsi="Avenir Next" w:cs="Arial"/>
          <w:color w:val="A5A5A5" w:themeColor="accent3"/>
          <w:sz w:val="22"/>
          <w:szCs w:val="22"/>
          <w:lang w:val="en-SG"/>
        </w:rPr>
        <w:t xml:space="preserve"> in which the debtor retains some measure of control over its assets, albeit under court supervision, such as a debtor-in-possession would satisfy this requirement.</w:t>
      </w:r>
      <w:r>
        <w:rPr>
          <w:rFonts w:ascii="Avenir Next" w:hAnsi="Avenir Next" w:cs="Arial"/>
          <w:color w:val="A5A5A5" w:themeColor="accent3"/>
          <w:sz w:val="22"/>
          <w:szCs w:val="22"/>
          <w:lang w:val="en-SG"/>
        </w:rPr>
        <w:t xml:space="preserve"> (at para 74)</w:t>
      </w:r>
    </w:p>
    <w:p w14:paraId="21B3DA64" w14:textId="4F7A2122" w:rsidR="000A35C3" w:rsidRDefault="000A35C3">
      <w:pPr>
        <w:pStyle w:val="ListParagraph"/>
        <w:numPr>
          <w:ilvl w:val="0"/>
          <w:numId w:val="20"/>
        </w:numPr>
        <w:jc w:val="both"/>
        <w:rPr>
          <w:rFonts w:ascii="Avenir Next" w:hAnsi="Avenir Next" w:cs="Arial"/>
          <w:color w:val="A5A5A5" w:themeColor="accent3"/>
          <w:sz w:val="22"/>
          <w:szCs w:val="22"/>
          <w:lang w:val="en-SG"/>
        </w:rPr>
      </w:pPr>
      <w:r w:rsidRPr="000A35C3">
        <w:rPr>
          <w:rFonts w:ascii="Avenir Next" w:hAnsi="Avenir Next" w:cs="Arial"/>
          <w:color w:val="A5A5A5" w:themeColor="accent3"/>
          <w:sz w:val="22"/>
          <w:szCs w:val="22"/>
          <w:lang w:val="en-SG"/>
        </w:rPr>
        <w:t xml:space="preserve">Control or supervision may be exercised not only directly by the court but also by an insolvency representative where, for example, the insolvency representative is subject to control or supervision by the court. </w:t>
      </w:r>
      <w:r w:rsidRPr="00B41487">
        <w:rPr>
          <w:rFonts w:ascii="Avenir Next" w:hAnsi="Avenir Next" w:cs="Arial"/>
          <w:b/>
          <w:bCs/>
          <w:color w:val="A5A5A5" w:themeColor="accent3"/>
          <w:sz w:val="22"/>
          <w:szCs w:val="22"/>
          <w:lang w:val="en-SG"/>
        </w:rPr>
        <w:t>Mere supervision of an insolvency representative by a licensing authority</w:t>
      </w:r>
      <w:r w:rsidRPr="000A35C3">
        <w:rPr>
          <w:rFonts w:ascii="Avenir Next" w:hAnsi="Avenir Next" w:cs="Arial"/>
          <w:color w:val="A5A5A5" w:themeColor="accent3"/>
          <w:sz w:val="22"/>
          <w:szCs w:val="22"/>
          <w:lang w:val="en-SG"/>
        </w:rPr>
        <w:t xml:space="preserve"> </w:t>
      </w:r>
      <w:r w:rsidRPr="00B41487">
        <w:rPr>
          <w:rFonts w:ascii="Avenir Next" w:hAnsi="Avenir Next" w:cs="Arial"/>
          <w:b/>
          <w:bCs/>
          <w:color w:val="A5A5A5" w:themeColor="accent3"/>
          <w:sz w:val="22"/>
          <w:szCs w:val="22"/>
          <w:lang w:val="en-SG"/>
        </w:rPr>
        <w:t>would not be sufficient</w:t>
      </w:r>
      <w:r w:rsidRPr="000A35C3">
        <w:rPr>
          <w:rFonts w:ascii="Avenir Next" w:hAnsi="Avenir Next" w:cs="Arial"/>
          <w:color w:val="A5A5A5" w:themeColor="accent3"/>
          <w:sz w:val="22"/>
          <w:szCs w:val="22"/>
          <w:lang w:val="en-SG"/>
        </w:rPr>
        <w:t xml:space="preserve">. </w:t>
      </w:r>
      <w:r w:rsidR="00B41487">
        <w:rPr>
          <w:rFonts w:ascii="Avenir Next" w:hAnsi="Avenir Next" w:cs="Arial"/>
          <w:color w:val="A5A5A5" w:themeColor="accent3"/>
          <w:sz w:val="22"/>
          <w:szCs w:val="22"/>
          <w:lang w:val="en-SG"/>
        </w:rPr>
        <w:t>(at para 74)</w:t>
      </w:r>
    </w:p>
    <w:p w14:paraId="0FB71BEF" w14:textId="03AF3E79" w:rsidR="00B41487" w:rsidRPr="00B41487" w:rsidRDefault="00B41487">
      <w:pPr>
        <w:pStyle w:val="ListParagraph"/>
        <w:numPr>
          <w:ilvl w:val="0"/>
          <w:numId w:val="20"/>
        </w:numPr>
        <w:jc w:val="both"/>
        <w:rPr>
          <w:rFonts w:ascii="Avenir Next" w:hAnsi="Avenir Next" w:cs="Arial"/>
          <w:color w:val="A5A5A5" w:themeColor="accent3"/>
          <w:sz w:val="22"/>
          <w:szCs w:val="22"/>
          <w:lang w:val="en-SG"/>
        </w:rPr>
      </w:pPr>
      <w:r w:rsidRPr="00B41487">
        <w:rPr>
          <w:rFonts w:ascii="Avenir Next" w:hAnsi="Avenir Next" w:cs="Arial"/>
          <w:color w:val="A5A5A5" w:themeColor="accent3"/>
          <w:sz w:val="22"/>
          <w:szCs w:val="22"/>
          <w:lang w:val="en-SG"/>
        </w:rPr>
        <w:t xml:space="preserve">Subparagraph </w:t>
      </w:r>
      <w:r w:rsidRPr="00B41487">
        <w:rPr>
          <w:rFonts w:ascii="Avenir Next" w:hAnsi="Avenir Next" w:cs="Arial"/>
          <w:i/>
          <w:iCs/>
          <w:color w:val="A5A5A5" w:themeColor="accent3"/>
          <w:sz w:val="22"/>
          <w:szCs w:val="22"/>
          <w:lang w:val="en-SG"/>
        </w:rPr>
        <w:t xml:space="preserve">(a) </w:t>
      </w:r>
      <w:r w:rsidRPr="00B41487">
        <w:rPr>
          <w:rFonts w:ascii="Avenir Next" w:hAnsi="Avenir Next" w:cs="Arial"/>
          <w:color w:val="A5A5A5" w:themeColor="accent3"/>
          <w:sz w:val="22"/>
          <w:szCs w:val="22"/>
          <w:lang w:val="en-SG"/>
        </w:rPr>
        <w:t xml:space="preserve">of article 2 makes it clear that both assets and affairs of the debtor should be subject to control or supervision; it is not sufficient if only one or the other are covered by the foreign proceeding. </w:t>
      </w:r>
      <w:r>
        <w:rPr>
          <w:rFonts w:ascii="Avenir Next" w:hAnsi="Avenir Next" w:cs="Arial"/>
          <w:color w:val="A5A5A5" w:themeColor="accent3"/>
          <w:sz w:val="22"/>
          <w:szCs w:val="22"/>
          <w:lang w:val="en-SG"/>
        </w:rPr>
        <w:t>“ (at para 76)</w:t>
      </w:r>
    </w:p>
    <w:p w14:paraId="5E5D006D" w14:textId="4A5456B0" w:rsidR="00B41487" w:rsidRDefault="00B41487" w:rsidP="00B41487">
      <w:pPr>
        <w:jc w:val="both"/>
        <w:rPr>
          <w:rFonts w:ascii="Avenir Next" w:hAnsi="Avenir Next" w:cs="Arial"/>
          <w:color w:val="A5A5A5" w:themeColor="accent3"/>
          <w:sz w:val="22"/>
          <w:szCs w:val="22"/>
          <w:lang w:val="en-SG"/>
        </w:rPr>
      </w:pPr>
    </w:p>
    <w:p w14:paraId="208E7708" w14:textId="72CA4673" w:rsidR="00B41487" w:rsidRPr="00B41487" w:rsidRDefault="00B41487" w:rsidP="00B41487">
      <w:pPr>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SG"/>
        </w:rPr>
        <w:t xml:space="preserve">It was noted in the </w:t>
      </w:r>
      <w:proofErr w:type="spellStart"/>
      <w:r>
        <w:rPr>
          <w:rFonts w:ascii="Avenir Next" w:hAnsi="Avenir Next" w:cs="Arial"/>
          <w:i/>
          <w:iCs/>
          <w:color w:val="A5A5A5" w:themeColor="accent3"/>
          <w:sz w:val="22"/>
          <w:szCs w:val="22"/>
          <w:lang w:val="en-SG"/>
        </w:rPr>
        <w:t>Agrokor</w:t>
      </w:r>
      <w:proofErr w:type="spellEnd"/>
      <w:r>
        <w:rPr>
          <w:rFonts w:ascii="Avenir Next" w:hAnsi="Avenir Next" w:cs="Arial"/>
          <w:color w:val="A5A5A5" w:themeColor="accent3"/>
          <w:sz w:val="22"/>
          <w:szCs w:val="22"/>
          <w:lang w:val="en-SG"/>
        </w:rPr>
        <w:t xml:space="preserve"> case the observations of the US District Court in </w:t>
      </w:r>
      <w:r>
        <w:rPr>
          <w:rFonts w:ascii="Avenir Next" w:hAnsi="Avenir Next" w:cs="Arial"/>
          <w:i/>
          <w:iCs/>
          <w:color w:val="A5A5A5" w:themeColor="accent3"/>
          <w:sz w:val="22"/>
          <w:szCs w:val="22"/>
          <w:lang w:val="en-SG"/>
        </w:rPr>
        <w:t xml:space="preserve">Re </w:t>
      </w:r>
      <w:proofErr w:type="spellStart"/>
      <w:r>
        <w:rPr>
          <w:rFonts w:ascii="Avenir Next" w:hAnsi="Avenir Next" w:cs="Arial"/>
          <w:i/>
          <w:iCs/>
          <w:color w:val="A5A5A5" w:themeColor="accent3"/>
          <w:sz w:val="22"/>
          <w:szCs w:val="22"/>
          <w:lang w:val="en-SG"/>
        </w:rPr>
        <w:t>Ashapura</w:t>
      </w:r>
      <w:proofErr w:type="spellEnd"/>
      <w:r>
        <w:rPr>
          <w:rFonts w:ascii="Avenir Next" w:hAnsi="Avenir Next" w:cs="Arial"/>
          <w:i/>
          <w:iCs/>
          <w:color w:val="A5A5A5" w:themeColor="accent3"/>
          <w:sz w:val="22"/>
          <w:szCs w:val="22"/>
          <w:lang w:val="en-SG"/>
        </w:rPr>
        <w:t xml:space="preserve"> </w:t>
      </w:r>
      <w:proofErr w:type="spellStart"/>
      <w:r>
        <w:rPr>
          <w:rFonts w:ascii="Avenir Next" w:hAnsi="Avenir Next" w:cs="Arial"/>
          <w:i/>
          <w:iCs/>
          <w:color w:val="A5A5A5" w:themeColor="accent3"/>
          <w:sz w:val="22"/>
          <w:szCs w:val="22"/>
          <w:lang w:val="en-SG"/>
        </w:rPr>
        <w:t>Minechem</w:t>
      </w:r>
      <w:proofErr w:type="spellEnd"/>
      <w:r>
        <w:rPr>
          <w:rFonts w:ascii="Avenir Next" w:hAnsi="Avenir Next" w:cs="Arial"/>
          <w:i/>
          <w:iCs/>
          <w:color w:val="A5A5A5" w:themeColor="accent3"/>
          <w:sz w:val="22"/>
          <w:szCs w:val="22"/>
          <w:lang w:val="en-SG"/>
        </w:rPr>
        <w:t xml:space="preserve"> Ltd </w:t>
      </w:r>
      <w:r>
        <w:rPr>
          <w:rFonts w:ascii="Avenir Next" w:hAnsi="Avenir Next" w:cs="Arial"/>
          <w:color w:val="A5A5A5" w:themeColor="accent3"/>
          <w:sz w:val="22"/>
          <w:szCs w:val="22"/>
          <w:lang w:val="en-SG"/>
        </w:rPr>
        <w:t>480 BR 129 (2012) that “</w:t>
      </w:r>
      <w:r w:rsidRPr="00B41487">
        <w:rPr>
          <w:rFonts w:ascii="Avenir Next" w:hAnsi="Avenir Next" w:cs="Arial"/>
          <w:color w:val="A5A5A5" w:themeColor="accent3"/>
          <w:sz w:val="22"/>
          <w:szCs w:val="22"/>
          <w:lang w:val="en-SG"/>
        </w:rPr>
        <w:t>Supervision or control of the company's affairs is not a demanding standard. The foreign court need not control the day to day operations of the debtor. It is sufficient, for instance, that the body monitor compliance with the repayment plan negotiated between the debtor and creditors. One court has held that the mere fact that a commission was granted authority from a Spanish court to recover a set off from an arbitration proceeding for distribution to creditors 'plainly demonstrate[d] that the [court] maintains control of [both the debtor's] assets and affairs'. By contrast, the fact that actions in a foreign court related to the proceeding are typically initiated by interested parties and that liquidators proceed with most of their duties without court involvement was found 'not [to] undermine the … court's supervisory role</w:t>
      </w:r>
      <w:r>
        <w:rPr>
          <w:rFonts w:ascii="Avenir Next" w:hAnsi="Avenir Next" w:cs="Arial"/>
          <w:color w:val="A5A5A5" w:themeColor="accent3"/>
          <w:sz w:val="22"/>
          <w:szCs w:val="22"/>
          <w:lang w:val="en-SG"/>
        </w:rPr>
        <w:t>”</w:t>
      </w:r>
    </w:p>
    <w:p w14:paraId="05D76038" w14:textId="77777777" w:rsidR="00B41487" w:rsidRPr="00B41487" w:rsidRDefault="00B41487" w:rsidP="00B41487">
      <w:pPr>
        <w:jc w:val="both"/>
        <w:rPr>
          <w:rFonts w:ascii="Avenir Next" w:hAnsi="Avenir Next" w:cs="Arial"/>
          <w:color w:val="A5A5A5" w:themeColor="accent3"/>
          <w:sz w:val="22"/>
          <w:szCs w:val="22"/>
          <w:lang w:val="en-SG"/>
        </w:rPr>
      </w:pPr>
    </w:p>
    <w:p w14:paraId="20AF21F5" w14:textId="6F204F97" w:rsidR="000A35C3" w:rsidRPr="00520034" w:rsidRDefault="00B41487" w:rsidP="00B41487">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There is little in the present fact scenario to indicate the level of court supervision in the proceedings, though it is</w:t>
      </w:r>
      <w:r w:rsidR="00520034">
        <w:rPr>
          <w:rFonts w:ascii="Avenir Next" w:hAnsi="Avenir Next" w:cs="Arial"/>
          <w:color w:val="A5A5A5" w:themeColor="accent3"/>
          <w:sz w:val="22"/>
          <w:szCs w:val="22"/>
          <w:lang w:val="en-GB"/>
        </w:rPr>
        <w:t xml:space="preserve"> noted that this is a low burden (</w:t>
      </w:r>
      <w:proofErr w:type="spellStart"/>
      <w:r w:rsidR="00520034">
        <w:rPr>
          <w:rFonts w:ascii="Avenir Next" w:hAnsi="Avenir Next" w:cs="Arial"/>
          <w:i/>
          <w:iCs/>
          <w:color w:val="A5A5A5" w:themeColor="accent3"/>
          <w:sz w:val="22"/>
          <w:szCs w:val="22"/>
          <w:lang w:val="en-GB"/>
        </w:rPr>
        <w:t>Ashapura</w:t>
      </w:r>
      <w:proofErr w:type="spellEnd"/>
      <w:r w:rsidR="00520034">
        <w:rPr>
          <w:rFonts w:ascii="Avenir Next" w:hAnsi="Avenir Next" w:cs="Arial"/>
          <w:color w:val="A5A5A5" w:themeColor="accent3"/>
          <w:sz w:val="22"/>
          <w:szCs w:val="22"/>
          <w:lang w:val="en-GB"/>
        </w:rPr>
        <w:t xml:space="preserve"> at p 144) and that it need only be a </w:t>
      </w:r>
      <w:r w:rsidR="00520034">
        <w:rPr>
          <w:rFonts w:ascii="Avenir Next" w:hAnsi="Avenir Next" w:cs="Arial"/>
          <w:i/>
          <w:iCs/>
          <w:color w:val="A5A5A5" w:themeColor="accent3"/>
          <w:sz w:val="22"/>
          <w:szCs w:val="22"/>
          <w:lang w:val="en-GB"/>
        </w:rPr>
        <w:t>potential</w:t>
      </w:r>
      <w:r w:rsidR="00520034">
        <w:rPr>
          <w:rFonts w:ascii="Avenir Next" w:hAnsi="Avenir Next" w:cs="Arial"/>
          <w:color w:val="A5A5A5" w:themeColor="accent3"/>
          <w:sz w:val="22"/>
          <w:szCs w:val="22"/>
          <w:lang w:val="en-GB"/>
        </w:rPr>
        <w:t xml:space="preserve"> form of control or supervision. Some concerns may arise in relation to the level of control the National Bank (presumably an administrative body) has in the process (which is natural given the </w:t>
      </w:r>
      <w:proofErr w:type="gramStart"/>
      <w:r w:rsidR="00520034">
        <w:rPr>
          <w:rFonts w:ascii="Avenir Next" w:hAnsi="Avenir Next" w:cs="Arial"/>
          <w:color w:val="A5A5A5" w:themeColor="accent3"/>
          <w:sz w:val="22"/>
          <w:szCs w:val="22"/>
          <w:lang w:val="en-GB"/>
        </w:rPr>
        <w:t>wide ranging</w:t>
      </w:r>
      <w:proofErr w:type="gramEnd"/>
      <w:r w:rsidR="00520034">
        <w:rPr>
          <w:rFonts w:ascii="Avenir Next" w:hAnsi="Avenir Next" w:cs="Arial"/>
          <w:color w:val="A5A5A5" w:themeColor="accent3"/>
          <w:sz w:val="22"/>
          <w:szCs w:val="22"/>
          <w:lang w:val="en-GB"/>
        </w:rPr>
        <w:t xml:space="preserve"> societal implications in the event of bank fraud or default), though it must be noted that this is not determinative of the analysis. In </w:t>
      </w:r>
      <w:proofErr w:type="spellStart"/>
      <w:r w:rsidR="00520034">
        <w:rPr>
          <w:rFonts w:ascii="Avenir Next" w:hAnsi="Avenir Next" w:cs="Arial"/>
          <w:i/>
          <w:iCs/>
          <w:color w:val="A5A5A5" w:themeColor="accent3"/>
          <w:sz w:val="22"/>
          <w:szCs w:val="22"/>
          <w:lang w:val="en-GB"/>
        </w:rPr>
        <w:t>Agrokor</w:t>
      </w:r>
      <w:proofErr w:type="spellEnd"/>
      <w:r w:rsidR="00520034">
        <w:rPr>
          <w:rFonts w:ascii="Avenir Next" w:hAnsi="Avenir Next" w:cs="Arial"/>
          <w:color w:val="A5A5A5" w:themeColor="accent3"/>
          <w:sz w:val="22"/>
          <w:szCs w:val="22"/>
          <w:lang w:val="en-GB"/>
        </w:rPr>
        <w:t xml:space="preserve">, the court had to deal with the “Extraordinary </w:t>
      </w:r>
      <w:proofErr w:type="spellStart"/>
      <w:r w:rsidR="00520034">
        <w:rPr>
          <w:rFonts w:ascii="Avenir Next" w:hAnsi="Avenir Next" w:cs="Arial"/>
          <w:color w:val="A5A5A5" w:themeColor="accent3"/>
          <w:sz w:val="22"/>
          <w:szCs w:val="22"/>
          <w:lang w:val="en-GB"/>
        </w:rPr>
        <w:t>Adminstration</w:t>
      </w:r>
      <w:proofErr w:type="spellEnd"/>
      <w:r w:rsidR="00520034">
        <w:rPr>
          <w:rFonts w:ascii="Avenir Next" w:hAnsi="Avenir Next" w:cs="Arial"/>
          <w:color w:val="A5A5A5" w:themeColor="accent3"/>
          <w:sz w:val="22"/>
          <w:szCs w:val="22"/>
          <w:lang w:val="en-GB"/>
        </w:rPr>
        <w:t xml:space="preserve"> Law”. Despite the fact that the law gave “</w:t>
      </w:r>
      <w:r w:rsidR="00520034" w:rsidRPr="00520034">
        <w:rPr>
          <w:rFonts w:ascii="Avenir Next" w:hAnsi="Avenir Next" w:cs="Arial"/>
          <w:color w:val="A5A5A5" w:themeColor="accent3"/>
          <w:sz w:val="22"/>
          <w:szCs w:val="22"/>
        </w:rPr>
        <w:t>significant powers to the government of Croatia</w:t>
      </w:r>
      <w:r w:rsidR="00520034">
        <w:rPr>
          <w:rFonts w:ascii="Avenir Next" w:hAnsi="Avenir Next" w:cs="Arial"/>
          <w:color w:val="A5A5A5" w:themeColor="accent3"/>
          <w:sz w:val="22"/>
          <w:szCs w:val="22"/>
          <w:lang w:val="en-GB"/>
        </w:rPr>
        <w:t xml:space="preserve">”, this was ultimately an irrelevant consideration </w:t>
      </w:r>
    </w:p>
    <w:p w14:paraId="2C13A78B" w14:textId="77777777" w:rsidR="003E6A8A" w:rsidRDefault="003E6A8A" w:rsidP="008A7470">
      <w:pPr>
        <w:jc w:val="both"/>
        <w:rPr>
          <w:rFonts w:ascii="Avenir Next" w:hAnsi="Avenir Next" w:cs="Arial"/>
          <w:color w:val="A5A5A5" w:themeColor="accent3"/>
          <w:sz w:val="22"/>
          <w:szCs w:val="22"/>
          <w:lang w:val="en-GB"/>
        </w:rPr>
      </w:pPr>
    </w:p>
    <w:p w14:paraId="4D30ED7F" w14:textId="3F73A8BB" w:rsidR="00B2186E" w:rsidRDefault="00B2186E"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(7)</w:t>
      </w:r>
      <w:r>
        <w:rPr>
          <w:rFonts w:ascii="Avenir Next" w:hAnsi="Avenir Next" w:cs="Arial"/>
          <w:color w:val="A5A5A5" w:themeColor="accent3"/>
          <w:sz w:val="22"/>
          <w:szCs w:val="22"/>
          <w:lang w:val="en-GB"/>
        </w:rPr>
        <w:t>:</w:t>
      </w:r>
    </w:p>
    <w:p w14:paraId="3E0C4745" w14:textId="6C3B32A2" w:rsidR="000850D6" w:rsidRDefault="00B2186E" w:rsidP="000850D6">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bank’s liquidation likely meets this requirement of being for the purpose of reorganisation or liquidation (in this case, the latter). </w:t>
      </w:r>
      <w:r w:rsidR="000850D6">
        <w:rPr>
          <w:rFonts w:ascii="Avenir Next" w:hAnsi="Avenir Next" w:cs="Arial"/>
          <w:color w:val="A5A5A5" w:themeColor="accent3"/>
          <w:sz w:val="22"/>
          <w:szCs w:val="22"/>
          <w:lang w:val="en-GB"/>
        </w:rPr>
        <w:t xml:space="preserve">Here it is noted in the GEI at para 77 that: </w:t>
      </w:r>
    </w:p>
    <w:p w14:paraId="238E932E" w14:textId="77777777" w:rsidR="000850D6" w:rsidRDefault="000850D6" w:rsidP="000850D6">
      <w:pPr>
        <w:jc w:val="both"/>
        <w:rPr>
          <w:rFonts w:ascii="Avenir Next" w:hAnsi="Avenir Next" w:cs="Arial"/>
          <w:color w:val="A5A5A5" w:themeColor="accent3"/>
          <w:sz w:val="22"/>
          <w:szCs w:val="22"/>
          <w:lang w:val="en-GB"/>
        </w:rPr>
      </w:pPr>
    </w:p>
    <w:p w14:paraId="60DECDB6" w14:textId="2FB11E0F" w:rsidR="000850D6" w:rsidRDefault="000850D6" w:rsidP="000850D6">
      <w:pPr>
        <w:ind w:left="720"/>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GB"/>
        </w:rPr>
        <w:t>“</w:t>
      </w:r>
      <w:r w:rsidRPr="000850D6">
        <w:rPr>
          <w:rFonts w:ascii="Avenir Next" w:hAnsi="Avenir Next" w:cs="Arial"/>
          <w:color w:val="A5A5A5" w:themeColor="accent3"/>
          <w:sz w:val="22"/>
          <w:szCs w:val="22"/>
          <w:lang w:val="en-SG"/>
        </w:rPr>
        <w:t xml:space="preserve">Some types of proceeding that may satisfy certain elements of the definition of foreign proceeding in article 2, subparagraph </w:t>
      </w:r>
      <w:r w:rsidRPr="000850D6">
        <w:rPr>
          <w:rFonts w:ascii="Avenir Next" w:hAnsi="Avenir Next" w:cs="Arial"/>
          <w:i/>
          <w:iCs/>
          <w:color w:val="A5A5A5" w:themeColor="accent3"/>
          <w:sz w:val="22"/>
          <w:szCs w:val="22"/>
          <w:lang w:val="en-SG"/>
        </w:rPr>
        <w:t xml:space="preserve">(a) </w:t>
      </w:r>
      <w:r w:rsidRPr="000850D6">
        <w:rPr>
          <w:rFonts w:ascii="Avenir Next" w:hAnsi="Avenir Next" w:cs="Arial"/>
          <w:color w:val="A5A5A5" w:themeColor="accent3"/>
          <w:sz w:val="22"/>
          <w:szCs w:val="22"/>
          <w:lang w:val="en-SG"/>
        </w:rPr>
        <w:t xml:space="preserve">may nevertheless be ineligible for recognition because they are not for the stated purpose of reorganization or liquidation. They may take various forms, including proceedings that are designed to prevent dissipation and waste, rather than to liquidate or reorganize the insolvency estate; proceedings designed to prevent detriment to investors rather than to all creditors (in which case the proceeding is also likely not to be a collective proceeding); or proceedings in which the powers conferred and the duties imposed upon the foreign representative are more limited than the powers or duties typically associated with liquidation or reorganization, for example, the power to do no more than preserve assets. </w:t>
      </w:r>
    </w:p>
    <w:p w14:paraId="531CE29A" w14:textId="6F60CB13" w:rsidR="00B2186E" w:rsidRDefault="00B2186E" w:rsidP="008A7470">
      <w:pPr>
        <w:jc w:val="both"/>
        <w:rPr>
          <w:rFonts w:ascii="Avenir Next" w:hAnsi="Avenir Next" w:cs="Arial"/>
          <w:color w:val="A5A5A5" w:themeColor="accent3"/>
          <w:sz w:val="22"/>
          <w:szCs w:val="22"/>
          <w:lang w:val="en-GB"/>
        </w:rPr>
      </w:pPr>
    </w:p>
    <w:p w14:paraId="6F5B90E9" w14:textId="44191AE0" w:rsidR="000850D6" w:rsidRDefault="000850D6"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Turning to the facts, one issue that may arise is whether the restrictions of certain powers of Ms G under Resolution 1513 may be such that the “purpose” of the proceedings may be construed as to preserve assets rather than for the liquidation of the bank. One notable restriction is that against “the power to arrange for the sale of the Bank’s assets”. However, it is unlikely that this will be a considerable issue as such powers remain under the remit of DGF as the formally appointed liquidator; and </w:t>
      </w:r>
      <w:r w:rsidR="003E6A8A">
        <w:rPr>
          <w:rFonts w:ascii="Avenir Next" w:hAnsi="Avenir Next" w:cs="Arial"/>
          <w:color w:val="A5A5A5" w:themeColor="accent3"/>
          <w:sz w:val="22"/>
          <w:szCs w:val="22"/>
          <w:lang w:val="en-GB"/>
        </w:rPr>
        <w:t>on the face of the provisions and powers accorded to DGF it appears that the purpose of the proceedings is ultimately for the liquidation of the Bank. In this regard, it is noted that a list of creditor’s claims has been drawn up, plausibly for the distribution of the Bank’s assets in the course of the liquidation.</w:t>
      </w:r>
    </w:p>
    <w:p w14:paraId="00632AE2" w14:textId="77777777" w:rsidR="00B2186E" w:rsidRPr="00B2186E" w:rsidRDefault="00B2186E" w:rsidP="008A7470">
      <w:pPr>
        <w:jc w:val="both"/>
        <w:rPr>
          <w:rFonts w:ascii="Avenir Next" w:hAnsi="Avenir Next" w:cs="Arial"/>
          <w:color w:val="A5A5A5" w:themeColor="accent3"/>
          <w:sz w:val="22"/>
          <w:szCs w:val="22"/>
          <w:lang w:val="en-GB"/>
        </w:rPr>
      </w:pPr>
    </w:p>
    <w:p w14:paraId="65D9D2A6" w14:textId="0680B84D" w:rsidR="00473BC3" w:rsidRPr="00473BC3" w:rsidRDefault="00520034"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In conclusion, while it is likely that the proceeding meets the definition of a foreign proceeding, there may be some doubt as to whether the criterion of “control or supervision by a foreign court is met”. More evidence will have to be adduced in this regard. </w:t>
      </w:r>
    </w:p>
    <w:p w14:paraId="14D96AC9" w14:textId="73E261FB" w:rsidR="00F844BD" w:rsidRDefault="00F844BD" w:rsidP="008A7470">
      <w:pPr>
        <w:jc w:val="both"/>
        <w:rPr>
          <w:rFonts w:ascii="Avenir Next" w:hAnsi="Avenir Next" w:cs="Arial"/>
          <w:color w:val="A5A5A5" w:themeColor="accent3"/>
          <w:sz w:val="22"/>
          <w:szCs w:val="22"/>
          <w:lang w:val="en-GB"/>
        </w:rPr>
      </w:pPr>
    </w:p>
    <w:p w14:paraId="4ED5C688" w14:textId="57F9D6C0" w:rsidR="00F844BD" w:rsidRDefault="00F844BD" w:rsidP="008A7470">
      <w:pPr>
        <w:jc w:val="both"/>
        <w:rPr>
          <w:rFonts w:ascii="Avenir Next" w:hAnsi="Avenir Next" w:cs="Arial"/>
          <w:b/>
          <w:bCs/>
          <w:color w:val="A5A5A5" w:themeColor="accent3"/>
          <w:sz w:val="22"/>
          <w:szCs w:val="22"/>
          <w:lang w:val="en-GB"/>
        </w:rPr>
      </w:pPr>
      <w:r w:rsidRPr="00701CFF">
        <w:rPr>
          <w:rFonts w:ascii="Avenir Next" w:hAnsi="Avenir Next" w:cs="Arial"/>
          <w:b/>
          <w:bCs/>
          <w:color w:val="A5A5A5" w:themeColor="accent3"/>
          <w:sz w:val="22"/>
          <w:szCs w:val="22"/>
          <w:u w:val="single"/>
          <w:lang w:val="en-GB"/>
        </w:rPr>
        <w:t>Question 4.1.2</w:t>
      </w:r>
      <w:r w:rsidRPr="00701CFF">
        <w:rPr>
          <w:rFonts w:ascii="Avenir Next" w:hAnsi="Avenir Next" w:cs="Arial"/>
          <w:b/>
          <w:bCs/>
          <w:color w:val="A5A5A5" w:themeColor="accent3"/>
          <w:sz w:val="22"/>
          <w:szCs w:val="22"/>
          <w:lang w:val="en-GB"/>
        </w:rPr>
        <w:t>:</w:t>
      </w:r>
    </w:p>
    <w:p w14:paraId="26B06349" w14:textId="57DDB1B3" w:rsidR="00701CFF" w:rsidRDefault="00701CFF" w:rsidP="008A7470">
      <w:pPr>
        <w:jc w:val="both"/>
        <w:rPr>
          <w:rFonts w:ascii="Avenir Next" w:hAnsi="Avenir Next" w:cs="Arial"/>
          <w:color w:val="A5A5A5" w:themeColor="accent3"/>
          <w:sz w:val="22"/>
          <w:szCs w:val="22"/>
          <w:lang w:val="en-GB"/>
        </w:rPr>
      </w:pPr>
    </w:p>
    <w:p w14:paraId="6EF6F31F" w14:textId="25A1D2D9" w:rsidR="00701CFF" w:rsidRDefault="003F1C70"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Art 2(d) defines a “foreign representative” as a “person or body, including one appointed on an interim basis, authorised in a foreign proceeding to administer the reorganisation or the liquidation of the debtor’s assets or affairs or to act as a representative of the foreign proceeding”.</w:t>
      </w:r>
    </w:p>
    <w:p w14:paraId="3A8EA3B9" w14:textId="6899BA9F" w:rsidR="00A153F7" w:rsidRDefault="00A153F7" w:rsidP="00707FC8">
      <w:pPr>
        <w:jc w:val="both"/>
        <w:rPr>
          <w:rFonts w:ascii="Avenir Next" w:hAnsi="Avenir Next" w:cs="Arial"/>
          <w:sz w:val="22"/>
          <w:szCs w:val="22"/>
          <w:lang w:val="en-GB"/>
        </w:rPr>
      </w:pPr>
    </w:p>
    <w:p w14:paraId="7F769055" w14:textId="178A4422" w:rsidR="00013F84" w:rsidRPr="00CF6EE7" w:rsidRDefault="00013F84" w:rsidP="00013F84">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The MLCBI</w:t>
      </w:r>
      <w:r w:rsidRPr="00013F84">
        <w:rPr>
          <w:rFonts w:ascii="Avenir Next" w:hAnsi="Avenir Next" w:cs="Arial"/>
          <w:color w:val="A5A5A5" w:themeColor="accent3"/>
          <w:sz w:val="22"/>
          <w:szCs w:val="22"/>
          <w:lang w:val="en-GB"/>
        </w:rPr>
        <w:t xml:space="preserve"> does not specify that the foreign representative must be authori</w:t>
      </w:r>
      <w:r>
        <w:rPr>
          <w:rFonts w:ascii="Avenir Next" w:hAnsi="Avenir Next" w:cs="Arial"/>
          <w:color w:val="A5A5A5" w:themeColor="accent3"/>
          <w:sz w:val="22"/>
          <w:szCs w:val="22"/>
          <w:lang w:val="en-GB"/>
        </w:rPr>
        <w:t>s</w:t>
      </w:r>
      <w:r w:rsidRPr="00013F84">
        <w:rPr>
          <w:rFonts w:ascii="Avenir Next" w:hAnsi="Avenir Next" w:cs="Arial"/>
          <w:color w:val="A5A5A5" w:themeColor="accent3"/>
          <w:sz w:val="22"/>
          <w:szCs w:val="22"/>
          <w:lang w:val="en-GB"/>
        </w:rPr>
        <w:t xml:space="preserve">ed </w:t>
      </w:r>
      <w:r w:rsidRPr="00013F84">
        <w:rPr>
          <w:rFonts w:ascii="Avenir Next" w:hAnsi="Avenir Next" w:cs="Arial"/>
          <w:i/>
          <w:iCs/>
          <w:color w:val="A5A5A5" w:themeColor="accent3"/>
          <w:sz w:val="22"/>
          <w:szCs w:val="22"/>
          <w:lang w:val="en-GB"/>
        </w:rPr>
        <w:t>by the court</w:t>
      </w:r>
      <w:r>
        <w:rPr>
          <w:rFonts w:ascii="Avenir Next" w:hAnsi="Avenir Next" w:cs="Arial"/>
          <w:color w:val="A5A5A5" w:themeColor="accent3"/>
          <w:sz w:val="22"/>
          <w:szCs w:val="22"/>
          <w:lang w:val="en-GB"/>
        </w:rPr>
        <w:t>, but may</w:t>
      </w:r>
      <w:r w:rsidR="00ED39F9">
        <w:rPr>
          <w:rFonts w:ascii="Avenir Next" w:hAnsi="Avenir Next" w:cs="Arial"/>
          <w:color w:val="A5A5A5" w:themeColor="accent3"/>
          <w:sz w:val="22"/>
          <w:szCs w:val="22"/>
          <w:lang w:val="en-GB"/>
        </w:rPr>
        <w:t xml:space="preserve"> </w:t>
      </w:r>
      <w:r w:rsidRPr="00013F84">
        <w:rPr>
          <w:rFonts w:ascii="Avenir Next" w:hAnsi="Avenir Next" w:cs="Arial"/>
          <w:color w:val="A5A5A5" w:themeColor="accent3"/>
          <w:sz w:val="22"/>
          <w:szCs w:val="22"/>
          <w:lang w:val="en-GB"/>
        </w:rPr>
        <w:t xml:space="preserve">include appointments that might be made by a special agency other than the court (see GEI at para 86). </w:t>
      </w:r>
      <w:r w:rsidRPr="00013F84">
        <w:rPr>
          <w:rFonts w:ascii="Avenir Next" w:hAnsi="Avenir Next" w:cs="Arial"/>
          <w:color w:val="A5A5A5" w:themeColor="accent3"/>
          <w:sz w:val="22"/>
          <w:szCs w:val="22"/>
          <w:lang w:val="en-SG"/>
        </w:rPr>
        <w:t>The fact of appointment of the foreign representative in the foreign proceeding to act in either or both of those capacities is sufficient for the purposes of the Model Law</w:t>
      </w:r>
      <w:r w:rsidR="00CF6EE7">
        <w:rPr>
          <w:rFonts w:ascii="Avenir Next" w:hAnsi="Avenir Next" w:cs="Arial"/>
          <w:color w:val="A5A5A5" w:themeColor="accent3"/>
          <w:sz w:val="22"/>
          <w:szCs w:val="22"/>
          <w:lang w:val="en-SG"/>
        </w:rPr>
        <w:t>.</w:t>
      </w:r>
      <w:r w:rsidRPr="00013F84">
        <w:rPr>
          <w:rFonts w:ascii="Avenir Next" w:hAnsi="Avenir Next" w:cs="Arial"/>
          <w:color w:val="A5A5A5" w:themeColor="accent3"/>
          <w:sz w:val="22"/>
          <w:szCs w:val="22"/>
          <w:lang w:val="en-SG"/>
        </w:rPr>
        <w:t xml:space="preserve"> </w:t>
      </w:r>
    </w:p>
    <w:p w14:paraId="24E65CC9" w14:textId="091B5D94" w:rsidR="00013F84" w:rsidRDefault="00013F84" w:rsidP="00013F84">
      <w:pPr>
        <w:jc w:val="both"/>
        <w:rPr>
          <w:rFonts w:ascii="Avenir Next" w:hAnsi="Avenir Next" w:cs="Arial"/>
          <w:color w:val="A5A5A5" w:themeColor="accent3"/>
          <w:sz w:val="22"/>
          <w:szCs w:val="22"/>
          <w:lang w:val="en-GB"/>
        </w:rPr>
      </w:pPr>
    </w:p>
    <w:p w14:paraId="79E1A871" w14:textId="06B5E399" w:rsidR="00013F84" w:rsidRPr="00ED39F9" w:rsidRDefault="00013F84" w:rsidP="00013F84">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Turning first to DGF, it is clear that it falls under the definition of a foreign representative. DGF’s authority to act derives from Art 77 of the LBBA</w:t>
      </w:r>
      <w:r w:rsidR="00ED39F9">
        <w:rPr>
          <w:rFonts w:ascii="Avenir Next" w:hAnsi="Avenir Next" w:cs="Arial"/>
          <w:color w:val="A5A5A5" w:themeColor="accent3"/>
          <w:sz w:val="22"/>
          <w:szCs w:val="22"/>
          <w:lang w:val="en-GB"/>
        </w:rPr>
        <w:t>, which provides that “the DGF automatically becomes liquidator of a bank on the date it receives confirmation of the NB’s decision to revoke the bank’s licence”. DGF acquires full powers of a liquidator under Country A’s laws – which therefore meets the definition in Art 2(d) (</w:t>
      </w:r>
      <w:proofErr w:type="spellStart"/>
      <w:r w:rsidR="00ED39F9">
        <w:rPr>
          <w:rFonts w:ascii="Avenir Next" w:hAnsi="Avenir Next" w:cs="Arial"/>
          <w:i/>
          <w:iCs/>
          <w:color w:val="A5A5A5" w:themeColor="accent3"/>
          <w:sz w:val="22"/>
          <w:szCs w:val="22"/>
          <w:lang w:val="en-GB"/>
        </w:rPr>
        <w:t>ie</w:t>
      </w:r>
      <w:proofErr w:type="spellEnd"/>
      <w:r w:rsidR="00ED39F9">
        <w:rPr>
          <w:rFonts w:ascii="Avenir Next" w:hAnsi="Avenir Next" w:cs="Arial"/>
          <w:color w:val="A5A5A5" w:themeColor="accent3"/>
          <w:sz w:val="22"/>
          <w:szCs w:val="22"/>
          <w:lang w:val="en-GB"/>
        </w:rPr>
        <w:t xml:space="preserve">, authority to administer the liquidation of the </w:t>
      </w:r>
      <w:proofErr w:type="gramStart"/>
      <w:r w:rsidR="00ED39F9">
        <w:rPr>
          <w:rFonts w:ascii="Avenir Next" w:hAnsi="Avenir Next" w:cs="Arial"/>
          <w:color w:val="A5A5A5" w:themeColor="accent3"/>
          <w:sz w:val="22"/>
          <w:szCs w:val="22"/>
          <w:lang w:val="en-GB"/>
        </w:rPr>
        <w:t>debtors</w:t>
      </w:r>
      <w:proofErr w:type="gramEnd"/>
      <w:r w:rsidR="00ED39F9">
        <w:rPr>
          <w:rFonts w:ascii="Avenir Next" w:hAnsi="Avenir Next" w:cs="Arial"/>
          <w:color w:val="A5A5A5" w:themeColor="accent3"/>
          <w:sz w:val="22"/>
          <w:szCs w:val="22"/>
          <w:lang w:val="en-GB"/>
        </w:rPr>
        <w:t xml:space="preserve"> assets…).</w:t>
      </w:r>
    </w:p>
    <w:p w14:paraId="1482F917" w14:textId="0AE9143D" w:rsidR="00013F84" w:rsidRDefault="00013F84" w:rsidP="00013F84">
      <w:pPr>
        <w:jc w:val="both"/>
        <w:rPr>
          <w:rFonts w:ascii="Avenir Next" w:hAnsi="Avenir Next" w:cs="Arial"/>
          <w:color w:val="A5A5A5" w:themeColor="accent3"/>
          <w:sz w:val="22"/>
          <w:szCs w:val="22"/>
          <w:lang w:val="en-GB"/>
        </w:rPr>
      </w:pPr>
    </w:p>
    <w:p w14:paraId="7F9A9223" w14:textId="1B222D5E" w:rsidR="00013F84" w:rsidRPr="00013F84" w:rsidRDefault="00ED39F9" w:rsidP="00013F84">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Ms G also meets the definition of a foreign representative. Under Art 48(3) of the DGF Law, Ms G may be delegated powers by the DGF as </w:t>
      </w:r>
      <w:r w:rsidR="0082026E">
        <w:rPr>
          <w:rFonts w:ascii="Avenir Next" w:hAnsi="Avenir Next" w:cs="Arial"/>
          <w:color w:val="A5A5A5" w:themeColor="accent3"/>
          <w:sz w:val="22"/>
          <w:szCs w:val="22"/>
          <w:lang w:val="en-GB"/>
        </w:rPr>
        <w:t>“the Fund’s</w:t>
      </w:r>
      <w:r>
        <w:rPr>
          <w:rFonts w:ascii="Avenir Next" w:hAnsi="Avenir Next" w:cs="Arial"/>
          <w:color w:val="A5A5A5" w:themeColor="accent3"/>
          <w:sz w:val="22"/>
          <w:szCs w:val="22"/>
          <w:lang w:val="en-GB"/>
        </w:rPr>
        <w:t xml:space="preserve"> authorised person</w:t>
      </w:r>
      <w:r w:rsidR="0082026E">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w:t>
      </w:r>
      <w:r w:rsidR="0082026E">
        <w:rPr>
          <w:rFonts w:ascii="Avenir Next" w:hAnsi="Avenir Next" w:cs="Arial"/>
          <w:color w:val="A5A5A5" w:themeColor="accent3"/>
          <w:sz w:val="22"/>
          <w:szCs w:val="22"/>
          <w:lang w:val="en-GB"/>
        </w:rPr>
        <w:t xml:space="preserve"> Art 2(1)(17) of the DGF Law, in turn, outlines that such a representative </w:t>
      </w:r>
      <w:r w:rsidR="000860FD">
        <w:rPr>
          <w:rFonts w:ascii="Avenir Next" w:hAnsi="Avenir Next" w:cs="Arial"/>
          <w:color w:val="A5A5A5" w:themeColor="accent3"/>
          <w:sz w:val="22"/>
          <w:szCs w:val="22"/>
          <w:lang w:val="en-GB"/>
        </w:rPr>
        <w:t>ensures the bank’s withdrawal during its liquidation.</w:t>
      </w:r>
      <w:r>
        <w:rPr>
          <w:rFonts w:ascii="Avenir Next" w:hAnsi="Avenir Next" w:cs="Arial"/>
          <w:color w:val="A5A5A5" w:themeColor="accent3"/>
          <w:sz w:val="22"/>
          <w:szCs w:val="22"/>
          <w:lang w:val="en-GB"/>
        </w:rPr>
        <w:t xml:space="preserve"> She is duly appointed under Resolution 1513</w:t>
      </w:r>
      <w:r w:rsidR="00CF6EE7">
        <w:rPr>
          <w:rFonts w:ascii="Avenir Next" w:hAnsi="Avenir Next" w:cs="Arial"/>
          <w:color w:val="A5A5A5" w:themeColor="accent3"/>
          <w:sz w:val="22"/>
          <w:szCs w:val="22"/>
          <w:lang w:val="en-GB"/>
        </w:rPr>
        <w:t xml:space="preserve"> and accorded “all liquidation powers in respect of the Bank set out in the DGF Law…”. Reso 1513</w:t>
      </w:r>
      <w:r>
        <w:rPr>
          <w:rFonts w:ascii="Avenir Next" w:hAnsi="Avenir Next" w:cs="Arial"/>
          <w:color w:val="A5A5A5" w:themeColor="accent3"/>
          <w:sz w:val="22"/>
          <w:szCs w:val="22"/>
          <w:lang w:val="en-GB"/>
        </w:rPr>
        <w:t xml:space="preserve"> may be adduced in </w:t>
      </w:r>
      <w:r w:rsidR="00CF6EE7">
        <w:rPr>
          <w:rFonts w:ascii="Avenir Next" w:hAnsi="Avenir Next" w:cs="Arial"/>
          <w:color w:val="A5A5A5" w:themeColor="accent3"/>
          <w:sz w:val="22"/>
          <w:szCs w:val="22"/>
          <w:lang w:val="en-GB"/>
        </w:rPr>
        <w:t xml:space="preserve">the English </w:t>
      </w:r>
      <w:r>
        <w:rPr>
          <w:rFonts w:ascii="Avenir Next" w:hAnsi="Avenir Next" w:cs="Arial"/>
          <w:color w:val="A5A5A5" w:themeColor="accent3"/>
          <w:sz w:val="22"/>
          <w:szCs w:val="22"/>
          <w:lang w:val="en-GB"/>
        </w:rPr>
        <w:t xml:space="preserve">proceedings to meet the requirements in Art 15 as evidence of her authority. The fact that she is excluded from certain actions such as the power to make a claim against a non-banking financial institution is unlikely to </w:t>
      </w:r>
      <w:r w:rsidR="00CF6EE7">
        <w:rPr>
          <w:rFonts w:ascii="Avenir Next" w:hAnsi="Avenir Next" w:cs="Arial"/>
          <w:color w:val="A5A5A5" w:themeColor="accent3"/>
          <w:sz w:val="22"/>
          <w:szCs w:val="22"/>
          <w:lang w:val="en-GB"/>
        </w:rPr>
        <w:t xml:space="preserve">detract from her recognition as a foreign representative. </w:t>
      </w:r>
    </w:p>
    <w:p w14:paraId="6C994A3D" w14:textId="77777777" w:rsidR="00013F84" w:rsidRDefault="00013F84" w:rsidP="00707FC8">
      <w:pPr>
        <w:jc w:val="both"/>
        <w:rPr>
          <w:rFonts w:ascii="Avenir Next" w:hAnsi="Avenir Next" w:cs="Arial"/>
          <w:sz w:val="22"/>
          <w:szCs w:val="22"/>
          <w:lang w:val="en-GB"/>
        </w:rPr>
      </w:pPr>
    </w:p>
    <w:p w14:paraId="37C701B8" w14:textId="77777777" w:rsidR="00013F84" w:rsidRDefault="00013F84" w:rsidP="00707FC8">
      <w:pPr>
        <w:jc w:val="both"/>
        <w:rPr>
          <w:rFonts w:ascii="Avenir Next" w:hAnsi="Avenir Next" w:cs="Arial"/>
          <w:sz w:val="22"/>
          <w:szCs w:val="22"/>
          <w:lang w:val="en-GB"/>
        </w:rPr>
      </w:pPr>
    </w:p>
    <w:p w14:paraId="14240C93" w14:textId="7F115BC0" w:rsidR="00701CFF" w:rsidRPr="00E2622D" w:rsidRDefault="00701CFF"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1131" w14:textId="77777777" w:rsidR="007B112A" w:rsidRDefault="007B112A" w:rsidP="00241B44">
      <w:r>
        <w:separator/>
      </w:r>
    </w:p>
  </w:endnote>
  <w:endnote w:type="continuationSeparator" w:id="0">
    <w:p w14:paraId="3CEDD9E1" w14:textId="77777777" w:rsidR="007B112A" w:rsidRDefault="007B112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ABA5373"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6BFF">
          <w:rPr>
            <w:rStyle w:val="PageNumber"/>
            <w:noProof/>
          </w:rPr>
          <w:t>20</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DE3A797" w:rsidR="000300E0" w:rsidRPr="00B46CE2" w:rsidRDefault="005A6BFF" w:rsidP="000300E0">
    <w:pPr>
      <w:pStyle w:val="Footer"/>
      <w:ind w:right="360"/>
      <w:rPr>
        <w:rFonts w:ascii="Avenir Next" w:hAnsi="Avenir Next"/>
        <w:sz w:val="22"/>
        <w:szCs w:val="22"/>
      </w:rPr>
    </w:pPr>
    <w:r>
      <w:rPr>
        <w:rFonts w:ascii="Avenir Next" w:hAnsi="Avenir Next"/>
        <w:sz w:val="22"/>
        <w:szCs w:val="22"/>
      </w:rPr>
      <w:t>202223-990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DA8A" w14:textId="77777777" w:rsidR="007B112A" w:rsidRDefault="007B112A" w:rsidP="00241B44">
      <w:r>
        <w:separator/>
      </w:r>
    </w:p>
  </w:footnote>
  <w:footnote w:type="continuationSeparator" w:id="0">
    <w:p w14:paraId="0C22E411" w14:textId="77777777" w:rsidR="007B112A" w:rsidRDefault="007B112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C91619"/>
    <w:multiLevelType w:val="hybridMultilevel"/>
    <w:tmpl w:val="D4AE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7E7F6A"/>
    <w:multiLevelType w:val="hybridMultilevel"/>
    <w:tmpl w:val="F23A47BC"/>
    <w:lvl w:ilvl="0" w:tplc="4628ED8A">
      <w:start w:val="1"/>
      <w:numFmt w:val="decimal"/>
      <w:lvlText w:val="(%1)"/>
      <w:lvlJc w:val="left"/>
      <w:pPr>
        <w:ind w:left="720" w:hanging="360"/>
      </w:pPr>
      <w:rPr>
        <w:rFonts w:ascii="Avenir Next" w:eastAsia="Times New Roman" w:hAnsi="Avenir Next"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C101A8"/>
    <w:multiLevelType w:val="hybridMultilevel"/>
    <w:tmpl w:val="6CD22170"/>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2" w15:restartNumberingAfterBreak="0">
    <w:nsid w:val="54627EC9"/>
    <w:multiLevelType w:val="hybridMultilevel"/>
    <w:tmpl w:val="77AC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B27BD"/>
    <w:multiLevelType w:val="hybridMultilevel"/>
    <w:tmpl w:val="94DC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797AA6"/>
    <w:multiLevelType w:val="hybridMultilevel"/>
    <w:tmpl w:val="179C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88842821">
    <w:abstractNumId w:val="15"/>
  </w:num>
  <w:num w:numId="2" w16cid:durableId="596522749">
    <w:abstractNumId w:val="14"/>
  </w:num>
  <w:num w:numId="3" w16cid:durableId="146635792">
    <w:abstractNumId w:val="7"/>
  </w:num>
  <w:num w:numId="4" w16cid:durableId="1875385154">
    <w:abstractNumId w:val="3"/>
  </w:num>
  <w:num w:numId="5" w16cid:durableId="420102228">
    <w:abstractNumId w:val="19"/>
  </w:num>
  <w:num w:numId="6" w16cid:durableId="468792347">
    <w:abstractNumId w:val="18"/>
  </w:num>
  <w:num w:numId="7" w16cid:durableId="1831604294">
    <w:abstractNumId w:val="16"/>
  </w:num>
  <w:num w:numId="8" w16cid:durableId="1083260563">
    <w:abstractNumId w:val="4"/>
  </w:num>
  <w:num w:numId="9" w16cid:durableId="2028366167">
    <w:abstractNumId w:val="5"/>
  </w:num>
  <w:num w:numId="10" w16cid:durableId="1081411688">
    <w:abstractNumId w:val="10"/>
  </w:num>
  <w:num w:numId="11" w16cid:durableId="1916091652">
    <w:abstractNumId w:val="0"/>
  </w:num>
  <w:num w:numId="12" w16cid:durableId="266155707">
    <w:abstractNumId w:val="8"/>
  </w:num>
  <w:num w:numId="13" w16cid:durableId="1046176666">
    <w:abstractNumId w:val="9"/>
  </w:num>
  <w:num w:numId="14" w16cid:durableId="1569880379">
    <w:abstractNumId w:val="2"/>
  </w:num>
  <w:num w:numId="15" w16cid:durableId="1366368746">
    <w:abstractNumId w:val="12"/>
  </w:num>
  <w:num w:numId="16" w16cid:durableId="1251697173">
    <w:abstractNumId w:val="17"/>
  </w:num>
  <w:num w:numId="17" w16cid:durableId="1269696867">
    <w:abstractNumId w:val="11"/>
  </w:num>
  <w:num w:numId="18" w16cid:durableId="335766164">
    <w:abstractNumId w:val="1"/>
  </w:num>
  <w:num w:numId="19" w16cid:durableId="1585601999">
    <w:abstractNumId w:val="6"/>
  </w:num>
  <w:num w:numId="20" w16cid:durableId="175866731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1D86"/>
    <w:rsid w:val="00013F84"/>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1951"/>
    <w:rsid w:val="00073474"/>
    <w:rsid w:val="00077D49"/>
    <w:rsid w:val="00082609"/>
    <w:rsid w:val="000850D6"/>
    <w:rsid w:val="000851CC"/>
    <w:rsid w:val="000860FD"/>
    <w:rsid w:val="00093BE8"/>
    <w:rsid w:val="000A35C3"/>
    <w:rsid w:val="000A68ED"/>
    <w:rsid w:val="000B4FEB"/>
    <w:rsid w:val="000B5FF1"/>
    <w:rsid w:val="000B609F"/>
    <w:rsid w:val="000C147F"/>
    <w:rsid w:val="000C5381"/>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467AC"/>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42DD"/>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3E6A8A"/>
    <w:rsid w:val="003F1C70"/>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0395"/>
    <w:rsid w:val="0046249B"/>
    <w:rsid w:val="0047025B"/>
    <w:rsid w:val="00473BC3"/>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0034"/>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6BFF"/>
    <w:rsid w:val="005A726D"/>
    <w:rsid w:val="005B67AC"/>
    <w:rsid w:val="005C2C94"/>
    <w:rsid w:val="005C36BC"/>
    <w:rsid w:val="005C4865"/>
    <w:rsid w:val="005D43E0"/>
    <w:rsid w:val="005D58A3"/>
    <w:rsid w:val="005E1B79"/>
    <w:rsid w:val="005E5C28"/>
    <w:rsid w:val="005F026D"/>
    <w:rsid w:val="005F21F4"/>
    <w:rsid w:val="005F223D"/>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A8F"/>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1CFF"/>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93590"/>
    <w:rsid w:val="007B112A"/>
    <w:rsid w:val="007B3AC7"/>
    <w:rsid w:val="007B497A"/>
    <w:rsid w:val="007C1FCC"/>
    <w:rsid w:val="007C2E2F"/>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026E"/>
    <w:rsid w:val="00822764"/>
    <w:rsid w:val="008241C4"/>
    <w:rsid w:val="0082483F"/>
    <w:rsid w:val="008264CB"/>
    <w:rsid w:val="008279C0"/>
    <w:rsid w:val="00835FD1"/>
    <w:rsid w:val="0084683C"/>
    <w:rsid w:val="008512FA"/>
    <w:rsid w:val="00853A74"/>
    <w:rsid w:val="00854F4B"/>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4C1A"/>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E5F37"/>
    <w:rsid w:val="009F4EDB"/>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0350"/>
    <w:rsid w:val="00AA3A42"/>
    <w:rsid w:val="00AA5311"/>
    <w:rsid w:val="00AA7BAA"/>
    <w:rsid w:val="00AB685C"/>
    <w:rsid w:val="00AB6C2D"/>
    <w:rsid w:val="00AC08F7"/>
    <w:rsid w:val="00AC302E"/>
    <w:rsid w:val="00AC3839"/>
    <w:rsid w:val="00AC7082"/>
    <w:rsid w:val="00AD3FEA"/>
    <w:rsid w:val="00AD7BBD"/>
    <w:rsid w:val="00AF228E"/>
    <w:rsid w:val="00B04137"/>
    <w:rsid w:val="00B1112C"/>
    <w:rsid w:val="00B11D19"/>
    <w:rsid w:val="00B12936"/>
    <w:rsid w:val="00B14819"/>
    <w:rsid w:val="00B17AA9"/>
    <w:rsid w:val="00B2186E"/>
    <w:rsid w:val="00B32DE4"/>
    <w:rsid w:val="00B33578"/>
    <w:rsid w:val="00B370C3"/>
    <w:rsid w:val="00B411AE"/>
    <w:rsid w:val="00B41487"/>
    <w:rsid w:val="00B46CE2"/>
    <w:rsid w:val="00B55455"/>
    <w:rsid w:val="00B60190"/>
    <w:rsid w:val="00B61419"/>
    <w:rsid w:val="00B72F5F"/>
    <w:rsid w:val="00B736DF"/>
    <w:rsid w:val="00B74FBD"/>
    <w:rsid w:val="00B77352"/>
    <w:rsid w:val="00B82586"/>
    <w:rsid w:val="00B829A3"/>
    <w:rsid w:val="00B859B7"/>
    <w:rsid w:val="00B86DB1"/>
    <w:rsid w:val="00B87869"/>
    <w:rsid w:val="00BA0E44"/>
    <w:rsid w:val="00BA47C5"/>
    <w:rsid w:val="00BB0F2B"/>
    <w:rsid w:val="00BB716B"/>
    <w:rsid w:val="00BC3B59"/>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14FC"/>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6EE7"/>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3B"/>
    <w:rsid w:val="00E059FB"/>
    <w:rsid w:val="00E069C4"/>
    <w:rsid w:val="00E07275"/>
    <w:rsid w:val="00E07866"/>
    <w:rsid w:val="00E078E3"/>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6117"/>
    <w:rsid w:val="00E77C3D"/>
    <w:rsid w:val="00E82E22"/>
    <w:rsid w:val="00E850FE"/>
    <w:rsid w:val="00E909F0"/>
    <w:rsid w:val="00E90D47"/>
    <w:rsid w:val="00E93993"/>
    <w:rsid w:val="00E9597C"/>
    <w:rsid w:val="00EA0913"/>
    <w:rsid w:val="00EA0A2F"/>
    <w:rsid w:val="00EA2858"/>
    <w:rsid w:val="00EA6D31"/>
    <w:rsid w:val="00EB146B"/>
    <w:rsid w:val="00EB45AC"/>
    <w:rsid w:val="00EC2AEA"/>
    <w:rsid w:val="00EC7B11"/>
    <w:rsid w:val="00EC7F95"/>
    <w:rsid w:val="00ED0BC4"/>
    <w:rsid w:val="00ED3771"/>
    <w:rsid w:val="00ED39F9"/>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9D5"/>
    <w:rsid w:val="00F35CCE"/>
    <w:rsid w:val="00F55241"/>
    <w:rsid w:val="00F5524B"/>
    <w:rsid w:val="00F60538"/>
    <w:rsid w:val="00F61DD2"/>
    <w:rsid w:val="00F6523A"/>
    <w:rsid w:val="00F66AFF"/>
    <w:rsid w:val="00F71433"/>
    <w:rsid w:val="00F7241A"/>
    <w:rsid w:val="00F7443B"/>
    <w:rsid w:val="00F83E76"/>
    <w:rsid w:val="00F844BD"/>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37F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D6"/>
    <w:rPr>
      <w:rFonts w:eastAsia="Times New Roman"/>
      <w:sz w:val="20"/>
    </w:rPr>
  </w:style>
  <w:style w:type="paragraph" w:styleId="Heading1">
    <w:name w:val="heading 1"/>
    <w:basedOn w:val="Normal"/>
    <w:next w:val="Normal"/>
    <w:link w:val="Heading1Char"/>
    <w:uiPriority w:val="9"/>
    <w:qFormat/>
    <w:rsid w:val="00CF6E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Heading1Char">
    <w:name w:val="Heading 1 Char"/>
    <w:basedOn w:val="DefaultParagraphFont"/>
    <w:link w:val="Heading1"/>
    <w:uiPriority w:val="9"/>
    <w:rsid w:val="00CF6EE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76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937">
      <w:bodyDiv w:val="1"/>
      <w:marLeft w:val="0"/>
      <w:marRight w:val="0"/>
      <w:marTop w:val="0"/>
      <w:marBottom w:val="0"/>
      <w:divBdr>
        <w:top w:val="none" w:sz="0" w:space="0" w:color="auto"/>
        <w:left w:val="none" w:sz="0" w:space="0" w:color="auto"/>
        <w:bottom w:val="none" w:sz="0" w:space="0" w:color="auto"/>
        <w:right w:val="none" w:sz="0" w:space="0" w:color="auto"/>
      </w:divBdr>
      <w:divsChild>
        <w:div w:id="233517623">
          <w:marLeft w:val="0"/>
          <w:marRight w:val="0"/>
          <w:marTop w:val="0"/>
          <w:marBottom w:val="0"/>
          <w:divBdr>
            <w:top w:val="none" w:sz="0" w:space="0" w:color="auto"/>
            <w:left w:val="none" w:sz="0" w:space="0" w:color="auto"/>
            <w:bottom w:val="none" w:sz="0" w:space="0" w:color="auto"/>
            <w:right w:val="none" w:sz="0" w:space="0" w:color="auto"/>
          </w:divBdr>
          <w:divsChild>
            <w:div w:id="1838691348">
              <w:marLeft w:val="0"/>
              <w:marRight w:val="0"/>
              <w:marTop w:val="0"/>
              <w:marBottom w:val="0"/>
              <w:divBdr>
                <w:top w:val="none" w:sz="0" w:space="0" w:color="auto"/>
                <w:left w:val="none" w:sz="0" w:space="0" w:color="auto"/>
                <w:bottom w:val="none" w:sz="0" w:space="0" w:color="auto"/>
                <w:right w:val="none" w:sz="0" w:space="0" w:color="auto"/>
              </w:divBdr>
              <w:divsChild>
                <w:div w:id="66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3655">
      <w:bodyDiv w:val="1"/>
      <w:marLeft w:val="0"/>
      <w:marRight w:val="0"/>
      <w:marTop w:val="0"/>
      <w:marBottom w:val="0"/>
      <w:divBdr>
        <w:top w:val="none" w:sz="0" w:space="0" w:color="auto"/>
        <w:left w:val="none" w:sz="0" w:space="0" w:color="auto"/>
        <w:bottom w:val="none" w:sz="0" w:space="0" w:color="auto"/>
        <w:right w:val="none" w:sz="0" w:space="0" w:color="auto"/>
      </w:divBdr>
      <w:divsChild>
        <w:div w:id="1174035626">
          <w:marLeft w:val="0"/>
          <w:marRight w:val="0"/>
          <w:marTop w:val="0"/>
          <w:marBottom w:val="0"/>
          <w:divBdr>
            <w:top w:val="none" w:sz="0" w:space="0" w:color="auto"/>
            <w:left w:val="none" w:sz="0" w:space="0" w:color="auto"/>
            <w:bottom w:val="none" w:sz="0" w:space="0" w:color="auto"/>
            <w:right w:val="none" w:sz="0" w:space="0" w:color="auto"/>
          </w:divBdr>
          <w:divsChild>
            <w:div w:id="1595362645">
              <w:marLeft w:val="0"/>
              <w:marRight w:val="0"/>
              <w:marTop w:val="0"/>
              <w:marBottom w:val="0"/>
              <w:divBdr>
                <w:top w:val="none" w:sz="0" w:space="0" w:color="auto"/>
                <w:left w:val="none" w:sz="0" w:space="0" w:color="auto"/>
                <w:bottom w:val="none" w:sz="0" w:space="0" w:color="auto"/>
                <w:right w:val="none" w:sz="0" w:space="0" w:color="auto"/>
              </w:divBdr>
              <w:divsChild>
                <w:div w:id="1029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8114">
      <w:bodyDiv w:val="1"/>
      <w:marLeft w:val="0"/>
      <w:marRight w:val="0"/>
      <w:marTop w:val="0"/>
      <w:marBottom w:val="0"/>
      <w:divBdr>
        <w:top w:val="none" w:sz="0" w:space="0" w:color="auto"/>
        <w:left w:val="none" w:sz="0" w:space="0" w:color="auto"/>
        <w:bottom w:val="none" w:sz="0" w:space="0" w:color="auto"/>
        <w:right w:val="none" w:sz="0" w:space="0" w:color="auto"/>
      </w:divBdr>
    </w:div>
    <w:div w:id="299697592">
      <w:bodyDiv w:val="1"/>
      <w:marLeft w:val="0"/>
      <w:marRight w:val="0"/>
      <w:marTop w:val="0"/>
      <w:marBottom w:val="0"/>
      <w:divBdr>
        <w:top w:val="none" w:sz="0" w:space="0" w:color="auto"/>
        <w:left w:val="none" w:sz="0" w:space="0" w:color="auto"/>
        <w:bottom w:val="none" w:sz="0" w:space="0" w:color="auto"/>
        <w:right w:val="none" w:sz="0" w:space="0" w:color="auto"/>
      </w:divBdr>
      <w:divsChild>
        <w:div w:id="279342178">
          <w:marLeft w:val="0"/>
          <w:marRight w:val="0"/>
          <w:marTop w:val="0"/>
          <w:marBottom w:val="0"/>
          <w:divBdr>
            <w:top w:val="none" w:sz="0" w:space="0" w:color="auto"/>
            <w:left w:val="none" w:sz="0" w:space="0" w:color="auto"/>
            <w:bottom w:val="none" w:sz="0" w:space="0" w:color="auto"/>
            <w:right w:val="none" w:sz="0" w:space="0" w:color="auto"/>
          </w:divBdr>
          <w:divsChild>
            <w:div w:id="1739815221">
              <w:marLeft w:val="0"/>
              <w:marRight w:val="0"/>
              <w:marTop w:val="0"/>
              <w:marBottom w:val="0"/>
              <w:divBdr>
                <w:top w:val="none" w:sz="0" w:space="0" w:color="auto"/>
                <w:left w:val="none" w:sz="0" w:space="0" w:color="auto"/>
                <w:bottom w:val="none" w:sz="0" w:space="0" w:color="auto"/>
                <w:right w:val="none" w:sz="0" w:space="0" w:color="auto"/>
              </w:divBdr>
              <w:divsChild>
                <w:div w:id="15567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8268">
      <w:bodyDiv w:val="1"/>
      <w:marLeft w:val="0"/>
      <w:marRight w:val="0"/>
      <w:marTop w:val="0"/>
      <w:marBottom w:val="0"/>
      <w:divBdr>
        <w:top w:val="none" w:sz="0" w:space="0" w:color="auto"/>
        <w:left w:val="none" w:sz="0" w:space="0" w:color="auto"/>
        <w:bottom w:val="none" w:sz="0" w:space="0" w:color="auto"/>
        <w:right w:val="none" w:sz="0" w:space="0" w:color="auto"/>
      </w:divBdr>
      <w:divsChild>
        <w:div w:id="1824277780">
          <w:marLeft w:val="0"/>
          <w:marRight w:val="0"/>
          <w:marTop w:val="0"/>
          <w:marBottom w:val="0"/>
          <w:divBdr>
            <w:top w:val="none" w:sz="0" w:space="0" w:color="auto"/>
            <w:left w:val="none" w:sz="0" w:space="0" w:color="auto"/>
            <w:bottom w:val="none" w:sz="0" w:space="0" w:color="auto"/>
            <w:right w:val="none" w:sz="0" w:space="0" w:color="auto"/>
          </w:divBdr>
          <w:divsChild>
            <w:div w:id="177740624">
              <w:marLeft w:val="0"/>
              <w:marRight w:val="0"/>
              <w:marTop w:val="0"/>
              <w:marBottom w:val="0"/>
              <w:divBdr>
                <w:top w:val="none" w:sz="0" w:space="0" w:color="auto"/>
                <w:left w:val="none" w:sz="0" w:space="0" w:color="auto"/>
                <w:bottom w:val="none" w:sz="0" w:space="0" w:color="auto"/>
                <w:right w:val="none" w:sz="0" w:space="0" w:color="auto"/>
              </w:divBdr>
              <w:divsChild>
                <w:div w:id="46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7423814">
      <w:bodyDiv w:val="1"/>
      <w:marLeft w:val="0"/>
      <w:marRight w:val="0"/>
      <w:marTop w:val="0"/>
      <w:marBottom w:val="0"/>
      <w:divBdr>
        <w:top w:val="none" w:sz="0" w:space="0" w:color="auto"/>
        <w:left w:val="none" w:sz="0" w:space="0" w:color="auto"/>
        <w:bottom w:val="none" w:sz="0" w:space="0" w:color="auto"/>
        <w:right w:val="none" w:sz="0" w:space="0" w:color="auto"/>
      </w:divBdr>
      <w:divsChild>
        <w:div w:id="1137409284">
          <w:marLeft w:val="0"/>
          <w:marRight w:val="0"/>
          <w:marTop w:val="0"/>
          <w:marBottom w:val="0"/>
          <w:divBdr>
            <w:top w:val="none" w:sz="0" w:space="0" w:color="auto"/>
            <w:left w:val="none" w:sz="0" w:space="0" w:color="auto"/>
            <w:bottom w:val="none" w:sz="0" w:space="0" w:color="auto"/>
            <w:right w:val="none" w:sz="0" w:space="0" w:color="auto"/>
          </w:divBdr>
          <w:divsChild>
            <w:div w:id="1304047004">
              <w:marLeft w:val="0"/>
              <w:marRight w:val="0"/>
              <w:marTop w:val="0"/>
              <w:marBottom w:val="0"/>
              <w:divBdr>
                <w:top w:val="none" w:sz="0" w:space="0" w:color="auto"/>
                <w:left w:val="none" w:sz="0" w:space="0" w:color="auto"/>
                <w:bottom w:val="none" w:sz="0" w:space="0" w:color="auto"/>
                <w:right w:val="none" w:sz="0" w:space="0" w:color="auto"/>
              </w:divBdr>
              <w:divsChild>
                <w:div w:id="6393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4477">
      <w:bodyDiv w:val="1"/>
      <w:marLeft w:val="0"/>
      <w:marRight w:val="0"/>
      <w:marTop w:val="0"/>
      <w:marBottom w:val="0"/>
      <w:divBdr>
        <w:top w:val="none" w:sz="0" w:space="0" w:color="auto"/>
        <w:left w:val="none" w:sz="0" w:space="0" w:color="auto"/>
        <w:bottom w:val="none" w:sz="0" w:space="0" w:color="auto"/>
        <w:right w:val="none" w:sz="0" w:space="0" w:color="auto"/>
      </w:divBdr>
      <w:divsChild>
        <w:div w:id="2102951560">
          <w:marLeft w:val="0"/>
          <w:marRight w:val="0"/>
          <w:marTop w:val="0"/>
          <w:marBottom w:val="0"/>
          <w:divBdr>
            <w:top w:val="none" w:sz="0" w:space="0" w:color="auto"/>
            <w:left w:val="none" w:sz="0" w:space="0" w:color="auto"/>
            <w:bottom w:val="none" w:sz="0" w:space="0" w:color="auto"/>
            <w:right w:val="none" w:sz="0" w:space="0" w:color="auto"/>
          </w:divBdr>
          <w:divsChild>
            <w:div w:id="2106873919">
              <w:marLeft w:val="0"/>
              <w:marRight w:val="0"/>
              <w:marTop w:val="0"/>
              <w:marBottom w:val="0"/>
              <w:divBdr>
                <w:top w:val="none" w:sz="0" w:space="0" w:color="auto"/>
                <w:left w:val="none" w:sz="0" w:space="0" w:color="auto"/>
                <w:bottom w:val="none" w:sz="0" w:space="0" w:color="auto"/>
                <w:right w:val="none" w:sz="0" w:space="0" w:color="auto"/>
              </w:divBdr>
              <w:divsChild>
                <w:div w:id="5107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8829">
      <w:bodyDiv w:val="1"/>
      <w:marLeft w:val="0"/>
      <w:marRight w:val="0"/>
      <w:marTop w:val="0"/>
      <w:marBottom w:val="0"/>
      <w:divBdr>
        <w:top w:val="none" w:sz="0" w:space="0" w:color="auto"/>
        <w:left w:val="none" w:sz="0" w:space="0" w:color="auto"/>
        <w:bottom w:val="none" w:sz="0" w:space="0" w:color="auto"/>
        <w:right w:val="none" w:sz="0" w:space="0" w:color="auto"/>
      </w:divBdr>
      <w:divsChild>
        <w:div w:id="793644759">
          <w:marLeft w:val="0"/>
          <w:marRight w:val="0"/>
          <w:marTop w:val="0"/>
          <w:marBottom w:val="0"/>
          <w:divBdr>
            <w:top w:val="none" w:sz="0" w:space="0" w:color="auto"/>
            <w:left w:val="none" w:sz="0" w:space="0" w:color="auto"/>
            <w:bottom w:val="none" w:sz="0" w:space="0" w:color="auto"/>
            <w:right w:val="none" w:sz="0" w:space="0" w:color="auto"/>
          </w:divBdr>
          <w:divsChild>
            <w:div w:id="558175571">
              <w:marLeft w:val="0"/>
              <w:marRight w:val="0"/>
              <w:marTop w:val="0"/>
              <w:marBottom w:val="0"/>
              <w:divBdr>
                <w:top w:val="none" w:sz="0" w:space="0" w:color="auto"/>
                <w:left w:val="none" w:sz="0" w:space="0" w:color="auto"/>
                <w:bottom w:val="none" w:sz="0" w:space="0" w:color="auto"/>
                <w:right w:val="none" w:sz="0" w:space="0" w:color="auto"/>
              </w:divBdr>
              <w:divsChild>
                <w:div w:id="674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97526">
      <w:bodyDiv w:val="1"/>
      <w:marLeft w:val="0"/>
      <w:marRight w:val="0"/>
      <w:marTop w:val="0"/>
      <w:marBottom w:val="0"/>
      <w:divBdr>
        <w:top w:val="none" w:sz="0" w:space="0" w:color="auto"/>
        <w:left w:val="none" w:sz="0" w:space="0" w:color="auto"/>
        <w:bottom w:val="none" w:sz="0" w:space="0" w:color="auto"/>
        <w:right w:val="none" w:sz="0" w:space="0" w:color="auto"/>
      </w:divBdr>
      <w:divsChild>
        <w:div w:id="890994375">
          <w:marLeft w:val="0"/>
          <w:marRight w:val="0"/>
          <w:marTop w:val="0"/>
          <w:marBottom w:val="0"/>
          <w:divBdr>
            <w:top w:val="none" w:sz="0" w:space="0" w:color="auto"/>
            <w:left w:val="none" w:sz="0" w:space="0" w:color="auto"/>
            <w:bottom w:val="none" w:sz="0" w:space="0" w:color="auto"/>
            <w:right w:val="none" w:sz="0" w:space="0" w:color="auto"/>
          </w:divBdr>
          <w:divsChild>
            <w:div w:id="453134139">
              <w:marLeft w:val="0"/>
              <w:marRight w:val="0"/>
              <w:marTop w:val="0"/>
              <w:marBottom w:val="0"/>
              <w:divBdr>
                <w:top w:val="none" w:sz="0" w:space="0" w:color="auto"/>
                <w:left w:val="none" w:sz="0" w:space="0" w:color="auto"/>
                <w:bottom w:val="none" w:sz="0" w:space="0" w:color="auto"/>
                <w:right w:val="none" w:sz="0" w:space="0" w:color="auto"/>
              </w:divBdr>
              <w:divsChild>
                <w:div w:id="8474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134">
      <w:bodyDiv w:val="1"/>
      <w:marLeft w:val="0"/>
      <w:marRight w:val="0"/>
      <w:marTop w:val="0"/>
      <w:marBottom w:val="0"/>
      <w:divBdr>
        <w:top w:val="none" w:sz="0" w:space="0" w:color="auto"/>
        <w:left w:val="none" w:sz="0" w:space="0" w:color="auto"/>
        <w:bottom w:val="none" w:sz="0" w:space="0" w:color="auto"/>
        <w:right w:val="none" w:sz="0" w:space="0" w:color="auto"/>
      </w:divBdr>
      <w:divsChild>
        <w:div w:id="663362741">
          <w:marLeft w:val="0"/>
          <w:marRight w:val="0"/>
          <w:marTop w:val="0"/>
          <w:marBottom w:val="0"/>
          <w:divBdr>
            <w:top w:val="none" w:sz="0" w:space="0" w:color="auto"/>
            <w:left w:val="none" w:sz="0" w:space="0" w:color="auto"/>
            <w:bottom w:val="none" w:sz="0" w:space="0" w:color="auto"/>
            <w:right w:val="none" w:sz="0" w:space="0" w:color="auto"/>
          </w:divBdr>
          <w:divsChild>
            <w:div w:id="1335260836">
              <w:marLeft w:val="0"/>
              <w:marRight w:val="0"/>
              <w:marTop w:val="0"/>
              <w:marBottom w:val="0"/>
              <w:divBdr>
                <w:top w:val="none" w:sz="0" w:space="0" w:color="auto"/>
                <w:left w:val="none" w:sz="0" w:space="0" w:color="auto"/>
                <w:bottom w:val="none" w:sz="0" w:space="0" w:color="auto"/>
                <w:right w:val="none" w:sz="0" w:space="0" w:color="auto"/>
              </w:divBdr>
              <w:divsChild>
                <w:div w:id="6465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534">
      <w:bodyDiv w:val="1"/>
      <w:marLeft w:val="0"/>
      <w:marRight w:val="0"/>
      <w:marTop w:val="0"/>
      <w:marBottom w:val="0"/>
      <w:divBdr>
        <w:top w:val="none" w:sz="0" w:space="0" w:color="auto"/>
        <w:left w:val="none" w:sz="0" w:space="0" w:color="auto"/>
        <w:bottom w:val="none" w:sz="0" w:space="0" w:color="auto"/>
        <w:right w:val="none" w:sz="0" w:space="0" w:color="auto"/>
      </w:divBdr>
      <w:divsChild>
        <w:div w:id="971251039">
          <w:marLeft w:val="0"/>
          <w:marRight w:val="0"/>
          <w:marTop w:val="0"/>
          <w:marBottom w:val="0"/>
          <w:divBdr>
            <w:top w:val="none" w:sz="0" w:space="0" w:color="auto"/>
            <w:left w:val="none" w:sz="0" w:space="0" w:color="auto"/>
            <w:bottom w:val="none" w:sz="0" w:space="0" w:color="auto"/>
            <w:right w:val="none" w:sz="0" w:space="0" w:color="auto"/>
          </w:divBdr>
          <w:divsChild>
            <w:div w:id="213347731">
              <w:marLeft w:val="0"/>
              <w:marRight w:val="0"/>
              <w:marTop w:val="0"/>
              <w:marBottom w:val="0"/>
              <w:divBdr>
                <w:top w:val="none" w:sz="0" w:space="0" w:color="auto"/>
                <w:left w:val="none" w:sz="0" w:space="0" w:color="auto"/>
                <w:bottom w:val="none" w:sz="0" w:space="0" w:color="auto"/>
                <w:right w:val="none" w:sz="0" w:space="0" w:color="auto"/>
              </w:divBdr>
              <w:divsChild>
                <w:div w:id="11033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034">
      <w:bodyDiv w:val="1"/>
      <w:marLeft w:val="0"/>
      <w:marRight w:val="0"/>
      <w:marTop w:val="0"/>
      <w:marBottom w:val="0"/>
      <w:divBdr>
        <w:top w:val="none" w:sz="0" w:space="0" w:color="auto"/>
        <w:left w:val="none" w:sz="0" w:space="0" w:color="auto"/>
        <w:bottom w:val="none" w:sz="0" w:space="0" w:color="auto"/>
        <w:right w:val="none" w:sz="0" w:space="0" w:color="auto"/>
      </w:divBdr>
      <w:divsChild>
        <w:div w:id="1880820369">
          <w:marLeft w:val="0"/>
          <w:marRight w:val="0"/>
          <w:marTop w:val="0"/>
          <w:marBottom w:val="0"/>
          <w:divBdr>
            <w:top w:val="none" w:sz="0" w:space="0" w:color="auto"/>
            <w:left w:val="none" w:sz="0" w:space="0" w:color="auto"/>
            <w:bottom w:val="none" w:sz="0" w:space="0" w:color="auto"/>
            <w:right w:val="none" w:sz="0" w:space="0" w:color="auto"/>
          </w:divBdr>
          <w:divsChild>
            <w:div w:id="688412661">
              <w:marLeft w:val="0"/>
              <w:marRight w:val="0"/>
              <w:marTop w:val="0"/>
              <w:marBottom w:val="0"/>
              <w:divBdr>
                <w:top w:val="none" w:sz="0" w:space="0" w:color="auto"/>
                <w:left w:val="none" w:sz="0" w:space="0" w:color="auto"/>
                <w:bottom w:val="none" w:sz="0" w:space="0" w:color="auto"/>
                <w:right w:val="none" w:sz="0" w:space="0" w:color="auto"/>
              </w:divBdr>
              <w:divsChild>
                <w:div w:id="741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48461">
      <w:bodyDiv w:val="1"/>
      <w:marLeft w:val="0"/>
      <w:marRight w:val="0"/>
      <w:marTop w:val="0"/>
      <w:marBottom w:val="0"/>
      <w:divBdr>
        <w:top w:val="none" w:sz="0" w:space="0" w:color="auto"/>
        <w:left w:val="none" w:sz="0" w:space="0" w:color="auto"/>
        <w:bottom w:val="none" w:sz="0" w:space="0" w:color="auto"/>
        <w:right w:val="none" w:sz="0" w:space="0" w:color="auto"/>
      </w:divBdr>
      <w:divsChild>
        <w:div w:id="349572483">
          <w:marLeft w:val="0"/>
          <w:marRight w:val="0"/>
          <w:marTop w:val="0"/>
          <w:marBottom w:val="0"/>
          <w:divBdr>
            <w:top w:val="none" w:sz="0" w:space="0" w:color="auto"/>
            <w:left w:val="none" w:sz="0" w:space="0" w:color="auto"/>
            <w:bottom w:val="none" w:sz="0" w:space="0" w:color="auto"/>
            <w:right w:val="none" w:sz="0" w:space="0" w:color="auto"/>
          </w:divBdr>
          <w:divsChild>
            <w:div w:id="1673410484">
              <w:marLeft w:val="0"/>
              <w:marRight w:val="0"/>
              <w:marTop w:val="0"/>
              <w:marBottom w:val="0"/>
              <w:divBdr>
                <w:top w:val="none" w:sz="0" w:space="0" w:color="auto"/>
                <w:left w:val="none" w:sz="0" w:space="0" w:color="auto"/>
                <w:bottom w:val="none" w:sz="0" w:space="0" w:color="auto"/>
                <w:right w:val="none" w:sz="0" w:space="0" w:color="auto"/>
              </w:divBdr>
              <w:divsChild>
                <w:div w:id="16821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1927">
      <w:bodyDiv w:val="1"/>
      <w:marLeft w:val="0"/>
      <w:marRight w:val="0"/>
      <w:marTop w:val="0"/>
      <w:marBottom w:val="0"/>
      <w:divBdr>
        <w:top w:val="none" w:sz="0" w:space="0" w:color="auto"/>
        <w:left w:val="none" w:sz="0" w:space="0" w:color="auto"/>
        <w:bottom w:val="none" w:sz="0" w:space="0" w:color="auto"/>
        <w:right w:val="none" w:sz="0" w:space="0" w:color="auto"/>
      </w:divBdr>
    </w:div>
    <w:div w:id="1933783807">
      <w:bodyDiv w:val="1"/>
      <w:marLeft w:val="0"/>
      <w:marRight w:val="0"/>
      <w:marTop w:val="0"/>
      <w:marBottom w:val="0"/>
      <w:divBdr>
        <w:top w:val="none" w:sz="0" w:space="0" w:color="auto"/>
        <w:left w:val="none" w:sz="0" w:space="0" w:color="auto"/>
        <w:bottom w:val="none" w:sz="0" w:space="0" w:color="auto"/>
        <w:right w:val="none" w:sz="0" w:space="0" w:color="auto"/>
      </w:divBdr>
      <w:divsChild>
        <w:div w:id="4023072">
          <w:marLeft w:val="0"/>
          <w:marRight w:val="0"/>
          <w:marTop w:val="0"/>
          <w:marBottom w:val="0"/>
          <w:divBdr>
            <w:top w:val="none" w:sz="0" w:space="0" w:color="auto"/>
            <w:left w:val="none" w:sz="0" w:space="0" w:color="auto"/>
            <w:bottom w:val="none" w:sz="0" w:space="0" w:color="auto"/>
            <w:right w:val="none" w:sz="0" w:space="0" w:color="auto"/>
          </w:divBdr>
          <w:divsChild>
            <w:div w:id="691416781">
              <w:marLeft w:val="0"/>
              <w:marRight w:val="0"/>
              <w:marTop w:val="0"/>
              <w:marBottom w:val="0"/>
              <w:divBdr>
                <w:top w:val="none" w:sz="0" w:space="0" w:color="auto"/>
                <w:left w:val="none" w:sz="0" w:space="0" w:color="auto"/>
                <w:bottom w:val="none" w:sz="0" w:space="0" w:color="auto"/>
                <w:right w:val="none" w:sz="0" w:space="0" w:color="auto"/>
              </w:divBdr>
              <w:divsChild>
                <w:div w:id="12950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2919">
      <w:bodyDiv w:val="1"/>
      <w:marLeft w:val="0"/>
      <w:marRight w:val="0"/>
      <w:marTop w:val="0"/>
      <w:marBottom w:val="0"/>
      <w:divBdr>
        <w:top w:val="none" w:sz="0" w:space="0" w:color="auto"/>
        <w:left w:val="none" w:sz="0" w:space="0" w:color="auto"/>
        <w:bottom w:val="none" w:sz="0" w:space="0" w:color="auto"/>
        <w:right w:val="none" w:sz="0" w:space="0" w:color="auto"/>
      </w:divBdr>
      <w:divsChild>
        <w:div w:id="1061295836">
          <w:marLeft w:val="0"/>
          <w:marRight w:val="0"/>
          <w:marTop w:val="0"/>
          <w:marBottom w:val="0"/>
          <w:divBdr>
            <w:top w:val="none" w:sz="0" w:space="0" w:color="auto"/>
            <w:left w:val="none" w:sz="0" w:space="0" w:color="auto"/>
            <w:bottom w:val="none" w:sz="0" w:space="0" w:color="auto"/>
            <w:right w:val="none" w:sz="0" w:space="0" w:color="auto"/>
          </w:divBdr>
          <w:divsChild>
            <w:div w:id="241843429">
              <w:marLeft w:val="0"/>
              <w:marRight w:val="0"/>
              <w:marTop w:val="0"/>
              <w:marBottom w:val="0"/>
              <w:divBdr>
                <w:top w:val="none" w:sz="0" w:space="0" w:color="auto"/>
                <w:left w:val="none" w:sz="0" w:space="0" w:color="auto"/>
                <w:bottom w:val="none" w:sz="0" w:space="0" w:color="auto"/>
                <w:right w:val="none" w:sz="0" w:space="0" w:color="auto"/>
              </w:divBdr>
              <w:divsChild>
                <w:div w:id="8736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8251</Words>
  <Characters>47031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Lengna tan</cp:lastModifiedBy>
  <cp:revision>4</cp:revision>
  <cp:lastPrinted>2019-08-27T05:42:00Z</cp:lastPrinted>
  <dcterms:created xsi:type="dcterms:W3CDTF">2023-02-26T09:42:00Z</dcterms:created>
  <dcterms:modified xsi:type="dcterms:W3CDTF">2023-02-28T15:35:00Z</dcterms:modified>
</cp:coreProperties>
</file>