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in order to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6925C1">
        <w:rPr>
          <w:rFonts w:ascii="Avenir Next" w:hAnsi="Avenir Next" w:cs="Arial"/>
          <w:sz w:val="22"/>
          <w:szCs w:val="22"/>
          <w:lang w:val="en-GB"/>
        </w:rPr>
        <w:lastRenderedPageBreak/>
        <w:t xml:space="preserve">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6644BC" w:rsidRDefault="00AE5B6F" w:rsidP="00B04033">
      <w:pPr>
        <w:pStyle w:val="ListParagraph"/>
        <w:numPr>
          <w:ilvl w:val="0"/>
          <w:numId w:val="1"/>
        </w:numPr>
        <w:ind w:left="426"/>
        <w:jc w:val="both"/>
        <w:rPr>
          <w:rFonts w:ascii="Avenir Next" w:hAnsi="Avenir Next" w:cs="Arial"/>
          <w:sz w:val="22"/>
          <w:szCs w:val="22"/>
          <w:highlight w:val="yellow"/>
          <w:lang w:val="en-GB"/>
        </w:rPr>
      </w:pPr>
      <w:r w:rsidRPr="006644BC">
        <w:rPr>
          <w:rFonts w:ascii="Avenir Next" w:hAnsi="Avenir Next" w:cs="Arial"/>
          <w:sz w:val="22"/>
          <w:szCs w:val="22"/>
          <w:highlight w:val="yellow"/>
          <w:lang w:val="en-GB"/>
        </w:rPr>
        <w:t>w</w:t>
      </w:r>
      <w:r w:rsidR="00C91062" w:rsidRPr="006644BC">
        <w:rPr>
          <w:rFonts w:ascii="Avenir Next" w:hAnsi="Avenir Next" w:cs="Arial"/>
          <w:sz w:val="22"/>
          <w:szCs w:val="22"/>
          <w:highlight w:val="yellow"/>
          <w:lang w:val="en-GB"/>
        </w:rPr>
        <w:t>ithin 8 weeks of the commencement of the administration</w:t>
      </w:r>
      <w:r w:rsidR="00763348" w:rsidRPr="006644BC">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5ACEF2CA" w14:textId="5C5CC82C" w:rsidR="0038410E" w:rsidRPr="00312545" w:rsidRDefault="00E443D7" w:rsidP="00312545">
      <w:pPr>
        <w:pStyle w:val="ListParagraph"/>
        <w:numPr>
          <w:ilvl w:val="0"/>
          <w:numId w:val="2"/>
        </w:numPr>
        <w:ind w:left="426"/>
        <w:jc w:val="both"/>
        <w:rPr>
          <w:rFonts w:ascii="Avenir Next" w:hAnsi="Avenir Next" w:cs="Arial"/>
          <w:sz w:val="22"/>
          <w:szCs w:val="22"/>
          <w:highlight w:val="yellow"/>
          <w:lang w:val="en-GB"/>
        </w:rPr>
      </w:pPr>
      <w:r w:rsidRPr="006644BC">
        <w:rPr>
          <w:rFonts w:ascii="Avenir Next" w:hAnsi="Avenir Next" w:cs="Arial"/>
          <w:sz w:val="22"/>
          <w:szCs w:val="22"/>
          <w:highlight w:val="yellow"/>
          <w:lang w:val="en-GB"/>
        </w:rPr>
        <w:t>One year</w:t>
      </w:r>
      <w:r w:rsidR="00763348" w:rsidRPr="006644BC">
        <w:rPr>
          <w:rFonts w:ascii="Avenir Next" w:hAnsi="Avenir Next" w:cs="Arial"/>
          <w:sz w:val="22"/>
          <w:szCs w:val="22"/>
          <w:highlight w:val="yellow"/>
          <w:lang w:val="en-GB"/>
        </w:rPr>
        <w:t>.</w:t>
      </w: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enter into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6644BC" w:rsidRDefault="00AE5B6F" w:rsidP="00B04033">
      <w:pPr>
        <w:pStyle w:val="ListParagraph"/>
        <w:numPr>
          <w:ilvl w:val="0"/>
          <w:numId w:val="3"/>
        </w:numPr>
        <w:ind w:left="426"/>
        <w:jc w:val="both"/>
        <w:rPr>
          <w:rFonts w:ascii="Avenir Next" w:hAnsi="Avenir Next" w:cs="Arial"/>
          <w:sz w:val="22"/>
          <w:szCs w:val="22"/>
          <w:highlight w:val="yellow"/>
          <w:lang w:val="en-GB"/>
        </w:rPr>
      </w:pPr>
      <w:r w:rsidRPr="006644BC">
        <w:rPr>
          <w:rFonts w:ascii="Avenir Next" w:hAnsi="Avenir Next" w:cs="Arial"/>
          <w:sz w:val="22"/>
          <w:szCs w:val="22"/>
          <w:highlight w:val="yellow"/>
          <w:lang w:val="en-GB"/>
        </w:rPr>
        <w:t>T</w:t>
      </w:r>
      <w:r w:rsidR="008D1616" w:rsidRPr="006644BC">
        <w:rPr>
          <w:rFonts w:ascii="Avenir Next" w:hAnsi="Avenir Next" w:cs="Arial"/>
          <w:sz w:val="22"/>
          <w:szCs w:val="22"/>
          <w:highlight w:val="yellow"/>
          <w:lang w:val="en-GB"/>
        </w:rPr>
        <w:t>he company is, or is likely to become, unable to pay their debts, as defined under s</w:t>
      </w:r>
      <w:r w:rsidR="00E833F4" w:rsidRPr="006644BC">
        <w:rPr>
          <w:rFonts w:ascii="Avenir Next" w:hAnsi="Avenir Next" w:cs="Arial"/>
          <w:sz w:val="22"/>
          <w:szCs w:val="22"/>
          <w:highlight w:val="yellow"/>
          <w:lang w:val="en-GB"/>
        </w:rPr>
        <w:t>ection</w:t>
      </w:r>
      <w:r w:rsidR="008D1616" w:rsidRPr="006644BC">
        <w:rPr>
          <w:rFonts w:ascii="Avenir Next" w:hAnsi="Avenir Next" w:cs="Arial"/>
          <w:sz w:val="22"/>
          <w:szCs w:val="22"/>
          <w:highlight w:val="yellow"/>
          <w:lang w:val="en-GB"/>
        </w:rPr>
        <w:t xml:space="preserve"> 123 of the Insolvency Act 1986</w:t>
      </w:r>
      <w:r w:rsidR="00763348" w:rsidRPr="006644BC">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6644BC" w:rsidRDefault="00C91062" w:rsidP="00B04033">
      <w:pPr>
        <w:pStyle w:val="ListParagraph"/>
        <w:numPr>
          <w:ilvl w:val="0"/>
          <w:numId w:val="4"/>
        </w:numPr>
        <w:ind w:left="426"/>
        <w:jc w:val="both"/>
        <w:rPr>
          <w:rFonts w:ascii="Avenir Next" w:hAnsi="Avenir Next" w:cs="Arial"/>
          <w:sz w:val="22"/>
          <w:szCs w:val="22"/>
          <w:highlight w:val="yellow"/>
          <w:lang w:val="en-GB"/>
        </w:rPr>
      </w:pPr>
      <w:r w:rsidRPr="006644BC">
        <w:rPr>
          <w:rFonts w:ascii="Avenir Next" w:hAnsi="Avenir Next" w:cs="Arial"/>
          <w:sz w:val="22"/>
          <w:szCs w:val="22"/>
          <w:highlight w:val="yellow"/>
          <w:lang w:val="en-GB"/>
        </w:rPr>
        <w:t>The purchaser</w:t>
      </w:r>
      <w:r w:rsidR="00763348" w:rsidRPr="006644BC">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6644BC" w:rsidRDefault="00BA1CFD" w:rsidP="00B04033">
      <w:pPr>
        <w:pStyle w:val="ListParagraph"/>
        <w:numPr>
          <w:ilvl w:val="0"/>
          <w:numId w:val="5"/>
        </w:numPr>
        <w:ind w:left="426"/>
        <w:jc w:val="both"/>
        <w:rPr>
          <w:rFonts w:ascii="Avenir Next" w:hAnsi="Avenir Next" w:cs="Arial"/>
          <w:sz w:val="22"/>
          <w:szCs w:val="22"/>
          <w:highlight w:val="yellow"/>
          <w:lang w:val="en-GB"/>
        </w:rPr>
      </w:pPr>
      <w:r w:rsidRPr="006644BC">
        <w:rPr>
          <w:rFonts w:ascii="Avenir Next" w:hAnsi="Avenir Next" w:cs="Arial"/>
          <w:sz w:val="22"/>
          <w:szCs w:val="22"/>
          <w:highlight w:val="yellow"/>
          <w:lang w:val="en-GB"/>
        </w:rPr>
        <w:t>Administration</w:t>
      </w:r>
      <w:r w:rsidR="00763348" w:rsidRPr="006644BC">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A79B346" w14:textId="1A5E0CEA" w:rsidR="0038410E" w:rsidRPr="00312545" w:rsidRDefault="00BA1CFD" w:rsidP="00312545">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6644BC" w:rsidRDefault="001F3C98" w:rsidP="00B04033">
      <w:pPr>
        <w:pStyle w:val="ListParagraph"/>
        <w:numPr>
          <w:ilvl w:val="0"/>
          <w:numId w:val="6"/>
        </w:numPr>
        <w:ind w:left="426"/>
        <w:jc w:val="both"/>
        <w:rPr>
          <w:rFonts w:ascii="Avenir Next" w:hAnsi="Avenir Next" w:cs="Arial"/>
          <w:sz w:val="22"/>
          <w:szCs w:val="22"/>
          <w:highlight w:val="yellow"/>
          <w:lang w:val="en-GB"/>
        </w:rPr>
      </w:pPr>
      <w:r w:rsidRPr="006644BC">
        <w:rPr>
          <w:rFonts w:ascii="Avenir Next" w:hAnsi="Avenir Next" w:cs="Arial"/>
          <w:sz w:val="22"/>
          <w:szCs w:val="22"/>
          <w:highlight w:val="yellow"/>
          <w:lang w:val="en-GB"/>
        </w:rPr>
        <w:t xml:space="preserve">GBP </w:t>
      </w:r>
      <w:r w:rsidR="00BA1CFD" w:rsidRPr="006644BC">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in itself, a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Wrongful trading</w:t>
      </w:r>
      <w:r w:rsidR="00763348" w:rsidRPr="006925C1">
        <w:rPr>
          <w:rFonts w:ascii="Avenir Next" w:hAnsi="Avenir Next" w:cs="Arial"/>
          <w:sz w:val="22"/>
          <w:szCs w:val="22"/>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6644BC" w:rsidRDefault="00BA1CFD" w:rsidP="00B04033">
      <w:pPr>
        <w:pStyle w:val="ListParagraph"/>
        <w:numPr>
          <w:ilvl w:val="0"/>
          <w:numId w:val="7"/>
        </w:numPr>
        <w:ind w:left="426"/>
        <w:jc w:val="both"/>
        <w:rPr>
          <w:rFonts w:ascii="Avenir Next" w:hAnsi="Avenir Next" w:cs="Arial"/>
          <w:sz w:val="22"/>
          <w:szCs w:val="22"/>
          <w:highlight w:val="yellow"/>
          <w:lang w:val="en-GB"/>
        </w:rPr>
      </w:pPr>
      <w:r w:rsidRPr="006644BC">
        <w:rPr>
          <w:rFonts w:ascii="Avenir Next" w:hAnsi="Avenir Next" w:cs="Arial"/>
          <w:sz w:val="22"/>
          <w:szCs w:val="22"/>
          <w:highlight w:val="yellow"/>
          <w:lang w:val="en-GB"/>
        </w:rPr>
        <w:lastRenderedPageBreak/>
        <w:t>Breach of fiduciary duty</w:t>
      </w:r>
      <w:r w:rsidR="00763348" w:rsidRPr="006644BC">
        <w:rPr>
          <w:rFonts w:ascii="Avenir Next" w:hAnsi="Avenir Next" w:cs="Arial"/>
          <w:sz w:val="22"/>
          <w:szCs w:val="22"/>
          <w:highlight w:val="yellow"/>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whether or not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6644BC" w:rsidRDefault="00876F56" w:rsidP="00B04033">
      <w:pPr>
        <w:pStyle w:val="ListParagraph"/>
        <w:numPr>
          <w:ilvl w:val="0"/>
          <w:numId w:val="8"/>
        </w:numPr>
        <w:ind w:left="426"/>
        <w:jc w:val="both"/>
        <w:rPr>
          <w:rFonts w:ascii="Avenir Next" w:hAnsi="Avenir Next" w:cs="Arial"/>
          <w:sz w:val="22"/>
          <w:szCs w:val="22"/>
          <w:highlight w:val="yellow"/>
          <w:lang w:val="en-GB"/>
        </w:rPr>
      </w:pPr>
      <w:r w:rsidRPr="006644BC">
        <w:rPr>
          <w:rFonts w:ascii="Avenir Next" w:hAnsi="Avenir Next" w:cs="Arial"/>
          <w:sz w:val="22"/>
          <w:szCs w:val="22"/>
          <w:highlight w:val="yellow"/>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6F6A0D27" w14:textId="66DB4C00" w:rsidR="001F3C98" w:rsidRPr="00312545" w:rsidRDefault="00876F56" w:rsidP="00C55824">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6644BC" w:rsidRDefault="00E833F4" w:rsidP="00B04033">
      <w:pPr>
        <w:pStyle w:val="ListParagraph"/>
        <w:numPr>
          <w:ilvl w:val="0"/>
          <w:numId w:val="9"/>
        </w:numPr>
        <w:ind w:left="426"/>
        <w:jc w:val="both"/>
        <w:rPr>
          <w:rFonts w:ascii="Avenir Next" w:hAnsi="Avenir Next" w:cs="Arial"/>
          <w:sz w:val="22"/>
          <w:szCs w:val="22"/>
          <w:highlight w:val="yellow"/>
          <w:lang w:val="en-GB"/>
        </w:rPr>
      </w:pPr>
      <w:r w:rsidRPr="006644BC">
        <w:rPr>
          <w:rFonts w:ascii="Avenir Next" w:hAnsi="Avenir Next" w:cs="Arial"/>
          <w:sz w:val="22"/>
          <w:szCs w:val="22"/>
          <w:highlight w:val="yellow"/>
          <w:lang w:val="en-GB"/>
        </w:rPr>
        <w:t>A</w:t>
      </w:r>
      <w:r w:rsidR="000D10C6" w:rsidRPr="006644BC">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for what period of time</w:t>
      </w:r>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12 months</w:t>
      </w:r>
      <w:r w:rsidR="00763348" w:rsidRPr="006925C1">
        <w:rPr>
          <w:rFonts w:ascii="Avenir Next" w:hAnsi="Avenir Next" w:cs="Arial"/>
          <w:sz w:val="22"/>
          <w:szCs w:val="22"/>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6644BC" w:rsidRDefault="0020204E" w:rsidP="00B04033">
      <w:pPr>
        <w:pStyle w:val="ListParagraph"/>
        <w:numPr>
          <w:ilvl w:val="0"/>
          <w:numId w:val="10"/>
        </w:numPr>
        <w:ind w:left="426"/>
        <w:jc w:val="both"/>
        <w:rPr>
          <w:rFonts w:ascii="Avenir Next" w:hAnsi="Avenir Next" w:cs="Arial"/>
          <w:sz w:val="22"/>
          <w:szCs w:val="22"/>
          <w:highlight w:val="yellow"/>
          <w:lang w:val="en-GB"/>
        </w:rPr>
      </w:pPr>
      <w:r w:rsidRPr="006644BC">
        <w:rPr>
          <w:rFonts w:ascii="Avenir Next" w:hAnsi="Avenir Next" w:cs="Arial"/>
          <w:sz w:val="22"/>
          <w:szCs w:val="22"/>
          <w:highlight w:val="yellow"/>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(i)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435BDA81" w14:textId="77777777" w:rsidR="006644BC" w:rsidRPr="00795D9D" w:rsidRDefault="006644BC" w:rsidP="006644BC">
      <w:pPr>
        <w:pStyle w:val="ListParagraph"/>
        <w:numPr>
          <w:ilvl w:val="0"/>
          <w:numId w:val="20"/>
        </w:numPr>
        <w:spacing w:before="120" w:after="120"/>
        <w:contextualSpacing w:val="0"/>
        <w:rPr>
          <w:rFonts w:ascii="Arial" w:hAnsi="Arial" w:cs="Arial"/>
          <w:sz w:val="22"/>
          <w:szCs w:val="22"/>
        </w:rPr>
      </w:pPr>
      <w:r w:rsidRPr="00795D9D">
        <w:rPr>
          <w:rFonts w:ascii="Arial" w:hAnsi="Arial" w:cs="Arial"/>
          <w:sz w:val="22"/>
          <w:szCs w:val="22"/>
        </w:rPr>
        <w:t>Per section 424(1) of the Insolvency Act 1986 (Act),</w:t>
      </w:r>
      <w:r w:rsidRPr="00795D9D">
        <w:rPr>
          <w:rStyle w:val="FootnoteReference"/>
          <w:rFonts w:ascii="Arial" w:hAnsi="Arial" w:cs="Arial"/>
          <w:sz w:val="22"/>
          <w:szCs w:val="22"/>
        </w:rPr>
        <w:footnoteReference w:id="1"/>
      </w:r>
      <w:r w:rsidRPr="00795D9D">
        <w:rPr>
          <w:rFonts w:ascii="Arial" w:hAnsi="Arial" w:cs="Arial"/>
          <w:sz w:val="22"/>
          <w:szCs w:val="22"/>
        </w:rPr>
        <w:t xml:space="preserve"> the following people may bring an action under section 423 of the Act:</w:t>
      </w:r>
      <w:r w:rsidRPr="00795D9D">
        <w:rPr>
          <w:rStyle w:val="FootnoteReference"/>
          <w:rFonts w:ascii="Arial" w:hAnsi="Arial" w:cs="Arial"/>
          <w:sz w:val="22"/>
          <w:szCs w:val="22"/>
        </w:rPr>
        <w:footnoteReference w:id="2"/>
      </w:r>
    </w:p>
    <w:p w14:paraId="35DA5550" w14:textId="77777777" w:rsidR="006644BC" w:rsidRPr="00795D9D" w:rsidRDefault="006644BC" w:rsidP="006644BC">
      <w:pPr>
        <w:pStyle w:val="ListParagraph"/>
        <w:numPr>
          <w:ilvl w:val="1"/>
          <w:numId w:val="18"/>
        </w:numPr>
        <w:spacing w:before="120" w:after="120"/>
        <w:contextualSpacing w:val="0"/>
        <w:rPr>
          <w:rFonts w:ascii="Arial" w:hAnsi="Arial" w:cs="Arial"/>
          <w:sz w:val="22"/>
          <w:szCs w:val="22"/>
        </w:rPr>
      </w:pPr>
      <w:r w:rsidRPr="00795D9D">
        <w:rPr>
          <w:rFonts w:ascii="Arial" w:hAnsi="Arial" w:cs="Arial"/>
          <w:sz w:val="22"/>
          <w:szCs w:val="22"/>
        </w:rPr>
        <w:t>In the event of a company being wound up or being in administration:</w:t>
      </w:r>
    </w:p>
    <w:p w14:paraId="1407BEB9" w14:textId="77777777" w:rsidR="006644BC" w:rsidRPr="00795D9D" w:rsidRDefault="006644BC" w:rsidP="006644BC">
      <w:pPr>
        <w:pStyle w:val="ListParagraph"/>
        <w:numPr>
          <w:ilvl w:val="2"/>
          <w:numId w:val="18"/>
        </w:numPr>
        <w:spacing w:before="120" w:after="120"/>
        <w:contextualSpacing w:val="0"/>
        <w:rPr>
          <w:rFonts w:ascii="Arial" w:hAnsi="Arial" w:cs="Arial"/>
          <w:sz w:val="22"/>
          <w:szCs w:val="22"/>
        </w:rPr>
      </w:pPr>
      <w:r w:rsidRPr="00795D9D">
        <w:rPr>
          <w:rFonts w:ascii="Arial" w:hAnsi="Arial" w:cs="Arial"/>
          <w:sz w:val="22"/>
          <w:szCs w:val="22"/>
        </w:rPr>
        <w:t>The official receiver;</w:t>
      </w:r>
    </w:p>
    <w:p w14:paraId="082C7ED3" w14:textId="77777777" w:rsidR="006644BC" w:rsidRPr="00795D9D" w:rsidRDefault="006644BC" w:rsidP="006644BC">
      <w:pPr>
        <w:pStyle w:val="ListParagraph"/>
        <w:numPr>
          <w:ilvl w:val="2"/>
          <w:numId w:val="18"/>
        </w:numPr>
        <w:spacing w:before="120" w:after="120"/>
        <w:contextualSpacing w:val="0"/>
        <w:rPr>
          <w:rFonts w:ascii="Arial" w:hAnsi="Arial" w:cs="Arial"/>
          <w:sz w:val="22"/>
          <w:szCs w:val="22"/>
        </w:rPr>
      </w:pPr>
      <w:r w:rsidRPr="00795D9D">
        <w:rPr>
          <w:rFonts w:ascii="Arial" w:hAnsi="Arial" w:cs="Arial"/>
          <w:sz w:val="22"/>
          <w:szCs w:val="22"/>
        </w:rPr>
        <w:t>The liquidator;</w:t>
      </w:r>
    </w:p>
    <w:p w14:paraId="2E0A204C" w14:textId="77777777" w:rsidR="006644BC" w:rsidRPr="00795D9D" w:rsidRDefault="006644BC" w:rsidP="006644BC">
      <w:pPr>
        <w:pStyle w:val="ListParagraph"/>
        <w:numPr>
          <w:ilvl w:val="2"/>
          <w:numId w:val="18"/>
        </w:numPr>
        <w:spacing w:before="120" w:after="120"/>
        <w:contextualSpacing w:val="0"/>
        <w:rPr>
          <w:rFonts w:ascii="Arial" w:hAnsi="Arial" w:cs="Arial"/>
          <w:sz w:val="22"/>
          <w:szCs w:val="22"/>
        </w:rPr>
      </w:pPr>
      <w:r w:rsidRPr="00795D9D">
        <w:rPr>
          <w:rFonts w:ascii="Arial" w:hAnsi="Arial" w:cs="Arial"/>
          <w:sz w:val="22"/>
          <w:szCs w:val="22"/>
        </w:rPr>
        <w:t>The administrator; or</w:t>
      </w:r>
    </w:p>
    <w:p w14:paraId="5585CD90" w14:textId="77777777" w:rsidR="006644BC" w:rsidRPr="00795D9D" w:rsidRDefault="006644BC" w:rsidP="006644BC">
      <w:pPr>
        <w:pStyle w:val="ListParagraph"/>
        <w:numPr>
          <w:ilvl w:val="2"/>
          <w:numId w:val="18"/>
        </w:numPr>
        <w:spacing w:before="120" w:after="120"/>
        <w:contextualSpacing w:val="0"/>
        <w:rPr>
          <w:rFonts w:ascii="Arial" w:hAnsi="Arial" w:cs="Arial"/>
          <w:sz w:val="22"/>
          <w:szCs w:val="22"/>
        </w:rPr>
      </w:pPr>
      <w:r w:rsidRPr="00795D9D">
        <w:rPr>
          <w:rFonts w:ascii="Arial" w:hAnsi="Arial" w:cs="Arial"/>
          <w:sz w:val="22"/>
          <w:szCs w:val="22"/>
        </w:rPr>
        <w:t>Any victim of the transaction (for example, a creditor), so long as leave of the court is granted).</w:t>
      </w:r>
    </w:p>
    <w:p w14:paraId="092BF1DF" w14:textId="77777777" w:rsidR="006644BC" w:rsidRPr="00795D9D" w:rsidRDefault="006644BC" w:rsidP="006644BC">
      <w:pPr>
        <w:pStyle w:val="ListParagraph"/>
        <w:numPr>
          <w:ilvl w:val="1"/>
          <w:numId w:val="18"/>
        </w:numPr>
        <w:spacing w:before="120" w:after="120"/>
        <w:contextualSpacing w:val="0"/>
        <w:rPr>
          <w:rFonts w:ascii="Arial" w:hAnsi="Arial" w:cs="Arial"/>
          <w:sz w:val="22"/>
          <w:szCs w:val="22"/>
        </w:rPr>
      </w:pPr>
      <w:r w:rsidRPr="00795D9D">
        <w:rPr>
          <w:rFonts w:ascii="Arial" w:hAnsi="Arial" w:cs="Arial"/>
          <w:sz w:val="22"/>
          <w:szCs w:val="22"/>
        </w:rPr>
        <w:t>In the event where the victim is bound by a company voluntary arrangement:</w:t>
      </w:r>
    </w:p>
    <w:p w14:paraId="75EAA258" w14:textId="77777777" w:rsidR="006644BC" w:rsidRPr="00795D9D" w:rsidRDefault="006644BC" w:rsidP="006644BC">
      <w:pPr>
        <w:pStyle w:val="ListParagraph"/>
        <w:numPr>
          <w:ilvl w:val="2"/>
          <w:numId w:val="18"/>
        </w:numPr>
        <w:spacing w:before="120" w:after="120"/>
        <w:contextualSpacing w:val="0"/>
        <w:rPr>
          <w:rFonts w:ascii="Arial" w:hAnsi="Arial" w:cs="Arial"/>
          <w:sz w:val="22"/>
          <w:szCs w:val="22"/>
        </w:rPr>
      </w:pPr>
      <w:r w:rsidRPr="00795D9D">
        <w:rPr>
          <w:rFonts w:ascii="Arial" w:hAnsi="Arial" w:cs="Arial"/>
          <w:sz w:val="22"/>
          <w:szCs w:val="22"/>
        </w:rPr>
        <w:t>The supervisor of the company voluntary arrangement; or</w:t>
      </w:r>
    </w:p>
    <w:p w14:paraId="4562FBDC" w14:textId="77777777" w:rsidR="006644BC" w:rsidRPr="00795D9D" w:rsidRDefault="006644BC" w:rsidP="006644BC">
      <w:pPr>
        <w:pStyle w:val="ListParagraph"/>
        <w:numPr>
          <w:ilvl w:val="2"/>
          <w:numId w:val="18"/>
        </w:numPr>
        <w:spacing w:before="120" w:after="120"/>
        <w:contextualSpacing w:val="0"/>
        <w:rPr>
          <w:rFonts w:ascii="Arial" w:hAnsi="Arial" w:cs="Arial"/>
          <w:sz w:val="22"/>
          <w:szCs w:val="22"/>
        </w:rPr>
      </w:pPr>
      <w:r w:rsidRPr="00795D9D">
        <w:rPr>
          <w:rFonts w:ascii="Arial" w:hAnsi="Arial" w:cs="Arial"/>
          <w:sz w:val="22"/>
          <w:szCs w:val="22"/>
        </w:rPr>
        <w:t>Any victim of the transaction (irrespective of whether that victim is bound by the company voluntary arrangement or not.</w:t>
      </w:r>
    </w:p>
    <w:p w14:paraId="0165045D" w14:textId="77777777" w:rsidR="006644BC" w:rsidRPr="00795D9D" w:rsidRDefault="006644BC" w:rsidP="006644BC">
      <w:pPr>
        <w:pStyle w:val="ListParagraph"/>
        <w:numPr>
          <w:ilvl w:val="1"/>
          <w:numId w:val="18"/>
        </w:numPr>
        <w:spacing w:before="120" w:after="120"/>
        <w:contextualSpacing w:val="0"/>
        <w:rPr>
          <w:rFonts w:ascii="Arial" w:hAnsi="Arial" w:cs="Arial"/>
          <w:sz w:val="22"/>
          <w:szCs w:val="22"/>
        </w:rPr>
      </w:pPr>
      <w:r w:rsidRPr="00795D9D">
        <w:rPr>
          <w:rFonts w:ascii="Arial" w:hAnsi="Arial" w:cs="Arial"/>
          <w:sz w:val="22"/>
          <w:szCs w:val="22"/>
        </w:rPr>
        <w:t xml:space="preserve">In any other case, a victim of the transaction. </w:t>
      </w:r>
    </w:p>
    <w:p w14:paraId="1B65044E" w14:textId="77777777" w:rsidR="006644BC" w:rsidRPr="00795D9D" w:rsidRDefault="006644BC" w:rsidP="006644BC">
      <w:pPr>
        <w:pStyle w:val="ListParagraph"/>
        <w:numPr>
          <w:ilvl w:val="0"/>
          <w:numId w:val="20"/>
        </w:numPr>
        <w:spacing w:before="120" w:after="120"/>
        <w:contextualSpacing w:val="0"/>
        <w:rPr>
          <w:rFonts w:ascii="Arial" w:hAnsi="Arial" w:cs="Arial"/>
          <w:sz w:val="22"/>
          <w:szCs w:val="22"/>
        </w:rPr>
      </w:pPr>
      <w:r w:rsidRPr="00795D9D">
        <w:rPr>
          <w:rFonts w:ascii="Arial" w:hAnsi="Arial" w:cs="Arial"/>
          <w:sz w:val="22"/>
          <w:szCs w:val="22"/>
        </w:rPr>
        <w:t>Per section 7(1) of the Company Directors Disqualification Act 1986 (CDDA), if it appears to the Secretary of State that it is expedient in the public interest that a disqualification order under section 6 of the CDDA should be made against any person, an application for the making of such order may be made by the following:</w:t>
      </w:r>
      <w:r w:rsidRPr="00795D9D">
        <w:rPr>
          <w:rStyle w:val="FootnoteReference"/>
          <w:rFonts w:ascii="Arial" w:hAnsi="Arial" w:cs="Arial"/>
          <w:sz w:val="22"/>
          <w:szCs w:val="22"/>
        </w:rPr>
        <w:footnoteReference w:id="3"/>
      </w:r>
    </w:p>
    <w:p w14:paraId="0D62F7BC" w14:textId="77777777" w:rsidR="006644BC" w:rsidRPr="00795D9D" w:rsidRDefault="006644BC" w:rsidP="006644BC">
      <w:pPr>
        <w:pStyle w:val="ListParagraph"/>
        <w:numPr>
          <w:ilvl w:val="0"/>
          <w:numId w:val="19"/>
        </w:numPr>
        <w:spacing w:before="120" w:after="120"/>
        <w:contextualSpacing w:val="0"/>
        <w:rPr>
          <w:rFonts w:ascii="Arial" w:hAnsi="Arial" w:cs="Arial"/>
          <w:sz w:val="22"/>
          <w:szCs w:val="22"/>
        </w:rPr>
      </w:pPr>
      <w:r w:rsidRPr="00795D9D">
        <w:rPr>
          <w:rFonts w:ascii="Arial" w:hAnsi="Arial" w:cs="Arial"/>
          <w:sz w:val="22"/>
          <w:szCs w:val="22"/>
        </w:rPr>
        <w:t>The Secretary of State; or</w:t>
      </w:r>
    </w:p>
    <w:p w14:paraId="28C6ACA5" w14:textId="77777777" w:rsidR="006644BC" w:rsidRPr="00795D9D" w:rsidRDefault="006644BC" w:rsidP="006644BC">
      <w:pPr>
        <w:pStyle w:val="ListParagraph"/>
        <w:numPr>
          <w:ilvl w:val="0"/>
          <w:numId w:val="19"/>
        </w:numPr>
        <w:spacing w:before="120" w:after="120"/>
        <w:contextualSpacing w:val="0"/>
        <w:rPr>
          <w:rFonts w:ascii="Arial" w:hAnsi="Arial" w:cs="Arial"/>
          <w:sz w:val="22"/>
          <w:szCs w:val="22"/>
        </w:rPr>
      </w:pPr>
      <w:r w:rsidRPr="00795D9D">
        <w:rPr>
          <w:rFonts w:ascii="Arial" w:hAnsi="Arial" w:cs="Arial"/>
          <w:sz w:val="22"/>
          <w:szCs w:val="22"/>
        </w:rPr>
        <w:t xml:space="preserve">If the Secretary of State so directs in the case of a person who is or has been a director of a company which is being or has been wound up by the court in England and Wales, by the official receiver. </w:t>
      </w:r>
    </w:p>
    <w:p w14:paraId="68DA00C1" w14:textId="05FF7DEF" w:rsidR="006644BC" w:rsidRPr="00795D9D" w:rsidRDefault="00312545" w:rsidP="006644BC">
      <w:pPr>
        <w:pStyle w:val="ListParagraph"/>
        <w:numPr>
          <w:ilvl w:val="0"/>
          <w:numId w:val="20"/>
        </w:numPr>
        <w:spacing w:before="120" w:after="120"/>
        <w:contextualSpacing w:val="0"/>
        <w:rPr>
          <w:rFonts w:ascii="Arial" w:hAnsi="Arial" w:cs="Arial"/>
          <w:sz w:val="22"/>
          <w:szCs w:val="22"/>
        </w:rPr>
      </w:pPr>
      <w:r>
        <w:rPr>
          <w:rFonts w:ascii="Arial" w:hAnsi="Arial" w:cs="Arial"/>
          <w:sz w:val="22"/>
          <w:szCs w:val="22"/>
        </w:rPr>
        <w:t xml:space="preserve"> </w:t>
      </w:r>
      <w:r w:rsidR="006644BC" w:rsidRPr="00795D9D">
        <w:rPr>
          <w:rFonts w:ascii="Arial" w:hAnsi="Arial" w:cs="Arial"/>
          <w:sz w:val="22"/>
          <w:szCs w:val="22"/>
        </w:rPr>
        <w:t>Per section 246ZB of the Act, which deals with wrongful trading in administrations, only an administrator may bring an application for a director to be declared liable to make a contribution to the company's assets.</w:t>
      </w:r>
      <w:r w:rsidR="006644BC" w:rsidRPr="00795D9D">
        <w:rPr>
          <w:rStyle w:val="FootnoteReference"/>
          <w:rFonts w:ascii="Arial" w:hAnsi="Arial" w:cs="Arial"/>
          <w:sz w:val="22"/>
          <w:szCs w:val="22"/>
        </w:rPr>
        <w:footnoteReference w:id="4"/>
      </w:r>
    </w:p>
    <w:p w14:paraId="22C610C9" w14:textId="5169BF4C" w:rsidR="00DE03AF" w:rsidRDefault="00DE03AF" w:rsidP="002A37BB">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lastRenderedPageBreak/>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795D9D" w:rsidRDefault="008B58D5" w:rsidP="008B58D5">
      <w:pPr>
        <w:jc w:val="both"/>
        <w:rPr>
          <w:rFonts w:ascii="Arial" w:hAnsi="Arial" w:cs="Arial"/>
          <w:sz w:val="22"/>
          <w:szCs w:val="22"/>
          <w:lang w:val="en-GB"/>
        </w:rPr>
      </w:pPr>
    </w:p>
    <w:p w14:paraId="258FEB9C" w14:textId="77777777" w:rsidR="006644BC" w:rsidRPr="00795D9D" w:rsidRDefault="006644BC" w:rsidP="006644BC">
      <w:pPr>
        <w:rPr>
          <w:rFonts w:ascii="Arial" w:hAnsi="Arial" w:cs="Arial"/>
          <w:sz w:val="22"/>
          <w:szCs w:val="22"/>
        </w:rPr>
      </w:pPr>
      <w:r w:rsidRPr="00795D9D">
        <w:rPr>
          <w:rFonts w:ascii="Arial" w:hAnsi="Arial" w:cs="Arial"/>
          <w:sz w:val="22"/>
          <w:szCs w:val="22"/>
        </w:rPr>
        <w:t>The "payment holiday" under Part A1 of the Insolvency Act 1986 does not apply with respect to:</w:t>
      </w:r>
      <w:r w:rsidRPr="00795D9D">
        <w:rPr>
          <w:rStyle w:val="FootnoteReference"/>
          <w:rFonts w:ascii="Arial" w:hAnsi="Arial" w:cs="Arial"/>
          <w:sz w:val="22"/>
          <w:szCs w:val="22"/>
        </w:rPr>
        <w:footnoteReference w:id="5"/>
      </w:r>
    </w:p>
    <w:p w14:paraId="1D4E7E17" w14:textId="77777777" w:rsidR="006644BC" w:rsidRPr="00795D9D" w:rsidRDefault="006644BC" w:rsidP="006644BC">
      <w:pPr>
        <w:pStyle w:val="ListParagraph"/>
        <w:numPr>
          <w:ilvl w:val="0"/>
          <w:numId w:val="21"/>
        </w:numPr>
        <w:spacing w:before="120" w:after="120"/>
        <w:contextualSpacing w:val="0"/>
        <w:rPr>
          <w:rFonts w:ascii="Arial" w:hAnsi="Arial" w:cs="Arial"/>
          <w:sz w:val="22"/>
          <w:szCs w:val="22"/>
        </w:rPr>
      </w:pPr>
      <w:r w:rsidRPr="00795D9D">
        <w:rPr>
          <w:rFonts w:ascii="Arial" w:hAnsi="Arial" w:cs="Arial"/>
          <w:sz w:val="22"/>
          <w:szCs w:val="22"/>
        </w:rPr>
        <w:t>The monitor's remuneration or expenses;</w:t>
      </w:r>
    </w:p>
    <w:p w14:paraId="6747F798" w14:textId="77777777" w:rsidR="006644BC" w:rsidRPr="00795D9D" w:rsidRDefault="006644BC" w:rsidP="006644BC">
      <w:pPr>
        <w:pStyle w:val="ListParagraph"/>
        <w:numPr>
          <w:ilvl w:val="0"/>
          <w:numId w:val="21"/>
        </w:numPr>
        <w:spacing w:before="120" w:after="120"/>
        <w:contextualSpacing w:val="0"/>
        <w:rPr>
          <w:rFonts w:ascii="Arial" w:hAnsi="Arial" w:cs="Arial"/>
          <w:sz w:val="22"/>
          <w:szCs w:val="22"/>
        </w:rPr>
      </w:pPr>
      <w:r w:rsidRPr="00795D9D">
        <w:rPr>
          <w:rFonts w:ascii="Arial" w:hAnsi="Arial" w:cs="Arial"/>
          <w:sz w:val="22"/>
          <w:szCs w:val="22"/>
        </w:rPr>
        <w:t>Goods or services supplied during the Moratorium;</w:t>
      </w:r>
    </w:p>
    <w:p w14:paraId="4EF267BF" w14:textId="77777777" w:rsidR="006644BC" w:rsidRPr="00795D9D" w:rsidRDefault="006644BC" w:rsidP="006644BC">
      <w:pPr>
        <w:pStyle w:val="ListParagraph"/>
        <w:numPr>
          <w:ilvl w:val="0"/>
          <w:numId w:val="21"/>
        </w:numPr>
        <w:spacing w:before="120" w:after="120"/>
        <w:contextualSpacing w:val="0"/>
        <w:rPr>
          <w:rFonts w:ascii="Arial" w:hAnsi="Arial" w:cs="Arial"/>
          <w:sz w:val="22"/>
          <w:szCs w:val="22"/>
        </w:rPr>
      </w:pPr>
      <w:r w:rsidRPr="00795D9D">
        <w:rPr>
          <w:rFonts w:ascii="Arial" w:hAnsi="Arial" w:cs="Arial"/>
          <w:sz w:val="22"/>
          <w:szCs w:val="22"/>
        </w:rPr>
        <w:t>Rent in respect of a period during the Moratorium;</w:t>
      </w:r>
    </w:p>
    <w:p w14:paraId="4482E8F2" w14:textId="77777777" w:rsidR="006644BC" w:rsidRPr="00795D9D" w:rsidRDefault="006644BC" w:rsidP="006644BC">
      <w:pPr>
        <w:pStyle w:val="ListParagraph"/>
        <w:numPr>
          <w:ilvl w:val="0"/>
          <w:numId w:val="21"/>
        </w:numPr>
        <w:spacing w:before="120" w:after="120"/>
        <w:contextualSpacing w:val="0"/>
        <w:rPr>
          <w:rFonts w:ascii="Arial" w:hAnsi="Arial" w:cs="Arial"/>
          <w:sz w:val="22"/>
          <w:szCs w:val="22"/>
        </w:rPr>
      </w:pPr>
      <w:r w:rsidRPr="00795D9D">
        <w:rPr>
          <w:rFonts w:ascii="Arial" w:hAnsi="Arial" w:cs="Arial"/>
          <w:sz w:val="22"/>
          <w:szCs w:val="22"/>
        </w:rPr>
        <w:t>Wages or salary arising under a contract of employment;</w:t>
      </w:r>
    </w:p>
    <w:p w14:paraId="6D2F6E98" w14:textId="77777777" w:rsidR="006644BC" w:rsidRPr="00795D9D" w:rsidRDefault="006644BC" w:rsidP="006644BC">
      <w:pPr>
        <w:pStyle w:val="ListParagraph"/>
        <w:numPr>
          <w:ilvl w:val="0"/>
          <w:numId w:val="21"/>
        </w:numPr>
        <w:spacing w:before="120" w:after="120"/>
        <w:contextualSpacing w:val="0"/>
        <w:rPr>
          <w:rFonts w:ascii="Arial" w:hAnsi="Arial" w:cs="Arial"/>
          <w:sz w:val="22"/>
          <w:szCs w:val="22"/>
        </w:rPr>
      </w:pPr>
      <w:r w:rsidRPr="00795D9D">
        <w:rPr>
          <w:rFonts w:ascii="Arial" w:hAnsi="Arial" w:cs="Arial"/>
          <w:sz w:val="22"/>
          <w:szCs w:val="22"/>
        </w:rPr>
        <w:t>Redundancy payments;</w:t>
      </w:r>
    </w:p>
    <w:p w14:paraId="4FB29F86" w14:textId="77777777" w:rsidR="006644BC" w:rsidRPr="00795D9D" w:rsidRDefault="006644BC" w:rsidP="006644BC">
      <w:pPr>
        <w:pStyle w:val="ListParagraph"/>
        <w:numPr>
          <w:ilvl w:val="0"/>
          <w:numId w:val="21"/>
        </w:numPr>
        <w:spacing w:before="120" w:after="120"/>
        <w:contextualSpacing w:val="0"/>
        <w:rPr>
          <w:rFonts w:ascii="Arial" w:hAnsi="Arial" w:cs="Arial"/>
          <w:sz w:val="22"/>
          <w:szCs w:val="22"/>
        </w:rPr>
      </w:pPr>
      <w:r w:rsidRPr="00795D9D">
        <w:rPr>
          <w:rFonts w:ascii="Arial" w:hAnsi="Arial" w:cs="Arial"/>
          <w:sz w:val="22"/>
          <w:szCs w:val="22"/>
        </w:rPr>
        <w:t xml:space="preserve">Debts or other liabilities arising under a contract or other instrument involving 'financial services', this being a contract consisting of lending, financial leasing or providing guarantees. </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5847DF7A" w14:textId="1C89AA73" w:rsidR="006644BC" w:rsidRPr="00795D9D" w:rsidRDefault="006644BC" w:rsidP="006644BC">
      <w:pPr>
        <w:rPr>
          <w:rFonts w:ascii="Arial" w:hAnsi="Arial" w:cs="Arial"/>
          <w:sz w:val="22"/>
          <w:szCs w:val="22"/>
        </w:rPr>
      </w:pPr>
      <w:r w:rsidRPr="00795D9D">
        <w:rPr>
          <w:rFonts w:ascii="Arial" w:hAnsi="Arial" w:cs="Arial"/>
          <w:sz w:val="22"/>
          <w:szCs w:val="22"/>
        </w:rPr>
        <w:t xml:space="preserve">Sections 233, 233A and 233B of the Insolvency Act 1986 (Act) provide protections for insolvent companies with respect to the provision of goods and services. </w:t>
      </w:r>
    </w:p>
    <w:p w14:paraId="685CB153" w14:textId="77777777" w:rsidR="006644BC" w:rsidRPr="00795D9D" w:rsidRDefault="006644BC" w:rsidP="006644BC">
      <w:pPr>
        <w:rPr>
          <w:rFonts w:ascii="Arial" w:hAnsi="Arial" w:cs="Arial"/>
          <w:sz w:val="22"/>
          <w:szCs w:val="22"/>
        </w:rPr>
      </w:pPr>
    </w:p>
    <w:p w14:paraId="5855380A" w14:textId="42C613E4" w:rsidR="006644BC" w:rsidRPr="00795D9D" w:rsidRDefault="006644BC" w:rsidP="006644BC">
      <w:pPr>
        <w:rPr>
          <w:rFonts w:ascii="Arial" w:hAnsi="Arial" w:cs="Arial"/>
          <w:sz w:val="22"/>
          <w:szCs w:val="22"/>
        </w:rPr>
      </w:pPr>
      <w:r w:rsidRPr="00795D9D">
        <w:rPr>
          <w:rFonts w:ascii="Arial" w:hAnsi="Arial" w:cs="Arial"/>
          <w:sz w:val="22"/>
          <w:szCs w:val="22"/>
        </w:rPr>
        <w:t>Section 233 applies to the supply of gas, electricity, water and communication services (which includes the supply of goods and services such as point of sale terminals, computer hardware and software, information, advice and technical assistance, data storage and processing and website hosting).</w:t>
      </w:r>
      <w:r w:rsidRPr="00795D9D">
        <w:rPr>
          <w:rStyle w:val="FootnoteReference"/>
          <w:rFonts w:ascii="Arial" w:hAnsi="Arial" w:cs="Arial"/>
          <w:sz w:val="22"/>
          <w:szCs w:val="22"/>
        </w:rPr>
        <w:footnoteReference w:id="6"/>
      </w:r>
      <w:r w:rsidRPr="00795D9D">
        <w:rPr>
          <w:rFonts w:ascii="Arial" w:hAnsi="Arial" w:cs="Arial"/>
          <w:sz w:val="22"/>
          <w:szCs w:val="22"/>
        </w:rPr>
        <w:t xml:space="preserve"> Under section 233, suppliers are not allowed to require payment of outstanding debts in return for securing new or continued supply to a company in administration. However, a supplier is allowed to require an administrator to personally guarantee payment of charges with respect to that supply.</w:t>
      </w:r>
      <w:r w:rsidRPr="00795D9D">
        <w:rPr>
          <w:rStyle w:val="FootnoteReference"/>
          <w:rFonts w:ascii="Arial" w:hAnsi="Arial" w:cs="Arial"/>
          <w:sz w:val="22"/>
          <w:szCs w:val="22"/>
        </w:rPr>
        <w:footnoteReference w:id="7"/>
      </w:r>
    </w:p>
    <w:p w14:paraId="43F5ED17" w14:textId="77777777" w:rsidR="00B23CC6" w:rsidRPr="00795D9D" w:rsidRDefault="00B23CC6" w:rsidP="006644BC">
      <w:pPr>
        <w:rPr>
          <w:rFonts w:ascii="Arial" w:hAnsi="Arial" w:cs="Arial"/>
          <w:sz w:val="22"/>
          <w:szCs w:val="22"/>
        </w:rPr>
      </w:pPr>
    </w:p>
    <w:p w14:paraId="5853C6FA" w14:textId="4C956E56" w:rsidR="006644BC" w:rsidRPr="00795D9D" w:rsidRDefault="006644BC" w:rsidP="006644BC">
      <w:pPr>
        <w:rPr>
          <w:rFonts w:ascii="Arial" w:hAnsi="Arial" w:cs="Arial"/>
          <w:sz w:val="22"/>
          <w:szCs w:val="22"/>
        </w:rPr>
      </w:pPr>
      <w:r w:rsidRPr="00795D9D">
        <w:rPr>
          <w:rFonts w:ascii="Arial" w:hAnsi="Arial" w:cs="Arial"/>
          <w:sz w:val="22"/>
          <w:szCs w:val="22"/>
        </w:rPr>
        <w:t>Furthermore, section 233A stipulates that a supplier is unable to rely on an 'insolvency-related' term in a supply contract, where such term would ordinarily allow the supplier to terminate supply, alter the terms of supply or require increased payments in return for continued supply.</w:t>
      </w:r>
      <w:r w:rsidRPr="00795D9D">
        <w:rPr>
          <w:rStyle w:val="FootnoteReference"/>
          <w:rFonts w:ascii="Arial" w:hAnsi="Arial" w:cs="Arial"/>
          <w:sz w:val="22"/>
          <w:szCs w:val="22"/>
        </w:rPr>
        <w:footnoteReference w:id="8"/>
      </w:r>
    </w:p>
    <w:p w14:paraId="1BB6B110" w14:textId="77777777" w:rsidR="00B23CC6" w:rsidRPr="00795D9D" w:rsidRDefault="00B23CC6" w:rsidP="006644BC">
      <w:pPr>
        <w:rPr>
          <w:rFonts w:ascii="Arial" w:hAnsi="Arial" w:cs="Arial"/>
          <w:sz w:val="22"/>
          <w:szCs w:val="22"/>
        </w:rPr>
      </w:pPr>
    </w:p>
    <w:p w14:paraId="646C1BD1" w14:textId="77777777" w:rsidR="00312545" w:rsidRDefault="006644BC" w:rsidP="006644BC">
      <w:pPr>
        <w:rPr>
          <w:rFonts w:ascii="Arial" w:hAnsi="Arial" w:cs="Arial"/>
          <w:sz w:val="22"/>
          <w:szCs w:val="22"/>
        </w:rPr>
      </w:pPr>
      <w:r w:rsidRPr="00795D9D">
        <w:rPr>
          <w:rFonts w:ascii="Arial" w:hAnsi="Arial" w:cs="Arial"/>
          <w:sz w:val="22"/>
          <w:szCs w:val="22"/>
        </w:rPr>
        <w:t>Lastly, section 233B contains a general prohibition on clauses empowering suppliers of goods or services to terminate or "</w:t>
      </w:r>
      <w:r w:rsidRPr="00795D9D">
        <w:rPr>
          <w:rFonts w:ascii="Arial" w:hAnsi="Arial" w:cs="Arial"/>
          <w:i/>
          <w:iCs/>
          <w:sz w:val="22"/>
          <w:szCs w:val="22"/>
        </w:rPr>
        <w:t>do any other thing</w:t>
      </w:r>
      <w:r w:rsidRPr="00795D9D">
        <w:rPr>
          <w:rFonts w:ascii="Arial" w:hAnsi="Arial" w:cs="Arial"/>
          <w:sz w:val="22"/>
          <w:szCs w:val="22"/>
        </w:rPr>
        <w:t>" regarding said contract in the event a company enters a formal insolvency procedure.</w:t>
      </w:r>
      <w:r w:rsidRPr="00795D9D">
        <w:rPr>
          <w:rStyle w:val="FootnoteReference"/>
          <w:rFonts w:ascii="Arial" w:hAnsi="Arial" w:cs="Arial"/>
          <w:sz w:val="22"/>
          <w:szCs w:val="22"/>
        </w:rPr>
        <w:footnoteReference w:id="9"/>
      </w:r>
      <w:r w:rsidRPr="00795D9D">
        <w:rPr>
          <w:rFonts w:ascii="Arial" w:hAnsi="Arial" w:cs="Arial"/>
          <w:sz w:val="22"/>
          <w:szCs w:val="22"/>
        </w:rPr>
        <w:t xml:space="preserve"> Section 233B also increases the protections from utility, communications and IT suppliers (which are covered by sections 233 and 233A of the Act), to cover all other suppliers, with the exception of insurers, banks, </w:t>
      </w:r>
      <w:r w:rsidRPr="00795D9D">
        <w:rPr>
          <w:rFonts w:ascii="Arial" w:hAnsi="Arial" w:cs="Arial"/>
          <w:sz w:val="22"/>
          <w:szCs w:val="22"/>
        </w:rPr>
        <w:lastRenderedPageBreak/>
        <w:t>electronic money institutions, recognised investment exchanges and clearing houses, securitisation companies, and overseas companies with corresponding functions).</w:t>
      </w:r>
      <w:r w:rsidRPr="00795D9D">
        <w:rPr>
          <w:rStyle w:val="FootnoteReference"/>
          <w:rFonts w:ascii="Arial" w:hAnsi="Arial" w:cs="Arial"/>
          <w:sz w:val="22"/>
          <w:szCs w:val="22"/>
        </w:rPr>
        <w:footnoteReference w:id="10"/>
      </w:r>
      <w:r w:rsidRPr="00795D9D">
        <w:rPr>
          <w:rFonts w:ascii="Arial" w:hAnsi="Arial" w:cs="Arial"/>
          <w:sz w:val="22"/>
          <w:szCs w:val="22"/>
        </w:rPr>
        <w:t xml:space="preserve"> </w:t>
      </w:r>
    </w:p>
    <w:p w14:paraId="571FFA99" w14:textId="77777777" w:rsidR="00312545" w:rsidRDefault="00312545" w:rsidP="006644BC">
      <w:pPr>
        <w:rPr>
          <w:rFonts w:ascii="Arial" w:hAnsi="Arial" w:cs="Arial"/>
          <w:sz w:val="22"/>
          <w:szCs w:val="22"/>
        </w:rPr>
      </w:pPr>
    </w:p>
    <w:p w14:paraId="21053B84" w14:textId="2273FF90" w:rsidR="006644BC" w:rsidRPr="00795D9D" w:rsidRDefault="006644BC" w:rsidP="006644BC">
      <w:pPr>
        <w:rPr>
          <w:rFonts w:ascii="Arial" w:hAnsi="Arial" w:cs="Arial"/>
          <w:sz w:val="22"/>
          <w:szCs w:val="22"/>
        </w:rPr>
      </w:pPr>
      <w:r w:rsidRPr="00795D9D">
        <w:rPr>
          <w:rFonts w:ascii="Arial" w:hAnsi="Arial" w:cs="Arial"/>
          <w:sz w:val="22"/>
          <w:szCs w:val="22"/>
        </w:rPr>
        <w:t>However, section 233B still allows for a supply contract to be terminated if:</w:t>
      </w:r>
      <w:r w:rsidRPr="00795D9D">
        <w:rPr>
          <w:rStyle w:val="FootnoteReference"/>
          <w:rFonts w:ascii="Arial" w:hAnsi="Arial" w:cs="Arial"/>
          <w:sz w:val="22"/>
          <w:szCs w:val="22"/>
        </w:rPr>
        <w:footnoteReference w:id="11"/>
      </w:r>
    </w:p>
    <w:p w14:paraId="60C8F07F" w14:textId="77777777" w:rsidR="006644BC" w:rsidRPr="00795D9D" w:rsidRDefault="006644BC" w:rsidP="006644BC">
      <w:pPr>
        <w:pStyle w:val="ListParagraph"/>
        <w:numPr>
          <w:ilvl w:val="0"/>
          <w:numId w:val="22"/>
        </w:numPr>
        <w:spacing w:before="120" w:after="120"/>
        <w:contextualSpacing w:val="0"/>
        <w:rPr>
          <w:rFonts w:ascii="Arial" w:hAnsi="Arial" w:cs="Arial"/>
          <w:sz w:val="22"/>
          <w:szCs w:val="22"/>
        </w:rPr>
      </w:pPr>
      <w:r w:rsidRPr="00795D9D">
        <w:rPr>
          <w:rFonts w:ascii="Arial" w:hAnsi="Arial" w:cs="Arial"/>
          <w:sz w:val="22"/>
          <w:szCs w:val="22"/>
        </w:rPr>
        <w:t>The company or the insolvency office holder agree to terminate; or</w:t>
      </w:r>
    </w:p>
    <w:p w14:paraId="17BF2529" w14:textId="77777777" w:rsidR="006644BC" w:rsidRPr="00795D9D" w:rsidRDefault="006644BC" w:rsidP="006644BC">
      <w:pPr>
        <w:pStyle w:val="ListParagraph"/>
        <w:numPr>
          <w:ilvl w:val="0"/>
          <w:numId w:val="22"/>
        </w:numPr>
        <w:spacing w:before="120" w:after="120"/>
        <w:contextualSpacing w:val="0"/>
        <w:rPr>
          <w:rFonts w:ascii="Arial" w:hAnsi="Arial" w:cs="Arial"/>
          <w:sz w:val="22"/>
          <w:szCs w:val="22"/>
        </w:rPr>
      </w:pPr>
      <w:r w:rsidRPr="00795D9D">
        <w:rPr>
          <w:rFonts w:ascii="Arial" w:hAnsi="Arial" w:cs="Arial"/>
          <w:sz w:val="22"/>
          <w:szCs w:val="22"/>
        </w:rPr>
        <w:t xml:space="preserve">If on application to the court, the court grants permission to terminate on the basis that continuation of the contract would cause hardship to the supplier. </w:t>
      </w:r>
    </w:p>
    <w:p w14:paraId="1B015463" w14:textId="77777777" w:rsidR="006644BC" w:rsidRPr="00795D9D" w:rsidRDefault="006644BC" w:rsidP="006644BC">
      <w:pPr>
        <w:rPr>
          <w:rFonts w:ascii="Arial" w:hAnsi="Arial" w:cs="Arial"/>
          <w:sz w:val="22"/>
          <w:szCs w:val="22"/>
        </w:rPr>
      </w:pPr>
      <w:r w:rsidRPr="00795D9D">
        <w:rPr>
          <w:rFonts w:ascii="Arial" w:hAnsi="Arial" w:cs="Arial"/>
          <w:sz w:val="22"/>
          <w:szCs w:val="22"/>
        </w:rPr>
        <w:t xml:space="preserve">Based on the protections provided by the Act as canvassed above, an administrator can effectively require suppliers of goods and services to continue to supply those goods and services during administration. </w:t>
      </w:r>
    </w:p>
    <w:p w14:paraId="70BECF44" w14:textId="77777777" w:rsidR="0063381C" w:rsidRPr="00795D9D" w:rsidRDefault="0063381C" w:rsidP="002A37BB">
      <w:pPr>
        <w:jc w:val="both"/>
        <w:rPr>
          <w:rFonts w:ascii="Arial" w:hAnsi="Arial"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12 week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1689D211" w14:textId="77777777" w:rsidR="00B23CC6" w:rsidRPr="00795D9D" w:rsidRDefault="00B23CC6" w:rsidP="00B23CC6">
      <w:pPr>
        <w:rPr>
          <w:rFonts w:ascii="Arial" w:hAnsi="Arial" w:cs="Arial"/>
          <w:sz w:val="22"/>
          <w:szCs w:val="22"/>
        </w:rPr>
      </w:pPr>
      <w:r w:rsidRPr="00795D9D">
        <w:rPr>
          <w:rFonts w:ascii="Arial" w:hAnsi="Arial" w:cs="Arial"/>
          <w:sz w:val="22"/>
          <w:szCs w:val="22"/>
        </w:rPr>
        <w:t>The order of priority of payments in a liquidation is set out in the Insolvency Act 1986 (Act). Of course, any creditors with fixed security will enforce their security outside of any informal insolvency. The Act's regime will apply to residual assets of the company in liquidation in the following order:</w:t>
      </w:r>
    </w:p>
    <w:p w14:paraId="404C8B60" w14:textId="77777777" w:rsidR="00B23CC6" w:rsidRPr="00795D9D" w:rsidRDefault="00B23CC6" w:rsidP="00B23CC6">
      <w:pPr>
        <w:pStyle w:val="ListParagraph"/>
        <w:numPr>
          <w:ilvl w:val="0"/>
          <w:numId w:val="25"/>
        </w:numPr>
        <w:spacing w:before="120" w:after="120"/>
        <w:ind w:left="426" w:hanging="426"/>
        <w:contextualSpacing w:val="0"/>
        <w:rPr>
          <w:rFonts w:ascii="Arial" w:hAnsi="Arial" w:cs="Arial"/>
          <w:sz w:val="22"/>
          <w:szCs w:val="22"/>
        </w:rPr>
      </w:pPr>
      <w:r w:rsidRPr="00795D9D">
        <w:rPr>
          <w:rFonts w:ascii="Arial" w:hAnsi="Arial" w:cs="Arial"/>
          <w:sz w:val="22"/>
          <w:szCs w:val="22"/>
        </w:rPr>
        <w:t>While priority is generally given to preferential creditors, section 115 of the Act, as well as rules 6.42 and 7.108 of the Insolvency Rules 2016 SI 2016/1024, give priority to a number of expenses over preferential creditors, as well as floating charge holders and unsecured creditors.</w:t>
      </w:r>
      <w:r w:rsidRPr="00795D9D">
        <w:rPr>
          <w:rStyle w:val="FootnoteReference"/>
          <w:rFonts w:ascii="Arial" w:hAnsi="Arial" w:cs="Arial"/>
          <w:sz w:val="22"/>
          <w:szCs w:val="22"/>
        </w:rPr>
        <w:footnoteReference w:id="12"/>
      </w:r>
    </w:p>
    <w:p w14:paraId="538BBA5D" w14:textId="77777777" w:rsidR="00B23CC6" w:rsidRPr="00795D9D" w:rsidRDefault="00B23CC6" w:rsidP="00B23CC6">
      <w:pPr>
        <w:ind w:firstLine="426"/>
        <w:rPr>
          <w:rFonts w:ascii="Arial" w:hAnsi="Arial" w:cs="Arial"/>
          <w:sz w:val="22"/>
          <w:szCs w:val="22"/>
        </w:rPr>
      </w:pPr>
      <w:r w:rsidRPr="00795D9D">
        <w:rPr>
          <w:rFonts w:ascii="Arial" w:hAnsi="Arial" w:cs="Arial"/>
          <w:sz w:val="22"/>
          <w:szCs w:val="22"/>
        </w:rPr>
        <w:t>As such, those expenses are paid first in a liquidation in the following order of priority:</w:t>
      </w:r>
      <w:r w:rsidRPr="00795D9D">
        <w:rPr>
          <w:rStyle w:val="FootnoteReference"/>
          <w:rFonts w:ascii="Arial" w:hAnsi="Arial" w:cs="Arial"/>
          <w:sz w:val="22"/>
          <w:szCs w:val="22"/>
        </w:rPr>
        <w:footnoteReference w:id="13"/>
      </w:r>
    </w:p>
    <w:p w14:paraId="32796F7B" w14:textId="77777777" w:rsidR="00B23CC6" w:rsidRPr="00795D9D" w:rsidRDefault="00B23CC6" w:rsidP="00B23CC6">
      <w:pPr>
        <w:pStyle w:val="ListParagraph"/>
        <w:numPr>
          <w:ilvl w:val="1"/>
          <w:numId w:val="25"/>
        </w:numPr>
        <w:spacing w:before="120" w:after="120"/>
        <w:ind w:left="1134" w:hanging="425"/>
        <w:contextualSpacing w:val="0"/>
        <w:rPr>
          <w:rFonts w:ascii="Arial" w:hAnsi="Arial" w:cs="Arial"/>
          <w:sz w:val="22"/>
          <w:szCs w:val="22"/>
        </w:rPr>
      </w:pPr>
      <w:r w:rsidRPr="00795D9D">
        <w:rPr>
          <w:rFonts w:ascii="Arial" w:hAnsi="Arial" w:cs="Arial"/>
          <w:sz w:val="22"/>
          <w:szCs w:val="22"/>
        </w:rPr>
        <w:t>Any expenses properly incurred by the liquidator in preserving, realising or obtaining any of the assets of the company. This included expenses incurred in relation to conduct of any legal proceedings;</w:t>
      </w:r>
    </w:p>
    <w:p w14:paraId="77B69886" w14:textId="77777777" w:rsidR="00B23CC6" w:rsidRPr="00795D9D" w:rsidRDefault="00B23CC6" w:rsidP="00B23CC6">
      <w:pPr>
        <w:pStyle w:val="ListParagraph"/>
        <w:numPr>
          <w:ilvl w:val="1"/>
          <w:numId w:val="25"/>
        </w:numPr>
        <w:spacing w:before="120" w:after="120"/>
        <w:ind w:left="1134" w:hanging="425"/>
        <w:contextualSpacing w:val="0"/>
        <w:rPr>
          <w:rFonts w:ascii="Arial" w:hAnsi="Arial" w:cs="Arial"/>
          <w:sz w:val="22"/>
          <w:szCs w:val="22"/>
        </w:rPr>
      </w:pPr>
      <w:r w:rsidRPr="00795D9D">
        <w:rPr>
          <w:rFonts w:ascii="Arial" w:hAnsi="Arial" w:cs="Arial"/>
          <w:sz w:val="22"/>
          <w:szCs w:val="22"/>
        </w:rPr>
        <w:t>The cost of any security provided by the liquidator;</w:t>
      </w:r>
    </w:p>
    <w:p w14:paraId="33063A87" w14:textId="77777777" w:rsidR="00B23CC6" w:rsidRPr="00795D9D" w:rsidRDefault="00B23CC6" w:rsidP="00B23CC6">
      <w:pPr>
        <w:pStyle w:val="ListParagraph"/>
        <w:numPr>
          <w:ilvl w:val="1"/>
          <w:numId w:val="25"/>
        </w:numPr>
        <w:spacing w:before="120" w:after="120"/>
        <w:ind w:left="1134" w:hanging="425"/>
        <w:contextualSpacing w:val="0"/>
        <w:rPr>
          <w:rFonts w:ascii="Arial" w:hAnsi="Arial" w:cs="Arial"/>
          <w:sz w:val="22"/>
          <w:szCs w:val="22"/>
        </w:rPr>
      </w:pPr>
      <w:r w:rsidRPr="00795D9D">
        <w:rPr>
          <w:rFonts w:ascii="Arial" w:hAnsi="Arial" w:cs="Arial"/>
          <w:sz w:val="22"/>
          <w:szCs w:val="22"/>
        </w:rPr>
        <w:t>Any amount payable to a person to assist in the preparation of a statement of affairs or accounts;</w:t>
      </w:r>
    </w:p>
    <w:p w14:paraId="11000B9C" w14:textId="77777777" w:rsidR="00B23CC6" w:rsidRPr="00795D9D" w:rsidRDefault="00B23CC6" w:rsidP="00B23CC6">
      <w:pPr>
        <w:pStyle w:val="ListParagraph"/>
        <w:numPr>
          <w:ilvl w:val="1"/>
          <w:numId w:val="25"/>
        </w:numPr>
        <w:spacing w:before="120" w:after="120"/>
        <w:ind w:left="1134" w:hanging="425"/>
        <w:contextualSpacing w:val="0"/>
        <w:rPr>
          <w:rFonts w:ascii="Arial" w:hAnsi="Arial" w:cs="Arial"/>
          <w:sz w:val="22"/>
          <w:szCs w:val="22"/>
        </w:rPr>
      </w:pPr>
      <w:r w:rsidRPr="00795D9D">
        <w:rPr>
          <w:rFonts w:ascii="Arial" w:hAnsi="Arial" w:cs="Arial"/>
          <w:sz w:val="22"/>
          <w:szCs w:val="22"/>
        </w:rPr>
        <w:t>Any disbursements necessary by the liquidator in the course of winding up the company. By way of example, this would include any expenses incurred by members of the liquidation committee;</w:t>
      </w:r>
    </w:p>
    <w:p w14:paraId="49CA2CD9" w14:textId="77777777" w:rsidR="00B23CC6" w:rsidRPr="00795D9D" w:rsidRDefault="00B23CC6" w:rsidP="00B23CC6">
      <w:pPr>
        <w:pStyle w:val="ListParagraph"/>
        <w:numPr>
          <w:ilvl w:val="1"/>
          <w:numId w:val="25"/>
        </w:numPr>
        <w:spacing w:before="120" w:after="120"/>
        <w:ind w:left="1134" w:hanging="425"/>
        <w:contextualSpacing w:val="0"/>
        <w:rPr>
          <w:rFonts w:ascii="Arial" w:hAnsi="Arial" w:cs="Arial"/>
          <w:sz w:val="22"/>
          <w:szCs w:val="22"/>
        </w:rPr>
      </w:pPr>
      <w:r w:rsidRPr="00795D9D">
        <w:rPr>
          <w:rFonts w:ascii="Arial" w:hAnsi="Arial" w:cs="Arial"/>
          <w:sz w:val="22"/>
          <w:szCs w:val="22"/>
        </w:rPr>
        <w:t>The remuneration of any person employed by the liquidator to perform any services to the company;</w:t>
      </w:r>
    </w:p>
    <w:p w14:paraId="6C275E1E" w14:textId="77777777" w:rsidR="00B23CC6" w:rsidRPr="00795D9D" w:rsidRDefault="00B23CC6" w:rsidP="00B23CC6">
      <w:pPr>
        <w:pStyle w:val="ListParagraph"/>
        <w:numPr>
          <w:ilvl w:val="1"/>
          <w:numId w:val="25"/>
        </w:numPr>
        <w:spacing w:before="120" w:after="120"/>
        <w:ind w:left="1134" w:hanging="425"/>
        <w:contextualSpacing w:val="0"/>
        <w:rPr>
          <w:rFonts w:ascii="Arial" w:hAnsi="Arial" w:cs="Arial"/>
          <w:sz w:val="22"/>
          <w:szCs w:val="22"/>
        </w:rPr>
      </w:pPr>
      <w:r w:rsidRPr="00795D9D">
        <w:rPr>
          <w:rFonts w:ascii="Arial" w:hAnsi="Arial" w:cs="Arial"/>
          <w:sz w:val="22"/>
          <w:szCs w:val="22"/>
        </w:rPr>
        <w:t>The liquidator's remuneration;</w:t>
      </w:r>
    </w:p>
    <w:p w14:paraId="3D528435" w14:textId="77777777" w:rsidR="00B23CC6" w:rsidRPr="00795D9D" w:rsidRDefault="00B23CC6" w:rsidP="00B23CC6">
      <w:pPr>
        <w:pStyle w:val="ListParagraph"/>
        <w:numPr>
          <w:ilvl w:val="1"/>
          <w:numId w:val="25"/>
        </w:numPr>
        <w:spacing w:before="120" w:after="120"/>
        <w:ind w:left="1134" w:hanging="425"/>
        <w:contextualSpacing w:val="0"/>
        <w:rPr>
          <w:rFonts w:ascii="Arial" w:hAnsi="Arial" w:cs="Arial"/>
          <w:sz w:val="22"/>
          <w:szCs w:val="22"/>
        </w:rPr>
      </w:pPr>
      <w:r w:rsidRPr="00795D9D">
        <w:rPr>
          <w:rFonts w:ascii="Arial" w:hAnsi="Arial" w:cs="Arial"/>
          <w:sz w:val="22"/>
          <w:szCs w:val="22"/>
        </w:rPr>
        <w:t>Any corporation tax on chargeable gains that are accruing on the realisation of any assets of the company;</w:t>
      </w:r>
    </w:p>
    <w:p w14:paraId="21A6C0E5" w14:textId="77777777" w:rsidR="00B23CC6" w:rsidRPr="00795D9D" w:rsidRDefault="00B23CC6" w:rsidP="00B23CC6">
      <w:pPr>
        <w:pStyle w:val="ListParagraph"/>
        <w:numPr>
          <w:ilvl w:val="1"/>
          <w:numId w:val="25"/>
        </w:numPr>
        <w:spacing w:before="120" w:after="120"/>
        <w:ind w:left="1134" w:hanging="425"/>
        <w:contextualSpacing w:val="0"/>
        <w:rPr>
          <w:rFonts w:ascii="Arial" w:hAnsi="Arial" w:cs="Arial"/>
          <w:sz w:val="22"/>
          <w:szCs w:val="22"/>
        </w:rPr>
      </w:pPr>
      <w:r w:rsidRPr="00795D9D">
        <w:rPr>
          <w:rFonts w:ascii="Arial" w:hAnsi="Arial" w:cs="Arial"/>
          <w:sz w:val="22"/>
          <w:szCs w:val="22"/>
        </w:rPr>
        <w:t xml:space="preserve">Any other expenses properly incurred and chargeable by the liquidator in carrying out his or her functions in the winding up of the company. </w:t>
      </w:r>
    </w:p>
    <w:p w14:paraId="1542CA4A" w14:textId="77777777" w:rsidR="00B23CC6" w:rsidRPr="00795D9D" w:rsidRDefault="00B23CC6" w:rsidP="00B23CC6">
      <w:pPr>
        <w:pStyle w:val="ListParagraph"/>
        <w:numPr>
          <w:ilvl w:val="0"/>
          <w:numId w:val="25"/>
        </w:numPr>
        <w:spacing w:before="120" w:after="120"/>
        <w:ind w:left="426" w:hanging="426"/>
        <w:contextualSpacing w:val="0"/>
        <w:rPr>
          <w:rFonts w:ascii="Arial" w:hAnsi="Arial" w:cs="Arial"/>
          <w:sz w:val="22"/>
          <w:szCs w:val="22"/>
        </w:rPr>
      </w:pPr>
      <w:r w:rsidRPr="00795D9D">
        <w:rPr>
          <w:rFonts w:ascii="Arial" w:hAnsi="Arial" w:cs="Arial"/>
          <w:sz w:val="22"/>
          <w:szCs w:val="22"/>
        </w:rPr>
        <w:lastRenderedPageBreak/>
        <w:t>Following the above expenses, per section 175 of the Act, preferential creditors are paid.</w:t>
      </w:r>
      <w:r w:rsidRPr="00795D9D">
        <w:rPr>
          <w:rStyle w:val="FootnoteReference"/>
          <w:rFonts w:ascii="Arial" w:hAnsi="Arial" w:cs="Arial"/>
          <w:sz w:val="22"/>
          <w:szCs w:val="22"/>
        </w:rPr>
        <w:footnoteReference w:id="14"/>
      </w:r>
    </w:p>
    <w:p w14:paraId="3E573C18" w14:textId="63E33FBC" w:rsidR="00B23CC6" w:rsidRPr="00795D9D" w:rsidRDefault="00B23CC6" w:rsidP="00B23CC6">
      <w:pPr>
        <w:ind w:left="426"/>
        <w:rPr>
          <w:rFonts w:ascii="Arial" w:hAnsi="Arial" w:cs="Arial"/>
          <w:sz w:val="22"/>
          <w:szCs w:val="22"/>
        </w:rPr>
      </w:pPr>
      <w:r w:rsidRPr="00795D9D">
        <w:rPr>
          <w:rFonts w:ascii="Arial" w:hAnsi="Arial" w:cs="Arial"/>
          <w:sz w:val="22"/>
          <w:szCs w:val="22"/>
        </w:rPr>
        <w:t>Preferential debts are divided into two classes – ordinary and secondary, with ordinary preferential debts required to be paid prior to secondary preferential debts.</w:t>
      </w:r>
      <w:r w:rsidRPr="00795D9D">
        <w:rPr>
          <w:rStyle w:val="FootnoteReference"/>
          <w:rFonts w:ascii="Arial" w:hAnsi="Arial" w:cs="Arial"/>
          <w:sz w:val="22"/>
          <w:szCs w:val="22"/>
        </w:rPr>
        <w:footnoteReference w:id="15"/>
      </w:r>
      <w:r w:rsidRPr="00795D9D">
        <w:rPr>
          <w:rFonts w:ascii="Arial" w:hAnsi="Arial" w:cs="Arial"/>
          <w:sz w:val="22"/>
          <w:szCs w:val="22"/>
        </w:rPr>
        <w:t xml:space="preserve"> However, preferential debts within their respective classes are ranked equal. This means they abate in equal proportion in the event the company's assets are insufficient to pay all preferential debts of the same class.</w:t>
      </w:r>
      <w:r w:rsidRPr="00795D9D">
        <w:rPr>
          <w:rStyle w:val="FootnoteReference"/>
          <w:rFonts w:ascii="Arial" w:hAnsi="Arial" w:cs="Arial"/>
          <w:sz w:val="22"/>
          <w:szCs w:val="22"/>
        </w:rPr>
        <w:footnoteReference w:id="16"/>
      </w:r>
    </w:p>
    <w:p w14:paraId="2010F73A" w14:textId="77777777" w:rsidR="00B23CC6" w:rsidRPr="00795D9D" w:rsidRDefault="00B23CC6" w:rsidP="00B23CC6">
      <w:pPr>
        <w:ind w:left="426"/>
        <w:rPr>
          <w:rFonts w:ascii="Arial" w:hAnsi="Arial" w:cs="Arial"/>
          <w:sz w:val="22"/>
          <w:szCs w:val="22"/>
        </w:rPr>
      </w:pPr>
    </w:p>
    <w:p w14:paraId="33A93BF0" w14:textId="77777777" w:rsidR="00B23CC6" w:rsidRPr="00795D9D" w:rsidRDefault="00B23CC6" w:rsidP="00B23CC6">
      <w:pPr>
        <w:ind w:left="426"/>
        <w:rPr>
          <w:rFonts w:ascii="Arial" w:hAnsi="Arial" w:cs="Arial"/>
          <w:sz w:val="22"/>
          <w:szCs w:val="22"/>
        </w:rPr>
      </w:pPr>
      <w:r w:rsidRPr="00795D9D">
        <w:rPr>
          <w:rFonts w:ascii="Arial" w:hAnsi="Arial" w:cs="Arial"/>
          <w:sz w:val="22"/>
          <w:szCs w:val="22"/>
        </w:rPr>
        <w:t>The types of preferential debts are set out in Schedule 6 of the Act as follows:</w:t>
      </w:r>
      <w:r w:rsidRPr="00795D9D">
        <w:rPr>
          <w:rStyle w:val="FootnoteReference"/>
          <w:rFonts w:ascii="Arial" w:hAnsi="Arial" w:cs="Arial"/>
          <w:sz w:val="22"/>
          <w:szCs w:val="22"/>
        </w:rPr>
        <w:footnoteReference w:id="17"/>
      </w:r>
    </w:p>
    <w:p w14:paraId="027AAA5A" w14:textId="77777777" w:rsidR="00B23CC6" w:rsidRPr="00795D9D" w:rsidRDefault="00B23CC6" w:rsidP="00B23CC6">
      <w:pPr>
        <w:rPr>
          <w:rFonts w:ascii="Arial" w:hAnsi="Arial" w:cs="Arial"/>
          <w:i/>
          <w:iCs/>
          <w:sz w:val="22"/>
          <w:szCs w:val="22"/>
        </w:rPr>
      </w:pPr>
    </w:p>
    <w:p w14:paraId="7E6D2A25" w14:textId="7B90F101" w:rsidR="00B23CC6" w:rsidRPr="00795D9D" w:rsidRDefault="00B23CC6" w:rsidP="00B23CC6">
      <w:pPr>
        <w:ind w:firstLine="426"/>
        <w:rPr>
          <w:rFonts w:ascii="Arial" w:hAnsi="Arial" w:cs="Arial"/>
          <w:i/>
          <w:iCs/>
          <w:sz w:val="22"/>
          <w:szCs w:val="22"/>
        </w:rPr>
      </w:pPr>
      <w:r w:rsidRPr="00795D9D">
        <w:rPr>
          <w:rFonts w:ascii="Arial" w:hAnsi="Arial" w:cs="Arial"/>
          <w:i/>
          <w:iCs/>
          <w:sz w:val="22"/>
          <w:szCs w:val="22"/>
        </w:rPr>
        <w:t>Ordinary preferential debts:</w:t>
      </w:r>
      <w:r w:rsidRPr="00795D9D">
        <w:rPr>
          <w:rStyle w:val="FootnoteReference"/>
          <w:rFonts w:ascii="Arial" w:hAnsi="Arial" w:cs="Arial"/>
          <w:i/>
          <w:iCs/>
          <w:sz w:val="22"/>
          <w:szCs w:val="22"/>
        </w:rPr>
        <w:footnoteReference w:id="18"/>
      </w:r>
    </w:p>
    <w:p w14:paraId="3CF6C3FA" w14:textId="77777777" w:rsidR="00B23CC6" w:rsidRPr="00795D9D" w:rsidRDefault="00B23CC6" w:rsidP="00B23CC6">
      <w:pPr>
        <w:pStyle w:val="ListParagraph"/>
        <w:numPr>
          <w:ilvl w:val="0"/>
          <w:numId w:val="23"/>
        </w:numPr>
        <w:spacing w:before="120" w:after="120"/>
        <w:ind w:left="993" w:hanging="426"/>
        <w:contextualSpacing w:val="0"/>
        <w:rPr>
          <w:rFonts w:ascii="Arial" w:hAnsi="Arial" w:cs="Arial"/>
          <w:sz w:val="22"/>
          <w:szCs w:val="22"/>
        </w:rPr>
      </w:pPr>
      <w:r w:rsidRPr="00795D9D">
        <w:rPr>
          <w:rFonts w:ascii="Arial" w:hAnsi="Arial" w:cs="Arial"/>
          <w:sz w:val="22"/>
          <w:szCs w:val="22"/>
        </w:rPr>
        <w:t>Any sum owed on account to an employee's contribution to an occupational pension scheme. This refers to contributions deducted from the earnings of the company's employees paid in the period of four months preceding the commencement of the company's winding up;</w:t>
      </w:r>
    </w:p>
    <w:p w14:paraId="61C93572" w14:textId="77777777" w:rsidR="00B23CC6" w:rsidRPr="00795D9D" w:rsidRDefault="00B23CC6" w:rsidP="00B23CC6">
      <w:pPr>
        <w:pStyle w:val="ListParagraph"/>
        <w:numPr>
          <w:ilvl w:val="0"/>
          <w:numId w:val="23"/>
        </w:numPr>
        <w:spacing w:before="120" w:after="120"/>
        <w:ind w:left="993" w:hanging="426"/>
        <w:contextualSpacing w:val="0"/>
        <w:rPr>
          <w:rFonts w:ascii="Arial" w:hAnsi="Arial" w:cs="Arial"/>
          <w:sz w:val="22"/>
          <w:szCs w:val="22"/>
        </w:rPr>
      </w:pPr>
      <w:r w:rsidRPr="00795D9D">
        <w:rPr>
          <w:rFonts w:ascii="Arial" w:hAnsi="Arial" w:cs="Arial"/>
          <w:sz w:val="22"/>
          <w:szCs w:val="22"/>
        </w:rPr>
        <w:t>Any sum owed by the company on account of an employer's contribution to an occupation pension scheme in the period of 12 month before the relevant date;</w:t>
      </w:r>
    </w:p>
    <w:p w14:paraId="7F143844" w14:textId="77777777" w:rsidR="00B23CC6" w:rsidRPr="00795D9D" w:rsidRDefault="00B23CC6" w:rsidP="00B23CC6">
      <w:pPr>
        <w:pStyle w:val="ListParagraph"/>
        <w:numPr>
          <w:ilvl w:val="0"/>
          <w:numId w:val="23"/>
        </w:numPr>
        <w:spacing w:before="120" w:after="120"/>
        <w:ind w:left="993" w:hanging="426"/>
        <w:contextualSpacing w:val="0"/>
        <w:rPr>
          <w:rFonts w:ascii="Arial" w:hAnsi="Arial" w:cs="Arial"/>
          <w:sz w:val="22"/>
          <w:szCs w:val="22"/>
        </w:rPr>
      </w:pPr>
      <w:r w:rsidRPr="00795D9D">
        <w:rPr>
          <w:rFonts w:ascii="Arial" w:hAnsi="Arial" w:cs="Arial"/>
          <w:sz w:val="22"/>
          <w:szCs w:val="22"/>
        </w:rPr>
        <w:t>Any remuneration owed by the company to anyone who is or has been an employee of the debtor, and is payable in respect of the whole or any part of the period of four months prior to the commencement of the company's winding up. Th maximum total figure payable is capped at £800;</w:t>
      </w:r>
    </w:p>
    <w:p w14:paraId="45BF9172" w14:textId="77777777" w:rsidR="00B23CC6" w:rsidRPr="00795D9D" w:rsidRDefault="00B23CC6" w:rsidP="00B23CC6">
      <w:pPr>
        <w:pStyle w:val="ListParagraph"/>
        <w:numPr>
          <w:ilvl w:val="0"/>
          <w:numId w:val="23"/>
        </w:numPr>
        <w:spacing w:before="120" w:after="120"/>
        <w:ind w:left="993" w:hanging="426"/>
        <w:contextualSpacing w:val="0"/>
        <w:rPr>
          <w:rFonts w:ascii="Arial" w:hAnsi="Arial" w:cs="Arial"/>
          <w:sz w:val="22"/>
          <w:szCs w:val="22"/>
        </w:rPr>
      </w:pPr>
      <w:r w:rsidRPr="00795D9D">
        <w:rPr>
          <w:rFonts w:ascii="Arial" w:hAnsi="Arial" w:cs="Arial"/>
          <w:sz w:val="22"/>
          <w:szCs w:val="22"/>
        </w:rPr>
        <w:t>Any amounts owed by the company as a result of accrued holiday remuneration in respect of any period of employment prior to the winding up of the company;</w:t>
      </w:r>
    </w:p>
    <w:p w14:paraId="613BAF48" w14:textId="77777777" w:rsidR="00B23CC6" w:rsidRPr="00795D9D" w:rsidRDefault="00B23CC6" w:rsidP="00B23CC6">
      <w:pPr>
        <w:pStyle w:val="ListParagraph"/>
        <w:numPr>
          <w:ilvl w:val="0"/>
          <w:numId w:val="23"/>
        </w:numPr>
        <w:spacing w:before="120" w:after="120"/>
        <w:ind w:left="993" w:hanging="426"/>
        <w:contextualSpacing w:val="0"/>
        <w:rPr>
          <w:rFonts w:ascii="Arial" w:hAnsi="Arial" w:cs="Arial"/>
          <w:sz w:val="22"/>
          <w:szCs w:val="22"/>
        </w:rPr>
      </w:pPr>
      <w:r w:rsidRPr="00795D9D">
        <w:rPr>
          <w:rFonts w:ascii="Arial" w:hAnsi="Arial" w:cs="Arial"/>
          <w:sz w:val="22"/>
          <w:szCs w:val="22"/>
        </w:rPr>
        <w:t>Any claims for money advanced to pay wages or holiday remuneration. Wages includes any remuneration payable in respect of a period of holiday or absence from work as a result of sickness or other good cause;</w:t>
      </w:r>
    </w:p>
    <w:p w14:paraId="49C05A70" w14:textId="77777777" w:rsidR="00B23CC6" w:rsidRPr="00795D9D" w:rsidRDefault="00B23CC6" w:rsidP="00B23CC6">
      <w:pPr>
        <w:pStyle w:val="ListParagraph"/>
        <w:numPr>
          <w:ilvl w:val="0"/>
          <w:numId w:val="23"/>
        </w:numPr>
        <w:spacing w:before="120" w:after="120"/>
        <w:ind w:left="993" w:hanging="426"/>
        <w:contextualSpacing w:val="0"/>
        <w:rPr>
          <w:rFonts w:ascii="Arial" w:hAnsi="Arial" w:cs="Arial"/>
          <w:sz w:val="22"/>
          <w:szCs w:val="22"/>
        </w:rPr>
      </w:pPr>
      <w:r w:rsidRPr="00795D9D">
        <w:rPr>
          <w:rFonts w:ascii="Arial" w:hAnsi="Arial" w:cs="Arial"/>
          <w:sz w:val="22"/>
          <w:szCs w:val="22"/>
        </w:rPr>
        <w:t>Levies on the production of coal and steel (per article 49 and 50 of the European Coal and Steel Community Treaty);</w:t>
      </w:r>
    </w:p>
    <w:p w14:paraId="735A4922" w14:textId="77777777" w:rsidR="00B23CC6" w:rsidRPr="00795D9D" w:rsidRDefault="00B23CC6" w:rsidP="00B23CC6">
      <w:pPr>
        <w:pStyle w:val="ListParagraph"/>
        <w:numPr>
          <w:ilvl w:val="0"/>
          <w:numId w:val="23"/>
        </w:numPr>
        <w:spacing w:before="120" w:after="120"/>
        <w:ind w:left="993" w:hanging="426"/>
        <w:contextualSpacing w:val="0"/>
        <w:rPr>
          <w:rFonts w:ascii="Arial" w:hAnsi="Arial" w:cs="Arial"/>
          <w:sz w:val="22"/>
          <w:szCs w:val="22"/>
        </w:rPr>
      </w:pPr>
      <w:r w:rsidRPr="00795D9D">
        <w:rPr>
          <w:rFonts w:ascii="Arial" w:hAnsi="Arial" w:cs="Arial"/>
          <w:sz w:val="22"/>
          <w:szCs w:val="22"/>
        </w:rPr>
        <w:t>Claims for any amount which a company is ordered to pay by virtue of the Reserve Forces (Safeguard of Employment) Act 1085 as a result of failing to discharge an obligation under that Act;</w:t>
      </w:r>
    </w:p>
    <w:p w14:paraId="69B4A45F" w14:textId="77777777" w:rsidR="00B23CC6" w:rsidRPr="00795D9D" w:rsidRDefault="00B23CC6" w:rsidP="00B23CC6">
      <w:pPr>
        <w:pStyle w:val="ListParagraph"/>
        <w:numPr>
          <w:ilvl w:val="0"/>
          <w:numId w:val="23"/>
        </w:numPr>
        <w:spacing w:before="120" w:after="120"/>
        <w:ind w:left="993" w:hanging="426"/>
        <w:contextualSpacing w:val="0"/>
        <w:rPr>
          <w:rFonts w:ascii="Arial" w:hAnsi="Arial" w:cs="Arial"/>
          <w:sz w:val="22"/>
          <w:szCs w:val="22"/>
        </w:rPr>
      </w:pPr>
      <w:r w:rsidRPr="00795D9D">
        <w:rPr>
          <w:rFonts w:ascii="Arial" w:hAnsi="Arial" w:cs="Arial"/>
          <w:sz w:val="22"/>
          <w:szCs w:val="22"/>
        </w:rPr>
        <w:t xml:space="preserve">Any amount owed by the company with respect to an eligible deposit that does not exceed the compensation payable in respect of that deposit under the Financial Services Compensation Scheme to the person that is owed that amount. </w:t>
      </w:r>
    </w:p>
    <w:p w14:paraId="5212B6A3" w14:textId="77777777" w:rsidR="00B23CC6" w:rsidRPr="00795D9D" w:rsidRDefault="00B23CC6" w:rsidP="00B23CC6">
      <w:pPr>
        <w:ind w:firstLine="567"/>
        <w:rPr>
          <w:rFonts w:ascii="Arial" w:hAnsi="Arial" w:cs="Arial"/>
          <w:i/>
          <w:iCs/>
          <w:sz w:val="22"/>
          <w:szCs w:val="22"/>
        </w:rPr>
      </w:pPr>
      <w:r w:rsidRPr="00795D9D">
        <w:rPr>
          <w:rFonts w:ascii="Arial" w:hAnsi="Arial" w:cs="Arial"/>
          <w:i/>
          <w:iCs/>
          <w:sz w:val="22"/>
          <w:szCs w:val="22"/>
        </w:rPr>
        <w:t>Secondary preferential debts:</w:t>
      </w:r>
      <w:r w:rsidRPr="00795D9D">
        <w:rPr>
          <w:rStyle w:val="FootnoteReference"/>
          <w:rFonts w:ascii="Arial" w:hAnsi="Arial" w:cs="Arial"/>
          <w:i/>
          <w:iCs/>
          <w:sz w:val="22"/>
          <w:szCs w:val="22"/>
        </w:rPr>
        <w:footnoteReference w:id="19"/>
      </w:r>
    </w:p>
    <w:p w14:paraId="32F57B29" w14:textId="77777777" w:rsidR="00B23CC6" w:rsidRPr="00795D9D" w:rsidRDefault="00B23CC6" w:rsidP="00B23CC6">
      <w:pPr>
        <w:pStyle w:val="ListParagraph"/>
        <w:numPr>
          <w:ilvl w:val="0"/>
          <w:numId w:val="24"/>
        </w:numPr>
        <w:spacing w:before="120" w:after="120"/>
        <w:ind w:left="993" w:hanging="426"/>
        <w:contextualSpacing w:val="0"/>
        <w:rPr>
          <w:rFonts w:ascii="Arial" w:hAnsi="Arial" w:cs="Arial"/>
          <w:sz w:val="22"/>
          <w:szCs w:val="22"/>
        </w:rPr>
      </w:pPr>
      <w:r w:rsidRPr="00795D9D">
        <w:rPr>
          <w:rFonts w:ascii="Arial" w:hAnsi="Arial" w:cs="Arial"/>
          <w:sz w:val="22"/>
          <w:szCs w:val="22"/>
        </w:rPr>
        <w:t>Any amount owed by the company with respect to an eligible deposit that exceeds the compensation payable in respect of that deposit under the Financial Services Compensation Scheme to the person that is owed that amount;</w:t>
      </w:r>
    </w:p>
    <w:p w14:paraId="0E82959C" w14:textId="77777777" w:rsidR="00B23CC6" w:rsidRPr="00795D9D" w:rsidRDefault="00B23CC6" w:rsidP="00B23CC6">
      <w:pPr>
        <w:pStyle w:val="ListParagraph"/>
        <w:numPr>
          <w:ilvl w:val="0"/>
          <w:numId w:val="24"/>
        </w:numPr>
        <w:spacing w:before="120" w:after="120"/>
        <w:ind w:left="993" w:hanging="426"/>
        <w:contextualSpacing w:val="0"/>
        <w:rPr>
          <w:rFonts w:ascii="Arial" w:hAnsi="Arial" w:cs="Arial"/>
          <w:sz w:val="22"/>
          <w:szCs w:val="22"/>
        </w:rPr>
      </w:pPr>
      <w:r w:rsidRPr="00795D9D">
        <w:rPr>
          <w:rFonts w:ascii="Arial" w:hAnsi="Arial" w:cs="Arial"/>
          <w:sz w:val="22"/>
          <w:szCs w:val="22"/>
        </w:rPr>
        <w:t xml:space="preserve">Any amount owed by the company to an eligible person in respect of a deposit which: </w:t>
      </w:r>
    </w:p>
    <w:p w14:paraId="42B2409D" w14:textId="77777777" w:rsidR="00B23CC6" w:rsidRPr="00795D9D" w:rsidRDefault="00B23CC6" w:rsidP="00B23CC6">
      <w:pPr>
        <w:pStyle w:val="ListParagraph"/>
        <w:numPr>
          <w:ilvl w:val="1"/>
          <w:numId w:val="24"/>
        </w:numPr>
        <w:spacing w:before="120" w:after="120"/>
        <w:ind w:left="1418" w:hanging="142"/>
        <w:contextualSpacing w:val="0"/>
        <w:rPr>
          <w:rFonts w:ascii="Arial" w:hAnsi="Arial" w:cs="Arial"/>
          <w:sz w:val="22"/>
          <w:szCs w:val="22"/>
        </w:rPr>
      </w:pPr>
      <w:r w:rsidRPr="00795D9D">
        <w:rPr>
          <w:rFonts w:ascii="Arial" w:hAnsi="Arial" w:cs="Arial"/>
          <w:sz w:val="22"/>
          <w:szCs w:val="22"/>
        </w:rPr>
        <w:lastRenderedPageBreak/>
        <w:t xml:space="preserve">Was made through a non-UK branch of a credit institution authorised by the competent authority of the UK; and </w:t>
      </w:r>
    </w:p>
    <w:p w14:paraId="4B6590B0" w14:textId="77777777" w:rsidR="00B23CC6" w:rsidRPr="00795D9D" w:rsidRDefault="00B23CC6" w:rsidP="00B23CC6">
      <w:pPr>
        <w:pStyle w:val="ListParagraph"/>
        <w:numPr>
          <w:ilvl w:val="1"/>
          <w:numId w:val="24"/>
        </w:numPr>
        <w:spacing w:before="120" w:after="120"/>
        <w:ind w:left="1418" w:hanging="142"/>
        <w:contextualSpacing w:val="0"/>
        <w:rPr>
          <w:rFonts w:ascii="Arial" w:hAnsi="Arial" w:cs="Arial"/>
          <w:sz w:val="22"/>
          <w:szCs w:val="22"/>
        </w:rPr>
      </w:pPr>
      <w:r w:rsidRPr="00795D9D">
        <w:rPr>
          <w:rFonts w:ascii="Arial" w:hAnsi="Arial" w:cs="Arial"/>
          <w:sz w:val="22"/>
          <w:szCs w:val="22"/>
        </w:rPr>
        <w:t xml:space="preserve">If that deposit had been made through a UK branch of that credit institution, would have been an eligible deposit. </w:t>
      </w:r>
    </w:p>
    <w:p w14:paraId="126C9EFC" w14:textId="77777777" w:rsidR="00B23CC6" w:rsidRPr="00795D9D" w:rsidRDefault="00B23CC6" w:rsidP="00B23CC6">
      <w:pPr>
        <w:pStyle w:val="ListParagraph"/>
        <w:numPr>
          <w:ilvl w:val="0"/>
          <w:numId w:val="24"/>
        </w:numPr>
        <w:spacing w:before="120" w:after="120"/>
        <w:ind w:left="993" w:hanging="426"/>
        <w:contextualSpacing w:val="0"/>
        <w:rPr>
          <w:rFonts w:ascii="Arial" w:hAnsi="Arial" w:cs="Arial"/>
          <w:sz w:val="22"/>
          <w:szCs w:val="22"/>
        </w:rPr>
      </w:pPr>
      <w:r w:rsidRPr="00795D9D">
        <w:rPr>
          <w:rFonts w:ascii="Arial" w:hAnsi="Arial" w:cs="Arial"/>
          <w:sz w:val="22"/>
          <w:szCs w:val="22"/>
        </w:rPr>
        <w:t xml:space="preserve">Any PAYE income tax deductions, national insurance deductions, VAT payments, Construction Industry Scheme deductions and student loan repayments. </w:t>
      </w:r>
    </w:p>
    <w:p w14:paraId="6C1BE45D" w14:textId="77777777" w:rsidR="00B23CC6" w:rsidRPr="00795D9D" w:rsidRDefault="00B23CC6" w:rsidP="00B23CC6">
      <w:pPr>
        <w:pStyle w:val="ListParagraph"/>
        <w:numPr>
          <w:ilvl w:val="0"/>
          <w:numId w:val="25"/>
        </w:numPr>
        <w:spacing w:before="120" w:after="120"/>
        <w:ind w:left="426" w:hanging="426"/>
        <w:contextualSpacing w:val="0"/>
        <w:rPr>
          <w:rFonts w:ascii="Arial" w:hAnsi="Arial" w:cs="Arial"/>
          <w:sz w:val="22"/>
          <w:szCs w:val="22"/>
        </w:rPr>
      </w:pPr>
      <w:r w:rsidRPr="00795D9D">
        <w:rPr>
          <w:rFonts w:ascii="Arial" w:hAnsi="Arial" w:cs="Arial"/>
          <w:sz w:val="22"/>
          <w:szCs w:val="22"/>
        </w:rPr>
        <w:t>Once the expenses set out above as well as all preferential creditors are paid, floating charge holders are next in priority.</w:t>
      </w:r>
      <w:r w:rsidRPr="00795D9D">
        <w:rPr>
          <w:rStyle w:val="FootnoteReference"/>
          <w:rFonts w:ascii="Arial" w:hAnsi="Arial" w:cs="Arial"/>
          <w:sz w:val="22"/>
          <w:szCs w:val="22"/>
        </w:rPr>
        <w:footnoteReference w:id="20"/>
      </w:r>
      <w:r w:rsidRPr="00795D9D">
        <w:rPr>
          <w:rFonts w:ascii="Arial" w:hAnsi="Arial" w:cs="Arial"/>
          <w:sz w:val="22"/>
          <w:szCs w:val="22"/>
        </w:rPr>
        <w:t xml:space="preserve"> </w:t>
      </w:r>
    </w:p>
    <w:p w14:paraId="0514B42E" w14:textId="2655EEC4" w:rsidR="00B23CC6" w:rsidRPr="00795D9D" w:rsidRDefault="00B23CC6" w:rsidP="00B23CC6">
      <w:pPr>
        <w:ind w:left="426"/>
        <w:rPr>
          <w:rFonts w:ascii="Arial" w:hAnsi="Arial" w:cs="Arial"/>
          <w:sz w:val="22"/>
          <w:szCs w:val="22"/>
        </w:rPr>
      </w:pPr>
      <w:r w:rsidRPr="00795D9D">
        <w:rPr>
          <w:rFonts w:ascii="Arial" w:hAnsi="Arial" w:cs="Arial"/>
          <w:sz w:val="22"/>
          <w:szCs w:val="22"/>
        </w:rPr>
        <w:t>In the event there is more than one floating charge holder, priority between them will depend on which floating charge was created first.</w:t>
      </w:r>
      <w:r w:rsidRPr="00795D9D">
        <w:rPr>
          <w:rStyle w:val="FootnoteReference"/>
          <w:rFonts w:ascii="Arial" w:hAnsi="Arial" w:cs="Arial"/>
          <w:sz w:val="22"/>
          <w:szCs w:val="22"/>
        </w:rPr>
        <w:footnoteReference w:id="21"/>
      </w:r>
    </w:p>
    <w:p w14:paraId="49B58D8D" w14:textId="77777777" w:rsidR="00B23CC6" w:rsidRPr="00795D9D" w:rsidRDefault="00B23CC6" w:rsidP="00B23CC6">
      <w:pPr>
        <w:ind w:left="426"/>
        <w:rPr>
          <w:rFonts w:ascii="Arial" w:hAnsi="Arial" w:cs="Arial"/>
          <w:sz w:val="22"/>
          <w:szCs w:val="22"/>
        </w:rPr>
      </w:pPr>
    </w:p>
    <w:p w14:paraId="06510DE0" w14:textId="5504247A" w:rsidR="00B23CC6" w:rsidRPr="00795D9D" w:rsidRDefault="00B23CC6" w:rsidP="00B23CC6">
      <w:pPr>
        <w:ind w:left="426"/>
        <w:rPr>
          <w:rFonts w:ascii="Arial" w:hAnsi="Arial" w:cs="Arial"/>
          <w:sz w:val="22"/>
          <w:szCs w:val="22"/>
        </w:rPr>
      </w:pPr>
      <w:r w:rsidRPr="00795D9D">
        <w:rPr>
          <w:rFonts w:ascii="Arial" w:hAnsi="Arial" w:cs="Arial"/>
          <w:sz w:val="22"/>
          <w:szCs w:val="22"/>
        </w:rPr>
        <w:t>A floating charge holder's preference in a liquidation will be affected if the floating charge was created on or after 15 September 2003 as section 176A of the Act will come into play.</w:t>
      </w:r>
      <w:r w:rsidRPr="00795D9D">
        <w:rPr>
          <w:rStyle w:val="FootnoteReference"/>
          <w:rFonts w:ascii="Arial" w:hAnsi="Arial" w:cs="Arial"/>
          <w:sz w:val="22"/>
          <w:szCs w:val="22"/>
        </w:rPr>
        <w:footnoteReference w:id="22"/>
      </w:r>
    </w:p>
    <w:p w14:paraId="1AF83663" w14:textId="77777777" w:rsidR="00B23CC6" w:rsidRPr="00795D9D" w:rsidRDefault="00B23CC6" w:rsidP="00B23CC6">
      <w:pPr>
        <w:ind w:left="426"/>
        <w:rPr>
          <w:rFonts w:ascii="Arial" w:hAnsi="Arial" w:cs="Arial"/>
          <w:sz w:val="22"/>
          <w:szCs w:val="22"/>
        </w:rPr>
      </w:pPr>
    </w:p>
    <w:p w14:paraId="6E8DF096" w14:textId="3F4B342E" w:rsidR="00B23CC6" w:rsidRPr="00795D9D" w:rsidRDefault="00B23CC6" w:rsidP="00B23CC6">
      <w:pPr>
        <w:ind w:left="426"/>
        <w:rPr>
          <w:rFonts w:ascii="Arial" w:hAnsi="Arial" w:cs="Arial"/>
          <w:sz w:val="22"/>
          <w:szCs w:val="22"/>
        </w:rPr>
      </w:pPr>
      <w:r w:rsidRPr="00795D9D">
        <w:rPr>
          <w:rFonts w:ascii="Arial" w:hAnsi="Arial" w:cs="Arial"/>
          <w:sz w:val="22"/>
          <w:szCs w:val="22"/>
        </w:rPr>
        <w:t>Under section 176A, the liquidator must make a 'prescribed part' of the company's net property available for the satisfaction of unsecured creditors and consequently not distribute any of this prescribed part unless it is in excess of what is required to satisfy all unsecured creditor claims.</w:t>
      </w:r>
      <w:r w:rsidRPr="00795D9D">
        <w:rPr>
          <w:rStyle w:val="FootnoteReference"/>
          <w:rFonts w:ascii="Arial" w:hAnsi="Arial" w:cs="Arial"/>
          <w:sz w:val="22"/>
          <w:szCs w:val="22"/>
        </w:rPr>
        <w:footnoteReference w:id="23"/>
      </w:r>
    </w:p>
    <w:p w14:paraId="431D95BD" w14:textId="77777777" w:rsidR="00B23CC6" w:rsidRPr="00795D9D" w:rsidRDefault="00B23CC6" w:rsidP="00B23CC6">
      <w:pPr>
        <w:ind w:left="426"/>
        <w:rPr>
          <w:rFonts w:ascii="Arial" w:hAnsi="Arial" w:cs="Arial"/>
          <w:sz w:val="22"/>
          <w:szCs w:val="22"/>
        </w:rPr>
      </w:pPr>
    </w:p>
    <w:p w14:paraId="56539CC2" w14:textId="61064302" w:rsidR="00B23CC6" w:rsidRPr="00795D9D" w:rsidRDefault="00B23CC6" w:rsidP="00B23CC6">
      <w:pPr>
        <w:ind w:left="426"/>
        <w:rPr>
          <w:rFonts w:ascii="Arial" w:hAnsi="Arial" w:cs="Arial"/>
          <w:sz w:val="22"/>
          <w:szCs w:val="22"/>
        </w:rPr>
      </w:pPr>
      <w:r w:rsidRPr="00795D9D">
        <w:rPr>
          <w:rFonts w:ascii="Arial" w:hAnsi="Arial" w:cs="Arial"/>
          <w:sz w:val="22"/>
          <w:szCs w:val="22"/>
        </w:rPr>
        <w:t>'Net property' for the purpose of section 176A is defined to mean the amount of the company's property which would ordinarily be available to meet the debts of the floating charge holders. Based on the above, this means the net property' is therefore calculated after the liquidation expenses and preferential debts have been deducted.</w:t>
      </w:r>
      <w:r w:rsidRPr="00795D9D">
        <w:rPr>
          <w:rStyle w:val="FootnoteReference"/>
          <w:rFonts w:ascii="Arial" w:hAnsi="Arial" w:cs="Arial"/>
          <w:sz w:val="22"/>
          <w:szCs w:val="22"/>
        </w:rPr>
        <w:footnoteReference w:id="24"/>
      </w:r>
    </w:p>
    <w:p w14:paraId="48458B47" w14:textId="77777777" w:rsidR="00B23CC6" w:rsidRPr="00795D9D" w:rsidRDefault="00B23CC6" w:rsidP="00B23CC6">
      <w:pPr>
        <w:ind w:left="426"/>
        <w:rPr>
          <w:rFonts w:ascii="Arial" w:hAnsi="Arial" w:cs="Arial"/>
          <w:sz w:val="22"/>
          <w:szCs w:val="22"/>
        </w:rPr>
      </w:pPr>
    </w:p>
    <w:p w14:paraId="60B19877" w14:textId="2EFCFDAF" w:rsidR="00B23CC6" w:rsidRPr="00795D9D" w:rsidRDefault="00B23CC6" w:rsidP="00B23CC6">
      <w:pPr>
        <w:ind w:left="426"/>
        <w:rPr>
          <w:rFonts w:ascii="Arial" w:hAnsi="Arial" w:cs="Arial"/>
          <w:sz w:val="22"/>
          <w:szCs w:val="22"/>
        </w:rPr>
      </w:pPr>
      <w:r w:rsidRPr="00795D9D">
        <w:rPr>
          <w:rFonts w:ascii="Arial" w:hAnsi="Arial" w:cs="Arial"/>
          <w:sz w:val="22"/>
          <w:szCs w:val="22"/>
        </w:rPr>
        <w:t>The requirement to make available a prescribed part will not apply if the company's net property is less than GBP 10,000 and the liquidator determines that making such distribution would be disproportionate to the benefits obtained.</w:t>
      </w:r>
      <w:r w:rsidRPr="00795D9D">
        <w:rPr>
          <w:rStyle w:val="FootnoteReference"/>
          <w:rFonts w:ascii="Arial" w:hAnsi="Arial" w:cs="Arial"/>
          <w:sz w:val="22"/>
          <w:szCs w:val="22"/>
        </w:rPr>
        <w:footnoteReference w:id="25"/>
      </w:r>
    </w:p>
    <w:p w14:paraId="3A9CE2B7" w14:textId="77777777" w:rsidR="00B23CC6" w:rsidRPr="00795D9D" w:rsidRDefault="00B23CC6" w:rsidP="00B23CC6">
      <w:pPr>
        <w:ind w:left="426"/>
        <w:rPr>
          <w:rFonts w:ascii="Arial" w:hAnsi="Arial" w:cs="Arial"/>
          <w:sz w:val="22"/>
          <w:szCs w:val="22"/>
        </w:rPr>
      </w:pPr>
    </w:p>
    <w:p w14:paraId="1832ECD7" w14:textId="2FB24C8A" w:rsidR="00B23CC6" w:rsidRPr="00795D9D" w:rsidRDefault="00B23CC6" w:rsidP="00B23CC6">
      <w:pPr>
        <w:ind w:left="426"/>
        <w:rPr>
          <w:rFonts w:ascii="Arial" w:hAnsi="Arial" w:cs="Arial"/>
          <w:sz w:val="22"/>
          <w:szCs w:val="22"/>
        </w:rPr>
      </w:pPr>
      <w:r w:rsidRPr="00795D9D">
        <w:rPr>
          <w:rFonts w:ascii="Arial" w:hAnsi="Arial" w:cs="Arial"/>
          <w:sz w:val="22"/>
          <w:szCs w:val="22"/>
        </w:rPr>
        <w:t>Otherwise, the amount of the prescribed part depends on the amount of the company's net property. For example, if a company's net property does not exceed GBP 10,000, the prescribed part will be 50%.</w:t>
      </w:r>
      <w:r w:rsidRPr="00795D9D">
        <w:rPr>
          <w:rStyle w:val="FootnoteReference"/>
          <w:rFonts w:ascii="Arial" w:hAnsi="Arial" w:cs="Arial"/>
          <w:sz w:val="22"/>
          <w:szCs w:val="22"/>
        </w:rPr>
        <w:footnoteReference w:id="26"/>
      </w:r>
      <w:r w:rsidRPr="00795D9D">
        <w:rPr>
          <w:rFonts w:ascii="Arial" w:hAnsi="Arial" w:cs="Arial"/>
          <w:sz w:val="22"/>
          <w:szCs w:val="22"/>
        </w:rPr>
        <w:t xml:space="preserve"> If a company’s net property exceeds that amount, the prescribed part is stipulated to be 50% of the first GBP 10,000, plus 20% of the excess in value above the first GBP 10,000.</w:t>
      </w:r>
      <w:r w:rsidRPr="00795D9D">
        <w:rPr>
          <w:rStyle w:val="FootnoteReference"/>
          <w:rFonts w:ascii="Arial" w:hAnsi="Arial" w:cs="Arial"/>
          <w:sz w:val="22"/>
          <w:szCs w:val="22"/>
        </w:rPr>
        <w:footnoteReference w:id="27"/>
      </w:r>
      <w:r w:rsidRPr="00795D9D">
        <w:rPr>
          <w:rFonts w:ascii="Arial" w:hAnsi="Arial" w:cs="Arial"/>
          <w:sz w:val="22"/>
          <w:szCs w:val="22"/>
        </w:rPr>
        <w:t xml:space="preserve"> The amount is capped at GBO 800,000.</w:t>
      </w:r>
      <w:r w:rsidRPr="00795D9D">
        <w:rPr>
          <w:rStyle w:val="FootnoteReference"/>
          <w:rFonts w:ascii="Arial" w:hAnsi="Arial" w:cs="Arial"/>
          <w:sz w:val="22"/>
          <w:szCs w:val="22"/>
        </w:rPr>
        <w:footnoteReference w:id="28"/>
      </w:r>
    </w:p>
    <w:p w14:paraId="662F1D9A" w14:textId="77777777" w:rsidR="00B23CC6" w:rsidRPr="00795D9D" w:rsidRDefault="00B23CC6" w:rsidP="00B23CC6">
      <w:pPr>
        <w:ind w:left="426"/>
        <w:rPr>
          <w:rFonts w:ascii="Arial" w:hAnsi="Arial" w:cs="Arial"/>
          <w:sz w:val="22"/>
          <w:szCs w:val="22"/>
        </w:rPr>
      </w:pPr>
    </w:p>
    <w:p w14:paraId="50FA4E68" w14:textId="4823FC43" w:rsidR="00312545" w:rsidRDefault="00B23CC6" w:rsidP="00312545">
      <w:pPr>
        <w:ind w:left="426"/>
        <w:rPr>
          <w:rFonts w:ascii="Arial" w:hAnsi="Arial" w:cs="Arial"/>
          <w:sz w:val="22"/>
          <w:szCs w:val="22"/>
        </w:rPr>
      </w:pPr>
      <w:r w:rsidRPr="00795D9D">
        <w:rPr>
          <w:rFonts w:ascii="Arial" w:hAnsi="Arial" w:cs="Arial"/>
          <w:sz w:val="22"/>
          <w:szCs w:val="22"/>
        </w:rPr>
        <w:t>In addition, any secured creditor, and therefore including any floating charge holder, who has an outstanding unsecured debt owing, is prohibited from participating in the distribution of a prescribed part.</w:t>
      </w:r>
      <w:r w:rsidRPr="00795D9D">
        <w:rPr>
          <w:rStyle w:val="FootnoteReference"/>
          <w:rFonts w:ascii="Arial" w:hAnsi="Arial" w:cs="Arial"/>
          <w:sz w:val="22"/>
          <w:szCs w:val="22"/>
        </w:rPr>
        <w:footnoteReference w:id="29"/>
      </w:r>
    </w:p>
    <w:p w14:paraId="27916E62" w14:textId="77777777" w:rsidR="00312545" w:rsidRPr="00795D9D" w:rsidRDefault="00312545" w:rsidP="00312545">
      <w:pPr>
        <w:ind w:left="426"/>
        <w:rPr>
          <w:rFonts w:ascii="Arial" w:hAnsi="Arial" w:cs="Arial"/>
          <w:sz w:val="22"/>
          <w:szCs w:val="22"/>
        </w:rPr>
      </w:pPr>
    </w:p>
    <w:p w14:paraId="088FA99E" w14:textId="5EE31A31" w:rsidR="00312545" w:rsidRPr="00312545" w:rsidRDefault="00B23CC6" w:rsidP="00312545">
      <w:pPr>
        <w:pStyle w:val="ListParagraph"/>
        <w:numPr>
          <w:ilvl w:val="0"/>
          <w:numId w:val="25"/>
        </w:numPr>
        <w:spacing w:before="120" w:after="120"/>
        <w:ind w:left="426" w:hanging="426"/>
        <w:contextualSpacing w:val="0"/>
        <w:rPr>
          <w:rFonts w:ascii="Arial" w:hAnsi="Arial" w:cs="Arial"/>
          <w:sz w:val="22"/>
          <w:szCs w:val="22"/>
        </w:rPr>
      </w:pPr>
      <w:r w:rsidRPr="00795D9D">
        <w:rPr>
          <w:rFonts w:ascii="Arial" w:hAnsi="Arial" w:cs="Arial"/>
          <w:sz w:val="22"/>
          <w:szCs w:val="22"/>
        </w:rPr>
        <w:lastRenderedPageBreak/>
        <w:t>Lastly, unsecured creditors will be paid, to the extent that their outstanding debt has not been satisfied by the prescribed part distributions described above.</w:t>
      </w:r>
      <w:r w:rsidRPr="00795D9D">
        <w:rPr>
          <w:rStyle w:val="FootnoteReference"/>
          <w:rFonts w:ascii="Arial" w:hAnsi="Arial" w:cs="Arial"/>
          <w:sz w:val="22"/>
          <w:szCs w:val="22"/>
        </w:rPr>
        <w:footnoteReference w:id="30"/>
      </w:r>
    </w:p>
    <w:p w14:paraId="5D7BEEB7" w14:textId="77777777" w:rsidR="00B23CC6" w:rsidRPr="00795D9D" w:rsidRDefault="00B23CC6" w:rsidP="00B23CC6">
      <w:pPr>
        <w:pStyle w:val="ListParagraph"/>
        <w:numPr>
          <w:ilvl w:val="0"/>
          <w:numId w:val="25"/>
        </w:numPr>
        <w:spacing w:before="120" w:after="120"/>
        <w:ind w:left="426" w:hanging="426"/>
        <w:contextualSpacing w:val="0"/>
        <w:rPr>
          <w:rFonts w:ascii="Arial" w:hAnsi="Arial" w:cs="Arial"/>
          <w:sz w:val="22"/>
          <w:szCs w:val="22"/>
        </w:rPr>
      </w:pPr>
      <w:r w:rsidRPr="00795D9D">
        <w:rPr>
          <w:rFonts w:ascii="Arial" w:hAnsi="Arial" w:cs="Arial"/>
          <w:sz w:val="22"/>
          <w:szCs w:val="22"/>
        </w:rPr>
        <w:t>Although unsecured creditors are considered the last step in the Act's preferential debts regime, in the event there are surplus funds after unsecured creditors are paid, that will be distributed amongst shareholders in accordance with the relevant company's constitution (which will ordinarily result in a pro rata distribution based on the various shareholdings).</w:t>
      </w:r>
      <w:r w:rsidRPr="00795D9D">
        <w:rPr>
          <w:rStyle w:val="FootnoteReference"/>
          <w:rFonts w:ascii="Arial" w:hAnsi="Arial" w:cs="Arial"/>
          <w:sz w:val="22"/>
          <w:szCs w:val="22"/>
        </w:rPr>
        <w:footnoteReference w:id="31"/>
      </w:r>
    </w:p>
    <w:p w14:paraId="7681B98B" w14:textId="02790E49" w:rsidR="00B23CC6" w:rsidRPr="00795D9D" w:rsidRDefault="00B23CC6" w:rsidP="00B23CC6">
      <w:pPr>
        <w:rPr>
          <w:rFonts w:ascii="Arial" w:hAnsi="Arial" w:cs="Arial"/>
          <w:sz w:val="22"/>
          <w:szCs w:val="22"/>
        </w:rPr>
      </w:pPr>
      <w:r w:rsidRPr="00795D9D">
        <w:rPr>
          <w:rFonts w:ascii="Arial" w:hAnsi="Arial" w:cs="Arial"/>
          <w:sz w:val="22"/>
          <w:szCs w:val="22"/>
        </w:rPr>
        <w:t xml:space="preserve">The above priority would change as follows if the company had been subject to a Moratorium under Part A1 of the Act during the </w:t>
      </w:r>
      <w:r w:rsidR="00312545" w:rsidRPr="00795D9D">
        <w:rPr>
          <w:rFonts w:ascii="Arial" w:hAnsi="Arial" w:cs="Arial"/>
          <w:sz w:val="22"/>
          <w:szCs w:val="22"/>
        </w:rPr>
        <w:t>12-week</w:t>
      </w:r>
      <w:r w:rsidRPr="00795D9D">
        <w:rPr>
          <w:rFonts w:ascii="Arial" w:hAnsi="Arial" w:cs="Arial"/>
          <w:sz w:val="22"/>
          <w:szCs w:val="22"/>
        </w:rPr>
        <w:t xml:space="preserve"> period prior to the commencement of the liquidation:</w:t>
      </w:r>
    </w:p>
    <w:p w14:paraId="45662CD2" w14:textId="77777777" w:rsidR="00B23CC6" w:rsidRPr="00795D9D" w:rsidRDefault="00B23CC6" w:rsidP="00B23CC6">
      <w:pPr>
        <w:rPr>
          <w:rFonts w:ascii="Arial" w:hAnsi="Arial" w:cs="Arial"/>
          <w:sz w:val="22"/>
          <w:szCs w:val="22"/>
        </w:rPr>
      </w:pPr>
    </w:p>
    <w:p w14:paraId="69B80C3E" w14:textId="7BD251DF" w:rsidR="00B23CC6" w:rsidRPr="00795D9D" w:rsidRDefault="00B23CC6" w:rsidP="00B23CC6">
      <w:pPr>
        <w:rPr>
          <w:rFonts w:ascii="Arial" w:hAnsi="Arial" w:cs="Arial"/>
          <w:sz w:val="22"/>
          <w:szCs w:val="22"/>
        </w:rPr>
      </w:pPr>
      <w:r w:rsidRPr="00795D9D">
        <w:rPr>
          <w:rFonts w:ascii="Arial" w:hAnsi="Arial" w:cs="Arial"/>
          <w:sz w:val="22"/>
          <w:szCs w:val="22"/>
        </w:rPr>
        <w:t>Section 174A of the Act would apply in this situation, which stipulates that certain unpaid pre-Moratorium or Moratorium debts (which are not part of the Moratorium payment holiday) as well as prescribed fees or expenses of the official receiver acting in any capacity in relation to the company, enjoy 'super priority' and are paid prior to the liquidator fees and expenses.</w:t>
      </w:r>
      <w:r w:rsidRPr="00795D9D">
        <w:rPr>
          <w:rStyle w:val="FootnoteReference"/>
          <w:rFonts w:ascii="Arial" w:hAnsi="Arial" w:cs="Arial"/>
          <w:sz w:val="22"/>
          <w:szCs w:val="22"/>
        </w:rPr>
        <w:footnoteReference w:id="32"/>
      </w:r>
      <w:r w:rsidRPr="00795D9D">
        <w:rPr>
          <w:rFonts w:ascii="Arial" w:hAnsi="Arial" w:cs="Arial"/>
          <w:sz w:val="22"/>
          <w:szCs w:val="22"/>
        </w:rPr>
        <w:t xml:space="preserve"> These debts include debts owed to employees as well as 'financial services' debts. 'Financial services' debts would also include pre-Moratorium bank debts unless such debt is accelerated debt (this being pre-Moratorium financial services debt falling due as a result of an acceleration or early termination provision in a financial services contract).</w:t>
      </w:r>
      <w:r w:rsidRPr="00795D9D">
        <w:rPr>
          <w:rStyle w:val="FootnoteReference"/>
          <w:rFonts w:ascii="Arial" w:hAnsi="Arial" w:cs="Arial"/>
          <w:sz w:val="22"/>
          <w:szCs w:val="22"/>
        </w:rPr>
        <w:footnoteReference w:id="33"/>
      </w:r>
    </w:p>
    <w:p w14:paraId="4E9BD331" w14:textId="77777777" w:rsidR="00B23CC6" w:rsidRPr="00795D9D" w:rsidRDefault="00B23CC6" w:rsidP="00B23CC6">
      <w:pPr>
        <w:rPr>
          <w:rFonts w:ascii="Arial" w:hAnsi="Arial" w:cs="Arial"/>
          <w:sz w:val="22"/>
          <w:szCs w:val="22"/>
        </w:rPr>
      </w:pPr>
    </w:p>
    <w:p w14:paraId="54BAA560" w14:textId="77777777" w:rsidR="00B23CC6" w:rsidRPr="00795D9D" w:rsidRDefault="00B23CC6" w:rsidP="00B23CC6">
      <w:pPr>
        <w:rPr>
          <w:rFonts w:ascii="Arial" w:hAnsi="Arial" w:cs="Arial"/>
          <w:sz w:val="22"/>
          <w:szCs w:val="22"/>
        </w:rPr>
      </w:pPr>
      <w:r w:rsidRPr="00795D9D">
        <w:rPr>
          <w:rFonts w:ascii="Arial" w:hAnsi="Arial" w:cs="Arial"/>
          <w:sz w:val="22"/>
          <w:szCs w:val="22"/>
        </w:rPr>
        <w:t xml:space="preserve">As such, if section 174A applies, the debts stipulated in that section would be prioritised over all other debts canvassed above. </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r w:rsidR="00F41146" w:rsidRPr="006925C1">
        <w:rPr>
          <w:rFonts w:ascii="Avenir Next" w:hAnsi="Avenir Next" w:cs="Arial"/>
          <w:sz w:val="22"/>
          <w:szCs w:val="22"/>
        </w:rPr>
        <w:t>Fretus</w:t>
      </w:r>
      <w:r w:rsidRPr="006925C1">
        <w:rPr>
          <w:rFonts w:ascii="Avenir Next" w:hAnsi="Avenir Next" w:cs="Arial"/>
          <w:sz w:val="22"/>
          <w:szCs w:val="22"/>
        </w:rPr>
        <w:t xml:space="preserve"> Bank plc, and in order to prevent it from demanding repayment of the company’s loans, </w:t>
      </w:r>
      <w:r w:rsidR="00F41146" w:rsidRPr="006925C1">
        <w:rPr>
          <w:rFonts w:ascii="Avenir Next" w:hAnsi="Avenir Next" w:cs="Arial"/>
          <w:sz w:val="22"/>
          <w:szCs w:val="22"/>
        </w:rPr>
        <w:t>Marbley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sidR="00F41146" w:rsidRPr="006E0D3B">
        <w:rPr>
          <w:rFonts w:ascii="Avenir Next" w:hAnsi="Avenir Next" w:cs="Arial"/>
          <w:sz w:val="22"/>
          <w:szCs w:val="22"/>
          <w:lang w:val="en-GB"/>
        </w:rPr>
        <w:t>Fretus</w:t>
      </w:r>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2CC62972" w14:textId="2ABBEE97" w:rsidR="00B23CC6" w:rsidRPr="00D67656" w:rsidRDefault="00B23CC6" w:rsidP="00B23CC6">
      <w:pPr>
        <w:rPr>
          <w:rFonts w:ascii="Arial" w:hAnsi="Arial" w:cs="Arial"/>
          <w:sz w:val="22"/>
          <w:szCs w:val="22"/>
        </w:rPr>
      </w:pPr>
      <w:r w:rsidRPr="00D67656">
        <w:rPr>
          <w:rFonts w:ascii="Arial" w:hAnsi="Arial" w:cs="Arial"/>
          <w:sz w:val="22"/>
          <w:szCs w:val="22"/>
        </w:rPr>
        <w:t xml:space="preserve">The liquidator here may be able to render the floating charge granted to Fretus Bank plc invalid if section 245 of the Insolvency Act 1986 (Act) applies. </w:t>
      </w:r>
    </w:p>
    <w:p w14:paraId="06BCE935" w14:textId="77777777" w:rsidR="00B23CC6" w:rsidRPr="00D67656" w:rsidRDefault="00B23CC6" w:rsidP="00B23CC6">
      <w:pPr>
        <w:rPr>
          <w:rFonts w:ascii="Arial" w:hAnsi="Arial" w:cs="Arial"/>
          <w:sz w:val="22"/>
          <w:szCs w:val="22"/>
        </w:rPr>
      </w:pPr>
    </w:p>
    <w:p w14:paraId="4930CC9C" w14:textId="184B3B45" w:rsidR="00B23CC6" w:rsidRPr="00D67656" w:rsidRDefault="00B23CC6" w:rsidP="00B23CC6">
      <w:pPr>
        <w:rPr>
          <w:rFonts w:ascii="Arial" w:hAnsi="Arial" w:cs="Arial"/>
          <w:sz w:val="22"/>
          <w:szCs w:val="22"/>
        </w:rPr>
      </w:pPr>
      <w:r w:rsidRPr="00D67656">
        <w:rPr>
          <w:rFonts w:ascii="Arial" w:hAnsi="Arial" w:cs="Arial"/>
          <w:sz w:val="22"/>
          <w:szCs w:val="22"/>
        </w:rPr>
        <w:t>The purpose of section 245 is to prevent pre-existing unsecured creditors from obtaining security of a floating charge shortly before a company enters a formal insolvency procedure.</w:t>
      </w:r>
      <w:r w:rsidRPr="00D67656">
        <w:rPr>
          <w:rStyle w:val="FootnoteReference"/>
          <w:rFonts w:ascii="Arial" w:hAnsi="Arial" w:cs="Arial"/>
          <w:sz w:val="22"/>
          <w:szCs w:val="22"/>
        </w:rPr>
        <w:footnoteReference w:id="34"/>
      </w:r>
      <w:r w:rsidRPr="00D67656">
        <w:rPr>
          <w:rFonts w:ascii="Arial" w:hAnsi="Arial" w:cs="Arial"/>
          <w:sz w:val="22"/>
          <w:szCs w:val="22"/>
        </w:rPr>
        <w:t xml:space="preserve"> If the section applies, the floating charge will be rendered invalid.</w:t>
      </w:r>
    </w:p>
    <w:p w14:paraId="192D9591" w14:textId="77777777" w:rsidR="00B23CC6" w:rsidRPr="00D67656" w:rsidRDefault="00B23CC6" w:rsidP="00B23CC6">
      <w:pPr>
        <w:rPr>
          <w:rFonts w:ascii="Arial" w:hAnsi="Arial" w:cs="Arial"/>
          <w:sz w:val="22"/>
          <w:szCs w:val="22"/>
        </w:rPr>
      </w:pPr>
    </w:p>
    <w:p w14:paraId="70266079" w14:textId="77777777" w:rsidR="00B23CC6" w:rsidRPr="00D67656" w:rsidRDefault="00B23CC6" w:rsidP="00B23CC6">
      <w:pPr>
        <w:rPr>
          <w:rFonts w:ascii="Arial" w:hAnsi="Arial" w:cs="Arial"/>
          <w:sz w:val="22"/>
          <w:szCs w:val="22"/>
        </w:rPr>
      </w:pPr>
      <w:r w:rsidRPr="00D67656">
        <w:rPr>
          <w:rFonts w:ascii="Arial" w:hAnsi="Arial" w:cs="Arial"/>
          <w:sz w:val="22"/>
          <w:szCs w:val="22"/>
        </w:rPr>
        <w:t>Section 245 will apply if a company has granted a floating charge or new funding at a relevant time.</w:t>
      </w:r>
      <w:r w:rsidRPr="00D67656">
        <w:rPr>
          <w:rStyle w:val="FootnoteReference"/>
          <w:rFonts w:ascii="Arial" w:hAnsi="Arial" w:cs="Arial"/>
          <w:sz w:val="22"/>
          <w:szCs w:val="22"/>
        </w:rPr>
        <w:footnoteReference w:id="35"/>
      </w:r>
    </w:p>
    <w:p w14:paraId="01FE0A52" w14:textId="77777777" w:rsidR="00795D9D" w:rsidRPr="00D67656" w:rsidRDefault="00B23CC6" w:rsidP="00B23CC6">
      <w:pPr>
        <w:rPr>
          <w:rFonts w:ascii="Arial" w:hAnsi="Arial" w:cs="Arial"/>
          <w:sz w:val="22"/>
          <w:szCs w:val="22"/>
        </w:rPr>
      </w:pPr>
      <w:r w:rsidRPr="00D67656">
        <w:rPr>
          <w:rFonts w:ascii="Arial" w:hAnsi="Arial" w:cs="Arial"/>
          <w:sz w:val="22"/>
          <w:szCs w:val="22"/>
        </w:rPr>
        <w:t xml:space="preserve">The 'relevant time' will vary depending on who the floating charge was granted to. If the floating charge is created in favour of a person connected with the company, the relevant time is any time within the period of two years prior to the onset of insolvency. </w:t>
      </w:r>
    </w:p>
    <w:p w14:paraId="0B500011" w14:textId="09DE8C50" w:rsidR="00B23CC6" w:rsidRPr="00D67656" w:rsidRDefault="00B23CC6" w:rsidP="00B23CC6">
      <w:pPr>
        <w:rPr>
          <w:rFonts w:ascii="Arial" w:hAnsi="Arial" w:cs="Arial"/>
          <w:sz w:val="22"/>
          <w:szCs w:val="22"/>
        </w:rPr>
      </w:pPr>
      <w:r w:rsidRPr="00D67656">
        <w:rPr>
          <w:rFonts w:ascii="Arial" w:hAnsi="Arial" w:cs="Arial"/>
          <w:sz w:val="22"/>
          <w:szCs w:val="22"/>
        </w:rPr>
        <w:t>However, if the person in whose favour the charge is granted is not connected with the company, the relevant time will be any time within the period of 12 months prior to the onset of insolvency, so long as at the time of creation the company was unable to pay its debts within the meaning of section 123 of the Act or became unable to do so in consequence of the transaction.</w:t>
      </w:r>
      <w:r w:rsidRPr="00D67656">
        <w:rPr>
          <w:rStyle w:val="FootnoteReference"/>
          <w:rFonts w:ascii="Arial" w:hAnsi="Arial" w:cs="Arial"/>
          <w:sz w:val="22"/>
          <w:szCs w:val="22"/>
        </w:rPr>
        <w:footnoteReference w:id="36"/>
      </w:r>
    </w:p>
    <w:p w14:paraId="39B98619" w14:textId="77777777" w:rsidR="00795D9D" w:rsidRPr="00D67656" w:rsidRDefault="00795D9D" w:rsidP="00B23CC6">
      <w:pPr>
        <w:rPr>
          <w:rFonts w:ascii="Arial" w:hAnsi="Arial" w:cs="Arial"/>
          <w:sz w:val="22"/>
          <w:szCs w:val="22"/>
        </w:rPr>
      </w:pPr>
    </w:p>
    <w:p w14:paraId="171F3444" w14:textId="1D5A3DEC" w:rsidR="00B23CC6" w:rsidRPr="00D67656" w:rsidRDefault="00B23CC6" w:rsidP="00B23CC6">
      <w:pPr>
        <w:rPr>
          <w:rFonts w:ascii="Arial" w:hAnsi="Arial" w:cs="Arial"/>
          <w:sz w:val="22"/>
          <w:szCs w:val="22"/>
        </w:rPr>
      </w:pPr>
      <w:r w:rsidRPr="00D67656">
        <w:rPr>
          <w:rFonts w:ascii="Arial" w:hAnsi="Arial" w:cs="Arial"/>
          <w:sz w:val="22"/>
          <w:szCs w:val="22"/>
        </w:rPr>
        <w:t>Here the floating charge was not provided to a connected person. As such, the shorter time period of 12 month applies. Given the floating charge was granted in February 2022 and petition to wind up was presented on 14 October 2022, the floating charge was created within 12 months prior to the onset of insolvency,</w:t>
      </w:r>
      <w:r w:rsidRPr="00D67656">
        <w:rPr>
          <w:rStyle w:val="FootnoteReference"/>
          <w:rFonts w:ascii="Arial" w:hAnsi="Arial" w:cs="Arial"/>
          <w:sz w:val="22"/>
          <w:szCs w:val="22"/>
        </w:rPr>
        <w:footnoteReference w:id="37"/>
      </w:r>
      <w:r w:rsidRPr="00D67656">
        <w:rPr>
          <w:rFonts w:ascii="Arial" w:hAnsi="Arial" w:cs="Arial"/>
          <w:sz w:val="22"/>
          <w:szCs w:val="22"/>
        </w:rPr>
        <w:t xml:space="preserve"> and therefore provisionally falls within the 'relevant time' for the purpose of section 245.</w:t>
      </w:r>
    </w:p>
    <w:p w14:paraId="2A0650EA" w14:textId="77777777" w:rsidR="00795D9D" w:rsidRPr="00D67656" w:rsidRDefault="00795D9D" w:rsidP="00B23CC6">
      <w:pPr>
        <w:rPr>
          <w:rFonts w:ascii="Arial" w:hAnsi="Arial" w:cs="Arial"/>
          <w:sz w:val="22"/>
          <w:szCs w:val="22"/>
        </w:rPr>
      </w:pPr>
    </w:p>
    <w:p w14:paraId="2324CF00" w14:textId="77777777" w:rsidR="00B23CC6" w:rsidRPr="00D67656" w:rsidRDefault="00B23CC6" w:rsidP="00B23CC6">
      <w:pPr>
        <w:rPr>
          <w:rFonts w:ascii="Arial" w:hAnsi="Arial" w:cs="Arial"/>
          <w:sz w:val="22"/>
          <w:szCs w:val="22"/>
        </w:rPr>
      </w:pPr>
      <w:r w:rsidRPr="00D67656">
        <w:rPr>
          <w:rFonts w:ascii="Arial" w:hAnsi="Arial" w:cs="Arial"/>
          <w:sz w:val="22"/>
          <w:szCs w:val="22"/>
        </w:rPr>
        <w:t>However, the Company must also have been unable to pay its debts or became unable to do so in consequence of the transaction. Per section 123, a company is deemed unable to pay its debts if:</w:t>
      </w:r>
      <w:r w:rsidRPr="00D67656">
        <w:rPr>
          <w:rStyle w:val="FootnoteReference"/>
          <w:rFonts w:ascii="Arial" w:hAnsi="Arial" w:cs="Arial"/>
          <w:sz w:val="22"/>
          <w:szCs w:val="22"/>
        </w:rPr>
        <w:footnoteReference w:id="38"/>
      </w:r>
    </w:p>
    <w:p w14:paraId="5625F29D" w14:textId="77777777" w:rsidR="00B23CC6" w:rsidRPr="00D67656" w:rsidRDefault="00B23CC6" w:rsidP="00B23CC6">
      <w:pPr>
        <w:pStyle w:val="ListParagraph"/>
        <w:numPr>
          <w:ilvl w:val="0"/>
          <w:numId w:val="26"/>
        </w:numPr>
        <w:spacing w:before="120" w:after="120"/>
        <w:contextualSpacing w:val="0"/>
        <w:rPr>
          <w:rFonts w:ascii="Arial" w:hAnsi="Arial" w:cs="Arial"/>
          <w:sz w:val="22"/>
          <w:szCs w:val="22"/>
        </w:rPr>
      </w:pPr>
      <w:r w:rsidRPr="00D67656">
        <w:rPr>
          <w:rFonts w:ascii="Arial" w:hAnsi="Arial" w:cs="Arial"/>
          <w:sz w:val="22"/>
          <w:szCs w:val="22"/>
        </w:rPr>
        <w:t>A creditor owed more than £750 has served a demand on the company for payment, with the company failing to pay for three weeks thereafter; or</w:t>
      </w:r>
    </w:p>
    <w:p w14:paraId="08D9530C" w14:textId="77777777" w:rsidR="00B23CC6" w:rsidRPr="00D67656" w:rsidRDefault="00B23CC6" w:rsidP="00B23CC6">
      <w:pPr>
        <w:pStyle w:val="ListParagraph"/>
        <w:numPr>
          <w:ilvl w:val="0"/>
          <w:numId w:val="26"/>
        </w:numPr>
        <w:spacing w:before="120" w:after="120"/>
        <w:contextualSpacing w:val="0"/>
        <w:rPr>
          <w:rFonts w:ascii="Arial" w:hAnsi="Arial" w:cs="Arial"/>
          <w:sz w:val="22"/>
          <w:szCs w:val="22"/>
        </w:rPr>
      </w:pPr>
      <w:r w:rsidRPr="00D67656">
        <w:rPr>
          <w:rFonts w:ascii="Arial" w:hAnsi="Arial" w:cs="Arial"/>
          <w:sz w:val="22"/>
          <w:szCs w:val="22"/>
        </w:rPr>
        <w:t>Execution or other process issued on a judgment of any court in favour of the creditor has failed to be satisfied; or</w:t>
      </w:r>
    </w:p>
    <w:p w14:paraId="145396F4" w14:textId="77777777" w:rsidR="00B23CC6" w:rsidRPr="00D67656" w:rsidRDefault="00B23CC6" w:rsidP="00B23CC6">
      <w:pPr>
        <w:pStyle w:val="ListParagraph"/>
        <w:numPr>
          <w:ilvl w:val="0"/>
          <w:numId w:val="26"/>
        </w:numPr>
        <w:spacing w:before="120" w:after="120"/>
        <w:contextualSpacing w:val="0"/>
        <w:rPr>
          <w:rFonts w:ascii="Arial" w:hAnsi="Arial" w:cs="Arial"/>
          <w:sz w:val="22"/>
          <w:szCs w:val="22"/>
        </w:rPr>
      </w:pPr>
      <w:r w:rsidRPr="00D67656">
        <w:rPr>
          <w:rFonts w:ascii="Arial" w:hAnsi="Arial" w:cs="Arial"/>
          <w:sz w:val="22"/>
          <w:szCs w:val="22"/>
        </w:rPr>
        <w:t>The company is proven to the satisfaction of the court to be cash flow insolvent; or</w:t>
      </w:r>
    </w:p>
    <w:p w14:paraId="65D2CCD4" w14:textId="77777777" w:rsidR="00B23CC6" w:rsidRPr="00D67656" w:rsidRDefault="00B23CC6" w:rsidP="00B23CC6">
      <w:pPr>
        <w:pStyle w:val="ListParagraph"/>
        <w:numPr>
          <w:ilvl w:val="0"/>
          <w:numId w:val="26"/>
        </w:numPr>
        <w:spacing w:before="120" w:after="120"/>
        <w:contextualSpacing w:val="0"/>
        <w:rPr>
          <w:rFonts w:ascii="Arial" w:hAnsi="Arial" w:cs="Arial"/>
          <w:sz w:val="22"/>
          <w:szCs w:val="22"/>
        </w:rPr>
      </w:pPr>
      <w:r w:rsidRPr="00D67656">
        <w:rPr>
          <w:rFonts w:ascii="Arial" w:hAnsi="Arial" w:cs="Arial"/>
          <w:sz w:val="22"/>
          <w:szCs w:val="22"/>
        </w:rPr>
        <w:t>The company is proven to the satisfaction of the court to be balance sheet insolvent.</w:t>
      </w:r>
    </w:p>
    <w:p w14:paraId="6308D813" w14:textId="4EF0BBB7" w:rsidR="00B23CC6" w:rsidRPr="00D67656" w:rsidRDefault="00B23CC6" w:rsidP="00B23CC6">
      <w:pPr>
        <w:rPr>
          <w:rFonts w:ascii="Arial" w:hAnsi="Arial" w:cs="Arial"/>
          <w:sz w:val="22"/>
          <w:szCs w:val="22"/>
        </w:rPr>
      </w:pPr>
      <w:r w:rsidRPr="00D67656">
        <w:rPr>
          <w:rFonts w:ascii="Arial" w:hAnsi="Arial" w:cs="Arial"/>
          <w:sz w:val="22"/>
          <w:szCs w:val="22"/>
        </w:rPr>
        <w:t>Based on the facts provided, it is unclear whether section 123 is satisfied. Given the Company granted the debenture in order to prevent Fretus Bank plc from demanding repayment of the company's loans, it is</w:t>
      </w:r>
      <w:r>
        <w:t xml:space="preserve"> </w:t>
      </w:r>
      <w:r w:rsidRPr="00D67656">
        <w:rPr>
          <w:rFonts w:ascii="Arial" w:hAnsi="Arial" w:cs="Arial"/>
          <w:sz w:val="22"/>
          <w:szCs w:val="22"/>
        </w:rPr>
        <w:t xml:space="preserve">possible that the Company was already experiencing </w:t>
      </w:r>
      <w:r w:rsidRPr="00D67656">
        <w:rPr>
          <w:rFonts w:ascii="Arial" w:hAnsi="Arial" w:cs="Arial"/>
          <w:sz w:val="22"/>
          <w:szCs w:val="22"/>
        </w:rPr>
        <w:lastRenderedPageBreak/>
        <w:t xml:space="preserve">cash flow insolvency as it was not able to pay the loans as they fell due. On that basis, section 245 may apply, and the floating charge may be rendered invalid. </w:t>
      </w:r>
    </w:p>
    <w:p w14:paraId="045E2CEE" w14:textId="77777777" w:rsidR="00795D9D" w:rsidRPr="00D67656" w:rsidRDefault="00795D9D" w:rsidP="00B23CC6">
      <w:pPr>
        <w:rPr>
          <w:rFonts w:ascii="Arial" w:hAnsi="Arial" w:cs="Arial"/>
          <w:sz w:val="22"/>
          <w:szCs w:val="22"/>
        </w:rPr>
      </w:pPr>
    </w:p>
    <w:p w14:paraId="655642CB" w14:textId="2BEE6AF2" w:rsidR="00B23CC6" w:rsidRPr="00D67656" w:rsidRDefault="00B23CC6" w:rsidP="00B23CC6">
      <w:pPr>
        <w:rPr>
          <w:rFonts w:ascii="Arial" w:hAnsi="Arial" w:cs="Arial"/>
          <w:sz w:val="22"/>
          <w:szCs w:val="22"/>
        </w:rPr>
      </w:pPr>
      <w:r w:rsidRPr="00D67656">
        <w:rPr>
          <w:rFonts w:ascii="Arial" w:hAnsi="Arial" w:cs="Arial"/>
          <w:sz w:val="22"/>
          <w:szCs w:val="22"/>
        </w:rPr>
        <w:t>However, it is important to note that section 245 will not prevent lenders who are providing fresh funding from taking a floating charge for that new funding.</w:t>
      </w:r>
      <w:r w:rsidRPr="00D67656">
        <w:rPr>
          <w:rStyle w:val="FootnoteReference"/>
          <w:rFonts w:ascii="Arial" w:hAnsi="Arial" w:cs="Arial"/>
          <w:sz w:val="22"/>
          <w:szCs w:val="22"/>
        </w:rPr>
        <w:footnoteReference w:id="39"/>
      </w:r>
      <w:r w:rsidRPr="00D67656">
        <w:rPr>
          <w:rFonts w:ascii="Arial" w:hAnsi="Arial" w:cs="Arial"/>
          <w:sz w:val="22"/>
          <w:szCs w:val="22"/>
        </w:rPr>
        <w:t xml:space="preserve"> As such, if section 245 applies, it will render a floating charge invalid, expect to the extent that 'new' consideration is provided for the charge.</w:t>
      </w:r>
      <w:r w:rsidRPr="00D67656">
        <w:rPr>
          <w:rStyle w:val="FootnoteReference"/>
          <w:rFonts w:ascii="Arial" w:hAnsi="Arial" w:cs="Arial"/>
          <w:sz w:val="22"/>
          <w:szCs w:val="22"/>
        </w:rPr>
        <w:footnoteReference w:id="40"/>
      </w:r>
    </w:p>
    <w:p w14:paraId="7489A080" w14:textId="77777777" w:rsidR="00795D9D" w:rsidRPr="00D67656" w:rsidRDefault="00795D9D" w:rsidP="00B23CC6">
      <w:pPr>
        <w:rPr>
          <w:rFonts w:ascii="Arial" w:hAnsi="Arial" w:cs="Arial"/>
          <w:sz w:val="22"/>
          <w:szCs w:val="22"/>
        </w:rPr>
      </w:pPr>
    </w:p>
    <w:p w14:paraId="394D432F" w14:textId="5EDF3F7E" w:rsidR="00B23CC6" w:rsidRPr="00D67656" w:rsidRDefault="00B23CC6" w:rsidP="00B23CC6">
      <w:pPr>
        <w:rPr>
          <w:rFonts w:ascii="Arial" w:hAnsi="Arial" w:cs="Arial"/>
          <w:sz w:val="22"/>
          <w:szCs w:val="22"/>
        </w:rPr>
      </w:pPr>
      <w:r w:rsidRPr="00D67656">
        <w:rPr>
          <w:rFonts w:ascii="Arial" w:hAnsi="Arial" w:cs="Arial"/>
          <w:sz w:val="22"/>
          <w:szCs w:val="22"/>
        </w:rPr>
        <w:t xml:space="preserve">Based on the facts, it does not appear that Fretus Bank plc provided fresh funding in exchange for the floating charge. As such, the floating charge applies to previous funding only, and the 'new' consideration exception will not apply. </w:t>
      </w:r>
    </w:p>
    <w:p w14:paraId="35939B51" w14:textId="77777777" w:rsidR="00795D9D" w:rsidRPr="00D67656" w:rsidRDefault="00795D9D" w:rsidP="00B23CC6">
      <w:pPr>
        <w:rPr>
          <w:rFonts w:ascii="Arial" w:hAnsi="Arial" w:cs="Arial"/>
          <w:sz w:val="22"/>
          <w:szCs w:val="22"/>
        </w:rPr>
      </w:pPr>
    </w:p>
    <w:p w14:paraId="641728F4" w14:textId="7ABA4465" w:rsidR="00B23CC6" w:rsidRPr="00D67656" w:rsidRDefault="00B23CC6" w:rsidP="00B23CC6">
      <w:pPr>
        <w:rPr>
          <w:rFonts w:ascii="Arial" w:hAnsi="Arial" w:cs="Arial"/>
          <w:sz w:val="22"/>
          <w:szCs w:val="22"/>
        </w:rPr>
      </w:pPr>
      <w:r w:rsidRPr="00D67656">
        <w:rPr>
          <w:rFonts w:ascii="Arial" w:hAnsi="Arial" w:cs="Arial"/>
          <w:sz w:val="22"/>
          <w:szCs w:val="22"/>
        </w:rPr>
        <w:t xml:space="preserve">The liquidator is therefore likely to be able to render the entirety of the floating charge invalid under section 245. Importantly, the underlying debt owing to Fretus Bank plc remains valid, notwithstanding the floating charge is invalidated. </w:t>
      </w:r>
    </w:p>
    <w:p w14:paraId="56DECBF4" w14:textId="77777777" w:rsidR="00795D9D" w:rsidRPr="00D67656" w:rsidRDefault="00795D9D" w:rsidP="00B23CC6">
      <w:pPr>
        <w:rPr>
          <w:rFonts w:ascii="Arial" w:hAnsi="Arial" w:cs="Arial"/>
          <w:sz w:val="22"/>
          <w:szCs w:val="22"/>
        </w:rPr>
      </w:pPr>
    </w:p>
    <w:p w14:paraId="7927D381" w14:textId="7925C8D4" w:rsidR="00795D9D" w:rsidRDefault="00B23CC6" w:rsidP="00B23CC6">
      <w:pPr>
        <w:rPr>
          <w:rFonts w:ascii="Arial" w:hAnsi="Arial" w:cs="Arial"/>
          <w:sz w:val="22"/>
          <w:szCs w:val="22"/>
        </w:rPr>
      </w:pPr>
      <w:r w:rsidRPr="00D67656">
        <w:rPr>
          <w:rFonts w:ascii="Arial" w:hAnsi="Arial" w:cs="Arial"/>
          <w:sz w:val="22"/>
          <w:szCs w:val="22"/>
        </w:rPr>
        <w:t>In addition, the liquidator could also seek an order under section 239 of the Act on the basis that Fretus Bank plc was provided with a preference through the granting of the debenture. Under section 239, the court could then make an order to restore the position to what it would have been had the company not given a preference. However, if the preference was granted in favour of a person not connected to the company, such as Fretus Bank plc here, section 239 only applies if the preference occurred within six months prior to the onset of insolvency.</w:t>
      </w:r>
      <w:r w:rsidRPr="00D67656">
        <w:rPr>
          <w:rStyle w:val="FootnoteReference"/>
          <w:rFonts w:ascii="Arial" w:hAnsi="Arial" w:cs="Arial"/>
          <w:sz w:val="22"/>
          <w:szCs w:val="22"/>
        </w:rPr>
        <w:footnoteReference w:id="41"/>
      </w:r>
      <w:r w:rsidRPr="00D67656">
        <w:rPr>
          <w:rFonts w:ascii="Arial" w:hAnsi="Arial" w:cs="Arial"/>
          <w:sz w:val="22"/>
          <w:szCs w:val="22"/>
        </w:rPr>
        <w:t xml:space="preserve"> Given the debenture was granted in February 2022, and the onset of insolvency was 14 October 2022 (per section 129, where a winding up order is made, the liquidation is deemed to commence at the date of the petition), the six month time frame is not met, and section 239 will therefore not be satisfied. </w:t>
      </w:r>
    </w:p>
    <w:p w14:paraId="399663B5" w14:textId="77777777" w:rsidR="00312545" w:rsidRPr="00D67656" w:rsidRDefault="00312545" w:rsidP="00B23CC6">
      <w:pPr>
        <w:rPr>
          <w:rFonts w:ascii="Arial" w:hAnsi="Arial" w:cs="Arial"/>
          <w:sz w:val="22"/>
          <w:szCs w:val="22"/>
        </w:rPr>
      </w:pPr>
    </w:p>
    <w:p w14:paraId="678B1266" w14:textId="3C4333D2" w:rsidR="00B23CC6" w:rsidRDefault="00B23CC6" w:rsidP="00B23CC6">
      <w:r w:rsidRPr="00D67656">
        <w:rPr>
          <w:rFonts w:ascii="Arial" w:hAnsi="Arial" w:cs="Arial"/>
          <w:sz w:val="22"/>
          <w:szCs w:val="22"/>
        </w:rPr>
        <w:t>As such, a claim under section 245 remains the best option with respect to avoidance of the floating charge.</w:t>
      </w:r>
      <w:r>
        <w:t xml:space="preserve">  </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45F2E2D2" w14:textId="4B1311C4" w:rsidR="00795D9D" w:rsidRPr="00D67656" w:rsidRDefault="00795D9D" w:rsidP="00795D9D">
      <w:pPr>
        <w:rPr>
          <w:rFonts w:ascii="Arial" w:hAnsi="Arial" w:cs="Arial"/>
          <w:sz w:val="22"/>
          <w:szCs w:val="22"/>
        </w:rPr>
      </w:pPr>
      <w:r w:rsidRPr="00D67656">
        <w:rPr>
          <w:rFonts w:ascii="Arial" w:hAnsi="Arial" w:cs="Arial"/>
          <w:sz w:val="22"/>
          <w:szCs w:val="22"/>
        </w:rPr>
        <w:t>The liquidator may be able to attack the sale of the marble cutting machines under section 238 of the Act, which gives a liquidator or administrator the ability to attack a transaction which was entered prior to the company entering liquidation or administration where the transaction was at an undervalue.</w:t>
      </w:r>
      <w:r w:rsidRPr="00D67656">
        <w:rPr>
          <w:rStyle w:val="FootnoteReference"/>
          <w:rFonts w:ascii="Arial" w:hAnsi="Arial" w:cs="Arial"/>
          <w:sz w:val="22"/>
          <w:szCs w:val="22"/>
        </w:rPr>
        <w:footnoteReference w:id="42"/>
      </w:r>
    </w:p>
    <w:p w14:paraId="359D67D7" w14:textId="77777777" w:rsidR="00795D9D" w:rsidRPr="00D67656" w:rsidRDefault="00795D9D" w:rsidP="00795D9D">
      <w:pPr>
        <w:rPr>
          <w:rFonts w:ascii="Arial" w:hAnsi="Arial" w:cs="Arial"/>
          <w:sz w:val="22"/>
          <w:szCs w:val="22"/>
        </w:rPr>
      </w:pPr>
    </w:p>
    <w:p w14:paraId="11F46EAE" w14:textId="77777777" w:rsidR="00795D9D" w:rsidRPr="00D67656" w:rsidRDefault="00795D9D" w:rsidP="00795D9D">
      <w:pPr>
        <w:rPr>
          <w:rFonts w:ascii="Arial" w:hAnsi="Arial" w:cs="Arial"/>
          <w:sz w:val="22"/>
          <w:szCs w:val="22"/>
        </w:rPr>
      </w:pPr>
      <w:r w:rsidRPr="00D67656">
        <w:rPr>
          <w:rFonts w:ascii="Arial" w:hAnsi="Arial" w:cs="Arial"/>
          <w:sz w:val="22"/>
          <w:szCs w:val="22"/>
        </w:rPr>
        <w:t>There are several elements that must be satisfied in order for section 238 to apply. Firstly, the liquidator would have to prove either that the company:</w:t>
      </w:r>
      <w:r w:rsidRPr="00D67656">
        <w:rPr>
          <w:rStyle w:val="FootnoteReference"/>
          <w:rFonts w:ascii="Arial" w:hAnsi="Arial" w:cs="Arial"/>
          <w:sz w:val="22"/>
          <w:szCs w:val="22"/>
        </w:rPr>
        <w:footnoteReference w:id="43"/>
      </w:r>
    </w:p>
    <w:p w14:paraId="6946BB43" w14:textId="77777777" w:rsidR="00795D9D" w:rsidRPr="00D67656" w:rsidRDefault="00795D9D" w:rsidP="00795D9D">
      <w:pPr>
        <w:pStyle w:val="ListParagraph"/>
        <w:numPr>
          <w:ilvl w:val="0"/>
          <w:numId w:val="27"/>
        </w:numPr>
        <w:spacing w:before="120" w:after="120"/>
        <w:contextualSpacing w:val="0"/>
        <w:rPr>
          <w:rFonts w:ascii="Arial" w:hAnsi="Arial" w:cs="Arial"/>
          <w:sz w:val="22"/>
          <w:szCs w:val="22"/>
        </w:rPr>
      </w:pPr>
      <w:r w:rsidRPr="00D67656">
        <w:rPr>
          <w:rFonts w:ascii="Arial" w:hAnsi="Arial" w:cs="Arial"/>
          <w:sz w:val="22"/>
          <w:szCs w:val="22"/>
        </w:rPr>
        <w:t xml:space="preserve">Made a gift to another person; or </w:t>
      </w:r>
    </w:p>
    <w:p w14:paraId="598AE011" w14:textId="77777777" w:rsidR="00795D9D" w:rsidRPr="00D67656" w:rsidRDefault="00795D9D" w:rsidP="00795D9D">
      <w:pPr>
        <w:pStyle w:val="ListParagraph"/>
        <w:numPr>
          <w:ilvl w:val="0"/>
          <w:numId w:val="27"/>
        </w:numPr>
        <w:spacing w:before="120" w:after="120"/>
        <w:contextualSpacing w:val="0"/>
        <w:rPr>
          <w:rFonts w:ascii="Arial" w:hAnsi="Arial" w:cs="Arial"/>
          <w:sz w:val="22"/>
          <w:szCs w:val="22"/>
        </w:rPr>
      </w:pPr>
      <w:r w:rsidRPr="00D67656">
        <w:rPr>
          <w:rFonts w:ascii="Arial" w:hAnsi="Arial" w:cs="Arial"/>
          <w:sz w:val="22"/>
          <w:szCs w:val="22"/>
        </w:rPr>
        <w:t>Entered into a transaction with another person on terms that provided for the company to receive no consideration; or</w:t>
      </w:r>
    </w:p>
    <w:p w14:paraId="3FC2C724" w14:textId="77777777" w:rsidR="00795D9D" w:rsidRPr="00D67656" w:rsidRDefault="00795D9D" w:rsidP="00795D9D">
      <w:pPr>
        <w:pStyle w:val="ListParagraph"/>
        <w:numPr>
          <w:ilvl w:val="0"/>
          <w:numId w:val="27"/>
        </w:numPr>
        <w:spacing w:before="120" w:after="120"/>
        <w:contextualSpacing w:val="0"/>
        <w:rPr>
          <w:rFonts w:ascii="Arial" w:hAnsi="Arial" w:cs="Arial"/>
          <w:sz w:val="22"/>
          <w:szCs w:val="22"/>
        </w:rPr>
      </w:pPr>
      <w:r w:rsidRPr="00D67656">
        <w:rPr>
          <w:rFonts w:ascii="Arial" w:hAnsi="Arial" w:cs="Arial"/>
          <w:sz w:val="22"/>
          <w:szCs w:val="22"/>
        </w:rPr>
        <w:lastRenderedPageBreak/>
        <w:t xml:space="preserve">Entered into a transaction with another person for a consideration which, in money, was at the date of the transaction, significantly less than the value in money of consideration provided by the company. </w:t>
      </w:r>
    </w:p>
    <w:p w14:paraId="2E5E7730" w14:textId="72A58290" w:rsidR="00795D9D" w:rsidRPr="00D67656" w:rsidRDefault="00795D9D" w:rsidP="00795D9D">
      <w:pPr>
        <w:rPr>
          <w:rFonts w:ascii="Arial" w:hAnsi="Arial" w:cs="Arial"/>
          <w:sz w:val="22"/>
          <w:szCs w:val="22"/>
        </w:rPr>
      </w:pPr>
      <w:r w:rsidRPr="00D67656">
        <w:rPr>
          <w:rFonts w:ascii="Arial" w:hAnsi="Arial" w:cs="Arial"/>
          <w:sz w:val="22"/>
          <w:szCs w:val="22"/>
        </w:rPr>
        <w:t xml:space="preserve">Here, the company sold the marble machines for GBP 10,000 even though it purchased them for GBP 25,000 the year before. On the face of it, section 238 may therefore apply as the consideration at the date of the transaction was significantly less than the consideration provided by the company when the machines were originally purchased. </w:t>
      </w:r>
    </w:p>
    <w:p w14:paraId="528EB7E3" w14:textId="77777777" w:rsidR="00795D9D" w:rsidRPr="00D67656" w:rsidRDefault="00795D9D" w:rsidP="00795D9D">
      <w:pPr>
        <w:rPr>
          <w:rFonts w:ascii="Arial" w:hAnsi="Arial" w:cs="Arial"/>
          <w:sz w:val="22"/>
          <w:szCs w:val="22"/>
        </w:rPr>
      </w:pPr>
    </w:p>
    <w:p w14:paraId="790F2E5F" w14:textId="483156C2" w:rsidR="00795D9D" w:rsidRPr="00D67656" w:rsidRDefault="00795D9D" w:rsidP="00795D9D">
      <w:pPr>
        <w:rPr>
          <w:rFonts w:ascii="Arial" w:hAnsi="Arial" w:cs="Arial"/>
          <w:sz w:val="22"/>
          <w:szCs w:val="22"/>
        </w:rPr>
      </w:pPr>
      <w:r w:rsidRPr="00D67656">
        <w:rPr>
          <w:rFonts w:ascii="Arial" w:hAnsi="Arial" w:cs="Arial"/>
          <w:sz w:val="22"/>
          <w:szCs w:val="22"/>
        </w:rPr>
        <w:t>Secondly, the transaction must also have taken place at a 'relevant time' (this being in the period of two years prior to the commencement of the liquidation) in order to be attacked.</w:t>
      </w:r>
      <w:r w:rsidRPr="00D67656">
        <w:rPr>
          <w:rStyle w:val="FootnoteReference"/>
          <w:rFonts w:ascii="Arial" w:hAnsi="Arial" w:cs="Arial"/>
          <w:sz w:val="22"/>
          <w:szCs w:val="22"/>
        </w:rPr>
        <w:footnoteReference w:id="44"/>
      </w:r>
      <w:r w:rsidRPr="00D67656">
        <w:rPr>
          <w:rFonts w:ascii="Arial" w:hAnsi="Arial" w:cs="Arial"/>
          <w:sz w:val="22"/>
          <w:szCs w:val="22"/>
        </w:rPr>
        <w:t xml:space="preserve"> This element is also satisfied given the transaction occurred in July 2022, with winding up petition being made on 14 October 2022 (per section 129, where a winding up order is made, the liquidation is deemed to commence at the date of the petition). </w:t>
      </w:r>
    </w:p>
    <w:p w14:paraId="27DA1B68" w14:textId="77777777" w:rsidR="00795D9D" w:rsidRPr="00D67656" w:rsidRDefault="00795D9D" w:rsidP="00795D9D">
      <w:pPr>
        <w:rPr>
          <w:rFonts w:ascii="Arial" w:hAnsi="Arial" w:cs="Arial"/>
          <w:sz w:val="22"/>
          <w:szCs w:val="22"/>
        </w:rPr>
      </w:pPr>
    </w:p>
    <w:p w14:paraId="5672ECB8" w14:textId="755A30D5" w:rsidR="00795D9D" w:rsidRPr="00D67656" w:rsidRDefault="00795D9D" w:rsidP="00795D9D">
      <w:pPr>
        <w:rPr>
          <w:rFonts w:ascii="Arial" w:hAnsi="Arial" w:cs="Arial"/>
          <w:sz w:val="22"/>
          <w:szCs w:val="22"/>
        </w:rPr>
      </w:pPr>
      <w:r w:rsidRPr="00D67656">
        <w:rPr>
          <w:rFonts w:ascii="Arial" w:hAnsi="Arial" w:cs="Arial"/>
          <w:sz w:val="22"/>
          <w:szCs w:val="22"/>
        </w:rPr>
        <w:t>Thirdly, at the time of the transaction, the company must have been either unable to pay its debts as they fell due within the meaning of section 123 of the Act or become unable to pay its debts as a result of the transaction.</w:t>
      </w:r>
      <w:r w:rsidRPr="00D67656">
        <w:rPr>
          <w:rStyle w:val="FootnoteReference"/>
          <w:rFonts w:ascii="Arial" w:hAnsi="Arial" w:cs="Arial"/>
          <w:sz w:val="22"/>
          <w:szCs w:val="22"/>
        </w:rPr>
        <w:footnoteReference w:id="45"/>
      </w:r>
      <w:r w:rsidRPr="00D67656">
        <w:rPr>
          <w:rFonts w:ascii="Arial" w:hAnsi="Arial" w:cs="Arial"/>
          <w:sz w:val="22"/>
          <w:szCs w:val="22"/>
        </w:rPr>
        <w:t xml:space="preserve"> If the transaction was with a connected person, the company is presumed to have been insolvent, or to have become insolvent as a result of the transaction, unless the contrary is proved.</w:t>
      </w:r>
      <w:r w:rsidRPr="00D67656">
        <w:rPr>
          <w:rStyle w:val="FootnoteReference"/>
          <w:rFonts w:ascii="Arial" w:hAnsi="Arial" w:cs="Arial"/>
          <w:sz w:val="22"/>
          <w:szCs w:val="22"/>
        </w:rPr>
        <w:footnoteReference w:id="46"/>
      </w:r>
    </w:p>
    <w:p w14:paraId="2010433B" w14:textId="77777777" w:rsidR="00795D9D" w:rsidRPr="00D67656" w:rsidRDefault="00795D9D" w:rsidP="00795D9D">
      <w:pPr>
        <w:rPr>
          <w:rFonts w:ascii="Arial" w:hAnsi="Arial" w:cs="Arial"/>
          <w:sz w:val="22"/>
          <w:szCs w:val="22"/>
        </w:rPr>
      </w:pPr>
    </w:p>
    <w:p w14:paraId="11F03294" w14:textId="2AEFFEFC" w:rsidR="00795D9D" w:rsidRPr="00D67656" w:rsidRDefault="00795D9D" w:rsidP="00795D9D">
      <w:pPr>
        <w:rPr>
          <w:rFonts w:ascii="Arial" w:hAnsi="Arial" w:cs="Arial"/>
          <w:sz w:val="22"/>
          <w:szCs w:val="22"/>
        </w:rPr>
      </w:pPr>
      <w:r w:rsidRPr="00D67656">
        <w:rPr>
          <w:rFonts w:ascii="Arial" w:hAnsi="Arial" w:cs="Arial"/>
          <w:sz w:val="22"/>
          <w:szCs w:val="22"/>
        </w:rPr>
        <w:t xml:space="preserve">Given the marble machines were sold to Rita Perkins, who is a director, the transaction was with a connected person. As such, the above presumption applies and an order may be sought under section 238. </w:t>
      </w:r>
    </w:p>
    <w:p w14:paraId="5415C723" w14:textId="77777777" w:rsidR="00795D9D" w:rsidRPr="00D67656" w:rsidRDefault="00795D9D" w:rsidP="00795D9D">
      <w:pPr>
        <w:rPr>
          <w:rFonts w:ascii="Arial" w:hAnsi="Arial" w:cs="Arial"/>
          <w:sz w:val="22"/>
          <w:szCs w:val="22"/>
        </w:rPr>
      </w:pPr>
    </w:p>
    <w:p w14:paraId="46D1022D" w14:textId="62856F64" w:rsidR="00795D9D" w:rsidRPr="00D67656" w:rsidRDefault="00795D9D" w:rsidP="00795D9D">
      <w:pPr>
        <w:rPr>
          <w:rFonts w:ascii="Arial" w:hAnsi="Arial" w:cs="Arial"/>
          <w:sz w:val="22"/>
          <w:szCs w:val="22"/>
        </w:rPr>
      </w:pPr>
      <w:r w:rsidRPr="00D67656">
        <w:rPr>
          <w:rFonts w:ascii="Arial" w:hAnsi="Arial" w:cs="Arial"/>
          <w:sz w:val="22"/>
          <w:szCs w:val="22"/>
        </w:rPr>
        <w:t>The court may accordingly make an order restoring the position to what it would have been if the transaction had not been entered.</w:t>
      </w:r>
      <w:r w:rsidRPr="00D67656">
        <w:rPr>
          <w:rStyle w:val="FootnoteReference"/>
          <w:rFonts w:ascii="Arial" w:hAnsi="Arial" w:cs="Arial"/>
          <w:sz w:val="22"/>
          <w:szCs w:val="22"/>
        </w:rPr>
        <w:footnoteReference w:id="47"/>
      </w:r>
    </w:p>
    <w:p w14:paraId="340F3BD3" w14:textId="77777777" w:rsidR="00795D9D" w:rsidRPr="00D67656" w:rsidRDefault="00795D9D" w:rsidP="00795D9D">
      <w:pPr>
        <w:rPr>
          <w:rFonts w:ascii="Arial" w:hAnsi="Arial" w:cs="Arial"/>
          <w:sz w:val="22"/>
          <w:szCs w:val="22"/>
        </w:rPr>
      </w:pPr>
    </w:p>
    <w:p w14:paraId="5B4D4AD8" w14:textId="4776E817" w:rsidR="00795D9D" w:rsidRPr="00D67656" w:rsidRDefault="00795D9D" w:rsidP="00795D9D">
      <w:pPr>
        <w:rPr>
          <w:rFonts w:ascii="Arial" w:hAnsi="Arial" w:cs="Arial"/>
          <w:sz w:val="22"/>
          <w:szCs w:val="22"/>
        </w:rPr>
      </w:pPr>
      <w:r w:rsidRPr="00D67656">
        <w:rPr>
          <w:rFonts w:ascii="Arial" w:hAnsi="Arial" w:cs="Arial"/>
          <w:sz w:val="22"/>
          <w:szCs w:val="22"/>
        </w:rPr>
        <w:t>However, there is a possible defence under section 238, which holds that the court should not make an order if the transaction was entered into by the company in good faith and for the purpose of carrying on its business, and that at the time it did so, there were reasonable grounds for believing that the transaction would benefit the company.</w:t>
      </w:r>
      <w:r w:rsidRPr="00D67656">
        <w:rPr>
          <w:rStyle w:val="FootnoteReference"/>
          <w:rFonts w:ascii="Arial" w:hAnsi="Arial" w:cs="Arial"/>
          <w:sz w:val="22"/>
          <w:szCs w:val="22"/>
        </w:rPr>
        <w:footnoteReference w:id="48"/>
      </w:r>
    </w:p>
    <w:p w14:paraId="37B29D69" w14:textId="77777777" w:rsidR="00795D9D" w:rsidRPr="00D67656" w:rsidRDefault="00795D9D" w:rsidP="00795D9D">
      <w:pPr>
        <w:rPr>
          <w:rFonts w:ascii="Arial" w:hAnsi="Arial" w:cs="Arial"/>
          <w:sz w:val="22"/>
          <w:szCs w:val="22"/>
        </w:rPr>
      </w:pPr>
    </w:p>
    <w:p w14:paraId="3F3D19C9" w14:textId="5A4DA3ED" w:rsidR="00795D9D" w:rsidRPr="00D67656" w:rsidRDefault="00795D9D" w:rsidP="00795D9D">
      <w:pPr>
        <w:rPr>
          <w:rFonts w:ascii="Arial" w:hAnsi="Arial" w:cs="Arial"/>
          <w:sz w:val="22"/>
          <w:szCs w:val="22"/>
        </w:rPr>
      </w:pPr>
      <w:r w:rsidRPr="00D67656">
        <w:rPr>
          <w:rFonts w:ascii="Arial" w:hAnsi="Arial" w:cs="Arial"/>
          <w:sz w:val="22"/>
          <w:szCs w:val="22"/>
        </w:rPr>
        <w:t xml:space="preserve">Based on the facts, it appears the sale was authorised amid continuing cash flow problems. It is therefore possible that the transaction was entered into in order to allow the company to carry on business and in good faith. If the court is satisfied accordingly, an order would not be made. </w:t>
      </w:r>
    </w:p>
    <w:p w14:paraId="6F96B2AE" w14:textId="77777777" w:rsidR="00795D9D" w:rsidRPr="00D67656" w:rsidRDefault="00795D9D" w:rsidP="00795D9D">
      <w:pPr>
        <w:rPr>
          <w:rFonts w:ascii="Arial" w:hAnsi="Arial" w:cs="Arial"/>
          <w:sz w:val="22"/>
          <w:szCs w:val="22"/>
        </w:rPr>
      </w:pPr>
    </w:p>
    <w:p w14:paraId="2612FB47" w14:textId="77777777" w:rsidR="00795D9D" w:rsidRPr="00D67656" w:rsidRDefault="00795D9D" w:rsidP="00795D9D">
      <w:pPr>
        <w:rPr>
          <w:rFonts w:ascii="Arial" w:hAnsi="Arial" w:cs="Arial"/>
          <w:sz w:val="22"/>
          <w:szCs w:val="22"/>
        </w:rPr>
      </w:pPr>
      <w:r w:rsidRPr="00D67656">
        <w:rPr>
          <w:rFonts w:ascii="Arial" w:hAnsi="Arial" w:cs="Arial"/>
          <w:sz w:val="22"/>
          <w:szCs w:val="22"/>
        </w:rPr>
        <w:t>Furthermore, if the court made an order for the return of the cutting machines to the company, Rita Perkins may be protected by section 241 of the Act, under which an order shall not prejudice any interest in property which was acquired from a person in good faith and for value.</w:t>
      </w:r>
      <w:r w:rsidRPr="00D67656">
        <w:rPr>
          <w:rStyle w:val="FootnoteReference"/>
          <w:rFonts w:ascii="Arial" w:hAnsi="Arial" w:cs="Arial"/>
          <w:sz w:val="22"/>
          <w:szCs w:val="22"/>
        </w:rPr>
        <w:footnoteReference w:id="49"/>
      </w:r>
      <w:r w:rsidRPr="00D67656">
        <w:rPr>
          <w:rFonts w:ascii="Arial" w:hAnsi="Arial" w:cs="Arial"/>
          <w:sz w:val="22"/>
          <w:szCs w:val="22"/>
        </w:rPr>
        <w:t xml:space="preserve"> Given Rita Perkins is a director of the company, she ought to have been well aware of the cash flow issues. As such, it is unlikely that the good faith requirement is made out, and the protection is unlikely to apply. </w:t>
      </w:r>
    </w:p>
    <w:p w14:paraId="070ABF9B" w14:textId="0D788DB6" w:rsidR="007E2919" w:rsidRDefault="007E2919" w:rsidP="007E2919">
      <w:pPr>
        <w:rPr>
          <w:rFonts w:ascii="Avenir Next" w:hAnsi="Avenir Next" w:cs="Arial"/>
          <w:b/>
          <w:sz w:val="22"/>
          <w:szCs w:val="22"/>
        </w:rPr>
      </w:pPr>
    </w:p>
    <w:p w14:paraId="422724F1" w14:textId="77777777" w:rsidR="00D67656" w:rsidRDefault="00D67656" w:rsidP="007E2919">
      <w:pPr>
        <w:rPr>
          <w:rFonts w:ascii="Avenir Next Demi Bold" w:hAnsi="Avenir Next Demi Bold" w:cs="Arial"/>
          <w:b/>
          <w:bCs/>
          <w:sz w:val="22"/>
          <w:szCs w:val="22"/>
        </w:rPr>
      </w:pPr>
    </w:p>
    <w:p w14:paraId="642039AC" w14:textId="118F511B"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lastRenderedPageBreak/>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21CADF26" w14:textId="77777777" w:rsidR="00795D9D" w:rsidRPr="00D67656" w:rsidRDefault="00795D9D" w:rsidP="00795D9D">
      <w:pPr>
        <w:rPr>
          <w:rFonts w:ascii="Arial" w:hAnsi="Arial" w:cs="Arial"/>
          <w:sz w:val="22"/>
          <w:szCs w:val="22"/>
        </w:rPr>
      </w:pPr>
      <w:r w:rsidRPr="00D67656">
        <w:rPr>
          <w:rFonts w:ascii="Arial" w:hAnsi="Arial" w:cs="Arial"/>
          <w:sz w:val="22"/>
          <w:szCs w:val="22"/>
        </w:rPr>
        <w:t xml:space="preserve">The liquidator may be able to rely on section 127 of the Act to void the payments made to Hard and Fast Ltd. </w:t>
      </w:r>
    </w:p>
    <w:p w14:paraId="20A156B3" w14:textId="325F24BD" w:rsidR="00312545" w:rsidRDefault="00795D9D" w:rsidP="00795D9D">
      <w:pPr>
        <w:rPr>
          <w:rFonts w:ascii="Arial" w:hAnsi="Arial" w:cs="Arial"/>
          <w:sz w:val="22"/>
          <w:szCs w:val="22"/>
        </w:rPr>
      </w:pPr>
      <w:r w:rsidRPr="00D67656">
        <w:rPr>
          <w:rFonts w:ascii="Arial" w:hAnsi="Arial" w:cs="Arial"/>
          <w:sz w:val="22"/>
          <w:szCs w:val="22"/>
        </w:rPr>
        <w:t xml:space="preserve">Section 127 applies in a compulsory winding </w:t>
      </w:r>
      <w:r w:rsidR="00312545" w:rsidRPr="00D67656">
        <w:rPr>
          <w:rFonts w:ascii="Arial" w:hAnsi="Arial" w:cs="Arial"/>
          <w:sz w:val="22"/>
          <w:szCs w:val="22"/>
        </w:rPr>
        <w:t>up and</w:t>
      </w:r>
      <w:r w:rsidRPr="00D67656">
        <w:rPr>
          <w:rFonts w:ascii="Arial" w:hAnsi="Arial" w:cs="Arial"/>
          <w:sz w:val="22"/>
          <w:szCs w:val="22"/>
        </w:rPr>
        <w:t xml:space="preserve"> avoids any disposition of property of the company made after the commencement of winding up, unless the court orders otherwise.</w:t>
      </w:r>
      <w:r w:rsidRPr="00D67656">
        <w:rPr>
          <w:rStyle w:val="FootnoteReference"/>
          <w:rFonts w:ascii="Arial" w:hAnsi="Arial" w:cs="Arial"/>
          <w:sz w:val="22"/>
          <w:szCs w:val="22"/>
        </w:rPr>
        <w:footnoteReference w:id="50"/>
      </w:r>
    </w:p>
    <w:p w14:paraId="5EF1FE52" w14:textId="498579E0" w:rsidR="00795D9D" w:rsidRPr="00D67656" w:rsidRDefault="00795D9D" w:rsidP="00795D9D">
      <w:pPr>
        <w:rPr>
          <w:rFonts w:ascii="Arial" w:hAnsi="Arial" w:cs="Arial"/>
          <w:sz w:val="22"/>
          <w:szCs w:val="22"/>
        </w:rPr>
      </w:pPr>
      <w:r w:rsidRPr="00D67656">
        <w:rPr>
          <w:rFonts w:ascii="Arial" w:hAnsi="Arial" w:cs="Arial"/>
          <w:sz w:val="22"/>
          <w:szCs w:val="22"/>
        </w:rPr>
        <w:t>The commencement date is the date of the presentation of the petition to wind up.</w:t>
      </w:r>
      <w:r w:rsidRPr="00D67656">
        <w:rPr>
          <w:rStyle w:val="FootnoteReference"/>
          <w:rFonts w:ascii="Arial" w:hAnsi="Arial" w:cs="Arial"/>
          <w:sz w:val="22"/>
          <w:szCs w:val="22"/>
        </w:rPr>
        <w:footnoteReference w:id="51"/>
      </w:r>
      <w:r w:rsidRPr="00D67656">
        <w:rPr>
          <w:rFonts w:ascii="Arial" w:hAnsi="Arial" w:cs="Arial"/>
          <w:sz w:val="22"/>
          <w:szCs w:val="22"/>
        </w:rPr>
        <w:t xml:space="preserve"> Any dispositions made between the presentation of petition to wind up, and the winding up order, will therefore be void, unless the court orders otherwise.</w:t>
      </w:r>
      <w:r w:rsidRPr="00D67656">
        <w:rPr>
          <w:rStyle w:val="FootnoteReference"/>
          <w:rFonts w:ascii="Arial" w:hAnsi="Arial" w:cs="Arial"/>
          <w:sz w:val="22"/>
          <w:szCs w:val="22"/>
        </w:rPr>
        <w:footnoteReference w:id="52"/>
      </w:r>
    </w:p>
    <w:p w14:paraId="1DCB25BC" w14:textId="77777777" w:rsidR="00795D9D" w:rsidRPr="00D67656" w:rsidRDefault="00795D9D" w:rsidP="00795D9D">
      <w:pPr>
        <w:rPr>
          <w:rFonts w:ascii="Arial" w:hAnsi="Arial" w:cs="Arial"/>
          <w:sz w:val="22"/>
          <w:szCs w:val="22"/>
        </w:rPr>
      </w:pPr>
    </w:p>
    <w:p w14:paraId="04B689B4" w14:textId="1573624F" w:rsidR="00795D9D" w:rsidRPr="00D67656" w:rsidRDefault="00795D9D" w:rsidP="00795D9D">
      <w:pPr>
        <w:rPr>
          <w:rFonts w:ascii="Arial" w:hAnsi="Arial" w:cs="Arial"/>
          <w:sz w:val="22"/>
          <w:szCs w:val="22"/>
        </w:rPr>
      </w:pPr>
      <w:r w:rsidRPr="00D67656">
        <w:rPr>
          <w:rFonts w:ascii="Arial" w:hAnsi="Arial" w:cs="Arial"/>
          <w:sz w:val="22"/>
          <w:szCs w:val="22"/>
        </w:rPr>
        <w:t xml:space="preserve">Here, the petition to wind up was presented on 14 October 2022, with the Company then going into compulsory liquidation on 23 December 2022. The payments to Hard and Fast Ltd were made a month prior to the winding up order and up until the date of the winding up order. Those payments are therefore captured by section 127. </w:t>
      </w:r>
    </w:p>
    <w:p w14:paraId="068F2F58" w14:textId="77777777" w:rsidR="00795D9D" w:rsidRPr="00D67656" w:rsidRDefault="00795D9D" w:rsidP="00795D9D">
      <w:pPr>
        <w:rPr>
          <w:rFonts w:ascii="Arial" w:hAnsi="Arial" w:cs="Arial"/>
          <w:sz w:val="22"/>
          <w:szCs w:val="22"/>
        </w:rPr>
      </w:pPr>
    </w:p>
    <w:p w14:paraId="69CD5FCE" w14:textId="3E17F0C0" w:rsidR="00795D9D" w:rsidRPr="00D67656" w:rsidRDefault="00795D9D" w:rsidP="00795D9D">
      <w:pPr>
        <w:rPr>
          <w:rFonts w:ascii="Arial" w:hAnsi="Arial" w:cs="Arial"/>
          <w:sz w:val="22"/>
          <w:szCs w:val="22"/>
        </w:rPr>
      </w:pPr>
      <w:r w:rsidRPr="00D67656">
        <w:rPr>
          <w:rFonts w:ascii="Arial" w:hAnsi="Arial" w:cs="Arial"/>
          <w:sz w:val="22"/>
          <w:szCs w:val="22"/>
        </w:rPr>
        <w:t>However, the court may order that the payments to Hard and Fast Ltd ought not to be voided on the basis that the transactions were entered into bona fide in the ordinary course of business. The burden of providing that such validation order should be made rests on the person bring the application.</w:t>
      </w:r>
      <w:r w:rsidRPr="00D67656">
        <w:rPr>
          <w:rStyle w:val="FootnoteReference"/>
          <w:rFonts w:ascii="Arial" w:hAnsi="Arial" w:cs="Arial"/>
          <w:sz w:val="22"/>
          <w:szCs w:val="22"/>
        </w:rPr>
        <w:footnoteReference w:id="53"/>
      </w:r>
    </w:p>
    <w:p w14:paraId="377BCEEA" w14:textId="77777777" w:rsidR="00795D9D" w:rsidRPr="00D67656" w:rsidRDefault="00795D9D" w:rsidP="00795D9D">
      <w:pPr>
        <w:rPr>
          <w:rFonts w:ascii="Arial" w:hAnsi="Arial" w:cs="Arial"/>
          <w:sz w:val="22"/>
          <w:szCs w:val="22"/>
        </w:rPr>
      </w:pPr>
    </w:p>
    <w:p w14:paraId="06E1627E" w14:textId="23BDC6B1" w:rsidR="00795D9D" w:rsidRPr="00D67656" w:rsidRDefault="00795D9D" w:rsidP="00795D9D">
      <w:pPr>
        <w:rPr>
          <w:rFonts w:ascii="Arial" w:hAnsi="Arial" w:cs="Arial"/>
          <w:sz w:val="22"/>
          <w:szCs w:val="22"/>
        </w:rPr>
      </w:pPr>
      <w:r w:rsidRPr="00D67656">
        <w:rPr>
          <w:rFonts w:ascii="Arial" w:hAnsi="Arial" w:cs="Arial"/>
          <w:sz w:val="22"/>
          <w:szCs w:val="22"/>
        </w:rPr>
        <w:t>Here, the continued supply of the marble was seen as essential by the company. Furthermore, some of the payments were made on a cash on delivery basis in order to allow the company to obtain further supplies, and therefore enable business to continue. Given the transaction allowed the company to continue to trade, the court is likely to validate them.</w:t>
      </w:r>
      <w:r w:rsidRPr="00D67656">
        <w:rPr>
          <w:rStyle w:val="FootnoteReference"/>
          <w:rFonts w:ascii="Arial" w:hAnsi="Arial" w:cs="Arial"/>
          <w:sz w:val="22"/>
          <w:szCs w:val="22"/>
        </w:rPr>
        <w:footnoteReference w:id="54"/>
      </w:r>
      <w:r w:rsidRPr="00D67656">
        <w:rPr>
          <w:rFonts w:ascii="Arial" w:hAnsi="Arial" w:cs="Arial"/>
          <w:sz w:val="22"/>
          <w:szCs w:val="22"/>
        </w:rPr>
        <w:t xml:space="preserve"> However, it is noteworthy that the court has previously refused to grant validation orders where the disposition was going to benefit only one creditor to the detriment of other unsecured creditors of the company.</w:t>
      </w:r>
      <w:r w:rsidRPr="00D67656">
        <w:rPr>
          <w:rStyle w:val="FootnoteReference"/>
          <w:rFonts w:ascii="Arial" w:hAnsi="Arial" w:cs="Arial"/>
          <w:sz w:val="22"/>
          <w:szCs w:val="22"/>
        </w:rPr>
        <w:footnoteReference w:id="55"/>
      </w:r>
      <w:r w:rsidRPr="00D67656">
        <w:rPr>
          <w:rFonts w:ascii="Arial" w:hAnsi="Arial" w:cs="Arial"/>
          <w:sz w:val="22"/>
          <w:szCs w:val="22"/>
        </w:rPr>
        <w:t xml:space="preserve"> This is precisely the situation here, as Hard and Fast Ltd is only one creditor. </w:t>
      </w:r>
    </w:p>
    <w:p w14:paraId="427C4C6B" w14:textId="77777777" w:rsidR="00795D9D" w:rsidRPr="00D67656" w:rsidRDefault="00795D9D" w:rsidP="00795D9D">
      <w:pPr>
        <w:rPr>
          <w:rFonts w:ascii="Arial" w:hAnsi="Arial" w:cs="Arial"/>
          <w:sz w:val="22"/>
          <w:szCs w:val="22"/>
        </w:rPr>
      </w:pPr>
    </w:p>
    <w:p w14:paraId="0F8C2A88" w14:textId="358C6FBA" w:rsidR="00795D9D" w:rsidRPr="00D67656" w:rsidRDefault="00795D9D" w:rsidP="00795D9D">
      <w:pPr>
        <w:rPr>
          <w:rFonts w:ascii="Arial" w:hAnsi="Arial" w:cs="Arial"/>
          <w:sz w:val="22"/>
          <w:szCs w:val="22"/>
        </w:rPr>
      </w:pPr>
      <w:r w:rsidRPr="00D67656">
        <w:rPr>
          <w:rFonts w:ascii="Arial" w:hAnsi="Arial" w:cs="Arial"/>
          <w:sz w:val="22"/>
          <w:szCs w:val="22"/>
        </w:rPr>
        <w:t xml:space="preserve">As such, the advice to the liquidator ought to be that while section 127 applies, and the dispositions are therefore likely void, there is a possibility that the court may grant a validation order on application for the reasons outlined above. </w:t>
      </w:r>
    </w:p>
    <w:p w14:paraId="67A6F7A7" w14:textId="77777777" w:rsidR="00795D9D" w:rsidRPr="00D67656" w:rsidRDefault="00795D9D" w:rsidP="00795D9D">
      <w:pPr>
        <w:rPr>
          <w:rFonts w:ascii="Arial" w:hAnsi="Arial" w:cs="Arial"/>
          <w:sz w:val="22"/>
          <w:szCs w:val="22"/>
        </w:rPr>
      </w:pPr>
    </w:p>
    <w:p w14:paraId="0F486413" w14:textId="3FAC2AF2" w:rsidR="00795D9D" w:rsidRPr="00D67656" w:rsidRDefault="00795D9D" w:rsidP="00795D9D">
      <w:pPr>
        <w:rPr>
          <w:rFonts w:ascii="Arial" w:hAnsi="Arial" w:cs="Arial"/>
          <w:sz w:val="22"/>
          <w:szCs w:val="22"/>
        </w:rPr>
      </w:pPr>
      <w:r w:rsidRPr="00D67656">
        <w:rPr>
          <w:rFonts w:ascii="Arial" w:hAnsi="Arial" w:cs="Arial"/>
          <w:sz w:val="22"/>
          <w:szCs w:val="22"/>
        </w:rPr>
        <w:t xml:space="preserve">The liquidator may also attack the payments made to Hard and Fast Ltd under section 239 of the Act, on the basis that Hard and Fast Ltd has been given a preference. The preference here was given within the relevant time (within the </w:t>
      </w:r>
      <w:r w:rsidR="00312545" w:rsidRPr="00D67656">
        <w:rPr>
          <w:rFonts w:ascii="Arial" w:hAnsi="Arial" w:cs="Arial"/>
          <w:sz w:val="22"/>
          <w:szCs w:val="22"/>
        </w:rPr>
        <w:t>six-month</w:t>
      </w:r>
      <w:r w:rsidRPr="00D67656">
        <w:rPr>
          <w:rFonts w:ascii="Arial" w:hAnsi="Arial" w:cs="Arial"/>
          <w:sz w:val="22"/>
          <w:szCs w:val="22"/>
        </w:rPr>
        <w:t xml:space="preserve"> period prior to the onset of insolvency). However, there is a requirement for the company to have had a desire to put Hard and Fast Ltd in a better position in the event the company was going into insolvent liquidation, than the position Hard and Fast Ltd would have been in if the payments were not made. That element is unlikely to be made out given the company was likely influenced to make the payments to Hard and Fast Ltd simply to ensure the company continued trading, rather than to give it a preference in the event of insolvency. </w:t>
      </w:r>
    </w:p>
    <w:p w14:paraId="094D3C9B" w14:textId="77777777" w:rsidR="00795D9D" w:rsidRPr="00D67656" w:rsidRDefault="00795D9D" w:rsidP="00795D9D">
      <w:pPr>
        <w:rPr>
          <w:rFonts w:ascii="Arial" w:hAnsi="Arial" w:cs="Arial"/>
          <w:sz w:val="22"/>
          <w:szCs w:val="22"/>
        </w:rPr>
      </w:pPr>
    </w:p>
    <w:p w14:paraId="6733D703" w14:textId="77777777" w:rsidR="00795D9D" w:rsidRPr="00D67656" w:rsidRDefault="00795D9D" w:rsidP="00795D9D">
      <w:pPr>
        <w:rPr>
          <w:rFonts w:ascii="Arial" w:hAnsi="Arial" w:cs="Arial"/>
          <w:sz w:val="22"/>
          <w:szCs w:val="22"/>
        </w:rPr>
      </w:pPr>
      <w:r w:rsidRPr="00D67656">
        <w:rPr>
          <w:rFonts w:ascii="Arial" w:hAnsi="Arial" w:cs="Arial"/>
          <w:sz w:val="22"/>
          <w:szCs w:val="22"/>
        </w:rPr>
        <w:t xml:space="preserve">As such, an action under section 127 of the Act remains the most feasible in order to attack the payments to Hard and Fast Ltd. </w:t>
      </w: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6E08B" w14:textId="77777777" w:rsidR="00924DAF" w:rsidRDefault="00924DAF" w:rsidP="00241B44">
      <w:r>
        <w:separator/>
      </w:r>
    </w:p>
  </w:endnote>
  <w:endnote w:type="continuationSeparator" w:id="0">
    <w:p w14:paraId="58D3AFD8" w14:textId="77777777" w:rsidR="00924DAF" w:rsidRDefault="00924DA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4F5243AF" w:rsidR="00241FA3" w:rsidRPr="00A84235" w:rsidRDefault="00D67656" w:rsidP="009B4976">
    <w:pPr>
      <w:pStyle w:val="Footer"/>
      <w:ind w:right="360"/>
      <w:rPr>
        <w:rFonts w:ascii="Avenir Next" w:hAnsi="Avenir Next" w:cs="Arial"/>
        <w:sz w:val="22"/>
        <w:szCs w:val="22"/>
        <w:lang w:val="en-GB"/>
      </w:rPr>
    </w:pPr>
    <w:r>
      <w:rPr>
        <w:rFonts w:ascii="Avenir Next" w:hAnsi="Avenir Next" w:cs="Arial"/>
        <w:sz w:val="22"/>
        <w:szCs w:val="22"/>
        <w:lang w:val="en-GB"/>
      </w:rPr>
      <w:t>202223-916</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0129" w14:textId="77777777" w:rsidR="00924DAF" w:rsidRDefault="00924DAF" w:rsidP="00241B44">
      <w:r>
        <w:separator/>
      </w:r>
    </w:p>
  </w:footnote>
  <w:footnote w:type="continuationSeparator" w:id="0">
    <w:p w14:paraId="4A2A4F3D" w14:textId="77777777" w:rsidR="00924DAF" w:rsidRDefault="00924DAF" w:rsidP="00241B44">
      <w:r>
        <w:continuationSeparator/>
      </w:r>
    </w:p>
  </w:footnote>
  <w:footnote w:id="1">
    <w:p w14:paraId="0E5BE743" w14:textId="77777777" w:rsidR="006644BC" w:rsidRPr="00795D9D" w:rsidRDefault="006644BC" w:rsidP="006644BC">
      <w:pPr>
        <w:pStyle w:val="FootnoteText"/>
        <w:rPr>
          <w:rFonts w:ascii="Arial" w:hAnsi="Arial" w:cs="Arial"/>
          <w:sz w:val="22"/>
          <w:szCs w:val="22"/>
        </w:rPr>
      </w:pPr>
      <w:r w:rsidRPr="00795D9D">
        <w:rPr>
          <w:rStyle w:val="FootnoteReference"/>
          <w:rFonts w:ascii="Arial" w:hAnsi="Arial" w:cs="Arial"/>
          <w:sz w:val="22"/>
          <w:szCs w:val="22"/>
        </w:rPr>
        <w:footnoteRef/>
      </w:r>
      <w:r w:rsidRPr="00795D9D">
        <w:rPr>
          <w:rFonts w:ascii="Arial" w:hAnsi="Arial" w:cs="Arial"/>
          <w:sz w:val="22"/>
          <w:szCs w:val="22"/>
        </w:rPr>
        <w:t xml:space="preserve"> Insolvency Act 1986, section 424, at &lt;&lt;</w:t>
      </w:r>
      <w:hyperlink r:id="rId1" w:history="1">
        <w:r w:rsidRPr="00795D9D">
          <w:rPr>
            <w:rStyle w:val="Hyperlink"/>
            <w:rFonts w:ascii="Arial" w:hAnsi="Arial" w:cs="Arial"/>
            <w:color w:val="auto"/>
            <w:sz w:val="22"/>
            <w:szCs w:val="22"/>
            <w:u w:val="none"/>
          </w:rPr>
          <w:t>https://www.legislation.gov.uk/ukpga/1986/45/section/424</w:t>
        </w:r>
      </w:hyperlink>
      <w:r w:rsidRPr="00795D9D">
        <w:rPr>
          <w:rFonts w:ascii="Arial" w:hAnsi="Arial" w:cs="Arial"/>
          <w:sz w:val="22"/>
          <w:szCs w:val="22"/>
        </w:rPr>
        <w:t>&gt;&gt;, accessed 27 February 2023.</w:t>
      </w:r>
    </w:p>
  </w:footnote>
  <w:footnote w:id="2">
    <w:p w14:paraId="76C3A9C9" w14:textId="77777777" w:rsidR="006644BC" w:rsidRPr="00795D9D" w:rsidRDefault="006644BC" w:rsidP="006644BC">
      <w:pPr>
        <w:pStyle w:val="FootnoteText"/>
        <w:rPr>
          <w:rFonts w:ascii="Arial" w:hAnsi="Arial" w:cs="Arial"/>
          <w:sz w:val="22"/>
          <w:szCs w:val="22"/>
        </w:rPr>
      </w:pPr>
      <w:r w:rsidRPr="00795D9D">
        <w:rPr>
          <w:rStyle w:val="FootnoteReference"/>
          <w:rFonts w:ascii="Arial" w:hAnsi="Arial" w:cs="Arial"/>
          <w:sz w:val="22"/>
          <w:szCs w:val="22"/>
        </w:rPr>
        <w:footnoteRef/>
      </w:r>
      <w:r w:rsidRPr="00795D9D">
        <w:rPr>
          <w:rFonts w:ascii="Arial" w:hAnsi="Arial" w:cs="Arial"/>
          <w:sz w:val="22"/>
          <w:szCs w:val="22"/>
        </w:rPr>
        <w:t xml:space="preserve"> Professor Peter A Walton, </w:t>
      </w:r>
      <w:r w:rsidRPr="00795D9D">
        <w:rPr>
          <w:rFonts w:ascii="Arial" w:hAnsi="Arial" w:cs="Arial"/>
          <w:i/>
          <w:iCs/>
          <w:sz w:val="22"/>
          <w:szCs w:val="22"/>
        </w:rPr>
        <w:t>Module 3B Guidance Text – Insolvency System of the United Kingdom (England and Wales),</w:t>
      </w:r>
      <w:r w:rsidRPr="00795D9D">
        <w:rPr>
          <w:rFonts w:ascii="Arial" w:hAnsi="Arial" w:cs="Arial"/>
          <w:sz w:val="22"/>
          <w:szCs w:val="22"/>
        </w:rPr>
        <w:t xml:space="preserve"> September 2022, p 70.</w:t>
      </w:r>
    </w:p>
  </w:footnote>
  <w:footnote w:id="3">
    <w:p w14:paraId="4B5589EB" w14:textId="77777777" w:rsidR="006644BC" w:rsidRDefault="006644BC" w:rsidP="006644BC">
      <w:pPr>
        <w:pStyle w:val="FootnoteText"/>
      </w:pPr>
      <w:r w:rsidRPr="00795D9D">
        <w:rPr>
          <w:rStyle w:val="FootnoteReference"/>
          <w:rFonts w:ascii="Arial" w:hAnsi="Arial" w:cs="Arial"/>
          <w:sz w:val="22"/>
          <w:szCs w:val="22"/>
        </w:rPr>
        <w:footnoteRef/>
      </w:r>
      <w:r w:rsidRPr="00795D9D">
        <w:rPr>
          <w:rFonts w:ascii="Arial" w:hAnsi="Arial" w:cs="Arial"/>
          <w:sz w:val="22"/>
          <w:szCs w:val="22"/>
        </w:rPr>
        <w:t xml:space="preserve"> Company Directors Disqualification Act 1986, section 7, at &lt;&lt; https://www.legislation.gov.uk/ukpga/1986/46 &gt;&gt;, accessed 27 February 2023.</w:t>
      </w:r>
      <w:r>
        <w:t xml:space="preserve"> </w:t>
      </w:r>
    </w:p>
  </w:footnote>
  <w:footnote w:id="4">
    <w:p w14:paraId="2B98C6A0" w14:textId="77777777" w:rsidR="006644BC" w:rsidRPr="00795D9D" w:rsidRDefault="006644BC" w:rsidP="006644BC">
      <w:pPr>
        <w:pStyle w:val="FootnoteText"/>
        <w:rPr>
          <w:rFonts w:ascii="Arial" w:hAnsi="Arial" w:cs="Arial"/>
          <w:sz w:val="22"/>
          <w:szCs w:val="22"/>
        </w:rPr>
      </w:pPr>
      <w:r w:rsidRPr="00795D9D">
        <w:rPr>
          <w:rStyle w:val="FootnoteReference"/>
          <w:rFonts w:ascii="Arial" w:hAnsi="Arial" w:cs="Arial"/>
          <w:sz w:val="22"/>
          <w:szCs w:val="22"/>
        </w:rPr>
        <w:footnoteRef/>
      </w:r>
      <w:r w:rsidRPr="00795D9D">
        <w:rPr>
          <w:rFonts w:ascii="Arial" w:hAnsi="Arial" w:cs="Arial"/>
          <w:sz w:val="22"/>
          <w:szCs w:val="22"/>
        </w:rPr>
        <w:t xml:space="preserve"> Insolvency Act 1986, section 246ZB, at &lt;&lt;</w:t>
      </w:r>
      <w:hyperlink r:id="rId2" w:history="1">
        <w:r w:rsidRPr="00795D9D">
          <w:rPr>
            <w:rStyle w:val="Hyperlink"/>
            <w:rFonts w:ascii="Arial" w:hAnsi="Arial" w:cs="Arial"/>
            <w:color w:val="auto"/>
            <w:sz w:val="22"/>
            <w:szCs w:val="22"/>
            <w:u w:val="none"/>
          </w:rPr>
          <w:t>https://www.legislation.gov.uk/ukpga/1986/</w:t>
        </w:r>
        <w:r w:rsidRPr="00795D9D">
          <w:rPr>
            <w:rStyle w:val="Hyperlink"/>
            <w:rFonts w:ascii="Arial" w:hAnsi="Arial" w:cs="Arial"/>
            <w:color w:val="auto"/>
            <w:sz w:val="22"/>
            <w:szCs w:val="22"/>
            <w:u w:val="none"/>
          </w:rPr>
          <w:t>4</w:t>
        </w:r>
        <w:r w:rsidRPr="00795D9D">
          <w:rPr>
            <w:rStyle w:val="Hyperlink"/>
            <w:rFonts w:ascii="Arial" w:hAnsi="Arial" w:cs="Arial"/>
            <w:color w:val="auto"/>
            <w:sz w:val="22"/>
            <w:szCs w:val="22"/>
            <w:u w:val="none"/>
          </w:rPr>
          <w:t>5/section/246ZB</w:t>
        </w:r>
      </w:hyperlink>
      <w:r w:rsidRPr="00795D9D">
        <w:rPr>
          <w:rStyle w:val="Hyperlink"/>
          <w:rFonts w:ascii="Arial" w:hAnsi="Arial" w:cs="Arial"/>
          <w:color w:val="auto"/>
          <w:sz w:val="22"/>
          <w:szCs w:val="22"/>
          <w:u w:val="none"/>
        </w:rPr>
        <w:t>&gt;&gt;,</w:t>
      </w:r>
      <w:r w:rsidRPr="00795D9D">
        <w:rPr>
          <w:rFonts w:ascii="Arial" w:hAnsi="Arial" w:cs="Arial"/>
          <w:sz w:val="22"/>
          <w:szCs w:val="22"/>
        </w:rPr>
        <w:t xml:space="preserve"> accessed 27 Feb 2023</w:t>
      </w:r>
    </w:p>
  </w:footnote>
  <w:footnote w:id="5">
    <w:p w14:paraId="129EBD83" w14:textId="77777777" w:rsidR="006644BC" w:rsidRPr="00795D9D" w:rsidRDefault="006644BC" w:rsidP="006644BC">
      <w:pPr>
        <w:pStyle w:val="FootnoteText"/>
        <w:rPr>
          <w:rFonts w:ascii="Arial" w:hAnsi="Arial" w:cs="Arial"/>
          <w:sz w:val="22"/>
          <w:szCs w:val="22"/>
        </w:rPr>
      </w:pPr>
      <w:r w:rsidRPr="00795D9D">
        <w:rPr>
          <w:rStyle w:val="FootnoteReference"/>
          <w:rFonts w:ascii="Arial" w:hAnsi="Arial" w:cs="Arial"/>
          <w:sz w:val="22"/>
          <w:szCs w:val="22"/>
        </w:rPr>
        <w:footnoteRef/>
      </w:r>
      <w:r w:rsidRPr="00795D9D">
        <w:rPr>
          <w:rFonts w:ascii="Arial" w:hAnsi="Arial" w:cs="Arial"/>
          <w:sz w:val="22"/>
          <w:szCs w:val="22"/>
        </w:rPr>
        <w:t xml:space="preserve"> Walton, </w:t>
      </w:r>
      <w:r w:rsidRPr="00795D9D">
        <w:rPr>
          <w:rFonts w:ascii="Arial" w:hAnsi="Arial" w:cs="Arial"/>
          <w:i/>
          <w:iCs/>
          <w:sz w:val="22"/>
          <w:szCs w:val="22"/>
        </w:rPr>
        <w:t>supra</w:t>
      </w:r>
      <w:r w:rsidRPr="00795D9D">
        <w:rPr>
          <w:rFonts w:ascii="Arial" w:hAnsi="Arial" w:cs="Arial"/>
          <w:sz w:val="22"/>
          <w:szCs w:val="22"/>
        </w:rPr>
        <w:t xml:space="preserve"> note 2, p 38.</w:t>
      </w:r>
    </w:p>
  </w:footnote>
  <w:footnote w:id="6">
    <w:p w14:paraId="1D0F202D" w14:textId="77777777" w:rsidR="006644BC" w:rsidRPr="00795D9D" w:rsidRDefault="006644BC" w:rsidP="006644BC">
      <w:pPr>
        <w:pStyle w:val="FootnoteText"/>
        <w:rPr>
          <w:rFonts w:ascii="Arial" w:hAnsi="Arial" w:cs="Arial"/>
          <w:sz w:val="22"/>
          <w:szCs w:val="22"/>
        </w:rPr>
      </w:pPr>
      <w:r w:rsidRPr="00795D9D">
        <w:rPr>
          <w:rStyle w:val="FootnoteReference"/>
          <w:rFonts w:ascii="Arial" w:hAnsi="Arial" w:cs="Arial"/>
          <w:sz w:val="22"/>
          <w:szCs w:val="22"/>
        </w:rPr>
        <w:footnoteRef/>
      </w:r>
      <w:r w:rsidRPr="00795D9D">
        <w:rPr>
          <w:rFonts w:ascii="Arial" w:hAnsi="Arial" w:cs="Arial"/>
          <w:sz w:val="22"/>
          <w:szCs w:val="22"/>
        </w:rPr>
        <w:t xml:space="preserve"> </w:t>
      </w:r>
      <w:r w:rsidRPr="00795D9D">
        <w:rPr>
          <w:rFonts w:ascii="Arial" w:hAnsi="Arial" w:cs="Arial"/>
          <w:i/>
          <w:iCs/>
          <w:sz w:val="22"/>
          <w:szCs w:val="22"/>
        </w:rPr>
        <w:t>Idem</w:t>
      </w:r>
      <w:r w:rsidRPr="00795D9D">
        <w:rPr>
          <w:rFonts w:ascii="Arial" w:hAnsi="Arial" w:cs="Arial"/>
          <w:sz w:val="22"/>
          <w:szCs w:val="22"/>
        </w:rPr>
        <w:t>, p 20.</w:t>
      </w:r>
    </w:p>
  </w:footnote>
  <w:footnote w:id="7">
    <w:p w14:paraId="68521964" w14:textId="77777777" w:rsidR="006644BC" w:rsidRDefault="006644BC" w:rsidP="006644BC">
      <w:pPr>
        <w:pStyle w:val="FootnoteText"/>
      </w:pPr>
      <w:r w:rsidRPr="00795D9D">
        <w:rPr>
          <w:rStyle w:val="FootnoteReference"/>
          <w:rFonts w:ascii="Arial" w:hAnsi="Arial" w:cs="Arial"/>
          <w:sz w:val="22"/>
          <w:szCs w:val="22"/>
        </w:rPr>
        <w:footnoteRef/>
      </w:r>
      <w:r w:rsidRPr="00795D9D">
        <w:rPr>
          <w:rFonts w:ascii="Arial" w:hAnsi="Arial" w:cs="Arial"/>
          <w:sz w:val="22"/>
          <w:szCs w:val="22"/>
        </w:rPr>
        <w:t xml:space="preserve"> </w:t>
      </w:r>
      <w:r w:rsidRPr="00795D9D">
        <w:rPr>
          <w:rFonts w:ascii="Arial" w:hAnsi="Arial" w:cs="Arial"/>
          <w:i/>
          <w:iCs/>
          <w:sz w:val="22"/>
          <w:szCs w:val="22"/>
        </w:rPr>
        <w:t>Ibid.</w:t>
      </w:r>
      <w:r>
        <w:t xml:space="preserve"> </w:t>
      </w:r>
    </w:p>
  </w:footnote>
  <w:footnote w:id="8">
    <w:p w14:paraId="30A4F043" w14:textId="77777777" w:rsidR="006644BC" w:rsidRPr="00795D9D" w:rsidRDefault="006644BC" w:rsidP="006644BC">
      <w:pPr>
        <w:pStyle w:val="FootnoteText"/>
        <w:rPr>
          <w:rFonts w:ascii="Arial" w:hAnsi="Arial" w:cs="Arial"/>
          <w:sz w:val="22"/>
          <w:szCs w:val="22"/>
        </w:rPr>
      </w:pPr>
      <w:r w:rsidRPr="00795D9D">
        <w:rPr>
          <w:rStyle w:val="FootnoteReference"/>
          <w:rFonts w:ascii="Arial" w:hAnsi="Arial" w:cs="Arial"/>
          <w:sz w:val="22"/>
          <w:szCs w:val="22"/>
        </w:rPr>
        <w:footnoteRef/>
      </w:r>
      <w:r w:rsidRPr="00795D9D">
        <w:rPr>
          <w:rFonts w:ascii="Arial" w:hAnsi="Arial" w:cs="Arial"/>
          <w:sz w:val="22"/>
          <w:szCs w:val="22"/>
        </w:rPr>
        <w:t xml:space="preserve"> </w:t>
      </w:r>
      <w:r w:rsidRPr="00795D9D">
        <w:rPr>
          <w:rFonts w:ascii="Arial" w:hAnsi="Arial" w:cs="Arial"/>
          <w:i/>
          <w:iCs/>
          <w:sz w:val="22"/>
          <w:szCs w:val="22"/>
        </w:rPr>
        <w:t>Ibid.</w:t>
      </w:r>
    </w:p>
  </w:footnote>
  <w:footnote w:id="9">
    <w:p w14:paraId="42A21980" w14:textId="77777777" w:rsidR="006644BC" w:rsidRPr="00795D9D" w:rsidRDefault="006644BC" w:rsidP="006644BC">
      <w:pPr>
        <w:pStyle w:val="FootnoteText"/>
        <w:rPr>
          <w:rFonts w:ascii="Arial" w:hAnsi="Arial" w:cs="Arial"/>
          <w:sz w:val="22"/>
          <w:szCs w:val="22"/>
        </w:rPr>
      </w:pPr>
      <w:r w:rsidRPr="00795D9D">
        <w:rPr>
          <w:rStyle w:val="FootnoteReference"/>
          <w:rFonts w:ascii="Arial" w:hAnsi="Arial" w:cs="Arial"/>
          <w:sz w:val="22"/>
          <w:szCs w:val="22"/>
        </w:rPr>
        <w:footnoteRef/>
      </w:r>
      <w:r w:rsidRPr="00795D9D">
        <w:rPr>
          <w:rFonts w:ascii="Arial" w:hAnsi="Arial" w:cs="Arial"/>
          <w:sz w:val="22"/>
          <w:szCs w:val="22"/>
        </w:rPr>
        <w:t xml:space="preserve"> </w:t>
      </w:r>
      <w:r w:rsidRPr="00795D9D">
        <w:rPr>
          <w:rFonts w:ascii="Arial" w:hAnsi="Arial" w:cs="Arial"/>
          <w:i/>
          <w:iCs/>
          <w:sz w:val="22"/>
          <w:szCs w:val="22"/>
        </w:rPr>
        <w:t>Ibid.</w:t>
      </w:r>
    </w:p>
  </w:footnote>
  <w:footnote w:id="10">
    <w:p w14:paraId="5FB91133" w14:textId="77777777" w:rsidR="006644BC" w:rsidRPr="00795D9D" w:rsidRDefault="006644BC" w:rsidP="006644BC">
      <w:pPr>
        <w:pStyle w:val="FootnoteText"/>
        <w:rPr>
          <w:rFonts w:ascii="Arial" w:hAnsi="Arial" w:cs="Arial"/>
          <w:sz w:val="22"/>
          <w:szCs w:val="22"/>
        </w:rPr>
      </w:pPr>
      <w:r w:rsidRPr="00795D9D">
        <w:rPr>
          <w:rStyle w:val="FootnoteReference"/>
          <w:rFonts w:ascii="Arial" w:hAnsi="Arial" w:cs="Arial"/>
          <w:sz w:val="22"/>
          <w:szCs w:val="22"/>
        </w:rPr>
        <w:footnoteRef/>
      </w:r>
      <w:r w:rsidRPr="00795D9D">
        <w:rPr>
          <w:rFonts w:ascii="Arial" w:hAnsi="Arial" w:cs="Arial"/>
          <w:sz w:val="22"/>
          <w:szCs w:val="22"/>
        </w:rPr>
        <w:t xml:space="preserve"> </w:t>
      </w:r>
      <w:r w:rsidRPr="00795D9D">
        <w:rPr>
          <w:rFonts w:ascii="Arial" w:hAnsi="Arial" w:cs="Arial"/>
          <w:i/>
          <w:iCs/>
          <w:sz w:val="22"/>
          <w:szCs w:val="22"/>
        </w:rPr>
        <w:t>Idem</w:t>
      </w:r>
      <w:r w:rsidRPr="00795D9D">
        <w:rPr>
          <w:rFonts w:ascii="Arial" w:hAnsi="Arial" w:cs="Arial"/>
          <w:sz w:val="22"/>
          <w:szCs w:val="22"/>
        </w:rPr>
        <w:t>, p 21.</w:t>
      </w:r>
    </w:p>
  </w:footnote>
  <w:footnote w:id="11">
    <w:p w14:paraId="59D5B93A" w14:textId="77777777" w:rsidR="006644BC" w:rsidRPr="00795D9D" w:rsidRDefault="006644BC" w:rsidP="006644BC">
      <w:pPr>
        <w:pStyle w:val="FootnoteText"/>
        <w:rPr>
          <w:rFonts w:ascii="Arial" w:hAnsi="Arial" w:cs="Arial"/>
          <w:sz w:val="22"/>
          <w:szCs w:val="22"/>
        </w:rPr>
      </w:pPr>
      <w:r w:rsidRPr="00795D9D">
        <w:rPr>
          <w:rStyle w:val="FootnoteReference"/>
          <w:rFonts w:ascii="Arial" w:hAnsi="Arial" w:cs="Arial"/>
          <w:sz w:val="22"/>
          <w:szCs w:val="22"/>
        </w:rPr>
        <w:footnoteRef/>
      </w:r>
      <w:r w:rsidRPr="00795D9D">
        <w:rPr>
          <w:rFonts w:ascii="Arial" w:hAnsi="Arial" w:cs="Arial"/>
          <w:sz w:val="22"/>
          <w:szCs w:val="22"/>
        </w:rPr>
        <w:t xml:space="preserve"> </w:t>
      </w:r>
      <w:r w:rsidRPr="00795D9D">
        <w:rPr>
          <w:rFonts w:ascii="Arial" w:hAnsi="Arial" w:cs="Arial"/>
          <w:i/>
          <w:iCs/>
          <w:sz w:val="22"/>
          <w:szCs w:val="22"/>
        </w:rPr>
        <w:t>Ibid.</w:t>
      </w:r>
    </w:p>
  </w:footnote>
  <w:footnote w:id="12">
    <w:p w14:paraId="17674193" w14:textId="77777777" w:rsidR="00B23CC6" w:rsidRPr="00795D9D" w:rsidRDefault="00B23CC6" w:rsidP="00B23CC6">
      <w:pPr>
        <w:pStyle w:val="FootnoteText"/>
        <w:rPr>
          <w:rFonts w:ascii="Arial" w:hAnsi="Arial" w:cs="Arial"/>
          <w:sz w:val="22"/>
          <w:szCs w:val="22"/>
        </w:rPr>
      </w:pPr>
      <w:r w:rsidRPr="00795D9D">
        <w:rPr>
          <w:rStyle w:val="FootnoteReference"/>
          <w:rFonts w:ascii="Arial" w:hAnsi="Arial" w:cs="Arial"/>
          <w:sz w:val="22"/>
          <w:szCs w:val="22"/>
        </w:rPr>
        <w:footnoteRef/>
      </w:r>
      <w:r w:rsidRPr="00795D9D">
        <w:rPr>
          <w:rFonts w:ascii="Arial" w:hAnsi="Arial" w:cs="Arial"/>
          <w:sz w:val="22"/>
          <w:szCs w:val="22"/>
        </w:rPr>
        <w:t xml:space="preserve"> </w:t>
      </w:r>
      <w:r w:rsidRPr="00795D9D">
        <w:rPr>
          <w:rFonts w:ascii="Arial" w:hAnsi="Arial" w:cs="Arial"/>
          <w:i/>
          <w:iCs/>
          <w:sz w:val="22"/>
          <w:szCs w:val="22"/>
        </w:rPr>
        <w:t>Idem</w:t>
      </w:r>
      <w:r w:rsidRPr="00795D9D">
        <w:rPr>
          <w:rFonts w:ascii="Arial" w:hAnsi="Arial" w:cs="Arial"/>
          <w:sz w:val="22"/>
          <w:szCs w:val="22"/>
        </w:rPr>
        <w:t>, p 51.</w:t>
      </w:r>
    </w:p>
  </w:footnote>
  <w:footnote w:id="13">
    <w:p w14:paraId="6F4B54E1" w14:textId="77777777" w:rsidR="00B23CC6" w:rsidRDefault="00B23CC6" w:rsidP="00B23CC6">
      <w:pPr>
        <w:pStyle w:val="FootnoteText"/>
      </w:pPr>
      <w:r w:rsidRPr="00795D9D">
        <w:rPr>
          <w:rStyle w:val="FootnoteReference"/>
          <w:rFonts w:ascii="Arial" w:hAnsi="Arial" w:cs="Arial"/>
          <w:sz w:val="22"/>
          <w:szCs w:val="22"/>
        </w:rPr>
        <w:footnoteRef/>
      </w:r>
      <w:r w:rsidRPr="00795D9D">
        <w:rPr>
          <w:rFonts w:ascii="Arial" w:hAnsi="Arial" w:cs="Arial"/>
          <w:sz w:val="22"/>
          <w:szCs w:val="22"/>
        </w:rPr>
        <w:t xml:space="preserve"> </w:t>
      </w:r>
      <w:r w:rsidRPr="00795D9D">
        <w:rPr>
          <w:rFonts w:ascii="Arial" w:hAnsi="Arial" w:cs="Arial"/>
          <w:i/>
          <w:iCs/>
          <w:sz w:val="22"/>
          <w:szCs w:val="22"/>
        </w:rPr>
        <w:t>Ibid.</w:t>
      </w:r>
    </w:p>
  </w:footnote>
  <w:footnote w:id="14">
    <w:p w14:paraId="38042995" w14:textId="77777777" w:rsidR="00B23CC6" w:rsidRPr="00795D9D" w:rsidRDefault="00B23CC6" w:rsidP="00B23CC6">
      <w:pPr>
        <w:pStyle w:val="FootnoteText"/>
        <w:rPr>
          <w:rFonts w:ascii="Arial" w:hAnsi="Arial" w:cs="Arial"/>
          <w:sz w:val="22"/>
          <w:szCs w:val="22"/>
        </w:rPr>
      </w:pPr>
      <w:r w:rsidRPr="00795D9D">
        <w:rPr>
          <w:rStyle w:val="FootnoteReference"/>
          <w:rFonts w:ascii="Arial" w:hAnsi="Arial" w:cs="Arial"/>
          <w:sz w:val="22"/>
          <w:szCs w:val="22"/>
        </w:rPr>
        <w:footnoteRef/>
      </w:r>
      <w:r w:rsidRPr="00795D9D">
        <w:rPr>
          <w:rFonts w:ascii="Arial" w:hAnsi="Arial" w:cs="Arial"/>
          <w:sz w:val="22"/>
          <w:szCs w:val="22"/>
        </w:rPr>
        <w:t xml:space="preserve"> </w:t>
      </w:r>
      <w:r w:rsidRPr="00795D9D">
        <w:rPr>
          <w:rFonts w:ascii="Arial" w:hAnsi="Arial" w:cs="Arial"/>
          <w:i/>
          <w:iCs/>
          <w:sz w:val="22"/>
          <w:szCs w:val="22"/>
        </w:rPr>
        <w:t>Idem</w:t>
      </w:r>
      <w:r w:rsidRPr="00795D9D">
        <w:rPr>
          <w:rFonts w:ascii="Arial" w:hAnsi="Arial" w:cs="Arial"/>
          <w:sz w:val="22"/>
          <w:szCs w:val="22"/>
        </w:rPr>
        <w:t>, p 52.</w:t>
      </w:r>
    </w:p>
  </w:footnote>
  <w:footnote w:id="15">
    <w:p w14:paraId="12BC1E0F" w14:textId="77777777" w:rsidR="00B23CC6" w:rsidRPr="00795D9D" w:rsidRDefault="00B23CC6" w:rsidP="00B23CC6">
      <w:pPr>
        <w:pStyle w:val="FootnoteText"/>
        <w:rPr>
          <w:rFonts w:ascii="Arial" w:hAnsi="Arial" w:cs="Arial"/>
          <w:sz w:val="22"/>
          <w:szCs w:val="22"/>
        </w:rPr>
      </w:pPr>
      <w:r w:rsidRPr="00795D9D">
        <w:rPr>
          <w:rStyle w:val="FootnoteReference"/>
          <w:rFonts w:ascii="Arial" w:hAnsi="Arial" w:cs="Arial"/>
          <w:sz w:val="22"/>
          <w:szCs w:val="22"/>
        </w:rPr>
        <w:footnoteRef/>
      </w:r>
      <w:r w:rsidRPr="00795D9D">
        <w:rPr>
          <w:rFonts w:ascii="Arial" w:hAnsi="Arial" w:cs="Arial"/>
          <w:sz w:val="22"/>
          <w:szCs w:val="22"/>
        </w:rPr>
        <w:t xml:space="preserve"> </w:t>
      </w:r>
      <w:r w:rsidRPr="00795D9D">
        <w:rPr>
          <w:rFonts w:ascii="Arial" w:hAnsi="Arial" w:cs="Arial"/>
          <w:i/>
          <w:iCs/>
          <w:sz w:val="22"/>
          <w:szCs w:val="22"/>
        </w:rPr>
        <w:t>Ibid.</w:t>
      </w:r>
    </w:p>
  </w:footnote>
  <w:footnote w:id="16">
    <w:p w14:paraId="55D9F2A0" w14:textId="77777777" w:rsidR="00B23CC6" w:rsidRPr="00795D9D" w:rsidRDefault="00B23CC6" w:rsidP="00B23CC6">
      <w:pPr>
        <w:pStyle w:val="FootnoteText"/>
        <w:rPr>
          <w:rFonts w:ascii="Arial" w:hAnsi="Arial" w:cs="Arial"/>
          <w:sz w:val="22"/>
          <w:szCs w:val="22"/>
        </w:rPr>
      </w:pPr>
      <w:r w:rsidRPr="00795D9D">
        <w:rPr>
          <w:rStyle w:val="FootnoteReference"/>
          <w:rFonts w:ascii="Arial" w:hAnsi="Arial" w:cs="Arial"/>
          <w:sz w:val="22"/>
          <w:szCs w:val="22"/>
        </w:rPr>
        <w:footnoteRef/>
      </w:r>
      <w:r w:rsidRPr="00795D9D">
        <w:rPr>
          <w:rFonts w:ascii="Arial" w:hAnsi="Arial" w:cs="Arial"/>
          <w:sz w:val="22"/>
          <w:szCs w:val="22"/>
        </w:rPr>
        <w:t xml:space="preserve"> </w:t>
      </w:r>
      <w:r w:rsidRPr="00795D9D">
        <w:rPr>
          <w:rFonts w:ascii="Arial" w:hAnsi="Arial" w:cs="Arial"/>
          <w:i/>
          <w:iCs/>
          <w:sz w:val="22"/>
          <w:szCs w:val="22"/>
        </w:rPr>
        <w:t>Ibid.</w:t>
      </w:r>
    </w:p>
  </w:footnote>
  <w:footnote w:id="17">
    <w:p w14:paraId="253DC16A" w14:textId="77777777" w:rsidR="00B23CC6" w:rsidRPr="00795D9D" w:rsidRDefault="00B23CC6" w:rsidP="00B23CC6">
      <w:pPr>
        <w:pStyle w:val="FootnoteText"/>
        <w:rPr>
          <w:rFonts w:ascii="Arial" w:hAnsi="Arial" w:cs="Arial"/>
          <w:sz w:val="22"/>
          <w:szCs w:val="22"/>
        </w:rPr>
      </w:pPr>
      <w:r w:rsidRPr="00795D9D">
        <w:rPr>
          <w:rStyle w:val="FootnoteReference"/>
          <w:rFonts w:ascii="Arial" w:hAnsi="Arial" w:cs="Arial"/>
          <w:sz w:val="22"/>
          <w:szCs w:val="22"/>
        </w:rPr>
        <w:footnoteRef/>
      </w:r>
      <w:r w:rsidRPr="00795D9D">
        <w:rPr>
          <w:rFonts w:ascii="Arial" w:hAnsi="Arial" w:cs="Arial"/>
          <w:sz w:val="22"/>
          <w:szCs w:val="22"/>
        </w:rPr>
        <w:t xml:space="preserve"> </w:t>
      </w:r>
      <w:r w:rsidRPr="00795D9D">
        <w:rPr>
          <w:rFonts w:ascii="Arial" w:hAnsi="Arial" w:cs="Arial"/>
          <w:i/>
          <w:iCs/>
          <w:sz w:val="22"/>
          <w:szCs w:val="22"/>
        </w:rPr>
        <w:t>Idem</w:t>
      </w:r>
      <w:r w:rsidRPr="00795D9D">
        <w:rPr>
          <w:rFonts w:ascii="Arial" w:hAnsi="Arial" w:cs="Arial"/>
          <w:sz w:val="22"/>
          <w:szCs w:val="22"/>
        </w:rPr>
        <w:t>, p 53.</w:t>
      </w:r>
    </w:p>
  </w:footnote>
  <w:footnote w:id="18">
    <w:p w14:paraId="4D31B874" w14:textId="77777777" w:rsidR="00B23CC6" w:rsidRDefault="00B23CC6" w:rsidP="00B23CC6">
      <w:pPr>
        <w:pStyle w:val="FootnoteText"/>
      </w:pPr>
      <w:r w:rsidRPr="00795D9D">
        <w:rPr>
          <w:rStyle w:val="FootnoteReference"/>
          <w:rFonts w:ascii="Arial" w:hAnsi="Arial" w:cs="Arial"/>
          <w:sz w:val="22"/>
          <w:szCs w:val="22"/>
        </w:rPr>
        <w:footnoteRef/>
      </w:r>
      <w:r w:rsidRPr="00795D9D">
        <w:rPr>
          <w:rFonts w:ascii="Arial" w:hAnsi="Arial" w:cs="Arial"/>
          <w:sz w:val="22"/>
          <w:szCs w:val="22"/>
        </w:rPr>
        <w:t xml:space="preserve"> </w:t>
      </w:r>
      <w:r w:rsidRPr="00795D9D">
        <w:rPr>
          <w:rFonts w:ascii="Arial" w:hAnsi="Arial" w:cs="Arial"/>
          <w:i/>
          <w:iCs/>
          <w:sz w:val="22"/>
          <w:szCs w:val="22"/>
        </w:rPr>
        <w:t>Ibid.</w:t>
      </w:r>
    </w:p>
  </w:footnote>
  <w:footnote w:id="19">
    <w:p w14:paraId="077E15C8" w14:textId="77777777" w:rsidR="00B23CC6" w:rsidRPr="00795D9D" w:rsidRDefault="00B23CC6" w:rsidP="00B23CC6">
      <w:pPr>
        <w:pStyle w:val="FootnoteText"/>
        <w:rPr>
          <w:rFonts w:ascii="Arial" w:hAnsi="Arial" w:cs="Arial"/>
          <w:sz w:val="22"/>
          <w:szCs w:val="22"/>
        </w:rPr>
      </w:pPr>
      <w:r w:rsidRPr="00795D9D">
        <w:rPr>
          <w:rStyle w:val="FootnoteReference"/>
          <w:rFonts w:ascii="Arial" w:hAnsi="Arial" w:cs="Arial"/>
          <w:sz w:val="22"/>
          <w:szCs w:val="22"/>
        </w:rPr>
        <w:footnoteRef/>
      </w:r>
      <w:r w:rsidRPr="00795D9D">
        <w:rPr>
          <w:rFonts w:ascii="Arial" w:hAnsi="Arial" w:cs="Arial"/>
          <w:sz w:val="22"/>
          <w:szCs w:val="22"/>
        </w:rPr>
        <w:t xml:space="preserve"> </w:t>
      </w:r>
      <w:r w:rsidRPr="00795D9D">
        <w:rPr>
          <w:rFonts w:ascii="Arial" w:hAnsi="Arial" w:cs="Arial"/>
          <w:i/>
          <w:iCs/>
          <w:sz w:val="22"/>
          <w:szCs w:val="22"/>
        </w:rPr>
        <w:t>Idem</w:t>
      </w:r>
      <w:r w:rsidRPr="00795D9D">
        <w:rPr>
          <w:rFonts w:ascii="Arial" w:hAnsi="Arial" w:cs="Arial"/>
          <w:sz w:val="22"/>
          <w:szCs w:val="22"/>
        </w:rPr>
        <w:t>, p 54.</w:t>
      </w:r>
    </w:p>
  </w:footnote>
  <w:footnote w:id="20">
    <w:p w14:paraId="0B1652C1" w14:textId="77777777" w:rsidR="00B23CC6" w:rsidRPr="00795D9D" w:rsidRDefault="00B23CC6" w:rsidP="00B23CC6">
      <w:pPr>
        <w:pStyle w:val="FootnoteText"/>
        <w:rPr>
          <w:rFonts w:ascii="Arial" w:hAnsi="Arial" w:cs="Arial"/>
          <w:sz w:val="22"/>
          <w:szCs w:val="22"/>
        </w:rPr>
      </w:pPr>
      <w:r w:rsidRPr="00795D9D">
        <w:rPr>
          <w:rStyle w:val="FootnoteReference"/>
          <w:rFonts w:ascii="Arial" w:hAnsi="Arial" w:cs="Arial"/>
          <w:sz w:val="22"/>
          <w:szCs w:val="22"/>
        </w:rPr>
        <w:footnoteRef/>
      </w:r>
      <w:r w:rsidRPr="00795D9D">
        <w:rPr>
          <w:rFonts w:ascii="Arial" w:hAnsi="Arial" w:cs="Arial"/>
          <w:sz w:val="22"/>
          <w:szCs w:val="22"/>
        </w:rPr>
        <w:t xml:space="preserve"> </w:t>
      </w:r>
      <w:r w:rsidRPr="00795D9D">
        <w:rPr>
          <w:rFonts w:ascii="Arial" w:hAnsi="Arial" w:cs="Arial"/>
          <w:i/>
          <w:iCs/>
          <w:sz w:val="22"/>
          <w:szCs w:val="22"/>
        </w:rPr>
        <w:t>Ibid.</w:t>
      </w:r>
    </w:p>
  </w:footnote>
  <w:footnote w:id="21">
    <w:p w14:paraId="72717952" w14:textId="77777777" w:rsidR="00B23CC6" w:rsidRPr="00795D9D" w:rsidRDefault="00B23CC6" w:rsidP="00B23CC6">
      <w:pPr>
        <w:pStyle w:val="FootnoteText"/>
        <w:rPr>
          <w:rFonts w:ascii="Arial" w:hAnsi="Arial" w:cs="Arial"/>
          <w:sz w:val="22"/>
          <w:szCs w:val="22"/>
        </w:rPr>
      </w:pPr>
      <w:r w:rsidRPr="00795D9D">
        <w:rPr>
          <w:rStyle w:val="FootnoteReference"/>
          <w:rFonts w:ascii="Arial" w:hAnsi="Arial" w:cs="Arial"/>
          <w:sz w:val="22"/>
          <w:szCs w:val="22"/>
        </w:rPr>
        <w:footnoteRef/>
      </w:r>
      <w:r w:rsidRPr="00795D9D">
        <w:rPr>
          <w:rFonts w:ascii="Arial" w:hAnsi="Arial" w:cs="Arial"/>
          <w:sz w:val="22"/>
          <w:szCs w:val="22"/>
        </w:rPr>
        <w:t xml:space="preserve"> </w:t>
      </w:r>
      <w:r w:rsidRPr="00795D9D">
        <w:rPr>
          <w:rFonts w:ascii="Arial" w:hAnsi="Arial" w:cs="Arial"/>
          <w:i/>
          <w:iCs/>
          <w:sz w:val="22"/>
          <w:szCs w:val="22"/>
        </w:rPr>
        <w:t>Ibid.</w:t>
      </w:r>
    </w:p>
  </w:footnote>
  <w:footnote w:id="22">
    <w:p w14:paraId="06483C5F" w14:textId="77777777" w:rsidR="00B23CC6" w:rsidRPr="00795D9D" w:rsidRDefault="00B23CC6" w:rsidP="00B23CC6">
      <w:pPr>
        <w:pStyle w:val="FootnoteText"/>
        <w:rPr>
          <w:rFonts w:ascii="Arial" w:hAnsi="Arial" w:cs="Arial"/>
          <w:sz w:val="22"/>
          <w:szCs w:val="22"/>
        </w:rPr>
      </w:pPr>
      <w:r w:rsidRPr="00795D9D">
        <w:rPr>
          <w:rStyle w:val="FootnoteReference"/>
          <w:rFonts w:ascii="Arial" w:hAnsi="Arial" w:cs="Arial"/>
          <w:sz w:val="22"/>
          <w:szCs w:val="22"/>
        </w:rPr>
        <w:footnoteRef/>
      </w:r>
      <w:r w:rsidRPr="00795D9D">
        <w:rPr>
          <w:rFonts w:ascii="Arial" w:hAnsi="Arial" w:cs="Arial"/>
          <w:sz w:val="22"/>
          <w:szCs w:val="22"/>
        </w:rPr>
        <w:t xml:space="preserve"> </w:t>
      </w:r>
      <w:r w:rsidRPr="00795D9D">
        <w:rPr>
          <w:rFonts w:ascii="Arial" w:hAnsi="Arial" w:cs="Arial"/>
          <w:i/>
          <w:iCs/>
          <w:sz w:val="22"/>
          <w:szCs w:val="22"/>
        </w:rPr>
        <w:t>Ibid.</w:t>
      </w:r>
    </w:p>
  </w:footnote>
  <w:footnote w:id="23">
    <w:p w14:paraId="1C40CC79" w14:textId="77777777" w:rsidR="00B23CC6" w:rsidRPr="00795D9D" w:rsidRDefault="00B23CC6" w:rsidP="00B23CC6">
      <w:pPr>
        <w:pStyle w:val="FootnoteText"/>
        <w:rPr>
          <w:rFonts w:ascii="Arial" w:hAnsi="Arial" w:cs="Arial"/>
          <w:sz w:val="22"/>
          <w:szCs w:val="22"/>
        </w:rPr>
      </w:pPr>
      <w:r w:rsidRPr="00795D9D">
        <w:rPr>
          <w:rStyle w:val="FootnoteReference"/>
          <w:rFonts w:ascii="Arial" w:hAnsi="Arial" w:cs="Arial"/>
          <w:sz w:val="22"/>
          <w:szCs w:val="22"/>
        </w:rPr>
        <w:footnoteRef/>
      </w:r>
      <w:r w:rsidRPr="00795D9D">
        <w:rPr>
          <w:rFonts w:ascii="Arial" w:hAnsi="Arial" w:cs="Arial"/>
          <w:sz w:val="22"/>
          <w:szCs w:val="22"/>
        </w:rPr>
        <w:t xml:space="preserve"> </w:t>
      </w:r>
      <w:r w:rsidRPr="00795D9D">
        <w:rPr>
          <w:rFonts w:ascii="Arial" w:hAnsi="Arial" w:cs="Arial"/>
          <w:i/>
          <w:iCs/>
          <w:sz w:val="22"/>
          <w:szCs w:val="22"/>
        </w:rPr>
        <w:t>Ibid.</w:t>
      </w:r>
    </w:p>
  </w:footnote>
  <w:footnote w:id="24">
    <w:p w14:paraId="7CF10E20" w14:textId="77777777" w:rsidR="00B23CC6" w:rsidRPr="00795D9D" w:rsidRDefault="00B23CC6" w:rsidP="00B23CC6">
      <w:pPr>
        <w:pStyle w:val="FootnoteText"/>
        <w:rPr>
          <w:rFonts w:ascii="Arial" w:hAnsi="Arial" w:cs="Arial"/>
          <w:sz w:val="22"/>
          <w:szCs w:val="22"/>
        </w:rPr>
      </w:pPr>
      <w:r w:rsidRPr="00795D9D">
        <w:rPr>
          <w:rStyle w:val="FootnoteReference"/>
          <w:rFonts w:ascii="Arial" w:hAnsi="Arial" w:cs="Arial"/>
          <w:sz w:val="22"/>
          <w:szCs w:val="22"/>
        </w:rPr>
        <w:footnoteRef/>
      </w:r>
      <w:r w:rsidRPr="00795D9D">
        <w:rPr>
          <w:rFonts w:ascii="Arial" w:hAnsi="Arial" w:cs="Arial"/>
          <w:sz w:val="22"/>
          <w:szCs w:val="22"/>
        </w:rPr>
        <w:t xml:space="preserve"> </w:t>
      </w:r>
      <w:r w:rsidRPr="00795D9D">
        <w:rPr>
          <w:rFonts w:ascii="Arial" w:hAnsi="Arial" w:cs="Arial"/>
          <w:i/>
          <w:iCs/>
          <w:sz w:val="22"/>
          <w:szCs w:val="22"/>
        </w:rPr>
        <w:t>Ibid.</w:t>
      </w:r>
    </w:p>
  </w:footnote>
  <w:footnote w:id="25">
    <w:p w14:paraId="46B7EF77" w14:textId="77777777" w:rsidR="00B23CC6" w:rsidRPr="00795D9D" w:rsidRDefault="00B23CC6" w:rsidP="00B23CC6">
      <w:pPr>
        <w:pStyle w:val="FootnoteText"/>
        <w:rPr>
          <w:rFonts w:ascii="Arial" w:hAnsi="Arial" w:cs="Arial"/>
          <w:sz w:val="22"/>
          <w:szCs w:val="22"/>
        </w:rPr>
      </w:pPr>
      <w:r w:rsidRPr="00795D9D">
        <w:rPr>
          <w:rStyle w:val="FootnoteReference"/>
          <w:rFonts w:ascii="Arial" w:hAnsi="Arial" w:cs="Arial"/>
          <w:sz w:val="22"/>
          <w:szCs w:val="22"/>
        </w:rPr>
        <w:footnoteRef/>
      </w:r>
      <w:r w:rsidRPr="00795D9D">
        <w:rPr>
          <w:rFonts w:ascii="Arial" w:hAnsi="Arial" w:cs="Arial"/>
          <w:sz w:val="22"/>
          <w:szCs w:val="22"/>
        </w:rPr>
        <w:t xml:space="preserve"> Walton, </w:t>
      </w:r>
      <w:r w:rsidRPr="00795D9D">
        <w:rPr>
          <w:rFonts w:ascii="Arial" w:hAnsi="Arial" w:cs="Arial"/>
          <w:i/>
          <w:iCs/>
          <w:sz w:val="22"/>
          <w:szCs w:val="22"/>
        </w:rPr>
        <w:t>supra</w:t>
      </w:r>
      <w:r w:rsidRPr="00795D9D">
        <w:rPr>
          <w:rFonts w:ascii="Arial" w:hAnsi="Arial" w:cs="Arial"/>
          <w:sz w:val="22"/>
          <w:szCs w:val="22"/>
        </w:rPr>
        <w:t xml:space="preserve"> note 2, p 54 – 55.</w:t>
      </w:r>
    </w:p>
  </w:footnote>
  <w:footnote w:id="26">
    <w:p w14:paraId="196A7C3A" w14:textId="77777777" w:rsidR="00B23CC6" w:rsidRPr="00795D9D" w:rsidRDefault="00B23CC6" w:rsidP="00B23CC6">
      <w:pPr>
        <w:pStyle w:val="FootnoteText"/>
        <w:rPr>
          <w:rFonts w:ascii="Arial" w:hAnsi="Arial" w:cs="Arial"/>
          <w:sz w:val="22"/>
          <w:szCs w:val="22"/>
        </w:rPr>
      </w:pPr>
      <w:r w:rsidRPr="00795D9D">
        <w:rPr>
          <w:rStyle w:val="FootnoteReference"/>
          <w:rFonts w:ascii="Arial" w:hAnsi="Arial" w:cs="Arial"/>
          <w:sz w:val="22"/>
          <w:szCs w:val="22"/>
        </w:rPr>
        <w:footnoteRef/>
      </w:r>
      <w:r w:rsidRPr="00795D9D">
        <w:rPr>
          <w:rFonts w:ascii="Arial" w:hAnsi="Arial" w:cs="Arial"/>
          <w:sz w:val="22"/>
          <w:szCs w:val="22"/>
        </w:rPr>
        <w:t xml:space="preserve"> </w:t>
      </w:r>
      <w:r w:rsidRPr="00795D9D">
        <w:rPr>
          <w:rFonts w:ascii="Arial" w:hAnsi="Arial" w:cs="Arial"/>
          <w:i/>
          <w:iCs/>
          <w:sz w:val="22"/>
          <w:szCs w:val="22"/>
        </w:rPr>
        <w:t>Idem</w:t>
      </w:r>
      <w:r w:rsidRPr="00795D9D">
        <w:rPr>
          <w:rFonts w:ascii="Arial" w:hAnsi="Arial" w:cs="Arial"/>
          <w:sz w:val="22"/>
          <w:szCs w:val="22"/>
        </w:rPr>
        <w:t>, p 54.</w:t>
      </w:r>
    </w:p>
  </w:footnote>
  <w:footnote w:id="27">
    <w:p w14:paraId="252C884D" w14:textId="77777777" w:rsidR="00B23CC6" w:rsidRPr="00795D9D" w:rsidRDefault="00B23CC6" w:rsidP="00B23CC6">
      <w:pPr>
        <w:pStyle w:val="FootnoteText"/>
        <w:rPr>
          <w:rFonts w:ascii="Arial" w:hAnsi="Arial" w:cs="Arial"/>
          <w:sz w:val="22"/>
          <w:szCs w:val="22"/>
        </w:rPr>
      </w:pPr>
      <w:r w:rsidRPr="00795D9D">
        <w:rPr>
          <w:rStyle w:val="FootnoteReference"/>
          <w:rFonts w:ascii="Arial" w:hAnsi="Arial" w:cs="Arial"/>
          <w:sz w:val="22"/>
          <w:szCs w:val="22"/>
        </w:rPr>
        <w:footnoteRef/>
      </w:r>
      <w:r w:rsidRPr="00795D9D">
        <w:rPr>
          <w:rFonts w:ascii="Arial" w:hAnsi="Arial" w:cs="Arial"/>
          <w:sz w:val="22"/>
          <w:szCs w:val="22"/>
        </w:rPr>
        <w:t xml:space="preserve"> </w:t>
      </w:r>
      <w:r w:rsidRPr="00795D9D">
        <w:rPr>
          <w:rFonts w:ascii="Arial" w:hAnsi="Arial" w:cs="Arial"/>
          <w:i/>
          <w:iCs/>
          <w:sz w:val="22"/>
          <w:szCs w:val="22"/>
        </w:rPr>
        <w:t>Idem</w:t>
      </w:r>
      <w:r w:rsidRPr="00795D9D">
        <w:rPr>
          <w:rFonts w:ascii="Arial" w:hAnsi="Arial" w:cs="Arial"/>
          <w:sz w:val="22"/>
          <w:szCs w:val="22"/>
        </w:rPr>
        <w:t>, p 55.</w:t>
      </w:r>
    </w:p>
  </w:footnote>
  <w:footnote w:id="28">
    <w:p w14:paraId="3875B389" w14:textId="77777777" w:rsidR="00B23CC6" w:rsidRDefault="00B23CC6" w:rsidP="00B23CC6">
      <w:pPr>
        <w:pStyle w:val="FootnoteText"/>
      </w:pPr>
      <w:r w:rsidRPr="00795D9D">
        <w:rPr>
          <w:rStyle w:val="FootnoteReference"/>
          <w:rFonts w:ascii="Arial" w:hAnsi="Arial" w:cs="Arial"/>
          <w:sz w:val="22"/>
          <w:szCs w:val="22"/>
        </w:rPr>
        <w:footnoteRef/>
      </w:r>
      <w:r w:rsidRPr="00795D9D">
        <w:rPr>
          <w:rFonts w:ascii="Arial" w:hAnsi="Arial" w:cs="Arial"/>
          <w:sz w:val="22"/>
          <w:szCs w:val="22"/>
        </w:rPr>
        <w:t xml:space="preserve"> </w:t>
      </w:r>
      <w:r w:rsidRPr="00795D9D">
        <w:rPr>
          <w:rFonts w:ascii="Arial" w:hAnsi="Arial" w:cs="Arial"/>
          <w:i/>
          <w:iCs/>
          <w:sz w:val="22"/>
          <w:szCs w:val="22"/>
        </w:rPr>
        <w:t>Ibid.</w:t>
      </w:r>
    </w:p>
  </w:footnote>
  <w:footnote w:id="29">
    <w:p w14:paraId="16756624" w14:textId="77777777" w:rsidR="00B23CC6" w:rsidRPr="00795D9D" w:rsidRDefault="00B23CC6" w:rsidP="00B23CC6">
      <w:pPr>
        <w:pStyle w:val="FootnoteText"/>
        <w:rPr>
          <w:rFonts w:ascii="Arial" w:hAnsi="Arial" w:cs="Arial"/>
          <w:sz w:val="22"/>
          <w:szCs w:val="22"/>
        </w:rPr>
      </w:pPr>
      <w:r w:rsidRPr="00795D9D">
        <w:rPr>
          <w:rStyle w:val="FootnoteReference"/>
          <w:rFonts w:ascii="Arial" w:hAnsi="Arial" w:cs="Arial"/>
          <w:sz w:val="22"/>
          <w:szCs w:val="22"/>
        </w:rPr>
        <w:footnoteRef/>
      </w:r>
      <w:r w:rsidRPr="00795D9D">
        <w:rPr>
          <w:rFonts w:ascii="Arial" w:hAnsi="Arial" w:cs="Arial"/>
          <w:sz w:val="22"/>
          <w:szCs w:val="22"/>
        </w:rPr>
        <w:t xml:space="preserve"> </w:t>
      </w:r>
      <w:r w:rsidRPr="00795D9D">
        <w:rPr>
          <w:rFonts w:ascii="Arial" w:hAnsi="Arial" w:cs="Arial"/>
          <w:i/>
          <w:iCs/>
          <w:sz w:val="22"/>
          <w:szCs w:val="22"/>
        </w:rPr>
        <w:t xml:space="preserve">Ibid, Thorniley v Harris </w:t>
      </w:r>
      <w:r w:rsidRPr="00795D9D">
        <w:rPr>
          <w:rFonts w:ascii="Arial" w:hAnsi="Arial" w:cs="Arial"/>
          <w:sz w:val="22"/>
          <w:szCs w:val="22"/>
        </w:rPr>
        <w:t>[2008] EWHC 124 (Ch).</w:t>
      </w:r>
      <w:r w:rsidRPr="00795D9D">
        <w:rPr>
          <w:rFonts w:ascii="Arial" w:hAnsi="Arial" w:cs="Arial"/>
          <w:i/>
          <w:iCs/>
          <w:sz w:val="22"/>
          <w:szCs w:val="22"/>
        </w:rPr>
        <w:t xml:space="preserve"> </w:t>
      </w:r>
    </w:p>
  </w:footnote>
  <w:footnote w:id="30">
    <w:p w14:paraId="30DC1E9D" w14:textId="77777777" w:rsidR="00B23CC6" w:rsidRPr="00795D9D" w:rsidRDefault="00B23CC6" w:rsidP="00B23CC6">
      <w:pPr>
        <w:pStyle w:val="FootnoteText"/>
        <w:rPr>
          <w:rFonts w:ascii="Arial" w:hAnsi="Arial" w:cs="Arial"/>
          <w:sz w:val="22"/>
          <w:szCs w:val="22"/>
        </w:rPr>
      </w:pPr>
      <w:r w:rsidRPr="00795D9D">
        <w:rPr>
          <w:rStyle w:val="FootnoteReference"/>
          <w:rFonts w:ascii="Arial" w:hAnsi="Arial" w:cs="Arial"/>
          <w:sz w:val="22"/>
          <w:szCs w:val="22"/>
        </w:rPr>
        <w:footnoteRef/>
      </w:r>
      <w:r w:rsidRPr="00795D9D">
        <w:rPr>
          <w:rFonts w:ascii="Arial" w:hAnsi="Arial" w:cs="Arial"/>
          <w:sz w:val="22"/>
          <w:szCs w:val="22"/>
        </w:rPr>
        <w:t xml:space="preserve"> </w:t>
      </w:r>
      <w:r w:rsidRPr="00795D9D">
        <w:rPr>
          <w:rFonts w:ascii="Arial" w:hAnsi="Arial" w:cs="Arial"/>
          <w:i/>
          <w:iCs/>
          <w:sz w:val="22"/>
          <w:szCs w:val="22"/>
        </w:rPr>
        <w:t>Ibid.</w:t>
      </w:r>
    </w:p>
  </w:footnote>
  <w:footnote w:id="31">
    <w:p w14:paraId="078F34F8" w14:textId="77777777" w:rsidR="00B23CC6" w:rsidRPr="00795D9D" w:rsidRDefault="00B23CC6" w:rsidP="00B23CC6">
      <w:pPr>
        <w:pStyle w:val="FootnoteText"/>
        <w:rPr>
          <w:rFonts w:ascii="Arial" w:hAnsi="Arial" w:cs="Arial"/>
          <w:sz w:val="22"/>
          <w:szCs w:val="22"/>
        </w:rPr>
      </w:pPr>
      <w:r w:rsidRPr="00795D9D">
        <w:rPr>
          <w:rStyle w:val="FootnoteReference"/>
          <w:rFonts w:ascii="Arial" w:hAnsi="Arial" w:cs="Arial"/>
          <w:sz w:val="22"/>
          <w:szCs w:val="22"/>
        </w:rPr>
        <w:footnoteRef/>
      </w:r>
      <w:r w:rsidRPr="00795D9D">
        <w:rPr>
          <w:rFonts w:ascii="Arial" w:hAnsi="Arial" w:cs="Arial"/>
          <w:sz w:val="22"/>
          <w:szCs w:val="22"/>
        </w:rPr>
        <w:t xml:space="preserve"> </w:t>
      </w:r>
      <w:r w:rsidRPr="00795D9D">
        <w:rPr>
          <w:rFonts w:ascii="Arial" w:hAnsi="Arial" w:cs="Arial"/>
          <w:i/>
          <w:iCs/>
          <w:sz w:val="22"/>
          <w:szCs w:val="22"/>
        </w:rPr>
        <w:t>Ibid.</w:t>
      </w:r>
    </w:p>
  </w:footnote>
  <w:footnote w:id="32">
    <w:p w14:paraId="1BEFCFF5" w14:textId="77777777" w:rsidR="00B23CC6" w:rsidRPr="00795D9D" w:rsidRDefault="00B23CC6" w:rsidP="00B23CC6">
      <w:pPr>
        <w:pStyle w:val="FootnoteText"/>
        <w:rPr>
          <w:rFonts w:ascii="Arial" w:hAnsi="Arial" w:cs="Arial"/>
          <w:sz w:val="22"/>
          <w:szCs w:val="22"/>
        </w:rPr>
      </w:pPr>
      <w:r w:rsidRPr="00795D9D">
        <w:rPr>
          <w:rStyle w:val="FootnoteReference"/>
          <w:rFonts w:ascii="Arial" w:hAnsi="Arial" w:cs="Arial"/>
          <w:sz w:val="22"/>
          <w:szCs w:val="22"/>
        </w:rPr>
        <w:footnoteRef/>
      </w:r>
      <w:r w:rsidRPr="00795D9D">
        <w:rPr>
          <w:rFonts w:ascii="Arial" w:hAnsi="Arial" w:cs="Arial"/>
          <w:sz w:val="22"/>
          <w:szCs w:val="22"/>
        </w:rPr>
        <w:t xml:space="preserve"> </w:t>
      </w:r>
      <w:r w:rsidRPr="00795D9D">
        <w:rPr>
          <w:rFonts w:ascii="Arial" w:hAnsi="Arial" w:cs="Arial"/>
          <w:i/>
          <w:iCs/>
          <w:sz w:val="22"/>
          <w:szCs w:val="22"/>
        </w:rPr>
        <w:t>Idem</w:t>
      </w:r>
      <w:r w:rsidRPr="00795D9D">
        <w:rPr>
          <w:rFonts w:ascii="Arial" w:hAnsi="Arial" w:cs="Arial"/>
          <w:sz w:val="22"/>
          <w:szCs w:val="22"/>
        </w:rPr>
        <w:t>, p 39.</w:t>
      </w:r>
    </w:p>
  </w:footnote>
  <w:footnote w:id="33">
    <w:p w14:paraId="5A09B6E1" w14:textId="77777777" w:rsidR="00B23CC6" w:rsidRDefault="00B23CC6" w:rsidP="00B23CC6">
      <w:pPr>
        <w:pStyle w:val="FootnoteText"/>
      </w:pPr>
      <w:r w:rsidRPr="00795D9D">
        <w:rPr>
          <w:rStyle w:val="FootnoteReference"/>
          <w:rFonts w:ascii="Arial" w:hAnsi="Arial" w:cs="Arial"/>
          <w:sz w:val="22"/>
          <w:szCs w:val="22"/>
        </w:rPr>
        <w:footnoteRef/>
      </w:r>
      <w:r w:rsidRPr="00795D9D">
        <w:rPr>
          <w:rFonts w:ascii="Arial" w:hAnsi="Arial" w:cs="Arial"/>
          <w:sz w:val="22"/>
          <w:szCs w:val="22"/>
        </w:rPr>
        <w:t xml:space="preserve"> </w:t>
      </w:r>
      <w:r w:rsidRPr="00795D9D">
        <w:rPr>
          <w:rFonts w:ascii="Arial" w:hAnsi="Arial" w:cs="Arial"/>
          <w:i/>
          <w:iCs/>
          <w:sz w:val="22"/>
          <w:szCs w:val="22"/>
        </w:rPr>
        <w:t>Ibid.</w:t>
      </w:r>
    </w:p>
  </w:footnote>
  <w:footnote w:id="34">
    <w:p w14:paraId="5D4DB343" w14:textId="77777777" w:rsidR="00B23CC6" w:rsidRPr="00D67656" w:rsidRDefault="00B23CC6" w:rsidP="00B23CC6">
      <w:pPr>
        <w:pStyle w:val="FootnoteText"/>
        <w:rPr>
          <w:rFonts w:ascii="Arial" w:hAnsi="Arial" w:cs="Arial"/>
          <w:sz w:val="22"/>
          <w:szCs w:val="22"/>
        </w:rPr>
      </w:pPr>
      <w:r w:rsidRPr="00D67656">
        <w:rPr>
          <w:rStyle w:val="FootnoteReference"/>
          <w:rFonts w:ascii="Arial" w:hAnsi="Arial" w:cs="Arial"/>
          <w:sz w:val="22"/>
          <w:szCs w:val="22"/>
        </w:rPr>
        <w:footnoteRef/>
      </w:r>
      <w:r w:rsidRPr="00D67656">
        <w:rPr>
          <w:rFonts w:ascii="Arial" w:hAnsi="Arial" w:cs="Arial"/>
          <w:sz w:val="22"/>
          <w:szCs w:val="22"/>
        </w:rPr>
        <w:t xml:space="preserve"> </w:t>
      </w:r>
      <w:r w:rsidRPr="00D67656">
        <w:rPr>
          <w:rFonts w:ascii="Arial" w:hAnsi="Arial" w:cs="Arial"/>
          <w:i/>
          <w:iCs/>
          <w:sz w:val="22"/>
          <w:szCs w:val="22"/>
        </w:rPr>
        <w:t>Idem</w:t>
      </w:r>
      <w:r w:rsidRPr="00D67656">
        <w:rPr>
          <w:rFonts w:ascii="Arial" w:hAnsi="Arial" w:cs="Arial"/>
          <w:sz w:val="22"/>
          <w:szCs w:val="22"/>
        </w:rPr>
        <w:t>, p 69.</w:t>
      </w:r>
    </w:p>
  </w:footnote>
  <w:footnote w:id="35">
    <w:p w14:paraId="08E2F3E0" w14:textId="77777777" w:rsidR="00B23CC6" w:rsidRPr="00D67656" w:rsidRDefault="00B23CC6" w:rsidP="00B23CC6">
      <w:pPr>
        <w:pStyle w:val="FootnoteText"/>
        <w:rPr>
          <w:rFonts w:ascii="Arial" w:hAnsi="Arial" w:cs="Arial"/>
          <w:sz w:val="22"/>
          <w:szCs w:val="22"/>
        </w:rPr>
      </w:pPr>
      <w:r w:rsidRPr="00D67656">
        <w:rPr>
          <w:rStyle w:val="FootnoteReference"/>
          <w:rFonts w:ascii="Arial" w:hAnsi="Arial" w:cs="Arial"/>
          <w:sz w:val="22"/>
          <w:szCs w:val="22"/>
        </w:rPr>
        <w:footnoteRef/>
      </w:r>
      <w:r w:rsidRPr="00D67656">
        <w:rPr>
          <w:rFonts w:ascii="Arial" w:hAnsi="Arial" w:cs="Arial"/>
          <w:sz w:val="22"/>
          <w:szCs w:val="22"/>
        </w:rPr>
        <w:t xml:space="preserve"> </w:t>
      </w:r>
      <w:r w:rsidRPr="00D67656">
        <w:rPr>
          <w:rFonts w:ascii="Arial" w:hAnsi="Arial" w:cs="Arial"/>
          <w:i/>
          <w:iCs/>
          <w:sz w:val="22"/>
          <w:szCs w:val="22"/>
        </w:rPr>
        <w:t>Ibid.</w:t>
      </w:r>
    </w:p>
  </w:footnote>
  <w:footnote w:id="36">
    <w:p w14:paraId="05B28663" w14:textId="77777777" w:rsidR="00B23CC6" w:rsidRPr="00D67656" w:rsidRDefault="00B23CC6" w:rsidP="00B23CC6">
      <w:pPr>
        <w:pStyle w:val="FootnoteText"/>
        <w:rPr>
          <w:rFonts w:ascii="Arial" w:hAnsi="Arial" w:cs="Arial"/>
          <w:sz w:val="22"/>
          <w:szCs w:val="22"/>
        </w:rPr>
      </w:pPr>
      <w:r w:rsidRPr="00D67656">
        <w:rPr>
          <w:rStyle w:val="FootnoteReference"/>
          <w:rFonts w:ascii="Arial" w:hAnsi="Arial" w:cs="Arial"/>
          <w:sz w:val="22"/>
          <w:szCs w:val="22"/>
        </w:rPr>
        <w:footnoteRef/>
      </w:r>
      <w:r w:rsidRPr="00D67656">
        <w:rPr>
          <w:rFonts w:ascii="Arial" w:hAnsi="Arial" w:cs="Arial"/>
          <w:sz w:val="22"/>
          <w:szCs w:val="22"/>
        </w:rPr>
        <w:t xml:space="preserve"> </w:t>
      </w:r>
      <w:r w:rsidRPr="00D67656">
        <w:rPr>
          <w:rFonts w:ascii="Arial" w:hAnsi="Arial" w:cs="Arial"/>
          <w:i/>
          <w:iCs/>
          <w:sz w:val="22"/>
          <w:szCs w:val="22"/>
        </w:rPr>
        <w:t>Ibid.</w:t>
      </w:r>
    </w:p>
  </w:footnote>
  <w:footnote w:id="37">
    <w:p w14:paraId="2CDA254F" w14:textId="77777777" w:rsidR="00B23CC6" w:rsidRPr="00D67656" w:rsidRDefault="00B23CC6" w:rsidP="00B23CC6">
      <w:pPr>
        <w:pStyle w:val="FootnoteText"/>
        <w:rPr>
          <w:rFonts w:ascii="Arial" w:hAnsi="Arial" w:cs="Arial"/>
          <w:sz w:val="22"/>
          <w:szCs w:val="22"/>
        </w:rPr>
      </w:pPr>
      <w:r w:rsidRPr="00D67656">
        <w:rPr>
          <w:rStyle w:val="FootnoteReference"/>
          <w:rFonts w:ascii="Arial" w:hAnsi="Arial" w:cs="Arial"/>
          <w:sz w:val="22"/>
          <w:szCs w:val="22"/>
        </w:rPr>
        <w:footnoteRef/>
      </w:r>
      <w:r w:rsidRPr="00D67656">
        <w:rPr>
          <w:rFonts w:ascii="Arial" w:hAnsi="Arial" w:cs="Arial"/>
          <w:sz w:val="22"/>
          <w:szCs w:val="22"/>
        </w:rPr>
        <w:t xml:space="preserve"> Per section 129 of the Insolvency Act 1986, where a winding up order is made, the liquidation is deemed to commence at the date of the petition</w:t>
      </w:r>
    </w:p>
  </w:footnote>
  <w:footnote w:id="38">
    <w:p w14:paraId="47D61B05" w14:textId="77777777" w:rsidR="00B23CC6" w:rsidRDefault="00B23CC6" w:rsidP="00B23CC6">
      <w:pPr>
        <w:pStyle w:val="FootnoteText"/>
      </w:pPr>
      <w:r w:rsidRPr="00D67656">
        <w:rPr>
          <w:rStyle w:val="FootnoteReference"/>
          <w:rFonts w:ascii="Arial" w:hAnsi="Arial" w:cs="Arial"/>
          <w:sz w:val="22"/>
          <w:szCs w:val="22"/>
        </w:rPr>
        <w:footnoteRef/>
      </w:r>
      <w:r w:rsidRPr="00D67656">
        <w:rPr>
          <w:rFonts w:ascii="Arial" w:hAnsi="Arial" w:cs="Arial"/>
          <w:sz w:val="22"/>
          <w:szCs w:val="22"/>
        </w:rPr>
        <w:t xml:space="preserve"> Walton, </w:t>
      </w:r>
      <w:r w:rsidRPr="00D67656">
        <w:rPr>
          <w:rFonts w:ascii="Arial" w:hAnsi="Arial" w:cs="Arial"/>
          <w:i/>
          <w:iCs/>
          <w:sz w:val="22"/>
          <w:szCs w:val="22"/>
        </w:rPr>
        <w:t>supra</w:t>
      </w:r>
      <w:r w:rsidRPr="00D67656">
        <w:rPr>
          <w:rFonts w:ascii="Arial" w:hAnsi="Arial" w:cs="Arial"/>
          <w:sz w:val="22"/>
          <w:szCs w:val="22"/>
        </w:rPr>
        <w:t xml:space="preserve"> note 2, p 47.</w:t>
      </w:r>
    </w:p>
  </w:footnote>
  <w:footnote w:id="39">
    <w:p w14:paraId="7BD7680D" w14:textId="77777777" w:rsidR="00B23CC6" w:rsidRPr="00D67656" w:rsidRDefault="00B23CC6" w:rsidP="00B23CC6">
      <w:pPr>
        <w:pStyle w:val="FootnoteText"/>
        <w:rPr>
          <w:rFonts w:ascii="Arial" w:hAnsi="Arial" w:cs="Arial"/>
          <w:sz w:val="22"/>
          <w:szCs w:val="22"/>
        </w:rPr>
      </w:pPr>
      <w:r w:rsidRPr="00D67656">
        <w:rPr>
          <w:rStyle w:val="FootnoteReference"/>
          <w:rFonts w:ascii="Arial" w:hAnsi="Arial" w:cs="Arial"/>
          <w:sz w:val="22"/>
          <w:szCs w:val="22"/>
        </w:rPr>
        <w:footnoteRef/>
      </w:r>
      <w:r w:rsidRPr="00D67656">
        <w:rPr>
          <w:rFonts w:ascii="Arial" w:hAnsi="Arial" w:cs="Arial"/>
          <w:sz w:val="22"/>
          <w:szCs w:val="22"/>
        </w:rPr>
        <w:t xml:space="preserve"> </w:t>
      </w:r>
      <w:r w:rsidRPr="00D67656">
        <w:rPr>
          <w:rFonts w:ascii="Arial" w:hAnsi="Arial" w:cs="Arial"/>
          <w:i/>
          <w:iCs/>
          <w:sz w:val="22"/>
          <w:szCs w:val="22"/>
        </w:rPr>
        <w:t>Idem</w:t>
      </w:r>
      <w:r w:rsidRPr="00D67656">
        <w:rPr>
          <w:rFonts w:ascii="Arial" w:hAnsi="Arial" w:cs="Arial"/>
          <w:sz w:val="22"/>
          <w:szCs w:val="22"/>
        </w:rPr>
        <w:t>, p 69.</w:t>
      </w:r>
    </w:p>
  </w:footnote>
  <w:footnote w:id="40">
    <w:p w14:paraId="11BFC7BE" w14:textId="77777777" w:rsidR="00B23CC6" w:rsidRPr="00D67656" w:rsidRDefault="00B23CC6" w:rsidP="00B23CC6">
      <w:pPr>
        <w:pStyle w:val="FootnoteText"/>
        <w:rPr>
          <w:rFonts w:ascii="Arial" w:hAnsi="Arial" w:cs="Arial"/>
          <w:sz w:val="22"/>
          <w:szCs w:val="22"/>
        </w:rPr>
      </w:pPr>
      <w:r w:rsidRPr="00D67656">
        <w:rPr>
          <w:rStyle w:val="FootnoteReference"/>
          <w:rFonts w:ascii="Arial" w:hAnsi="Arial" w:cs="Arial"/>
          <w:sz w:val="22"/>
          <w:szCs w:val="22"/>
        </w:rPr>
        <w:footnoteRef/>
      </w:r>
      <w:r w:rsidRPr="00D67656">
        <w:rPr>
          <w:rFonts w:ascii="Arial" w:hAnsi="Arial" w:cs="Arial"/>
          <w:sz w:val="22"/>
          <w:szCs w:val="22"/>
        </w:rPr>
        <w:t xml:space="preserve"> </w:t>
      </w:r>
      <w:r w:rsidRPr="00D67656">
        <w:rPr>
          <w:rFonts w:ascii="Arial" w:hAnsi="Arial" w:cs="Arial"/>
          <w:i/>
          <w:iCs/>
          <w:sz w:val="22"/>
          <w:szCs w:val="22"/>
        </w:rPr>
        <w:t>Ibid.</w:t>
      </w:r>
    </w:p>
  </w:footnote>
  <w:footnote w:id="41">
    <w:p w14:paraId="055E71CF" w14:textId="77777777" w:rsidR="00B23CC6" w:rsidRPr="00D67656" w:rsidRDefault="00B23CC6" w:rsidP="00B23CC6">
      <w:pPr>
        <w:pStyle w:val="FootnoteText"/>
        <w:rPr>
          <w:rFonts w:ascii="Arial" w:hAnsi="Arial" w:cs="Arial"/>
          <w:sz w:val="22"/>
          <w:szCs w:val="22"/>
        </w:rPr>
      </w:pPr>
      <w:r w:rsidRPr="00D67656">
        <w:rPr>
          <w:rStyle w:val="FootnoteReference"/>
          <w:rFonts w:ascii="Arial" w:hAnsi="Arial" w:cs="Arial"/>
          <w:sz w:val="22"/>
          <w:szCs w:val="22"/>
        </w:rPr>
        <w:footnoteRef/>
      </w:r>
      <w:r w:rsidRPr="00D67656">
        <w:rPr>
          <w:rFonts w:ascii="Arial" w:hAnsi="Arial" w:cs="Arial"/>
          <w:sz w:val="22"/>
          <w:szCs w:val="22"/>
        </w:rPr>
        <w:t xml:space="preserve"> </w:t>
      </w:r>
      <w:r w:rsidRPr="00D67656">
        <w:rPr>
          <w:rFonts w:ascii="Arial" w:hAnsi="Arial" w:cs="Arial"/>
          <w:i/>
          <w:iCs/>
          <w:sz w:val="22"/>
          <w:szCs w:val="22"/>
        </w:rPr>
        <w:t>Idem</w:t>
      </w:r>
      <w:r w:rsidRPr="00D67656">
        <w:rPr>
          <w:rFonts w:ascii="Arial" w:hAnsi="Arial" w:cs="Arial"/>
          <w:sz w:val="22"/>
          <w:szCs w:val="22"/>
        </w:rPr>
        <w:t>, p 68.</w:t>
      </w:r>
    </w:p>
  </w:footnote>
  <w:footnote w:id="42">
    <w:p w14:paraId="413EA2AB" w14:textId="77777777" w:rsidR="00795D9D" w:rsidRPr="00D67656" w:rsidRDefault="00795D9D" w:rsidP="00795D9D">
      <w:pPr>
        <w:pStyle w:val="FootnoteText"/>
        <w:rPr>
          <w:rFonts w:ascii="Arial" w:hAnsi="Arial" w:cs="Arial"/>
          <w:sz w:val="22"/>
          <w:szCs w:val="22"/>
        </w:rPr>
      </w:pPr>
      <w:r w:rsidRPr="00D67656">
        <w:rPr>
          <w:rStyle w:val="FootnoteReference"/>
          <w:rFonts w:ascii="Arial" w:hAnsi="Arial" w:cs="Arial"/>
          <w:sz w:val="22"/>
          <w:szCs w:val="22"/>
        </w:rPr>
        <w:footnoteRef/>
      </w:r>
      <w:r w:rsidRPr="00D67656">
        <w:rPr>
          <w:rFonts w:ascii="Arial" w:hAnsi="Arial" w:cs="Arial"/>
          <w:sz w:val="22"/>
          <w:szCs w:val="22"/>
        </w:rPr>
        <w:t xml:space="preserve"> </w:t>
      </w:r>
      <w:r w:rsidRPr="00D67656">
        <w:rPr>
          <w:rFonts w:ascii="Arial" w:hAnsi="Arial" w:cs="Arial"/>
          <w:i/>
          <w:iCs/>
          <w:sz w:val="22"/>
          <w:szCs w:val="22"/>
        </w:rPr>
        <w:t>Idem</w:t>
      </w:r>
      <w:r w:rsidRPr="00D67656">
        <w:rPr>
          <w:rFonts w:ascii="Arial" w:hAnsi="Arial" w:cs="Arial"/>
          <w:sz w:val="22"/>
          <w:szCs w:val="22"/>
        </w:rPr>
        <w:t>, p 66.</w:t>
      </w:r>
    </w:p>
  </w:footnote>
  <w:footnote w:id="43">
    <w:p w14:paraId="1AF345BA" w14:textId="77777777" w:rsidR="00795D9D" w:rsidRDefault="00795D9D" w:rsidP="00795D9D">
      <w:pPr>
        <w:pStyle w:val="FootnoteText"/>
      </w:pPr>
      <w:r w:rsidRPr="00D67656">
        <w:rPr>
          <w:rStyle w:val="FootnoteReference"/>
          <w:rFonts w:ascii="Arial" w:hAnsi="Arial" w:cs="Arial"/>
          <w:sz w:val="22"/>
          <w:szCs w:val="22"/>
        </w:rPr>
        <w:footnoteRef/>
      </w:r>
      <w:r w:rsidRPr="00D67656">
        <w:rPr>
          <w:rFonts w:ascii="Arial" w:hAnsi="Arial" w:cs="Arial"/>
          <w:sz w:val="22"/>
          <w:szCs w:val="22"/>
        </w:rPr>
        <w:t xml:space="preserve"> </w:t>
      </w:r>
      <w:r w:rsidRPr="00D67656">
        <w:rPr>
          <w:rFonts w:ascii="Arial" w:hAnsi="Arial" w:cs="Arial"/>
          <w:i/>
          <w:iCs/>
          <w:sz w:val="22"/>
          <w:szCs w:val="22"/>
        </w:rPr>
        <w:t>Ibid.</w:t>
      </w:r>
    </w:p>
  </w:footnote>
  <w:footnote w:id="44">
    <w:p w14:paraId="01C6AE9D" w14:textId="77777777" w:rsidR="00795D9D" w:rsidRPr="00D67656" w:rsidRDefault="00795D9D" w:rsidP="00795D9D">
      <w:pPr>
        <w:pStyle w:val="FootnoteText"/>
        <w:rPr>
          <w:rFonts w:ascii="Arial" w:hAnsi="Arial" w:cs="Arial"/>
          <w:sz w:val="22"/>
          <w:szCs w:val="22"/>
        </w:rPr>
      </w:pPr>
      <w:r w:rsidRPr="00D67656">
        <w:rPr>
          <w:rStyle w:val="FootnoteReference"/>
          <w:rFonts w:ascii="Arial" w:hAnsi="Arial" w:cs="Arial"/>
          <w:sz w:val="22"/>
          <w:szCs w:val="22"/>
        </w:rPr>
        <w:footnoteRef/>
      </w:r>
      <w:r w:rsidRPr="00D67656">
        <w:rPr>
          <w:rFonts w:ascii="Arial" w:hAnsi="Arial" w:cs="Arial"/>
          <w:sz w:val="22"/>
          <w:szCs w:val="22"/>
        </w:rPr>
        <w:t xml:space="preserve"> </w:t>
      </w:r>
      <w:r w:rsidRPr="00D67656">
        <w:rPr>
          <w:rFonts w:ascii="Arial" w:hAnsi="Arial" w:cs="Arial"/>
          <w:i/>
          <w:iCs/>
          <w:sz w:val="22"/>
          <w:szCs w:val="22"/>
        </w:rPr>
        <w:t>Idem</w:t>
      </w:r>
      <w:r w:rsidRPr="00D67656">
        <w:rPr>
          <w:rFonts w:ascii="Arial" w:hAnsi="Arial" w:cs="Arial"/>
          <w:sz w:val="22"/>
          <w:szCs w:val="22"/>
        </w:rPr>
        <w:t>, p 67.</w:t>
      </w:r>
    </w:p>
  </w:footnote>
  <w:footnote w:id="45">
    <w:p w14:paraId="3E257FCC" w14:textId="77777777" w:rsidR="00795D9D" w:rsidRPr="00D67656" w:rsidRDefault="00795D9D" w:rsidP="00795D9D">
      <w:pPr>
        <w:pStyle w:val="FootnoteText"/>
        <w:rPr>
          <w:rFonts w:ascii="Arial" w:hAnsi="Arial" w:cs="Arial"/>
          <w:sz w:val="22"/>
          <w:szCs w:val="22"/>
        </w:rPr>
      </w:pPr>
      <w:r w:rsidRPr="00D67656">
        <w:rPr>
          <w:rStyle w:val="FootnoteReference"/>
          <w:rFonts w:ascii="Arial" w:hAnsi="Arial" w:cs="Arial"/>
          <w:sz w:val="22"/>
          <w:szCs w:val="22"/>
        </w:rPr>
        <w:footnoteRef/>
      </w:r>
      <w:r w:rsidRPr="00D67656">
        <w:rPr>
          <w:rFonts w:ascii="Arial" w:hAnsi="Arial" w:cs="Arial"/>
          <w:sz w:val="22"/>
          <w:szCs w:val="22"/>
        </w:rPr>
        <w:t xml:space="preserve"> </w:t>
      </w:r>
      <w:r w:rsidRPr="00D67656">
        <w:rPr>
          <w:rFonts w:ascii="Arial" w:hAnsi="Arial" w:cs="Arial"/>
          <w:i/>
          <w:iCs/>
          <w:sz w:val="22"/>
          <w:szCs w:val="22"/>
        </w:rPr>
        <w:t>Ibid.</w:t>
      </w:r>
    </w:p>
  </w:footnote>
  <w:footnote w:id="46">
    <w:p w14:paraId="3FA488E2" w14:textId="77777777" w:rsidR="00795D9D" w:rsidRPr="00D67656" w:rsidRDefault="00795D9D" w:rsidP="00795D9D">
      <w:pPr>
        <w:pStyle w:val="FootnoteText"/>
        <w:rPr>
          <w:rFonts w:ascii="Arial" w:hAnsi="Arial" w:cs="Arial"/>
          <w:sz w:val="22"/>
          <w:szCs w:val="22"/>
        </w:rPr>
      </w:pPr>
      <w:r w:rsidRPr="00D67656">
        <w:rPr>
          <w:rStyle w:val="FootnoteReference"/>
          <w:rFonts w:ascii="Arial" w:hAnsi="Arial" w:cs="Arial"/>
          <w:sz w:val="22"/>
          <w:szCs w:val="22"/>
        </w:rPr>
        <w:footnoteRef/>
      </w:r>
      <w:r w:rsidRPr="00D67656">
        <w:rPr>
          <w:rFonts w:ascii="Arial" w:hAnsi="Arial" w:cs="Arial"/>
          <w:sz w:val="22"/>
          <w:szCs w:val="22"/>
        </w:rPr>
        <w:t xml:space="preserve"> </w:t>
      </w:r>
      <w:r w:rsidRPr="00D67656">
        <w:rPr>
          <w:rFonts w:ascii="Arial" w:hAnsi="Arial" w:cs="Arial"/>
          <w:i/>
          <w:iCs/>
          <w:sz w:val="22"/>
          <w:szCs w:val="22"/>
        </w:rPr>
        <w:t>Ibid.</w:t>
      </w:r>
    </w:p>
  </w:footnote>
  <w:footnote w:id="47">
    <w:p w14:paraId="2624136E" w14:textId="77777777" w:rsidR="00795D9D" w:rsidRPr="00D67656" w:rsidRDefault="00795D9D" w:rsidP="00795D9D">
      <w:pPr>
        <w:pStyle w:val="FootnoteText"/>
        <w:rPr>
          <w:rFonts w:ascii="Arial" w:hAnsi="Arial" w:cs="Arial"/>
          <w:sz w:val="22"/>
          <w:szCs w:val="22"/>
        </w:rPr>
      </w:pPr>
      <w:r w:rsidRPr="00D67656">
        <w:rPr>
          <w:rStyle w:val="FootnoteReference"/>
          <w:rFonts w:ascii="Arial" w:hAnsi="Arial" w:cs="Arial"/>
          <w:sz w:val="22"/>
          <w:szCs w:val="22"/>
        </w:rPr>
        <w:footnoteRef/>
      </w:r>
      <w:r w:rsidRPr="00D67656">
        <w:rPr>
          <w:rFonts w:ascii="Arial" w:hAnsi="Arial" w:cs="Arial"/>
          <w:sz w:val="22"/>
          <w:szCs w:val="22"/>
        </w:rPr>
        <w:t xml:space="preserve"> </w:t>
      </w:r>
      <w:r w:rsidRPr="00D67656">
        <w:rPr>
          <w:rFonts w:ascii="Arial" w:hAnsi="Arial" w:cs="Arial"/>
          <w:i/>
          <w:iCs/>
          <w:sz w:val="22"/>
          <w:szCs w:val="22"/>
        </w:rPr>
        <w:t>Ibid.</w:t>
      </w:r>
    </w:p>
  </w:footnote>
  <w:footnote w:id="48">
    <w:p w14:paraId="510A27D2" w14:textId="77777777" w:rsidR="00795D9D" w:rsidRPr="00D67656" w:rsidRDefault="00795D9D" w:rsidP="00795D9D">
      <w:pPr>
        <w:pStyle w:val="FootnoteText"/>
        <w:rPr>
          <w:rFonts w:ascii="Arial" w:hAnsi="Arial" w:cs="Arial"/>
          <w:sz w:val="22"/>
          <w:szCs w:val="22"/>
        </w:rPr>
      </w:pPr>
      <w:r w:rsidRPr="00D67656">
        <w:rPr>
          <w:rStyle w:val="FootnoteReference"/>
          <w:rFonts w:ascii="Arial" w:hAnsi="Arial" w:cs="Arial"/>
          <w:sz w:val="22"/>
          <w:szCs w:val="22"/>
        </w:rPr>
        <w:footnoteRef/>
      </w:r>
      <w:r w:rsidRPr="00D67656">
        <w:rPr>
          <w:rFonts w:ascii="Arial" w:hAnsi="Arial" w:cs="Arial"/>
          <w:sz w:val="22"/>
          <w:szCs w:val="22"/>
        </w:rPr>
        <w:t xml:space="preserve"> </w:t>
      </w:r>
      <w:r w:rsidRPr="00D67656">
        <w:rPr>
          <w:rFonts w:ascii="Arial" w:hAnsi="Arial" w:cs="Arial"/>
          <w:i/>
          <w:iCs/>
          <w:sz w:val="22"/>
          <w:szCs w:val="22"/>
        </w:rPr>
        <w:t>Ibid.</w:t>
      </w:r>
    </w:p>
  </w:footnote>
  <w:footnote w:id="49">
    <w:p w14:paraId="0DA67A5C" w14:textId="77777777" w:rsidR="00795D9D" w:rsidRDefault="00795D9D" w:rsidP="00795D9D">
      <w:pPr>
        <w:pStyle w:val="FootnoteText"/>
      </w:pPr>
      <w:r w:rsidRPr="00D67656">
        <w:rPr>
          <w:rStyle w:val="FootnoteReference"/>
          <w:rFonts w:ascii="Arial" w:hAnsi="Arial" w:cs="Arial"/>
          <w:sz w:val="22"/>
          <w:szCs w:val="22"/>
        </w:rPr>
        <w:footnoteRef/>
      </w:r>
      <w:r w:rsidRPr="00D67656">
        <w:rPr>
          <w:rFonts w:ascii="Arial" w:hAnsi="Arial" w:cs="Arial"/>
          <w:sz w:val="22"/>
          <w:szCs w:val="22"/>
        </w:rPr>
        <w:t xml:space="preserve"> </w:t>
      </w:r>
      <w:r w:rsidRPr="00D67656">
        <w:rPr>
          <w:rFonts w:ascii="Arial" w:hAnsi="Arial" w:cs="Arial"/>
          <w:i/>
          <w:iCs/>
          <w:sz w:val="22"/>
          <w:szCs w:val="22"/>
        </w:rPr>
        <w:t>Ibid.</w:t>
      </w:r>
    </w:p>
  </w:footnote>
  <w:footnote w:id="50">
    <w:p w14:paraId="4ACC6B13" w14:textId="77777777" w:rsidR="00795D9D" w:rsidRPr="00D67656" w:rsidRDefault="00795D9D" w:rsidP="00795D9D">
      <w:pPr>
        <w:pStyle w:val="FootnoteText"/>
        <w:rPr>
          <w:rFonts w:ascii="Arial" w:hAnsi="Arial" w:cs="Arial"/>
          <w:sz w:val="22"/>
          <w:szCs w:val="22"/>
        </w:rPr>
      </w:pPr>
      <w:r w:rsidRPr="00D67656">
        <w:rPr>
          <w:rStyle w:val="FootnoteReference"/>
          <w:rFonts w:ascii="Arial" w:hAnsi="Arial" w:cs="Arial"/>
          <w:sz w:val="22"/>
          <w:szCs w:val="22"/>
        </w:rPr>
        <w:footnoteRef/>
      </w:r>
      <w:r w:rsidRPr="00D67656">
        <w:rPr>
          <w:rFonts w:ascii="Arial" w:hAnsi="Arial" w:cs="Arial"/>
          <w:sz w:val="22"/>
          <w:szCs w:val="22"/>
        </w:rPr>
        <w:t xml:space="preserve"> </w:t>
      </w:r>
      <w:r w:rsidRPr="00D67656">
        <w:rPr>
          <w:rFonts w:ascii="Arial" w:hAnsi="Arial" w:cs="Arial"/>
          <w:i/>
          <w:iCs/>
          <w:sz w:val="22"/>
          <w:szCs w:val="22"/>
        </w:rPr>
        <w:t>Idem</w:t>
      </w:r>
      <w:r w:rsidRPr="00D67656">
        <w:rPr>
          <w:rFonts w:ascii="Arial" w:hAnsi="Arial" w:cs="Arial"/>
          <w:sz w:val="22"/>
          <w:szCs w:val="22"/>
        </w:rPr>
        <w:t>, p 65.</w:t>
      </w:r>
    </w:p>
  </w:footnote>
  <w:footnote w:id="51">
    <w:p w14:paraId="1F34A1B4" w14:textId="77777777" w:rsidR="00795D9D" w:rsidRPr="00D67656" w:rsidRDefault="00795D9D" w:rsidP="00795D9D">
      <w:pPr>
        <w:pStyle w:val="FootnoteText"/>
        <w:rPr>
          <w:rFonts w:ascii="Arial" w:hAnsi="Arial" w:cs="Arial"/>
          <w:sz w:val="22"/>
          <w:szCs w:val="22"/>
        </w:rPr>
      </w:pPr>
      <w:r w:rsidRPr="00D67656">
        <w:rPr>
          <w:rStyle w:val="FootnoteReference"/>
          <w:rFonts w:ascii="Arial" w:hAnsi="Arial" w:cs="Arial"/>
          <w:sz w:val="22"/>
          <w:szCs w:val="22"/>
        </w:rPr>
        <w:footnoteRef/>
      </w:r>
      <w:r w:rsidRPr="00D67656">
        <w:rPr>
          <w:rFonts w:ascii="Arial" w:hAnsi="Arial" w:cs="Arial"/>
          <w:sz w:val="22"/>
          <w:szCs w:val="22"/>
        </w:rPr>
        <w:t xml:space="preserve"> </w:t>
      </w:r>
      <w:r w:rsidRPr="00D67656">
        <w:rPr>
          <w:rFonts w:ascii="Arial" w:hAnsi="Arial" w:cs="Arial"/>
          <w:i/>
          <w:iCs/>
          <w:sz w:val="22"/>
          <w:szCs w:val="22"/>
        </w:rPr>
        <w:t>Ibid.</w:t>
      </w:r>
    </w:p>
  </w:footnote>
  <w:footnote w:id="52">
    <w:p w14:paraId="412C3C26" w14:textId="77777777" w:rsidR="00795D9D" w:rsidRPr="00D67656" w:rsidRDefault="00795D9D" w:rsidP="00795D9D">
      <w:pPr>
        <w:pStyle w:val="FootnoteText"/>
        <w:rPr>
          <w:rFonts w:ascii="Arial" w:hAnsi="Arial" w:cs="Arial"/>
          <w:sz w:val="22"/>
          <w:szCs w:val="22"/>
        </w:rPr>
      </w:pPr>
      <w:r w:rsidRPr="00D67656">
        <w:rPr>
          <w:rStyle w:val="FootnoteReference"/>
          <w:rFonts w:ascii="Arial" w:hAnsi="Arial" w:cs="Arial"/>
          <w:sz w:val="22"/>
          <w:szCs w:val="22"/>
        </w:rPr>
        <w:footnoteRef/>
      </w:r>
      <w:r w:rsidRPr="00D67656">
        <w:rPr>
          <w:rFonts w:ascii="Arial" w:hAnsi="Arial" w:cs="Arial"/>
          <w:sz w:val="22"/>
          <w:szCs w:val="22"/>
        </w:rPr>
        <w:t xml:space="preserve"> </w:t>
      </w:r>
      <w:r w:rsidRPr="00D67656">
        <w:rPr>
          <w:rFonts w:ascii="Arial" w:hAnsi="Arial" w:cs="Arial"/>
          <w:i/>
          <w:iCs/>
          <w:sz w:val="22"/>
          <w:szCs w:val="22"/>
        </w:rPr>
        <w:t>Ibid.</w:t>
      </w:r>
    </w:p>
  </w:footnote>
  <w:footnote w:id="53">
    <w:p w14:paraId="590C5BC3" w14:textId="77777777" w:rsidR="00795D9D" w:rsidRPr="00D67656" w:rsidRDefault="00795D9D" w:rsidP="00795D9D">
      <w:pPr>
        <w:pStyle w:val="FootnoteText"/>
        <w:rPr>
          <w:rFonts w:ascii="Arial" w:hAnsi="Arial" w:cs="Arial"/>
          <w:sz w:val="22"/>
          <w:szCs w:val="22"/>
        </w:rPr>
      </w:pPr>
      <w:r w:rsidRPr="00D67656">
        <w:rPr>
          <w:rStyle w:val="FootnoteReference"/>
          <w:rFonts w:ascii="Arial" w:hAnsi="Arial" w:cs="Arial"/>
          <w:sz w:val="22"/>
          <w:szCs w:val="22"/>
        </w:rPr>
        <w:footnoteRef/>
      </w:r>
      <w:r w:rsidRPr="00D67656">
        <w:rPr>
          <w:rFonts w:ascii="Arial" w:hAnsi="Arial" w:cs="Arial"/>
          <w:sz w:val="22"/>
          <w:szCs w:val="22"/>
        </w:rPr>
        <w:t xml:space="preserve"> </w:t>
      </w:r>
      <w:r w:rsidRPr="00D67656">
        <w:rPr>
          <w:rFonts w:ascii="Arial" w:hAnsi="Arial" w:cs="Arial"/>
          <w:i/>
          <w:iCs/>
          <w:sz w:val="22"/>
          <w:szCs w:val="22"/>
        </w:rPr>
        <w:t>Ibid.</w:t>
      </w:r>
    </w:p>
  </w:footnote>
  <w:footnote w:id="54">
    <w:p w14:paraId="4A293F80" w14:textId="77777777" w:rsidR="00795D9D" w:rsidRPr="00D67656" w:rsidRDefault="00795D9D" w:rsidP="00795D9D">
      <w:pPr>
        <w:pStyle w:val="FootnoteText"/>
        <w:rPr>
          <w:rFonts w:ascii="Arial" w:hAnsi="Arial" w:cs="Arial"/>
          <w:sz w:val="22"/>
          <w:szCs w:val="22"/>
        </w:rPr>
      </w:pPr>
      <w:r w:rsidRPr="00D67656">
        <w:rPr>
          <w:rStyle w:val="FootnoteReference"/>
          <w:rFonts w:ascii="Arial" w:hAnsi="Arial" w:cs="Arial"/>
          <w:sz w:val="22"/>
          <w:szCs w:val="22"/>
        </w:rPr>
        <w:footnoteRef/>
      </w:r>
      <w:r w:rsidRPr="00D67656">
        <w:rPr>
          <w:rFonts w:ascii="Arial" w:hAnsi="Arial" w:cs="Arial"/>
          <w:sz w:val="22"/>
          <w:szCs w:val="22"/>
        </w:rPr>
        <w:t xml:space="preserve"> </w:t>
      </w:r>
      <w:r w:rsidRPr="00D67656">
        <w:rPr>
          <w:rFonts w:ascii="Arial" w:hAnsi="Arial" w:cs="Arial"/>
          <w:i/>
          <w:iCs/>
          <w:sz w:val="22"/>
          <w:szCs w:val="22"/>
        </w:rPr>
        <w:t>Idem</w:t>
      </w:r>
      <w:r w:rsidRPr="00D67656">
        <w:rPr>
          <w:rFonts w:ascii="Arial" w:hAnsi="Arial" w:cs="Arial"/>
          <w:sz w:val="22"/>
          <w:szCs w:val="22"/>
        </w:rPr>
        <w:t>, p 66.</w:t>
      </w:r>
    </w:p>
  </w:footnote>
  <w:footnote w:id="55">
    <w:p w14:paraId="2B75EE6A" w14:textId="77777777" w:rsidR="00795D9D" w:rsidRDefault="00795D9D" w:rsidP="00795D9D">
      <w:pPr>
        <w:pStyle w:val="FootnoteText"/>
      </w:pPr>
      <w:r w:rsidRPr="00D67656">
        <w:rPr>
          <w:rStyle w:val="FootnoteReference"/>
          <w:rFonts w:ascii="Arial" w:hAnsi="Arial" w:cs="Arial"/>
          <w:sz w:val="22"/>
          <w:szCs w:val="22"/>
        </w:rPr>
        <w:footnoteRef/>
      </w:r>
      <w:r w:rsidRPr="00D67656">
        <w:rPr>
          <w:rFonts w:ascii="Arial" w:hAnsi="Arial" w:cs="Arial"/>
          <w:sz w:val="22"/>
          <w:szCs w:val="22"/>
        </w:rPr>
        <w:t xml:space="preserve"> </w:t>
      </w:r>
      <w:r w:rsidRPr="00D67656">
        <w:rPr>
          <w:rFonts w:ascii="Arial" w:hAnsi="Arial" w:cs="Arial"/>
          <w:i/>
          <w:iCs/>
          <w:sz w:val="22"/>
          <w:szCs w:val="22"/>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30FA7"/>
    <w:multiLevelType w:val="hybridMultilevel"/>
    <w:tmpl w:val="714E16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A52B4"/>
    <w:multiLevelType w:val="hybridMultilevel"/>
    <w:tmpl w:val="728E2578"/>
    <w:lvl w:ilvl="0" w:tplc="14090017">
      <w:start w:val="1"/>
      <w:numFmt w:val="lowerLetter"/>
      <w:lvlText w:val="%1)"/>
      <w:lvlJc w:val="left"/>
      <w:pPr>
        <w:ind w:left="1211" w:hanging="360"/>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7" w15:restartNumberingAfterBreak="0">
    <w:nsid w:val="2E7567AE"/>
    <w:multiLevelType w:val="hybridMultilevel"/>
    <w:tmpl w:val="B5BEE78A"/>
    <w:lvl w:ilvl="0" w:tplc="C7CA4732">
      <w:start w:val="1"/>
      <w:numFmt w:val="lowerRoman"/>
      <w:lvlText w:val="(%1)"/>
      <w:lvlJc w:val="left"/>
      <w:pPr>
        <w:ind w:left="1080" w:hanging="720"/>
      </w:pPr>
      <w:rPr>
        <w:rFonts w:hint="default"/>
      </w:rPr>
    </w:lvl>
    <w:lvl w:ilvl="1" w:tplc="14090017">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F1F6309"/>
    <w:multiLevelType w:val="hybridMultilevel"/>
    <w:tmpl w:val="502297E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0E0845"/>
    <w:multiLevelType w:val="hybridMultilevel"/>
    <w:tmpl w:val="7A56B9F8"/>
    <w:lvl w:ilvl="0" w:tplc="C7CA4732">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F770424"/>
    <w:multiLevelType w:val="hybridMultilevel"/>
    <w:tmpl w:val="E1702FC8"/>
    <w:lvl w:ilvl="0" w:tplc="AE20B1B0">
      <w:start w:val="1"/>
      <w:numFmt w:val="decimal"/>
      <w:lvlText w:val="%1)"/>
      <w:lvlJc w:val="left"/>
      <w:pPr>
        <w:ind w:left="720" w:hanging="360"/>
      </w:pPr>
      <w:rPr>
        <w:rFonts w:hint="default"/>
      </w:rPr>
    </w:lvl>
    <w:lvl w:ilvl="1" w:tplc="14090017">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4117719"/>
    <w:multiLevelType w:val="hybridMultilevel"/>
    <w:tmpl w:val="7486D47E"/>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12354A"/>
    <w:multiLevelType w:val="hybridMultilevel"/>
    <w:tmpl w:val="1ED8B9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0974140"/>
    <w:multiLevelType w:val="hybridMultilevel"/>
    <w:tmpl w:val="FFB219C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2"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2D582A"/>
    <w:multiLevelType w:val="hybridMultilevel"/>
    <w:tmpl w:val="9F3EBF30"/>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14"/>
  </w:num>
  <w:num w:numId="5">
    <w:abstractNumId w:val="17"/>
  </w:num>
  <w:num w:numId="6">
    <w:abstractNumId w:val="2"/>
  </w:num>
  <w:num w:numId="7">
    <w:abstractNumId w:val="18"/>
  </w:num>
  <w:num w:numId="8">
    <w:abstractNumId w:val="24"/>
  </w:num>
  <w:num w:numId="9">
    <w:abstractNumId w:val="15"/>
  </w:num>
  <w:num w:numId="10">
    <w:abstractNumId w:val="26"/>
  </w:num>
  <w:num w:numId="11">
    <w:abstractNumId w:val="9"/>
  </w:num>
  <w:num w:numId="12">
    <w:abstractNumId w:val="22"/>
  </w:num>
  <w:num w:numId="13">
    <w:abstractNumId w:val="16"/>
  </w:num>
  <w:num w:numId="14">
    <w:abstractNumId w:val="5"/>
  </w:num>
  <w:num w:numId="15">
    <w:abstractNumId w:val="21"/>
  </w:num>
  <w:num w:numId="16">
    <w:abstractNumId w:val="23"/>
  </w:num>
  <w:num w:numId="17">
    <w:abstractNumId w:val="13"/>
  </w:num>
  <w:num w:numId="18">
    <w:abstractNumId w:val="7"/>
  </w:num>
  <w:num w:numId="19">
    <w:abstractNumId w:val="6"/>
  </w:num>
  <w:num w:numId="20">
    <w:abstractNumId w:val="10"/>
  </w:num>
  <w:num w:numId="21">
    <w:abstractNumId w:val="12"/>
  </w:num>
  <w:num w:numId="22">
    <w:abstractNumId w:val="8"/>
  </w:num>
  <w:num w:numId="23">
    <w:abstractNumId w:val="20"/>
  </w:num>
  <w:num w:numId="24">
    <w:abstractNumId w:val="25"/>
  </w:num>
  <w:num w:numId="25">
    <w:abstractNumId w:val="11"/>
  </w:num>
  <w:num w:numId="26">
    <w:abstractNumId w:val="19"/>
  </w:num>
  <w:num w:numId="2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D10C6"/>
    <w:rsid w:val="000D55A8"/>
    <w:rsid w:val="000E4841"/>
    <w:rsid w:val="000F1677"/>
    <w:rsid w:val="000F3D6C"/>
    <w:rsid w:val="00101694"/>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12001"/>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2545"/>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E0B16"/>
    <w:rsid w:val="003E1BBF"/>
    <w:rsid w:val="003E67D1"/>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A0CCA"/>
    <w:rsid w:val="005A1083"/>
    <w:rsid w:val="005A6FF2"/>
    <w:rsid w:val="005A726D"/>
    <w:rsid w:val="005B67AC"/>
    <w:rsid w:val="005B79F4"/>
    <w:rsid w:val="005C1FDD"/>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624AB"/>
    <w:rsid w:val="006639DB"/>
    <w:rsid w:val="006644BC"/>
    <w:rsid w:val="006661EF"/>
    <w:rsid w:val="00677AEB"/>
    <w:rsid w:val="00680EF2"/>
    <w:rsid w:val="00687A1D"/>
    <w:rsid w:val="006925C1"/>
    <w:rsid w:val="00697EA1"/>
    <w:rsid w:val="006A2646"/>
    <w:rsid w:val="006A6530"/>
    <w:rsid w:val="006B435A"/>
    <w:rsid w:val="006B4C64"/>
    <w:rsid w:val="006D282B"/>
    <w:rsid w:val="006D6BD5"/>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603F5"/>
    <w:rsid w:val="00763348"/>
    <w:rsid w:val="00764DB0"/>
    <w:rsid w:val="00766D86"/>
    <w:rsid w:val="0076764D"/>
    <w:rsid w:val="0077498C"/>
    <w:rsid w:val="007809BC"/>
    <w:rsid w:val="00784128"/>
    <w:rsid w:val="00787BCC"/>
    <w:rsid w:val="00793173"/>
    <w:rsid w:val="00795D9D"/>
    <w:rsid w:val="007A2A33"/>
    <w:rsid w:val="007A5171"/>
    <w:rsid w:val="007B5C89"/>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67701"/>
    <w:rsid w:val="00871C74"/>
    <w:rsid w:val="008723F3"/>
    <w:rsid w:val="00876F56"/>
    <w:rsid w:val="00881DE6"/>
    <w:rsid w:val="008837A6"/>
    <w:rsid w:val="0089145D"/>
    <w:rsid w:val="00891690"/>
    <w:rsid w:val="008A4DF2"/>
    <w:rsid w:val="008A6CFE"/>
    <w:rsid w:val="008B5333"/>
    <w:rsid w:val="008B58D5"/>
    <w:rsid w:val="008B6223"/>
    <w:rsid w:val="008B72B8"/>
    <w:rsid w:val="008C66E0"/>
    <w:rsid w:val="008D1616"/>
    <w:rsid w:val="008E3339"/>
    <w:rsid w:val="008F20FC"/>
    <w:rsid w:val="008F5FFE"/>
    <w:rsid w:val="00905A43"/>
    <w:rsid w:val="00912C79"/>
    <w:rsid w:val="00921B8C"/>
    <w:rsid w:val="00924DAF"/>
    <w:rsid w:val="00931D14"/>
    <w:rsid w:val="00942123"/>
    <w:rsid w:val="009452DF"/>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6489"/>
    <w:rsid w:val="00AA2435"/>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23CC6"/>
    <w:rsid w:val="00B44713"/>
    <w:rsid w:val="00B455E5"/>
    <w:rsid w:val="00B51B95"/>
    <w:rsid w:val="00B56103"/>
    <w:rsid w:val="00B604A1"/>
    <w:rsid w:val="00B64929"/>
    <w:rsid w:val="00B736DF"/>
    <w:rsid w:val="00B743D6"/>
    <w:rsid w:val="00B74FBD"/>
    <w:rsid w:val="00B77F46"/>
    <w:rsid w:val="00B82586"/>
    <w:rsid w:val="00B829A3"/>
    <w:rsid w:val="00B86DB1"/>
    <w:rsid w:val="00B87869"/>
    <w:rsid w:val="00B9639B"/>
    <w:rsid w:val="00BA1CFD"/>
    <w:rsid w:val="00BB0F2B"/>
    <w:rsid w:val="00BE4FF3"/>
    <w:rsid w:val="00BF2C93"/>
    <w:rsid w:val="00BF50F7"/>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1983"/>
    <w:rsid w:val="00CB2CBB"/>
    <w:rsid w:val="00CB7CAC"/>
    <w:rsid w:val="00CC5335"/>
    <w:rsid w:val="00CC5BA4"/>
    <w:rsid w:val="00CD4998"/>
    <w:rsid w:val="00CE1035"/>
    <w:rsid w:val="00CE6E50"/>
    <w:rsid w:val="00CF2819"/>
    <w:rsid w:val="00CF4F9D"/>
    <w:rsid w:val="00CF70DC"/>
    <w:rsid w:val="00D01697"/>
    <w:rsid w:val="00D148DC"/>
    <w:rsid w:val="00D17FDC"/>
    <w:rsid w:val="00D21D8C"/>
    <w:rsid w:val="00D53719"/>
    <w:rsid w:val="00D63EFD"/>
    <w:rsid w:val="00D67656"/>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3B38"/>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253AE"/>
    <w:rsid w:val="00F27CD8"/>
    <w:rsid w:val="00F30351"/>
    <w:rsid w:val="00F3323E"/>
    <w:rsid w:val="00F341F4"/>
    <w:rsid w:val="00F34F9D"/>
    <w:rsid w:val="00F35CCE"/>
    <w:rsid w:val="00F41146"/>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gov.uk/ukpga/1986/45/section/246ZB" TargetMode="External"/><Relationship Id="rId1" Type="http://schemas.openxmlformats.org/officeDocument/2006/relationships/hyperlink" Target="https://www.legislation.gov.uk/ukpga/1986/45/section/4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2.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4.xml><?xml version="1.0" encoding="utf-8"?>
<ds:datastoreItem xmlns:ds="http://schemas.openxmlformats.org/officeDocument/2006/customXml" ds:itemID="{6938A4B9-8C0E-4B4F-8A58-78C20B623A4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e216d15-0d94-4154-823d-f705f9e225b9"/>
    <ds:schemaRef ds:uri="http://purl.org/dc/elements/1.1/"/>
    <ds:schemaRef ds:uri="aa83e3e4-888c-4ce0-bc3e-c79df258710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5874</Words>
  <Characters>28902</Characters>
  <Application>Microsoft Office Word</Application>
  <DocSecurity>0</DocSecurity>
  <Lines>688</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Anthony Harper</cp:lastModifiedBy>
  <cp:revision>4</cp:revision>
  <cp:lastPrinted>2019-08-27T05:42:00Z</cp:lastPrinted>
  <dcterms:created xsi:type="dcterms:W3CDTF">2023-03-01T03:48:00Z</dcterms:created>
  <dcterms:modified xsi:type="dcterms:W3CDTF">2023-03-01T04:17:00Z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