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w:t>
      </w:r>
      <w:r w:rsidR="0036565C" w:rsidRPr="00202254">
        <w:rPr>
          <w:rFonts w:ascii="Avenir Next" w:hAnsi="Avenir Next" w:cs="Arial"/>
          <w:sz w:val="22"/>
          <w:szCs w:val="22"/>
          <w:highlight w:val="yellow"/>
          <w:lang w:val="en-GB"/>
        </w:rPr>
        <w:t xml:space="preserve">Select only </w:t>
      </w:r>
      <w:r w:rsidR="0036565C" w:rsidRPr="00202254">
        <w:rPr>
          <w:rFonts w:ascii="Avenir Next Demi Bold" w:hAnsi="Avenir Next Demi Bold" w:cs="Arial"/>
          <w:b/>
          <w:bCs/>
          <w:sz w:val="22"/>
          <w:szCs w:val="22"/>
          <w:highlight w:val="yellow"/>
          <w:lang w:val="en-GB"/>
        </w:rPr>
        <w:t>ONE</w:t>
      </w:r>
      <w:r w:rsidR="0036565C" w:rsidRPr="00202254">
        <w:rPr>
          <w:rFonts w:ascii="Avenir Next" w:hAnsi="Avenir Next" w:cs="Arial"/>
          <w:sz w:val="22"/>
          <w:szCs w:val="22"/>
          <w:highlight w:val="yellow"/>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DE1D73" w:rsidRDefault="00CE0ECD" w:rsidP="00B77B19">
      <w:pPr>
        <w:pStyle w:val="AODocTxt"/>
        <w:numPr>
          <w:ilvl w:val="0"/>
          <w:numId w:val="14"/>
        </w:numPr>
        <w:spacing w:before="0" w:line="240" w:lineRule="auto"/>
        <w:ind w:left="426"/>
        <w:rPr>
          <w:rFonts w:ascii="Avenir Next" w:hAnsi="Avenir Next"/>
          <w:highlight w:val="yellow"/>
        </w:rPr>
      </w:pPr>
      <w:r w:rsidRPr="00DE1D73">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D4184B">
        <w:rPr>
          <w:rFonts w:ascii="Avenir Next" w:hAnsi="Avenir Next"/>
          <w:highlight w:val="yellow"/>
        </w:rPr>
        <w:t>(b)</w:t>
      </w:r>
      <w:r w:rsidRPr="00D4184B">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E21B6F" w:rsidRDefault="00CE0ECD" w:rsidP="00097D56">
      <w:pPr>
        <w:pStyle w:val="AODocTxt"/>
        <w:numPr>
          <w:ilvl w:val="0"/>
          <w:numId w:val="16"/>
        </w:numPr>
        <w:spacing w:before="0" w:line="240" w:lineRule="auto"/>
        <w:ind w:left="426"/>
        <w:rPr>
          <w:rFonts w:ascii="Avenir Next" w:hAnsi="Avenir Next"/>
          <w:highlight w:val="yellow"/>
        </w:rPr>
      </w:pPr>
      <w:r w:rsidRPr="00E21B6F">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3E33C8" w:rsidRDefault="00CE0ECD" w:rsidP="00A82B32">
      <w:pPr>
        <w:pStyle w:val="AODocTxt"/>
        <w:numPr>
          <w:ilvl w:val="0"/>
          <w:numId w:val="18"/>
        </w:numPr>
        <w:spacing w:before="0" w:line="240" w:lineRule="auto"/>
        <w:ind w:left="426"/>
        <w:rPr>
          <w:rFonts w:ascii="Avenir Next" w:hAnsi="Avenir Next"/>
          <w:highlight w:val="yellow"/>
        </w:rPr>
      </w:pPr>
      <w:r w:rsidRPr="003E33C8">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78656A" w:rsidRDefault="00CE0ECD" w:rsidP="00E421C6">
      <w:pPr>
        <w:pStyle w:val="AODocTxt"/>
        <w:numPr>
          <w:ilvl w:val="0"/>
          <w:numId w:val="20"/>
        </w:numPr>
        <w:spacing w:before="0" w:line="240" w:lineRule="auto"/>
        <w:ind w:left="426"/>
        <w:rPr>
          <w:rFonts w:ascii="Avenir Next" w:hAnsi="Avenir Next"/>
          <w:highlight w:val="yellow"/>
        </w:rPr>
      </w:pPr>
      <w:r w:rsidRPr="0078656A">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1E1796">
        <w:rPr>
          <w:rFonts w:ascii="Avenir Next" w:hAnsi="Avenir Next"/>
          <w:highlight w:val="yellow"/>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Pr="00026352"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is </w:t>
      </w:r>
      <w:r w:rsidRPr="00026352">
        <w:rPr>
          <w:rFonts w:ascii="Avenir Next" w:hAnsi="Avenir Next"/>
          <w:b/>
          <w:bCs/>
          <w:u w:val="single"/>
        </w:rPr>
        <w:t>true of both</w:t>
      </w:r>
      <w:r w:rsidRPr="008977EF">
        <w:rPr>
          <w:rFonts w:ascii="Avenir Next" w:hAnsi="Avenir Next"/>
          <w:b/>
          <w:bCs/>
        </w:rPr>
        <w:t xml:space="preserve"> </w:t>
      </w:r>
      <w:r w:rsidRPr="00026352">
        <w:rPr>
          <w:rFonts w:ascii="Avenir Next" w:hAnsi="Avenir Next"/>
        </w:rPr>
        <w:t>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047904" w:rsidRDefault="00CE0ECD" w:rsidP="000346E7">
      <w:pPr>
        <w:pStyle w:val="AODocTxt"/>
        <w:numPr>
          <w:ilvl w:val="0"/>
          <w:numId w:val="24"/>
        </w:numPr>
        <w:spacing w:before="0" w:line="240" w:lineRule="auto"/>
        <w:ind w:left="426"/>
        <w:rPr>
          <w:rFonts w:ascii="Avenir Next" w:hAnsi="Avenir Next"/>
          <w:highlight w:val="yellow"/>
        </w:rPr>
      </w:pPr>
      <w:r w:rsidRPr="00047904">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1409B3" w:rsidRDefault="00CE0ECD" w:rsidP="004830F8">
      <w:pPr>
        <w:pStyle w:val="AODocTxt"/>
        <w:numPr>
          <w:ilvl w:val="0"/>
          <w:numId w:val="26"/>
        </w:numPr>
        <w:spacing w:before="0" w:line="240" w:lineRule="auto"/>
        <w:ind w:left="426"/>
        <w:rPr>
          <w:rFonts w:ascii="Avenir Next" w:hAnsi="Avenir Next"/>
          <w:highlight w:val="yellow"/>
        </w:rPr>
      </w:pPr>
      <w:r w:rsidRPr="001409B3">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AD4F29" w:rsidRDefault="00CE0ECD" w:rsidP="004830F8">
      <w:pPr>
        <w:pStyle w:val="AODocTxt"/>
        <w:numPr>
          <w:ilvl w:val="0"/>
          <w:numId w:val="28"/>
        </w:numPr>
        <w:spacing w:before="0" w:line="240" w:lineRule="auto"/>
        <w:ind w:left="426"/>
        <w:rPr>
          <w:rFonts w:ascii="Avenir Next" w:hAnsi="Avenir Next"/>
          <w:highlight w:val="yellow"/>
        </w:rPr>
      </w:pPr>
      <w:r w:rsidRPr="00AD4F29">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A064FF" w:rsidRDefault="00CE0ECD" w:rsidP="00AA0280">
      <w:pPr>
        <w:pStyle w:val="AODocTxt"/>
        <w:numPr>
          <w:ilvl w:val="0"/>
          <w:numId w:val="30"/>
        </w:numPr>
        <w:spacing w:before="0" w:line="240" w:lineRule="auto"/>
        <w:ind w:left="426"/>
        <w:rPr>
          <w:rFonts w:ascii="Avenir Next" w:hAnsi="Avenir Next"/>
          <w:highlight w:val="yellow"/>
        </w:rPr>
      </w:pPr>
      <w:r w:rsidRPr="00A064FF">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 xml:space="preserve">What is setoff and why is it </w:t>
      </w:r>
      <w:r w:rsidRPr="00A064FF">
        <w:rPr>
          <w:rFonts w:ascii="Avenir Next" w:hAnsi="Avenir Next"/>
          <w:u w:val="single"/>
        </w:rPr>
        <w:t>not</w:t>
      </w:r>
      <w:r w:rsidRPr="00AA0280">
        <w:rPr>
          <w:rFonts w:ascii="Avenir Next" w:hAnsi="Avenir Next"/>
        </w:rPr>
        <w:t xml:space="preserve"> permitted in many circumstances?</w:t>
      </w:r>
    </w:p>
    <w:p w14:paraId="2E63DF87" w14:textId="77777777" w:rsidR="00AA0280" w:rsidRPr="00AA0280" w:rsidRDefault="00AA0280" w:rsidP="00AA0280">
      <w:pPr>
        <w:pStyle w:val="AODocTxt"/>
        <w:spacing w:before="0"/>
        <w:rPr>
          <w:rFonts w:ascii="Avenir Next" w:hAnsi="Avenir Next"/>
        </w:rPr>
      </w:pPr>
    </w:p>
    <w:p w14:paraId="6ED3E2CA" w14:textId="69808AF2" w:rsidR="004508BE" w:rsidRDefault="004508BE" w:rsidP="00E415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Setoff </w:t>
      </w:r>
      <w:r w:rsidR="008F3B7F">
        <w:rPr>
          <w:rFonts w:ascii="Avenir Next" w:hAnsi="Avenir Next" w:cs="Arial"/>
          <w:color w:val="7B7B7B" w:themeColor="accent3" w:themeShade="BF"/>
          <w:sz w:val="22"/>
          <w:szCs w:val="22"/>
        </w:rPr>
        <w:t xml:space="preserve">happens when a creditor has a claim against the debtor but in the mean time </w:t>
      </w:r>
      <w:r w:rsidR="00433CAF">
        <w:rPr>
          <w:rFonts w:ascii="Avenir Next" w:hAnsi="Avenir Next" w:cs="Arial"/>
          <w:color w:val="7B7B7B" w:themeColor="accent3" w:themeShade="BF"/>
          <w:sz w:val="22"/>
          <w:szCs w:val="22"/>
        </w:rPr>
        <w:t xml:space="preserve">also </w:t>
      </w:r>
      <w:r w:rsidR="008F3B7F">
        <w:rPr>
          <w:rFonts w:ascii="Avenir Next" w:hAnsi="Avenir Next" w:cs="Arial"/>
          <w:color w:val="7B7B7B" w:themeColor="accent3" w:themeShade="BF"/>
          <w:sz w:val="22"/>
          <w:szCs w:val="22"/>
        </w:rPr>
        <w:t xml:space="preserve">owes money to the debtor. </w:t>
      </w:r>
      <w:r w:rsidR="00433CAF">
        <w:rPr>
          <w:rFonts w:ascii="Avenir Next" w:hAnsi="Avenir Next" w:cs="Arial"/>
          <w:color w:val="7B7B7B" w:themeColor="accent3" w:themeShade="BF"/>
          <w:sz w:val="22"/>
          <w:szCs w:val="22"/>
        </w:rPr>
        <w:t xml:space="preserve">In normal course of business, parties would setoff </w:t>
      </w:r>
      <w:r w:rsidR="00AC0049">
        <w:rPr>
          <w:rFonts w:ascii="Avenir Next" w:hAnsi="Avenir Next" w:cs="Arial"/>
          <w:color w:val="7B7B7B" w:themeColor="accent3" w:themeShade="BF"/>
          <w:sz w:val="22"/>
          <w:szCs w:val="22"/>
        </w:rPr>
        <w:t>the obligations in order to have a net situation of how much is owed to who.</w:t>
      </w:r>
    </w:p>
    <w:p w14:paraId="035F6299" w14:textId="6D293FC2" w:rsidR="00AC0049" w:rsidRDefault="00AC0049" w:rsidP="00E415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However, in a insolvency situation, setoff is </w:t>
      </w:r>
      <w:r w:rsidR="00D57F57">
        <w:rPr>
          <w:rFonts w:ascii="Avenir Next" w:hAnsi="Avenir Next" w:cs="Arial"/>
          <w:color w:val="7B7B7B" w:themeColor="accent3" w:themeShade="BF"/>
          <w:sz w:val="22"/>
          <w:szCs w:val="22"/>
        </w:rPr>
        <w:t>an advantage for the creditor because it can improve it</w:t>
      </w:r>
      <w:r w:rsidR="005059B3">
        <w:rPr>
          <w:rFonts w:ascii="Avenir Next" w:hAnsi="Avenir Next" w:cs="Arial"/>
          <w:color w:val="7B7B7B" w:themeColor="accent3" w:themeShade="BF"/>
          <w:sz w:val="22"/>
          <w:szCs w:val="22"/>
        </w:rPr>
        <w:t>s</w:t>
      </w:r>
      <w:r w:rsidR="00D57F57">
        <w:rPr>
          <w:rFonts w:ascii="Avenir Next" w:hAnsi="Avenir Next" w:cs="Arial"/>
          <w:color w:val="7B7B7B" w:themeColor="accent3" w:themeShade="BF"/>
          <w:sz w:val="22"/>
          <w:szCs w:val="22"/>
        </w:rPr>
        <w:t xml:space="preserve"> situation with</w:t>
      </w:r>
      <w:r w:rsidR="00301D55">
        <w:rPr>
          <w:rFonts w:ascii="Avenir Next" w:hAnsi="Avenir Next" w:cs="Arial"/>
          <w:color w:val="7B7B7B" w:themeColor="accent3" w:themeShade="BF"/>
          <w:sz w:val="22"/>
          <w:szCs w:val="22"/>
        </w:rPr>
        <w:t>out paying money to the estate</w:t>
      </w:r>
      <w:r w:rsidR="0005666F">
        <w:rPr>
          <w:rFonts w:ascii="Avenir Next" w:hAnsi="Avenir Next" w:cs="Arial"/>
          <w:color w:val="7B7B7B" w:themeColor="accent3" w:themeShade="BF"/>
          <w:sz w:val="22"/>
          <w:szCs w:val="22"/>
        </w:rPr>
        <w:t xml:space="preserve"> and the application of legal priorities</w:t>
      </w:r>
      <w:r w:rsidR="00301D55">
        <w:rPr>
          <w:rFonts w:ascii="Avenir Next" w:hAnsi="Avenir Next" w:cs="Arial"/>
          <w:color w:val="7B7B7B" w:themeColor="accent3" w:themeShade="BF"/>
          <w:sz w:val="22"/>
          <w:szCs w:val="22"/>
        </w:rPr>
        <w:t xml:space="preserve">. </w:t>
      </w:r>
      <w:r w:rsidR="00FA3677">
        <w:rPr>
          <w:rFonts w:ascii="Avenir Next" w:hAnsi="Avenir Next" w:cs="Arial"/>
          <w:color w:val="7B7B7B" w:themeColor="accent3" w:themeShade="BF"/>
          <w:sz w:val="22"/>
          <w:szCs w:val="22"/>
        </w:rPr>
        <w:t>And it is detrimental to other creditors because the estate is not increase by the money owed to the debtor</w:t>
      </w:r>
      <w:r w:rsidR="00B40EEF">
        <w:rPr>
          <w:rFonts w:ascii="Avenir Next" w:hAnsi="Avenir Next" w:cs="Arial"/>
          <w:color w:val="7B7B7B" w:themeColor="accent3" w:themeShade="BF"/>
          <w:sz w:val="22"/>
          <w:szCs w:val="22"/>
        </w:rPr>
        <w:t xml:space="preserve">. Setoff is </w:t>
      </w:r>
      <w:r w:rsidR="00F27DAF">
        <w:rPr>
          <w:rFonts w:ascii="Avenir Next" w:hAnsi="Avenir Next" w:cs="Arial"/>
          <w:color w:val="7B7B7B" w:themeColor="accent3" w:themeShade="BF"/>
          <w:sz w:val="22"/>
          <w:szCs w:val="22"/>
        </w:rPr>
        <w:t>contrary to the collective discipline implied by the commencement of an insolvency proceeding.</w:t>
      </w:r>
      <w:r w:rsidR="00B40EEF">
        <w:rPr>
          <w:rFonts w:ascii="Avenir Next" w:hAnsi="Avenir Next" w:cs="Arial"/>
          <w:color w:val="7B7B7B" w:themeColor="accent3" w:themeShade="BF"/>
          <w:sz w:val="22"/>
          <w:szCs w:val="22"/>
        </w:rPr>
        <w:t xml:space="preserve"> That’s why setoff is not permitted in some circumstances.</w:t>
      </w:r>
    </w:p>
    <w:p w14:paraId="6E7B4CAF" w14:textId="77777777" w:rsidR="00810436" w:rsidRDefault="00810436" w:rsidP="00E41578">
      <w:pPr>
        <w:jc w:val="both"/>
        <w:rPr>
          <w:rFonts w:ascii="Avenir Next" w:hAnsi="Avenir Next" w:cs="Arial"/>
          <w:color w:val="7B7B7B" w:themeColor="accent3" w:themeShade="BF"/>
          <w:sz w:val="22"/>
          <w:szCs w:val="22"/>
        </w:rPr>
      </w:pP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7BDE6F1D" w:rsidR="00E41578" w:rsidRPr="00E41578" w:rsidRDefault="00A102B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debtor </w:t>
      </w:r>
      <w:r w:rsidR="0005666F">
        <w:rPr>
          <w:rFonts w:ascii="Avenir Next" w:hAnsi="Avenir Next" w:cs="Arial"/>
          <w:color w:val="7B7B7B" w:themeColor="accent3" w:themeShade="BF"/>
          <w:sz w:val="22"/>
          <w:szCs w:val="22"/>
          <w:lang w:val="en-GB"/>
        </w:rPr>
        <w:t>who</w:t>
      </w:r>
      <w:r>
        <w:rPr>
          <w:rFonts w:ascii="Avenir Next" w:hAnsi="Avenir Next" w:cs="Arial"/>
          <w:color w:val="7B7B7B" w:themeColor="accent3" w:themeShade="BF"/>
          <w:sz w:val="22"/>
          <w:szCs w:val="22"/>
          <w:lang w:val="en-GB"/>
        </w:rPr>
        <w:t xml:space="preserve"> is preparing to filing for a </w:t>
      </w:r>
      <w:r w:rsidR="00E50547">
        <w:rPr>
          <w:rFonts w:ascii="Avenir Next" w:hAnsi="Avenir Next" w:cs="Arial"/>
          <w:color w:val="7B7B7B" w:themeColor="accent3" w:themeShade="BF"/>
          <w:sz w:val="22"/>
          <w:szCs w:val="22"/>
          <w:lang w:val="en-GB"/>
        </w:rPr>
        <w:t>bankruptcy court must of course review</w:t>
      </w:r>
      <w:r w:rsidR="00C87DEF">
        <w:rPr>
          <w:rFonts w:ascii="Avenir Next" w:hAnsi="Avenir Next" w:cs="Arial"/>
          <w:color w:val="7B7B7B" w:themeColor="accent3" w:themeShade="BF"/>
          <w:sz w:val="22"/>
          <w:szCs w:val="22"/>
          <w:lang w:val="en-GB"/>
        </w:rPr>
        <w:t xml:space="preserve"> the Federal Rules of Bankruptcy </w:t>
      </w:r>
      <w:r w:rsidR="006E6054">
        <w:rPr>
          <w:rFonts w:ascii="Avenir Next" w:hAnsi="Avenir Next" w:cs="Arial"/>
          <w:color w:val="7B7B7B" w:themeColor="accent3" w:themeShade="BF"/>
          <w:sz w:val="22"/>
          <w:szCs w:val="22"/>
          <w:lang w:val="en-GB"/>
        </w:rPr>
        <w:t>Procedure (</w:t>
      </w:r>
      <w:r w:rsidR="00E50547">
        <w:rPr>
          <w:rFonts w:ascii="Avenir Next" w:hAnsi="Avenir Next" w:cs="Arial"/>
          <w:color w:val="7B7B7B" w:themeColor="accent3" w:themeShade="BF"/>
          <w:sz w:val="22"/>
          <w:szCs w:val="22"/>
          <w:lang w:val="en-GB"/>
        </w:rPr>
        <w:t>bankruptcy rule</w:t>
      </w:r>
      <w:r w:rsidR="00E85BCD">
        <w:rPr>
          <w:rFonts w:ascii="Avenir Next" w:hAnsi="Avenir Next" w:cs="Arial"/>
          <w:color w:val="7B7B7B" w:themeColor="accent3" w:themeShade="BF"/>
          <w:sz w:val="22"/>
          <w:szCs w:val="22"/>
          <w:lang w:val="en-GB"/>
        </w:rPr>
        <w:t>s</w:t>
      </w:r>
      <w:r w:rsidR="006E6054">
        <w:rPr>
          <w:rFonts w:ascii="Avenir Next" w:hAnsi="Avenir Next" w:cs="Arial"/>
          <w:color w:val="7B7B7B" w:themeColor="accent3" w:themeShade="BF"/>
          <w:sz w:val="22"/>
          <w:szCs w:val="22"/>
          <w:lang w:val="en-GB"/>
        </w:rPr>
        <w:t>)</w:t>
      </w:r>
      <w:r w:rsidR="00E85BCD">
        <w:rPr>
          <w:rFonts w:ascii="Avenir Next" w:hAnsi="Avenir Next" w:cs="Arial"/>
          <w:color w:val="7B7B7B" w:themeColor="accent3" w:themeShade="BF"/>
          <w:sz w:val="22"/>
          <w:szCs w:val="22"/>
          <w:lang w:val="en-GB"/>
        </w:rPr>
        <w:t>. But it must also review procedural rules</w:t>
      </w:r>
      <w:r w:rsidR="006E6054">
        <w:rPr>
          <w:rFonts w:ascii="Avenir Next" w:hAnsi="Avenir Next" w:cs="Arial"/>
          <w:color w:val="7B7B7B" w:themeColor="accent3" w:themeShade="BF"/>
          <w:sz w:val="22"/>
          <w:szCs w:val="22"/>
          <w:lang w:val="en-GB"/>
        </w:rPr>
        <w:t xml:space="preserve"> (the Fede</w:t>
      </w:r>
      <w:r w:rsidR="000E2F86">
        <w:rPr>
          <w:rFonts w:ascii="Avenir Next" w:hAnsi="Avenir Next" w:cs="Arial"/>
          <w:color w:val="7B7B7B" w:themeColor="accent3" w:themeShade="BF"/>
          <w:sz w:val="22"/>
          <w:szCs w:val="22"/>
          <w:lang w:val="en-GB"/>
        </w:rPr>
        <w:t>r</w:t>
      </w:r>
      <w:r w:rsidR="006E6054">
        <w:rPr>
          <w:rFonts w:ascii="Avenir Next" w:hAnsi="Avenir Next" w:cs="Arial"/>
          <w:color w:val="7B7B7B" w:themeColor="accent3" w:themeShade="BF"/>
          <w:sz w:val="22"/>
          <w:szCs w:val="22"/>
          <w:lang w:val="en-GB"/>
        </w:rPr>
        <w:t xml:space="preserve">al Rules of Civil Procedure). </w:t>
      </w:r>
      <w:r w:rsidR="000E2F86">
        <w:rPr>
          <w:rFonts w:ascii="Avenir Next" w:hAnsi="Avenir Next" w:cs="Arial"/>
          <w:color w:val="7B7B7B" w:themeColor="accent3" w:themeShade="BF"/>
          <w:sz w:val="22"/>
          <w:szCs w:val="22"/>
          <w:lang w:val="en-GB"/>
        </w:rPr>
        <w:t>As US Law is based on common law and precedent principle, i</w:t>
      </w:r>
      <w:r w:rsidR="006E6054">
        <w:rPr>
          <w:rFonts w:ascii="Avenir Next" w:hAnsi="Avenir Next" w:cs="Arial"/>
          <w:color w:val="7B7B7B" w:themeColor="accent3" w:themeShade="BF"/>
          <w:sz w:val="22"/>
          <w:szCs w:val="22"/>
          <w:lang w:val="en-GB"/>
        </w:rPr>
        <w:t xml:space="preserve">t is also recommended to look at </w:t>
      </w:r>
      <w:r w:rsidR="00E85BCD">
        <w:rPr>
          <w:rFonts w:ascii="Avenir Next" w:hAnsi="Avenir Next" w:cs="Arial"/>
          <w:color w:val="7B7B7B" w:themeColor="accent3" w:themeShade="BF"/>
          <w:sz w:val="22"/>
          <w:szCs w:val="22"/>
          <w:lang w:val="en-GB"/>
        </w:rPr>
        <w:t>the local rules of the bankruptcy court and finally the jud</w:t>
      </w:r>
      <w:r w:rsidR="0004151F">
        <w:rPr>
          <w:rFonts w:ascii="Avenir Next" w:hAnsi="Avenir Next" w:cs="Arial"/>
          <w:color w:val="7B7B7B" w:themeColor="accent3" w:themeShade="BF"/>
          <w:sz w:val="22"/>
          <w:szCs w:val="22"/>
          <w:lang w:val="en-GB"/>
        </w:rPr>
        <w:t>ge’s personal practices.</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4E4B8B08" w:rsidR="00E41578" w:rsidRPr="00E41578" w:rsidRDefault="0081043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is a principle that applies to restructuring plan under chapter 11. This means that </w:t>
      </w:r>
      <w:r w:rsidR="00D942A6">
        <w:rPr>
          <w:rFonts w:ascii="Avenir Next" w:hAnsi="Avenir Next" w:cs="Arial"/>
          <w:color w:val="7B7B7B" w:themeColor="accent3" w:themeShade="BF"/>
          <w:sz w:val="22"/>
          <w:szCs w:val="22"/>
          <w:lang w:val="en-GB"/>
        </w:rPr>
        <w:t xml:space="preserve">the </w:t>
      </w:r>
      <w:r w:rsidR="00B133E8">
        <w:rPr>
          <w:rFonts w:ascii="Avenir Next" w:hAnsi="Avenir Next" w:cs="Arial"/>
          <w:color w:val="7B7B7B" w:themeColor="accent3" w:themeShade="BF"/>
          <w:sz w:val="22"/>
          <w:szCs w:val="22"/>
          <w:lang w:val="en-GB"/>
        </w:rPr>
        <w:t>proposition of payment of the plan</w:t>
      </w:r>
      <w:r w:rsidR="00D942A6">
        <w:rPr>
          <w:rFonts w:ascii="Avenir Next" w:hAnsi="Avenir Next" w:cs="Arial"/>
          <w:color w:val="7B7B7B" w:themeColor="accent3" w:themeShade="BF"/>
          <w:sz w:val="22"/>
          <w:szCs w:val="22"/>
          <w:lang w:val="en-GB"/>
        </w:rPr>
        <w:t xml:space="preserve"> to a creditor or a class of creditors cannot be </w:t>
      </w:r>
      <w:r w:rsidR="00E02E1E">
        <w:rPr>
          <w:rFonts w:ascii="Avenir Next" w:hAnsi="Avenir Next" w:cs="Arial"/>
          <w:color w:val="7B7B7B" w:themeColor="accent3" w:themeShade="BF"/>
          <w:sz w:val="22"/>
          <w:szCs w:val="22"/>
          <w:lang w:val="en-GB"/>
        </w:rPr>
        <w:t>less than what this class or this creditor would receive in a chapter 7 proceeding</w:t>
      </w:r>
      <w:r w:rsidR="00B133E8">
        <w:rPr>
          <w:rFonts w:ascii="Avenir Next" w:hAnsi="Avenir Next" w:cs="Arial"/>
          <w:color w:val="7B7B7B" w:themeColor="accent3" w:themeShade="BF"/>
          <w:sz w:val="22"/>
          <w:szCs w:val="22"/>
          <w:lang w:val="en-GB"/>
        </w:rPr>
        <w:t xml:space="preserve">, according to its </w:t>
      </w:r>
      <w:r w:rsidR="0068505E" w:rsidRPr="0068505E">
        <w:rPr>
          <w:rFonts w:ascii="Avenir Next" w:hAnsi="Avenir Next" w:cs="Arial"/>
          <w:color w:val="7B7B7B" w:themeColor="accent3" w:themeShade="BF"/>
          <w:sz w:val="22"/>
          <w:szCs w:val="22"/>
          <w:lang w:val="en-GB"/>
        </w:rPr>
        <w:t>security interests and liens</w:t>
      </w:r>
      <w:r w:rsidR="00393ED1">
        <w:rPr>
          <w:rFonts w:ascii="Avenir Next" w:hAnsi="Avenir Next" w:cs="Arial"/>
          <w:color w:val="7B7B7B" w:themeColor="accent3" w:themeShade="BF"/>
          <w:sz w:val="22"/>
          <w:szCs w:val="22"/>
          <w:lang w:val="en-GB"/>
        </w:rPr>
        <w:t xml:space="preserve"> and priorities of distribution in a chapter 7</w:t>
      </w:r>
      <w:r w:rsidR="00E02E1E">
        <w:rPr>
          <w:rFonts w:ascii="Avenir Next" w:hAnsi="Avenir Next" w:cs="Arial"/>
          <w:color w:val="7B7B7B" w:themeColor="accent3" w:themeShade="BF"/>
          <w:sz w:val="22"/>
          <w:szCs w:val="22"/>
          <w:lang w:val="en-GB"/>
        </w:rPr>
        <w:t>.</w:t>
      </w:r>
      <w:r w:rsidR="00393ED1">
        <w:rPr>
          <w:rFonts w:ascii="Avenir Next" w:hAnsi="Avenir Next" w:cs="Arial"/>
          <w:color w:val="7B7B7B" w:themeColor="accent3" w:themeShade="BF"/>
          <w:sz w:val="22"/>
          <w:szCs w:val="22"/>
          <w:lang w:val="en-GB"/>
        </w:rPr>
        <w:t xml:space="preserve"> However, a creditor can always consent </w:t>
      </w:r>
      <w:r w:rsidR="00393ED1">
        <w:rPr>
          <w:rFonts w:ascii="Avenir Next" w:hAnsi="Avenir Next" w:cs="Arial"/>
          <w:color w:val="7B7B7B" w:themeColor="accent3" w:themeShade="BF"/>
          <w:sz w:val="22"/>
          <w:szCs w:val="22"/>
          <w:lang w:val="en-GB"/>
        </w:rPr>
        <w:lastRenderedPageBreak/>
        <w:t>to</w:t>
      </w:r>
      <w:r w:rsidR="002D5034">
        <w:rPr>
          <w:rFonts w:ascii="Avenir Next" w:hAnsi="Avenir Next" w:cs="Arial"/>
          <w:color w:val="7B7B7B" w:themeColor="accent3" w:themeShade="BF"/>
          <w:sz w:val="22"/>
          <w:szCs w:val="22"/>
          <w:lang w:val="en-GB"/>
        </w:rPr>
        <w:t xml:space="preserve"> a worst treatment under the plan, </w:t>
      </w:r>
      <w:r w:rsidR="0044582D">
        <w:rPr>
          <w:rFonts w:ascii="Avenir Next" w:hAnsi="Avenir Next" w:cs="Arial"/>
          <w:color w:val="7B7B7B" w:themeColor="accent3" w:themeShade="BF"/>
          <w:sz w:val="22"/>
          <w:szCs w:val="22"/>
          <w:lang w:val="en-GB"/>
        </w:rPr>
        <w:t>meaning that a junior class receives</w:t>
      </w:r>
      <w:r w:rsidR="00C24BA7">
        <w:rPr>
          <w:rFonts w:ascii="Avenir Next" w:hAnsi="Avenir Next" w:cs="Arial"/>
          <w:color w:val="7B7B7B" w:themeColor="accent3" w:themeShade="BF"/>
          <w:sz w:val="22"/>
          <w:szCs w:val="22"/>
          <w:lang w:val="en-GB"/>
        </w:rPr>
        <w:t xml:space="preserve"> more than</w:t>
      </w:r>
      <w:r w:rsidR="00C361CD">
        <w:rPr>
          <w:rFonts w:ascii="Avenir Next" w:hAnsi="Avenir Next" w:cs="Arial"/>
          <w:color w:val="7B7B7B" w:themeColor="accent3" w:themeShade="BF"/>
          <w:sz w:val="22"/>
          <w:szCs w:val="22"/>
          <w:lang w:val="en-GB"/>
        </w:rPr>
        <w:t xml:space="preserve"> what it would have </w:t>
      </w:r>
      <w:proofErr w:type="spellStart"/>
      <w:r w:rsidR="00C361CD">
        <w:rPr>
          <w:rFonts w:ascii="Avenir Next" w:hAnsi="Avenir Next" w:cs="Arial"/>
          <w:color w:val="7B7B7B" w:themeColor="accent3" w:themeShade="BF"/>
          <w:sz w:val="22"/>
          <w:szCs w:val="22"/>
          <w:lang w:val="en-GB"/>
        </w:rPr>
        <w:t>receivend</w:t>
      </w:r>
      <w:proofErr w:type="spellEnd"/>
      <w:r w:rsidR="00C24BA7">
        <w:rPr>
          <w:rFonts w:ascii="Avenir Next" w:hAnsi="Avenir Next" w:cs="Arial"/>
          <w:color w:val="7B7B7B" w:themeColor="accent3" w:themeShade="BF"/>
          <w:sz w:val="22"/>
          <w:szCs w:val="22"/>
          <w:lang w:val="en-GB"/>
        </w:rPr>
        <w:t xml:space="preserve"> in a chapter 7 if this </w:t>
      </w:r>
      <w:r w:rsidR="00BA7943">
        <w:rPr>
          <w:rFonts w:ascii="Avenir Next" w:hAnsi="Avenir Next" w:cs="Arial"/>
          <w:color w:val="7B7B7B" w:themeColor="accent3" w:themeShade="BF"/>
          <w:sz w:val="22"/>
          <w:szCs w:val="22"/>
          <w:lang w:val="en-GB"/>
        </w:rPr>
        <w:t xml:space="preserve">secures the approval of the plan by </w:t>
      </w:r>
      <w:r w:rsidR="003076E2">
        <w:rPr>
          <w:rFonts w:ascii="Avenir Next" w:hAnsi="Avenir Next" w:cs="Arial"/>
          <w:color w:val="7B7B7B" w:themeColor="accent3" w:themeShade="BF"/>
          <w:sz w:val="22"/>
          <w:szCs w:val="22"/>
          <w:lang w:val="en-GB"/>
        </w:rPr>
        <w:t xml:space="preserve">more </w:t>
      </w:r>
      <w:r w:rsidR="00BA7943">
        <w:rPr>
          <w:rFonts w:ascii="Avenir Next" w:hAnsi="Avenir Next" w:cs="Arial"/>
          <w:color w:val="7B7B7B" w:themeColor="accent3" w:themeShade="BF"/>
          <w:sz w:val="22"/>
          <w:szCs w:val="22"/>
          <w:lang w:val="en-GB"/>
        </w:rPr>
        <w:t>impaired classes.</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516259CA" w14:textId="1A89C81F" w:rsidR="00FF39E8" w:rsidRDefault="0089356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chapter 11 c</w:t>
      </w:r>
      <w:r w:rsidR="00982256">
        <w:rPr>
          <w:rFonts w:ascii="Avenir Next" w:hAnsi="Avenir Next" w:cs="Arial"/>
          <w:color w:val="7B7B7B" w:themeColor="accent3" w:themeShade="BF"/>
          <w:sz w:val="22"/>
          <w:szCs w:val="22"/>
          <w:lang w:val="en-GB"/>
        </w:rPr>
        <w:t>osts</w:t>
      </w:r>
      <w:r>
        <w:rPr>
          <w:rFonts w:ascii="Avenir Next" w:hAnsi="Avenir Next" w:cs="Arial"/>
          <w:color w:val="7B7B7B" w:themeColor="accent3" w:themeShade="BF"/>
          <w:sz w:val="22"/>
          <w:szCs w:val="22"/>
          <w:lang w:val="en-GB"/>
        </w:rPr>
        <w:t xml:space="preserve"> a lot of fees for the debtor and it must also keep on paying it current debts on a daily business basis. To encourage creditors or </w:t>
      </w:r>
      <w:r w:rsidR="009643E4">
        <w:rPr>
          <w:rFonts w:ascii="Avenir Next" w:hAnsi="Avenir Next" w:cs="Arial"/>
          <w:color w:val="7B7B7B" w:themeColor="accent3" w:themeShade="BF"/>
          <w:sz w:val="22"/>
          <w:szCs w:val="22"/>
          <w:lang w:val="en-GB"/>
        </w:rPr>
        <w:t>funding organization</w:t>
      </w:r>
      <w:r w:rsidR="00982256">
        <w:rPr>
          <w:rFonts w:ascii="Avenir Next" w:hAnsi="Avenir Next" w:cs="Arial"/>
          <w:color w:val="7B7B7B" w:themeColor="accent3" w:themeShade="BF"/>
          <w:sz w:val="22"/>
          <w:szCs w:val="22"/>
          <w:lang w:val="en-GB"/>
        </w:rPr>
        <w:t>s</w:t>
      </w:r>
      <w:r w:rsidR="009643E4">
        <w:rPr>
          <w:rFonts w:ascii="Avenir Next" w:hAnsi="Avenir Next" w:cs="Arial"/>
          <w:color w:val="7B7B7B" w:themeColor="accent3" w:themeShade="BF"/>
          <w:sz w:val="22"/>
          <w:szCs w:val="22"/>
          <w:lang w:val="en-GB"/>
        </w:rPr>
        <w:t xml:space="preserve"> to grant </w:t>
      </w:r>
      <w:r w:rsidR="00982256">
        <w:rPr>
          <w:rFonts w:ascii="Avenir Next" w:hAnsi="Avenir Next" w:cs="Arial"/>
          <w:color w:val="7B7B7B" w:themeColor="accent3" w:themeShade="BF"/>
          <w:sz w:val="22"/>
          <w:szCs w:val="22"/>
          <w:lang w:val="en-GB"/>
        </w:rPr>
        <w:t xml:space="preserve">to </w:t>
      </w:r>
      <w:r w:rsidR="009643E4">
        <w:rPr>
          <w:rFonts w:ascii="Avenir Next" w:hAnsi="Avenir Next" w:cs="Arial"/>
          <w:color w:val="7B7B7B" w:themeColor="accent3" w:themeShade="BF"/>
          <w:sz w:val="22"/>
          <w:szCs w:val="22"/>
          <w:lang w:val="en-GB"/>
        </w:rPr>
        <w:t xml:space="preserve">the debtor credits, the Bankruptcy code has set a frameworks of </w:t>
      </w:r>
      <w:r w:rsidR="001E2128">
        <w:rPr>
          <w:rFonts w:ascii="Avenir Next" w:hAnsi="Avenir Next" w:cs="Arial"/>
          <w:color w:val="7B7B7B" w:themeColor="accent3" w:themeShade="BF"/>
          <w:sz w:val="22"/>
          <w:szCs w:val="22"/>
          <w:lang w:val="en-GB"/>
        </w:rPr>
        <w:t xml:space="preserve">incentives. </w:t>
      </w:r>
    </w:p>
    <w:p w14:paraId="4CC47828" w14:textId="77777777" w:rsidR="00FF39E8" w:rsidRDefault="001E212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the debtor can obtain unsecured credit </w:t>
      </w:r>
      <w:r w:rsidR="00B879D0">
        <w:rPr>
          <w:rFonts w:ascii="Avenir Next" w:hAnsi="Avenir Next" w:cs="Arial"/>
          <w:color w:val="7B7B7B" w:themeColor="accent3" w:themeShade="BF"/>
          <w:sz w:val="22"/>
          <w:szCs w:val="22"/>
          <w:lang w:val="en-GB"/>
        </w:rPr>
        <w:t xml:space="preserve">with or without the court’s approval, and this new credit will benefit from the </w:t>
      </w:r>
      <w:r w:rsidR="0085676B">
        <w:rPr>
          <w:rFonts w:ascii="Avenir Next" w:hAnsi="Avenir Next" w:cs="Arial"/>
          <w:color w:val="7B7B7B" w:themeColor="accent3" w:themeShade="BF"/>
          <w:sz w:val="22"/>
          <w:szCs w:val="22"/>
          <w:lang w:val="en-GB"/>
        </w:rPr>
        <w:t xml:space="preserve">administrative expense priority. </w:t>
      </w:r>
    </w:p>
    <w:p w14:paraId="2086C3FE" w14:textId="471428D9" w:rsidR="00FF39E8" w:rsidRDefault="0085676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debtor fails to find credit this way, </w:t>
      </w:r>
      <w:r w:rsidR="000B5A5D">
        <w:rPr>
          <w:rFonts w:ascii="Avenir Next" w:hAnsi="Avenir Next" w:cs="Arial"/>
          <w:color w:val="7B7B7B" w:themeColor="accent3" w:themeShade="BF"/>
          <w:sz w:val="22"/>
          <w:szCs w:val="22"/>
          <w:lang w:val="en-GB"/>
        </w:rPr>
        <w:t>the court can authorize more securities to creditors who accept to finance post commencement period</w:t>
      </w:r>
      <w:r w:rsidR="003369A0">
        <w:rPr>
          <w:rFonts w:ascii="Avenir Next" w:hAnsi="Avenir Next" w:cs="Arial"/>
          <w:color w:val="7B7B7B" w:themeColor="accent3" w:themeShade="BF"/>
          <w:sz w:val="22"/>
          <w:szCs w:val="22"/>
          <w:lang w:val="en-GB"/>
        </w:rPr>
        <w:t xml:space="preserve"> of time</w:t>
      </w:r>
      <w:r w:rsidR="00FF39E8">
        <w:rPr>
          <w:rFonts w:ascii="Avenir Next" w:hAnsi="Avenir Next" w:cs="Arial"/>
          <w:color w:val="7B7B7B" w:themeColor="accent3" w:themeShade="BF"/>
          <w:sz w:val="22"/>
          <w:szCs w:val="22"/>
          <w:lang w:val="en-GB"/>
        </w:rPr>
        <w:t>:</w:t>
      </w:r>
      <w:r w:rsidR="004A08C7">
        <w:rPr>
          <w:rFonts w:ascii="Avenir Next" w:hAnsi="Avenir Next" w:cs="Arial"/>
          <w:color w:val="7B7B7B" w:themeColor="accent3" w:themeShade="BF"/>
          <w:sz w:val="22"/>
          <w:szCs w:val="22"/>
          <w:lang w:val="en-GB"/>
        </w:rPr>
        <w:t xml:space="preserve"> unsecured debt having</w:t>
      </w:r>
      <w:r w:rsidR="00FF39E8">
        <w:rPr>
          <w:rFonts w:ascii="Avenir Next" w:hAnsi="Avenir Next" w:cs="Arial"/>
          <w:color w:val="7B7B7B" w:themeColor="accent3" w:themeShade="BF"/>
          <w:sz w:val="22"/>
          <w:szCs w:val="22"/>
          <w:lang w:val="en-GB"/>
        </w:rPr>
        <w:t xml:space="preserve"> </w:t>
      </w:r>
      <w:r w:rsidR="004A08C7">
        <w:rPr>
          <w:rFonts w:ascii="Avenir Next" w:hAnsi="Avenir Next" w:cs="Arial"/>
          <w:color w:val="7B7B7B" w:themeColor="accent3" w:themeShade="BF"/>
          <w:sz w:val="22"/>
          <w:szCs w:val="22"/>
          <w:lang w:val="en-GB"/>
        </w:rPr>
        <w:t xml:space="preserve">priority over </w:t>
      </w:r>
      <w:r w:rsidR="00814375">
        <w:rPr>
          <w:rFonts w:ascii="Avenir Next" w:hAnsi="Avenir Next" w:cs="Arial"/>
          <w:color w:val="7B7B7B" w:themeColor="accent3" w:themeShade="BF"/>
          <w:sz w:val="22"/>
          <w:szCs w:val="22"/>
          <w:lang w:val="en-GB"/>
        </w:rPr>
        <w:t xml:space="preserve">all the other </w:t>
      </w:r>
      <w:r w:rsidR="004A08C7">
        <w:rPr>
          <w:rFonts w:ascii="Avenir Next" w:hAnsi="Avenir Next" w:cs="Arial"/>
          <w:color w:val="7B7B7B" w:themeColor="accent3" w:themeShade="BF"/>
          <w:sz w:val="22"/>
          <w:szCs w:val="22"/>
          <w:lang w:val="en-GB"/>
        </w:rPr>
        <w:t>administrative expens</w:t>
      </w:r>
      <w:r w:rsidR="00814375">
        <w:rPr>
          <w:rFonts w:ascii="Avenir Next" w:hAnsi="Avenir Next" w:cs="Arial"/>
          <w:color w:val="7B7B7B" w:themeColor="accent3" w:themeShade="BF"/>
          <w:sz w:val="22"/>
          <w:szCs w:val="22"/>
          <w:lang w:val="en-GB"/>
        </w:rPr>
        <w:t xml:space="preserve">es, </w:t>
      </w:r>
      <w:r w:rsidR="00DB6169">
        <w:rPr>
          <w:rFonts w:ascii="Avenir Next" w:hAnsi="Avenir Next" w:cs="Arial"/>
          <w:color w:val="7B7B7B" w:themeColor="accent3" w:themeShade="BF"/>
          <w:sz w:val="22"/>
          <w:szCs w:val="22"/>
          <w:lang w:val="en-GB"/>
        </w:rPr>
        <w:t xml:space="preserve">or </w:t>
      </w:r>
      <w:r w:rsidR="00814375">
        <w:rPr>
          <w:rFonts w:ascii="Avenir Next" w:hAnsi="Avenir Next" w:cs="Arial"/>
          <w:color w:val="7B7B7B" w:themeColor="accent3" w:themeShade="BF"/>
          <w:sz w:val="22"/>
          <w:szCs w:val="22"/>
          <w:lang w:val="en-GB"/>
        </w:rPr>
        <w:t>secured debt other unencumbered assets or a secured debt with a junior lien on a encumbered assets</w:t>
      </w:r>
      <w:r w:rsidR="000B5A5D">
        <w:rPr>
          <w:rFonts w:ascii="Avenir Next" w:hAnsi="Avenir Next" w:cs="Arial"/>
          <w:color w:val="7B7B7B" w:themeColor="accent3" w:themeShade="BF"/>
          <w:sz w:val="22"/>
          <w:szCs w:val="22"/>
          <w:lang w:val="en-GB"/>
        </w:rPr>
        <w:t xml:space="preserve"> </w:t>
      </w:r>
    </w:p>
    <w:p w14:paraId="3B82BAA0" w14:textId="7737AA70" w:rsidR="003A5537" w:rsidRDefault="003369A0" w:rsidP="003F0411">
      <w:pPr>
        <w:jc w:val="both"/>
        <w:rPr>
          <w:rFonts w:ascii="Avenir Next" w:hAnsi="Avenir Next"/>
        </w:rPr>
      </w:pPr>
      <w:r>
        <w:rPr>
          <w:rFonts w:ascii="Avenir Next" w:hAnsi="Avenir Next" w:cs="Arial"/>
          <w:color w:val="7B7B7B" w:themeColor="accent3" w:themeShade="BF"/>
          <w:sz w:val="22"/>
          <w:szCs w:val="22"/>
          <w:lang w:val="en-GB"/>
        </w:rPr>
        <w:t xml:space="preserve">If </w:t>
      </w:r>
      <w:r w:rsidR="00CB450A">
        <w:rPr>
          <w:rFonts w:ascii="Avenir Next" w:hAnsi="Avenir Next" w:cs="Arial"/>
          <w:color w:val="7B7B7B" w:themeColor="accent3" w:themeShade="BF"/>
          <w:sz w:val="22"/>
          <w:szCs w:val="22"/>
          <w:lang w:val="en-GB"/>
        </w:rPr>
        <w:t>neither</w:t>
      </w:r>
      <w:r>
        <w:rPr>
          <w:rFonts w:ascii="Avenir Next" w:hAnsi="Avenir Next" w:cs="Arial"/>
          <w:color w:val="7B7B7B" w:themeColor="accent3" w:themeShade="BF"/>
          <w:sz w:val="22"/>
          <w:szCs w:val="22"/>
          <w:lang w:val="en-GB"/>
        </w:rPr>
        <w:t xml:space="preserve"> of these hypothesis cannot permit the debtor to obtain</w:t>
      </w:r>
      <w:r w:rsidR="00DB6169">
        <w:rPr>
          <w:rFonts w:ascii="Avenir Next" w:hAnsi="Avenir Next" w:cs="Arial"/>
          <w:color w:val="7B7B7B" w:themeColor="accent3" w:themeShade="BF"/>
          <w:sz w:val="22"/>
          <w:szCs w:val="22"/>
          <w:lang w:val="en-GB"/>
        </w:rPr>
        <w:t xml:space="preserve"> post-</w:t>
      </w:r>
      <w:r w:rsidR="00D04D15">
        <w:rPr>
          <w:rFonts w:ascii="Avenir Next" w:hAnsi="Avenir Next" w:cs="Arial"/>
          <w:color w:val="7B7B7B" w:themeColor="accent3" w:themeShade="BF"/>
          <w:sz w:val="22"/>
          <w:szCs w:val="22"/>
          <w:lang w:val="en-GB"/>
        </w:rPr>
        <w:t>commencement</w:t>
      </w:r>
      <w:r>
        <w:rPr>
          <w:rFonts w:ascii="Avenir Next" w:hAnsi="Avenir Next" w:cs="Arial"/>
          <w:color w:val="7B7B7B" w:themeColor="accent3" w:themeShade="BF"/>
          <w:sz w:val="22"/>
          <w:szCs w:val="22"/>
          <w:lang w:val="en-GB"/>
        </w:rPr>
        <w:t xml:space="preserve"> financing, than the court can grant</w:t>
      </w:r>
      <w:r w:rsidR="0099385A">
        <w:rPr>
          <w:rFonts w:ascii="Avenir Next" w:hAnsi="Avenir Next" w:cs="Arial"/>
          <w:color w:val="7B7B7B" w:themeColor="accent3" w:themeShade="BF"/>
          <w:sz w:val="22"/>
          <w:szCs w:val="22"/>
          <w:lang w:val="en-GB"/>
        </w:rPr>
        <w:t xml:space="preserve"> “priming lien”</w:t>
      </w:r>
      <w:r>
        <w:rPr>
          <w:rFonts w:ascii="Avenir Next" w:hAnsi="Avenir Next" w:cs="Arial"/>
          <w:color w:val="7B7B7B" w:themeColor="accent3" w:themeShade="BF"/>
          <w:sz w:val="22"/>
          <w:szCs w:val="22"/>
          <w:lang w:val="en-GB"/>
        </w:rPr>
        <w:t xml:space="preserve">. This </w:t>
      </w:r>
      <w:r w:rsidR="00AA536D">
        <w:rPr>
          <w:rFonts w:ascii="Avenir Next" w:hAnsi="Avenir Next" w:cs="Arial"/>
          <w:color w:val="7B7B7B" w:themeColor="accent3" w:themeShade="BF"/>
          <w:sz w:val="22"/>
          <w:szCs w:val="22"/>
          <w:lang w:val="en-GB"/>
        </w:rPr>
        <w:t xml:space="preserve">means that </w:t>
      </w:r>
      <w:r w:rsidR="00814375">
        <w:rPr>
          <w:rFonts w:ascii="Avenir Next" w:hAnsi="Avenir Next" w:cs="Arial"/>
          <w:color w:val="7B7B7B" w:themeColor="accent3" w:themeShade="BF"/>
          <w:sz w:val="22"/>
          <w:szCs w:val="22"/>
          <w:lang w:val="en-GB"/>
        </w:rPr>
        <w:t>the cred</w:t>
      </w:r>
      <w:r w:rsidR="00374092">
        <w:rPr>
          <w:rFonts w:ascii="Avenir Next" w:hAnsi="Avenir Next" w:cs="Arial"/>
          <w:color w:val="7B7B7B" w:themeColor="accent3" w:themeShade="BF"/>
          <w:sz w:val="22"/>
          <w:szCs w:val="22"/>
          <w:lang w:val="en-GB"/>
        </w:rPr>
        <w:t>itor that benefit</w:t>
      </w:r>
      <w:r w:rsidR="00D04D15">
        <w:rPr>
          <w:rFonts w:ascii="Avenir Next" w:hAnsi="Avenir Next" w:cs="Arial"/>
          <w:color w:val="7B7B7B" w:themeColor="accent3" w:themeShade="BF"/>
          <w:sz w:val="22"/>
          <w:szCs w:val="22"/>
          <w:lang w:val="en-GB"/>
        </w:rPr>
        <w:t xml:space="preserve">s </w:t>
      </w:r>
      <w:r w:rsidR="00374092">
        <w:rPr>
          <w:rFonts w:ascii="Avenir Next" w:hAnsi="Avenir Next" w:cs="Arial"/>
          <w:color w:val="7B7B7B" w:themeColor="accent3" w:themeShade="BF"/>
          <w:sz w:val="22"/>
          <w:szCs w:val="22"/>
          <w:lang w:val="en-GB"/>
        </w:rPr>
        <w:t xml:space="preserve">from this lien has a senior or equal </w:t>
      </w:r>
      <w:r w:rsidR="003F0411">
        <w:rPr>
          <w:rFonts w:ascii="Avenir Next" w:hAnsi="Avenir Next" w:cs="Arial"/>
          <w:color w:val="7B7B7B" w:themeColor="accent3" w:themeShade="BF"/>
          <w:sz w:val="22"/>
          <w:szCs w:val="22"/>
          <w:lang w:val="en-GB"/>
        </w:rPr>
        <w:t xml:space="preserve">lien on the estate property than </w:t>
      </w:r>
      <w:r w:rsidR="00374092">
        <w:rPr>
          <w:rFonts w:ascii="Avenir Next" w:hAnsi="Avenir Next" w:cs="Arial"/>
          <w:color w:val="7B7B7B" w:themeColor="accent3" w:themeShade="BF"/>
          <w:sz w:val="22"/>
          <w:szCs w:val="22"/>
          <w:lang w:val="en-GB"/>
        </w:rPr>
        <w:t>pre-petition lien</w:t>
      </w:r>
      <w:r w:rsidR="003F0411">
        <w:rPr>
          <w:rFonts w:ascii="Avenir Next" w:hAnsi="Avenir Next" w:cs="Arial"/>
          <w:color w:val="7B7B7B" w:themeColor="accent3" w:themeShade="BF"/>
          <w:sz w:val="22"/>
          <w:szCs w:val="22"/>
          <w:lang w:val="en-GB"/>
        </w:rPr>
        <w:t>.</w:t>
      </w:r>
      <w:r w:rsidR="00B7476D">
        <w:rPr>
          <w:rFonts w:ascii="Avenir Next" w:hAnsi="Avenir Next" w:cs="Arial"/>
          <w:color w:val="7B7B7B" w:themeColor="accent3" w:themeShade="BF"/>
          <w:sz w:val="22"/>
          <w:szCs w:val="22"/>
          <w:lang w:val="en-GB"/>
        </w:rPr>
        <w:t xml:space="preserve"> This creditors can be considered as super senior.</w:t>
      </w:r>
      <w:r w:rsidR="00374092">
        <w:rPr>
          <w:rFonts w:ascii="Avenir Next" w:hAnsi="Avenir Next" w:cs="Arial"/>
          <w:color w:val="7B7B7B" w:themeColor="accent3" w:themeShade="BF"/>
          <w:sz w:val="22"/>
          <w:szCs w:val="22"/>
          <w:lang w:val="en-GB"/>
        </w:rPr>
        <w:t xml:space="preserve"> </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EDAC69" w14:textId="58891D79" w:rsidR="004E709A" w:rsidRDefault="00BA0B7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w:t>
      </w:r>
      <w:r w:rsidR="00623D19">
        <w:rPr>
          <w:rFonts w:ascii="Avenir Next" w:hAnsi="Avenir Next" w:cs="Arial"/>
          <w:color w:val="7B7B7B" w:themeColor="accent3" w:themeShade="BF"/>
          <w:sz w:val="22"/>
          <w:szCs w:val="22"/>
          <w:lang w:val="en-GB"/>
        </w:rPr>
        <w:t xml:space="preserve">a transfer of </w:t>
      </w:r>
      <w:r w:rsidR="00195376">
        <w:rPr>
          <w:rFonts w:ascii="Avenir Next" w:hAnsi="Avenir Next" w:cs="Arial"/>
          <w:color w:val="7B7B7B" w:themeColor="accent3" w:themeShade="BF"/>
          <w:sz w:val="22"/>
          <w:szCs w:val="22"/>
          <w:lang w:val="en-GB"/>
        </w:rPr>
        <w:t>the debtor’s property prior petition during a</w:t>
      </w:r>
      <w:r w:rsidR="00F25012">
        <w:rPr>
          <w:rFonts w:ascii="Avenir Next" w:hAnsi="Avenir Next" w:cs="Arial"/>
          <w:color w:val="7B7B7B" w:themeColor="accent3" w:themeShade="BF"/>
          <w:sz w:val="22"/>
          <w:szCs w:val="22"/>
          <w:lang w:val="en-GB"/>
        </w:rPr>
        <w:t xml:space="preserve"> suspect period that would end up the recipient of the transfer to receive more than what it would have under a chapter 7 </w:t>
      </w:r>
      <w:r w:rsidR="00E642CD">
        <w:rPr>
          <w:rFonts w:ascii="Avenir Next" w:hAnsi="Avenir Next" w:cs="Arial"/>
          <w:color w:val="7B7B7B" w:themeColor="accent3" w:themeShade="BF"/>
          <w:sz w:val="22"/>
          <w:szCs w:val="22"/>
          <w:lang w:val="en-GB"/>
        </w:rPr>
        <w:t xml:space="preserve">liquidation </w:t>
      </w:r>
      <w:r w:rsidR="00F25012">
        <w:rPr>
          <w:rFonts w:ascii="Avenir Next" w:hAnsi="Avenir Next" w:cs="Arial"/>
          <w:color w:val="7B7B7B" w:themeColor="accent3" w:themeShade="BF"/>
          <w:sz w:val="22"/>
          <w:szCs w:val="22"/>
          <w:lang w:val="en-GB"/>
        </w:rPr>
        <w:t>proceeding</w:t>
      </w:r>
      <w:r w:rsidR="002A5051">
        <w:rPr>
          <w:rFonts w:ascii="Avenir Next" w:hAnsi="Avenir Next" w:cs="Arial"/>
          <w:color w:val="7B7B7B" w:themeColor="accent3" w:themeShade="BF"/>
          <w:sz w:val="22"/>
          <w:szCs w:val="22"/>
          <w:lang w:val="en-GB"/>
        </w:rPr>
        <w:t xml:space="preserve">, if the transfer has not been made. </w:t>
      </w:r>
      <w:r w:rsidR="00242D66">
        <w:rPr>
          <w:rFonts w:ascii="Avenir Next" w:hAnsi="Avenir Next" w:cs="Arial"/>
          <w:color w:val="7B7B7B" w:themeColor="accent3" w:themeShade="BF"/>
          <w:sz w:val="22"/>
          <w:szCs w:val="22"/>
          <w:lang w:val="en-GB"/>
        </w:rPr>
        <w:t xml:space="preserve">The property transferred must be returned to the estate to </w:t>
      </w:r>
      <w:r w:rsidR="009B4FAF">
        <w:rPr>
          <w:rFonts w:ascii="Avenir Next" w:hAnsi="Avenir Next" w:cs="Arial"/>
          <w:color w:val="7B7B7B" w:themeColor="accent3" w:themeShade="BF"/>
          <w:sz w:val="22"/>
          <w:szCs w:val="22"/>
          <w:lang w:val="en-GB"/>
        </w:rPr>
        <w:t>re-establish equality of treatment between creditors.</w:t>
      </w:r>
    </w:p>
    <w:p w14:paraId="78FD8EB4" w14:textId="77777777" w:rsidR="004E709A" w:rsidRDefault="0019537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showing of fault by the debtor or the creditor is not required.</w:t>
      </w:r>
    </w:p>
    <w:p w14:paraId="0C47D227" w14:textId="77777777" w:rsidR="006537DE" w:rsidRDefault="004E709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for a preference claim to be granted, it must be proved </w:t>
      </w:r>
      <w:r w:rsidR="003A6291">
        <w:rPr>
          <w:rFonts w:ascii="Avenir Next" w:hAnsi="Avenir Next" w:cs="Arial"/>
          <w:color w:val="7B7B7B" w:themeColor="accent3" w:themeShade="BF"/>
          <w:sz w:val="22"/>
          <w:szCs w:val="22"/>
          <w:lang w:val="en-GB"/>
        </w:rPr>
        <w:t>six elements</w:t>
      </w:r>
      <w:r w:rsidR="006537DE">
        <w:rPr>
          <w:rFonts w:ascii="Avenir Next" w:hAnsi="Avenir Next" w:cs="Arial"/>
          <w:color w:val="7B7B7B" w:themeColor="accent3" w:themeShade="BF"/>
          <w:sz w:val="22"/>
          <w:szCs w:val="22"/>
          <w:lang w:val="en-GB"/>
        </w:rPr>
        <w:t>.</w:t>
      </w:r>
    </w:p>
    <w:p w14:paraId="01A27E9F" w14:textId="7CC72769" w:rsidR="006537DE" w:rsidRDefault="006537DE" w:rsidP="006537DE">
      <w:pPr>
        <w:pStyle w:val="Paragraphedeliste"/>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transfer of interest of the debtor in property</w:t>
      </w:r>
    </w:p>
    <w:p w14:paraId="7F3FE8C4" w14:textId="7BA0A60A" w:rsidR="007C077A" w:rsidRDefault="009571FF" w:rsidP="007C077A">
      <w:pPr>
        <w:pStyle w:val="Paragraphedeliste"/>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debtor can transfer funds, property or grant a lien to a creditor. However, if the transfer</w:t>
      </w:r>
      <w:r w:rsidR="00BB79B2">
        <w:rPr>
          <w:rFonts w:ascii="Avenir Next" w:hAnsi="Avenir Next" w:cs="Arial"/>
          <w:color w:val="7B7B7B" w:themeColor="accent3" w:themeShade="BF"/>
          <w:sz w:val="22"/>
          <w:szCs w:val="22"/>
          <w:lang w:val="en-GB"/>
        </w:rPr>
        <w:t xml:space="preserve"> doesn’t concern a property in which the debtors has interest, i</w:t>
      </w:r>
      <w:r w:rsidR="00501234">
        <w:rPr>
          <w:rFonts w:ascii="Avenir Next" w:hAnsi="Avenir Next" w:cs="Arial"/>
          <w:color w:val="7B7B7B" w:themeColor="accent3" w:themeShade="BF"/>
          <w:sz w:val="22"/>
          <w:szCs w:val="22"/>
          <w:lang w:val="en-GB"/>
        </w:rPr>
        <w:t>t does not fall in the scope of the preference.</w:t>
      </w:r>
    </w:p>
    <w:p w14:paraId="69421C26" w14:textId="4A2A7DDC" w:rsidR="008D7045" w:rsidRDefault="008D7045" w:rsidP="006537DE">
      <w:pPr>
        <w:pStyle w:val="Paragraphedeliste"/>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or for the benefit of a creditor</w:t>
      </w:r>
    </w:p>
    <w:p w14:paraId="7EED1000" w14:textId="0F1963ED" w:rsidR="00501234" w:rsidRDefault="00501234" w:rsidP="00501234">
      <w:pPr>
        <w:pStyle w:val="Paragraphedeliste"/>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recipient of the transfer must have been a creditor before the transfer</w:t>
      </w:r>
      <w:r w:rsidR="00633D08">
        <w:rPr>
          <w:rFonts w:ascii="Avenir Next" w:hAnsi="Avenir Next" w:cs="Arial"/>
          <w:color w:val="7B7B7B" w:themeColor="accent3" w:themeShade="BF"/>
          <w:sz w:val="22"/>
          <w:szCs w:val="22"/>
          <w:lang w:val="en-GB"/>
        </w:rPr>
        <w:t>.</w:t>
      </w:r>
    </w:p>
    <w:p w14:paraId="1CFBEC8B" w14:textId="5C1B29C7" w:rsidR="008D7045" w:rsidRDefault="008D7045" w:rsidP="006537DE">
      <w:pPr>
        <w:pStyle w:val="Paragraphedeliste"/>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or on account of a previous debt owed by the debtor</w:t>
      </w:r>
    </w:p>
    <w:p w14:paraId="191E975B" w14:textId="20EEDBDB" w:rsidR="00633D08" w:rsidRDefault="00A044E8" w:rsidP="00633D08">
      <w:pPr>
        <w:pStyle w:val="Paragraphedeliste"/>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must be about the payment of a previously owned debt. </w:t>
      </w:r>
    </w:p>
    <w:p w14:paraId="56381E86" w14:textId="23706061" w:rsidR="007C077A" w:rsidRDefault="007C077A" w:rsidP="006537DE">
      <w:pPr>
        <w:pStyle w:val="Paragraphedeliste"/>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while the debtor was insolvent</w:t>
      </w:r>
    </w:p>
    <w:p w14:paraId="292E2256" w14:textId="6ADD773F" w:rsidR="001161F1" w:rsidRDefault="003170B6" w:rsidP="001161F1">
      <w:pPr>
        <w:pStyle w:val="Paragraphedeliste"/>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a presumption that the debtor was insolvent during a 90-day period prior to filing </w:t>
      </w:r>
      <w:proofErr w:type="spellStart"/>
      <w:r>
        <w:rPr>
          <w:rFonts w:ascii="Avenir Next" w:hAnsi="Avenir Next" w:cs="Arial"/>
          <w:color w:val="7B7B7B" w:themeColor="accent3" w:themeShade="BF"/>
          <w:sz w:val="22"/>
          <w:szCs w:val="22"/>
          <w:lang w:val="en-GB"/>
        </w:rPr>
        <w:t>fr</w:t>
      </w:r>
      <w:proofErr w:type="spellEnd"/>
      <w:r>
        <w:rPr>
          <w:rFonts w:ascii="Avenir Next" w:hAnsi="Avenir Next" w:cs="Arial"/>
          <w:color w:val="7B7B7B" w:themeColor="accent3" w:themeShade="BF"/>
          <w:sz w:val="22"/>
          <w:szCs w:val="22"/>
          <w:lang w:val="en-GB"/>
        </w:rPr>
        <w:t xml:space="preserve"> bankruptcy. </w:t>
      </w:r>
      <w:r w:rsidR="006B3E5E">
        <w:rPr>
          <w:rFonts w:ascii="Avenir Next" w:hAnsi="Avenir Next" w:cs="Arial"/>
          <w:color w:val="7B7B7B" w:themeColor="accent3" w:themeShade="BF"/>
          <w:sz w:val="22"/>
          <w:szCs w:val="22"/>
          <w:lang w:val="en-GB"/>
        </w:rPr>
        <w:t>It can be rebutted by the creditor</w:t>
      </w:r>
      <w:r w:rsidR="00B12526">
        <w:rPr>
          <w:rFonts w:ascii="Avenir Next" w:hAnsi="Avenir Next" w:cs="Arial"/>
          <w:color w:val="7B7B7B" w:themeColor="accent3" w:themeShade="BF"/>
          <w:sz w:val="22"/>
          <w:szCs w:val="22"/>
          <w:lang w:val="en-GB"/>
        </w:rPr>
        <w:t>.</w:t>
      </w:r>
    </w:p>
    <w:p w14:paraId="7006AFCC" w14:textId="4D34A412" w:rsidR="007C077A" w:rsidRDefault="007C077A" w:rsidP="006537DE">
      <w:pPr>
        <w:pStyle w:val="Paragraphedeliste"/>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during the suspect period</w:t>
      </w:r>
    </w:p>
    <w:p w14:paraId="77872DDD" w14:textId="5A9EA95E" w:rsidR="00B12526" w:rsidRDefault="0072794E" w:rsidP="00B12526">
      <w:pPr>
        <w:pStyle w:val="Paragraphedeliste"/>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suspect period for a transfer to third parties is 90 days before the petition</w:t>
      </w:r>
      <w:r w:rsidR="006B5FE4">
        <w:rPr>
          <w:rFonts w:ascii="Avenir Next" w:hAnsi="Avenir Next" w:cs="Arial"/>
          <w:color w:val="7B7B7B" w:themeColor="accent3" w:themeShade="BF"/>
          <w:sz w:val="22"/>
          <w:szCs w:val="22"/>
          <w:lang w:val="en-GB"/>
        </w:rPr>
        <w:t xml:space="preserve"> date. And it is 1 year before for a transfer to an insider.</w:t>
      </w:r>
    </w:p>
    <w:p w14:paraId="122A97D6" w14:textId="77D9B834" w:rsidR="00E41578" w:rsidRDefault="007C077A" w:rsidP="009B169D">
      <w:pPr>
        <w:pStyle w:val="Paragraphedeliste"/>
        <w:numPr>
          <w:ilvl w:val="0"/>
          <w:numId w:val="32"/>
        </w:numPr>
        <w:jc w:val="both"/>
        <w:rPr>
          <w:rFonts w:ascii="Avenir Next" w:hAnsi="Avenir Next" w:cs="Arial"/>
          <w:color w:val="7B7B7B" w:themeColor="accent3" w:themeShade="BF"/>
          <w:sz w:val="22"/>
          <w:szCs w:val="22"/>
          <w:lang w:val="en-GB"/>
        </w:rPr>
      </w:pPr>
      <w:r w:rsidRPr="006B5FE4">
        <w:rPr>
          <w:rFonts w:ascii="Avenir Next" w:hAnsi="Avenir Next" w:cs="Arial"/>
          <w:color w:val="7B7B7B" w:themeColor="accent3" w:themeShade="BF"/>
          <w:sz w:val="22"/>
          <w:szCs w:val="22"/>
          <w:lang w:val="en-GB"/>
        </w:rPr>
        <w:t>The creditor received more than it would have in a chapter 7 liquidation proceeding</w:t>
      </w:r>
      <w:r w:rsidR="00D979DA">
        <w:rPr>
          <w:rFonts w:ascii="Avenir Next" w:hAnsi="Avenir Next" w:cs="Arial"/>
          <w:color w:val="7B7B7B" w:themeColor="accent3" w:themeShade="BF"/>
          <w:sz w:val="22"/>
          <w:szCs w:val="22"/>
          <w:lang w:val="en-GB"/>
        </w:rPr>
        <w:t>.</w:t>
      </w:r>
    </w:p>
    <w:p w14:paraId="454D00F5" w14:textId="7199D143" w:rsidR="006B5FE4" w:rsidRPr="006B5FE4" w:rsidRDefault="00D979DA" w:rsidP="006B5FE4">
      <w:pPr>
        <w:pStyle w:val="Paragraphedeliste"/>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claim aims to </w:t>
      </w:r>
      <w:r w:rsidR="00C92B04">
        <w:rPr>
          <w:rFonts w:ascii="Avenir Next" w:hAnsi="Avenir Next" w:cs="Arial"/>
          <w:color w:val="7B7B7B" w:themeColor="accent3" w:themeShade="BF"/>
          <w:sz w:val="22"/>
          <w:szCs w:val="22"/>
          <w:lang w:val="en-GB"/>
        </w:rPr>
        <w:t xml:space="preserve">void an improvement of one creditor’s situation compared to a chapter 7 liquidation. In order to assess this element, the court must </w:t>
      </w:r>
      <w:r w:rsidR="00DF03CE">
        <w:rPr>
          <w:rFonts w:ascii="Avenir Next" w:hAnsi="Avenir Next" w:cs="Arial"/>
          <w:color w:val="7B7B7B" w:themeColor="accent3" w:themeShade="BF"/>
          <w:sz w:val="22"/>
          <w:szCs w:val="22"/>
          <w:lang w:val="en-GB"/>
        </w:rPr>
        <w:t>assess what</w:t>
      </w:r>
      <w:r w:rsidR="009936FD">
        <w:rPr>
          <w:rFonts w:ascii="Avenir Next" w:hAnsi="Avenir Next" w:cs="Arial"/>
          <w:color w:val="7B7B7B" w:themeColor="accent3" w:themeShade="BF"/>
          <w:sz w:val="22"/>
          <w:szCs w:val="22"/>
          <w:lang w:val="en-GB"/>
        </w:rPr>
        <w:t xml:space="preserve"> value would </w:t>
      </w:r>
      <w:r w:rsidR="009936FD">
        <w:rPr>
          <w:rFonts w:ascii="Avenir Next" w:hAnsi="Avenir Next" w:cs="Arial"/>
          <w:color w:val="7B7B7B" w:themeColor="accent3" w:themeShade="BF"/>
          <w:sz w:val="22"/>
          <w:szCs w:val="22"/>
          <w:lang w:val="en-GB"/>
        </w:rPr>
        <w:lastRenderedPageBreak/>
        <w:t xml:space="preserve">have been received and how much money would have been distributed to the recipient. </w:t>
      </w:r>
      <w:r w:rsidR="00D75524">
        <w:rPr>
          <w:rFonts w:ascii="Avenir Next" w:hAnsi="Avenir Next" w:cs="Arial"/>
          <w:color w:val="7B7B7B" w:themeColor="accent3" w:themeShade="BF"/>
          <w:sz w:val="22"/>
          <w:szCs w:val="22"/>
          <w:lang w:val="en-GB"/>
        </w:rPr>
        <w:t>This simulation of a chapter 7 liquidation must take into account all the priority administrative expenses that would have incurred since the petition date.</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390E54">
        <w:rPr>
          <w:rFonts w:ascii="Avenir Next" w:hAnsi="Avenir Next"/>
          <w:color w:val="FF0000"/>
        </w:rPr>
        <w:t>Describe</w:t>
      </w:r>
      <w:r w:rsidRPr="00E01803">
        <w:rPr>
          <w:rFonts w:ascii="Avenir Next" w:hAnsi="Avenir Next"/>
        </w:rPr>
        <w:t xml:space="preserve"> the circumstances in which a bankruptcy court may enter </w:t>
      </w:r>
      <w:r w:rsidRPr="00522C92">
        <w:rPr>
          <w:rFonts w:ascii="Avenir Next" w:hAnsi="Avenir Next"/>
          <w:b/>
          <w:bCs/>
        </w:rPr>
        <w:t>a final order</w:t>
      </w:r>
      <w:r w:rsidRPr="00E01803">
        <w:rPr>
          <w:rFonts w:ascii="Avenir Next" w:hAnsi="Avenir Next"/>
        </w:rPr>
        <w:t xml:space="preserve">, </w:t>
      </w:r>
      <w:r w:rsidRPr="00522C92">
        <w:rPr>
          <w:rFonts w:ascii="Avenir Next" w:hAnsi="Avenir Next"/>
          <w:b/>
          <w:bCs/>
        </w:rPr>
        <w:t>who reviews appeals</w:t>
      </w:r>
      <w:r w:rsidRPr="00E01803">
        <w:rPr>
          <w:rFonts w:ascii="Avenir Next" w:hAnsi="Avenir Next"/>
        </w:rPr>
        <w:t xml:space="preserve"> from bankruptcy court orders and </w:t>
      </w:r>
      <w:r w:rsidRPr="00522C92">
        <w:rPr>
          <w:rFonts w:ascii="Avenir Next" w:hAnsi="Avenir Next"/>
          <w:b/>
          <w:bCs/>
        </w:rPr>
        <w:t>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763125EC" w14:textId="6E9C197C" w:rsidR="00AB4307" w:rsidRDefault="0012763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Bankruptcy courts’ jurisdiction </w:t>
      </w:r>
      <w:r w:rsidR="00F423CC">
        <w:rPr>
          <w:rFonts w:ascii="Avenir Next" w:hAnsi="Avenir Next" w:cs="Arial"/>
          <w:color w:val="7B7B7B" w:themeColor="accent3" w:themeShade="BF"/>
          <w:sz w:val="22"/>
          <w:szCs w:val="22"/>
          <w:lang w:val="en-GB"/>
        </w:rPr>
        <w:t>is based on article III of the US Constitution.</w:t>
      </w:r>
      <w:r w:rsidR="00E95373">
        <w:rPr>
          <w:rFonts w:ascii="Avenir Next" w:hAnsi="Avenir Next" w:cs="Arial"/>
          <w:color w:val="7B7B7B" w:themeColor="accent3" w:themeShade="BF"/>
          <w:sz w:val="22"/>
          <w:szCs w:val="22"/>
          <w:lang w:val="en-GB"/>
        </w:rPr>
        <w:t xml:space="preserve"> Because bankruptcy court</w:t>
      </w:r>
      <w:r w:rsidR="0004614E">
        <w:rPr>
          <w:rFonts w:ascii="Avenir Next" w:hAnsi="Avenir Next" w:cs="Arial"/>
          <w:color w:val="7B7B7B" w:themeColor="accent3" w:themeShade="BF"/>
          <w:sz w:val="22"/>
          <w:szCs w:val="22"/>
          <w:lang w:val="en-GB"/>
        </w:rPr>
        <w:t>s</w:t>
      </w:r>
      <w:r w:rsidR="00E95373">
        <w:rPr>
          <w:rFonts w:ascii="Avenir Next" w:hAnsi="Avenir Next" w:cs="Arial"/>
          <w:color w:val="7B7B7B" w:themeColor="accent3" w:themeShade="BF"/>
          <w:sz w:val="22"/>
          <w:szCs w:val="22"/>
          <w:lang w:val="en-GB"/>
        </w:rPr>
        <w:t xml:space="preserve"> are </w:t>
      </w:r>
      <w:r w:rsidR="0004614E">
        <w:rPr>
          <w:rFonts w:ascii="Avenir Next" w:hAnsi="Avenir Next" w:cs="Arial"/>
          <w:color w:val="7B7B7B" w:themeColor="accent3" w:themeShade="BF"/>
          <w:sz w:val="22"/>
          <w:szCs w:val="22"/>
          <w:lang w:val="en-GB"/>
        </w:rPr>
        <w:t xml:space="preserve">related to one district court and are not properly part of the </w:t>
      </w:r>
      <w:r w:rsidR="0023005B">
        <w:rPr>
          <w:rFonts w:ascii="Avenir Next" w:hAnsi="Avenir Next" w:cs="Arial"/>
          <w:color w:val="7B7B7B" w:themeColor="accent3" w:themeShade="BF"/>
          <w:sz w:val="22"/>
          <w:szCs w:val="22"/>
          <w:lang w:val="en-GB"/>
        </w:rPr>
        <w:t>federal system, t</w:t>
      </w:r>
      <w:r w:rsidR="00F423CC">
        <w:rPr>
          <w:rFonts w:ascii="Avenir Next" w:hAnsi="Avenir Next" w:cs="Arial"/>
          <w:color w:val="7B7B7B" w:themeColor="accent3" w:themeShade="BF"/>
          <w:sz w:val="22"/>
          <w:szCs w:val="22"/>
          <w:lang w:val="en-GB"/>
        </w:rPr>
        <w:t xml:space="preserve">he US Supreme Court held </w:t>
      </w:r>
      <w:r w:rsidR="0023005B">
        <w:rPr>
          <w:rFonts w:ascii="Avenir Next" w:hAnsi="Avenir Next" w:cs="Arial"/>
          <w:color w:val="7B7B7B" w:themeColor="accent3" w:themeShade="BF"/>
          <w:sz w:val="22"/>
          <w:szCs w:val="22"/>
          <w:lang w:val="en-GB"/>
        </w:rPr>
        <w:t>in 19</w:t>
      </w:r>
      <w:r w:rsidR="00AB4307">
        <w:rPr>
          <w:rFonts w:ascii="Avenir Next" w:hAnsi="Avenir Next" w:cs="Arial"/>
          <w:color w:val="7B7B7B" w:themeColor="accent3" w:themeShade="BF"/>
          <w:sz w:val="22"/>
          <w:szCs w:val="22"/>
          <w:lang w:val="en-GB"/>
        </w:rPr>
        <w:t>8</w:t>
      </w:r>
      <w:r w:rsidR="00A00AAB">
        <w:rPr>
          <w:rFonts w:ascii="Avenir Next" w:hAnsi="Avenir Next" w:cs="Arial"/>
          <w:color w:val="7B7B7B" w:themeColor="accent3" w:themeShade="BF"/>
          <w:sz w:val="22"/>
          <w:szCs w:val="22"/>
          <w:lang w:val="en-GB"/>
        </w:rPr>
        <w:t>2</w:t>
      </w:r>
      <w:r w:rsidR="00AB4307">
        <w:rPr>
          <w:rFonts w:ascii="Avenir Next" w:hAnsi="Avenir Next" w:cs="Arial"/>
          <w:color w:val="7B7B7B" w:themeColor="accent3" w:themeShade="BF"/>
          <w:sz w:val="22"/>
          <w:szCs w:val="22"/>
          <w:lang w:val="en-GB"/>
        </w:rPr>
        <w:t xml:space="preserve"> (Northern Pipeline Construction Co v. Marathon Pipe Line Co)</w:t>
      </w:r>
      <w:r w:rsidR="0023005B">
        <w:rPr>
          <w:rFonts w:ascii="Avenir Next" w:hAnsi="Avenir Next" w:cs="Arial"/>
          <w:color w:val="7B7B7B" w:themeColor="accent3" w:themeShade="BF"/>
          <w:sz w:val="22"/>
          <w:szCs w:val="22"/>
          <w:lang w:val="en-GB"/>
        </w:rPr>
        <w:t xml:space="preserve"> </w:t>
      </w:r>
      <w:r w:rsidR="00F423CC">
        <w:rPr>
          <w:rFonts w:ascii="Avenir Next" w:hAnsi="Avenir Next" w:cs="Arial"/>
          <w:color w:val="7B7B7B" w:themeColor="accent3" w:themeShade="BF"/>
          <w:sz w:val="22"/>
          <w:szCs w:val="22"/>
          <w:lang w:val="en-GB"/>
        </w:rPr>
        <w:t xml:space="preserve">that </w:t>
      </w:r>
      <w:r w:rsidR="00AB4307">
        <w:rPr>
          <w:rFonts w:ascii="Avenir Next" w:hAnsi="Avenir Next" w:cs="Arial"/>
          <w:color w:val="7B7B7B" w:themeColor="accent3" w:themeShade="BF"/>
          <w:sz w:val="22"/>
          <w:szCs w:val="22"/>
          <w:lang w:val="en-GB"/>
        </w:rPr>
        <w:t>jurisdictional provisions of the Bankruptcy Code of 1978 were unconstitutional.</w:t>
      </w:r>
    </w:p>
    <w:p w14:paraId="0DCB30B2" w14:textId="780A15BE" w:rsidR="00BB7739" w:rsidRDefault="00AB430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new provisions enacted after this decision</w:t>
      </w:r>
      <w:r w:rsidR="005B5130">
        <w:rPr>
          <w:rFonts w:ascii="Avenir Next" w:hAnsi="Avenir Next" w:cs="Arial"/>
          <w:color w:val="7B7B7B" w:themeColor="accent3" w:themeShade="BF"/>
          <w:sz w:val="22"/>
          <w:szCs w:val="22"/>
          <w:lang w:val="en-GB"/>
        </w:rPr>
        <w:t xml:space="preserve"> of the Supreme Court</w:t>
      </w:r>
      <w:r>
        <w:rPr>
          <w:rFonts w:ascii="Avenir Next" w:hAnsi="Avenir Next" w:cs="Arial"/>
          <w:color w:val="7B7B7B" w:themeColor="accent3" w:themeShade="BF"/>
          <w:sz w:val="22"/>
          <w:szCs w:val="22"/>
          <w:lang w:val="en-GB"/>
        </w:rPr>
        <w:t>, there is a distinction between “core” and “non-core” matters</w:t>
      </w:r>
      <w:r w:rsidR="00BB7739">
        <w:rPr>
          <w:rFonts w:ascii="Avenir Next" w:hAnsi="Avenir Next" w:cs="Arial"/>
          <w:color w:val="7B7B7B" w:themeColor="accent3" w:themeShade="BF"/>
          <w:sz w:val="22"/>
          <w:szCs w:val="22"/>
          <w:lang w:val="en-GB"/>
        </w:rPr>
        <w:t xml:space="preserve"> that allows </w:t>
      </w:r>
      <w:r w:rsidR="00A24A65">
        <w:rPr>
          <w:rFonts w:ascii="Avenir Next" w:hAnsi="Avenir Next" w:cs="Arial"/>
          <w:color w:val="7B7B7B" w:themeColor="accent3" w:themeShade="BF"/>
          <w:sz w:val="22"/>
          <w:szCs w:val="22"/>
          <w:lang w:val="en-GB"/>
        </w:rPr>
        <w:t xml:space="preserve">bankruptcy judges to </w:t>
      </w:r>
      <w:r w:rsidR="00B74986">
        <w:rPr>
          <w:rFonts w:ascii="Avenir Next" w:hAnsi="Avenir Next" w:cs="Arial"/>
          <w:color w:val="7B7B7B" w:themeColor="accent3" w:themeShade="BF"/>
          <w:sz w:val="22"/>
          <w:szCs w:val="22"/>
          <w:lang w:val="en-GB"/>
        </w:rPr>
        <w:t>make final decision only on core proceedings (28 USC, §157).</w:t>
      </w:r>
    </w:p>
    <w:p w14:paraId="60BF1AF2" w14:textId="0BE23A84" w:rsidR="005B5130" w:rsidRDefault="00B7498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example, a core-proceeding is a proceeding about the administration of the estate</w:t>
      </w:r>
      <w:r w:rsidR="003C7D86">
        <w:rPr>
          <w:rFonts w:ascii="Avenir Next" w:hAnsi="Avenir Next" w:cs="Arial"/>
          <w:color w:val="7B7B7B" w:themeColor="accent3" w:themeShade="BF"/>
          <w:sz w:val="22"/>
          <w:szCs w:val="22"/>
          <w:lang w:val="en-GB"/>
        </w:rPr>
        <w:t>.</w:t>
      </w:r>
    </w:p>
    <w:p w14:paraId="0D8D8350" w14:textId="0B36AA33" w:rsidR="005B5130" w:rsidRDefault="005B513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Litigant parties or </w:t>
      </w:r>
      <w:r w:rsidR="005C6144">
        <w:rPr>
          <w:rFonts w:ascii="Avenir Next" w:hAnsi="Avenir Next" w:cs="Arial"/>
          <w:color w:val="7B7B7B" w:themeColor="accent3" w:themeShade="BF"/>
          <w:sz w:val="22"/>
          <w:szCs w:val="22"/>
          <w:lang w:val="en-GB"/>
        </w:rPr>
        <w:t xml:space="preserve">persons who are affected by the bankruptcy order can appeal the bankruptcy court ruling. </w:t>
      </w:r>
      <w:r w:rsidR="00223C5E">
        <w:rPr>
          <w:rFonts w:ascii="Avenir Next" w:hAnsi="Avenir Next" w:cs="Arial"/>
          <w:color w:val="7B7B7B" w:themeColor="accent3" w:themeShade="BF"/>
          <w:sz w:val="22"/>
          <w:szCs w:val="22"/>
          <w:lang w:val="en-GB"/>
        </w:rPr>
        <w:t>The order will be reviewed by the district court</w:t>
      </w:r>
      <w:r w:rsidR="00FB06FC">
        <w:rPr>
          <w:rFonts w:ascii="Avenir Next" w:hAnsi="Avenir Next" w:cs="Arial"/>
          <w:color w:val="7B7B7B" w:themeColor="accent3" w:themeShade="BF"/>
          <w:sz w:val="22"/>
          <w:szCs w:val="22"/>
          <w:lang w:val="en-GB"/>
        </w:rPr>
        <w:t xml:space="preserve"> related to the bankruptcy court. However, in some circuits, </w:t>
      </w:r>
      <w:r w:rsidR="00C93D96">
        <w:rPr>
          <w:rFonts w:ascii="Avenir Next" w:hAnsi="Avenir Next" w:cs="Arial"/>
          <w:color w:val="7B7B7B" w:themeColor="accent3" w:themeShade="BF"/>
          <w:sz w:val="22"/>
          <w:szCs w:val="22"/>
          <w:lang w:val="en-GB"/>
        </w:rPr>
        <w:t>bankruptcy court order</w:t>
      </w:r>
      <w:r w:rsidR="00D01958">
        <w:rPr>
          <w:rFonts w:ascii="Avenir Next" w:hAnsi="Avenir Next" w:cs="Arial"/>
          <w:color w:val="7B7B7B" w:themeColor="accent3" w:themeShade="BF"/>
          <w:sz w:val="22"/>
          <w:szCs w:val="22"/>
          <w:lang w:val="en-GB"/>
        </w:rPr>
        <w:t xml:space="preserve">s are reviewed by a Bankruptcy Appellate Panel (BAP) which composed by judges from bankruptcy courts of the same circuit. </w:t>
      </w:r>
    </w:p>
    <w:p w14:paraId="4EF53A63" w14:textId="2C2C69F1" w:rsidR="009B6707" w:rsidRDefault="00522C9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Non final orders</w:t>
      </w:r>
      <w:r w:rsidR="00417461">
        <w:rPr>
          <w:rFonts w:ascii="Avenir Next" w:hAnsi="Avenir Next" w:cs="Arial"/>
          <w:color w:val="7B7B7B" w:themeColor="accent3" w:themeShade="BF"/>
          <w:sz w:val="22"/>
          <w:szCs w:val="22"/>
          <w:lang w:val="en-GB"/>
        </w:rPr>
        <w:t xml:space="preserve"> are orders</w:t>
      </w:r>
      <w:r w:rsidR="00B7721D">
        <w:rPr>
          <w:rFonts w:ascii="Avenir Next" w:hAnsi="Avenir Next" w:cs="Arial"/>
          <w:color w:val="7B7B7B" w:themeColor="accent3" w:themeShade="BF"/>
          <w:sz w:val="22"/>
          <w:szCs w:val="22"/>
          <w:lang w:val="en-GB"/>
        </w:rPr>
        <w:t xml:space="preserve"> on non-core matters</w:t>
      </w:r>
      <w:r w:rsidR="00417461">
        <w:rPr>
          <w:rFonts w:ascii="Avenir Next" w:hAnsi="Avenir Next" w:cs="Arial"/>
          <w:color w:val="7B7B7B" w:themeColor="accent3" w:themeShade="BF"/>
          <w:sz w:val="22"/>
          <w:szCs w:val="22"/>
          <w:lang w:val="en-GB"/>
        </w:rPr>
        <w:t xml:space="preserve"> where the bankruptcy courts </w:t>
      </w:r>
      <w:r w:rsidR="00E262D3">
        <w:rPr>
          <w:rFonts w:ascii="Avenir Next" w:hAnsi="Avenir Next" w:cs="Arial"/>
          <w:color w:val="7B7B7B" w:themeColor="accent3" w:themeShade="BF"/>
          <w:sz w:val="22"/>
          <w:szCs w:val="22"/>
          <w:lang w:val="en-GB"/>
        </w:rPr>
        <w:t>hear</w:t>
      </w:r>
      <w:r w:rsidR="009B6707">
        <w:rPr>
          <w:rFonts w:ascii="Avenir Next" w:hAnsi="Avenir Next" w:cs="Arial"/>
          <w:color w:val="7B7B7B" w:themeColor="accent3" w:themeShade="BF"/>
          <w:sz w:val="22"/>
          <w:szCs w:val="22"/>
          <w:lang w:val="en-GB"/>
        </w:rPr>
        <w:t>s</w:t>
      </w:r>
      <w:r w:rsidR="00E262D3">
        <w:rPr>
          <w:rFonts w:ascii="Avenir Next" w:hAnsi="Avenir Next" w:cs="Arial"/>
          <w:color w:val="7B7B7B" w:themeColor="accent3" w:themeShade="BF"/>
          <w:sz w:val="22"/>
          <w:szCs w:val="22"/>
          <w:lang w:val="en-GB"/>
        </w:rPr>
        <w:t xml:space="preserve"> litigants and </w:t>
      </w:r>
      <w:r w:rsidR="009B6707">
        <w:rPr>
          <w:rFonts w:ascii="Avenir Next" w:hAnsi="Avenir Next" w:cs="Arial"/>
          <w:color w:val="7B7B7B" w:themeColor="accent3" w:themeShade="BF"/>
          <w:sz w:val="22"/>
          <w:szCs w:val="22"/>
          <w:lang w:val="en-GB"/>
        </w:rPr>
        <w:t>submits its opinion in facts and in law to the district court, in order for t</w:t>
      </w:r>
      <w:r w:rsidR="00E262D3">
        <w:rPr>
          <w:rFonts w:ascii="Avenir Next" w:hAnsi="Avenir Next" w:cs="Arial"/>
          <w:color w:val="7B7B7B" w:themeColor="accent3" w:themeShade="BF"/>
          <w:sz w:val="22"/>
          <w:szCs w:val="22"/>
          <w:lang w:val="en-GB"/>
        </w:rPr>
        <w:t>he district court</w:t>
      </w:r>
      <w:r w:rsidR="009B6707">
        <w:rPr>
          <w:rFonts w:ascii="Avenir Next" w:hAnsi="Avenir Next" w:cs="Arial"/>
          <w:color w:val="7B7B7B" w:themeColor="accent3" w:themeShade="BF"/>
          <w:sz w:val="22"/>
          <w:szCs w:val="22"/>
          <w:lang w:val="en-GB"/>
        </w:rPr>
        <w:t xml:space="preserve"> to make a final decision</w:t>
      </w:r>
      <w:r w:rsidR="00E262D3">
        <w:rPr>
          <w:rFonts w:ascii="Avenir Next" w:hAnsi="Avenir Next" w:cs="Arial"/>
          <w:color w:val="7B7B7B" w:themeColor="accent3" w:themeShade="BF"/>
          <w:sz w:val="22"/>
          <w:szCs w:val="22"/>
          <w:lang w:val="en-GB"/>
        </w:rPr>
        <w:t>.</w:t>
      </w:r>
      <w:r w:rsidR="009B6707">
        <w:rPr>
          <w:rFonts w:ascii="Avenir Next" w:hAnsi="Avenir Next" w:cs="Arial"/>
          <w:color w:val="7B7B7B" w:themeColor="accent3" w:themeShade="BF"/>
          <w:sz w:val="22"/>
          <w:szCs w:val="22"/>
          <w:lang w:val="en-GB"/>
        </w:rPr>
        <w:t xml:space="preserve"> Then, the district court’s decision can be review by the court of appeal (circuit courts)</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 xml:space="preserve">What provisions of the Bankruptcy Code automatically apply to the debtor’s property within the territorial jurisdiction of the United States </w:t>
      </w:r>
      <w:r w:rsidRPr="009875F8">
        <w:rPr>
          <w:rFonts w:ascii="Avenir Next" w:hAnsi="Avenir Next"/>
          <w:b/>
          <w:bCs/>
        </w:rPr>
        <w:t xml:space="preserve">upon recognition of </w:t>
      </w:r>
      <w:r w:rsidRPr="006C4167">
        <w:rPr>
          <w:rFonts w:ascii="Avenir Next" w:hAnsi="Avenir Next"/>
          <w:b/>
          <w:bCs/>
          <w:u w:val="single"/>
        </w:rPr>
        <w:t>a foreign main proceeding</w:t>
      </w:r>
      <w:r w:rsidRPr="00E01803">
        <w:rPr>
          <w:rFonts w:ascii="Avenir Next" w:hAnsi="Avenir Next"/>
        </w:rPr>
        <w:t xml:space="preserve">? What relief </w:t>
      </w:r>
      <w:r w:rsidRPr="005B7BE9">
        <w:rPr>
          <w:rFonts w:ascii="Avenir Next" w:hAnsi="Avenir Next"/>
          <w:b/>
          <w:bCs/>
          <w:u w:val="single"/>
        </w:rPr>
        <w:t>may be</w:t>
      </w:r>
      <w:r w:rsidRPr="00E01803">
        <w:rPr>
          <w:rFonts w:ascii="Avenir Next" w:hAnsi="Avenir Next"/>
        </w:rPr>
        <w:t xml:space="preserve"> granted on </w:t>
      </w:r>
      <w:r w:rsidRPr="009875F8">
        <w:rPr>
          <w:rFonts w:ascii="Avenir Next" w:hAnsi="Avenir Next"/>
          <w:b/>
          <w:bCs/>
        </w:rPr>
        <w:t>a discretionary basis</w:t>
      </w:r>
      <w:r w:rsidRPr="00E01803">
        <w:rPr>
          <w:rFonts w:ascii="Avenir Next" w:hAnsi="Avenir Next"/>
        </w:rPr>
        <w:t xml:space="preserve"> for </w:t>
      </w:r>
      <w:r w:rsidRPr="009875F8">
        <w:rPr>
          <w:rFonts w:ascii="Avenir Next" w:hAnsi="Avenir Next"/>
          <w:b/>
          <w:bCs/>
          <w:u w:val="single"/>
        </w:rPr>
        <w:t>either foreign main or non-main proceedings</w:t>
      </w:r>
      <w:r w:rsidRPr="00E01803">
        <w:rPr>
          <w:rFonts w:ascii="Avenir Next" w:hAnsi="Avenir Next"/>
        </w:rPr>
        <w:t>?</w:t>
      </w:r>
    </w:p>
    <w:p w14:paraId="1E59F471" w14:textId="77777777" w:rsidR="00F84270" w:rsidRPr="00E01803" w:rsidRDefault="00F84270" w:rsidP="000778B1">
      <w:pPr>
        <w:pStyle w:val="AODocTxt"/>
        <w:spacing w:before="0" w:line="240" w:lineRule="auto"/>
        <w:rPr>
          <w:rFonts w:ascii="Avenir Next" w:hAnsi="Avenir Next"/>
        </w:rPr>
      </w:pPr>
    </w:p>
    <w:p w14:paraId="71509F42" w14:textId="48C89995" w:rsidR="00B618C2" w:rsidRDefault="0021654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recognition of a foreign main proceeding is granted, </w:t>
      </w:r>
      <w:r w:rsidR="00A70D72">
        <w:rPr>
          <w:rFonts w:ascii="Avenir Next" w:hAnsi="Avenir Next" w:cs="Arial"/>
          <w:color w:val="7B7B7B" w:themeColor="accent3" w:themeShade="BF"/>
          <w:sz w:val="22"/>
          <w:szCs w:val="22"/>
          <w:lang w:val="en-GB"/>
        </w:rPr>
        <w:t xml:space="preserve">some Bankruptcy code provisions will automatically apply to assets and interests located in </w:t>
      </w:r>
      <w:r w:rsidR="00F327C2">
        <w:rPr>
          <w:rFonts w:ascii="Avenir Next" w:hAnsi="Avenir Next" w:cs="Arial"/>
          <w:color w:val="7B7B7B" w:themeColor="accent3" w:themeShade="BF"/>
          <w:sz w:val="22"/>
          <w:szCs w:val="22"/>
          <w:lang w:val="en-GB"/>
        </w:rPr>
        <w:t>territorial jurisdiction of the USA.</w:t>
      </w:r>
      <w:r w:rsidR="00355A8D">
        <w:rPr>
          <w:rFonts w:ascii="Avenir Next" w:hAnsi="Avenir Next" w:cs="Arial"/>
          <w:color w:val="7B7B7B" w:themeColor="accent3" w:themeShade="BF"/>
          <w:sz w:val="22"/>
          <w:szCs w:val="22"/>
          <w:lang w:val="en-GB"/>
        </w:rPr>
        <w:t xml:space="preserve"> (11 USC §1520)</w:t>
      </w:r>
      <w:r w:rsidR="00F327C2">
        <w:rPr>
          <w:rFonts w:ascii="Avenir Next" w:hAnsi="Avenir Next" w:cs="Arial"/>
          <w:color w:val="7B7B7B" w:themeColor="accent3" w:themeShade="BF"/>
          <w:sz w:val="22"/>
          <w:szCs w:val="22"/>
          <w:lang w:val="en-GB"/>
        </w:rPr>
        <w:t xml:space="preserve"> </w:t>
      </w:r>
    </w:p>
    <w:p w14:paraId="68137DEB" w14:textId="32D6EC62" w:rsidR="00BF56B9" w:rsidRDefault="00F327C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recognition, </w:t>
      </w:r>
      <w:r w:rsidR="00354B32">
        <w:rPr>
          <w:rFonts w:ascii="Avenir Next" w:hAnsi="Avenir Next" w:cs="Arial"/>
          <w:color w:val="7B7B7B" w:themeColor="accent3" w:themeShade="BF"/>
          <w:sz w:val="22"/>
          <w:szCs w:val="22"/>
          <w:lang w:val="en-GB"/>
        </w:rPr>
        <w:t xml:space="preserve">provisions about </w:t>
      </w:r>
      <w:r w:rsidR="00765B95">
        <w:rPr>
          <w:rFonts w:ascii="Avenir Next" w:hAnsi="Avenir Next" w:cs="Arial"/>
          <w:color w:val="7B7B7B" w:themeColor="accent3" w:themeShade="BF"/>
          <w:sz w:val="22"/>
          <w:szCs w:val="22"/>
          <w:lang w:val="en-GB"/>
        </w:rPr>
        <w:t>(</w:t>
      </w:r>
      <w:proofErr w:type="spellStart"/>
      <w:r w:rsidR="00765B95">
        <w:rPr>
          <w:rFonts w:ascii="Avenir Next" w:hAnsi="Avenir Next" w:cs="Arial"/>
          <w:color w:val="7B7B7B" w:themeColor="accent3" w:themeShade="BF"/>
          <w:sz w:val="22"/>
          <w:szCs w:val="22"/>
          <w:lang w:val="en-GB"/>
        </w:rPr>
        <w:t>i</w:t>
      </w:r>
      <w:proofErr w:type="spellEnd"/>
      <w:r w:rsidR="00765B95">
        <w:rPr>
          <w:rFonts w:ascii="Avenir Next" w:hAnsi="Avenir Next" w:cs="Arial"/>
          <w:color w:val="7B7B7B" w:themeColor="accent3" w:themeShade="BF"/>
          <w:sz w:val="22"/>
          <w:szCs w:val="22"/>
          <w:lang w:val="en-GB"/>
        </w:rPr>
        <w:t xml:space="preserve">) </w:t>
      </w:r>
      <w:r w:rsidR="00354B32">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w:t>
      </w:r>
      <w:r w:rsidR="00A70D72">
        <w:rPr>
          <w:rFonts w:ascii="Avenir Next" w:hAnsi="Avenir Next" w:cs="Arial"/>
          <w:color w:val="7B7B7B" w:themeColor="accent3" w:themeShade="BF"/>
          <w:sz w:val="22"/>
          <w:szCs w:val="22"/>
          <w:lang w:val="en-GB"/>
        </w:rPr>
        <w:t>a</w:t>
      </w:r>
      <w:r w:rsidR="009875F8">
        <w:rPr>
          <w:rFonts w:ascii="Avenir Next" w:hAnsi="Avenir Next" w:cs="Arial"/>
          <w:color w:val="7B7B7B" w:themeColor="accent3" w:themeShade="BF"/>
          <w:sz w:val="22"/>
          <w:szCs w:val="22"/>
          <w:lang w:val="en-GB"/>
        </w:rPr>
        <w:t>utomatic stay</w:t>
      </w:r>
      <w:r w:rsidR="00605D6D">
        <w:rPr>
          <w:rFonts w:ascii="Avenir Next" w:hAnsi="Avenir Next" w:cs="Arial"/>
          <w:color w:val="7B7B7B" w:themeColor="accent3" w:themeShade="BF"/>
          <w:sz w:val="22"/>
          <w:szCs w:val="22"/>
          <w:lang w:val="en-GB"/>
        </w:rPr>
        <w:t xml:space="preserve"> of creditor’s actions</w:t>
      </w:r>
      <w:r w:rsidR="00765B95">
        <w:rPr>
          <w:rFonts w:ascii="Avenir Next" w:hAnsi="Avenir Next" w:cs="Arial"/>
          <w:color w:val="7B7B7B" w:themeColor="accent3" w:themeShade="BF"/>
          <w:sz w:val="22"/>
          <w:szCs w:val="22"/>
          <w:lang w:val="en-GB"/>
        </w:rPr>
        <w:t xml:space="preserve"> (</w:t>
      </w:r>
      <w:r w:rsidR="00765B95" w:rsidRPr="00F24B08">
        <w:rPr>
          <w:rFonts w:ascii="Avenir Next" w:hAnsi="Avenir Next" w:cs="Arial"/>
          <w:color w:val="7B7B7B" w:themeColor="accent3" w:themeShade="BF"/>
          <w:sz w:val="22"/>
          <w:szCs w:val="22"/>
          <w:lang w:val="en-GB"/>
        </w:rPr>
        <w:t>USC</w:t>
      </w:r>
      <w:r w:rsidR="00F24B08" w:rsidRPr="00F24B08">
        <w:rPr>
          <w:rFonts w:ascii="Avenir Next" w:hAnsi="Avenir Next" w:cs="Arial"/>
          <w:color w:val="7B7B7B" w:themeColor="accent3" w:themeShade="BF"/>
          <w:sz w:val="22"/>
          <w:szCs w:val="22"/>
          <w:lang w:val="en-GB"/>
        </w:rPr>
        <w:t xml:space="preserve"> 11 §362</w:t>
      </w:r>
      <w:r w:rsidR="00765B9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r w:rsidR="00765B95">
        <w:rPr>
          <w:rFonts w:ascii="Avenir Next" w:hAnsi="Avenir Next" w:cs="Arial"/>
          <w:color w:val="7B7B7B" w:themeColor="accent3" w:themeShade="BF"/>
          <w:sz w:val="22"/>
          <w:szCs w:val="22"/>
          <w:lang w:val="en-GB"/>
        </w:rPr>
        <w:t xml:space="preserve"> (ii)</w:t>
      </w:r>
      <w:r>
        <w:rPr>
          <w:rFonts w:ascii="Avenir Next" w:hAnsi="Avenir Next" w:cs="Arial"/>
          <w:color w:val="7B7B7B" w:themeColor="accent3" w:themeShade="BF"/>
          <w:sz w:val="22"/>
          <w:szCs w:val="22"/>
          <w:lang w:val="en-GB"/>
        </w:rPr>
        <w:t xml:space="preserve"> </w:t>
      </w:r>
      <w:r w:rsidR="00B1183F">
        <w:rPr>
          <w:rFonts w:ascii="Avenir Next" w:hAnsi="Avenir Next" w:cs="Arial"/>
          <w:color w:val="7B7B7B" w:themeColor="accent3" w:themeShade="BF"/>
          <w:sz w:val="22"/>
          <w:szCs w:val="22"/>
          <w:lang w:val="en-GB"/>
        </w:rPr>
        <w:t xml:space="preserve">the manner can the </w:t>
      </w:r>
      <w:r w:rsidR="00F46878">
        <w:rPr>
          <w:rFonts w:ascii="Avenir Next" w:hAnsi="Avenir Next" w:cs="Arial"/>
          <w:color w:val="7B7B7B" w:themeColor="accent3" w:themeShade="BF"/>
          <w:sz w:val="22"/>
          <w:szCs w:val="22"/>
          <w:lang w:val="en-GB"/>
        </w:rPr>
        <w:t xml:space="preserve">debtor </w:t>
      </w:r>
      <w:r w:rsidR="006F77A0">
        <w:rPr>
          <w:rFonts w:ascii="Avenir Next" w:hAnsi="Avenir Next" w:cs="Arial"/>
          <w:color w:val="7B7B7B" w:themeColor="accent3" w:themeShade="BF"/>
          <w:sz w:val="22"/>
          <w:szCs w:val="22"/>
          <w:lang w:val="en-GB"/>
        </w:rPr>
        <w:t xml:space="preserve">and/or the foreign representative </w:t>
      </w:r>
      <w:r w:rsidR="00B1183F">
        <w:rPr>
          <w:rFonts w:ascii="Avenir Next" w:hAnsi="Avenir Next" w:cs="Arial"/>
          <w:color w:val="7B7B7B" w:themeColor="accent3" w:themeShade="BF"/>
          <w:sz w:val="22"/>
          <w:szCs w:val="22"/>
          <w:lang w:val="en-GB"/>
        </w:rPr>
        <w:t xml:space="preserve">can run its business on a </w:t>
      </w:r>
      <w:r w:rsidR="004D277A">
        <w:rPr>
          <w:rFonts w:ascii="Avenir Next" w:hAnsi="Avenir Next" w:cs="Arial"/>
          <w:color w:val="7B7B7B" w:themeColor="accent3" w:themeShade="BF"/>
          <w:sz w:val="22"/>
          <w:szCs w:val="22"/>
          <w:lang w:val="en-GB"/>
        </w:rPr>
        <w:t xml:space="preserve">ordinary </w:t>
      </w:r>
      <w:r w:rsidR="00B1183F">
        <w:rPr>
          <w:rFonts w:ascii="Avenir Next" w:hAnsi="Avenir Next" w:cs="Arial"/>
          <w:color w:val="7B7B7B" w:themeColor="accent3" w:themeShade="BF"/>
          <w:sz w:val="22"/>
          <w:szCs w:val="22"/>
          <w:lang w:val="en-GB"/>
        </w:rPr>
        <w:t>basis, with or without a trustee</w:t>
      </w:r>
      <w:r w:rsidR="00BC135C">
        <w:rPr>
          <w:rFonts w:ascii="Avenir Next" w:hAnsi="Avenir Next" w:cs="Arial"/>
          <w:color w:val="7B7B7B" w:themeColor="accent3" w:themeShade="BF"/>
          <w:sz w:val="22"/>
          <w:szCs w:val="22"/>
          <w:lang w:val="en-GB"/>
        </w:rPr>
        <w:t xml:space="preserve"> (</w:t>
      </w:r>
      <w:r w:rsidR="00504DFE" w:rsidRPr="00355A8D">
        <w:rPr>
          <w:rFonts w:ascii="Avenir Next" w:hAnsi="Avenir Next" w:cs="Arial"/>
          <w:color w:val="7B7B7B" w:themeColor="accent3" w:themeShade="BF"/>
          <w:sz w:val="22"/>
          <w:szCs w:val="22"/>
          <w:lang w:val="en-GB"/>
        </w:rPr>
        <w:t xml:space="preserve">11 </w:t>
      </w:r>
      <w:r w:rsidR="00BC135C" w:rsidRPr="00355A8D">
        <w:rPr>
          <w:rFonts w:ascii="Avenir Next" w:hAnsi="Avenir Next" w:cs="Arial"/>
          <w:color w:val="7B7B7B" w:themeColor="accent3" w:themeShade="BF"/>
          <w:sz w:val="22"/>
          <w:szCs w:val="22"/>
          <w:lang w:val="en-GB"/>
        </w:rPr>
        <w:t>USC</w:t>
      </w:r>
      <w:r w:rsidR="00504DFE" w:rsidRPr="00355A8D">
        <w:rPr>
          <w:rFonts w:ascii="Avenir Next" w:hAnsi="Avenir Next" w:cs="Arial"/>
          <w:color w:val="7B7B7B" w:themeColor="accent3" w:themeShade="BF"/>
          <w:sz w:val="22"/>
          <w:szCs w:val="22"/>
          <w:lang w:val="en-GB"/>
        </w:rPr>
        <w:t xml:space="preserve"> </w:t>
      </w:r>
      <w:r w:rsidR="008D2212" w:rsidRPr="00355A8D">
        <w:rPr>
          <w:rFonts w:ascii="Avenir Next" w:hAnsi="Avenir Next" w:cs="Arial"/>
          <w:color w:val="7B7B7B" w:themeColor="accent3" w:themeShade="BF"/>
          <w:sz w:val="22"/>
          <w:szCs w:val="22"/>
          <w:lang w:val="en-GB"/>
        </w:rPr>
        <w:t>§363 and §552</w:t>
      </w:r>
      <w:r w:rsidR="00BC135C" w:rsidRPr="00355A8D">
        <w:rPr>
          <w:rFonts w:ascii="Avenir Next" w:hAnsi="Avenir Next" w:cs="Arial"/>
          <w:color w:val="7B7B7B" w:themeColor="accent3" w:themeShade="BF"/>
          <w:sz w:val="22"/>
          <w:szCs w:val="22"/>
          <w:lang w:val="en-GB"/>
        </w:rPr>
        <w:t>)</w:t>
      </w:r>
      <w:r w:rsidR="00BF1E8D" w:rsidRPr="00355A8D">
        <w:rPr>
          <w:rFonts w:ascii="Avenir Next" w:hAnsi="Avenir Next" w:cs="Arial"/>
          <w:color w:val="7B7B7B" w:themeColor="accent3" w:themeShade="BF"/>
          <w:sz w:val="22"/>
          <w:szCs w:val="22"/>
          <w:lang w:val="en-GB"/>
        </w:rPr>
        <w:t xml:space="preserve">, all the provisions about sale, </w:t>
      </w:r>
      <w:r w:rsidR="00BC135C" w:rsidRPr="00355A8D">
        <w:rPr>
          <w:rFonts w:ascii="Avenir Next" w:hAnsi="Avenir Next" w:cs="Arial"/>
          <w:color w:val="7B7B7B" w:themeColor="accent3" w:themeShade="BF"/>
          <w:sz w:val="22"/>
          <w:szCs w:val="22"/>
          <w:lang w:val="en-GB"/>
        </w:rPr>
        <w:t xml:space="preserve">(iii) </w:t>
      </w:r>
      <w:r w:rsidR="00BF1E8D" w:rsidRPr="00355A8D">
        <w:rPr>
          <w:rFonts w:ascii="Avenir Next" w:hAnsi="Avenir Next" w:cs="Arial"/>
          <w:color w:val="7B7B7B" w:themeColor="accent3" w:themeShade="BF"/>
          <w:sz w:val="22"/>
          <w:szCs w:val="22"/>
          <w:lang w:val="en-GB"/>
        </w:rPr>
        <w:t xml:space="preserve">transfer </w:t>
      </w:r>
      <w:r w:rsidR="00BD2EDF" w:rsidRPr="00355A8D">
        <w:rPr>
          <w:rFonts w:ascii="Avenir Next" w:hAnsi="Avenir Next" w:cs="Arial"/>
          <w:color w:val="7B7B7B" w:themeColor="accent3" w:themeShade="BF"/>
          <w:sz w:val="22"/>
          <w:szCs w:val="22"/>
          <w:lang w:val="en-GB"/>
        </w:rPr>
        <w:t>and use of property outside the ordinary course of</w:t>
      </w:r>
      <w:r w:rsidR="00BD2EDF">
        <w:rPr>
          <w:rFonts w:ascii="Avenir Next" w:hAnsi="Avenir Next" w:cs="Arial"/>
          <w:color w:val="7B7B7B" w:themeColor="accent3" w:themeShade="BF"/>
          <w:sz w:val="22"/>
          <w:szCs w:val="22"/>
          <w:lang w:val="en-GB"/>
        </w:rPr>
        <w:t xml:space="preserve"> business such as 363 sale</w:t>
      </w:r>
      <w:r w:rsidR="00BC135C">
        <w:rPr>
          <w:rFonts w:ascii="Avenir Next" w:hAnsi="Avenir Next" w:cs="Arial"/>
          <w:color w:val="7B7B7B" w:themeColor="accent3" w:themeShade="BF"/>
          <w:sz w:val="22"/>
          <w:szCs w:val="22"/>
          <w:lang w:val="en-GB"/>
        </w:rPr>
        <w:t xml:space="preserve"> </w:t>
      </w:r>
      <w:r w:rsidR="00BC135C" w:rsidRPr="003A5C1F">
        <w:rPr>
          <w:rFonts w:ascii="Avenir Next" w:hAnsi="Avenir Next" w:cs="Arial"/>
          <w:color w:val="7B7B7B" w:themeColor="accent3" w:themeShade="BF"/>
          <w:sz w:val="22"/>
          <w:szCs w:val="22"/>
          <w:lang w:val="en-GB"/>
        </w:rPr>
        <w:t>(</w:t>
      </w:r>
      <w:r w:rsidR="003A5C1F" w:rsidRPr="003A5C1F">
        <w:rPr>
          <w:rFonts w:ascii="Avenir Next" w:hAnsi="Avenir Next" w:cs="Arial"/>
          <w:color w:val="7B7B7B" w:themeColor="accent3" w:themeShade="BF"/>
          <w:sz w:val="22"/>
          <w:szCs w:val="22"/>
          <w:lang w:val="en-GB"/>
        </w:rPr>
        <w:t>11 USC §363</w:t>
      </w:r>
      <w:r w:rsidR="00BC135C" w:rsidRPr="003A5C1F">
        <w:rPr>
          <w:rFonts w:ascii="Avenir Next" w:hAnsi="Avenir Next" w:cs="Arial"/>
          <w:color w:val="7B7B7B" w:themeColor="accent3" w:themeShade="BF"/>
          <w:sz w:val="22"/>
          <w:szCs w:val="22"/>
          <w:lang w:val="en-GB"/>
        </w:rPr>
        <w:t>)</w:t>
      </w:r>
      <w:r w:rsidR="00BD2EDF" w:rsidRPr="003A5C1F">
        <w:rPr>
          <w:rFonts w:ascii="Avenir Next" w:hAnsi="Avenir Next" w:cs="Arial"/>
          <w:color w:val="7B7B7B" w:themeColor="accent3" w:themeShade="BF"/>
          <w:sz w:val="22"/>
          <w:szCs w:val="22"/>
          <w:lang w:val="en-GB"/>
        </w:rPr>
        <w:t xml:space="preserve">, </w:t>
      </w:r>
      <w:r w:rsidR="00CA4331" w:rsidRPr="003A5C1F">
        <w:rPr>
          <w:rFonts w:ascii="Avenir Next" w:hAnsi="Avenir Next" w:cs="Arial"/>
          <w:color w:val="7B7B7B" w:themeColor="accent3" w:themeShade="BF"/>
          <w:sz w:val="22"/>
          <w:szCs w:val="22"/>
          <w:lang w:val="en-GB"/>
        </w:rPr>
        <w:t xml:space="preserve">(iv) avoidance of </w:t>
      </w:r>
      <w:r w:rsidR="00DA1314" w:rsidRPr="003A5C1F">
        <w:rPr>
          <w:rFonts w:ascii="Avenir Next" w:hAnsi="Avenir Next" w:cs="Arial"/>
          <w:color w:val="7B7B7B" w:themeColor="accent3" w:themeShade="BF"/>
          <w:sz w:val="22"/>
          <w:szCs w:val="22"/>
          <w:lang w:val="en-GB"/>
        </w:rPr>
        <w:t>post-petition transfer in property or p</w:t>
      </w:r>
      <w:r w:rsidR="00BF56B9" w:rsidRPr="003A5C1F">
        <w:rPr>
          <w:rFonts w:ascii="Avenir Next" w:hAnsi="Avenir Next" w:cs="Arial"/>
          <w:color w:val="7B7B7B" w:themeColor="accent3" w:themeShade="BF"/>
          <w:sz w:val="22"/>
          <w:szCs w:val="22"/>
          <w:lang w:val="en-GB"/>
        </w:rPr>
        <w:t>ost</w:t>
      </w:r>
      <w:r w:rsidR="00DA1314" w:rsidRPr="003A5C1F">
        <w:rPr>
          <w:rFonts w:ascii="Avenir Next" w:hAnsi="Avenir Next" w:cs="Arial"/>
          <w:color w:val="7B7B7B" w:themeColor="accent3" w:themeShade="BF"/>
          <w:sz w:val="22"/>
          <w:szCs w:val="22"/>
          <w:lang w:val="en-GB"/>
        </w:rPr>
        <w:t>-petition</w:t>
      </w:r>
      <w:r w:rsidR="00BF56B9" w:rsidRPr="003A5C1F">
        <w:rPr>
          <w:rFonts w:ascii="Avenir Next" w:hAnsi="Avenir Next" w:cs="Arial"/>
          <w:color w:val="7B7B7B" w:themeColor="accent3" w:themeShade="BF"/>
          <w:sz w:val="22"/>
          <w:szCs w:val="22"/>
          <w:lang w:val="en-GB"/>
        </w:rPr>
        <w:t xml:space="preserve"> perfection of interest</w:t>
      </w:r>
      <w:r w:rsidR="00E77071">
        <w:rPr>
          <w:rFonts w:ascii="Avenir Next" w:hAnsi="Avenir Next" w:cs="Arial"/>
          <w:color w:val="7B7B7B" w:themeColor="accent3" w:themeShade="BF"/>
          <w:sz w:val="22"/>
          <w:szCs w:val="22"/>
          <w:lang w:val="en-GB"/>
        </w:rPr>
        <w:t>s</w:t>
      </w:r>
      <w:r w:rsidR="00BF56B9" w:rsidRPr="003A5C1F">
        <w:rPr>
          <w:rFonts w:ascii="Avenir Next" w:hAnsi="Avenir Next" w:cs="Arial"/>
          <w:color w:val="7B7B7B" w:themeColor="accent3" w:themeShade="BF"/>
          <w:sz w:val="22"/>
          <w:szCs w:val="22"/>
          <w:lang w:val="en-GB"/>
        </w:rPr>
        <w:t xml:space="preserve"> (</w:t>
      </w:r>
      <w:r w:rsidR="00FD6E95">
        <w:rPr>
          <w:rFonts w:ascii="Avenir Next" w:hAnsi="Avenir Next" w:cs="Arial"/>
          <w:color w:val="7B7B7B" w:themeColor="accent3" w:themeShade="BF"/>
          <w:sz w:val="22"/>
          <w:szCs w:val="22"/>
          <w:lang w:val="en-GB"/>
        </w:rPr>
        <w:t>11 USC §349)</w:t>
      </w:r>
      <w:r w:rsidR="002C4847">
        <w:rPr>
          <w:rFonts w:ascii="Avenir Next" w:hAnsi="Avenir Next" w:cs="Arial"/>
          <w:color w:val="7B7B7B" w:themeColor="accent3" w:themeShade="BF"/>
          <w:sz w:val="22"/>
          <w:szCs w:val="22"/>
          <w:lang w:val="en-GB"/>
        </w:rPr>
        <w:t>, will automatically apply</w:t>
      </w:r>
      <w:r w:rsidR="00BF56B9" w:rsidRPr="003A5C1F">
        <w:rPr>
          <w:rFonts w:ascii="Avenir Next" w:hAnsi="Avenir Next" w:cs="Arial"/>
          <w:color w:val="7B7B7B" w:themeColor="accent3" w:themeShade="BF"/>
          <w:sz w:val="22"/>
          <w:szCs w:val="22"/>
          <w:lang w:val="en-GB"/>
        </w:rPr>
        <w:t>.</w:t>
      </w:r>
    </w:p>
    <w:p w14:paraId="5DBDF996" w14:textId="36BEFBCF" w:rsidR="00EE2C31" w:rsidRDefault="00EE2C3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a foreign non-main proceeding is recognized in the US, the court can</w:t>
      </w:r>
      <w:r w:rsidR="007A428D">
        <w:rPr>
          <w:rFonts w:ascii="Avenir Next" w:hAnsi="Avenir Next" w:cs="Arial"/>
          <w:color w:val="7B7B7B" w:themeColor="accent3" w:themeShade="BF"/>
          <w:sz w:val="22"/>
          <w:szCs w:val="22"/>
          <w:lang w:val="en-GB"/>
        </w:rPr>
        <w:t xml:space="preserve"> discretionary</w:t>
      </w:r>
      <w:r>
        <w:rPr>
          <w:rFonts w:ascii="Avenir Next" w:hAnsi="Avenir Next" w:cs="Arial"/>
          <w:color w:val="7B7B7B" w:themeColor="accent3" w:themeShade="BF"/>
          <w:sz w:val="22"/>
          <w:szCs w:val="22"/>
          <w:lang w:val="en-GB"/>
        </w:rPr>
        <w:t xml:space="preserve"> grant any</w:t>
      </w:r>
      <w:r w:rsidR="007A428D">
        <w:rPr>
          <w:rFonts w:ascii="Avenir Next" w:hAnsi="Avenir Next" w:cs="Arial"/>
          <w:color w:val="7B7B7B" w:themeColor="accent3" w:themeShade="BF"/>
          <w:sz w:val="22"/>
          <w:szCs w:val="22"/>
          <w:lang w:val="en-GB"/>
        </w:rPr>
        <w:t xml:space="preserve"> of</w:t>
      </w:r>
      <w:r>
        <w:rPr>
          <w:rFonts w:ascii="Avenir Next" w:hAnsi="Avenir Next" w:cs="Arial"/>
          <w:color w:val="7B7B7B" w:themeColor="accent3" w:themeShade="BF"/>
          <w:sz w:val="22"/>
          <w:szCs w:val="22"/>
          <w:lang w:val="en-GB"/>
        </w:rPr>
        <w:t xml:space="preserve"> the relief </w:t>
      </w:r>
      <w:r w:rsidR="007A428D">
        <w:rPr>
          <w:rFonts w:ascii="Avenir Next" w:hAnsi="Avenir Next" w:cs="Arial"/>
          <w:color w:val="7B7B7B" w:themeColor="accent3" w:themeShade="BF"/>
          <w:sz w:val="22"/>
          <w:szCs w:val="22"/>
          <w:lang w:val="en-GB"/>
        </w:rPr>
        <w:t>provisions that automatically apply to foreign main-proceeding.</w:t>
      </w:r>
    </w:p>
    <w:p w14:paraId="0F93FED5" w14:textId="4F60E413" w:rsidR="009875F8" w:rsidRDefault="007A428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Moreover, o</w:t>
      </w:r>
      <w:r w:rsidR="00986559">
        <w:rPr>
          <w:rFonts w:ascii="Avenir Next" w:hAnsi="Avenir Next" w:cs="Arial"/>
          <w:color w:val="7B7B7B" w:themeColor="accent3" w:themeShade="BF"/>
          <w:sz w:val="22"/>
          <w:szCs w:val="22"/>
          <w:lang w:val="en-GB"/>
        </w:rPr>
        <w:t xml:space="preserve">n a discretionary basis, the US court can grant other relief measures, no matter the foreign </w:t>
      </w:r>
      <w:r>
        <w:rPr>
          <w:rFonts w:ascii="Avenir Next" w:hAnsi="Avenir Next" w:cs="Arial"/>
          <w:color w:val="7B7B7B" w:themeColor="accent3" w:themeShade="BF"/>
          <w:sz w:val="22"/>
          <w:szCs w:val="22"/>
          <w:lang w:val="en-GB"/>
        </w:rPr>
        <w:t>pro</w:t>
      </w:r>
      <w:r w:rsidR="00986559">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e</w:t>
      </w:r>
      <w:r w:rsidR="00986559">
        <w:rPr>
          <w:rFonts w:ascii="Avenir Next" w:hAnsi="Avenir Next" w:cs="Arial"/>
          <w:color w:val="7B7B7B" w:themeColor="accent3" w:themeShade="BF"/>
          <w:sz w:val="22"/>
          <w:szCs w:val="22"/>
          <w:lang w:val="en-GB"/>
        </w:rPr>
        <w:t xml:space="preserve">eding is a main-proceeding or a non-main proceeding. </w:t>
      </w:r>
      <w:r w:rsidR="00E21C22">
        <w:rPr>
          <w:rFonts w:ascii="Avenir Next" w:hAnsi="Avenir Next" w:cs="Arial"/>
          <w:color w:val="7B7B7B" w:themeColor="accent3" w:themeShade="BF"/>
          <w:sz w:val="22"/>
          <w:szCs w:val="22"/>
          <w:lang w:val="en-GB"/>
        </w:rPr>
        <w:t>The court can order the communication of documents about the debtor’s assets</w:t>
      </w:r>
      <w:r w:rsidR="004E173D">
        <w:rPr>
          <w:rFonts w:ascii="Avenir Next" w:hAnsi="Avenir Next" w:cs="Arial"/>
          <w:color w:val="7B7B7B" w:themeColor="accent3" w:themeShade="BF"/>
          <w:sz w:val="22"/>
          <w:szCs w:val="22"/>
          <w:lang w:val="en-GB"/>
        </w:rPr>
        <w:t xml:space="preserve"> and its affairs</w:t>
      </w:r>
      <w:r w:rsidR="00E21C22">
        <w:rPr>
          <w:rFonts w:ascii="Avenir Next" w:hAnsi="Avenir Next" w:cs="Arial"/>
          <w:color w:val="7B7B7B" w:themeColor="accent3" w:themeShade="BF"/>
          <w:sz w:val="22"/>
          <w:szCs w:val="22"/>
          <w:lang w:val="en-GB"/>
        </w:rPr>
        <w:t xml:space="preserve"> (discovery</w:t>
      </w:r>
      <w:r w:rsidR="004E173D">
        <w:rPr>
          <w:rFonts w:ascii="Avenir Next" w:hAnsi="Avenir Next" w:cs="Arial"/>
          <w:color w:val="7B7B7B" w:themeColor="accent3" w:themeShade="BF"/>
          <w:sz w:val="22"/>
          <w:szCs w:val="22"/>
          <w:lang w:val="en-GB"/>
        </w:rPr>
        <w:t>)</w:t>
      </w:r>
      <w:r w:rsidR="00CA4B1E">
        <w:rPr>
          <w:rFonts w:ascii="Avenir Next" w:hAnsi="Avenir Next" w:cs="Arial"/>
          <w:color w:val="7B7B7B" w:themeColor="accent3" w:themeShade="BF"/>
          <w:sz w:val="22"/>
          <w:szCs w:val="22"/>
          <w:lang w:val="en-GB"/>
        </w:rPr>
        <w:t xml:space="preserve">. It can also entrust the administration of the debtor’s asset’s located in the US to the foreign representative. </w:t>
      </w:r>
      <w:r w:rsidR="005A61C4">
        <w:rPr>
          <w:rFonts w:ascii="Avenir Next" w:hAnsi="Avenir Next" w:cs="Arial"/>
          <w:color w:val="7B7B7B" w:themeColor="accent3" w:themeShade="BF"/>
          <w:sz w:val="22"/>
          <w:szCs w:val="22"/>
          <w:lang w:val="en-GB"/>
        </w:rPr>
        <w:t xml:space="preserve">The foreign representative must prove that by doing so the interests of </w:t>
      </w:r>
      <w:r w:rsidR="00965BE8">
        <w:rPr>
          <w:rFonts w:ascii="Avenir Next" w:hAnsi="Avenir Next" w:cs="Arial"/>
          <w:color w:val="7B7B7B" w:themeColor="accent3" w:themeShade="BF"/>
          <w:sz w:val="22"/>
          <w:szCs w:val="22"/>
          <w:lang w:val="en-GB"/>
        </w:rPr>
        <w:t xml:space="preserve">US creditors are sufficiently protected. And the foreign representative cannot use the price of a sale </w:t>
      </w:r>
      <w:r w:rsidR="00C96A7A">
        <w:rPr>
          <w:rFonts w:ascii="Avenir Next" w:hAnsi="Avenir Next" w:cs="Arial"/>
          <w:color w:val="7B7B7B" w:themeColor="accent3" w:themeShade="BF"/>
          <w:sz w:val="22"/>
          <w:szCs w:val="22"/>
          <w:lang w:val="en-GB"/>
        </w:rPr>
        <w:t xml:space="preserve">of a US assets in the distribution of the main foreign proceeding. Upon </w:t>
      </w:r>
      <w:r w:rsidR="001A5958">
        <w:rPr>
          <w:rFonts w:ascii="Avenir Next" w:hAnsi="Avenir Next" w:cs="Arial"/>
          <w:color w:val="7B7B7B" w:themeColor="accent3" w:themeShade="BF"/>
          <w:sz w:val="22"/>
          <w:szCs w:val="22"/>
          <w:lang w:val="en-GB"/>
        </w:rPr>
        <w:t xml:space="preserve">recognition and </w:t>
      </w:r>
      <w:r w:rsidR="00C96A7A">
        <w:rPr>
          <w:rFonts w:ascii="Avenir Next" w:hAnsi="Avenir Next" w:cs="Arial"/>
          <w:color w:val="7B7B7B" w:themeColor="accent3" w:themeShade="BF"/>
          <w:sz w:val="22"/>
          <w:szCs w:val="22"/>
          <w:lang w:val="en-GB"/>
        </w:rPr>
        <w:t>if</w:t>
      </w:r>
      <w:r w:rsidR="00831567">
        <w:rPr>
          <w:rFonts w:ascii="Avenir Next" w:hAnsi="Avenir Next" w:cs="Arial"/>
          <w:color w:val="7B7B7B" w:themeColor="accent3" w:themeShade="BF"/>
          <w:sz w:val="22"/>
          <w:szCs w:val="22"/>
          <w:lang w:val="en-GB"/>
        </w:rPr>
        <w:t xml:space="preserve"> the interests of interest parties are adequately protected</w:t>
      </w:r>
      <w:r w:rsidR="001A5958">
        <w:rPr>
          <w:rFonts w:ascii="Avenir Next" w:hAnsi="Avenir Next" w:cs="Arial"/>
          <w:color w:val="7B7B7B" w:themeColor="accent3" w:themeShade="BF"/>
          <w:sz w:val="22"/>
          <w:szCs w:val="22"/>
          <w:lang w:val="en-GB"/>
        </w:rPr>
        <w:t xml:space="preserve">, the court may also </w:t>
      </w:r>
      <w:r w:rsidR="004D166B">
        <w:rPr>
          <w:rFonts w:ascii="Avenir Next" w:hAnsi="Avenir Next" w:cs="Arial"/>
          <w:color w:val="7B7B7B" w:themeColor="accent3" w:themeShade="BF"/>
          <w:sz w:val="22"/>
          <w:szCs w:val="22"/>
          <w:lang w:val="en-GB"/>
        </w:rPr>
        <w:t xml:space="preserve">extend provisional relief and order any other relief measure that are </w:t>
      </w:r>
      <w:r w:rsidR="004D166B">
        <w:rPr>
          <w:rFonts w:ascii="Avenir Next" w:hAnsi="Avenir Next" w:cs="Arial"/>
          <w:color w:val="7B7B7B" w:themeColor="accent3" w:themeShade="BF"/>
          <w:sz w:val="22"/>
          <w:szCs w:val="22"/>
          <w:lang w:val="en-GB"/>
        </w:rPr>
        <w:lastRenderedPageBreak/>
        <w:t>“necessary to effectuate the purposes of chapter 15 and to protect the assets of the debtor or the interests of creditors”.</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w:t>
      </w:r>
      <w:r w:rsidRPr="009875F8">
        <w:rPr>
          <w:rFonts w:ascii="Avenir Next" w:hAnsi="Avenir Next"/>
          <w:b/>
          <w:bCs/>
        </w:rPr>
        <w:t xml:space="preserve">duties </w:t>
      </w:r>
      <w:r w:rsidRPr="00E01803">
        <w:rPr>
          <w:rFonts w:ascii="Avenir Next" w:hAnsi="Avenir Next"/>
        </w:rPr>
        <w:t xml:space="preserve">do directors owe </w:t>
      </w:r>
      <w:r w:rsidRPr="009875F8">
        <w:rPr>
          <w:rFonts w:ascii="Avenir Next" w:hAnsi="Avenir Next"/>
          <w:b/>
          <w:bCs/>
        </w:rPr>
        <w:t>to a Delaware corporation</w:t>
      </w:r>
      <w:r w:rsidRPr="00E01803">
        <w:rPr>
          <w:rFonts w:ascii="Avenir Next" w:hAnsi="Avenir Next"/>
        </w:rPr>
        <w:t xml:space="preserve"> in the ordinary course of business? To whom are these duties owed when the corporation is potentially or actually insolvent? What rule protects directors from liability for errors of judgment?</w:t>
      </w:r>
    </w:p>
    <w:p w14:paraId="28D0B7A7" w14:textId="77777777" w:rsidR="009A2977" w:rsidRDefault="009A2977" w:rsidP="00E41578">
      <w:pPr>
        <w:jc w:val="both"/>
        <w:rPr>
          <w:rFonts w:ascii="Avenir Next" w:hAnsi="Avenir Next" w:cs="Arial"/>
          <w:color w:val="7B7B7B" w:themeColor="accent3" w:themeShade="BF"/>
          <w:sz w:val="22"/>
          <w:szCs w:val="22"/>
          <w:lang w:val="en-GB"/>
        </w:rPr>
      </w:pPr>
    </w:p>
    <w:p w14:paraId="7FD2B36C" w14:textId="77777777" w:rsidR="00BD4ED7" w:rsidRDefault="00001A0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duties</w:t>
      </w:r>
      <w:r w:rsidR="00BD4ED7">
        <w:rPr>
          <w:rFonts w:ascii="Avenir Next" w:hAnsi="Avenir Next" w:cs="Arial"/>
          <w:color w:val="7B7B7B" w:themeColor="accent3" w:themeShade="BF"/>
          <w:sz w:val="22"/>
          <w:szCs w:val="22"/>
          <w:lang w:val="en-GB"/>
        </w:rPr>
        <w:t xml:space="preserve"> come under the competence of state law. </w:t>
      </w:r>
    </w:p>
    <w:p w14:paraId="0D85B8E1" w14:textId="747346C6" w:rsidR="009A2977" w:rsidRDefault="00BD4ED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a corporation incorporated under the laws of Delaware, directors have a f</w:t>
      </w:r>
      <w:r w:rsidR="00B5577C">
        <w:rPr>
          <w:rFonts w:ascii="Avenir Next" w:hAnsi="Avenir Next" w:cs="Arial"/>
          <w:color w:val="7B7B7B" w:themeColor="accent3" w:themeShade="BF"/>
          <w:sz w:val="22"/>
          <w:szCs w:val="22"/>
          <w:lang w:val="en-GB"/>
        </w:rPr>
        <w:t>i</w:t>
      </w:r>
      <w:r w:rsidR="00001A0B">
        <w:rPr>
          <w:rFonts w:ascii="Avenir Next" w:hAnsi="Avenir Next" w:cs="Arial"/>
          <w:color w:val="7B7B7B" w:themeColor="accent3" w:themeShade="BF"/>
          <w:sz w:val="22"/>
          <w:szCs w:val="22"/>
          <w:lang w:val="en-GB"/>
        </w:rPr>
        <w:t xml:space="preserve">duciary duty of loyalty towards </w:t>
      </w:r>
      <w:r>
        <w:rPr>
          <w:rFonts w:ascii="Avenir Next" w:hAnsi="Avenir Next" w:cs="Arial"/>
          <w:color w:val="7B7B7B" w:themeColor="accent3" w:themeShade="BF"/>
          <w:sz w:val="22"/>
          <w:szCs w:val="22"/>
          <w:lang w:val="en-GB"/>
        </w:rPr>
        <w:t>the</w:t>
      </w:r>
      <w:r w:rsidR="009A2977">
        <w:rPr>
          <w:rFonts w:ascii="Avenir Next" w:hAnsi="Avenir Next" w:cs="Arial"/>
          <w:color w:val="7B7B7B" w:themeColor="accent3" w:themeShade="BF"/>
          <w:sz w:val="22"/>
          <w:szCs w:val="22"/>
          <w:lang w:val="en-GB"/>
        </w:rPr>
        <w:t xml:space="preserve"> corporation</w:t>
      </w:r>
      <w:r w:rsidR="00BA0389">
        <w:rPr>
          <w:rFonts w:ascii="Avenir Next" w:hAnsi="Avenir Next" w:cs="Arial"/>
          <w:color w:val="7B7B7B" w:themeColor="accent3" w:themeShade="BF"/>
          <w:sz w:val="22"/>
          <w:szCs w:val="22"/>
          <w:lang w:val="en-GB"/>
        </w:rPr>
        <w:t xml:space="preserve"> </w:t>
      </w:r>
      <w:r w:rsidR="00B34F58">
        <w:rPr>
          <w:rFonts w:ascii="Avenir Next" w:hAnsi="Avenir Next" w:cs="Arial"/>
          <w:color w:val="7B7B7B" w:themeColor="accent3" w:themeShade="BF"/>
          <w:sz w:val="22"/>
          <w:szCs w:val="22"/>
          <w:lang w:val="en-GB"/>
        </w:rPr>
        <w:t xml:space="preserve">and its shareholders </w:t>
      </w:r>
      <w:r w:rsidR="00BA0389">
        <w:rPr>
          <w:rFonts w:ascii="Avenir Next" w:hAnsi="Avenir Next" w:cs="Arial"/>
          <w:color w:val="7B7B7B" w:themeColor="accent3" w:themeShade="BF"/>
          <w:sz w:val="22"/>
          <w:szCs w:val="22"/>
          <w:lang w:val="en-GB"/>
        </w:rPr>
        <w:t>and a duty of care</w:t>
      </w:r>
      <w:r>
        <w:rPr>
          <w:rFonts w:ascii="Avenir Next" w:hAnsi="Avenir Next" w:cs="Arial"/>
          <w:color w:val="7B7B7B" w:themeColor="accent3" w:themeShade="BF"/>
          <w:sz w:val="22"/>
          <w:szCs w:val="22"/>
          <w:lang w:val="en-GB"/>
        </w:rPr>
        <w:t xml:space="preserve">. This means that </w:t>
      </w:r>
      <w:r w:rsidR="001E705D">
        <w:rPr>
          <w:rFonts w:ascii="Avenir Next" w:hAnsi="Avenir Next" w:cs="Arial"/>
          <w:color w:val="7B7B7B" w:themeColor="accent3" w:themeShade="BF"/>
          <w:sz w:val="22"/>
          <w:szCs w:val="22"/>
          <w:lang w:val="en-GB"/>
        </w:rPr>
        <w:t>directors have to act in the best interests of the corporation and make educated</w:t>
      </w:r>
      <w:r w:rsidR="00044994">
        <w:rPr>
          <w:rFonts w:ascii="Avenir Next" w:hAnsi="Avenir Next" w:cs="Arial"/>
          <w:color w:val="7B7B7B" w:themeColor="accent3" w:themeShade="BF"/>
          <w:sz w:val="22"/>
          <w:szCs w:val="22"/>
          <w:lang w:val="en-GB"/>
        </w:rPr>
        <w:t xml:space="preserve"> </w:t>
      </w:r>
      <w:r w:rsidR="001E705D">
        <w:rPr>
          <w:rFonts w:ascii="Avenir Next" w:hAnsi="Avenir Next" w:cs="Arial"/>
          <w:color w:val="7B7B7B" w:themeColor="accent3" w:themeShade="BF"/>
          <w:sz w:val="22"/>
          <w:szCs w:val="22"/>
          <w:lang w:val="en-GB"/>
        </w:rPr>
        <w:t>decision.</w:t>
      </w:r>
    </w:p>
    <w:p w14:paraId="5702CF35" w14:textId="7EBADF7B" w:rsidR="009A2977" w:rsidRDefault="009A297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the corporation is potentially or actually insolvent, these duties are also owed to </w:t>
      </w:r>
      <w:r w:rsidR="00B34F58">
        <w:rPr>
          <w:rFonts w:ascii="Avenir Next" w:hAnsi="Avenir Next" w:cs="Arial"/>
          <w:color w:val="7B7B7B" w:themeColor="accent3" w:themeShade="BF"/>
          <w:sz w:val="22"/>
          <w:szCs w:val="22"/>
          <w:lang w:val="en-GB"/>
        </w:rPr>
        <w:t xml:space="preserve">the corporation and its shareholders and not to the creditors. In </w:t>
      </w:r>
      <w:r w:rsidR="00DB46E9">
        <w:rPr>
          <w:rFonts w:ascii="Avenir Next" w:hAnsi="Avenir Next" w:cs="Arial"/>
          <w:color w:val="7B7B7B" w:themeColor="accent3" w:themeShade="BF"/>
          <w:sz w:val="22"/>
          <w:szCs w:val="22"/>
          <w:lang w:val="en-GB"/>
        </w:rPr>
        <w:t xml:space="preserve">the </w:t>
      </w:r>
      <w:proofErr w:type="spellStart"/>
      <w:r w:rsidR="00DB46E9">
        <w:rPr>
          <w:rFonts w:ascii="Avenir Next" w:hAnsi="Avenir Next" w:cs="Arial"/>
          <w:color w:val="7B7B7B" w:themeColor="accent3" w:themeShade="BF"/>
          <w:sz w:val="22"/>
          <w:szCs w:val="22"/>
          <w:lang w:val="en-GB"/>
        </w:rPr>
        <w:t>Trenwick</w:t>
      </w:r>
      <w:proofErr w:type="spellEnd"/>
      <w:r w:rsidR="00DB46E9">
        <w:rPr>
          <w:rFonts w:ascii="Avenir Next" w:hAnsi="Avenir Next" w:cs="Arial"/>
          <w:color w:val="7B7B7B" w:themeColor="accent3" w:themeShade="BF"/>
          <w:sz w:val="22"/>
          <w:szCs w:val="22"/>
          <w:lang w:val="en-GB"/>
        </w:rPr>
        <w:t xml:space="preserve"> Am Litig Trust v. Ernst &amp; Young LLP</w:t>
      </w:r>
      <w:r w:rsidR="00A42676">
        <w:rPr>
          <w:rFonts w:ascii="Avenir Next" w:hAnsi="Avenir Next" w:cs="Arial"/>
          <w:color w:val="7B7B7B" w:themeColor="accent3" w:themeShade="BF"/>
          <w:sz w:val="22"/>
          <w:szCs w:val="22"/>
          <w:lang w:val="en-GB"/>
        </w:rPr>
        <w:t xml:space="preserve"> case, the Delaware Supreme court he</w:t>
      </w:r>
      <w:r w:rsidR="000E7B63">
        <w:rPr>
          <w:rFonts w:ascii="Avenir Next" w:hAnsi="Avenir Next" w:cs="Arial"/>
          <w:color w:val="7B7B7B" w:themeColor="accent3" w:themeShade="BF"/>
          <w:sz w:val="22"/>
          <w:szCs w:val="22"/>
          <w:lang w:val="en-GB"/>
        </w:rPr>
        <w:t>ld that there was no obligation for the board of directors to fil</w:t>
      </w:r>
      <w:r w:rsidR="00CE733B">
        <w:rPr>
          <w:rFonts w:ascii="Avenir Next" w:hAnsi="Avenir Next" w:cs="Arial"/>
          <w:color w:val="7B7B7B" w:themeColor="accent3" w:themeShade="BF"/>
          <w:sz w:val="22"/>
          <w:szCs w:val="22"/>
          <w:lang w:val="en-GB"/>
        </w:rPr>
        <w:t>e for insolvency or to cease activity when the company can no longer m</w:t>
      </w:r>
      <w:r w:rsidR="006C0AFC">
        <w:rPr>
          <w:rFonts w:ascii="Avenir Next" w:hAnsi="Avenir Next" w:cs="Arial"/>
          <w:color w:val="7B7B7B" w:themeColor="accent3" w:themeShade="BF"/>
          <w:sz w:val="22"/>
          <w:szCs w:val="22"/>
          <w:lang w:val="en-GB"/>
        </w:rPr>
        <w:t>eet its obligations.</w:t>
      </w:r>
      <w:r w:rsidR="00EA058B">
        <w:rPr>
          <w:rFonts w:ascii="Avenir Next" w:hAnsi="Avenir Next" w:cs="Arial"/>
          <w:color w:val="7B7B7B" w:themeColor="accent3" w:themeShade="BF"/>
          <w:sz w:val="22"/>
          <w:szCs w:val="22"/>
          <w:lang w:val="en-GB"/>
        </w:rPr>
        <w:t xml:space="preserve"> Therefore, directors </w:t>
      </w:r>
      <w:r w:rsidR="009220F0">
        <w:rPr>
          <w:rFonts w:ascii="Avenir Next" w:hAnsi="Avenir Next" w:cs="Arial"/>
          <w:color w:val="7B7B7B" w:themeColor="accent3" w:themeShade="BF"/>
          <w:sz w:val="22"/>
          <w:szCs w:val="22"/>
          <w:lang w:val="en-GB"/>
        </w:rPr>
        <w:t>of a Delaware corporation don’t owe any duty of care</w:t>
      </w:r>
      <w:r w:rsidR="00EA058B">
        <w:rPr>
          <w:rFonts w:ascii="Avenir Next" w:hAnsi="Avenir Next" w:cs="Arial"/>
          <w:color w:val="7B7B7B" w:themeColor="accent3" w:themeShade="BF"/>
          <w:sz w:val="22"/>
          <w:szCs w:val="22"/>
          <w:lang w:val="en-GB"/>
        </w:rPr>
        <w:t xml:space="preserve"> directl</w:t>
      </w:r>
      <w:r w:rsidR="009220F0">
        <w:rPr>
          <w:rFonts w:ascii="Avenir Next" w:hAnsi="Avenir Next" w:cs="Arial"/>
          <w:color w:val="7B7B7B" w:themeColor="accent3" w:themeShade="BF"/>
          <w:sz w:val="22"/>
          <w:szCs w:val="22"/>
          <w:lang w:val="en-GB"/>
        </w:rPr>
        <w:t>y to creditors.</w:t>
      </w:r>
    </w:p>
    <w:p w14:paraId="46AF48EE" w14:textId="55794A6C" w:rsidR="004944B8" w:rsidRDefault="006C0AF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normal course of business, d</w:t>
      </w:r>
      <w:r w:rsidR="009A2977">
        <w:rPr>
          <w:rFonts w:ascii="Avenir Next" w:hAnsi="Avenir Next" w:cs="Arial"/>
          <w:color w:val="7B7B7B" w:themeColor="accent3" w:themeShade="BF"/>
          <w:sz w:val="22"/>
          <w:szCs w:val="22"/>
          <w:lang w:val="en-GB"/>
        </w:rPr>
        <w:t xml:space="preserve">irectors are protecter from liability for errors of judgment </w:t>
      </w:r>
      <w:r w:rsidR="004944B8">
        <w:rPr>
          <w:rFonts w:ascii="Avenir Next" w:hAnsi="Avenir Next" w:cs="Arial"/>
          <w:color w:val="7B7B7B" w:themeColor="accent3" w:themeShade="BF"/>
          <w:sz w:val="22"/>
          <w:szCs w:val="22"/>
          <w:lang w:val="en-GB"/>
        </w:rPr>
        <w:t xml:space="preserve">by the </w:t>
      </w:r>
      <w:r w:rsidR="00BA0389">
        <w:rPr>
          <w:rFonts w:ascii="Avenir Next" w:hAnsi="Avenir Next" w:cs="Arial"/>
          <w:color w:val="7B7B7B" w:themeColor="accent3" w:themeShade="BF"/>
          <w:sz w:val="22"/>
          <w:szCs w:val="22"/>
          <w:lang w:val="en-GB"/>
        </w:rPr>
        <w:t xml:space="preserve">business judgment </w:t>
      </w:r>
      <w:r w:rsidR="004944B8">
        <w:rPr>
          <w:rFonts w:ascii="Avenir Next" w:hAnsi="Avenir Next" w:cs="Arial"/>
          <w:color w:val="7B7B7B" w:themeColor="accent3" w:themeShade="BF"/>
          <w:sz w:val="22"/>
          <w:szCs w:val="22"/>
          <w:lang w:val="en-GB"/>
        </w:rPr>
        <w:t>rule</w:t>
      </w:r>
      <w:r w:rsidR="001C6AE0">
        <w:rPr>
          <w:rFonts w:ascii="Avenir Next" w:hAnsi="Avenir Next" w:cs="Arial"/>
          <w:color w:val="7B7B7B" w:themeColor="accent3" w:themeShade="BF"/>
          <w:sz w:val="22"/>
          <w:szCs w:val="22"/>
          <w:lang w:val="en-GB"/>
        </w:rPr>
        <w:t xml:space="preserve">. It is a presumption that directors acted in good faith and on the basis of reasonable information. </w:t>
      </w:r>
      <w:r w:rsidR="00FA56CE">
        <w:rPr>
          <w:rFonts w:ascii="Avenir Next" w:hAnsi="Avenir Next" w:cs="Arial"/>
          <w:color w:val="7B7B7B" w:themeColor="accent3" w:themeShade="BF"/>
          <w:sz w:val="22"/>
          <w:szCs w:val="22"/>
          <w:lang w:val="en-GB"/>
        </w:rPr>
        <w:t xml:space="preserve">This presumption is rebuttable. It must be proved that a majority of the board of directors </w:t>
      </w:r>
      <w:r w:rsidR="00FC52C4">
        <w:rPr>
          <w:rFonts w:ascii="Avenir Next" w:hAnsi="Avenir Next" w:cs="Arial"/>
          <w:color w:val="7B7B7B" w:themeColor="accent3" w:themeShade="BF"/>
          <w:sz w:val="22"/>
          <w:szCs w:val="22"/>
          <w:lang w:val="en-GB"/>
        </w:rPr>
        <w:t>were not in fact reasonably informed, or that they didn’t believe that theirs actions were in the best interests of the corporation</w:t>
      </w:r>
      <w:r w:rsidR="00FB5155">
        <w:rPr>
          <w:rFonts w:ascii="Avenir Next" w:hAnsi="Avenir Next" w:cs="Arial"/>
          <w:color w:val="7B7B7B" w:themeColor="accent3" w:themeShade="BF"/>
          <w:sz w:val="22"/>
          <w:szCs w:val="22"/>
          <w:lang w:val="en-GB"/>
        </w:rPr>
        <w:t xml:space="preserve">, or that </w:t>
      </w:r>
      <w:r w:rsidR="00D20190">
        <w:rPr>
          <w:rFonts w:ascii="Avenir Next" w:hAnsi="Avenir Next" w:cs="Arial"/>
          <w:color w:val="7B7B7B" w:themeColor="accent3" w:themeShade="BF"/>
          <w:sz w:val="22"/>
          <w:szCs w:val="22"/>
          <w:lang w:val="en-GB"/>
        </w:rPr>
        <w:t xml:space="preserve">the directors did not act in good faith. Directors </w:t>
      </w:r>
      <w:r w:rsidR="00272F12">
        <w:rPr>
          <w:rFonts w:ascii="Avenir Next" w:hAnsi="Avenir Next" w:cs="Arial"/>
          <w:color w:val="7B7B7B" w:themeColor="accent3" w:themeShade="BF"/>
          <w:sz w:val="22"/>
          <w:szCs w:val="22"/>
          <w:lang w:val="en-GB"/>
        </w:rPr>
        <w:t xml:space="preserve">can </w:t>
      </w:r>
      <w:r w:rsidR="00C71976">
        <w:rPr>
          <w:rFonts w:ascii="Avenir Next" w:hAnsi="Avenir Next" w:cs="Arial"/>
          <w:color w:val="7B7B7B" w:themeColor="accent3" w:themeShade="BF"/>
          <w:sz w:val="22"/>
          <w:szCs w:val="22"/>
          <w:lang w:val="en-GB"/>
        </w:rPr>
        <w:t xml:space="preserve">also </w:t>
      </w:r>
      <w:r w:rsidR="00272F12">
        <w:rPr>
          <w:rFonts w:ascii="Avenir Next" w:hAnsi="Avenir Next" w:cs="Arial"/>
          <w:color w:val="7B7B7B" w:themeColor="accent3" w:themeShade="BF"/>
          <w:sz w:val="22"/>
          <w:szCs w:val="22"/>
          <w:lang w:val="en-GB"/>
        </w:rPr>
        <w:t xml:space="preserve">be charged if they committed gross negligence. </w:t>
      </w:r>
      <w:r w:rsidR="00C60119">
        <w:rPr>
          <w:rFonts w:ascii="Avenir Next" w:hAnsi="Avenir Next" w:cs="Arial"/>
          <w:color w:val="7B7B7B" w:themeColor="accent3" w:themeShade="BF"/>
          <w:sz w:val="22"/>
          <w:szCs w:val="22"/>
          <w:lang w:val="en-GB"/>
        </w:rPr>
        <w:t xml:space="preserve">The business judgement rule doesn’t apply when it is proved that </w:t>
      </w:r>
      <w:r w:rsidR="001F42F2">
        <w:rPr>
          <w:rFonts w:ascii="Avenir Next" w:hAnsi="Avenir Next" w:cs="Arial"/>
          <w:color w:val="7B7B7B" w:themeColor="accent3" w:themeShade="BF"/>
          <w:sz w:val="22"/>
          <w:szCs w:val="22"/>
          <w:lang w:val="en-GB"/>
        </w:rPr>
        <w:t>a majority of the board was not disinterested or independent</w:t>
      </w:r>
      <w:r w:rsidR="001E6B4A">
        <w:rPr>
          <w:rFonts w:ascii="Avenir Next" w:hAnsi="Avenir Next" w:cs="Arial"/>
          <w:color w:val="7B7B7B" w:themeColor="accent3" w:themeShade="BF"/>
          <w:sz w:val="22"/>
          <w:szCs w:val="22"/>
          <w:lang w:val="en-GB"/>
        </w:rPr>
        <w:t xml:space="preserve">, or that one of the controlling shareholder also benefits of the operation.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BC7D83">
        <w:rPr>
          <w:rFonts w:ascii="Avenir Next" w:hAnsi="Avenir Next"/>
          <w:b/>
          <w:bCs/>
          <w:color w:val="002060"/>
        </w:rPr>
        <w:t>List and describe</w:t>
      </w:r>
      <w:r w:rsidRPr="00BC7D83">
        <w:rPr>
          <w:rFonts w:ascii="Avenir Next" w:hAnsi="Avenir Next"/>
          <w:color w:val="002060"/>
        </w:rPr>
        <w:t xml:space="preserve"> </w:t>
      </w:r>
      <w:r w:rsidRPr="00BC7D83">
        <w:rPr>
          <w:rFonts w:ascii="Avenir Next" w:hAnsi="Avenir Next"/>
          <w:b/>
          <w:bCs/>
          <w:color w:val="00B050"/>
        </w:rPr>
        <w:t>the requirements that a creditor’s claim</w:t>
      </w:r>
      <w:r w:rsidRPr="00E01803">
        <w:rPr>
          <w:rFonts w:ascii="Avenir Next" w:hAnsi="Avenir Next"/>
        </w:rPr>
        <w:t xml:space="preserve"> </w:t>
      </w:r>
      <w:r w:rsidR="0038411A">
        <w:rPr>
          <w:rFonts w:ascii="Avenir Next" w:hAnsi="Avenir Next"/>
        </w:rPr>
        <w:t xml:space="preserve">must </w:t>
      </w:r>
      <w:r w:rsidRPr="00E01803">
        <w:rPr>
          <w:rFonts w:ascii="Avenir Next" w:hAnsi="Avenir Next"/>
        </w:rPr>
        <w:t xml:space="preserve">fulfill in order to qualify as a </w:t>
      </w:r>
      <w:r w:rsidRPr="004944B8">
        <w:rPr>
          <w:rFonts w:ascii="Avenir Next" w:hAnsi="Avenir Next"/>
          <w:b/>
          <w:bCs/>
          <w:color w:val="FF0000"/>
        </w:rPr>
        <w:t>petitioning creditor</w:t>
      </w:r>
      <w:r w:rsidRPr="004944B8">
        <w:rPr>
          <w:rFonts w:ascii="Avenir Next" w:hAnsi="Avenir Next"/>
          <w:color w:val="FF0000"/>
        </w:rPr>
        <w:t xml:space="preserve"> </w:t>
      </w:r>
      <w:r w:rsidRPr="00E01803">
        <w:rPr>
          <w:rFonts w:ascii="Avenir Next" w:hAnsi="Avenir Next"/>
        </w:rPr>
        <w:t xml:space="preserve">in </w:t>
      </w:r>
      <w:r w:rsidRPr="00BC7D83">
        <w:rPr>
          <w:rFonts w:ascii="Avenir Next" w:hAnsi="Avenir Next"/>
          <w:b/>
          <w:bCs/>
        </w:rPr>
        <w:t>an involuntary proceeding</w:t>
      </w:r>
      <w:r w:rsidRPr="00E01803">
        <w:rPr>
          <w:rFonts w:ascii="Avenir Next" w:hAnsi="Avenir Next"/>
        </w:rPr>
        <w:t>.</w:t>
      </w:r>
    </w:p>
    <w:p w14:paraId="4450E5C8" w14:textId="1BBF8B03" w:rsidR="00E01803" w:rsidRDefault="00E01803" w:rsidP="000778B1">
      <w:pPr>
        <w:pStyle w:val="AODocTxt"/>
        <w:spacing w:before="0" w:line="240" w:lineRule="auto"/>
        <w:rPr>
          <w:rFonts w:ascii="Avenir Next" w:hAnsi="Avenir Next"/>
        </w:rPr>
      </w:pPr>
    </w:p>
    <w:p w14:paraId="042C149B" w14:textId="6BF1604B" w:rsidR="00EF24B6" w:rsidRDefault="007E3D2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A pe</w:t>
      </w:r>
      <w:proofErr w:type="spellStart"/>
      <w:r>
        <w:rPr>
          <w:rFonts w:ascii="Avenir Next" w:hAnsi="Avenir Next" w:cs="Arial"/>
          <w:color w:val="7B7B7B" w:themeColor="accent3" w:themeShade="BF"/>
          <w:sz w:val="22"/>
          <w:szCs w:val="22"/>
          <w:lang w:val="en-GB"/>
        </w:rPr>
        <w:t>titioning</w:t>
      </w:r>
      <w:proofErr w:type="spellEnd"/>
      <w:r w:rsidR="009F2698">
        <w:rPr>
          <w:rFonts w:ascii="Avenir Next" w:hAnsi="Avenir Next" w:cs="Arial"/>
          <w:color w:val="7B7B7B" w:themeColor="accent3" w:themeShade="BF"/>
          <w:sz w:val="22"/>
          <w:szCs w:val="22"/>
          <w:lang w:val="en-GB"/>
        </w:rPr>
        <w:t xml:space="preserve"> creditor is a creditor that is filing for comme</w:t>
      </w:r>
      <w:r w:rsidR="00C63245">
        <w:rPr>
          <w:rFonts w:ascii="Avenir Next" w:hAnsi="Avenir Next" w:cs="Arial"/>
          <w:color w:val="7B7B7B" w:themeColor="accent3" w:themeShade="BF"/>
          <w:sz w:val="22"/>
          <w:szCs w:val="22"/>
          <w:lang w:val="en-GB"/>
        </w:rPr>
        <w:t xml:space="preserve">ncement of a chapter 7 or chapter 11 </w:t>
      </w:r>
      <w:r w:rsidR="00750E5F">
        <w:rPr>
          <w:rFonts w:ascii="Avenir Next" w:hAnsi="Avenir Next" w:cs="Arial"/>
          <w:color w:val="7B7B7B" w:themeColor="accent3" w:themeShade="BF"/>
          <w:sz w:val="22"/>
          <w:szCs w:val="22"/>
          <w:lang w:val="en-GB"/>
        </w:rPr>
        <w:t xml:space="preserve">proceeding </w:t>
      </w:r>
      <w:r w:rsidR="00EF24B6">
        <w:rPr>
          <w:rFonts w:ascii="Avenir Next" w:hAnsi="Avenir Next" w:cs="Arial"/>
          <w:color w:val="7B7B7B" w:themeColor="accent3" w:themeShade="BF"/>
          <w:sz w:val="22"/>
          <w:szCs w:val="22"/>
          <w:lang w:val="en-GB"/>
        </w:rPr>
        <w:t>which will be an involuntary proceeding</w:t>
      </w:r>
      <w:r w:rsidR="00A563A3">
        <w:rPr>
          <w:rFonts w:ascii="Avenir Next" w:hAnsi="Avenir Next" w:cs="Arial"/>
          <w:color w:val="7B7B7B" w:themeColor="accent3" w:themeShade="BF"/>
          <w:sz w:val="22"/>
          <w:szCs w:val="22"/>
          <w:lang w:val="en-GB"/>
        </w:rPr>
        <w:t>, as opposed to a voluntary proceeding</w:t>
      </w:r>
      <w:r w:rsidR="00EF24B6">
        <w:rPr>
          <w:rFonts w:ascii="Avenir Next" w:hAnsi="Avenir Next" w:cs="Arial"/>
          <w:color w:val="7B7B7B" w:themeColor="accent3" w:themeShade="BF"/>
          <w:sz w:val="22"/>
          <w:szCs w:val="22"/>
          <w:lang w:val="en-GB"/>
        </w:rPr>
        <w:t>.</w:t>
      </w:r>
    </w:p>
    <w:p w14:paraId="742C9098" w14:textId="6461FFD5" w:rsidR="00050A7A" w:rsidRDefault="00050A7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number of petitioning creditors required to properly file for an insolvency proceeding depends on the number of non-contingent and non-insiders creditors the debtor has. If the debtor has less than 12 non-contingent and non-insider creditors, than the petition of one creditor </w:t>
      </w:r>
      <w:r w:rsidR="007916CA">
        <w:rPr>
          <w:rFonts w:ascii="Avenir Next" w:hAnsi="Avenir Next" w:cs="Arial"/>
          <w:color w:val="7B7B7B" w:themeColor="accent3" w:themeShade="BF"/>
          <w:sz w:val="22"/>
          <w:szCs w:val="22"/>
          <w:lang w:val="en-GB"/>
        </w:rPr>
        <w:t xml:space="preserve">can provoke the commencement of an involuntary proceeding. If the debtor has more </w:t>
      </w:r>
      <w:r w:rsidR="00224DB5">
        <w:rPr>
          <w:rFonts w:ascii="Avenir Next" w:hAnsi="Avenir Next" w:cs="Arial"/>
          <w:color w:val="7B7B7B" w:themeColor="accent3" w:themeShade="BF"/>
          <w:sz w:val="22"/>
          <w:szCs w:val="22"/>
          <w:lang w:val="en-GB"/>
        </w:rPr>
        <w:t>12 or more non-contingent and non-insider creditors, than there must be 3 qualifying creditors to join the petition.</w:t>
      </w:r>
    </w:p>
    <w:p w14:paraId="1218B042" w14:textId="77777777" w:rsidR="00EF24B6" w:rsidRDefault="00EF24B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creditor’s claim must fulfil 4 elements. </w:t>
      </w:r>
    </w:p>
    <w:p w14:paraId="5BEBB3FF" w14:textId="1F559313" w:rsidR="00EF24B6" w:rsidRDefault="00EF24B6" w:rsidP="00EF24B6">
      <w:pPr>
        <w:pStyle w:val="Paragraphedeliste"/>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Non-</w:t>
      </w:r>
      <w:r w:rsidR="007E3D2A">
        <w:rPr>
          <w:rFonts w:ascii="Avenir Next" w:hAnsi="Avenir Next" w:cs="Arial"/>
          <w:color w:val="7B7B7B" w:themeColor="accent3" w:themeShade="BF"/>
          <w:sz w:val="22"/>
          <w:szCs w:val="22"/>
          <w:lang w:val="en-GB"/>
        </w:rPr>
        <w:t>co</w:t>
      </w:r>
      <w:r>
        <w:rPr>
          <w:rFonts w:ascii="Avenir Next" w:hAnsi="Avenir Next" w:cs="Arial"/>
          <w:color w:val="7B7B7B" w:themeColor="accent3" w:themeShade="BF"/>
          <w:sz w:val="22"/>
          <w:szCs w:val="22"/>
          <w:lang w:val="en-GB"/>
        </w:rPr>
        <w:t>ntingent</w:t>
      </w:r>
      <w:r w:rsidR="00C61C0A">
        <w:rPr>
          <w:rFonts w:ascii="Avenir Next" w:hAnsi="Avenir Next" w:cs="Arial"/>
          <w:color w:val="7B7B7B" w:themeColor="accent3" w:themeShade="BF"/>
          <w:sz w:val="22"/>
          <w:szCs w:val="22"/>
          <w:lang w:val="en-GB"/>
        </w:rPr>
        <w:t xml:space="preserve">. This means that the creditor’s claim cannot depend on </w:t>
      </w:r>
      <w:r w:rsidR="00B04CBB">
        <w:rPr>
          <w:rFonts w:ascii="Avenir Next" w:hAnsi="Avenir Next" w:cs="Arial"/>
          <w:color w:val="7B7B7B" w:themeColor="accent3" w:themeShade="BF"/>
          <w:sz w:val="22"/>
          <w:szCs w:val="22"/>
          <w:lang w:val="en-GB"/>
        </w:rPr>
        <w:t>the realisation of a future event.</w:t>
      </w:r>
      <w:r w:rsidR="004455F7">
        <w:rPr>
          <w:rFonts w:ascii="Avenir Next" w:hAnsi="Avenir Next" w:cs="Arial"/>
          <w:color w:val="7B7B7B" w:themeColor="accent3" w:themeShade="BF"/>
          <w:sz w:val="22"/>
          <w:szCs w:val="22"/>
          <w:lang w:val="en-GB"/>
        </w:rPr>
        <w:t xml:space="preserve"> It cannot be a potential </w:t>
      </w:r>
      <w:r w:rsidR="00031331">
        <w:rPr>
          <w:rFonts w:ascii="Avenir Next" w:hAnsi="Avenir Next" w:cs="Arial"/>
          <w:color w:val="7B7B7B" w:themeColor="accent3" w:themeShade="BF"/>
          <w:sz w:val="22"/>
          <w:szCs w:val="22"/>
          <w:lang w:val="en-GB"/>
        </w:rPr>
        <w:t>debt owed by the debtor in case a event occurs.</w:t>
      </w:r>
    </w:p>
    <w:p w14:paraId="52DE31C9" w14:textId="4AB2FB15" w:rsidR="00C01684" w:rsidRDefault="00C01684" w:rsidP="00C01684">
      <w:pPr>
        <w:pStyle w:val="Paragraphedeliste"/>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 subject to a bona fide dispute</w:t>
      </w:r>
      <w:r w:rsidR="006E6D10">
        <w:rPr>
          <w:rFonts w:ascii="Avenir Next" w:hAnsi="Avenir Next" w:cs="Arial"/>
          <w:color w:val="7B7B7B" w:themeColor="accent3" w:themeShade="BF"/>
          <w:sz w:val="22"/>
          <w:szCs w:val="22"/>
          <w:lang w:val="en-GB"/>
        </w:rPr>
        <w:t xml:space="preserve">. This means that the claim’s existence is not disputed in fact or in law by the debtor. </w:t>
      </w:r>
      <w:r w:rsidR="008B44DF">
        <w:rPr>
          <w:rFonts w:ascii="Avenir Next" w:hAnsi="Avenir Next" w:cs="Arial"/>
          <w:color w:val="7B7B7B" w:themeColor="accent3" w:themeShade="BF"/>
          <w:sz w:val="22"/>
          <w:szCs w:val="22"/>
          <w:lang w:val="en-GB"/>
        </w:rPr>
        <w:t>If the claim i</w:t>
      </w:r>
      <w:r w:rsidR="00217C72">
        <w:rPr>
          <w:rFonts w:ascii="Avenir Next" w:hAnsi="Avenir Next" w:cs="Arial"/>
          <w:color w:val="7B7B7B" w:themeColor="accent3" w:themeShade="BF"/>
          <w:sz w:val="22"/>
          <w:szCs w:val="22"/>
          <w:lang w:val="en-GB"/>
        </w:rPr>
        <w:t xml:space="preserve">s subject to an objectively good faith dispute with the debt, that it cannot be </w:t>
      </w:r>
      <w:r w:rsidR="0004535A">
        <w:rPr>
          <w:rFonts w:ascii="Avenir Next" w:hAnsi="Avenir Next" w:cs="Arial"/>
          <w:color w:val="7B7B7B" w:themeColor="accent3" w:themeShade="BF"/>
          <w:sz w:val="22"/>
          <w:szCs w:val="22"/>
          <w:lang w:val="en-GB"/>
        </w:rPr>
        <w:t>used to file for an involuntary proceeding. The creditor can use the undisputed portion of the claim if there is one.</w:t>
      </w:r>
    </w:p>
    <w:p w14:paraId="638B5954" w14:textId="362506BA" w:rsidR="000063C2" w:rsidRDefault="0004535A" w:rsidP="00C01684">
      <w:pPr>
        <w:pStyle w:val="Paragraphedeliste"/>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creditor’s claim must be unsecured, or </w:t>
      </w:r>
      <w:proofErr w:type="spellStart"/>
      <w:r>
        <w:rPr>
          <w:rFonts w:ascii="Avenir Next" w:hAnsi="Avenir Next" w:cs="Arial"/>
          <w:color w:val="7B7B7B" w:themeColor="accent3" w:themeShade="BF"/>
          <w:sz w:val="22"/>
          <w:szCs w:val="22"/>
          <w:lang w:val="en-GB"/>
        </w:rPr>
        <w:t>undersec</w:t>
      </w:r>
      <w:r w:rsidR="00CA633E">
        <w:rPr>
          <w:rFonts w:ascii="Avenir Next" w:hAnsi="Avenir Next" w:cs="Arial"/>
          <w:color w:val="7B7B7B" w:themeColor="accent3" w:themeShade="BF"/>
          <w:sz w:val="22"/>
          <w:szCs w:val="22"/>
          <w:lang w:val="en-GB"/>
        </w:rPr>
        <w:t>ured</w:t>
      </w:r>
      <w:proofErr w:type="spellEnd"/>
      <w:r w:rsidR="00CA633E">
        <w:rPr>
          <w:rFonts w:ascii="Avenir Next" w:hAnsi="Avenir Next" w:cs="Arial"/>
          <w:color w:val="7B7B7B" w:themeColor="accent3" w:themeShade="BF"/>
          <w:sz w:val="22"/>
          <w:szCs w:val="22"/>
          <w:lang w:val="en-GB"/>
        </w:rPr>
        <w:t xml:space="preserve"> (this means that the asset’s value is smaller than the claim’s one), or that the total amount of the creditors’ claims </w:t>
      </w:r>
      <w:r w:rsidR="00050A7A">
        <w:rPr>
          <w:rFonts w:ascii="Avenir Next" w:hAnsi="Avenir Next" w:cs="Arial"/>
          <w:color w:val="7B7B7B" w:themeColor="accent3" w:themeShade="BF"/>
          <w:sz w:val="22"/>
          <w:szCs w:val="22"/>
          <w:lang w:val="en-GB"/>
        </w:rPr>
        <w:t>reaches a certain threshold which is set to USD 16.750 today.</w:t>
      </w:r>
    </w:p>
    <w:p w14:paraId="06313314" w14:textId="6854B742" w:rsidR="00F02662" w:rsidRDefault="009B5892" w:rsidP="00C01684">
      <w:pPr>
        <w:pStyle w:val="Paragraphedeliste"/>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must be proved </w:t>
      </w:r>
      <w:r w:rsidR="000063C2">
        <w:rPr>
          <w:rFonts w:ascii="Avenir Next" w:hAnsi="Avenir Next" w:cs="Arial"/>
          <w:color w:val="7B7B7B" w:themeColor="accent3" w:themeShade="BF"/>
          <w:sz w:val="22"/>
          <w:szCs w:val="22"/>
          <w:lang w:val="en-GB"/>
        </w:rPr>
        <w:t xml:space="preserve">that the debtor </w:t>
      </w:r>
      <w:r w:rsidR="0040331A">
        <w:rPr>
          <w:rFonts w:ascii="Avenir Next" w:hAnsi="Avenir Next" w:cs="Arial"/>
          <w:color w:val="7B7B7B" w:themeColor="accent3" w:themeShade="BF"/>
          <w:sz w:val="22"/>
          <w:szCs w:val="22"/>
          <w:lang w:val="en-GB"/>
        </w:rPr>
        <w:t>is insolv</w:t>
      </w:r>
      <w:r w:rsidR="003F5249">
        <w:rPr>
          <w:rFonts w:ascii="Avenir Next" w:hAnsi="Avenir Next" w:cs="Arial"/>
          <w:color w:val="7B7B7B" w:themeColor="accent3" w:themeShade="BF"/>
          <w:sz w:val="22"/>
          <w:szCs w:val="22"/>
          <w:lang w:val="en-GB"/>
        </w:rPr>
        <w:t xml:space="preserve">ent, either because </w:t>
      </w:r>
      <w:r>
        <w:rPr>
          <w:rFonts w:ascii="Avenir Next" w:hAnsi="Avenir Next" w:cs="Arial"/>
          <w:color w:val="7B7B7B" w:themeColor="accent3" w:themeShade="BF"/>
          <w:sz w:val="22"/>
          <w:szCs w:val="22"/>
          <w:lang w:val="en-GB"/>
        </w:rPr>
        <w:t>it</w:t>
      </w:r>
      <w:r w:rsidR="003F5249">
        <w:rPr>
          <w:rFonts w:ascii="Avenir Next" w:hAnsi="Avenir Next" w:cs="Arial"/>
          <w:color w:val="7B7B7B" w:themeColor="accent3" w:themeShade="BF"/>
          <w:sz w:val="22"/>
          <w:szCs w:val="22"/>
          <w:lang w:val="en-GB"/>
        </w:rPr>
        <w:t xml:space="preserve"> is not paying claims as they become due, or because a </w:t>
      </w:r>
      <w:r w:rsidR="00917C86">
        <w:rPr>
          <w:rFonts w:ascii="Avenir Next" w:hAnsi="Avenir Next" w:cs="Arial"/>
          <w:color w:val="7B7B7B" w:themeColor="accent3" w:themeShade="BF"/>
          <w:sz w:val="22"/>
          <w:szCs w:val="22"/>
          <w:lang w:val="en-GB"/>
        </w:rPr>
        <w:t>custodian was appointed</w:t>
      </w:r>
      <w:r w:rsidR="00A31CA0">
        <w:rPr>
          <w:rFonts w:ascii="Avenir Next" w:hAnsi="Avenir Next" w:cs="Arial"/>
          <w:color w:val="7B7B7B" w:themeColor="accent3" w:themeShade="BF"/>
          <w:sz w:val="22"/>
          <w:szCs w:val="22"/>
          <w:lang w:val="en-GB"/>
        </w:rPr>
        <w:t xml:space="preserve">, other than an authorized agent </w:t>
      </w:r>
      <w:r w:rsidR="00586501">
        <w:rPr>
          <w:rFonts w:ascii="Avenir Next" w:hAnsi="Avenir Next" w:cs="Arial"/>
          <w:color w:val="7B7B7B" w:themeColor="accent3" w:themeShade="BF"/>
          <w:sz w:val="22"/>
          <w:szCs w:val="22"/>
          <w:lang w:val="en-GB"/>
        </w:rPr>
        <w:t>that would enforce a lien against a property of the estate.</w:t>
      </w:r>
    </w:p>
    <w:p w14:paraId="3A833F16" w14:textId="22E93C92" w:rsidR="00E01803" w:rsidRPr="00586501" w:rsidRDefault="00E01803" w:rsidP="00586501">
      <w:pPr>
        <w:jc w:val="both"/>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w:t>
      </w:r>
      <w:r w:rsidRPr="00C9124D">
        <w:rPr>
          <w:rFonts w:ascii="Avenir Next" w:hAnsi="Avenir Next"/>
          <w:highlight w:val="yellow"/>
        </w:rPr>
        <w:t>from leased office space</w:t>
      </w:r>
      <w:r w:rsidRPr="00E01803">
        <w:rPr>
          <w:rFonts w:ascii="Avenir Next" w:hAnsi="Avenir Next"/>
        </w:rPr>
        <w:t xml:space="preserve"> with </w:t>
      </w:r>
      <w:r w:rsidRPr="00C9124D">
        <w:rPr>
          <w:rFonts w:ascii="Avenir Next" w:hAnsi="Avenir Next"/>
          <w:highlight w:val="yellow"/>
        </w:rPr>
        <w:t>two employees</w:t>
      </w:r>
      <w:r w:rsidRPr="00E01803">
        <w:rPr>
          <w:rFonts w:ascii="Avenir Next" w:hAnsi="Avenir Next"/>
        </w:rPr>
        <w:t xml:space="preserve">.  It funds its trading through </w:t>
      </w:r>
      <w:r w:rsidRPr="00C9124D">
        <w:rPr>
          <w:rFonts w:ascii="Avenir Next" w:hAnsi="Avenir Next"/>
          <w:highlight w:val="yellow"/>
        </w:rPr>
        <w:t>a margin loan</w:t>
      </w:r>
      <w:r w:rsidRPr="00E01803">
        <w:rPr>
          <w:rFonts w:ascii="Avenir Next" w:hAnsi="Avenir Next"/>
        </w:rPr>
        <w:t xml:space="preserve"> from its broker, where the shares it purchases are held </w:t>
      </w:r>
      <w:r w:rsidRPr="003E6A8A">
        <w:rPr>
          <w:rFonts w:ascii="Avenir Next" w:hAnsi="Avenir Next"/>
          <w:highlight w:val="yellow"/>
        </w:rPr>
        <w:t>as collateral</w:t>
      </w:r>
      <w:r w:rsidRPr="00E01803">
        <w:rPr>
          <w:rFonts w:ascii="Avenir Next" w:hAnsi="Avenir Next"/>
        </w:rPr>
        <w:t xml:space="preserve">.  For a while, Speculation Inc was very successful in trading, and the US Department of Justice (DOJ) has announced an investigation into whether its success was due to illegally </w:t>
      </w:r>
      <w:r w:rsidRPr="00086472">
        <w:rPr>
          <w:rFonts w:ascii="Avenir Next" w:hAnsi="Avenir Next"/>
          <w:highlight w:val="yellow"/>
        </w:rPr>
        <w:t>trading on insider information</w:t>
      </w:r>
      <w:r w:rsidRPr="00E01803">
        <w:rPr>
          <w:rFonts w:ascii="Avenir Next" w:hAnsi="Avenir Next"/>
        </w:rPr>
        <w:t xml:space="preserve">.  More recently, Speculation Inc has had serious trading losses, causing its broker to </w:t>
      </w:r>
      <w:r w:rsidRPr="00086472">
        <w:rPr>
          <w:rFonts w:ascii="Avenir Next" w:hAnsi="Avenir Next"/>
          <w:highlight w:val="yellow"/>
        </w:rPr>
        <w:t>declare a default on the margin loan</w:t>
      </w:r>
      <w:r w:rsidRPr="00E01803">
        <w:rPr>
          <w:rFonts w:ascii="Avenir Next" w:hAnsi="Avenir Next"/>
        </w:rPr>
        <w:t xml:space="preserve">.  It also has fallen </w:t>
      </w:r>
      <w:r w:rsidRPr="00086472">
        <w:rPr>
          <w:rFonts w:ascii="Avenir Next" w:hAnsi="Avenir Next"/>
          <w:highlight w:val="yellow"/>
        </w:rPr>
        <w:t>behind on its rent</w:t>
      </w:r>
      <w:r w:rsidRPr="00E01803">
        <w:rPr>
          <w:rFonts w:ascii="Avenir Next" w:hAnsi="Avenir Next"/>
        </w:rPr>
        <w:t xml:space="preserve">, and been </w:t>
      </w:r>
      <w:r w:rsidRPr="00086472">
        <w:rPr>
          <w:rFonts w:ascii="Avenir Next" w:hAnsi="Avenir Next"/>
          <w:highlight w:val="yellow"/>
        </w:rPr>
        <w:t>sued by a former employee</w:t>
      </w:r>
      <w:r w:rsidRPr="00E01803">
        <w:rPr>
          <w:rFonts w:ascii="Avenir Next" w:hAnsi="Avenir Next"/>
        </w:rPr>
        <w:t xml:space="preserv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77D24C84" w14:textId="0817783C" w:rsidR="00735CDB" w:rsidRDefault="00EE663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E271BD">
        <w:rPr>
          <w:rFonts w:ascii="Avenir Next" w:hAnsi="Avenir Next" w:cs="Arial"/>
          <w:color w:val="7B7B7B" w:themeColor="accent3" w:themeShade="BF"/>
          <w:sz w:val="22"/>
          <w:szCs w:val="22"/>
          <w:lang w:val="en-GB"/>
        </w:rPr>
        <w:t xml:space="preserve">he fact that a Chapter 11 was filed by the company means that the automatic stay will automatically apply </w:t>
      </w:r>
      <w:r w:rsidR="004B0317">
        <w:rPr>
          <w:rFonts w:ascii="Avenir Next" w:hAnsi="Avenir Next" w:cs="Arial"/>
          <w:color w:val="7B7B7B" w:themeColor="accent3" w:themeShade="BF"/>
          <w:sz w:val="22"/>
          <w:szCs w:val="22"/>
          <w:lang w:val="en-GB"/>
        </w:rPr>
        <w:t>and that all actions against the estate will be stopped</w:t>
      </w:r>
      <w:r w:rsidR="004B1B0E">
        <w:rPr>
          <w:rFonts w:ascii="Avenir Next" w:hAnsi="Avenir Next" w:cs="Arial"/>
          <w:color w:val="7B7B7B" w:themeColor="accent3" w:themeShade="BF"/>
          <w:sz w:val="22"/>
          <w:szCs w:val="22"/>
          <w:lang w:val="en-GB"/>
        </w:rPr>
        <w:t xml:space="preserve"> at the date of the petition.</w:t>
      </w:r>
    </w:p>
    <w:p w14:paraId="1A1621BB" w14:textId="23819977" w:rsidR="00735CDB" w:rsidRPr="00735CDB" w:rsidRDefault="00BF3395" w:rsidP="00735CDB">
      <w:pPr>
        <w:pStyle w:val="Paragraphedeliste"/>
        <w:numPr>
          <w:ilvl w:val="0"/>
          <w:numId w:val="34"/>
        </w:numPr>
        <w:jc w:val="both"/>
        <w:rPr>
          <w:rFonts w:ascii="Avenir Next" w:hAnsi="Avenir Next" w:cs="Arial"/>
          <w:color w:val="7B7B7B" w:themeColor="accent3" w:themeShade="BF"/>
          <w:sz w:val="22"/>
          <w:szCs w:val="22"/>
          <w:lang w:val="en-GB"/>
        </w:rPr>
      </w:pPr>
      <w:r w:rsidRPr="00735CDB">
        <w:rPr>
          <w:rFonts w:ascii="Avenir Next" w:hAnsi="Avenir Next" w:cs="Arial"/>
          <w:color w:val="7B7B7B" w:themeColor="accent3" w:themeShade="BF"/>
          <w:sz w:val="22"/>
          <w:szCs w:val="22"/>
          <w:lang w:val="en-GB"/>
        </w:rPr>
        <w:t xml:space="preserve">However, there are some exclusions from the scope of the stay. For instance, criminal investigations are not subjected to the stay. In this case, this means that the investigation of the DOJ will continue and </w:t>
      </w:r>
      <w:r w:rsidR="00D2293F" w:rsidRPr="00735CDB">
        <w:rPr>
          <w:rFonts w:ascii="Avenir Next" w:hAnsi="Avenir Next" w:cs="Arial"/>
          <w:color w:val="7B7B7B" w:themeColor="accent3" w:themeShade="BF"/>
          <w:sz w:val="22"/>
          <w:szCs w:val="22"/>
          <w:lang w:val="en-GB"/>
        </w:rPr>
        <w:t xml:space="preserve">the criminal proceeding </w:t>
      </w:r>
      <w:r w:rsidRPr="00735CDB">
        <w:rPr>
          <w:rFonts w:ascii="Avenir Next" w:hAnsi="Avenir Next" w:cs="Arial"/>
          <w:color w:val="7B7B7B" w:themeColor="accent3" w:themeShade="BF"/>
          <w:sz w:val="22"/>
          <w:szCs w:val="22"/>
          <w:lang w:val="en-GB"/>
        </w:rPr>
        <w:t xml:space="preserve">could end up </w:t>
      </w:r>
      <w:r w:rsidR="00D552ED" w:rsidRPr="00735CDB">
        <w:rPr>
          <w:rFonts w:ascii="Avenir Next" w:hAnsi="Avenir Next" w:cs="Arial"/>
          <w:color w:val="7B7B7B" w:themeColor="accent3" w:themeShade="BF"/>
          <w:sz w:val="22"/>
          <w:szCs w:val="22"/>
          <w:lang w:val="en-GB"/>
        </w:rPr>
        <w:t xml:space="preserve">with </w:t>
      </w:r>
      <w:r w:rsidR="00735CDB" w:rsidRPr="00735CDB">
        <w:rPr>
          <w:rFonts w:ascii="Avenir Next" w:hAnsi="Avenir Next" w:cs="Arial"/>
          <w:color w:val="7B7B7B" w:themeColor="accent3" w:themeShade="BF"/>
          <w:sz w:val="22"/>
          <w:szCs w:val="22"/>
          <w:lang w:val="en-GB"/>
        </w:rPr>
        <w:t xml:space="preserve">Speculation Inc. sentenced to </w:t>
      </w:r>
      <w:r w:rsidR="00A11130" w:rsidRPr="00735CDB">
        <w:rPr>
          <w:rFonts w:ascii="Avenir Next" w:hAnsi="Avenir Next" w:cs="Arial"/>
          <w:color w:val="7B7B7B" w:themeColor="accent3" w:themeShade="BF"/>
          <w:sz w:val="22"/>
          <w:szCs w:val="22"/>
          <w:lang w:val="en-GB"/>
        </w:rPr>
        <w:t>a penal sanction</w:t>
      </w:r>
      <w:r w:rsidR="00D2293F" w:rsidRPr="00735CDB">
        <w:rPr>
          <w:rFonts w:ascii="Avenir Next" w:hAnsi="Avenir Next" w:cs="Arial"/>
          <w:color w:val="7B7B7B" w:themeColor="accent3" w:themeShade="BF"/>
          <w:sz w:val="22"/>
          <w:szCs w:val="22"/>
          <w:lang w:val="en-GB"/>
        </w:rPr>
        <w:t>.</w:t>
      </w:r>
    </w:p>
    <w:p w14:paraId="7F0F20ED" w14:textId="77777777" w:rsidR="001A43D9" w:rsidRDefault="00735CDB" w:rsidP="00735CDB">
      <w:pPr>
        <w:pStyle w:val="Paragraphedeliste"/>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automatic stay </w:t>
      </w:r>
      <w:r w:rsidR="00007FB1">
        <w:rPr>
          <w:rFonts w:ascii="Avenir Next" w:hAnsi="Avenir Next" w:cs="Arial"/>
          <w:color w:val="7B7B7B" w:themeColor="accent3" w:themeShade="BF"/>
          <w:sz w:val="22"/>
          <w:szCs w:val="22"/>
          <w:lang w:val="en-GB"/>
        </w:rPr>
        <w:t>prohibits any enforcement or realization of liens against the estate. In this case, the company’s goods (its stocks</w:t>
      </w:r>
      <w:r w:rsidR="002E120B">
        <w:rPr>
          <w:rFonts w:ascii="Avenir Next" w:hAnsi="Avenir Next" w:cs="Arial"/>
          <w:color w:val="7B7B7B" w:themeColor="accent3" w:themeShade="BF"/>
          <w:sz w:val="22"/>
          <w:szCs w:val="22"/>
          <w:lang w:val="en-GB"/>
        </w:rPr>
        <w:t>) served as guaranty of</w:t>
      </w:r>
      <w:r w:rsidR="003B6071">
        <w:rPr>
          <w:rFonts w:ascii="Avenir Next" w:hAnsi="Avenir Next" w:cs="Arial"/>
          <w:color w:val="7B7B7B" w:themeColor="accent3" w:themeShade="BF"/>
          <w:sz w:val="22"/>
          <w:szCs w:val="22"/>
          <w:lang w:val="en-GB"/>
        </w:rPr>
        <w:t xml:space="preserve"> the margin loan. However, they were not cash collateral. </w:t>
      </w:r>
      <w:r w:rsidR="002E120B">
        <w:rPr>
          <w:rFonts w:ascii="Avenir Next" w:hAnsi="Avenir Next" w:cs="Arial"/>
          <w:color w:val="7B7B7B" w:themeColor="accent3" w:themeShade="BF"/>
          <w:sz w:val="22"/>
          <w:szCs w:val="22"/>
          <w:lang w:val="en-GB"/>
        </w:rPr>
        <w:t xml:space="preserve">Therefore, the automatic stay will prevent the broker to </w:t>
      </w:r>
      <w:r w:rsidR="001A43D9">
        <w:rPr>
          <w:rFonts w:ascii="Avenir Next" w:hAnsi="Avenir Next" w:cs="Arial"/>
          <w:color w:val="7B7B7B" w:themeColor="accent3" w:themeShade="BF"/>
          <w:sz w:val="22"/>
          <w:szCs w:val="22"/>
          <w:lang w:val="en-GB"/>
        </w:rPr>
        <w:t>take possession of the collateral. However, it doesn’t mean that it will loose its security, it will still be a secured creditor.</w:t>
      </w:r>
    </w:p>
    <w:p w14:paraId="0E04E2BA" w14:textId="77777777" w:rsidR="00543D8D" w:rsidRDefault="00BA6EB1" w:rsidP="00735CDB">
      <w:pPr>
        <w:pStyle w:val="Paragraphedeliste"/>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stay also prevent</w:t>
      </w:r>
      <w:r w:rsidR="00CE4BB6">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actions pre-petition creditors who would try to </w:t>
      </w:r>
      <w:r w:rsidR="00FD3720">
        <w:rPr>
          <w:rFonts w:ascii="Avenir Next" w:hAnsi="Avenir Next" w:cs="Arial"/>
          <w:color w:val="7B7B7B" w:themeColor="accent3" w:themeShade="BF"/>
          <w:sz w:val="22"/>
          <w:szCs w:val="22"/>
          <w:lang w:val="en-GB"/>
        </w:rPr>
        <w:t>collect their claim</w:t>
      </w:r>
      <w:r w:rsidR="00CE4BB6">
        <w:rPr>
          <w:rFonts w:ascii="Avenir Next" w:hAnsi="Avenir Next" w:cs="Arial"/>
          <w:color w:val="7B7B7B" w:themeColor="accent3" w:themeShade="BF"/>
          <w:sz w:val="22"/>
          <w:szCs w:val="22"/>
          <w:lang w:val="en-GB"/>
        </w:rPr>
        <w:t>s</w:t>
      </w:r>
      <w:r w:rsidR="00FD3720">
        <w:rPr>
          <w:rFonts w:ascii="Avenir Next" w:hAnsi="Avenir Next" w:cs="Arial"/>
          <w:color w:val="7B7B7B" w:themeColor="accent3" w:themeShade="BF"/>
          <w:sz w:val="22"/>
          <w:szCs w:val="22"/>
          <w:lang w:val="en-GB"/>
        </w:rPr>
        <w:t>.</w:t>
      </w:r>
      <w:r w:rsidR="00CE4BB6">
        <w:rPr>
          <w:rFonts w:ascii="Avenir Next" w:hAnsi="Avenir Next" w:cs="Arial"/>
          <w:color w:val="7B7B7B" w:themeColor="accent3" w:themeShade="BF"/>
          <w:sz w:val="22"/>
          <w:szCs w:val="22"/>
          <w:lang w:val="en-GB"/>
        </w:rPr>
        <w:t xml:space="preserve"> In this case, this means that the leaser can only file its proof of claim </w:t>
      </w:r>
      <w:r w:rsidR="00543D8D">
        <w:rPr>
          <w:rFonts w:ascii="Avenir Next" w:hAnsi="Avenir Next" w:cs="Arial"/>
          <w:color w:val="7B7B7B" w:themeColor="accent3" w:themeShade="BF"/>
          <w:sz w:val="22"/>
          <w:szCs w:val="22"/>
          <w:lang w:val="en-GB"/>
        </w:rPr>
        <w:t>in order to be paid under the reorganization plan’s provisions.</w:t>
      </w:r>
      <w:r w:rsidR="00FD3720">
        <w:rPr>
          <w:rFonts w:ascii="Avenir Next" w:hAnsi="Avenir Next" w:cs="Arial"/>
          <w:color w:val="7B7B7B" w:themeColor="accent3" w:themeShade="BF"/>
          <w:sz w:val="22"/>
          <w:szCs w:val="22"/>
          <w:lang w:val="en-GB"/>
        </w:rPr>
        <w:t xml:space="preserve"> </w:t>
      </w:r>
    </w:p>
    <w:p w14:paraId="5C793B3F" w14:textId="19F8FD3B" w:rsidR="00E01803" w:rsidRPr="00BB1766" w:rsidRDefault="000C1836" w:rsidP="001B5A1C">
      <w:pPr>
        <w:pStyle w:val="Paragraphedeliste"/>
        <w:numPr>
          <w:ilvl w:val="0"/>
          <w:numId w:val="34"/>
        </w:numPr>
        <w:jc w:val="both"/>
        <w:rPr>
          <w:rFonts w:ascii="Avenir Next" w:hAnsi="Avenir Next"/>
        </w:rPr>
      </w:pPr>
      <w:r w:rsidRPr="00BB1766">
        <w:rPr>
          <w:rFonts w:ascii="Avenir Next" w:hAnsi="Avenir Next" w:cs="Arial"/>
          <w:color w:val="7B7B7B" w:themeColor="accent3" w:themeShade="BF"/>
          <w:sz w:val="22"/>
          <w:szCs w:val="22"/>
          <w:lang w:val="en-GB"/>
        </w:rPr>
        <w:t>11 US</w:t>
      </w:r>
      <w:r w:rsidR="00476D35">
        <w:rPr>
          <w:rFonts w:ascii="Avenir Next" w:hAnsi="Avenir Next" w:cs="Arial"/>
          <w:color w:val="7B7B7B" w:themeColor="accent3" w:themeShade="BF"/>
          <w:sz w:val="22"/>
          <w:szCs w:val="22"/>
          <w:lang w:val="en-GB"/>
        </w:rPr>
        <w:t>C</w:t>
      </w:r>
      <w:r w:rsidRPr="00BB1766">
        <w:rPr>
          <w:rFonts w:ascii="Avenir Next" w:hAnsi="Avenir Next" w:cs="Arial"/>
          <w:color w:val="7B7B7B" w:themeColor="accent3" w:themeShade="BF"/>
          <w:sz w:val="22"/>
          <w:szCs w:val="22"/>
          <w:lang w:val="en-GB"/>
        </w:rPr>
        <w:t xml:space="preserve"> §362 (a) </w:t>
      </w:r>
      <w:r w:rsidR="00541F46" w:rsidRPr="00BB1766">
        <w:rPr>
          <w:rFonts w:ascii="Avenir Next" w:hAnsi="Avenir Next" w:cs="Arial"/>
          <w:color w:val="7B7B7B" w:themeColor="accent3" w:themeShade="BF"/>
          <w:sz w:val="22"/>
          <w:szCs w:val="22"/>
          <w:lang w:val="en-GB"/>
        </w:rPr>
        <w:t>(1) also prohibits the continuation of any judicial proceeding</w:t>
      </w:r>
      <w:r w:rsidR="000D0013" w:rsidRPr="00BB1766">
        <w:rPr>
          <w:rFonts w:ascii="Avenir Next" w:hAnsi="Avenir Next" w:cs="Arial"/>
          <w:color w:val="7B7B7B" w:themeColor="accent3" w:themeShade="BF"/>
          <w:sz w:val="22"/>
          <w:szCs w:val="22"/>
          <w:lang w:val="en-GB"/>
        </w:rPr>
        <w:t xml:space="preserve"> that was commenced before the commencement of the insolvency proceeding. Therefore, in this case</w:t>
      </w:r>
      <w:r w:rsidR="00700217" w:rsidRPr="00BB1766">
        <w:rPr>
          <w:rFonts w:ascii="Avenir Next" w:hAnsi="Avenir Next" w:cs="Arial"/>
          <w:color w:val="7B7B7B" w:themeColor="accent3" w:themeShade="BF"/>
          <w:sz w:val="22"/>
          <w:szCs w:val="22"/>
          <w:lang w:val="en-GB"/>
        </w:rPr>
        <w:t xml:space="preserve">, the </w:t>
      </w:r>
      <w:r w:rsidR="0006305A" w:rsidRPr="00BB1766">
        <w:rPr>
          <w:rFonts w:ascii="Avenir Next" w:hAnsi="Avenir Next" w:cs="Arial"/>
          <w:color w:val="7B7B7B" w:themeColor="accent3" w:themeShade="BF"/>
          <w:sz w:val="22"/>
          <w:szCs w:val="22"/>
          <w:lang w:val="en-GB"/>
        </w:rPr>
        <w:t>law suit that was started by the former employee can</w:t>
      </w:r>
      <w:r w:rsidR="00B1556C" w:rsidRPr="00BB1766">
        <w:rPr>
          <w:rFonts w:ascii="Avenir Next" w:hAnsi="Avenir Next" w:cs="Arial"/>
          <w:color w:val="7B7B7B" w:themeColor="accent3" w:themeShade="BF"/>
          <w:sz w:val="22"/>
          <w:szCs w:val="22"/>
          <w:lang w:val="en-GB"/>
        </w:rPr>
        <w:t xml:space="preserve">’t continue until </w:t>
      </w:r>
      <w:r w:rsidR="007D27EE" w:rsidRPr="00BB1766">
        <w:rPr>
          <w:rFonts w:ascii="Avenir Next" w:hAnsi="Avenir Next" w:cs="Arial"/>
          <w:color w:val="7B7B7B" w:themeColor="accent3" w:themeShade="BF"/>
          <w:sz w:val="22"/>
          <w:szCs w:val="22"/>
          <w:lang w:val="en-GB"/>
        </w:rPr>
        <w:t>the case is closed. In the context of a reorganization plan under chapter 11, until the substan</w:t>
      </w:r>
      <w:r w:rsidR="00BB1766" w:rsidRPr="00BB1766">
        <w:rPr>
          <w:rFonts w:ascii="Avenir Next" w:hAnsi="Avenir Next" w:cs="Arial"/>
          <w:color w:val="7B7B7B" w:themeColor="accent3" w:themeShade="BF"/>
          <w:sz w:val="22"/>
          <w:szCs w:val="22"/>
          <w:lang w:val="en-GB"/>
        </w:rPr>
        <w:t xml:space="preserve">tial consummation of the plan. </w:t>
      </w:r>
    </w:p>
    <w:p w14:paraId="44A67163" w14:textId="77777777" w:rsidR="00BB1766" w:rsidRPr="00BB1766" w:rsidRDefault="00BB1766" w:rsidP="00BB1766">
      <w:pPr>
        <w:jc w:val="both"/>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a an international cosmetics company </w:t>
      </w:r>
      <w:r w:rsidRPr="00CA1BFA">
        <w:rPr>
          <w:rFonts w:ascii="Avenir Next" w:hAnsi="Avenir Next"/>
          <w:highlight w:val="yellow"/>
        </w:rPr>
        <w:t>incorporated in France</w:t>
      </w:r>
      <w:r w:rsidRPr="00E01803">
        <w:rPr>
          <w:rFonts w:ascii="Avenir Next" w:hAnsi="Avenir Next"/>
        </w:rPr>
        <w:t>,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w:t>
      </w:r>
      <w:r w:rsidRPr="00CA1BFA">
        <w:rPr>
          <w:rFonts w:ascii="Avenir Next" w:hAnsi="Avenir Next"/>
          <w:highlight w:val="yellow"/>
        </w:rPr>
        <w:t>North America</w:t>
      </w:r>
      <w:r w:rsidRPr="00E01803">
        <w:rPr>
          <w:rFonts w:ascii="Avenir Next" w:hAnsi="Avenir Next"/>
        </w:rPr>
        <w:t xml:space="preserve">. Stella’s funding comes from </w:t>
      </w:r>
      <w:r w:rsidRPr="00CA1BFA">
        <w:rPr>
          <w:rFonts w:ascii="Avenir Next" w:hAnsi="Avenir Next"/>
          <w:highlight w:val="yellow"/>
        </w:rPr>
        <w:t>a bank loan and Eurobonds, both of which are governed by English law</w:t>
      </w:r>
      <w:r w:rsidRPr="00E01803">
        <w:rPr>
          <w:rFonts w:ascii="Avenir Next" w:hAnsi="Avenir Next"/>
        </w:rPr>
        <w:t xml:space="preserve">.  Stella’s retail sales have suffered due to pandemic-related closures and it is considering options to restructure its debt.  One option is to use an English scheme of </w:t>
      </w:r>
      <w:r w:rsidRPr="00E01803">
        <w:rPr>
          <w:rFonts w:ascii="Avenir Next" w:hAnsi="Avenir Next"/>
        </w:rPr>
        <w:lastRenderedPageBreak/>
        <w:t xml:space="preserve">arrangement with respect to the Eurobonds.  Could </w:t>
      </w:r>
      <w:r w:rsidRPr="00CA1BFA">
        <w:rPr>
          <w:rFonts w:ascii="Avenir Next" w:hAnsi="Avenir Next"/>
          <w:highlight w:val="yellow"/>
        </w:rPr>
        <w:t>the English scheme of arrangement</w:t>
      </w:r>
      <w:r w:rsidRPr="00E01803">
        <w:rPr>
          <w:rFonts w:ascii="Avenir Next" w:hAnsi="Avenir Next"/>
        </w:rPr>
        <w:t xml:space="preserve"> be recognized by a US bankruptcy court </w:t>
      </w:r>
      <w:r w:rsidRPr="00CA1BFA">
        <w:rPr>
          <w:rFonts w:ascii="Avenir Next" w:hAnsi="Avenir Next"/>
          <w:highlight w:val="yellow"/>
        </w:rPr>
        <w:t xml:space="preserve">under </w:t>
      </w:r>
      <w:r w:rsidR="00325A8F" w:rsidRPr="00CA1BFA">
        <w:rPr>
          <w:rFonts w:ascii="Avenir Next" w:hAnsi="Avenir Next"/>
          <w:highlight w:val="yellow"/>
        </w:rPr>
        <w:t>C</w:t>
      </w:r>
      <w:r w:rsidRPr="00CA1BFA">
        <w:rPr>
          <w:rFonts w:ascii="Avenir Next" w:hAnsi="Avenir Next"/>
          <w:highlight w:val="yellow"/>
        </w:rPr>
        <w:t>hapter 15</w:t>
      </w:r>
      <w:r w:rsidRPr="00E01803">
        <w:rPr>
          <w:rFonts w:ascii="Avenir Next" w:hAnsi="Avenir Next"/>
        </w:rPr>
        <w:t xml:space="preserve">, and would such recognition be </w:t>
      </w:r>
      <w:r w:rsidRPr="00A0395D">
        <w:rPr>
          <w:rFonts w:ascii="Avenir Next" w:hAnsi="Avenir Next"/>
          <w:highlight w:val="yellow"/>
        </w:rPr>
        <w:t>as a foreign main or non-main proceeding?</w:t>
      </w:r>
      <w:r w:rsidRPr="00E01803">
        <w:rPr>
          <w:rFonts w:ascii="Avenir Next" w:hAnsi="Avenir Next"/>
        </w:rPr>
        <w:t xml:space="preserve">  </w:t>
      </w:r>
    </w:p>
    <w:p w14:paraId="69C2E697" w14:textId="77D49ACF" w:rsidR="00E01803" w:rsidRDefault="00E01803" w:rsidP="000778B1">
      <w:pPr>
        <w:pStyle w:val="AODocTxt"/>
        <w:spacing w:before="0" w:line="240" w:lineRule="auto"/>
        <w:rPr>
          <w:rFonts w:ascii="Avenir Next" w:hAnsi="Avenir Next"/>
        </w:rPr>
      </w:pPr>
    </w:p>
    <w:p w14:paraId="4AC38BC5" w14:textId="77777777" w:rsidR="00C75324" w:rsidRDefault="009804A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foreign insolvency representative can file for recognition of a foreign insolvency proceeding in the USA under chapter 15.</w:t>
      </w:r>
      <w:r w:rsidR="00C166F4">
        <w:rPr>
          <w:rFonts w:ascii="Avenir Next" w:hAnsi="Avenir Next" w:cs="Arial"/>
          <w:color w:val="7B7B7B" w:themeColor="accent3" w:themeShade="BF"/>
          <w:sz w:val="22"/>
          <w:szCs w:val="22"/>
          <w:lang w:val="en-GB"/>
        </w:rPr>
        <w:t xml:space="preserve"> This chapter of the US Bankruptcy code is the American implementation of the Model Law. </w:t>
      </w:r>
    </w:p>
    <w:p w14:paraId="0777A7D7" w14:textId="77777777" w:rsidR="00C75324" w:rsidRDefault="00C166F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its provisions</w:t>
      </w:r>
      <w:r w:rsidR="005304DE">
        <w:rPr>
          <w:rFonts w:ascii="Avenir Next" w:hAnsi="Avenir Next" w:cs="Arial"/>
          <w:color w:val="7B7B7B" w:themeColor="accent3" w:themeShade="BF"/>
          <w:sz w:val="22"/>
          <w:szCs w:val="22"/>
          <w:lang w:val="en-GB"/>
        </w:rPr>
        <w:t xml:space="preserve"> (USC 11 §1517)</w:t>
      </w:r>
      <w:r>
        <w:rPr>
          <w:rFonts w:ascii="Avenir Next" w:hAnsi="Avenir Next" w:cs="Arial"/>
          <w:color w:val="7B7B7B" w:themeColor="accent3" w:themeShade="BF"/>
          <w:sz w:val="22"/>
          <w:szCs w:val="22"/>
          <w:lang w:val="en-GB"/>
        </w:rPr>
        <w:t>, in order to qualify for recognition in the USA</w:t>
      </w:r>
      <w:r w:rsidR="00D606AB">
        <w:rPr>
          <w:rFonts w:ascii="Avenir Next" w:hAnsi="Avenir Next" w:cs="Arial"/>
          <w:color w:val="7B7B7B" w:themeColor="accent3" w:themeShade="BF"/>
          <w:sz w:val="22"/>
          <w:szCs w:val="22"/>
          <w:lang w:val="en-GB"/>
        </w:rPr>
        <w:t xml:space="preserve">, the foreign insolvency proceeding must be commenced in a State where the COMI </w:t>
      </w:r>
      <w:r w:rsidR="004B6817">
        <w:rPr>
          <w:rFonts w:ascii="Avenir Next" w:hAnsi="Avenir Next" w:cs="Arial"/>
          <w:color w:val="7B7B7B" w:themeColor="accent3" w:themeShade="BF"/>
          <w:sz w:val="22"/>
          <w:szCs w:val="22"/>
          <w:lang w:val="en-GB"/>
        </w:rPr>
        <w:t>(</w:t>
      </w:r>
      <w:proofErr w:type="spellStart"/>
      <w:r w:rsidR="004B6817">
        <w:rPr>
          <w:rFonts w:ascii="Avenir Next" w:hAnsi="Avenir Next" w:cs="Arial"/>
          <w:color w:val="7B7B7B" w:themeColor="accent3" w:themeShade="BF"/>
          <w:sz w:val="22"/>
          <w:szCs w:val="22"/>
          <w:lang w:val="en-GB"/>
        </w:rPr>
        <w:t>center</w:t>
      </w:r>
      <w:proofErr w:type="spellEnd"/>
      <w:r w:rsidR="004B6817">
        <w:rPr>
          <w:rFonts w:ascii="Avenir Next" w:hAnsi="Avenir Next" w:cs="Arial"/>
          <w:color w:val="7B7B7B" w:themeColor="accent3" w:themeShade="BF"/>
          <w:sz w:val="22"/>
          <w:szCs w:val="22"/>
          <w:lang w:val="en-GB"/>
        </w:rPr>
        <w:t xml:space="preserve"> of main interests) </w:t>
      </w:r>
      <w:r w:rsidR="005304DE">
        <w:rPr>
          <w:rFonts w:ascii="Avenir Next" w:hAnsi="Avenir Next" w:cs="Arial"/>
          <w:color w:val="7B7B7B" w:themeColor="accent3" w:themeShade="BF"/>
          <w:sz w:val="22"/>
          <w:szCs w:val="22"/>
          <w:lang w:val="en-GB"/>
        </w:rPr>
        <w:t xml:space="preserve">is located </w:t>
      </w:r>
      <w:r w:rsidR="00D606AB">
        <w:rPr>
          <w:rFonts w:ascii="Avenir Next" w:hAnsi="Avenir Next" w:cs="Arial"/>
          <w:color w:val="7B7B7B" w:themeColor="accent3" w:themeShade="BF"/>
          <w:sz w:val="22"/>
          <w:szCs w:val="22"/>
          <w:lang w:val="en-GB"/>
        </w:rPr>
        <w:t>or</w:t>
      </w:r>
      <w:r w:rsidR="005304DE">
        <w:rPr>
          <w:rFonts w:ascii="Avenir Next" w:hAnsi="Avenir Next" w:cs="Arial"/>
          <w:color w:val="7B7B7B" w:themeColor="accent3" w:themeShade="BF"/>
          <w:sz w:val="22"/>
          <w:szCs w:val="22"/>
          <w:lang w:val="en-GB"/>
        </w:rPr>
        <w:t xml:space="preserve"> where the debtor has</w:t>
      </w:r>
      <w:r w:rsidR="00D606AB">
        <w:rPr>
          <w:rFonts w:ascii="Avenir Next" w:hAnsi="Avenir Next" w:cs="Arial"/>
          <w:color w:val="7B7B7B" w:themeColor="accent3" w:themeShade="BF"/>
          <w:sz w:val="22"/>
          <w:szCs w:val="22"/>
          <w:lang w:val="en-GB"/>
        </w:rPr>
        <w:t xml:space="preserve"> an establishment</w:t>
      </w:r>
      <w:r w:rsidR="005304DE">
        <w:rPr>
          <w:rFonts w:ascii="Avenir Next" w:hAnsi="Avenir Next" w:cs="Arial"/>
          <w:color w:val="7B7B7B" w:themeColor="accent3" w:themeShade="BF"/>
          <w:sz w:val="22"/>
          <w:szCs w:val="22"/>
          <w:lang w:val="en-GB"/>
        </w:rPr>
        <w:t xml:space="preserve"> before the commencement of the fore</w:t>
      </w:r>
      <w:r w:rsidR="006E691F">
        <w:rPr>
          <w:rFonts w:ascii="Avenir Next" w:hAnsi="Avenir Next" w:cs="Arial"/>
          <w:color w:val="7B7B7B" w:themeColor="accent3" w:themeShade="BF"/>
          <w:sz w:val="22"/>
          <w:szCs w:val="22"/>
          <w:lang w:val="en-GB"/>
        </w:rPr>
        <w:t>ign proceeding</w:t>
      </w:r>
      <w:r w:rsidR="00F25D93">
        <w:rPr>
          <w:rFonts w:ascii="Avenir Next" w:hAnsi="Avenir Next" w:cs="Arial"/>
          <w:color w:val="7B7B7B" w:themeColor="accent3" w:themeShade="BF"/>
          <w:sz w:val="22"/>
          <w:szCs w:val="22"/>
          <w:lang w:val="en-GB"/>
        </w:rPr>
        <w:t>.</w:t>
      </w:r>
      <w:r w:rsidR="00B71410">
        <w:rPr>
          <w:rFonts w:ascii="Avenir Next" w:hAnsi="Avenir Next" w:cs="Arial"/>
          <w:color w:val="7B7B7B" w:themeColor="accent3" w:themeShade="BF"/>
          <w:sz w:val="22"/>
          <w:szCs w:val="22"/>
          <w:lang w:val="en-GB"/>
        </w:rPr>
        <w:t xml:space="preserve"> </w:t>
      </w:r>
    </w:p>
    <w:p w14:paraId="7103EA44" w14:textId="77777777" w:rsidR="00C75324" w:rsidRDefault="00DB7E9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C7646E">
        <w:rPr>
          <w:rFonts w:ascii="Avenir Next" w:hAnsi="Avenir Next" w:cs="Arial"/>
          <w:color w:val="7B7B7B" w:themeColor="accent3" w:themeShade="BF"/>
          <w:sz w:val="22"/>
          <w:szCs w:val="22"/>
          <w:lang w:val="en-GB"/>
        </w:rPr>
        <w:t>location</w:t>
      </w:r>
      <w:r>
        <w:rPr>
          <w:rFonts w:ascii="Avenir Next" w:hAnsi="Avenir Next" w:cs="Arial"/>
          <w:color w:val="7B7B7B" w:themeColor="accent3" w:themeShade="BF"/>
          <w:sz w:val="22"/>
          <w:szCs w:val="22"/>
          <w:lang w:val="en-GB"/>
        </w:rPr>
        <w:t xml:space="preserve"> of the COMI under the </w:t>
      </w:r>
      <w:r w:rsidR="004D325C">
        <w:rPr>
          <w:rFonts w:ascii="Avenir Next" w:hAnsi="Avenir Next" w:cs="Arial"/>
          <w:color w:val="7B7B7B" w:themeColor="accent3" w:themeShade="BF"/>
          <w:sz w:val="22"/>
          <w:szCs w:val="22"/>
          <w:lang w:val="en-GB"/>
        </w:rPr>
        <w:t xml:space="preserve">USC </w:t>
      </w:r>
      <w:r w:rsidR="00C7646E">
        <w:rPr>
          <w:rFonts w:ascii="Avenir Next" w:hAnsi="Avenir Next" w:cs="Arial"/>
          <w:color w:val="7B7B7B" w:themeColor="accent3" w:themeShade="BF"/>
          <w:sz w:val="22"/>
          <w:szCs w:val="22"/>
          <w:lang w:val="en-GB"/>
        </w:rPr>
        <w:t xml:space="preserve">relies on the same presumption as in the Model Law: the </w:t>
      </w:r>
      <w:r w:rsidR="00D90C15">
        <w:rPr>
          <w:rFonts w:ascii="Avenir Next" w:hAnsi="Avenir Next" w:cs="Arial"/>
          <w:color w:val="7B7B7B" w:themeColor="accent3" w:themeShade="BF"/>
          <w:sz w:val="22"/>
          <w:szCs w:val="22"/>
          <w:lang w:val="en-GB"/>
        </w:rPr>
        <w:t>location of the registered office. (11 USC §1516)</w:t>
      </w:r>
      <w:r w:rsidR="000B05CE">
        <w:rPr>
          <w:rFonts w:ascii="Avenir Next" w:hAnsi="Avenir Next" w:cs="Arial"/>
          <w:color w:val="7B7B7B" w:themeColor="accent3" w:themeShade="BF"/>
          <w:sz w:val="22"/>
          <w:szCs w:val="22"/>
          <w:lang w:val="en-GB"/>
        </w:rPr>
        <w:t xml:space="preserve"> </w:t>
      </w:r>
      <w:r w:rsidR="00B71410">
        <w:rPr>
          <w:rFonts w:ascii="Avenir Next" w:hAnsi="Avenir Next" w:cs="Arial"/>
          <w:color w:val="7B7B7B" w:themeColor="accent3" w:themeShade="BF"/>
          <w:sz w:val="22"/>
          <w:szCs w:val="22"/>
          <w:lang w:val="en-GB"/>
        </w:rPr>
        <w:t>The definition of an “establishment” under US law is inspired from the European Regulation and almost the same than the Model Law “an</w:t>
      </w:r>
      <w:r w:rsidR="00B71410" w:rsidRPr="00826291">
        <w:rPr>
          <w:rFonts w:ascii="Avenir Next" w:hAnsi="Avenir Next" w:cs="Arial"/>
          <w:color w:val="7B7B7B" w:themeColor="accent3" w:themeShade="BF"/>
          <w:sz w:val="22"/>
          <w:szCs w:val="22"/>
          <w:lang w:val="en-GB"/>
        </w:rPr>
        <w:t>y place of operations where the debtor carries out a non</w:t>
      </w:r>
      <w:r w:rsidR="00B71410">
        <w:rPr>
          <w:rFonts w:ascii="Avenir Next" w:hAnsi="Avenir Next" w:cs="Arial"/>
          <w:color w:val="7B7B7B" w:themeColor="accent3" w:themeShade="BF"/>
          <w:sz w:val="22"/>
          <w:szCs w:val="22"/>
          <w:lang w:val="en-GB"/>
        </w:rPr>
        <w:t xml:space="preserve"> </w:t>
      </w:r>
      <w:r w:rsidR="00B71410" w:rsidRPr="00826291">
        <w:rPr>
          <w:rFonts w:ascii="Avenir Next" w:hAnsi="Avenir Next" w:cs="Arial"/>
          <w:color w:val="7B7B7B" w:themeColor="accent3" w:themeShade="BF"/>
          <w:sz w:val="22"/>
          <w:szCs w:val="22"/>
          <w:lang w:val="en-GB"/>
        </w:rPr>
        <w:t>transitory economic activit</w:t>
      </w:r>
      <w:r w:rsidR="00B71410">
        <w:rPr>
          <w:rFonts w:ascii="Avenir Next" w:hAnsi="Avenir Next" w:cs="Arial"/>
          <w:color w:val="7B7B7B" w:themeColor="accent3" w:themeShade="BF"/>
          <w:sz w:val="22"/>
          <w:szCs w:val="22"/>
          <w:lang w:val="en-GB"/>
        </w:rPr>
        <w:t>y”(11 USC §1502).</w:t>
      </w:r>
      <w:r w:rsidR="006E691F">
        <w:rPr>
          <w:rFonts w:ascii="Avenir Next" w:hAnsi="Avenir Next" w:cs="Arial"/>
          <w:color w:val="7B7B7B" w:themeColor="accent3" w:themeShade="BF"/>
          <w:sz w:val="22"/>
          <w:szCs w:val="22"/>
          <w:lang w:val="en-GB"/>
        </w:rPr>
        <w:t xml:space="preserve"> </w:t>
      </w:r>
    </w:p>
    <w:p w14:paraId="0A8105C6" w14:textId="146E92D6" w:rsidR="00C31178" w:rsidRDefault="006E691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UNCITRAL Working Group </w:t>
      </w:r>
      <w:r w:rsidR="00FB605A">
        <w:rPr>
          <w:rFonts w:ascii="Avenir Next" w:hAnsi="Avenir Next" w:cs="Arial"/>
          <w:color w:val="7B7B7B" w:themeColor="accent3" w:themeShade="BF"/>
          <w:sz w:val="22"/>
          <w:szCs w:val="22"/>
          <w:lang w:val="en-GB"/>
        </w:rPr>
        <w:t xml:space="preserve">recommendation the location of the COMI or an establishment must be analysed at the time of the opening of the foreign proceeding, in order to avoid change of location by the debtor or the foreign representative after the commencement. </w:t>
      </w:r>
    </w:p>
    <w:p w14:paraId="14A3CFB9" w14:textId="77777777" w:rsidR="00B43C80" w:rsidRDefault="0082629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this case, </w:t>
      </w:r>
      <w:r w:rsidR="00B71410">
        <w:rPr>
          <w:rFonts w:ascii="Avenir Next" w:hAnsi="Avenir Next" w:cs="Arial"/>
          <w:color w:val="7B7B7B" w:themeColor="accent3" w:themeShade="BF"/>
          <w:sz w:val="22"/>
          <w:szCs w:val="22"/>
          <w:lang w:val="en-GB"/>
        </w:rPr>
        <w:t>Stella</w:t>
      </w:r>
      <w:r w:rsidR="00C31178">
        <w:rPr>
          <w:rFonts w:ascii="Avenir Next" w:hAnsi="Avenir Next" w:cs="Arial"/>
          <w:color w:val="7B7B7B" w:themeColor="accent3" w:themeShade="BF"/>
          <w:sz w:val="22"/>
          <w:szCs w:val="22"/>
          <w:lang w:val="en-GB"/>
        </w:rPr>
        <w:t xml:space="preserve">’s registered office and headquarters are in Paris. Therefore, </w:t>
      </w:r>
      <w:r w:rsidR="00891443">
        <w:rPr>
          <w:rFonts w:ascii="Avenir Next" w:hAnsi="Avenir Next" w:cs="Arial"/>
          <w:color w:val="7B7B7B" w:themeColor="accent3" w:themeShade="BF"/>
          <w:sz w:val="22"/>
          <w:szCs w:val="22"/>
          <w:lang w:val="en-GB"/>
        </w:rPr>
        <w:t xml:space="preserve">its COMI is presumed to be located in Paris. </w:t>
      </w:r>
    </w:p>
    <w:p w14:paraId="0D5A793E" w14:textId="77777777" w:rsidR="00B43C80" w:rsidRDefault="0089144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Stella also </w:t>
      </w:r>
      <w:r w:rsidR="00E068AB">
        <w:rPr>
          <w:rFonts w:ascii="Avenir Next" w:hAnsi="Avenir Next" w:cs="Arial"/>
          <w:color w:val="7B7B7B" w:themeColor="accent3" w:themeShade="BF"/>
          <w:sz w:val="22"/>
          <w:szCs w:val="22"/>
          <w:lang w:val="en-GB"/>
        </w:rPr>
        <w:t xml:space="preserve">has retail stores in </w:t>
      </w:r>
      <w:r w:rsidR="00DB7E92">
        <w:rPr>
          <w:rFonts w:ascii="Avenir Next" w:hAnsi="Avenir Next" w:cs="Arial"/>
          <w:color w:val="7B7B7B" w:themeColor="accent3" w:themeShade="BF"/>
          <w:sz w:val="22"/>
          <w:szCs w:val="22"/>
          <w:lang w:val="en-GB"/>
        </w:rPr>
        <w:t>England</w:t>
      </w:r>
      <w:r w:rsidR="00B43C80">
        <w:rPr>
          <w:rFonts w:ascii="Avenir Next" w:hAnsi="Avenir Next" w:cs="Arial"/>
          <w:color w:val="7B7B7B" w:themeColor="accent3" w:themeShade="BF"/>
          <w:sz w:val="22"/>
          <w:szCs w:val="22"/>
          <w:lang w:val="en-GB"/>
        </w:rPr>
        <w:t>, before the commencement of the English proceeding</w:t>
      </w:r>
      <w:r w:rsidR="00DB7E9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 store can be qualified as an “establishment” withing the meaning of 11 USC §1502</w:t>
      </w:r>
      <w:r w:rsidR="00D45E0C">
        <w:rPr>
          <w:rFonts w:ascii="Avenir Next" w:hAnsi="Avenir Next" w:cs="Arial"/>
          <w:color w:val="7B7B7B" w:themeColor="accent3" w:themeShade="BF"/>
          <w:sz w:val="22"/>
          <w:szCs w:val="22"/>
          <w:lang w:val="en-GB"/>
        </w:rPr>
        <w:t xml:space="preserve">. </w:t>
      </w:r>
    </w:p>
    <w:p w14:paraId="707BA3D4" w14:textId="6BD93B78" w:rsidR="00457EF7" w:rsidRDefault="00D45E0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Therefore, according to 11 USC §1517</w:t>
      </w:r>
      <w:r w:rsidR="00E33BD7">
        <w:rPr>
          <w:rFonts w:ascii="Avenir Next" w:hAnsi="Avenir Next" w:cs="Arial"/>
          <w:color w:val="7B7B7B" w:themeColor="accent3" w:themeShade="BF"/>
          <w:sz w:val="22"/>
          <w:szCs w:val="22"/>
          <w:lang w:val="en-GB"/>
        </w:rPr>
        <w:t>, an English scheme of arrangement</w:t>
      </w:r>
      <w:r w:rsidR="00B43C80">
        <w:rPr>
          <w:rFonts w:ascii="Avenir Next" w:hAnsi="Avenir Next" w:cs="Arial"/>
          <w:color w:val="7B7B7B" w:themeColor="accent3" w:themeShade="BF"/>
          <w:sz w:val="22"/>
          <w:szCs w:val="22"/>
          <w:lang w:val="en-GB"/>
        </w:rPr>
        <w:t xml:space="preserve"> of Stella</w:t>
      </w:r>
      <w:r w:rsidR="00E33BD7">
        <w:rPr>
          <w:rFonts w:ascii="Avenir Next" w:hAnsi="Avenir Next" w:cs="Arial"/>
          <w:color w:val="7B7B7B" w:themeColor="accent3" w:themeShade="BF"/>
          <w:sz w:val="22"/>
          <w:szCs w:val="22"/>
          <w:lang w:val="en-GB"/>
        </w:rPr>
        <w:t xml:space="preserve"> could be recognized in the US</w:t>
      </w:r>
      <w:r w:rsidR="00B43C80">
        <w:rPr>
          <w:rFonts w:ascii="Avenir Next" w:hAnsi="Avenir Next" w:cs="Arial"/>
          <w:color w:val="7B7B7B" w:themeColor="accent3" w:themeShade="BF"/>
          <w:sz w:val="22"/>
          <w:szCs w:val="22"/>
          <w:lang w:val="en-GB"/>
        </w:rPr>
        <w:t>A</w:t>
      </w:r>
      <w:r w:rsidR="00E33BD7">
        <w:rPr>
          <w:rFonts w:ascii="Avenir Next" w:hAnsi="Avenir Next" w:cs="Arial"/>
          <w:color w:val="7B7B7B" w:themeColor="accent3" w:themeShade="BF"/>
          <w:sz w:val="22"/>
          <w:szCs w:val="22"/>
          <w:lang w:val="en-GB"/>
        </w:rPr>
        <w:t xml:space="preserve"> under chapter 15. And it will be recognized as a foreign non-main proceeding.</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w:t>
      </w:r>
      <w:r w:rsidRPr="00A43750">
        <w:rPr>
          <w:rFonts w:ascii="Avenir Next" w:hAnsi="Avenir Next"/>
          <w:highlight w:val="yellow"/>
        </w:rPr>
        <w:t xml:space="preserve">exclusive license to manufacture </w:t>
      </w:r>
      <w:proofErr w:type="spellStart"/>
      <w:r w:rsidRPr="00A43750">
        <w:rPr>
          <w:rFonts w:ascii="Avenir Next" w:hAnsi="Avenir Next"/>
          <w:highlight w:val="yellow"/>
        </w:rPr>
        <w:t>Xblox</w:t>
      </w:r>
      <w:proofErr w:type="spellEnd"/>
      <w:r w:rsidRPr="00A43750">
        <w:rPr>
          <w:rFonts w:ascii="Avenir Next" w:hAnsi="Avenir Next"/>
          <w:highlight w:val="yellow"/>
        </w:rPr>
        <w:t xml:space="preserve"> and pays </w:t>
      </w:r>
      <w:proofErr w:type="spellStart"/>
      <w:r w:rsidRPr="00A43750">
        <w:rPr>
          <w:rFonts w:ascii="Avenir Next" w:hAnsi="Avenir Next"/>
          <w:highlight w:val="yellow"/>
        </w:rPr>
        <w:t>ToyCo</w:t>
      </w:r>
      <w:proofErr w:type="spellEnd"/>
      <w:r w:rsidRPr="00A43750">
        <w:rPr>
          <w:rFonts w:ascii="Avenir Next" w:hAnsi="Avenir Next"/>
          <w:highlight w:val="yellow"/>
        </w:rPr>
        <w:t xml:space="preserve"> monthly royalties</w:t>
      </w:r>
      <w:r w:rsidRPr="00E01803">
        <w:rPr>
          <w:rFonts w:ascii="Avenir Next" w:hAnsi="Avenir Next"/>
        </w:rPr>
        <w:t xml:space="preserve">.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w:t>
      </w:r>
      <w:r w:rsidRPr="00A43750">
        <w:rPr>
          <w:rFonts w:ascii="Avenir Next" w:hAnsi="Avenir Next"/>
          <w:highlight w:val="yellow"/>
        </w:rPr>
        <w:t>on a longer term lease</w:t>
      </w:r>
      <w:r w:rsidRPr="00E01803">
        <w:rPr>
          <w:rFonts w:ascii="Avenir Next" w:hAnsi="Avenir Next"/>
        </w:rPr>
        <w:t xml:space="preserv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w:t>
      </w:r>
      <w:r w:rsidRPr="009108A1">
        <w:rPr>
          <w:rFonts w:ascii="Avenir Next" w:hAnsi="Avenir Next"/>
          <w:highlight w:val="yellow"/>
        </w:rPr>
        <w:t>prohibits assignment without Land Corp’s consent</w:t>
      </w:r>
      <w:r w:rsidRPr="00E01803">
        <w:rPr>
          <w:rFonts w:ascii="Avenir Next" w:hAnsi="Avenir Next"/>
        </w:rPr>
        <w:t xml:space="preserve">.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 xml:space="preserve">Is the </w:t>
      </w:r>
      <w:r w:rsidRPr="002A257B">
        <w:rPr>
          <w:rFonts w:ascii="Avenir Next" w:hAnsi="Avenir Next"/>
          <w:highlight w:val="yellow"/>
        </w:rPr>
        <w:t>license to manufacture</w:t>
      </w:r>
      <w:r w:rsidRPr="00E01803">
        <w:rPr>
          <w:rFonts w:ascii="Avenir Next" w:hAnsi="Avenir Next"/>
        </w:rPr>
        <w:t xml:space="preserve"> </w:t>
      </w:r>
      <w:proofErr w:type="spellStart"/>
      <w:r w:rsidRPr="00E01803">
        <w:rPr>
          <w:rFonts w:ascii="Avenir Next" w:hAnsi="Avenir Next"/>
        </w:rPr>
        <w:t>Xblox</w:t>
      </w:r>
      <w:proofErr w:type="spellEnd"/>
      <w:r w:rsidRPr="00E01803">
        <w:rPr>
          <w:rFonts w:ascii="Avenir Next" w:hAnsi="Avenir Next"/>
        </w:rPr>
        <w:t xml:space="preserve"> an </w:t>
      </w:r>
      <w:r w:rsidRPr="002A257B">
        <w:rPr>
          <w:rFonts w:ascii="Avenir Next" w:hAnsi="Avenir Next"/>
          <w:highlight w:val="yellow"/>
        </w:rPr>
        <w:t>executory contract</w:t>
      </w:r>
      <w:r w:rsidRPr="00E01803">
        <w:rPr>
          <w:rFonts w:ascii="Avenir Next" w:hAnsi="Avenir Next"/>
        </w:rPr>
        <w:t>?</w:t>
      </w:r>
    </w:p>
    <w:p w14:paraId="02A876BC" w14:textId="3AA03DC2" w:rsidR="00E01803" w:rsidRDefault="00E01803" w:rsidP="000778B1">
      <w:pPr>
        <w:pStyle w:val="AODocTxt"/>
        <w:spacing w:before="0" w:line="240" w:lineRule="auto"/>
        <w:rPr>
          <w:rFonts w:ascii="Avenir Next" w:hAnsi="Avenir Next"/>
        </w:rPr>
      </w:pPr>
    </w:p>
    <w:p w14:paraId="15904EAF" w14:textId="77777777" w:rsidR="00531645" w:rsidRDefault="00AA76A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the “Countryman test” an executory contract is a contract where</w:t>
      </w:r>
      <w:r w:rsidR="00A212D5">
        <w:rPr>
          <w:rFonts w:ascii="Avenir Next" w:hAnsi="Avenir Next" w:cs="Arial"/>
          <w:color w:val="7B7B7B" w:themeColor="accent3" w:themeShade="BF"/>
          <w:sz w:val="22"/>
          <w:szCs w:val="22"/>
          <w:lang w:val="en-GB"/>
        </w:rPr>
        <w:t xml:space="preserve"> both of </w:t>
      </w:r>
      <w:r>
        <w:rPr>
          <w:rFonts w:ascii="Avenir Next" w:hAnsi="Avenir Next" w:cs="Arial"/>
          <w:color w:val="7B7B7B" w:themeColor="accent3" w:themeShade="BF"/>
          <w:sz w:val="22"/>
          <w:szCs w:val="22"/>
          <w:lang w:val="en-GB"/>
        </w:rPr>
        <w:t xml:space="preserve">the </w:t>
      </w:r>
      <w:r w:rsidR="00A212D5">
        <w:rPr>
          <w:rFonts w:ascii="Avenir Next" w:hAnsi="Avenir Next" w:cs="Arial"/>
          <w:color w:val="7B7B7B" w:themeColor="accent3" w:themeShade="BF"/>
          <w:sz w:val="22"/>
          <w:szCs w:val="22"/>
          <w:lang w:val="en-GB"/>
        </w:rPr>
        <w:t>parties didn’t finish to perform their material obligations</w:t>
      </w:r>
      <w:r w:rsidR="00E0575B">
        <w:rPr>
          <w:rFonts w:ascii="Avenir Next" w:hAnsi="Avenir Next" w:cs="Arial"/>
          <w:color w:val="7B7B7B" w:themeColor="accent3" w:themeShade="BF"/>
          <w:sz w:val="22"/>
          <w:szCs w:val="22"/>
          <w:lang w:val="en-GB"/>
        </w:rPr>
        <w:t xml:space="preserve"> at the petition date</w:t>
      </w:r>
      <w:r w:rsidR="00A212D5">
        <w:rPr>
          <w:rFonts w:ascii="Avenir Next" w:hAnsi="Avenir Next" w:cs="Arial"/>
          <w:color w:val="7B7B7B" w:themeColor="accent3" w:themeShade="BF"/>
          <w:sz w:val="22"/>
          <w:szCs w:val="22"/>
          <w:lang w:val="en-GB"/>
        </w:rPr>
        <w:t>.</w:t>
      </w:r>
    </w:p>
    <w:p w14:paraId="19FCF96B" w14:textId="79BE36A9" w:rsidR="00AA35BB" w:rsidRDefault="0053164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DF4EBB">
        <w:rPr>
          <w:rFonts w:ascii="Avenir Next" w:hAnsi="Avenir Next" w:cs="Arial"/>
          <w:color w:val="7B7B7B" w:themeColor="accent3" w:themeShade="BF"/>
          <w:sz w:val="22"/>
          <w:szCs w:val="22"/>
          <w:lang w:val="en-GB"/>
        </w:rPr>
        <w:t xml:space="preserve"> exclusive</w:t>
      </w:r>
      <w:r>
        <w:rPr>
          <w:rFonts w:ascii="Avenir Next" w:hAnsi="Avenir Next" w:cs="Arial"/>
          <w:color w:val="7B7B7B" w:themeColor="accent3" w:themeShade="BF"/>
          <w:sz w:val="22"/>
          <w:szCs w:val="22"/>
          <w:lang w:val="en-GB"/>
        </w:rPr>
        <w:t xml:space="preserve"> license to manufacture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is an intellectual property contract where the obligations of the licensor</w:t>
      </w:r>
      <w:r w:rsidR="009E05BE">
        <w:rPr>
          <w:rFonts w:ascii="Avenir Next" w:hAnsi="Avenir Next" w:cs="Arial"/>
          <w:color w:val="7B7B7B" w:themeColor="accent3" w:themeShade="BF"/>
          <w:sz w:val="22"/>
          <w:szCs w:val="22"/>
          <w:lang w:val="en-GB"/>
        </w:rPr>
        <w:t xml:space="preserve"> is to </w:t>
      </w:r>
      <w:r w:rsidR="00080203">
        <w:rPr>
          <w:rFonts w:ascii="Avenir Next" w:hAnsi="Avenir Next" w:cs="Arial"/>
          <w:color w:val="7B7B7B" w:themeColor="accent3" w:themeShade="BF"/>
          <w:sz w:val="22"/>
          <w:szCs w:val="22"/>
          <w:lang w:val="en-GB"/>
        </w:rPr>
        <w:t>provide to the licensee the patterns</w:t>
      </w:r>
      <w:r w:rsidR="00DF4EBB">
        <w:rPr>
          <w:rFonts w:ascii="Avenir Next" w:hAnsi="Avenir Next" w:cs="Arial"/>
          <w:color w:val="7B7B7B" w:themeColor="accent3" w:themeShade="BF"/>
          <w:sz w:val="22"/>
          <w:szCs w:val="22"/>
          <w:lang w:val="en-GB"/>
        </w:rPr>
        <w:t xml:space="preserve">, </w:t>
      </w:r>
      <w:r w:rsidR="00AC76F8">
        <w:rPr>
          <w:rFonts w:ascii="Avenir Next" w:hAnsi="Avenir Next" w:cs="Arial"/>
          <w:color w:val="7B7B7B" w:themeColor="accent3" w:themeShade="BF"/>
          <w:sz w:val="22"/>
          <w:szCs w:val="22"/>
          <w:lang w:val="en-GB"/>
        </w:rPr>
        <w:t xml:space="preserve">authorize it to use them </w:t>
      </w:r>
      <w:r w:rsidR="00080203">
        <w:rPr>
          <w:rFonts w:ascii="Avenir Next" w:hAnsi="Avenir Next" w:cs="Arial"/>
          <w:color w:val="7B7B7B" w:themeColor="accent3" w:themeShade="BF"/>
          <w:sz w:val="22"/>
          <w:szCs w:val="22"/>
          <w:lang w:val="en-GB"/>
        </w:rPr>
        <w:t>in order to manufacture the product</w:t>
      </w:r>
      <w:r w:rsidR="00DF4EBB">
        <w:rPr>
          <w:rFonts w:ascii="Avenir Next" w:hAnsi="Avenir Next" w:cs="Arial"/>
          <w:color w:val="7B7B7B" w:themeColor="accent3" w:themeShade="BF"/>
          <w:sz w:val="22"/>
          <w:szCs w:val="22"/>
          <w:lang w:val="en-GB"/>
        </w:rPr>
        <w:t xml:space="preserve"> and guaranty to the licensee that it is the only one to </w:t>
      </w:r>
      <w:r w:rsidR="00BA5BEB">
        <w:rPr>
          <w:rFonts w:ascii="Avenir Next" w:hAnsi="Avenir Next" w:cs="Arial"/>
          <w:color w:val="7B7B7B" w:themeColor="accent3" w:themeShade="BF"/>
          <w:sz w:val="22"/>
          <w:szCs w:val="22"/>
          <w:lang w:val="en-GB"/>
        </w:rPr>
        <w:t>ben</w:t>
      </w:r>
      <w:r w:rsidR="005A11EF">
        <w:rPr>
          <w:rFonts w:ascii="Avenir Next" w:hAnsi="Avenir Next" w:cs="Arial"/>
          <w:color w:val="7B7B7B" w:themeColor="accent3" w:themeShade="BF"/>
          <w:sz w:val="22"/>
          <w:szCs w:val="22"/>
          <w:lang w:val="en-GB"/>
        </w:rPr>
        <w:t>efit from these rights</w:t>
      </w:r>
      <w:r w:rsidR="00AC76F8">
        <w:rPr>
          <w:rFonts w:ascii="Avenir Next" w:hAnsi="Avenir Next" w:cs="Arial"/>
          <w:color w:val="7B7B7B" w:themeColor="accent3" w:themeShade="BF"/>
          <w:sz w:val="22"/>
          <w:szCs w:val="22"/>
          <w:lang w:val="en-GB"/>
        </w:rPr>
        <w:t>. In exchange, the licensee pays ro</w:t>
      </w:r>
      <w:r w:rsidR="00AA35BB">
        <w:rPr>
          <w:rFonts w:ascii="Avenir Next" w:hAnsi="Avenir Next" w:cs="Arial"/>
          <w:color w:val="7B7B7B" w:themeColor="accent3" w:themeShade="BF"/>
          <w:sz w:val="22"/>
          <w:szCs w:val="22"/>
          <w:lang w:val="en-GB"/>
        </w:rPr>
        <w:t>yalties.</w:t>
      </w:r>
    </w:p>
    <w:p w14:paraId="5E0D52F7" w14:textId="4234B08D" w:rsidR="00AA35BB" w:rsidRDefault="00AA35B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this case</w:t>
      </w:r>
      <w:r w:rsidR="00DF4EBB">
        <w:rPr>
          <w:rFonts w:ascii="Avenir Next" w:hAnsi="Avenir Next" w:cs="Arial"/>
          <w:color w:val="7B7B7B" w:themeColor="accent3" w:themeShade="BF"/>
          <w:sz w:val="22"/>
          <w:szCs w:val="22"/>
          <w:lang w:val="en-GB"/>
        </w:rPr>
        <w:t xml:space="preserve">, the license contract </w:t>
      </w:r>
      <w:r w:rsidR="005A11EF">
        <w:rPr>
          <w:rFonts w:ascii="Avenir Next" w:hAnsi="Avenir Next" w:cs="Arial"/>
          <w:color w:val="7B7B7B" w:themeColor="accent3" w:themeShade="BF"/>
          <w:sz w:val="22"/>
          <w:szCs w:val="22"/>
          <w:lang w:val="en-GB"/>
        </w:rPr>
        <w:t>is a ten-year term contract that is still on going.</w:t>
      </w:r>
    </w:p>
    <w:p w14:paraId="092CCA5C" w14:textId="2A9C9F94" w:rsidR="00E01803" w:rsidRDefault="00AA35BB" w:rsidP="00AA35BB">
      <w:pPr>
        <w:jc w:val="both"/>
        <w:rPr>
          <w:rFonts w:ascii="Avenir Next" w:hAnsi="Avenir Next"/>
        </w:rPr>
      </w:pPr>
      <w:r>
        <w:rPr>
          <w:rFonts w:ascii="Avenir Next" w:hAnsi="Avenir Next" w:cs="Arial"/>
          <w:color w:val="7B7B7B" w:themeColor="accent3" w:themeShade="BF"/>
          <w:sz w:val="22"/>
          <w:szCs w:val="22"/>
          <w:lang w:val="en-GB"/>
        </w:rPr>
        <w:t xml:space="preserve">Therefore, the license to manufacture </w:t>
      </w:r>
      <w:proofErr w:type="spellStart"/>
      <w:r>
        <w:rPr>
          <w:rFonts w:ascii="Avenir Next" w:hAnsi="Avenir Next" w:cs="Arial"/>
          <w:color w:val="7B7B7B" w:themeColor="accent3" w:themeShade="BF"/>
          <w:sz w:val="22"/>
          <w:szCs w:val="22"/>
          <w:lang w:val="en-GB"/>
        </w:rPr>
        <w:t>Xlbox</w:t>
      </w:r>
      <w:proofErr w:type="spellEnd"/>
      <w:r>
        <w:rPr>
          <w:rFonts w:ascii="Avenir Next" w:hAnsi="Avenir Next" w:cs="Arial"/>
          <w:color w:val="7B7B7B" w:themeColor="accent3" w:themeShade="BF"/>
          <w:sz w:val="22"/>
          <w:szCs w:val="22"/>
          <w:lang w:val="en-GB"/>
        </w:rPr>
        <w:t xml:space="preserve"> is an executory contract.</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t>
      </w:r>
      <w:r w:rsidRPr="002A257B">
        <w:rPr>
          <w:rFonts w:ascii="Avenir Next" w:hAnsi="Avenir Next"/>
          <w:highlight w:val="yellow"/>
        </w:rPr>
        <w:t>without</w:t>
      </w:r>
      <w:r w:rsidRPr="00E01803">
        <w:rPr>
          <w:rFonts w:ascii="Avenir Next" w:hAnsi="Avenir Next"/>
        </w:rPr>
        <w:t xml:space="preserve">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697BA085" w14:textId="77777777" w:rsidR="009D3D9B" w:rsidRDefault="001552E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 363 sale is a sale of</w:t>
      </w:r>
      <w:r w:rsidR="009F6008">
        <w:rPr>
          <w:rFonts w:ascii="Avenir Next" w:hAnsi="Avenir Next" w:cs="Arial"/>
          <w:color w:val="7B7B7B" w:themeColor="accent3" w:themeShade="BF"/>
          <w:sz w:val="22"/>
          <w:szCs w:val="22"/>
          <w:lang w:val="en-GB"/>
        </w:rPr>
        <w:t xml:space="preserve"> all or part of</w:t>
      </w:r>
      <w:r>
        <w:rPr>
          <w:rFonts w:ascii="Avenir Next" w:hAnsi="Avenir Next" w:cs="Arial"/>
          <w:color w:val="7B7B7B" w:themeColor="accent3" w:themeShade="BF"/>
          <w:sz w:val="22"/>
          <w:szCs w:val="22"/>
          <w:lang w:val="en-GB"/>
        </w:rPr>
        <w:t xml:space="preserve"> the debtor’s assets under a chapter 11 proceeding, as an ongoing business</w:t>
      </w:r>
      <w:r w:rsidR="00FC331D">
        <w:rPr>
          <w:rFonts w:ascii="Avenir Next" w:hAnsi="Avenir Next" w:cs="Arial"/>
          <w:color w:val="7B7B7B" w:themeColor="accent3" w:themeShade="BF"/>
          <w:sz w:val="22"/>
          <w:szCs w:val="22"/>
          <w:lang w:val="en-GB"/>
        </w:rPr>
        <w:t>,</w:t>
      </w:r>
      <w:r w:rsidR="009F6008">
        <w:rPr>
          <w:rFonts w:ascii="Avenir Next" w:hAnsi="Avenir Next" w:cs="Arial"/>
          <w:color w:val="7B7B7B" w:themeColor="accent3" w:themeShade="BF"/>
          <w:sz w:val="22"/>
          <w:szCs w:val="22"/>
          <w:lang w:val="en-GB"/>
        </w:rPr>
        <w:t xml:space="preserve"> with the courts approval. The assets sold under this provision will be free </w:t>
      </w:r>
      <w:r w:rsidR="00DA7EE5">
        <w:rPr>
          <w:rFonts w:ascii="Avenir Next" w:hAnsi="Avenir Next" w:cs="Arial"/>
          <w:color w:val="7B7B7B" w:themeColor="accent3" w:themeShade="BF"/>
          <w:sz w:val="22"/>
          <w:szCs w:val="22"/>
          <w:lang w:val="en-GB"/>
        </w:rPr>
        <w:t xml:space="preserve">from creditors interests. </w:t>
      </w:r>
    </w:p>
    <w:p w14:paraId="4EC74B11" w14:textId="77777777" w:rsidR="009D3D9B" w:rsidRDefault="001121B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363 sale is used to sell a business unit as a going concern, with its assets and executory contracts. </w:t>
      </w:r>
      <w:r w:rsidR="007B0ED0">
        <w:rPr>
          <w:rFonts w:ascii="Avenir Next" w:hAnsi="Avenir Next" w:cs="Arial"/>
          <w:color w:val="7B7B7B" w:themeColor="accent3" w:themeShade="BF"/>
          <w:sz w:val="22"/>
          <w:szCs w:val="22"/>
          <w:lang w:val="en-GB"/>
        </w:rPr>
        <w:t xml:space="preserve">In the context of a 363 sale, it is also </w:t>
      </w:r>
      <w:r w:rsidR="00E73D1D">
        <w:rPr>
          <w:rFonts w:ascii="Avenir Next" w:hAnsi="Avenir Next" w:cs="Arial"/>
          <w:color w:val="7B7B7B" w:themeColor="accent3" w:themeShade="BF"/>
          <w:sz w:val="22"/>
          <w:szCs w:val="22"/>
          <w:lang w:val="en-GB"/>
        </w:rPr>
        <w:t xml:space="preserve">useful to transfer some contracts that are vital for the </w:t>
      </w:r>
      <w:r w:rsidR="007B03FD">
        <w:rPr>
          <w:rFonts w:ascii="Avenir Next" w:hAnsi="Avenir Next" w:cs="Arial"/>
          <w:color w:val="7B7B7B" w:themeColor="accent3" w:themeShade="BF"/>
          <w:sz w:val="22"/>
          <w:szCs w:val="22"/>
          <w:lang w:val="en-GB"/>
        </w:rPr>
        <w:t xml:space="preserve">continuation of the business. </w:t>
      </w:r>
    </w:p>
    <w:p w14:paraId="15AE0921" w14:textId="16D9EC4E" w:rsidR="007B03FD" w:rsidRDefault="001121B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Provisions about executory contracts </w:t>
      </w:r>
      <w:r w:rsidR="00A1796A">
        <w:rPr>
          <w:rFonts w:ascii="Avenir Next" w:hAnsi="Avenir Next" w:cs="Arial"/>
          <w:color w:val="7B7B7B" w:themeColor="accent3" w:themeShade="BF"/>
          <w:sz w:val="22"/>
          <w:szCs w:val="22"/>
          <w:lang w:val="en-GB"/>
        </w:rPr>
        <w:t xml:space="preserve">exclude the application of </w:t>
      </w:r>
      <w:r w:rsidR="007544A2">
        <w:rPr>
          <w:rFonts w:ascii="Avenir Next" w:hAnsi="Avenir Next" w:cs="Arial"/>
          <w:color w:val="7B7B7B" w:themeColor="accent3" w:themeShade="BF"/>
          <w:sz w:val="22"/>
          <w:szCs w:val="22"/>
          <w:lang w:val="en-GB"/>
        </w:rPr>
        <w:t>contractual clauses that would prohibit or restrict the transfer of contracts. (USC 11 §</w:t>
      </w:r>
      <w:r w:rsidR="003D1566">
        <w:rPr>
          <w:rFonts w:ascii="Avenir Next" w:hAnsi="Avenir Next" w:cs="Arial"/>
          <w:color w:val="7B7B7B" w:themeColor="accent3" w:themeShade="BF"/>
          <w:sz w:val="22"/>
          <w:szCs w:val="22"/>
          <w:lang w:val="en-GB"/>
        </w:rPr>
        <w:t>365</w:t>
      </w:r>
      <w:r w:rsidR="006E7865">
        <w:rPr>
          <w:rFonts w:ascii="Avenir Next" w:hAnsi="Avenir Next" w:cs="Arial"/>
          <w:color w:val="7B7B7B" w:themeColor="accent3" w:themeShade="BF"/>
          <w:sz w:val="22"/>
          <w:szCs w:val="22"/>
          <w:lang w:val="en-GB"/>
        </w:rPr>
        <w:t xml:space="preserve"> (f)</w:t>
      </w:r>
      <w:r w:rsidR="003D1566">
        <w:rPr>
          <w:rFonts w:ascii="Avenir Next" w:hAnsi="Avenir Next" w:cs="Arial"/>
          <w:color w:val="7B7B7B" w:themeColor="accent3" w:themeShade="BF"/>
          <w:sz w:val="22"/>
          <w:szCs w:val="22"/>
          <w:lang w:val="en-GB"/>
        </w:rPr>
        <w:t>)</w:t>
      </w:r>
    </w:p>
    <w:p w14:paraId="165EA746" w14:textId="7D1E506D" w:rsidR="00E01803" w:rsidRDefault="007B03FD" w:rsidP="009D3D9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w:t>
      </w:r>
      <w:r w:rsidR="001905D5">
        <w:rPr>
          <w:rFonts w:ascii="Avenir Next" w:hAnsi="Avenir Next" w:cs="Arial"/>
          <w:color w:val="7B7B7B" w:themeColor="accent3" w:themeShade="BF"/>
          <w:sz w:val="22"/>
          <w:szCs w:val="22"/>
          <w:lang w:val="en-GB"/>
        </w:rPr>
        <w:t>USC 11 §365 (c) provides that an executory contract cannot be assumed and assigned if th</w:t>
      </w:r>
      <w:r w:rsidR="00271D5F">
        <w:rPr>
          <w:rFonts w:ascii="Avenir Next" w:hAnsi="Avenir Next" w:cs="Arial"/>
          <w:color w:val="7B7B7B" w:themeColor="accent3" w:themeShade="BF"/>
          <w:sz w:val="22"/>
          <w:szCs w:val="22"/>
          <w:lang w:val="en-GB"/>
        </w:rPr>
        <w:t>e applicable law to the contract allow</w:t>
      </w:r>
      <w:r w:rsidR="00D0247A">
        <w:rPr>
          <w:rFonts w:ascii="Avenir Next" w:hAnsi="Avenir Next" w:cs="Arial"/>
          <w:color w:val="7B7B7B" w:themeColor="accent3" w:themeShade="BF"/>
          <w:sz w:val="22"/>
          <w:szCs w:val="22"/>
          <w:lang w:val="en-GB"/>
        </w:rPr>
        <w:t>s</w:t>
      </w:r>
      <w:r w:rsidR="00271D5F">
        <w:rPr>
          <w:rFonts w:ascii="Avenir Next" w:hAnsi="Avenir Next" w:cs="Arial"/>
          <w:color w:val="7B7B7B" w:themeColor="accent3" w:themeShade="BF"/>
          <w:sz w:val="22"/>
          <w:szCs w:val="22"/>
          <w:lang w:val="en-GB"/>
        </w:rPr>
        <w:t xml:space="preserve"> the counterparty to refuse the transfer of the contract to a third-party.</w:t>
      </w:r>
      <w:r w:rsidR="00A76DBC">
        <w:rPr>
          <w:rFonts w:ascii="Avenir Next" w:hAnsi="Avenir Next" w:cs="Arial"/>
          <w:color w:val="7B7B7B" w:themeColor="accent3" w:themeShade="BF"/>
          <w:sz w:val="22"/>
          <w:szCs w:val="22"/>
          <w:lang w:val="en-GB"/>
        </w:rPr>
        <w:t xml:space="preserve"> Intellectual property licensing law is one theses laws.</w:t>
      </w:r>
      <w:r w:rsidR="00D0247A">
        <w:rPr>
          <w:rFonts w:ascii="Avenir Next" w:hAnsi="Avenir Next" w:cs="Arial"/>
          <w:color w:val="7B7B7B" w:themeColor="accent3" w:themeShade="BF"/>
          <w:sz w:val="22"/>
          <w:szCs w:val="22"/>
          <w:lang w:val="en-GB"/>
        </w:rPr>
        <w:t xml:space="preserve"> Therefore, without the consent of </w:t>
      </w:r>
      <w:proofErr w:type="spellStart"/>
      <w:r w:rsidR="00D0247A">
        <w:rPr>
          <w:rFonts w:ascii="Avenir Next" w:hAnsi="Avenir Next" w:cs="Arial"/>
          <w:color w:val="7B7B7B" w:themeColor="accent3" w:themeShade="BF"/>
          <w:sz w:val="22"/>
          <w:szCs w:val="22"/>
          <w:lang w:val="en-GB"/>
        </w:rPr>
        <w:t>ToyCo</w:t>
      </w:r>
      <w:proofErr w:type="spellEnd"/>
      <w:r w:rsidR="009D3D9B">
        <w:rPr>
          <w:rFonts w:ascii="Avenir Next" w:hAnsi="Avenir Next" w:cs="Arial"/>
          <w:color w:val="7B7B7B" w:themeColor="accent3" w:themeShade="BF"/>
          <w:sz w:val="22"/>
          <w:szCs w:val="22"/>
          <w:lang w:val="en-GB"/>
        </w:rPr>
        <w:t>, the license cannot be sold in a 363 sale.</w:t>
      </w:r>
    </w:p>
    <w:p w14:paraId="0F006FFE" w14:textId="77777777" w:rsidR="009D3D9B" w:rsidRDefault="009D3D9B" w:rsidP="009D3D9B">
      <w:pPr>
        <w:jc w:val="both"/>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w:t>
      </w:r>
      <w:r w:rsidRPr="002A257B">
        <w:rPr>
          <w:rFonts w:ascii="Avenir Next" w:hAnsi="Avenir Next"/>
          <w:highlight w:val="yellow"/>
        </w:rPr>
        <w:t>the factory lease</w:t>
      </w:r>
      <w:r w:rsidRPr="00E01803">
        <w:rPr>
          <w:rFonts w:ascii="Avenir Next" w:hAnsi="Avenir Next"/>
        </w:rPr>
        <w:t xml:space="preserve"> as part of 363 sale </w:t>
      </w:r>
      <w:r w:rsidRPr="002A257B">
        <w:rPr>
          <w:rFonts w:ascii="Avenir Next" w:hAnsi="Avenir Next"/>
          <w:highlight w:val="yellow"/>
        </w:rPr>
        <w:t>without</w:t>
      </w:r>
      <w:r w:rsidRPr="00E01803">
        <w:rPr>
          <w:rFonts w:ascii="Avenir Next" w:hAnsi="Avenir Next"/>
        </w:rPr>
        <w:t xml:space="preserve">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31168E39" w14:textId="61AF0900" w:rsidR="00E97297" w:rsidRDefault="00BC42F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the Countryman Test, the factory lease in an executory contract.</w:t>
      </w:r>
      <w:r w:rsidR="00E97297">
        <w:rPr>
          <w:rFonts w:ascii="Avenir Next" w:hAnsi="Avenir Next" w:cs="Arial"/>
          <w:color w:val="7B7B7B" w:themeColor="accent3" w:themeShade="BF"/>
          <w:sz w:val="22"/>
          <w:szCs w:val="22"/>
          <w:lang w:val="en-GB"/>
        </w:rPr>
        <w:t xml:space="preserve"> </w:t>
      </w:r>
    </w:p>
    <w:p w14:paraId="12F92656" w14:textId="2EFDC6F1" w:rsidR="00E97297" w:rsidRDefault="00E97297"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lease of a factory is essential to the business of </w:t>
      </w:r>
      <w:r w:rsidR="00222A96">
        <w:rPr>
          <w:rFonts w:ascii="Avenir Next" w:hAnsi="Avenir Next" w:cs="Arial"/>
          <w:color w:val="7B7B7B" w:themeColor="accent3" w:themeShade="BF"/>
          <w:sz w:val="22"/>
          <w:szCs w:val="22"/>
          <w:lang w:val="en-GB"/>
        </w:rPr>
        <w:t>manufacturing.</w:t>
      </w:r>
    </w:p>
    <w:p w14:paraId="5CE2FD24" w14:textId="3401DBDE" w:rsidR="00E44B17" w:rsidRDefault="00BC42F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USC 11 §365(c) and (f), </w:t>
      </w:r>
      <w:r w:rsidR="002669C6">
        <w:rPr>
          <w:rFonts w:ascii="Avenir Next" w:hAnsi="Avenir Next" w:cs="Arial"/>
          <w:color w:val="7B7B7B" w:themeColor="accent3" w:themeShade="BF"/>
          <w:sz w:val="22"/>
          <w:szCs w:val="22"/>
          <w:lang w:val="en-GB"/>
        </w:rPr>
        <w:t>a lea</w:t>
      </w:r>
      <w:r w:rsidR="00532007">
        <w:rPr>
          <w:rFonts w:ascii="Avenir Next" w:hAnsi="Avenir Next" w:cs="Arial"/>
          <w:color w:val="7B7B7B" w:themeColor="accent3" w:themeShade="BF"/>
          <w:sz w:val="22"/>
          <w:szCs w:val="22"/>
          <w:lang w:val="en-GB"/>
        </w:rPr>
        <w:t xml:space="preserve">se </w:t>
      </w:r>
      <w:r w:rsidR="00E44B17">
        <w:rPr>
          <w:rFonts w:ascii="Avenir Next" w:hAnsi="Avenir Next" w:cs="Arial"/>
          <w:color w:val="7B7B7B" w:themeColor="accent3" w:themeShade="BF"/>
          <w:sz w:val="22"/>
          <w:szCs w:val="22"/>
          <w:lang w:val="en-GB"/>
        </w:rPr>
        <w:t xml:space="preserve">contract is an assignable </w:t>
      </w:r>
      <w:r w:rsidR="00E97297">
        <w:rPr>
          <w:rFonts w:ascii="Avenir Next" w:hAnsi="Avenir Next" w:cs="Arial"/>
          <w:color w:val="7B7B7B" w:themeColor="accent3" w:themeShade="BF"/>
          <w:sz w:val="22"/>
          <w:szCs w:val="22"/>
          <w:lang w:val="en-GB"/>
        </w:rPr>
        <w:t xml:space="preserve">executory </w:t>
      </w:r>
      <w:r w:rsidR="00E44B17">
        <w:rPr>
          <w:rFonts w:ascii="Avenir Next" w:hAnsi="Avenir Next" w:cs="Arial"/>
          <w:color w:val="7B7B7B" w:themeColor="accent3" w:themeShade="BF"/>
          <w:sz w:val="22"/>
          <w:szCs w:val="22"/>
          <w:lang w:val="en-GB"/>
        </w:rPr>
        <w:t>contract, which means that it can be transferred to a third-party that will perform the debtors previous obligations</w:t>
      </w:r>
      <w:r w:rsidR="00167F20">
        <w:rPr>
          <w:rFonts w:ascii="Avenir Next" w:hAnsi="Avenir Next" w:cs="Arial"/>
          <w:color w:val="7B7B7B" w:themeColor="accent3" w:themeShade="BF"/>
          <w:sz w:val="22"/>
          <w:szCs w:val="22"/>
          <w:lang w:val="en-GB"/>
        </w:rPr>
        <w:t>,</w:t>
      </w:r>
      <w:r w:rsidR="00E44B17">
        <w:rPr>
          <w:rFonts w:ascii="Avenir Next" w:hAnsi="Avenir Next" w:cs="Arial"/>
          <w:color w:val="7B7B7B" w:themeColor="accent3" w:themeShade="BF"/>
          <w:sz w:val="22"/>
          <w:szCs w:val="22"/>
          <w:lang w:val="en-GB"/>
        </w:rPr>
        <w:t xml:space="preserve"> without the counterparty’s agreement.</w:t>
      </w:r>
    </w:p>
    <w:p w14:paraId="40F3C409" w14:textId="47757282" w:rsidR="00E01803" w:rsidRDefault="00222A96" w:rsidP="00222A96">
      <w:pPr>
        <w:jc w:val="both"/>
        <w:rPr>
          <w:rFonts w:ascii="Avenir Next" w:hAnsi="Avenir Next"/>
        </w:rPr>
      </w:pPr>
      <w:r>
        <w:rPr>
          <w:rFonts w:ascii="Avenir Next" w:hAnsi="Avenir Next" w:cs="Arial"/>
          <w:color w:val="7B7B7B" w:themeColor="accent3" w:themeShade="BF"/>
          <w:sz w:val="22"/>
          <w:szCs w:val="22"/>
          <w:lang w:val="en-GB"/>
        </w:rPr>
        <w:t>Therefore, the factory lease can be transferred as part of a 363 sale by Game Mart without its landlord’s consent.</w:t>
      </w: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7008" w14:textId="77777777" w:rsidR="00467F88" w:rsidRDefault="00467F88" w:rsidP="00241B44">
      <w:r>
        <w:separator/>
      </w:r>
    </w:p>
  </w:endnote>
  <w:endnote w:type="continuationSeparator" w:id="0">
    <w:p w14:paraId="2550CB8C" w14:textId="77777777" w:rsidR="00467F88" w:rsidRDefault="00467F8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w:hAnsi="Arial" w:cs="Arial"/>
        <w:b/>
      </w:rPr>
      <w:id w:val="-758512077"/>
      <w:docPartObj>
        <w:docPartGallery w:val="Page Numbers (Bottom of Page)"/>
        <w:docPartUnique/>
      </w:docPartObj>
    </w:sdtPr>
    <w:sdtEndPr>
      <w:rPr>
        <w:rStyle w:val="Numrodepage"/>
        <w:b w:val="0"/>
        <w:sz w:val="22"/>
        <w:szCs w:val="22"/>
      </w:rPr>
    </w:sdtEndPr>
    <w:sdtContent>
      <w:p w14:paraId="0AAD6B61" w14:textId="77777777" w:rsidR="00E450A4" w:rsidRPr="00FC7B47" w:rsidRDefault="00E450A4" w:rsidP="009B4976">
        <w:pPr>
          <w:pStyle w:val="Pieddepage"/>
          <w:framePr w:wrap="none" w:vAnchor="text" w:hAnchor="margin" w:xAlign="right" w:y="1"/>
          <w:rPr>
            <w:rStyle w:val="Numrodepage"/>
            <w:rFonts w:ascii="Arial" w:hAnsi="Arial" w:cs="Arial"/>
            <w:sz w:val="22"/>
            <w:szCs w:val="22"/>
          </w:rPr>
        </w:pPr>
        <w:r w:rsidRPr="00697EA1">
          <w:rPr>
            <w:rStyle w:val="Numrodepage"/>
            <w:rFonts w:ascii="Arial" w:hAnsi="Arial" w:cs="Arial"/>
            <w:b/>
          </w:rPr>
          <w:t xml:space="preserve">Page </w:t>
        </w:r>
        <w:r w:rsidRPr="00697EA1">
          <w:rPr>
            <w:rStyle w:val="Numrodepage"/>
            <w:rFonts w:ascii="Arial" w:hAnsi="Arial" w:cs="Arial"/>
            <w:b/>
            <w:sz w:val="22"/>
            <w:szCs w:val="22"/>
          </w:rPr>
          <w:fldChar w:fldCharType="begin"/>
        </w:r>
        <w:r w:rsidRPr="00697EA1">
          <w:rPr>
            <w:rStyle w:val="Numrodepage"/>
            <w:rFonts w:ascii="Arial" w:hAnsi="Arial" w:cs="Arial"/>
            <w:b/>
            <w:sz w:val="22"/>
            <w:szCs w:val="22"/>
          </w:rPr>
          <w:instrText xml:space="preserve"> PAGE </w:instrText>
        </w:r>
        <w:r w:rsidRPr="00697EA1">
          <w:rPr>
            <w:rStyle w:val="Numrodepage"/>
            <w:rFonts w:ascii="Arial" w:hAnsi="Arial" w:cs="Arial"/>
            <w:b/>
            <w:sz w:val="22"/>
            <w:szCs w:val="22"/>
          </w:rPr>
          <w:fldChar w:fldCharType="separate"/>
        </w:r>
        <w:r>
          <w:rPr>
            <w:rStyle w:val="Numrodepage"/>
            <w:rFonts w:ascii="Arial" w:hAnsi="Arial" w:cs="Arial"/>
            <w:b/>
            <w:noProof/>
            <w:sz w:val="22"/>
            <w:szCs w:val="22"/>
          </w:rPr>
          <w:t>10</w:t>
        </w:r>
        <w:r w:rsidRPr="00697EA1">
          <w:rPr>
            <w:rStyle w:val="Numrodepage"/>
            <w:rFonts w:ascii="Arial" w:hAnsi="Arial" w:cs="Arial"/>
            <w:b/>
            <w:sz w:val="22"/>
            <w:szCs w:val="22"/>
          </w:rPr>
          <w:fldChar w:fldCharType="end"/>
        </w:r>
      </w:p>
    </w:sdtContent>
  </w:sdt>
  <w:p w14:paraId="39FD1B0B" w14:textId="3A981440" w:rsidR="00E450A4" w:rsidRPr="00FC7B47" w:rsidRDefault="00445CE6" w:rsidP="00FC7B47">
    <w:pPr>
      <w:pStyle w:val="Pieddepage"/>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venir Next" w:hAnsi="Avenir Next" w:cs="Arial"/>
        <w:sz w:val="22"/>
        <w:szCs w:val="22"/>
      </w:rPr>
      <w:id w:val="-1409602822"/>
      <w:docPartObj>
        <w:docPartGallery w:val="Page Numbers (Bottom of Page)"/>
        <w:docPartUnique/>
      </w:docPartObj>
    </w:sdtPr>
    <w:sdtEndPr>
      <w:rPr>
        <w:rStyle w:val="Numrodepage"/>
        <w:sz w:val="18"/>
        <w:szCs w:val="18"/>
      </w:rPr>
    </w:sdtEndPr>
    <w:sdtContent>
      <w:p w14:paraId="0A05F8FD" w14:textId="301381CC" w:rsidR="009B4976" w:rsidRPr="00CE0ECD" w:rsidRDefault="009B4976" w:rsidP="00E23A7A">
        <w:pPr>
          <w:pStyle w:val="Pieddepage"/>
          <w:framePr w:wrap="none" w:vAnchor="text" w:hAnchor="margin" w:xAlign="right" w:y="1"/>
          <w:rPr>
            <w:rStyle w:val="Numrodepage"/>
            <w:rFonts w:ascii="Avenir Next" w:hAnsi="Avenir Next" w:cs="Arial"/>
            <w:sz w:val="18"/>
            <w:szCs w:val="18"/>
          </w:rPr>
        </w:pPr>
        <w:r w:rsidRPr="00494B81">
          <w:rPr>
            <w:rStyle w:val="Numrodepage"/>
            <w:rFonts w:ascii="Avenir Next" w:hAnsi="Avenir Next" w:cs="Arial"/>
            <w:sz w:val="22"/>
            <w:szCs w:val="22"/>
          </w:rPr>
          <w:t xml:space="preserve">Page </w:t>
        </w:r>
        <w:r w:rsidRPr="00494B81">
          <w:rPr>
            <w:rStyle w:val="Numrodepage"/>
            <w:rFonts w:ascii="Avenir Next" w:hAnsi="Avenir Next" w:cs="Arial"/>
            <w:sz w:val="22"/>
            <w:szCs w:val="22"/>
          </w:rPr>
          <w:fldChar w:fldCharType="begin"/>
        </w:r>
        <w:r w:rsidRPr="00494B81">
          <w:rPr>
            <w:rStyle w:val="Numrodepage"/>
            <w:rFonts w:ascii="Avenir Next" w:hAnsi="Avenir Next" w:cs="Arial"/>
            <w:sz w:val="22"/>
            <w:szCs w:val="22"/>
          </w:rPr>
          <w:instrText xml:space="preserve"> PAGE </w:instrText>
        </w:r>
        <w:r w:rsidRPr="00494B81">
          <w:rPr>
            <w:rStyle w:val="Numrodepage"/>
            <w:rFonts w:ascii="Avenir Next" w:hAnsi="Avenir Next" w:cs="Arial"/>
            <w:sz w:val="22"/>
            <w:szCs w:val="22"/>
          </w:rPr>
          <w:fldChar w:fldCharType="separate"/>
        </w:r>
        <w:r w:rsidRPr="00494B81">
          <w:rPr>
            <w:rStyle w:val="Numrodepage"/>
            <w:rFonts w:ascii="Avenir Next" w:hAnsi="Avenir Next" w:cs="Arial"/>
            <w:noProof/>
            <w:sz w:val="22"/>
            <w:szCs w:val="22"/>
          </w:rPr>
          <w:t>3</w:t>
        </w:r>
        <w:r w:rsidRPr="00494B81">
          <w:rPr>
            <w:rStyle w:val="Numrodepage"/>
            <w:rFonts w:ascii="Avenir Next" w:hAnsi="Avenir Next" w:cs="Arial"/>
            <w:sz w:val="22"/>
            <w:szCs w:val="22"/>
          </w:rPr>
          <w:fldChar w:fldCharType="end"/>
        </w:r>
      </w:p>
    </w:sdtContent>
  </w:sdt>
  <w:p w14:paraId="30F05E79" w14:textId="751F62CD" w:rsidR="00241FA3" w:rsidRPr="00494B81" w:rsidRDefault="007C0730" w:rsidP="007C0730">
    <w:pPr>
      <w:pStyle w:val="Pieddepage"/>
      <w:ind w:right="360"/>
      <w:rPr>
        <w:rFonts w:ascii="Avenir Next" w:hAnsi="Avenir Next" w:cs="Arial"/>
        <w:sz w:val="22"/>
        <w:szCs w:val="22"/>
        <w:lang w:val="en-GB"/>
      </w:rPr>
    </w:pPr>
    <w:r w:rsidRPr="007C0730">
      <w:rPr>
        <w:rFonts w:ascii="Avenir Next" w:hAnsi="Avenir Next" w:cs="Arial"/>
        <w:sz w:val="22"/>
        <w:szCs w:val="22"/>
        <w:lang w:val="en-GB"/>
      </w:rPr>
      <w:t>202223-933.assessment3A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3F58" w14:textId="77777777" w:rsidR="00467F88" w:rsidRDefault="00467F88" w:rsidP="00241B44">
      <w:r>
        <w:separator/>
      </w:r>
    </w:p>
  </w:footnote>
  <w:footnote w:type="continuationSeparator" w:id="0">
    <w:p w14:paraId="4C3F00C4" w14:textId="77777777" w:rsidR="00467F88" w:rsidRDefault="00467F8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A53"/>
    <w:multiLevelType w:val="hybridMultilevel"/>
    <w:tmpl w:val="0A56F9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B37F8F"/>
    <w:multiLevelType w:val="hybridMultilevel"/>
    <w:tmpl w:val="C53E6CF8"/>
    <w:lvl w:ilvl="0" w:tplc="5476B39A">
      <w:start w:val="1"/>
      <w:numFmt w:val="decimal"/>
      <w:lvlText w:val="%1)"/>
      <w:lvlJc w:val="left"/>
      <w:pPr>
        <w:ind w:left="4265" w:hanging="720"/>
      </w:pPr>
      <w:rPr>
        <w:rFonts w:hint="default"/>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2" w15:restartNumberingAfterBreak="0">
    <w:nsid w:val="09292C44"/>
    <w:multiLevelType w:val="hybridMultilevel"/>
    <w:tmpl w:val="C6B0F2BE"/>
    <w:lvl w:ilvl="0" w:tplc="71E835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E37D6"/>
    <w:multiLevelType w:val="hybridMultilevel"/>
    <w:tmpl w:val="6308C2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2756141">
    <w:abstractNumId w:val="23"/>
  </w:num>
  <w:num w:numId="2" w16cid:durableId="1229074350">
    <w:abstractNumId w:val="26"/>
  </w:num>
  <w:num w:numId="3" w16cid:durableId="351348595">
    <w:abstractNumId w:val="6"/>
  </w:num>
  <w:num w:numId="4" w16cid:durableId="1970895579">
    <w:abstractNumId w:val="10"/>
  </w:num>
  <w:num w:numId="5" w16cid:durableId="1860580326">
    <w:abstractNumId w:val="12"/>
  </w:num>
  <w:num w:numId="6" w16cid:durableId="1683818398">
    <w:abstractNumId w:val="30"/>
  </w:num>
  <w:num w:numId="7" w16cid:durableId="1291328452">
    <w:abstractNumId w:val="7"/>
  </w:num>
  <w:num w:numId="8" w16cid:durableId="321861375">
    <w:abstractNumId w:val="32"/>
  </w:num>
  <w:num w:numId="9" w16cid:durableId="1935282969">
    <w:abstractNumId w:val="13"/>
  </w:num>
  <w:num w:numId="10" w16cid:durableId="1667978338">
    <w:abstractNumId w:val="25"/>
  </w:num>
  <w:num w:numId="11" w16cid:durableId="1984890200">
    <w:abstractNumId w:val="15"/>
  </w:num>
  <w:num w:numId="12" w16cid:durableId="492644775">
    <w:abstractNumId w:val="22"/>
  </w:num>
  <w:num w:numId="13" w16cid:durableId="423764684">
    <w:abstractNumId w:val="1"/>
  </w:num>
  <w:num w:numId="14" w16cid:durableId="547843638">
    <w:abstractNumId w:val="11"/>
  </w:num>
  <w:num w:numId="15" w16cid:durableId="768156225">
    <w:abstractNumId w:val="18"/>
  </w:num>
  <w:num w:numId="16" w16cid:durableId="1549295805">
    <w:abstractNumId w:val="9"/>
  </w:num>
  <w:num w:numId="17" w16cid:durableId="590116221">
    <w:abstractNumId w:val="5"/>
  </w:num>
  <w:num w:numId="18" w16cid:durableId="419375757">
    <w:abstractNumId w:val="4"/>
  </w:num>
  <w:num w:numId="19" w16cid:durableId="1796483892">
    <w:abstractNumId w:val="27"/>
  </w:num>
  <w:num w:numId="20" w16cid:durableId="824316394">
    <w:abstractNumId w:val="8"/>
  </w:num>
  <w:num w:numId="21" w16cid:durableId="1744911560">
    <w:abstractNumId w:val="24"/>
  </w:num>
  <w:num w:numId="22" w16cid:durableId="994650404">
    <w:abstractNumId w:val="33"/>
  </w:num>
  <w:num w:numId="23" w16cid:durableId="1625841483">
    <w:abstractNumId w:val="14"/>
  </w:num>
  <w:num w:numId="24" w16cid:durableId="385876639">
    <w:abstractNumId w:val="28"/>
  </w:num>
  <w:num w:numId="25" w16cid:durableId="1690642225">
    <w:abstractNumId w:val="19"/>
  </w:num>
  <w:num w:numId="26" w16cid:durableId="1629236957">
    <w:abstractNumId w:val="20"/>
  </w:num>
  <w:num w:numId="27" w16cid:durableId="135727268">
    <w:abstractNumId w:val="16"/>
  </w:num>
  <w:num w:numId="28" w16cid:durableId="1254826543">
    <w:abstractNumId w:val="31"/>
  </w:num>
  <w:num w:numId="29" w16cid:durableId="1720666843">
    <w:abstractNumId w:val="3"/>
  </w:num>
  <w:num w:numId="30" w16cid:durableId="150025880">
    <w:abstractNumId w:val="17"/>
  </w:num>
  <w:num w:numId="31" w16cid:durableId="454446519">
    <w:abstractNumId w:val="21"/>
  </w:num>
  <w:num w:numId="32" w16cid:durableId="2057198671">
    <w:abstractNumId w:val="0"/>
  </w:num>
  <w:num w:numId="33" w16cid:durableId="199245542">
    <w:abstractNumId w:val="29"/>
  </w:num>
  <w:num w:numId="34" w16cid:durableId="21018320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A0B"/>
    <w:rsid w:val="000063C2"/>
    <w:rsid w:val="00007FB1"/>
    <w:rsid w:val="00010BA0"/>
    <w:rsid w:val="00020557"/>
    <w:rsid w:val="00021FC2"/>
    <w:rsid w:val="00022E00"/>
    <w:rsid w:val="000250C7"/>
    <w:rsid w:val="00026352"/>
    <w:rsid w:val="00026F16"/>
    <w:rsid w:val="00031331"/>
    <w:rsid w:val="000346E7"/>
    <w:rsid w:val="00037621"/>
    <w:rsid w:val="00037671"/>
    <w:rsid w:val="0004151F"/>
    <w:rsid w:val="00042C87"/>
    <w:rsid w:val="00044994"/>
    <w:rsid w:val="00044D46"/>
    <w:rsid w:val="00045088"/>
    <w:rsid w:val="0004535A"/>
    <w:rsid w:val="00045904"/>
    <w:rsid w:val="0004614E"/>
    <w:rsid w:val="00047904"/>
    <w:rsid w:val="000502FD"/>
    <w:rsid w:val="00050A7A"/>
    <w:rsid w:val="0005666F"/>
    <w:rsid w:val="0006305A"/>
    <w:rsid w:val="00065166"/>
    <w:rsid w:val="000778B1"/>
    <w:rsid w:val="00080203"/>
    <w:rsid w:val="000812DE"/>
    <w:rsid w:val="00082609"/>
    <w:rsid w:val="000851CC"/>
    <w:rsid w:val="00086472"/>
    <w:rsid w:val="00093BE8"/>
    <w:rsid w:val="00097B45"/>
    <w:rsid w:val="00097D56"/>
    <w:rsid w:val="000A407B"/>
    <w:rsid w:val="000A636A"/>
    <w:rsid w:val="000A68ED"/>
    <w:rsid w:val="000A7A3D"/>
    <w:rsid w:val="000B05CE"/>
    <w:rsid w:val="000B084C"/>
    <w:rsid w:val="000B5A5D"/>
    <w:rsid w:val="000B5FF1"/>
    <w:rsid w:val="000B609F"/>
    <w:rsid w:val="000C1836"/>
    <w:rsid w:val="000C4C5B"/>
    <w:rsid w:val="000D0013"/>
    <w:rsid w:val="000D55A8"/>
    <w:rsid w:val="000E2F86"/>
    <w:rsid w:val="000E35FC"/>
    <w:rsid w:val="000E4841"/>
    <w:rsid w:val="000E5359"/>
    <w:rsid w:val="000E7B63"/>
    <w:rsid w:val="000F1677"/>
    <w:rsid w:val="000F3D6C"/>
    <w:rsid w:val="000F7FC2"/>
    <w:rsid w:val="00101707"/>
    <w:rsid w:val="00102CC9"/>
    <w:rsid w:val="001121B1"/>
    <w:rsid w:val="0011473D"/>
    <w:rsid w:val="00115C85"/>
    <w:rsid w:val="001161F1"/>
    <w:rsid w:val="0012224B"/>
    <w:rsid w:val="00123855"/>
    <w:rsid w:val="00126A4D"/>
    <w:rsid w:val="0012763A"/>
    <w:rsid w:val="001409B3"/>
    <w:rsid w:val="0014171F"/>
    <w:rsid w:val="0014622C"/>
    <w:rsid w:val="00152348"/>
    <w:rsid w:val="0015456D"/>
    <w:rsid w:val="001552EC"/>
    <w:rsid w:val="00155FA2"/>
    <w:rsid w:val="00160679"/>
    <w:rsid w:val="00161F1B"/>
    <w:rsid w:val="00162829"/>
    <w:rsid w:val="00167F20"/>
    <w:rsid w:val="00170A3A"/>
    <w:rsid w:val="00180548"/>
    <w:rsid w:val="00180AC4"/>
    <w:rsid w:val="00180CCE"/>
    <w:rsid w:val="0018267A"/>
    <w:rsid w:val="00182779"/>
    <w:rsid w:val="001830DF"/>
    <w:rsid w:val="001905D5"/>
    <w:rsid w:val="00195376"/>
    <w:rsid w:val="001966D9"/>
    <w:rsid w:val="00197E4B"/>
    <w:rsid w:val="001A43D9"/>
    <w:rsid w:val="001A5958"/>
    <w:rsid w:val="001A7E9A"/>
    <w:rsid w:val="001B0F70"/>
    <w:rsid w:val="001B5016"/>
    <w:rsid w:val="001C45FC"/>
    <w:rsid w:val="001C6AE0"/>
    <w:rsid w:val="001D0469"/>
    <w:rsid w:val="001D4862"/>
    <w:rsid w:val="001E1796"/>
    <w:rsid w:val="001E2128"/>
    <w:rsid w:val="001E25B9"/>
    <w:rsid w:val="001E49E0"/>
    <w:rsid w:val="001E6B4A"/>
    <w:rsid w:val="001E705D"/>
    <w:rsid w:val="001E7B5A"/>
    <w:rsid w:val="001F42F2"/>
    <w:rsid w:val="001F7412"/>
    <w:rsid w:val="00202254"/>
    <w:rsid w:val="00202DFE"/>
    <w:rsid w:val="0020725B"/>
    <w:rsid w:val="002110F1"/>
    <w:rsid w:val="00216544"/>
    <w:rsid w:val="00217C72"/>
    <w:rsid w:val="00222A96"/>
    <w:rsid w:val="00223917"/>
    <w:rsid w:val="00223C5E"/>
    <w:rsid w:val="00224DB5"/>
    <w:rsid w:val="0023005B"/>
    <w:rsid w:val="0024116D"/>
    <w:rsid w:val="00241B44"/>
    <w:rsid w:val="00241FA3"/>
    <w:rsid w:val="00242D66"/>
    <w:rsid w:val="00245EFB"/>
    <w:rsid w:val="0025386E"/>
    <w:rsid w:val="00256B74"/>
    <w:rsid w:val="002638B0"/>
    <w:rsid w:val="0026647A"/>
    <w:rsid w:val="002668D3"/>
    <w:rsid w:val="002669C6"/>
    <w:rsid w:val="00271D5F"/>
    <w:rsid w:val="0027299F"/>
    <w:rsid w:val="00272F12"/>
    <w:rsid w:val="00284EBE"/>
    <w:rsid w:val="002903A7"/>
    <w:rsid w:val="00291AF6"/>
    <w:rsid w:val="0029433F"/>
    <w:rsid w:val="00294829"/>
    <w:rsid w:val="0029690F"/>
    <w:rsid w:val="00296F49"/>
    <w:rsid w:val="00297C8A"/>
    <w:rsid w:val="002A257B"/>
    <w:rsid w:val="002A2A60"/>
    <w:rsid w:val="002A37BB"/>
    <w:rsid w:val="002A5051"/>
    <w:rsid w:val="002B1C45"/>
    <w:rsid w:val="002B5D64"/>
    <w:rsid w:val="002C13C8"/>
    <w:rsid w:val="002C3547"/>
    <w:rsid w:val="002C4847"/>
    <w:rsid w:val="002C4932"/>
    <w:rsid w:val="002D0021"/>
    <w:rsid w:val="002D299D"/>
    <w:rsid w:val="002D3473"/>
    <w:rsid w:val="002D5034"/>
    <w:rsid w:val="002D6789"/>
    <w:rsid w:val="002D78C5"/>
    <w:rsid w:val="002E120B"/>
    <w:rsid w:val="002F1956"/>
    <w:rsid w:val="002F3440"/>
    <w:rsid w:val="002F75A3"/>
    <w:rsid w:val="00301D2B"/>
    <w:rsid w:val="00301D55"/>
    <w:rsid w:val="00303C2F"/>
    <w:rsid w:val="003076E2"/>
    <w:rsid w:val="003144EF"/>
    <w:rsid w:val="003170B6"/>
    <w:rsid w:val="00323167"/>
    <w:rsid w:val="00325A8F"/>
    <w:rsid w:val="00326292"/>
    <w:rsid w:val="00326415"/>
    <w:rsid w:val="00330937"/>
    <w:rsid w:val="00330F31"/>
    <w:rsid w:val="00334648"/>
    <w:rsid w:val="0033553A"/>
    <w:rsid w:val="003369A0"/>
    <w:rsid w:val="0033768C"/>
    <w:rsid w:val="00337938"/>
    <w:rsid w:val="00340769"/>
    <w:rsid w:val="00341AA6"/>
    <w:rsid w:val="003502EB"/>
    <w:rsid w:val="00354B32"/>
    <w:rsid w:val="00355A8D"/>
    <w:rsid w:val="00361A0A"/>
    <w:rsid w:val="0036262E"/>
    <w:rsid w:val="00364836"/>
    <w:rsid w:val="0036565C"/>
    <w:rsid w:val="0036625E"/>
    <w:rsid w:val="00374092"/>
    <w:rsid w:val="0037465A"/>
    <w:rsid w:val="00382191"/>
    <w:rsid w:val="00382C98"/>
    <w:rsid w:val="0038411A"/>
    <w:rsid w:val="0038533C"/>
    <w:rsid w:val="00386568"/>
    <w:rsid w:val="00390B57"/>
    <w:rsid w:val="00390E54"/>
    <w:rsid w:val="00393ED1"/>
    <w:rsid w:val="003948D5"/>
    <w:rsid w:val="00396821"/>
    <w:rsid w:val="00397D3A"/>
    <w:rsid w:val="003A051E"/>
    <w:rsid w:val="003A5537"/>
    <w:rsid w:val="003A5C1F"/>
    <w:rsid w:val="003A6291"/>
    <w:rsid w:val="003A75F4"/>
    <w:rsid w:val="003B170F"/>
    <w:rsid w:val="003B2905"/>
    <w:rsid w:val="003B3C5F"/>
    <w:rsid w:val="003B6071"/>
    <w:rsid w:val="003B7184"/>
    <w:rsid w:val="003C3388"/>
    <w:rsid w:val="003C4471"/>
    <w:rsid w:val="003C53FE"/>
    <w:rsid w:val="003C7D86"/>
    <w:rsid w:val="003D0A6D"/>
    <w:rsid w:val="003D1566"/>
    <w:rsid w:val="003E0B16"/>
    <w:rsid w:val="003E33C8"/>
    <w:rsid w:val="003E67D1"/>
    <w:rsid w:val="003E6A8A"/>
    <w:rsid w:val="003F0411"/>
    <w:rsid w:val="003F5249"/>
    <w:rsid w:val="003F75AC"/>
    <w:rsid w:val="0040331A"/>
    <w:rsid w:val="00404329"/>
    <w:rsid w:val="00405DC1"/>
    <w:rsid w:val="00415F1F"/>
    <w:rsid w:val="00417461"/>
    <w:rsid w:val="0042108F"/>
    <w:rsid w:val="004248F6"/>
    <w:rsid w:val="004273B0"/>
    <w:rsid w:val="00430FED"/>
    <w:rsid w:val="00433CAF"/>
    <w:rsid w:val="00434A8C"/>
    <w:rsid w:val="00437297"/>
    <w:rsid w:val="00444284"/>
    <w:rsid w:val="004455F7"/>
    <w:rsid w:val="0044582D"/>
    <w:rsid w:val="00445CE6"/>
    <w:rsid w:val="004508BE"/>
    <w:rsid w:val="004534C2"/>
    <w:rsid w:val="0045446F"/>
    <w:rsid w:val="00455018"/>
    <w:rsid w:val="0045683E"/>
    <w:rsid w:val="00457EF7"/>
    <w:rsid w:val="00467F88"/>
    <w:rsid w:val="00476D35"/>
    <w:rsid w:val="00477C72"/>
    <w:rsid w:val="004830F8"/>
    <w:rsid w:val="00484B73"/>
    <w:rsid w:val="00491675"/>
    <w:rsid w:val="00493855"/>
    <w:rsid w:val="004944B8"/>
    <w:rsid w:val="00494B81"/>
    <w:rsid w:val="00495E79"/>
    <w:rsid w:val="004A08C7"/>
    <w:rsid w:val="004A57DD"/>
    <w:rsid w:val="004A7B51"/>
    <w:rsid w:val="004A7D71"/>
    <w:rsid w:val="004A7EF3"/>
    <w:rsid w:val="004B0317"/>
    <w:rsid w:val="004B11FD"/>
    <w:rsid w:val="004B1B0E"/>
    <w:rsid w:val="004B23A2"/>
    <w:rsid w:val="004B6817"/>
    <w:rsid w:val="004D166B"/>
    <w:rsid w:val="004D1A5A"/>
    <w:rsid w:val="004D277A"/>
    <w:rsid w:val="004D2FFF"/>
    <w:rsid w:val="004D325C"/>
    <w:rsid w:val="004D3721"/>
    <w:rsid w:val="004D4255"/>
    <w:rsid w:val="004D64F9"/>
    <w:rsid w:val="004E173D"/>
    <w:rsid w:val="004E3A6B"/>
    <w:rsid w:val="004E5AF5"/>
    <w:rsid w:val="004E622C"/>
    <w:rsid w:val="004E709A"/>
    <w:rsid w:val="004F49B5"/>
    <w:rsid w:val="004F5FDF"/>
    <w:rsid w:val="004F7B99"/>
    <w:rsid w:val="00501234"/>
    <w:rsid w:val="00504DFE"/>
    <w:rsid w:val="005059B3"/>
    <w:rsid w:val="00515810"/>
    <w:rsid w:val="005177FE"/>
    <w:rsid w:val="0052263B"/>
    <w:rsid w:val="00522C92"/>
    <w:rsid w:val="00524728"/>
    <w:rsid w:val="005304DE"/>
    <w:rsid w:val="00531645"/>
    <w:rsid w:val="00532007"/>
    <w:rsid w:val="005331CA"/>
    <w:rsid w:val="00537424"/>
    <w:rsid w:val="00537970"/>
    <w:rsid w:val="00540E3A"/>
    <w:rsid w:val="00541F46"/>
    <w:rsid w:val="00543D8D"/>
    <w:rsid w:val="00544127"/>
    <w:rsid w:val="005463A9"/>
    <w:rsid w:val="00553EB2"/>
    <w:rsid w:val="00560534"/>
    <w:rsid w:val="0056391B"/>
    <w:rsid w:val="005650E2"/>
    <w:rsid w:val="00567AD7"/>
    <w:rsid w:val="00575B2D"/>
    <w:rsid w:val="005833D0"/>
    <w:rsid w:val="00583D8E"/>
    <w:rsid w:val="005846F3"/>
    <w:rsid w:val="0058622F"/>
    <w:rsid w:val="00586501"/>
    <w:rsid w:val="00587019"/>
    <w:rsid w:val="00592F82"/>
    <w:rsid w:val="005A0CCA"/>
    <w:rsid w:val="005A11EF"/>
    <w:rsid w:val="005A61C4"/>
    <w:rsid w:val="005A6FF2"/>
    <w:rsid w:val="005A726D"/>
    <w:rsid w:val="005B5130"/>
    <w:rsid w:val="005B67AC"/>
    <w:rsid w:val="005B79F4"/>
    <w:rsid w:val="005B7BE9"/>
    <w:rsid w:val="005C6144"/>
    <w:rsid w:val="005D1293"/>
    <w:rsid w:val="005D43E0"/>
    <w:rsid w:val="005D58A3"/>
    <w:rsid w:val="005D6642"/>
    <w:rsid w:val="005E1B79"/>
    <w:rsid w:val="005E6076"/>
    <w:rsid w:val="005E7008"/>
    <w:rsid w:val="005F026D"/>
    <w:rsid w:val="005F2AEA"/>
    <w:rsid w:val="005F2D0B"/>
    <w:rsid w:val="005F4B31"/>
    <w:rsid w:val="00605D6D"/>
    <w:rsid w:val="00610388"/>
    <w:rsid w:val="00610AC7"/>
    <w:rsid w:val="0061188A"/>
    <w:rsid w:val="00612CA5"/>
    <w:rsid w:val="006153EC"/>
    <w:rsid w:val="00621A17"/>
    <w:rsid w:val="00622C36"/>
    <w:rsid w:val="00623D19"/>
    <w:rsid w:val="006245E3"/>
    <w:rsid w:val="00627CC9"/>
    <w:rsid w:val="00627E7B"/>
    <w:rsid w:val="00630542"/>
    <w:rsid w:val="00632E44"/>
    <w:rsid w:val="00633D08"/>
    <w:rsid w:val="00634622"/>
    <w:rsid w:val="00635ACC"/>
    <w:rsid w:val="00636808"/>
    <w:rsid w:val="00641515"/>
    <w:rsid w:val="006537DE"/>
    <w:rsid w:val="00654C2F"/>
    <w:rsid w:val="00657087"/>
    <w:rsid w:val="006639DB"/>
    <w:rsid w:val="006661EF"/>
    <w:rsid w:val="00677AEB"/>
    <w:rsid w:val="00680EF2"/>
    <w:rsid w:val="0068505E"/>
    <w:rsid w:val="00687A1D"/>
    <w:rsid w:val="00697EA1"/>
    <w:rsid w:val="006A2646"/>
    <w:rsid w:val="006A6530"/>
    <w:rsid w:val="006B3571"/>
    <w:rsid w:val="006B3E5E"/>
    <w:rsid w:val="006B435A"/>
    <w:rsid w:val="006B4C64"/>
    <w:rsid w:val="006B5FE4"/>
    <w:rsid w:val="006C0AFC"/>
    <w:rsid w:val="006C4167"/>
    <w:rsid w:val="006C65F4"/>
    <w:rsid w:val="006D6BD5"/>
    <w:rsid w:val="006E481A"/>
    <w:rsid w:val="006E5298"/>
    <w:rsid w:val="006E6054"/>
    <w:rsid w:val="006E691F"/>
    <w:rsid w:val="006E6D10"/>
    <w:rsid w:val="006E7865"/>
    <w:rsid w:val="006F4A78"/>
    <w:rsid w:val="006F734A"/>
    <w:rsid w:val="006F77A0"/>
    <w:rsid w:val="00700217"/>
    <w:rsid w:val="00700D83"/>
    <w:rsid w:val="00704852"/>
    <w:rsid w:val="007074E9"/>
    <w:rsid w:val="00713DA4"/>
    <w:rsid w:val="00714BF1"/>
    <w:rsid w:val="00717C2C"/>
    <w:rsid w:val="00721383"/>
    <w:rsid w:val="0072794E"/>
    <w:rsid w:val="0073158B"/>
    <w:rsid w:val="007333CC"/>
    <w:rsid w:val="0073399A"/>
    <w:rsid w:val="00735CDB"/>
    <w:rsid w:val="00750E5F"/>
    <w:rsid w:val="007544A2"/>
    <w:rsid w:val="007603F5"/>
    <w:rsid w:val="00764DB0"/>
    <w:rsid w:val="00765B95"/>
    <w:rsid w:val="0076764D"/>
    <w:rsid w:val="0077498C"/>
    <w:rsid w:val="00774CA6"/>
    <w:rsid w:val="00777C53"/>
    <w:rsid w:val="007809BC"/>
    <w:rsid w:val="00784128"/>
    <w:rsid w:val="0078656A"/>
    <w:rsid w:val="00787BCC"/>
    <w:rsid w:val="007916CA"/>
    <w:rsid w:val="00793173"/>
    <w:rsid w:val="007A2A33"/>
    <w:rsid w:val="007A428D"/>
    <w:rsid w:val="007B03FD"/>
    <w:rsid w:val="007B0809"/>
    <w:rsid w:val="007B0ED0"/>
    <w:rsid w:val="007B5C89"/>
    <w:rsid w:val="007C0730"/>
    <w:rsid w:val="007C077A"/>
    <w:rsid w:val="007C1FCC"/>
    <w:rsid w:val="007C6201"/>
    <w:rsid w:val="007D0192"/>
    <w:rsid w:val="007D27EE"/>
    <w:rsid w:val="007D7C92"/>
    <w:rsid w:val="007E1154"/>
    <w:rsid w:val="007E3D2A"/>
    <w:rsid w:val="007E6BA4"/>
    <w:rsid w:val="007F12AB"/>
    <w:rsid w:val="007F41F8"/>
    <w:rsid w:val="007F659B"/>
    <w:rsid w:val="0080454E"/>
    <w:rsid w:val="00804C32"/>
    <w:rsid w:val="00805305"/>
    <w:rsid w:val="00806302"/>
    <w:rsid w:val="00807119"/>
    <w:rsid w:val="00810436"/>
    <w:rsid w:val="00814375"/>
    <w:rsid w:val="0082483F"/>
    <w:rsid w:val="00826291"/>
    <w:rsid w:val="008279C0"/>
    <w:rsid w:val="00830613"/>
    <w:rsid w:val="00831567"/>
    <w:rsid w:val="00834F92"/>
    <w:rsid w:val="0085676B"/>
    <w:rsid w:val="008723F3"/>
    <w:rsid w:val="00881DE6"/>
    <w:rsid w:val="008837A6"/>
    <w:rsid w:val="00886AE3"/>
    <w:rsid w:val="00891443"/>
    <w:rsid w:val="0089145D"/>
    <w:rsid w:val="0089356A"/>
    <w:rsid w:val="00895EF1"/>
    <w:rsid w:val="008977EF"/>
    <w:rsid w:val="008A4DF2"/>
    <w:rsid w:val="008A6CFE"/>
    <w:rsid w:val="008A771D"/>
    <w:rsid w:val="008B44DF"/>
    <w:rsid w:val="008B4F15"/>
    <w:rsid w:val="008B5333"/>
    <w:rsid w:val="008B6223"/>
    <w:rsid w:val="008C66E0"/>
    <w:rsid w:val="008D2212"/>
    <w:rsid w:val="008D7045"/>
    <w:rsid w:val="008E3339"/>
    <w:rsid w:val="008F20FC"/>
    <w:rsid w:val="008F3B7F"/>
    <w:rsid w:val="008F5FFE"/>
    <w:rsid w:val="00902FA7"/>
    <w:rsid w:val="00905A43"/>
    <w:rsid w:val="009108A1"/>
    <w:rsid w:val="00912C79"/>
    <w:rsid w:val="00917C86"/>
    <w:rsid w:val="00921B8C"/>
    <w:rsid w:val="009220F0"/>
    <w:rsid w:val="0092565E"/>
    <w:rsid w:val="0093467C"/>
    <w:rsid w:val="00942123"/>
    <w:rsid w:val="0095207B"/>
    <w:rsid w:val="009571FF"/>
    <w:rsid w:val="00962045"/>
    <w:rsid w:val="009643E4"/>
    <w:rsid w:val="00965BE8"/>
    <w:rsid w:val="009804AB"/>
    <w:rsid w:val="00980E61"/>
    <w:rsid w:val="00982256"/>
    <w:rsid w:val="00986559"/>
    <w:rsid w:val="009875F8"/>
    <w:rsid w:val="00991428"/>
    <w:rsid w:val="00992676"/>
    <w:rsid w:val="009936FD"/>
    <w:rsid w:val="0099385A"/>
    <w:rsid w:val="009954B2"/>
    <w:rsid w:val="00996691"/>
    <w:rsid w:val="009A2977"/>
    <w:rsid w:val="009B0723"/>
    <w:rsid w:val="009B07AD"/>
    <w:rsid w:val="009B0883"/>
    <w:rsid w:val="009B15E2"/>
    <w:rsid w:val="009B2487"/>
    <w:rsid w:val="009B366C"/>
    <w:rsid w:val="009B4976"/>
    <w:rsid w:val="009B4FAF"/>
    <w:rsid w:val="009B5892"/>
    <w:rsid w:val="009B6707"/>
    <w:rsid w:val="009C0B8E"/>
    <w:rsid w:val="009C1BC8"/>
    <w:rsid w:val="009C2442"/>
    <w:rsid w:val="009D0811"/>
    <w:rsid w:val="009D0EE1"/>
    <w:rsid w:val="009D3D9B"/>
    <w:rsid w:val="009D5B73"/>
    <w:rsid w:val="009E05BE"/>
    <w:rsid w:val="009E2AEB"/>
    <w:rsid w:val="009E2E27"/>
    <w:rsid w:val="009E45DF"/>
    <w:rsid w:val="009E4DE3"/>
    <w:rsid w:val="009E5E82"/>
    <w:rsid w:val="009F2698"/>
    <w:rsid w:val="009F275E"/>
    <w:rsid w:val="009F6008"/>
    <w:rsid w:val="00A00AAB"/>
    <w:rsid w:val="00A024E7"/>
    <w:rsid w:val="00A0395D"/>
    <w:rsid w:val="00A044E8"/>
    <w:rsid w:val="00A047EE"/>
    <w:rsid w:val="00A04D79"/>
    <w:rsid w:val="00A064FF"/>
    <w:rsid w:val="00A102B7"/>
    <w:rsid w:val="00A11130"/>
    <w:rsid w:val="00A1796A"/>
    <w:rsid w:val="00A212D5"/>
    <w:rsid w:val="00A2274A"/>
    <w:rsid w:val="00A235B7"/>
    <w:rsid w:val="00A24A65"/>
    <w:rsid w:val="00A27A7A"/>
    <w:rsid w:val="00A3165E"/>
    <w:rsid w:val="00A31CA0"/>
    <w:rsid w:val="00A34ABE"/>
    <w:rsid w:val="00A407EF"/>
    <w:rsid w:val="00A42676"/>
    <w:rsid w:val="00A43750"/>
    <w:rsid w:val="00A46B4C"/>
    <w:rsid w:val="00A5117B"/>
    <w:rsid w:val="00A563A3"/>
    <w:rsid w:val="00A56D34"/>
    <w:rsid w:val="00A60074"/>
    <w:rsid w:val="00A61B65"/>
    <w:rsid w:val="00A6627C"/>
    <w:rsid w:val="00A70D72"/>
    <w:rsid w:val="00A71019"/>
    <w:rsid w:val="00A76DBC"/>
    <w:rsid w:val="00A81029"/>
    <w:rsid w:val="00A82B32"/>
    <w:rsid w:val="00A94F58"/>
    <w:rsid w:val="00A95463"/>
    <w:rsid w:val="00A96489"/>
    <w:rsid w:val="00AA0280"/>
    <w:rsid w:val="00AA35BB"/>
    <w:rsid w:val="00AA536D"/>
    <w:rsid w:val="00AA76AD"/>
    <w:rsid w:val="00AA7BE3"/>
    <w:rsid w:val="00AB1B65"/>
    <w:rsid w:val="00AB2425"/>
    <w:rsid w:val="00AB4307"/>
    <w:rsid w:val="00AB685C"/>
    <w:rsid w:val="00AB6C2D"/>
    <w:rsid w:val="00AC0049"/>
    <w:rsid w:val="00AC08F7"/>
    <w:rsid w:val="00AC3839"/>
    <w:rsid w:val="00AC6BBD"/>
    <w:rsid w:val="00AC7082"/>
    <w:rsid w:val="00AC76F8"/>
    <w:rsid w:val="00AD4BE8"/>
    <w:rsid w:val="00AD4F29"/>
    <w:rsid w:val="00AF228E"/>
    <w:rsid w:val="00B016A8"/>
    <w:rsid w:val="00B01E81"/>
    <w:rsid w:val="00B04CBB"/>
    <w:rsid w:val="00B07E8D"/>
    <w:rsid w:val="00B10961"/>
    <w:rsid w:val="00B1183F"/>
    <w:rsid w:val="00B12526"/>
    <w:rsid w:val="00B133E8"/>
    <w:rsid w:val="00B14819"/>
    <w:rsid w:val="00B1556C"/>
    <w:rsid w:val="00B15E2F"/>
    <w:rsid w:val="00B17AA9"/>
    <w:rsid w:val="00B27E6E"/>
    <w:rsid w:val="00B34F58"/>
    <w:rsid w:val="00B40EEF"/>
    <w:rsid w:val="00B43C80"/>
    <w:rsid w:val="00B44713"/>
    <w:rsid w:val="00B5577C"/>
    <w:rsid w:val="00B56103"/>
    <w:rsid w:val="00B618C2"/>
    <w:rsid w:val="00B64929"/>
    <w:rsid w:val="00B71410"/>
    <w:rsid w:val="00B736DF"/>
    <w:rsid w:val="00B743D6"/>
    <w:rsid w:val="00B7476D"/>
    <w:rsid w:val="00B74986"/>
    <w:rsid w:val="00B74FBD"/>
    <w:rsid w:val="00B7721D"/>
    <w:rsid w:val="00B77B19"/>
    <w:rsid w:val="00B77F46"/>
    <w:rsid w:val="00B82586"/>
    <w:rsid w:val="00B829A3"/>
    <w:rsid w:val="00B86DB1"/>
    <w:rsid w:val="00B87869"/>
    <w:rsid w:val="00B879D0"/>
    <w:rsid w:val="00B9639B"/>
    <w:rsid w:val="00BA0389"/>
    <w:rsid w:val="00BA0B70"/>
    <w:rsid w:val="00BA5BEB"/>
    <w:rsid w:val="00BA6EB1"/>
    <w:rsid w:val="00BA7943"/>
    <w:rsid w:val="00BB0F2B"/>
    <w:rsid w:val="00BB1766"/>
    <w:rsid w:val="00BB7739"/>
    <w:rsid w:val="00BB79B2"/>
    <w:rsid w:val="00BC135C"/>
    <w:rsid w:val="00BC42FC"/>
    <w:rsid w:val="00BC7D83"/>
    <w:rsid w:val="00BD2EDF"/>
    <w:rsid w:val="00BD4A58"/>
    <w:rsid w:val="00BD4ED7"/>
    <w:rsid w:val="00BD7337"/>
    <w:rsid w:val="00BE4FF3"/>
    <w:rsid w:val="00BF1E8D"/>
    <w:rsid w:val="00BF3395"/>
    <w:rsid w:val="00BF50F7"/>
    <w:rsid w:val="00BF56B9"/>
    <w:rsid w:val="00C01684"/>
    <w:rsid w:val="00C02F29"/>
    <w:rsid w:val="00C05A9F"/>
    <w:rsid w:val="00C166F4"/>
    <w:rsid w:val="00C20AFE"/>
    <w:rsid w:val="00C22A25"/>
    <w:rsid w:val="00C24BA7"/>
    <w:rsid w:val="00C31178"/>
    <w:rsid w:val="00C35671"/>
    <w:rsid w:val="00C35B77"/>
    <w:rsid w:val="00C361CD"/>
    <w:rsid w:val="00C362AA"/>
    <w:rsid w:val="00C376EB"/>
    <w:rsid w:val="00C452BC"/>
    <w:rsid w:val="00C46A92"/>
    <w:rsid w:val="00C46EC1"/>
    <w:rsid w:val="00C513BF"/>
    <w:rsid w:val="00C51EA5"/>
    <w:rsid w:val="00C52796"/>
    <w:rsid w:val="00C53E2C"/>
    <w:rsid w:val="00C550C8"/>
    <w:rsid w:val="00C56B61"/>
    <w:rsid w:val="00C60119"/>
    <w:rsid w:val="00C606C3"/>
    <w:rsid w:val="00C61C0A"/>
    <w:rsid w:val="00C620F4"/>
    <w:rsid w:val="00C63245"/>
    <w:rsid w:val="00C651D6"/>
    <w:rsid w:val="00C71976"/>
    <w:rsid w:val="00C72848"/>
    <w:rsid w:val="00C75324"/>
    <w:rsid w:val="00C7646E"/>
    <w:rsid w:val="00C7736C"/>
    <w:rsid w:val="00C82D87"/>
    <w:rsid w:val="00C8712A"/>
    <w:rsid w:val="00C87DEF"/>
    <w:rsid w:val="00C87E0A"/>
    <w:rsid w:val="00C902C8"/>
    <w:rsid w:val="00C9124D"/>
    <w:rsid w:val="00C919D1"/>
    <w:rsid w:val="00C92B04"/>
    <w:rsid w:val="00C93D96"/>
    <w:rsid w:val="00C963D3"/>
    <w:rsid w:val="00C96A7A"/>
    <w:rsid w:val="00CA1BFA"/>
    <w:rsid w:val="00CA4331"/>
    <w:rsid w:val="00CA4B1E"/>
    <w:rsid w:val="00CA633E"/>
    <w:rsid w:val="00CB1983"/>
    <w:rsid w:val="00CB2CBB"/>
    <w:rsid w:val="00CB450A"/>
    <w:rsid w:val="00CB6578"/>
    <w:rsid w:val="00CB7CAC"/>
    <w:rsid w:val="00CC4818"/>
    <w:rsid w:val="00CC5335"/>
    <w:rsid w:val="00CC5BA4"/>
    <w:rsid w:val="00CD4998"/>
    <w:rsid w:val="00CE0ECD"/>
    <w:rsid w:val="00CE1035"/>
    <w:rsid w:val="00CE4BB6"/>
    <w:rsid w:val="00CE6E50"/>
    <w:rsid w:val="00CE733B"/>
    <w:rsid w:val="00CF2819"/>
    <w:rsid w:val="00CF4F9D"/>
    <w:rsid w:val="00CF70DC"/>
    <w:rsid w:val="00D01958"/>
    <w:rsid w:val="00D0247A"/>
    <w:rsid w:val="00D041E0"/>
    <w:rsid w:val="00D04AFE"/>
    <w:rsid w:val="00D04D15"/>
    <w:rsid w:val="00D06A30"/>
    <w:rsid w:val="00D14336"/>
    <w:rsid w:val="00D148DC"/>
    <w:rsid w:val="00D17FDC"/>
    <w:rsid w:val="00D20190"/>
    <w:rsid w:val="00D21021"/>
    <w:rsid w:val="00D21D8C"/>
    <w:rsid w:val="00D2293F"/>
    <w:rsid w:val="00D316F2"/>
    <w:rsid w:val="00D34584"/>
    <w:rsid w:val="00D4184B"/>
    <w:rsid w:val="00D45E0C"/>
    <w:rsid w:val="00D50291"/>
    <w:rsid w:val="00D533D9"/>
    <w:rsid w:val="00D53719"/>
    <w:rsid w:val="00D552ED"/>
    <w:rsid w:val="00D57F57"/>
    <w:rsid w:val="00D606AB"/>
    <w:rsid w:val="00D61CC1"/>
    <w:rsid w:val="00D63EFD"/>
    <w:rsid w:val="00D75524"/>
    <w:rsid w:val="00D755D9"/>
    <w:rsid w:val="00D84752"/>
    <w:rsid w:val="00D86B3B"/>
    <w:rsid w:val="00D8748A"/>
    <w:rsid w:val="00D90C15"/>
    <w:rsid w:val="00D93196"/>
    <w:rsid w:val="00D942A6"/>
    <w:rsid w:val="00D9565D"/>
    <w:rsid w:val="00D979DA"/>
    <w:rsid w:val="00DA0DC0"/>
    <w:rsid w:val="00DA1314"/>
    <w:rsid w:val="00DA1D45"/>
    <w:rsid w:val="00DA7EE5"/>
    <w:rsid w:val="00DB243C"/>
    <w:rsid w:val="00DB46E9"/>
    <w:rsid w:val="00DB482A"/>
    <w:rsid w:val="00DB50FB"/>
    <w:rsid w:val="00DB56F2"/>
    <w:rsid w:val="00DB6169"/>
    <w:rsid w:val="00DB6EF5"/>
    <w:rsid w:val="00DB7E92"/>
    <w:rsid w:val="00DC0305"/>
    <w:rsid w:val="00DC3089"/>
    <w:rsid w:val="00DC359F"/>
    <w:rsid w:val="00DC4420"/>
    <w:rsid w:val="00DC446A"/>
    <w:rsid w:val="00DD0802"/>
    <w:rsid w:val="00DD2E11"/>
    <w:rsid w:val="00DE03AF"/>
    <w:rsid w:val="00DE121C"/>
    <w:rsid w:val="00DE1D73"/>
    <w:rsid w:val="00DE5357"/>
    <w:rsid w:val="00DE6633"/>
    <w:rsid w:val="00DE7E9B"/>
    <w:rsid w:val="00DF03CE"/>
    <w:rsid w:val="00DF158F"/>
    <w:rsid w:val="00DF4EBB"/>
    <w:rsid w:val="00DF75F8"/>
    <w:rsid w:val="00DF7A3A"/>
    <w:rsid w:val="00E00C00"/>
    <w:rsid w:val="00E01803"/>
    <w:rsid w:val="00E02E1E"/>
    <w:rsid w:val="00E0575B"/>
    <w:rsid w:val="00E068AB"/>
    <w:rsid w:val="00E07C5A"/>
    <w:rsid w:val="00E15BA9"/>
    <w:rsid w:val="00E21B6F"/>
    <w:rsid w:val="00E21C22"/>
    <w:rsid w:val="00E262D3"/>
    <w:rsid w:val="00E26E10"/>
    <w:rsid w:val="00E26E19"/>
    <w:rsid w:val="00E271BD"/>
    <w:rsid w:val="00E30E60"/>
    <w:rsid w:val="00E31DF3"/>
    <w:rsid w:val="00E33BD7"/>
    <w:rsid w:val="00E37FBA"/>
    <w:rsid w:val="00E41578"/>
    <w:rsid w:val="00E421C6"/>
    <w:rsid w:val="00E448E8"/>
    <w:rsid w:val="00E44B17"/>
    <w:rsid w:val="00E450A4"/>
    <w:rsid w:val="00E50547"/>
    <w:rsid w:val="00E506BE"/>
    <w:rsid w:val="00E55547"/>
    <w:rsid w:val="00E6302B"/>
    <w:rsid w:val="00E642CD"/>
    <w:rsid w:val="00E6452F"/>
    <w:rsid w:val="00E64F45"/>
    <w:rsid w:val="00E6742D"/>
    <w:rsid w:val="00E71CB0"/>
    <w:rsid w:val="00E73D1D"/>
    <w:rsid w:val="00E77071"/>
    <w:rsid w:val="00E77C3D"/>
    <w:rsid w:val="00E85BCD"/>
    <w:rsid w:val="00E90991"/>
    <w:rsid w:val="00E909F0"/>
    <w:rsid w:val="00E90D47"/>
    <w:rsid w:val="00E93993"/>
    <w:rsid w:val="00E940D9"/>
    <w:rsid w:val="00E95373"/>
    <w:rsid w:val="00E9597C"/>
    <w:rsid w:val="00E97297"/>
    <w:rsid w:val="00EA058B"/>
    <w:rsid w:val="00EA0913"/>
    <w:rsid w:val="00EA5B00"/>
    <w:rsid w:val="00EA78AC"/>
    <w:rsid w:val="00EB146B"/>
    <w:rsid w:val="00EB45AC"/>
    <w:rsid w:val="00EC441F"/>
    <w:rsid w:val="00EC4755"/>
    <w:rsid w:val="00ED0BC4"/>
    <w:rsid w:val="00ED447D"/>
    <w:rsid w:val="00ED6F2D"/>
    <w:rsid w:val="00ED738F"/>
    <w:rsid w:val="00ED74BC"/>
    <w:rsid w:val="00EE2C31"/>
    <w:rsid w:val="00EE4971"/>
    <w:rsid w:val="00EE663C"/>
    <w:rsid w:val="00EF090E"/>
    <w:rsid w:val="00EF24B6"/>
    <w:rsid w:val="00EF5572"/>
    <w:rsid w:val="00F02662"/>
    <w:rsid w:val="00F03051"/>
    <w:rsid w:val="00F033DA"/>
    <w:rsid w:val="00F13691"/>
    <w:rsid w:val="00F13FB1"/>
    <w:rsid w:val="00F24B08"/>
    <w:rsid w:val="00F25012"/>
    <w:rsid w:val="00F25D93"/>
    <w:rsid w:val="00F265A6"/>
    <w:rsid w:val="00F27CD8"/>
    <w:rsid w:val="00F27DAF"/>
    <w:rsid w:val="00F30351"/>
    <w:rsid w:val="00F327C2"/>
    <w:rsid w:val="00F3323E"/>
    <w:rsid w:val="00F341F4"/>
    <w:rsid w:val="00F34F9D"/>
    <w:rsid w:val="00F35CCE"/>
    <w:rsid w:val="00F423CC"/>
    <w:rsid w:val="00F46878"/>
    <w:rsid w:val="00F5524B"/>
    <w:rsid w:val="00F60538"/>
    <w:rsid w:val="00F61DD2"/>
    <w:rsid w:val="00F66AFF"/>
    <w:rsid w:val="00F71433"/>
    <w:rsid w:val="00F84270"/>
    <w:rsid w:val="00F92140"/>
    <w:rsid w:val="00F97C5B"/>
    <w:rsid w:val="00FA3677"/>
    <w:rsid w:val="00FA3D50"/>
    <w:rsid w:val="00FA56CE"/>
    <w:rsid w:val="00FB06FC"/>
    <w:rsid w:val="00FB5155"/>
    <w:rsid w:val="00FB605A"/>
    <w:rsid w:val="00FB7FBD"/>
    <w:rsid w:val="00FC331D"/>
    <w:rsid w:val="00FC374A"/>
    <w:rsid w:val="00FC43EC"/>
    <w:rsid w:val="00FC52C4"/>
    <w:rsid w:val="00FC7AC7"/>
    <w:rsid w:val="00FC7B47"/>
    <w:rsid w:val="00FD035C"/>
    <w:rsid w:val="00FD1A35"/>
    <w:rsid w:val="00FD2EA4"/>
    <w:rsid w:val="00FD36C5"/>
    <w:rsid w:val="00FD3720"/>
    <w:rsid w:val="00FD6310"/>
    <w:rsid w:val="00FD6E95"/>
    <w:rsid w:val="00FD7C7B"/>
    <w:rsid w:val="00FE1D12"/>
    <w:rsid w:val="00FE2122"/>
    <w:rsid w:val="00FE2A86"/>
    <w:rsid w:val="00FE2DE2"/>
    <w:rsid w:val="00FE45A4"/>
    <w:rsid w:val="00FE5DB8"/>
    <w:rsid w:val="00FF296F"/>
    <w:rsid w:val="00FF39E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30542"/>
  </w:style>
  <w:style w:type="paragraph" w:styleId="Paragraphedeliste">
    <w:name w:val="List Paragraph"/>
    <w:basedOn w:val="Normal"/>
    <w:uiPriority w:val="34"/>
    <w:qFormat/>
    <w:rsid w:val="00430FED"/>
    <w:pPr>
      <w:ind w:left="720"/>
      <w:contextualSpacing/>
    </w:pPr>
  </w:style>
  <w:style w:type="paragraph" w:styleId="Notedebasdepage">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NotedebasdepageCar"/>
    <w:uiPriority w:val="99"/>
    <w:unhideWhenUsed/>
    <w:rsid w:val="00241B44"/>
    <w:rPr>
      <w:szCs w:val="20"/>
    </w:rPr>
  </w:style>
  <w:style w:type="character" w:customStyle="1" w:styleId="NotedebasdepageCar">
    <w:name w:val="Note de bas de page Car"/>
    <w:aliases w:val="fn Car,Fußnotentext Char Char Char Char Car,Fußnotentext Char Char Char Char Char Char Car,Fußnotentext Char Char Char Char Char Char Char Char Car,Fußnotentextf Car,footnotes Car,Footnote Text Char2 Char Car,Footnote Car,ft Car"/>
    <w:basedOn w:val="Policepardfaut"/>
    <w:link w:val="Notedebasdepage"/>
    <w:uiPriority w:val="99"/>
    <w:rsid w:val="00241B44"/>
    <w:rPr>
      <w:sz w:val="20"/>
      <w:szCs w:val="20"/>
    </w:rPr>
  </w:style>
  <w:style w:type="character" w:styleId="Appelnotedebasdep">
    <w:name w:val="footnote reference"/>
    <w:aliases w:val="fr,Footnote Refernece,BVI fnr,callout,16 Point,Superscript 6 Point,Footnote Reference Superscript,Ref,de nota al pie,-E Fußnotenzeichen,number,SUPERS,EN Footnote Reference,-E Fuﬂnotenzeichen,-E Fuûnotenzeichen,Footnote numbe"/>
    <w:basedOn w:val="Policepardfaut"/>
    <w:uiPriority w:val="99"/>
    <w:unhideWhenUsed/>
    <w:qFormat/>
    <w:rsid w:val="00241B44"/>
    <w:rPr>
      <w:vertAlign w:val="superscript"/>
    </w:rPr>
  </w:style>
  <w:style w:type="character" w:styleId="Lienhypertexte">
    <w:name w:val="Hyperlink"/>
    <w:basedOn w:val="Policepardfaut"/>
    <w:uiPriority w:val="99"/>
    <w:unhideWhenUsed/>
    <w:rsid w:val="00A047EE"/>
    <w:rPr>
      <w:color w:val="0563C1" w:themeColor="hyperlink"/>
      <w:u w:val="single"/>
    </w:rPr>
  </w:style>
  <w:style w:type="character" w:customStyle="1" w:styleId="UnresolvedMention1">
    <w:name w:val="Unresolved Mention1"/>
    <w:basedOn w:val="Policepardfaut"/>
    <w:uiPriority w:val="99"/>
    <w:rsid w:val="00A047EE"/>
    <w:rPr>
      <w:color w:val="605E5C"/>
      <w:shd w:val="clear" w:color="auto" w:fill="E1DFDD"/>
    </w:rPr>
  </w:style>
  <w:style w:type="character" w:styleId="Marquedecommentaire">
    <w:name w:val="annotation reference"/>
    <w:basedOn w:val="Policepardfaut"/>
    <w:uiPriority w:val="99"/>
    <w:semiHidden/>
    <w:unhideWhenUsed/>
    <w:rsid w:val="008B5333"/>
    <w:rPr>
      <w:sz w:val="16"/>
      <w:szCs w:val="16"/>
    </w:rPr>
  </w:style>
  <w:style w:type="paragraph" w:styleId="Commentaire">
    <w:name w:val="annotation text"/>
    <w:basedOn w:val="Normal"/>
    <w:link w:val="CommentaireCar"/>
    <w:uiPriority w:val="99"/>
    <w:semiHidden/>
    <w:unhideWhenUsed/>
    <w:rsid w:val="008B5333"/>
    <w:rPr>
      <w:szCs w:val="20"/>
    </w:rPr>
  </w:style>
  <w:style w:type="character" w:customStyle="1" w:styleId="CommentaireCar">
    <w:name w:val="Commentaire Car"/>
    <w:basedOn w:val="Policepardfaut"/>
    <w:link w:val="Commentaire"/>
    <w:uiPriority w:val="99"/>
    <w:semiHidden/>
    <w:rsid w:val="008B5333"/>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8B5333"/>
    <w:rPr>
      <w:b/>
      <w:bCs/>
    </w:rPr>
  </w:style>
  <w:style w:type="character" w:customStyle="1" w:styleId="ObjetducommentaireCar">
    <w:name w:val="Objet du commentaire Car"/>
    <w:basedOn w:val="CommentaireCar"/>
    <w:link w:val="Objetducommentaire"/>
    <w:uiPriority w:val="99"/>
    <w:semiHidden/>
    <w:rsid w:val="008B5333"/>
    <w:rPr>
      <w:rFonts w:eastAsia="Times New Roman"/>
      <w:b/>
      <w:bCs/>
      <w:sz w:val="20"/>
      <w:szCs w:val="20"/>
    </w:rPr>
  </w:style>
  <w:style w:type="paragraph" w:styleId="Textedebulles">
    <w:name w:val="Balloon Text"/>
    <w:basedOn w:val="Normal"/>
    <w:link w:val="TextedebullesCar"/>
    <w:uiPriority w:val="99"/>
    <w:semiHidden/>
    <w:unhideWhenUsed/>
    <w:rsid w:val="008B5333"/>
    <w:rPr>
      <w:rFonts w:ascii="Tahoma" w:hAnsi="Tahoma" w:cs="Tahoma"/>
      <w:sz w:val="16"/>
      <w:szCs w:val="16"/>
    </w:rPr>
  </w:style>
  <w:style w:type="character" w:customStyle="1" w:styleId="TextedebullesCar">
    <w:name w:val="Texte de bulles Car"/>
    <w:basedOn w:val="Policepardfaut"/>
    <w:link w:val="Textedebulles"/>
    <w:uiPriority w:val="99"/>
    <w:semiHidden/>
    <w:rsid w:val="008B5333"/>
    <w:rPr>
      <w:rFonts w:ascii="Tahoma" w:eastAsia="Times New Roman" w:hAnsi="Tahoma" w:cs="Tahoma"/>
      <w:sz w:val="16"/>
      <w:szCs w:val="16"/>
    </w:rPr>
  </w:style>
  <w:style w:type="paragraph" w:styleId="Pieddepage">
    <w:name w:val="footer"/>
    <w:basedOn w:val="Normal"/>
    <w:link w:val="PieddepageCar"/>
    <w:uiPriority w:val="99"/>
    <w:unhideWhenUsed/>
    <w:rsid w:val="00FC7B47"/>
    <w:pPr>
      <w:tabs>
        <w:tab w:val="center" w:pos="4513"/>
        <w:tab w:val="right" w:pos="9026"/>
      </w:tabs>
    </w:pPr>
  </w:style>
  <w:style w:type="character" w:customStyle="1" w:styleId="PieddepageCar">
    <w:name w:val="Pied de page Car"/>
    <w:basedOn w:val="Policepardfaut"/>
    <w:link w:val="Pieddepage"/>
    <w:uiPriority w:val="99"/>
    <w:rsid w:val="00FC7B47"/>
    <w:rPr>
      <w:rFonts w:eastAsia="Times New Roman"/>
      <w:sz w:val="20"/>
    </w:rPr>
  </w:style>
  <w:style w:type="character" w:styleId="Numrodepage">
    <w:name w:val="page number"/>
    <w:basedOn w:val="Policepardfaut"/>
    <w:uiPriority w:val="99"/>
    <w:semiHidden/>
    <w:unhideWhenUsed/>
    <w:rsid w:val="00FC7B47"/>
  </w:style>
  <w:style w:type="paragraph" w:styleId="En-tte">
    <w:name w:val="header"/>
    <w:basedOn w:val="Normal"/>
    <w:link w:val="En-tteCar"/>
    <w:uiPriority w:val="99"/>
    <w:unhideWhenUsed/>
    <w:rsid w:val="00FC7B47"/>
    <w:pPr>
      <w:tabs>
        <w:tab w:val="center" w:pos="4513"/>
        <w:tab w:val="right" w:pos="9026"/>
      </w:tabs>
    </w:pPr>
  </w:style>
  <w:style w:type="character" w:customStyle="1" w:styleId="En-tteCar">
    <w:name w:val="En-tête Car"/>
    <w:basedOn w:val="Policepardfaut"/>
    <w:link w:val="En-tte"/>
    <w:uiPriority w:val="99"/>
    <w:rsid w:val="00FC7B47"/>
    <w:rPr>
      <w:rFonts w:eastAsia="Times New Roman"/>
      <w:sz w:val="20"/>
    </w:rPr>
  </w:style>
  <w:style w:type="character" w:customStyle="1" w:styleId="UnresolvedMention2">
    <w:name w:val="Unresolved Mention2"/>
    <w:basedOn w:val="Policepardfaut"/>
    <w:uiPriority w:val="99"/>
    <w:semiHidden/>
    <w:unhideWhenUsed/>
    <w:rsid w:val="007333CC"/>
    <w:rPr>
      <w:color w:val="605E5C"/>
      <w:shd w:val="clear" w:color="auto" w:fill="E1DFDD"/>
    </w:rPr>
  </w:style>
  <w:style w:type="character" w:styleId="Lienhypertextesuivivisit">
    <w:name w:val="FollowedHyperlink"/>
    <w:basedOn w:val="Policepardfaut"/>
    <w:uiPriority w:val="99"/>
    <w:semiHidden/>
    <w:unhideWhenUsed/>
    <w:rsid w:val="00E6452F"/>
    <w:rPr>
      <w:color w:val="954F72" w:themeColor="followedHyperlink"/>
      <w:u w:val="single"/>
    </w:rPr>
  </w:style>
  <w:style w:type="character" w:styleId="lev">
    <w:name w:val="Strong"/>
    <w:basedOn w:val="Policepardfau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4694</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Inès Te</cp:lastModifiedBy>
  <cp:revision>347</cp:revision>
  <cp:lastPrinted>2019-08-27T05:42:00Z</cp:lastPrinted>
  <dcterms:created xsi:type="dcterms:W3CDTF">2022-07-01T09:50:00Z</dcterms:created>
  <dcterms:modified xsi:type="dcterms:W3CDTF">2023-02-28T21:47:00Z</dcterms:modified>
</cp:coreProperties>
</file>