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925C1">
        <w:rPr>
          <w:rFonts w:ascii="Avenir Next" w:hAnsi="Avenir Next" w:cs="Arial"/>
          <w:sz w:val="22"/>
          <w:szCs w:val="22"/>
          <w:lang w:val="en-GB"/>
        </w:rPr>
        <w:t>More often than not</w:t>
      </w:r>
      <w:proofErr w:type="gramEnd"/>
      <w:r w:rsidRPr="006925C1">
        <w:rPr>
          <w:rFonts w:ascii="Avenir Next" w:hAnsi="Avenir Next" w:cs="Arial"/>
          <w:sz w:val="22"/>
          <w:szCs w:val="22"/>
          <w:lang w:val="en-GB"/>
        </w:rPr>
        <w: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w:t>
      </w:r>
      <w:proofErr w:type="gramStart"/>
      <w:r w:rsidRPr="006925C1">
        <w:rPr>
          <w:rFonts w:ascii="Avenir Next" w:hAnsi="Avenir Next" w:cs="Arial"/>
          <w:sz w:val="22"/>
          <w:szCs w:val="22"/>
          <w:lang w:val="en-GB"/>
        </w:rPr>
        <w:t>in order to</w:t>
      </w:r>
      <w:proofErr w:type="gramEnd"/>
      <w:r w:rsidRPr="006925C1">
        <w:rPr>
          <w:rFonts w:ascii="Avenir Next" w:hAnsi="Avenir Next" w:cs="Arial"/>
          <w:sz w:val="22"/>
          <w:szCs w:val="22"/>
          <w:lang w:val="en-GB"/>
        </w:rPr>
        <w:t xml:space="preserve">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6925C1">
        <w:rPr>
          <w:rFonts w:ascii="Avenir Next" w:hAnsi="Avenir Next" w:cs="Arial"/>
          <w:sz w:val="22"/>
          <w:szCs w:val="22"/>
          <w:lang w:val="en-GB"/>
        </w:rPr>
        <w:lastRenderedPageBreak/>
        <w:t xml:space="preserve">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4609BC" w:rsidRDefault="00AE5B6F" w:rsidP="00B04033">
      <w:pPr>
        <w:pStyle w:val="ListParagraph"/>
        <w:numPr>
          <w:ilvl w:val="0"/>
          <w:numId w:val="1"/>
        </w:numPr>
        <w:ind w:left="426"/>
        <w:jc w:val="both"/>
        <w:rPr>
          <w:rFonts w:ascii="Avenir Next" w:hAnsi="Avenir Next" w:cs="Arial"/>
          <w:sz w:val="22"/>
          <w:szCs w:val="22"/>
          <w:highlight w:val="yellow"/>
          <w:lang w:val="en-GB"/>
        </w:rPr>
      </w:pPr>
      <w:r w:rsidRPr="004609BC">
        <w:rPr>
          <w:rFonts w:ascii="Avenir Next" w:hAnsi="Avenir Next" w:cs="Arial"/>
          <w:sz w:val="22"/>
          <w:szCs w:val="22"/>
          <w:highlight w:val="yellow"/>
          <w:lang w:val="en-GB"/>
        </w:rPr>
        <w:t>w</w:t>
      </w:r>
      <w:r w:rsidR="00C91062" w:rsidRPr="004609BC">
        <w:rPr>
          <w:rFonts w:ascii="Avenir Next" w:hAnsi="Avenir Next" w:cs="Arial"/>
          <w:sz w:val="22"/>
          <w:szCs w:val="22"/>
          <w:highlight w:val="yellow"/>
          <w:lang w:val="en-GB"/>
        </w:rPr>
        <w:t>ithin 8 weeks of the commencement of the administration</w:t>
      </w:r>
      <w:r w:rsidR="00763348" w:rsidRPr="004609BC">
        <w:rPr>
          <w:rFonts w:ascii="Avenir Next" w:hAnsi="Avenir Next" w:cs="Arial"/>
          <w:sz w:val="22"/>
          <w:szCs w:val="22"/>
          <w:highlight w:val="yellow"/>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207E2B" w:rsidRDefault="00E443D7" w:rsidP="00B04033">
      <w:pPr>
        <w:pStyle w:val="ListParagraph"/>
        <w:numPr>
          <w:ilvl w:val="0"/>
          <w:numId w:val="2"/>
        </w:numPr>
        <w:ind w:left="426"/>
        <w:jc w:val="both"/>
        <w:rPr>
          <w:rFonts w:ascii="Avenir Next" w:hAnsi="Avenir Next" w:cs="Arial"/>
          <w:sz w:val="22"/>
          <w:szCs w:val="22"/>
          <w:highlight w:val="yellow"/>
          <w:lang w:val="en-GB"/>
        </w:rPr>
      </w:pPr>
      <w:r w:rsidRPr="00207E2B">
        <w:rPr>
          <w:rFonts w:ascii="Avenir Next" w:hAnsi="Avenir Next" w:cs="Arial"/>
          <w:sz w:val="22"/>
          <w:szCs w:val="22"/>
          <w:highlight w:val="yellow"/>
          <w:lang w:val="en-GB"/>
        </w:rPr>
        <w:t>One year</w:t>
      </w:r>
      <w:r w:rsidR="00763348" w:rsidRPr="00207E2B">
        <w:rPr>
          <w:rFonts w:ascii="Avenir Next" w:hAnsi="Avenir Next" w:cs="Arial"/>
          <w:sz w:val="22"/>
          <w:szCs w:val="22"/>
          <w:highlight w:val="yellow"/>
          <w:lang w:val="en-GB"/>
        </w:rPr>
        <w:t>.</w:t>
      </w:r>
    </w:p>
    <w:p w14:paraId="4B34F8F8" w14:textId="09EADDC4" w:rsidR="005B79F4" w:rsidRDefault="005B79F4" w:rsidP="00C55824">
      <w:pPr>
        <w:ind w:left="66"/>
        <w:jc w:val="both"/>
        <w:rPr>
          <w:rFonts w:ascii="Avenir Next" w:hAnsi="Avenir Next" w:cs="Arial"/>
          <w:iCs/>
          <w:sz w:val="22"/>
          <w:szCs w:val="22"/>
          <w:lang w:val="en-GB"/>
        </w:rPr>
      </w:pPr>
    </w:p>
    <w:p w14:paraId="124A669F" w14:textId="4B4FA100" w:rsidR="0038410E" w:rsidRDefault="0038410E"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w:t>
      </w:r>
      <w:proofErr w:type="gramStart"/>
      <w:r w:rsidRPr="006925C1">
        <w:rPr>
          <w:rFonts w:ascii="Avenir Next" w:hAnsi="Avenir Next" w:cs="Arial"/>
          <w:sz w:val="22"/>
          <w:szCs w:val="22"/>
          <w:lang w:val="en-GB"/>
        </w:rPr>
        <w:t>enter into</w:t>
      </w:r>
      <w:proofErr w:type="gramEnd"/>
      <w:r w:rsidRPr="006925C1">
        <w:rPr>
          <w:rFonts w:ascii="Avenir Next" w:hAnsi="Avenir Next" w:cs="Arial"/>
          <w:sz w:val="22"/>
          <w:szCs w:val="22"/>
          <w:lang w:val="en-GB"/>
        </w:rPr>
        <w:t xml:space="preserve">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C21536" w:rsidRDefault="00AE5B6F" w:rsidP="00B04033">
      <w:pPr>
        <w:pStyle w:val="ListParagraph"/>
        <w:numPr>
          <w:ilvl w:val="0"/>
          <w:numId w:val="3"/>
        </w:numPr>
        <w:ind w:left="426"/>
        <w:jc w:val="both"/>
        <w:rPr>
          <w:rFonts w:ascii="Avenir Next" w:hAnsi="Avenir Next" w:cs="Arial"/>
          <w:sz w:val="22"/>
          <w:szCs w:val="22"/>
          <w:highlight w:val="yellow"/>
          <w:lang w:val="en-GB"/>
        </w:rPr>
      </w:pPr>
      <w:r w:rsidRPr="00C21536">
        <w:rPr>
          <w:rFonts w:ascii="Avenir Next" w:hAnsi="Avenir Next" w:cs="Arial"/>
          <w:sz w:val="22"/>
          <w:szCs w:val="22"/>
          <w:highlight w:val="yellow"/>
          <w:lang w:val="en-GB"/>
        </w:rPr>
        <w:t>T</w:t>
      </w:r>
      <w:r w:rsidR="008D1616" w:rsidRPr="00C21536">
        <w:rPr>
          <w:rFonts w:ascii="Avenir Next" w:hAnsi="Avenir Next" w:cs="Arial"/>
          <w:sz w:val="22"/>
          <w:szCs w:val="22"/>
          <w:highlight w:val="yellow"/>
          <w:lang w:val="en-GB"/>
        </w:rPr>
        <w:t>he company is, or is likely to become, unable to pay their debts, as defined under s</w:t>
      </w:r>
      <w:r w:rsidR="00E833F4" w:rsidRPr="00C21536">
        <w:rPr>
          <w:rFonts w:ascii="Avenir Next" w:hAnsi="Avenir Next" w:cs="Arial"/>
          <w:sz w:val="22"/>
          <w:szCs w:val="22"/>
          <w:highlight w:val="yellow"/>
          <w:lang w:val="en-GB"/>
        </w:rPr>
        <w:t>ection</w:t>
      </w:r>
      <w:r w:rsidR="008D1616" w:rsidRPr="00C21536">
        <w:rPr>
          <w:rFonts w:ascii="Avenir Next" w:hAnsi="Avenir Next" w:cs="Arial"/>
          <w:sz w:val="22"/>
          <w:szCs w:val="22"/>
          <w:highlight w:val="yellow"/>
          <w:lang w:val="en-GB"/>
        </w:rPr>
        <w:t xml:space="preserve"> 123 of the Insolvency Act 1986</w:t>
      </w:r>
      <w:r w:rsidR="00763348" w:rsidRPr="00C21536">
        <w:rPr>
          <w:rFonts w:ascii="Avenir Next" w:hAnsi="Avenir Next" w:cs="Arial"/>
          <w:sz w:val="22"/>
          <w:szCs w:val="22"/>
          <w:highlight w:val="yellow"/>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administrator</w:t>
      </w:r>
      <w:r w:rsidR="00763348" w:rsidRPr="006925C1">
        <w:rPr>
          <w:rFonts w:ascii="Avenir Next" w:hAnsi="Avenir Next" w:cs="Arial"/>
          <w:sz w:val="22"/>
          <w:szCs w:val="22"/>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212001" w:rsidRDefault="00C91062" w:rsidP="00B04033">
      <w:pPr>
        <w:pStyle w:val="ListParagraph"/>
        <w:numPr>
          <w:ilvl w:val="0"/>
          <w:numId w:val="4"/>
        </w:numPr>
        <w:ind w:left="426"/>
        <w:jc w:val="both"/>
        <w:rPr>
          <w:rFonts w:ascii="Avenir Next" w:hAnsi="Avenir Next" w:cs="Arial"/>
          <w:sz w:val="22"/>
          <w:szCs w:val="22"/>
          <w:lang w:val="en-GB"/>
        </w:rPr>
      </w:pPr>
      <w:r w:rsidRPr="00755C46">
        <w:rPr>
          <w:rFonts w:ascii="Avenir Next" w:hAnsi="Avenir Next" w:cs="Arial"/>
          <w:sz w:val="22"/>
          <w:szCs w:val="22"/>
          <w:highlight w:val="yellow"/>
          <w:lang w:val="en-GB"/>
        </w:rPr>
        <w:t>The purchaser</w:t>
      </w:r>
      <w:r w:rsidR="00763348" w:rsidRPr="00755C46">
        <w:rPr>
          <w:rFonts w:ascii="Avenir Next" w:hAnsi="Avenir Next" w:cs="Arial"/>
          <w:sz w:val="22"/>
          <w:szCs w:val="22"/>
          <w:highlight w:val="yellow"/>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541795" w:rsidRDefault="00BA1CFD" w:rsidP="00B04033">
      <w:pPr>
        <w:pStyle w:val="ListParagraph"/>
        <w:numPr>
          <w:ilvl w:val="0"/>
          <w:numId w:val="5"/>
        </w:numPr>
        <w:ind w:left="426"/>
        <w:jc w:val="both"/>
        <w:rPr>
          <w:rFonts w:ascii="Avenir Next" w:hAnsi="Avenir Next" w:cs="Arial"/>
          <w:sz w:val="22"/>
          <w:szCs w:val="22"/>
          <w:highlight w:val="yellow"/>
          <w:lang w:val="en-GB"/>
        </w:rPr>
      </w:pPr>
      <w:r w:rsidRPr="00541795">
        <w:rPr>
          <w:rFonts w:ascii="Avenir Next" w:hAnsi="Avenir Next" w:cs="Arial"/>
          <w:sz w:val="22"/>
          <w:szCs w:val="22"/>
          <w:highlight w:val="yellow"/>
          <w:lang w:val="en-GB"/>
        </w:rPr>
        <w:t>Administration</w:t>
      </w:r>
      <w:r w:rsidR="00763348" w:rsidRPr="00541795">
        <w:rPr>
          <w:rFonts w:ascii="Avenir Next" w:hAnsi="Avenir Next" w:cs="Arial"/>
          <w:sz w:val="22"/>
          <w:szCs w:val="22"/>
          <w:highlight w:val="yellow"/>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7C11FE3C" w14:textId="2731060C" w:rsidR="005B79F4" w:rsidRDefault="005B79F4" w:rsidP="00C55824">
      <w:pPr>
        <w:autoSpaceDE w:val="0"/>
        <w:autoSpaceDN w:val="0"/>
        <w:adjustRightInd w:val="0"/>
        <w:jc w:val="both"/>
        <w:rPr>
          <w:rFonts w:ascii="Avenir Next" w:hAnsi="Avenir Next" w:cs="Arial"/>
          <w:sz w:val="22"/>
          <w:szCs w:val="22"/>
        </w:rPr>
      </w:pPr>
    </w:p>
    <w:p w14:paraId="1EC1D21B" w14:textId="0CA614D4" w:rsidR="0038410E"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4E00CD" w:rsidRDefault="001F3C98" w:rsidP="00B04033">
      <w:pPr>
        <w:pStyle w:val="ListParagraph"/>
        <w:numPr>
          <w:ilvl w:val="0"/>
          <w:numId w:val="6"/>
        </w:numPr>
        <w:ind w:left="426"/>
        <w:jc w:val="both"/>
        <w:rPr>
          <w:rFonts w:ascii="Avenir Next" w:hAnsi="Avenir Next" w:cs="Arial"/>
          <w:sz w:val="22"/>
          <w:szCs w:val="22"/>
          <w:highlight w:val="yellow"/>
          <w:lang w:val="en-GB"/>
        </w:rPr>
      </w:pPr>
      <w:r w:rsidRPr="004E00CD">
        <w:rPr>
          <w:rFonts w:ascii="Avenir Next" w:hAnsi="Avenir Next" w:cs="Arial"/>
          <w:sz w:val="22"/>
          <w:szCs w:val="22"/>
          <w:highlight w:val="yellow"/>
          <w:lang w:val="en-GB"/>
        </w:rPr>
        <w:t xml:space="preserve">GBP </w:t>
      </w:r>
      <w:r w:rsidR="00BA1CFD" w:rsidRPr="004E00CD">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proofErr w:type="gramStart"/>
      <w:r w:rsidRPr="006925C1">
        <w:rPr>
          <w:rFonts w:ascii="Avenir Next" w:hAnsi="Avenir Next" w:cs="Arial"/>
          <w:sz w:val="22"/>
          <w:szCs w:val="22"/>
          <w:lang w:val="en-GB"/>
        </w:rPr>
        <w:t>, in itself, a</w:t>
      </w:r>
      <w:proofErr w:type="gramEnd"/>
      <w:r w:rsidRPr="006925C1">
        <w:rPr>
          <w:rFonts w:ascii="Avenir Next" w:hAnsi="Avenir Next" w:cs="Arial"/>
          <w:sz w:val="22"/>
          <w:szCs w:val="22"/>
          <w:lang w:val="en-GB"/>
        </w:rPr>
        <w:t xml:space="preserve">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Wrongful trading</w:t>
      </w:r>
      <w:r w:rsidR="00763348" w:rsidRPr="006925C1">
        <w:rPr>
          <w:rFonts w:ascii="Avenir Next" w:hAnsi="Avenir Next" w:cs="Arial"/>
          <w:sz w:val="22"/>
          <w:szCs w:val="22"/>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9F3643" w:rsidRDefault="00BA1CFD" w:rsidP="00B04033">
      <w:pPr>
        <w:pStyle w:val="ListParagraph"/>
        <w:numPr>
          <w:ilvl w:val="0"/>
          <w:numId w:val="7"/>
        </w:numPr>
        <w:ind w:left="426"/>
        <w:jc w:val="both"/>
        <w:rPr>
          <w:rFonts w:ascii="Avenir Next" w:hAnsi="Avenir Next" w:cs="Arial"/>
          <w:sz w:val="22"/>
          <w:szCs w:val="22"/>
          <w:highlight w:val="yellow"/>
          <w:lang w:val="en-GB"/>
        </w:rPr>
      </w:pPr>
      <w:r w:rsidRPr="009F3643">
        <w:rPr>
          <w:rFonts w:ascii="Avenir Next" w:hAnsi="Avenir Next" w:cs="Arial"/>
          <w:sz w:val="22"/>
          <w:szCs w:val="22"/>
          <w:highlight w:val="yellow"/>
          <w:lang w:val="en-GB"/>
        </w:rPr>
        <w:t>Breach of fiduciary duty</w:t>
      </w:r>
      <w:r w:rsidR="00763348" w:rsidRPr="009F3643">
        <w:rPr>
          <w:rFonts w:ascii="Avenir Next" w:hAnsi="Avenir Next" w:cs="Arial"/>
          <w:sz w:val="22"/>
          <w:szCs w:val="22"/>
          <w:highlight w:val="yellow"/>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overseas</w:t>
      </w:r>
      <w:r w:rsidR="00763348" w:rsidRPr="006925C1">
        <w:rPr>
          <w:rFonts w:ascii="Avenir Next" w:hAnsi="Avenir Next" w:cs="Arial"/>
          <w:sz w:val="22"/>
          <w:szCs w:val="22"/>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whether or not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837B3B" w:rsidRDefault="00876F56" w:rsidP="00B04033">
      <w:pPr>
        <w:pStyle w:val="ListParagraph"/>
        <w:numPr>
          <w:ilvl w:val="0"/>
          <w:numId w:val="8"/>
        </w:numPr>
        <w:ind w:left="426"/>
        <w:jc w:val="both"/>
        <w:rPr>
          <w:rFonts w:ascii="Avenir Next" w:hAnsi="Avenir Next" w:cs="Arial"/>
          <w:sz w:val="22"/>
          <w:szCs w:val="22"/>
          <w:highlight w:val="yellow"/>
          <w:lang w:val="en-GB"/>
        </w:rPr>
      </w:pPr>
      <w:r w:rsidRPr="00837B3B">
        <w:rPr>
          <w:rFonts w:ascii="Avenir Next" w:hAnsi="Avenir Next" w:cs="Arial"/>
          <w:sz w:val="22"/>
          <w:szCs w:val="22"/>
          <w:highlight w:val="yellow"/>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4A89722F" w14:textId="7C06ADE3" w:rsidR="005B79F4" w:rsidRDefault="005B79F4" w:rsidP="00C55824">
      <w:pPr>
        <w:jc w:val="both"/>
        <w:rPr>
          <w:rFonts w:ascii="Avenir Next" w:eastAsiaTheme="minorHAnsi" w:hAnsi="Avenir Next" w:cs="Arial"/>
          <w:sz w:val="22"/>
          <w:szCs w:val="22"/>
          <w:lang w:val="en-GB"/>
        </w:rPr>
      </w:pPr>
    </w:p>
    <w:p w14:paraId="2749D13B" w14:textId="55EC9056" w:rsidR="001F3C98" w:rsidRDefault="001F3C98" w:rsidP="00C55824">
      <w:pPr>
        <w:jc w:val="both"/>
        <w:rPr>
          <w:rFonts w:ascii="Avenir Next" w:eastAsiaTheme="minorHAnsi" w:hAnsi="Avenir Next" w:cs="Arial"/>
          <w:sz w:val="22"/>
          <w:szCs w:val="22"/>
          <w:lang w:val="en-GB"/>
        </w:rPr>
      </w:pPr>
    </w:p>
    <w:p w14:paraId="6F6A0D27" w14:textId="5287902C" w:rsidR="001F3C98" w:rsidRDefault="001F3C98" w:rsidP="00C55824">
      <w:pPr>
        <w:jc w:val="both"/>
        <w:rPr>
          <w:rFonts w:ascii="Avenir Next" w:eastAsiaTheme="minorHAnsi" w:hAnsi="Avenir Next" w:cs="Arial"/>
          <w:sz w:val="22"/>
          <w:szCs w:val="22"/>
          <w:lang w:val="en-GB"/>
        </w:rPr>
      </w:pPr>
    </w:p>
    <w:p w14:paraId="35B2BD54" w14:textId="77777777"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212001" w:rsidRDefault="00E833F4" w:rsidP="00B04033">
      <w:pPr>
        <w:pStyle w:val="ListParagraph"/>
        <w:numPr>
          <w:ilvl w:val="0"/>
          <w:numId w:val="9"/>
        </w:numPr>
        <w:ind w:left="426"/>
        <w:jc w:val="both"/>
        <w:rPr>
          <w:rFonts w:ascii="Avenir Next" w:hAnsi="Avenir Next" w:cs="Arial"/>
          <w:sz w:val="22"/>
          <w:szCs w:val="22"/>
          <w:lang w:val="en-GB"/>
        </w:rPr>
      </w:pPr>
      <w:r w:rsidRPr="00212001">
        <w:rPr>
          <w:rFonts w:ascii="Avenir Next" w:hAnsi="Avenir Next" w:cs="Arial"/>
          <w:sz w:val="22"/>
          <w:szCs w:val="22"/>
          <w:lang w:val="en-GB"/>
        </w:rPr>
        <w:t>A</w:t>
      </w:r>
      <w:r w:rsidR="000D10C6" w:rsidRPr="00212001">
        <w:rPr>
          <w:rFonts w:ascii="Avenir Next" w:hAnsi="Avenir Next" w:cs="Arial"/>
          <w:sz w:val="22"/>
          <w:szCs w:val="22"/>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ListParagraph"/>
        <w:ind w:left="426"/>
        <w:jc w:val="both"/>
        <w:rPr>
          <w:rFonts w:ascii="Avenir Next" w:hAnsi="Avenir Next" w:cs="Arial"/>
          <w:sz w:val="22"/>
          <w:szCs w:val="22"/>
          <w:lang w:val="en-GB"/>
        </w:rPr>
      </w:pPr>
    </w:p>
    <w:p w14:paraId="564FBFE2" w14:textId="18CB27BC" w:rsidR="000D10C6" w:rsidRPr="00146F5C" w:rsidRDefault="000D10C6" w:rsidP="00AE5B6F">
      <w:pPr>
        <w:pStyle w:val="ListParagraph"/>
        <w:numPr>
          <w:ilvl w:val="0"/>
          <w:numId w:val="9"/>
        </w:numPr>
        <w:ind w:left="426"/>
        <w:jc w:val="both"/>
        <w:rPr>
          <w:rFonts w:ascii="Avenir Next" w:hAnsi="Avenir Next" w:cs="Arial"/>
          <w:sz w:val="22"/>
          <w:szCs w:val="22"/>
          <w:highlight w:val="yellow"/>
          <w:lang w:val="en-GB"/>
        </w:rPr>
      </w:pPr>
      <w:r w:rsidRPr="00146F5C">
        <w:rPr>
          <w:rFonts w:ascii="Avenir Next" w:hAnsi="Avenir Next" w:cs="Arial"/>
          <w:sz w:val="22"/>
          <w:szCs w:val="22"/>
          <w:highlight w:val="yellow"/>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 xml:space="preserve">for what </w:t>
      </w:r>
      <w:proofErr w:type="gramStart"/>
      <w:r w:rsidR="0020204E" w:rsidRPr="00A84235">
        <w:rPr>
          <w:rFonts w:ascii="Avenir Next Demi Bold" w:hAnsi="Avenir Next Demi Bold" w:cs="Arial"/>
          <w:b/>
          <w:bCs/>
          <w:sz w:val="22"/>
          <w:szCs w:val="22"/>
          <w:u w:val="single"/>
          <w:lang w:val="en-GB"/>
        </w:rPr>
        <w:t>period of time</w:t>
      </w:r>
      <w:proofErr w:type="gramEnd"/>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ListParagraph"/>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B63A17" w:rsidRDefault="0020204E" w:rsidP="00B04033">
      <w:pPr>
        <w:pStyle w:val="ListParagraph"/>
        <w:numPr>
          <w:ilvl w:val="0"/>
          <w:numId w:val="10"/>
        </w:numPr>
        <w:ind w:left="426"/>
        <w:jc w:val="both"/>
        <w:rPr>
          <w:rFonts w:ascii="Avenir Next" w:hAnsi="Avenir Next" w:cs="Arial"/>
          <w:sz w:val="22"/>
          <w:szCs w:val="22"/>
          <w:highlight w:val="yellow"/>
          <w:lang w:val="en-GB"/>
        </w:rPr>
      </w:pPr>
      <w:r w:rsidRPr="00B63A17">
        <w:rPr>
          <w:rFonts w:ascii="Avenir Next" w:hAnsi="Avenir Next" w:cs="Arial"/>
          <w:sz w:val="22"/>
          <w:szCs w:val="22"/>
          <w:highlight w:val="yellow"/>
          <w:lang w:val="en-GB"/>
        </w:rPr>
        <w:t>12 months</w:t>
      </w:r>
      <w:r w:rsidR="00763348" w:rsidRPr="00B63A17">
        <w:rPr>
          <w:rFonts w:ascii="Avenir Next" w:hAnsi="Avenir Next" w:cs="Arial"/>
          <w:sz w:val="22"/>
          <w:szCs w:val="22"/>
          <w:highlight w:val="yellow"/>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212001" w:rsidRDefault="0020204E" w:rsidP="00B04033">
      <w:pPr>
        <w:pStyle w:val="ListParagraph"/>
        <w:numPr>
          <w:ilvl w:val="0"/>
          <w:numId w:val="10"/>
        </w:numPr>
        <w:ind w:left="426"/>
        <w:jc w:val="both"/>
        <w:rPr>
          <w:rFonts w:ascii="Avenir Next" w:hAnsi="Avenir Next" w:cs="Arial"/>
          <w:sz w:val="22"/>
          <w:szCs w:val="22"/>
          <w:lang w:val="en-GB"/>
        </w:rPr>
      </w:pPr>
      <w:r w:rsidRPr="00212001">
        <w:rPr>
          <w:rFonts w:ascii="Avenir Next" w:hAnsi="Avenir Next" w:cs="Arial"/>
          <w:sz w:val="22"/>
          <w:szCs w:val="22"/>
          <w:lang w:val="en-GB"/>
        </w:rPr>
        <w:lastRenderedPageBreak/>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3BBFAC96" w14:textId="77777777" w:rsidR="0020090A" w:rsidRPr="006925C1" w:rsidRDefault="0020090A" w:rsidP="002A37BB">
      <w:pPr>
        <w:ind w:left="720" w:hanging="720"/>
        <w:jc w:val="both"/>
        <w:rPr>
          <w:rFonts w:ascii="Avenir Next" w:hAnsi="Avenir Next" w:cs="Arial"/>
          <w:sz w:val="22"/>
          <w:szCs w:val="22"/>
          <w:lang w:val="en-GB"/>
        </w:rPr>
      </w:pPr>
    </w:p>
    <w:p w14:paraId="7061C9D6" w14:textId="30C92D35" w:rsidR="00AE5B6F" w:rsidRDefault="00706DC4" w:rsidP="006624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section 434 of the Insolvency Act 1986</w:t>
      </w:r>
      <w:r w:rsidR="000D55D1">
        <w:rPr>
          <w:rFonts w:ascii="Avenir Next" w:hAnsi="Avenir Next" w:cs="Arial"/>
          <w:color w:val="808080" w:themeColor="background1" w:themeShade="80"/>
          <w:sz w:val="22"/>
          <w:szCs w:val="22"/>
          <w:lang w:val="en-GB"/>
        </w:rPr>
        <w:t xml:space="preserve">, (a) where the company is being would up/is in administration, the official receiver, liquidator, administrator and/or (with leave of the court) any victim of the transaction; (b) where a victim is bound by a creditor voluntary arrangement (“CVA”), the supervisor of the CVA or any victim of the transaction (whether bound by the CVA or note; or (c) in any other case, by a victim of the transaction, may bring an action to attack a transaction designed to defraud creditors. </w:t>
      </w:r>
    </w:p>
    <w:p w14:paraId="36DA4509" w14:textId="6E97314D" w:rsidR="000D55D1" w:rsidRDefault="000D55D1" w:rsidP="006624AB">
      <w:pPr>
        <w:jc w:val="both"/>
        <w:rPr>
          <w:rFonts w:ascii="Avenir Next" w:hAnsi="Avenir Next" w:cs="Arial"/>
          <w:color w:val="808080" w:themeColor="background1" w:themeShade="80"/>
          <w:sz w:val="22"/>
          <w:szCs w:val="22"/>
          <w:lang w:val="en-GB"/>
        </w:rPr>
      </w:pPr>
    </w:p>
    <w:p w14:paraId="6C90E935" w14:textId="412482C6" w:rsidR="00696A50" w:rsidRDefault="000D55D1" w:rsidP="006624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section 6</w:t>
      </w:r>
      <w:r w:rsidR="00874429">
        <w:rPr>
          <w:rFonts w:ascii="Avenir Next" w:hAnsi="Avenir Next" w:cs="Arial"/>
          <w:color w:val="808080" w:themeColor="background1" w:themeShade="80"/>
          <w:sz w:val="22"/>
          <w:szCs w:val="22"/>
          <w:lang w:val="en-GB"/>
        </w:rPr>
        <w:t xml:space="preserve"> of the </w:t>
      </w:r>
      <w:r w:rsidR="00874429" w:rsidRPr="00874429">
        <w:rPr>
          <w:rFonts w:ascii="Avenir Next" w:hAnsi="Avenir Next" w:cs="Arial"/>
          <w:color w:val="808080" w:themeColor="background1" w:themeShade="80"/>
          <w:sz w:val="22"/>
          <w:szCs w:val="22"/>
          <w:lang w:val="en-GB"/>
        </w:rPr>
        <w:t>Company Directors Disqualification Act 1986</w:t>
      </w:r>
      <w:r w:rsidR="00696A50">
        <w:rPr>
          <w:rFonts w:ascii="Avenir Next" w:hAnsi="Avenir Next" w:cs="Arial"/>
          <w:color w:val="808080" w:themeColor="background1" w:themeShade="80"/>
          <w:sz w:val="22"/>
          <w:szCs w:val="22"/>
          <w:lang w:val="en-GB"/>
        </w:rPr>
        <w:t xml:space="preserve">, an application for a disqualification order against a director may be made either by (a) the Secretary of State, or (b) in the case of a person who is or has been a director of a company that is being, or has been, wound up by the court, and if the Secretary of State so directs, the official receiver. </w:t>
      </w:r>
    </w:p>
    <w:p w14:paraId="30B9CB9C" w14:textId="62C4E5CE" w:rsidR="00874429" w:rsidRDefault="00874429" w:rsidP="006624AB">
      <w:pPr>
        <w:jc w:val="both"/>
        <w:rPr>
          <w:rFonts w:ascii="Avenir Next" w:hAnsi="Avenir Next" w:cs="Arial"/>
          <w:color w:val="808080" w:themeColor="background1" w:themeShade="80"/>
          <w:sz w:val="22"/>
          <w:szCs w:val="22"/>
          <w:lang w:val="en-GB"/>
        </w:rPr>
      </w:pPr>
    </w:p>
    <w:p w14:paraId="1D9715DD" w14:textId="5E2E3A90" w:rsidR="00696A50" w:rsidRDefault="00874429" w:rsidP="006624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section 246ZB of the Insolvency Act 1986,</w:t>
      </w:r>
      <w:r w:rsidR="007D5AC3">
        <w:rPr>
          <w:rFonts w:ascii="Avenir Next" w:hAnsi="Avenir Next" w:cs="Arial"/>
          <w:color w:val="808080" w:themeColor="background1" w:themeShade="80"/>
          <w:sz w:val="22"/>
          <w:szCs w:val="22"/>
          <w:lang w:val="en-GB"/>
        </w:rPr>
        <w:t xml:space="preserve"> an action against a director</w:t>
      </w:r>
      <w:r w:rsidR="00C3347F">
        <w:rPr>
          <w:rFonts w:ascii="Avenir Next" w:hAnsi="Avenir Next" w:cs="Arial"/>
          <w:color w:val="808080" w:themeColor="background1" w:themeShade="80"/>
          <w:sz w:val="22"/>
          <w:szCs w:val="22"/>
          <w:lang w:val="en-GB"/>
        </w:rPr>
        <w:t xml:space="preserve"> of a company in administration</w:t>
      </w:r>
      <w:r w:rsidR="007D5AC3">
        <w:rPr>
          <w:rFonts w:ascii="Avenir Next" w:hAnsi="Avenir Next" w:cs="Arial"/>
          <w:color w:val="808080" w:themeColor="background1" w:themeShade="80"/>
          <w:sz w:val="22"/>
          <w:szCs w:val="22"/>
          <w:lang w:val="en-GB"/>
        </w:rPr>
        <w:t xml:space="preserve"> i</w:t>
      </w:r>
      <w:r w:rsidR="00C3347F">
        <w:rPr>
          <w:rFonts w:ascii="Avenir Next" w:hAnsi="Avenir Next" w:cs="Arial"/>
          <w:color w:val="808080" w:themeColor="background1" w:themeShade="80"/>
          <w:sz w:val="22"/>
          <w:szCs w:val="22"/>
          <w:lang w:val="en-GB"/>
        </w:rPr>
        <w:t xml:space="preserve">n respect of wrongful trading must be made by the administrator. </w:t>
      </w:r>
    </w:p>
    <w:p w14:paraId="3CD807C4" w14:textId="77777777" w:rsidR="00696A50" w:rsidRDefault="00696A50" w:rsidP="006624AB">
      <w:pPr>
        <w:jc w:val="both"/>
        <w:rPr>
          <w:rFonts w:ascii="Avenir Next" w:hAnsi="Avenir Next" w:cs="Arial"/>
          <w:color w:val="808080" w:themeColor="background1" w:themeShade="80"/>
          <w:sz w:val="22"/>
          <w:szCs w:val="22"/>
          <w:lang w:val="en-GB"/>
        </w:rPr>
      </w:pPr>
    </w:p>
    <w:p w14:paraId="1D7FC15C" w14:textId="77777777" w:rsidR="00696A50" w:rsidRDefault="00696A50" w:rsidP="006624AB">
      <w:pPr>
        <w:jc w:val="both"/>
        <w:rPr>
          <w:rFonts w:ascii="Avenir Next" w:hAnsi="Avenir Next" w:cs="Arial"/>
          <w:color w:val="808080" w:themeColor="background1" w:themeShade="80"/>
          <w:sz w:val="22"/>
          <w:szCs w:val="22"/>
          <w:lang w:val="en-GB"/>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1D745CDB" w14:textId="72ECA209" w:rsidR="00EA3B38" w:rsidRDefault="00DA6A17"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following 5 debts do not form part of the payment holiday under Part A1 of the Insolvency Act 1986 when a company is subject to a Moratorium: </w:t>
      </w:r>
    </w:p>
    <w:p w14:paraId="7B112BD3" w14:textId="624E0A5E" w:rsidR="00DA6A17" w:rsidRDefault="00434950" w:rsidP="00DA6A17">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Amounts payable in respect of goods or services supplied during the Moratorium; </w:t>
      </w:r>
    </w:p>
    <w:p w14:paraId="66F0A3D1" w14:textId="5FF6E39A" w:rsidR="00434950" w:rsidRDefault="00434950" w:rsidP="00DA6A17">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Rent in respect of a period during the </w:t>
      </w:r>
      <w:proofErr w:type="gramStart"/>
      <w:r>
        <w:rPr>
          <w:rFonts w:ascii="Avenir Next" w:hAnsi="Avenir Next" w:cs="Arial"/>
          <w:color w:val="808080" w:themeColor="background1" w:themeShade="80"/>
          <w:sz w:val="22"/>
          <w:szCs w:val="22"/>
        </w:rPr>
        <w:t>Moratorium;</w:t>
      </w:r>
      <w:proofErr w:type="gramEnd"/>
      <w:r>
        <w:rPr>
          <w:rFonts w:ascii="Avenir Next" w:hAnsi="Avenir Next" w:cs="Arial"/>
          <w:color w:val="808080" w:themeColor="background1" w:themeShade="80"/>
          <w:sz w:val="22"/>
          <w:szCs w:val="22"/>
        </w:rPr>
        <w:t xml:space="preserve"> </w:t>
      </w:r>
    </w:p>
    <w:p w14:paraId="1D8678DE" w14:textId="124661D4" w:rsidR="00434950" w:rsidRDefault="00434950" w:rsidP="00DA6A17">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Redundancy </w:t>
      </w:r>
      <w:proofErr w:type="gramStart"/>
      <w:r>
        <w:rPr>
          <w:rFonts w:ascii="Avenir Next" w:hAnsi="Avenir Next" w:cs="Arial"/>
          <w:color w:val="808080" w:themeColor="background1" w:themeShade="80"/>
          <w:sz w:val="22"/>
          <w:szCs w:val="22"/>
        </w:rPr>
        <w:t>payments;</w:t>
      </w:r>
      <w:proofErr w:type="gramEnd"/>
      <w:r>
        <w:rPr>
          <w:rFonts w:ascii="Avenir Next" w:hAnsi="Avenir Next" w:cs="Arial"/>
          <w:color w:val="808080" w:themeColor="background1" w:themeShade="80"/>
          <w:sz w:val="22"/>
          <w:szCs w:val="22"/>
        </w:rPr>
        <w:t xml:space="preserve"> </w:t>
      </w:r>
    </w:p>
    <w:p w14:paraId="3123AA67" w14:textId="7BDB6900" w:rsidR="00434950" w:rsidRDefault="00434950" w:rsidP="00DA6A17">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monitor’s remuneration and expenses; and </w:t>
      </w:r>
    </w:p>
    <w:p w14:paraId="2B583012" w14:textId="01D86639" w:rsidR="00434950" w:rsidRPr="00DA6A17" w:rsidRDefault="00434950" w:rsidP="00DA6A17">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Debts or liabilities arising under a contract/other instrument involving “financial services”</w:t>
      </w:r>
      <w:r w:rsidR="00BB3D55">
        <w:rPr>
          <w:rFonts w:ascii="Avenir Next" w:hAnsi="Avenir Next" w:cs="Arial"/>
          <w:color w:val="808080" w:themeColor="background1" w:themeShade="80"/>
          <w:sz w:val="22"/>
          <w:szCs w:val="22"/>
        </w:rPr>
        <w:t xml:space="preserve">, which includes a contract consisting of lending, financial leasing or providing guarantees. </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25C1" w:rsidRDefault="00241FA3" w:rsidP="002A37BB">
      <w:pPr>
        <w:jc w:val="both"/>
        <w:rPr>
          <w:rFonts w:ascii="Avenir Next" w:hAnsi="Avenir Next" w:cs="Arial"/>
          <w:sz w:val="22"/>
          <w:szCs w:val="22"/>
        </w:rPr>
      </w:pPr>
    </w:p>
    <w:p w14:paraId="0770EFD5" w14:textId="7951B8E4" w:rsidR="00EA3B38" w:rsidRDefault="00E54E1D"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w:t>
      </w:r>
      <w:r w:rsidR="004A7775">
        <w:rPr>
          <w:rFonts w:ascii="Avenir Next" w:hAnsi="Avenir Next" w:cs="Arial"/>
          <w:color w:val="808080" w:themeColor="background1" w:themeShade="80"/>
          <w:sz w:val="22"/>
          <w:szCs w:val="22"/>
        </w:rPr>
        <w:t>effect</w:t>
      </w:r>
      <w:r>
        <w:rPr>
          <w:rFonts w:ascii="Avenir Next" w:hAnsi="Avenir Next" w:cs="Arial"/>
          <w:color w:val="808080" w:themeColor="background1" w:themeShade="80"/>
          <w:sz w:val="22"/>
          <w:szCs w:val="22"/>
        </w:rPr>
        <w:t xml:space="preserve">, yes. </w:t>
      </w:r>
      <w:r w:rsidR="006523DF">
        <w:rPr>
          <w:rFonts w:ascii="Avenir Next" w:hAnsi="Avenir Next" w:cs="Arial"/>
          <w:color w:val="808080" w:themeColor="background1" w:themeShade="80"/>
          <w:sz w:val="22"/>
          <w:szCs w:val="22"/>
        </w:rPr>
        <w:t>An administrator will generally need to obtain, or retain, essential supplies and goods and services, and the prospect of contracting with an insolvent company is not always a</w:t>
      </w:r>
      <w:r w:rsidR="00247154">
        <w:rPr>
          <w:rFonts w:ascii="Avenir Next" w:hAnsi="Avenir Next" w:cs="Arial"/>
          <w:color w:val="808080" w:themeColor="background1" w:themeShade="80"/>
          <w:sz w:val="22"/>
          <w:szCs w:val="22"/>
        </w:rPr>
        <w:t>n</w:t>
      </w:r>
      <w:r w:rsidR="006523DF">
        <w:rPr>
          <w:rFonts w:ascii="Avenir Next" w:hAnsi="Avenir Next" w:cs="Arial"/>
          <w:color w:val="808080" w:themeColor="background1" w:themeShade="80"/>
          <w:sz w:val="22"/>
          <w:szCs w:val="22"/>
        </w:rPr>
        <w:t xml:space="preserve"> encouraging one. </w:t>
      </w:r>
      <w:r w:rsidR="00CC491D">
        <w:rPr>
          <w:rFonts w:ascii="Avenir Next" w:hAnsi="Avenir Next" w:cs="Arial"/>
          <w:color w:val="808080" w:themeColor="background1" w:themeShade="80"/>
          <w:sz w:val="22"/>
          <w:szCs w:val="22"/>
        </w:rPr>
        <w:t>To combat this, b</w:t>
      </w:r>
      <w:r w:rsidR="006523DF">
        <w:rPr>
          <w:rFonts w:ascii="Avenir Next" w:hAnsi="Avenir Next" w:cs="Arial"/>
          <w:color w:val="808080" w:themeColor="background1" w:themeShade="80"/>
          <w:sz w:val="22"/>
          <w:szCs w:val="22"/>
        </w:rPr>
        <w:t>y section 233 of the Insolvency Act</w:t>
      </w:r>
      <w:r w:rsidR="00F129A0">
        <w:rPr>
          <w:rFonts w:ascii="Avenir Next" w:hAnsi="Avenir Next" w:cs="Arial"/>
          <w:color w:val="808080" w:themeColor="background1" w:themeShade="80"/>
          <w:sz w:val="22"/>
          <w:szCs w:val="22"/>
        </w:rPr>
        <w:t xml:space="preserve">, if a request is made by an administrator for </w:t>
      </w:r>
      <w:r w:rsidR="00F129A0">
        <w:rPr>
          <w:rFonts w:ascii="Avenir Next" w:hAnsi="Avenir Next" w:cs="Arial"/>
          <w:color w:val="808080" w:themeColor="background1" w:themeShade="80"/>
          <w:sz w:val="22"/>
          <w:szCs w:val="22"/>
        </w:rPr>
        <w:lastRenderedPageBreak/>
        <w:t xml:space="preserve">the giving </w:t>
      </w:r>
      <w:r w:rsidR="00A03E82">
        <w:rPr>
          <w:rFonts w:ascii="Avenir Next" w:hAnsi="Avenir Next" w:cs="Arial"/>
          <w:color w:val="808080" w:themeColor="background1" w:themeShade="80"/>
          <w:sz w:val="22"/>
          <w:szCs w:val="22"/>
        </w:rPr>
        <w:t>of the essential supplies mentioned in section 233(3)</w:t>
      </w:r>
      <w:r w:rsidR="00CC491D">
        <w:rPr>
          <w:rFonts w:ascii="Avenir Next" w:hAnsi="Avenir Next" w:cs="Arial"/>
          <w:color w:val="808080" w:themeColor="background1" w:themeShade="80"/>
          <w:sz w:val="22"/>
          <w:szCs w:val="22"/>
        </w:rPr>
        <w:t xml:space="preserve"> (which includes </w:t>
      </w:r>
      <w:r w:rsidR="00A5376C">
        <w:rPr>
          <w:rFonts w:ascii="Avenir Next" w:hAnsi="Avenir Next" w:cs="Arial"/>
          <w:color w:val="808080" w:themeColor="background1" w:themeShade="80"/>
          <w:sz w:val="22"/>
          <w:szCs w:val="22"/>
        </w:rPr>
        <w:t>gas, electricity, water and communication services)</w:t>
      </w:r>
      <w:r w:rsidR="00A03E82">
        <w:rPr>
          <w:rFonts w:ascii="Avenir Next" w:hAnsi="Avenir Next" w:cs="Arial"/>
          <w:color w:val="808080" w:themeColor="background1" w:themeShade="80"/>
          <w:sz w:val="22"/>
          <w:szCs w:val="22"/>
        </w:rPr>
        <w:t xml:space="preserve">, the supplier </w:t>
      </w:r>
      <w:r w:rsidR="00A5376C">
        <w:rPr>
          <w:rFonts w:ascii="Avenir Next" w:hAnsi="Avenir Next" w:cs="Arial"/>
          <w:color w:val="808080" w:themeColor="background1" w:themeShade="80"/>
          <w:sz w:val="22"/>
          <w:szCs w:val="22"/>
        </w:rPr>
        <w:t xml:space="preserve">is not permitted to require payment of outstanding debts owed in order to secure new, or continue to provide, the essential service to the company in administration. </w:t>
      </w:r>
      <w:r w:rsidR="004A7775">
        <w:rPr>
          <w:rFonts w:ascii="Avenir Next" w:hAnsi="Avenir Next" w:cs="Arial"/>
          <w:color w:val="808080" w:themeColor="background1" w:themeShade="80"/>
          <w:sz w:val="22"/>
          <w:szCs w:val="22"/>
        </w:rPr>
        <w:t>Moreover, section 223A of the Insolvency Act prevents a supplier of such services from relying up an “insolvency-related term” in a contract of supply</w:t>
      </w:r>
      <w:r w:rsidR="001359EF">
        <w:rPr>
          <w:rFonts w:ascii="Avenir Next" w:hAnsi="Avenir Next" w:cs="Arial"/>
          <w:color w:val="808080" w:themeColor="background1" w:themeShade="80"/>
          <w:sz w:val="22"/>
          <w:szCs w:val="22"/>
        </w:rPr>
        <w:t xml:space="preserve">, </w:t>
      </w:r>
      <w:r w:rsidR="003C5D0F">
        <w:rPr>
          <w:rFonts w:ascii="Avenir Next" w:hAnsi="Avenir Next" w:cs="Arial"/>
          <w:color w:val="808080" w:themeColor="background1" w:themeShade="80"/>
          <w:sz w:val="22"/>
          <w:szCs w:val="22"/>
        </w:rPr>
        <w:t>which means that the supplier cannot rely on su</w:t>
      </w:r>
      <w:r w:rsidR="00B12A6D">
        <w:rPr>
          <w:rFonts w:ascii="Avenir Next" w:hAnsi="Avenir Next" w:cs="Arial"/>
          <w:color w:val="808080" w:themeColor="background1" w:themeShade="80"/>
          <w:sz w:val="22"/>
          <w:szCs w:val="22"/>
        </w:rPr>
        <w:t xml:space="preserve">ch a term as a basis to alter the terms of service, require higher payments or terminate the supply. </w:t>
      </w:r>
    </w:p>
    <w:p w14:paraId="4F2F0474" w14:textId="59CAB945" w:rsidR="00B12A6D" w:rsidRDefault="00B12A6D" w:rsidP="00EA3B38">
      <w:pPr>
        <w:jc w:val="both"/>
        <w:rPr>
          <w:rFonts w:ascii="Avenir Next" w:hAnsi="Avenir Next" w:cs="Arial"/>
          <w:color w:val="808080" w:themeColor="background1" w:themeShade="80"/>
          <w:sz w:val="22"/>
          <w:szCs w:val="22"/>
        </w:rPr>
      </w:pPr>
    </w:p>
    <w:p w14:paraId="513271D1" w14:textId="67D08FFC" w:rsidR="00B12A6D" w:rsidRDefault="00B12A6D"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Recent amendments have expanded these pro</w:t>
      </w:r>
      <w:r w:rsidR="0011353E">
        <w:rPr>
          <w:rFonts w:ascii="Avenir Next" w:hAnsi="Avenir Next" w:cs="Arial"/>
          <w:color w:val="808080" w:themeColor="background1" w:themeShade="80"/>
          <w:sz w:val="22"/>
          <w:szCs w:val="22"/>
        </w:rPr>
        <w:t xml:space="preserve">tections, and </w:t>
      </w:r>
      <w:r w:rsidR="00D835B9">
        <w:rPr>
          <w:rFonts w:ascii="Avenir Next" w:hAnsi="Avenir Next" w:cs="Arial"/>
          <w:color w:val="808080" w:themeColor="background1" w:themeShade="80"/>
          <w:sz w:val="22"/>
          <w:szCs w:val="22"/>
        </w:rPr>
        <w:t xml:space="preserve">section 233B of the Insolvency Act now prohibits clauses that allow the supplier of goods or services </w:t>
      </w:r>
      <w:r w:rsidR="00F73F92">
        <w:rPr>
          <w:rFonts w:ascii="Avenir Next" w:hAnsi="Avenir Next" w:cs="Arial"/>
          <w:color w:val="808080" w:themeColor="background1" w:themeShade="80"/>
          <w:sz w:val="22"/>
          <w:szCs w:val="22"/>
        </w:rPr>
        <w:t>(generally, regardless of whether they are classified as “essential”</w:t>
      </w:r>
      <w:r w:rsidR="00CD2306">
        <w:rPr>
          <w:rFonts w:ascii="Avenir Next" w:hAnsi="Avenir Next" w:cs="Arial"/>
          <w:color w:val="808080" w:themeColor="background1" w:themeShade="80"/>
          <w:sz w:val="22"/>
          <w:szCs w:val="22"/>
        </w:rPr>
        <w:t>, albeit subject to some exceptions</w:t>
      </w:r>
      <w:r w:rsidR="00F73F92">
        <w:rPr>
          <w:rFonts w:ascii="Avenir Next" w:hAnsi="Avenir Next" w:cs="Arial"/>
          <w:color w:val="808080" w:themeColor="background1" w:themeShade="80"/>
          <w:sz w:val="22"/>
          <w:szCs w:val="22"/>
        </w:rPr>
        <w:t>) to terminate or “do any other thing” in relation to the contract if the company enters a formal insolvency procedure, including administration.</w:t>
      </w:r>
      <w:r w:rsidR="00E17EE3">
        <w:rPr>
          <w:rFonts w:ascii="Avenir Next" w:hAnsi="Avenir Next" w:cs="Arial"/>
          <w:color w:val="808080" w:themeColor="background1" w:themeShade="80"/>
          <w:sz w:val="22"/>
          <w:szCs w:val="22"/>
        </w:rPr>
        <w:t xml:space="preserve"> The effect of this section that suppliers, generally, are prohibiting from </w:t>
      </w:r>
      <w:r w:rsidR="00BB7D65">
        <w:rPr>
          <w:rFonts w:ascii="Avenir Next" w:hAnsi="Avenir Next" w:cs="Arial"/>
          <w:color w:val="808080" w:themeColor="background1" w:themeShade="80"/>
          <w:sz w:val="22"/>
          <w:szCs w:val="22"/>
        </w:rPr>
        <w:t xml:space="preserve">terminating their supply of goods or service upon, and </w:t>
      </w:r>
      <w:proofErr w:type="gramStart"/>
      <w:r w:rsidR="00BB7D65">
        <w:rPr>
          <w:rFonts w:ascii="Avenir Next" w:hAnsi="Avenir Next" w:cs="Arial"/>
          <w:color w:val="808080" w:themeColor="background1" w:themeShade="80"/>
          <w:sz w:val="22"/>
          <w:szCs w:val="22"/>
        </w:rPr>
        <w:t>as a result of</w:t>
      </w:r>
      <w:proofErr w:type="gramEnd"/>
      <w:r w:rsidR="00BB7D65">
        <w:rPr>
          <w:rFonts w:ascii="Avenir Next" w:hAnsi="Avenir Next" w:cs="Arial"/>
          <w:color w:val="808080" w:themeColor="background1" w:themeShade="80"/>
          <w:sz w:val="22"/>
          <w:szCs w:val="22"/>
        </w:rPr>
        <w:t xml:space="preserve">, the company’s insolvency. Moreover, </w:t>
      </w:r>
      <w:proofErr w:type="gramStart"/>
      <w:r w:rsidR="007660B8">
        <w:rPr>
          <w:rFonts w:ascii="Avenir Next" w:hAnsi="Avenir Next" w:cs="Arial"/>
          <w:color w:val="808080" w:themeColor="background1" w:themeShade="80"/>
          <w:sz w:val="22"/>
          <w:szCs w:val="22"/>
        </w:rPr>
        <w:t>as a result of</w:t>
      </w:r>
      <w:proofErr w:type="gramEnd"/>
      <w:r w:rsidR="007660B8">
        <w:rPr>
          <w:rFonts w:ascii="Avenir Next" w:hAnsi="Avenir Next" w:cs="Arial"/>
          <w:color w:val="808080" w:themeColor="background1" w:themeShade="80"/>
          <w:sz w:val="22"/>
          <w:szCs w:val="22"/>
        </w:rPr>
        <w:t xml:space="preserve"> that same section, </w:t>
      </w:r>
      <w:r w:rsidR="00BB7D65">
        <w:rPr>
          <w:rFonts w:ascii="Avenir Next" w:hAnsi="Avenir Next" w:cs="Arial"/>
          <w:color w:val="808080" w:themeColor="background1" w:themeShade="80"/>
          <w:sz w:val="22"/>
          <w:szCs w:val="22"/>
        </w:rPr>
        <w:t>suppliers cannot make it a condition of continued supply that any pre-insolvency arrears are paid</w:t>
      </w:r>
      <w:r w:rsidR="00AD450A">
        <w:rPr>
          <w:rFonts w:ascii="Avenir Next" w:hAnsi="Avenir Next" w:cs="Arial"/>
          <w:color w:val="808080" w:themeColor="background1" w:themeShade="80"/>
          <w:sz w:val="22"/>
          <w:szCs w:val="22"/>
        </w:rPr>
        <w:t xml:space="preserve"> or otherwise amend the terms of the contract. </w:t>
      </w:r>
    </w:p>
    <w:p w14:paraId="4730939C" w14:textId="2D9B9214" w:rsidR="007D61F6" w:rsidRDefault="007D61F6" w:rsidP="00EA3B38">
      <w:pPr>
        <w:jc w:val="both"/>
        <w:rPr>
          <w:rFonts w:ascii="Avenir Next" w:hAnsi="Avenir Next" w:cs="Arial"/>
          <w:color w:val="808080" w:themeColor="background1" w:themeShade="80"/>
          <w:sz w:val="22"/>
          <w:szCs w:val="22"/>
        </w:rPr>
      </w:pPr>
    </w:p>
    <w:p w14:paraId="655FCBF4" w14:textId="01A7CD0A" w:rsidR="007D61F6" w:rsidRPr="00E63B9C" w:rsidRDefault="007D61F6"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It follows that, in light of these protections, if an existing </w:t>
      </w:r>
      <w:r w:rsidRPr="007D61F6">
        <w:rPr>
          <w:rFonts w:ascii="Avenir Next" w:hAnsi="Avenir Next" w:cs="Arial"/>
          <w:color w:val="808080" w:themeColor="background1" w:themeShade="80"/>
          <w:sz w:val="22"/>
          <w:szCs w:val="22"/>
        </w:rPr>
        <w:t>supplier</w:t>
      </w:r>
      <w:r>
        <w:rPr>
          <w:rFonts w:ascii="Avenir Next" w:hAnsi="Avenir Next" w:cs="Arial"/>
          <w:color w:val="808080" w:themeColor="background1" w:themeShade="80"/>
          <w:sz w:val="22"/>
          <w:szCs w:val="22"/>
        </w:rPr>
        <w:t xml:space="preserve"> </w:t>
      </w:r>
      <w:r w:rsidRPr="007D61F6">
        <w:rPr>
          <w:rFonts w:ascii="Avenir Next" w:hAnsi="Avenir Next" w:cs="Arial"/>
          <w:color w:val="808080" w:themeColor="background1" w:themeShade="80"/>
          <w:sz w:val="22"/>
          <w:szCs w:val="22"/>
        </w:rPr>
        <w:t xml:space="preserve">of goods </w:t>
      </w:r>
      <w:r>
        <w:rPr>
          <w:rFonts w:ascii="Avenir Next" w:hAnsi="Avenir Next" w:cs="Arial"/>
          <w:color w:val="808080" w:themeColor="background1" w:themeShade="80"/>
          <w:sz w:val="22"/>
          <w:szCs w:val="22"/>
        </w:rPr>
        <w:t>or</w:t>
      </w:r>
      <w:r w:rsidRPr="007D61F6">
        <w:rPr>
          <w:rFonts w:ascii="Avenir Next" w:hAnsi="Avenir Next" w:cs="Arial"/>
          <w:color w:val="808080" w:themeColor="background1" w:themeShade="80"/>
          <w:sz w:val="22"/>
          <w:szCs w:val="22"/>
        </w:rPr>
        <w:t xml:space="preserve"> services </w:t>
      </w:r>
      <w:r>
        <w:rPr>
          <w:rFonts w:ascii="Avenir Next" w:hAnsi="Avenir Next" w:cs="Arial"/>
          <w:color w:val="808080" w:themeColor="background1" w:themeShade="80"/>
          <w:sz w:val="22"/>
          <w:szCs w:val="22"/>
        </w:rPr>
        <w:t xml:space="preserve">was to </w:t>
      </w:r>
      <w:r w:rsidR="00DD44E9">
        <w:rPr>
          <w:rFonts w:ascii="Avenir Next" w:hAnsi="Avenir Next" w:cs="Arial"/>
          <w:color w:val="808080" w:themeColor="background1" w:themeShade="80"/>
          <w:sz w:val="22"/>
          <w:szCs w:val="22"/>
        </w:rPr>
        <w:t xml:space="preserve">seek to terminate the supply of those goods or services </w:t>
      </w:r>
      <w:r w:rsidR="00E10817">
        <w:rPr>
          <w:rFonts w:ascii="Avenir Next" w:hAnsi="Avenir Next" w:cs="Arial"/>
          <w:color w:val="808080" w:themeColor="background1" w:themeShade="80"/>
          <w:sz w:val="22"/>
          <w:szCs w:val="22"/>
        </w:rPr>
        <w:t>during the administration, and purported to rely up</w:t>
      </w:r>
      <w:r w:rsidR="000939AF">
        <w:rPr>
          <w:rFonts w:ascii="Avenir Next" w:hAnsi="Avenir Next" w:cs="Arial"/>
          <w:color w:val="808080" w:themeColor="background1" w:themeShade="80"/>
          <w:sz w:val="22"/>
          <w:szCs w:val="22"/>
        </w:rPr>
        <w:t xml:space="preserve">on either an insolvency-related term in their contract of services or outstanding debts owed to him at the time of the administration </w:t>
      </w:r>
      <w:r w:rsidR="002626E1">
        <w:rPr>
          <w:rFonts w:ascii="Avenir Next" w:hAnsi="Avenir Next" w:cs="Arial"/>
          <w:color w:val="808080" w:themeColor="background1" w:themeShade="80"/>
          <w:sz w:val="22"/>
          <w:szCs w:val="22"/>
        </w:rPr>
        <w:t xml:space="preserve">as the basis on which he was doing so – the administrator </w:t>
      </w:r>
      <w:r w:rsidR="00AE0770">
        <w:rPr>
          <w:rFonts w:ascii="Avenir Next" w:hAnsi="Avenir Next" w:cs="Arial"/>
          <w:color w:val="808080" w:themeColor="background1" w:themeShade="80"/>
          <w:sz w:val="22"/>
          <w:szCs w:val="22"/>
        </w:rPr>
        <w:t>can generally</w:t>
      </w:r>
      <w:r w:rsidR="002626E1">
        <w:rPr>
          <w:rFonts w:ascii="Avenir Next" w:hAnsi="Avenir Next" w:cs="Arial"/>
          <w:color w:val="808080" w:themeColor="background1" w:themeShade="80"/>
          <w:sz w:val="22"/>
          <w:szCs w:val="22"/>
        </w:rPr>
        <w:t xml:space="preserve"> rely upon sections 223, 223A and/or 223B, depending on the nature of the services, to compel</w:t>
      </w:r>
      <w:r w:rsidR="00A37F43">
        <w:rPr>
          <w:rFonts w:ascii="Avenir Next" w:hAnsi="Avenir Next" w:cs="Arial"/>
          <w:color w:val="808080" w:themeColor="background1" w:themeShade="80"/>
          <w:sz w:val="22"/>
          <w:szCs w:val="22"/>
        </w:rPr>
        <w:t xml:space="preserve"> the supplier to continue to provide the services, without any changes to the pre-agreed terms. Note, however, that if the services </w:t>
      </w:r>
      <w:r w:rsidR="001F30C7">
        <w:rPr>
          <w:rFonts w:ascii="Avenir Next" w:hAnsi="Avenir Next" w:cs="Arial"/>
          <w:color w:val="808080" w:themeColor="background1" w:themeShade="80"/>
          <w:sz w:val="22"/>
          <w:szCs w:val="22"/>
        </w:rPr>
        <w:t xml:space="preserve">being provided fall within the essential services set out in section 223, the supplier can require the administrator to personally guarantee payment of charges in respect of the continued supply. Further, </w:t>
      </w:r>
      <w:r w:rsidR="00E63B9C">
        <w:rPr>
          <w:rFonts w:ascii="Avenir Next" w:hAnsi="Avenir Next" w:cs="Arial"/>
          <w:color w:val="808080" w:themeColor="background1" w:themeShade="80"/>
          <w:sz w:val="22"/>
          <w:szCs w:val="22"/>
        </w:rPr>
        <w:t xml:space="preserve">the provisions of section 223B do not apply to </w:t>
      </w:r>
      <w:r w:rsidR="00E63B9C">
        <w:rPr>
          <w:rFonts w:ascii="Avenir Next" w:hAnsi="Avenir Next" w:cs="Arial"/>
          <w:i/>
          <w:iCs/>
          <w:color w:val="808080" w:themeColor="background1" w:themeShade="80"/>
          <w:sz w:val="22"/>
          <w:szCs w:val="22"/>
        </w:rPr>
        <w:t>all</w:t>
      </w:r>
      <w:r w:rsidR="00E63B9C">
        <w:rPr>
          <w:rFonts w:ascii="Avenir Next" w:hAnsi="Avenir Next" w:cs="Arial"/>
          <w:color w:val="808080" w:themeColor="background1" w:themeShade="80"/>
          <w:sz w:val="22"/>
          <w:szCs w:val="22"/>
        </w:rPr>
        <w:t xml:space="preserve"> services, as exceptions have been carved out for, for example, insurers, </w:t>
      </w:r>
      <w:proofErr w:type="gramStart"/>
      <w:r w:rsidR="00E63B9C">
        <w:rPr>
          <w:rFonts w:ascii="Avenir Next" w:hAnsi="Avenir Next" w:cs="Arial"/>
          <w:color w:val="808080" w:themeColor="background1" w:themeShade="80"/>
          <w:sz w:val="22"/>
          <w:szCs w:val="22"/>
        </w:rPr>
        <w:t>banks</w:t>
      </w:r>
      <w:proofErr w:type="gramEnd"/>
      <w:r w:rsidR="00E63B9C">
        <w:rPr>
          <w:rFonts w:ascii="Avenir Next" w:hAnsi="Avenir Next" w:cs="Arial"/>
          <w:color w:val="808080" w:themeColor="background1" w:themeShade="80"/>
          <w:sz w:val="22"/>
          <w:szCs w:val="22"/>
        </w:rPr>
        <w:t xml:space="preserve"> and electronic money institutions.</w:t>
      </w:r>
      <w:r w:rsidR="00AE0770">
        <w:rPr>
          <w:rFonts w:ascii="Avenir Next" w:hAnsi="Avenir Next" w:cs="Arial"/>
          <w:color w:val="808080" w:themeColor="background1" w:themeShade="80"/>
          <w:sz w:val="22"/>
          <w:szCs w:val="22"/>
        </w:rPr>
        <w:t xml:space="preserve"> And, finally, under section 233B, a contract may still </w:t>
      </w:r>
      <w:r w:rsidR="00D33AFC">
        <w:rPr>
          <w:rFonts w:ascii="Avenir Next" w:hAnsi="Avenir Next" w:cs="Arial"/>
          <w:color w:val="808080" w:themeColor="background1" w:themeShade="80"/>
          <w:sz w:val="22"/>
          <w:szCs w:val="22"/>
        </w:rPr>
        <w:t>be terminated by a supplier where the administrator consents or on an application to the court in circumstances where the court is satisfied that the continuation of the contract would cause the supplier hardship</w:t>
      </w:r>
      <w:r w:rsidR="008E0584">
        <w:rPr>
          <w:rFonts w:ascii="Avenir Next" w:hAnsi="Avenir Next" w:cs="Arial"/>
          <w:color w:val="808080" w:themeColor="background1" w:themeShade="80"/>
          <w:sz w:val="22"/>
          <w:szCs w:val="22"/>
        </w:rPr>
        <w:t xml:space="preserve"> and grants permission for its termination. </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1B833F15"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12 week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1F067633" w14:textId="45B87A2B" w:rsidR="00EA3B38" w:rsidRDefault="007D3208"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order</w:t>
      </w:r>
      <w:r w:rsidR="002A3CF8">
        <w:rPr>
          <w:rFonts w:ascii="Avenir Next" w:hAnsi="Avenir Next" w:cs="Arial"/>
          <w:color w:val="808080" w:themeColor="background1" w:themeShade="80"/>
          <w:sz w:val="22"/>
          <w:szCs w:val="22"/>
        </w:rPr>
        <w:t xml:space="preserve"> and manner</w:t>
      </w:r>
      <w:r>
        <w:rPr>
          <w:rFonts w:ascii="Avenir Next" w:hAnsi="Avenir Next" w:cs="Arial"/>
          <w:color w:val="808080" w:themeColor="background1" w:themeShade="80"/>
          <w:sz w:val="22"/>
          <w:szCs w:val="22"/>
        </w:rPr>
        <w:t xml:space="preserve"> in which the </w:t>
      </w:r>
      <w:r w:rsidR="002E6BAA">
        <w:rPr>
          <w:rFonts w:ascii="Avenir Next" w:hAnsi="Avenir Next" w:cs="Arial"/>
          <w:color w:val="808080" w:themeColor="background1" w:themeShade="80"/>
          <w:sz w:val="22"/>
          <w:szCs w:val="22"/>
        </w:rPr>
        <w:t>proceeds</w:t>
      </w:r>
      <w:r>
        <w:rPr>
          <w:rFonts w:ascii="Avenir Next" w:hAnsi="Avenir Next" w:cs="Arial"/>
          <w:color w:val="808080" w:themeColor="background1" w:themeShade="80"/>
          <w:sz w:val="22"/>
          <w:szCs w:val="22"/>
        </w:rPr>
        <w:t xml:space="preserve"> received from </w:t>
      </w:r>
      <w:r w:rsidR="002A3CF8">
        <w:rPr>
          <w:rFonts w:ascii="Avenir Next" w:hAnsi="Avenir Next" w:cs="Arial"/>
          <w:color w:val="808080" w:themeColor="background1" w:themeShade="80"/>
          <w:sz w:val="22"/>
          <w:szCs w:val="22"/>
        </w:rPr>
        <w:t>the</w:t>
      </w:r>
      <w:r>
        <w:rPr>
          <w:rFonts w:ascii="Avenir Next" w:hAnsi="Avenir Next" w:cs="Arial"/>
          <w:color w:val="808080" w:themeColor="background1" w:themeShade="80"/>
          <w:sz w:val="22"/>
          <w:szCs w:val="22"/>
        </w:rPr>
        <w:t xml:space="preserve"> liquidator’s realization of the company’s assets is prescribed </w:t>
      </w:r>
      <w:r w:rsidR="002A3CF8">
        <w:rPr>
          <w:rFonts w:ascii="Avenir Next" w:hAnsi="Avenir Next" w:cs="Arial"/>
          <w:color w:val="808080" w:themeColor="background1" w:themeShade="80"/>
          <w:sz w:val="22"/>
          <w:szCs w:val="22"/>
        </w:rPr>
        <w:t>by the Insolvency Act. More particularly, the order of priority of payments in a liquidation</w:t>
      </w:r>
      <w:r w:rsidR="00C117EA">
        <w:rPr>
          <w:rFonts w:ascii="Avenir Next" w:hAnsi="Avenir Next" w:cs="Arial"/>
          <w:color w:val="808080" w:themeColor="background1" w:themeShade="80"/>
          <w:sz w:val="22"/>
          <w:szCs w:val="22"/>
        </w:rPr>
        <w:t>, generally,</w:t>
      </w:r>
      <w:r w:rsidR="002A3CF8">
        <w:rPr>
          <w:rFonts w:ascii="Avenir Next" w:hAnsi="Avenir Next" w:cs="Arial"/>
          <w:color w:val="808080" w:themeColor="background1" w:themeShade="80"/>
          <w:sz w:val="22"/>
          <w:szCs w:val="22"/>
        </w:rPr>
        <w:t xml:space="preserve"> is as follows:</w:t>
      </w:r>
    </w:p>
    <w:p w14:paraId="5354F32D" w14:textId="1DE5F7B1" w:rsidR="002A3CF8" w:rsidRDefault="002A3CF8" w:rsidP="002A3CF8">
      <w:pPr>
        <w:pStyle w:val="ListParagraph"/>
        <w:numPr>
          <w:ilvl w:val="0"/>
          <w:numId w:val="19"/>
        </w:numPr>
        <w:jc w:val="both"/>
        <w:rPr>
          <w:rFonts w:ascii="Avenir Next" w:hAnsi="Avenir Next" w:cs="Arial"/>
          <w:color w:val="808080" w:themeColor="background1" w:themeShade="80"/>
          <w:sz w:val="22"/>
          <w:szCs w:val="22"/>
        </w:rPr>
      </w:pPr>
      <w:r w:rsidRPr="002E6BAA">
        <w:rPr>
          <w:rFonts w:ascii="Avenir Next" w:hAnsi="Avenir Next" w:cs="Arial"/>
          <w:b/>
          <w:bCs/>
          <w:color w:val="808080" w:themeColor="background1" w:themeShade="80"/>
          <w:sz w:val="22"/>
          <w:szCs w:val="22"/>
        </w:rPr>
        <w:t>Expenses of the winding-up</w:t>
      </w:r>
      <w:r w:rsidR="002E6BAA">
        <w:rPr>
          <w:rFonts w:ascii="Avenir Next" w:hAnsi="Avenir Next" w:cs="Arial"/>
          <w:color w:val="808080" w:themeColor="background1" w:themeShade="80"/>
          <w:sz w:val="22"/>
          <w:szCs w:val="22"/>
        </w:rPr>
        <w:t>, including the liquidator’s renumeration</w:t>
      </w:r>
      <w:r>
        <w:rPr>
          <w:rFonts w:ascii="Avenir Next" w:hAnsi="Avenir Next" w:cs="Arial"/>
          <w:color w:val="808080" w:themeColor="background1" w:themeShade="80"/>
          <w:sz w:val="22"/>
          <w:szCs w:val="22"/>
        </w:rPr>
        <w:t xml:space="preserve">. </w:t>
      </w:r>
      <w:r w:rsidR="00C117EA">
        <w:rPr>
          <w:rFonts w:ascii="Avenir Next" w:hAnsi="Avenir Next" w:cs="Arial"/>
          <w:color w:val="808080" w:themeColor="background1" w:themeShade="80"/>
          <w:sz w:val="22"/>
          <w:szCs w:val="22"/>
        </w:rPr>
        <w:t xml:space="preserve">By section 115 of the Act, </w:t>
      </w:r>
      <w:r w:rsidR="006E74B1" w:rsidRPr="006E74B1">
        <w:rPr>
          <w:rFonts w:ascii="Avenir Next" w:hAnsi="Avenir Next" w:cs="Arial"/>
          <w:color w:val="808080" w:themeColor="background1" w:themeShade="80"/>
          <w:sz w:val="22"/>
          <w:szCs w:val="22"/>
        </w:rPr>
        <w:t>all expenses properly incurred in the winding up, including the remuneration of the liquidator, are payable out of the company’s assets in priority to all other claim</w:t>
      </w:r>
      <w:r w:rsidR="00D26492">
        <w:rPr>
          <w:rFonts w:ascii="Avenir Next" w:hAnsi="Avenir Next" w:cs="Arial"/>
          <w:color w:val="808080" w:themeColor="background1" w:themeShade="80"/>
          <w:sz w:val="22"/>
          <w:szCs w:val="22"/>
        </w:rPr>
        <w:t>s (including preferential claims, those of holders of floating charges and unsecured claims).</w:t>
      </w:r>
      <w:r w:rsidR="000E3104">
        <w:rPr>
          <w:rFonts w:ascii="Avenir Next" w:hAnsi="Avenir Next" w:cs="Arial"/>
          <w:color w:val="808080" w:themeColor="background1" w:themeShade="80"/>
          <w:sz w:val="22"/>
          <w:szCs w:val="22"/>
        </w:rPr>
        <w:t xml:space="preserve"> Rules 6.42 and </w:t>
      </w:r>
      <w:r w:rsidR="00083FBB">
        <w:rPr>
          <w:rFonts w:ascii="Avenir Next" w:hAnsi="Avenir Next" w:cs="Arial"/>
          <w:color w:val="808080" w:themeColor="background1" w:themeShade="80"/>
          <w:sz w:val="22"/>
          <w:szCs w:val="22"/>
        </w:rPr>
        <w:t>7.108 of the Insolvency (England and Wales) Rules 2016</w:t>
      </w:r>
      <w:r w:rsidR="002E6BAA">
        <w:rPr>
          <w:rFonts w:ascii="Avenir Next" w:hAnsi="Avenir Next" w:cs="Arial"/>
          <w:color w:val="808080" w:themeColor="background1" w:themeShade="80"/>
          <w:sz w:val="22"/>
          <w:szCs w:val="22"/>
        </w:rPr>
        <w:t xml:space="preserve"> (the “Rules”</w:t>
      </w:r>
      <w:r w:rsidR="00083FBB">
        <w:rPr>
          <w:rFonts w:ascii="Avenir Next" w:hAnsi="Avenir Next" w:cs="Arial"/>
          <w:color w:val="808080" w:themeColor="background1" w:themeShade="80"/>
          <w:sz w:val="22"/>
          <w:szCs w:val="22"/>
        </w:rPr>
        <w:t xml:space="preserve"> </w:t>
      </w:r>
      <w:r w:rsidR="00F61FB6">
        <w:rPr>
          <w:rFonts w:ascii="Avenir Next" w:hAnsi="Avenir Next" w:cs="Arial"/>
          <w:color w:val="808080" w:themeColor="background1" w:themeShade="80"/>
          <w:sz w:val="22"/>
          <w:szCs w:val="22"/>
        </w:rPr>
        <w:t>expand upon what, in particular, is included in the expenses of the winding-up</w:t>
      </w:r>
      <w:r w:rsidR="002E6BAA">
        <w:rPr>
          <w:rFonts w:ascii="Avenir Next" w:hAnsi="Avenir Next" w:cs="Arial"/>
          <w:color w:val="808080" w:themeColor="background1" w:themeShade="80"/>
          <w:sz w:val="22"/>
          <w:szCs w:val="22"/>
        </w:rPr>
        <w:t>, and, by Rule 6.42(4), further prescribe the priority amongst those expenses. In that regard, the expenses are payable in the following order of priority:</w:t>
      </w:r>
    </w:p>
    <w:p w14:paraId="7E18E318" w14:textId="3558694F" w:rsidR="002E70E0" w:rsidRPr="002E70E0" w:rsidRDefault="002E70E0" w:rsidP="002E70E0">
      <w:pPr>
        <w:pStyle w:val="ListParagraph"/>
        <w:numPr>
          <w:ilvl w:val="1"/>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e</w:t>
      </w:r>
      <w:r w:rsidRPr="002E70E0">
        <w:rPr>
          <w:rFonts w:ascii="Avenir Next" w:hAnsi="Avenir Next" w:cs="Arial"/>
          <w:color w:val="808080" w:themeColor="background1" w:themeShade="80"/>
          <w:sz w:val="22"/>
          <w:szCs w:val="22"/>
        </w:rPr>
        <w:t xml:space="preserve">xpenses which are properly chargeable or incurred by the liquidator in preserving, </w:t>
      </w:r>
      <w:proofErr w:type="spellStart"/>
      <w:r w:rsidRPr="002E70E0">
        <w:rPr>
          <w:rFonts w:ascii="Avenir Next" w:hAnsi="Avenir Next" w:cs="Arial"/>
          <w:color w:val="808080" w:themeColor="background1" w:themeShade="80"/>
          <w:sz w:val="22"/>
          <w:szCs w:val="22"/>
        </w:rPr>
        <w:t>realising</w:t>
      </w:r>
      <w:proofErr w:type="spellEnd"/>
      <w:r w:rsidRPr="002E70E0">
        <w:rPr>
          <w:rFonts w:ascii="Avenir Next" w:hAnsi="Avenir Next" w:cs="Arial"/>
          <w:color w:val="808080" w:themeColor="background1" w:themeShade="80"/>
          <w:sz w:val="22"/>
          <w:szCs w:val="22"/>
        </w:rPr>
        <w:t xml:space="preserve"> or getting in any of the assets of the company or otherwise in the </w:t>
      </w:r>
      <w:r w:rsidRPr="002E70E0">
        <w:rPr>
          <w:rFonts w:ascii="Avenir Next" w:hAnsi="Avenir Next" w:cs="Arial"/>
          <w:color w:val="808080" w:themeColor="background1" w:themeShade="80"/>
          <w:sz w:val="22"/>
          <w:szCs w:val="22"/>
        </w:rPr>
        <w:lastRenderedPageBreak/>
        <w:t>preparation, conduct or assignment of any legal proceedings, arbitration or other dispute resolution procedures,;</w:t>
      </w:r>
    </w:p>
    <w:p w14:paraId="1BCD0FEC" w14:textId="5BA802EB" w:rsidR="002E70E0" w:rsidRPr="002E70E0" w:rsidRDefault="002E70E0" w:rsidP="002E70E0">
      <w:pPr>
        <w:pStyle w:val="ListParagraph"/>
        <w:numPr>
          <w:ilvl w:val="1"/>
          <w:numId w:val="19"/>
        </w:numPr>
        <w:jc w:val="both"/>
        <w:rPr>
          <w:rFonts w:ascii="Avenir Next" w:hAnsi="Avenir Next" w:cs="Arial"/>
          <w:color w:val="808080" w:themeColor="background1" w:themeShade="80"/>
          <w:sz w:val="22"/>
          <w:szCs w:val="22"/>
        </w:rPr>
      </w:pPr>
      <w:r w:rsidRPr="002E70E0">
        <w:rPr>
          <w:rFonts w:ascii="Avenir Next" w:hAnsi="Avenir Next" w:cs="Arial"/>
          <w:color w:val="808080" w:themeColor="background1" w:themeShade="80"/>
          <w:sz w:val="22"/>
          <w:szCs w:val="22"/>
        </w:rPr>
        <w:t xml:space="preserve">the cost of any security provided by the </w:t>
      </w:r>
      <w:proofErr w:type="gramStart"/>
      <w:r w:rsidRPr="002E70E0">
        <w:rPr>
          <w:rFonts w:ascii="Avenir Next" w:hAnsi="Avenir Next" w:cs="Arial"/>
          <w:color w:val="808080" w:themeColor="background1" w:themeShade="80"/>
          <w:sz w:val="22"/>
          <w:szCs w:val="22"/>
        </w:rPr>
        <w:t>liquidator</w:t>
      </w:r>
      <w:r>
        <w:rPr>
          <w:rFonts w:ascii="Avenir Next" w:hAnsi="Avenir Next" w:cs="Arial"/>
          <w:color w:val="808080" w:themeColor="background1" w:themeShade="80"/>
          <w:sz w:val="22"/>
          <w:szCs w:val="22"/>
        </w:rPr>
        <w:t>;</w:t>
      </w:r>
      <w:proofErr w:type="gramEnd"/>
    </w:p>
    <w:p w14:paraId="0BAE290B" w14:textId="46D856D5" w:rsidR="002E70E0" w:rsidRPr="002E70E0" w:rsidRDefault="002E70E0" w:rsidP="002E70E0">
      <w:pPr>
        <w:pStyle w:val="ListParagraph"/>
        <w:numPr>
          <w:ilvl w:val="1"/>
          <w:numId w:val="19"/>
        </w:numPr>
        <w:jc w:val="both"/>
        <w:rPr>
          <w:rFonts w:ascii="Avenir Next" w:hAnsi="Avenir Next" w:cs="Arial"/>
          <w:color w:val="808080" w:themeColor="background1" w:themeShade="80"/>
          <w:sz w:val="22"/>
          <w:szCs w:val="22"/>
        </w:rPr>
      </w:pPr>
      <w:r w:rsidRPr="002E70E0">
        <w:rPr>
          <w:rFonts w:ascii="Avenir Next" w:hAnsi="Avenir Next" w:cs="Arial"/>
          <w:color w:val="808080" w:themeColor="background1" w:themeShade="80"/>
          <w:sz w:val="22"/>
          <w:szCs w:val="22"/>
        </w:rPr>
        <w:t xml:space="preserve">any amount payable to a person employed or </w:t>
      </w:r>
      <w:r w:rsidR="007F14CF">
        <w:rPr>
          <w:rFonts w:ascii="Avenir Next" w:hAnsi="Avenir Next" w:cs="Arial"/>
          <w:color w:val="808080" w:themeColor="background1" w:themeShade="80"/>
          <w:sz w:val="22"/>
          <w:szCs w:val="22"/>
        </w:rPr>
        <w:t xml:space="preserve">authorized </w:t>
      </w:r>
      <w:r w:rsidRPr="002E70E0">
        <w:rPr>
          <w:rFonts w:ascii="Avenir Next" w:hAnsi="Avenir Next" w:cs="Arial"/>
          <w:color w:val="808080" w:themeColor="background1" w:themeShade="80"/>
          <w:sz w:val="22"/>
          <w:szCs w:val="22"/>
        </w:rPr>
        <w:t xml:space="preserve">to assist in the preparation of a statement of affairs or of </w:t>
      </w:r>
      <w:proofErr w:type="gramStart"/>
      <w:r w:rsidRPr="002E70E0">
        <w:rPr>
          <w:rFonts w:ascii="Avenir Next" w:hAnsi="Avenir Next" w:cs="Arial"/>
          <w:color w:val="808080" w:themeColor="background1" w:themeShade="80"/>
          <w:sz w:val="22"/>
          <w:szCs w:val="22"/>
        </w:rPr>
        <w:t>accounts;</w:t>
      </w:r>
      <w:proofErr w:type="gramEnd"/>
    </w:p>
    <w:p w14:paraId="3369551A" w14:textId="31A364D2" w:rsidR="002E70E0" w:rsidRPr="002E70E0" w:rsidRDefault="002E70E0" w:rsidP="002E70E0">
      <w:pPr>
        <w:pStyle w:val="ListParagraph"/>
        <w:numPr>
          <w:ilvl w:val="1"/>
          <w:numId w:val="19"/>
        </w:numPr>
        <w:jc w:val="both"/>
        <w:rPr>
          <w:rFonts w:ascii="Avenir Next" w:hAnsi="Avenir Next" w:cs="Arial"/>
          <w:color w:val="808080" w:themeColor="background1" w:themeShade="80"/>
          <w:sz w:val="22"/>
          <w:szCs w:val="22"/>
        </w:rPr>
      </w:pPr>
      <w:r w:rsidRPr="002E70E0">
        <w:rPr>
          <w:rFonts w:ascii="Avenir Next" w:hAnsi="Avenir Next" w:cs="Arial"/>
          <w:color w:val="808080" w:themeColor="background1" w:themeShade="80"/>
          <w:sz w:val="22"/>
          <w:szCs w:val="22"/>
        </w:rPr>
        <w:t xml:space="preserve">the costs of employing a shorthand writer on the application of the </w:t>
      </w:r>
      <w:proofErr w:type="gramStart"/>
      <w:r w:rsidRPr="002E70E0">
        <w:rPr>
          <w:rFonts w:ascii="Avenir Next" w:hAnsi="Avenir Next" w:cs="Arial"/>
          <w:color w:val="808080" w:themeColor="background1" w:themeShade="80"/>
          <w:sz w:val="22"/>
          <w:szCs w:val="22"/>
        </w:rPr>
        <w:t>liquidator;</w:t>
      </w:r>
      <w:proofErr w:type="gramEnd"/>
    </w:p>
    <w:p w14:paraId="6AF29292" w14:textId="3F358992" w:rsidR="002E70E0" w:rsidRPr="002E70E0" w:rsidRDefault="002E70E0" w:rsidP="002E70E0">
      <w:pPr>
        <w:pStyle w:val="ListParagraph"/>
        <w:numPr>
          <w:ilvl w:val="1"/>
          <w:numId w:val="19"/>
        </w:numPr>
        <w:jc w:val="both"/>
        <w:rPr>
          <w:rFonts w:ascii="Avenir Next" w:hAnsi="Avenir Next" w:cs="Arial"/>
          <w:color w:val="808080" w:themeColor="background1" w:themeShade="80"/>
          <w:sz w:val="22"/>
          <w:szCs w:val="22"/>
        </w:rPr>
      </w:pPr>
      <w:r w:rsidRPr="002E70E0">
        <w:rPr>
          <w:rFonts w:ascii="Avenir Next" w:hAnsi="Avenir Next" w:cs="Arial"/>
          <w:color w:val="808080" w:themeColor="background1" w:themeShade="80"/>
          <w:sz w:val="22"/>
          <w:szCs w:val="22"/>
        </w:rPr>
        <w:t>any necessary disbursements by the liquidator in the course of the administration of the winding up (including any expenses incurred by members of the liquidation committee or their representatives and allowed by the liquidator under rule 17.24, but not including any payment of corporation tax in circumstances referred to in sub-paragraph (</w:t>
      </w:r>
      <w:proofErr w:type="spellStart"/>
      <w:r w:rsidRPr="002E70E0">
        <w:rPr>
          <w:rFonts w:ascii="Avenir Next" w:hAnsi="Avenir Next" w:cs="Arial"/>
          <w:color w:val="808080" w:themeColor="background1" w:themeShade="80"/>
          <w:sz w:val="22"/>
          <w:szCs w:val="22"/>
        </w:rPr>
        <w:t>i</w:t>
      </w:r>
      <w:proofErr w:type="spellEnd"/>
      <w:r w:rsidRPr="002E70E0">
        <w:rPr>
          <w:rFonts w:ascii="Avenir Next" w:hAnsi="Avenir Next" w:cs="Arial"/>
          <w:color w:val="808080" w:themeColor="background1" w:themeShade="80"/>
          <w:sz w:val="22"/>
          <w:szCs w:val="22"/>
        </w:rPr>
        <w:t>)</w:t>
      </w:r>
      <w:proofErr w:type="gramStart"/>
      <w:r w:rsidRPr="002E70E0">
        <w:rPr>
          <w:rFonts w:ascii="Avenir Next" w:hAnsi="Avenir Next" w:cs="Arial"/>
          <w:color w:val="808080" w:themeColor="background1" w:themeShade="80"/>
          <w:sz w:val="22"/>
          <w:szCs w:val="22"/>
        </w:rPr>
        <w:t>);</w:t>
      </w:r>
      <w:proofErr w:type="gramEnd"/>
    </w:p>
    <w:p w14:paraId="76EDD9DB" w14:textId="65977DF0" w:rsidR="002E70E0" w:rsidRPr="002E70E0" w:rsidRDefault="002E70E0" w:rsidP="002E70E0">
      <w:pPr>
        <w:pStyle w:val="ListParagraph"/>
        <w:numPr>
          <w:ilvl w:val="1"/>
          <w:numId w:val="19"/>
        </w:numPr>
        <w:jc w:val="both"/>
        <w:rPr>
          <w:rFonts w:ascii="Avenir Next" w:hAnsi="Avenir Next" w:cs="Arial"/>
          <w:color w:val="808080" w:themeColor="background1" w:themeShade="80"/>
          <w:sz w:val="22"/>
          <w:szCs w:val="22"/>
        </w:rPr>
      </w:pPr>
      <w:r w:rsidRPr="002E70E0">
        <w:rPr>
          <w:rFonts w:ascii="Avenir Next" w:hAnsi="Avenir Next" w:cs="Arial"/>
          <w:color w:val="808080" w:themeColor="background1" w:themeShade="80"/>
          <w:sz w:val="22"/>
          <w:szCs w:val="22"/>
        </w:rPr>
        <w:t xml:space="preserve">the remuneration or emoluments of any person who has been employed by the liquidator to perform any services for the </w:t>
      </w:r>
      <w:proofErr w:type="gramStart"/>
      <w:r w:rsidRPr="002E70E0">
        <w:rPr>
          <w:rFonts w:ascii="Avenir Next" w:hAnsi="Avenir Next" w:cs="Arial"/>
          <w:color w:val="808080" w:themeColor="background1" w:themeShade="80"/>
          <w:sz w:val="22"/>
          <w:szCs w:val="22"/>
        </w:rPr>
        <w:t>company</w:t>
      </w:r>
      <w:r w:rsidR="00770EB6">
        <w:rPr>
          <w:rFonts w:ascii="Avenir Next" w:hAnsi="Avenir Next" w:cs="Arial"/>
          <w:color w:val="808080" w:themeColor="background1" w:themeShade="80"/>
          <w:sz w:val="22"/>
          <w:szCs w:val="22"/>
        </w:rPr>
        <w:t>;</w:t>
      </w:r>
      <w:proofErr w:type="gramEnd"/>
    </w:p>
    <w:p w14:paraId="1DCB9947" w14:textId="56E7BBE4" w:rsidR="002E70E0" w:rsidRPr="002E70E0" w:rsidRDefault="002E70E0" w:rsidP="002E70E0">
      <w:pPr>
        <w:pStyle w:val="ListParagraph"/>
        <w:numPr>
          <w:ilvl w:val="1"/>
          <w:numId w:val="19"/>
        </w:numPr>
        <w:jc w:val="both"/>
        <w:rPr>
          <w:rFonts w:ascii="Avenir Next" w:hAnsi="Avenir Next" w:cs="Arial"/>
          <w:color w:val="808080" w:themeColor="background1" w:themeShade="80"/>
          <w:sz w:val="22"/>
          <w:szCs w:val="22"/>
        </w:rPr>
      </w:pPr>
      <w:r w:rsidRPr="002E70E0">
        <w:rPr>
          <w:rFonts w:ascii="Avenir Next" w:hAnsi="Avenir Next" w:cs="Arial"/>
          <w:color w:val="808080" w:themeColor="background1" w:themeShade="80"/>
          <w:sz w:val="22"/>
          <w:szCs w:val="22"/>
        </w:rPr>
        <w:t>the remuneration of the liquidator</w:t>
      </w:r>
      <w:r w:rsidR="00A57F99">
        <w:rPr>
          <w:rFonts w:ascii="Avenir Next" w:hAnsi="Avenir Next" w:cs="Arial"/>
          <w:color w:val="808080" w:themeColor="background1" w:themeShade="80"/>
          <w:sz w:val="22"/>
          <w:szCs w:val="22"/>
        </w:rPr>
        <w:t xml:space="preserve"> (</w:t>
      </w:r>
      <w:r w:rsidR="00A57F99" w:rsidRPr="00A57F99">
        <w:rPr>
          <w:rFonts w:ascii="Avenir Next" w:hAnsi="Avenir Next" w:cs="Arial"/>
          <w:color w:val="808080" w:themeColor="background1" w:themeShade="80"/>
          <w:sz w:val="22"/>
          <w:szCs w:val="22"/>
        </w:rPr>
        <w:t xml:space="preserve">up to </w:t>
      </w:r>
      <w:r w:rsidR="00A57F99">
        <w:rPr>
          <w:rFonts w:ascii="Avenir Next" w:hAnsi="Avenir Next" w:cs="Arial"/>
          <w:color w:val="808080" w:themeColor="background1" w:themeShade="80"/>
          <w:sz w:val="22"/>
          <w:szCs w:val="22"/>
        </w:rPr>
        <w:t>a fixed</w:t>
      </w:r>
      <w:r w:rsidR="00A57F99" w:rsidRPr="00A57F99">
        <w:rPr>
          <w:rFonts w:ascii="Avenir Next" w:hAnsi="Avenir Next" w:cs="Arial"/>
          <w:color w:val="808080" w:themeColor="background1" w:themeShade="80"/>
          <w:sz w:val="22"/>
          <w:szCs w:val="22"/>
        </w:rPr>
        <w:t xml:space="preserve"> amount</w:t>
      </w:r>
      <w:r w:rsidR="00A57F99">
        <w:rPr>
          <w:rFonts w:ascii="Avenir Next" w:hAnsi="Avenir Next" w:cs="Arial"/>
          <w:color w:val="808080" w:themeColor="background1" w:themeShade="80"/>
          <w:sz w:val="22"/>
          <w:szCs w:val="22"/>
        </w:rPr>
        <w:t xml:space="preserve"> that is prescribed by the Rules</w:t>
      </w:r>
      <w:proofErr w:type="gramStart"/>
      <w:r w:rsidR="00A57F99">
        <w:rPr>
          <w:rFonts w:ascii="Avenir Next" w:hAnsi="Avenir Next" w:cs="Arial"/>
          <w:color w:val="808080" w:themeColor="background1" w:themeShade="80"/>
          <w:sz w:val="22"/>
          <w:szCs w:val="22"/>
        </w:rPr>
        <w:t>);</w:t>
      </w:r>
      <w:proofErr w:type="gramEnd"/>
    </w:p>
    <w:p w14:paraId="26C3EFDE" w14:textId="33E3AF23" w:rsidR="002E70E0" w:rsidRPr="002E70E0" w:rsidRDefault="002E70E0" w:rsidP="002E70E0">
      <w:pPr>
        <w:pStyle w:val="ListParagraph"/>
        <w:numPr>
          <w:ilvl w:val="1"/>
          <w:numId w:val="19"/>
        </w:numPr>
        <w:jc w:val="both"/>
        <w:rPr>
          <w:rFonts w:ascii="Avenir Next" w:hAnsi="Avenir Next" w:cs="Arial"/>
          <w:color w:val="808080" w:themeColor="background1" w:themeShade="80"/>
          <w:sz w:val="22"/>
          <w:szCs w:val="22"/>
        </w:rPr>
      </w:pPr>
      <w:r w:rsidRPr="002E70E0">
        <w:rPr>
          <w:rFonts w:ascii="Avenir Next" w:hAnsi="Avenir Next" w:cs="Arial"/>
          <w:color w:val="808080" w:themeColor="background1" w:themeShade="80"/>
          <w:sz w:val="22"/>
          <w:szCs w:val="22"/>
        </w:rPr>
        <w:t xml:space="preserve">the amount of any corporation tax on chargeable gains accruing on the </w:t>
      </w:r>
      <w:proofErr w:type="spellStart"/>
      <w:r w:rsidRPr="002E70E0">
        <w:rPr>
          <w:rFonts w:ascii="Avenir Next" w:hAnsi="Avenir Next" w:cs="Arial"/>
          <w:color w:val="808080" w:themeColor="background1" w:themeShade="80"/>
          <w:sz w:val="22"/>
          <w:szCs w:val="22"/>
        </w:rPr>
        <w:t>realisation</w:t>
      </w:r>
      <w:proofErr w:type="spellEnd"/>
      <w:r w:rsidRPr="002E70E0">
        <w:rPr>
          <w:rFonts w:ascii="Avenir Next" w:hAnsi="Avenir Next" w:cs="Arial"/>
          <w:color w:val="808080" w:themeColor="background1" w:themeShade="80"/>
          <w:sz w:val="22"/>
          <w:szCs w:val="22"/>
        </w:rPr>
        <w:t xml:space="preserve"> of any asset of the company</w:t>
      </w:r>
      <w:r w:rsidR="00770EB6">
        <w:rPr>
          <w:rFonts w:ascii="Avenir Next" w:hAnsi="Avenir Next" w:cs="Arial"/>
          <w:color w:val="808080" w:themeColor="background1" w:themeShade="80"/>
          <w:sz w:val="22"/>
          <w:szCs w:val="22"/>
        </w:rPr>
        <w:t>;</w:t>
      </w:r>
    </w:p>
    <w:p w14:paraId="45D5DE88" w14:textId="4E7FDA03" w:rsidR="002E70E0" w:rsidRPr="002E70E0" w:rsidRDefault="002E70E0" w:rsidP="002E70E0">
      <w:pPr>
        <w:pStyle w:val="ListParagraph"/>
        <w:numPr>
          <w:ilvl w:val="1"/>
          <w:numId w:val="19"/>
        </w:numPr>
        <w:jc w:val="both"/>
        <w:rPr>
          <w:rFonts w:ascii="Avenir Next" w:hAnsi="Avenir Next" w:cs="Arial"/>
          <w:color w:val="808080" w:themeColor="background1" w:themeShade="80"/>
          <w:sz w:val="22"/>
          <w:szCs w:val="22"/>
        </w:rPr>
      </w:pPr>
      <w:r w:rsidRPr="002E70E0">
        <w:rPr>
          <w:rFonts w:ascii="Avenir Next" w:hAnsi="Avenir Next" w:cs="Arial"/>
          <w:color w:val="808080" w:themeColor="background1" w:themeShade="80"/>
          <w:sz w:val="22"/>
          <w:szCs w:val="22"/>
        </w:rPr>
        <w:t>the balance, after payment of any sums due under sub-paragraph (</w:t>
      </w:r>
      <w:r w:rsidR="00A57F99">
        <w:rPr>
          <w:rFonts w:ascii="Avenir Next" w:hAnsi="Avenir Next" w:cs="Arial"/>
          <w:color w:val="808080" w:themeColor="background1" w:themeShade="80"/>
          <w:sz w:val="22"/>
          <w:szCs w:val="22"/>
        </w:rPr>
        <w:t>g</w:t>
      </w:r>
      <w:r w:rsidRPr="002E70E0">
        <w:rPr>
          <w:rFonts w:ascii="Avenir Next" w:hAnsi="Avenir Next" w:cs="Arial"/>
          <w:color w:val="808080" w:themeColor="background1" w:themeShade="80"/>
          <w:sz w:val="22"/>
          <w:szCs w:val="22"/>
        </w:rPr>
        <w:t>) above, of any remuneration due to the liquidator; and</w:t>
      </w:r>
    </w:p>
    <w:p w14:paraId="1A5BF827" w14:textId="612E520B" w:rsidR="002E6BAA" w:rsidRDefault="002E70E0" w:rsidP="002E70E0">
      <w:pPr>
        <w:pStyle w:val="ListParagraph"/>
        <w:numPr>
          <w:ilvl w:val="1"/>
          <w:numId w:val="19"/>
        </w:numPr>
        <w:jc w:val="both"/>
        <w:rPr>
          <w:rFonts w:ascii="Avenir Next" w:hAnsi="Avenir Next" w:cs="Arial"/>
          <w:color w:val="808080" w:themeColor="background1" w:themeShade="80"/>
          <w:sz w:val="22"/>
          <w:szCs w:val="22"/>
        </w:rPr>
      </w:pPr>
      <w:r w:rsidRPr="002E70E0">
        <w:rPr>
          <w:rFonts w:ascii="Avenir Next" w:hAnsi="Avenir Next" w:cs="Arial"/>
          <w:color w:val="808080" w:themeColor="background1" w:themeShade="80"/>
          <w:sz w:val="22"/>
          <w:szCs w:val="22"/>
        </w:rPr>
        <w:t>any other expenses properly chargeable by the liquidator in carrying out the liquidator’s functions in the winding up.</w:t>
      </w:r>
    </w:p>
    <w:p w14:paraId="490E68B5" w14:textId="18D759BB" w:rsidR="00A57F99" w:rsidRPr="00795F63" w:rsidRDefault="00A57F99" w:rsidP="00A57F99">
      <w:pPr>
        <w:pStyle w:val="ListParagraph"/>
        <w:numPr>
          <w:ilvl w:val="0"/>
          <w:numId w:val="19"/>
        </w:numPr>
        <w:jc w:val="both"/>
        <w:rPr>
          <w:rFonts w:ascii="Avenir Next" w:hAnsi="Avenir Next" w:cs="Arial"/>
          <w:b/>
          <w:bCs/>
          <w:color w:val="808080" w:themeColor="background1" w:themeShade="80"/>
          <w:sz w:val="22"/>
          <w:szCs w:val="22"/>
        </w:rPr>
      </w:pPr>
      <w:r w:rsidRPr="00C72566">
        <w:rPr>
          <w:rFonts w:ascii="Avenir Next" w:hAnsi="Avenir Next" w:cs="Arial"/>
          <w:b/>
          <w:bCs/>
          <w:color w:val="808080" w:themeColor="background1" w:themeShade="80"/>
          <w:sz w:val="22"/>
          <w:szCs w:val="22"/>
        </w:rPr>
        <w:t>Preferential creditors</w:t>
      </w:r>
      <w:r w:rsidR="00C72566">
        <w:rPr>
          <w:rFonts w:ascii="Avenir Next" w:hAnsi="Avenir Next" w:cs="Arial"/>
          <w:color w:val="808080" w:themeColor="background1" w:themeShade="80"/>
          <w:sz w:val="22"/>
          <w:szCs w:val="22"/>
        </w:rPr>
        <w:t>. Once the expenses of the liquidation have been paid in full in the above order, the remaining assets of the company are then used, first, to pay those creditors who qualify as “preferential creditors”</w:t>
      </w:r>
      <w:r w:rsidR="00795F63">
        <w:rPr>
          <w:rFonts w:ascii="Avenir Next" w:hAnsi="Avenir Next" w:cs="Arial"/>
          <w:color w:val="808080" w:themeColor="background1" w:themeShade="80"/>
          <w:sz w:val="22"/>
          <w:szCs w:val="22"/>
        </w:rPr>
        <w:t>, as defined by sections 386 and 387 of the Act and Schedule 6: section 175</w:t>
      </w:r>
      <w:r w:rsidR="00C72566">
        <w:rPr>
          <w:rFonts w:ascii="Avenir Next" w:hAnsi="Avenir Next" w:cs="Arial"/>
          <w:color w:val="808080" w:themeColor="background1" w:themeShade="80"/>
          <w:sz w:val="22"/>
          <w:szCs w:val="22"/>
        </w:rPr>
        <w:t>. While there are significant limitations upon their claims, this category is historically largely comprised of the claims of employees</w:t>
      </w:r>
      <w:r w:rsidR="00087B8B">
        <w:rPr>
          <w:rFonts w:ascii="Avenir Next" w:hAnsi="Avenir Next" w:cs="Arial"/>
          <w:color w:val="808080" w:themeColor="background1" w:themeShade="80"/>
          <w:sz w:val="22"/>
          <w:szCs w:val="22"/>
        </w:rPr>
        <w:t xml:space="preserve">. There are two classes of preferential debts: ordinary and secondary, and they are paid in that order. </w:t>
      </w:r>
      <w:r w:rsidR="00B1765B">
        <w:rPr>
          <w:rFonts w:ascii="Avenir Next" w:hAnsi="Avenir Next" w:cs="Arial"/>
          <w:color w:val="808080" w:themeColor="background1" w:themeShade="80"/>
          <w:sz w:val="22"/>
          <w:szCs w:val="22"/>
        </w:rPr>
        <w:t xml:space="preserve">Preferential debts rank equally amongst </w:t>
      </w:r>
      <w:proofErr w:type="gramStart"/>
      <w:r w:rsidR="00B1765B">
        <w:rPr>
          <w:rFonts w:ascii="Avenir Next" w:hAnsi="Avenir Next" w:cs="Arial"/>
          <w:color w:val="808080" w:themeColor="background1" w:themeShade="80"/>
          <w:sz w:val="22"/>
          <w:szCs w:val="22"/>
        </w:rPr>
        <w:t>themselves</w:t>
      </w:r>
      <w:proofErr w:type="gramEnd"/>
      <w:r w:rsidR="00B1765B">
        <w:rPr>
          <w:rFonts w:ascii="Avenir Next" w:hAnsi="Avenir Next" w:cs="Arial"/>
          <w:color w:val="808080" w:themeColor="background1" w:themeShade="80"/>
          <w:sz w:val="22"/>
          <w:szCs w:val="22"/>
        </w:rPr>
        <w:t xml:space="preserve"> within their respective classes (</w:t>
      </w:r>
      <w:proofErr w:type="gramStart"/>
      <w:r w:rsidR="00B1765B">
        <w:rPr>
          <w:rFonts w:ascii="Avenir Next" w:hAnsi="Avenir Next" w:cs="Arial"/>
          <w:color w:val="808080" w:themeColor="background1" w:themeShade="80"/>
          <w:sz w:val="22"/>
          <w:szCs w:val="22"/>
        </w:rPr>
        <w:t>i.e.</w:t>
      </w:r>
      <w:proofErr w:type="gramEnd"/>
      <w:r w:rsidR="00B1765B">
        <w:rPr>
          <w:rFonts w:ascii="Avenir Next" w:hAnsi="Avenir Next" w:cs="Arial"/>
          <w:color w:val="808080" w:themeColor="background1" w:themeShade="80"/>
          <w:sz w:val="22"/>
          <w:szCs w:val="22"/>
        </w:rPr>
        <w:t xml:space="preserve"> ordinary and secondary) and are abated in equal proportions where the company’s assets are insufficient to pay them all. </w:t>
      </w:r>
    </w:p>
    <w:p w14:paraId="4088C5B2" w14:textId="234054DD" w:rsidR="00795F63" w:rsidRPr="006922C8" w:rsidRDefault="00795F63" w:rsidP="00795F63">
      <w:pPr>
        <w:pStyle w:val="ListParagraph"/>
        <w:numPr>
          <w:ilvl w:val="1"/>
          <w:numId w:val="19"/>
        </w:numPr>
        <w:jc w:val="both"/>
        <w:rPr>
          <w:rFonts w:ascii="Avenir Next" w:hAnsi="Avenir Next" w:cs="Arial"/>
          <w:b/>
          <w:bCs/>
          <w:color w:val="808080" w:themeColor="background1" w:themeShade="80"/>
          <w:sz w:val="22"/>
          <w:szCs w:val="22"/>
        </w:rPr>
      </w:pPr>
      <w:r>
        <w:rPr>
          <w:rFonts w:ascii="Avenir Next" w:hAnsi="Avenir Next" w:cs="Arial"/>
          <w:b/>
          <w:bCs/>
          <w:color w:val="808080" w:themeColor="background1" w:themeShade="80"/>
          <w:sz w:val="22"/>
          <w:szCs w:val="22"/>
        </w:rPr>
        <w:t>Ordinary preferential debts</w:t>
      </w:r>
      <w:r>
        <w:rPr>
          <w:rFonts w:ascii="Avenir Next" w:hAnsi="Avenir Next" w:cs="Arial"/>
          <w:color w:val="808080" w:themeColor="background1" w:themeShade="80"/>
          <w:sz w:val="22"/>
          <w:szCs w:val="22"/>
        </w:rPr>
        <w:t xml:space="preserve"> are comprised of the following</w:t>
      </w:r>
      <w:r w:rsidR="006922C8">
        <w:rPr>
          <w:rFonts w:ascii="Avenir Next" w:hAnsi="Avenir Next" w:cs="Arial"/>
          <w:color w:val="808080" w:themeColor="background1" w:themeShade="80"/>
          <w:sz w:val="22"/>
          <w:szCs w:val="22"/>
        </w:rPr>
        <w:t xml:space="preserve"> obligations, as listed under Schedule 6 of the Act:</w:t>
      </w:r>
    </w:p>
    <w:p w14:paraId="4805C01C" w14:textId="7F84DBB6" w:rsidR="006922C8" w:rsidRPr="00663C72" w:rsidRDefault="00D81E28" w:rsidP="006922C8">
      <w:pPr>
        <w:pStyle w:val="ListParagraph"/>
        <w:numPr>
          <w:ilvl w:val="2"/>
          <w:numId w:val="19"/>
        </w:numPr>
        <w:jc w:val="both"/>
        <w:rPr>
          <w:rFonts w:ascii="Avenir Next" w:hAnsi="Avenir Next" w:cs="Arial"/>
          <w:b/>
          <w:bCs/>
          <w:color w:val="808080" w:themeColor="background1" w:themeShade="80"/>
          <w:sz w:val="22"/>
          <w:szCs w:val="22"/>
        </w:rPr>
      </w:pPr>
      <w:r>
        <w:rPr>
          <w:rFonts w:ascii="Avenir Next" w:hAnsi="Avenir Next" w:cs="Arial"/>
          <w:color w:val="808080" w:themeColor="background1" w:themeShade="80"/>
          <w:sz w:val="22"/>
          <w:szCs w:val="22"/>
        </w:rPr>
        <w:t xml:space="preserve">Any sum owed on account on an employee’s contribution to </w:t>
      </w:r>
      <w:r w:rsidR="00663C72">
        <w:rPr>
          <w:rFonts w:ascii="Avenir Next" w:hAnsi="Avenir Next" w:cs="Arial"/>
          <w:color w:val="808080" w:themeColor="background1" w:themeShade="80"/>
          <w:sz w:val="22"/>
          <w:szCs w:val="22"/>
        </w:rPr>
        <w:t>an occupational pension scheme, deducted from earnings of the company’s employees paid in the period of 4 months prior to the commencement of the winding up;</w:t>
      </w:r>
    </w:p>
    <w:p w14:paraId="26EDD087" w14:textId="3F807ED4" w:rsidR="00663C72" w:rsidRPr="00663C72" w:rsidRDefault="00663C72" w:rsidP="006922C8">
      <w:pPr>
        <w:pStyle w:val="ListParagraph"/>
        <w:numPr>
          <w:ilvl w:val="2"/>
          <w:numId w:val="19"/>
        </w:numPr>
        <w:jc w:val="both"/>
        <w:rPr>
          <w:rFonts w:ascii="Avenir Next" w:hAnsi="Avenir Next" w:cs="Arial"/>
          <w:b/>
          <w:bCs/>
          <w:color w:val="808080" w:themeColor="background1" w:themeShade="80"/>
          <w:sz w:val="22"/>
          <w:szCs w:val="22"/>
        </w:rPr>
      </w:pPr>
      <w:r>
        <w:rPr>
          <w:rFonts w:ascii="Avenir Next" w:hAnsi="Avenir Next" w:cs="Arial"/>
          <w:color w:val="808080" w:themeColor="background1" w:themeShade="80"/>
          <w:sz w:val="22"/>
          <w:szCs w:val="22"/>
        </w:rPr>
        <w:t xml:space="preserve">Any sum owed by the company on account of an employer’s contribution to an occupational pension scheme in the </w:t>
      </w:r>
      <w:proofErr w:type="gramStart"/>
      <w:r>
        <w:rPr>
          <w:rFonts w:ascii="Avenir Next" w:hAnsi="Avenir Next" w:cs="Arial"/>
          <w:color w:val="808080" w:themeColor="background1" w:themeShade="80"/>
          <w:sz w:val="22"/>
          <w:szCs w:val="22"/>
        </w:rPr>
        <w:t>12 month</w:t>
      </w:r>
      <w:proofErr w:type="gramEnd"/>
      <w:r>
        <w:rPr>
          <w:rFonts w:ascii="Avenir Next" w:hAnsi="Avenir Next" w:cs="Arial"/>
          <w:color w:val="808080" w:themeColor="background1" w:themeShade="80"/>
          <w:sz w:val="22"/>
          <w:szCs w:val="22"/>
        </w:rPr>
        <w:t xml:space="preserve"> period before the relevant date;</w:t>
      </w:r>
    </w:p>
    <w:p w14:paraId="3F8E6754" w14:textId="2767E793" w:rsidR="00663C72" w:rsidRPr="00663C72" w:rsidRDefault="00663C72" w:rsidP="006922C8">
      <w:pPr>
        <w:pStyle w:val="ListParagraph"/>
        <w:numPr>
          <w:ilvl w:val="2"/>
          <w:numId w:val="19"/>
        </w:numPr>
        <w:jc w:val="both"/>
        <w:rPr>
          <w:rFonts w:ascii="Avenir Next" w:hAnsi="Avenir Next" w:cs="Arial"/>
          <w:b/>
          <w:bCs/>
          <w:color w:val="808080" w:themeColor="background1" w:themeShade="80"/>
          <w:sz w:val="22"/>
          <w:szCs w:val="22"/>
        </w:rPr>
      </w:pPr>
      <w:r>
        <w:rPr>
          <w:rFonts w:ascii="Avenir Next" w:hAnsi="Avenir Next" w:cs="Arial"/>
          <w:color w:val="808080" w:themeColor="background1" w:themeShade="80"/>
          <w:sz w:val="22"/>
          <w:szCs w:val="22"/>
        </w:rPr>
        <w:t>Remuneration owed by the company to a person who is/has been an employee and is payable in respect of the whole or any part of the period of 4 moths prior to the commencement of the winding-up, up to 800GBP;</w:t>
      </w:r>
    </w:p>
    <w:p w14:paraId="582BC340" w14:textId="47A2CBF3" w:rsidR="00663C72" w:rsidRPr="002A6B91" w:rsidRDefault="00663C72" w:rsidP="006922C8">
      <w:pPr>
        <w:pStyle w:val="ListParagraph"/>
        <w:numPr>
          <w:ilvl w:val="2"/>
          <w:numId w:val="19"/>
        </w:numPr>
        <w:jc w:val="both"/>
        <w:rPr>
          <w:rFonts w:ascii="Avenir Next" w:hAnsi="Avenir Next" w:cs="Arial"/>
          <w:b/>
          <w:bCs/>
          <w:color w:val="808080" w:themeColor="background1" w:themeShade="80"/>
          <w:sz w:val="22"/>
          <w:szCs w:val="22"/>
        </w:rPr>
      </w:pPr>
      <w:r>
        <w:rPr>
          <w:rFonts w:ascii="Avenir Next" w:hAnsi="Avenir Next" w:cs="Arial"/>
          <w:color w:val="808080" w:themeColor="background1" w:themeShade="80"/>
          <w:sz w:val="22"/>
          <w:szCs w:val="22"/>
        </w:rPr>
        <w:t xml:space="preserve">Any amounts owed by way of accrued holiday remuneration </w:t>
      </w:r>
      <w:r w:rsidR="002A6B91">
        <w:rPr>
          <w:rFonts w:ascii="Avenir Next" w:hAnsi="Avenir Next" w:cs="Arial"/>
          <w:color w:val="808080" w:themeColor="background1" w:themeShade="80"/>
          <w:sz w:val="22"/>
          <w:szCs w:val="22"/>
        </w:rPr>
        <w:t>before the winding-</w:t>
      </w:r>
      <w:proofErr w:type="gramStart"/>
      <w:r w:rsidR="002A6B91">
        <w:rPr>
          <w:rFonts w:ascii="Avenir Next" w:hAnsi="Avenir Next" w:cs="Arial"/>
          <w:color w:val="808080" w:themeColor="background1" w:themeShade="80"/>
          <w:sz w:val="22"/>
          <w:szCs w:val="22"/>
        </w:rPr>
        <w:t>up</w:t>
      </w:r>
      <w:r w:rsidR="00321FCE">
        <w:rPr>
          <w:rFonts w:ascii="Avenir Next" w:hAnsi="Avenir Next" w:cs="Arial"/>
          <w:color w:val="808080" w:themeColor="background1" w:themeShade="80"/>
          <w:sz w:val="22"/>
          <w:szCs w:val="22"/>
        </w:rPr>
        <w:t>;</w:t>
      </w:r>
      <w:proofErr w:type="gramEnd"/>
      <w:r w:rsidR="002A6B91">
        <w:rPr>
          <w:rFonts w:ascii="Avenir Next" w:hAnsi="Avenir Next" w:cs="Arial"/>
          <w:color w:val="808080" w:themeColor="background1" w:themeShade="80"/>
          <w:sz w:val="22"/>
          <w:szCs w:val="22"/>
        </w:rPr>
        <w:t xml:space="preserve"> </w:t>
      </w:r>
    </w:p>
    <w:p w14:paraId="7ABDF9B1" w14:textId="0E3DD094" w:rsidR="002A6B91" w:rsidRPr="006551D1" w:rsidRDefault="002A6B91" w:rsidP="006922C8">
      <w:pPr>
        <w:pStyle w:val="ListParagraph"/>
        <w:numPr>
          <w:ilvl w:val="2"/>
          <w:numId w:val="19"/>
        </w:numPr>
        <w:jc w:val="both"/>
        <w:rPr>
          <w:rFonts w:ascii="Avenir Next" w:hAnsi="Avenir Next" w:cs="Arial"/>
          <w:b/>
          <w:bCs/>
          <w:color w:val="808080" w:themeColor="background1" w:themeShade="80"/>
          <w:sz w:val="22"/>
          <w:szCs w:val="22"/>
        </w:rPr>
      </w:pPr>
      <w:r>
        <w:rPr>
          <w:rFonts w:ascii="Avenir Next" w:hAnsi="Avenir Next" w:cs="Arial"/>
          <w:color w:val="808080" w:themeColor="background1" w:themeShade="80"/>
          <w:sz w:val="22"/>
          <w:szCs w:val="22"/>
        </w:rPr>
        <w:t xml:space="preserve">Claims for monies advanced to pay wages or holiday </w:t>
      </w:r>
      <w:proofErr w:type="gramStart"/>
      <w:r>
        <w:rPr>
          <w:rFonts w:ascii="Avenir Next" w:hAnsi="Avenir Next" w:cs="Arial"/>
          <w:color w:val="808080" w:themeColor="background1" w:themeShade="80"/>
          <w:sz w:val="22"/>
          <w:szCs w:val="22"/>
        </w:rPr>
        <w:t>remuneration</w:t>
      </w:r>
      <w:proofErr w:type="gramEnd"/>
      <w:r>
        <w:rPr>
          <w:rFonts w:ascii="Avenir Next" w:hAnsi="Avenir Next" w:cs="Arial"/>
          <w:color w:val="808080" w:themeColor="background1" w:themeShade="80"/>
          <w:sz w:val="22"/>
          <w:szCs w:val="22"/>
        </w:rPr>
        <w:t xml:space="preserve"> </w:t>
      </w:r>
    </w:p>
    <w:p w14:paraId="74777D87" w14:textId="4B76F867" w:rsidR="006551D1" w:rsidRPr="006551D1" w:rsidRDefault="006551D1" w:rsidP="006922C8">
      <w:pPr>
        <w:pStyle w:val="ListParagraph"/>
        <w:numPr>
          <w:ilvl w:val="2"/>
          <w:numId w:val="19"/>
        </w:numPr>
        <w:jc w:val="both"/>
        <w:rPr>
          <w:rFonts w:ascii="Avenir Next" w:hAnsi="Avenir Next" w:cs="Arial"/>
          <w:b/>
          <w:bCs/>
          <w:color w:val="808080" w:themeColor="background1" w:themeShade="80"/>
          <w:sz w:val="22"/>
          <w:szCs w:val="22"/>
        </w:rPr>
      </w:pPr>
      <w:r>
        <w:rPr>
          <w:rFonts w:ascii="Avenir Next" w:hAnsi="Avenir Next" w:cs="Arial"/>
          <w:color w:val="808080" w:themeColor="background1" w:themeShade="80"/>
          <w:sz w:val="22"/>
          <w:szCs w:val="22"/>
        </w:rPr>
        <w:t>Levies on the production of coal and steal (referred to in the European Coal and Steel Community Treaty</w:t>
      </w:r>
      <w:proofErr w:type="gramStart"/>
      <w:r>
        <w:rPr>
          <w:rFonts w:ascii="Avenir Next" w:hAnsi="Avenir Next" w:cs="Arial"/>
          <w:color w:val="808080" w:themeColor="background1" w:themeShade="80"/>
          <w:sz w:val="22"/>
          <w:szCs w:val="22"/>
        </w:rPr>
        <w:t>)</w:t>
      </w:r>
      <w:r w:rsidR="00321FCE">
        <w:rPr>
          <w:rFonts w:ascii="Avenir Next" w:hAnsi="Avenir Next" w:cs="Arial"/>
          <w:color w:val="808080" w:themeColor="background1" w:themeShade="80"/>
          <w:sz w:val="22"/>
          <w:szCs w:val="22"/>
        </w:rPr>
        <w:t>;</w:t>
      </w:r>
      <w:proofErr w:type="gramEnd"/>
    </w:p>
    <w:p w14:paraId="52219AC3" w14:textId="4B9AD4A0" w:rsidR="006551D1" w:rsidRPr="006551D1" w:rsidRDefault="006551D1" w:rsidP="006922C8">
      <w:pPr>
        <w:pStyle w:val="ListParagraph"/>
        <w:numPr>
          <w:ilvl w:val="2"/>
          <w:numId w:val="19"/>
        </w:numPr>
        <w:jc w:val="both"/>
        <w:rPr>
          <w:rFonts w:ascii="Avenir Next" w:hAnsi="Avenir Next" w:cs="Arial"/>
          <w:b/>
          <w:bCs/>
          <w:color w:val="808080" w:themeColor="background1" w:themeShade="80"/>
          <w:sz w:val="22"/>
          <w:szCs w:val="22"/>
        </w:rPr>
      </w:pPr>
      <w:r>
        <w:rPr>
          <w:rFonts w:ascii="Avenir Next" w:hAnsi="Avenir Next" w:cs="Arial"/>
          <w:color w:val="808080" w:themeColor="background1" w:themeShade="80"/>
          <w:sz w:val="22"/>
          <w:szCs w:val="22"/>
        </w:rPr>
        <w:t xml:space="preserve">Claims for an amount ordered to be paid by the company under the Reserve Forces (Safeguard Employment) Act in respect of a default made by the company in its discharge of its obligations </w:t>
      </w:r>
      <w:proofErr w:type="gramStart"/>
      <w:r>
        <w:rPr>
          <w:rFonts w:ascii="Avenir Next" w:hAnsi="Avenir Next" w:cs="Arial"/>
          <w:color w:val="808080" w:themeColor="background1" w:themeShade="80"/>
          <w:sz w:val="22"/>
          <w:szCs w:val="22"/>
        </w:rPr>
        <w:t>thereunder;</w:t>
      </w:r>
      <w:proofErr w:type="gramEnd"/>
    </w:p>
    <w:p w14:paraId="0DDBD100" w14:textId="0373FF00" w:rsidR="006551D1" w:rsidRPr="00321FCE" w:rsidRDefault="00976419" w:rsidP="006922C8">
      <w:pPr>
        <w:pStyle w:val="ListParagraph"/>
        <w:numPr>
          <w:ilvl w:val="2"/>
          <w:numId w:val="19"/>
        </w:numPr>
        <w:jc w:val="both"/>
        <w:rPr>
          <w:rFonts w:ascii="Avenir Next" w:hAnsi="Avenir Next" w:cs="Arial"/>
          <w:b/>
          <w:bCs/>
          <w:color w:val="808080" w:themeColor="background1" w:themeShade="80"/>
          <w:sz w:val="22"/>
          <w:szCs w:val="22"/>
        </w:rPr>
      </w:pPr>
      <w:r>
        <w:rPr>
          <w:rFonts w:ascii="Avenir Next" w:hAnsi="Avenir Next" w:cs="Arial"/>
          <w:color w:val="808080" w:themeColor="background1" w:themeShade="80"/>
          <w:sz w:val="22"/>
          <w:szCs w:val="22"/>
        </w:rPr>
        <w:t xml:space="preserve">So much of any amount owed by the company in respect of an eligible deposit as does not exceed the compensation that would be payable in respect of the </w:t>
      </w:r>
      <w:r>
        <w:rPr>
          <w:rFonts w:ascii="Avenir Next" w:hAnsi="Avenir Next" w:cs="Arial"/>
          <w:color w:val="808080" w:themeColor="background1" w:themeShade="80"/>
          <w:sz w:val="22"/>
          <w:szCs w:val="22"/>
        </w:rPr>
        <w:lastRenderedPageBreak/>
        <w:t>deposit under the Financial Services Compensation Scheme</w:t>
      </w:r>
      <w:r w:rsidR="008D69A9">
        <w:rPr>
          <w:rFonts w:ascii="Avenir Next" w:hAnsi="Avenir Next" w:cs="Arial"/>
          <w:color w:val="808080" w:themeColor="background1" w:themeShade="80"/>
          <w:sz w:val="22"/>
          <w:szCs w:val="22"/>
        </w:rPr>
        <w:t xml:space="preserve"> (“FSCS”)</w:t>
      </w:r>
      <w:r>
        <w:rPr>
          <w:rFonts w:ascii="Avenir Next" w:hAnsi="Avenir Next" w:cs="Arial"/>
          <w:color w:val="808080" w:themeColor="background1" w:themeShade="80"/>
          <w:sz w:val="22"/>
          <w:szCs w:val="22"/>
        </w:rPr>
        <w:t xml:space="preserve"> to the person to whom it</w:t>
      </w:r>
      <w:r w:rsidR="00321FCE">
        <w:rPr>
          <w:rFonts w:ascii="Avenir Next" w:hAnsi="Avenir Next" w:cs="Arial"/>
          <w:color w:val="808080" w:themeColor="background1" w:themeShade="80"/>
          <w:sz w:val="22"/>
          <w:szCs w:val="22"/>
        </w:rPr>
        <w:t xml:space="preserve"> is</w:t>
      </w:r>
      <w:r>
        <w:rPr>
          <w:rFonts w:ascii="Avenir Next" w:hAnsi="Avenir Next" w:cs="Arial"/>
          <w:color w:val="808080" w:themeColor="background1" w:themeShade="80"/>
          <w:sz w:val="22"/>
          <w:szCs w:val="22"/>
        </w:rPr>
        <w:t xml:space="preserve"> </w:t>
      </w:r>
      <w:proofErr w:type="gramStart"/>
      <w:r>
        <w:rPr>
          <w:rFonts w:ascii="Avenir Next" w:hAnsi="Avenir Next" w:cs="Arial"/>
          <w:color w:val="808080" w:themeColor="background1" w:themeShade="80"/>
          <w:sz w:val="22"/>
          <w:szCs w:val="22"/>
        </w:rPr>
        <w:t>owed</w:t>
      </w:r>
      <w:r w:rsidR="00321FCE">
        <w:rPr>
          <w:rFonts w:ascii="Avenir Next" w:hAnsi="Avenir Next" w:cs="Arial"/>
          <w:color w:val="808080" w:themeColor="background1" w:themeShade="80"/>
          <w:sz w:val="22"/>
          <w:szCs w:val="22"/>
        </w:rPr>
        <w:t>;</w:t>
      </w:r>
      <w:proofErr w:type="gramEnd"/>
    </w:p>
    <w:p w14:paraId="6C08EE30" w14:textId="0BEA3AFE" w:rsidR="00321FCE" w:rsidRPr="004C7453" w:rsidRDefault="004C7453" w:rsidP="00321FCE">
      <w:pPr>
        <w:pStyle w:val="ListParagraph"/>
        <w:numPr>
          <w:ilvl w:val="1"/>
          <w:numId w:val="19"/>
        </w:numPr>
        <w:jc w:val="both"/>
        <w:rPr>
          <w:rFonts w:ascii="Avenir Next" w:hAnsi="Avenir Next" w:cs="Arial"/>
          <w:b/>
          <w:bCs/>
          <w:color w:val="808080" w:themeColor="background1" w:themeShade="80"/>
          <w:sz w:val="22"/>
          <w:szCs w:val="22"/>
        </w:rPr>
      </w:pPr>
      <w:r w:rsidRPr="004C7453">
        <w:rPr>
          <w:rFonts w:ascii="Avenir Next" w:hAnsi="Avenir Next" w:cs="Arial"/>
          <w:b/>
          <w:bCs/>
          <w:color w:val="808080" w:themeColor="background1" w:themeShade="80"/>
          <w:sz w:val="22"/>
          <w:szCs w:val="22"/>
        </w:rPr>
        <w:t>Secondary preferential debts</w:t>
      </w:r>
      <w:r>
        <w:rPr>
          <w:rFonts w:ascii="Avenir Next" w:hAnsi="Avenir Next" w:cs="Arial"/>
          <w:color w:val="808080" w:themeColor="background1" w:themeShade="80"/>
          <w:sz w:val="22"/>
          <w:szCs w:val="22"/>
        </w:rPr>
        <w:t>, which will be paid once the ordinary preferential debts listed above are satisfied, and prorated amongst themselves if there are insufficient assets to satisfy them all in full, are comprised of the following obligations</w:t>
      </w:r>
      <w:r w:rsidR="00E27846">
        <w:rPr>
          <w:rFonts w:ascii="Avenir Next" w:hAnsi="Avenir Next" w:cs="Arial"/>
          <w:color w:val="808080" w:themeColor="background1" w:themeShade="80"/>
          <w:sz w:val="22"/>
          <w:szCs w:val="22"/>
        </w:rPr>
        <w:t>, as per section 386 of the Act</w:t>
      </w:r>
      <w:r>
        <w:rPr>
          <w:rFonts w:ascii="Avenir Next" w:hAnsi="Avenir Next" w:cs="Arial"/>
          <w:color w:val="808080" w:themeColor="background1" w:themeShade="80"/>
          <w:sz w:val="22"/>
          <w:szCs w:val="22"/>
        </w:rPr>
        <w:t>:</w:t>
      </w:r>
    </w:p>
    <w:p w14:paraId="22588720" w14:textId="446DE2EC" w:rsidR="004C7453" w:rsidRPr="008D69A9" w:rsidRDefault="008D69A9" w:rsidP="004C7453">
      <w:pPr>
        <w:pStyle w:val="ListParagraph"/>
        <w:numPr>
          <w:ilvl w:val="2"/>
          <w:numId w:val="19"/>
        </w:numPr>
        <w:jc w:val="both"/>
        <w:rPr>
          <w:rFonts w:ascii="Avenir Next" w:hAnsi="Avenir Next" w:cs="Arial"/>
          <w:b/>
          <w:bCs/>
          <w:color w:val="808080" w:themeColor="background1" w:themeShade="80"/>
          <w:sz w:val="22"/>
          <w:szCs w:val="22"/>
        </w:rPr>
      </w:pPr>
      <w:r>
        <w:rPr>
          <w:rFonts w:ascii="Avenir Next" w:hAnsi="Avenir Next" w:cs="Arial"/>
          <w:color w:val="808080" w:themeColor="background1" w:themeShade="80"/>
          <w:sz w:val="22"/>
          <w:szCs w:val="22"/>
        </w:rPr>
        <w:t>So much of any amount owed by the company to one or more eligible persons in respect of an eligible deposit as exceeds any compensation that would be payable in respect of the deposit under the FDCS to that person;</w:t>
      </w:r>
    </w:p>
    <w:p w14:paraId="46A7522C" w14:textId="43ACDC22" w:rsidR="008D69A9" w:rsidRPr="00E27846" w:rsidRDefault="008D69A9" w:rsidP="004C7453">
      <w:pPr>
        <w:pStyle w:val="ListParagraph"/>
        <w:numPr>
          <w:ilvl w:val="2"/>
          <w:numId w:val="19"/>
        </w:numPr>
        <w:jc w:val="both"/>
        <w:rPr>
          <w:rFonts w:ascii="Avenir Next" w:hAnsi="Avenir Next" w:cs="Arial"/>
          <w:b/>
          <w:bCs/>
          <w:color w:val="808080" w:themeColor="background1" w:themeShade="80"/>
          <w:sz w:val="22"/>
          <w:szCs w:val="22"/>
        </w:rPr>
      </w:pPr>
      <w:r>
        <w:rPr>
          <w:rFonts w:ascii="Avenir Next" w:hAnsi="Avenir Next" w:cs="Arial"/>
          <w:color w:val="808080" w:themeColor="background1" w:themeShade="80"/>
          <w:sz w:val="22"/>
          <w:szCs w:val="22"/>
        </w:rPr>
        <w:t xml:space="preserve">An amount owed by the company to one or more eligible persons in respect of a deposit that, (a) was made through a non-UK branch of a credit institution authorized by the competent authority of the </w:t>
      </w:r>
      <w:r w:rsidR="00E27846">
        <w:rPr>
          <w:rFonts w:ascii="Avenir Next" w:hAnsi="Avenir Next" w:cs="Arial"/>
          <w:color w:val="808080" w:themeColor="background1" w:themeShade="80"/>
          <w:sz w:val="22"/>
          <w:szCs w:val="22"/>
        </w:rPr>
        <w:t>UK; and (b) would have been an eligible deposit if it had been made through a UK branch of that credit institution.</w:t>
      </w:r>
    </w:p>
    <w:p w14:paraId="5985D293" w14:textId="33E5E410" w:rsidR="00E27846" w:rsidRPr="00E27846" w:rsidRDefault="00E27846" w:rsidP="004C7453">
      <w:pPr>
        <w:pStyle w:val="ListParagraph"/>
        <w:numPr>
          <w:ilvl w:val="2"/>
          <w:numId w:val="19"/>
        </w:numPr>
        <w:jc w:val="both"/>
        <w:rPr>
          <w:rFonts w:ascii="Avenir Next" w:hAnsi="Avenir Next" w:cs="Arial"/>
          <w:b/>
          <w:bCs/>
          <w:color w:val="808080" w:themeColor="background1" w:themeShade="80"/>
          <w:sz w:val="22"/>
          <w:szCs w:val="22"/>
        </w:rPr>
      </w:pPr>
      <w:r>
        <w:rPr>
          <w:rFonts w:ascii="Avenir Next" w:hAnsi="Avenir Next" w:cs="Arial"/>
          <w:color w:val="808080" w:themeColor="background1" w:themeShade="80"/>
          <w:sz w:val="22"/>
          <w:szCs w:val="22"/>
        </w:rPr>
        <w:t xml:space="preserve">PAYE income tax deductions, national insurance deductions, VAT payments, Construction Industry Scheme deduction and student loan repayments. </w:t>
      </w:r>
    </w:p>
    <w:p w14:paraId="156AFFB9" w14:textId="6B47E7A8" w:rsidR="00E27846" w:rsidRPr="00931141" w:rsidRDefault="00E27846" w:rsidP="00E27846">
      <w:pPr>
        <w:pStyle w:val="ListParagraph"/>
        <w:numPr>
          <w:ilvl w:val="0"/>
          <w:numId w:val="19"/>
        </w:numPr>
        <w:jc w:val="both"/>
        <w:rPr>
          <w:rFonts w:ascii="Avenir Next" w:hAnsi="Avenir Next" w:cs="Arial"/>
          <w:b/>
          <w:bCs/>
          <w:color w:val="808080" w:themeColor="background1" w:themeShade="80"/>
          <w:sz w:val="22"/>
          <w:szCs w:val="22"/>
        </w:rPr>
      </w:pPr>
      <w:r>
        <w:rPr>
          <w:rFonts w:ascii="Avenir Next" w:hAnsi="Avenir Next" w:cs="Arial"/>
          <w:b/>
          <w:bCs/>
          <w:color w:val="808080" w:themeColor="background1" w:themeShade="80"/>
          <w:sz w:val="22"/>
          <w:szCs w:val="22"/>
        </w:rPr>
        <w:t>Floating charge holder</w:t>
      </w:r>
      <w:r>
        <w:rPr>
          <w:rFonts w:ascii="Avenir Next" w:hAnsi="Avenir Next" w:cs="Arial"/>
          <w:color w:val="808080" w:themeColor="background1" w:themeShade="80"/>
          <w:sz w:val="22"/>
          <w:szCs w:val="22"/>
        </w:rPr>
        <w:t xml:space="preserve">. </w:t>
      </w:r>
      <w:r w:rsidR="007A5324">
        <w:rPr>
          <w:rFonts w:ascii="Avenir Next" w:hAnsi="Avenir Next" w:cs="Arial"/>
          <w:color w:val="808080" w:themeColor="background1" w:themeShade="80"/>
          <w:sz w:val="22"/>
          <w:szCs w:val="22"/>
        </w:rPr>
        <w:t xml:space="preserve">Once the debts of all preferential creditors (both ordinary and secondary) have been repaid, floating charge holders will be paid. </w:t>
      </w:r>
      <w:r w:rsidR="00544B98">
        <w:rPr>
          <w:rFonts w:ascii="Avenir Next" w:hAnsi="Avenir Next" w:cs="Arial"/>
          <w:color w:val="808080" w:themeColor="background1" w:themeShade="80"/>
          <w:sz w:val="22"/>
          <w:szCs w:val="22"/>
        </w:rPr>
        <w:t xml:space="preserve">If there is more than one floating charge holder, priority between them will generally be determined by the date on which the charge was created, with the earlier in time being given priority. However, it should be noted that, before payments ca be made to floating charge holders, the liquidator must give due consideration to section 176A of the Act, which applies to all companies now in liquidation with floating charges that were created on or after September 15, 2003. By this section, the liquidator is obliged to </w:t>
      </w:r>
      <w:r w:rsidR="008D5E40">
        <w:rPr>
          <w:rFonts w:ascii="Avenir Next" w:hAnsi="Avenir Next" w:cs="Arial"/>
          <w:color w:val="808080" w:themeColor="background1" w:themeShade="80"/>
          <w:sz w:val="22"/>
          <w:szCs w:val="22"/>
        </w:rPr>
        <w:t>make a “prescribed part” of the net property of the company available for the satisfaction of claims of unsecured creditors</w:t>
      </w:r>
      <w:r w:rsidR="004E4257">
        <w:rPr>
          <w:rFonts w:ascii="Avenir Next" w:hAnsi="Avenir Next" w:cs="Arial"/>
          <w:color w:val="808080" w:themeColor="background1" w:themeShade="80"/>
          <w:sz w:val="22"/>
          <w:szCs w:val="22"/>
        </w:rPr>
        <w:t xml:space="preserve"> and must ensure that this prescribed part is retained and not distributed to a floating charge holder</w:t>
      </w:r>
      <w:r w:rsidR="00C763E5">
        <w:rPr>
          <w:rFonts w:ascii="Avenir Next" w:hAnsi="Avenir Next" w:cs="Arial"/>
          <w:color w:val="808080" w:themeColor="background1" w:themeShade="80"/>
          <w:sz w:val="22"/>
          <w:szCs w:val="22"/>
        </w:rPr>
        <w:t>. The company’s “net property” is calculated after the expenses of the liquidation and preferential creditors have been paid, and is comprised of the company’s property that would otherwise be available for the satisfaction of debts of floating charge holders</w:t>
      </w:r>
      <w:r w:rsidR="00F561A9">
        <w:rPr>
          <w:rFonts w:ascii="Avenir Next" w:hAnsi="Avenir Next" w:cs="Arial"/>
          <w:color w:val="808080" w:themeColor="background1" w:themeShade="80"/>
          <w:sz w:val="22"/>
          <w:szCs w:val="22"/>
        </w:rPr>
        <w:t xml:space="preserve"> (if there was not a requirement to retain the prescribed part). When the company’s net property is GBP 10,000 or less, the prescribed part is 50% of that property, but the liquidator retains </w:t>
      </w:r>
      <w:r w:rsidR="00B961EF">
        <w:rPr>
          <w:rFonts w:ascii="Avenir Next" w:hAnsi="Avenir Next" w:cs="Arial"/>
          <w:color w:val="808080" w:themeColor="background1" w:themeShade="80"/>
          <w:sz w:val="22"/>
          <w:szCs w:val="22"/>
        </w:rPr>
        <w:t xml:space="preserve">a discretion not to distribute the prescribed part to unsecured creditors where the net property is less than GBP 10,000 and making a distribution to unsecured creditors would be disproportionate to the benefits. Where the company’s net property exceeds GBP 10,000, the prescribed part is 50% of the first GBP 10,000, plus 20% of the excess, subject to a maximum amount of the prescribed part of GBP 800,000. Once the prescribed part has been accounted for, where applicable, floating charge holders </w:t>
      </w:r>
      <w:r w:rsidR="00931141">
        <w:rPr>
          <w:rFonts w:ascii="Avenir Next" w:hAnsi="Avenir Next" w:cs="Arial"/>
          <w:color w:val="808080" w:themeColor="background1" w:themeShade="80"/>
          <w:sz w:val="22"/>
          <w:szCs w:val="22"/>
        </w:rPr>
        <w:t>will be repaid the remainder of their claim. It should be noted that a floating charge holder or any secured creditors who may be owed an outstanding unsecured balance is not permitted to participate in the distribution of the prescribed part (</w:t>
      </w:r>
      <w:proofErr w:type="spellStart"/>
      <w:r w:rsidR="00931141">
        <w:rPr>
          <w:rFonts w:ascii="Avenir Next" w:hAnsi="Avenir Next" w:cs="Arial"/>
          <w:i/>
          <w:iCs/>
          <w:color w:val="808080" w:themeColor="background1" w:themeShade="80"/>
          <w:sz w:val="22"/>
          <w:szCs w:val="22"/>
        </w:rPr>
        <w:t>Thorniley</w:t>
      </w:r>
      <w:proofErr w:type="spellEnd"/>
      <w:r w:rsidR="00931141">
        <w:rPr>
          <w:rFonts w:ascii="Avenir Next" w:hAnsi="Avenir Next" w:cs="Arial"/>
          <w:i/>
          <w:iCs/>
          <w:color w:val="808080" w:themeColor="background1" w:themeShade="80"/>
          <w:sz w:val="22"/>
          <w:szCs w:val="22"/>
        </w:rPr>
        <w:t xml:space="preserve"> v Harris [2008] EWHC 124 (Ch)</w:t>
      </w:r>
      <w:r w:rsidR="00931141">
        <w:rPr>
          <w:rFonts w:ascii="Avenir Next" w:hAnsi="Avenir Next" w:cs="Arial"/>
          <w:color w:val="808080" w:themeColor="background1" w:themeShade="80"/>
          <w:sz w:val="22"/>
          <w:szCs w:val="22"/>
        </w:rPr>
        <w:t xml:space="preserve">). </w:t>
      </w:r>
    </w:p>
    <w:p w14:paraId="408F062D" w14:textId="17E0AF66" w:rsidR="00931141" w:rsidRPr="00925A1D" w:rsidRDefault="00931141" w:rsidP="00E27846">
      <w:pPr>
        <w:pStyle w:val="ListParagraph"/>
        <w:numPr>
          <w:ilvl w:val="0"/>
          <w:numId w:val="19"/>
        </w:numPr>
        <w:jc w:val="both"/>
        <w:rPr>
          <w:rFonts w:ascii="Avenir Next" w:hAnsi="Avenir Next" w:cs="Arial"/>
          <w:b/>
          <w:bCs/>
          <w:color w:val="808080" w:themeColor="background1" w:themeShade="80"/>
          <w:sz w:val="22"/>
          <w:szCs w:val="22"/>
        </w:rPr>
      </w:pPr>
      <w:r>
        <w:rPr>
          <w:rFonts w:ascii="Avenir Next" w:hAnsi="Avenir Next" w:cs="Arial"/>
          <w:b/>
          <w:bCs/>
          <w:color w:val="808080" w:themeColor="background1" w:themeShade="80"/>
          <w:sz w:val="22"/>
          <w:szCs w:val="22"/>
        </w:rPr>
        <w:t xml:space="preserve">Unsecured creditors. </w:t>
      </w:r>
      <w:r w:rsidR="00925A1D">
        <w:rPr>
          <w:rFonts w:ascii="Avenir Next" w:hAnsi="Avenir Next" w:cs="Arial"/>
          <w:color w:val="808080" w:themeColor="background1" w:themeShade="80"/>
          <w:sz w:val="22"/>
          <w:szCs w:val="22"/>
        </w:rPr>
        <w:t xml:space="preserve">Creditors with no security, whose debts are not preferred, are paid last in the statutory order, after </w:t>
      </w:r>
      <w:proofErr w:type="gramStart"/>
      <w:r w:rsidR="00925A1D">
        <w:rPr>
          <w:rFonts w:ascii="Avenir Next" w:hAnsi="Avenir Next" w:cs="Arial"/>
          <w:color w:val="808080" w:themeColor="background1" w:themeShade="80"/>
          <w:sz w:val="22"/>
          <w:szCs w:val="22"/>
        </w:rPr>
        <w:t>all of</w:t>
      </w:r>
      <w:proofErr w:type="gramEnd"/>
      <w:r w:rsidR="00925A1D">
        <w:rPr>
          <w:rFonts w:ascii="Avenir Next" w:hAnsi="Avenir Next" w:cs="Arial"/>
          <w:color w:val="808080" w:themeColor="background1" w:themeShade="80"/>
          <w:sz w:val="22"/>
          <w:szCs w:val="22"/>
        </w:rPr>
        <w:t xml:space="preserve"> the above creditors. Unsecured creditors rank equally amongst </w:t>
      </w:r>
      <w:proofErr w:type="gramStart"/>
      <w:r w:rsidR="00925A1D">
        <w:rPr>
          <w:rFonts w:ascii="Avenir Next" w:hAnsi="Avenir Next" w:cs="Arial"/>
          <w:color w:val="808080" w:themeColor="background1" w:themeShade="80"/>
          <w:sz w:val="22"/>
          <w:szCs w:val="22"/>
        </w:rPr>
        <w:t>themselves, and</w:t>
      </w:r>
      <w:proofErr w:type="gramEnd"/>
      <w:r w:rsidR="00925A1D">
        <w:rPr>
          <w:rFonts w:ascii="Avenir Next" w:hAnsi="Avenir Next" w:cs="Arial"/>
          <w:color w:val="808080" w:themeColor="background1" w:themeShade="80"/>
          <w:sz w:val="22"/>
          <w:szCs w:val="22"/>
        </w:rPr>
        <w:t xml:space="preserve"> will be paid on a prorated basis out of the remainder of the estate. </w:t>
      </w:r>
    </w:p>
    <w:p w14:paraId="21B5AACE" w14:textId="77777777" w:rsidR="00925A1D" w:rsidRPr="00FA2074" w:rsidRDefault="00925A1D" w:rsidP="00925A1D">
      <w:pPr>
        <w:jc w:val="both"/>
        <w:rPr>
          <w:rFonts w:ascii="Avenir Next" w:hAnsi="Avenir Next" w:cs="Arial"/>
          <w:b/>
          <w:bCs/>
          <w:color w:val="808080" w:themeColor="background1" w:themeShade="80"/>
          <w:sz w:val="22"/>
          <w:szCs w:val="22"/>
        </w:rPr>
      </w:pPr>
    </w:p>
    <w:p w14:paraId="4FB4345F" w14:textId="7B265FAF" w:rsidR="00FA2074" w:rsidRPr="00FA2074" w:rsidRDefault="001546C0" w:rsidP="002A37BB">
      <w:pPr>
        <w:jc w:val="both"/>
        <w:rPr>
          <w:rFonts w:ascii="Avenir Next" w:hAnsi="Avenir Next" w:cs="Arial"/>
          <w:color w:val="808080" w:themeColor="background1" w:themeShade="80"/>
          <w:sz w:val="22"/>
          <w:szCs w:val="22"/>
          <w:shd w:val="clear" w:color="auto" w:fill="FFFFFF"/>
        </w:rPr>
      </w:pPr>
      <w:r w:rsidRPr="00FA2074">
        <w:rPr>
          <w:rFonts w:ascii="Avenir Next" w:hAnsi="Avenir Next" w:cs="Arial"/>
          <w:color w:val="808080" w:themeColor="background1" w:themeShade="80"/>
          <w:sz w:val="22"/>
          <w:szCs w:val="22"/>
          <w:shd w:val="clear" w:color="auto" w:fill="FFFFFF"/>
        </w:rPr>
        <w:t>If the company in question had been subject to a Moratorium under Part A1 of the Insolvency Act during the 12-week period prior to the commencement of the liquidation, section 174</w:t>
      </w:r>
      <w:r w:rsidR="00D34653" w:rsidRPr="00FA2074">
        <w:rPr>
          <w:rFonts w:ascii="Avenir Next" w:hAnsi="Avenir Next" w:cs="Arial"/>
          <w:color w:val="808080" w:themeColor="background1" w:themeShade="80"/>
          <w:sz w:val="22"/>
          <w:szCs w:val="22"/>
          <w:shd w:val="clear" w:color="auto" w:fill="FFFFFF"/>
        </w:rPr>
        <w:t>A</w:t>
      </w:r>
      <w:r w:rsidRPr="00FA2074">
        <w:rPr>
          <w:rFonts w:ascii="Avenir Next" w:hAnsi="Avenir Next" w:cs="Arial"/>
          <w:color w:val="808080" w:themeColor="background1" w:themeShade="80"/>
          <w:sz w:val="22"/>
          <w:szCs w:val="22"/>
          <w:shd w:val="clear" w:color="auto" w:fill="FFFFFF"/>
        </w:rPr>
        <w:t xml:space="preserve"> of the Act would have </w:t>
      </w:r>
      <w:r w:rsidR="00AC7F59" w:rsidRPr="00FA2074">
        <w:rPr>
          <w:rFonts w:ascii="Avenir Next" w:hAnsi="Avenir Next" w:cs="Arial"/>
          <w:color w:val="808080" w:themeColor="background1" w:themeShade="80"/>
          <w:sz w:val="22"/>
          <w:szCs w:val="22"/>
          <w:shd w:val="clear" w:color="auto" w:fill="FFFFFF"/>
        </w:rPr>
        <w:t xml:space="preserve">taken effect and resulted in significant changes to the order of priority of payments discussed above. </w:t>
      </w:r>
      <w:r w:rsidR="00D34653" w:rsidRPr="00FA2074">
        <w:rPr>
          <w:rFonts w:ascii="Avenir Next" w:hAnsi="Avenir Next" w:cs="Arial"/>
          <w:color w:val="808080" w:themeColor="background1" w:themeShade="80"/>
          <w:sz w:val="22"/>
          <w:szCs w:val="22"/>
          <w:shd w:val="clear" w:color="auto" w:fill="FFFFFF"/>
        </w:rPr>
        <w:t xml:space="preserve">Particularly, </w:t>
      </w:r>
      <w:r w:rsidR="00E10771" w:rsidRPr="00FA2074">
        <w:rPr>
          <w:rFonts w:ascii="Avenir Next" w:hAnsi="Avenir Next" w:cs="Arial"/>
          <w:color w:val="808080" w:themeColor="background1" w:themeShade="80"/>
          <w:sz w:val="22"/>
          <w:szCs w:val="22"/>
          <w:shd w:val="clear" w:color="auto" w:fill="FFFFFF"/>
        </w:rPr>
        <w:t xml:space="preserve">in such circumstances, </w:t>
      </w:r>
      <w:r w:rsidR="00D34653" w:rsidRPr="00FA2074">
        <w:rPr>
          <w:rFonts w:ascii="Avenir Next" w:hAnsi="Avenir Next" w:cs="Arial"/>
          <w:color w:val="808080" w:themeColor="background1" w:themeShade="80"/>
          <w:sz w:val="22"/>
          <w:szCs w:val="22"/>
          <w:shd w:val="clear" w:color="auto" w:fill="FFFFFF"/>
        </w:rPr>
        <w:t xml:space="preserve">by section 174A, </w:t>
      </w:r>
      <w:r w:rsidR="008D681C" w:rsidRPr="00FA2074">
        <w:rPr>
          <w:rFonts w:ascii="Avenir Next" w:hAnsi="Avenir Next" w:cs="Arial"/>
          <w:color w:val="808080" w:themeColor="background1" w:themeShade="80"/>
          <w:sz w:val="22"/>
          <w:szCs w:val="22"/>
          <w:shd w:val="clear" w:color="auto" w:fill="FFFFFF"/>
        </w:rPr>
        <w:t>certain unpaid debts that accrued prior to and during the Moratorium period</w:t>
      </w:r>
      <w:r w:rsidR="00504323" w:rsidRPr="00FA2074">
        <w:rPr>
          <w:rFonts w:ascii="Avenir Next" w:hAnsi="Avenir Next" w:cs="Arial"/>
          <w:color w:val="808080" w:themeColor="background1" w:themeShade="80"/>
          <w:sz w:val="22"/>
          <w:szCs w:val="22"/>
          <w:shd w:val="clear" w:color="auto" w:fill="FFFFFF"/>
        </w:rPr>
        <w:t xml:space="preserve"> (referred to in the Act as “moratorium debts and </w:t>
      </w:r>
      <w:r w:rsidR="007760AF" w:rsidRPr="00FA2074">
        <w:rPr>
          <w:rFonts w:ascii="Avenir Next" w:hAnsi="Avenir Next" w:cs="Arial"/>
          <w:color w:val="808080" w:themeColor="background1" w:themeShade="80"/>
          <w:sz w:val="22"/>
          <w:szCs w:val="22"/>
          <w:shd w:val="clear" w:color="auto" w:fill="FFFFFF"/>
        </w:rPr>
        <w:t xml:space="preserve">priority </w:t>
      </w:r>
      <w:r w:rsidR="00504323" w:rsidRPr="00FA2074">
        <w:rPr>
          <w:rFonts w:ascii="Avenir Next" w:hAnsi="Avenir Next" w:cs="Arial"/>
          <w:color w:val="808080" w:themeColor="background1" w:themeShade="80"/>
          <w:sz w:val="22"/>
          <w:szCs w:val="22"/>
          <w:shd w:val="clear" w:color="auto" w:fill="FFFFFF"/>
        </w:rPr>
        <w:t>pre-moratorium debts”)</w:t>
      </w:r>
      <w:r w:rsidR="008D681C" w:rsidRPr="00FA2074">
        <w:rPr>
          <w:rFonts w:ascii="Avenir Next" w:hAnsi="Avenir Next" w:cs="Arial"/>
          <w:color w:val="808080" w:themeColor="background1" w:themeShade="80"/>
          <w:sz w:val="22"/>
          <w:szCs w:val="22"/>
          <w:shd w:val="clear" w:color="auto" w:fill="FFFFFF"/>
        </w:rPr>
        <w:t xml:space="preserve">, which </w:t>
      </w:r>
      <w:r w:rsidR="00C35C32" w:rsidRPr="00FA2074">
        <w:rPr>
          <w:rFonts w:ascii="Avenir Next" w:hAnsi="Avenir Next" w:cs="Arial"/>
          <w:color w:val="808080" w:themeColor="background1" w:themeShade="80"/>
          <w:sz w:val="22"/>
          <w:szCs w:val="22"/>
          <w:shd w:val="clear" w:color="auto" w:fill="FFFFFF"/>
        </w:rPr>
        <w:t>were</w:t>
      </w:r>
      <w:r w:rsidR="008D681C" w:rsidRPr="00FA2074">
        <w:rPr>
          <w:rFonts w:ascii="Avenir Next" w:hAnsi="Avenir Next" w:cs="Arial"/>
          <w:color w:val="808080" w:themeColor="background1" w:themeShade="80"/>
          <w:sz w:val="22"/>
          <w:szCs w:val="22"/>
          <w:shd w:val="clear" w:color="auto" w:fill="FFFFFF"/>
        </w:rPr>
        <w:t xml:space="preserve"> not part of the payment holiday associated with the Moratorium, </w:t>
      </w:r>
      <w:r w:rsidR="00504323" w:rsidRPr="00FA2074">
        <w:rPr>
          <w:rFonts w:ascii="Avenir Next" w:hAnsi="Avenir Next" w:cs="Arial"/>
          <w:color w:val="808080" w:themeColor="background1" w:themeShade="80"/>
          <w:sz w:val="22"/>
          <w:szCs w:val="22"/>
          <w:shd w:val="clear" w:color="auto" w:fill="FFFFFF"/>
        </w:rPr>
        <w:t xml:space="preserve">and the fees and expenses of the official receiver </w:t>
      </w:r>
      <w:r w:rsidR="00E10771" w:rsidRPr="00FA2074">
        <w:rPr>
          <w:rFonts w:ascii="Avenir Next" w:hAnsi="Avenir Next" w:cs="Arial"/>
          <w:color w:val="808080" w:themeColor="background1" w:themeShade="80"/>
          <w:sz w:val="22"/>
          <w:szCs w:val="22"/>
          <w:shd w:val="clear" w:color="auto" w:fill="FFFFFF"/>
        </w:rPr>
        <w:t xml:space="preserve">would be afforded a “super priority” in </w:t>
      </w:r>
      <w:r w:rsidR="00E10771" w:rsidRPr="00FA2074">
        <w:rPr>
          <w:rFonts w:ascii="Avenir Next" w:hAnsi="Avenir Next" w:cs="Arial"/>
          <w:color w:val="808080" w:themeColor="background1" w:themeShade="80"/>
          <w:sz w:val="22"/>
          <w:szCs w:val="22"/>
          <w:shd w:val="clear" w:color="auto" w:fill="FFFFFF"/>
        </w:rPr>
        <w:lastRenderedPageBreak/>
        <w:t xml:space="preserve">the liquidation, ranking even above the liquidator’s fees and expenses. </w:t>
      </w:r>
      <w:r w:rsidR="00504323" w:rsidRPr="00FA2074">
        <w:rPr>
          <w:rFonts w:ascii="Avenir Next" w:hAnsi="Avenir Next" w:cs="Arial"/>
          <w:color w:val="808080" w:themeColor="background1" w:themeShade="80"/>
          <w:sz w:val="22"/>
          <w:szCs w:val="22"/>
          <w:shd w:val="clear" w:color="auto" w:fill="FFFFFF"/>
        </w:rPr>
        <w:t>Th</w:t>
      </w:r>
      <w:r w:rsidR="007760AF" w:rsidRPr="00FA2074">
        <w:rPr>
          <w:rFonts w:ascii="Avenir Next" w:hAnsi="Avenir Next" w:cs="Arial"/>
          <w:color w:val="808080" w:themeColor="background1" w:themeShade="80"/>
          <w:sz w:val="22"/>
          <w:szCs w:val="22"/>
          <w:shd w:val="clear" w:color="auto" w:fill="FFFFFF"/>
        </w:rPr>
        <w:t xml:space="preserve">e priority pre-moratorium debts </w:t>
      </w:r>
      <w:r w:rsidR="00C35C32" w:rsidRPr="00FA2074">
        <w:rPr>
          <w:rFonts w:ascii="Avenir Next" w:hAnsi="Avenir Next" w:cs="Arial"/>
          <w:color w:val="808080" w:themeColor="background1" w:themeShade="80"/>
          <w:sz w:val="22"/>
          <w:szCs w:val="22"/>
          <w:shd w:val="clear" w:color="auto" w:fill="FFFFFF"/>
        </w:rPr>
        <w:t xml:space="preserve">payable in priority to claims </w:t>
      </w:r>
      <w:r w:rsidR="0065374A" w:rsidRPr="00FA2074">
        <w:rPr>
          <w:rFonts w:ascii="Avenir Next" w:hAnsi="Avenir Next" w:cs="Arial"/>
          <w:color w:val="808080" w:themeColor="background1" w:themeShade="80"/>
          <w:sz w:val="22"/>
          <w:szCs w:val="22"/>
          <w:shd w:val="clear" w:color="auto" w:fill="FFFFFF"/>
        </w:rPr>
        <w:t xml:space="preserve">would include, for example, </w:t>
      </w:r>
      <w:r w:rsidR="00C35C32" w:rsidRPr="00FA2074">
        <w:rPr>
          <w:rFonts w:ascii="Avenir Next" w:hAnsi="Avenir Next" w:cs="Arial"/>
          <w:color w:val="808080" w:themeColor="background1" w:themeShade="80"/>
          <w:sz w:val="22"/>
          <w:szCs w:val="22"/>
          <w:shd w:val="clear" w:color="auto" w:fill="FFFFFF"/>
        </w:rPr>
        <w:t xml:space="preserve">pre-moratorium debts that are payable in respect of goods and services </w:t>
      </w:r>
      <w:r w:rsidR="00FA2074" w:rsidRPr="00FA2074">
        <w:rPr>
          <w:rFonts w:ascii="Avenir Next" w:hAnsi="Avenir Next" w:cs="Arial"/>
          <w:color w:val="808080" w:themeColor="background1" w:themeShade="80"/>
          <w:sz w:val="22"/>
          <w:szCs w:val="22"/>
          <w:shd w:val="clear" w:color="auto" w:fill="FFFFFF"/>
        </w:rPr>
        <w:t>that were supplied during the moratorium and pre-moratorium debts that consist of a liability to make a redundancy payment.</w:t>
      </w:r>
    </w:p>
    <w:p w14:paraId="62613406" w14:textId="77777777" w:rsidR="00FA2074" w:rsidRDefault="00FA2074" w:rsidP="002A37BB">
      <w:pPr>
        <w:jc w:val="both"/>
        <w:rPr>
          <w:rFonts w:ascii="Avenir Next" w:hAnsi="Avenir Next" w:cs="Arial"/>
          <w:sz w:val="22"/>
          <w:szCs w:val="22"/>
          <w:shd w:val="clear" w:color="auto" w:fill="FFFFFF"/>
        </w:rPr>
      </w:pPr>
    </w:p>
    <w:p w14:paraId="459BD5B9" w14:textId="4EA2303E" w:rsidR="001546C0" w:rsidRPr="006925C1" w:rsidRDefault="001546C0"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C4469B" w:rsidRDefault="007E2919" w:rsidP="00B455E5">
      <w:pPr>
        <w:pStyle w:val="NormalWeb"/>
        <w:spacing w:before="0" w:beforeAutospacing="0" w:after="0" w:afterAutospacing="0"/>
        <w:jc w:val="both"/>
        <w:rPr>
          <w:rFonts w:ascii="Avenir Next" w:hAnsi="Avenir Next" w:cs="Arial"/>
          <w:sz w:val="22"/>
          <w:szCs w:val="22"/>
        </w:rPr>
      </w:pPr>
      <w:bookmarkStart w:id="0" w:name="_Hlk17745211"/>
      <w:r w:rsidRPr="00C4469B">
        <w:rPr>
          <w:rFonts w:ascii="Avenir Next" w:hAnsi="Avenir Next" w:cs="Arial"/>
          <w:sz w:val="22"/>
          <w:szCs w:val="22"/>
        </w:rPr>
        <w:t xml:space="preserve">Prior to going into </w:t>
      </w:r>
      <w:r w:rsidR="00891690" w:rsidRPr="00C4469B">
        <w:rPr>
          <w:rFonts w:ascii="Avenir Next" w:hAnsi="Avenir Next" w:cs="Arial"/>
          <w:sz w:val="22"/>
          <w:szCs w:val="22"/>
        </w:rPr>
        <w:t xml:space="preserve">compulsory </w:t>
      </w:r>
      <w:r w:rsidRPr="00C4469B">
        <w:rPr>
          <w:rFonts w:ascii="Avenir Next" w:hAnsi="Avenir Next" w:cs="Arial"/>
          <w:sz w:val="22"/>
          <w:szCs w:val="22"/>
        </w:rPr>
        <w:t xml:space="preserve">liquidation </w:t>
      </w:r>
      <w:r w:rsidR="00314F32" w:rsidRPr="00C4469B">
        <w:rPr>
          <w:rFonts w:ascii="Avenir Next" w:hAnsi="Avenir Next" w:cs="Arial"/>
          <w:sz w:val="22"/>
          <w:szCs w:val="22"/>
        </w:rPr>
        <w:t>on 23</w:t>
      </w:r>
      <w:r w:rsidR="00314F32" w:rsidRPr="00C4469B">
        <w:rPr>
          <w:rFonts w:ascii="Avenir Next" w:hAnsi="Avenir Next" w:cs="Arial"/>
          <w:sz w:val="22"/>
          <w:szCs w:val="22"/>
          <w:vertAlign w:val="superscript"/>
        </w:rPr>
        <w:t>rd</w:t>
      </w:r>
      <w:r w:rsidR="00314F32" w:rsidRPr="00C4469B">
        <w:rPr>
          <w:rFonts w:ascii="Avenir Next" w:hAnsi="Avenir Next" w:cs="Arial"/>
          <w:sz w:val="22"/>
          <w:szCs w:val="22"/>
        </w:rPr>
        <w:t xml:space="preserve"> </w:t>
      </w:r>
      <w:r w:rsidR="00891690" w:rsidRPr="00C4469B">
        <w:rPr>
          <w:rFonts w:ascii="Avenir Next" w:hAnsi="Avenir Next" w:cs="Arial"/>
          <w:sz w:val="22"/>
          <w:szCs w:val="22"/>
        </w:rPr>
        <w:t>December</w:t>
      </w:r>
      <w:r w:rsidRPr="00C4469B">
        <w:rPr>
          <w:rFonts w:ascii="Avenir Next" w:hAnsi="Avenir Next" w:cs="Arial"/>
          <w:sz w:val="22"/>
          <w:szCs w:val="22"/>
        </w:rPr>
        <w:t xml:space="preserve"> </w:t>
      </w:r>
      <w:r w:rsidR="00D01697" w:rsidRPr="00C4469B">
        <w:rPr>
          <w:rFonts w:ascii="Avenir Next" w:hAnsi="Avenir Next" w:cs="Arial"/>
          <w:sz w:val="22"/>
          <w:szCs w:val="22"/>
        </w:rPr>
        <w:t>2022</w:t>
      </w:r>
      <w:r w:rsidRPr="00C4469B">
        <w:rPr>
          <w:rFonts w:ascii="Avenir Next" w:hAnsi="Avenir Next" w:cs="Arial"/>
          <w:sz w:val="22"/>
          <w:szCs w:val="22"/>
        </w:rPr>
        <w:t xml:space="preserve">, under pressure from its bank, </w:t>
      </w:r>
      <w:r w:rsidR="00F41146" w:rsidRPr="00C4469B">
        <w:rPr>
          <w:rFonts w:ascii="Avenir Next" w:hAnsi="Avenir Next" w:cs="Arial"/>
          <w:sz w:val="22"/>
          <w:szCs w:val="22"/>
        </w:rPr>
        <w:t>Fretus</w:t>
      </w:r>
      <w:r w:rsidRPr="00C4469B">
        <w:rPr>
          <w:rFonts w:ascii="Avenir Next" w:hAnsi="Avenir Next" w:cs="Arial"/>
          <w:sz w:val="22"/>
          <w:szCs w:val="22"/>
        </w:rPr>
        <w:t xml:space="preserve"> Bank plc, and </w:t>
      </w:r>
      <w:proofErr w:type="gramStart"/>
      <w:r w:rsidRPr="00C4469B">
        <w:rPr>
          <w:rFonts w:ascii="Avenir Next" w:hAnsi="Avenir Next" w:cs="Arial"/>
          <w:sz w:val="22"/>
          <w:szCs w:val="22"/>
        </w:rPr>
        <w:t>in order to</w:t>
      </w:r>
      <w:proofErr w:type="gramEnd"/>
      <w:r w:rsidRPr="00C4469B">
        <w:rPr>
          <w:rFonts w:ascii="Avenir Next" w:hAnsi="Avenir Next" w:cs="Arial"/>
          <w:sz w:val="22"/>
          <w:szCs w:val="22"/>
        </w:rPr>
        <w:t xml:space="preserve"> prevent it from demanding repayment of the company’s loans, </w:t>
      </w:r>
      <w:r w:rsidR="00F41146" w:rsidRPr="00C4469B">
        <w:rPr>
          <w:rFonts w:ascii="Avenir Next" w:hAnsi="Avenir Next" w:cs="Arial"/>
          <w:sz w:val="22"/>
          <w:szCs w:val="22"/>
        </w:rPr>
        <w:t>Marbley Q</w:t>
      </w:r>
      <w:r w:rsidR="00891690" w:rsidRPr="00C4469B">
        <w:rPr>
          <w:rFonts w:ascii="Avenir Next" w:hAnsi="Avenir Next" w:cs="Arial"/>
          <w:sz w:val="22"/>
          <w:szCs w:val="22"/>
        </w:rPr>
        <w:t xml:space="preserve"> </w:t>
      </w:r>
      <w:r w:rsidRPr="00C4469B">
        <w:rPr>
          <w:rFonts w:ascii="Avenir Next" w:hAnsi="Avenir Next" w:cs="Arial"/>
          <w:sz w:val="22"/>
          <w:szCs w:val="22"/>
        </w:rPr>
        <w:t xml:space="preserve">Limited </w:t>
      </w:r>
      <w:r w:rsidR="00891690" w:rsidRPr="00C4469B">
        <w:rPr>
          <w:rFonts w:ascii="Avenir Next" w:hAnsi="Avenir Next" w:cs="Arial"/>
          <w:sz w:val="22"/>
          <w:szCs w:val="22"/>
        </w:rPr>
        <w:t>(“the Company”)</w:t>
      </w:r>
      <w:r w:rsidR="0070524B" w:rsidRPr="00C4469B">
        <w:rPr>
          <w:rFonts w:ascii="Avenir Next" w:hAnsi="Avenir Next" w:cs="Arial"/>
          <w:sz w:val="22"/>
          <w:szCs w:val="22"/>
        </w:rPr>
        <w:t>,</w:t>
      </w:r>
      <w:r w:rsidR="00891690" w:rsidRPr="00C4469B">
        <w:rPr>
          <w:rFonts w:ascii="Avenir Next" w:hAnsi="Avenir Next" w:cs="Arial"/>
          <w:sz w:val="22"/>
          <w:szCs w:val="22"/>
        </w:rPr>
        <w:t xml:space="preserve"> </w:t>
      </w:r>
      <w:r w:rsidRPr="00C4469B">
        <w:rPr>
          <w:rFonts w:ascii="Avenir Next" w:hAnsi="Avenir Next" w:cs="Arial"/>
          <w:sz w:val="22"/>
          <w:szCs w:val="22"/>
        </w:rPr>
        <w:t xml:space="preserve">granted a debenture in favour of </w:t>
      </w:r>
      <w:r w:rsidR="00F41146" w:rsidRPr="00C4469B">
        <w:rPr>
          <w:rFonts w:ascii="Avenir Next" w:hAnsi="Avenir Next" w:cs="Arial"/>
          <w:sz w:val="22"/>
          <w:szCs w:val="22"/>
        </w:rPr>
        <w:t>Fretus</w:t>
      </w:r>
      <w:r w:rsidRPr="00C4469B">
        <w:rPr>
          <w:rFonts w:ascii="Avenir Next" w:hAnsi="Avenir Next" w:cs="Arial"/>
          <w:sz w:val="22"/>
          <w:szCs w:val="22"/>
        </w:rPr>
        <w:t xml:space="preserve"> Bank plc in </w:t>
      </w:r>
      <w:r w:rsidR="00891690" w:rsidRPr="00C4469B">
        <w:rPr>
          <w:rFonts w:ascii="Avenir Next" w:hAnsi="Avenir Next" w:cs="Arial"/>
          <w:sz w:val="22"/>
          <w:szCs w:val="22"/>
        </w:rPr>
        <w:t>February</w:t>
      </w:r>
      <w:r w:rsidRPr="00C4469B">
        <w:rPr>
          <w:rFonts w:ascii="Avenir Next" w:hAnsi="Avenir Next" w:cs="Arial"/>
          <w:sz w:val="22"/>
          <w:szCs w:val="22"/>
        </w:rPr>
        <w:t xml:space="preserve"> </w:t>
      </w:r>
      <w:r w:rsidR="00D01697" w:rsidRPr="00C4469B">
        <w:rPr>
          <w:rFonts w:ascii="Avenir Next" w:hAnsi="Avenir Next" w:cs="Arial"/>
          <w:sz w:val="22"/>
          <w:szCs w:val="22"/>
        </w:rPr>
        <w:t>2022</w:t>
      </w:r>
      <w:r w:rsidRPr="00C4469B">
        <w:rPr>
          <w:rFonts w:ascii="Avenir Next" w:hAnsi="Avenir Next" w:cs="Arial"/>
          <w:sz w:val="22"/>
          <w:szCs w:val="22"/>
        </w:rPr>
        <w:t xml:space="preserve">. The debenture contained a floating charge over the whole of the </w:t>
      </w:r>
      <w:r w:rsidR="00891690" w:rsidRPr="00C4469B">
        <w:rPr>
          <w:rFonts w:ascii="Avenir Next" w:hAnsi="Avenir Next" w:cs="Arial"/>
          <w:sz w:val="22"/>
          <w:szCs w:val="22"/>
        </w:rPr>
        <w:t>C</w:t>
      </w:r>
      <w:r w:rsidRPr="00C4469B">
        <w:rPr>
          <w:rFonts w:ascii="Avenir Next" w:hAnsi="Avenir Next" w:cs="Arial"/>
          <w:sz w:val="22"/>
          <w:szCs w:val="22"/>
        </w:rPr>
        <w:t>ompany’s undertaking.</w:t>
      </w:r>
    </w:p>
    <w:p w14:paraId="446FD66A" w14:textId="65DEFBAC" w:rsidR="007E2919" w:rsidRPr="00C4469B"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C4469B" w:rsidRDefault="00314F32" w:rsidP="00B455E5">
      <w:pPr>
        <w:pStyle w:val="NormalWeb"/>
        <w:spacing w:before="0" w:beforeAutospacing="0" w:after="0" w:afterAutospacing="0"/>
        <w:jc w:val="both"/>
        <w:rPr>
          <w:rFonts w:ascii="Avenir Next" w:hAnsi="Avenir Next" w:cs="Arial"/>
          <w:sz w:val="22"/>
          <w:szCs w:val="22"/>
        </w:rPr>
      </w:pPr>
      <w:r w:rsidRPr="00C4469B">
        <w:rPr>
          <w:rFonts w:ascii="Avenir Next" w:hAnsi="Avenir Next" w:cs="Arial"/>
          <w:sz w:val="22"/>
          <w:szCs w:val="22"/>
        </w:rPr>
        <w:t>The winding up order followed a creditor’s winding up petition issued on 14</w:t>
      </w:r>
      <w:r w:rsidRPr="00C4469B">
        <w:rPr>
          <w:rFonts w:ascii="Avenir Next" w:hAnsi="Avenir Next" w:cs="Arial"/>
          <w:sz w:val="22"/>
          <w:szCs w:val="22"/>
          <w:vertAlign w:val="superscript"/>
        </w:rPr>
        <w:t>th</w:t>
      </w:r>
      <w:r w:rsidRPr="00C4469B">
        <w:rPr>
          <w:rFonts w:ascii="Avenir Next" w:hAnsi="Avenir Next" w:cs="Arial"/>
          <w:sz w:val="22"/>
          <w:szCs w:val="22"/>
        </w:rPr>
        <w:t xml:space="preserve"> October </w:t>
      </w:r>
      <w:r w:rsidR="00D01697" w:rsidRPr="00C4469B">
        <w:rPr>
          <w:rFonts w:ascii="Avenir Next" w:hAnsi="Avenir Next" w:cs="Arial"/>
          <w:sz w:val="22"/>
          <w:szCs w:val="22"/>
        </w:rPr>
        <w:t>2022</w:t>
      </w:r>
      <w:r w:rsidRPr="00C4469B">
        <w:rPr>
          <w:rFonts w:ascii="Avenir Next" w:hAnsi="Avenir Next" w:cs="Arial"/>
          <w:sz w:val="22"/>
          <w:szCs w:val="22"/>
        </w:rPr>
        <w:t>.</w:t>
      </w:r>
    </w:p>
    <w:p w14:paraId="148D7C3C" w14:textId="77777777" w:rsidR="00314F32" w:rsidRPr="00C4469B"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C4469B" w:rsidRDefault="007E2919" w:rsidP="00B455E5">
      <w:pPr>
        <w:pStyle w:val="NormalWeb"/>
        <w:spacing w:before="0" w:beforeAutospacing="0" w:after="0" w:afterAutospacing="0"/>
        <w:jc w:val="both"/>
        <w:rPr>
          <w:rFonts w:ascii="Avenir Next" w:hAnsi="Avenir Next" w:cs="Arial"/>
          <w:sz w:val="22"/>
          <w:szCs w:val="22"/>
        </w:rPr>
      </w:pPr>
      <w:r w:rsidRPr="00C4469B">
        <w:rPr>
          <w:rFonts w:ascii="Avenir Next" w:hAnsi="Avenir Next" w:cs="Arial"/>
          <w:sz w:val="22"/>
          <w:szCs w:val="22"/>
        </w:rPr>
        <w:t xml:space="preserve">In </w:t>
      </w:r>
      <w:r w:rsidR="00891690" w:rsidRPr="00C4469B">
        <w:rPr>
          <w:rFonts w:ascii="Avenir Next" w:hAnsi="Avenir Next" w:cs="Arial"/>
          <w:sz w:val="22"/>
          <w:szCs w:val="22"/>
        </w:rPr>
        <w:t>July</w:t>
      </w:r>
      <w:r w:rsidRPr="00C4469B">
        <w:rPr>
          <w:rFonts w:ascii="Avenir Next" w:hAnsi="Avenir Next" w:cs="Arial"/>
          <w:sz w:val="22"/>
          <w:szCs w:val="22"/>
        </w:rPr>
        <w:t xml:space="preserve"> </w:t>
      </w:r>
      <w:r w:rsidR="00D01697" w:rsidRPr="00C4469B">
        <w:rPr>
          <w:rFonts w:ascii="Avenir Next" w:hAnsi="Avenir Next" w:cs="Arial"/>
          <w:sz w:val="22"/>
          <w:szCs w:val="22"/>
        </w:rPr>
        <w:t>2022</w:t>
      </w:r>
      <w:r w:rsidRPr="00C4469B">
        <w:rPr>
          <w:rFonts w:ascii="Avenir Next" w:hAnsi="Avenir Next" w:cs="Arial"/>
          <w:sz w:val="22"/>
          <w:szCs w:val="22"/>
        </w:rPr>
        <w:t xml:space="preserve">, as the </w:t>
      </w:r>
      <w:r w:rsidR="00891690" w:rsidRPr="00C4469B">
        <w:rPr>
          <w:rFonts w:ascii="Avenir Next" w:hAnsi="Avenir Next" w:cs="Arial"/>
          <w:sz w:val="22"/>
          <w:szCs w:val="22"/>
        </w:rPr>
        <w:t>C</w:t>
      </w:r>
      <w:r w:rsidRPr="00C4469B">
        <w:rPr>
          <w:rFonts w:ascii="Avenir Next" w:hAnsi="Avenir Next" w:cs="Arial"/>
          <w:sz w:val="22"/>
          <w:szCs w:val="22"/>
        </w:rPr>
        <w:t>ompany continued to s</w:t>
      </w:r>
      <w:r w:rsidR="00314F32" w:rsidRPr="00C4469B">
        <w:rPr>
          <w:rFonts w:ascii="Avenir Next" w:hAnsi="Avenir Next" w:cs="Arial"/>
          <w:sz w:val="22"/>
          <w:szCs w:val="22"/>
        </w:rPr>
        <w:t xml:space="preserve">uffer cash flow problems, </w:t>
      </w:r>
      <w:r w:rsidRPr="00C4469B">
        <w:rPr>
          <w:rFonts w:ascii="Avenir Next" w:hAnsi="Avenir Next" w:cs="Arial"/>
          <w:sz w:val="22"/>
          <w:szCs w:val="22"/>
        </w:rPr>
        <w:t xml:space="preserve">the directors approved the sale of </w:t>
      </w:r>
      <w:r w:rsidR="006E0D3B" w:rsidRPr="00C4469B">
        <w:rPr>
          <w:rFonts w:ascii="Avenir Next" w:hAnsi="Avenir Next" w:cs="Arial"/>
          <w:sz w:val="22"/>
          <w:szCs w:val="22"/>
        </w:rPr>
        <w:t xml:space="preserve">two (2) </w:t>
      </w:r>
      <w:r w:rsidR="00F41146" w:rsidRPr="00C4469B">
        <w:rPr>
          <w:rFonts w:ascii="Avenir Next" w:hAnsi="Avenir Next" w:cs="Arial"/>
          <w:sz w:val="22"/>
          <w:szCs w:val="22"/>
        </w:rPr>
        <w:t>marble cutting machines</w:t>
      </w:r>
      <w:r w:rsidR="00891690" w:rsidRPr="00C4469B">
        <w:rPr>
          <w:rFonts w:ascii="Avenir Next" w:hAnsi="Avenir Next" w:cs="Arial"/>
          <w:sz w:val="22"/>
          <w:szCs w:val="22"/>
        </w:rPr>
        <w:t xml:space="preserve"> </w:t>
      </w:r>
      <w:r w:rsidRPr="00C4469B">
        <w:rPr>
          <w:rFonts w:ascii="Avenir Next" w:hAnsi="Avenir Next" w:cs="Arial"/>
          <w:sz w:val="22"/>
          <w:szCs w:val="22"/>
        </w:rPr>
        <w:t xml:space="preserve">to </w:t>
      </w:r>
      <w:r w:rsidR="00F41146" w:rsidRPr="00C4469B">
        <w:rPr>
          <w:rFonts w:ascii="Avenir Next" w:hAnsi="Avenir Next" w:cs="Arial"/>
          <w:sz w:val="22"/>
          <w:szCs w:val="22"/>
        </w:rPr>
        <w:t>Rita Perkins</w:t>
      </w:r>
      <w:r w:rsidRPr="00C4469B">
        <w:rPr>
          <w:rFonts w:ascii="Avenir Next" w:hAnsi="Avenir Next" w:cs="Arial"/>
          <w:sz w:val="22"/>
          <w:szCs w:val="22"/>
        </w:rPr>
        <w:t xml:space="preserve"> (a director) for </w:t>
      </w:r>
      <w:r w:rsidR="006E0D3B" w:rsidRPr="00C4469B">
        <w:rPr>
          <w:rFonts w:ascii="Avenir Next" w:hAnsi="Avenir Next" w:cs="Arial"/>
          <w:sz w:val="22"/>
          <w:szCs w:val="22"/>
        </w:rPr>
        <w:t xml:space="preserve">GBP </w:t>
      </w:r>
      <w:r w:rsidR="00891690" w:rsidRPr="00C4469B">
        <w:rPr>
          <w:rFonts w:ascii="Avenir Next" w:hAnsi="Avenir Next" w:cs="Arial"/>
          <w:sz w:val="22"/>
          <w:szCs w:val="22"/>
        </w:rPr>
        <w:t>10</w:t>
      </w:r>
      <w:r w:rsidRPr="00C4469B">
        <w:rPr>
          <w:rFonts w:ascii="Avenir Next" w:hAnsi="Avenir Next" w:cs="Arial"/>
          <w:sz w:val="22"/>
          <w:szCs w:val="22"/>
        </w:rPr>
        <w:t xml:space="preserve">,000 in cash. The </w:t>
      </w:r>
      <w:r w:rsidR="00891690" w:rsidRPr="00C4469B">
        <w:rPr>
          <w:rFonts w:ascii="Avenir Next" w:hAnsi="Avenir Next" w:cs="Arial"/>
          <w:sz w:val="22"/>
          <w:szCs w:val="22"/>
        </w:rPr>
        <w:t xml:space="preserve">machines </w:t>
      </w:r>
      <w:r w:rsidRPr="00C4469B">
        <w:rPr>
          <w:rFonts w:ascii="Avenir Next" w:hAnsi="Avenir Next" w:cs="Arial"/>
          <w:sz w:val="22"/>
          <w:szCs w:val="22"/>
        </w:rPr>
        <w:t xml:space="preserve">had been bought for </w:t>
      </w:r>
      <w:r w:rsidR="006E0D3B" w:rsidRPr="00C4469B">
        <w:rPr>
          <w:rFonts w:ascii="Avenir Next" w:hAnsi="Avenir Next" w:cs="Arial"/>
          <w:sz w:val="22"/>
          <w:szCs w:val="22"/>
        </w:rPr>
        <w:t xml:space="preserve">GBP </w:t>
      </w:r>
      <w:r w:rsidR="00891690" w:rsidRPr="00C4469B">
        <w:rPr>
          <w:rFonts w:ascii="Avenir Next" w:hAnsi="Avenir Next" w:cs="Arial"/>
          <w:sz w:val="22"/>
          <w:szCs w:val="22"/>
        </w:rPr>
        <w:t>25</w:t>
      </w:r>
      <w:r w:rsidRPr="00C4469B">
        <w:rPr>
          <w:rFonts w:ascii="Avenir Next" w:hAnsi="Avenir Next" w:cs="Arial"/>
          <w:sz w:val="22"/>
          <w:szCs w:val="22"/>
        </w:rPr>
        <w:t>,000 a year before.</w:t>
      </w:r>
    </w:p>
    <w:p w14:paraId="656168E7" w14:textId="77777777" w:rsidR="007E2919" w:rsidRPr="00C4469B"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C4469B" w:rsidRDefault="007E2919" w:rsidP="006E0D3B">
      <w:pPr>
        <w:pStyle w:val="NormalWeb"/>
        <w:spacing w:before="0" w:beforeAutospacing="0" w:after="0" w:afterAutospacing="0"/>
        <w:jc w:val="both"/>
        <w:rPr>
          <w:rFonts w:ascii="Avenir Next" w:hAnsi="Avenir Next" w:cs="Arial"/>
          <w:sz w:val="22"/>
          <w:szCs w:val="22"/>
          <w:lang w:val="en-GB"/>
        </w:rPr>
      </w:pPr>
      <w:r w:rsidRPr="00C4469B">
        <w:rPr>
          <w:rFonts w:ascii="Avenir Next" w:hAnsi="Avenir Next" w:cs="Arial"/>
          <w:sz w:val="22"/>
          <w:szCs w:val="22"/>
          <w:lang w:val="en-GB"/>
        </w:rPr>
        <w:t xml:space="preserve">A month before the </w:t>
      </w:r>
      <w:r w:rsidR="00314F32" w:rsidRPr="00C4469B">
        <w:rPr>
          <w:rFonts w:ascii="Avenir Next" w:hAnsi="Avenir Next" w:cs="Arial"/>
          <w:sz w:val="22"/>
          <w:szCs w:val="22"/>
          <w:lang w:val="en-GB"/>
        </w:rPr>
        <w:t xml:space="preserve">winding up </w:t>
      </w:r>
      <w:r w:rsidR="0070524B" w:rsidRPr="00C4469B">
        <w:rPr>
          <w:rFonts w:ascii="Avenir Next" w:hAnsi="Avenir Next" w:cs="Arial"/>
          <w:sz w:val="22"/>
          <w:szCs w:val="22"/>
          <w:lang w:val="en-GB"/>
        </w:rPr>
        <w:t>order was made</w:t>
      </w:r>
      <w:r w:rsidRPr="00C4469B">
        <w:rPr>
          <w:rFonts w:ascii="Avenir Next" w:hAnsi="Avenir Next" w:cs="Arial"/>
          <w:sz w:val="22"/>
          <w:szCs w:val="22"/>
          <w:lang w:val="en-GB"/>
        </w:rPr>
        <w:t xml:space="preserve">, </w:t>
      </w:r>
      <w:r w:rsidR="00F41146" w:rsidRPr="00C4469B">
        <w:rPr>
          <w:rFonts w:ascii="Avenir Next" w:hAnsi="Avenir Next" w:cs="Arial"/>
          <w:sz w:val="22"/>
          <w:szCs w:val="22"/>
          <w:lang w:val="en-GB"/>
        </w:rPr>
        <w:t>Rita Perkins</w:t>
      </w:r>
      <w:r w:rsidRPr="00C4469B">
        <w:rPr>
          <w:rFonts w:ascii="Avenir Next" w:hAnsi="Avenir Next" w:cs="Arial"/>
          <w:sz w:val="22"/>
          <w:szCs w:val="22"/>
          <w:lang w:val="en-GB"/>
        </w:rPr>
        <w:t xml:space="preserve"> received an </w:t>
      </w:r>
      <w:r w:rsidR="0070524B" w:rsidRPr="00C4469B">
        <w:rPr>
          <w:rFonts w:ascii="Avenir Next" w:hAnsi="Avenir Next" w:cs="Arial"/>
          <w:sz w:val="22"/>
          <w:szCs w:val="22"/>
          <w:lang w:val="en-GB"/>
        </w:rPr>
        <w:t xml:space="preserve">email from </w:t>
      </w:r>
      <w:r w:rsidR="00F41146" w:rsidRPr="00C4469B">
        <w:rPr>
          <w:rFonts w:ascii="Avenir Next" w:hAnsi="Avenir Next" w:cs="Arial"/>
          <w:sz w:val="22"/>
          <w:szCs w:val="22"/>
          <w:lang w:val="en-GB"/>
        </w:rPr>
        <w:t>Hard and Fast</w:t>
      </w:r>
      <w:r w:rsidR="0070524B" w:rsidRPr="00C4469B">
        <w:rPr>
          <w:rFonts w:ascii="Avenir Next" w:hAnsi="Avenir Next" w:cs="Arial"/>
          <w:sz w:val="22"/>
          <w:szCs w:val="22"/>
          <w:lang w:val="en-GB"/>
        </w:rPr>
        <w:t xml:space="preserve"> Ltd, one of </w:t>
      </w:r>
      <w:r w:rsidRPr="00C4469B">
        <w:rPr>
          <w:rFonts w:ascii="Avenir Next" w:hAnsi="Avenir Next" w:cs="Arial"/>
          <w:sz w:val="22"/>
          <w:szCs w:val="22"/>
          <w:lang w:val="en-GB"/>
        </w:rPr>
        <w:t xml:space="preserve">the </w:t>
      </w:r>
      <w:r w:rsidR="0070524B" w:rsidRPr="00C4469B">
        <w:rPr>
          <w:rFonts w:ascii="Avenir Next" w:hAnsi="Avenir Next" w:cs="Arial"/>
          <w:sz w:val="22"/>
          <w:szCs w:val="22"/>
          <w:lang w:val="en-GB"/>
        </w:rPr>
        <w:t>C</w:t>
      </w:r>
      <w:r w:rsidRPr="00C4469B">
        <w:rPr>
          <w:rFonts w:ascii="Avenir Next" w:hAnsi="Avenir Next" w:cs="Arial"/>
          <w:sz w:val="22"/>
          <w:szCs w:val="22"/>
          <w:lang w:val="en-GB"/>
        </w:rPr>
        <w:t>ompany’s key suppliers. The supplier demanded immediate payment of all sums owing to it</w:t>
      </w:r>
      <w:r w:rsidR="0070524B" w:rsidRPr="00C4469B">
        <w:rPr>
          <w:rFonts w:ascii="Avenir Next" w:hAnsi="Avenir Next" w:cs="Arial"/>
          <w:sz w:val="22"/>
          <w:szCs w:val="22"/>
          <w:lang w:val="en-GB"/>
        </w:rPr>
        <w:t xml:space="preserve"> and informed the Company that further supplies would only be made on a cash on delivery basis. As the continued supply of </w:t>
      </w:r>
      <w:r w:rsidR="00F41146" w:rsidRPr="00C4469B">
        <w:rPr>
          <w:rFonts w:ascii="Avenir Next" w:hAnsi="Avenir Next" w:cs="Arial"/>
          <w:sz w:val="22"/>
          <w:szCs w:val="22"/>
          <w:lang w:val="en-GB"/>
        </w:rPr>
        <w:t>marble</w:t>
      </w:r>
      <w:r w:rsidR="0070524B" w:rsidRPr="00C4469B">
        <w:rPr>
          <w:rFonts w:ascii="Avenir Next" w:hAnsi="Avenir Next" w:cs="Arial"/>
          <w:sz w:val="22"/>
          <w:szCs w:val="22"/>
          <w:lang w:val="en-GB"/>
        </w:rPr>
        <w:t xml:space="preserve"> was seen as essential by the Company, the board authorised a payment of </w:t>
      </w:r>
      <w:r w:rsidR="006E0D3B" w:rsidRPr="00C4469B">
        <w:rPr>
          <w:rFonts w:ascii="Avenir Next" w:hAnsi="Avenir Next" w:cs="Arial"/>
          <w:sz w:val="22"/>
          <w:szCs w:val="22"/>
          <w:lang w:val="en-GB"/>
        </w:rPr>
        <w:t xml:space="preserve">GBP </w:t>
      </w:r>
      <w:r w:rsidR="0070524B" w:rsidRPr="00C4469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sidRPr="00C4469B">
        <w:rPr>
          <w:rFonts w:ascii="Avenir Next" w:hAnsi="Avenir Next" w:cs="Arial"/>
          <w:sz w:val="22"/>
          <w:szCs w:val="22"/>
          <w:lang w:val="en-GB"/>
        </w:rPr>
        <w:t xml:space="preserve">GBP </w:t>
      </w:r>
      <w:r w:rsidR="0070524B" w:rsidRPr="00C4469B">
        <w:rPr>
          <w:rFonts w:ascii="Avenir Next" w:hAnsi="Avenir Next" w:cs="Arial"/>
          <w:sz w:val="22"/>
          <w:szCs w:val="22"/>
          <w:lang w:val="en-GB"/>
        </w:rPr>
        <w:t xml:space="preserve">3,000 up to the date of the winding up order. </w:t>
      </w:r>
    </w:p>
    <w:p w14:paraId="2617BBD3" w14:textId="77777777" w:rsidR="007E2919" w:rsidRPr="00C4469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C4469B">
        <w:rPr>
          <w:rFonts w:ascii="Avenir Next" w:hAnsi="Avenir Next" w:cs="Arial"/>
          <w:sz w:val="22"/>
          <w:szCs w:val="22"/>
          <w:lang w:val="en-GB"/>
        </w:rPr>
        <w:t>The liquidator has asked for advice</w:t>
      </w:r>
      <w:r w:rsidRPr="006E0D3B">
        <w:rPr>
          <w:rFonts w:ascii="Avenir Next" w:hAnsi="Avenir Next" w:cs="Arial"/>
          <w:sz w:val="22"/>
          <w:szCs w:val="22"/>
          <w:lang w:val="en-GB"/>
        </w:rPr>
        <w:t xml:space="preserve"> whether any action may be taken in respect of the floating charge in favour of </w:t>
      </w:r>
      <w:r w:rsidR="00F41146" w:rsidRPr="006E0D3B">
        <w:rPr>
          <w:rFonts w:ascii="Avenir Next" w:hAnsi="Avenir Next" w:cs="Arial"/>
          <w:sz w:val="22"/>
          <w:szCs w:val="22"/>
          <w:lang w:val="en-GB"/>
        </w:rPr>
        <w:t>Fretus</w:t>
      </w:r>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w:t>
      </w:r>
      <w:proofErr w:type="gramStart"/>
      <w:r w:rsidRPr="006925C1">
        <w:rPr>
          <w:rFonts w:ascii="Avenir Next" w:hAnsi="Avenir Next" w:cs="Arial"/>
          <w:sz w:val="22"/>
          <w:szCs w:val="22"/>
        </w:rPr>
        <w:t>plc;</w:t>
      </w:r>
      <w:proofErr w:type="gramEnd"/>
    </w:p>
    <w:p w14:paraId="451B70BA" w14:textId="61081683" w:rsidR="007E2919" w:rsidRPr="006925C1" w:rsidRDefault="007E2919" w:rsidP="007E2919">
      <w:pPr>
        <w:rPr>
          <w:rFonts w:ascii="Avenir Next" w:hAnsi="Avenir Next" w:cs="Arial"/>
          <w:b/>
          <w:sz w:val="22"/>
          <w:szCs w:val="22"/>
        </w:rPr>
      </w:pPr>
    </w:p>
    <w:p w14:paraId="5237771F" w14:textId="04BBFE5C" w:rsidR="00EA3B38" w:rsidRDefault="00D65439" w:rsidP="00D65439">
      <w:pPr>
        <w:ind w:firstLine="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respect of the floating charge in </w:t>
      </w:r>
      <w:proofErr w:type="spellStart"/>
      <w:r>
        <w:rPr>
          <w:rFonts w:ascii="Avenir Next" w:hAnsi="Avenir Next" w:cs="Arial"/>
          <w:color w:val="808080" w:themeColor="background1" w:themeShade="80"/>
          <w:sz w:val="22"/>
          <w:szCs w:val="22"/>
        </w:rPr>
        <w:t>favour</w:t>
      </w:r>
      <w:proofErr w:type="spellEnd"/>
      <w:r>
        <w:rPr>
          <w:rFonts w:ascii="Avenir Next" w:hAnsi="Avenir Next" w:cs="Arial"/>
          <w:color w:val="808080" w:themeColor="background1" w:themeShade="80"/>
          <w:sz w:val="22"/>
          <w:szCs w:val="22"/>
        </w:rPr>
        <w:t xml:space="preserve"> of </w:t>
      </w:r>
      <w:proofErr w:type="spellStart"/>
      <w:r>
        <w:rPr>
          <w:rFonts w:ascii="Avenir Next" w:hAnsi="Avenir Next" w:cs="Arial"/>
          <w:color w:val="808080" w:themeColor="background1" w:themeShade="80"/>
          <w:sz w:val="22"/>
          <w:szCs w:val="22"/>
        </w:rPr>
        <w:t>Fretus</w:t>
      </w:r>
      <w:proofErr w:type="spellEnd"/>
      <w:r>
        <w:rPr>
          <w:rFonts w:ascii="Avenir Next" w:hAnsi="Avenir Next" w:cs="Arial"/>
          <w:color w:val="808080" w:themeColor="background1" w:themeShade="80"/>
          <w:sz w:val="22"/>
          <w:szCs w:val="22"/>
        </w:rPr>
        <w:t xml:space="preserve"> Bank plc, the Liquidator may consider whether the granting of the charge to </w:t>
      </w:r>
      <w:proofErr w:type="spellStart"/>
      <w:r>
        <w:rPr>
          <w:rFonts w:ascii="Avenir Next" w:hAnsi="Avenir Next" w:cs="Arial"/>
          <w:color w:val="808080" w:themeColor="background1" w:themeShade="80"/>
          <w:sz w:val="22"/>
          <w:szCs w:val="22"/>
        </w:rPr>
        <w:t>Fretus</w:t>
      </w:r>
      <w:proofErr w:type="spellEnd"/>
      <w:r>
        <w:rPr>
          <w:rFonts w:ascii="Avenir Next" w:hAnsi="Avenir Next" w:cs="Arial"/>
          <w:color w:val="808080" w:themeColor="background1" w:themeShade="80"/>
          <w:sz w:val="22"/>
          <w:szCs w:val="22"/>
        </w:rPr>
        <w:t xml:space="preserve"> Bank plc amounts to a preference which may be avoided by the court, on his application, under section 239 of the Insolvency Act. </w:t>
      </w:r>
    </w:p>
    <w:p w14:paraId="3B19B69C" w14:textId="5727EF84" w:rsidR="00FF2D24" w:rsidRDefault="00FF2D24" w:rsidP="00D65439">
      <w:pPr>
        <w:ind w:firstLine="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underlying purpose of section 239 is to prevent a company from placing one of its creditors in a better position than the others shortly before entering into a formal insolvency procedure, and thereby disrupting the statutorily prescribed order of priority. </w:t>
      </w:r>
      <w:r w:rsidR="001D46B8">
        <w:rPr>
          <w:rFonts w:ascii="Avenir Next" w:hAnsi="Avenir Next" w:cs="Arial"/>
          <w:color w:val="808080" w:themeColor="background1" w:themeShade="80"/>
          <w:sz w:val="22"/>
          <w:szCs w:val="22"/>
        </w:rPr>
        <w:t>One common form of transaction that is susceptible to attack as a preference is the granting of security to an existing creditor</w:t>
      </w:r>
      <w:r w:rsidR="00673C4C">
        <w:rPr>
          <w:rFonts w:ascii="Avenir Next" w:hAnsi="Avenir Next" w:cs="Arial"/>
          <w:color w:val="808080" w:themeColor="background1" w:themeShade="80"/>
          <w:sz w:val="22"/>
          <w:szCs w:val="22"/>
        </w:rPr>
        <w:t xml:space="preserve">, whose debt was previously unsecured, </w:t>
      </w:r>
      <w:r w:rsidR="00C208F2">
        <w:rPr>
          <w:rFonts w:ascii="Avenir Next" w:hAnsi="Avenir Next" w:cs="Arial"/>
          <w:color w:val="808080" w:themeColor="background1" w:themeShade="80"/>
          <w:sz w:val="22"/>
          <w:szCs w:val="22"/>
        </w:rPr>
        <w:t xml:space="preserve">as was done here in </w:t>
      </w:r>
      <w:proofErr w:type="spellStart"/>
      <w:r w:rsidR="00C208F2">
        <w:rPr>
          <w:rFonts w:ascii="Avenir Next" w:hAnsi="Avenir Next" w:cs="Arial"/>
          <w:color w:val="808080" w:themeColor="background1" w:themeShade="80"/>
          <w:sz w:val="22"/>
          <w:szCs w:val="22"/>
        </w:rPr>
        <w:t>favour</w:t>
      </w:r>
      <w:proofErr w:type="spellEnd"/>
      <w:r w:rsidR="00C208F2">
        <w:rPr>
          <w:rFonts w:ascii="Avenir Next" w:hAnsi="Avenir Next" w:cs="Arial"/>
          <w:color w:val="808080" w:themeColor="background1" w:themeShade="80"/>
          <w:sz w:val="22"/>
          <w:szCs w:val="22"/>
        </w:rPr>
        <w:t xml:space="preserve"> of </w:t>
      </w:r>
      <w:proofErr w:type="spellStart"/>
      <w:r w:rsidR="00C208F2">
        <w:rPr>
          <w:rFonts w:ascii="Avenir Next" w:hAnsi="Avenir Next" w:cs="Arial"/>
          <w:color w:val="808080" w:themeColor="background1" w:themeShade="80"/>
          <w:sz w:val="22"/>
          <w:szCs w:val="22"/>
        </w:rPr>
        <w:t>Fretus</w:t>
      </w:r>
      <w:proofErr w:type="spellEnd"/>
      <w:r w:rsidR="00C208F2">
        <w:rPr>
          <w:rFonts w:ascii="Avenir Next" w:hAnsi="Avenir Next" w:cs="Arial"/>
          <w:color w:val="808080" w:themeColor="background1" w:themeShade="80"/>
          <w:sz w:val="22"/>
          <w:szCs w:val="22"/>
        </w:rPr>
        <w:t xml:space="preserve"> Bank. </w:t>
      </w:r>
    </w:p>
    <w:p w14:paraId="321C73BF" w14:textId="5BF9FB8E" w:rsidR="00673C4C" w:rsidRDefault="00673C4C" w:rsidP="00D65439">
      <w:pPr>
        <w:ind w:firstLine="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 order to be successful in any challenge commenced under section 239 of the Insolvency Act, the Liquidator must be able to satisfy the following conditions, which are each assessed in turn:</w:t>
      </w:r>
    </w:p>
    <w:p w14:paraId="20345992" w14:textId="7BD5DEF8" w:rsidR="00673C4C" w:rsidRDefault="00C70FF4" w:rsidP="00673C4C">
      <w:pPr>
        <w:pStyle w:val="ListParagraph"/>
        <w:numPr>
          <w:ilvl w:val="0"/>
          <w:numId w:val="22"/>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person whom it is alleged </w:t>
      </w:r>
      <w:proofErr w:type="gramStart"/>
      <w:r>
        <w:rPr>
          <w:rFonts w:ascii="Avenir Next" w:hAnsi="Avenir Next" w:cs="Arial"/>
          <w:color w:val="808080" w:themeColor="background1" w:themeShade="80"/>
          <w:sz w:val="22"/>
          <w:szCs w:val="22"/>
        </w:rPr>
        <w:t>has</w:t>
      </w:r>
      <w:proofErr w:type="gramEnd"/>
      <w:r>
        <w:rPr>
          <w:rFonts w:ascii="Avenir Next" w:hAnsi="Avenir Next" w:cs="Arial"/>
          <w:color w:val="808080" w:themeColor="background1" w:themeShade="80"/>
          <w:sz w:val="22"/>
          <w:szCs w:val="22"/>
        </w:rPr>
        <w:t xml:space="preserve"> been preferred was, at the time of the transaction, a creditor of the company. The Company had outstanding loans from </w:t>
      </w:r>
      <w:proofErr w:type="spellStart"/>
      <w:r>
        <w:rPr>
          <w:rFonts w:ascii="Avenir Next" w:hAnsi="Avenir Next" w:cs="Arial"/>
          <w:color w:val="808080" w:themeColor="background1" w:themeShade="80"/>
          <w:sz w:val="22"/>
          <w:szCs w:val="22"/>
        </w:rPr>
        <w:t>Fretus</w:t>
      </w:r>
      <w:proofErr w:type="spellEnd"/>
      <w:r>
        <w:rPr>
          <w:rFonts w:ascii="Avenir Next" w:hAnsi="Avenir Next" w:cs="Arial"/>
          <w:color w:val="808080" w:themeColor="background1" w:themeShade="80"/>
          <w:sz w:val="22"/>
          <w:szCs w:val="22"/>
        </w:rPr>
        <w:t xml:space="preserve"> Bank plc, for which it feared it may demand payment. </w:t>
      </w:r>
      <w:r w:rsidR="00BB3418">
        <w:rPr>
          <w:rFonts w:ascii="Avenir Next" w:hAnsi="Avenir Next" w:cs="Arial"/>
          <w:color w:val="808080" w:themeColor="background1" w:themeShade="80"/>
          <w:sz w:val="22"/>
          <w:szCs w:val="22"/>
        </w:rPr>
        <w:t xml:space="preserve">As such, at the time of the transaction (i.e., the </w:t>
      </w:r>
      <w:r w:rsidR="00BB3418">
        <w:rPr>
          <w:rFonts w:ascii="Avenir Next" w:hAnsi="Avenir Next" w:cs="Arial"/>
          <w:color w:val="808080" w:themeColor="background1" w:themeShade="80"/>
          <w:sz w:val="22"/>
          <w:szCs w:val="22"/>
        </w:rPr>
        <w:lastRenderedPageBreak/>
        <w:t xml:space="preserve">granting of a debenture containing a floating charge over the company’s undertaking), </w:t>
      </w:r>
      <w:proofErr w:type="spellStart"/>
      <w:r w:rsidR="00BB3418">
        <w:rPr>
          <w:rFonts w:ascii="Avenir Next" w:hAnsi="Avenir Next" w:cs="Arial"/>
          <w:color w:val="808080" w:themeColor="background1" w:themeShade="80"/>
          <w:sz w:val="22"/>
          <w:szCs w:val="22"/>
        </w:rPr>
        <w:t>Fretus</w:t>
      </w:r>
      <w:proofErr w:type="spellEnd"/>
      <w:r w:rsidR="00BB3418">
        <w:rPr>
          <w:rFonts w:ascii="Avenir Next" w:hAnsi="Avenir Next" w:cs="Arial"/>
          <w:color w:val="808080" w:themeColor="background1" w:themeShade="80"/>
          <w:sz w:val="22"/>
          <w:szCs w:val="22"/>
        </w:rPr>
        <w:t xml:space="preserve"> Bank plc was a creditor of the Company.</w:t>
      </w:r>
    </w:p>
    <w:p w14:paraId="56D7BAB7" w14:textId="795A8331" w:rsidR="00BB3418" w:rsidRDefault="00D37780" w:rsidP="00673C4C">
      <w:pPr>
        <w:pStyle w:val="ListParagraph"/>
        <w:numPr>
          <w:ilvl w:val="0"/>
          <w:numId w:val="22"/>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Something was done by the company which put that person in a better position in the event of the company going into liquidation than the position he would have </w:t>
      </w:r>
      <w:proofErr w:type="gramStart"/>
      <w:r>
        <w:rPr>
          <w:rFonts w:ascii="Avenir Next" w:hAnsi="Avenir Next" w:cs="Arial"/>
          <w:color w:val="808080" w:themeColor="background1" w:themeShade="80"/>
          <w:sz w:val="22"/>
          <w:szCs w:val="22"/>
        </w:rPr>
        <w:t>been</w:t>
      </w:r>
      <w:proofErr w:type="gramEnd"/>
      <w:r>
        <w:rPr>
          <w:rFonts w:ascii="Avenir Next" w:hAnsi="Avenir Next" w:cs="Arial"/>
          <w:color w:val="808080" w:themeColor="background1" w:themeShade="80"/>
          <w:sz w:val="22"/>
          <w:szCs w:val="22"/>
        </w:rPr>
        <w:t xml:space="preserve"> if that thing had not been done. </w:t>
      </w:r>
      <w:r w:rsidR="00527929">
        <w:rPr>
          <w:rFonts w:ascii="Avenir Next" w:hAnsi="Avenir Next" w:cs="Arial"/>
          <w:color w:val="808080" w:themeColor="background1" w:themeShade="80"/>
          <w:sz w:val="22"/>
          <w:szCs w:val="22"/>
        </w:rPr>
        <w:t xml:space="preserve">From the background provided, it is understood that the monies owed to </w:t>
      </w:r>
      <w:proofErr w:type="spellStart"/>
      <w:r w:rsidR="00527929">
        <w:rPr>
          <w:rFonts w:ascii="Avenir Next" w:hAnsi="Avenir Next" w:cs="Arial"/>
          <w:color w:val="808080" w:themeColor="background1" w:themeShade="80"/>
          <w:sz w:val="22"/>
          <w:szCs w:val="22"/>
        </w:rPr>
        <w:t>Fretus</w:t>
      </w:r>
      <w:proofErr w:type="spellEnd"/>
      <w:r w:rsidR="00527929">
        <w:rPr>
          <w:rFonts w:ascii="Avenir Next" w:hAnsi="Avenir Next" w:cs="Arial"/>
          <w:color w:val="808080" w:themeColor="background1" w:themeShade="80"/>
          <w:sz w:val="22"/>
          <w:szCs w:val="22"/>
        </w:rPr>
        <w:t xml:space="preserve"> Bank plc by the Company were, prior to February 2022, unsecured, and that the debenture granted in February 2022 was the first of such. </w:t>
      </w:r>
      <w:r w:rsidR="0046275E">
        <w:rPr>
          <w:rFonts w:ascii="Avenir Next" w:hAnsi="Avenir Next" w:cs="Arial"/>
          <w:color w:val="808080" w:themeColor="background1" w:themeShade="80"/>
          <w:sz w:val="22"/>
          <w:szCs w:val="22"/>
        </w:rPr>
        <w:t xml:space="preserve">Accordingly, by granting a debenture in </w:t>
      </w:r>
      <w:proofErr w:type="spellStart"/>
      <w:r w:rsidR="0046275E">
        <w:rPr>
          <w:rFonts w:ascii="Avenir Next" w:hAnsi="Avenir Next" w:cs="Arial"/>
          <w:color w:val="808080" w:themeColor="background1" w:themeShade="80"/>
          <w:sz w:val="22"/>
          <w:szCs w:val="22"/>
        </w:rPr>
        <w:t>favour</w:t>
      </w:r>
      <w:proofErr w:type="spellEnd"/>
      <w:r w:rsidR="0046275E">
        <w:rPr>
          <w:rFonts w:ascii="Avenir Next" w:hAnsi="Avenir Next" w:cs="Arial"/>
          <w:color w:val="808080" w:themeColor="background1" w:themeShade="80"/>
          <w:sz w:val="22"/>
          <w:szCs w:val="22"/>
        </w:rPr>
        <w:t xml:space="preserve"> of </w:t>
      </w:r>
      <w:proofErr w:type="spellStart"/>
      <w:r w:rsidR="0046275E">
        <w:rPr>
          <w:rFonts w:ascii="Avenir Next" w:hAnsi="Avenir Next" w:cs="Arial"/>
          <w:color w:val="808080" w:themeColor="background1" w:themeShade="80"/>
          <w:sz w:val="22"/>
          <w:szCs w:val="22"/>
        </w:rPr>
        <w:t>Fretus</w:t>
      </w:r>
      <w:proofErr w:type="spellEnd"/>
      <w:r w:rsidR="0046275E">
        <w:rPr>
          <w:rFonts w:ascii="Avenir Next" w:hAnsi="Avenir Next" w:cs="Arial"/>
          <w:color w:val="808080" w:themeColor="background1" w:themeShade="80"/>
          <w:sz w:val="22"/>
          <w:szCs w:val="22"/>
        </w:rPr>
        <w:t xml:space="preserve"> Bank plc containing a floating charge over the whole of the Company’s undertaking to </w:t>
      </w:r>
      <w:proofErr w:type="spellStart"/>
      <w:r w:rsidR="0046275E">
        <w:rPr>
          <w:rFonts w:ascii="Avenir Next" w:hAnsi="Avenir Next" w:cs="Arial"/>
          <w:color w:val="808080" w:themeColor="background1" w:themeShade="80"/>
          <w:sz w:val="22"/>
          <w:szCs w:val="22"/>
        </w:rPr>
        <w:t>Fretus</w:t>
      </w:r>
      <w:proofErr w:type="spellEnd"/>
      <w:r w:rsidR="0046275E">
        <w:rPr>
          <w:rFonts w:ascii="Avenir Next" w:hAnsi="Avenir Next" w:cs="Arial"/>
          <w:color w:val="808080" w:themeColor="background1" w:themeShade="80"/>
          <w:sz w:val="22"/>
          <w:szCs w:val="22"/>
        </w:rPr>
        <w:t xml:space="preserve"> Bank plc, the Company elevated </w:t>
      </w:r>
      <w:proofErr w:type="spellStart"/>
      <w:r w:rsidR="0046275E">
        <w:rPr>
          <w:rFonts w:ascii="Avenir Next" w:hAnsi="Avenir Next" w:cs="Arial"/>
          <w:color w:val="808080" w:themeColor="background1" w:themeShade="80"/>
          <w:sz w:val="22"/>
          <w:szCs w:val="22"/>
        </w:rPr>
        <w:t>Fretus</w:t>
      </w:r>
      <w:proofErr w:type="spellEnd"/>
      <w:r w:rsidR="0046275E">
        <w:rPr>
          <w:rFonts w:ascii="Avenir Next" w:hAnsi="Avenir Next" w:cs="Arial"/>
          <w:color w:val="808080" w:themeColor="background1" w:themeShade="80"/>
          <w:sz w:val="22"/>
          <w:szCs w:val="22"/>
        </w:rPr>
        <w:t xml:space="preserve"> Bank plc from an ordinary unsecured creditor, who would be repaid in the liquidation on a </w:t>
      </w:r>
      <w:proofErr w:type="spellStart"/>
      <w:r w:rsidR="0046275E">
        <w:rPr>
          <w:rFonts w:ascii="Avenir Next" w:hAnsi="Avenir Next" w:cs="Arial"/>
          <w:color w:val="808080" w:themeColor="background1" w:themeShade="80"/>
          <w:sz w:val="22"/>
          <w:szCs w:val="22"/>
        </w:rPr>
        <w:t>pari</w:t>
      </w:r>
      <w:proofErr w:type="spellEnd"/>
      <w:r w:rsidR="0046275E">
        <w:rPr>
          <w:rFonts w:ascii="Avenir Next" w:hAnsi="Avenir Next" w:cs="Arial"/>
          <w:color w:val="808080" w:themeColor="background1" w:themeShade="80"/>
          <w:sz w:val="22"/>
          <w:szCs w:val="22"/>
        </w:rPr>
        <w:t xml:space="preserve"> passu basis with all other unsecured creditors, to </w:t>
      </w:r>
      <w:r w:rsidR="00D92CB7">
        <w:rPr>
          <w:rFonts w:ascii="Avenir Next" w:hAnsi="Avenir Next" w:cs="Arial"/>
          <w:color w:val="808080" w:themeColor="background1" w:themeShade="80"/>
          <w:sz w:val="22"/>
          <w:szCs w:val="22"/>
        </w:rPr>
        <w:t xml:space="preserve">the holder of a floating charge, who will be entitled to repaid prior to unsecured creditors and immediately after preferential creditors have been satisfied. As such, the Company’s granting of the floating charge put </w:t>
      </w:r>
      <w:proofErr w:type="spellStart"/>
      <w:r w:rsidR="00D92CB7">
        <w:rPr>
          <w:rFonts w:ascii="Avenir Next" w:hAnsi="Avenir Next" w:cs="Arial"/>
          <w:color w:val="808080" w:themeColor="background1" w:themeShade="80"/>
          <w:sz w:val="22"/>
          <w:szCs w:val="22"/>
        </w:rPr>
        <w:t>Fretus</w:t>
      </w:r>
      <w:proofErr w:type="spellEnd"/>
      <w:r w:rsidR="00D92CB7">
        <w:rPr>
          <w:rFonts w:ascii="Avenir Next" w:hAnsi="Avenir Next" w:cs="Arial"/>
          <w:color w:val="808080" w:themeColor="background1" w:themeShade="80"/>
          <w:sz w:val="22"/>
          <w:szCs w:val="22"/>
        </w:rPr>
        <w:t xml:space="preserve"> Bank plc in a better position in </w:t>
      </w:r>
      <w:proofErr w:type="gramStart"/>
      <w:r w:rsidR="00D92CB7">
        <w:rPr>
          <w:rFonts w:ascii="Avenir Next" w:hAnsi="Avenir Next" w:cs="Arial"/>
          <w:color w:val="808080" w:themeColor="background1" w:themeShade="80"/>
          <w:sz w:val="22"/>
          <w:szCs w:val="22"/>
        </w:rPr>
        <w:t>the liquidation</w:t>
      </w:r>
      <w:proofErr w:type="gramEnd"/>
      <w:r w:rsidR="00D92CB7">
        <w:rPr>
          <w:rFonts w:ascii="Avenir Next" w:hAnsi="Avenir Next" w:cs="Arial"/>
          <w:color w:val="808080" w:themeColor="background1" w:themeShade="80"/>
          <w:sz w:val="22"/>
          <w:szCs w:val="22"/>
        </w:rPr>
        <w:t xml:space="preserve"> than it would have otherwise been. </w:t>
      </w:r>
    </w:p>
    <w:p w14:paraId="2067DD3F" w14:textId="22D90CB3" w:rsidR="00D92CB7" w:rsidRDefault="00DC0814" w:rsidP="00673C4C">
      <w:pPr>
        <w:pStyle w:val="ListParagraph"/>
        <w:numPr>
          <w:ilvl w:val="0"/>
          <w:numId w:val="22"/>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giving the preference, the company was influenced by a desire to give that creditor such a preference. </w:t>
      </w:r>
      <w:r w:rsidR="00327672">
        <w:rPr>
          <w:rFonts w:ascii="Avenir Next" w:hAnsi="Avenir Next" w:cs="Arial"/>
          <w:color w:val="808080" w:themeColor="background1" w:themeShade="80"/>
          <w:sz w:val="22"/>
          <w:szCs w:val="22"/>
        </w:rPr>
        <w:t>This is the condition that is often most difficult to establish</w:t>
      </w:r>
      <w:r>
        <w:rPr>
          <w:rFonts w:ascii="Avenir Next" w:hAnsi="Avenir Next" w:cs="Arial"/>
          <w:color w:val="808080" w:themeColor="background1" w:themeShade="80"/>
          <w:sz w:val="22"/>
          <w:szCs w:val="22"/>
        </w:rPr>
        <w:t xml:space="preserve">. </w:t>
      </w:r>
      <w:r w:rsidR="00327672">
        <w:rPr>
          <w:rFonts w:ascii="Avenir Next" w:hAnsi="Avenir Next" w:cs="Arial"/>
          <w:color w:val="808080" w:themeColor="background1" w:themeShade="80"/>
          <w:sz w:val="22"/>
          <w:szCs w:val="22"/>
        </w:rPr>
        <w:t xml:space="preserve">Although </w:t>
      </w:r>
      <w:proofErr w:type="spellStart"/>
      <w:r w:rsidR="00327672">
        <w:rPr>
          <w:rFonts w:ascii="Avenir Next" w:hAnsi="Avenir Next" w:cs="Arial"/>
          <w:color w:val="808080" w:themeColor="background1" w:themeShade="80"/>
          <w:sz w:val="22"/>
          <w:szCs w:val="22"/>
        </w:rPr>
        <w:t>Fretus</w:t>
      </w:r>
      <w:proofErr w:type="spellEnd"/>
      <w:r w:rsidR="00327672">
        <w:rPr>
          <w:rFonts w:ascii="Avenir Next" w:hAnsi="Avenir Next" w:cs="Arial"/>
          <w:color w:val="808080" w:themeColor="background1" w:themeShade="80"/>
          <w:sz w:val="22"/>
          <w:szCs w:val="22"/>
        </w:rPr>
        <w:t xml:space="preserve"> Bank plc placed the Company under pressure to provide the debenture, the fact that pressure was applied by a creditor is not relevant </w:t>
      </w:r>
      <w:proofErr w:type="gramStart"/>
      <w:r w:rsidR="00327672">
        <w:rPr>
          <w:rFonts w:ascii="Avenir Next" w:hAnsi="Avenir Next" w:cs="Arial"/>
          <w:color w:val="808080" w:themeColor="background1" w:themeShade="80"/>
          <w:sz w:val="22"/>
          <w:szCs w:val="22"/>
        </w:rPr>
        <w:t>in</w:t>
      </w:r>
      <w:proofErr w:type="gramEnd"/>
      <w:r w:rsidR="00327672">
        <w:rPr>
          <w:rFonts w:ascii="Avenir Next" w:hAnsi="Avenir Next" w:cs="Arial"/>
          <w:color w:val="808080" w:themeColor="background1" w:themeShade="80"/>
          <w:sz w:val="22"/>
          <w:szCs w:val="22"/>
        </w:rPr>
        <w:t xml:space="preserve"> determining the company’s desire. However, relevant here is the case of </w:t>
      </w:r>
      <w:r w:rsidR="00EA6FB8">
        <w:rPr>
          <w:rFonts w:ascii="Avenir Next" w:hAnsi="Avenir Next" w:cs="Arial"/>
          <w:i/>
          <w:iCs/>
          <w:color w:val="808080" w:themeColor="background1" w:themeShade="80"/>
          <w:sz w:val="22"/>
          <w:szCs w:val="22"/>
        </w:rPr>
        <w:t>Re MC Bacon Ltd.</w:t>
      </w:r>
      <w:r w:rsidR="00EA6FB8">
        <w:rPr>
          <w:rFonts w:ascii="Avenir Next" w:hAnsi="Avenir Next" w:cs="Arial"/>
          <w:color w:val="808080" w:themeColor="background1" w:themeShade="80"/>
          <w:sz w:val="22"/>
          <w:szCs w:val="22"/>
        </w:rPr>
        <w:t xml:space="preserve">, in which the facts were of striking similarity. While the liquidator in that case contended that the granting of a debenture in </w:t>
      </w:r>
      <w:proofErr w:type="spellStart"/>
      <w:r w:rsidR="00EA6FB8">
        <w:rPr>
          <w:rFonts w:ascii="Avenir Next" w:hAnsi="Avenir Next" w:cs="Arial"/>
          <w:color w:val="808080" w:themeColor="background1" w:themeShade="80"/>
          <w:sz w:val="22"/>
          <w:szCs w:val="22"/>
        </w:rPr>
        <w:t>favour</w:t>
      </w:r>
      <w:proofErr w:type="spellEnd"/>
      <w:r w:rsidR="00EA6FB8">
        <w:rPr>
          <w:rFonts w:ascii="Avenir Next" w:hAnsi="Avenir Next" w:cs="Arial"/>
          <w:color w:val="808080" w:themeColor="background1" w:themeShade="80"/>
          <w:sz w:val="22"/>
          <w:szCs w:val="22"/>
        </w:rPr>
        <w:t xml:space="preserve"> of the company’s bank to secure past indebtedness was a preference, the court found that where the company was dependent upon the bank for continued trading such that if the debenture were not granted the bank would withdraw its support, forcing it into liquidation, the granting of the debenture was motivated by the desire to avoid the calling in of the overdraft and the continued trading of the company – and not by a desire to prefer the bank. Indeed, subsequent decisions have also confirmed that there will be no desire to prefer where the company was influenced by commercial considerations, particularly ensuring that the company continued trading. </w:t>
      </w:r>
      <w:r w:rsidR="00AB705D">
        <w:rPr>
          <w:rFonts w:ascii="Avenir Next" w:hAnsi="Avenir Next" w:cs="Arial"/>
          <w:color w:val="808080" w:themeColor="background1" w:themeShade="80"/>
          <w:sz w:val="22"/>
          <w:szCs w:val="22"/>
        </w:rPr>
        <w:t xml:space="preserve">In this case, the Company granted a debenture to </w:t>
      </w:r>
      <w:proofErr w:type="spellStart"/>
      <w:r w:rsidR="00AB705D">
        <w:rPr>
          <w:rFonts w:ascii="Avenir Next" w:hAnsi="Avenir Next" w:cs="Arial"/>
          <w:color w:val="808080" w:themeColor="background1" w:themeShade="80"/>
          <w:sz w:val="22"/>
          <w:szCs w:val="22"/>
        </w:rPr>
        <w:t>Fretus</w:t>
      </w:r>
      <w:proofErr w:type="spellEnd"/>
      <w:r w:rsidR="00AB705D">
        <w:rPr>
          <w:rFonts w:ascii="Avenir Next" w:hAnsi="Avenir Next" w:cs="Arial"/>
          <w:color w:val="808080" w:themeColor="background1" w:themeShade="80"/>
          <w:sz w:val="22"/>
          <w:szCs w:val="22"/>
        </w:rPr>
        <w:t xml:space="preserve"> Bank plc to prevent it from demanding repayment of the Company’s loans – calling in the overdraft and, presumably, thereby bringing an end to the Company’s trading.</w:t>
      </w:r>
      <w:r w:rsidR="002832A7">
        <w:rPr>
          <w:rFonts w:ascii="Avenir Next" w:hAnsi="Avenir Next" w:cs="Arial"/>
          <w:color w:val="808080" w:themeColor="background1" w:themeShade="80"/>
          <w:sz w:val="22"/>
          <w:szCs w:val="22"/>
        </w:rPr>
        <w:t xml:space="preserve"> In accordance with Re MC Bacon Ltd., it is very likely that, in these circumstances, a court may be reluctant to conclude that the Company was influenced by a desire to give </w:t>
      </w:r>
      <w:proofErr w:type="spellStart"/>
      <w:r w:rsidR="002832A7">
        <w:rPr>
          <w:rFonts w:ascii="Avenir Next" w:hAnsi="Avenir Next" w:cs="Arial"/>
          <w:color w:val="808080" w:themeColor="background1" w:themeShade="80"/>
          <w:sz w:val="22"/>
          <w:szCs w:val="22"/>
        </w:rPr>
        <w:t>Fretus</w:t>
      </w:r>
      <w:proofErr w:type="spellEnd"/>
      <w:r w:rsidR="002832A7">
        <w:rPr>
          <w:rFonts w:ascii="Avenir Next" w:hAnsi="Avenir Next" w:cs="Arial"/>
          <w:color w:val="808080" w:themeColor="background1" w:themeShade="80"/>
          <w:sz w:val="22"/>
          <w:szCs w:val="22"/>
        </w:rPr>
        <w:t xml:space="preserve"> Bank a preference, in the absence of any other evidence to the contrary. </w:t>
      </w:r>
    </w:p>
    <w:p w14:paraId="68B849CE" w14:textId="6B1D37AC" w:rsidR="0064094E" w:rsidRDefault="0064094E" w:rsidP="0064094E">
      <w:pPr>
        <w:pStyle w:val="ListParagraph"/>
        <w:numPr>
          <w:ilvl w:val="0"/>
          <w:numId w:val="22"/>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w:t>
      </w:r>
      <w:r>
        <w:rPr>
          <w:rFonts w:ascii="Avenir Next" w:hAnsi="Avenir Next" w:cs="Arial"/>
          <w:color w:val="808080" w:themeColor="background1" w:themeShade="80"/>
          <w:sz w:val="22"/>
          <w:szCs w:val="22"/>
        </w:rPr>
        <w:t>preference</w:t>
      </w:r>
      <w:r>
        <w:rPr>
          <w:rFonts w:ascii="Avenir Next" w:hAnsi="Avenir Next" w:cs="Arial"/>
          <w:color w:val="808080" w:themeColor="background1" w:themeShade="80"/>
          <w:sz w:val="22"/>
          <w:szCs w:val="22"/>
        </w:rPr>
        <w:t xml:space="preserve"> must have </w:t>
      </w:r>
      <w:r>
        <w:rPr>
          <w:rFonts w:ascii="Avenir Next" w:hAnsi="Avenir Next" w:cs="Arial"/>
          <w:color w:val="808080" w:themeColor="background1" w:themeShade="80"/>
          <w:sz w:val="22"/>
          <w:szCs w:val="22"/>
        </w:rPr>
        <w:t>been given at</w:t>
      </w:r>
      <w:r>
        <w:rPr>
          <w:rFonts w:ascii="Avenir Next" w:hAnsi="Avenir Next" w:cs="Arial"/>
          <w:color w:val="808080" w:themeColor="background1" w:themeShade="80"/>
          <w:sz w:val="22"/>
          <w:szCs w:val="22"/>
        </w:rPr>
        <w:t xml:space="preserve"> a “relevant time”, which is within the period of two years prior to the commencement of the liquidation. The “commencement of the winding up” is the date on which the petition to wind up was presented or issued. In this case, that is October 14, 2022.  Thus, any </w:t>
      </w:r>
      <w:r>
        <w:rPr>
          <w:rFonts w:ascii="Avenir Next" w:hAnsi="Avenir Next" w:cs="Arial"/>
          <w:color w:val="808080" w:themeColor="background1" w:themeShade="80"/>
          <w:sz w:val="22"/>
          <w:szCs w:val="22"/>
        </w:rPr>
        <w:t>preferences</w:t>
      </w:r>
      <w:r>
        <w:rPr>
          <w:rFonts w:ascii="Avenir Next" w:hAnsi="Avenir Next" w:cs="Arial"/>
          <w:color w:val="808080" w:themeColor="background1" w:themeShade="80"/>
          <w:sz w:val="22"/>
          <w:szCs w:val="22"/>
        </w:rPr>
        <w:t xml:space="preserve"> after October 14, </w:t>
      </w:r>
      <w:proofErr w:type="gramStart"/>
      <w:r>
        <w:rPr>
          <w:rFonts w:ascii="Avenir Next" w:hAnsi="Avenir Next" w:cs="Arial"/>
          <w:color w:val="808080" w:themeColor="background1" w:themeShade="80"/>
          <w:sz w:val="22"/>
          <w:szCs w:val="22"/>
        </w:rPr>
        <w:t>2020</w:t>
      </w:r>
      <w:proofErr w:type="gramEnd"/>
      <w:r>
        <w:rPr>
          <w:rFonts w:ascii="Avenir Next" w:hAnsi="Avenir Next" w:cs="Arial"/>
          <w:color w:val="808080" w:themeColor="background1" w:themeShade="80"/>
          <w:sz w:val="22"/>
          <w:szCs w:val="22"/>
        </w:rPr>
        <w:t xml:space="preserve"> will be considered to have occurred at a relevant time. The </w:t>
      </w:r>
      <w:r>
        <w:rPr>
          <w:rFonts w:ascii="Avenir Next" w:hAnsi="Avenir Next" w:cs="Arial"/>
          <w:color w:val="808080" w:themeColor="background1" w:themeShade="80"/>
          <w:sz w:val="22"/>
          <w:szCs w:val="22"/>
        </w:rPr>
        <w:t>debenture was granted in February 2022 and will, therefore, fall within that period</w:t>
      </w:r>
      <w:r>
        <w:rPr>
          <w:rFonts w:ascii="Avenir Next" w:hAnsi="Avenir Next" w:cs="Arial"/>
          <w:color w:val="808080" w:themeColor="background1" w:themeShade="80"/>
          <w:sz w:val="22"/>
          <w:szCs w:val="22"/>
        </w:rPr>
        <w:t xml:space="preserve">. </w:t>
      </w:r>
    </w:p>
    <w:p w14:paraId="74C366AC" w14:textId="39894EF5" w:rsidR="007E2919" w:rsidRPr="0064094E" w:rsidRDefault="0064094E" w:rsidP="006F73EC">
      <w:pPr>
        <w:pStyle w:val="ListParagraph"/>
        <w:numPr>
          <w:ilvl w:val="0"/>
          <w:numId w:val="22"/>
        </w:numPr>
        <w:jc w:val="both"/>
        <w:rPr>
          <w:rFonts w:ascii="Avenir Next" w:hAnsi="Avenir Next" w:cs="Arial"/>
          <w:b/>
          <w:sz w:val="22"/>
          <w:szCs w:val="22"/>
        </w:rPr>
      </w:pPr>
      <w:r w:rsidRPr="0064094E">
        <w:rPr>
          <w:rFonts w:ascii="Avenir Next" w:hAnsi="Avenir Next" w:cs="Arial"/>
          <w:color w:val="808080" w:themeColor="background1" w:themeShade="80"/>
          <w:sz w:val="22"/>
          <w:szCs w:val="22"/>
        </w:rPr>
        <w:t xml:space="preserve">The </w:t>
      </w:r>
      <w:r w:rsidRPr="0064094E">
        <w:rPr>
          <w:rFonts w:ascii="Avenir Next" w:hAnsi="Avenir Next" w:cs="Arial"/>
          <w:color w:val="808080" w:themeColor="background1" w:themeShade="80"/>
          <w:sz w:val="22"/>
          <w:szCs w:val="22"/>
        </w:rPr>
        <w:t xml:space="preserve">preference must have been given </w:t>
      </w:r>
      <w:r w:rsidRPr="0064094E">
        <w:rPr>
          <w:rFonts w:ascii="Avenir Next" w:hAnsi="Avenir Next" w:cs="Arial"/>
          <w:color w:val="808080" w:themeColor="background1" w:themeShade="80"/>
          <w:sz w:val="22"/>
          <w:szCs w:val="22"/>
        </w:rPr>
        <w:t xml:space="preserve">at a time when the company was unable to pay its debts as they fell due, or the company must have </w:t>
      </w:r>
      <w:proofErr w:type="spellStart"/>
      <w:r w:rsidRPr="0064094E">
        <w:rPr>
          <w:rFonts w:ascii="Avenir Next" w:hAnsi="Avenir Next" w:cs="Arial"/>
          <w:color w:val="808080" w:themeColor="background1" w:themeShade="80"/>
          <w:sz w:val="22"/>
          <w:szCs w:val="22"/>
        </w:rPr>
        <w:t>became</w:t>
      </w:r>
      <w:proofErr w:type="spellEnd"/>
      <w:r w:rsidRPr="0064094E">
        <w:rPr>
          <w:rFonts w:ascii="Avenir Next" w:hAnsi="Avenir Next" w:cs="Arial"/>
          <w:color w:val="808080" w:themeColor="background1" w:themeShade="80"/>
          <w:sz w:val="22"/>
          <w:szCs w:val="22"/>
        </w:rPr>
        <w:t xml:space="preserve"> unable to pay its debts in consequence of the </w:t>
      </w:r>
      <w:r>
        <w:rPr>
          <w:rFonts w:ascii="Avenir Next" w:hAnsi="Avenir Next" w:cs="Arial"/>
          <w:color w:val="808080" w:themeColor="background1" w:themeShade="80"/>
          <w:sz w:val="22"/>
          <w:szCs w:val="22"/>
        </w:rPr>
        <w:t>preference</w:t>
      </w:r>
      <w:r w:rsidRPr="0064094E">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 xml:space="preserve">The Company’s concerns surrounding </w:t>
      </w:r>
      <w:proofErr w:type="spellStart"/>
      <w:r>
        <w:rPr>
          <w:rFonts w:ascii="Avenir Next" w:hAnsi="Avenir Next" w:cs="Arial"/>
          <w:color w:val="808080" w:themeColor="background1" w:themeShade="80"/>
          <w:sz w:val="22"/>
          <w:szCs w:val="22"/>
        </w:rPr>
        <w:t>Fretus</w:t>
      </w:r>
      <w:proofErr w:type="spellEnd"/>
      <w:r>
        <w:rPr>
          <w:rFonts w:ascii="Avenir Next" w:hAnsi="Avenir Next" w:cs="Arial"/>
          <w:color w:val="808080" w:themeColor="background1" w:themeShade="80"/>
          <w:sz w:val="22"/>
          <w:szCs w:val="22"/>
        </w:rPr>
        <w:t xml:space="preserve"> Bank plc demanding payment of its loans suggest that the Company was likely unable to pay its debts as they became due at the time of the preference, but this is something that the Liquidator will need to explore, and evidence, further. </w:t>
      </w:r>
    </w:p>
    <w:p w14:paraId="63A6CCE6" w14:textId="3E2FC18B" w:rsidR="0064094E" w:rsidRPr="00C4469B" w:rsidRDefault="0064094E" w:rsidP="0064094E">
      <w:pPr>
        <w:jc w:val="both"/>
        <w:rPr>
          <w:rFonts w:ascii="Avenir Next" w:hAnsi="Avenir Next" w:cs="Arial"/>
          <w:bCs/>
          <w:color w:val="808080" w:themeColor="background1" w:themeShade="80"/>
          <w:sz w:val="22"/>
          <w:szCs w:val="22"/>
        </w:rPr>
      </w:pPr>
      <w:r w:rsidRPr="00C4469B">
        <w:rPr>
          <w:rFonts w:ascii="Avenir Next" w:hAnsi="Avenir Next" w:cs="Arial"/>
          <w:bCs/>
          <w:color w:val="808080" w:themeColor="background1" w:themeShade="80"/>
          <w:sz w:val="22"/>
          <w:szCs w:val="22"/>
        </w:rPr>
        <w:t xml:space="preserve">On the assessment above, the Liquidator may want to proceed with caution before applying to have the debenture avoided as a preference under section 239 of the Act, as it is very difficult to show that the company was influenced by a desire to prefer the creditor (discussed at 3 above) in the absence of the presumption that kicks in where the creditor is connected to the company. In circumstances </w:t>
      </w:r>
      <w:r w:rsidRPr="00C4469B">
        <w:rPr>
          <w:rFonts w:ascii="Avenir Next" w:hAnsi="Avenir Next" w:cs="Arial"/>
          <w:bCs/>
          <w:color w:val="808080" w:themeColor="background1" w:themeShade="80"/>
          <w:sz w:val="22"/>
          <w:szCs w:val="22"/>
        </w:rPr>
        <w:lastRenderedPageBreak/>
        <w:t xml:space="preserve">where the facts suggest that the Company was motivated by desires other than to prefer </w:t>
      </w:r>
      <w:proofErr w:type="spellStart"/>
      <w:r w:rsidRPr="00C4469B">
        <w:rPr>
          <w:rFonts w:ascii="Avenir Next" w:hAnsi="Avenir Next" w:cs="Arial"/>
          <w:bCs/>
          <w:color w:val="808080" w:themeColor="background1" w:themeShade="80"/>
          <w:sz w:val="22"/>
          <w:szCs w:val="22"/>
        </w:rPr>
        <w:t>Fretus</w:t>
      </w:r>
      <w:proofErr w:type="spellEnd"/>
      <w:r w:rsidRPr="00C4469B">
        <w:rPr>
          <w:rFonts w:ascii="Avenir Next" w:hAnsi="Avenir Next" w:cs="Arial"/>
          <w:bCs/>
          <w:color w:val="808080" w:themeColor="background1" w:themeShade="80"/>
          <w:sz w:val="22"/>
          <w:szCs w:val="22"/>
        </w:rPr>
        <w:t xml:space="preserve"> Bank, the application is unlikely to succeed due to evidential difficulties surrounding that particular condition. </w:t>
      </w:r>
    </w:p>
    <w:p w14:paraId="4920D54D" w14:textId="0BA3CE2E" w:rsidR="0064094E" w:rsidRPr="00C4469B" w:rsidRDefault="0064094E" w:rsidP="0064094E">
      <w:pPr>
        <w:jc w:val="both"/>
        <w:rPr>
          <w:rFonts w:ascii="Avenir Next" w:hAnsi="Avenir Next" w:cs="Arial"/>
          <w:bCs/>
          <w:color w:val="808080" w:themeColor="background1" w:themeShade="80"/>
          <w:sz w:val="22"/>
          <w:szCs w:val="22"/>
        </w:rPr>
      </w:pPr>
    </w:p>
    <w:p w14:paraId="26298112" w14:textId="00579B3D" w:rsidR="0064094E" w:rsidRDefault="0064094E" w:rsidP="0064094E">
      <w:pPr>
        <w:jc w:val="both"/>
        <w:rPr>
          <w:rFonts w:ascii="Avenir Next" w:hAnsi="Avenir Next" w:cs="Arial"/>
          <w:bCs/>
          <w:sz w:val="22"/>
          <w:szCs w:val="22"/>
        </w:rPr>
      </w:pPr>
      <w:r w:rsidRPr="00C4469B">
        <w:rPr>
          <w:rFonts w:ascii="Avenir Next" w:hAnsi="Avenir Next" w:cs="Arial"/>
          <w:bCs/>
          <w:color w:val="808080" w:themeColor="background1" w:themeShade="80"/>
          <w:sz w:val="22"/>
          <w:szCs w:val="22"/>
        </w:rPr>
        <w:t xml:space="preserve">Instead, the Liquidator may pursue avoiding the floating charge under section 245 of the Insolvency Act, which deals strictly with floating charges and no other type of security. </w:t>
      </w:r>
      <w:r w:rsidR="00AF0BD5" w:rsidRPr="00C4469B">
        <w:rPr>
          <w:rFonts w:ascii="Avenir Next" w:hAnsi="Avenir Next" w:cs="Arial"/>
          <w:bCs/>
          <w:color w:val="808080" w:themeColor="background1" w:themeShade="80"/>
          <w:sz w:val="22"/>
          <w:szCs w:val="22"/>
        </w:rPr>
        <w:t xml:space="preserve">Where a company in liquidation gives a floating charge within the “relevant time”, section 245 of the Insolvency Act renders the floating charge invalid, unless “new” consideration is provided for the charge. </w:t>
      </w:r>
      <w:r w:rsidR="00C02976" w:rsidRPr="00C4469B">
        <w:rPr>
          <w:rFonts w:ascii="Avenir Next" w:hAnsi="Avenir Next" w:cs="Arial"/>
          <w:bCs/>
          <w:color w:val="808080" w:themeColor="background1" w:themeShade="80"/>
          <w:sz w:val="22"/>
          <w:szCs w:val="22"/>
        </w:rPr>
        <w:t xml:space="preserve">Where the person in whose </w:t>
      </w:r>
      <w:proofErr w:type="spellStart"/>
      <w:r w:rsidR="00C02976" w:rsidRPr="00C4469B">
        <w:rPr>
          <w:rFonts w:ascii="Avenir Next" w:hAnsi="Avenir Next" w:cs="Arial"/>
          <w:bCs/>
          <w:color w:val="808080" w:themeColor="background1" w:themeShade="80"/>
          <w:sz w:val="22"/>
          <w:szCs w:val="22"/>
        </w:rPr>
        <w:t>favour</w:t>
      </w:r>
      <w:proofErr w:type="spellEnd"/>
      <w:r w:rsidR="00C02976" w:rsidRPr="00C4469B">
        <w:rPr>
          <w:rFonts w:ascii="Avenir Next" w:hAnsi="Avenir Next" w:cs="Arial"/>
          <w:bCs/>
          <w:color w:val="808080" w:themeColor="background1" w:themeShade="80"/>
          <w:sz w:val="22"/>
          <w:szCs w:val="22"/>
        </w:rPr>
        <w:t xml:space="preserve"> the floating charge is granted is not connected to the company, the “relevant time” is any time within the period of 12 months prior to the onset of the insolvency, but only where the company was unable to pay its debts or became unable to do so </w:t>
      </w:r>
      <w:proofErr w:type="gramStart"/>
      <w:r w:rsidR="00C02976" w:rsidRPr="00C4469B">
        <w:rPr>
          <w:rFonts w:ascii="Avenir Next" w:hAnsi="Avenir Next" w:cs="Arial"/>
          <w:bCs/>
          <w:color w:val="808080" w:themeColor="background1" w:themeShade="80"/>
          <w:sz w:val="22"/>
          <w:szCs w:val="22"/>
        </w:rPr>
        <w:t>as a result of</w:t>
      </w:r>
      <w:proofErr w:type="gramEnd"/>
      <w:r w:rsidR="00C02976" w:rsidRPr="00C4469B">
        <w:rPr>
          <w:rFonts w:ascii="Avenir Next" w:hAnsi="Avenir Next" w:cs="Arial"/>
          <w:bCs/>
          <w:color w:val="808080" w:themeColor="background1" w:themeShade="80"/>
          <w:sz w:val="22"/>
          <w:szCs w:val="22"/>
        </w:rPr>
        <w:t xml:space="preserve"> the charge at the time that the charge was created. </w:t>
      </w:r>
      <w:r w:rsidR="00C4469B" w:rsidRPr="00C4469B">
        <w:rPr>
          <w:rFonts w:ascii="Avenir Next" w:hAnsi="Avenir Next" w:cs="Arial"/>
          <w:bCs/>
          <w:color w:val="808080" w:themeColor="background1" w:themeShade="80"/>
          <w:sz w:val="22"/>
          <w:szCs w:val="22"/>
        </w:rPr>
        <w:t xml:space="preserve">As the charge was created in February 2022, it was given by the Company within the “relevant time”, being less than 12 months prior to the commencement of the liquidation in October 2022. </w:t>
      </w:r>
      <w:r w:rsidR="00C4469B" w:rsidRPr="00C4469B">
        <w:rPr>
          <w:rFonts w:ascii="Avenir Next" w:hAnsi="Avenir Next" w:cs="Arial"/>
          <w:color w:val="808080" w:themeColor="background1" w:themeShade="80"/>
          <w:sz w:val="22"/>
          <w:szCs w:val="22"/>
        </w:rPr>
        <w:t>As mentioned abov</w:t>
      </w:r>
      <w:r w:rsidR="00C4469B" w:rsidRPr="00C4469B">
        <w:rPr>
          <w:rFonts w:ascii="Avenir Next" w:hAnsi="Avenir Next" w:cs="Arial"/>
          <w:color w:val="808080" w:themeColor="background1" w:themeShade="80"/>
          <w:sz w:val="22"/>
          <w:szCs w:val="22"/>
        </w:rPr>
        <w:t>e</w:t>
      </w:r>
      <w:r w:rsidR="00C4469B" w:rsidRPr="00C4469B">
        <w:rPr>
          <w:rFonts w:ascii="Avenir Next" w:hAnsi="Avenir Next" w:cs="Arial"/>
          <w:color w:val="808080" w:themeColor="background1" w:themeShade="80"/>
          <w:sz w:val="22"/>
          <w:szCs w:val="22"/>
        </w:rPr>
        <w:t>, the</w:t>
      </w:r>
      <w:r w:rsidR="00C4469B" w:rsidRPr="00C4469B">
        <w:rPr>
          <w:rFonts w:ascii="Avenir Next" w:hAnsi="Avenir Next" w:cs="Arial"/>
          <w:color w:val="808080" w:themeColor="background1" w:themeShade="80"/>
          <w:sz w:val="22"/>
          <w:szCs w:val="22"/>
        </w:rPr>
        <w:t xml:space="preserve"> Company’s concerns surrounding </w:t>
      </w:r>
      <w:proofErr w:type="spellStart"/>
      <w:r w:rsidR="00C4469B" w:rsidRPr="00C4469B">
        <w:rPr>
          <w:rFonts w:ascii="Avenir Next" w:hAnsi="Avenir Next" w:cs="Arial"/>
          <w:color w:val="808080" w:themeColor="background1" w:themeShade="80"/>
          <w:sz w:val="22"/>
          <w:szCs w:val="22"/>
        </w:rPr>
        <w:t>Fretus</w:t>
      </w:r>
      <w:proofErr w:type="spellEnd"/>
      <w:r w:rsidR="00C4469B" w:rsidRPr="00C4469B">
        <w:rPr>
          <w:rFonts w:ascii="Avenir Next" w:hAnsi="Avenir Next" w:cs="Arial"/>
          <w:color w:val="808080" w:themeColor="background1" w:themeShade="80"/>
          <w:sz w:val="22"/>
          <w:szCs w:val="22"/>
        </w:rPr>
        <w:t xml:space="preserve"> Bank plc demanding payment of its loans suggest that the Company was likely unable to pay its debts as they became due at the time </w:t>
      </w:r>
      <w:r w:rsidR="00C4469B" w:rsidRPr="00C4469B">
        <w:rPr>
          <w:rFonts w:ascii="Avenir Next" w:hAnsi="Avenir Next" w:cs="Arial"/>
          <w:color w:val="808080" w:themeColor="background1" w:themeShade="80"/>
          <w:sz w:val="22"/>
          <w:szCs w:val="22"/>
        </w:rPr>
        <w:t xml:space="preserve">that </w:t>
      </w:r>
      <w:r w:rsidR="00C4469B">
        <w:rPr>
          <w:rFonts w:ascii="Avenir Next" w:hAnsi="Avenir Next" w:cs="Arial"/>
          <w:color w:val="808080" w:themeColor="background1" w:themeShade="80"/>
          <w:sz w:val="22"/>
          <w:szCs w:val="22"/>
        </w:rPr>
        <w:t>the charge was created</w:t>
      </w:r>
      <w:r w:rsidR="00C4469B">
        <w:rPr>
          <w:rFonts w:ascii="Avenir Next" w:hAnsi="Avenir Next" w:cs="Arial"/>
          <w:color w:val="808080" w:themeColor="background1" w:themeShade="80"/>
          <w:sz w:val="22"/>
          <w:szCs w:val="22"/>
        </w:rPr>
        <w:t xml:space="preserve">, but this is </w:t>
      </w:r>
      <w:r w:rsidR="00C4469B">
        <w:rPr>
          <w:rFonts w:ascii="Avenir Next" w:hAnsi="Avenir Next" w:cs="Arial"/>
          <w:color w:val="808080" w:themeColor="background1" w:themeShade="80"/>
          <w:sz w:val="22"/>
          <w:szCs w:val="22"/>
        </w:rPr>
        <w:t xml:space="preserve">subject to further exploration and assessment by the Liquidator. Once that can be shown, the charge is likely to be avoided, as there is nothing to suggest that the charge was created to secure “new” consideration. To the contrary, it appears that the floating charge was granted to secure pre-existing loans to the Company. As such, the floating charge is likely to be rendered invalid by section 245, rendering the need to apply for it to be voided as a preference, moot. </w:t>
      </w:r>
    </w:p>
    <w:p w14:paraId="012B8CCE" w14:textId="77777777" w:rsidR="0064094E" w:rsidRPr="0064094E" w:rsidRDefault="0064094E" w:rsidP="0064094E">
      <w:pPr>
        <w:jc w:val="both"/>
        <w:rPr>
          <w:rFonts w:ascii="Avenir Next" w:hAnsi="Avenir Next" w:cs="Arial"/>
          <w:bCs/>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07962D63" w14:textId="56D6BC5E" w:rsidR="00EA3B38" w:rsidRDefault="00AA4931" w:rsidP="00BA7A8C">
      <w:pPr>
        <w:ind w:firstLine="720"/>
        <w:jc w:val="both"/>
        <w:rPr>
          <w:rFonts w:ascii="Avenir Next" w:hAnsi="Avenir Next" w:cs="Arial"/>
          <w:b/>
          <w:bCs/>
          <w:color w:val="808080" w:themeColor="background1" w:themeShade="80"/>
          <w:sz w:val="22"/>
          <w:szCs w:val="22"/>
        </w:rPr>
      </w:pPr>
      <w:r>
        <w:rPr>
          <w:rFonts w:ascii="Avenir Next" w:hAnsi="Avenir Next" w:cs="Arial"/>
          <w:color w:val="808080" w:themeColor="background1" w:themeShade="80"/>
          <w:sz w:val="22"/>
          <w:szCs w:val="22"/>
        </w:rPr>
        <w:t xml:space="preserve">In reviewing this transaction, the Liquidator should consider </w:t>
      </w:r>
      <w:r w:rsidRPr="00AA4931">
        <w:rPr>
          <w:rFonts w:ascii="Avenir Next" w:hAnsi="Avenir Next" w:cs="Arial"/>
          <w:color w:val="808080" w:themeColor="background1" w:themeShade="80"/>
          <w:sz w:val="22"/>
          <w:szCs w:val="22"/>
        </w:rPr>
        <w:t xml:space="preserve">whether the sale of the marble cutting machines to Rita Perkins </w:t>
      </w:r>
      <w:r>
        <w:rPr>
          <w:rFonts w:ascii="Avenir Next" w:hAnsi="Avenir Next" w:cs="Arial"/>
          <w:color w:val="808080" w:themeColor="background1" w:themeShade="80"/>
          <w:sz w:val="22"/>
          <w:szCs w:val="22"/>
        </w:rPr>
        <w:t xml:space="preserve">can be attacked under section 238 of the Insolvency Act as a transaction at an undervalue. </w:t>
      </w:r>
      <w:r>
        <w:rPr>
          <w:rFonts w:ascii="Avenir Next" w:hAnsi="Avenir Next" w:cs="Arial"/>
          <w:b/>
          <w:bCs/>
          <w:color w:val="808080" w:themeColor="background1" w:themeShade="80"/>
          <w:sz w:val="22"/>
          <w:szCs w:val="22"/>
        </w:rPr>
        <w:t>[</w:t>
      </w:r>
      <w:proofErr w:type="gramStart"/>
      <w:r>
        <w:rPr>
          <w:rFonts w:ascii="Avenir Next" w:hAnsi="Avenir Next" w:cs="Arial"/>
          <w:b/>
          <w:bCs/>
          <w:color w:val="808080" w:themeColor="background1" w:themeShade="80"/>
          <w:sz w:val="22"/>
          <w:szCs w:val="22"/>
        </w:rPr>
        <w:t>note also</w:t>
      </w:r>
      <w:proofErr w:type="gramEnd"/>
      <w:r>
        <w:rPr>
          <w:rFonts w:ascii="Avenir Next" w:hAnsi="Avenir Next" w:cs="Arial"/>
          <w:b/>
          <w:bCs/>
          <w:color w:val="808080" w:themeColor="background1" w:themeShade="80"/>
          <w:sz w:val="22"/>
          <w:szCs w:val="22"/>
        </w:rPr>
        <w:t xml:space="preserve"> her involvement in the comp]</w:t>
      </w:r>
    </w:p>
    <w:p w14:paraId="070538B2" w14:textId="3BB628FC" w:rsidR="00AA4931" w:rsidRDefault="00BA7A8C" w:rsidP="00AA493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b/>
        <w:t xml:space="preserve">Under section 238 of the Insolvency Act, a liquidator can challenge a transaction </w:t>
      </w:r>
      <w:proofErr w:type="gramStart"/>
      <w:r>
        <w:rPr>
          <w:rFonts w:ascii="Avenir Next" w:hAnsi="Avenir Next" w:cs="Arial"/>
          <w:color w:val="808080" w:themeColor="background1" w:themeShade="80"/>
          <w:sz w:val="22"/>
          <w:szCs w:val="22"/>
        </w:rPr>
        <w:t>that was</w:t>
      </w:r>
      <w:proofErr w:type="gramEnd"/>
      <w:r>
        <w:rPr>
          <w:rFonts w:ascii="Avenir Next" w:hAnsi="Avenir Next" w:cs="Arial"/>
          <w:color w:val="808080" w:themeColor="background1" w:themeShade="80"/>
          <w:sz w:val="22"/>
          <w:szCs w:val="22"/>
        </w:rPr>
        <w:t xml:space="preserve"> the company undertook prior to its entering into liquidation where the said transaction was at an undervalue. To be successful in its challenge, the liquidator must </w:t>
      </w:r>
      <w:r w:rsidR="00484C4F">
        <w:rPr>
          <w:rFonts w:ascii="Avenir Next" w:hAnsi="Avenir Next" w:cs="Arial"/>
          <w:color w:val="808080" w:themeColor="background1" w:themeShade="80"/>
          <w:sz w:val="22"/>
          <w:szCs w:val="22"/>
        </w:rPr>
        <w:t>satisfy the following conditions, which are each assessed in turn</w:t>
      </w:r>
      <w:r w:rsidR="005868A9">
        <w:rPr>
          <w:rFonts w:ascii="Avenir Next" w:hAnsi="Avenir Next" w:cs="Arial"/>
          <w:color w:val="808080" w:themeColor="background1" w:themeShade="80"/>
          <w:sz w:val="22"/>
          <w:szCs w:val="22"/>
        </w:rPr>
        <w:t>:</w:t>
      </w:r>
    </w:p>
    <w:p w14:paraId="76D6DC6A" w14:textId="2477CC9E" w:rsidR="005868A9" w:rsidRDefault="005868A9" w:rsidP="005868A9">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company </w:t>
      </w:r>
      <w:r w:rsidR="00E058C0">
        <w:rPr>
          <w:rFonts w:ascii="Avenir Next" w:hAnsi="Avenir Next" w:cs="Arial"/>
          <w:color w:val="808080" w:themeColor="background1" w:themeShade="80"/>
          <w:sz w:val="22"/>
          <w:szCs w:val="22"/>
        </w:rPr>
        <w:t xml:space="preserve">must have </w:t>
      </w:r>
      <w:proofErr w:type="gramStart"/>
      <w:r w:rsidR="00E058C0">
        <w:rPr>
          <w:rFonts w:ascii="Avenir Next" w:hAnsi="Avenir Next" w:cs="Arial"/>
          <w:color w:val="808080" w:themeColor="background1" w:themeShade="80"/>
          <w:sz w:val="22"/>
          <w:szCs w:val="22"/>
        </w:rPr>
        <w:t>e</w:t>
      </w:r>
      <w:r>
        <w:rPr>
          <w:rFonts w:ascii="Avenir Next" w:hAnsi="Avenir Next" w:cs="Arial"/>
          <w:color w:val="808080" w:themeColor="background1" w:themeShade="80"/>
          <w:sz w:val="22"/>
          <w:szCs w:val="22"/>
        </w:rPr>
        <w:t>ntered into</w:t>
      </w:r>
      <w:proofErr w:type="gramEnd"/>
      <w:r>
        <w:rPr>
          <w:rFonts w:ascii="Avenir Next" w:hAnsi="Avenir Next" w:cs="Arial"/>
          <w:color w:val="808080" w:themeColor="background1" w:themeShade="80"/>
          <w:sz w:val="22"/>
          <w:szCs w:val="22"/>
        </w:rPr>
        <w:t xml:space="preserve"> a transaction with another person for consideration which was, at the date of the transaction, significantly less than the value of the consideration provided by the company</w:t>
      </w:r>
      <w:r w:rsidR="00484C4F">
        <w:rPr>
          <w:rFonts w:ascii="Avenir Next" w:hAnsi="Avenir Next" w:cs="Arial"/>
          <w:color w:val="808080" w:themeColor="background1" w:themeShade="80"/>
          <w:sz w:val="22"/>
          <w:szCs w:val="22"/>
        </w:rPr>
        <w:t>. The Company purchased the cutting machines in 2021 for GBP 25,000 and sold them in July 2022 for GBP 10,000. In selling the machines to Rita Perkins, the Company, therefore, entered into a transaction for consideration that was more than 50% less than the value of the consideration it provided for the cutting machines only a year before</w:t>
      </w:r>
      <w:r w:rsidR="00E058C0">
        <w:rPr>
          <w:rFonts w:ascii="Avenir Next" w:hAnsi="Avenir Next" w:cs="Arial"/>
          <w:color w:val="808080" w:themeColor="background1" w:themeShade="80"/>
          <w:sz w:val="22"/>
          <w:szCs w:val="22"/>
        </w:rPr>
        <w:t>. More than 50% less than the value paid is very likely to be considered “significantly less” and the transaction will likely satisfy this condition.</w:t>
      </w:r>
    </w:p>
    <w:p w14:paraId="7DC6C573" w14:textId="71CDA72E" w:rsidR="00E058C0" w:rsidRDefault="00E058C0" w:rsidP="005868A9">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transaction must have taken place at a “relevant time”, which is within the period of two years prior to the commencement of the liquidation. </w:t>
      </w:r>
      <w:r>
        <w:rPr>
          <w:rFonts w:ascii="Avenir Next" w:hAnsi="Avenir Next" w:cs="Arial"/>
          <w:color w:val="808080" w:themeColor="background1" w:themeShade="80"/>
          <w:sz w:val="22"/>
          <w:szCs w:val="22"/>
        </w:rPr>
        <w:t xml:space="preserve">The “commencement of the winding up” is the date on which the petition to wind up </w:t>
      </w:r>
      <w:r>
        <w:rPr>
          <w:rFonts w:ascii="Avenir Next" w:hAnsi="Avenir Next" w:cs="Arial"/>
          <w:color w:val="808080" w:themeColor="background1" w:themeShade="80"/>
          <w:sz w:val="22"/>
          <w:szCs w:val="22"/>
        </w:rPr>
        <w:t>was</w:t>
      </w:r>
      <w:r>
        <w:rPr>
          <w:rFonts w:ascii="Avenir Next" w:hAnsi="Avenir Next" w:cs="Arial"/>
          <w:color w:val="808080" w:themeColor="background1" w:themeShade="80"/>
          <w:sz w:val="22"/>
          <w:szCs w:val="22"/>
        </w:rPr>
        <w:t xml:space="preserve"> presented or issued. In this case, that is October 14, 2022. </w:t>
      </w:r>
      <w:r>
        <w:rPr>
          <w:rFonts w:ascii="Avenir Next" w:hAnsi="Avenir Next" w:cs="Arial"/>
          <w:color w:val="808080" w:themeColor="background1" w:themeShade="80"/>
          <w:sz w:val="22"/>
          <w:szCs w:val="22"/>
        </w:rPr>
        <w:t xml:space="preserve"> Thus, any transactions after October 14, 2020 will be considered to have occurred at a relevant time. The sale of the cutting machines having taken place in July 2022, the transaction will also satisfy this ground. </w:t>
      </w:r>
    </w:p>
    <w:p w14:paraId="79938F3C" w14:textId="7CBDF1C4" w:rsidR="00E058C0" w:rsidRDefault="00FF6499" w:rsidP="005868A9">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transaction, generally, must occur at a time when the company was unable to pay its debts as they fell due, or the company must have </w:t>
      </w:r>
      <w:proofErr w:type="gramStart"/>
      <w:r>
        <w:rPr>
          <w:rFonts w:ascii="Avenir Next" w:hAnsi="Avenir Next" w:cs="Arial"/>
          <w:color w:val="808080" w:themeColor="background1" w:themeShade="80"/>
          <w:sz w:val="22"/>
          <w:szCs w:val="22"/>
        </w:rPr>
        <w:t>became</w:t>
      </w:r>
      <w:proofErr w:type="gramEnd"/>
      <w:r>
        <w:rPr>
          <w:rFonts w:ascii="Avenir Next" w:hAnsi="Avenir Next" w:cs="Arial"/>
          <w:color w:val="808080" w:themeColor="background1" w:themeShade="80"/>
          <w:sz w:val="22"/>
          <w:szCs w:val="22"/>
        </w:rPr>
        <w:t xml:space="preserve"> unable to pay its debts in consequence of the transaction. However, in instances where the transaction is with a “connected person”, the company is presumed to have been insolvent, or to have become </w:t>
      </w:r>
      <w:r>
        <w:rPr>
          <w:rFonts w:ascii="Avenir Next" w:hAnsi="Avenir Next" w:cs="Arial"/>
          <w:color w:val="808080" w:themeColor="background1" w:themeShade="80"/>
          <w:sz w:val="22"/>
          <w:szCs w:val="22"/>
        </w:rPr>
        <w:lastRenderedPageBreak/>
        <w:t xml:space="preserve">insolvent as a result of this transaction, and automatically satisfies this condition unless the contrary is proved. </w:t>
      </w:r>
      <w:r w:rsidR="00ED047E">
        <w:rPr>
          <w:rFonts w:ascii="Avenir Next" w:hAnsi="Avenir Next" w:cs="Arial"/>
          <w:color w:val="808080" w:themeColor="background1" w:themeShade="80"/>
          <w:sz w:val="22"/>
          <w:szCs w:val="22"/>
        </w:rPr>
        <w:t xml:space="preserve">Under the Insolvency Act, a director is considered a connected person. </w:t>
      </w:r>
      <w:r w:rsidR="00A3526E">
        <w:rPr>
          <w:rFonts w:ascii="Avenir Next" w:hAnsi="Avenir Next" w:cs="Arial"/>
          <w:color w:val="808080" w:themeColor="background1" w:themeShade="80"/>
          <w:sz w:val="22"/>
          <w:szCs w:val="22"/>
        </w:rPr>
        <w:t xml:space="preserve">As such, as the purchaser of the marble cutting machines, Rita Perkins, was a director of the Company at the time, this condition will be presumed to have been satisfied, unless the contrary is proven. </w:t>
      </w:r>
    </w:p>
    <w:p w14:paraId="1DF0F613" w14:textId="0FEB7254" w:rsidR="0005434F" w:rsidRDefault="0005434F" w:rsidP="0005434F">
      <w:pPr>
        <w:jc w:val="both"/>
        <w:rPr>
          <w:rFonts w:ascii="Avenir Next" w:hAnsi="Avenir Next" w:cs="Arial"/>
          <w:color w:val="808080" w:themeColor="background1" w:themeShade="80"/>
          <w:sz w:val="22"/>
          <w:szCs w:val="22"/>
        </w:rPr>
      </w:pPr>
    </w:p>
    <w:p w14:paraId="568DCD04" w14:textId="4BD52B6F" w:rsidR="0005434F" w:rsidRPr="0005434F" w:rsidRDefault="0005434F" w:rsidP="0005434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As the sale of the marble cutting machine appears to satisfy all requirements of a transaction at an undervalue, the Liquidator is advised to make an application under section 238 for orders declaring the transaction to be one at an undervalue and restoring the position to that which it would have been had the transaction not occurred. He should note, for completeness, that if the respondent to his application is able to satisfy the court that the transaction was entered into by the company in good faith and for the purpose of carrying on its business and that there were reasonable grounds for believing that the transaction would benefit the company, then the court may refuse to exercise its discretion to grant the orders sought. </w:t>
      </w:r>
    </w:p>
    <w:p w14:paraId="070ABF9B" w14:textId="0D788DB6" w:rsidR="007E2919" w:rsidRDefault="007E2919" w:rsidP="007E2919">
      <w:pPr>
        <w:rPr>
          <w:rFonts w:ascii="Avenir Next" w:hAnsi="Avenir Next" w:cs="Arial"/>
          <w:b/>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4B6C788B" w14:textId="77777777" w:rsidR="00E9110C" w:rsidRDefault="00A96BE3"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With regard to these payments, the Liquidator should consider whether they are automatically voided by virtue of section 127 of the Insolvency Act. </w:t>
      </w:r>
      <w:r w:rsidR="006E1BB3">
        <w:rPr>
          <w:rFonts w:ascii="Avenir Next" w:hAnsi="Avenir Next" w:cs="Arial"/>
          <w:color w:val="808080" w:themeColor="background1" w:themeShade="80"/>
          <w:sz w:val="22"/>
          <w:szCs w:val="22"/>
        </w:rPr>
        <w:t>In furtherance of one of the primary purposes of liquidation</w:t>
      </w:r>
      <w:r w:rsidR="00E9110C">
        <w:rPr>
          <w:rFonts w:ascii="Avenir Next" w:hAnsi="Avenir Next" w:cs="Arial"/>
          <w:color w:val="808080" w:themeColor="background1" w:themeShade="80"/>
          <w:sz w:val="22"/>
          <w:szCs w:val="22"/>
        </w:rPr>
        <w:t xml:space="preserve"> (</w:t>
      </w:r>
      <w:proofErr w:type="gramStart"/>
      <w:r w:rsidR="00E9110C">
        <w:rPr>
          <w:rFonts w:ascii="Avenir Next" w:hAnsi="Avenir Next" w:cs="Arial"/>
          <w:color w:val="808080" w:themeColor="background1" w:themeShade="80"/>
          <w:sz w:val="22"/>
          <w:szCs w:val="22"/>
        </w:rPr>
        <w:t>i.e.</w:t>
      </w:r>
      <w:proofErr w:type="gramEnd"/>
      <w:r w:rsidR="00E9110C">
        <w:rPr>
          <w:rFonts w:ascii="Avenir Next" w:hAnsi="Avenir Next" w:cs="Arial"/>
          <w:color w:val="808080" w:themeColor="background1" w:themeShade="80"/>
          <w:sz w:val="22"/>
          <w:szCs w:val="22"/>
        </w:rPr>
        <w:t xml:space="preserve"> </w:t>
      </w:r>
      <w:r w:rsidR="0009256B">
        <w:rPr>
          <w:rFonts w:ascii="Avenir Next" w:hAnsi="Avenir Next" w:cs="Arial"/>
          <w:color w:val="808080" w:themeColor="background1" w:themeShade="80"/>
          <w:sz w:val="22"/>
          <w:szCs w:val="22"/>
        </w:rPr>
        <w:t>to ensure that a company’s property is distributed to its creditors according to the statutory order</w:t>
      </w:r>
      <w:r w:rsidR="00E9110C">
        <w:rPr>
          <w:rFonts w:ascii="Avenir Next" w:hAnsi="Avenir Next" w:cs="Arial"/>
          <w:color w:val="808080" w:themeColor="background1" w:themeShade="80"/>
          <w:sz w:val="22"/>
          <w:szCs w:val="22"/>
        </w:rPr>
        <w:t>)</w:t>
      </w:r>
      <w:r w:rsidR="0009256B">
        <w:rPr>
          <w:rFonts w:ascii="Avenir Next" w:hAnsi="Avenir Next" w:cs="Arial"/>
          <w:color w:val="808080" w:themeColor="background1" w:themeShade="80"/>
          <w:sz w:val="22"/>
          <w:szCs w:val="22"/>
        </w:rPr>
        <w:t>,</w:t>
      </w:r>
      <w:r w:rsidR="006E1BB3">
        <w:rPr>
          <w:rFonts w:ascii="Avenir Next" w:hAnsi="Avenir Next" w:cs="Arial"/>
          <w:color w:val="808080" w:themeColor="background1" w:themeShade="80"/>
          <w:sz w:val="22"/>
          <w:szCs w:val="22"/>
        </w:rPr>
        <w:t xml:space="preserve"> section 127 of the Insolvency Act avoids any disposition of property of a company that is made after the commencement of winding up, unless the court otherwise orders.</w:t>
      </w:r>
      <w:r w:rsidR="0009256B">
        <w:rPr>
          <w:rFonts w:ascii="Avenir Next" w:hAnsi="Avenir Next" w:cs="Arial"/>
          <w:color w:val="808080" w:themeColor="background1" w:themeShade="80"/>
          <w:sz w:val="22"/>
          <w:szCs w:val="22"/>
        </w:rPr>
        <w:t xml:space="preserve"> The “commencement of the winding up” is the date on which the petition to wind up is presented or issued. In this case, that is October 14, 2022. As </w:t>
      </w:r>
      <w:r w:rsidR="00F30BA7">
        <w:rPr>
          <w:rFonts w:ascii="Avenir Next" w:hAnsi="Avenir Next" w:cs="Arial"/>
          <w:color w:val="808080" w:themeColor="background1" w:themeShade="80"/>
          <w:sz w:val="22"/>
          <w:szCs w:val="22"/>
        </w:rPr>
        <w:t xml:space="preserve">the demand for payment from Hard and Fast Ltd was made the month before the winding up order was made (that is, in November 2022), </w:t>
      </w:r>
      <w:r w:rsidR="0009256B">
        <w:rPr>
          <w:rFonts w:ascii="Avenir Next" w:hAnsi="Avenir Next" w:cs="Arial"/>
          <w:color w:val="808080" w:themeColor="background1" w:themeShade="80"/>
          <w:sz w:val="22"/>
          <w:szCs w:val="22"/>
        </w:rPr>
        <w:t>t</w:t>
      </w:r>
      <w:r w:rsidR="006E1BB3">
        <w:rPr>
          <w:rFonts w:ascii="Avenir Next" w:hAnsi="Avenir Next" w:cs="Arial"/>
          <w:color w:val="808080" w:themeColor="background1" w:themeShade="80"/>
          <w:sz w:val="22"/>
          <w:szCs w:val="22"/>
        </w:rPr>
        <w:t xml:space="preserve">he payments to Hard and Fast Ltd. of GBP 8,000 and GBP 3,000 </w:t>
      </w:r>
      <w:r w:rsidR="00F30BA7">
        <w:rPr>
          <w:rFonts w:ascii="Avenir Next" w:hAnsi="Avenir Next" w:cs="Arial"/>
          <w:color w:val="808080" w:themeColor="background1" w:themeShade="80"/>
          <w:sz w:val="22"/>
          <w:szCs w:val="22"/>
        </w:rPr>
        <w:t xml:space="preserve">would have been made between then and the winding-up order on December 23, 2022. They were, therefore, </w:t>
      </w:r>
      <w:r w:rsidR="00C96C41">
        <w:rPr>
          <w:rFonts w:ascii="Avenir Next" w:hAnsi="Avenir Next" w:cs="Arial"/>
          <w:color w:val="808080" w:themeColor="background1" w:themeShade="80"/>
          <w:sz w:val="22"/>
          <w:szCs w:val="22"/>
        </w:rPr>
        <w:t xml:space="preserve">dispositions </w:t>
      </w:r>
      <w:r w:rsidR="00F30BA7">
        <w:rPr>
          <w:rFonts w:ascii="Avenir Next" w:hAnsi="Avenir Next" w:cs="Arial"/>
          <w:color w:val="808080" w:themeColor="background1" w:themeShade="80"/>
          <w:sz w:val="22"/>
          <w:szCs w:val="22"/>
        </w:rPr>
        <w:t xml:space="preserve">made after the commencement of the winding-up and will, without more, </w:t>
      </w:r>
      <w:r w:rsidR="00C96C41">
        <w:rPr>
          <w:rFonts w:ascii="Avenir Next" w:hAnsi="Avenir Next" w:cs="Arial"/>
          <w:color w:val="808080" w:themeColor="background1" w:themeShade="80"/>
          <w:sz w:val="22"/>
          <w:szCs w:val="22"/>
        </w:rPr>
        <w:t xml:space="preserve">be voided by virtue of section 127 of the Insolvency Act. </w:t>
      </w:r>
    </w:p>
    <w:p w14:paraId="49C6F01B" w14:textId="77777777" w:rsidR="00E9110C" w:rsidRDefault="00E9110C" w:rsidP="009452DF">
      <w:pPr>
        <w:jc w:val="both"/>
        <w:rPr>
          <w:rFonts w:ascii="Avenir Next" w:hAnsi="Avenir Next" w:cs="Arial"/>
          <w:color w:val="808080" w:themeColor="background1" w:themeShade="80"/>
          <w:sz w:val="22"/>
          <w:szCs w:val="22"/>
        </w:rPr>
      </w:pPr>
    </w:p>
    <w:p w14:paraId="70C6A8B6" w14:textId="2572CE2F" w:rsidR="00126A4D" w:rsidRDefault="00020823" w:rsidP="004B101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However, </w:t>
      </w:r>
      <w:r w:rsidR="00E9110C">
        <w:rPr>
          <w:rFonts w:ascii="Avenir Next" w:hAnsi="Avenir Next" w:cs="Arial"/>
          <w:color w:val="808080" w:themeColor="background1" w:themeShade="80"/>
          <w:sz w:val="22"/>
          <w:szCs w:val="22"/>
        </w:rPr>
        <w:t xml:space="preserve">the Liquidator should note that the avoidance of the disposition under section 127 is not absolute, and the court retains a discretion to grant a “validation order”, declaring that the dispositions (here, the payments to Hard and Fast Ltd.) are not void. </w:t>
      </w:r>
      <w:r w:rsidR="00E4292D">
        <w:rPr>
          <w:rFonts w:ascii="Avenir Next" w:hAnsi="Avenir Next" w:cs="Arial"/>
          <w:color w:val="808080" w:themeColor="background1" w:themeShade="80"/>
          <w:sz w:val="22"/>
          <w:szCs w:val="22"/>
        </w:rPr>
        <w:t xml:space="preserve">If any application is made to the court for a validation order, then the issue for the court will </w:t>
      </w:r>
      <w:proofErr w:type="gramStart"/>
      <w:r w:rsidR="00E4292D">
        <w:rPr>
          <w:rFonts w:ascii="Avenir Next" w:hAnsi="Avenir Next" w:cs="Arial"/>
          <w:color w:val="808080" w:themeColor="background1" w:themeShade="80"/>
          <w:sz w:val="22"/>
          <w:szCs w:val="22"/>
        </w:rPr>
        <w:t>become:</w:t>
      </w:r>
      <w:proofErr w:type="gramEnd"/>
      <w:r w:rsidR="00E4292D">
        <w:rPr>
          <w:rFonts w:ascii="Avenir Next" w:hAnsi="Avenir Next" w:cs="Arial"/>
          <w:color w:val="808080" w:themeColor="background1" w:themeShade="80"/>
          <w:sz w:val="22"/>
          <w:szCs w:val="22"/>
        </w:rPr>
        <w:t xml:space="preserve"> whether </w:t>
      </w:r>
      <w:r w:rsidR="00907A0D">
        <w:rPr>
          <w:rFonts w:ascii="Avenir Next" w:hAnsi="Avenir Next" w:cs="Arial"/>
          <w:color w:val="808080" w:themeColor="background1" w:themeShade="80"/>
          <w:sz w:val="22"/>
          <w:szCs w:val="22"/>
        </w:rPr>
        <w:t xml:space="preserve">the circumstances indicate that the payments were made for the benefit of the general body of unsecured creditors. </w:t>
      </w:r>
      <w:r w:rsidR="004B1015">
        <w:rPr>
          <w:rFonts w:ascii="Avenir Next" w:hAnsi="Avenir Next" w:cs="Arial"/>
          <w:color w:val="808080" w:themeColor="background1" w:themeShade="80"/>
          <w:sz w:val="22"/>
          <w:szCs w:val="22"/>
        </w:rPr>
        <w:t>Indeed, one instance in which a court is likely to sanction payments made after the commencement of the winding up is where they were necessary to ensure continued supplies to enable the company to continue trading, in cases where the court considers that the continuation of trading was in the best interests of creditors. In this instance, Hard and Fast Ltd was a key supplier</w:t>
      </w:r>
      <w:r w:rsidR="007F63C1">
        <w:rPr>
          <w:rFonts w:ascii="Avenir Next" w:hAnsi="Avenir Next" w:cs="Arial"/>
          <w:color w:val="808080" w:themeColor="background1" w:themeShade="80"/>
          <w:sz w:val="22"/>
          <w:szCs w:val="22"/>
        </w:rPr>
        <w:t xml:space="preserve"> to the company</w:t>
      </w:r>
      <w:r w:rsidR="004B1015">
        <w:rPr>
          <w:rFonts w:ascii="Avenir Next" w:hAnsi="Avenir Next" w:cs="Arial"/>
          <w:color w:val="808080" w:themeColor="background1" w:themeShade="80"/>
          <w:sz w:val="22"/>
          <w:szCs w:val="22"/>
        </w:rPr>
        <w:t xml:space="preserve">, and its continued supply of marble to the company was considered “essential” by </w:t>
      </w:r>
      <w:r w:rsidR="007F63C1">
        <w:rPr>
          <w:rFonts w:ascii="Avenir Next" w:hAnsi="Avenir Next" w:cs="Arial"/>
          <w:color w:val="808080" w:themeColor="background1" w:themeShade="80"/>
          <w:sz w:val="22"/>
          <w:szCs w:val="22"/>
        </w:rPr>
        <w:t>the</w:t>
      </w:r>
      <w:r w:rsidR="004B1015">
        <w:rPr>
          <w:rFonts w:ascii="Avenir Next" w:hAnsi="Avenir Next" w:cs="Arial"/>
          <w:color w:val="808080" w:themeColor="background1" w:themeShade="80"/>
          <w:sz w:val="22"/>
          <w:szCs w:val="22"/>
        </w:rPr>
        <w:t xml:space="preserve"> board.</w:t>
      </w:r>
      <w:r w:rsidR="007F63C1">
        <w:rPr>
          <w:rFonts w:ascii="Avenir Next" w:hAnsi="Avenir Next" w:cs="Arial"/>
          <w:color w:val="808080" w:themeColor="background1" w:themeShade="80"/>
          <w:sz w:val="22"/>
          <w:szCs w:val="22"/>
        </w:rPr>
        <w:t xml:space="preserve"> As Hard and Fast Ltd. made it known that its continued supply was dependent on immediate payment and cash-on-delivery going forward, the payments made were necessary to ensure this essential supply and continue trading. In those circumstances, the Liquidator should be advised that a court is likely to grant a validation order, validating the payments despite their prima facie avoidance. </w:t>
      </w:r>
      <w:r w:rsidR="004B1015">
        <w:rPr>
          <w:rFonts w:ascii="Avenir Next" w:hAnsi="Avenir Next" w:cs="Arial"/>
          <w:color w:val="808080" w:themeColor="background1" w:themeShade="80"/>
          <w:sz w:val="22"/>
          <w:szCs w:val="22"/>
        </w:rPr>
        <w:t xml:space="preserve"> </w:t>
      </w:r>
    </w:p>
    <w:p w14:paraId="434F38E9" w14:textId="77777777" w:rsidR="004B1015" w:rsidRPr="006925C1" w:rsidRDefault="004B1015" w:rsidP="004B1015">
      <w:pPr>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CB50B" w14:textId="77777777" w:rsidR="0082355A" w:rsidRDefault="0082355A" w:rsidP="00241B44">
      <w:r>
        <w:separator/>
      </w:r>
    </w:p>
  </w:endnote>
  <w:endnote w:type="continuationSeparator" w:id="0">
    <w:p w14:paraId="30B783BF" w14:textId="77777777" w:rsidR="0082355A" w:rsidRDefault="0082355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6A93CA33" w:rsidR="00241FA3" w:rsidRPr="00A84235" w:rsidRDefault="0073158B" w:rsidP="009B4976">
    <w:pPr>
      <w:pStyle w:val="Footer"/>
      <w:ind w:right="360"/>
      <w:rPr>
        <w:rFonts w:ascii="Avenir Next" w:hAnsi="Avenir Next" w:cs="Arial"/>
        <w:sz w:val="22"/>
        <w:szCs w:val="22"/>
        <w:lang w:val="en-GB"/>
      </w:rPr>
    </w:pPr>
    <w:r w:rsidRPr="00A84235">
      <w:rPr>
        <w:rFonts w:ascii="Avenir Next" w:hAnsi="Avenir Next" w:cs="Arial"/>
        <w:sz w:val="22"/>
        <w:szCs w:val="22"/>
        <w:lang w:val="en-GB"/>
      </w:rPr>
      <w:t>student</w:t>
    </w:r>
    <w:r w:rsidR="00AE5B6F" w:rsidRPr="00A84235">
      <w:rPr>
        <w:rFonts w:ascii="Avenir Next" w:hAnsi="Avenir Next" w:cs="Arial"/>
        <w:sz w:val="22"/>
        <w:szCs w:val="22"/>
        <w:lang w:val="en-GB"/>
      </w:rPr>
      <w:t>ID</w:t>
    </w:r>
    <w:r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40160" w14:textId="77777777" w:rsidR="0082355A" w:rsidRDefault="0082355A" w:rsidP="00241B44">
      <w:r>
        <w:separator/>
      </w:r>
    </w:p>
  </w:footnote>
  <w:footnote w:type="continuationSeparator" w:id="0">
    <w:p w14:paraId="1A3B93FD" w14:textId="77777777" w:rsidR="0082355A" w:rsidRDefault="0082355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D5D61"/>
    <w:multiLevelType w:val="hybridMultilevel"/>
    <w:tmpl w:val="22764EFA"/>
    <w:lvl w:ilvl="0" w:tplc="A5E258E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420D45"/>
    <w:multiLevelType w:val="hybridMultilevel"/>
    <w:tmpl w:val="7E1ECD50"/>
    <w:lvl w:ilvl="0" w:tplc="F1AE284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ABA2985"/>
    <w:multiLevelType w:val="hybridMultilevel"/>
    <w:tmpl w:val="DFDCA0FC"/>
    <w:lvl w:ilvl="0" w:tplc="1278D97A">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6" w15:restartNumberingAfterBreak="0">
    <w:nsid w:val="63AF7606"/>
    <w:multiLevelType w:val="hybridMultilevel"/>
    <w:tmpl w:val="8E50F432"/>
    <w:lvl w:ilvl="0" w:tplc="69EC20CC">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B75B67"/>
    <w:multiLevelType w:val="hybridMultilevel"/>
    <w:tmpl w:val="C1E4DC9C"/>
    <w:lvl w:ilvl="0" w:tplc="FA6A5A8C">
      <w:start w:val="1"/>
      <w:numFmt w:val="decimal"/>
      <w:lvlText w:val="(%1)"/>
      <w:lvlJc w:val="left"/>
      <w:pPr>
        <w:ind w:left="1080" w:hanging="360"/>
      </w:pPr>
      <w:rPr>
        <w:rFonts w:hint="default"/>
        <w:color w:val="808080" w:themeColor="background1" w:themeShade="8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0"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8894723">
    <w:abstractNumId w:val="4"/>
  </w:num>
  <w:num w:numId="2" w16cid:durableId="1150904514">
    <w:abstractNumId w:val="1"/>
  </w:num>
  <w:num w:numId="3" w16cid:durableId="1110398394">
    <w:abstractNumId w:val="0"/>
  </w:num>
  <w:num w:numId="4" w16cid:durableId="1507213728">
    <w:abstractNumId w:val="10"/>
  </w:num>
  <w:num w:numId="5" w16cid:durableId="684284395">
    <w:abstractNumId w:val="13"/>
  </w:num>
  <w:num w:numId="6" w16cid:durableId="866255457">
    <w:abstractNumId w:val="2"/>
  </w:num>
  <w:num w:numId="7" w16cid:durableId="1377781096">
    <w:abstractNumId w:val="14"/>
  </w:num>
  <w:num w:numId="8" w16cid:durableId="455638681">
    <w:abstractNumId w:val="20"/>
  </w:num>
  <w:num w:numId="9" w16cid:durableId="1094206369">
    <w:abstractNumId w:val="11"/>
  </w:num>
  <w:num w:numId="10" w16cid:durableId="1300069653">
    <w:abstractNumId w:val="21"/>
  </w:num>
  <w:num w:numId="11" w16cid:durableId="139007246">
    <w:abstractNumId w:val="6"/>
  </w:num>
  <w:num w:numId="12" w16cid:durableId="245580886">
    <w:abstractNumId w:val="17"/>
  </w:num>
  <w:num w:numId="13" w16cid:durableId="1837569779">
    <w:abstractNumId w:val="12"/>
  </w:num>
  <w:num w:numId="14" w16cid:durableId="436219468">
    <w:abstractNumId w:val="5"/>
  </w:num>
  <w:num w:numId="15" w16cid:durableId="1786536834">
    <w:abstractNumId w:val="15"/>
  </w:num>
  <w:num w:numId="16" w16cid:durableId="1526669553">
    <w:abstractNumId w:val="18"/>
  </w:num>
  <w:num w:numId="17" w16cid:durableId="1086222371">
    <w:abstractNumId w:val="9"/>
  </w:num>
  <w:num w:numId="18" w16cid:durableId="1346126640">
    <w:abstractNumId w:val="3"/>
  </w:num>
  <w:num w:numId="19" w16cid:durableId="42100587">
    <w:abstractNumId w:val="16"/>
  </w:num>
  <w:num w:numId="20" w16cid:durableId="651101710">
    <w:abstractNumId w:val="8"/>
  </w:num>
  <w:num w:numId="21" w16cid:durableId="2013602403">
    <w:abstractNumId w:val="7"/>
  </w:num>
  <w:num w:numId="22" w16cid:durableId="831994170">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0823"/>
    <w:rsid w:val="00021FC2"/>
    <w:rsid w:val="000250C7"/>
    <w:rsid w:val="00026F16"/>
    <w:rsid w:val="00037621"/>
    <w:rsid w:val="00044D46"/>
    <w:rsid w:val="00045088"/>
    <w:rsid w:val="00045904"/>
    <w:rsid w:val="000502FD"/>
    <w:rsid w:val="0005434F"/>
    <w:rsid w:val="00065166"/>
    <w:rsid w:val="00082609"/>
    <w:rsid w:val="00083FBB"/>
    <w:rsid w:val="000851CC"/>
    <w:rsid w:val="00087B8B"/>
    <w:rsid w:val="00087F21"/>
    <w:rsid w:val="0009256B"/>
    <w:rsid w:val="000939AF"/>
    <w:rsid w:val="00093BE8"/>
    <w:rsid w:val="000A407B"/>
    <w:rsid w:val="000A68ED"/>
    <w:rsid w:val="000B5FF1"/>
    <w:rsid w:val="000B609F"/>
    <w:rsid w:val="000D10C6"/>
    <w:rsid w:val="000D55A8"/>
    <w:rsid w:val="000D55D1"/>
    <w:rsid w:val="000E3104"/>
    <w:rsid w:val="000E4841"/>
    <w:rsid w:val="000F1677"/>
    <w:rsid w:val="000F3D6C"/>
    <w:rsid w:val="00101694"/>
    <w:rsid w:val="00101707"/>
    <w:rsid w:val="00102CC9"/>
    <w:rsid w:val="0010593A"/>
    <w:rsid w:val="0011353E"/>
    <w:rsid w:val="0011473D"/>
    <w:rsid w:val="00115C85"/>
    <w:rsid w:val="00123855"/>
    <w:rsid w:val="00126A4D"/>
    <w:rsid w:val="001359EF"/>
    <w:rsid w:val="0014171F"/>
    <w:rsid w:val="0014622C"/>
    <w:rsid w:val="00146F5C"/>
    <w:rsid w:val="00152348"/>
    <w:rsid w:val="0015456D"/>
    <w:rsid w:val="001546C0"/>
    <w:rsid w:val="00155FA2"/>
    <w:rsid w:val="00161F1B"/>
    <w:rsid w:val="00162829"/>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6B8"/>
    <w:rsid w:val="001D4862"/>
    <w:rsid w:val="001E25B9"/>
    <w:rsid w:val="001E49E0"/>
    <w:rsid w:val="001E7B5A"/>
    <w:rsid w:val="001F30C7"/>
    <w:rsid w:val="001F3C98"/>
    <w:rsid w:val="001F7412"/>
    <w:rsid w:val="0020090A"/>
    <w:rsid w:val="0020204E"/>
    <w:rsid w:val="00202DFE"/>
    <w:rsid w:val="0020725B"/>
    <w:rsid w:val="00207E2B"/>
    <w:rsid w:val="002110F1"/>
    <w:rsid w:val="00212001"/>
    <w:rsid w:val="002356EA"/>
    <w:rsid w:val="0024116D"/>
    <w:rsid w:val="00241B44"/>
    <w:rsid w:val="00241FA3"/>
    <w:rsid w:val="00245EFB"/>
    <w:rsid w:val="00247154"/>
    <w:rsid w:val="0025386E"/>
    <w:rsid w:val="002626E1"/>
    <w:rsid w:val="002638B0"/>
    <w:rsid w:val="0026647A"/>
    <w:rsid w:val="002668D3"/>
    <w:rsid w:val="0027299F"/>
    <w:rsid w:val="002832A7"/>
    <w:rsid w:val="00284EBE"/>
    <w:rsid w:val="00286F26"/>
    <w:rsid w:val="002903A7"/>
    <w:rsid w:val="0029433F"/>
    <w:rsid w:val="00294829"/>
    <w:rsid w:val="0029690F"/>
    <w:rsid w:val="00297C8A"/>
    <w:rsid w:val="002A2A60"/>
    <w:rsid w:val="002A37BB"/>
    <w:rsid w:val="002A3CF8"/>
    <w:rsid w:val="002A6B91"/>
    <w:rsid w:val="002B1C45"/>
    <w:rsid w:val="002C13C8"/>
    <w:rsid w:val="002C3547"/>
    <w:rsid w:val="002C46CB"/>
    <w:rsid w:val="002D0021"/>
    <w:rsid w:val="002D299D"/>
    <w:rsid w:val="002D3473"/>
    <w:rsid w:val="002E6BAA"/>
    <w:rsid w:val="002E70E0"/>
    <w:rsid w:val="002F1956"/>
    <w:rsid w:val="002F3440"/>
    <w:rsid w:val="002F75A3"/>
    <w:rsid w:val="002F77D6"/>
    <w:rsid w:val="00303C2F"/>
    <w:rsid w:val="00311816"/>
    <w:rsid w:val="0031408A"/>
    <w:rsid w:val="003144EF"/>
    <w:rsid w:val="00314F32"/>
    <w:rsid w:val="00321FCE"/>
    <w:rsid w:val="00326292"/>
    <w:rsid w:val="00326415"/>
    <w:rsid w:val="00327672"/>
    <w:rsid w:val="00330937"/>
    <w:rsid w:val="00330F31"/>
    <w:rsid w:val="00334648"/>
    <w:rsid w:val="0033768C"/>
    <w:rsid w:val="00337938"/>
    <w:rsid w:val="00340769"/>
    <w:rsid w:val="00341AA6"/>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3C5F"/>
    <w:rsid w:val="003C4471"/>
    <w:rsid w:val="003C5D0F"/>
    <w:rsid w:val="003D0A6D"/>
    <w:rsid w:val="003E0B16"/>
    <w:rsid w:val="003E1BBF"/>
    <w:rsid w:val="003E67D1"/>
    <w:rsid w:val="00404329"/>
    <w:rsid w:val="00405DC1"/>
    <w:rsid w:val="00415F1F"/>
    <w:rsid w:val="0042108F"/>
    <w:rsid w:val="00430FED"/>
    <w:rsid w:val="00434950"/>
    <w:rsid w:val="00434A8C"/>
    <w:rsid w:val="00435114"/>
    <w:rsid w:val="00437297"/>
    <w:rsid w:val="00444284"/>
    <w:rsid w:val="00445CE6"/>
    <w:rsid w:val="004534C2"/>
    <w:rsid w:val="0045446F"/>
    <w:rsid w:val="0045683E"/>
    <w:rsid w:val="004609BC"/>
    <w:rsid w:val="00461F95"/>
    <w:rsid w:val="0046275E"/>
    <w:rsid w:val="00474C2B"/>
    <w:rsid w:val="00477C72"/>
    <w:rsid w:val="00484C4F"/>
    <w:rsid w:val="00491675"/>
    <w:rsid w:val="00493855"/>
    <w:rsid w:val="00495E79"/>
    <w:rsid w:val="004A2D83"/>
    <w:rsid w:val="004A57DD"/>
    <w:rsid w:val="004A7775"/>
    <w:rsid w:val="004A7B51"/>
    <w:rsid w:val="004A7D71"/>
    <w:rsid w:val="004A7EF3"/>
    <w:rsid w:val="004B1015"/>
    <w:rsid w:val="004B11FD"/>
    <w:rsid w:val="004B23A2"/>
    <w:rsid w:val="004C7453"/>
    <w:rsid w:val="004D1A5A"/>
    <w:rsid w:val="004D2FFF"/>
    <w:rsid w:val="004D3721"/>
    <w:rsid w:val="004D64F9"/>
    <w:rsid w:val="004E00CD"/>
    <w:rsid w:val="004E3A6B"/>
    <w:rsid w:val="004E4257"/>
    <w:rsid w:val="004E622C"/>
    <w:rsid w:val="004F5FDF"/>
    <w:rsid w:val="00504323"/>
    <w:rsid w:val="005177FE"/>
    <w:rsid w:val="00520242"/>
    <w:rsid w:val="0052263B"/>
    <w:rsid w:val="00524728"/>
    <w:rsid w:val="00527929"/>
    <w:rsid w:val="005331CA"/>
    <w:rsid w:val="00537970"/>
    <w:rsid w:val="00540E3A"/>
    <w:rsid w:val="00541795"/>
    <w:rsid w:val="00544127"/>
    <w:rsid w:val="00544B98"/>
    <w:rsid w:val="005463A9"/>
    <w:rsid w:val="00553EB2"/>
    <w:rsid w:val="00560534"/>
    <w:rsid w:val="0056391B"/>
    <w:rsid w:val="005650E2"/>
    <w:rsid w:val="00567AD7"/>
    <w:rsid w:val="00575B2D"/>
    <w:rsid w:val="005833D0"/>
    <w:rsid w:val="005846F3"/>
    <w:rsid w:val="0058622F"/>
    <w:rsid w:val="005868A9"/>
    <w:rsid w:val="00592F82"/>
    <w:rsid w:val="005A0CCA"/>
    <w:rsid w:val="005A1083"/>
    <w:rsid w:val="005A6FF2"/>
    <w:rsid w:val="005A726D"/>
    <w:rsid w:val="005B67AC"/>
    <w:rsid w:val="005B79F4"/>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094E"/>
    <w:rsid w:val="00641515"/>
    <w:rsid w:val="006523DF"/>
    <w:rsid w:val="0065374A"/>
    <w:rsid w:val="00654C2F"/>
    <w:rsid w:val="006551D1"/>
    <w:rsid w:val="00657087"/>
    <w:rsid w:val="006624AB"/>
    <w:rsid w:val="006639DB"/>
    <w:rsid w:val="00663C72"/>
    <w:rsid w:val="006661EF"/>
    <w:rsid w:val="00673C4C"/>
    <w:rsid w:val="00677AEB"/>
    <w:rsid w:val="00680EF2"/>
    <w:rsid w:val="00687A1D"/>
    <w:rsid w:val="006922C8"/>
    <w:rsid w:val="006925C1"/>
    <w:rsid w:val="00696A50"/>
    <w:rsid w:val="00697EA1"/>
    <w:rsid w:val="006A2646"/>
    <w:rsid w:val="006A291E"/>
    <w:rsid w:val="006A6530"/>
    <w:rsid w:val="006B435A"/>
    <w:rsid w:val="006B4C64"/>
    <w:rsid w:val="006D282B"/>
    <w:rsid w:val="006D6BD5"/>
    <w:rsid w:val="006E0D3B"/>
    <w:rsid w:val="006E1BB3"/>
    <w:rsid w:val="006E481A"/>
    <w:rsid w:val="006E5298"/>
    <w:rsid w:val="006E74B1"/>
    <w:rsid w:val="006F4A78"/>
    <w:rsid w:val="006F734A"/>
    <w:rsid w:val="00700D83"/>
    <w:rsid w:val="00704852"/>
    <w:rsid w:val="0070524B"/>
    <w:rsid w:val="00706DC4"/>
    <w:rsid w:val="007074E9"/>
    <w:rsid w:val="00713DA4"/>
    <w:rsid w:val="00714BF1"/>
    <w:rsid w:val="00721383"/>
    <w:rsid w:val="0073158B"/>
    <w:rsid w:val="007333CC"/>
    <w:rsid w:val="0073399A"/>
    <w:rsid w:val="00740DAD"/>
    <w:rsid w:val="00742AF3"/>
    <w:rsid w:val="00755C46"/>
    <w:rsid w:val="007603F5"/>
    <w:rsid w:val="00763348"/>
    <w:rsid w:val="00764DB0"/>
    <w:rsid w:val="007660B8"/>
    <w:rsid w:val="00766D86"/>
    <w:rsid w:val="0076764D"/>
    <w:rsid w:val="00770EB6"/>
    <w:rsid w:val="0077498C"/>
    <w:rsid w:val="007760AF"/>
    <w:rsid w:val="007809BC"/>
    <w:rsid w:val="00784128"/>
    <w:rsid w:val="00787BCC"/>
    <w:rsid w:val="00790FFC"/>
    <w:rsid w:val="00793173"/>
    <w:rsid w:val="00795F63"/>
    <w:rsid w:val="007A2A33"/>
    <w:rsid w:val="007A5171"/>
    <w:rsid w:val="007A5324"/>
    <w:rsid w:val="007B5C89"/>
    <w:rsid w:val="007C1FCC"/>
    <w:rsid w:val="007C6201"/>
    <w:rsid w:val="007D3208"/>
    <w:rsid w:val="007D5AC3"/>
    <w:rsid w:val="007D61F6"/>
    <w:rsid w:val="007D7C92"/>
    <w:rsid w:val="007E1154"/>
    <w:rsid w:val="007E2919"/>
    <w:rsid w:val="007E46A8"/>
    <w:rsid w:val="007E6BA4"/>
    <w:rsid w:val="007F14CF"/>
    <w:rsid w:val="007F41F8"/>
    <w:rsid w:val="007F63C1"/>
    <w:rsid w:val="007F659B"/>
    <w:rsid w:val="0080441E"/>
    <w:rsid w:val="0080454E"/>
    <w:rsid w:val="00804C32"/>
    <w:rsid w:val="00806302"/>
    <w:rsid w:val="00807119"/>
    <w:rsid w:val="0082355A"/>
    <w:rsid w:val="0082483F"/>
    <w:rsid w:val="008279C0"/>
    <w:rsid w:val="00837B3B"/>
    <w:rsid w:val="00867701"/>
    <w:rsid w:val="00871C74"/>
    <w:rsid w:val="008723F3"/>
    <w:rsid w:val="00874429"/>
    <w:rsid w:val="00876F56"/>
    <w:rsid w:val="00881DE6"/>
    <w:rsid w:val="008837A6"/>
    <w:rsid w:val="0089145D"/>
    <w:rsid w:val="00891690"/>
    <w:rsid w:val="0089332B"/>
    <w:rsid w:val="008A4DF2"/>
    <w:rsid w:val="008A6CFE"/>
    <w:rsid w:val="008B5333"/>
    <w:rsid w:val="008B58D5"/>
    <w:rsid w:val="008B6223"/>
    <w:rsid w:val="008B72B8"/>
    <w:rsid w:val="008C66E0"/>
    <w:rsid w:val="008D1616"/>
    <w:rsid w:val="008D5E40"/>
    <w:rsid w:val="008D681C"/>
    <w:rsid w:val="008D69A9"/>
    <w:rsid w:val="008E0584"/>
    <w:rsid w:val="008E3339"/>
    <w:rsid w:val="008F20FC"/>
    <w:rsid w:val="008F444D"/>
    <w:rsid w:val="008F5FFE"/>
    <w:rsid w:val="00905A43"/>
    <w:rsid w:val="00907A0D"/>
    <w:rsid w:val="00912C79"/>
    <w:rsid w:val="00921B8C"/>
    <w:rsid w:val="00924DAF"/>
    <w:rsid w:val="00925A1D"/>
    <w:rsid w:val="00931141"/>
    <w:rsid w:val="00931D14"/>
    <w:rsid w:val="00942123"/>
    <w:rsid w:val="009452DF"/>
    <w:rsid w:val="00951AA8"/>
    <w:rsid w:val="0095207B"/>
    <w:rsid w:val="00962045"/>
    <w:rsid w:val="00976419"/>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9F3643"/>
    <w:rsid w:val="009F44A7"/>
    <w:rsid w:val="00A03E82"/>
    <w:rsid w:val="00A047EE"/>
    <w:rsid w:val="00A2274A"/>
    <w:rsid w:val="00A235B7"/>
    <w:rsid w:val="00A27A7A"/>
    <w:rsid w:val="00A34ABE"/>
    <w:rsid w:val="00A3526E"/>
    <w:rsid w:val="00A37F43"/>
    <w:rsid w:val="00A407EF"/>
    <w:rsid w:val="00A46B4C"/>
    <w:rsid w:val="00A5117B"/>
    <w:rsid w:val="00A5376C"/>
    <w:rsid w:val="00A56D34"/>
    <w:rsid w:val="00A57F99"/>
    <w:rsid w:val="00A60074"/>
    <w:rsid w:val="00A6627C"/>
    <w:rsid w:val="00A71019"/>
    <w:rsid w:val="00A81029"/>
    <w:rsid w:val="00A84235"/>
    <w:rsid w:val="00A845F5"/>
    <w:rsid w:val="00A96489"/>
    <w:rsid w:val="00A96BE3"/>
    <w:rsid w:val="00AA2435"/>
    <w:rsid w:val="00AA4931"/>
    <w:rsid w:val="00AB2425"/>
    <w:rsid w:val="00AB685C"/>
    <w:rsid w:val="00AB6C2D"/>
    <w:rsid w:val="00AB705D"/>
    <w:rsid w:val="00AC08F7"/>
    <w:rsid w:val="00AC317D"/>
    <w:rsid w:val="00AC3839"/>
    <w:rsid w:val="00AC7082"/>
    <w:rsid w:val="00AC7F59"/>
    <w:rsid w:val="00AD450A"/>
    <w:rsid w:val="00AD4BE8"/>
    <w:rsid w:val="00AE0770"/>
    <w:rsid w:val="00AE5B6F"/>
    <w:rsid w:val="00AF0BD5"/>
    <w:rsid w:val="00AF228E"/>
    <w:rsid w:val="00B016A8"/>
    <w:rsid w:val="00B04033"/>
    <w:rsid w:val="00B12A6D"/>
    <w:rsid w:val="00B14819"/>
    <w:rsid w:val="00B15E2F"/>
    <w:rsid w:val="00B1765B"/>
    <w:rsid w:val="00B17AA9"/>
    <w:rsid w:val="00B44713"/>
    <w:rsid w:val="00B455E5"/>
    <w:rsid w:val="00B51B95"/>
    <w:rsid w:val="00B56103"/>
    <w:rsid w:val="00B604A1"/>
    <w:rsid w:val="00B63A17"/>
    <w:rsid w:val="00B64929"/>
    <w:rsid w:val="00B736DF"/>
    <w:rsid w:val="00B743D6"/>
    <w:rsid w:val="00B74FBD"/>
    <w:rsid w:val="00B77F46"/>
    <w:rsid w:val="00B82586"/>
    <w:rsid w:val="00B829A3"/>
    <w:rsid w:val="00B86DB1"/>
    <w:rsid w:val="00B87869"/>
    <w:rsid w:val="00B961EF"/>
    <w:rsid w:val="00B9639B"/>
    <w:rsid w:val="00BA1CFD"/>
    <w:rsid w:val="00BA7A8C"/>
    <w:rsid w:val="00BB0F2B"/>
    <w:rsid w:val="00BB3418"/>
    <w:rsid w:val="00BB3D55"/>
    <w:rsid w:val="00BB7D65"/>
    <w:rsid w:val="00BC402F"/>
    <w:rsid w:val="00BE4FF3"/>
    <w:rsid w:val="00BF2C93"/>
    <w:rsid w:val="00BF50F7"/>
    <w:rsid w:val="00C02976"/>
    <w:rsid w:val="00C02F29"/>
    <w:rsid w:val="00C117EA"/>
    <w:rsid w:val="00C17718"/>
    <w:rsid w:val="00C208F2"/>
    <w:rsid w:val="00C20AFE"/>
    <w:rsid w:val="00C21536"/>
    <w:rsid w:val="00C22A25"/>
    <w:rsid w:val="00C305F5"/>
    <w:rsid w:val="00C3347F"/>
    <w:rsid w:val="00C35671"/>
    <w:rsid w:val="00C35B77"/>
    <w:rsid w:val="00C35C32"/>
    <w:rsid w:val="00C376EB"/>
    <w:rsid w:val="00C4469B"/>
    <w:rsid w:val="00C46A92"/>
    <w:rsid w:val="00C46EC1"/>
    <w:rsid w:val="00C52796"/>
    <w:rsid w:val="00C53E2C"/>
    <w:rsid w:val="00C550C8"/>
    <w:rsid w:val="00C55824"/>
    <w:rsid w:val="00C56B61"/>
    <w:rsid w:val="00C606C3"/>
    <w:rsid w:val="00C620F4"/>
    <w:rsid w:val="00C70AB5"/>
    <w:rsid w:val="00C70FF4"/>
    <w:rsid w:val="00C72566"/>
    <w:rsid w:val="00C72848"/>
    <w:rsid w:val="00C763E5"/>
    <w:rsid w:val="00C7736C"/>
    <w:rsid w:val="00C82D87"/>
    <w:rsid w:val="00C8712A"/>
    <w:rsid w:val="00C902C8"/>
    <w:rsid w:val="00C91062"/>
    <w:rsid w:val="00C919D1"/>
    <w:rsid w:val="00C963D3"/>
    <w:rsid w:val="00C96C41"/>
    <w:rsid w:val="00CB1983"/>
    <w:rsid w:val="00CB2CBB"/>
    <w:rsid w:val="00CB7CAC"/>
    <w:rsid w:val="00CC491D"/>
    <w:rsid w:val="00CC5335"/>
    <w:rsid w:val="00CC5BA4"/>
    <w:rsid w:val="00CD2306"/>
    <w:rsid w:val="00CD4998"/>
    <w:rsid w:val="00CE1035"/>
    <w:rsid w:val="00CE6E50"/>
    <w:rsid w:val="00CF2819"/>
    <w:rsid w:val="00CF4D4F"/>
    <w:rsid w:val="00CF4F9D"/>
    <w:rsid w:val="00CF70DC"/>
    <w:rsid w:val="00D01697"/>
    <w:rsid w:val="00D12817"/>
    <w:rsid w:val="00D148DC"/>
    <w:rsid w:val="00D17FDC"/>
    <w:rsid w:val="00D21D8C"/>
    <w:rsid w:val="00D26492"/>
    <w:rsid w:val="00D33AFC"/>
    <w:rsid w:val="00D34653"/>
    <w:rsid w:val="00D37780"/>
    <w:rsid w:val="00D53719"/>
    <w:rsid w:val="00D63EFD"/>
    <w:rsid w:val="00D65439"/>
    <w:rsid w:val="00D81E28"/>
    <w:rsid w:val="00D835B9"/>
    <w:rsid w:val="00D84752"/>
    <w:rsid w:val="00D86B3B"/>
    <w:rsid w:val="00D8748A"/>
    <w:rsid w:val="00D92CB7"/>
    <w:rsid w:val="00D93196"/>
    <w:rsid w:val="00DA0DC0"/>
    <w:rsid w:val="00DA6A17"/>
    <w:rsid w:val="00DB243C"/>
    <w:rsid w:val="00DB482A"/>
    <w:rsid w:val="00DB50FB"/>
    <w:rsid w:val="00DB56F2"/>
    <w:rsid w:val="00DB6EF5"/>
    <w:rsid w:val="00DC0814"/>
    <w:rsid w:val="00DC3089"/>
    <w:rsid w:val="00DC4420"/>
    <w:rsid w:val="00DD0802"/>
    <w:rsid w:val="00DD2E11"/>
    <w:rsid w:val="00DD44E9"/>
    <w:rsid w:val="00DE03AF"/>
    <w:rsid w:val="00DE121C"/>
    <w:rsid w:val="00DE6633"/>
    <w:rsid w:val="00DF75F8"/>
    <w:rsid w:val="00DF7A3A"/>
    <w:rsid w:val="00E00C00"/>
    <w:rsid w:val="00E058C0"/>
    <w:rsid w:val="00E07C5A"/>
    <w:rsid w:val="00E10771"/>
    <w:rsid w:val="00E10817"/>
    <w:rsid w:val="00E15BA9"/>
    <w:rsid w:val="00E17EE3"/>
    <w:rsid w:val="00E26E19"/>
    <w:rsid w:val="00E27846"/>
    <w:rsid w:val="00E31DF3"/>
    <w:rsid w:val="00E4292D"/>
    <w:rsid w:val="00E443D7"/>
    <w:rsid w:val="00E450A4"/>
    <w:rsid w:val="00E506BE"/>
    <w:rsid w:val="00E54E1D"/>
    <w:rsid w:val="00E55547"/>
    <w:rsid w:val="00E6302B"/>
    <w:rsid w:val="00E63B9C"/>
    <w:rsid w:val="00E6452F"/>
    <w:rsid w:val="00E64F45"/>
    <w:rsid w:val="00E6742D"/>
    <w:rsid w:val="00E71CB0"/>
    <w:rsid w:val="00E77C3D"/>
    <w:rsid w:val="00E833F4"/>
    <w:rsid w:val="00E90991"/>
    <w:rsid w:val="00E909F0"/>
    <w:rsid w:val="00E90D47"/>
    <w:rsid w:val="00E9110C"/>
    <w:rsid w:val="00E93993"/>
    <w:rsid w:val="00E94797"/>
    <w:rsid w:val="00E9597C"/>
    <w:rsid w:val="00EA0913"/>
    <w:rsid w:val="00EA3B38"/>
    <w:rsid w:val="00EA5B00"/>
    <w:rsid w:val="00EA6FB8"/>
    <w:rsid w:val="00EB146B"/>
    <w:rsid w:val="00EB45AC"/>
    <w:rsid w:val="00EC441F"/>
    <w:rsid w:val="00EC4755"/>
    <w:rsid w:val="00ED047E"/>
    <w:rsid w:val="00ED0BC4"/>
    <w:rsid w:val="00ED447D"/>
    <w:rsid w:val="00EE4971"/>
    <w:rsid w:val="00EE6CB0"/>
    <w:rsid w:val="00EF090E"/>
    <w:rsid w:val="00EF5572"/>
    <w:rsid w:val="00F01D7D"/>
    <w:rsid w:val="00F033DA"/>
    <w:rsid w:val="00F129A0"/>
    <w:rsid w:val="00F13691"/>
    <w:rsid w:val="00F13FB1"/>
    <w:rsid w:val="00F253AE"/>
    <w:rsid w:val="00F27CD8"/>
    <w:rsid w:val="00F30351"/>
    <w:rsid w:val="00F30BA7"/>
    <w:rsid w:val="00F3323E"/>
    <w:rsid w:val="00F341F4"/>
    <w:rsid w:val="00F34F9D"/>
    <w:rsid w:val="00F35CCE"/>
    <w:rsid w:val="00F41146"/>
    <w:rsid w:val="00F5524B"/>
    <w:rsid w:val="00F561A9"/>
    <w:rsid w:val="00F60538"/>
    <w:rsid w:val="00F61DD2"/>
    <w:rsid w:val="00F61FB6"/>
    <w:rsid w:val="00F62E7A"/>
    <w:rsid w:val="00F66AFF"/>
    <w:rsid w:val="00F70126"/>
    <w:rsid w:val="00F71433"/>
    <w:rsid w:val="00F73F92"/>
    <w:rsid w:val="00F87B04"/>
    <w:rsid w:val="00F97C5B"/>
    <w:rsid w:val="00FA12B9"/>
    <w:rsid w:val="00FA2074"/>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2D24"/>
    <w:rsid w:val="00FF5E23"/>
    <w:rsid w:val="00FF6499"/>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legclearfix">
    <w:name w:val="legclearfix"/>
    <w:basedOn w:val="Normal"/>
    <w:rsid w:val="00696A50"/>
    <w:pPr>
      <w:spacing w:before="100" w:beforeAutospacing="1" w:after="100" w:afterAutospacing="1"/>
    </w:pPr>
    <w:rPr>
      <w:rFonts w:ascii="Times New Roman" w:hAnsi="Times New Roman" w:cs="Times New Roman"/>
      <w:sz w:val="24"/>
      <w:lang w:val="en-BB" w:eastAsia="en-BB"/>
    </w:rPr>
  </w:style>
  <w:style w:type="character" w:customStyle="1" w:styleId="legds">
    <w:name w:val="legds"/>
    <w:basedOn w:val="DefaultParagraphFont"/>
    <w:rsid w:val="00696A50"/>
  </w:style>
  <w:style w:type="character" w:customStyle="1" w:styleId="legchangedelimiter">
    <w:name w:val="legchangedelimiter"/>
    <w:basedOn w:val="DefaultParagraphFont"/>
    <w:rsid w:val="00696A50"/>
  </w:style>
  <w:style w:type="character" w:customStyle="1" w:styleId="legaddition">
    <w:name w:val="legaddition"/>
    <w:basedOn w:val="DefaultParagraphFont"/>
    <w:rsid w:val="00696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64906460">
      <w:bodyDiv w:val="1"/>
      <w:marLeft w:val="0"/>
      <w:marRight w:val="0"/>
      <w:marTop w:val="0"/>
      <w:marBottom w:val="0"/>
      <w:divBdr>
        <w:top w:val="none" w:sz="0" w:space="0" w:color="auto"/>
        <w:left w:val="none" w:sz="0" w:space="0" w:color="auto"/>
        <w:bottom w:val="none" w:sz="0" w:space="0" w:color="auto"/>
        <w:right w:val="none" w:sz="0" w:space="0" w:color="auto"/>
      </w:divBdr>
    </w:div>
    <w:div w:id="1947040038">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13663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2.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4.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5717</Words>
  <Characters>32591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Taylor Laurayne</cp:lastModifiedBy>
  <cp:revision>2</cp:revision>
  <cp:lastPrinted>2019-08-27T05:42:00Z</cp:lastPrinted>
  <dcterms:created xsi:type="dcterms:W3CDTF">2023-02-28T21:43:00Z</dcterms:created>
  <dcterms:modified xsi:type="dcterms:W3CDTF">2023-02-28T21:43:00Z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