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B80AF1" w:rsidRDefault="00D66F96" w:rsidP="005B7C95">
      <w:pPr>
        <w:pStyle w:val="ListParagraph"/>
        <w:numPr>
          <w:ilvl w:val="0"/>
          <w:numId w:val="26"/>
        </w:numPr>
        <w:ind w:left="426"/>
        <w:jc w:val="both"/>
        <w:rPr>
          <w:rFonts w:ascii="Avenir Next" w:hAnsi="Avenir Next" w:cs="Arial"/>
          <w:sz w:val="22"/>
          <w:szCs w:val="22"/>
          <w:highlight w:val="yellow"/>
          <w:lang w:val="en-GB"/>
        </w:rPr>
      </w:pPr>
      <w:r w:rsidRPr="00B80AF1">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B60AAD"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B60AAD">
        <w:rPr>
          <w:rFonts w:ascii="Avenir Next" w:hAnsi="Avenir Next" w:cs="Arial"/>
          <w:iCs/>
          <w:sz w:val="22"/>
          <w:szCs w:val="22"/>
          <w:highlight w:val="yellow"/>
          <w:lang w:val="en-GB"/>
        </w:rPr>
        <w:t>t</w:t>
      </w:r>
      <w:r w:rsidR="00302D76" w:rsidRPr="00B60AAD">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9B44E4"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9B44E4">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A90F6C" w:rsidRDefault="00971896" w:rsidP="003C4BCB">
      <w:pPr>
        <w:pStyle w:val="ListParagraph"/>
        <w:numPr>
          <w:ilvl w:val="0"/>
          <w:numId w:val="5"/>
        </w:numPr>
        <w:ind w:left="426"/>
        <w:jc w:val="both"/>
        <w:rPr>
          <w:rFonts w:ascii="Avenir Next" w:hAnsi="Avenir Next" w:cs="Arial"/>
          <w:sz w:val="22"/>
          <w:szCs w:val="22"/>
          <w:highlight w:val="yellow"/>
          <w:lang w:val="en-GB"/>
        </w:rPr>
      </w:pPr>
      <w:r w:rsidRPr="00A90F6C">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A90F6C">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DF3ABE" w:rsidRDefault="00CA7069" w:rsidP="008E3C96">
      <w:pPr>
        <w:pStyle w:val="ListParagraph"/>
        <w:numPr>
          <w:ilvl w:val="0"/>
          <w:numId w:val="28"/>
        </w:numPr>
        <w:ind w:left="426"/>
        <w:jc w:val="both"/>
        <w:rPr>
          <w:rFonts w:ascii="Avenir Next" w:hAnsi="Avenir Next" w:cs="Arial"/>
          <w:sz w:val="22"/>
          <w:szCs w:val="22"/>
          <w:highlight w:val="yellow"/>
          <w:lang w:val="en-GB"/>
        </w:rPr>
      </w:pPr>
      <w:r w:rsidRPr="00DF3ABE">
        <w:rPr>
          <w:rFonts w:ascii="Avenir Next" w:hAnsi="Avenir Next" w:cs="Arial"/>
          <w:sz w:val="22"/>
          <w:szCs w:val="22"/>
          <w:highlight w:val="yellow"/>
          <w:lang w:val="en-GB"/>
        </w:rPr>
        <w:t>Article 31 EIR Recast (“</w:t>
      </w:r>
      <w:r w:rsidRPr="00DF3ABE">
        <w:rPr>
          <w:rFonts w:ascii="Avenir Next" w:hAnsi="Avenir Next" w:cs="Arial"/>
          <w:bCs/>
          <w:sz w:val="22"/>
          <w:szCs w:val="22"/>
          <w:highlight w:val="yellow"/>
          <w:lang w:val="en-GB"/>
        </w:rPr>
        <w:t>Honouring of an obligation to a debtor”</w:t>
      </w:r>
      <w:r w:rsidRPr="00DF3ABE">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661D65" w:rsidRDefault="00113E29" w:rsidP="00FB6122">
      <w:pPr>
        <w:pStyle w:val="ListParagraph"/>
        <w:numPr>
          <w:ilvl w:val="0"/>
          <w:numId w:val="7"/>
        </w:numPr>
        <w:ind w:left="426"/>
        <w:jc w:val="both"/>
        <w:rPr>
          <w:rFonts w:ascii="Avenir Next" w:hAnsi="Avenir Next" w:cs="Arial"/>
          <w:sz w:val="22"/>
          <w:szCs w:val="22"/>
          <w:highlight w:val="yellow"/>
          <w:lang w:val="en-GB"/>
        </w:rPr>
      </w:pPr>
      <w:r w:rsidRPr="00661D65">
        <w:rPr>
          <w:rFonts w:ascii="Avenir Next" w:hAnsi="Avenir Next" w:cs="Arial"/>
          <w:sz w:val="22"/>
          <w:szCs w:val="22"/>
          <w:highlight w:val="yellow"/>
          <w:lang w:val="en-GB"/>
        </w:rPr>
        <w:t xml:space="preserve">The </w:t>
      </w:r>
      <w:r w:rsidR="00782DF0" w:rsidRPr="00661D65">
        <w:rPr>
          <w:rFonts w:ascii="Avenir Next" w:hAnsi="Avenir Next" w:cs="Arial"/>
          <w:sz w:val="22"/>
          <w:szCs w:val="22"/>
          <w:highlight w:val="yellow"/>
          <w:lang w:val="en-GB"/>
        </w:rPr>
        <w:t xml:space="preserve">ECJ has provided a definition of </w:t>
      </w:r>
      <w:r w:rsidR="001A68CC" w:rsidRPr="00661D65">
        <w:rPr>
          <w:rFonts w:ascii="Avenir Next" w:hAnsi="Avenir Next" w:cs="Arial"/>
          <w:sz w:val="22"/>
          <w:szCs w:val="22"/>
          <w:highlight w:val="yellow"/>
          <w:lang w:val="en-GB"/>
        </w:rPr>
        <w:t>“</w:t>
      </w:r>
      <w:r w:rsidR="00782DF0" w:rsidRPr="00661D65">
        <w:rPr>
          <w:rFonts w:ascii="Avenir Next" w:hAnsi="Avenir Next" w:cs="Arial"/>
          <w:sz w:val="22"/>
          <w:szCs w:val="22"/>
          <w:highlight w:val="yellow"/>
          <w:lang w:val="en-GB"/>
        </w:rPr>
        <w:t>insolvency</w:t>
      </w:r>
      <w:r w:rsidR="001A68CC" w:rsidRPr="00661D65">
        <w:rPr>
          <w:rFonts w:ascii="Avenir Next" w:hAnsi="Avenir Next" w:cs="Arial"/>
          <w:sz w:val="22"/>
          <w:szCs w:val="22"/>
          <w:highlight w:val="yellow"/>
          <w:lang w:val="en-GB"/>
        </w:rPr>
        <w:t>”</w:t>
      </w:r>
      <w:r w:rsidR="00782DF0" w:rsidRPr="00661D65">
        <w:rPr>
          <w:rFonts w:ascii="Avenir Next" w:hAnsi="Avenir Next" w:cs="Arial"/>
          <w:sz w:val="22"/>
          <w:szCs w:val="22"/>
          <w:highlight w:val="yellow"/>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Each Member State will define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6E3502" w:rsidRDefault="00CA7069" w:rsidP="00CA7069">
      <w:pPr>
        <w:pStyle w:val="ListParagraph"/>
        <w:numPr>
          <w:ilvl w:val="0"/>
          <w:numId w:val="8"/>
        </w:numPr>
        <w:ind w:left="426"/>
        <w:jc w:val="both"/>
        <w:rPr>
          <w:rFonts w:ascii="Avenir Next" w:hAnsi="Avenir Next" w:cs="Arial"/>
          <w:sz w:val="22"/>
          <w:szCs w:val="22"/>
          <w:highlight w:val="yellow"/>
          <w:lang w:val="en-GB"/>
        </w:rPr>
      </w:pPr>
      <w:r w:rsidRPr="006E3502">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392403" w:rsidRDefault="00C15FA2" w:rsidP="008E3C96">
      <w:pPr>
        <w:pStyle w:val="ListParagraph"/>
        <w:numPr>
          <w:ilvl w:val="0"/>
          <w:numId w:val="29"/>
        </w:numPr>
        <w:ind w:left="426"/>
        <w:jc w:val="both"/>
        <w:rPr>
          <w:rFonts w:ascii="Avenir Next" w:hAnsi="Avenir Next" w:cs="Arial"/>
          <w:sz w:val="22"/>
          <w:szCs w:val="22"/>
          <w:highlight w:val="yellow"/>
          <w:lang w:val="en-GB"/>
        </w:rPr>
      </w:pPr>
      <w:r w:rsidRPr="00392403">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F10D03" w:rsidRDefault="00EC242E" w:rsidP="008E3C96">
      <w:pPr>
        <w:pStyle w:val="ListParagraph"/>
        <w:numPr>
          <w:ilvl w:val="0"/>
          <w:numId w:val="30"/>
        </w:numPr>
        <w:ind w:left="426"/>
        <w:jc w:val="both"/>
        <w:rPr>
          <w:rFonts w:ascii="Avenir Next" w:hAnsi="Avenir Next" w:cs="Arial"/>
          <w:sz w:val="22"/>
          <w:szCs w:val="22"/>
          <w:highlight w:val="yellow"/>
          <w:lang w:val="en-GB"/>
        </w:rPr>
      </w:pPr>
      <w:r w:rsidRPr="00F10D03">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A10FF6" w:rsidRDefault="00EC242E" w:rsidP="00EC242E">
      <w:pPr>
        <w:pStyle w:val="ListParagraph"/>
        <w:numPr>
          <w:ilvl w:val="0"/>
          <w:numId w:val="9"/>
        </w:numPr>
        <w:ind w:left="426"/>
        <w:jc w:val="both"/>
        <w:rPr>
          <w:rFonts w:ascii="Avenir Next" w:hAnsi="Avenir Next" w:cs="Arial"/>
          <w:sz w:val="22"/>
          <w:szCs w:val="22"/>
          <w:highlight w:val="yellow"/>
          <w:lang w:val="en-GB"/>
        </w:rPr>
      </w:pPr>
      <w:r w:rsidRPr="00A10FF6">
        <w:rPr>
          <w:rFonts w:ascii="Avenir Next" w:hAnsi="Avenir Next" w:cs="Arial"/>
          <w:sz w:val="22"/>
          <w:szCs w:val="22"/>
          <w:highlight w:val="yellow"/>
          <w:lang w:val="en-GB"/>
        </w:rPr>
        <w:t xml:space="preserve">The contested transactions cannot be avoided if </w:t>
      </w:r>
      <w:proofErr w:type="spellStart"/>
      <w:r w:rsidRPr="00A10FF6">
        <w:rPr>
          <w:rFonts w:ascii="Avenir Next" w:hAnsi="Avenir Next" w:cs="Arial"/>
          <w:sz w:val="22"/>
          <w:szCs w:val="22"/>
          <w:highlight w:val="yellow"/>
          <w:lang w:val="en-GB"/>
        </w:rPr>
        <w:t>Canetier</w:t>
      </w:r>
      <w:proofErr w:type="spellEnd"/>
      <w:r w:rsidRPr="00A10FF6">
        <w:rPr>
          <w:rFonts w:ascii="Avenir Next" w:hAnsi="Avenir Next" w:cs="Arial"/>
          <w:sz w:val="22"/>
          <w:szCs w:val="22"/>
          <w:highlight w:val="yellow"/>
          <w:lang w:val="en-GB"/>
        </w:rPr>
        <w:t xml:space="preserve"> SARL can prove that the </w:t>
      </w:r>
      <w:r w:rsidRPr="00A10FF6">
        <w:rPr>
          <w:rFonts w:ascii="Avenir Next" w:hAnsi="Avenir Next" w:cs="Arial"/>
          <w:i/>
          <w:sz w:val="22"/>
          <w:szCs w:val="22"/>
          <w:highlight w:val="yellow"/>
          <w:lang w:val="en-GB"/>
        </w:rPr>
        <w:t xml:space="preserve">lex </w:t>
      </w:r>
      <w:proofErr w:type="spellStart"/>
      <w:r w:rsidRPr="00A10FF6">
        <w:rPr>
          <w:rFonts w:ascii="Avenir Next" w:hAnsi="Avenir Next" w:cs="Arial"/>
          <w:i/>
          <w:sz w:val="22"/>
          <w:szCs w:val="22"/>
          <w:highlight w:val="yellow"/>
          <w:lang w:val="en-GB"/>
        </w:rPr>
        <w:t>causae</w:t>
      </w:r>
      <w:proofErr w:type="spellEnd"/>
      <w:r w:rsidRPr="00A10FF6">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1D7F978C" w:rsidR="00636C15"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42E5A2E3" w14:textId="77777777" w:rsidR="00ED4C80" w:rsidRDefault="00ED4C80" w:rsidP="00636C15">
      <w:pPr>
        <w:jc w:val="both"/>
        <w:rPr>
          <w:rFonts w:ascii="Avenir Next" w:hAnsi="Avenir Next" w:cs="Arial"/>
          <w:sz w:val="22"/>
          <w:szCs w:val="22"/>
          <w:lang w:val="en-GB"/>
        </w:rPr>
      </w:pPr>
    </w:p>
    <w:p w14:paraId="4FDC9A6F" w14:textId="4052E88C" w:rsidR="009F0BC5" w:rsidRPr="00207469" w:rsidRDefault="009F0BC5" w:rsidP="00636C15">
      <w:pPr>
        <w:jc w:val="both"/>
        <w:rPr>
          <w:rFonts w:ascii="Avenir Next" w:hAnsi="Avenir Next" w:cs="Arial"/>
          <w:color w:val="808080" w:themeColor="background1" w:themeShade="80"/>
          <w:sz w:val="22"/>
          <w:szCs w:val="22"/>
          <w:lang w:val="en-GB"/>
        </w:rPr>
      </w:pPr>
      <w:r w:rsidRPr="00207469">
        <w:rPr>
          <w:rFonts w:ascii="Avenir Next" w:hAnsi="Avenir Next" w:cs="Arial"/>
          <w:color w:val="808080" w:themeColor="background1" w:themeShade="80"/>
          <w:sz w:val="22"/>
          <w:szCs w:val="22"/>
          <w:lang w:val="en-GB"/>
        </w:rPr>
        <w:lastRenderedPageBreak/>
        <w:t xml:space="preserve">Article 3(1) EIR Recast, </w:t>
      </w:r>
      <w:r w:rsidR="00351061" w:rsidRPr="00207469">
        <w:rPr>
          <w:rFonts w:ascii="Avenir Next" w:hAnsi="Avenir Next" w:cs="Arial"/>
          <w:color w:val="808080" w:themeColor="background1" w:themeShade="80"/>
          <w:sz w:val="22"/>
          <w:szCs w:val="22"/>
          <w:lang w:val="en-GB"/>
        </w:rPr>
        <w:t>the centre of main interest (COMI)</w:t>
      </w:r>
      <w:r w:rsidRPr="00207469">
        <w:rPr>
          <w:rFonts w:ascii="Avenir Next" w:hAnsi="Avenir Next" w:cs="Arial"/>
          <w:color w:val="808080" w:themeColor="background1" w:themeShade="80"/>
          <w:sz w:val="22"/>
          <w:szCs w:val="22"/>
          <w:lang w:val="en-GB"/>
        </w:rPr>
        <w:t xml:space="preserv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2F892D69" w:rsidR="00636C15" w:rsidRPr="008E3C96" w:rsidRDefault="00A6078D" w:rsidP="00636C15">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Article 1 EIR Recast</w:t>
      </w:r>
      <w:r w:rsidR="00B41EDA">
        <w:rPr>
          <w:rFonts w:ascii="Avenir Next" w:hAnsi="Avenir Next" w:cs="Arial"/>
          <w:color w:val="7B7B7B" w:themeColor="accent3" w:themeShade="BF"/>
          <w:sz w:val="22"/>
          <w:szCs w:val="22"/>
        </w:rPr>
        <w:t>, Recital 10</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3CDC222A" w14:textId="113104BB" w:rsidR="00331E1C" w:rsidRDefault="00836004"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3(1) </w:t>
      </w:r>
      <w:r w:rsidR="000F54E0">
        <w:rPr>
          <w:rFonts w:ascii="Avenir Next" w:hAnsi="Avenir Next" w:cs="Arial"/>
          <w:color w:val="7B7B7B" w:themeColor="accent3" w:themeShade="BF"/>
          <w:sz w:val="22"/>
          <w:szCs w:val="22"/>
          <w:lang w:val="en-GB"/>
        </w:rPr>
        <w:t xml:space="preserve">states that courts of Member States may </w:t>
      </w:r>
      <w:r w:rsidR="0052246C">
        <w:rPr>
          <w:rFonts w:ascii="Avenir Next" w:hAnsi="Avenir Next" w:cs="Arial"/>
          <w:color w:val="7B7B7B" w:themeColor="accent3" w:themeShade="BF"/>
          <w:sz w:val="22"/>
          <w:szCs w:val="22"/>
          <w:lang w:val="en-GB"/>
        </w:rPr>
        <w:t>within the territo</w:t>
      </w:r>
      <w:r w:rsidR="00870F09">
        <w:rPr>
          <w:rFonts w:ascii="Avenir Next" w:hAnsi="Avenir Next" w:cs="Arial"/>
          <w:color w:val="7B7B7B" w:themeColor="accent3" w:themeShade="BF"/>
          <w:sz w:val="22"/>
          <w:szCs w:val="22"/>
          <w:lang w:val="en-GB"/>
        </w:rPr>
        <w:t xml:space="preserve">ry of which the COMI of the debtor’s main assets is </w:t>
      </w:r>
      <w:r w:rsidR="00971D79">
        <w:rPr>
          <w:rFonts w:ascii="Avenir Next" w:hAnsi="Avenir Next" w:cs="Arial"/>
          <w:color w:val="7B7B7B" w:themeColor="accent3" w:themeShade="BF"/>
          <w:sz w:val="22"/>
          <w:szCs w:val="22"/>
          <w:lang w:val="en-GB"/>
        </w:rPr>
        <w:t>situated, shall have j</w:t>
      </w:r>
      <w:r w:rsidR="0052246C">
        <w:rPr>
          <w:rFonts w:ascii="Avenir Next" w:hAnsi="Avenir Next" w:cs="Arial"/>
          <w:color w:val="7B7B7B" w:themeColor="accent3" w:themeShade="BF"/>
          <w:sz w:val="22"/>
          <w:szCs w:val="22"/>
          <w:lang w:val="en-GB"/>
        </w:rPr>
        <w:t xml:space="preserve">urisdiction </w:t>
      </w:r>
      <w:r w:rsidR="00971D79">
        <w:rPr>
          <w:rFonts w:ascii="Avenir Next" w:hAnsi="Avenir Next" w:cs="Arial"/>
          <w:color w:val="7B7B7B" w:themeColor="accent3" w:themeShade="BF"/>
          <w:sz w:val="22"/>
          <w:szCs w:val="22"/>
          <w:lang w:val="en-GB"/>
        </w:rPr>
        <w:t xml:space="preserve">to </w:t>
      </w:r>
      <w:r w:rsidR="006F6CDD">
        <w:rPr>
          <w:rFonts w:ascii="Avenir Next" w:hAnsi="Avenir Next" w:cs="Arial"/>
          <w:color w:val="7B7B7B" w:themeColor="accent3" w:themeShade="BF"/>
          <w:sz w:val="22"/>
          <w:szCs w:val="22"/>
          <w:lang w:val="en-GB"/>
        </w:rPr>
        <w:t xml:space="preserve">open insolvency proceedings, but at the same time Recital 23 </w:t>
      </w:r>
      <w:r w:rsidR="00E051FE">
        <w:rPr>
          <w:rFonts w:ascii="Avenir Next" w:hAnsi="Avenir Next" w:cs="Arial"/>
          <w:color w:val="7B7B7B" w:themeColor="accent3" w:themeShade="BF"/>
          <w:sz w:val="22"/>
          <w:szCs w:val="22"/>
          <w:lang w:val="en-GB"/>
        </w:rPr>
        <w:t xml:space="preserve">allows for secondary proceedings </w:t>
      </w:r>
      <w:r w:rsidR="00A05CC9">
        <w:rPr>
          <w:rFonts w:ascii="Avenir Next" w:hAnsi="Avenir Next" w:cs="Arial"/>
          <w:color w:val="7B7B7B" w:themeColor="accent3" w:themeShade="BF"/>
          <w:sz w:val="22"/>
          <w:szCs w:val="22"/>
          <w:lang w:val="en-GB"/>
        </w:rPr>
        <w:t xml:space="preserve">which run </w:t>
      </w:r>
      <w:r w:rsidR="00E051FE">
        <w:rPr>
          <w:rFonts w:ascii="Avenir Next" w:hAnsi="Avenir Next" w:cs="Arial"/>
          <w:color w:val="7B7B7B" w:themeColor="accent3" w:themeShade="BF"/>
          <w:sz w:val="22"/>
          <w:szCs w:val="22"/>
          <w:lang w:val="en-GB"/>
        </w:rPr>
        <w:t>in parallel</w:t>
      </w:r>
      <w:r w:rsidR="00733382">
        <w:rPr>
          <w:rFonts w:ascii="Avenir Next" w:hAnsi="Avenir Next" w:cs="Arial"/>
          <w:color w:val="7B7B7B" w:themeColor="accent3" w:themeShade="BF"/>
          <w:sz w:val="22"/>
          <w:szCs w:val="22"/>
          <w:lang w:val="en-GB"/>
        </w:rPr>
        <w:t>, impacting only those assets in that territory.</w:t>
      </w:r>
    </w:p>
    <w:p w14:paraId="16675D5F" w14:textId="208F2C36" w:rsidR="00636C15" w:rsidRDefault="00331E1C"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Recital 40 therefore pro</w:t>
      </w:r>
      <w:r w:rsidR="00E10952">
        <w:rPr>
          <w:rFonts w:ascii="Avenir Next" w:hAnsi="Avenir Next" w:cs="Arial"/>
          <w:color w:val="7B7B7B" w:themeColor="accent3" w:themeShade="BF"/>
          <w:sz w:val="22"/>
          <w:szCs w:val="22"/>
          <w:lang w:val="en-GB"/>
        </w:rPr>
        <w:t>tects</w:t>
      </w:r>
      <w:r>
        <w:rPr>
          <w:rFonts w:ascii="Avenir Next" w:hAnsi="Avenir Next" w:cs="Arial"/>
          <w:color w:val="7B7B7B" w:themeColor="accent3" w:themeShade="BF"/>
          <w:sz w:val="22"/>
          <w:szCs w:val="22"/>
          <w:lang w:val="en-GB"/>
        </w:rPr>
        <w:t xml:space="preserve"> the </w:t>
      </w:r>
      <w:r w:rsidR="00E10952">
        <w:rPr>
          <w:rFonts w:ascii="Avenir Next" w:hAnsi="Avenir Next" w:cs="Arial"/>
          <w:color w:val="7B7B7B" w:themeColor="accent3" w:themeShade="BF"/>
          <w:sz w:val="22"/>
          <w:szCs w:val="22"/>
          <w:lang w:val="en-GB"/>
        </w:rPr>
        <w:t xml:space="preserve">diversity of interests, promotes </w:t>
      </w:r>
      <w:r w:rsidR="00A33D75">
        <w:rPr>
          <w:rFonts w:ascii="Avenir Next" w:hAnsi="Avenir Next" w:cs="Arial"/>
          <w:color w:val="7B7B7B" w:themeColor="accent3" w:themeShade="BF"/>
          <w:sz w:val="22"/>
          <w:szCs w:val="22"/>
          <w:lang w:val="en-GB"/>
        </w:rPr>
        <w:t xml:space="preserve">effective administration of complex </w:t>
      </w:r>
      <w:r w:rsidR="00EF34DA">
        <w:rPr>
          <w:rFonts w:ascii="Avenir Next" w:hAnsi="Avenir Next" w:cs="Arial"/>
          <w:color w:val="7B7B7B" w:themeColor="accent3" w:themeShade="BF"/>
          <w:sz w:val="22"/>
          <w:szCs w:val="22"/>
          <w:lang w:val="en-GB"/>
        </w:rPr>
        <w:t xml:space="preserve">insolvency </w:t>
      </w:r>
      <w:r w:rsidR="00A33D75">
        <w:rPr>
          <w:rFonts w:ascii="Avenir Next" w:hAnsi="Avenir Next" w:cs="Arial"/>
          <w:color w:val="7B7B7B" w:themeColor="accent3" w:themeShade="BF"/>
          <w:sz w:val="22"/>
          <w:szCs w:val="22"/>
          <w:lang w:val="en-GB"/>
        </w:rPr>
        <w:t>estates</w:t>
      </w:r>
      <w:r w:rsidR="000F54E0">
        <w:rPr>
          <w:rFonts w:ascii="Avenir Next" w:hAnsi="Avenir Next" w:cs="Arial"/>
          <w:color w:val="7B7B7B" w:themeColor="accent3" w:themeShade="BF"/>
          <w:sz w:val="22"/>
          <w:szCs w:val="22"/>
          <w:lang w:val="en-GB"/>
        </w:rPr>
        <w:t xml:space="preserve"> </w:t>
      </w:r>
      <w:r w:rsidR="00EF34DA">
        <w:rPr>
          <w:rFonts w:ascii="Avenir Next" w:hAnsi="Avenir Next" w:cs="Arial"/>
          <w:color w:val="7B7B7B" w:themeColor="accent3" w:themeShade="BF"/>
          <w:sz w:val="22"/>
          <w:szCs w:val="22"/>
          <w:lang w:val="en-GB"/>
        </w:rPr>
        <w:t>and mitigates the divergence of different national laws.</w:t>
      </w:r>
    </w:p>
    <w:p w14:paraId="2F9FE8E3" w14:textId="0B12382C" w:rsidR="00A05CC9" w:rsidRDefault="002B640A"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opening of main insolvency proceedings results in extra-terr</w:t>
      </w:r>
      <w:r w:rsidR="0021623D">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torial</w:t>
      </w:r>
      <w:r w:rsidR="0021623D">
        <w:rPr>
          <w:rFonts w:ascii="Avenir Next" w:hAnsi="Avenir Next" w:cs="Arial"/>
          <w:color w:val="7B7B7B" w:themeColor="accent3" w:themeShade="BF"/>
          <w:sz w:val="22"/>
          <w:szCs w:val="22"/>
          <w:lang w:val="en-GB"/>
        </w:rPr>
        <w:t xml:space="preserve"> (universal) application of the law of the Member State where such proceedings have been opened (lex concursus)</w:t>
      </w:r>
      <w:r w:rsidR="00AD34BD">
        <w:rPr>
          <w:rFonts w:ascii="Avenir Next" w:hAnsi="Avenir Next" w:cs="Arial"/>
          <w:color w:val="7B7B7B" w:themeColor="accent3" w:themeShade="BF"/>
          <w:sz w:val="22"/>
          <w:szCs w:val="22"/>
          <w:lang w:val="en-GB"/>
        </w:rPr>
        <w:t xml:space="preserve">. The opening of secondary insolvency proceedings leads to the creation of </w:t>
      </w:r>
      <w:r w:rsidR="005B605C">
        <w:rPr>
          <w:rFonts w:ascii="Avenir Next" w:hAnsi="Avenir Next" w:cs="Arial"/>
          <w:color w:val="7B7B7B" w:themeColor="accent3" w:themeShade="BF"/>
          <w:sz w:val="22"/>
          <w:szCs w:val="22"/>
          <w:lang w:val="en-GB"/>
        </w:rPr>
        <w:t xml:space="preserve">a separate insolvency estate and the application of a separate </w:t>
      </w:r>
      <w:r w:rsidR="000E2E0D">
        <w:rPr>
          <w:rFonts w:ascii="Avenir Next" w:hAnsi="Avenir Next" w:cs="Arial"/>
          <w:color w:val="7B7B7B" w:themeColor="accent3" w:themeShade="BF"/>
          <w:sz w:val="22"/>
          <w:szCs w:val="22"/>
          <w:lang w:val="en-GB"/>
        </w:rPr>
        <w:t xml:space="preserve">lex concursus </w:t>
      </w:r>
      <w:r w:rsidR="00EC7657">
        <w:rPr>
          <w:rFonts w:ascii="Avenir Next" w:hAnsi="Avenir Next" w:cs="Arial"/>
          <w:color w:val="7B7B7B" w:themeColor="accent3" w:themeShade="BF"/>
          <w:sz w:val="22"/>
          <w:szCs w:val="22"/>
          <w:lang w:val="en-GB"/>
        </w:rPr>
        <w:t xml:space="preserve">, which effectively limits </w:t>
      </w:r>
      <w:r w:rsidR="00336072">
        <w:rPr>
          <w:rFonts w:ascii="Avenir Next" w:hAnsi="Avenir Next" w:cs="Arial"/>
          <w:color w:val="7B7B7B" w:themeColor="accent3" w:themeShade="BF"/>
          <w:sz w:val="22"/>
          <w:szCs w:val="22"/>
          <w:lang w:val="en-GB"/>
        </w:rPr>
        <w:t xml:space="preserve">the otherwise universal scope of the main proceedings in order to </w:t>
      </w:r>
      <w:r w:rsidR="003C34D4">
        <w:rPr>
          <w:rFonts w:ascii="Avenir Next" w:hAnsi="Avenir Next" w:cs="Arial"/>
          <w:color w:val="7B7B7B" w:themeColor="accent3" w:themeShade="BF"/>
          <w:sz w:val="22"/>
          <w:szCs w:val="22"/>
          <w:lang w:val="en-GB"/>
        </w:rPr>
        <w:t>protect the local/secondary interests.</w:t>
      </w:r>
      <w:r w:rsidR="005B605C">
        <w:rPr>
          <w:rFonts w:ascii="Avenir Next" w:hAnsi="Avenir Next" w:cs="Arial"/>
          <w:color w:val="7B7B7B" w:themeColor="accent3" w:themeShade="BF"/>
          <w:sz w:val="22"/>
          <w:szCs w:val="22"/>
          <w:lang w:val="en-GB"/>
        </w:rPr>
        <w:t xml:space="preserve"> </w:t>
      </w:r>
      <w:r w:rsidR="0021623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w:t>
      </w:r>
    </w:p>
    <w:p w14:paraId="39919308" w14:textId="77777777" w:rsidR="002C35A2" w:rsidRPr="008E3C96" w:rsidRDefault="002C35A2" w:rsidP="00636C15">
      <w:pPr>
        <w:ind w:left="720" w:hanging="720"/>
        <w:jc w:val="both"/>
        <w:rPr>
          <w:rFonts w:ascii="Avenir Next" w:hAnsi="Avenir Next" w:cs="Arial"/>
          <w:sz w:val="22"/>
          <w:szCs w:val="22"/>
          <w:lang w:val="en-GB"/>
        </w:rPr>
      </w:pP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7EB08CBB" w:rsidR="00C72848" w:rsidRDefault="00477D5E"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w:t>
      </w:r>
      <w:r w:rsidR="009E620C">
        <w:rPr>
          <w:rFonts w:ascii="Avenir Next" w:hAnsi="Avenir Next" w:cs="Arial"/>
          <w:color w:val="7B7B7B" w:themeColor="accent3" w:themeShade="BF"/>
          <w:sz w:val="22"/>
          <w:szCs w:val="22"/>
          <w:lang w:val="en-GB"/>
        </w:rPr>
        <w:t xml:space="preserve">Article </w:t>
      </w:r>
      <w:r w:rsidR="00CC0F50">
        <w:rPr>
          <w:rFonts w:ascii="Avenir Next" w:hAnsi="Avenir Next" w:cs="Arial"/>
          <w:color w:val="7B7B7B" w:themeColor="accent3" w:themeShade="BF"/>
          <w:sz w:val="22"/>
          <w:szCs w:val="22"/>
          <w:lang w:val="en-GB"/>
        </w:rPr>
        <w:t>41(1)</w:t>
      </w:r>
      <w:r>
        <w:rPr>
          <w:rFonts w:ascii="Avenir Next" w:hAnsi="Avenir Next" w:cs="Arial"/>
          <w:color w:val="7B7B7B" w:themeColor="accent3" w:themeShade="BF"/>
          <w:sz w:val="22"/>
          <w:szCs w:val="22"/>
          <w:lang w:val="en-GB"/>
        </w:rPr>
        <w:t xml:space="preserve">, insolvency practitioners in main and secondary concerning the same debtor </w:t>
      </w:r>
      <w:r w:rsidR="0009242F">
        <w:rPr>
          <w:rFonts w:ascii="Avenir Next" w:hAnsi="Avenir Next" w:cs="Arial"/>
          <w:color w:val="7B7B7B" w:themeColor="accent3" w:themeShade="BF"/>
          <w:sz w:val="22"/>
          <w:szCs w:val="22"/>
          <w:lang w:val="en-GB"/>
        </w:rPr>
        <w:t xml:space="preserve">shall co-operate with each other as long as it is compatible with </w:t>
      </w:r>
      <w:r w:rsidR="00DF0C65">
        <w:rPr>
          <w:rFonts w:ascii="Avenir Next" w:hAnsi="Avenir Next" w:cs="Arial"/>
          <w:color w:val="7B7B7B" w:themeColor="accent3" w:themeShade="BF"/>
          <w:sz w:val="22"/>
          <w:szCs w:val="22"/>
          <w:lang w:val="en-GB"/>
        </w:rPr>
        <w:t>the rules a</w:t>
      </w:r>
      <w:r w:rsidR="00B44C39">
        <w:rPr>
          <w:rFonts w:ascii="Avenir Next" w:hAnsi="Avenir Next" w:cs="Arial"/>
          <w:color w:val="7B7B7B" w:themeColor="accent3" w:themeShade="BF"/>
          <w:sz w:val="22"/>
          <w:szCs w:val="22"/>
          <w:lang w:val="en-GB"/>
        </w:rPr>
        <w:t>pplicable to the respective proceedings.</w:t>
      </w:r>
      <w:r w:rsidR="00CC0F50">
        <w:rPr>
          <w:rFonts w:ascii="Avenir Next" w:hAnsi="Avenir Next" w:cs="Arial"/>
          <w:color w:val="7B7B7B" w:themeColor="accent3" w:themeShade="BF"/>
          <w:sz w:val="22"/>
          <w:szCs w:val="22"/>
          <w:lang w:val="en-GB"/>
        </w:rPr>
        <w:t xml:space="preserve"> </w:t>
      </w:r>
      <w:r w:rsidR="00677486">
        <w:rPr>
          <w:rFonts w:ascii="Avenir Next" w:hAnsi="Avenir Next" w:cs="Arial"/>
          <w:color w:val="7B7B7B" w:themeColor="accent3" w:themeShade="BF"/>
          <w:sz w:val="22"/>
          <w:szCs w:val="22"/>
          <w:lang w:val="en-GB"/>
        </w:rPr>
        <w:t xml:space="preserve"> </w:t>
      </w:r>
    </w:p>
    <w:p w14:paraId="5EDBC588" w14:textId="1B16068F" w:rsidR="003E17EC" w:rsidRDefault="003E17EC"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w:t>
      </w:r>
      <w:r w:rsidR="0042050C">
        <w:rPr>
          <w:rFonts w:ascii="Avenir Next" w:hAnsi="Avenir Next" w:cs="Arial"/>
          <w:color w:val="7B7B7B" w:themeColor="accent3" w:themeShade="BF"/>
          <w:sz w:val="22"/>
          <w:szCs w:val="22"/>
          <w:lang w:val="en-GB"/>
        </w:rPr>
        <w:t xml:space="preserve">42(1) </w:t>
      </w:r>
      <w:r w:rsidR="00166E81">
        <w:rPr>
          <w:rFonts w:ascii="Avenir Next" w:hAnsi="Avenir Next" w:cs="Arial"/>
          <w:color w:val="7B7B7B" w:themeColor="accent3" w:themeShade="BF"/>
          <w:sz w:val="22"/>
          <w:szCs w:val="22"/>
          <w:lang w:val="en-GB"/>
        </w:rPr>
        <w:t xml:space="preserve">codifies some of the best practices in the area of co-operation and communication </w:t>
      </w:r>
      <w:r w:rsidR="00AA341D">
        <w:rPr>
          <w:rFonts w:ascii="Avenir Next" w:hAnsi="Avenir Next" w:cs="Arial"/>
          <w:color w:val="7B7B7B" w:themeColor="accent3" w:themeShade="BF"/>
          <w:sz w:val="22"/>
          <w:szCs w:val="22"/>
          <w:lang w:val="en-GB"/>
        </w:rPr>
        <w:t xml:space="preserve">and obliges the court </w:t>
      </w:r>
      <w:r w:rsidR="00DC6F38">
        <w:rPr>
          <w:rFonts w:ascii="Avenir Next" w:hAnsi="Avenir Next" w:cs="Arial"/>
          <w:color w:val="7B7B7B" w:themeColor="accent3" w:themeShade="BF"/>
          <w:sz w:val="22"/>
          <w:szCs w:val="22"/>
          <w:lang w:val="en-GB"/>
        </w:rPr>
        <w:t>before which a request to open insolvency proceedings is pending</w:t>
      </w:r>
      <w:r w:rsidR="001007BD">
        <w:rPr>
          <w:rFonts w:ascii="Avenir Next" w:hAnsi="Avenir Next" w:cs="Arial"/>
          <w:color w:val="7B7B7B" w:themeColor="accent3" w:themeShade="BF"/>
          <w:sz w:val="22"/>
          <w:szCs w:val="22"/>
          <w:lang w:val="en-GB"/>
        </w:rPr>
        <w:t xml:space="preserve">, or which has opened such proceedings, to co-operate any other court faced with the issue of opening </w:t>
      </w:r>
      <w:r w:rsidR="00226E76">
        <w:rPr>
          <w:rFonts w:ascii="Avenir Next" w:hAnsi="Avenir Next" w:cs="Arial"/>
          <w:color w:val="7B7B7B" w:themeColor="accent3" w:themeShade="BF"/>
          <w:sz w:val="22"/>
          <w:szCs w:val="22"/>
          <w:lang w:val="en-GB"/>
        </w:rPr>
        <w:t>insolvency proceedings or which has already opened such proceedings</w:t>
      </w:r>
      <w:r w:rsidR="001A2C68">
        <w:rPr>
          <w:rFonts w:ascii="Avenir Next" w:hAnsi="Avenir Next" w:cs="Arial"/>
          <w:color w:val="7B7B7B" w:themeColor="accent3" w:themeShade="BF"/>
          <w:sz w:val="22"/>
          <w:szCs w:val="22"/>
          <w:lang w:val="en-GB"/>
        </w:rPr>
        <w:t xml:space="preserve">. </w:t>
      </w:r>
    </w:p>
    <w:p w14:paraId="40CE067D" w14:textId="65764163" w:rsidR="009670BB" w:rsidRPr="008E3C96" w:rsidRDefault="003D6570"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Article </w:t>
      </w:r>
      <w:r w:rsidR="00A4577D">
        <w:rPr>
          <w:rFonts w:ascii="Avenir Next" w:hAnsi="Avenir Next" w:cs="Arial"/>
          <w:color w:val="7B7B7B" w:themeColor="accent3" w:themeShade="BF"/>
          <w:sz w:val="22"/>
          <w:szCs w:val="22"/>
          <w:lang w:val="en-GB"/>
        </w:rPr>
        <w:t xml:space="preserve">42(3) courts are empowered to </w:t>
      </w:r>
      <w:r w:rsidR="00AE1CE8">
        <w:rPr>
          <w:rFonts w:ascii="Avenir Next" w:hAnsi="Avenir Next" w:cs="Arial"/>
          <w:color w:val="7B7B7B" w:themeColor="accent3" w:themeShade="BF"/>
          <w:sz w:val="22"/>
          <w:szCs w:val="22"/>
          <w:lang w:val="en-GB"/>
        </w:rPr>
        <w:t xml:space="preserve">co-ordinate the administration and supervision of the debtor’s assets and affairs, synchronise </w:t>
      </w:r>
      <w:r w:rsidR="00AE0D4C">
        <w:rPr>
          <w:rFonts w:ascii="Avenir Next" w:hAnsi="Avenir Next" w:cs="Arial"/>
          <w:color w:val="7B7B7B" w:themeColor="accent3" w:themeShade="BF"/>
          <w:sz w:val="22"/>
          <w:szCs w:val="22"/>
          <w:lang w:val="en-GB"/>
        </w:rPr>
        <w:t>the conduct of hearings and the approval protocols , where necessary</w:t>
      </w:r>
      <w:r w:rsidR="00CE4D90">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w:t>
      </w:r>
      <w:r w:rsidRPr="008E3C96">
        <w:rPr>
          <w:rFonts w:ascii="Avenir Next" w:hAnsi="Avenir Next" w:cs="Arial"/>
          <w:sz w:val="22"/>
          <w:szCs w:val="22"/>
          <w:lang w:val="en-GB"/>
        </w:rPr>
        <w:lastRenderedPageBreak/>
        <w:t xml:space="preserve">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033F37C0" w14:textId="77777777" w:rsidR="00C22131" w:rsidRDefault="00CC4104"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right to give an undertaking (synthetic secondary proceeding). </w:t>
      </w:r>
      <w:r w:rsidR="00265FBD">
        <w:rPr>
          <w:rFonts w:ascii="Avenir Next" w:hAnsi="Avenir Next" w:cs="Arial"/>
          <w:color w:val="7B7B7B" w:themeColor="accent3" w:themeShade="BF"/>
          <w:sz w:val="22"/>
          <w:szCs w:val="22"/>
          <w:lang w:val="en-GB"/>
        </w:rPr>
        <w:t>According to Article 38(2) w</w:t>
      </w:r>
      <w:r>
        <w:rPr>
          <w:rFonts w:ascii="Avenir Next" w:hAnsi="Avenir Next" w:cs="Arial"/>
          <w:color w:val="7B7B7B" w:themeColor="accent3" w:themeShade="BF"/>
          <w:sz w:val="22"/>
          <w:szCs w:val="22"/>
          <w:lang w:val="en-GB"/>
        </w:rPr>
        <w:t>here</w:t>
      </w:r>
      <w:r w:rsidR="00265FB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the</w:t>
      </w:r>
      <w:r w:rsidR="00265FBD">
        <w:rPr>
          <w:rFonts w:ascii="Avenir Next" w:hAnsi="Avenir Next" w:cs="Arial"/>
          <w:color w:val="7B7B7B" w:themeColor="accent3" w:themeShade="BF"/>
          <w:sz w:val="22"/>
          <w:szCs w:val="22"/>
          <w:lang w:val="en-GB"/>
        </w:rPr>
        <w:t xml:space="preserve"> insolvency practitioner has given an undertaking in accordance with Article 36 </w:t>
      </w:r>
      <w:r w:rsidR="00F049A7">
        <w:rPr>
          <w:rFonts w:ascii="Avenir Next" w:hAnsi="Avenir Next" w:cs="Arial"/>
          <w:color w:val="7B7B7B" w:themeColor="accent3" w:themeShade="BF"/>
          <w:sz w:val="22"/>
          <w:szCs w:val="22"/>
          <w:lang w:val="en-GB"/>
        </w:rPr>
        <w:t xml:space="preserve">, the court asked to open secondary proceedings should not, if asked, open secondary proceedings </w:t>
      </w:r>
      <w:r w:rsidR="00223A52">
        <w:rPr>
          <w:rFonts w:ascii="Avenir Next" w:hAnsi="Avenir Next" w:cs="Arial"/>
          <w:color w:val="7B7B7B" w:themeColor="accent3" w:themeShade="BF"/>
          <w:sz w:val="22"/>
          <w:szCs w:val="22"/>
          <w:lang w:val="en-GB"/>
        </w:rPr>
        <w:t xml:space="preserve">if it is satisfied that the undertaking adequately protects the general interests of local creditors. </w:t>
      </w:r>
    </w:p>
    <w:p w14:paraId="296A8396" w14:textId="2020502D" w:rsidR="009954B2" w:rsidRPr="008E3C96" w:rsidRDefault="00C22284"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EIR Recast also introduces the possibility to </w:t>
      </w:r>
      <w:r w:rsidR="0073055D">
        <w:rPr>
          <w:rFonts w:ascii="Avenir Next" w:hAnsi="Avenir Next" w:cs="Arial"/>
          <w:color w:val="7B7B7B" w:themeColor="accent3" w:themeShade="BF"/>
          <w:sz w:val="22"/>
          <w:szCs w:val="22"/>
          <w:lang w:val="en-GB"/>
        </w:rPr>
        <w:t xml:space="preserve">temporarily </w:t>
      </w:r>
      <w:r>
        <w:rPr>
          <w:rFonts w:ascii="Avenir Next" w:hAnsi="Avenir Next" w:cs="Arial"/>
          <w:color w:val="7B7B7B" w:themeColor="accent3" w:themeShade="BF"/>
          <w:sz w:val="22"/>
          <w:szCs w:val="22"/>
          <w:lang w:val="en-GB"/>
        </w:rPr>
        <w:t>stay the opening of secondary proceedings</w:t>
      </w:r>
      <w:r w:rsidR="0073055D">
        <w:rPr>
          <w:rFonts w:ascii="Avenir Next" w:hAnsi="Avenir Next" w:cs="Arial"/>
          <w:color w:val="7B7B7B" w:themeColor="accent3" w:themeShade="BF"/>
          <w:sz w:val="22"/>
          <w:szCs w:val="22"/>
          <w:lang w:val="en-GB"/>
        </w:rPr>
        <w:t>. This stay is granted in the main proceedings and can not exceed three months</w:t>
      </w:r>
      <w:r w:rsidR="00B30E3C">
        <w:rPr>
          <w:rFonts w:ascii="Avenir Next" w:hAnsi="Avenir Next" w:cs="Arial"/>
          <w:color w:val="7B7B7B" w:themeColor="accent3" w:themeShade="BF"/>
          <w:sz w:val="22"/>
          <w:szCs w:val="22"/>
          <w:lang w:val="en-GB"/>
        </w:rPr>
        <w:t xml:space="preserve"> and on condition that it suitable measures are in place to protect the </w:t>
      </w:r>
      <w:r w:rsidR="00C0024A">
        <w:rPr>
          <w:rFonts w:ascii="Avenir Next" w:hAnsi="Avenir Next" w:cs="Arial"/>
          <w:color w:val="7B7B7B" w:themeColor="accent3" w:themeShade="BF"/>
          <w:sz w:val="22"/>
          <w:szCs w:val="22"/>
          <w:lang w:val="en-GB"/>
        </w:rPr>
        <w:t xml:space="preserve">interests of </w:t>
      </w:r>
      <w:r w:rsidR="00B30E3C">
        <w:rPr>
          <w:rFonts w:ascii="Avenir Next" w:hAnsi="Avenir Next" w:cs="Arial"/>
          <w:color w:val="7B7B7B" w:themeColor="accent3" w:themeShade="BF"/>
          <w:sz w:val="22"/>
          <w:szCs w:val="22"/>
          <w:lang w:val="en-GB"/>
        </w:rPr>
        <w:t xml:space="preserve">local creditors. </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5BE83402" w14:textId="1F898DCE" w:rsidR="002629CE" w:rsidRPr="00170A51" w:rsidRDefault="00B0048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responded to 15 years of practice </w:t>
      </w:r>
      <w:r w:rsidR="0056314C">
        <w:rPr>
          <w:rFonts w:ascii="Avenir Next" w:hAnsi="Avenir Next" w:cs="Arial"/>
          <w:color w:val="7B7B7B" w:themeColor="accent3" w:themeShade="BF"/>
          <w:sz w:val="22"/>
          <w:szCs w:val="22"/>
          <w:lang w:val="en-GB"/>
        </w:rPr>
        <w:t xml:space="preserve">and covered </w:t>
      </w:r>
      <w:r w:rsidR="00887BEE">
        <w:rPr>
          <w:rFonts w:ascii="Avenir Next" w:hAnsi="Avenir Next" w:cs="Arial"/>
          <w:color w:val="7B7B7B" w:themeColor="accent3" w:themeShade="BF"/>
          <w:sz w:val="22"/>
          <w:szCs w:val="22"/>
          <w:lang w:val="en-GB"/>
        </w:rPr>
        <w:t xml:space="preserve">broadening the scope of </w:t>
      </w:r>
      <w:r w:rsidR="0056314C">
        <w:rPr>
          <w:rFonts w:ascii="Avenir Next" w:hAnsi="Avenir Next" w:cs="Arial"/>
          <w:color w:val="7B7B7B" w:themeColor="accent3" w:themeShade="BF"/>
          <w:sz w:val="22"/>
          <w:szCs w:val="22"/>
          <w:lang w:val="en-GB"/>
        </w:rPr>
        <w:t>rest</w:t>
      </w:r>
      <w:r w:rsidR="007B1E54">
        <w:rPr>
          <w:rFonts w:ascii="Avenir Next" w:hAnsi="Avenir Next" w:cs="Arial"/>
          <w:color w:val="7B7B7B" w:themeColor="accent3" w:themeShade="BF"/>
          <w:sz w:val="22"/>
          <w:szCs w:val="22"/>
          <w:lang w:val="en-GB"/>
        </w:rPr>
        <w:t>ructuring</w:t>
      </w:r>
      <w:r w:rsidR="0056314C">
        <w:rPr>
          <w:rFonts w:ascii="Avenir Next" w:hAnsi="Avenir Next" w:cs="Arial"/>
          <w:color w:val="7B7B7B" w:themeColor="accent3" w:themeShade="BF"/>
          <w:sz w:val="22"/>
          <w:szCs w:val="22"/>
          <w:lang w:val="en-GB"/>
        </w:rPr>
        <w:t xml:space="preserve"> proceedings,</w:t>
      </w:r>
      <w:r w:rsidR="007B1E54">
        <w:rPr>
          <w:rFonts w:ascii="Avenir Next" w:hAnsi="Avenir Next" w:cs="Arial"/>
          <w:color w:val="7B7B7B" w:themeColor="accent3" w:themeShade="BF"/>
          <w:sz w:val="22"/>
          <w:szCs w:val="22"/>
          <w:lang w:val="en-GB"/>
        </w:rPr>
        <w:t xml:space="preserve"> stronger rules for cooperation </w:t>
      </w:r>
      <w:r w:rsidR="00231DD6">
        <w:rPr>
          <w:rFonts w:ascii="Avenir Next" w:hAnsi="Avenir Next" w:cs="Arial"/>
          <w:color w:val="7B7B7B" w:themeColor="accent3" w:themeShade="BF"/>
          <w:sz w:val="22"/>
          <w:szCs w:val="22"/>
          <w:lang w:val="en-GB"/>
        </w:rPr>
        <w:t>between insolvency practitioners and courts</w:t>
      </w:r>
      <w:r w:rsidR="008E43EC">
        <w:rPr>
          <w:rFonts w:ascii="Avenir Next" w:hAnsi="Avenir Next" w:cs="Arial"/>
          <w:color w:val="7B7B7B" w:themeColor="accent3" w:themeShade="BF"/>
          <w:sz w:val="22"/>
          <w:szCs w:val="22"/>
          <w:lang w:val="en-GB"/>
        </w:rPr>
        <w:t xml:space="preserve">, the possibility of </w:t>
      </w:r>
      <w:r w:rsidR="007379D9">
        <w:rPr>
          <w:rFonts w:ascii="Avenir Next" w:hAnsi="Avenir Next" w:cs="Arial"/>
          <w:color w:val="7B7B7B" w:themeColor="accent3" w:themeShade="BF"/>
          <w:sz w:val="22"/>
          <w:szCs w:val="22"/>
          <w:lang w:val="en-GB"/>
        </w:rPr>
        <w:t>proceedings between members</w:t>
      </w:r>
      <w:r w:rsidR="005B5D12">
        <w:rPr>
          <w:rFonts w:ascii="Avenir Next" w:hAnsi="Avenir Next" w:cs="Arial"/>
          <w:color w:val="7B7B7B" w:themeColor="accent3" w:themeShade="BF"/>
          <w:sz w:val="22"/>
          <w:szCs w:val="22"/>
          <w:lang w:val="en-GB"/>
        </w:rPr>
        <w:t xml:space="preserve"> of the same group companies</w:t>
      </w:r>
      <w:r w:rsidR="00C65D16">
        <w:rPr>
          <w:rFonts w:ascii="Avenir Next" w:hAnsi="Avenir Next" w:cs="Arial"/>
          <w:color w:val="7B7B7B" w:themeColor="accent3" w:themeShade="BF"/>
          <w:sz w:val="22"/>
          <w:szCs w:val="22"/>
          <w:lang w:val="en-GB"/>
        </w:rPr>
        <w:t xml:space="preserve"> and</w:t>
      </w:r>
      <w:r w:rsidR="00A2099D">
        <w:rPr>
          <w:rFonts w:ascii="Avenir Next" w:hAnsi="Avenir Next" w:cs="Arial"/>
          <w:color w:val="7B7B7B" w:themeColor="accent3" w:themeShade="BF"/>
          <w:sz w:val="22"/>
          <w:szCs w:val="22"/>
          <w:lang w:val="en-GB"/>
        </w:rPr>
        <w:t xml:space="preserve"> improvement of creditor information</w:t>
      </w:r>
      <w:r w:rsidR="00BC62B0">
        <w:rPr>
          <w:rFonts w:ascii="Avenir Next" w:hAnsi="Avenir Next" w:cs="Arial"/>
          <w:color w:val="7B7B7B" w:themeColor="accent3" w:themeShade="BF"/>
          <w:sz w:val="22"/>
          <w:szCs w:val="22"/>
          <w:lang w:val="en-GB"/>
        </w:rPr>
        <w:t xml:space="preserve"> (inter-connectivity of insolvency registers)</w:t>
      </w:r>
      <w:r w:rsidR="00B81D79">
        <w:rPr>
          <w:rFonts w:ascii="Avenir Next" w:hAnsi="Avenir Next" w:cs="Arial"/>
          <w:color w:val="7B7B7B" w:themeColor="accent3" w:themeShade="BF"/>
          <w:sz w:val="22"/>
          <w:szCs w:val="22"/>
          <w:lang w:val="en-GB"/>
        </w:rPr>
        <w:t>, as well as generally modernisation of</w:t>
      </w:r>
      <w:r w:rsidR="002462CD">
        <w:rPr>
          <w:rFonts w:ascii="Avenir Next" w:hAnsi="Avenir Next" w:cs="Arial"/>
          <w:color w:val="7B7B7B" w:themeColor="accent3" w:themeShade="BF"/>
          <w:sz w:val="22"/>
          <w:szCs w:val="22"/>
          <w:lang w:val="en-GB"/>
        </w:rPr>
        <w:t xml:space="preserve"> the legal rules (data protection)</w:t>
      </w:r>
      <w:r w:rsidR="00C65D16">
        <w:rPr>
          <w:rFonts w:ascii="Avenir Next" w:hAnsi="Avenir Next" w:cs="Arial"/>
          <w:color w:val="7B7B7B" w:themeColor="accent3" w:themeShade="BF"/>
          <w:sz w:val="22"/>
          <w:szCs w:val="22"/>
          <w:lang w:val="en-GB"/>
        </w:rPr>
        <w:t xml:space="preserve">. </w:t>
      </w:r>
      <w:r w:rsidR="00884BED">
        <w:rPr>
          <w:rFonts w:ascii="Avenir Next" w:hAnsi="Avenir Next" w:cs="Arial"/>
          <w:color w:val="7B7B7B" w:themeColor="accent3" w:themeShade="BF"/>
          <w:sz w:val="22"/>
          <w:szCs w:val="22"/>
          <w:lang w:val="en-GB"/>
        </w:rPr>
        <w:t>According to</w:t>
      </w:r>
      <w:r w:rsidR="00C65D16">
        <w:rPr>
          <w:rFonts w:ascii="Avenir Next" w:hAnsi="Avenir Next" w:cs="Arial"/>
          <w:color w:val="7B7B7B" w:themeColor="accent3" w:themeShade="BF"/>
          <w:sz w:val="22"/>
          <w:szCs w:val="22"/>
          <w:lang w:val="en-GB"/>
        </w:rPr>
        <w:t xml:space="preserve"> Article 1</w:t>
      </w:r>
      <w:r w:rsidR="00884BED">
        <w:rPr>
          <w:rFonts w:ascii="Avenir Next" w:hAnsi="Avenir Next" w:cs="Arial"/>
          <w:color w:val="7B7B7B" w:themeColor="accent3" w:themeShade="BF"/>
          <w:sz w:val="22"/>
          <w:szCs w:val="22"/>
          <w:lang w:val="en-GB"/>
        </w:rPr>
        <w:t xml:space="preserve"> the Recast attempts to </w:t>
      </w:r>
      <w:r w:rsidR="00EE5DD8">
        <w:rPr>
          <w:rFonts w:ascii="Avenir Next" w:hAnsi="Avenir Next" w:cs="Arial"/>
          <w:color w:val="7B7B7B" w:themeColor="accent3" w:themeShade="BF"/>
          <w:sz w:val="22"/>
          <w:szCs w:val="22"/>
          <w:lang w:val="en-GB"/>
        </w:rPr>
        <w:t>extends not only to traditional ‘liquidation</w:t>
      </w:r>
      <w:r w:rsidR="00780A4C">
        <w:rPr>
          <w:rFonts w:ascii="Avenir Next" w:hAnsi="Avenir Next" w:cs="Arial"/>
          <w:color w:val="7B7B7B" w:themeColor="accent3" w:themeShade="BF"/>
          <w:sz w:val="22"/>
          <w:szCs w:val="22"/>
          <w:lang w:val="en-GB"/>
        </w:rPr>
        <w:t xml:space="preserve">-oriented procedures’ but also to proceedings </w:t>
      </w:r>
      <w:r w:rsidR="008E0B9E">
        <w:rPr>
          <w:rFonts w:ascii="Avenir Next" w:hAnsi="Avenir Next" w:cs="Arial"/>
          <w:color w:val="7B7B7B" w:themeColor="accent3" w:themeShade="BF"/>
          <w:sz w:val="22"/>
          <w:szCs w:val="22"/>
          <w:lang w:val="en-GB"/>
        </w:rPr>
        <w:t xml:space="preserve">aimed at rescuing economically viable but </w:t>
      </w:r>
      <w:r w:rsidR="006E0C6C">
        <w:rPr>
          <w:rFonts w:ascii="Avenir Next" w:hAnsi="Avenir Next" w:cs="Arial"/>
          <w:color w:val="7B7B7B" w:themeColor="accent3" w:themeShade="BF"/>
          <w:sz w:val="22"/>
          <w:szCs w:val="22"/>
          <w:lang w:val="en-GB"/>
        </w:rPr>
        <w:t xml:space="preserve">financially </w:t>
      </w:r>
      <w:r w:rsidR="008E0B9E">
        <w:rPr>
          <w:rFonts w:ascii="Avenir Next" w:hAnsi="Avenir Next" w:cs="Arial"/>
          <w:color w:val="7B7B7B" w:themeColor="accent3" w:themeShade="BF"/>
          <w:sz w:val="22"/>
          <w:szCs w:val="22"/>
          <w:lang w:val="en-GB"/>
        </w:rPr>
        <w:t xml:space="preserve">distressed businesses. </w:t>
      </w:r>
      <w:r w:rsidR="009C3A36">
        <w:rPr>
          <w:rFonts w:ascii="Avenir Next" w:hAnsi="Avenir Next" w:cs="Arial"/>
          <w:color w:val="7B7B7B" w:themeColor="accent3" w:themeShade="BF"/>
          <w:sz w:val="22"/>
          <w:szCs w:val="22"/>
          <w:lang w:val="en-GB"/>
        </w:rPr>
        <w:t xml:space="preserve">This is an earlier identified stage of a debtor aimed at preserving bother creditor’s rights and </w:t>
      </w:r>
      <w:r w:rsidR="006A51AD">
        <w:rPr>
          <w:rFonts w:ascii="Avenir Next" w:hAnsi="Avenir Next" w:cs="Arial"/>
          <w:color w:val="7B7B7B" w:themeColor="accent3" w:themeShade="BF"/>
          <w:sz w:val="22"/>
          <w:szCs w:val="22"/>
          <w:lang w:val="en-GB"/>
        </w:rPr>
        <w:t xml:space="preserve">leaving the debtor partially or fully in control of their assets – where there is only a likelihood of insolvency. </w:t>
      </w:r>
      <w:r w:rsidR="0056314C">
        <w:rPr>
          <w:rFonts w:ascii="Avenir Next" w:hAnsi="Avenir Next" w:cs="Arial"/>
          <w:color w:val="7B7B7B" w:themeColor="accent3" w:themeShade="BF"/>
          <w:sz w:val="22"/>
          <w:szCs w:val="22"/>
          <w:lang w:val="en-GB"/>
        </w:rPr>
        <w:t xml:space="preserve">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01EF2DDE" w14:textId="298B7EEC" w:rsidR="002C48AE" w:rsidRDefault="00043D3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Recast devotes </w:t>
      </w:r>
      <w:r w:rsidR="00E208B3">
        <w:rPr>
          <w:rFonts w:ascii="Avenir Next" w:hAnsi="Avenir Next" w:cs="Arial"/>
          <w:color w:val="7B7B7B" w:themeColor="accent3" w:themeShade="BF"/>
          <w:sz w:val="22"/>
          <w:szCs w:val="22"/>
          <w:lang w:val="en-GB"/>
        </w:rPr>
        <w:t xml:space="preserve">a chapter to </w:t>
      </w:r>
      <w:r w:rsidR="007D0E27">
        <w:rPr>
          <w:rFonts w:ascii="Avenir Next" w:hAnsi="Avenir Next" w:cs="Arial"/>
          <w:color w:val="7B7B7B" w:themeColor="accent3" w:themeShade="BF"/>
          <w:sz w:val="22"/>
          <w:szCs w:val="22"/>
          <w:lang w:val="en-GB"/>
        </w:rPr>
        <w:t>group insolvencies, dealing with insolvency of cross-border multi-nationals in the EU</w:t>
      </w:r>
      <w:r w:rsidR="005B5ABC">
        <w:rPr>
          <w:rFonts w:ascii="Avenir Next" w:hAnsi="Avenir Next" w:cs="Arial"/>
          <w:color w:val="7B7B7B" w:themeColor="accent3" w:themeShade="BF"/>
          <w:sz w:val="22"/>
          <w:szCs w:val="22"/>
          <w:lang w:val="en-GB"/>
        </w:rPr>
        <w:t>. While the Recast attempts to improve the co-ordination of insolvency proceedings of members of a group of companies and to allow for co-ordinated restructuring of the group</w:t>
      </w:r>
      <w:r w:rsidR="00B0391C">
        <w:rPr>
          <w:rFonts w:ascii="Avenir Next" w:hAnsi="Avenir Next" w:cs="Arial"/>
          <w:color w:val="7B7B7B" w:themeColor="accent3" w:themeShade="BF"/>
          <w:sz w:val="22"/>
          <w:szCs w:val="22"/>
          <w:lang w:val="en-GB"/>
        </w:rPr>
        <w:t xml:space="preserve"> by offering a</w:t>
      </w:r>
      <w:r w:rsidR="002B47E6">
        <w:rPr>
          <w:rFonts w:ascii="Avenir Next" w:hAnsi="Avenir Next" w:cs="Arial"/>
          <w:color w:val="7B7B7B" w:themeColor="accent3" w:themeShade="BF"/>
          <w:sz w:val="22"/>
          <w:szCs w:val="22"/>
          <w:lang w:val="en-GB"/>
        </w:rPr>
        <w:t xml:space="preserve"> mechanism called the “group co-ordination proceeding” – these group co-ordination proceedings are voluntary in nature</w:t>
      </w:r>
      <w:r w:rsidR="00187872">
        <w:rPr>
          <w:rFonts w:ascii="Avenir Next" w:hAnsi="Avenir Next" w:cs="Arial"/>
          <w:color w:val="7B7B7B" w:themeColor="accent3" w:themeShade="BF"/>
          <w:sz w:val="22"/>
          <w:szCs w:val="22"/>
          <w:lang w:val="en-GB"/>
        </w:rPr>
        <w:t xml:space="preserve"> (for the member of the group to be included or not) and further </w:t>
      </w:r>
      <w:r w:rsidR="009B51C9">
        <w:rPr>
          <w:rFonts w:ascii="Avenir Next" w:hAnsi="Avenir Next" w:cs="Arial"/>
          <w:color w:val="7B7B7B" w:themeColor="accent3" w:themeShade="BF"/>
          <w:sz w:val="22"/>
          <w:szCs w:val="22"/>
          <w:lang w:val="en-GB"/>
        </w:rPr>
        <w:t>these proceedings lead to non-binding actions</w:t>
      </w:r>
      <w:r w:rsidR="00A1242C">
        <w:rPr>
          <w:rFonts w:ascii="Avenir Next" w:hAnsi="Avenir Next" w:cs="Arial"/>
          <w:color w:val="7B7B7B" w:themeColor="accent3" w:themeShade="BF"/>
          <w:sz w:val="22"/>
          <w:szCs w:val="22"/>
          <w:lang w:val="en-GB"/>
        </w:rPr>
        <w:t xml:space="preserve"> – which result in a </w:t>
      </w:r>
      <w:r w:rsidR="001A2A90">
        <w:rPr>
          <w:rFonts w:ascii="Avenir Next" w:hAnsi="Avenir Next" w:cs="Arial"/>
          <w:color w:val="7B7B7B" w:themeColor="accent3" w:themeShade="BF"/>
          <w:sz w:val="22"/>
          <w:szCs w:val="22"/>
          <w:lang w:val="en-GB"/>
        </w:rPr>
        <w:t>mixed uptake of such proceedings. I would recommend that such proceedings are not at the election of the group member</w:t>
      </w:r>
      <w:r w:rsidR="002C48AE">
        <w:rPr>
          <w:rFonts w:ascii="Avenir Next" w:hAnsi="Avenir Next" w:cs="Arial"/>
          <w:color w:val="7B7B7B" w:themeColor="accent3" w:themeShade="BF"/>
          <w:sz w:val="22"/>
          <w:szCs w:val="22"/>
          <w:lang w:val="en-GB"/>
        </w:rPr>
        <w:t xml:space="preserve"> and further that such actions are binding on the group. </w:t>
      </w:r>
    </w:p>
    <w:p w14:paraId="6790F614" w14:textId="3F3D4F02" w:rsidR="003656A4" w:rsidRDefault="003656A4" w:rsidP="002A37BB">
      <w:pPr>
        <w:jc w:val="both"/>
        <w:rPr>
          <w:rFonts w:ascii="Avenir Next" w:hAnsi="Avenir Next" w:cs="Arial"/>
          <w:color w:val="7B7B7B" w:themeColor="accent3" w:themeShade="BF"/>
          <w:sz w:val="22"/>
          <w:szCs w:val="22"/>
          <w:lang w:val="en-GB"/>
        </w:rPr>
      </w:pPr>
    </w:p>
    <w:p w14:paraId="2E0CCF3A" w14:textId="4D2B2B82" w:rsidR="003656A4" w:rsidRDefault="00E04F6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weakest points in the EIR Recast group co-ordination regime is the right of every insolvency practitioner concerned to object against the inclusion </w:t>
      </w:r>
      <w:r w:rsidR="00F654A0">
        <w:rPr>
          <w:rFonts w:ascii="Avenir Next" w:hAnsi="Avenir Next" w:cs="Arial"/>
          <w:color w:val="7B7B7B" w:themeColor="accent3" w:themeShade="BF"/>
          <w:sz w:val="22"/>
          <w:szCs w:val="22"/>
          <w:lang w:val="en-GB"/>
        </w:rPr>
        <w:t xml:space="preserve">with group co-ordination proceedings of the </w:t>
      </w:r>
      <w:r w:rsidR="00F654A0">
        <w:rPr>
          <w:rFonts w:ascii="Avenir Next" w:hAnsi="Avenir Next" w:cs="Arial"/>
          <w:color w:val="7B7B7B" w:themeColor="accent3" w:themeShade="BF"/>
          <w:sz w:val="22"/>
          <w:szCs w:val="22"/>
          <w:lang w:val="en-GB"/>
        </w:rPr>
        <w:lastRenderedPageBreak/>
        <w:t xml:space="preserve">insolvency proceedings in respect of which he or she has been appointed. </w:t>
      </w:r>
      <w:r w:rsidR="00983876">
        <w:rPr>
          <w:rFonts w:ascii="Avenir Next" w:hAnsi="Avenir Next" w:cs="Arial"/>
          <w:color w:val="7B7B7B" w:themeColor="accent3" w:themeShade="BF"/>
          <w:sz w:val="22"/>
          <w:szCs w:val="22"/>
          <w:lang w:val="en-GB"/>
        </w:rPr>
        <w:t xml:space="preserve">Although the insolvency practitioner does not have to provide </w:t>
      </w:r>
      <w:r w:rsidR="00E113FF">
        <w:rPr>
          <w:rFonts w:ascii="Avenir Next" w:hAnsi="Avenir Next" w:cs="Arial"/>
          <w:color w:val="7B7B7B" w:themeColor="accent3" w:themeShade="BF"/>
          <w:sz w:val="22"/>
          <w:szCs w:val="22"/>
          <w:lang w:val="en-GB"/>
        </w:rPr>
        <w:t>a substantiated statement in his/her objection – a simple objection is merely required to opt</w:t>
      </w:r>
      <w:r w:rsidR="001011F6">
        <w:rPr>
          <w:rFonts w:ascii="Avenir Next" w:hAnsi="Avenir Next" w:cs="Arial"/>
          <w:color w:val="7B7B7B" w:themeColor="accent3" w:themeShade="BF"/>
          <w:sz w:val="22"/>
          <w:szCs w:val="22"/>
          <w:lang w:val="en-GB"/>
        </w:rPr>
        <w:t xml:space="preserve">-out of the group proceedings. This can be improved upon by </w:t>
      </w:r>
      <w:r w:rsidR="00D74485">
        <w:rPr>
          <w:rFonts w:ascii="Avenir Next" w:hAnsi="Avenir Next" w:cs="Arial"/>
          <w:color w:val="7B7B7B" w:themeColor="accent3" w:themeShade="BF"/>
          <w:sz w:val="22"/>
          <w:szCs w:val="22"/>
          <w:lang w:val="en-GB"/>
        </w:rPr>
        <w:t xml:space="preserve">dropping the simple ‘opt-out’ system to one that </w:t>
      </w:r>
      <w:r w:rsidR="00D61343">
        <w:rPr>
          <w:rFonts w:ascii="Avenir Next" w:hAnsi="Avenir Next" w:cs="Arial"/>
          <w:color w:val="7B7B7B" w:themeColor="accent3" w:themeShade="BF"/>
          <w:sz w:val="22"/>
          <w:szCs w:val="22"/>
          <w:lang w:val="en-GB"/>
        </w:rPr>
        <w:t>requir</w:t>
      </w:r>
      <w:r w:rsidR="00D74485">
        <w:rPr>
          <w:rFonts w:ascii="Avenir Next" w:hAnsi="Avenir Next" w:cs="Arial"/>
          <w:color w:val="7B7B7B" w:themeColor="accent3" w:themeShade="BF"/>
          <w:sz w:val="22"/>
          <w:szCs w:val="22"/>
          <w:lang w:val="en-GB"/>
        </w:rPr>
        <w:t>es</w:t>
      </w:r>
      <w:r w:rsidR="00D61343">
        <w:rPr>
          <w:rFonts w:ascii="Avenir Next" w:hAnsi="Avenir Next" w:cs="Arial"/>
          <w:color w:val="7B7B7B" w:themeColor="accent3" w:themeShade="BF"/>
          <w:sz w:val="22"/>
          <w:szCs w:val="22"/>
          <w:lang w:val="en-GB"/>
        </w:rPr>
        <w:t xml:space="preserve"> a court decision – possibly the CJEU – to </w:t>
      </w:r>
      <w:r w:rsidR="00D74485">
        <w:rPr>
          <w:rFonts w:ascii="Avenir Next" w:hAnsi="Avenir Next" w:cs="Arial"/>
          <w:color w:val="7B7B7B" w:themeColor="accent3" w:themeShade="BF"/>
          <w:sz w:val="22"/>
          <w:szCs w:val="22"/>
          <w:lang w:val="en-GB"/>
        </w:rPr>
        <w:t>make the final decision</w:t>
      </w:r>
      <w:r w:rsidR="00E862C4">
        <w:rPr>
          <w:rFonts w:ascii="Avenir Next" w:hAnsi="Avenir Next" w:cs="Arial"/>
          <w:color w:val="7B7B7B" w:themeColor="accent3" w:themeShade="BF"/>
          <w:sz w:val="22"/>
          <w:szCs w:val="22"/>
          <w:lang w:val="en-GB"/>
        </w:rPr>
        <w:t>.</w:t>
      </w:r>
    </w:p>
    <w:p w14:paraId="790570E4" w14:textId="77777777" w:rsidR="002C48AE" w:rsidRDefault="002C48AE" w:rsidP="002A37BB">
      <w:pPr>
        <w:jc w:val="both"/>
        <w:rPr>
          <w:rFonts w:ascii="Avenir Next" w:hAnsi="Avenir Next" w:cs="Arial"/>
          <w:color w:val="7B7B7B" w:themeColor="accent3" w:themeShade="BF"/>
          <w:sz w:val="22"/>
          <w:szCs w:val="22"/>
          <w:lang w:val="en-GB"/>
        </w:rPr>
      </w:pPr>
    </w:p>
    <w:p w14:paraId="7940D274" w14:textId="4FBF4D4D" w:rsidR="00DF75F8" w:rsidRPr="008E3C96" w:rsidRDefault="009B51C9"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76907273" w14:textId="223D4062" w:rsidR="00EA0F10" w:rsidRDefault="003B511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A9645E">
        <w:rPr>
          <w:rFonts w:ascii="Avenir Next" w:hAnsi="Avenir Next" w:cs="Arial"/>
          <w:color w:val="7B7B7B" w:themeColor="accent3" w:themeShade="BF"/>
          <w:sz w:val="22"/>
          <w:szCs w:val="22"/>
          <w:lang w:val="en-GB"/>
        </w:rPr>
        <w:t xml:space="preserve">Directive is the first instrument that </w:t>
      </w:r>
      <w:r w:rsidR="001606EF">
        <w:rPr>
          <w:rFonts w:ascii="Avenir Next" w:hAnsi="Avenir Next" w:cs="Arial"/>
          <w:color w:val="7B7B7B" w:themeColor="accent3" w:themeShade="BF"/>
          <w:sz w:val="22"/>
          <w:szCs w:val="22"/>
          <w:lang w:val="en-GB"/>
        </w:rPr>
        <w:t xml:space="preserve">aims to </w:t>
      </w:r>
      <w:r w:rsidR="00A9645E">
        <w:rPr>
          <w:rFonts w:ascii="Avenir Next" w:hAnsi="Avenir Next" w:cs="Arial"/>
          <w:color w:val="7B7B7B" w:themeColor="accent3" w:themeShade="BF"/>
          <w:sz w:val="22"/>
          <w:szCs w:val="22"/>
          <w:lang w:val="en-GB"/>
        </w:rPr>
        <w:t>substantively harmonises insolvency law across the EU albeit only a narrow aspect</w:t>
      </w:r>
      <w:r w:rsidR="00414346">
        <w:rPr>
          <w:rFonts w:ascii="Avenir Next" w:hAnsi="Avenir Next" w:cs="Arial"/>
          <w:color w:val="7B7B7B" w:themeColor="accent3" w:themeShade="BF"/>
          <w:sz w:val="22"/>
          <w:szCs w:val="22"/>
          <w:lang w:val="en-GB"/>
        </w:rPr>
        <w:t xml:space="preserve">, compared to the EIR’s broader scope, with the latter </w:t>
      </w:r>
      <w:r w:rsidR="00EA0F10">
        <w:rPr>
          <w:rFonts w:ascii="Avenir Next" w:hAnsi="Avenir Next" w:cs="Arial"/>
          <w:color w:val="7B7B7B" w:themeColor="accent3" w:themeShade="BF"/>
          <w:sz w:val="22"/>
          <w:szCs w:val="22"/>
          <w:lang w:val="en-GB"/>
        </w:rPr>
        <w:t xml:space="preserve">adopting a modified universal approach. </w:t>
      </w:r>
      <w:r w:rsidR="001606EF">
        <w:rPr>
          <w:rFonts w:ascii="Avenir Next" w:hAnsi="Avenir Next" w:cs="Arial"/>
          <w:color w:val="7B7B7B" w:themeColor="accent3" w:themeShade="BF"/>
          <w:sz w:val="22"/>
          <w:szCs w:val="22"/>
          <w:lang w:val="en-GB"/>
        </w:rPr>
        <w:t xml:space="preserve">However the Directive will not result in a harmonisation of this narrow aspect as it </w:t>
      </w:r>
      <w:r w:rsidR="00FD3CF3">
        <w:rPr>
          <w:rFonts w:ascii="Avenir Next" w:hAnsi="Avenir Next" w:cs="Arial"/>
          <w:color w:val="7B7B7B" w:themeColor="accent3" w:themeShade="BF"/>
          <w:sz w:val="22"/>
          <w:szCs w:val="22"/>
          <w:lang w:val="en-GB"/>
        </w:rPr>
        <w:t xml:space="preserve">does not actually harmonise core aspects of substantive insolvency laws – but rather acknowledges </w:t>
      </w:r>
      <w:r w:rsidR="002E1D7F">
        <w:rPr>
          <w:rFonts w:ascii="Avenir Next" w:hAnsi="Avenir Next" w:cs="Arial"/>
          <w:color w:val="7B7B7B" w:themeColor="accent3" w:themeShade="BF"/>
          <w:sz w:val="22"/>
          <w:szCs w:val="22"/>
          <w:lang w:val="en-GB"/>
        </w:rPr>
        <w:t xml:space="preserve">that the diverse laws in each Member State is too large to harmonise. </w:t>
      </w:r>
    </w:p>
    <w:p w14:paraId="3AAEA980" w14:textId="77777777" w:rsidR="00EA0F10" w:rsidRDefault="00EA0F10" w:rsidP="002A37BB">
      <w:pPr>
        <w:jc w:val="both"/>
        <w:rPr>
          <w:rFonts w:ascii="Avenir Next" w:hAnsi="Avenir Next" w:cs="Arial"/>
          <w:color w:val="7B7B7B" w:themeColor="accent3" w:themeShade="BF"/>
          <w:sz w:val="22"/>
          <w:szCs w:val="22"/>
          <w:lang w:val="en-GB"/>
        </w:rPr>
      </w:pPr>
    </w:p>
    <w:p w14:paraId="4E83D7AF" w14:textId="6DF5FE7F" w:rsidR="00DF75F8" w:rsidRPr="008E3C96" w:rsidRDefault="00EA0F10"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Secondly </w:t>
      </w:r>
      <w:r w:rsidR="00F60344">
        <w:rPr>
          <w:rFonts w:ascii="Avenir Next" w:hAnsi="Avenir Next" w:cs="Arial"/>
          <w:color w:val="7B7B7B" w:themeColor="accent3" w:themeShade="BF"/>
          <w:sz w:val="22"/>
          <w:szCs w:val="22"/>
          <w:lang w:val="en-GB"/>
        </w:rPr>
        <w:t xml:space="preserve">the Directive </w:t>
      </w:r>
      <w:r w:rsidR="00DD61D1">
        <w:rPr>
          <w:rFonts w:ascii="Avenir Next" w:hAnsi="Avenir Next" w:cs="Arial"/>
          <w:color w:val="7B7B7B" w:themeColor="accent3" w:themeShade="BF"/>
          <w:sz w:val="22"/>
          <w:szCs w:val="22"/>
          <w:lang w:val="en-GB"/>
        </w:rPr>
        <w:t xml:space="preserve">gives Member States the flexibility </w:t>
      </w:r>
      <w:r w:rsidR="0007400D">
        <w:rPr>
          <w:rFonts w:ascii="Avenir Next" w:hAnsi="Avenir Next" w:cs="Arial"/>
          <w:color w:val="7B7B7B" w:themeColor="accent3" w:themeShade="BF"/>
          <w:sz w:val="22"/>
          <w:szCs w:val="22"/>
          <w:lang w:val="en-GB"/>
        </w:rPr>
        <w:t>to achieve the objectives by applying the principles and targeted rules in a way that is suitable in their national contexts</w:t>
      </w:r>
      <w:r w:rsidR="00EE4C5D">
        <w:rPr>
          <w:rFonts w:ascii="Avenir Next" w:hAnsi="Avenir Next" w:cs="Arial"/>
          <w:color w:val="7B7B7B" w:themeColor="accent3" w:themeShade="BF"/>
          <w:sz w:val="22"/>
          <w:szCs w:val="22"/>
          <w:lang w:val="en-GB"/>
        </w:rPr>
        <w:t xml:space="preserve">, which effectively means Member States will continue to apply their current systems. </w:t>
      </w:r>
      <w:r w:rsidR="00414346">
        <w:rPr>
          <w:rFonts w:ascii="Avenir Next" w:hAnsi="Avenir Next" w:cs="Arial"/>
          <w:color w:val="7B7B7B" w:themeColor="accent3" w:themeShade="BF"/>
          <w:sz w:val="22"/>
          <w:szCs w:val="22"/>
          <w:lang w:val="en-GB"/>
        </w:rPr>
        <w:t xml:space="preserve"> </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574050DA" w:rsidR="002F75A3" w:rsidRDefault="0058764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2000 </w:t>
      </w:r>
      <w:r w:rsidR="007D5AF9">
        <w:rPr>
          <w:rFonts w:ascii="Avenir Next" w:hAnsi="Avenir Next" w:cs="Arial"/>
          <w:color w:val="7B7B7B" w:themeColor="accent3" w:themeShade="BF"/>
          <w:sz w:val="22"/>
          <w:szCs w:val="22"/>
          <w:lang w:val="en-GB"/>
        </w:rPr>
        <w:t xml:space="preserve">defines international jurisdiction for insolvency cases within the EU i.e. it designates </w:t>
      </w:r>
      <w:r w:rsidR="00186FC7">
        <w:rPr>
          <w:rFonts w:ascii="Avenir Next" w:hAnsi="Avenir Next" w:cs="Arial"/>
          <w:color w:val="7B7B7B" w:themeColor="accent3" w:themeShade="BF"/>
          <w:sz w:val="22"/>
          <w:szCs w:val="22"/>
          <w:lang w:val="en-GB"/>
        </w:rPr>
        <w:t>the Member State the courts of which may open insolvency proceedings</w:t>
      </w:r>
      <w:r w:rsidR="00627FF1">
        <w:rPr>
          <w:rFonts w:ascii="Avenir Next" w:hAnsi="Avenir Next" w:cs="Arial"/>
          <w:color w:val="7B7B7B" w:themeColor="accent3" w:themeShade="BF"/>
          <w:sz w:val="22"/>
          <w:szCs w:val="22"/>
          <w:lang w:val="en-GB"/>
        </w:rPr>
        <w:t xml:space="preserve">. However territorial jurisdiction within that Member State is not a matter for EU law but is established by national law of the Member State concerned. </w:t>
      </w:r>
      <w:r w:rsidR="00A25459">
        <w:rPr>
          <w:rFonts w:ascii="Avenir Next" w:hAnsi="Avenir Next" w:cs="Arial"/>
          <w:color w:val="7B7B7B" w:themeColor="accent3" w:themeShade="BF"/>
          <w:sz w:val="22"/>
          <w:szCs w:val="22"/>
          <w:lang w:val="en-GB"/>
        </w:rPr>
        <w:t xml:space="preserve">The EIR 2000 prescribes </w:t>
      </w:r>
      <w:r w:rsidR="00B75969">
        <w:rPr>
          <w:rFonts w:ascii="Avenir Next" w:hAnsi="Avenir Next" w:cs="Arial"/>
          <w:color w:val="7B7B7B" w:themeColor="accent3" w:themeShade="BF"/>
          <w:sz w:val="22"/>
          <w:szCs w:val="22"/>
          <w:lang w:val="en-GB"/>
        </w:rPr>
        <w:t xml:space="preserve">that (main) insolvency proceedings can be initiated at the place </w:t>
      </w:r>
      <w:r w:rsidR="008A27C8">
        <w:rPr>
          <w:rFonts w:ascii="Avenir Next" w:hAnsi="Avenir Next" w:cs="Arial"/>
          <w:color w:val="7B7B7B" w:themeColor="accent3" w:themeShade="BF"/>
          <w:sz w:val="22"/>
          <w:szCs w:val="22"/>
          <w:lang w:val="en-GB"/>
        </w:rPr>
        <w:t xml:space="preserve">of the debtor’s </w:t>
      </w:r>
      <w:proofErr w:type="spellStart"/>
      <w:r w:rsidR="00081D0A">
        <w:rPr>
          <w:rFonts w:ascii="Avenir Next" w:hAnsi="Avenir Next" w:cs="Arial"/>
          <w:color w:val="7B7B7B" w:themeColor="accent3" w:themeShade="BF"/>
          <w:sz w:val="22"/>
          <w:szCs w:val="22"/>
          <w:lang w:val="en-GB"/>
        </w:rPr>
        <w:t>center</w:t>
      </w:r>
      <w:proofErr w:type="spellEnd"/>
      <w:r w:rsidR="00081D0A">
        <w:rPr>
          <w:rFonts w:ascii="Avenir Next" w:hAnsi="Avenir Next" w:cs="Arial"/>
          <w:color w:val="7B7B7B" w:themeColor="accent3" w:themeShade="BF"/>
          <w:sz w:val="22"/>
          <w:szCs w:val="22"/>
          <w:lang w:val="en-GB"/>
        </w:rPr>
        <w:t xml:space="preserve"> of main interest </w:t>
      </w:r>
      <w:r w:rsidR="00081D0A">
        <w:rPr>
          <w:rFonts w:ascii="Avenir Next" w:hAnsi="Avenir Next" w:cs="Arial"/>
          <w:color w:val="7B7B7B" w:themeColor="accent3" w:themeShade="BF"/>
          <w:sz w:val="22"/>
          <w:szCs w:val="22"/>
          <w:lang w:val="en-GB"/>
        </w:rPr>
        <w:t>(</w:t>
      </w:r>
      <w:r w:rsidR="008A27C8">
        <w:rPr>
          <w:rFonts w:ascii="Avenir Next" w:hAnsi="Avenir Next" w:cs="Arial"/>
          <w:color w:val="7B7B7B" w:themeColor="accent3" w:themeShade="BF"/>
          <w:sz w:val="22"/>
          <w:szCs w:val="22"/>
          <w:lang w:val="en-GB"/>
        </w:rPr>
        <w:t>COMI</w:t>
      </w:r>
      <w:r w:rsidR="00081D0A">
        <w:rPr>
          <w:rFonts w:ascii="Avenir Next" w:hAnsi="Avenir Next" w:cs="Arial"/>
          <w:color w:val="7B7B7B" w:themeColor="accent3" w:themeShade="BF"/>
          <w:sz w:val="22"/>
          <w:szCs w:val="22"/>
          <w:lang w:val="en-GB"/>
        </w:rPr>
        <w:t>)</w:t>
      </w:r>
      <w:r w:rsidR="008A27C8">
        <w:rPr>
          <w:rFonts w:ascii="Avenir Next" w:hAnsi="Avenir Next" w:cs="Arial"/>
          <w:color w:val="7B7B7B" w:themeColor="accent3" w:themeShade="BF"/>
          <w:sz w:val="22"/>
          <w:szCs w:val="22"/>
          <w:lang w:val="en-GB"/>
        </w:rPr>
        <w:t xml:space="preserve"> (Article 3(1)).</w:t>
      </w:r>
      <w:r w:rsidR="006233B5" w:rsidRPr="006233B5">
        <w:rPr>
          <w:rFonts w:ascii="Avenir Next" w:hAnsi="Avenir Next" w:cs="Arial"/>
          <w:color w:val="7B7B7B" w:themeColor="accent3" w:themeShade="BF"/>
          <w:sz w:val="22"/>
          <w:szCs w:val="22"/>
          <w:lang w:val="en-GB"/>
        </w:rPr>
        <w:t xml:space="preserve"> </w:t>
      </w:r>
      <w:r w:rsidR="006233B5">
        <w:rPr>
          <w:rFonts w:ascii="Avenir Next" w:hAnsi="Avenir Next" w:cs="Arial"/>
          <w:color w:val="7B7B7B" w:themeColor="accent3" w:themeShade="BF"/>
          <w:sz w:val="22"/>
          <w:szCs w:val="22"/>
          <w:lang w:val="en-GB"/>
        </w:rPr>
        <w:t>The EIR 2000 did not contain a definition of COMI but rather some provided guidance in Recital 13.</w:t>
      </w:r>
    </w:p>
    <w:p w14:paraId="41F0B467" w14:textId="4A45BC9E" w:rsidR="00A14E73" w:rsidRDefault="00A14E73" w:rsidP="002A37BB">
      <w:pPr>
        <w:jc w:val="both"/>
        <w:rPr>
          <w:rFonts w:ascii="Avenir Next" w:hAnsi="Avenir Next" w:cs="Arial"/>
          <w:color w:val="7B7B7B" w:themeColor="accent3" w:themeShade="BF"/>
          <w:sz w:val="22"/>
          <w:szCs w:val="22"/>
          <w:lang w:val="en-GB"/>
        </w:rPr>
      </w:pPr>
    </w:p>
    <w:p w14:paraId="7061D422" w14:textId="330C25E6" w:rsidR="00A14E73" w:rsidRDefault="00A14E7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one of the most important cases</w:t>
      </w:r>
      <w:r w:rsidR="00AC704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of the EIR 2000, </w:t>
      </w:r>
      <w:proofErr w:type="spellStart"/>
      <w:r>
        <w:rPr>
          <w:rFonts w:ascii="Avenir Next" w:hAnsi="Avenir Next" w:cs="Arial"/>
          <w:color w:val="7B7B7B" w:themeColor="accent3" w:themeShade="BF"/>
          <w:sz w:val="22"/>
          <w:szCs w:val="22"/>
          <w:lang w:val="en-GB"/>
        </w:rPr>
        <w:t>Eurofoods</w:t>
      </w:r>
      <w:proofErr w:type="spellEnd"/>
      <w:r>
        <w:rPr>
          <w:rFonts w:ascii="Avenir Next" w:hAnsi="Avenir Next" w:cs="Arial"/>
          <w:color w:val="7B7B7B" w:themeColor="accent3" w:themeShade="BF"/>
          <w:sz w:val="22"/>
          <w:szCs w:val="22"/>
          <w:lang w:val="en-GB"/>
        </w:rPr>
        <w:t xml:space="preserve"> IFSC Ltd, the court stressed that the concept of COMI is peculiar to the regulation. </w:t>
      </w:r>
      <w:r w:rsidR="009C5CA4">
        <w:rPr>
          <w:rFonts w:ascii="Avenir Next" w:hAnsi="Avenir Next" w:cs="Arial"/>
          <w:color w:val="7B7B7B" w:themeColor="accent3" w:themeShade="BF"/>
          <w:sz w:val="22"/>
          <w:szCs w:val="22"/>
          <w:lang w:val="en-GB"/>
        </w:rPr>
        <w:t xml:space="preserve">THE CJEU </w:t>
      </w:r>
      <w:r w:rsidR="00BF670E">
        <w:rPr>
          <w:rFonts w:ascii="Avenir Next" w:hAnsi="Avenir Next" w:cs="Arial"/>
          <w:color w:val="7B7B7B" w:themeColor="accent3" w:themeShade="BF"/>
          <w:sz w:val="22"/>
          <w:szCs w:val="22"/>
          <w:lang w:val="en-GB"/>
        </w:rPr>
        <w:t xml:space="preserve">highlighted that the COMI must be both objective and ascertainable by third parties. </w:t>
      </w:r>
    </w:p>
    <w:p w14:paraId="6122B6DA" w14:textId="77777777" w:rsidR="00842F74" w:rsidRDefault="00842F74" w:rsidP="002A37BB">
      <w:pPr>
        <w:jc w:val="both"/>
        <w:rPr>
          <w:rFonts w:ascii="Avenir Next" w:hAnsi="Avenir Next" w:cs="Arial"/>
          <w:color w:val="7B7B7B" w:themeColor="accent3" w:themeShade="BF"/>
          <w:sz w:val="22"/>
          <w:szCs w:val="22"/>
          <w:lang w:val="en-GB"/>
        </w:rPr>
      </w:pPr>
    </w:p>
    <w:p w14:paraId="362FF3BD" w14:textId="77777777" w:rsidR="000442A3" w:rsidRDefault="00842F7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 of COMI presumptions was further dealt with by the CJEU in </w:t>
      </w:r>
      <w:proofErr w:type="spellStart"/>
      <w:r>
        <w:rPr>
          <w:rFonts w:ascii="Avenir Next" w:hAnsi="Avenir Next" w:cs="Arial"/>
          <w:color w:val="7B7B7B" w:themeColor="accent3" w:themeShade="BF"/>
          <w:sz w:val="22"/>
          <w:szCs w:val="22"/>
          <w:lang w:val="en-GB"/>
        </w:rPr>
        <w:t>Inte</w:t>
      </w:r>
      <w:r w:rsidR="00BB1527">
        <w:rPr>
          <w:rFonts w:ascii="Avenir Next" w:hAnsi="Avenir Next" w:cs="Arial"/>
          <w:color w:val="7B7B7B" w:themeColor="accent3" w:themeShade="BF"/>
          <w:sz w:val="22"/>
          <w:szCs w:val="22"/>
          <w:lang w:val="en-GB"/>
        </w:rPr>
        <w:t>redil</w:t>
      </w:r>
      <w:proofErr w:type="spellEnd"/>
      <w:r w:rsidR="00BB1527">
        <w:rPr>
          <w:rFonts w:ascii="Avenir Next" w:hAnsi="Avenir Next" w:cs="Arial"/>
          <w:color w:val="7B7B7B" w:themeColor="accent3" w:themeShade="BF"/>
          <w:sz w:val="22"/>
          <w:szCs w:val="22"/>
          <w:lang w:val="en-GB"/>
        </w:rPr>
        <w:t xml:space="preserve"> </w:t>
      </w:r>
      <w:proofErr w:type="spellStart"/>
      <w:r w:rsidR="00BB1527">
        <w:rPr>
          <w:rFonts w:ascii="Avenir Next" w:hAnsi="Avenir Next" w:cs="Arial"/>
          <w:color w:val="7B7B7B" w:themeColor="accent3" w:themeShade="BF"/>
          <w:sz w:val="22"/>
          <w:szCs w:val="22"/>
          <w:lang w:val="en-GB"/>
        </w:rPr>
        <w:t>Srl</w:t>
      </w:r>
      <w:proofErr w:type="spellEnd"/>
      <w:r w:rsidR="00BB1527">
        <w:rPr>
          <w:rFonts w:ascii="Avenir Next" w:hAnsi="Avenir Next" w:cs="Arial"/>
          <w:color w:val="7B7B7B" w:themeColor="accent3" w:themeShade="BF"/>
          <w:sz w:val="22"/>
          <w:szCs w:val="22"/>
          <w:lang w:val="en-GB"/>
        </w:rPr>
        <w:t xml:space="preserve"> v </w:t>
      </w:r>
      <w:proofErr w:type="spellStart"/>
      <w:r w:rsidR="00BB1527">
        <w:rPr>
          <w:rFonts w:ascii="Avenir Next" w:hAnsi="Avenir Next" w:cs="Arial"/>
          <w:color w:val="7B7B7B" w:themeColor="accent3" w:themeShade="BF"/>
          <w:sz w:val="22"/>
          <w:szCs w:val="22"/>
          <w:lang w:val="en-GB"/>
        </w:rPr>
        <w:t>Fallimento</w:t>
      </w:r>
      <w:proofErr w:type="spellEnd"/>
      <w:r w:rsidR="00BB1527">
        <w:rPr>
          <w:rFonts w:ascii="Avenir Next" w:hAnsi="Avenir Next" w:cs="Arial"/>
          <w:color w:val="7B7B7B" w:themeColor="accent3" w:themeShade="BF"/>
          <w:sz w:val="22"/>
          <w:szCs w:val="22"/>
          <w:lang w:val="en-GB"/>
        </w:rPr>
        <w:t xml:space="preserve"> </w:t>
      </w:r>
      <w:proofErr w:type="spellStart"/>
      <w:r w:rsidR="00BB1527">
        <w:rPr>
          <w:rFonts w:ascii="Avenir Next" w:hAnsi="Avenir Next" w:cs="Arial"/>
          <w:color w:val="7B7B7B" w:themeColor="accent3" w:themeShade="BF"/>
          <w:sz w:val="22"/>
          <w:szCs w:val="22"/>
          <w:lang w:val="en-GB"/>
        </w:rPr>
        <w:t>Interedil</w:t>
      </w:r>
      <w:proofErr w:type="spellEnd"/>
      <w:r w:rsidR="00BB1527">
        <w:rPr>
          <w:rFonts w:ascii="Avenir Next" w:hAnsi="Avenir Next" w:cs="Arial"/>
          <w:color w:val="7B7B7B" w:themeColor="accent3" w:themeShade="BF"/>
          <w:sz w:val="22"/>
          <w:szCs w:val="22"/>
          <w:lang w:val="en-GB"/>
        </w:rPr>
        <w:t xml:space="preserve"> </w:t>
      </w:r>
      <w:proofErr w:type="spellStart"/>
      <w:r w:rsidR="00BB1527">
        <w:rPr>
          <w:rFonts w:ascii="Avenir Next" w:hAnsi="Avenir Next" w:cs="Arial"/>
          <w:color w:val="7B7B7B" w:themeColor="accent3" w:themeShade="BF"/>
          <w:sz w:val="22"/>
          <w:szCs w:val="22"/>
          <w:lang w:val="en-GB"/>
        </w:rPr>
        <w:t>Srl</w:t>
      </w:r>
      <w:proofErr w:type="spellEnd"/>
      <w:r w:rsidR="00BB1527">
        <w:rPr>
          <w:rFonts w:ascii="Avenir Next" w:hAnsi="Avenir Next" w:cs="Arial"/>
          <w:color w:val="7B7B7B" w:themeColor="accent3" w:themeShade="BF"/>
          <w:sz w:val="22"/>
          <w:szCs w:val="22"/>
          <w:lang w:val="en-GB"/>
        </w:rPr>
        <w:t xml:space="preserve">. </w:t>
      </w:r>
      <w:r w:rsidR="00A95571">
        <w:rPr>
          <w:rFonts w:ascii="Avenir Next" w:hAnsi="Avenir Next" w:cs="Arial"/>
          <w:color w:val="7B7B7B" w:themeColor="accent3" w:themeShade="BF"/>
          <w:sz w:val="22"/>
          <w:szCs w:val="22"/>
          <w:lang w:val="en-GB"/>
        </w:rPr>
        <w:t xml:space="preserve">In this case the CJEU ruled that when the bodies responsible </w:t>
      </w:r>
      <w:r w:rsidR="007470F8">
        <w:rPr>
          <w:rFonts w:ascii="Avenir Next" w:hAnsi="Avenir Next" w:cs="Arial"/>
          <w:color w:val="7B7B7B" w:themeColor="accent3" w:themeShade="BF"/>
          <w:sz w:val="22"/>
          <w:szCs w:val="22"/>
          <w:lang w:val="en-GB"/>
        </w:rPr>
        <w:t xml:space="preserve">for the management and supervision of the debtor are in the same place as its registered office, and the management decision of the company are taken in that same place in a manner that is ascertainable by third parties, the registered office presumption is irrefutable. </w:t>
      </w:r>
      <w:r w:rsidR="00350B8F">
        <w:rPr>
          <w:rFonts w:ascii="Avenir Next" w:hAnsi="Avenir Next" w:cs="Arial"/>
          <w:color w:val="7B7B7B" w:themeColor="accent3" w:themeShade="BF"/>
          <w:sz w:val="22"/>
          <w:szCs w:val="22"/>
          <w:lang w:val="en-GB"/>
        </w:rPr>
        <w:t>The presumption can be rebutted when, from the third parties’ view</w:t>
      </w:r>
      <w:r w:rsidR="00F65B30">
        <w:rPr>
          <w:rFonts w:ascii="Avenir Next" w:hAnsi="Avenir Next" w:cs="Arial"/>
          <w:color w:val="7B7B7B" w:themeColor="accent3" w:themeShade="BF"/>
          <w:sz w:val="22"/>
          <w:szCs w:val="22"/>
          <w:lang w:val="en-GB"/>
        </w:rPr>
        <w:t>, the place in which the company’s central administration is located, does not co</w:t>
      </w:r>
      <w:r w:rsidR="00D03D6C">
        <w:rPr>
          <w:rFonts w:ascii="Avenir Next" w:hAnsi="Avenir Next" w:cs="Arial"/>
          <w:color w:val="7B7B7B" w:themeColor="accent3" w:themeShade="BF"/>
          <w:sz w:val="22"/>
          <w:szCs w:val="22"/>
          <w:lang w:val="en-GB"/>
        </w:rPr>
        <w:t>incide with the jurisdiction</w:t>
      </w:r>
      <w:r w:rsidR="006F196C">
        <w:rPr>
          <w:rFonts w:ascii="Avenir Next" w:hAnsi="Avenir Next" w:cs="Arial"/>
          <w:color w:val="7B7B7B" w:themeColor="accent3" w:themeShade="BF"/>
          <w:sz w:val="22"/>
          <w:szCs w:val="22"/>
          <w:lang w:val="en-GB"/>
        </w:rPr>
        <w:t xml:space="preserve"> of its registered office. </w:t>
      </w:r>
    </w:p>
    <w:p w14:paraId="535C562C" w14:textId="77777777" w:rsidR="000442A3" w:rsidRDefault="000442A3" w:rsidP="002A37BB">
      <w:pPr>
        <w:jc w:val="both"/>
        <w:rPr>
          <w:rFonts w:ascii="Avenir Next" w:hAnsi="Avenir Next" w:cs="Arial"/>
          <w:color w:val="7B7B7B" w:themeColor="accent3" w:themeShade="BF"/>
          <w:sz w:val="22"/>
          <w:szCs w:val="22"/>
          <w:lang w:val="en-GB"/>
        </w:rPr>
      </w:pPr>
    </w:p>
    <w:p w14:paraId="511752ED" w14:textId="56075158" w:rsidR="00842F74" w:rsidRPr="008E3C96" w:rsidRDefault="006F196C"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From th</w:t>
      </w:r>
      <w:r w:rsidR="000442A3">
        <w:rPr>
          <w:rFonts w:ascii="Avenir Next" w:hAnsi="Avenir Next" w:cs="Arial"/>
          <w:color w:val="7B7B7B" w:themeColor="accent3" w:themeShade="BF"/>
          <w:sz w:val="22"/>
          <w:szCs w:val="22"/>
          <w:lang w:val="en-GB"/>
        </w:rPr>
        <w:t>e above cases it is not clear that the COMI is the re</w:t>
      </w:r>
      <w:r w:rsidR="008C07EA">
        <w:rPr>
          <w:rFonts w:ascii="Avenir Next" w:hAnsi="Avenir Next" w:cs="Arial"/>
          <w:color w:val="7B7B7B" w:themeColor="accent3" w:themeShade="BF"/>
          <w:sz w:val="22"/>
          <w:szCs w:val="22"/>
          <w:lang w:val="en-GB"/>
        </w:rPr>
        <w:t>gistered office in France or that Bella SARL’s main assets are situated here – therefore it is not clear if the</w:t>
      </w:r>
      <w:r w:rsidR="00423B25">
        <w:rPr>
          <w:rFonts w:ascii="Avenir Next" w:hAnsi="Avenir Next" w:cs="Arial"/>
          <w:color w:val="7B7B7B" w:themeColor="accent3" w:themeShade="BF"/>
          <w:sz w:val="22"/>
          <w:szCs w:val="22"/>
          <w:lang w:val="en-GB"/>
        </w:rPr>
        <w:t xml:space="preserve"> Strasbourg High Court has jurisdiction to open proceedings. </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75FEC247" w14:textId="77777777" w:rsidR="00010CC5" w:rsidRDefault="00010CC5" w:rsidP="00D80A62">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Determination of the EIR Recast’s scope required answering the following questions;</w:t>
      </w:r>
    </w:p>
    <w:p w14:paraId="4947B2BD" w14:textId="77777777" w:rsidR="00010CC5" w:rsidRPr="00010CC5" w:rsidRDefault="00010CC5" w:rsidP="00010CC5">
      <w:pPr>
        <w:pStyle w:val="ListParagraph"/>
        <w:numPr>
          <w:ilvl w:val="0"/>
          <w:numId w:val="32"/>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When does it apply in time,</w:t>
      </w:r>
    </w:p>
    <w:p w14:paraId="4F28CE96" w14:textId="77777777" w:rsidR="00010CC5" w:rsidRPr="00010CC5" w:rsidRDefault="00010CC5" w:rsidP="00010CC5">
      <w:pPr>
        <w:pStyle w:val="ListParagraph"/>
        <w:numPr>
          <w:ilvl w:val="0"/>
          <w:numId w:val="32"/>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To whom does it apply?</w:t>
      </w:r>
    </w:p>
    <w:p w14:paraId="5DC1FB12" w14:textId="5AC6C023" w:rsidR="00010CC5" w:rsidRPr="00010CC5" w:rsidRDefault="00010CC5" w:rsidP="00010CC5">
      <w:pPr>
        <w:pStyle w:val="ListParagraph"/>
        <w:numPr>
          <w:ilvl w:val="0"/>
          <w:numId w:val="32"/>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Which proceedings are covered by it? And</w:t>
      </w:r>
    </w:p>
    <w:p w14:paraId="42329903" w14:textId="77777777" w:rsidR="00010CC5" w:rsidRPr="00010CC5" w:rsidRDefault="00010CC5" w:rsidP="00010CC5">
      <w:pPr>
        <w:pStyle w:val="ListParagraph"/>
        <w:numPr>
          <w:ilvl w:val="0"/>
          <w:numId w:val="32"/>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What are its geographical limitations?</w:t>
      </w:r>
    </w:p>
    <w:p w14:paraId="65216BF1" w14:textId="17313FEA" w:rsidR="00010CC5" w:rsidRPr="00010CC5" w:rsidRDefault="00010CC5" w:rsidP="00010CC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The following steps are;</w:t>
      </w:r>
    </w:p>
    <w:p w14:paraId="13DA41F9" w14:textId="77777777" w:rsidR="004C5277" w:rsidRPr="004C5277" w:rsidRDefault="00DE67FB" w:rsidP="00010CC5">
      <w:pPr>
        <w:pStyle w:val="ListParagraph"/>
        <w:numPr>
          <w:ilvl w:val="0"/>
          <w:numId w:val="35"/>
        </w:numPr>
        <w:autoSpaceDE w:val="0"/>
        <w:autoSpaceDN w:val="0"/>
        <w:adjustRightInd w:val="0"/>
        <w:jc w:val="both"/>
        <w:rPr>
          <w:rFonts w:ascii="Avenir Next" w:hAnsi="Avenir Next" w:cs="Arial"/>
          <w:sz w:val="22"/>
          <w:szCs w:val="22"/>
          <w:lang w:val="en-GB"/>
        </w:rPr>
      </w:pPr>
      <w:r w:rsidRPr="00010CC5">
        <w:rPr>
          <w:rFonts w:ascii="Avenir Next" w:hAnsi="Avenir Next" w:cs="Arial"/>
          <w:color w:val="7B7B7B" w:themeColor="accent3" w:themeShade="BF"/>
          <w:sz w:val="22"/>
          <w:szCs w:val="22"/>
          <w:lang w:val="en-GB"/>
        </w:rPr>
        <w:t xml:space="preserve">The debtor has COMI in a Member State of the EU, except Denmark? Yes – it </w:t>
      </w:r>
      <w:r w:rsidR="004C5277">
        <w:rPr>
          <w:rFonts w:ascii="Avenir Next" w:hAnsi="Avenir Next" w:cs="Arial"/>
          <w:color w:val="7B7B7B" w:themeColor="accent3" w:themeShade="BF"/>
          <w:sz w:val="22"/>
          <w:szCs w:val="22"/>
          <w:lang w:val="en-GB"/>
        </w:rPr>
        <w:t>could</w:t>
      </w:r>
      <w:r w:rsidRPr="00010CC5">
        <w:rPr>
          <w:rFonts w:ascii="Avenir Next" w:hAnsi="Avenir Next" w:cs="Arial"/>
          <w:color w:val="7B7B7B" w:themeColor="accent3" w:themeShade="BF"/>
          <w:sz w:val="22"/>
          <w:szCs w:val="22"/>
          <w:lang w:val="en-GB"/>
        </w:rPr>
        <w:t xml:space="preserve"> be </w:t>
      </w:r>
      <w:r w:rsidR="00010CC5">
        <w:rPr>
          <w:rFonts w:ascii="Avenir Next" w:hAnsi="Avenir Next" w:cs="Arial"/>
          <w:color w:val="7B7B7B" w:themeColor="accent3" w:themeShade="BF"/>
          <w:sz w:val="22"/>
          <w:szCs w:val="22"/>
          <w:lang w:val="en-GB"/>
        </w:rPr>
        <w:t>France</w:t>
      </w:r>
    </w:p>
    <w:p w14:paraId="632D991F" w14:textId="77777777" w:rsidR="004C5277" w:rsidRPr="004C5277" w:rsidRDefault="004C5277" w:rsidP="00010CC5">
      <w:pPr>
        <w:pStyle w:val="ListParagraph"/>
        <w:numPr>
          <w:ilvl w:val="0"/>
          <w:numId w:val="35"/>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debtor is not a bank, insurance company or another excluded undertaking? Yes</w:t>
      </w:r>
    </w:p>
    <w:p w14:paraId="46750AC9" w14:textId="77777777" w:rsidR="00E34AB3" w:rsidRPr="00E34AB3" w:rsidRDefault="004C5277" w:rsidP="00010CC5">
      <w:pPr>
        <w:pStyle w:val="ListParagraph"/>
        <w:numPr>
          <w:ilvl w:val="0"/>
          <w:numId w:val="35"/>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proceeding opened against the debtor is listed in Annex A to the EIR Recast? Yes – it is Spain</w:t>
      </w:r>
    </w:p>
    <w:p w14:paraId="3C5020FC" w14:textId="77777777" w:rsidR="00E34AB3" w:rsidRPr="00E34AB3" w:rsidRDefault="00E34AB3" w:rsidP="00010CC5">
      <w:pPr>
        <w:pStyle w:val="ListParagraph"/>
        <w:numPr>
          <w:ilvl w:val="0"/>
          <w:numId w:val="35"/>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proceeding is opened after</w:t>
      </w:r>
      <w:r w:rsidR="003A0BAB" w:rsidRPr="00010CC5">
        <w:rPr>
          <w:rFonts w:ascii="Avenir Next" w:hAnsi="Avenir Next" w:cs="Arial"/>
          <w:color w:val="7B7B7B" w:themeColor="accent3" w:themeShade="BF"/>
          <w:sz w:val="22"/>
          <w:szCs w:val="22"/>
          <w:lang w:val="en-GB"/>
        </w:rPr>
        <w:t xml:space="preserve"> 26 June 2017</w:t>
      </w:r>
      <w:r>
        <w:rPr>
          <w:rFonts w:ascii="Avenir Next" w:hAnsi="Avenir Next" w:cs="Arial"/>
          <w:color w:val="7B7B7B" w:themeColor="accent3" w:themeShade="BF"/>
          <w:sz w:val="22"/>
          <w:szCs w:val="22"/>
          <w:lang w:val="en-GB"/>
        </w:rPr>
        <w:t>? Yes 30 June 2017.</w:t>
      </w:r>
    </w:p>
    <w:p w14:paraId="60024EBE" w14:textId="77777777" w:rsidR="00E34AB3" w:rsidRDefault="00E34AB3" w:rsidP="00E34AB3">
      <w:pPr>
        <w:autoSpaceDE w:val="0"/>
        <w:autoSpaceDN w:val="0"/>
        <w:adjustRightInd w:val="0"/>
        <w:jc w:val="both"/>
        <w:rPr>
          <w:rFonts w:ascii="Avenir Next" w:hAnsi="Avenir Next" w:cs="Arial"/>
          <w:color w:val="7B7B7B" w:themeColor="accent3" w:themeShade="BF"/>
          <w:sz w:val="22"/>
          <w:szCs w:val="22"/>
          <w:lang w:val="en-GB"/>
        </w:rPr>
      </w:pPr>
    </w:p>
    <w:p w14:paraId="626FA5C6" w14:textId="276A24FC" w:rsidR="002D3473" w:rsidRPr="00E34AB3" w:rsidRDefault="00E34AB3" w:rsidP="00E34AB3">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Thus it appears as if the EIR Recast is applicable. </w:t>
      </w:r>
      <w:r w:rsidR="003A0BAB" w:rsidRPr="00E34AB3">
        <w:rPr>
          <w:rFonts w:ascii="Avenir Next" w:hAnsi="Avenir Next" w:cs="Arial"/>
          <w:color w:val="7B7B7B" w:themeColor="accent3" w:themeShade="BF"/>
          <w:sz w:val="22"/>
          <w:szCs w:val="22"/>
          <w:lang w:val="en-GB"/>
        </w:rPr>
        <w:t xml:space="preserve"> </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5B63C353" w14:textId="77777777" w:rsidR="00E50B9D" w:rsidRDefault="000C7A2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3(1) </w:t>
      </w:r>
      <w:r w:rsidR="0033346C">
        <w:rPr>
          <w:rFonts w:ascii="Avenir Next" w:hAnsi="Avenir Next" w:cs="Arial"/>
          <w:color w:val="7B7B7B" w:themeColor="accent3" w:themeShade="BF"/>
          <w:sz w:val="22"/>
          <w:szCs w:val="22"/>
          <w:lang w:val="en-GB"/>
        </w:rPr>
        <w:t>EIR Recast enables main insolvency proceedings to be opened in the Member Stat</w:t>
      </w:r>
      <w:r w:rsidR="008E7AC4">
        <w:rPr>
          <w:rFonts w:ascii="Avenir Next" w:hAnsi="Avenir Next" w:cs="Arial"/>
          <w:color w:val="7B7B7B" w:themeColor="accent3" w:themeShade="BF"/>
          <w:sz w:val="22"/>
          <w:szCs w:val="22"/>
          <w:lang w:val="en-GB"/>
        </w:rPr>
        <w:t xml:space="preserve">e where the debtor has the centre of its main interests (COMI). </w:t>
      </w:r>
      <w:r w:rsidR="007B33E7">
        <w:rPr>
          <w:rFonts w:ascii="Avenir Next" w:hAnsi="Avenir Next" w:cs="Arial"/>
          <w:color w:val="7B7B7B" w:themeColor="accent3" w:themeShade="BF"/>
          <w:sz w:val="22"/>
          <w:szCs w:val="22"/>
          <w:lang w:val="en-GB"/>
        </w:rPr>
        <w:t>At the same time the EIR Recast allows for the opening of secondary proceedings</w:t>
      </w:r>
      <w:r w:rsidR="00202A8B">
        <w:rPr>
          <w:rFonts w:ascii="Avenir Next" w:hAnsi="Avenir Next" w:cs="Arial"/>
          <w:color w:val="7B7B7B" w:themeColor="accent3" w:themeShade="BF"/>
          <w:sz w:val="22"/>
          <w:szCs w:val="22"/>
          <w:lang w:val="en-GB"/>
        </w:rPr>
        <w:t xml:space="preserve">, which run parallel to main insolvency proceedings (Recital 23). Secondary proceedings being territorial in </w:t>
      </w:r>
      <w:r w:rsidR="002E56DE">
        <w:rPr>
          <w:rFonts w:ascii="Avenir Next" w:hAnsi="Avenir Next" w:cs="Arial"/>
          <w:color w:val="7B7B7B" w:themeColor="accent3" w:themeShade="BF"/>
          <w:sz w:val="22"/>
          <w:szCs w:val="22"/>
          <w:lang w:val="en-GB"/>
        </w:rPr>
        <w:t>nature, protect the diversity of interests, promote effective administration of complex estates and mitigate difficulties arising from divergent national laws</w:t>
      </w:r>
      <w:r w:rsidR="00754A72">
        <w:rPr>
          <w:rFonts w:ascii="Avenir Next" w:hAnsi="Avenir Next" w:cs="Arial"/>
          <w:color w:val="7B7B7B" w:themeColor="accent3" w:themeShade="BF"/>
          <w:sz w:val="22"/>
          <w:szCs w:val="22"/>
          <w:lang w:val="en-GB"/>
        </w:rPr>
        <w:t xml:space="preserve"> (Recital 40). Hence it appears that a secondary proceeding can be opened in Italy. </w:t>
      </w:r>
      <w:r w:rsidR="00532EB5">
        <w:rPr>
          <w:rFonts w:ascii="Avenir Next" w:hAnsi="Avenir Next" w:cs="Arial"/>
          <w:color w:val="7B7B7B" w:themeColor="accent3" w:themeShade="BF"/>
          <w:sz w:val="22"/>
          <w:szCs w:val="22"/>
          <w:lang w:val="en-GB"/>
        </w:rPr>
        <w:t xml:space="preserve">However the effects of secondary proceedings are restricted to the assets of the debtor situated in the territory of the Member State where secondary proceedings have been opened. </w:t>
      </w:r>
    </w:p>
    <w:p w14:paraId="15A228C2" w14:textId="5817C55B" w:rsidR="00E50B9D" w:rsidRDefault="00E50B9D" w:rsidP="002A37BB">
      <w:pPr>
        <w:jc w:val="both"/>
        <w:rPr>
          <w:rFonts w:ascii="Avenir Next" w:hAnsi="Avenir Next" w:cs="Arial"/>
          <w:color w:val="7B7B7B" w:themeColor="accent3" w:themeShade="BF"/>
          <w:sz w:val="22"/>
          <w:szCs w:val="22"/>
          <w:lang w:val="en-GB"/>
        </w:rPr>
      </w:pPr>
    </w:p>
    <w:p w14:paraId="77CE8695" w14:textId="00E11780" w:rsidR="0077498C" w:rsidRPr="008E3C96" w:rsidRDefault="00CC1C65"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The pr</w:t>
      </w:r>
      <w:r w:rsidR="006E3F37">
        <w:rPr>
          <w:rFonts w:ascii="Avenir Next" w:hAnsi="Avenir Next" w:cs="Arial"/>
          <w:color w:val="7B7B7B" w:themeColor="accent3" w:themeShade="BF"/>
          <w:sz w:val="22"/>
          <w:szCs w:val="22"/>
          <w:lang w:val="en-GB"/>
        </w:rPr>
        <w:t>evalence of main insolvency proceedings and their lex concursus has been confirmed by the CJEU in the case of ENEF</w:t>
      </w:r>
      <w:r w:rsidR="004E14C8">
        <w:rPr>
          <w:rFonts w:ascii="Avenir Next" w:hAnsi="Avenir Next" w:cs="Arial"/>
          <w:color w:val="7B7B7B" w:themeColor="accent3" w:themeShade="BF"/>
          <w:sz w:val="22"/>
          <w:szCs w:val="22"/>
          <w:lang w:val="en-GB"/>
        </w:rPr>
        <w:t xml:space="preserve">I </w:t>
      </w:r>
      <w:proofErr w:type="spellStart"/>
      <w:r w:rsidR="004E14C8">
        <w:rPr>
          <w:rFonts w:ascii="Avenir Next" w:hAnsi="Avenir Next" w:cs="Arial"/>
          <w:color w:val="7B7B7B" w:themeColor="accent3" w:themeShade="BF"/>
          <w:sz w:val="22"/>
          <w:szCs w:val="22"/>
          <w:lang w:val="en-GB"/>
        </w:rPr>
        <w:t>Energiahatekonysagi</w:t>
      </w:r>
      <w:proofErr w:type="spellEnd"/>
      <w:r w:rsidR="004E14C8">
        <w:rPr>
          <w:rFonts w:ascii="Avenir Next" w:hAnsi="Avenir Next" w:cs="Arial"/>
          <w:color w:val="7B7B7B" w:themeColor="accent3" w:themeShade="BF"/>
          <w:sz w:val="22"/>
          <w:szCs w:val="22"/>
          <w:lang w:val="en-GB"/>
        </w:rPr>
        <w:t xml:space="preserve"> </w:t>
      </w:r>
      <w:proofErr w:type="spellStart"/>
      <w:r w:rsidR="004E14C8">
        <w:rPr>
          <w:rFonts w:ascii="Avenir Next" w:hAnsi="Avenir Next" w:cs="Arial"/>
          <w:color w:val="7B7B7B" w:themeColor="accent3" w:themeShade="BF"/>
          <w:sz w:val="22"/>
          <w:szCs w:val="22"/>
          <w:lang w:val="en-GB"/>
        </w:rPr>
        <w:t>Nyrt</w:t>
      </w:r>
      <w:proofErr w:type="spellEnd"/>
      <w:r w:rsidR="004E14C8">
        <w:rPr>
          <w:rFonts w:ascii="Avenir Next" w:hAnsi="Avenir Next" w:cs="Arial"/>
          <w:color w:val="7B7B7B" w:themeColor="accent3" w:themeShade="BF"/>
          <w:sz w:val="22"/>
          <w:szCs w:val="22"/>
          <w:lang w:val="en-GB"/>
        </w:rPr>
        <w:t>. In this case the CJEU was asked to clarify whether lex concursus</w:t>
      </w:r>
      <w:r w:rsidR="00E66AF0">
        <w:rPr>
          <w:rFonts w:ascii="Avenir Next" w:hAnsi="Avenir Next" w:cs="Arial"/>
          <w:color w:val="7B7B7B" w:themeColor="accent3" w:themeShade="BF"/>
          <w:sz w:val="22"/>
          <w:szCs w:val="22"/>
          <w:lang w:val="en-GB"/>
        </w:rPr>
        <w:t xml:space="preserve"> could provide for the forfeiture of a creditor’s right to pursue </w:t>
      </w:r>
      <w:r w:rsidR="00E01AF8">
        <w:rPr>
          <w:rFonts w:ascii="Avenir Next" w:hAnsi="Avenir Next" w:cs="Arial"/>
          <w:color w:val="7B7B7B" w:themeColor="accent3" w:themeShade="BF"/>
          <w:sz w:val="22"/>
          <w:szCs w:val="22"/>
          <w:lang w:val="en-GB"/>
        </w:rPr>
        <w:t xml:space="preserve">a claim if such a creditor had not taken part in the main insolvency proceedings. </w:t>
      </w:r>
      <w:r w:rsidR="00E66AF0">
        <w:rPr>
          <w:rFonts w:ascii="Avenir Next" w:hAnsi="Avenir Next" w:cs="Arial"/>
          <w:color w:val="7B7B7B" w:themeColor="accent3" w:themeShade="BF"/>
          <w:sz w:val="22"/>
          <w:szCs w:val="22"/>
          <w:lang w:val="en-GB"/>
        </w:rPr>
        <w:t xml:space="preserve">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30B2" w14:textId="77777777" w:rsidR="00FF00D4" w:rsidRDefault="00FF00D4" w:rsidP="00241B44">
      <w:r>
        <w:separator/>
      </w:r>
    </w:p>
  </w:endnote>
  <w:endnote w:type="continuationSeparator" w:id="0">
    <w:p w14:paraId="1E7071EA" w14:textId="77777777" w:rsidR="00FF00D4" w:rsidRDefault="00FF00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6178A11E" w:rsidR="00D509A5" w:rsidRPr="00E36039" w:rsidRDefault="00AF1555" w:rsidP="009B4976">
    <w:pPr>
      <w:pStyle w:val="Footer"/>
      <w:ind w:right="360"/>
      <w:rPr>
        <w:rFonts w:ascii="Avenir Next" w:hAnsi="Avenir Next" w:cs="Arial"/>
        <w:sz w:val="22"/>
        <w:szCs w:val="22"/>
        <w:lang w:val="en-GB"/>
      </w:rPr>
    </w:pPr>
    <w:r>
      <w:rPr>
        <w:rFonts w:ascii="Avenir Next" w:hAnsi="Avenir Next" w:cs="Arial"/>
        <w:sz w:val="22"/>
        <w:szCs w:val="22"/>
        <w:lang w:val="en-GB"/>
      </w:rPr>
      <w:t>202223-985</w:t>
    </w:r>
    <w:r w:rsidR="00D509A5" w:rsidRPr="00E36039">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3F7F" w14:textId="77777777" w:rsidR="00AF1555" w:rsidRDefault="00AF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93A7" w14:textId="77777777" w:rsidR="00FF00D4" w:rsidRDefault="00FF00D4" w:rsidP="00241B44">
      <w:r>
        <w:separator/>
      </w:r>
    </w:p>
  </w:footnote>
  <w:footnote w:type="continuationSeparator" w:id="0">
    <w:p w14:paraId="508D3F5A" w14:textId="77777777" w:rsidR="00FF00D4" w:rsidRDefault="00FF00D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AE99" w14:textId="77777777" w:rsidR="00AF1555" w:rsidRDefault="00AF1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CAC1" w14:textId="77777777" w:rsidR="00AF1555" w:rsidRDefault="00AF1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FB36" w14:textId="77777777" w:rsidR="00AF1555" w:rsidRDefault="00AF1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DE6842"/>
    <w:multiLevelType w:val="hybridMultilevel"/>
    <w:tmpl w:val="647C79F0"/>
    <w:lvl w:ilvl="0" w:tplc="49049BB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A3F541E"/>
    <w:multiLevelType w:val="hybridMultilevel"/>
    <w:tmpl w:val="B9324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3A065D"/>
    <w:multiLevelType w:val="hybridMultilevel"/>
    <w:tmpl w:val="83D61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361514C"/>
    <w:multiLevelType w:val="hybridMultilevel"/>
    <w:tmpl w:val="29A0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705F4F"/>
    <w:multiLevelType w:val="hybridMultilevel"/>
    <w:tmpl w:val="F3C2075C"/>
    <w:lvl w:ilvl="0" w:tplc="0322AA6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4"/>
  </w:num>
  <w:num w:numId="3">
    <w:abstractNumId w:val="16"/>
  </w:num>
  <w:num w:numId="4">
    <w:abstractNumId w:val="31"/>
  </w:num>
  <w:num w:numId="5">
    <w:abstractNumId w:val="23"/>
  </w:num>
  <w:num w:numId="6">
    <w:abstractNumId w:val="26"/>
  </w:num>
  <w:num w:numId="7">
    <w:abstractNumId w:val="7"/>
  </w:num>
  <w:num w:numId="8">
    <w:abstractNumId w:val="20"/>
  </w:num>
  <w:num w:numId="9">
    <w:abstractNumId w:val="19"/>
  </w:num>
  <w:num w:numId="10">
    <w:abstractNumId w:val="14"/>
  </w:num>
  <w:num w:numId="11">
    <w:abstractNumId w:val="21"/>
  </w:num>
  <w:num w:numId="12">
    <w:abstractNumId w:val="2"/>
  </w:num>
  <w:num w:numId="13">
    <w:abstractNumId w:val="11"/>
  </w:num>
  <w:num w:numId="14">
    <w:abstractNumId w:val="18"/>
  </w:num>
  <w:num w:numId="15">
    <w:abstractNumId w:val="15"/>
  </w:num>
  <w:num w:numId="16">
    <w:abstractNumId w:val="10"/>
  </w:num>
  <w:num w:numId="17">
    <w:abstractNumId w:val="13"/>
  </w:num>
  <w:num w:numId="18">
    <w:abstractNumId w:val="3"/>
  </w:num>
  <w:num w:numId="19">
    <w:abstractNumId w:val="0"/>
  </w:num>
  <w:num w:numId="20">
    <w:abstractNumId w:val="6"/>
  </w:num>
  <w:num w:numId="21">
    <w:abstractNumId w:val="0"/>
  </w:num>
  <w:num w:numId="22">
    <w:abstractNumId w:val="8"/>
  </w:num>
  <w:num w:numId="23">
    <w:abstractNumId w:val="25"/>
  </w:num>
  <w:num w:numId="24">
    <w:abstractNumId w:val="27"/>
  </w:num>
  <w:num w:numId="25">
    <w:abstractNumId w:val="5"/>
  </w:num>
  <w:num w:numId="26">
    <w:abstractNumId w:val="32"/>
  </w:num>
  <w:num w:numId="27">
    <w:abstractNumId w:val="9"/>
  </w:num>
  <w:num w:numId="28">
    <w:abstractNumId w:val="1"/>
  </w:num>
  <w:num w:numId="29">
    <w:abstractNumId w:val="12"/>
  </w:num>
  <w:num w:numId="30">
    <w:abstractNumId w:val="30"/>
  </w:num>
  <w:num w:numId="31">
    <w:abstractNumId w:val="4"/>
  </w:num>
  <w:num w:numId="32">
    <w:abstractNumId w:val="29"/>
  </w:num>
  <w:num w:numId="33">
    <w:abstractNumId w:val="28"/>
  </w:num>
  <w:num w:numId="34">
    <w:abstractNumId w:val="17"/>
  </w:num>
  <w:num w:numId="3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0CC5"/>
    <w:rsid w:val="0001344B"/>
    <w:rsid w:val="00016162"/>
    <w:rsid w:val="00020557"/>
    <w:rsid w:val="000216B8"/>
    <w:rsid w:val="000250C7"/>
    <w:rsid w:val="00025E75"/>
    <w:rsid w:val="00026F16"/>
    <w:rsid w:val="00037621"/>
    <w:rsid w:val="00041B32"/>
    <w:rsid w:val="00043D31"/>
    <w:rsid w:val="000442A3"/>
    <w:rsid w:val="00044D46"/>
    <w:rsid w:val="00045088"/>
    <w:rsid w:val="00045904"/>
    <w:rsid w:val="00054E15"/>
    <w:rsid w:val="00065166"/>
    <w:rsid w:val="0007400D"/>
    <w:rsid w:val="00081D0A"/>
    <w:rsid w:val="00082609"/>
    <w:rsid w:val="000851CC"/>
    <w:rsid w:val="00087CD6"/>
    <w:rsid w:val="0009242F"/>
    <w:rsid w:val="00093BE8"/>
    <w:rsid w:val="000A68ED"/>
    <w:rsid w:val="000A7BF9"/>
    <w:rsid w:val="000B5FF1"/>
    <w:rsid w:val="000B609F"/>
    <w:rsid w:val="000C6BB5"/>
    <w:rsid w:val="000C7A22"/>
    <w:rsid w:val="000D55A8"/>
    <w:rsid w:val="000E2E0D"/>
    <w:rsid w:val="000E4841"/>
    <w:rsid w:val="000F1677"/>
    <w:rsid w:val="000F3D6C"/>
    <w:rsid w:val="000F4A14"/>
    <w:rsid w:val="000F54E0"/>
    <w:rsid w:val="001007BD"/>
    <w:rsid w:val="001011F6"/>
    <w:rsid w:val="00101707"/>
    <w:rsid w:val="00113E29"/>
    <w:rsid w:val="0011473D"/>
    <w:rsid w:val="0011548B"/>
    <w:rsid w:val="00115C85"/>
    <w:rsid w:val="00123855"/>
    <w:rsid w:val="00126A4D"/>
    <w:rsid w:val="0014171F"/>
    <w:rsid w:val="0014622C"/>
    <w:rsid w:val="00152348"/>
    <w:rsid w:val="0015456D"/>
    <w:rsid w:val="00155FA2"/>
    <w:rsid w:val="001606EF"/>
    <w:rsid w:val="00161F1B"/>
    <w:rsid w:val="00162829"/>
    <w:rsid w:val="00166E81"/>
    <w:rsid w:val="00170A51"/>
    <w:rsid w:val="00174DC4"/>
    <w:rsid w:val="00175A7D"/>
    <w:rsid w:val="00180548"/>
    <w:rsid w:val="00180AC4"/>
    <w:rsid w:val="00180CCE"/>
    <w:rsid w:val="0018267A"/>
    <w:rsid w:val="00182779"/>
    <w:rsid w:val="001830DF"/>
    <w:rsid w:val="00183ED8"/>
    <w:rsid w:val="00186FC7"/>
    <w:rsid w:val="00187872"/>
    <w:rsid w:val="00187A34"/>
    <w:rsid w:val="001966D9"/>
    <w:rsid w:val="001A2A90"/>
    <w:rsid w:val="001A2C68"/>
    <w:rsid w:val="001A68CC"/>
    <w:rsid w:val="001A7E9A"/>
    <w:rsid w:val="001B0F70"/>
    <w:rsid w:val="001B5016"/>
    <w:rsid w:val="001B6DDC"/>
    <w:rsid w:val="001C45FC"/>
    <w:rsid w:val="001D0469"/>
    <w:rsid w:val="001D4862"/>
    <w:rsid w:val="001D6E1C"/>
    <w:rsid w:val="001E25B9"/>
    <w:rsid w:val="001E28CC"/>
    <w:rsid w:val="001E49E0"/>
    <w:rsid w:val="001E5710"/>
    <w:rsid w:val="001E5F8A"/>
    <w:rsid w:val="001E7B5A"/>
    <w:rsid w:val="001F7412"/>
    <w:rsid w:val="00202A8B"/>
    <w:rsid w:val="00202DFE"/>
    <w:rsid w:val="00203720"/>
    <w:rsid w:val="0020725B"/>
    <w:rsid w:val="00207469"/>
    <w:rsid w:val="002110F1"/>
    <w:rsid w:val="0021623D"/>
    <w:rsid w:val="00222FB5"/>
    <w:rsid w:val="00223A52"/>
    <w:rsid w:val="00226E76"/>
    <w:rsid w:val="00231DD6"/>
    <w:rsid w:val="0023592F"/>
    <w:rsid w:val="0024116D"/>
    <w:rsid w:val="00241B44"/>
    <w:rsid w:val="00241FA3"/>
    <w:rsid w:val="00244C44"/>
    <w:rsid w:val="00245EFB"/>
    <w:rsid w:val="002462CD"/>
    <w:rsid w:val="0025386E"/>
    <w:rsid w:val="002629CE"/>
    <w:rsid w:val="002638B0"/>
    <w:rsid w:val="00265FBD"/>
    <w:rsid w:val="0026647A"/>
    <w:rsid w:val="002668D3"/>
    <w:rsid w:val="0027299F"/>
    <w:rsid w:val="002729AB"/>
    <w:rsid w:val="00284EBE"/>
    <w:rsid w:val="0029433F"/>
    <w:rsid w:val="00294829"/>
    <w:rsid w:val="0029690F"/>
    <w:rsid w:val="00297C8A"/>
    <w:rsid w:val="002A10A2"/>
    <w:rsid w:val="002A2A60"/>
    <w:rsid w:val="002A37BB"/>
    <w:rsid w:val="002B1C45"/>
    <w:rsid w:val="002B47E6"/>
    <w:rsid w:val="002B50CB"/>
    <w:rsid w:val="002B640A"/>
    <w:rsid w:val="002C13C8"/>
    <w:rsid w:val="002C3547"/>
    <w:rsid w:val="002C35A2"/>
    <w:rsid w:val="002C48AE"/>
    <w:rsid w:val="002D0021"/>
    <w:rsid w:val="002D3473"/>
    <w:rsid w:val="002E1D7F"/>
    <w:rsid w:val="002E4CF1"/>
    <w:rsid w:val="002E56DE"/>
    <w:rsid w:val="002F1956"/>
    <w:rsid w:val="002F3440"/>
    <w:rsid w:val="002F75A3"/>
    <w:rsid w:val="00302D76"/>
    <w:rsid w:val="00303C2F"/>
    <w:rsid w:val="003144EF"/>
    <w:rsid w:val="003252C2"/>
    <w:rsid w:val="00326292"/>
    <w:rsid w:val="00326415"/>
    <w:rsid w:val="00330937"/>
    <w:rsid w:val="00330F31"/>
    <w:rsid w:val="00331480"/>
    <w:rsid w:val="00331E1C"/>
    <w:rsid w:val="0033346C"/>
    <w:rsid w:val="00334648"/>
    <w:rsid w:val="00336072"/>
    <w:rsid w:val="0033768C"/>
    <w:rsid w:val="00337938"/>
    <w:rsid w:val="00340769"/>
    <w:rsid w:val="00341AA6"/>
    <w:rsid w:val="0034705B"/>
    <w:rsid w:val="00350B8F"/>
    <w:rsid w:val="00351061"/>
    <w:rsid w:val="003525B6"/>
    <w:rsid w:val="00361A0A"/>
    <w:rsid w:val="00364836"/>
    <w:rsid w:val="003650E5"/>
    <w:rsid w:val="0036565C"/>
    <w:rsid w:val="003656A4"/>
    <w:rsid w:val="0036625E"/>
    <w:rsid w:val="00366415"/>
    <w:rsid w:val="0037465A"/>
    <w:rsid w:val="00375D11"/>
    <w:rsid w:val="00382C98"/>
    <w:rsid w:val="00383586"/>
    <w:rsid w:val="0038533C"/>
    <w:rsid w:val="00386568"/>
    <w:rsid w:val="00390B57"/>
    <w:rsid w:val="00392403"/>
    <w:rsid w:val="003948D5"/>
    <w:rsid w:val="00396821"/>
    <w:rsid w:val="00397D3A"/>
    <w:rsid w:val="003A051E"/>
    <w:rsid w:val="003A0BAB"/>
    <w:rsid w:val="003B0A27"/>
    <w:rsid w:val="003B170F"/>
    <w:rsid w:val="003B3C5F"/>
    <w:rsid w:val="003B5116"/>
    <w:rsid w:val="003C34D4"/>
    <w:rsid w:val="003C4342"/>
    <w:rsid w:val="003C4471"/>
    <w:rsid w:val="003C4BCB"/>
    <w:rsid w:val="003D0A6D"/>
    <w:rsid w:val="003D17A2"/>
    <w:rsid w:val="003D1974"/>
    <w:rsid w:val="003D4A79"/>
    <w:rsid w:val="003D6570"/>
    <w:rsid w:val="003E0B16"/>
    <w:rsid w:val="003E17EC"/>
    <w:rsid w:val="003E4DB0"/>
    <w:rsid w:val="003E67D1"/>
    <w:rsid w:val="003F4838"/>
    <w:rsid w:val="00404329"/>
    <w:rsid w:val="00405DC1"/>
    <w:rsid w:val="00414346"/>
    <w:rsid w:val="00415F1F"/>
    <w:rsid w:val="004202D2"/>
    <w:rsid w:val="0042050C"/>
    <w:rsid w:val="0042108F"/>
    <w:rsid w:val="00423B25"/>
    <w:rsid w:val="00430FED"/>
    <w:rsid w:val="00434A8C"/>
    <w:rsid w:val="00437297"/>
    <w:rsid w:val="00444284"/>
    <w:rsid w:val="0044574C"/>
    <w:rsid w:val="00445CE6"/>
    <w:rsid w:val="004534C2"/>
    <w:rsid w:val="0045446F"/>
    <w:rsid w:val="0045683E"/>
    <w:rsid w:val="00457CA3"/>
    <w:rsid w:val="00465BFF"/>
    <w:rsid w:val="00470681"/>
    <w:rsid w:val="00477C72"/>
    <w:rsid w:val="00477D5E"/>
    <w:rsid w:val="00491675"/>
    <w:rsid w:val="00493855"/>
    <w:rsid w:val="00495E79"/>
    <w:rsid w:val="0049649C"/>
    <w:rsid w:val="004A0692"/>
    <w:rsid w:val="004A57DD"/>
    <w:rsid w:val="004A7B51"/>
    <w:rsid w:val="004A7D71"/>
    <w:rsid w:val="004A7EF3"/>
    <w:rsid w:val="004B11FD"/>
    <w:rsid w:val="004B23A2"/>
    <w:rsid w:val="004C0D03"/>
    <w:rsid w:val="004C0D33"/>
    <w:rsid w:val="004C5277"/>
    <w:rsid w:val="004D1A5A"/>
    <w:rsid w:val="004D2FFF"/>
    <w:rsid w:val="004D3721"/>
    <w:rsid w:val="004D64F9"/>
    <w:rsid w:val="004E14C8"/>
    <w:rsid w:val="004E3A6B"/>
    <w:rsid w:val="004E622C"/>
    <w:rsid w:val="004F4245"/>
    <w:rsid w:val="004F4AF9"/>
    <w:rsid w:val="004F5FDF"/>
    <w:rsid w:val="00510B2B"/>
    <w:rsid w:val="005177FE"/>
    <w:rsid w:val="0052246C"/>
    <w:rsid w:val="0052263B"/>
    <w:rsid w:val="00524728"/>
    <w:rsid w:val="00532EB5"/>
    <w:rsid w:val="005331CA"/>
    <w:rsid w:val="00537970"/>
    <w:rsid w:val="00540E3A"/>
    <w:rsid w:val="00544127"/>
    <w:rsid w:val="00544F6E"/>
    <w:rsid w:val="005463A9"/>
    <w:rsid w:val="00553EB2"/>
    <w:rsid w:val="00560534"/>
    <w:rsid w:val="0056314C"/>
    <w:rsid w:val="0056391B"/>
    <w:rsid w:val="005650E2"/>
    <w:rsid w:val="00567AD7"/>
    <w:rsid w:val="00575B2D"/>
    <w:rsid w:val="005833D0"/>
    <w:rsid w:val="005846F3"/>
    <w:rsid w:val="0058622F"/>
    <w:rsid w:val="00587646"/>
    <w:rsid w:val="00591280"/>
    <w:rsid w:val="00592F82"/>
    <w:rsid w:val="005A0CCA"/>
    <w:rsid w:val="005A726D"/>
    <w:rsid w:val="005B23C5"/>
    <w:rsid w:val="005B5ABC"/>
    <w:rsid w:val="005B5D12"/>
    <w:rsid w:val="005B605C"/>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33B5"/>
    <w:rsid w:val="00627CC9"/>
    <w:rsid w:val="00627DE9"/>
    <w:rsid w:val="00627E7B"/>
    <w:rsid w:val="00627FF1"/>
    <w:rsid w:val="00630542"/>
    <w:rsid w:val="0063292A"/>
    <w:rsid w:val="00632E44"/>
    <w:rsid w:val="00634622"/>
    <w:rsid w:val="00636808"/>
    <w:rsid w:val="00636C15"/>
    <w:rsid w:val="00641515"/>
    <w:rsid w:val="00654B27"/>
    <w:rsid w:val="00654C2F"/>
    <w:rsid w:val="00656DA7"/>
    <w:rsid w:val="00657087"/>
    <w:rsid w:val="006603F1"/>
    <w:rsid w:val="00661D65"/>
    <w:rsid w:val="006639DB"/>
    <w:rsid w:val="006661EF"/>
    <w:rsid w:val="006723E9"/>
    <w:rsid w:val="00677486"/>
    <w:rsid w:val="00677AEB"/>
    <w:rsid w:val="00680EF2"/>
    <w:rsid w:val="00682DAA"/>
    <w:rsid w:val="00687A1D"/>
    <w:rsid w:val="00696ED8"/>
    <w:rsid w:val="00697EA1"/>
    <w:rsid w:val="006A2646"/>
    <w:rsid w:val="006A51AD"/>
    <w:rsid w:val="006A6530"/>
    <w:rsid w:val="006B435A"/>
    <w:rsid w:val="006B4C64"/>
    <w:rsid w:val="006C4FAA"/>
    <w:rsid w:val="006D217A"/>
    <w:rsid w:val="006D6BD5"/>
    <w:rsid w:val="006E0C6C"/>
    <w:rsid w:val="006E3502"/>
    <w:rsid w:val="006E3F37"/>
    <w:rsid w:val="006E481A"/>
    <w:rsid w:val="006E5287"/>
    <w:rsid w:val="006E5298"/>
    <w:rsid w:val="006F0106"/>
    <w:rsid w:val="006F196C"/>
    <w:rsid w:val="006F2B12"/>
    <w:rsid w:val="006F4A78"/>
    <w:rsid w:val="006F6CDD"/>
    <w:rsid w:val="006F734A"/>
    <w:rsid w:val="00700D83"/>
    <w:rsid w:val="00704852"/>
    <w:rsid w:val="007074E9"/>
    <w:rsid w:val="00713DA4"/>
    <w:rsid w:val="00714BF1"/>
    <w:rsid w:val="00721383"/>
    <w:rsid w:val="0073055D"/>
    <w:rsid w:val="0073158B"/>
    <w:rsid w:val="00733382"/>
    <w:rsid w:val="007333CC"/>
    <w:rsid w:val="0073399A"/>
    <w:rsid w:val="007379D9"/>
    <w:rsid w:val="00745D6F"/>
    <w:rsid w:val="007470F8"/>
    <w:rsid w:val="00754A72"/>
    <w:rsid w:val="007603F5"/>
    <w:rsid w:val="00764DB0"/>
    <w:rsid w:val="0076764D"/>
    <w:rsid w:val="0077498C"/>
    <w:rsid w:val="007772BD"/>
    <w:rsid w:val="007809BC"/>
    <w:rsid w:val="00780A4C"/>
    <w:rsid w:val="00782DF0"/>
    <w:rsid w:val="00782EE1"/>
    <w:rsid w:val="00784128"/>
    <w:rsid w:val="00785249"/>
    <w:rsid w:val="007876CE"/>
    <w:rsid w:val="00793173"/>
    <w:rsid w:val="007A107A"/>
    <w:rsid w:val="007A2A33"/>
    <w:rsid w:val="007A6B8D"/>
    <w:rsid w:val="007A7B20"/>
    <w:rsid w:val="007B1E54"/>
    <w:rsid w:val="007B33E7"/>
    <w:rsid w:val="007C1FCC"/>
    <w:rsid w:val="007C50AA"/>
    <w:rsid w:val="007C6201"/>
    <w:rsid w:val="007D0E27"/>
    <w:rsid w:val="007D5AF9"/>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0800"/>
    <w:rsid w:val="0082424D"/>
    <w:rsid w:val="0082483F"/>
    <w:rsid w:val="008279C0"/>
    <w:rsid w:val="00835422"/>
    <w:rsid w:val="00836004"/>
    <w:rsid w:val="00841051"/>
    <w:rsid w:val="00842F74"/>
    <w:rsid w:val="0084705A"/>
    <w:rsid w:val="008500BD"/>
    <w:rsid w:val="00857862"/>
    <w:rsid w:val="00860723"/>
    <w:rsid w:val="00861C57"/>
    <w:rsid w:val="00864593"/>
    <w:rsid w:val="0086548F"/>
    <w:rsid w:val="00870F09"/>
    <w:rsid w:val="008723F3"/>
    <w:rsid w:val="00874240"/>
    <w:rsid w:val="00881DE6"/>
    <w:rsid w:val="008837A6"/>
    <w:rsid w:val="00884BED"/>
    <w:rsid w:val="00887BEE"/>
    <w:rsid w:val="0089145D"/>
    <w:rsid w:val="0089362E"/>
    <w:rsid w:val="00894C1D"/>
    <w:rsid w:val="00897A78"/>
    <w:rsid w:val="008A27C8"/>
    <w:rsid w:val="008A4DF2"/>
    <w:rsid w:val="008A6CFE"/>
    <w:rsid w:val="008B5333"/>
    <w:rsid w:val="008B6223"/>
    <w:rsid w:val="008C07EA"/>
    <w:rsid w:val="008C385B"/>
    <w:rsid w:val="008C4AC6"/>
    <w:rsid w:val="008C66E0"/>
    <w:rsid w:val="008D6048"/>
    <w:rsid w:val="008D62F7"/>
    <w:rsid w:val="008D70EB"/>
    <w:rsid w:val="008E0B9E"/>
    <w:rsid w:val="008E0EC8"/>
    <w:rsid w:val="008E3339"/>
    <w:rsid w:val="008E3C96"/>
    <w:rsid w:val="008E43EC"/>
    <w:rsid w:val="008E7371"/>
    <w:rsid w:val="008E7AC4"/>
    <w:rsid w:val="008F20FC"/>
    <w:rsid w:val="008F5FFE"/>
    <w:rsid w:val="00905A43"/>
    <w:rsid w:val="00912C79"/>
    <w:rsid w:val="00914A23"/>
    <w:rsid w:val="00935A21"/>
    <w:rsid w:val="00942123"/>
    <w:rsid w:val="0094455C"/>
    <w:rsid w:val="0095207B"/>
    <w:rsid w:val="00962045"/>
    <w:rsid w:val="009670BB"/>
    <w:rsid w:val="00967219"/>
    <w:rsid w:val="00971896"/>
    <w:rsid w:val="00971D79"/>
    <w:rsid w:val="00980E61"/>
    <w:rsid w:val="009835BC"/>
    <w:rsid w:val="00983876"/>
    <w:rsid w:val="00991428"/>
    <w:rsid w:val="00992676"/>
    <w:rsid w:val="009954B2"/>
    <w:rsid w:val="00996691"/>
    <w:rsid w:val="009B0723"/>
    <w:rsid w:val="009B07AD"/>
    <w:rsid w:val="009B0883"/>
    <w:rsid w:val="009B15E2"/>
    <w:rsid w:val="009B44E4"/>
    <w:rsid w:val="009B4976"/>
    <w:rsid w:val="009B51C9"/>
    <w:rsid w:val="009C0B8E"/>
    <w:rsid w:val="009C1BC8"/>
    <w:rsid w:val="009C2442"/>
    <w:rsid w:val="009C3A36"/>
    <w:rsid w:val="009C5CA4"/>
    <w:rsid w:val="009C5E52"/>
    <w:rsid w:val="009D0811"/>
    <w:rsid w:val="009D0EE1"/>
    <w:rsid w:val="009E2AEB"/>
    <w:rsid w:val="009E2E27"/>
    <w:rsid w:val="009E39B2"/>
    <w:rsid w:val="009E4DE3"/>
    <w:rsid w:val="009E620C"/>
    <w:rsid w:val="009F0BC5"/>
    <w:rsid w:val="009F275E"/>
    <w:rsid w:val="00A047EE"/>
    <w:rsid w:val="00A05CC9"/>
    <w:rsid w:val="00A07E6F"/>
    <w:rsid w:val="00A10FF6"/>
    <w:rsid w:val="00A11E80"/>
    <w:rsid w:val="00A1242C"/>
    <w:rsid w:val="00A14E73"/>
    <w:rsid w:val="00A16616"/>
    <w:rsid w:val="00A17858"/>
    <w:rsid w:val="00A2099D"/>
    <w:rsid w:val="00A2274A"/>
    <w:rsid w:val="00A235B7"/>
    <w:rsid w:val="00A25459"/>
    <w:rsid w:val="00A26868"/>
    <w:rsid w:val="00A27A7A"/>
    <w:rsid w:val="00A33D75"/>
    <w:rsid w:val="00A33FA6"/>
    <w:rsid w:val="00A35A11"/>
    <w:rsid w:val="00A407EF"/>
    <w:rsid w:val="00A454AB"/>
    <w:rsid w:val="00A4577D"/>
    <w:rsid w:val="00A46B4C"/>
    <w:rsid w:val="00A50055"/>
    <w:rsid w:val="00A5117B"/>
    <w:rsid w:val="00A54CB5"/>
    <w:rsid w:val="00A60074"/>
    <w:rsid w:val="00A605EA"/>
    <w:rsid w:val="00A6078D"/>
    <w:rsid w:val="00A620A6"/>
    <w:rsid w:val="00A62FDA"/>
    <w:rsid w:val="00A6627C"/>
    <w:rsid w:val="00A71019"/>
    <w:rsid w:val="00A7758E"/>
    <w:rsid w:val="00A81029"/>
    <w:rsid w:val="00A83E9F"/>
    <w:rsid w:val="00A90F6C"/>
    <w:rsid w:val="00A95571"/>
    <w:rsid w:val="00A9645E"/>
    <w:rsid w:val="00A96489"/>
    <w:rsid w:val="00AA341D"/>
    <w:rsid w:val="00AA55B5"/>
    <w:rsid w:val="00AB685C"/>
    <w:rsid w:val="00AB6C2D"/>
    <w:rsid w:val="00AB708D"/>
    <w:rsid w:val="00AC08F7"/>
    <w:rsid w:val="00AC3839"/>
    <w:rsid w:val="00AC4C4F"/>
    <w:rsid w:val="00AC7044"/>
    <w:rsid w:val="00AC7082"/>
    <w:rsid w:val="00AD2931"/>
    <w:rsid w:val="00AD34BD"/>
    <w:rsid w:val="00AD513F"/>
    <w:rsid w:val="00AD6870"/>
    <w:rsid w:val="00AE0D4C"/>
    <w:rsid w:val="00AE1CE8"/>
    <w:rsid w:val="00AE2316"/>
    <w:rsid w:val="00AE74BA"/>
    <w:rsid w:val="00AF1555"/>
    <w:rsid w:val="00AF228E"/>
    <w:rsid w:val="00B00488"/>
    <w:rsid w:val="00B016A8"/>
    <w:rsid w:val="00B0391C"/>
    <w:rsid w:val="00B070D2"/>
    <w:rsid w:val="00B12499"/>
    <w:rsid w:val="00B12EF7"/>
    <w:rsid w:val="00B14819"/>
    <w:rsid w:val="00B15E2F"/>
    <w:rsid w:val="00B17AA9"/>
    <w:rsid w:val="00B30D9A"/>
    <w:rsid w:val="00B30E3C"/>
    <w:rsid w:val="00B41EDA"/>
    <w:rsid w:val="00B44713"/>
    <w:rsid w:val="00B44C39"/>
    <w:rsid w:val="00B56103"/>
    <w:rsid w:val="00B60AAD"/>
    <w:rsid w:val="00B64929"/>
    <w:rsid w:val="00B70CB2"/>
    <w:rsid w:val="00B736DF"/>
    <w:rsid w:val="00B743D6"/>
    <w:rsid w:val="00B74FBD"/>
    <w:rsid w:val="00B75969"/>
    <w:rsid w:val="00B77F46"/>
    <w:rsid w:val="00B80AF1"/>
    <w:rsid w:val="00B81D79"/>
    <w:rsid w:val="00B82586"/>
    <w:rsid w:val="00B829A3"/>
    <w:rsid w:val="00B86DB1"/>
    <w:rsid w:val="00B87869"/>
    <w:rsid w:val="00B96CE3"/>
    <w:rsid w:val="00BA543A"/>
    <w:rsid w:val="00BB0F2B"/>
    <w:rsid w:val="00BB1527"/>
    <w:rsid w:val="00BB38D1"/>
    <w:rsid w:val="00BC62B0"/>
    <w:rsid w:val="00BD73DA"/>
    <w:rsid w:val="00BE4FF3"/>
    <w:rsid w:val="00BF50F7"/>
    <w:rsid w:val="00BF670E"/>
    <w:rsid w:val="00C0024A"/>
    <w:rsid w:val="00C00B20"/>
    <w:rsid w:val="00C00E77"/>
    <w:rsid w:val="00C02F29"/>
    <w:rsid w:val="00C15FA2"/>
    <w:rsid w:val="00C20AFE"/>
    <w:rsid w:val="00C22131"/>
    <w:rsid w:val="00C22284"/>
    <w:rsid w:val="00C22A25"/>
    <w:rsid w:val="00C35671"/>
    <w:rsid w:val="00C35B77"/>
    <w:rsid w:val="00C35F52"/>
    <w:rsid w:val="00C376EB"/>
    <w:rsid w:val="00C468F1"/>
    <w:rsid w:val="00C46A92"/>
    <w:rsid w:val="00C46DF7"/>
    <w:rsid w:val="00C46EC1"/>
    <w:rsid w:val="00C52796"/>
    <w:rsid w:val="00C53E2C"/>
    <w:rsid w:val="00C550C8"/>
    <w:rsid w:val="00C56B61"/>
    <w:rsid w:val="00C606C3"/>
    <w:rsid w:val="00C60B85"/>
    <w:rsid w:val="00C620F4"/>
    <w:rsid w:val="00C63E03"/>
    <w:rsid w:val="00C65D16"/>
    <w:rsid w:val="00C72848"/>
    <w:rsid w:val="00C7729F"/>
    <w:rsid w:val="00C7736C"/>
    <w:rsid w:val="00C82D87"/>
    <w:rsid w:val="00C8712A"/>
    <w:rsid w:val="00C963D3"/>
    <w:rsid w:val="00CA7069"/>
    <w:rsid w:val="00CB1983"/>
    <w:rsid w:val="00CB2CBB"/>
    <w:rsid w:val="00CB7CAC"/>
    <w:rsid w:val="00CC0F50"/>
    <w:rsid w:val="00CC1C65"/>
    <w:rsid w:val="00CC4104"/>
    <w:rsid w:val="00CC5335"/>
    <w:rsid w:val="00CC5BA4"/>
    <w:rsid w:val="00CD4998"/>
    <w:rsid w:val="00CE1035"/>
    <w:rsid w:val="00CE4206"/>
    <w:rsid w:val="00CE4D90"/>
    <w:rsid w:val="00CE6E50"/>
    <w:rsid w:val="00CF2819"/>
    <w:rsid w:val="00CF4F9D"/>
    <w:rsid w:val="00CF70DC"/>
    <w:rsid w:val="00D03D6C"/>
    <w:rsid w:val="00D148DC"/>
    <w:rsid w:val="00D17FDC"/>
    <w:rsid w:val="00D21F62"/>
    <w:rsid w:val="00D26E26"/>
    <w:rsid w:val="00D34657"/>
    <w:rsid w:val="00D43B3A"/>
    <w:rsid w:val="00D509A5"/>
    <w:rsid w:val="00D56B4E"/>
    <w:rsid w:val="00D608A4"/>
    <w:rsid w:val="00D60E46"/>
    <w:rsid w:val="00D61343"/>
    <w:rsid w:val="00D63EFD"/>
    <w:rsid w:val="00D651FD"/>
    <w:rsid w:val="00D66F96"/>
    <w:rsid w:val="00D74485"/>
    <w:rsid w:val="00D75351"/>
    <w:rsid w:val="00D769BC"/>
    <w:rsid w:val="00D80A62"/>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C6F38"/>
    <w:rsid w:val="00DD0802"/>
    <w:rsid w:val="00DD2E11"/>
    <w:rsid w:val="00DD47EF"/>
    <w:rsid w:val="00DD61D1"/>
    <w:rsid w:val="00DE03AF"/>
    <w:rsid w:val="00DE121C"/>
    <w:rsid w:val="00DE6633"/>
    <w:rsid w:val="00DE67FB"/>
    <w:rsid w:val="00DF0864"/>
    <w:rsid w:val="00DF0C65"/>
    <w:rsid w:val="00DF3ABE"/>
    <w:rsid w:val="00DF75F8"/>
    <w:rsid w:val="00DF7A3A"/>
    <w:rsid w:val="00E00C00"/>
    <w:rsid w:val="00E01AF8"/>
    <w:rsid w:val="00E03AF0"/>
    <w:rsid w:val="00E04F69"/>
    <w:rsid w:val="00E051FE"/>
    <w:rsid w:val="00E07C5A"/>
    <w:rsid w:val="00E10952"/>
    <w:rsid w:val="00E113FF"/>
    <w:rsid w:val="00E15BA9"/>
    <w:rsid w:val="00E208B3"/>
    <w:rsid w:val="00E26E19"/>
    <w:rsid w:val="00E30C8A"/>
    <w:rsid w:val="00E31DF3"/>
    <w:rsid w:val="00E34AB3"/>
    <w:rsid w:val="00E36039"/>
    <w:rsid w:val="00E450A4"/>
    <w:rsid w:val="00E506BE"/>
    <w:rsid w:val="00E50B9D"/>
    <w:rsid w:val="00E55547"/>
    <w:rsid w:val="00E604A1"/>
    <w:rsid w:val="00E6302B"/>
    <w:rsid w:val="00E6452F"/>
    <w:rsid w:val="00E64F45"/>
    <w:rsid w:val="00E66AF0"/>
    <w:rsid w:val="00E6742D"/>
    <w:rsid w:val="00E71CB0"/>
    <w:rsid w:val="00E77C3D"/>
    <w:rsid w:val="00E81160"/>
    <w:rsid w:val="00E83CE8"/>
    <w:rsid w:val="00E862C4"/>
    <w:rsid w:val="00E90991"/>
    <w:rsid w:val="00E909F0"/>
    <w:rsid w:val="00E90D47"/>
    <w:rsid w:val="00E93993"/>
    <w:rsid w:val="00E9597C"/>
    <w:rsid w:val="00EA0913"/>
    <w:rsid w:val="00EA0F10"/>
    <w:rsid w:val="00EA38AF"/>
    <w:rsid w:val="00EA5B00"/>
    <w:rsid w:val="00EB146B"/>
    <w:rsid w:val="00EB45AC"/>
    <w:rsid w:val="00EB5CA4"/>
    <w:rsid w:val="00EC00F9"/>
    <w:rsid w:val="00EC242E"/>
    <w:rsid w:val="00EC7657"/>
    <w:rsid w:val="00ED0BC4"/>
    <w:rsid w:val="00ED20E8"/>
    <w:rsid w:val="00ED472A"/>
    <w:rsid w:val="00ED4C80"/>
    <w:rsid w:val="00ED54B6"/>
    <w:rsid w:val="00EE4971"/>
    <w:rsid w:val="00EE4C5D"/>
    <w:rsid w:val="00EE5DD8"/>
    <w:rsid w:val="00EF090E"/>
    <w:rsid w:val="00EF34DA"/>
    <w:rsid w:val="00F033DA"/>
    <w:rsid w:val="00F049A7"/>
    <w:rsid w:val="00F10D03"/>
    <w:rsid w:val="00F13FB1"/>
    <w:rsid w:val="00F256A4"/>
    <w:rsid w:val="00F27CD8"/>
    <w:rsid w:val="00F30351"/>
    <w:rsid w:val="00F3323E"/>
    <w:rsid w:val="00F341F4"/>
    <w:rsid w:val="00F34F9D"/>
    <w:rsid w:val="00F35CCE"/>
    <w:rsid w:val="00F53436"/>
    <w:rsid w:val="00F5524B"/>
    <w:rsid w:val="00F60344"/>
    <w:rsid w:val="00F60538"/>
    <w:rsid w:val="00F61DD2"/>
    <w:rsid w:val="00F65091"/>
    <w:rsid w:val="00F654A0"/>
    <w:rsid w:val="00F65B30"/>
    <w:rsid w:val="00F66AFF"/>
    <w:rsid w:val="00F71433"/>
    <w:rsid w:val="00F76CD4"/>
    <w:rsid w:val="00F814B4"/>
    <w:rsid w:val="00F83464"/>
    <w:rsid w:val="00F90D47"/>
    <w:rsid w:val="00F93BE7"/>
    <w:rsid w:val="00F94353"/>
    <w:rsid w:val="00F97C5B"/>
    <w:rsid w:val="00FA3D50"/>
    <w:rsid w:val="00FB6122"/>
    <w:rsid w:val="00FB7FBD"/>
    <w:rsid w:val="00FC235E"/>
    <w:rsid w:val="00FC374A"/>
    <w:rsid w:val="00FC48D8"/>
    <w:rsid w:val="00FC7B47"/>
    <w:rsid w:val="00FD035C"/>
    <w:rsid w:val="00FD1A35"/>
    <w:rsid w:val="00FD36C5"/>
    <w:rsid w:val="00FD3CF3"/>
    <w:rsid w:val="00FD6310"/>
    <w:rsid w:val="00FD7C7B"/>
    <w:rsid w:val="00FE1D12"/>
    <w:rsid w:val="00FE2122"/>
    <w:rsid w:val="00FE2A86"/>
    <w:rsid w:val="00FE2DE2"/>
    <w:rsid w:val="00FF00D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Li Green (ZA)</cp:lastModifiedBy>
  <cp:revision>202</cp:revision>
  <cp:lastPrinted>2019-08-27T05:42:00Z</cp:lastPrinted>
  <dcterms:created xsi:type="dcterms:W3CDTF">2023-02-05T07:09:00Z</dcterms:created>
  <dcterms:modified xsi:type="dcterms:W3CDTF">2023-02-07T19:07:00Z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84a1a320-2316-446d-81d2-cf925acbc288</vt:lpwstr>
  </property>
  <property fmtid="{D5CDD505-2E9C-101B-9397-08002B2CF9AE}" pid="3" name="TitusGDPR">
    <vt:lpwstr>TitusGDPRNo</vt:lpwstr>
  </property>
  <property fmtid="{D5CDD505-2E9C-101B-9397-08002B2CF9AE}" pid="4" name="TitusPCI">
    <vt:lpwstr>TitusPCINo</vt:lpwstr>
  </property>
  <property fmtid="{D5CDD505-2E9C-101B-9397-08002B2CF9AE}" pid="5" name="TitusPOPI">
    <vt:lpwstr>TitusPOPINo</vt:lpwstr>
  </property>
  <property fmtid="{D5CDD505-2E9C-101B-9397-08002B2CF9AE}" pid="6" name="TitusPOPISpecial">
    <vt:lpwstr>TitusPOPISpecialNo</vt:lpwstr>
  </property>
  <property fmtid="{D5CDD505-2E9C-101B-9397-08002B2CF9AE}" pid="7" name="TitusClassification">
    <vt:lpwstr>TitusRestricted</vt:lpwstr>
  </property>
</Properties>
</file>